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ABF4D">
      <w:pPr>
        <w:spacing w:line="360" w:lineRule="auto"/>
        <w:jc w:val="center"/>
        <w:outlineLvl w:val="0"/>
        <w:rPr>
          <w:rFonts w:hint="eastAsia" w:ascii="宋体" w:hAnsi="宋体"/>
          <w:b/>
          <w:color w:val="auto"/>
          <w:sz w:val="32"/>
          <w:szCs w:val="32"/>
          <w:highlight w:val="none"/>
        </w:rPr>
      </w:pPr>
      <w:bookmarkStart w:id="2" w:name="_GoBack"/>
      <w:bookmarkEnd w:id="2"/>
      <w:bookmarkStart w:id="0" w:name="_Toc525287005"/>
      <w:r>
        <w:rPr>
          <w:rFonts w:hint="eastAsia" w:ascii="宋体" w:hAnsi="宋体"/>
          <w:b/>
          <w:color w:val="auto"/>
          <w:sz w:val="32"/>
          <w:szCs w:val="32"/>
          <w:highlight w:val="none"/>
        </w:rPr>
        <w:t>技术标准和要求</w:t>
      </w:r>
      <w:bookmarkEnd w:id="0"/>
    </w:p>
    <w:p w14:paraId="3A493749">
      <w:pPr>
        <w:adjustRightInd w:val="0"/>
        <w:snapToGrid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一、项目概况</w:t>
      </w:r>
    </w:p>
    <w:p w14:paraId="518825CD">
      <w:pPr>
        <w:adjustRightInd w:val="0"/>
        <w:snapToGrid w:val="0"/>
        <w:spacing w:line="360" w:lineRule="auto"/>
        <w:ind w:firstLine="480" w:firstLineChars="200"/>
        <w:rPr>
          <w:rFonts w:hint="eastAsia" w:ascii="宋体" w:hAnsi="宋体" w:cs="仿宋_GB2312"/>
          <w:color w:val="auto"/>
          <w:sz w:val="24"/>
          <w:highlight w:val="none"/>
        </w:rPr>
      </w:pPr>
      <w:bookmarkStart w:id="1" w:name="_Hlk17368426"/>
      <w:r>
        <w:rPr>
          <w:rFonts w:hint="eastAsia" w:ascii="宋体" w:hAnsi="宋体" w:cs="仿宋_GB2312"/>
          <w:color w:val="auto"/>
          <w:sz w:val="24"/>
          <w:highlight w:val="none"/>
        </w:rPr>
        <w:t>为贯彻落实《国务院关于印发“宽带中国”战略及实施方案的通知》（国发[2013]31号）和《国务院办公厅关于加快高速宽带网络建设推进网络提速降费的指导意见》（国办发[2015]41号），推动农村及偏远地区宽带建设发展，财政部、工业和信息化部组织开展电信普遍服务工作。</w:t>
      </w:r>
    </w:p>
    <w:p w14:paraId="31808958">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仿宋_GB2312"/>
          <w:color w:val="auto"/>
          <w:sz w:val="24"/>
          <w:highlight w:val="none"/>
        </w:rPr>
        <w:t>按照“中央资金引导、地方协调支持、企业为主推进”的思路，支持中标人完成指定区域的4G基站建设，提高项目所在区域的4G网络覆盖率并对所在区域通信基础设施升级改造，以及建成后的六年运行维护</w:t>
      </w:r>
      <w:r>
        <w:rPr>
          <w:rFonts w:hint="eastAsia" w:ascii="宋体" w:hAnsi="宋体"/>
          <w:color w:val="auto"/>
          <w:kern w:val="0"/>
          <w:sz w:val="24"/>
          <w:highlight w:val="none"/>
        </w:rPr>
        <w:t>。</w:t>
      </w:r>
      <w:bookmarkEnd w:id="1"/>
    </w:p>
    <w:p w14:paraId="496371A0">
      <w:pPr>
        <w:adjustRightInd w:val="0"/>
        <w:snapToGri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二、技术标准及要求</w:t>
      </w:r>
    </w:p>
    <w:p w14:paraId="39E764FB">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（一）覆盖率指标（RSRP和RS-SINR）；数据业务指标（包括但不限于RRC连接成功率、掉线率、下载平均速率）等技术指标应满足国家及通信行业相关标准。</w:t>
      </w:r>
    </w:p>
    <w:p w14:paraId="17D50200">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（二）4G覆盖范围。合同中约定的应覆盖区域</w:t>
      </w:r>
      <w:r>
        <w:rPr>
          <w:rFonts w:hint="eastAsia" w:ascii="宋体" w:hAnsi="宋体" w:cs="仿宋_GB2312"/>
          <w:color w:val="auto"/>
          <w:sz w:val="24"/>
          <w:highlight w:val="none"/>
          <w:lang w:eastAsia="zh-CN"/>
        </w:rPr>
        <w:t>，承担企业应在每个承建基站覆盖范围内选取不少于 3 个测试点进行测试，所有测试点</w:t>
      </w:r>
      <w:r>
        <w:rPr>
          <w:rFonts w:hint="eastAsia" w:ascii="宋体" w:hAnsi="宋体" w:cs="仿宋_GB2312"/>
          <w:color w:val="auto"/>
          <w:sz w:val="24"/>
          <w:highlight w:val="none"/>
        </w:rPr>
        <w:t>参考信号接收功率（RSRP）值应大于-110dBm，且至少有一个测试点下行速率不低于 10Mbps 或合同约定的最低速率。</w:t>
      </w:r>
    </w:p>
    <w:p w14:paraId="2E1F811D">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（三）建设标准。工程建设应符合有关国家和通信行业标准规范，《移动通信基站安全防护技术暂行规定》、《无线局域网工程设计规范》、《无线局域网工程验收规范》及满足TD-LTE/FDD-LTE相关要求。</w:t>
      </w:r>
    </w:p>
    <w:p w14:paraId="331EC628">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（四）运营维护要求。成交企业要至少保持6年持续稳定的运行维护，运营期间为用户提供无线接入服务，服务标准应满足TD-LTE/FDD-LTE及相关要求，相关要求应在响应文件及合同中予以明确。</w:t>
      </w:r>
    </w:p>
    <w:p w14:paraId="432D68C4">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（五）技术方案内容要求。</w:t>
      </w:r>
    </w:p>
    <w:p w14:paraId="24CF5E36">
      <w:pPr>
        <w:autoSpaceDE w:val="0"/>
        <w:autoSpaceDN w:val="0"/>
        <w:adjustRightInd w:val="0"/>
        <w:spacing w:line="360" w:lineRule="auto"/>
        <w:ind w:firstLine="480" w:firstLineChars="200"/>
        <w:jc w:val="left"/>
        <w:rPr>
          <w:rFonts w:hint="eastAsia" w:ascii="宋体" w:hAnsi="宋体"/>
          <w:color w:val="auto"/>
          <w:sz w:val="24"/>
          <w:highlight w:val="none"/>
        </w:rPr>
      </w:pPr>
      <w:r>
        <w:rPr>
          <w:rFonts w:hint="eastAsia" w:ascii="宋体" w:hAnsi="宋体" w:cs="仿宋_GB2312"/>
          <w:color w:val="auto"/>
          <w:sz w:val="24"/>
          <w:highlight w:val="none"/>
        </w:rPr>
        <w:t>投标文件技术方案内容应包括但不限于地区网络基础条件、4G基站建设和运行维护等技术方案（方案必须符合通信建设、共建共享及运行维护有关标准规范）；技术方案中需对本章第二条技术标准提出的各类要求有清晰的技术保障措施、业务市场推广、应用创新等业务方案</w:t>
      </w:r>
      <w:r>
        <w:rPr>
          <w:rFonts w:hint="eastAsia" w:ascii="宋体" w:hAnsi="宋体"/>
          <w:color w:val="auto"/>
          <w:sz w:val="24"/>
          <w:highlight w:val="none"/>
        </w:rPr>
        <w:t>。</w:t>
      </w:r>
    </w:p>
    <w:p w14:paraId="4E07294A">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三、服务区域</w:t>
      </w:r>
    </w:p>
    <w:tbl>
      <w:tblPr>
        <w:tblStyle w:val="2"/>
        <w:tblW w:w="8473" w:type="dxa"/>
        <w:tblInd w:w="93" w:type="dxa"/>
        <w:tblLayout w:type="fixed"/>
        <w:tblCellMar>
          <w:top w:w="0" w:type="dxa"/>
          <w:left w:w="108" w:type="dxa"/>
          <w:bottom w:w="0" w:type="dxa"/>
          <w:right w:w="108" w:type="dxa"/>
        </w:tblCellMar>
      </w:tblPr>
      <w:tblGrid>
        <w:gridCol w:w="724"/>
        <w:gridCol w:w="4536"/>
        <w:gridCol w:w="2977"/>
        <w:gridCol w:w="236"/>
      </w:tblGrid>
      <w:tr w14:paraId="33EC492B">
        <w:tblPrEx>
          <w:tblCellMar>
            <w:top w:w="0" w:type="dxa"/>
            <w:left w:w="108" w:type="dxa"/>
            <w:bottom w:w="0" w:type="dxa"/>
            <w:right w:w="108" w:type="dxa"/>
          </w:tblCellMar>
        </w:tblPrEx>
        <w:trPr>
          <w:gridAfter w:val="1"/>
          <w:wAfter w:w="236" w:type="dxa"/>
          <w:trHeight w:val="736" w:hRule="atLeast"/>
        </w:trPr>
        <w:tc>
          <w:tcPr>
            <w:tcW w:w="724" w:type="dxa"/>
            <w:tcBorders>
              <w:top w:val="single" w:color="auto" w:sz="4" w:space="0"/>
              <w:left w:val="single" w:color="auto" w:sz="4" w:space="0"/>
              <w:bottom w:val="single" w:color="000000" w:sz="4" w:space="0"/>
              <w:right w:val="single" w:color="auto" w:sz="4" w:space="0"/>
            </w:tcBorders>
            <w:noWrap w:val="0"/>
            <w:vAlign w:val="center"/>
          </w:tcPr>
          <w:p w14:paraId="374AA40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4536" w:type="dxa"/>
            <w:tcBorders>
              <w:top w:val="single" w:color="auto" w:sz="4" w:space="0"/>
              <w:left w:val="single" w:color="auto" w:sz="4" w:space="0"/>
              <w:bottom w:val="single" w:color="000000" w:sz="4" w:space="0"/>
              <w:right w:val="single" w:color="auto" w:sz="4" w:space="0"/>
            </w:tcBorders>
            <w:noWrap w:val="0"/>
            <w:vAlign w:val="center"/>
          </w:tcPr>
          <w:p w14:paraId="2BE0184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服务区域</w:t>
            </w:r>
          </w:p>
        </w:tc>
        <w:tc>
          <w:tcPr>
            <w:tcW w:w="2977" w:type="dxa"/>
            <w:tcBorders>
              <w:top w:val="single" w:color="auto" w:sz="4" w:space="0"/>
              <w:left w:val="nil"/>
              <w:bottom w:val="single" w:color="auto" w:sz="4" w:space="0"/>
              <w:right w:val="single" w:color="auto" w:sz="4" w:space="0"/>
            </w:tcBorders>
            <w:noWrap w:val="0"/>
            <w:vAlign w:val="center"/>
          </w:tcPr>
          <w:p w14:paraId="4EC1E74A">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建设4G基站数量</w:t>
            </w:r>
          </w:p>
        </w:tc>
      </w:tr>
      <w:tr w14:paraId="6A7A6D0F">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193DD50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536" w:type="dxa"/>
            <w:tcBorders>
              <w:top w:val="nil"/>
              <w:left w:val="nil"/>
              <w:bottom w:val="single" w:color="auto" w:sz="4" w:space="0"/>
              <w:right w:val="single" w:color="auto" w:sz="4" w:space="0"/>
            </w:tcBorders>
            <w:noWrap w:val="0"/>
            <w:vAlign w:val="center"/>
          </w:tcPr>
          <w:p w14:paraId="731ECAB8">
            <w:pPr>
              <w:widowControl/>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鄠邑区</w:t>
            </w:r>
          </w:p>
        </w:tc>
        <w:tc>
          <w:tcPr>
            <w:tcW w:w="2977" w:type="dxa"/>
            <w:tcBorders>
              <w:top w:val="single" w:color="auto" w:sz="4" w:space="0"/>
              <w:left w:val="nil"/>
              <w:bottom w:val="single" w:color="auto" w:sz="4" w:space="0"/>
              <w:right w:val="single" w:color="auto" w:sz="4" w:space="0"/>
            </w:tcBorders>
            <w:noWrap w:val="0"/>
            <w:vAlign w:val="center"/>
          </w:tcPr>
          <w:p w14:paraId="5E7D1C3F">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w:t>
            </w:r>
          </w:p>
        </w:tc>
      </w:tr>
      <w:tr w14:paraId="043CFCF4">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36A4BE73">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536" w:type="dxa"/>
            <w:tcBorders>
              <w:top w:val="nil"/>
              <w:left w:val="nil"/>
              <w:bottom w:val="single" w:color="auto" w:sz="4" w:space="0"/>
              <w:right w:val="single" w:color="auto" w:sz="4" w:space="0"/>
            </w:tcBorders>
            <w:noWrap w:val="0"/>
            <w:vAlign w:val="center"/>
          </w:tcPr>
          <w:p w14:paraId="03881B93">
            <w:pPr>
              <w:widowControl/>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蓝田县</w:t>
            </w:r>
          </w:p>
        </w:tc>
        <w:tc>
          <w:tcPr>
            <w:tcW w:w="2977" w:type="dxa"/>
            <w:tcBorders>
              <w:top w:val="single" w:color="auto" w:sz="4" w:space="0"/>
              <w:left w:val="nil"/>
              <w:bottom w:val="single" w:color="auto" w:sz="4" w:space="0"/>
              <w:right w:val="single" w:color="auto" w:sz="4" w:space="0"/>
            </w:tcBorders>
            <w:noWrap w:val="0"/>
            <w:vAlign w:val="center"/>
          </w:tcPr>
          <w:p w14:paraId="40F63DC6">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w:t>
            </w:r>
          </w:p>
        </w:tc>
      </w:tr>
      <w:tr w14:paraId="645012BE">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18D4BA2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4536" w:type="dxa"/>
            <w:tcBorders>
              <w:top w:val="nil"/>
              <w:left w:val="nil"/>
              <w:bottom w:val="single" w:color="auto" w:sz="4" w:space="0"/>
              <w:right w:val="single" w:color="auto" w:sz="4" w:space="0"/>
            </w:tcBorders>
            <w:noWrap w:val="0"/>
            <w:vAlign w:val="center"/>
          </w:tcPr>
          <w:p w14:paraId="59809A95">
            <w:pPr>
              <w:widowControl/>
              <w:jc w:val="center"/>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rPr>
              <w:t>临潼区</w:t>
            </w:r>
          </w:p>
        </w:tc>
        <w:tc>
          <w:tcPr>
            <w:tcW w:w="2977" w:type="dxa"/>
            <w:tcBorders>
              <w:top w:val="single" w:color="auto" w:sz="4" w:space="0"/>
              <w:left w:val="nil"/>
              <w:bottom w:val="single" w:color="auto" w:sz="4" w:space="0"/>
              <w:right w:val="single" w:color="auto" w:sz="4" w:space="0"/>
            </w:tcBorders>
            <w:noWrap w:val="0"/>
            <w:vAlign w:val="center"/>
          </w:tcPr>
          <w:p w14:paraId="5682667F">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w:t>
            </w:r>
          </w:p>
        </w:tc>
      </w:tr>
      <w:tr w14:paraId="1E8DDDB3">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73076F1C">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4536" w:type="dxa"/>
            <w:tcBorders>
              <w:top w:val="nil"/>
              <w:left w:val="nil"/>
              <w:bottom w:val="single" w:color="auto" w:sz="4" w:space="0"/>
              <w:right w:val="single" w:color="auto" w:sz="4" w:space="0"/>
            </w:tcBorders>
            <w:noWrap w:val="0"/>
            <w:vAlign w:val="center"/>
          </w:tcPr>
          <w:p w14:paraId="1736BF0F">
            <w:pPr>
              <w:widowControl/>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长安区</w:t>
            </w:r>
          </w:p>
        </w:tc>
        <w:tc>
          <w:tcPr>
            <w:tcW w:w="2977" w:type="dxa"/>
            <w:tcBorders>
              <w:top w:val="single" w:color="auto" w:sz="4" w:space="0"/>
              <w:left w:val="nil"/>
              <w:bottom w:val="single" w:color="auto" w:sz="4" w:space="0"/>
              <w:right w:val="single" w:color="auto" w:sz="4" w:space="0"/>
            </w:tcBorders>
            <w:noWrap w:val="0"/>
            <w:vAlign w:val="center"/>
          </w:tcPr>
          <w:p w14:paraId="0690CF2A">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p>
        </w:tc>
      </w:tr>
      <w:tr w14:paraId="4860F413">
        <w:tblPrEx>
          <w:tblCellMar>
            <w:top w:w="0" w:type="dxa"/>
            <w:left w:w="108" w:type="dxa"/>
            <w:bottom w:w="0" w:type="dxa"/>
            <w:right w:w="108" w:type="dxa"/>
          </w:tblCellMar>
        </w:tblPrEx>
        <w:trPr>
          <w:trHeight w:val="416" w:hRule="atLeast"/>
        </w:trPr>
        <w:tc>
          <w:tcPr>
            <w:tcW w:w="5260" w:type="dxa"/>
            <w:gridSpan w:val="2"/>
            <w:tcBorders>
              <w:top w:val="single" w:color="auto" w:sz="4" w:space="0"/>
              <w:left w:val="single" w:color="auto" w:sz="4" w:space="0"/>
              <w:bottom w:val="single" w:color="auto" w:sz="4" w:space="0"/>
              <w:right w:val="single" w:color="auto" w:sz="4" w:space="0"/>
            </w:tcBorders>
            <w:noWrap w:val="0"/>
            <w:vAlign w:val="center"/>
          </w:tcPr>
          <w:p w14:paraId="7D5294B9">
            <w:pPr>
              <w:widowControl/>
              <w:jc w:val="center"/>
              <w:rPr>
                <w:rFonts w:ascii="宋体" w:hAnsi="宋体"/>
                <w:color w:val="auto"/>
                <w:kern w:val="0"/>
                <w:sz w:val="24"/>
                <w:highlight w:val="none"/>
              </w:rPr>
            </w:pPr>
            <w:r>
              <w:rPr>
                <w:rFonts w:hint="eastAsia" w:ascii="宋体" w:hAnsi="宋体"/>
                <w:color w:val="auto"/>
                <w:kern w:val="0"/>
                <w:sz w:val="24"/>
                <w:highlight w:val="none"/>
              </w:rPr>
              <w:t>合计</w:t>
            </w:r>
          </w:p>
        </w:tc>
        <w:tc>
          <w:tcPr>
            <w:tcW w:w="2977" w:type="dxa"/>
            <w:tcBorders>
              <w:top w:val="single" w:color="auto" w:sz="4" w:space="0"/>
              <w:left w:val="nil"/>
              <w:bottom w:val="single" w:color="auto" w:sz="4" w:space="0"/>
              <w:right w:val="single" w:color="auto" w:sz="4" w:space="0"/>
            </w:tcBorders>
            <w:noWrap w:val="0"/>
            <w:vAlign w:val="center"/>
          </w:tcPr>
          <w:p w14:paraId="6EF321F9">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w:t>
            </w:r>
          </w:p>
        </w:tc>
        <w:tc>
          <w:tcPr>
            <w:tcW w:w="236" w:type="dxa"/>
            <w:noWrap w:val="0"/>
            <w:vAlign w:val="center"/>
          </w:tcPr>
          <w:p w14:paraId="3F87066B">
            <w:pPr>
              <w:widowControl/>
              <w:rPr>
                <w:rFonts w:hint="eastAsia" w:ascii="宋体" w:hAnsi="宋体" w:cs="宋体"/>
                <w:bCs/>
                <w:color w:val="auto"/>
                <w:kern w:val="0"/>
                <w:sz w:val="24"/>
                <w:highlight w:val="none"/>
              </w:rPr>
            </w:pPr>
          </w:p>
        </w:tc>
      </w:tr>
    </w:tbl>
    <w:p w14:paraId="4069559F">
      <w:pPr>
        <w:spacing w:line="360" w:lineRule="auto"/>
        <w:ind w:firstLine="480" w:firstLineChars="200"/>
        <w:rPr>
          <w:rFonts w:hint="eastAsia" w:ascii="宋体" w:hAnsi="宋体" w:cs="宋体"/>
          <w:color w:val="auto"/>
          <w:kern w:val="0"/>
          <w:sz w:val="24"/>
          <w:highlight w:val="none"/>
        </w:rPr>
      </w:pPr>
    </w:p>
    <w:p w14:paraId="177042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57AF0"/>
    <w:rsid w:val="421D7F33"/>
    <w:rsid w:val="5635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811</Characters>
  <Lines>0</Lines>
  <Paragraphs>0</Paragraphs>
  <TotalTime>0</TotalTime>
  <ScaleCrop>false</ScaleCrop>
  <LinksUpToDate>false</LinksUpToDate>
  <CharactersWithSpaces>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2025-06-23T07:18:00Z</dcterms:created>
  <dc:creator>张琳卿</dc:creator>
  <cp:lastModifiedBy>张琳卿</cp:lastModifiedBy>
  <dcterms:modified xsi:type="dcterms:W3CDTF">2025-06-23T07:20:23Z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0E4E95703F53451BBDC3C6351CE799E5_11</vt:lpwstr>
  </property>
  <property fmtid="{D5CDD505-2E9C-101B-9397-08002B2CF9AE}" pid="4" name="KSOTemplateDocerSaveRecord">
    <vt:lpwstr>eyJoZGlkIjoiZDYwODYzYjViMWZkNTI5ZDNjY2M3NTcwOWQ3YmY0N2IiLCJ1c2VySWQiOiI3MTA1OTY0MjgifQ==</vt:lpwstr>
  </property>
</Properties>
</file>