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28EF4">
      <w:pPr>
        <w:rPr>
          <w:rFonts w:hAnsi="宋体" w:cs="宋体"/>
          <w:b/>
          <w:color w:val="auto"/>
          <w:sz w:val="36"/>
          <w:highlight w:val="none"/>
        </w:rPr>
      </w:pPr>
      <w:r>
        <w:rPr>
          <w:rFonts w:hint="eastAsia" w:hAnsi="宋体" w:cs="宋体"/>
          <w:b/>
          <w:bCs/>
          <w:color w:val="auto"/>
          <w:sz w:val="32"/>
          <w:szCs w:val="32"/>
          <w:highlight w:val="none"/>
        </w:rPr>
        <w:t>项目编号：SXZCZB2025-ZCCS-0534</w:t>
      </w: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5986DFBD">
      <w:pPr>
        <w:jc w:val="center"/>
        <w:rPr>
          <w:rFonts w:hAnsi="宋体" w:cs="宋体"/>
          <w:b/>
          <w:color w:val="auto"/>
          <w:sz w:val="36"/>
          <w:szCs w:val="36"/>
          <w:highlight w:val="none"/>
        </w:rPr>
      </w:pPr>
      <w:r>
        <w:rPr>
          <w:rFonts w:hint="eastAsia" w:hAnsi="宋体" w:cs="宋体"/>
          <w:b/>
          <w:color w:val="auto"/>
          <w:sz w:val="52"/>
          <w:szCs w:val="52"/>
          <w:highlight w:val="none"/>
          <w:lang w:eastAsia="zh-CN"/>
        </w:rPr>
        <w:t>西安美院信息系统网络安全等级保护测评服务采购项目</w:t>
      </w: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11"/>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4CD0249F">
      <w:pPr>
        <w:pStyle w:val="2"/>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六</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16218"/>
      <w:bookmarkStart w:id="2" w:name="_Toc5293"/>
      <w:bookmarkStart w:id="3" w:name="_Toc389582033"/>
      <w:bookmarkStart w:id="4" w:name="_Toc20858"/>
      <w:bookmarkStart w:id="5" w:name="_Toc20652"/>
      <w:bookmarkStart w:id="6" w:name="_Toc21518"/>
      <w:bookmarkStart w:id="7" w:name="_Toc19886"/>
      <w:bookmarkStart w:id="8" w:name="_Toc27420"/>
      <w:bookmarkStart w:id="9" w:name="_Toc363473971"/>
      <w:bookmarkStart w:id="10" w:name="_Toc403077638"/>
      <w:bookmarkStart w:id="11" w:name="_Toc363474016"/>
    </w:p>
    <w:p w14:paraId="72101B57">
      <w:pPr>
        <w:pStyle w:val="18"/>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30</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36</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8"/>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37</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8"/>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424BD639">
      <w:pPr>
        <w:pStyle w:val="3"/>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3"/>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2705"/>
      <w:bookmarkStart w:id="14" w:name="_Toc423973071"/>
      <w:bookmarkStart w:id="15" w:name="_Toc2578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35EF4C59">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rPr>
          <w:rFonts w:hint="eastAsia" w:hAnsi="宋体" w:cs="宋体"/>
          <w:b/>
          <w:bCs/>
          <w:color w:val="auto"/>
          <w:highlight w:val="none"/>
        </w:rPr>
      </w:pPr>
      <w:bookmarkStart w:id="16" w:name="_Toc389582035"/>
      <w:bookmarkStart w:id="17" w:name="_Toc2929"/>
      <w:bookmarkStart w:id="18" w:name="_Toc423973072"/>
      <w:bookmarkStart w:id="19" w:name="_Toc29249"/>
      <w:r>
        <w:rPr>
          <w:rFonts w:hint="eastAsia" w:hAnsi="宋体" w:cs="宋体"/>
          <w:b/>
          <w:bCs/>
          <w:color w:val="auto"/>
          <w:highlight w:val="none"/>
        </w:rPr>
        <w:t>项目概况</w:t>
      </w:r>
    </w:p>
    <w:p w14:paraId="5C2C887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西安美院信息系统网络安全等级保护测评服务采购项目采购项目的潜在供应商应在陕西省西安市经济技术开发区未央路171-1号银池道拉斯财富中心21楼03室获取采购文件，并于 2025年06月25日 09时30分 （北京时间）前提交响应文件。</w:t>
      </w:r>
    </w:p>
    <w:p w14:paraId="4F891E2E">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rPr>
          <w:rFonts w:hint="eastAsia" w:hAnsi="宋体" w:cs="宋体"/>
          <w:b/>
          <w:bCs/>
          <w:color w:val="auto"/>
          <w:highlight w:val="none"/>
        </w:rPr>
      </w:pPr>
      <w:r>
        <w:rPr>
          <w:rFonts w:hint="eastAsia" w:hAnsi="宋体" w:cs="宋体"/>
          <w:b/>
          <w:bCs/>
          <w:color w:val="auto"/>
          <w:highlight w:val="none"/>
        </w:rPr>
        <w:t>一、项目基本情况</w:t>
      </w:r>
    </w:p>
    <w:p w14:paraId="6CCEC0D7">
      <w:pPr>
        <w:pStyle w:val="2"/>
        <w:rPr>
          <w:rFonts w:hint="eastAsia"/>
        </w:rPr>
      </w:pPr>
      <w:r>
        <w:rPr>
          <w:rFonts w:hint="eastAsia"/>
        </w:rPr>
        <w:t>项目编号：SXZCZB2025-ZCCS-0534</w:t>
      </w:r>
    </w:p>
    <w:p w14:paraId="74A06BEA">
      <w:pPr>
        <w:pStyle w:val="2"/>
        <w:rPr>
          <w:rFonts w:hint="eastAsia"/>
        </w:rPr>
      </w:pPr>
      <w:r>
        <w:rPr>
          <w:rFonts w:hint="eastAsia"/>
        </w:rPr>
        <w:t>项目名称：西安美院信息系统网络安全等级保护测评服务采购项目</w:t>
      </w:r>
    </w:p>
    <w:p w14:paraId="512D075E">
      <w:pPr>
        <w:pStyle w:val="2"/>
        <w:rPr>
          <w:rFonts w:hint="eastAsia"/>
        </w:rPr>
      </w:pPr>
      <w:r>
        <w:rPr>
          <w:rFonts w:hint="eastAsia"/>
        </w:rPr>
        <w:t>采购方式：竞争性磋商</w:t>
      </w:r>
    </w:p>
    <w:p w14:paraId="2A09F220">
      <w:pPr>
        <w:pStyle w:val="2"/>
        <w:rPr>
          <w:rFonts w:hint="eastAsia"/>
        </w:rPr>
      </w:pPr>
      <w:r>
        <w:rPr>
          <w:rFonts w:hint="eastAsia"/>
        </w:rPr>
        <w:t>预算金额：250,000.00元</w:t>
      </w:r>
    </w:p>
    <w:p w14:paraId="74CDD024">
      <w:pPr>
        <w:pStyle w:val="2"/>
        <w:rPr>
          <w:rFonts w:hint="eastAsia"/>
        </w:rPr>
      </w:pPr>
      <w:r>
        <w:rPr>
          <w:rFonts w:hint="eastAsia"/>
        </w:rPr>
        <w:t>采购需求：</w:t>
      </w:r>
    </w:p>
    <w:p w14:paraId="22EEA807">
      <w:pPr>
        <w:pStyle w:val="2"/>
        <w:rPr>
          <w:rFonts w:hint="eastAsia"/>
        </w:rPr>
      </w:pPr>
      <w:r>
        <w:rPr>
          <w:rFonts w:hint="eastAsia"/>
        </w:rPr>
        <w:t>合同包1(西安美院信息系统网络安全等级保护测评服务采购项目):</w:t>
      </w:r>
    </w:p>
    <w:p w14:paraId="272280EB">
      <w:pPr>
        <w:pStyle w:val="2"/>
        <w:rPr>
          <w:rFonts w:hint="eastAsia"/>
        </w:rPr>
      </w:pPr>
      <w:r>
        <w:rPr>
          <w:rFonts w:hint="eastAsia"/>
        </w:rPr>
        <w:t>合同包预算金额：250,000.00元</w:t>
      </w:r>
    </w:p>
    <w:p w14:paraId="7527BB7A">
      <w:pPr>
        <w:pStyle w:val="2"/>
        <w:rPr>
          <w:rFonts w:hint="eastAsia"/>
        </w:rPr>
      </w:pPr>
      <w:r>
        <w:rPr>
          <w:rFonts w:hint="eastAsia"/>
        </w:rPr>
        <w:t>合同包最高限价：250,000.00元</w:t>
      </w:r>
    </w:p>
    <w:tbl>
      <w:tblPr>
        <w:tblStyle w:val="2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8"/>
        <w:gridCol w:w="1288"/>
        <w:gridCol w:w="1288"/>
        <w:gridCol w:w="1288"/>
        <w:gridCol w:w="1288"/>
        <w:gridCol w:w="1535"/>
        <w:gridCol w:w="1535"/>
      </w:tblGrid>
      <w:tr w14:paraId="284BD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vAlign w:val="center"/>
          </w:tcPr>
          <w:p w14:paraId="16743E67">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品目号</w:t>
            </w:r>
          </w:p>
        </w:tc>
        <w:tc>
          <w:tcPr>
            <w:tcW w:w="677" w:type="pct"/>
            <w:vAlign w:val="center"/>
          </w:tcPr>
          <w:p w14:paraId="4B45F0BC">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品目名称</w:t>
            </w:r>
          </w:p>
        </w:tc>
        <w:tc>
          <w:tcPr>
            <w:tcW w:w="677" w:type="pct"/>
            <w:vAlign w:val="center"/>
          </w:tcPr>
          <w:p w14:paraId="177BD002">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采购标的</w:t>
            </w:r>
          </w:p>
        </w:tc>
        <w:tc>
          <w:tcPr>
            <w:tcW w:w="677" w:type="pct"/>
            <w:vAlign w:val="center"/>
          </w:tcPr>
          <w:p w14:paraId="1523375F">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数量（单位）</w:t>
            </w:r>
          </w:p>
        </w:tc>
        <w:tc>
          <w:tcPr>
            <w:tcW w:w="677" w:type="pct"/>
            <w:vAlign w:val="center"/>
          </w:tcPr>
          <w:p w14:paraId="2FAFF400">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技术规格、参数及要求</w:t>
            </w:r>
          </w:p>
        </w:tc>
        <w:tc>
          <w:tcPr>
            <w:tcW w:w="807" w:type="pct"/>
            <w:vAlign w:val="center"/>
          </w:tcPr>
          <w:p w14:paraId="0E8300FC">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品目预算(元)</w:t>
            </w:r>
          </w:p>
        </w:tc>
        <w:tc>
          <w:tcPr>
            <w:tcW w:w="807" w:type="pct"/>
            <w:vAlign w:val="center"/>
          </w:tcPr>
          <w:p w14:paraId="62C6CFE2">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最高限价(元)</w:t>
            </w:r>
          </w:p>
        </w:tc>
      </w:tr>
      <w:tr w14:paraId="44265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7" w:type="pct"/>
            <w:vAlign w:val="center"/>
          </w:tcPr>
          <w:p w14:paraId="077A31E6">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int="eastAsia" w:hAnsi="宋体" w:cs="宋体"/>
                <w:color w:val="auto"/>
                <w:highlight w:val="none"/>
              </w:rPr>
            </w:pPr>
            <w:r>
              <w:rPr>
                <w:rFonts w:hint="eastAsia" w:hAnsi="宋体" w:cs="宋体"/>
                <w:color w:val="auto"/>
                <w:highlight w:val="none"/>
              </w:rPr>
              <w:t>1-1</w:t>
            </w:r>
          </w:p>
        </w:tc>
        <w:tc>
          <w:tcPr>
            <w:tcW w:w="677" w:type="pct"/>
            <w:vAlign w:val="center"/>
          </w:tcPr>
          <w:p w14:paraId="6CA99A0E">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安全运维服务</w:t>
            </w:r>
          </w:p>
        </w:tc>
        <w:tc>
          <w:tcPr>
            <w:tcW w:w="677" w:type="pct"/>
            <w:vAlign w:val="center"/>
          </w:tcPr>
          <w:p w14:paraId="0D8852DD">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安全运维服务</w:t>
            </w:r>
          </w:p>
        </w:tc>
        <w:tc>
          <w:tcPr>
            <w:tcW w:w="677" w:type="pct"/>
            <w:vAlign w:val="center"/>
          </w:tcPr>
          <w:p w14:paraId="50C2D690">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1(项)</w:t>
            </w:r>
          </w:p>
        </w:tc>
        <w:tc>
          <w:tcPr>
            <w:tcW w:w="677" w:type="pct"/>
            <w:vAlign w:val="center"/>
          </w:tcPr>
          <w:p w14:paraId="696669E4">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详见采购文件</w:t>
            </w:r>
          </w:p>
        </w:tc>
        <w:tc>
          <w:tcPr>
            <w:tcW w:w="807" w:type="pct"/>
            <w:vAlign w:val="center"/>
          </w:tcPr>
          <w:p w14:paraId="3383D349">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250,000.00</w:t>
            </w:r>
          </w:p>
        </w:tc>
        <w:tc>
          <w:tcPr>
            <w:tcW w:w="807" w:type="pct"/>
            <w:vAlign w:val="center"/>
          </w:tcPr>
          <w:p w14:paraId="211F6232">
            <w:pPr>
              <w:keepNext w:val="0"/>
              <w:keepLines w:val="0"/>
              <w:pageBreakBefore w:val="0"/>
              <w:kinsoku/>
              <w:overflowPunct/>
              <w:topLinePunct w:val="0"/>
              <w:autoSpaceDE/>
              <w:autoSpaceDN/>
              <w:bidi w:val="0"/>
              <w:adjustRightInd/>
              <w:snapToGrid w:val="0"/>
              <w:spacing w:line="360" w:lineRule="auto"/>
              <w:jc w:val="center"/>
              <w:textAlignment w:val="auto"/>
              <w:rPr>
                <w:rFonts w:hint="eastAsia" w:hAnsi="宋体" w:cs="宋体"/>
                <w:color w:val="auto"/>
                <w:highlight w:val="none"/>
              </w:rPr>
            </w:pPr>
            <w:r>
              <w:rPr>
                <w:rFonts w:hint="eastAsia" w:hAnsi="宋体" w:cs="宋体"/>
                <w:color w:val="auto"/>
                <w:highlight w:val="none"/>
              </w:rPr>
              <w:t>250,000.00</w:t>
            </w:r>
          </w:p>
        </w:tc>
      </w:tr>
    </w:tbl>
    <w:p w14:paraId="0A30D17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本合同包不接受联合体投标</w:t>
      </w:r>
    </w:p>
    <w:p w14:paraId="715F7B9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合同履行期限：详见采购文件</w:t>
      </w:r>
    </w:p>
    <w:p w14:paraId="36C54119">
      <w:pPr>
        <w:keepNext w:val="0"/>
        <w:keepLines w:val="0"/>
        <w:pageBreakBefore w:val="0"/>
        <w:kinsoku/>
        <w:overflowPunct/>
        <w:topLinePunct w:val="0"/>
        <w:autoSpaceDE/>
        <w:autoSpaceDN/>
        <w:bidi w:val="0"/>
        <w:adjustRightInd/>
        <w:snapToGrid w:val="0"/>
        <w:spacing w:line="360" w:lineRule="auto"/>
        <w:ind w:left="0" w:firstLine="482" w:firstLineChars="200"/>
        <w:jc w:val="left"/>
        <w:textAlignment w:val="auto"/>
        <w:rPr>
          <w:rFonts w:hint="eastAsia" w:hAnsi="宋体" w:cs="宋体"/>
          <w:b/>
          <w:bCs/>
          <w:color w:val="auto"/>
          <w:highlight w:val="none"/>
        </w:rPr>
      </w:pPr>
      <w:r>
        <w:rPr>
          <w:rFonts w:hint="eastAsia" w:hAnsi="宋体" w:cs="宋体"/>
          <w:b/>
          <w:bCs/>
          <w:color w:val="auto"/>
          <w:highlight w:val="none"/>
        </w:rPr>
        <w:t>二、申请人的资格要求：</w:t>
      </w:r>
    </w:p>
    <w:p w14:paraId="1DDF345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1.满足《中华人民共和国政府采购法》第二十二条规定;</w:t>
      </w:r>
    </w:p>
    <w:p w14:paraId="235E6FA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2.落实政府采购政策需满足的资格要求：</w:t>
      </w:r>
    </w:p>
    <w:p w14:paraId="1484573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合同包1(西安美院信息系统网络安全等级保护测评服务采购项目)落实政府采购政策需满足的资格要求如下:</w:t>
      </w:r>
    </w:p>
    <w:p w14:paraId="234892E4">
      <w:pPr>
        <w:keepNext w:val="0"/>
        <w:keepLines w:val="0"/>
        <w:pageBreakBefore w:val="0"/>
        <w:kinsoku/>
        <w:overflowPunct/>
        <w:topLinePunct w:val="0"/>
        <w:autoSpaceDE/>
        <w:autoSpaceDN/>
        <w:bidi w:val="0"/>
        <w:adjustRightInd/>
        <w:snapToGrid w:val="0"/>
        <w:spacing w:line="360" w:lineRule="auto"/>
        <w:ind w:left="480" w:leftChars="200" w:firstLine="0" w:firstLineChars="0"/>
        <w:jc w:val="left"/>
        <w:textAlignment w:val="auto"/>
        <w:rPr>
          <w:rFonts w:hint="eastAsia" w:hAnsi="宋体" w:cs="宋体"/>
          <w:color w:val="auto"/>
          <w:highlight w:val="none"/>
        </w:rPr>
      </w:pPr>
      <w:r>
        <w:rPr>
          <w:rFonts w:hint="eastAsia" w:hAnsi="宋体" w:cs="宋体"/>
          <w:color w:val="auto"/>
          <w:highlight w:val="none"/>
        </w:rPr>
        <w:t>（1）《政府采购促进中小企业发展管理办法》（财库〔2020〕46号）；</w:t>
      </w:r>
      <w:r>
        <w:rPr>
          <w:rFonts w:hint="eastAsia" w:hAnsi="宋体" w:cs="宋体"/>
          <w:color w:val="auto"/>
          <w:highlight w:val="none"/>
        </w:rPr>
        <w:br w:type="textWrapping"/>
      </w:r>
      <w:r>
        <w:rPr>
          <w:rFonts w:hint="eastAsia" w:hAnsi="宋体" w:cs="宋体"/>
          <w:color w:val="auto"/>
          <w:highlight w:val="none"/>
        </w:rPr>
        <w:t>（2）《财政部司法部关于政府采购支持监狱企业发展有关问题的通知》（财库〔2014〕68号）；</w:t>
      </w:r>
      <w:r>
        <w:rPr>
          <w:rFonts w:hint="eastAsia" w:hAnsi="宋体" w:cs="宋体"/>
          <w:color w:val="auto"/>
          <w:highlight w:val="none"/>
        </w:rPr>
        <w:br w:type="textWrapping"/>
      </w:r>
      <w:r>
        <w:rPr>
          <w:rFonts w:hint="eastAsia" w:hAnsi="宋体" w:cs="宋体"/>
          <w:color w:val="auto"/>
          <w:highlight w:val="none"/>
        </w:rPr>
        <w:t>（3）《关于促进残疾人就业政府采购政策的通知》（财库〔2017〕141号）；</w:t>
      </w:r>
      <w:r>
        <w:rPr>
          <w:rFonts w:hint="eastAsia" w:hAnsi="宋体" w:cs="宋体"/>
          <w:color w:val="auto"/>
          <w:highlight w:val="none"/>
        </w:rPr>
        <w:br w:type="textWrapping"/>
      </w:r>
      <w:r>
        <w:rPr>
          <w:rFonts w:hint="eastAsia" w:hAnsi="宋体" w:cs="宋体"/>
          <w:color w:val="auto"/>
          <w:highlight w:val="none"/>
        </w:rPr>
        <w:t>（4）《节能产品政府采购实施意见》（财库〔2004〕185号）；</w:t>
      </w:r>
      <w:r>
        <w:rPr>
          <w:rFonts w:hint="eastAsia" w:hAnsi="宋体" w:cs="宋体"/>
          <w:color w:val="auto"/>
          <w:highlight w:val="none"/>
        </w:rPr>
        <w:br w:type="textWrapping"/>
      </w:r>
      <w:r>
        <w:rPr>
          <w:rFonts w:hint="eastAsia" w:hAnsi="宋体" w:cs="宋体"/>
          <w:color w:val="auto"/>
          <w:highlight w:val="none"/>
        </w:rPr>
        <w:t>（5）《环境标志产品政府采购实施的意见》（财库〔2006〕90号）；</w:t>
      </w:r>
      <w:r>
        <w:rPr>
          <w:rFonts w:hint="eastAsia" w:hAnsi="宋体" w:cs="宋体"/>
          <w:color w:val="auto"/>
          <w:highlight w:val="none"/>
        </w:rPr>
        <w:br w:type="textWrapping"/>
      </w:r>
      <w:r>
        <w:rPr>
          <w:rFonts w:hint="eastAsia" w:hAnsi="宋体" w:cs="宋体"/>
          <w:color w:val="auto"/>
          <w:highlight w:val="none"/>
        </w:rPr>
        <w:t>（6）《国务院办公厅关于建立政府强制采购节能产品制度的通知》（国办发〔2007〕51号）；</w:t>
      </w:r>
      <w:r>
        <w:rPr>
          <w:rFonts w:hint="eastAsia" w:hAnsi="宋体" w:cs="宋体"/>
          <w:color w:val="auto"/>
          <w:highlight w:val="none"/>
        </w:rPr>
        <w:br w:type="textWrapping"/>
      </w:r>
      <w:r>
        <w:rPr>
          <w:rFonts w:hint="eastAsia" w:hAnsi="宋体" w:cs="宋体"/>
          <w:color w:val="auto"/>
          <w:highlight w:val="none"/>
        </w:rPr>
        <w:t>（7）财政部发展改革委生态环境部市场监管总局关于调整优化节能产品、环境标志产品政府采购执行机制的通知（财库〔2019〕9号）；</w:t>
      </w:r>
      <w:r>
        <w:rPr>
          <w:rFonts w:hint="eastAsia" w:hAnsi="宋体" w:cs="宋体"/>
          <w:color w:val="auto"/>
          <w:highlight w:val="none"/>
        </w:rPr>
        <w:br w:type="textWrapping"/>
      </w:r>
      <w:r>
        <w:rPr>
          <w:rFonts w:hint="eastAsia" w:hAnsi="宋体" w:cs="宋体"/>
          <w:color w:val="auto"/>
          <w:highlight w:val="none"/>
        </w:rPr>
        <w:t>（8）《关于印发环境标志产品政府采购品目清单的通知》--（财库〔2019〕18号）；</w:t>
      </w:r>
      <w:r>
        <w:rPr>
          <w:rFonts w:hint="eastAsia" w:hAnsi="宋体" w:cs="宋体"/>
          <w:color w:val="auto"/>
          <w:highlight w:val="none"/>
        </w:rPr>
        <w:br w:type="textWrapping"/>
      </w:r>
      <w:r>
        <w:rPr>
          <w:rFonts w:hint="eastAsia" w:hAnsi="宋体" w:cs="宋体"/>
          <w:color w:val="auto"/>
          <w:highlight w:val="none"/>
        </w:rPr>
        <w:t>（9）《关于印发节能产品政府采购品目清单的通知》--（财库〔2019〕19号）；</w:t>
      </w:r>
      <w:r>
        <w:rPr>
          <w:rFonts w:hint="eastAsia" w:hAnsi="宋体" w:cs="宋体"/>
          <w:color w:val="auto"/>
          <w:highlight w:val="none"/>
        </w:rPr>
        <w:br w:type="textWrapping"/>
      </w:r>
      <w:r>
        <w:rPr>
          <w:rFonts w:hint="eastAsia" w:hAnsi="宋体" w:cs="宋体"/>
          <w:color w:val="auto"/>
          <w:highlight w:val="none"/>
        </w:rPr>
        <w:t>（10）《关于发布参与实施政府采购节能产品、环境标志产品认证机构名录的公告》—2019年第16号；</w:t>
      </w:r>
      <w:r>
        <w:rPr>
          <w:rFonts w:hint="eastAsia" w:hAnsi="宋体" w:cs="宋体"/>
          <w:color w:val="auto"/>
          <w:highlight w:val="none"/>
        </w:rPr>
        <w:br w:type="textWrapping"/>
      </w:r>
      <w:r>
        <w:rPr>
          <w:rFonts w:hint="eastAsia" w:hAnsi="宋体" w:cs="宋体"/>
          <w:color w:val="auto"/>
          <w:highlight w:val="none"/>
        </w:rPr>
        <w:t>（11）《关于运用政府采购政策支持乡村产业振兴的通知》（财库〔2021〕19号）；</w:t>
      </w:r>
      <w:r>
        <w:rPr>
          <w:rFonts w:hint="eastAsia" w:hAnsi="宋体" w:cs="宋体"/>
          <w:color w:val="auto"/>
          <w:highlight w:val="none"/>
        </w:rPr>
        <w:br w:type="textWrapping"/>
      </w:r>
      <w:r>
        <w:rPr>
          <w:rFonts w:hint="eastAsia" w:hAnsi="宋体" w:cs="宋体"/>
          <w:color w:val="auto"/>
          <w:highlight w:val="none"/>
        </w:rPr>
        <w:t>（12）陕西省财政厅关于印发《陕西省中小企业政府采购信用融资办法》（陕财办采〔2018〕23号），相关政策、业务流程、办理平台（详见http://www.ccgp-shaanxi.gov.cn/zcdservice/zcd/shanxi/）；</w:t>
      </w:r>
      <w:r>
        <w:rPr>
          <w:rFonts w:hint="eastAsia" w:hAnsi="宋体" w:cs="宋体"/>
          <w:color w:val="auto"/>
          <w:highlight w:val="none"/>
        </w:rPr>
        <w:br w:type="textWrapping"/>
      </w:r>
      <w:r>
        <w:rPr>
          <w:rFonts w:hint="eastAsia" w:hAnsi="宋体" w:cs="宋体"/>
          <w:color w:val="auto"/>
          <w:highlight w:val="none"/>
        </w:rPr>
        <w:t>（13）《陕西省财政厅关于加快推进我省中小企业政府采购信用融资工作的通知》（陕财办采〔2020〕15号）；</w:t>
      </w:r>
      <w:r>
        <w:rPr>
          <w:rFonts w:hint="eastAsia" w:hAnsi="宋体" w:cs="宋体"/>
          <w:color w:val="auto"/>
          <w:highlight w:val="none"/>
        </w:rPr>
        <w:br w:type="textWrapping"/>
      </w:r>
      <w:r>
        <w:rPr>
          <w:rFonts w:hint="eastAsia" w:hAnsi="宋体" w:cs="宋体"/>
          <w:color w:val="auto"/>
          <w:highlight w:val="none"/>
        </w:rPr>
        <w:t>（14）《关于进一步加强政府绿色采购有关问题的通知》（陕财办采〔2021〕29号）；</w:t>
      </w:r>
      <w:r>
        <w:rPr>
          <w:rFonts w:hint="eastAsia" w:hAnsi="宋体" w:cs="宋体"/>
          <w:color w:val="auto"/>
          <w:highlight w:val="none"/>
        </w:rPr>
        <w:br w:type="textWrapping"/>
      </w:r>
      <w:r>
        <w:rPr>
          <w:rFonts w:hint="eastAsia" w:hAnsi="宋体" w:cs="宋体"/>
          <w:color w:val="auto"/>
          <w:highlight w:val="none"/>
        </w:rPr>
        <w:t>（15）《陕西省财政厅陕西省工业和信息化厅关于运用政府采购政策支持首台（套）及创新产品有关事项的通知》（陕财办采〔2021〕17号）；</w:t>
      </w:r>
      <w:r>
        <w:rPr>
          <w:rFonts w:hint="eastAsia" w:hAnsi="宋体" w:cs="宋体"/>
          <w:color w:val="auto"/>
          <w:highlight w:val="none"/>
        </w:rPr>
        <w:br w:type="textWrapping"/>
      </w:r>
      <w:r>
        <w:rPr>
          <w:rFonts w:hint="eastAsia" w:hAnsi="宋体" w:cs="宋体"/>
          <w:color w:val="auto"/>
          <w:highlight w:val="none"/>
        </w:rPr>
        <w:t>（16）《关于进一步加大政府采购支持中小企业力度的通知》（财库〔2022〕19号）、《关于落实政府采购支持中小企业政策有关事项的通知》（陕财办采函〔2022〕10号）；</w:t>
      </w:r>
      <w:r>
        <w:rPr>
          <w:rFonts w:hint="eastAsia" w:hAnsi="宋体" w:cs="宋体"/>
          <w:color w:val="auto"/>
          <w:highlight w:val="none"/>
        </w:rPr>
        <w:br w:type="textWrapping"/>
      </w:r>
      <w:r>
        <w:rPr>
          <w:rFonts w:hint="eastAsia" w:hAnsi="宋体" w:cs="宋体"/>
          <w:color w:val="auto"/>
          <w:highlight w:val="none"/>
        </w:rPr>
        <w:t>（17）其他需要落实的政府采购政策。</w:t>
      </w:r>
    </w:p>
    <w:p w14:paraId="549D895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3.本项目的特定资格要求：</w:t>
      </w:r>
    </w:p>
    <w:p w14:paraId="59BA4A4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合同包1(西安美院信息系统网络安全等级保护测评服务采购项目)特定资格要求如下:</w:t>
      </w:r>
    </w:p>
    <w:p w14:paraId="1F43B0C4">
      <w:pPr>
        <w:keepNext w:val="0"/>
        <w:keepLines w:val="0"/>
        <w:pageBreakBefore w:val="0"/>
        <w:kinsoku/>
        <w:overflowPunct/>
        <w:topLinePunct w:val="0"/>
        <w:autoSpaceDE/>
        <w:autoSpaceDN/>
        <w:bidi w:val="0"/>
        <w:adjustRightInd/>
        <w:snapToGrid w:val="0"/>
        <w:spacing w:line="360" w:lineRule="auto"/>
        <w:ind w:left="480" w:leftChars="200" w:firstLine="0" w:firstLineChars="0"/>
        <w:jc w:val="left"/>
        <w:textAlignment w:val="auto"/>
        <w:rPr>
          <w:rFonts w:hint="eastAsia" w:hAnsi="宋体" w:cs="宋体"/>
          <w:color w:val="auto"/>
          <w:highlight w:val="none"/>
        </w:rPr>
      </w:pPr>
      <w:r>
        <w:rPr>
          <w:rFonts w:hint="eastAsia" w:hAnsi="宋体" w:cs="宋体"/>
          <w:color w:val="auto"/>
          <w:highlight w:val="none"/>
        </w:rPr>
        <w:t>（1）提供合格有效的法人或者其他组织的营业执照等证明文件，自然人的身份证明；</w:t>
      </w:r>
      <w:r>
        <w:rPr>
          <w:rFonts w:hint="eastAsia" w:hAnsi="宋体" w:cs="宋体"/>
          <w:color w:val="auto"/>
          <w:highlight w:val="none"/>
        </w:rPr>
        <w:br w:type="textWrapping"/>
      </w:r>
      <w:r>
        <w:rPr>
          <w:rFonts w:hint="eastAsia" w:hAnsi="宋体" w:cs="宋体"/>
          <w:color w:val="auto"/>
          <w:highlight w:val="none"/>
        </w:rPr>
        <w:t>（2）提供法定代表人授权书（附法定代表人、被授权人身份证复印件），法定代表人直接参加的，须提供法定代表人身份证明及身份证复印件；</w:t>
      </w:r>
      <w:r>
        <w:rPr>
          <w:rFonts w:hint="eastAsia" w:hAnsi="宋体" w:cs="宋体"/>
          <w:color w:val="auto"/>
          <w:highlight w:val="none"/>
        </w:rPr>
        <w:br w:type="textWrapping"/>
      </w:r>
      <w:r>
        <w:rPr>
          <w:rFonts w:hint="eastAsia" w:hAnsi="宋体" w:cs="宋体"/>
          <w:color w:val="auto"/>
          <w:highlight w:val="none"/>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hAnsi="宋体" w:cs="宋体"/>
          <w:color w:val="auto"/>
          <w:highlight w:val="none"/>
        </w:rPr>
        <w:br w:type="textWrapping"/>
      </w:r>
      <w:r>
        <w:rPr>
          <w:rFonts w:hint="eastAsia" w:hAnsi="宋体" w:cs="宋体"/>
          <w:color w:val="auto"/>
          <w:highlight w:val="none"/>
        </w:rPr>
        <w:t>（4）税收缴纳证明：提供磋商截止日前近一年内任意一个月的纳税证明或完税证明（任意税种），依法免税的单位应提供相关证明材料；</w:t>
      </w:r>
      <w:r>
        <w:rPr>
          <w:rFonts w:hint="eastAsia" w:hAnsi="宋体" w:cs="宋体"/>
          <w:color w:val="auto"/>
          <w:highlight w:val="none"/>
        </w:rPr>
        <w:br w:type="textWrapping"/>
      </w:r>
      <w:r>
        <w:rPr>
          <w:rFonts w:hint="eastAsia" w:hAnsi="宋体" w:cs="宋体"/>
          <w:color w:val="auto"/>
          <w:highlight w:val="none"/>
        </w:rPr>
        <w:t>（5）社会保障资金缴纳证明：提供磋商截止日前近一年内任意一个月的社会保障资金缴存单据或社保机构开具的社会保险参保缴费情况证明，依法不需要缴纳社会保障资金的单位应提供相关证明材料；</w:t>
      </w:r>
      <w:r>
        <w:rPr>
          <w:rFonts w:hint="eastAsia" w:hAnsi="宋体" w:cs="宋体"/>
          <w:color w:val="auto"/>
          <w:highlight w:val="none"/>
        </w:rPr>
        <w:br w:type="textWrapping"/>
      </w:r>
      <w:r>
        <w:rPr>
          <w:rFonts w:hint="eastAsia" w:hAnsi="宋体" w:cs="宋体"/>
          <w:color w:val="auto"/>
          <w:highlight w:val="none"/>
        </w:rPr>
        <w:t>（6）供应商通过“信用中国”网站(www.creditchina.gov.cn)、中国政府采购网(www.ccgp.gov.cn)等查询相关主体信用记录，提供“信用中国”网站下载的《信用信息报告》；</w:t>
      </w:r>
      <w:r>
        <w:rPr>
          <w:rFonts w:hint="eastAsia" w:hAnsi="宋体" w:cs="宋体"/>
          <w:color w:val="auto"/>
          <w:highlight w:val="none"/>
        </w:rPr>
        <w:br w:type="textWrapping"/>
      </w:r>
      <w:r>
        <w:rPr>
          <w:rFonts w:hint="eastAsia" w:hAnsi="宋体" w:cs="宋体"/>
          <w:color w:val="auto"/>
          <w:highlight w:val="none"/>
        </w:rPr>
        <w:t>（7）供应商具备公安部第三研究所颁发的《网络安全服务认证证书等级保护测评服务认证》(复印件加盖公章)；</w:t>
      </w:r>
      <w:r>
        <w:rPr>
          <w:rFonts w:hint="eastAsia" w:hAnsi="宋体" w:cs="宋体"/>
          <w:color w:val="auto"/>
          <w:highlight w:val="none"/>
        </w:rPr>
        <w:br w:type="textWrapping"/>
      </w:r>
      <w:r>
        <w:rPr>
          <w:rFonts w:hint="eastAsia" w:hAnsi="宋体" w:cs="宋体"/>
          <w:color w:val="auto"/>
          <w:highlight w:val="none"/>
        </w:rPr>
        <w:t>（8）参加政府采购活动前3年内，在经营活动中没有重大违法记录的书面声明；</w:t>
      </w:r>
      <w:r>
        <w:rPr>
          <w:rFonts w:hint="eastAsia" w:hAnsi="宋体" w:cs="宋体"/>
          <w:color w:val="auto"/>
          <w:highlight w:val="none"/>
        </w:rPr>
        <w:br w:type="textWrapping"/>
      </w:r>
      <w:r>
        <w:rPr>
          <w:rFonts w:hint="eastAsia" w:hAnsi="宋体" w:cs="宋体"/>
          <w:color w:val="auto"/>
          <w:highlight w:val="none"/>
        </w:rPr>
        <w:t>（9）提供具有履行合同所必需的设备和专业技术能力的书面承诺；</w:t>
      </w:r>
      <w:r>
        <w:rPr>
          <w:rFonts w:hint="eastAsia" w:hAnsi="宋体" w:cs="宋体"/>
          <w:color w:val="auto"/>
          <w:highlight w:val="none"/>
        </w:rPr>
        <w:br w:type="textWrapping"/>
      </w:r>
      <w:r>
        <w:rPr>
          <w:rFonts w:hint="eastAsia" w:hAnsi="宋体" w:cs="宋体"/>
          <w:color w:val="auto"/>
          <w:highlight w:val="none"/>
        </w:rPr>
        <w:t>（10）供应商须提供中小企业声明函；</w:t>
      </w:r>
      <w:r>
        <w:rPr>
          <w:rFonts w:hint="eastAsia" w:hAnsi="宋体" w:cs="宋体"/>
          <w:color w:val="auto"/>
          <w:highlight w:val="none"/>
        </w:rPr>
        <w:br w:type="textWrapping"/>
      </w:r>
      <w:r>
        <w:rPr>
          <w:rFonts w:hint="eastAsia" w:hAnsi="宋体" w:cs="宋体"/>
          <w:color w:val="auto"/>
          <w:highlight w:val="none"/>
        </w:rPr>
        <w:t>（11）本项目不接受联合体磋商（提供承诺书）。</w:t>
      </w:r>
    </w:p>
    <w:p w14:paraId="6B5B81F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三、获取采购文件</w:t>
      </w:r>
    </w:p>
    <w:p w14:paraId="49E4F6D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时间：2025年06月12日至2025年06月18日，每天上午09:00:00 至12:00:00 ，下午14:00:00至17:00:00 （北京时间）</w:t>
      </w:r>
    </w:p>
    <w:p w14:paraId="67DD431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途径：陕西省西安市经济技术开发区未央路171-1号银池道拉斯财富中心21楼03室</w:t>
      </w:r>
    </w:p>
    <w:p w14:paraId="0DC5589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方式：现场获取</w:t>
      </w:r>
    </w:p>
    <w:p w14:paraId="02133BE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售价： 0元</w:t>
      </w:r>
    </w:p>
    <w:p w14:paraId="04B2C6F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四、响应文件提交</w:t>
      </w:r>
    </w:p>
    <w:p w14:paraId="70F853B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yellow"/>
        </w:rPr>
      </w:pPr>
      <w:r>
        <w:rPr>
          <w:rFonts w:hint="eastAsia" w:hAnsi="宋体" w:cs="宋体"/>
          <w:color w:val="auto"/>
          <w:highlight w:val="none"/>
        </w:rPr>
        <w:t>截止时间： 2025年06月25日09时30分00秒 （北京时间）</w:t>
      </w:r>
    </w:p>
    <w:p w14:paraId="7165172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地点：陕西省西安市经济技术开发区未央路171-1号银池道拉斯财富中心21楼03室</w:t>
      </w:r>
    </w:p>
    <w:p w14:paraId="69F9B33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五、开启</w:t>
      </w:r>
    </w:p>
    <w:p w14:paraId="3B01381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yellow"/>
        </w:rPr>
      </w:pPr>
      <w:r>
        <w:rPr>
          <w:rFonts w:hint="eastAsia" w:hAnsi="宋体" w:cs="宋体"/>
          <w:color w:val="auto"/>
          <w:highlight w:val="none"/>
        </w:rPr>
        <w:t>时间： 2025年06月25日 09时30分00秒 （北京时间）</w:t>
      </w:r>
    </w:p>
    <w:p w14:paraId="7560529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地点：陕西省西安市经济技术开发区未央路171-1号银池道拉斯财富中心21楼03室</w:t>
      </w:r>
    </w:p>
    <w:p w14:paraId="6541304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六、公告期限</w:t>
      </w:r>
    </w:p>
    <w:p w14:paraId="29396F8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自本公告发布之日起3个工作日。</w:t>
      </w:r>
    </w:p>
    <w:p w14:paraId="1533AB0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七、其他补充事宜</w:t>
      </w:r>
    </w:p>
    <w:p w14:paraId="1B800CA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（1）供应商领取采购文件时，请携带单位介绍信及经办人身份证原件及复印件加盖公章；</w:t>
      </w:r>
    </w:p>
    <w:p w14:paraId="6BAD805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（2）请供应商按照《陕西省财政厅关于政府采购供应商注册登记有关事项的通知》中的要求，通过陕西省政府采购网（http://www.ccgp-shaanxi.gov.cn/）注册登记加入陕西省政府采购供应商库；</w:t>
      </w:r>
    </w:p>
    <w:p w14:paraId="77046D7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（3）本项目专门面向中小企业采购。</w:t>
      </w:r>
    </w:p>
    <w:p w14:paraId="45FA92B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八、对本次招标提出询问，请按以下方式联系。</w:t>
      </w:r>
    </w:p>
    <w:p w14:paraId="45DFB10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1.采购人信息</w:t>
      </w:r>
    </w:p>
    <w:p w14:paraId="0F81ED2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名称：西安美术学院</w:t>
      </w:r>
    </w:p>
    <w:p w14:paraId="2B05942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地址：西安市雁塔区含光路100号</w:t>
      </w:r>
    </w:p>
    <w:p w14:paraId="41B1C2C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联系方式：18229019158</w:t>
      </w:r>
    </w:p>
    <w:p w14:paraId="1747E59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2.采购代理机构信息</w:t>
      </w:r>
    </w:p>
    <w:p w14:paraId="759D886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名称：陕西至诚项目管理集团有限公司</w:t>
      </w:r>
    </w:p>
    <w:p w14:paraId="68612A0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地址：陕西省西安市经济技术开发区未央路171-1号银池道拉斯财富中心21楼03室</w:t>
      </w:r>
    </w:p>
    <w:p w14:paraId="242B1AF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联系方式：029-88219779</w:t>
      </w:r>
    </w:p>
    <w:p w14:paraId="6DF47A6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3.项目联系方式</w:t>
      </w:r>
    </w:p>
    <w:p w14:paraId="7676A9E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项目联系人：康乐、孙洋、常瑛</w:t>
      </w:r>
    </w:p>
    <w:p w14:paraId="3D3F7A4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rPr>
          <w:rFonts w:hint="eastAsia" w:hAnsi="宋体" w:cs="宋体"/>
          <w:color w:val="auto"/>
          <w:highlight w:val="none"/>
        </w:rPr>
      </w:pPr>
      <w:r>
        <w:rPr>
          <w:rFonts w:hint="eastAsia" w:hAnsi="宋体" w:cs="宋体"/>
          <w:color w:val="auto"/>
          <w:highlight w:val="none"/>
        </w:rPr>
        <w:t>电话：029-88219779</w:t>
      </w:r>
    </w:p>
    <w:p w14:paraId="49BE48A1">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hAnsi="宋体" w:cs="宋体"/>
          <w:color w:val="auto"/>
          <w:highlight w:val="none"/>
        </w:rPr>
      </w:pPr>
      <w:r>
        <w:rPr>
          <w:rFonts w:hint="eastAsia" w:hAnsi="宋体" w:cs="宋体"/>
          <w:color w:val="auto"/>
          <w:highlight w:val="none"/>
        </w:rPr>
        <w:t>陕西至诚项目管理集团有限公司</w:t>
      </w:r>
    </w:p>
    <w:p w14:paraId="394B7FCF">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hAnsi="宋体" w:cs="宋体"/>
          <w:color w:val="auto"/>
          <w:highlight w:val="none"/>
        </w:rPr>
      </w:pPr>
      <w:r>
        <w:rPr>
          <w:rFonts w:hint="eastAsia" w:hAnsi="宋体" w:cs="宋体"/>
          <w:color w:val="auto"/>
          <w:highlight w:val="none"/>
          <w:lang w:val="en-US" w:eastAsia="zh-CN"/>
        </w:rPr>
        <w:t>2025年06月11日</w:t>
      </w:r>
      <w:r>
        <w:rPr>
          <w:rFonts w:hint="eastAsia" w:hAnsi="宋体" w:cs="宋体"/>
          <w:color w:val="auto"/>
          <w:highlight w:val="none"/>
        </w:rPr>
        <w:br w:type="textWrapping"/>
      </w:r>
    </w:p>
    <w:p w14:paraId="75EA5A5B">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int="eastAsia" w:hAnsi="宋体" w:cs="宋体"/>
          <w:color w:val="auto"/>
          <w:highlight w:val="none"/>
          <w:lang w:val="en-US" w:eastAsia="zh-Hans"/>
        </w:rPr>
      </w:pP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3334"/>
      <w:bookmarkStart w:id="21" w:name="_Toc5958"/>
      <w:bookmarkStart w:id="22" w:name="_Toc14793"/>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23180"/>
      <w:bookmarkStart w:id="25" w:name="_Toc18299"/>
      <w:bookmarkStart w:id="26" w:name="_Toc16830"/>
      <w:bookmarkStart w:id="27" w:name="_Toc4724"/>
      <w:bookmarkStart w:id="28" w:name="_Toc8846"/>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3996CF4F">
            <w:pPr>
              <w:keepNext w:val="0"/>
              <w:keepLines w:val="0"/>
              <w:pageBreakBefore w:val="0"/>
              <w:kinsoku/>
              <w:overflowPunct/>
              <w:topLinePunct w:val="0"/>
              <w:autoSpaceDE/>
              <w:autoSpaceDN/>
              <w:bidi w:val="0"/>
              <w:adjustRightInd/>
              <w:snapToGrid w:val="0"/>
              <w:spacing w:line="360" w:lineRule="auto"/>
              <w:jc w:val="left"/>
              <w:textAlignment w:val="auto"/>
              <w:rPr>
                <w:rFonts w:hint="eastAsia" w:hAnsi="宋体" w:cs="宋体"/>
                <w:color w:val="auto"/>
                <w:highlight w:val="none"/>
              </w:rPr>
            </w:pPr>
            <w:r>
              <w:rPr>
                <w:rFonts w:hint="eastAsia" w:hAnsi="宋体" w:cs="宋体"/>
                <w:color w:val="auto"/>
                <w:highlight w:val="none"/>
              </w:rPr>
              <w:t>（1）提供合格有效的法人或者其他组织的营业执照等证明文件，自然人的身份证明；</w:t>
            </w:r>
            <w:r>
              <w:rPr>
                <w:rFonts w:hint="eastAsia" w:hAnsi="宋体" w:cs="宋体"/>
                <w:color w:val="auto"/>
                <w:highlight w:val="none"/>
              </w:rPr>
              <w:br w:type="textWrapping"/>
            </w:r>
            <w:r>
              <w:rPr>
                <w:rFonts w:hint="eastAsia" w:hAnsi="宋体" w:cs="宋体"/>
                <w:color w:val="auto"/>
                <w:highlight w:val="none"/>
              </w:rPr>
              <w:t>（2）提供法定代表人授权书（附法定代表人、被授权人身份证复印件），法定代表人直接参加的，须提供法定代表人身份证明及身份证复印件；</w:t>
            </w:r>
            <w:r>
              <w:rPr>
                <w:rFonts w:hint="eastAsia" w:hAnsi="宋体" w:cs="宋体"/>
                <w:color w:val="auto"/>
                <w:highlight w:val="none"/>
              </w:rPr>
              <w:br w:type="textWrapping"/>
            </w:r>
            <w:r>
              <w:rPr>
                <w:rFonts w:hint="eastAsia" w:hAnsi="宋体" w:cs="宋体"/>
                <w:color w:val="auto"/>
                <w:highlight w:val="none"/>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hAnsi="宋体" w:cs="宋体"/>
                <w:color w:val="auto"/>
                <w:highlight w:val="none"/>
              </w:rPr>
              <w:br w:type="textWrapping"/>
            </w:r>
            <w:r>
              <w:rPr>
                <w:rFonts w:hint="eastAsia" w:hAnsi="宋体" w:cs="宋体"/>
                <w:color w:val="auto"/>
                <w:highlight w:val="none"/>
              </w:rPr>
              <w:t>（4）税收缴纳证明：提供磋商截止日前近一年内任意一个月的纳税证明或完税证明（任意税种），依法免税的单位应提供相关证明材料；</w:t>
            </w:r>
            <w:r>
              <w:rPr>
                <w:rFonts w:hint="eastAsia" w:hAnsi="宋体" w:cs="宋体"/>
                <w:color w:val="auto"/>
                <w:highlight w:val="none"/>
              </w:rPr>
              <w:br w:type="textWrapping"/>
            </w:r>
            <w:r>
              <w:rPr>
                <w:rFonts w:hint="eastAsia" w:hAnsi="宋体" w:cs="宋体"/>
                <w:color w:val="auto"/>
                <w:highlight w:val="none"/>
              </w:rPr>
              <w:t>（5）社会保障资金缴纳证明：提供磋商截止日前近一年内任意一个月的社会保障资金缴存单据或社保机构开具的社会保险参保缴费情况证明，依法不需要缴纳社会保障资金的单位应提供相关证明材料；</w:t>
            </w:r>
            <w:r>
              <w:rPr>
                <w:rFonts w:hint="eastAsia" w:hAnsi="宋体" w:cs="宋体"/>
                <w:color w:val="auto"/>
                <w:highlight w:val="none"/>
              </w:rPr>
              <w:br w:type="textWrapping"/>
            </w:r>
            <w:r>
              <w:rPr>
                <w:rFonts w:hint="eastAsia" w:hAnsi="宋体" w:cs="宋体"/>
                <w:color w:val="auto"/>
                <w:highlight w:val="none"/>
              </w:rPr>
              <w:t>（6）供应商通过“信用中国”网站(www.creditchina.gov.cn)、中国政府采购网(www.ccgp.gov.cn)等查询相关主体信用记录，提供“信用中国”网站下载的《信用信息报告》；</w:t>
            </w:r>
            <w:r>
              <w:rPr>
                <w:rFonts w:hint="eastAsia" w:hAnsi="宋体" w:cs="宋体"/>
                <w:color w:val="auto"/>
                <w:highlight w:val="none"/>
              </w:rPr>
              <w:br w:type="textWrapping"/>
            </w:r>
            <w:r>
              <w:rPr>
                <w:rFonts w:hint="eastAsia" w:hAnsi="宋体" w:cs="宋体"/>
                <w:color w:val="auto"/>
                <w:highlight w:val="none"/>
              </w:rPr>
              <w:t>（7）供应商具备公安部第三研究所颁发的《网络安全等级测评与检测评估机构服务认证证书》(复印件加盖公章)；</w:t>
            </w:r>
            <w:r>
              <w:rPr>
                <w:rFonts w:hint="eastAsia" w:hAnsi="宋体" w:cs="宋体"/>
                <w:color w:val="auto"/>
                <w:highlight w:val="none"/>
              </w:rPr>
              <w:br w:type="textWrapping"/>
            </w:r>
            <w:r>
              <w:rPr>
                <w:rFonts w:hint="eastAsia" w:hAnsi="宋体" w:cs="宋体"/>
                <w:color w:val="auto"/>
                <w:highlight w:val="none"/>
              </w:rPr>
              <w:t>（8）参加政府采购活动前3年内，在经营活动中没有重大违法记录的书面声明；</w:t>
            </w:r>
            <w:r>
              <w:rPr>
                <w:rFonts w:hint="eastAsia" w:hAnsi="宋体" w:cs="宋体"/>
                <w:color w:val="auto"/>
                <w:highlight w:val="none"/>
              </w:rPr>
              <w:br w:type="textWrapping"/>
            </w:r>
            <w:r>
              <w:rPr>
                <w:rFonts w:hint="eastAsia" w:hAnsi="宋体" w:cs="宋体"/>
                <w:color w:val="auto"/>
                <w:highlight w:val="none"/>
              </w:rPr>
              <w:t>（9）提供具有履行合同所必需的设备和专业技术能力的书面承诺；</w:t>
            </w:r>
            <w:r>
              <w:rPr>
                <w:rFonts w:hint="eastAsia" w:hAnsi="宋体" w:cs="宋体"/>
                <w:color w:val="auto"/>
                <w:highlight w:val="none"/>
              </w:rPr>
              <w:br w:type="textWrapping"/>
            </w:r>
            <w:r>
              <w:rPr>
                <w:rFonts w:hint="eastAsia" w:hAnsi="宋体" w:cs="宋体"/>
                <w:color w:val="auto"/>
                <w:highlight w:val="none"/>
              </w:rPr>
              <w:t>（10）供应商须提供中小企业声明函；</w:t>
            </w:r>
            <w:r>
              <w:rPr>
                <w:rFonts w:hint="eastAsia" w:hAnsi="宋体" w:cs="宋体"/>
                <w:color w:val="auto"/>
                <w:highlight w:val="none"/>
              </w:rPr>
              <w:br w:type="textWrapping"/>
            </w:r>
            <w:r>
              <w:rPr>
                <w:rFonts w:hint="eastAsia" w:hAnsi="宋体" w:cs="宋体"/>
                <w:color w:val="auto"/>
                <w:highlight w:val="none"/>
              </w:rPr>
              <w:t>（11）本项目不接受联合体磋商（提供承诺书）。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1-11项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w:t>
            </w:r>
            <w:r>
              <w:rPr>
                <w:rFonts w:hint="eastAsia" w:hAnsi="宋体" w:cs="宋体"/>
                <w:color w:val="auto"/>
                <w:szCs w:val="24"/>
                <w:highlight w:val="none"/>
                <w:lang w:val="en-US" w:eastAsia="zh-CN"/>
              </w:rPr>
              <w:t>5</w:t>
            </w:r>
            <w:r>
              <w:rPr>
                <w:rFonts w:hint="eastAsia" w:hAnsi="宋体" w:cs="宋体"/>
                <w:color w:val="auto"/>
                <w:szCs w:val="24"/>
                <w:highlight w:val="none"/>
              </w:rPr>
              <w:t>000元按</w:t>
            </w:r>
            <w:r>
              <w:rPr>
                <w:rFonts w:hint="eastAsia" w:hAnsi="宋体" w:cs="宋体"/>
                <w:color w:val="auto"/>
                <w:szCs w:val="24"/>
                <w:highlight w:val="none"/>
                <w:lang w:val="en-US" w:eastAsia="zh-CN"/>
              </w:rPr>
              <w:t>5</w:t>
            </w:r>
            <w:r>
              <w:rPr>
                <w:rFonts w:hint="eastAsia" w:hAnsi="宋体" w:cs="宋体"/>
                <w:color w:val="auto"/>
                <w:szCs w:val="24"/>
                <w:highlight w:val="none"/>
              </w:rPr>
              <w:t>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ascii="宋体" w:hAnsi="宋体"/>
                <w:b/>
                <w:bCs/>
                <w:color w:val="auto"/>
                <w:sz w:val="24"/>
                <w:highlight w:val="none"/>
              </w:rPr>
              <w:t>软件和信息技术服务业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r>
              <w:rPr>
                <w:rFonts w:hint="eastAsia" w:hAnsi="宋体" w:cs="宋体"/>
                <w:color w:val="auto"/>
                <w:szCs w:val="32"/>
                <w:highlight w:val="none"/>
                <w:lang w:val="en-US" w:eastAsia="zh-CN"/>
              </w:rPr>
              <w:t>本项目为专门面向中小企业采购，不再进行价格得分的扣减。</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3972"/>
      <w:bookmarkStart w:id="30" w:name="_Toc363474017"/>
      <w:bookmarkStart w:id="31" w:name="_Toc403077639"/>
      <w:r>
        <w:rPr>
          <w:rFonts w:hint="eastAsia" w:hAnsi="宋体" w:cs="宋体"/>
          <w:b/>
          <w:color w:val="auto"/>
          <w:sz w:val="32"/>
          <w:szCs w:val="32"/>
          <w:highlight w:val="none"/>
        </w:rPr>
        <w:br w:type="page"/>
      </w:r>
      <w:bookmarkStart w:id="32" w:name="_Toc30660"/>
      <w:bookmarkStart w:id="33" w:name="_Toc4670"/>
      <w:bookmarkStart w:id="34" w:name="_Toc22284"/>
      <w:bookmarkStart w:id="35" w:name="_Toc27537"/>
      <w:bookmarkStart w:id="36" w:name="_Toc3623"/>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403077640"/>
      <w:bookmarkStart w:id="38" w:name="_Toc363474018"/>
      <w:bookmarkStart w:id="39" w:name="_Toc363473973"/>
      <w:r>
        <w:rPr>
          <w:rFonts w:hint="eastAsia" w:hAnsi="宋体" w:cs="宋体"/>
          <w:b/>
          <w:color w:val="auto"/>
          <w:szCs w:val="24"/>
          <w:highlight w:val="none"/>
        </w:rPr>
        <w:t>名词解释</w:t>
      </w:r>
    </w:p>
    <w:p w14:paraId="6F53C215">
      <w:pPr>
        <w:tabs>
          <w:tab w:val="left" w:pos="7665"/>
        </w:tabs>
        <w:spacing w:line="360" w:lineRule="auto"/>
        <w:ind w:firstLine="480" w:firstLineChars="200"/>
        <w:rPr>
          <w:rFonts w:hint="eastAsia" w:hAnsi="宋体" w:cs="宋体"/>
          <w:color w:val="auto"/>
          <w:szCs w:val="22"/>
          <w:highlight w:val="none"/>
          <w:lang w:val="en-US" w:eastAsia="zh-CN"/>
        </w:rPr>
      </w:pPr>
      <w:r>
        <w:rPr>
          <w:rFonts w:hint="eastAsia" w:hAnsi="宋体" w:cs="宋体"/>
          <w:color w:val="auto"/>
          <w:szCs w:val="22"/>
          <w:highlight w:val="none"/>
        </w:rPr>
        <w:t>2.1采购人：</w:t>
      </w:r>
      <w:r>
        <w:rPr>
          <w:rFonts w:hint="eastAsia" w:hAnsi="宋体" w:cs="宋体"/>
          <w:color w:val="auto"/>
          <w:szCs w:val="22"/>
          <w:highlight w:val="none"/>
          <w:lang w:val="en-US" w:eastAsia="zh-CN"/>
        </w:rPr>
        <w:t>西安美术学院</w:t>
      </w:r>
    </w:p>
    <w:p w14:paraId="12D9C893">
      <w:pPr>
        <w:tabs>
          <w:tab w:val="left" w:pos="7665"/>
        </w:tabs>
        <w:spacing w:line="360" w:lineRule="auto"/>
        <w:ind w:firstLine="480" w:firstLineChars="200"/>
        <w:rPr>
          <w:rFonts w:hint="eastAsia" w:hAnsi="宋体" w:cs="宋体"/>
          <w:color w:val="auto"/>
          <w:szCs w:val="22"/>
          <w:highlight w:val="none"/>
        </w:rPr>
      </w:pPr>
      <w:r>
        <w:rPr>
          <w:rFonts w:hint="eastAsia" w:hAnsi="宋体" w:cs="宋体"/>
          <w:color w:val="auto"/>
          <w:szCs w:val="22"/>
          <w:highlight w:val="none"/>
        </w:rPr>
        <w:t>2.2监督机构：西安美术学院纪检监察机构</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Cs w:val="24"/>
          <w:highlight w:val="none"/>
          <w:lang w:val="en-US" w:eastAsia="zh-CN"/>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27903"/>
      <w:bookmarkStart w:id="41" w:name="_Toc31742"/>
      <w:bookmarkStart w:id="42" w:name="_Toc12362"/>
      <w:bookmarkStart w:id="43" w:name="_Toc30698"/>
      <w:bookmarkStart w:id="44" w:name="_Toc15249"/>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13771"/>
      <w:bookmarkStart w:id="46" w:name="_Toc9512"/>
      <w:bookmarkStart w:id="47" w:name="_Toc363474019"/>
      <w:bookmarkStart w:id="48" w:name="_Toc28227"/>
      <w:bookmarkStart w:id="49" w:name="_Toc403077641"/>
      <w:bookmarkStart w:id="50" w:name="_Toc26653"/>
      <w:bookmarkStart w:id="51" w:name="_Toc4913"/>
      <w:bookmarkStart w:id="52" w:name="_Toc363473974"/>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3194"/>
      <w:bookmarkStart w:id="55" w:name="_Toc28120"/>
      <w:bookmarkStart w:id="56" w:name="_Toc18686"/>
      <w:bookmarkStart w:id="57" w:name="_Toc20799"/>
      <w:bookmarkStart w:id="58" w:name="_Toc12266"/>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13669"/>
      <w:bookmarkStart w:id="60" w:name="_Toc403077643"/>
      <w:bookmarkStart w:id="61" w:name="_Toc25852"/>
      <w:bookmarkStart w:id="62" w:name="_Toc22043"/>
      <w:bookmarkStart w:id="63" w:name="_Toc30850"/>
      <w:bookmarkStart w:id="64" w:name="_Toc363474021"/>
      <w:bookmarkStart w:id="65" w:name="_Toc15436"/>
      <w:bookmarkStart w:id="66" w:name="_Toc363473976"/>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22"/>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22"/>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9694"/>
      <w:bookmarkStart w:id="68" w:name="_Toc29146"/>
      <w:bookmarkStart w:id="69" w:name="_Toc24420"/>
      <w:bookmarkStart w:id="70" w:name="_Toc7759"/>
      <w:bookmarkStart w:id="71" w:name="_Toc1510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5376922A">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w:t>
      </w:r>
      <w:r>
        <w:rPr>
          <w:rFonts w:hint="eastAsia" w:hAnsi="宋体" w:cs="宋体"/>
          <w:color w:val="auto"/>
          <w:szCs w:val="24"/>
          <w:highlight w:val="none"/>
          <w:lang w:val="en-US" w:eastAsia="zh-CN"/>
        </w:rPr>
        <w:t>5</w:t>
      </w:r>
      <w:r>
        <w:rPr>
          <w:rFonts w:hint="eastAsia" w:hAnsi="宋体" w:cs="宋体"/>
          <w:color w:val="auto"/>
          <w:szCs w:val="24"/>
          <w:highlight w:val="none"/>
        </w:rPr>
        <w:t>000元按</w:t>
      </w:r>
      <w:r>
        <w:rPr>
          <w:rFonts w:hint="eastAsia" w:hAnsi="宋体" w:cs="宋体"/>
          <w:color w:val="auto"/>
          <w:szCs w:val="24"/>
          <w:highlight w:val="none"/>
          <w:lang w:val="en-US" w:eastAsia="zh-CN"/>
        </w:rPr>
        <w:t>5</w:t>
      </w:r>
      <w:r>
        <w:rPr>
          <w:rFonts w:hint="eastAsia" w:hAnsi="宋体" w:cs="宋体"/>
          <w:color w:val="auto"/>
          <w:szCs w:val="24"/>
          <w:highlight w:val="none"/>
        </w:rPr>
        <w:t>000元收取。</w:t>
      </w:r>
    </w:p>
    <w:p w14:paraId="4FBF2CB8">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8"/>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8"/>
          <w:rFonts w:hAnsi="宋体" w:cs="宋体"/>
          <w:b w:val="0"/>
          <w:color w:val="auto"/>
          <w:szCs w:val="24"/>
          <w:highlight w:val="none"/>
          <w:shd w:val="clear" w:color="auto" w:fill="FFFFFF"/>
        </w:rPr>
      </w:pPr>
      <w:r>
        <w:rPr>
          <w:rStyle w:val="28"/>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8"/>
          <w:rFonts w:hAnsi="宋体" w:cs="宋体"/>
          <w:b w:val="0"/>
          <w:color w:val="auto"/>
          <w:szCs w:val="24"/>
          <w:highlight w:val="none"/>
          <w:shd w:val="clear" w:color="auto" w:fill="FFFFFF"/>
        </w:rPr>
      </w:pPr>
      <w:r>
        <w:rPr>
          <w:rStyle w:val="28"/>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8"/>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3"/>
        <w:numPr>
          <w:ilvl w:val="0"/>
          <w:numId w:val="0"/>
        </w:numPr>
        <w:jc w:val="center"/>
        <w:rPr>
          <w:rFonts w:ascii="宋体" w:eastAsia="宋体" w:cs="宋体"/>
          <w:color w:val="auto"/>
          <w:highlight w:val="none"/>
        </w:rPr>
      </w:pPr>
      <w:bookmarkStart w:id="73" w:name="_Toc25783"/>
      <w:bookmarkStart w:id="74" w:name="_Toc423973074"/>
      <w:bookmarkStart w:id="75" w:name="_Toc403077645"/>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11536"/>
      <w:bookmarkStart w:id="78" w:name="_Toc9687"/>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32051"/>
      <w:bookmarkStart w:id="80" w:name="_Toc23722"/>
      <w:bookmarkStart w:id="81" w:name="_Toc23762"/>
      <w:bookmarkStart w:id="82" w:name="_Toc7988"/>
      <w:bookmarkStart w:id="83" w:name="_Toc28665"/>
      <w:bookmarkStart w:id="84" w:name="_Toc26649"/>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7615"/>
      <w:bookmarkStart w:id="86" w:name="_Toc20714"/>
      <w:bookmarkStart w:id="87" w:name="_Toc20625"/>
      <w:bookmarkStart w:id="88" w:name="_Toc27029"/>
      <w:bookmarkStart w:id="89" w:name="_Toc2374"/>
      <w:bookmarkStart w:id="90" w:name="_Toc2314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2"/>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7905"/>
      <w:bookmarkStart w:id="92" w:name="_Toc30804"/>
      <w:bookmarkStart w:id="93" w:name="_Toc19221"/>
      <w:bookmarkStart w:id="94" w:name="_Toc24776"/>
      <w:bookmarkStart w:id="95" w:name="_Toc17111"/>
      <w:bookmarkStart w:id="96" w:name="_Toc4428"/>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13330"/>
      <w:bookmarkStart w:id="98" w:name="_Toc28532"/>
      <w:bookmarkStart w:id="99" w:name="_Toc25458"/>
      <w:bookmarkStart w:id="100" w:name="_Toc23630"/>
      <w:bookmarkStart w:id="101" w:name="_Toc14745"/>
      <w:bookmarkStart w:id="102" w:name="_Toc4223"/>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66"/>
        <w:gridCol w:w="6570"/>
        <w:gridCol w:w="826"/>
      </w:tblGrid>
      <w:tr w14:paraId="1158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57" w:type="dxa"/>
            <w:gridSpan w:val="2"/>
            <w:noWrap w:val="0"/>
            <w:vAlign w:val="center"/>
          </w:tcPr>
          <w:p w14:paraId="650E9A63">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570" w:type="dxa"/>
            <w:noWrap w:val="0"/>
            <w:vAlign w:val="center"/>
          </w:tcPr>
          <w:p w14:paraId="3A65121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26" w:type="dxa"/>
            <w:noWrap w:val="0"/>
            <w:vAlign w:val="center"/>
          </w:tcPr>
          <w:p w14:paraId="2A5E265D">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3FBE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057" w:type="dxa"/>
            <w:gridSpan w:val="2"/>
            <w:noWrap w:val="0"/>
            <w:vAlign w:val="center"/>
          </w:tcPr>
          <w:p w14:paraId="758B5EFD">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675EA4F0">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570" w:type="dxa"/>
            <w:noWrap w:val="0"/>
            <w:vAlign w:val="center"/>
          </w:tcPr>
          <w:p w14:paraId="3E8417B5">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7AA96188">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26" w:type="dxa"/>
            <w:noWrap w:val="0"/>
            <w:vAlign w:val="center"/>
          </w:tcPr>
          <w:p w14:paraId="3DD7F124">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2405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1091" w:type="dxa"/>
            <w:vMerge w:val="restart"/>
            <w:noWrap w:val="0"/>
            <w:vAlign w:val="center"/>
          </w:tcPr>
          <w:p w14:paraId="6B0F8847">
            <w:pPr>
              <w:spacing w:line="360" w:lineRule="auto"/>
              <w:jc w:val="center"/>
              <w:rPr>
                <w:rFonts w:hint="eastAsia"/>
                <w:highlight w:val="none"/>
                <w:lang w:val="en-US" w:eastAsia="zh-CN"/>
              </w:rPr>
            </w:pPr>
            <w:r>
              <w:rPr>
                <w:rFonts w:hint="eastAsia"/>
                <w:highlight w:val="none"/>
                <w:lang w:val="en-US" w:eastAsia="zh-CN"/>
              </w:rPr>
              <w:t>技术</w:t>
            </w:r>
          </w:p>
          <w:p w14:paraId="54B935D9">
            <w:pPr>
              <w:spacing w:line="360" w:lineRule="auto"/>
              <w:jc w:val="center"/>
              <w:rPr>
                <w:rFonts w:hint="eastAsia"/>
                <w:highlight w:val="none"/>
                <w:lang w:val="en-US" w:eastAsia="zh-CN"/>
              </w:rPr>
            </w:pPr>
            <w:r>
              <w:rPr>
                <w:rFonts w:hint="eastAsia"/>
                <w:highlight w:val="none"/>
                <w:lang w:val="en-US" w:eastAsia="zh-CN"/>
              </w:rPr>
              <w:t>方案</w:t>
            </w:r>
          </w:p>
          <w:p w14:paraId="68132369">
            <w:pPr>
              <w:pStyle w:val="2"/>
              <w:ind w:left="0" w:leftChars="0" w:firstLine="0" w:firstLineChars="0"/>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cs="Times New Roman"/>
                <w:kern w:val="0"/>
                <w:sz w:val="24"/>
                <w:szCs w:val="22"/>
                <w:highlight w:val="none"/>
                <w:lang w:val="en-US" w:eastAsia="zh-CN" w:bidi="ar-SA"/>
              </w:rPr>
              <w:t>60</w:t>
            </w:r>
            <w:r>
              <w:rPr>
                <w:rFonts w:hint="eastAsia" w:ascii="宋体" w:hAnsi="Times New Roman" w:eastAsia="宋体" w:cs="Times New Roman"/>
                <w:kern w:val="0"/>
                <w:sz w:val="24"/>
                <w:szCs w:val="22"/>
                <w:highlight w:val="none"/>
                <w:lang w:val="en-US" w:eastAsia="zh-CN" w:bidi="ar-SA"/>
              </w:rPr>
              <w:t>分）</w:t>
            </w:r>
          </w:p>
        </w:tc>
        <w:tc>
          <w:tcPr>
            <w:tcW w:w="966" w:type="dxa"/>
            <w:noWrap w:val="0"/>
            <w:vAlign w:val="center"/>
          </w:tcPr>
          <w:p w14:paraId="5A090E14">
            <w:pPr>
              <w:pStyle w:val="36"/>
              <w:jc w:val="center"/>
              <w:rPr>
                <w:rFonts w:hint="default"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总体服务方案</w:t>
            </w:r>
          </w:p>
        </w:tc>
        <w:tc>
          <w:tcPr>
            <w:tcW w:w="6570" w:type="dxa"/>
            <w:noWrap w:val="0"/>
            <w:vAlign w:val="center"/>
          </w:tcPr>
          <w:p w14:paraId="55411B31">
            <w:pPr>
              <w:jc w:val="both"/>
              <w:rPr>
                <w:rFonts w:hint="default" w:ascii="宋体" w:hAnsi="Times New Roman" w:eastAsia="宋体" w:cs="Times New Roman"/>
                <w:color w:val="auto"/>
                <w:sz w:val="24"/>
                <w:szCs w:val="20"/>
                <w:highlight w:val="none"/>
                <w:lang w:val="en-US" w:eastAsia="zh-CN" w:bidi="ar-SA"/>
              </w:rPr>
            </w:pPr>
            <w:r>
              <w:rPr>
                <w:rFonts w:hint="default" w:ascii="宋体" w:hAnsi="Times New Roman" w:eastAsia="宋体" w:cs="Times New Roman"/>
                <w:color w:val="auto"/>
                <w:sz w:val="24"/>
                <w:szCs w:val="20"/>
                <w:highlight w:val="none"/>
                <w:lang w:val="en-US" w:eastAsia="zh-CN" w:bidi="ar-SA"/>
              </w:rPr>
              <w:t>根据本项目相关情况</w:t>
            </w:r>
            <w:r>
              <w:rPr>
                <w:rFonts w:hint="eastAsia" w:ascii="宋体" w:hAnsi="Times New Roman" w:eastAsia="宋体" w:cs="Times New Roman"/>
                <w:color w:val="auto"/>
                <w:sz w:val="24"/>
                <w:szCs w:val="20"/>
                <w:highlight w:val="none"/>
                <w:lang w:val="en-US" w:eastAsia="zh-CN" w:bidi="ar-SA"/>
              </w:rPr>
              <w:t>和</w:t>
            </w:r>
            <w:r>
              <w:rPr>
                <w:rFonts w:hint="default" w:ascii="宋体" w:hAnsi="Times New Roman" w:eastAsia="宋体" w:cs="Times New Roman"/>
                <w:color w:val="auto"/>
                <w:sz w:val="24"/>
                <w:szCs w:val="20"/>
                <w:highlight w:val="none"/>
                <w:lang w:val="en-US" w:eastAsia="zh-CN" w:bidi="ar-SA"/>
              </w:rPr>
              <w:t>实际需求，从项目需求理解、实施计划、</w:t>
            </w:r>
            <w:r>
              <w:rPr>
                <w:rFonts w:hint="eastAsia" w:ascii="宋体" w:hAnsi="Times New Roman" w:eastAsia="宋体" w:cs="Times New Roman"/>
                <w:color w:val="auto"/>
                <w:sz w:val="24"/>
                <w:szCs w:val="20"/>
                <w:highlight w:val="none"/>
                <w:lang w:val="en-US" w:eastAsia="zh-CN" w:bidi="ar-SA"/>
              </w:rPr>
              <w:t>履约情况</w:t>
            </w:r>
            <w:r>
              <w:rPr>
                <w:rFonts w:hint="default" w:ascii="宋体" w:hAnsi="Times New Roman" w:eastAsia="宋体" w:cs="Times New Roman"/>
                <w:color w:val="auto"/>
                <w:sz w:val="24"/>
                <w:szCs w:val="20"/>
                <w:highlight w:val="none"/>
                <w:lang w:val="en-US" w:eastAsia="zh-CN" w:bidi="ar-SA"/>
              </w:rPr>
              <w:t>、设计原则和服务框架，四个方面进行制定</w:t>
            </w:r>
            <w:r>
              <w:rPr>
                <w:rFonts w:hint="eastAsia" w:ascii="宋体" w:hAnsi="Times New Roman" w:eastAsia="宋体" w:cs="Times New Roman"/>
                <w:color w:val="auto"/>
                <w:sz w:val="24"/>
                <w:szCs w:val="20"/>
                <w:highlight w:val="none"/>
                <w:lang w:val="en-US" w:eastAsia="zh-CN" w:bidi="ar-SA"/>
              </w:rPr>
              <w:t>，</w:t>
            </w:r>
            <w:r>
              <w:rPr>
                <w:rFonts w:hint="default" w:ascii="宋体" w:hAnsi="Times New Roman" w:eastAsia="宋体" w:cs="Times New Roman"/>
                <w:color w:val="auto"/>
                <w:sz w:val="24"/>
                <w:szCs w:val="20"/>
                <w:highlight w:val="none"/>
                <w:lang w:val="en-US" w:eastAsia="zh-CN" w:bidi="ar-SA"/>
              </w:rPr>
              <w:t>且服务框架要求图形和描述来说明服务的流程、各阶段的工作以及各阶段的成果，图形要简洁明了。</w:t>
            </w:r>
            <w:r>
              <w:rPr>
                <w:rFonts w:hint="eastAsia" w:ascii="宋体" w:hAnsi="宋体" w:eastAsia="宋体" w:cs="宋体"/>
                <w:b w:val="0"/>
                <w:bCs w:val="0"/>
                <w:color w:val="auto"/>
                <w:sz w:val="24"/>
                <w:szCs w:val="24"/>
                <w:highlight w:val="none"/>
                <w:lang w:val="en-US" w:eastAsia="zh-CN"/>
              </w:rPr>
              <w:t>方案内容完全满足采购需求计</w:t>
            </w:r>
            <w:r>
              <w:rPr>
                <w:rFonts w:hint="eastAsia" w:hAnsi="宋体" w:cs="宋体"/>
                <w:b w:val="0"/>
                <w:bCs w:val="0"/>
                <w:color w:val="auto"/>
                <w:sz w:val="24"/>
                <w:szCs w:val="24"/>
                <w:highlight w:val="none"/>
                <w:lang w:val="en-US" w:eastAsia="zh-CN"/>
              </w:rPr>
              <w:t>10-15</w:t>
            </w:r>
            <w:r>
              <w:rPr>
                <w:rFonts w:hint="eastAsia" w:ascii="宋体" w:hAnsi="宋体" w:eastAsia="宋体" w:cs="宋体"/>
                <w:b w:val="0"/>
                <w:bCs w:val="0"/>
                <w:color w:val="auto"/>
                <w:sz w:val="24"/>
                <w:szCs w:val="24"/>
                <w:highlight w:val="none"/>
                <w:lang w:val="en-US" w:eastAsia="zh-CN"/>
              </w:rPr>
              <w:t>分；方案内容基本满足但不完善计</w:t>
            </w:r>
            <w:r>
              <w:rPr>
                <w:rFonts w:hint="eastAsia" w:hAnsi="宋体" w:cs="宋体"/>
                <w:b w:val="0"/>
                <w:bCs w:val="0"/>
                <w:color w:val="auto"/>
                <w:sz w:val="24"/>
                <w:szCs w:val="24"/>
                <w:highlight w:val="none"/>
                <w:lang w:val="en-US" w:eastAsia="zh-CN"/>
              </w:rPr>
              <w:t>5-10</w:t>
            </w:r>
            <w:r>
              <w:rPr>
                <w:rFonts w:hint="eastAsia" w:ascii="宋体" w:hAnsi="宋体" w:eastAsia="宋体" w:cs="宋体"/>
                <w:b w:val="0"/>
                <w:bCs w:val="0"/>
                <w:color w:val="auto"/>
                <w:sz w:val="24"/>
                <w:szCs w:val="24"/>
                <w:highlight w:val="none"/>
                <w:lang w:val="en-US" w:eastAsia="zh-CN"/>
              </w:rPr>
              <w:t>分；方案内容不详尽或不适用于本项目计</w:t>
            </w:r>
            <w:r>
              <w:rPr>
                <w:rFonts w:hint="eastAsia"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分；满分1</w:t>
            </w:r>
            <w:r>
              <w:rPr>
                <w:rFonts w:hint="eastAsia"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分，未提供不计分</w:t>
            </w:r>
            <w:r>
              <w:rPr>
                <w:rFonts w:hint="eastAsia" w:hAnsi="宋体" w:cs="宋体"/>
                <w:b w:val="0"/>
                <w:bCs w:val="0"/>
                <w:color w:val="auto"/>
                <w:sz w:val="24"/>
                <w:szCs w:val="24"/>
                <w:highlight w:val="none"/>
                <w:lang w:val="en-US" w:eastAsia="zh-CN"/>
              </w:rPr>
              <w:t>。</w:t>
            </w:r>
          </w:p>
        </w:tc>
        <w:tc>
          <w:tcPr>
            <w:tcW w:w="826" w:type="dxa"/>
            <w:noWrap w:val="0"/>
            <w:vAlign w:val="center"/>
          </w:tcPr>
          <w:p w14:paraId="7D896463">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15</w:t>
            </w:r>
            <w:r>
              <w:rPr>
                <w:rFonts w:hint="eastAsia" w:hAnsi="宋体" w:cs="宋体"/>
                <w:color w:val="auto"/>
                <w:szCs w:val="24"/>
                <w:highlight w:val="none"/>
              </w:rPr>
              <w:t>分</w:t>
            </w:r>
          </w:p>
        </w:tc>
      </w:tr>
      <w:tr w14:paraId="0A61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091" w:type="dxa"/>
            <w:vMerge w:val="continue"/>
            <w:noWrap w:val="0"/>
            <w:vAlign w:val="center"/>
          </w:tcPr>
          <w:p w14:paraId="69989E6B">
            <w:pPr>
              <w:spacing w:line="360" w:lineRule="auto"/>
              <w:ind w:firstLine="480" w:firstLineChars="200"/>
              <w:rPr>
                <w:rFonts w:hint="eastAsia" w:hAnsi="宋体" w:cs="宋体"/>
                <w:color w:val="auto"/>
                <w:szCs w:val="24"/>
                <w:highlight w:val="none"/>
              </w:rPr>
            </w:pPr>
          </w:p>
        </w:tc>
        <w:tc>
          <w:tcPr>
            <w:tcW w:w="966" w:type="dxa"/>
            <w:noWrap w:val="0"/>
            <w:vAlign w:val="center"/>
          </w:tcPr>
          <w:p w14:paraId="7445D101">
            <w:pPr>
              <w:jc w:val="center"/>
              <w:rPr>
                <w:rFonts w:hint="default" w:ascii="宋体" w:hAnsi="Times New Roman" w:eastAsia="宋体" w:cs="Times New Roman"/>
                <w:color w:val="auto"/>
                <w:sz w:val="24"/>
                <w:szCs w:val="20"/>
                <w:highlight w:val="none"/>
                <w:lang w:val="en-US" w:eastAsia="zh-CN" w:bidi="ar-SA"/>
              </w:rPr>
            </w:pPr>
            <w:r>
              <w:rPr>
                <w:rFonts w:hint="default" w:ascii="宋体" w:hAnsi="Times New Roman" w:eastAsia="宋体" w:cs="Times New Roman"/>
                <w:color w:val="auto"/>
                <w:sz w:val="24"/>
                <w:szCs w:val="20"/>
                <w:highlight w:val="none"/>
                <w:lang w:val="en-US" w:eastAsia="zh-CN" w:bidi="ar-SA"/>
              </w:rPr>
              <w:t>测评</w:t>
            </w:r>
          </w:p>
          <w:p w14:paraId="709F86AC">
            <w:pPr>
              <w:jc w:val="center"/>
              <w:rPr>
                <w:rFonts w:hint="default" w:ascii="宋体" w:hAnsi="Times New Roman" w:eastAsia="宋体" w:cs="Times New Roman"/>
                <w:color w:val="auto"/>
                <w:sz w:val="24"/>
                <w:szCs w:val="20"/>
                <w:highlight w:val="none"/>
                <w:lang w:val="en-US" w:eastAsia="zh-CN" w:bidi="ar-SA"/>
              </w:rPr>
            </w:pPr>
            <w:r>
              <w:rPr>
                <w:rFonts w:hint="default" w:ascii="宋体" w:hAnsi="Times New Roman" w:eastAsia="宋体" w:cs="Times New Roman"/>
                <w:color w:val="auto"/>
                <w:sz w:val="24"/>
                <w:szCs w:val="20"/>
                <w:highlight w:val="none"/>
                <w:lang w:val="en-US" w:eastAsia="zh-CN" w:bidi="ar-SA"/>
              </w:rPr>
              <w:t>方案</w:t>
            </w:r>
          </w:p>
        </w:tc>
        <w:tc>
          <w:tcPr>
            <w:tcW w:w="6570" w:type="dxa"/>
            <w:noWrap w:val="0"/>
            <w:vAlign w:val="center"/>
          </w:tcPr>
          <w:p w14:paraId="5A9DA5DC">
            <w:pPr>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提供适合本项目的网络安全等级保护测评方案，依据网络安全等级保护标准要求进行设计，内容应包括等保测评、差距分析、整改建议、复测评、项目交付及验收等。方案描述详细，服务条理清晰</w:t>
            </w:r>
            <w:r>
              <w:rPr>
                <w:rFonts w:hint="eastAsia" w:cs="Times New Roman"/>
                <w:color w:val="auto"/>
                <w:sz w:val="24"/>
                <w:szCs w:val="20"/>
                <w:highlight w:val="none"/>
                <w:lang w:val="en-US" w:eastAsia="zh-CN" w:bidi="ar-SA"/>
              </w:rPr>
              <w:t>；</w:t>
            </w:r>
            <w:r>
              <w:rPr>
                <w:rFonts w:hint="eastAsia" w:ascii="宋体" w:hAnsi="宋体" w:eastAsia="宋体" w:cs="宋体"/>
                <w:b w:val="0"/>
                <w:bCs w:val="0"/>
                <w:color w:val="auto"/>
                <w:sz w:val="24"/>
                <w:szCs w:val="24"/>
                <w:highlight w:val="none"/>
                <w:lang w:val="en-US" w:eastAsia="zh-CN"/>
              </w:rPr>
              <w:t>完全满足采购需求计</w:t>
            </w:r>
            <w:r>
              <w:rPr>
                <w:rFonts w:hint="eastAsia" w:hAnsi="宋体" w:cs="宋体"/>
                <w:b w:val="0"/>
                <w:bCs w:val="0"/>
                <w:color w:val="auto"/>
                <w:sz w:val="24"/>
                <w:szCs w:val="24"/>
                <w:highlight w:val="none"/>
                <w:lang w:val="en-US" w:eastAsia="zh-CN"/>
              </w:rPr>
              <w:t>14-20</w:t>
            </w:r>
            <w:r>
              <w:rPr>
                <w:rFonts w:hint="eastAsia" w:ascii="宋体" w:hAnsi="宋体" w:eastAsia="宋体" w:cs="宋体"/>
                <w:b w:val="0"/>
                <w:bCs w:val="0"/>
                <w:color w:val="auto"/>
                <w:sz w:val="24"/>
                <w:szCs w:val="24"/>
                <w:highlight w:val="none"/>
                <w:lang w:val="en-US" w:eastAsia="zh-CN"/>
              </w:rPr>
              <w:t>分；方案内容基本满足但不完善计</w:t>
            </w:r>
            <w:r>
              <w:rPr>
                <w:rFonts w:hint="eastAsia" w:hAnsi="宋体" w:cs="宋体"/>
                <w:b w:val="0"/>
                <w:bCs w:val="0"/>
                <w:color w:val="auto"/>
                <w:sz w:val="24"/>
                <w:szCs w:val="24"/>
                <w:highlight w:val="none"/>
                <w:lang w:val="en-US" w:eastAsia="zh-CN"/>
              </w:rPr>
              <w:t>8-14</w:t>
            </w:r>
            <w:r>
              <w:rPr>
                <w:rFonts w:hint="eastAsia" w:ascii="宋体" w:hAnsi="宋体" w:eastAsia="宋体" w:cs="宋体"/>
                <w:b w:val="0"/>
                <w:bCs w:val="0"/>
                <w:color w:val="auto"/>
                <w:sz w:val="24"/>
                <w:szCs w:val="24"/>
                <w:highlight w:val="none"/>
                <w:lang w:val="en-US" w:eastAsia="zh-CN"/>
              </w:rPr>
              <w:t>分；方案内容不详尽或不适用于本项目计</w:t>
            </w:r>
            <w:r>
              <w:rPr>
                <w:rFonts w:hint="eastAsia"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分；满分20分，未提供不计分</w:t>
            </w:r>
            <w:r>
              <w:rPr>
                <w:rFonts w:hint="eastAsia" w:hAnsi="宋体" w:cs="宋体"/>
                <w:b w:val="0"/>
                <w:bCs w:val="0"/>
                <w:color w:val="auto"/>
                <w:sz w:val="24"/>
                <w:szCs w:val="24"/>
                <w:highlight w:val="none"/>
                <w:lang w:val="en-US" w:eastAsia="zh-CN"/>
              </w:rPr>
              <w:t>。</w:t>
            </w:r>
          </w:p>
        </w:tc>
        <w:tc>
          <w:tcPr>
            <w:tcW w:w="826" w:type="dxa"/>
            <w:noWrap w:val="0"/>
            <w:vAlign w:val="center"/>
          </w:tcPr>
          <w:p w14:paraId="4E2339EA">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20</w:t>
            </w:r>
            <w:r>
              <w:rPr>
                <w:rFonts w:hint="eastAsia" w:hAnsi="宋体" w:cs="宋体"/>
                <w:color w:val="auto"/>
                <w:szCs w:val="24"/>
                <w:highlight w:val="none"/>
              </w:rPr>
              <w:t>分</w:t>
            </w:r>
          </w:p>
        </w:tc>
      </w:tr>
      <w:tr w14:paraId="6717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91" w:type="dxa"/>
            <w:vMerge w:val="continue"/>
            <w:noWrap w:val="0"/>
            <w:vAlign w:val="center"/>
          </w:tcPr>
          <w:p w14:paraId="000EDCB9">
            <w:pPr>
              <w:spacing w:line="360" w:lineRule="auto"/>
              <w:ind w:firstLine="480" w:firstLineChars="200"/>
              <w:rPr>
                <w:rFonts w:hint="eastAsia" w:hAnsi="宋体" w:cs="宋体"/>
                <w:color w:val="auto"/>
                <w:szCs w:val="24"/>
                <w:highlight w:val="none"/>
              </w:rPr>
            </w:pPr>
          </w:p>
        </w:tc>
        <w:tc>
          <w:tcPr>
            <w:tcW w:w="966" w:type="dxa"/>
            <w:noWrap w:val="0"/>
            <w:vAlign w:val="center"/>
          </w:tcPr>
          <w:p w14:paraId="74458FAB">
            <w:pPr>
              <w:jc w:val="center"/>
              <w:rPr>
                <w:rFonts w:hint="default"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项目组织</w:t>
            </w:r>
            <w:r>
              <w:rPr>
                <w:rFonts w:hint="eastAsia" w:ascii="宋体" w:hAnsi="Times New Roman" w:eastAsia="宋体" w:cs="Times New Roman"/>
                <w:color w:val="auto"/>
                <w:sz w:val="24"/>
                <w:szCs w:val="20"/>
                <w:highlight w:val="none"/>
                <w:lang w:val="en-US" w:eastAsia="zh-Hans" w:bidi="ar-SA"/>
              </w:rPr>
              <w:t>进度</w:t>
            </w:r>
          </w:p>
        </w:tc>
        <w:tc>
          <w:tcPr>
            <w:tcW w:w="6570" w:type="dxa"/>
            <w:noWrap w:val="0"/>
            <w:vAlign w:val="center"/>
          </w:tcPr>
          <w:p w14:paraId="6AB32700">
            <w:pPr>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包括项目组织架构及任务分工，人员分工及人员配备，有详细的项目进度计划及表格来说明项目时间安排。描述合理计</w:t>
            </w:r>
            <w:r>
              <w:rPr>
                <w:rFonts w:hint="eastAsia" w:cs="Times New Roman"/>
                <w:color w:val="auto"/>
                <w:sz w:val="24"/>
                <w:szCs w:val="20"/>
                <w:highlight w:val="none"/>
                <w:lang w:val="en-US" w:eastAsia="zh-CN" w:bidi="ar-SA"/>
              </w:rPr>
              <w:t>5-10</w:t>
            </w:r>
            <w:r>
              <w:rPr>
                <w:rFonts w:hint="eastAsia" w:ascii="宋体" w:hAnsi="Times New Roman" w:eastAsia="宋体" w:cs="Times New Roman"/>
                <w:color w:val="auto"/>
                <w:sz w:val="24"/>
                <w:szCs w:val="20"/>
                <w:highlight w:val="none"/>
                <w:lang w:val="en-US" w:eastAsia="zh-CN" w:bidi="ar-SA"/>
              </w:rPr>
              <w:t>分；提供的内容较为详尽，描述欠合理的计1-</w:t>
            </w:r>
            <w:r>
              <w:rPr>
                <w:rFonts w:hint="eastAsia" w:cs="Times New Roman"/>
                <w:color w:val="auto"/>
                <w:sz w:val="24"/>
                <w:szCs w:val="20"/>
                <w:highlight w:val="none"/>
                <w:lang w:val="en-US" w:eastAsia="zh-CN" w:bidi="ar-SA"/>
              </w:rPr>
              <w:t>5</w:t>
            </w:r>
            <w:r>
              <w:rPr>
                <w:rFonts w:hint="eastAsia" w:ascii="宋体" w:hAnsi="Times New Roman" w:eastAsia="宋体" w:cs="Times New Roman"/>
                <w:color w:val="auto"/>
                <w:sz w:val="24"/>
                <w:szCs w:val="20"/>
                <w:highlight w:val="none"/>
                <w:lang w:val="en-US" w:eastAsia="zh-CN" w:bidi="ar-SA"/>
              </w:rPr>
              <w:t>分</w:t>
            </w:r>
            <w:r>
              <w:rPr>
                <w:rFonts w:hint="eastAsia" w:cs="Times New Roman"/>
                <w:color w:val="auto"/>
                <w:sz w:val="24"/>
                <w:szCs w:val="20"/>
                <w:highlight w:val="none"/>
                <w:lang w:val="en-US" w:eastAsia="zh-CN" w:bidi="ar-SA"/>
              </w:rPr>
              <w:t>，</w:t>
            </w:r>
            <w:r>
              <w:rPr>
                <w:rFonts w:hint="eastAsia" w:ascii="宋体" w:hAnsi="Times New Roman" w:eastAsia="宋体" w:cs="Times New Roman"/>
                <w:color w:val="auto"/>
                <w:sz w:val="24"/>
                <w:szCs w:val="20"/>
                <w:highlight w:val="none"/>
                <w:lang w:val="en-US" w:eastAsia="zh-CN" w:bidi="ar-SA"/>
              </w:rPr>
              <w:t>不响应不得分</w:t>
            </w:r>
            <w:r>
              <w:rPr>
                <w:rFonts w:hint="eastAsia" w:cs="Times New Roman"/>
                <w:color w:val="auto"/>
                <w:sz w:val="24"/>
                <w:szCs w:val="20"/>
                <w:highlight w:val="none"/>
                <w:lang w:val="en-US" w:eastAsia="zh-CN" w:bidi="ar-SA"/>
              </w:rPr>
              <w:t>。</w:t>
            </w:r>
          </w:p>
        </w:tc>
        <w:tc>
          <w:tcPr>
            <w:tcW w:w="826" w:type="dxa"/>
            <w:noWrap w:val="0"/>
            <w:vAlign w:val="center"/>
          </w:tcPr>
          <w:p w14:paraId="5CC31037">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041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091" w:type="dxa"/>
            <w:vMerge w:val="continue"/>
            <w:noWrap w:val="0"/>
            <w:vAlign w:val="center"/>
          </w:tcPr>
          <w:p w14:paraId="2A9A6129">
            <w:pPr>
              <w:spacing w:line="360" w:lineRule="auto"/>
              <w:ind w:firstLine="480" w:firstLineChars="200"/>
              <w:rPr>
                <w:rFonts w:hint="eastAsia" w:hAnsi="宋体" w:cs="宋体"/>
                <w:color w:val="auto"/>
                <w:szCs w:val="24"/>
                <w:highlight w:val="none"/>
              </w:rPr>
            </w:pPr>
          </w:p>
        </w:tc>
        <w:tc>
          <w:tcPr>
            <w:tcW w:w="966" w:type="dxa"/>
            <w:noWrap w:val="0"/>
            <w:vAlign w:val="center"/>
          </w:tcPr>
          <w:p w14:paraId="46391447">
            <w:pPr>
              <w:jc w:val="center"/>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项目风险管控</w:t>
            </w:r>
          </w:p>
        </w:tc>
        <w:tc>
          <w:tcPr>
            <w:tcW w:w="6570" w:type="dxa"/>
            <w:noWrap w:val="0"/>
            <w:vAlign w:val="center"/>
          </w:tcPr>
          <w:p w14:paraId="16B24E8D">
            <w:pPr>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包括风险的识别、分析、预警，规避潜在事件的发生，保障业务快速恢复，核心功能正常运行等，根据响应程度综合计分0-2分。</w:t>
            </w:r>
          </w:p>
          <w:p w14:paraId="2970EA55">
            <w:pPr>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供应商</w:t>
            </w:r>
            <w:r>
              <w:rPr>
                <w:rFonts w:hint="eastAsia" w:ascii="宋体" w:hAnsi="Times New Roman" w:eastAsia="宋体" w:cs="Times New Roman"/>
                <w:color w:val="auto"/>
                <w:sz w:val="24"/>
                <w:szCs w:val="20"/>
                <w:highlight w:val="none"/>
                <w:lang w:val="zh-CN" w:eastAsia="zh-CN" w:bidi="ar-SA"/>
              </w:rPr>
              <w:t>具备2024年度工业信息安全监测应急支撑单位（国家工业信息安全发展研究中心颁发）</w:t>
            </w:r>
            <w:r>
              <w:rPr>
                <w:rFonts w:hint="eastAsia" w:ascii="宋体" w:hAnsi="Times New Roman" w:eastAsia="宋体" w:cs="Times New Roman"/>
                <w:color w:val="auto"/>
                <w:sz w:val="24"/>
                <w:szCs w:val="20"/>
                <w:highlight w:val="none"/>
                <w:lang w:val="en-US" w:eastAsia="zh-CN" w:bidi="ar-SA"/>
              </w:rPr>
              <w:t>计3</w:t>
            </w:r>
            <w:r>
              <w:rPr>
                <w:rFonts w:hint="eastAsia" w:ascii="宋体" w:hAnsi="Times New Roman" w:eastAsia="宋体" w:cs="Times New Roman"/>
                <w:color w:val="auto"/>
                <w:sz w:val="24"/>
                <w:szCs w:val="20"/>
                <w:highlight w:val="none"/>
                <w:lang w:val="zh-CN" w:eastAsia="zh-CN" w:bidi="ar-SA"/>
              </w:rPr>
              <w:t>分，</w:t>
            </w:r>
            <w:r>
              <w:rPr>
                <w:rFonts w:hint="eastAsia" w:ascii="宋体" w:hAnsi="Times New Roman" w:eastAsia="宋体" w:cs="Times New Roman"/>
                <w:color w:val="auto"/>
                <w:sz w:val="24"/>
                <w:szCs w:val="20"/>
                <w:highlight w:val="none"/>
                <w:lang w:val="en-US" w:eastAsia="zh-CN" w:bidi="ar-SA"/>
              </w:rPr>
              <w:t>不响应不得分</w:t>
            </w:r>
            <w:r>
              <w:rPr>
                <w:rFonts w:hint="eastAsia" w:hAnsi="Times New Roman" w:cs="Times New Roman"/>
                <w:color w:val="auto"/>
                <w:sz w:val="24"/>
                <w:szCs w:val="20"/>
                <w:highlight w:val="none"/>
                <w:lang w:val="en-US" w:eastAsia="zh-CN" w:bidi="ar-SA"/>
              </w:rPr>
              <w:t>。</w:t>
            </w:r>
          </w:p>
        </w:tc>
        <w:tc>
          <w:tcPr>
            <w:tcW w:w="826" w:type="dxa"/>
            <w:noWrap w:val="0"/>
            <w:vAlign w:val="center"/>
          </w:tcPr>
          <w:p w14:paraId="5EFF8449">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14:paraId="7BA7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1091" w:type="dxa"/>
            <w:vMerge w:val="continue"/>
            <w:noWrap w:val="0"/>
            <w:vAlign w:val="center"/>
          </w:tcPr>
          <w:p w14:paraId="34AC9786">
            <w:pPr>
              <w:spacing w:line="360" w:lineRule="auto"/>
              <w:ind w:firstLine="480" w:firstLineChars="200"/>
              <w:rPr>
                <w:rFonts w:hint="eastAsia" w:hAnsi="宋体" w:cs="宋体"/>
                <w:color w:val="auto"/>
                <w:szCs w:val="24"/>
                <w:highlight w:val="none"/>
              </w:rPr>
            </w:pPr>
          </w:p>
        </w:tc>
        <w:tc>
          <w:tcPr>
            <w:tcW w:w="966" w:type="dxa"/>
            <w:noWrap w:val="0"/>
            <w:vAlign w:val="center"/>
          </w:tcPr>
          <w:p w14:paraId="0CE38AB3">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14:paraId="2AF67D8F">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保证</w:t>
            </w:r>
          </w:p>
        </w:tc>
        <w:tc>
          <w:tcPr>
            <w:tcW w:w="6570" w:type="dxa"/>
            <w:noWrap w:val="0"/>
            <w:vAlign w:val="center"/>
          </w:tcPr>
          <w:p w14:paraId="2937B232">
            <w:pPr>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针对本项目</w:t>
            </w:r>
            <w:r>
              <w:rPr>
                <w:rFonts w:hint="eastAsia" w:ascii="宋体" w:hAnsi="Times New Roman" w:eastAsia="宋体" w:cs="Times New Roman"/>
                <w:color w:val="auto"/>
                <w:sz w:val="24"/>
                <w:szCs w:val="20"/>
                <w:highlight w:val="none"/>
                <w:lang w:val="en-US" w:eastAsia="zh-Hans" w:bidi="ar-SA"/>
              </w:rPr>
              <w:t>需</w:t>
            </w:r>
            <w:r>
              <w:rPr>
                <w:rFonts w:hint="eastAsia" w:ascii="宋体" w:hAnsi="Times New Roman" w:eastAsia="宋体" w:cs="Times New Roman"/>
                <w:color w:val="auto"/>
                <w:sz w:val="24"/>
                <w:szCs w:val="20"/>
                <w:highlight w:val="none"/>
                <w:lang w:val="en-US" w:eastAsia="zh-CN" w:bidi="ar-SA"/>
              </w:rPr>
              <w:t>提供</w:t>
            </w:r>
            <w:r>
              <w:rPr>
                <w:rFonts w:hint="eastAsia" w:ascii="宋体" w:hAnsi="Times New Roman" w:eastAsia="宋体" w:cs="Times New Roman"/>
                <w:color w:val="auto"/>
                <w:sz w:val="24"/>
                <w:szCs w:val="20"/>
                <w:highlight w:val="none"/>
                <w:lang w:val="en-US" w:eastAsia="zh-Hans" w:bidi="ar-SA"/>
              </w:rPr>
              <w:t>详细</w:t>
            </w:r>
            <w:r>
              <w:rPr>
                <w:rFonts w:hint="eastAsia" w:ascii="宋体" w:hAnsi="Times New Roman" w:eastAsia="宋体" w:cs="Times New Roman"/>
                <w:color w:val="auto"/>
                <w:sz w:val="24"/>
                <w:szCs w:val="20"/>
                <w:highlight w:val="none"/>
                <w:lang w:val="en-US" w:eastAsia="zh-CN" w:bidi="ar-SA"/>
              </w:rPr>
              <w:t>的质量保证措施、管控</w:t>
            </w:r>
            <w:r>
              <w:rPr>
                <w:rFonts w:hint="eastAsia" w:ascii="宋体" w:hAnsi="Times New Roman" w:eastAsia="宋体" w:cs="Times New Roman"/>
                <w:color w:val="auto"/>
                <w:sz w:val="24"/>
                <w:szCs w:val="20"/>
                <w:highlight w:val="none"/>
                <w:lang w:val="en-US" w:eastAsia="zh-Hans" w:bidi="ar-SA"/>
              </w:rPr>
              <w:t>过程、管控方法、质量保证人员及质量保证承诺等，</w:t>
            </w:r>
            <w:r>
              <w:rPr>
                <w:rFonts w:hint="eastAsia" w:ascii="宋体" w:hAnsi="Times New Roman" w:eastAsia="宋体" w:cs="Times New Roman"/>
                <w:color w:val="auto"/>
                <w:sz w:val="24"/>
                <w:szCs w:val="20"/>
                <w:highlight w:val="none"/>
                <w:lang w:val="en-US" w:eastAsia="zh-CN" w:bidi="ar-SA"/>
              </w:rPr>
              <w:t>措施得当，方法合理，描述合理计</w:t>
            </w:r>
            <w:r>
              <w:rPr>
                <w:rFonts w:hint="eastAsia" w:cs="Times New Roman"/>
                <w:color w:val="auto"/>
                <w:sz w:val="24"/>
                <w:szCs w:val="20"/>
                <w:highlight w:val="none"/>
                <w:lang w:val="en-US" w:eastAsia="zh-CN" w:bidi="ar-SA"/>
              </w:rPr>
              <w:t>0-2.5</w:t>
            </w:r>
            <w:r>
              <w:rPr>
                <w:rFonts w:hint="eastAsia" w:ascii="宋体" w:hAnsi="Times New Roman" w:eastAsia="宋体" w:cs="Times New Roman"/>
                <w:color w:val="auto"/>
                <w:sz w:val="24"/>
                <w:szCs w:val="20"/>
                <w:highlight w:val="none"/>
                <w:lang w:val="en-US" w:eastAsia="zh-CN" w:bidi="ar-SA"/>
              </w:rPr>
              <w:t>分；提供的内容较为详尽，描述欠合理的计</w:t>
            </w:r>
            <w:r>
              <w:rPr>
                <w:rFonts w:hint="eastAsia" w:cs="Times New Roman"/>
                <w:color w:val="auto"/>
                <w:sz w:val="24"/>
                <w:szCs w:val="20"/>
                <w:highlight w:val="none"/>
                <w:lang w:val="en-US" w:eastAsia="zh-CN" w:bidi="ar-SA"/>
              </w:rPr>
              <w:t>2.5</w:t>
            </w:r>
            <w:r>
              <w:rPr>
                <w:rFonts w:hint="eastAsia" w:ascii="宋体" w:hAnsi="Times New Roman" w:eastAsia="宋体" w:cs="Times New Roman"/>
                <w:color w:val="auto"/>
                <w:sz w:val="24"/>
                <w:szCs w:val="20"/>
                <w:highlight w:val="none"/>
                <w:lang w:val="en-US" w:eastAsia="zh-CN" w:bidi="ar-SA"/>
              </w:rPr>
              <w:t>-</w:t>
            </w:r>
            <w:r>
              <w:rPr>
                <w:rFonts w:hint="eastAsia" w:cs="Times New Roman"/>
                <w:color w:val="auto"/>
                <w:sz w:val="24"/>
                <w:szCs w:val="20"/>
                <w:highlight w:val="none"/>
                <w:lang w:val="en-US" w:eastAsia="zh-CN" w:bidi="ar-SA"/>
              </w:rPr>
              <w:t>5</w:t>
            </w:r>
            <w:r>
              <w:rPr>
                <w:rFonts w:hint="eastAsia" w:ascii="宋体" w:hAnsi="Times New Roman" w:eastAsia="宋体" w:cs="Times New Roman"/>
                <w:color w:val="auto"/>
                <w:sz w:val="24"/>
                <w:szCs w:val="20"/>
                <w:highlight w:val="none"/>
                <w:lang w:val="en-US" w:eastAsia="zh-CN" w:bidi="ar-SA"/>
              </w:rPr>
              <w:t>分</w:t>
            </w:r>
            <w:r>
              <w:rPr>
                <w:rFonts w:hint="eastAsia" w:cs="Times New Roman"/>
                <w:color w:val="auto"/>
                <w:sz w:val="24"/>
                <w:szCs w:val="20"/>
                <w:highlight w:val="none"/>
                <w:lang w:val="en-US" w:eastAsia="zh-CN" w:bidi="ar-SA"/>
              </w:rPr>
              <w:t>，</w:t>
            </w:r>
            <w:r>
              <w:rPr>
                <w:rFonts w:hint="eastAsia" w:ascii="宋体" w:hAnsi="Times New Roman" w:eastAsia="宋体" w:cs="Times New Roman"/>
                <w:color w:val="auto"/>
                <w:sz w:val="24"/>
                <w:szCs w:val="20"/>
                <w:highlight w:val="none"/>
                <w:lang w:val="en-US" w:eastAsia="zh-CN" w:bidi="ar-SA"/>
              </w:rPr>
              <w:t>不响应不得分</w:t>
            </w:r>
            <w:r>
              <w:rPr>
                <w:rFonts w:hint="eastAsia" w:cs="Times New Roman"/>
                <w:color w:val="auto"/>
                <w:sz w:val="24"/>
                <w:szCs w:val="20"/>
                <w:highlight w:val="none"/>
                <w:lang w:val="en-US" w:eastAsia="zh-CN" w:bidi="ar-SA"/>
              </w:rPr>
              <w:t>。</w:t>
            </w:r>
          </w:p>
          <w:p w14:paraId="572D07E9">
            <w:pPr>
              <w:jc w:val="both"/>
              <w:rPr>
                <w:rFonts w:hint="eastAsia" w:ascii="宋体" w:hAnsi="Times New Roman" w:eastAsia="宋体" w:cs="Times New Roman"/>
                <w:b w:val="0"/>
                <w:bCs w:val="0"/>
                <w:color w:val="000000" w:themeColor="text1"/>
                <w:sz w:val="24"/>
                <w:szCs w:val="20"/>
                <w:highlight w:val="none"/>
                <w:lang w:val="zh-CN" w:eastAsia="zh-Hans" w:bidi="ar-SA"/>
                <w14:textFill>
                  <w14:solidFill>
                    <w14:schemeClr w14:val="tx1"/>
                  </w14:solidFill>
                </w14:textFill>
              </w:rPr>
            </w:pPr>
            <w:r>
              <w:rPr>
                <w:rFonts w:hint="eastAsia" w:ascii="宋体" w:hAnsi="Times New Roman" w:eastAsia="宋体" w:cs="Times New Roman"/>
                <w:b w:val="0"/>
                <w:bCs w:val="0"/>
                <w:color w:val="000000" w:themeColor="text1"/>
                <w:sz w:val="24"/>
                <w:szCs w:val="20"/>
                <w:highlight w:val="none"/>
                <w:lang w:val="en-US" w:eastAsia="zh-CN" w:bidi="ar-SA"/>
                <w14:textFill>
                  <w14:solidFill>
                    <w14:schemeClr w14:val="tx1"/>
                  </w14:solidFill>
                </w14:textFill>
              </w:rPr>
              <w:t>若</w:t>
            </w:r>
            <w:r>
              <w:rPr>
                <w:rFonts w:hint="eastAsia" w:ascii="宋体" w:hAnsi="Times New Roman" w:eastAsia="宋体" w:cs="Times New Roman"/>
                <w:b w:val="0"/>
                <w:bCs w:val="0"/>
                <w:color w:val="000000" w:themeColor="text1"/>
                <w:sz w:val="24"/>
                <w:szCs w:val="20"/>
                <w:highlight w:val="none"/>
                <w:lang w:val="en-US" w:eastAsia="zh-Hans" w:bidi="ar-SA"/>
                <w14:textFill>
                  <w14:solidFill>
                    <w14:schemeClr w14:val="tx1"/>
                  </w14:solidFill>
                </w14:textFill>
              </w:rPr>
              <w:t>供应商</w:t>
            </w:r>
            <w:r>
              <w:rPr>
                <w:rFonts w:hint="eastAsia" w:ascii="宋体" w:hAnsi="Times New Roman" w:eastAsia="宋体" w:cs="Times New Roman"/>
                <w:b w:val="0"/>
                <w:bCs w:val="0"/>
                <w:color w:val="000000" w:themeColor="text1"/>
                <w:sz w:val="24"/>
                <w:szCs w:val="20"/>
                <w:highlight w:val="none"/>
                <w:lang w:val="zh-CN" w:eastAsia="zh-Hans" w:bidi="ar-SA"/>
                <w14:textFill>
                  <w14:solidFill>
                    <w14:schemeClr w14:val="tx1"/>
                  </w14:solidFill>
                </w14:textFill>
              </w:rPr>
              <w:t>具备中国合格评定国家认可委员会颁发的实验室认可证书，</w:t>
            </w:r>
            <w:r>
              <w:rPr>
                <w:rFonts w:hint="eastAsia" w:ascii="宋体" w:hAnsi="Times New Roman" w:eastAsia="宋体" w:cs="Times New Roman"/>
                <w:b w:val="0"/>
                <w:bCs w:val="0"/>
                <w:color w:val="000000" w:themeColor="text1"/>
                <w:sz w:val="24"/>
                <w:szCs w:val="20"/>
                <w:highlight w:val="none"/>
                <w:lang w:val="en-US" w:eastAsia="zh-CN" w:bidi="ar-SA"/>
                <w14:textFill>
                  <w14:solidFill>
                    <w14:schemeClr w14:val="tx1"/>
                  </w14:solidFill>
                </w14:textFill>
              </w:rPr>
              <w:t>响应计</w:t>
            </w:r>
            <w:r>
              <w:rPr>
                <w:rFonts w:hint="eastAsia" w:ascii="宋体" w:hAnsi="Times New Roman" w:eastAsia="宋体" w:cs="Times New Roman"/>
                <w:b w:val="0"/>
                <w:bCs w:val="0"/>
                <w:color w:val="000000" w:themeColor="text1"/>
                <w:sz w:val="24"/>
                <w:szCs w:val="20"/>
                <w:highlight w:val="none"/>
                <w:lang w:val="en-US" w:eastAsia="zh-Hans" w:bidi="ar-SA"/>
                <w14:textFill>
                  <w14:solidFill>
                    <w14:schemeClr w14:val="tx1"/>
                  </w14:solidFill>
                </w14:textFill>
              </w:rPr>
              <w:t>3</w:t>
            </w:r>
            <w:r>
              <w:rPr>
                <w:rFonts w:hint="eastAsia" w:ascii="宋体" w:hAnsi="Times New Roman" w:eastAsia="宋体" w:cs="Times New Roman"/>
                <w:b w:val="0"/>
                <w:bCs w:val="0"/>
                <w:color w:val="000000" w:themeColor="text1"/>
                <w:sz w:val="24"/>
                <w:szCs w:val="20"/>
                <w:highlight w:val="none"/>
                <w:lang w:val="zh-CN" w:eastAsia="zh-Hans" w:bidi="ar-SA"/>
                <w14:textFill>
                  <w14:solidFill>
                    <w14:schemeClr w14:val="tx1"/>
                  </w14:solidFill>
                </w14:textFill>
              </w:rPr>
              <w:t>分，</w:t>
            </w:r>
            <w:r>
              <w:rPr>
                <w:rFonts w:hint="eastAsia" w:ascii="宋体" w:hAnsi="Times New Roman" w:eastAsia="宋体" w:cs="Times New Roman"/>
                <w:b w:val="0"/>
                <w:bCs w:val="0"/>
                <w:color w:val="000000" w:themeColor="text1"/>
                <w:sz w:val="24"/>
                <w:szCs w:val="20"/>
                <w:highlight w:val="none"/>
                <w:lang w:val="en-US" w:eastAsia="zh-CN" w:bidi="ar-SA"/>
                <w14:textFill>
                  <w14:solidFill>
                    <w14:schemeClr w14:val="tx1"/>
                  </w14:solidFill>
                </w14:textFill>
              </w:rPr>
              <w:t>不响应不得分。</w:t>
            </w:r>
          </w:p>
          <w:p w14:paraId="1FEE6610">
            <w:pPr>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b w:val="0"/>
                <w:bCs w:val="0"/>
                <w:color w:val="000000" w:themeColor="text1"/>
                <w:sz w:val="24"/>
                <w:szCs w:val="20"/>
                <w:highlight w:val="none"/>
                <w:lang w:val="en-US" w:eastAsia="zh-Hans" w:bidi="ar-SA"/>
                <w14:textFill>
                  <w14:solidFill>
                    <w14:schemeClr w14:val="tx1"/>
                  </w14:solidFill>
                </w14:textFill>
              </w:rPr>
              <w:t>供应商</w:t>
            </w:r>
            <w:r>
              <w:rPr>
                <w:rFonts w:hint="eastAsia" w:ascii="宋体" w:hAnsi="Times New Roman" w:eastAsia="宋体" w:cs="Times New Roman"/>
                <w:b w:val="0"/>
                <w:bCs w:val="0"/>
                <w:color w:val="000000" w:themeColor="text1"/>
                <w:sz w:val="24"/>
                <w:szCs w:val="20"/>
                <w:highlight w:val="none"/>
                <w:lang w:val="zh-CN" w:eastAsia="zh-Hans" w:bidi="ar-SA"/>
                <w14:textFill>
                  <w14:solidFill>
                    <w14:schemeClr w14:val="tx1"/>
                  </w14:solidFill>
                </w14:textFill>
              </w:rPr>
              <w:t>具备陕西省市场监督管理局颁发的检验检测机构资质认定证书，</w:t>
            </w:r>
            <w:r>
              <w:rPr>
                <w:rFonts w:hint="eastAsia" w:ascii="宋体" w:hAnsi="Times New Roman" w:eastAsia="宋体" w:cs="Times New Roman"/>
                <w:b w:val="0"/>
                <w:bCs w:val="0"/>
                <w:color w:val="000000" w:themeColor="text1"/>
                <w:sz w:val="24"/>
                <w:szCs w:val="20"/>
                <w:highlight w:val="none"/>
                <w:lang w:val="en-US" w:eastAsia="zh-CN" w:bidi="ar-SA"/>
                <w14:textFill>
                  <w14:solidFill>
                    <w14:schemeClr w14:val="tx1"/>
                  </w14:solidFill>
                </w14:textFill>
              </w:rPr>
              <w:t>响应计</w:t>
            </w:r>
            <w:r>
              <w:rPr>
                <w:rFonts w:hint="eastAsia" w:ascii="宋体" w:hAnsi="Times New Roman" w:eastAsia="宋体" w:cs="Times New Roman"/>
                <w:b w:val="0"/>
                <w:bCs w:val="0"/>
                <w:color w:val="000000" w:themeColor="text1"/>
                <w:sz w:val="24"/>
                <w:szCs w:val="20"/>
                <w:highlight w:val="none"/>
                <w:lang w:val="zh-CN" w:eastAsia="zh-Hans" w:bidi="ar-SA"/>
                <w14:textFill>
                  <w14:solidFill>
                    <w14:schemeClr w14:val="tx1"/>
                  </w14:solidFill>
                </w14:textFill>
              </w:rPr>
              <w:t>2分，</w:t>
            </w:r>
            <w:r>
              <w:rPr>
                <w:rFonts w:hint="eastAsia" w:ascii="宋体" w:hAnsi="Times New Roman" w:eastAsia="宋体" w:cs="Times New Roman"/>
                <w:b w:val="0"/>
                <w:bCs w:val="0"/>
                <w:color w:val="000000" w:themeColor="text1"/>
                <w:sz w:val="24"/>
                <w:szCs w:val="20"/>
                <w:highlight w:val="none"/>
                <w:lang w:val="en-US" w:eastAsia="zh-CN" w:bidi="ar-SA"/>
                <w14:textFill>
                  <w14:solidFill>
                    <w14:schemeClr w14:val="tx1"/>
                  </w14:solidFill>
                </w14:textFill>
              </w:rPr>
              <w:t>不响应不得分。</w:t>
            </w:r>
          </w:p>
        </w:tc>
        <w:tc>
          <w:tcPr>
            <w:tcW w:w="826" w:type="dxa"/>
            <w:noWrap w:val="0"/>
            <w:vAlign w:val="center"/>
          </w:tcPr>
          <w:p w14:paraId="042B48A4">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3002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1091" w:type="dxa"/>
            <w:vMerge w:val="restart"/>
            <w:noWrap w:val="0"/>
            <w:vAlign w:val="center"/>
          </w:tcPr>
          <w:p w14:paraId="523F2A8E">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14:paraId="435392A5">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14:paraId="5AC25108">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30</w:t>
            </w:r>
            <w:r>
              <w:rPr>
                <w:rFonts w:hint="eastAsia" w:hAnsi="宋体" w:cs="宋体"/>
                <w:color w:val="auto"/>
                <w:szCs w:val="24"/>
                <w:highlight w:val="none"/>
              </w:rPr>
              <w:t>分）</w:t>
            </w:r>
          </w:p>
        </w:tc>
        <w:tc>
          <w:tcPr>
            <w:tcW w:w="966" w:type="dxa"/>
            <w:noWrap w:val="0"/>
            <w:vAlign w:val="center"/>
          </w:tcPr>
          <w:p w14:paraId="605E398A">
            <w:pPr>
              <w:pStyle w:val="36"/>
              <w:jc w:val="center"/>
              <w:rPr>
                <w:rFonts w:hint="eastAsia" w:hAnsi="宋体" w:eastAsia="宋体" w:cs="宋体"/>
                <w:color w:val="auto"/>
                <w:highlight w:val="none"/>
              </w:rPr>
            </w:pPr>
            <w:r>
              <w:rPr>
                <w:rFonts w:hint="eastAsia" w:hAnsi="宋体" w:eastAsia="宋体" w:cs="宋体"/>
                <w:color w:val="auto"/>
                <w:highlight w:val="none"/>
              </w:rPr>
              <w:t>人员</w:t>
            </w:r>
          </w:p>
          <w:p w14:paraId="4B88788D">
            <w:pPr>
              <w:pStyle w:val="36"/>
              <w:jc w:val="center"/>
              <w:rPr>
                <w:rFonts w:hint="eastAsia" w:ascii="宋体" w:hAnsi="宋体" w:eastAsia="宋体" w:cs="宋体"/>
                <w:color w:val="auto"/>
                <w:highlight w:val="none"/>
              </w:rPr>
            </w:pPr>
            <w:r>
              <w:rPr>
                <w:rFonts w:hint="eastAsia" w:hAnsi="宋体" w:eastAsia="宋体" w:cs="宋体"/>
                <w:color w:val="auto"/>
                <w:highlight w:val="none"/>
              </w:rPr>
              <w:t>配置</w:t>
            </w:r>
          </w:p>
        </w:tc>
        <w:tc>
          <w:tcPr>
            <w:tcW w:w="6570" w:type="dxa"/>
            <w:noWrap w:val="0"/>
            <w:vAlign w:val="center"/>
          </w:tcPr>
          <w:p w14:paraId="33713912">
            <w:pPr>
              <w:jc w:val="left"/>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项目组配备人员要求</w:t>
            </w:r>
          </w:p>
          <w:p w14:paraId="017F60B0">
            <w:pPr>
              <w:jc w:val="left"/>
              <w:rPr>
                <w:rFonts w:hint="eastAsia" w:ascii="宋体" w:hAnsi="Times New Roman" w:eastAsia="宋体" w:cs="Times New Roman"/>
                <w:color w:val="auto"/>
                <w:sz w:val="24"/>
                <w:szCs w:val="20"/>
                <w:highlight w:val="none"/>
                <w:lang w:val="en-US" w:eastAsia="zh-CN" w:bidi="ar-SA"/>
              </w:rPr>
            </w:pPr>
            <w:r>
              <w:rPr>
                <w:rFonts w:hint="eastAsia" w:cs="Times New Roman"/>
                <w:color w:val="auto"/>
                <w:sz w:val="24"/>
                <w:szCs w:val="20"/>
                <w:highlight w:val="none"/>
                <w:lang w:val="en-US" w:eastAsia="zh-CN" w:bidi="ar-SA"/>
              </w:rPr>
              <w:t>1</w:t>
            </w:r>
            <w:r>
              <w:rPr>
                <w:rFonts w:hint="eastAsia" w:ascii="宋体" w:hAnsi="Times New Roman" w:eastAsia="宋体" w:cs="Times New Roman"/>
                <w:color w:val="auto"/>
                <w:sz w:val="24"/>
                <w:szCs w:val="20"/>
                <w:highlight w:val="none"/>
                <w:lang w:val="en-US" w:eastAsia="zh-CN" w:bidi="ar-SA"/>
              </w:rPr>
              <w:t>.项目组成员具备软件测评工程师证书、数据安全评估师DSA证书、高级信息安全管理工程师、ISTQB证书，每具备一个证书得1分，最高得4分；</w:t>
            </w:r>
          </w:p>
          <w:p w14:paraId="52DFD0E1">
            <w:pPr>
              <w:jc w:val="left"/>
              <w:rPr>
                <w:rFonts w:hint="eastAsia" w:ascii="宋体" w:hAnsi="Times New Roman" w:eastAsia="宋体" w:cs="Times New Roman"/>
                <w:color w:val="auto"/>
                <w:sz w:val="24"/>
                <w:szCs w:val="20"/>
                <w:highlight w:val="none"/>
                <w:lang w:val="zh-CN" w:eastAsia="zh-CN" w:bidi="ar-SA"/>
              </w:rPr>
            </w:pPr>
            <w:r>
              <w:rPr>
                <w:rFonts w:hint="eastAsia" w:cs="Times New Roman"/>
                <w:color w:val="auto"/>
                <w:sz w:val="24"/>
                <w:szCs w:val="20"/>
                <w:highlight w:val="none"/>
                <w:lang w:val="en-US" w:eastAsia="zh-CN" w:bidi="ar-SA"/>
              </w:rPr>
              <w:t>2</w:t>
            </w:r>
            <w:r>
              <w:rPr>
                <w:rFonts w:hint="eastAsia" w:ascii="宋体" w:hAnsi="Times New Roman" w:eastAsia="宋体" w:cs="Times New Roman"/>
                <w:color w:val="auto"/>
                <w:sz w:val="24"/>
                <w:szCs w:val="20"/>
                <w:highlight w:val="none"/>
                <w:lang w:val="en-US" w:eastAsia="zh-CN" w:bidi="ar-SA"/>
              </w:rPr>
              <w:t>.</w:t>
            </w:r>
            <w:r>
              <w:rPr>
                <w:rFonts w:hint="eastAsia" w:ascii="宋体" w:hAnsi="Times New Roman" w:eastAsia="宋体" w:cs="Times New Roman"/>
                <w:color w:val="auto"/>
                <w:sz w:val="24"/>
                <w:szCs w:val="20"/>
                <w:highlight w:val="none"/>
                <w:lang w:val="zh-CN" w:eastAsia="zh-CN" w:bidi="ar-SA"/>
              </w:rPr>
              <w:t>项目组质量人员</w:t>
            </w:r>
            <w:r>
              <w:rPr>
                <w:rFonts w:hint="eastAsia" w:ascii="宋体" w:hAnsi="Times New Roman" w:eastAsia="宋体" w:cs="Times New Roman"/>
                <w:color w:val="auto"/>
                <w:sz w:val="24"/>
                <w:szCs w:val="20"/>
                <w:highlight w:val="none"/>
                <w:lang w:val="en-US" w:eastAsia="zh-CN" w:bidi="ar-SA"/>
              </w:rPr>
              <w:t>具备具备</w:t>
            </w:r>
            <w:r>
              <w:rPr>
                <w:rFonts w:hint="eastAsia" w:ascii="宋体" w:hAnsi="Times New Roman" w:eastAsia="宋体" w:cs="Times New Roman"/>
                <w:color w:val="auto"/>
                <w:sz w:val="24"/>
                <w:szCs w:val="20"/>
                <w:highlight w:val="none"/>
                <w:lang w:val="zh-CN" w:eastAsia="zh-CN" w:bidi="ar-SA"/>
              </w:rPr>
              <w:t>注册密码技术专家（CISP-CTE）证书</w:t>
            </w:r>
            <w:bookmarkStart w:id="304" w:name="_GoBack"/>
            <w:bookmarkEnd w:id="304"/>
            <w:r>
              <w:rPr>
                <w:rFonts w:hint="eastAsia" w:ascii="宋体" w:hAnsi="Times New Roman" w:eastAsia="宋体" w:cs="Times New Roman"/>
                <w:color w:val="auto"/>
                <w:sz w:val="24"/>
                <w:szCs w:val="20"/>
                <w:highlight w:val="none"/>
                <w:lang w:val="zh-CN" w:eastAsia="zh-CN" w:bidi="ar-SA"/>
              </w:rPr>
              <w:t>、</w:t>
            </w:r>
            <w:r>
              <w:rPr>
                <w:rFonts w:hint="eastAsia" w:ascii="宋体" w:hAnsi="Times New Roman" w:eastAsia="宋体" w:cs="Times New Roman"/>
                <w:color w:val="auto"/>
                <w:sz w:val="24"/>
                <w:szCs w:val="20"/>
                <w:highlight w:val="none"/>
                <w:lang w:val="en-US" w:eastAsia="zh-CN" w:bidi="ar-SA"/>
              </w:rPr>
              <w:t>信息安全保障人员认证证书（CISAW-安全运维）得2分，最高得</w:t>
            </w:r>
            <w:r>
              <w:rPr>
                <w:rFonts w:hint="eastAsia" w:cs="Times New Roman"/>
                <w:color w:val="auto"/>
                <w:sz w:val="24"/>
                <w:szCs w:val="20"/>
                <w:highlight w:val="none"/>
                <w:lang w:val="en-US" w:eastAsia="zh-CN" w:bidi="ar-SA"/>
              </w:rPr>
              <w:t>2</w:t>
            </w:r>
            <w:r>
              <w:rPr>
                <w:rFonts w:hint="eastAsia" w:ascii="宋体" w:hAnsi="Times New Roman" w:eastAsia="宋体" w:cs="Times New Roman"/>
                <w:color w:val="auto"/>
                <w:sz w:val="24"/>
                <w:szCs w:val="20"/>
                <w:highlight w:val="none"/>
                <w:lang w:val="en-US" w:eastAsia="zh-CN" w:bidi="ar-SA"/>
              </w:rPr>
              <w:t>分；</w:t>
            </w:r>
          </w:p>
          <w:p w14:paraId="6F5D2911">
            <w:pPr>
              <w:jc w:val="left"/>
              <w:rPr>
                <w:rFonts w:hint="eastAsia" w:ascii="宋体" w:hAnsi="Times New Roman" w:eastAsia="宋体" w:cs="Times New Roman"/>
                <w:color w:val="auto"/>
                <w:sz w:val="24"/>
                <w:szCs w:val="20"/>
                <w:highlight w:val="none"/>
                <w:lang w:val="en-US" w:eastAsia="zh-CN" w:bidi="ar-SA"/>
              </w:rPr>
            </w:pPr>
            <w:r>
              <w:rPr>
                <w:rFonts w:hint="eastAsia" w:cs="Times New Roman"/>
                <w:color w:val="auto"/>
                <w:sz w:val="24"/>
                <w:szCs w:val="20"/>
                <w:highlight w:val="none"/>
                <w:lang w:val="en-US" w:eastAsia="zh-CN" w:bidi="ar-SA"/>
              </w:rPr>
              <w:t>3</w:t>
            </w:r>
            <w:r>
              <w:rPr>
                <w:rFonts w:hint="eastAsia" w:ascii="宋体" w:hAnsi="Times New Roman" w:eastAsia="宋体" w:cs="Times New Roman"/>
                <w:color w:val="auto"/>
                <w:sz w:val="24"/>
                <w:szCs w:val="20"/>
                <w:highlight w:val="none"/>
                <w:lang w:val="en-US" w:eastAsia="zh-CN" w:bidi="ar-SA"/>
              </w:rPr>
              <w:t>.</w:t>
            </w:r>
            <w:r>
              <w:rPr>
                <w:rFonts w:hint="eastAsia" w:ascii="宋体" w:hAnsi="Times New Roman" w:eastAsia="宋体" w:cs="Times New Roman"/>
                <w:color w:val="auto"/>
                <w:sz w:val="24"/>
                <w:szCs w:val="20"/>
                <w:highlight w:val="none"/>
                <w:lang w:val="zh-CN" w:eastAsia="zh-CN" w:bidi="ar-SA"/>
              </w:rPr>
              <w:t>项目组</w:t>
            </w:r>
            <w:r>
              <w:rPr>
                <w:rFonts w:hint="eastAsia" w:ascii="宋体" w:hAnsi="Times New Roman" w:eastAsia="宋体" w:cs="Times New Roman"/>
                <w:color w:val="auto"/>
                <w:sz w:val="24"/>
                <w:szCs w:val="20"/>
                <w:highlight w:val="none"/>
                <w:lang w:val="en-US" w:eastAsia="zh-CN" w:bidi="ar-SA"/>
              </w:rPr>
              <w:t>渗透测试人员须具有国家网络安全应用检测专业测评人员（NSATP-A)证书，满足要求得</w:t>
            </w:r>
            <w:r>
              <w:rPr>
                <w:rFonts w:hint="eastAsia" w:cs="Times New Roman"/>
                <w:color w:val="auto"/>
                <w:sz w:val="24"/>
                <w:szCs w:val="20"/>
                <w:highlight w:val="none"/>
                <w:lang w:val="en-US" w:eastAsia="zh-CN" w:bidi="ar-SA"/>
              </w:rPr>
              <w:t>1</w:t>
            </w:r>
            <w:r>
              <w:rPr>
                <w:rFonts w:hint="eastAsia" w:ascii="宋体" w:hAnsi="Times New Roman" w:eastAsia="宋体" w:cs="Times New Roman"/>
                <w:color w:val="auto"/>
                <w:sz w:val="24"/>
                <w:szCs w:val="20"/>
                <w:highlight w:val="none"/>
                <w:lang w:val="en-US" w:eastAsia="zh-CN" w:bidi="ar-SA"/>
              </w:rPr>
              <w:t>分；此渗透测试人员同时具备信息安全保障人员认证证书（CISAW-应急服务）、注册网络安全源代码审计专业人员（NSATP-SCA)证书、软件质量检验师证书得3分，本项满分</w:t>
            </w:r>
            <w:r>
              <w:rPr>
                <w:rFonts w:hint="eastAsia" w:cs="Times New Roman"/>
                <w:color w:val="auto"/>
                <w:sz w:val="24"/>
                <w:szCs w:val="20"/>
                <w:highlight w:val="none"/>
                <w:lang w:val="en-US" w:eastAsia="zh-CN" w:bidi="ar-SA"/>
              </w:rPr>
              <w:t>4</w:t>
            </w:r>
            <w:r>
              <w:rPr>
                <w:rFonts w:hint="eastAsia" w:ascii="宋体" w:hAnsi="Times New Roman" w:eastAsia="宋体" w:cs="Times New Roman"/>
                <w:color w:val="auto"/>
                <w:sz w:val="24"/>
                <w:szCs w:val="20"/>
                <w:highlight w:val="none"/>
                <w:lang w:val="en-US" w:eastAsia="zh-CN" w:bidi="ar-SA"/>
              </w:rPr>
              <w:t>分</w:t>
            </w:r>
            <w:r>
              <w:rPr>
                <w:rFonts w:hint="eastAsia" w:hAnsi="Times New Roman" w:cs="Times New Roman"/>
                <w:color w:val="auto"/>
                <w:sz w:val="24"/>
                <w:szCs w:val="20"/>
                <w:highlight w:val="none"/>
                <w:lang w:val="en-US" w:eastAsia="zh-CN" w:bidi="ar-SA"/>
              </w:rPr>
              <w:t>。</w:t>
            </w:r>
          </w:p>
          <w:p w14:paraId="38C00852">
            <w:pPr>
              <w:jc w:val="left"/>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以上项目人员需提供近3个月社保证明。以上所有人员须提供证书复印件并加盖供应商公章。</w:t>
            </w:r>
          </w:p>
        </w:tc>
        <w:tc>
          <w:tcPr>
            <w:tcW w:w="826" w:type="dxa"/>
            <w:noWrap w:val="0"/>
            <w:vAlign w:val="center"/>
          </w:tcPr>
          <w:p w14:paraId="478E14D9">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r w14:paraId="424C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091" w:type="dxa"/>
            <w:vMerge w:val="continue"/>
            <w:noWrap w:val="0"/>
            <w:vAlign w:val="center"/>
          </w:tcPr>
          <w:p w14:paraId="184C3F80">
            <w:pPr>
              <w:spacing w:line="360" w:lineRule="auto"/>
              <w:rPr>
                <w:rFonts w:hint="eastAsia" w:hAnsi="宋体" w:cs="宋体"/>
                <w:color w:val="auto"/>
                <w:szCs w:val="24"/>
                <w:highlight w:val="none"/>
              </w:rPr>
            </w:pPr>
          </w:p>
        </w:tc>
        <w:tc>
          <w:tcPr>
            <w:tcW w:w="966" w:type="dxa"/>
            <w:noWrap w:val="0"/>
            <w:vAlign w:val="center"/>
          </w:tcPr>
          <w:p w14:paraId="6F7A91A6">
            <w:pPr>
              <w:pStyle w:val="36"/>
              <w:jc w:val="center"/>
              <w:rPr>
                <w:rFonts w:hint="eastAsia" w:hAnsi="宋体" w:eastAsia="宋体" w:cs="宋体"/>
                <w:color w:val="auto"/>
                <w:highlight w:val="none"/>
              </w:rPr>
            </w:pPr>
            <w:r>
              <w:rPr>
                <w:rFonts w:hint="eastAsia" w:hAnsi="宋体" w:eastAsia="宋体" w:cs="宋体"/>
                <w:color w:val="auto"/>
                <w:highlight w:val="none"/>
                <w:lang w:val="en-US" w:eastAsia="zh-CN"/>
              </w:rPr>
              <w:t>售后服务承诺</w:t>
            </w:r>
          </w:p>
        </w:tc>
        <w:tc>
          <w:tcPr>
            <w:tcW w:w="6570" w:type="dxa"/>
            <w:noWrap w:val="0"/>
            <w:vAlign w:val="center"/>
          </w:tcPr>
          <w:p w14:paraId="264986F0">
            <w:pPr>
              <w:jc w:val="left"/>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为保障采购人在测评项目结束后的信息安全，要求服务方提供完善的售后服务，包括应急响应、电话支持服务、安全咨询服务等，提供的内容详尽，描述合理计</w:t>
            </w:r>
            <w:r>
              <w:rPr>
                <w:rFonts w:hint="eastAsia" w:cs="Times New Roman"/>
                <w:color w:val="auto"/>
                <w:sz w:val="24"/>
                <w:szCs w:val="20"/>
                <w:highlight w:val="none"/>
                <w:lang w:val="en-US" w:eastAsia="zh-CN" w:bidi="ar-SA"/>
              </w:rPr>
              <w:t>5-10</w:t>
            </w:r>
            <w:r>
              <w:rPr>
                <w:rFonts w:hint="eastAsia" w:ascii="宋体" w:hAnsi="Times New Roman" w:eastAsia="宋体" w:cs="Times New Roman"/>
                <w:color w:val="auto"/>
                <w:sz w:val="24"/>
                <w:szCs w:val="20"/>
                <w:highlight w:val="none"/>
                <w:lang w:val="en-US" w:eastAsia="zh-CN" w:bidi="ar-SA"/>
              </w:rPr>
              <w:t>分；提供的内容较为详尽，描述欠合理的计1-</w:t>
            </w:r>
            <w:r>
              <w:rPr>
                <w:rFonts w:hint="eastAsia" w:cs="Times New Roman"/>
                <w:color w:val="auto"/>
                <w:sz w:val="24"/>
                <w:szCs w:val="20"/>
                <w:highlight w:val="none"/>
                <w:lang w:val="en-US" w:eastAsia="zh-CN" w:bidi="ar-SA"/>
              </w:rPr>
              <w:t>5</w:t>
            </w:r>
            <w:r>
              <w:rPr>
                <w:rFonts w:hint="eastAsia" w:ascii="宋体" w:hAnsi="Times New Roman" w:eastAsia="宋体" w:cs="Times New Roman"/>
                <w:color w:val="auto"/>
                <w:sz w:val="24"/>
                <w:szCs w:val="20"/>
                <w:highlight w:val="none"/>
                <w:lang w:val="en-US" w:eastAsia="zh-CN" w:bidi="ar-SA"/>
              </w:rPr>
              <w:t>分</w:t>
            </w:r>
            <w:r>
              <w:rPr>
                <w:rFonts w:hint="eastAsia" w:cs="Times New Roman"/>
                <w:color w:val="auto"/>
                <w:sz w:val="24"/>
                <w:szCs w:val="20"/>
                <w:highlight w:val="none"/>
                <w:lang w:val="en-US" w:eastAsia="zh-CN" w:bidi="ar-SA"/>
              </w:rPr>
              <w:t>，</w:t>
            </w:r>
            <w:r>
              <w:rPr>
                <w:rFonts w:hint="eastAsia" w:ascii="宋体" w:hAnsi="Times New Roman" w:eastAsia="宋体" w:cs="Times New Roman"/>
                <w:color w:val="auto"/>
                <w:sz w:val="24"/>
                <w:szCs w:val="20"/>
                <w:highlight w:val="none"/>
                <w:lang w:val="en-US" w:eastAsia="zh-CN" w:bidi="ar-SA"/>
              </w:rPr>
              <w:t>不响应不得分</w:t>
            </w:r>
            <w:r>
              <w:rPr>
                <w:rFonts w:hint="eastAsia" w:cs="Times New Roman"/>
                <w:color w:val="auto"/>
                <w:sz w:val="24"/>
                <w:szCs w:val="20"/>
                <w:highlight w:val="none"/>
                <w:lang w:val="en-US" w:eastAsia="zh-CN" w:bidi="ar-SA"/>
              </w:rPr>
              <w:t>。</w:t>
            </w:r>
          </w:p>
        </w:tc>
        <w:tc>
          <w:tcPr>
            <w:tcW w:w="826" w:type="dxa"/>
            <w:noWrap w:val="0"/>
            <w:vAlign w:val="center"/>
          </w:tcPr>
          <w:p w14:paraId="0653E189">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27B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91" w:type="dxa"/>
            <w:vMerge w:val="continue"/>
            <w:noWrap w:val="0"/>
            <w:vAlign w:val="center"/>
          </w:tcPr>
          <w:p w14:paraId="23F95F1D">
            <w:pPr>
              <w:spacing w:line="360" w:lineRule="auto"/>
              <w:ind w:firstLine="480" w:firstLineChars="200"/>
              <w:rPr>
                <w:rFonts w:hint="eastAsia" w:hAnsi="宋体" w:cs="宋体"/>
                <w:color w:val="auto"/>
                <w:szCs w:val="24"/>
                <w:highlight w:val="none"/>
              </w:rPr>
            </w:pPr>
          </w:p>
        </w:tc>
        <w:tc>
          <w:tcPr>
            <w:tcW w:w="966" w:type="dxa"/>
            <w:noWrap w:val="0"/>
            <w:vAlign w:val="center"/>
          </w:tcPr>
          <w:p w14:paraId="1E21EB07">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570" w:type="dxa"/>
            <w:noWrap w:val="0"/>
            <w:vAlign w:val="center"/>
          </w:tcPr>
          <w:p w14:paraId="58A9E5CF">
            <w:pPr>
              <w:pStyle w:val="36"/>
              <w:jc w:val="both"/>
              <w:rPr>
                <w:rFonts w:hint="eastAsia" w:ascii="宋体" w:hAnsi="Times New Roman" w:eastAsia="宋体" w:cs="Times New Roman"/>
                <w:color w:val="auto"/>
                <w:sz w:val="24"/>
                <w:szCs w:val="20"/>
                <w:highlight w:val="none"/>
                <w:lang w:val="en-US" w:eastAsia="zh-CN" w:bidi="ar-SA"/>
              </w:rPr>
            </w:pPr>
            <w:r>
              <w:rPr>
                <w:rFonts w:hint="eastAsia" w:ascii="宋体" w:hAnsi="Times New Roman" w:eastAsia="宋体" w:cs="Times New Roman"/>
                <w:color w:val="auto"/>
                <w:sz w:val="24"/>
                <w:szCs w:val="20"/>
                <w:highlight w:val="none"/>
                <w:lang w:val="en-US" w:eastAsia="zh-CN" w:bidi="ar-SA"/>
              </w:rPr>
              <w:t>提供2022年5月以后类似项目业绩，每提供一份计2分，满分10分（业绩以合同复印件或中标通知书为依据）。</w:t>
            </w:r>
          </w:p>
        </w:tc>
        <w:tc>
          <w:tcPr>
            <w:tcW w:w="826" w:type="dxa"/>
            <w:noWrap w:val="0"/>
            <w:vAlign w:val="center"/>
          </w:tcPr>
          <w:p w14:paraId="0D7BA94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20"/>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3"/>
        <w:jc w:val="center"/>
        <w:rPr>
          <w:rFonts w:ascii="宋体" w:eastAsia="宋体" w:cs="宋体"/>
          <w:bCs/>
          <w:color w:val="auto"/>
          <w:sz w:val="36"/>
          <w:szCs w:val="36"/>
          <w:highlight w:val="none"/>
        </w:rPr>
      </w:pPr>
      <w:bookmarkStart w:id="103" w:name="_Toc2724"/>
      <w:bookmarkStart w:id="104" w:name="_Toc10029"/>
      <w:bookmarkStart w:id="105" w:name="_Toc8788"/>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20005"/>
      <w:bookmarkStart w:id="107" w:name="_Toc24218"/>
      <w:bookmarkStart w:id="108" w:name="_Toc26300"/>
      <w:bookmarkStart w:id="109" w:name="_Toc23705"/>
      <w:bookmarkStart w:id="110" w:name="_Toc32476"/>
      <w:bookmarkStart w:id="111" w:name="_Toc3424"/>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trPr>
        <w:tc>
          <w:tcPr>
            <w:tcW w:w="912" w:type="dxa"/>
            <w:vAlign w:val="center"/>
          </w:tcPr>
          <w:p w14:paraId="65D53542">
            <w:pPr>
              <w:spacing w:line="360" w:lineRule="auto"/>
              <w:jc w:val="center"/>
              <w:rPr>
                <w:rFonts w:hAnsi="宋体" w:cs="宋体"/>
                <w:color w:val="auto"/>
                <w:sz w:val="22"/>
                <w:szCs w:val="22"/>
                <w:highlight w:val="none"/>
              </w:rPr>
            </w:pPr>
            <w:r>
              <w:rPr>
                <w:rFonts w:hint="eastAsia" w:hAnsi="宋体" w:cs="宋体"/>
                <w:color w:val="auto"/>
                <w:sz w:val="22"/>
                <w:szCs w:val="22"/>
                <w:highlight w:val="none"/>
              </w:rPr>
              <w:t>条款号</w:t>
            </w:r>
          </w:p>
        </w:tc>
        <w:tc>
          <w:tcPr>
            <w:tcW w:w="8440" w:type="dxa"/>
            <w:vAlign w:val="center"/>
          </w:tcPr>
          <w:p w14:paraId="230CB97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 w:hRule="atLeast"/>
        </w:trPr>
        <w:tc>
          <w:tcPr>
            <w:tcW w:w="912" w:type="dxa"/>
            <w:vAlign w:val="center"/>
          </w:tcPr>
          <w:p w14:paraId="4DAA6E8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1</w:t>
            </w:r>
          </w:p>
        </w:tc>
        <w:tc>
          <w:tcPr>
            <w:tcW w:w="8440" w:type="dxa"/>
            <w:vAlign w:val="center"/>
          </w:tcPr>
          <w:p w14:paraId="7425C9C2">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采购人名称：</w:t>
            </w:r>
            <w:r>
              <w:rPr>
                <w:rFonts w:hint="eastAsia" w:hAnsi="宋体" w:cs="宋体"/>
                <w:color w:val="auto"/>
                <w:sz w:val="22"/>
                <w:szCs w:val="22"/>
                <w:highlight w:val="none"/>
                <w:lang w:val="en-US" w:eastAsia="zh-CN"/>
              </w:rPr>
              <w:t>西安美术学院</w:t>
            </w:r>
          </w:p>
          <w:p w14:paraId="3CBA9BD3">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地      址：</w:t>
            </w:r>
            <w:r>
              <w:rPr>
                <w:rFonts w:hint="eastAsia" w:hAnsi="宋体" w:cs="宋体"/>
                <w:color w:val="auto"/>
                <w:highlight w:val="none"/>
              </w:rPr>
              <w:t>西安市雁塔区含光路100号</w:t>
            </w:r>
          </w:p>
          <w:p w14:paraId="7C89F0B9">
            <w:pPr>
              <w:spacing w:line="360" w:lineRule="auto"/>
              <w:rPr>
                <w:rFonts w:hint="eastAsia" w:hAnsi="宋体" w:eastAsia="宋体" w:cs="宋体"/>
                <w:color w:val="auto"/>
                <w:sz w:val="22"/>
                <w:szCs w:val="22"/>
                <w:highlight w:val="none"/>
                <w:lang w:eastAsia="zh-CN"/>
              </w:rPr>
            </w:pPr>
            <w:r>
              <w:rPr>
                <w:rFonts w:hint="eastAsia" w:hAnsi="宋体" w:cs="宋体"/>
                <w:color w:val="auto"/>
                <w:sz w:val="22"/>
                <w:szCs w:val="22"/>
                <w:highlight w:val="none"/>
              </w:rPr>
              <w:t>项目名称：西安美院信息系统网络安全等级保护测评服务采购项目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2</w:t>
            </w:r>
          </w:p>
        </w:tc>
        <w:tc>
          <w:tcPr>
            <w:tcW w:w="8440" w:type="dxa"/>
            <w:vAlign w:val="center"/>
          </w:tcPr>
          <w:p w14:paraId="4604D0A2">
            <w:pPr>
              <w:spacing w:line="360" w:lineRule="auto"/>
              <w:rPr>
                <w:rFonts w:hint="default" w:hAnsi="宋体" w:eastAsia="宋体" w:cs="宋体"/>
                <w:color w:val="auto"/>
                <w:sz w:val="22"/>
                <w:szCs w:val="22"/>
                <w:highlight w:val="none"/>
                <w:lang w:val="en-US" w:eastAsia="zh-CN"/>
              </w:rPr>
            </w:pPr>
            <w:r>
              <w:rPr>
                <w:rFonts w:hint="eastAsia" w:hAnsi="宋体" w:cs="宋体"/>
                <w:color w:val="auto"/>
                <w:sz w:val="22"/>
                <w:szCs w:val="22"/>
                <w:highlight w:val="none"/>
              </w:rPr>
              <w:t>项目实施地点：</w:t>
            </w:r>
            <w:r>
              <w:rPr>
                <w:rFonts w:hint="eastAsia" w:hAnsi="宋体" w:cs="宋体"/>
                <w:color w:val="auto"/>
                <w:sz w:val="22"/>
                <w:szCs w:val="22"/>
                <w:highlight w:val="none"/>
                <w:lang w:val="en-US" w:eastAsia="zh-CN"/>
              </w:rPr>
              <w:t>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2"/>
                <w:szCs w:val="22"/>
                <w:highlight w:val="none"/>
              </w:rPr>
            </w:pPr>
            <w:r>
              <w:rPr>
                <w:rFonts w:hint="eastAsia" w:hAnsi="宋体" w:cs="宋体"/>
                <w:color w:val="auto"/>
                <w:sz w:val="22"/>
                <w:szCs w:val="22"/>
                <w:highlight w:val="none"/>
              </w:rPr>
              <w:t>3</w:t>
            </w:r>
          </w:p>
        </w:tc>
        <w:tc>
          <w:tcPr>
            <w:tcW w:w="8440" w:type="dxa"/>
            <w:vAlign w:val="center"/>
          </w:tcPr>
          <w:p w14:paraId="01D2A512">
            <w:pPr>
              <w:pStyle w:val="8"/>
              <w:ind w:firstLine="0" w:firstLineChars="0"/>
              <w:rPr>
                <w:rFonts w:hAnsi="宋体" w:cs="宋体"/>
                <w:color w:val="auto"/>
                <w:sz w:val="20"/>
                <w:szCs w:val="22"/>
                <w:highlight w:val="none"/>
              </w:rPr>
            </w:pPr>
            <w:r>
              <w:rPr>
                <w:rFonts w:hint="eastAsia" w:ascii="宋体" w:hAnsi="宋体" w:cs="宋体"/>
                <w:color w:val="auto"/>
                <w:sz w:val="22"/>
                <w:szCs w:val="22"/>
                <w:highlight w:val="none"/>
              </w:rPr>
              <w:t>服务期限：自合同签订之日起3个月内完成测评的实施，2025年10月31日前交付公安机关备案的测评报告与整改方案。自学院验收合格之日起，服务方应免费提供两年技术支持及咨询服务。</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2"/>
                <w:szCs w:val="22"/>
                <w:highlight w:val="none"/>
              </w:rPr>
            </w:pPr>
            <w:r>
              <w:rPr>
                <w:rFonts w:hint="eastAsia" w:hAnsi="宋体" w:cs="宋体"/>
                <w:color w:val="auto"/>
                <w:sz w:val="22"/>
                <w:szCs w:val="22"/>
                <w:highlight w:val="none"/>
              </w:rPr>
              <w:t>4</w:t>
            </w:r>
          </w:p>
        </w:tc>
        <w:tc>
          <w:tcPr>
            <w:tcW w:w="8440" w:type="dxa"/>
            <w:vAlign w:val="center"/>
          </w:tcPr>
          <w:p w14:paraId="6A9CC273">
            <w:pPr>
              <w:spacing w:line="360" w:lineRule="auto"/>
              <w:rPr>
                <w:rFonts w:hAnsi="宋体" w:cs="宋体"/>
                <w:b/>
                <w:color w:val="auto"/>
                <w:sz w:val="22"/>
                <w:szCs w:val="22"/>
                <w:highlight w:val="none"/>
              </w:rPr>
            </w:pPr>
            <w:r>
              <w:rPr>
                <w:rFonts w:hint="eastAsia" w:hAnsi="宋体" w:cs="宋体"/>
                <w:b/>
                <w:color w:val="auto"/>
                <w:sz w:val="22"/>
                <w:szCs w:val="22"/>
                <w:highlight w:val="none"/>
              </w:rPr>
              <w:t>付款：</w:t>
            </w:r>
          </w:p>
          <w:p w14:paraId="0247E17D">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2.付款方式和程序：</w:t>
            </w:r>
          </w:p>
          <w:p w14:paraId="746F0C34">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2.1由采购人负责结算，在付款前，供应商必须开具全额发票给采购人（附详细清单）。</w:t>
            </w:r>
          </w:p>
          <w:p w14:paraId="1D7F835B">
            <w:pPr>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2.2付款方式：</w:t>
            </w:r>
          </w:p>
          <w:p w14:paraId="3627868C">
            <w:pPr>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合同签订后并完成信息系统的备案，甲方向乙方支付合同总金额的40%款项作为预付款；项目实施完成并学院验收合格后，甲方向乙方支付合同总金额的60%款项。以上付款阶段付款前乙方需向甲方开具相应金额的增值税普通发票。</w:t>
            </w:r>
            <w:r>
              <w:rPr>
                <w:rFonts w:hint="eastAsia" w:hAnsi="宋体" w:cs="宋体"/>
                <w:color w:val="auto"/>
                <w:sz w:val="22"/>
                <w:szCs w:val="22"/>
                <w:highlight w:val="none"/>
              </w:rPr>
              <w:t>（具体以签订合同为准）。</w:t>
            </w:r>
          </w:p>
          <w:p w14:paraId="11EE0127">
            <w:pPr>
              <w:spacing w:line="360" w:lineRule="auto"/>
              <w:ind w:firstLine="442" w:firstLineChars="200"/>
              <w:rPr>
                <w:rFonts w:hAnsi="宋体" w:cs="宋体"/>
                <w:color w:val="auto"/>
                <w:sz w:val="22"/>
                <w:szCs w:val="22"/>
                <w:highlight w:val="none"/>
              </w:rPr>
            </w:pPr>
            <w:r>
              <w:rPr>
                <w:rFonts w:hint="eastAsia" w:hAnsi="宋体" w:cs="宋体"/>
                <w:b/>
                <w:color w:val="auto"/>
                <w:sz w:val="22"/>
                <w:szCs w:val="22"/>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2"/>
                <w:szCs w:val="22"/>
                <w:highlight w:val="none"/>
              </w:rPr>
            </w:pPr>
            <w:r>
              <w:rPr>
                <w:rFonts w:hint="eastAsia" w:hAnsi="宋体" w:cs="宋体"/>
                <w:color w:val="auto"/>
                <w:sz w:val="22"/>
                <w:szCs w:val="22"/>
                <w:highlight w:val="none"/>
              </w:rPr>
              <w:t>5</w:t>
            </w:r>
          </w:p>
        </w:tc>
        <w:tc>
          <w:tcPr>
            <w:tcW w:w="8440" w:type="dxa"/>
            <w:vAlign w:val="center"/>
          </w:tcPr>
          <w:p w14:paraId="7FC41AE5">
            <w:pPr>
              <w:spacing w:line="360" w:lineRule="auto"/>
              <w:rPr>
                <w:rFonts w:hAnsi="宋体" w:cs="宋体"/>
                <w:b/>
                <w:color w:val="auto"/>
                <w:sz w:val="22"/>
                <w:szCs w:val="22"/>
                <w:highlight w:val="none"/>
              </w:rPr>
            </w:pPr>
            <w:r>
              <w:rPr>
                <w:rFonts w:hint="eastAsia" w:hAnsi="宋体" w:cs="宋体"/>
                <w:b/>
                <w:color w:val="auto"/>
                <w:sz w:val="22"/>
                <w:szCs w:val="22"/>
                <w:highlight w:val="none"/>
              </w:rPr>
              <w:t>服务支持：</w:t>
            </w:r>
          </w:p>
          <w:p w14:paraId="49B1D659">
            <w:pPr>
              <w:spacing w:line="360" w:lineRule="auto"/>
              <w:ind w:firstLine="440" w:firstLineChars="200"/>
              <w:jc w:val="left"/>
              <w:rPr>
                <w:rFonts w:hAnsi="宋体" w:cs="宋体"/>
                <w:color w:val="auto"/>
                <w:sz w:val="22"/>
                <w:szCs w:val="22"/>
                <w:highlight w:val="none"/>
              </w:rPr>
            </w:pPr>
            <w:r>
              <w:rPr>
                <w:rFonts w:hint="eastAsia" w:hAnsi="宋体" w:cs="宋体"/>
                <w:bCs/>
                <w:color w:val="auto"/>
                <w:sz w:val="22"/>
                <w:szCs w:val="22"/>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2"/>
                <w:szCs w:val="22"/>
                <w:highlight w:val="none"/>
              </w:rPr>
            </w:pPr>
            <w:r>
              <w:rPr>
                <w:rFonts w:hint="eastAsia" w:hAnsi="宋体" w:cs="宋体"/>
                <w:color w:val="auto"/>
                <w:sz w:val="22"/>
                <w:szCs w:val="22"/>
                <w:highlight w:val="none"/>
              </w:rPr>
              <w:t>6</w:t>
            </w:r>
          </w:p>
        </w:tc>
        <w:tc>
          <w:tcPr>
            <w:tcW w:w="8440" w:type="dxa"/>
            <w:vAlign w:val="center"/>
          </w:tcPr>
          <w:p w14:paraId="53C90ADF">
            <w:pPr>
              <w:spacing w:line="360" w:lineRule="auto"/>
              <w:rPr>
                <w:rFonts w:hAnsi="宋体" w:cs="宋体"/>
                <w:b/>
                <w:color w:val="auto"/>
                <w:sz w:val="22"/>
                <w:szCs w:val="22"/>
                <w:highlight w:val="none"/>
              </w:rPr>
            </w:pPr>
            <w:r>
              <w:rPr>
                <w:rFonts w:hint="eastAsia" w:hAnsi="宋体" w:cs="宋体"/>
                <w:b/>
                <w:color w:val="auto"/>
                <w:sz w:val="22"/>
                <w:szCs w:val="22"/>
                <w:highlight w:val="none"/>
              </w:rPr>
              <w:t>知识产权、专利权：</w:t>
            </w:r>
          </w:p>
          <w:p w14:paraId="011EEA6E">
            <w:pPr>
              <w:tabs>
                <w:tab w:val="left" w:pos="498"/>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2"/>
                <w:szCs w:val="22"/>
                <w:highlight w:val="none"/>
              </w:rPr>
            </w:pPr>
            <w:r>
              <w:rPr>
                <w:rFonts w:hint="eastAsia" w:hAnsi="宋体" w:cs="宋体"/>
                <w:color w:val="auto"/>
                <w:sz w:val="22"/>
                <w:szCs w:val="22"/>
                <w:highlight w:val="none"/>
              </w:rPr>
              <w:t>7</w:t>
            </w:r>
          </w:p>
        </w:tc>
        <w:tc>
          <w:tcPr>
            <w:tcW w:w="8440" w:type="dxa"/>
            <w:vAlign w:val="center"/>
          </w:tcPr>
          <w:p w14:paraId="417F6DB1">
            <w:pPr>
              <w:spacing w:line="360" w:lineRule="auto"/>
              <w:rPr>
                <w:rFonts w:hAnsi="宋体" w:cs="宋体"/>
                <w:b/>
                <w:color w:val="auto"/>
                <w:sz w:val="22"/>
                <w:szCs w:val="22"/>
                <w:highlight w:val="none"/>
              </w:rPr>
            </w:pPr>
            <w:r>
              <w:rPr>
                <w:rFonts w:hint="eastAsia" w:hAnsi="宋体" w:cs="宋体"/>
                <w:b/>
                <w:color w:val="auto"/>
                <w:sz w:val="22"/>
                <w:szCs w:val="22"/>
                <w:highlight w:val="none"/>
              </w:rPr>
              <w:t>违约责任：</w:t>
            </w:r>
          </w:p>
          <w:p w14:paraId="11A3C416">
            <w:pPr>
              <w:tabs>
                <w:tab w:val="left" w:pos="152"/>
              </w:tabs>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1、按《中华人民共和国民法典》中的相关条款执行。</w:t>
            </w:r>
          </w:p>
          <w:p w14:paraId="363EEA23">
            <w:pPr>
              <w:snapToGrid w:val="0"/>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color w:val="auto"/>
                <w:szCs w:val="24"/>
                <w:highlight w:val="none"/>
                <w:lang w:val="en-US" w:eastAsia="zh-CN"/>
              </w:rPr>
              <w:t>中华人民共和国</w:t>
            </w:r>
            <w:r>
              <w:rPr>
                <w:rFonts w:hint="eastAsia" w:hAnsi="宋体" w:cs="宋体"/>
                <w:color w:val="auto"/>
                <w:sz w:val="22"/>
                <w:szCs w:val="22"/>
                <w:highlight w:val="none"/>
              </w:rPr>
              <w:t>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2"/>
                <w:szCs w:val="22"/>
                <w:highlight w:val="none"/>
              </w:rPr>
            </w:pPr>
            <w:r>
              <w:rPr>
                <w:rFonts w:hint="eastAsia" w:hAnsi="宋体" w:cs="宋体"/>
                <w:color w:val="auto"/>
                <w:sz w:val="22"/>
                <w:szCs w:val="22"/>
                <w:highlight w:val="none"/>
              </w:rPr>
              <w:t>8</w:t>
            </w:r>
          </w:p>
        </w:tc>
        <w:tc>
          <w:tcPr>
            <w:tcW w:w="8440" w:type="dxa"/>
            <w:vAlign w:val="center"/>
          </w:tcPr>
          <w:p w14:paraId="4EA77D40">
            <w:pPr>
              <w:spacing w:line="360" w:lineRule="auto"/>
              <w:rPr>
                <w:rFonts w:hAnsi="宋体" w:cs="宋体"/>
                <w:b/>
                <w:color w:val="auto"/>
                <w:sz w:val="22"/>
                <w:szCs w:val="22"/>
                <w:highlight w:val="none"/>
              </w:rPr>
            </w:pPr>
            <w:r>
              <w:rPr>
                <w:rFonts w:hint="eastAsia" w:hAnsi="宋体" w:cs="宋体"/>
                <w:b/>
                <w:color w:val="auto"/>
                <w:sz w:val="22"/>
                <w:szCs w:val="22"/>
                <w:highlight w:val="none"/>
              </w:rPr>
              <w:t>政府采购合同：</w:t>
            </w:r>
          </w:p>
          <w:p w14:paraId="580B0E61">
            <w:pPr>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政府采购合同适用中华人民共和国民法典。采购人和供应商之间的权利和义务，应当按照平等、自愿的原则以合同方式约定。</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4"/>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2"/>
                <w:szCs w:val="22"/>
                <w:highlight w:val="none"/>
              </w:rPr>
              <w:br w:type="textWrapping"/>
            </w:r>
            <w:r>
              <w:rPr>
                <w:rFonts w:hint="eastAsia" w:hAnsi="宋体" w:cs="宋体"/>
                <w:color w:val="auto"/>
                <w:sz w:val="22"/>
                <w:szCs w:val="22"/>
                <w:highlight w:val="none"/>
              </w:rPr>
              <w:t xml:space="preserve">    政府采购合同的双方当事人不得擅自变更、中止或者终止合同。</w:t>
            </w:r>
            <w:r>
              <w:rPr>
                <w:rFonts w:hint="eastAsia" w:hAnsi="宋体" w:cs="宋体"/>
                <w:color w:val="auto"/>
                <w:sz w:val="22"/>
                <w:szCs w:val="22"/>
                <w:highlight w:val="none"/>
              </w:rPr>
              <w:br w:type="textWrapping"/>
            </w:r>
            <w:r>
              <w:rPr>
                <w:rFonts w:hint="eastAsia" w:hAnsi="宋体" w:cs="宋体"/>
                <w:color w:val="auto"/>
                <w:sz w:val="22"/>
                <w:szCs w:val="22"/>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19199"/>
      <w:bookmarkStart w:id="113" w:name="_Toc389582037"/>
      <w:bookmarkStart w:id="114" w:name="_Toc19246"/>
      <w:bookmarkStart w:id="115" w:name="_Toc4679"/>
      <w:bookmarkStart w:id="116" w:name="_Toc423973075"/>
      <w:bookmarkStart w:id="117" w:name="_Toc26595"/>
      <w:bookmarkStart w:id="118" w:name="_Toc8333"/>
      <w:bookmarkStart w:id="119" w:name="_Toc29888"/>
      <w:bookmarkStart w:id="120" w:name="_Toc31520"/>
      <w:r>
        <w:rPr>
          <w:rFonts w:hint="eastAsia" w:hAnsi="宋体" w:cs="宋体"/>
          <w:b/>
          <w:bCs/>
          <w:color w:val="auto"/>
          <w:sz w:val="48"/>
          <w:szCs w:val="48"/>
          <w:highlight w:val="none"/>
        </w:rPr>
        <w:br w:type="page"/>
      </w:r>
    </w:p>
    <w:tbl>
      <w:tblPr>
        <w:tblStyle w:val="25"/>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18120"/>
      <w:bookmarkStart w:id="122" w:name="_Toc1362"/>
      <w:bookmarkStart w:id="123" w:name="_Toc5216"/>
      <w:bookmarkStart w:id="124" w:name="_Toc24004"/>
      <w:bookmarkStart w:id="125" w:name="_Toc7874"/>
      <w:bookmarkStart w:id="126" w:name="_Toc22328"/>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7965"/>
      <w:bookmarkStart w:id="128" w:name="_Toc20561"/>
      <w:bookmarkStart w:id="129" w:name="_Toc24621"/>
      <w:bookmarkStart w:id="130" w:name="_Toc28398"/>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highlight w:val="none"/>
        </w:rPr>
        <w:t>西安美院信息系统网络安全等级保护测评服务采购项目</w:t>
      </w:r>
      <w:r>
        <w:rPr>
          <w:rFonts w:hint="eastAsia" w:hAnsi="宋体" w:cs="宋体"/>
          <w:color w:val="auto"/>
          <w:szCs w:val="21"/>
          <w:highlight w:val="none"/>
        </w:rPr>
        <w:t>）相关采购要求的规定，合同双方就乙方向采购方提供</w:t>
      </w:r>
      <w:r>
        <w:rPr>
          <w:rFonts w:hint="eastAsia" w:hAnsi="宋体" w:cs="宋体"/>
          <w:color w:val="auto"/>
          <w:highlight w:val="none"/>
        </w:rPr>
        <w:t>西安美院信息系统网络安全等级保护测评服务采购项目</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15362"/>
      <w:bookmarkStart w:id="132" w:name="_Toc30883"/>
      <w:bookmarkStart w:id="133" w:name="_Toc8841"/>
      <w:bookmarkStart w:id="134" w:name="_Toc7407"/>
      <w:bookmarkStart w:id="135" w:name="_Toc12769"/>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3926"/>
      <w:bookmarkStart w:id="137" w:name="_Toc29331"/>
      <w:bookmarkStart w:id="138" w:name="_Toc8887"/>
      <w:bookmarkStart w:id="139" w:name="_Toc18749"/>
      <w:bookmarkStart w:id="140" w:name="_Toc4137"/>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28664"/>
      <w:bookmarkStart w:id="142" w:name="_Toc23247"/>
      <w:bookmarkStart w:id="143" w:name="_Toc9765"/>
      <w:bookmarkStart w:id="144" w:name="_Toc6296"/>
      <w:bookmarkStart w:id="145" w:name="_Toc22511"/>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9555"/>
      <w:bookmarkStart w:id="147" w:name="_Toc24406"/>
      <w:bookmarkStart w:id="148" w:name="_Toc21171"/>
      <w:bookmarkStart w:id="149" w:name="_Toc21110"/>
      <w:bookmarkStart w:id="150" w:name="_Toc21714"/>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15947"/>
      <w:bookmarkStart w:id="152" w:name="_Toc7966"/>
      <w:bookmarkStart w:id="153" w:name="_Toc32459"/>
      <w:bookmarkStart w:id="154" w:name="_Toc27382"/>
      <w:bookmarkStart w:id="155" w:name="_Toc15118"/>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13959"/>
      <w:bookmarkStart w:id="157" w:name="_Toc21314"/>
      <w:bookmarkStart w:id="158" w:name="_Toc12558"/>
      <w:bookmarkStart w:id="159" w:name="_Toc23868"/>
      <w:bookmarkStart w:id="160" w:name="_Toc9903"/>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3572"/>
      <w:bookmarkStart w:id="162" w:name="_Toc12975"/>
      <w:bookmarkStart w:id="163" w:name="_Toc28855"/>
      <w:bookmarkStart w:id="164" w:name="_Toc14409"/>
      <w:bookmarkStart w:id="165" w:name="_Toc22161"/>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31076"/>
      <w:bookmarkStart w:id="167" w:name="_Toc30681"/>
      <w:bookmarkStart w:id="168" w:name="_Toc7598"/>
      <w:bookmarkStart w:id="169" w:name="_Toc9858"/>
      <w:bookmarkStart w:id="170" w:name="_Toc20026"/>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color w:val="auto"/>
          <w:szCs w:val="24"/>
          <w:highlight w:val="none"/>
          <w:lang w:val="en-US" w:eastAsia="zh-CN"/>
        </w:rPr>
        <w:t>中华人民共和国</w:t>
      </w:r>
      <w:r>
        <w:rPr>
          <w:rFonts w:hint="eastAsia" w:hAnsi="宋体" w:cs="宋体"/>
          <w:color w:val="auto"/>
          <w:szCs w:val="21"/>
          <w:highlight w:val="none"/>
        </w:rPr>
        <w:t>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15856"/>
      <w:bookmarkStart w:id="172" w:name="_Toc30630"/>
      <w:bookmarkStart w:id="173" w:name="_Toc27523"/>
      <w:bookmarkStart w:id="174" w:name="_Toc29958"/>
      <w:bookmarkStart w:id="175" w:name="_Toc13662"/>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2858"/>
      <w:bookmarkStart w:id="177" w:name="_Toc18389"/>
      <w:bookmarkStart w:id="178" w:name="_Toc7342"/>
      <w:bookmarkStart w:id="179" w:name="_Toc25612"/>
      <w:bookmarkStart w:id="180" w:name="_Toc11478"/>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823"/>
      <w:bookmarkStart w:id="182" w:name="_Toc21232"/>
      <w:bookmarkStart w:id="183" w:name="_Toc31909"/>
      <w:bookmarkStart w:id="184" w:name="_Toc18225"/>
      <w:bookmarkStart w:id="185" w:name="_Toc18381"/>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3"/>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1119"/>
      <w:bookmarkStart w:id="187" w:name="_Toc8072"/>
      <w:bookmarkStart w:id="188" w:name="_Toc4254"/>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2B3200CD">
      <w:pPr>
        <w:tabs>
          <w:tab w:val="left" w:pos="480"/>
        </w:tabs>
        <w:spacing w:line="360" w:lineRule="auto"/>
        <w:ind w:firstLine="480" w:firstLineChars="200"/>
        <w:rPr>
          <w:rFonts w:hint="default" w:hAnsi="宋体" w:cs="宋体"/>
          <w:color w:val="auto"/>
          <w:szCs w:val="21"/>
          <w:highlight w:val="none"/>
          <w:lang w:val="en-US" w:eastAsia="zh-CN"/>
        </w:rPr>
      </w:pPr>
      <w:bookmarkStart w:id="189" w:name="_Toc5084"/>
      <w:bookmarkStart w:id="190" w:name="_Toc363474025"/>
      <w:bookmarkStart w:id="191" w:name="_Toc403077646"/>
      <w:bookmarkStart w:id="192" w:name="_Toc6373"/>
      <w:bookmarkStart w:id="193" w:name="_Toc423973079"/>
      <w:r>
        <w:rPr>
          <w:rFonts w:hint="eastAsia" w:hAnsi="宋体" w:cs="宋体"/>
          <w:color w:val="auto"/>
          <w:szCs w:val="21"/>
          <w:highlight w:val="none"/>
        </w:rPr>
        <w:t>依据《中华人民共和国网络安全法》《中华人民共和国计算机信息系统安全保护条例》（国务院147号令）和《信息安全等级保护管理办法》等相关文件及标准要求，按《GB/T 22239-2019信息安全技术网络安全等级保护基本要求》等国家相关标准要求，对</w:t>
      </w:r>
      <w:r>
        <w:rPr>
          <w:rFonts w:hint="eastAsia" w:hAnsi="宋体" w:cs="宋体"/>
          <w:color w:val="auto"/>
          <w:szCs w:val="21"/>
          <w:highlight w:val="none"/>
          <w:lang w:val="en-US" w:eastAsia="zh-CN"/>
        </w:rPr>
        <w:t>学校</w:t>
      </w:r>
      <w:r>
        <w:rPr>
          <w:rFonts w:hint="eastAsia" w:hAnsi="宋体" w:cs="宋体"/>
          <w:color w:val="auto"/>
          <w:szCs w:val="21"/>
          <w:highlight w:val="none"/>
        </w:rPr>
        <w:t>信息系统现网环境开展测评</w:t>
      </w:r>
      <w:r>
        <w:rPr>
          <w:rFonts w:hint="eastAsia" w:hAnsi="宋体" w:cs="宋体"/>
          <w:color w:val="auto"/>
          <w:szCs w:val="21"/>
          <w:highlight w:val="none"/>
          <w:lang w:eastAsia="zh-CN"/>
        </w:rPr>
        <w:t>，</w:t>
      </w:r>
      <w:r>
        <w:rPr>
          <w:rFonts w:hint="eastAsia" w:hAnsi="宋体" w:cs="宋体"/>
          <w:color w:val="auto"/>
          <w:szCs w:val="21"/>
          <w:highlight w:val="none"/>
        </w:rPr>
        <w:t>查找</w:t>
      </w:r>
      <w:r>
        <w:rPr>
          <w:rFonts w:hint="eastAsia" w:hAnsi="宋体" w:cs="宋体"/>
          <w:color w:val="auto"/>
          <w:szCs w:val="21"/>
          <w:highlight w:val="none"/>
          <w:lang w:val="en-US" w:eastAsia="zh-CN"/>
        </w:rPr>
        <w:t>信息系统</w:t>
      </w:r>
      <w:r>
        <w:rPr>
          <w:rFonts w:hint="eastAsia" w:hAnsi="宋体" w:cs="宋体"/>
          <w:color w:val="auto"/>
          <w:szCs w:val="21"/>
          <w:highlight w:val="none"/>
        </w:rPr>
        <w:t>网络安全漏洞，进一步加强</w:t>
      </w:r>
      <w:r>
        <w:rPr>
          <w:rFonts w:hint="eastAsia" w:hAnsi="宋体" w:cs="宋体"/>
          <w:color w:val="auto"/>
          <w:szCs w:val="21"/>
          <w:highlight w:val="none"/>
          <w:lang w:val="en-US" w:eastAsia="zh-CN"/>
        </w:rPr>
        <w:t>学校</w:t>
      </w:r>
      <w:r>
        <w:rPr>
          <w:rFonts w:hint="eastAsia" w:hAnsi="宋体" w:cs="宋体"/>
          <w:color w:val="auto"/>
          <w:szCs w:val="21"/>
          <w:highlight w:val="none"/>
        </w:rPr>
        <w:t>网络及信息安全防护水平</w:t>
      </w:r>
      <w:r>
        <w:rPr>
          <w:rFonts w:hint="eastAsia" w:hAnsi="宋体" w:cs="宋体"/>
          <w:color w:val="auto"/>
          <w:szCs w:val="21"/>
          <w:highlight w:val="none"/>
          <w:lang w:eastAsia="zh-CN"/>
        </w:rPr>
        <w:t>。</w:t>
      </w:r>
      <w:r>
        <w:rPr>
          <w:rFonts w:hint="eastAsia" w:hAnsi="宋体" w:cs="宋体"/>
          <w:color w:val="auto"/>
          <w:szCs w:val="21"/>
          <w:highlight w:val="none"/>
          <w:lang w:val="en-US" w:eastAsia="zh-CN"/>
        </w:rPr>
        <w:t>具体技术内容与要求如下。</w:t>
      </w:r>
    </w:p>
    <w:p w14:paraId="61876288">
      <w:pPr>
        <w:keepNext w:val="0"/>
        <w:keepLines w:val="0"/>
        <w:pageBreakBefore w:val="0"/>
        <w:numPr>
          <w:ilvl w:val="0"/>
          <w:numId w:val="0"/>
        </w:numPr>
        <w:kinsoku/>
        <w:wordWrap/>
        <w:overflowPunct/>
        <w:topLinePunct w:val="0"/>
        <w:autoSpaceDE/>
        <w:autoSpaceDN/>
        <w:bidi w:val="0"/>
        <w:snapToGrid w:val="0"/>
        <w:spacing w:beforeLines="50" w:afterLines="50" w:line="360" w:lineRule="auto"/>
        <w:ind w:leftChars="0" w:firstLine="643" w:firstLineChars="200"/>
        <w:jc w:val="both"/>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lang w:val="en-US" w:eastAsia="zh-CN"/>
        </w:rPr>
        <w:t>一、服务范围</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5"/>
        <w:gridCol w:w="3143"/>
        <w:gridCol w:w="1722"/>
        <w:gridCol w:w="3670"/>
      </w:tblGrid>
      <w:tr w14:paraId="5BBC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513" w:type="pct"/>
            <w:noWrap w:val="0"/>
            <w:vAlign w:val="center"/>
          </w:tcPr>
          <w:p w14:paraId="306BED8C">
            <w:pPr>
              <w:bidi w:val="0"/>
              <w:jc w:val="center"/>
              <w:rPr>
                <w:rFonts w:hint="eastAsia"/>
              </w:rPr>
            </w:pPr>
            <w:r>
              <w:rPr>
                <w:rFonts w:hint="eastAsia"/>
              </w:rPr>
              <w:t>序号</w:t>
            </w:r>
          </w:p>
        </w:tc>
        <w:tc>
          <w:tcPr>
            <w:tcW w:w="1652" w:type="pct"/>
            <w:noWrap w:val="0"/>
            <w:vAlign w:val="center"/>
          </w:tcPr>
          <w:p w14:paraId="58EEFD62">
            <w:pPr>
              <w:bidi w:val="0"/>
              <w:jc w:val="center"/>
              <w:rPr>
                <w:rFonts w:hint="eastAsia"/>
              </w:rPr>
            </w:pPr>
            <w:r>
              <w:rPr>
                <w:rFonts w:hint="eastAsia"/>
              </w:rPr>
              <w:t>信息系统名称</w:t>
            </w:r>
          </w:p>
        </w:tc>
        <w:tc>
          <w:tcPr>
            <w:tcW w:w="905" w:type="pct"/>
            <w:noWrap w:val="0"/>
            <w:vAlign w:val="center"/>
          </w:tcPr>
          <w:p w14:paraId="236FFD39">
            <w:pPr>
              <w:bidi w:val="0"/>
              <w:jc w:val="center"/>
              <w:rPr>
                <w:rFonts w:hint="eastAsia"/>
              </w:rPr>
            </w:pPr>
            <w:r>
              <w:rPr>
                <w:rFonts w:hint="eastAsia"/>
                <w:lang w:val="en-US" w:eastAsia="zh-CN"/>
              </w:rPr>
              <w:t>拟定级</w:t>
            </w:r>
          </w:p>
        </w:tc>
        <w:tc>
          <w:tcPr>
            <w:tcW w:w="1929" w:type="pct"/>
            <w:noWrap w:val="0"/>
            <w:vAlign w:val="center"/>
          </w:tcPr>
          <w:p w14:paraId="49C5F242">
            <w:pPr>
              <w:bidi w:val="0"/>
              <w:jc w:val="center"/>
              <w:rPr>
                <w:rFonts w:hint="default"/>
                <w:lang w:val="en-US" w:eastAsia="zh-CN"/>
              </w:rPr>
            </w:pPr>
            <w:r>
              <w:rPr>
                <w:rFonts w:hint="eastAsia"/>
                <w:lang w:val="en-US" w:eastAsia="zh-CN"/>
              </w:rPr>
              <w:t>数量（套）</w:t>
            </w:r>
          </w:p>
        </w:tc>
      </w:tr>
      <w:tr w14:paraId="1C15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13" w:type="pct"/>
            <w:noWrap w:val="0"/>
            <w:vAlign w:val="center"/>
          </w:tcPr>
          <w:p w14:paraId="4E9CE9C3">
            <w:pPr>
              <w:bidi w:val="0"/>
              <w:jc w:val="center"/>
              <w:rPr>
                <w:rFonts w:hint="eastAsia"/>
                <w:lang w:val="en-US" w:eastAsia="zh-CN"/>
              </w:rPr>
            </w:pPr>
            <w:r>
              <w:rPr>
                <w:rFonts w:hint="eastAsia"/>
                <w:lang w:val="en-US" w:eastAsia="zh-CN"/>
              </w:rPr>
              <w:t>1</w:t>
            </w:r>
          </w:p>
        </w:tc>
        <w:tc>
          <w:tcPr>
            <w:tcW w:w="1652" w:type="pct"/>
            <w:noWrap w:val="0"/>
            <w:vAlign w:val="center"/>
          </w:tcPr>
          <w:p w14:paraId="29260EA3">
            <w:pPr>
              <w:bidi w:val="0"/>
              <w:jc w:val="center"/>
              <w:rPr>
                <w:rFonts w:hint="eastAsia"/>
                <w:lang w:val="en-US" w:eastAsia="zh-CN"/>
              </w:rPr>
            </w:pPr>
            <w:r>
              <w:rPr>
                <w:rFonts w:hint="eastAsia"/>
                <w:lang w:val="en-US" w:eastAsia="zh-CN"/>
              </w:rPr>
              <w:t>数字化校园平台</w:t>
            </w:r>
          </w:p>
        </w:tc>
        <w:tc>
          <w:tcPr>
            <w:tcW w:w="905" w:type="pct"/>
            <w:noWrap w:val="0"/>
            <w:vAlign w:val="center"/>
          </w:tcPr>
          <w:p w14:paraId="2141552B">
            <w:pPr>
              <w:bidi w:val="0"/>
              <w:jc w:val="center"/>
              <w:rPr>
                <w:rFonts w:hint="eastAsia"/>
                <w:lang w:val="en-US" w:eastAsia="zh-CN"/>
              </w:rPr>
            </w:pPr>
            <w:r>
              <w:rPr>
                <w:rFonts w:hint="eastAsia"/>
              </w:rPr>
              <w:t>第</w:t>
            </w:r>
            <w:r>
              <w:rPr>
                <w:rFonts w:hint="eastAsia"/>
                <w:lang w:val="en-US" w:eastAsia="zh-CN"/>
              </w:rPr>
              <w:t>二</w:t>
            </w:r>
            <w:r>
              <w:rPr>
                <w:rFonts w:hint="eastAsia"/>
              </w:rPr>
              <w:t>级</w:t>
            </w:r>
          </w:p>
        </w:tc>
        <w:tc>
          <w:tcPr>
            <w:tcW w:w="1929" w:type="pct"/>
            <w:noWrap w:val="0"/>
            <w:vAlign w:val="center"/>
          </w:tcPr>
          <w:p w14:paraId="6C6778A2">
            <w:pPr>
              <w:bidi w:val="0"/>
              <w:jc w:val="center"/>
              <w:rPr>
                <w:rFonts w:hint="default"/>
                <w:lang w:val="en-US" w:eastAsia="zh-CN"/>
              </w:rPr>
            </w:pPr>
            <w:r>
              <w:rPr>
                <w:rFonts w:hint="eastAsia"/>
                <w:lang w:val="en-US" w:eastAsia="zh-CN"/>
              </w:rPr>
              <w:t>1</w:t>
            </w:r>
          </w:p>
          <w:p w14:paraId="17F85618">
            <w:pPr>
              <w:bidi w:val="0"/>
              <w:jc w:val="center"/>
              <w:rPr>
                <w:rFonts w:hint="eastAsia"/>
              </w:rPr>
            </w:pPr>
            <w:r>
              <w:rPr>
                <w:rFonts w:hint="eastAsia"/>
                <w:lang w:val="en-US" w:eastAsia="zh-CN"/>
              </w:rPr>
              <w:t>【备注：数字化校园平台包含2个子系统：智慧校园服务中台（一网通办）、西安美术学院科研智库平台）】</w:t>
            </w:r>
          </w:p>
        </w:tc>
      </w:tr>
      <w:tr w14:paraId="2C67F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13" w:type="pct"/>
            <w:noWrap w:val="0"/>
            <w:vAlign w:val="center"/>
          </w:tcPr>
          <w:p w14:paraId="6CF481B7">
            <w:pPr>
              <w:bidi w:val="0"/>
              <w:jc w:val="center"/>
              <w:rPr>
                <w:rFonts w:hint="eastAsia"/>
                <w:lang w:val="en-US" w:eastAsia="zh-CN"/>
              </w:rPr>
            </w:pPr>
            <w:r>
              <w:rPr>
                <w:rFonts w:hint="eastAsia"/>
                <w:lang w:val="en-US" w:eastAsia="zh-CN"/>
              </w:rPr>
              <w:t>2</w:t>
            </w:r>
          </w:p>
        </w:tc>
        <w:tc>
          <w:tcPr>
            <w:tcW w:w="1652" w:type="pct"/>
            <w:noWrap w:val="0"/>
            <w:vAlign w:val="center"/>
          </w:tcPr>
          <w:p w14:paraId="0D38FDAA">
            <w:pPr>
              <w:bidi w:val="0"/>
              <w:jc w:val="center"/>
              <w:rPr>
                <w:rFonts w:hint="eastAsia"/>
                <w:lang w:val="en-US" w:eastAsia="zh-CN"/>
              </w:rPr>
            </w:pPr>
            <w:r>
              <w:rPr>
                <w:rFonts w:hint="eastAsia"/>
                <w:lang w:val="en-US" w:eastAsia="zh-CN"/>
              </w:rPr>
              <w:t>天财高校财务信息系统</w:t>
            </w:r>
          </w:p>
        </w:tc>
        <w:tc>
          <w:tcPr>
            <w:tcW w:w="905" w:type="pct"/>
            <w:noWrap w:val="0"/>
            <w:vAlign w:val="center"/>
          </w:tcPr>
          <w:p w14:paraId="15C463F1">
            <w:pPr>
              <w:bidi w:val="0"/>
              <w:jc w:val="center"/>
              <w:rPr>
                <w:rFonts w:hint="eastAsia"/>
                <w:lang w:val="en-US" w:eastAsia="zh-CN"/>
              </w:rPr>
            </w:pPr>
            <w:r>
              <w:rPr>
                <w:rFonts w:hint="eastAsia"/>
              </w:rPr>
              <w:t>第</w:t>
            </w:r>
            <w:r>
              <w:rPr>
                <w:rFonts w:hint="eastAsia"/>
                <w:lang w:val="en-US" w:eastAsia="zh-CN"/>
              </w:rPr>
              <w:t>二</w:t>
            </w:r>
            <w:r>
              <w:rPr>
                <w:rFonts w:hint="eastAsia"/>
              </w:rPr>
              <w:t>级</w:t>
            </w:r>
          </w:p>
        </w:tc>
        <w:tc>
          <w:tcPr>
            <w:tcW w:w="1929" w:type="pct"/>
            <w:noWrap w:val="0"/>
            <w:vAlign w:val="center"/>
          </w:tcPr>
          <w:p w14:paraId="405A4F15">
            <w:pPr>
              <w:bidi w:val="0"/>
              <w:jc w:val="center"/>
              <w:rPr>
                <w:rFonts w:hint="eastAsia"/>
                <w:lang w:val="en-US" w:eastAsia="zh-CN"/>
              </w:rPr>
            </w:pPr>
            <w:r>
              <w:rPr>
                <w:rFonts w:hint="eastAsia"/>
                <w:lang w:val="en-US" w:eastAsia="zh-CN"/>
              </w:rPr>
              <w:t>1</w:t>
            </w:r>
          </w:p>
        </w:tc>
      </w:tr>
      <w:tr w14:paraId="37DD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13" w:type="pct"/>
            <w:noWrap w:val="0"/>
            <w:vAlign w:val="center"/>
          </w:tcPr>
          <w:p w14:paraId="50D83722">
            <w:pPr>
              <w:bidi w:val="0"/>
              <w:jc w:val="center"/>
              <w:rPr>
                <w:rFonts w:hint="eastAsia"/>
                <w:lang w:val="en-US" w:eastAsia="zh-CN"/>
              </w:rPr>
            </w:pPr>
            <w:r>
              <w:rPr>
                <w:rFonts w:hint="eastAsia"/>
                <w:lang w:val="en-US" w:eastAsia="zh-CN"/>
              </w:rPr>
              <w:t>3</w:t>
            </w:r>
          </w:p>
        </w:tc>
        <w:tc>
          <w:tcPr>
            <w:tcW w:w="1652" w:type="pct"/>
            <w:noWrap w:val="0"/>
            <w:vAlign w:val="center"/>
          </w:tcPr>
          <w:p w14:paraId="08ACDF93">
            <w:pPr>
              <w:bidi w:val="0"/>
              <w:jc w:val="center"/>
              <w:rPr>
                <w:rFonts w:hint="eastAsia"/>
                <w:lang w:val="en-US" w:eastAsia="zh-CN"/>
              </w:rPr>
            </w:pPr>
            <w:r>
              <w:rPr>
                <w:rFonts w:hint="eastAsia"/>
                <w:lang w:val="en-US" w:eastAsia="zh-CN"/>
              </w:rPr>
              <w:t>西安美术学院创研评审系统</w:t>
            </w:r>
          </w:p>
        </w:tc>
        <w:tc>
          <w:tcPr>
            <w:tcW w:w="905" w:type="pct"/>
            <w:noWrap w:val="0"/>
            <w:vAlign w:val="center"/>
          </w:tcPr>
          <w:p w14:paraId="3D545C52">
            <w:pPr>
              <w:bidi w:val="0"/>
              <w:jc w:val="center"/>
              <w:rPr>
                <w:rFonts w:hint="eastAsia"/>
                <w:lang w:val="en-US" w:eastAsia="zh-CN"/>
              </w:rPr>
            </w:pPr>
            <w:r>
              <w:rPr>
                <w:rFonts w:hint="eastAsia"/>
              </w:rPr>
              <w:t>第</w:t>
            </w:r>
            <w:r>
              <w:rPr>
                <w:rFonts w:hint="eastAsia"/>
                <w:lang w:val="en-US" w:eastAsia="zh-CN"/>
              </w:rPr>
              <w:t>二</w:t>
            </w:r>
            <w:r>
              <w:rPr>
                <w:rFonts w:hint="eastAsia"/>
              </w:rPr>
              <w:t>级</w:t>
            </w:r>
          </w:p>
        </w:tc>
        <w:tc>
          <w:tcPr>
            <w:tcW w:w="1929" w:type="pct"/>
            <w:noWrap w:val="0"/>
            <w:vAlign w:val="center"/>
          </w:tcPr>
          <w:p w14:paraId="533E7DD2">
            <w:pPr>
              <w:bidi w:val="0"/>
              <w:jc w:val="center"/>
              <w:rPr>
                <w:rFonts w:hint="eastAsia"/>
                <w:lang w:val="en-US" w:eastAsia="zh-CN"/>
              </w:rPr>
            </w:pPr>
            <w:r>
              <w:rPr>
                <w:rFonts w:hint="eastAsia"/>
                <w:lang w:val="en-US" w:eastAsia="zh-CN"/>
              </w:rPr>
              <w:t>1</w:t>
            </w:r>
          </w:p>
        </w:tc>
      </w:tr>
      <w:tr w14:paraId="01E77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513" w:type="pct"/>
            <w:noWrap w:val="0"/>
            <w:vAlign w:val="center"/>
          </w:tcPr>
          <w:p w14:paraId="1D7180D9">
            <w:pPr>
              <w:bidi w:val="0"/>
              <w:jc w:val="center"/>
              <w:rPr>
                <w:rFonts w:hint="eastAsia"/>
                <w:lang w:val="en-US" w:eastAsia="zh-CN"/>
              </w:rPr>
            </w:pPr>
            <w:r>
              <w:rPr>
                <w:rFonts w:hint="eastAsia"/>
                <w:lang w:val="en-US" w:eastAsia="zh-CN"/>
              </w:rPr>
              <w:t>4</w:t>
            </w:r>
          </w:p>
        </w:tc>
        <w:tc>
          <w:tcPr>
            <w:tcW w:w="1652" w:type="pct"/>
            <w:noWrap w:val="0"/>
            <w:vAlign w:val="center"/>
          </w:tcPr>
          <w:p w14:paraId="76068C7D">
            <w:pPr>
              <w:bidi w:val="0"/>
              <w:jc w:val="center"/>
              <w:rPr>
                <w:rFonts w:hint="eastAsia"/>
                <w:lang w:val="en-US" w:eastAsia="zh-CN"/>
              </w:rPr>
            </w:pPr>
            <w:r>
              <w:rPr>
                <w:rFonts w:hint="eastAsia"/>
                <w:lang w:val="en-US" w:eastAsia="zh-CN"/>
              </w:rPr>
              <w:t>图书管理系统</w:t>
            </w:r>
          </w:p>
        </w:tc>
        <w:tc>
          <w:tcPr>
            <w:tcW w:w="905" w:type="pct"/>
            <w:noWrap w:val="0"/>
            <w:vAlign w:val="center"/>
          </w:tcPr>
          <w:p w14:paraId="497468A9">
            <w:pPr>
              <w:bidi w:val="0"/>
              <w:jc w:val="center"/>
              <w:rPr>
                <w:rFonts w:hint="eastAsia"/>
                <w:lang w:val="en-US" w:eastAsia="zh-CN"/>
              </w:rPr>
            </w:pPr>
            <w:r>
              <w:rPr>
                <w:rFonts w:hint="eastAsia"/>
              </w:rPr>
              <w:t>第</w:t>
            </w:r>
            <w:r>
              <w:rPr>
                <w:rFonts w:hint="eastAsia"/>
                <w:lang w:val="en-US" w:eastAsia="zh-CN"/>
              </w:rPr>
              <w:t>二</w:t>
            </w:r>
            <w:r>
              <w:rPr>
                <w:rFonts w:hint="eastAsia"/>
              </w:rPr>
              <w:t>级</w:t>
            </w:r>
          </w:p>
        </w:tc>
        <w:tc>
          <w:tcPr>
            <w:tcW w:w="1929" w:type="pct"/>
            <w:noWrap w:val="0"/>
            <w:vAlign w:val="center"/>
          </w:tcPr>
          <w:p w14:paraId="2D29B41C">
            <w:pPr>
              <w:bidi w:val="0"/>
              <w:jc w:val="center"/>
              <w:rPr>
                <w:rFonts w:hint="eastAsia"/>
                <w:lang w:val="en-US" w:eastAsia="zh-CN"/>
              </w:rPr>
            </w:pPr>
            <w:r>
              <w:rPr>
                <w:rFonts w:hint="eastAsia"/>
                <w:lang w:val="en-US" w:eastAsia="zh-CN"/>
              </w:rPr>
              <w:t>1</w:t>
            </w:r>
          </w:p>
        </w:tc>
      </w:tr>
      <w:tr w14:paraId="10A10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513" w:type="pct"/>
            <w:noWrap w:val="0"/>
            <w:vAlign w:val="center"/>
          </w:tcPr>
          <w:p w14:paraId="1989F64F">
            <w:pPr>
              <w:bidi w:val="0"/>
              <w:jc w:val="center"/>
              <w:rPr>
                <w:rFonts w:hint="eastAsia"/>
                <w:lang w:val="en-US" w:eastAsia="zh-CN"/>
              </w:rPr>
            </w:pPr>
            <w:r>
              <w:rPr>
                <w:rFonts w:hint="eastAsia"/>
                <w:lang w:val="en-US" w:eastAsia="zh-CN"/>
              </w:rPr>
              <w:t>5</w:t>
            </w:r>
          </w:p>
        </w:tc>
        <w:tc>
          <w:tcPr>
            <w:tcW w:w="1652" w:type="pct"/>
            <w:noWrap w:val="0"/>
            <w:vAlign w:val="center"/>
          </w:tcPr>
          <w:p w14:paraId="2507A9E9">
            <w:pPr>
              <w:bidi w:val="0"/>
              <w:jc w:val="center"/>
              <w:rPr>
                <w:rFonts w:hint="eastAsia"/>
                <w:lang w:val="en-US" w:eastAsia="zh-CN"/>
              </w:rPr>
            </w:pPr>
            <w:r>
              <w:rPr>
                <w:rFonts w:hint="eastAsia"/>
                <w:lang w:val="en-US" w:eastAsia="zh-CN"/>
              </w:rPr>
              <w:t>资产管理系统</w:t>
            </w:r>
          </w:p>
        </w:tc>
        <w:tc>
          <w:tcPr>
            <w:tcW w:w="905" w:type="pct"/>
            <w:noWrap w:val="0"/>
            <w:vAlign w:val="center"/>
          </w:tcPr>
          <w:p w14:paraId="074E1852">
            <w:pPr>
              <w:bidi w:val="0"/>
              <w:jc w:val="center"/>
              <w:rPr>
                <w:rFonts w:hint="eastAsia"/>
                <w:lang w:val="en-US" w:eastAsia="zh-CN"/>
              </w:rPr>
            </w:pPr>
            <w:r>
              <w:rPr>
                <w:rFonts w:hint="eastAsia"/>
              </w:rPr>
              <w:t>第</w:t>
            </w:r>
            <w:r>
              <w:rPr>
                <w:rFonts w:hint="eastAsia"/>
                <w:lang w:val="en-US" w:eastAsia="zh-CN"/>
              </w:rPr>
              <w:t>二</w:t>
            </w:r>
            <w:r>
              <w:rPr>
                <w:rFonts w:hint="eastAsia"/>
              </w:rPr>
              <w:t>级</w:t>
            </w:r>
          </w:p>
        </w:tc>
        <w:tc>
          <w:tcPr>
            <w:tcW w:w="1929" w:type="pct"/>
            <w:noWrap w:val="0"/>
            <w:vAlign w:val="center"/>
          </w:tcPr>
          <w:p w14:paraId="692A2A07">
            <w:pPr>
              <w:bidi w:val="0"/>
              <w:jc w:val="center"/>
              <w:rPr>
                <w:rFonts w:hint="default"/>
                <w:lang w:val="en-US" w:eastAsia="zh-CN"/>
              </w:rPr>
            </w:pPr>
            <w:r>
              <w:rPr>
                <w:rFonts w:hint="eastAsia"/>
                <w:lang w:val="en-US" w:eastAsia="zh-CN"/>
              </w:rPr>
              <w:t>1</w:t>
            </w:r>
          </w:p>
          <w:p w14:paraId="2A67E4B3">
            <w:pPr>
              <w:bidi w:val="0"/>
              <w:jc w:val="center"/>
              <w:rPr>
                <w:rFonts w:hint="eastAsia"/>
              </w:rPr>
            </w:pPr>
            <w:r>
              <w:rPr>
                <w:rFonts w:hint="eastAsia"/>
                <w:lang w:val="en-US" w:eastAsia="zh-CN"/>
              </w:rPr>
              <w:t>【备注：资产管理系统包含2个子系统：高等院校资产管理信息系统、资产管理高校房屋管理信息系统】</w:t>
            </w:r>
          </w:p>
        </w:tc>
      </w:tr>
    </w:tbl>
    <w:p w14:paraId="62F1F8C6">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sz w:val="24"/>
          <w:szCs w:val="24"/>
          <w:lang w:val="en-US" w:eastAsia="zh-CN"/>
        </w:rPr>
      </w:pPr>
    </w:p>
    <w:p w14:paraId="231FF12B">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本项目</w:t>
      </w:r>
      <w:r>
        <w:rPr>
          <w:rFonts w:hint="eastAsia" w:hAnsi="宋体" w:cs="宋体"/>
          <w:color w:val="auto"/>
          <w:szCs w:val="21"/>
          <w:highlight w:val="none"/>
          <w:lang w:val="en-US" w:eastAsia="zh-Hans"/>
        </w:rPr>
        <w:t>按照网络安全等级保护</w:t>
      </w:r>
      <w:r>
        <w:rPr>
          <w:rFonts w:hint="eastAsia" w:hAnsi="宋体" w:cs="宋体"/>
          <w:color w:val="auto"/>
          <w:szCs w:val="21"/>
          <w:highlight w:val="none"/>
          <w:lang w:val="en-US" w:eastAsia="zh-CN"/>
        </w:rPr>
        <w:t>最新</w:t>
      </w:r>
      <w:r>
        <w:rPr>
          <w:rFonts w:hint="eastAsia" w:hAnsi="宋体" w:cs="宋体"/>
          <w:color w:val="auto"/>
          <w:szCs w:val="21"/>
          <w:highlight w:val="none"/>
          <w:lang w:val="en-US" w:eastAsia="zh-Hans"/>
        </w:rPr>
        <w:t>标准</w:t>
      </w:r>
      <w:r>
        <w:rPr>
          <w:rFonts w:hint="eastAsia" w:hAnsi="宋体" w:cs="宋体"/>
          <w:color w:val="auto"/>
          <w:szCs w:val="21"/>
          <w:highlight w:val="none"/>
          <w:lang w:val="en-US" w:eastAsia="zh-CN"/>
        </w:rPr>
        <w:t>要求</w:t>
      </w:r>
      <w:r>
        <w:rPr>
          <w:rFonts w:hint="eastAsia" w:hAnsi="宋体" w:cs="宋体"/>
          <w:color w:val="auto"/>
          <w:szCs w:val="21"/>
          <w:highlight w:val="none"/>
          <w:lang w:val="en-US" w:eastAsia="zh-Hans"/>
        </w:rPr>
        <w:t>，</w:t>
      </w:r>
      <w:r>
        <w:rPr>
          <w:rFonts w:hint="eastAsia" w:hAnsi="宋体" w:cs="宋体"/>
          <w:color w:val="auto"/>
          <w:szCs w:val="21"/>
          <w:highlight w:val="none"/>
          <w:lang w:val="en-US" w:eastAsia="zh-CN"/>
        </w:rPr>
        <w:t>对西安美术学院5个二级信息系统开展定级备案及网络安全</w:t>
      </w:r>
      <w:r>
        <w:rPr>
          <w:rFonts w:hint="eastAsia" w:hAnsi="宋体" w:cs="宋体"/>
          <w:color w:val="auto"/>
          <w:szCs w:val="21"/>
          <w:highlight w:val="none"/>
          <w:lang w:val="en-US" w:eastAsia="zh-Hans"/>
        </w:rPr>
        <w:t>等级保护</w:t>
      </w:r>
      <w:r>
        <w:rPr>
          <w:rFonts w:hint="eastAsia" w:hAnsi="宋体" w:cs="宋体"/>
          <w:color w:val="auto"/>
          <w:szCs w:val="21"/>
          <w:highlight w:val="none"/>
          <w:lang w:val="en-US" w:eastAsia="zh-CN"/>
        </w:rPr>
        <w:t>测评工作。具体工作内容如下：</w:t>
      </w:r>
    </w:p>
    <w:p w14:paraId="4D4485B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val="en-US" w:eastAsia="zh-CN"/>
        </w:rPr>
        <w:t>1.系统备案：协助西安美术学院按照2025年最新规定整理5个信息系统备案资料，并提交西安市公安局雁塔分局网安部门，取得《信息系统安全等级保护备案证明》。</w:t>
      </w:r>
    </w:p>
    <w:p w14:paraId="3D5C95A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系统调研：在系统相关人员的协助下，对信息系统进行调研和梳理，了解系统当前信息系统资产现状。</w:t>
      </w:r>
    </w:p>
    <w:p w14:paraId="1E4EACA2">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3.现场测评：根据国家等级测评的相关标准及已编制的相关等级保护测评指导书对信息系统中的相关资产进行测评项的检查、记录检查结果。</w:t>
      </w:r>
    </w:p>
    <w:p w14:paraId="122EF453">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4.分析整改：根据前述工作内容，分析信息系统安全情况与等级保护基本要求的差距,提供差异化测评服务，并进行风险分析，可根据现场情况出具科学合理的整改建议及整改方案，配合采购单位安全整改工作。</w:t>
      </w:r>
    </w:p>
    <w:p w14:paraId="4CC9242D">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5.结论报告：根据前述工作内容，分析当前信息系统安全保护能力是否符合相应等级的安全要求，针对整改项进行再次测评,提供安全等级符合性测评服务，出具相关系统测评报告。</w:t>
      </w:r>
    </w:p>
    <w:p w14:paraId="2E599025">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6.配合验收：整理项目过程中所有相关的过程文档，提交系统相关人员。</w:t>
      </w:r>
    </w:p>
    <w:p w14:paraId="538D64D6">
      <w:pPr>
        <w:keepNext w:val="0"/>
        <w:keepLines w:val="0"/>
        <w:pageBreakBefore w:val="0"/>
        <w:widowControl w:val="0"/>
        <w:numPr>
          <w:ilvl w:val="0"/>
          <w:numId w:val="0"/>
        </w:numPr>
        <w:kinsoku/>
        <w:wordWrap/>
        <w:overflowPunct/>
        <w:topLinePunct w:val="0"/>
        <w:autoSpaceDE/>
        <w:autoSpaceDN/>
        <w:bidi w:val="0"/>
        <w:adjustRightInd/>
        <w:snapToGrid w:val="0"/>
        <w:spacing w:beforeLines="50" w:afterLines="50" w:line="560" w:lineRule="exact"/>
        <w:ind w:leftChars="0" w:firstLine="640" w:firstLineChars="200"/>
        <w:jc w:val="both"/>
        <w:textAlignment w:val="auto"/>
        <w:rPr>
          <w:rFonts w:hint="eastAsia" w:ascii="黑体" w:hAnsi="黑体" w:eastAsia="黑体" w:cs="黑体"/>
          <w:b w:val="0"/>
          <w:bCs/>
          <w:color w:val="000000"/>
          <w:sz w:val="32"/>
          <w:szCs w:val="32"/>
          <w:lang w:val="en-US" w:eastAsia="zh-Hans"/>
        </w:rPr>
      </w:pPr>
      <w:r>
        <w:rPr>
          <w:rFonts w:hint="eastAsia" w:ascii="黑体" w:hAnsi="黑体" w:eastAsia="黑体" w:cs="黑体"/>
          <w:b w:val="0"/>
          <w:bCs/>
          <w:color w:val="000000"/>
          <w:sz w:val="32"/>
          <w:szCs w:val="32"/>
          <w:lang w:val="en-US" w:eastAsia="zh-CN"/>
        </w:rPr>
        <w:t>二、实施</w:t>
      </w:r>
      <w:r>
        <w:rPr>
          <w:rFonts w:hint="eastAsia" w:ascii="黑体" w:hAnsi="黑体" w:eastAsia="黑体" w:cs="黑体"/>
          <w:b w:val="0"/>
          <w:bCs/>
          <w:color w:val="000000"/>
          <w:sz w:val="32"/>
          <w:szCs w:val="32"/>
          <w:lang w:val="en-US" w:eastAsia="zh-Hans"/>
        </w:rPr>
        <w:t>要求</w:t>
      </w:r>
    </w:p>
    <w:p w14:paraId="0EA05511">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（一）实施</w:t>
      </w:r>
      <w:r>
        <w:rPr>
          <w:rFonts w:hint="eastAsia" w:hAnsi="宋体" w:cs="宋体"/>
          <w:color w:val="auto"/>
          <w:szCs w:val="21"/>
          <w:highlight w:val="none"/>
          <w:lang w:val="en-US" w:eastAsia="zh-Hans"/>
        </w:rPr>
        <w:t>原则</w:t>
      </w:r>
    </w:p>
    <w:p w14:paraId="128AB547">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1.</w:t>
      </w:r>
      <w:r>
        <w:rPr>
          <w:rFonts w:hint="eastAsia" w:hAnsi="宋体" w:cs="宋体"/>
          <w:color w:val="auto"/>
          <w:szCs w:val="21"/>
          <w:highlight w:val="none"/>
          <w:lang w:val="en-US" w:eastAsia="zh-Hans"/>
        </w:rPr>
        <w:t>规范性原则：成交</w:t>
      </w:r>
      <w:r>
        <w:rPr>
          <w:rFonts w:hint="eastAsia" w:hAnsi="宋体" w:cs="宋体"/>
          <w:color w:val="auto"/>
          <w:szCs w:val="21"/>
          <w:highlight w:val="none"/>
          <w:lang w:val="en-US" w:eastAsia="zh-CN"/>
        </w:rPr>
        <w:t>服务方</w:t>
      </w:r>
      <w:r>
        <w:rPr>
          <w:rFonts w:hint="eastAsia" w:hAnsi="宋体" w:cs="宋体"/>
          <w:color w:val="auto"/>
          <w:szCs w:val="21"/>
          <w:highlight w:val="none"/>
          <w:lang w:val="en-US" w:eastAsia="zh-Hans"/>
        </w:rPr>
        <w:t>工作中的过程和文档，具有很好的规范性，可以便于项目的跟踪和控制；</w:t>
      </w:r>
      <w:r>
        <w:rPr>
          <w:rFonts w:hint="eastAsia" w:hAnsi="宋体" w:cs="宋体"/>
          <w:color w:val="auto"/>
          <w:szCs w:val="21"/>
          <w:highlight w:val="none"/>
          <w:lang w:val="en-US" w:eastAsia="zh-CN"/>
        </w:rPr>
        <w:t>服务方应</w:t>
      </w:r>
      <w:r>
        <w:rPr>
          <w:rFonts w:hint="eastAsia" w:hAnsi="宋体" w:cs="宋体"/>
          <w:color w:val="auto"/>
          <w:szCs w:val="21"/>
          <w:highlight w:val="none"/>
          <w:lang w:val="en-US" w:eastAsia="zh-Hans"/>
        </w:rPr>
        <w:t>具有严格控制项目的“网络安全等级保护测评项目管理系统”和“网络安全等级保护文档管理系统”</w:t>
      </w:r>
      <w:r>
        <w:rPr>
          <w:rFonts w:hint="eastAsia" w:hAnsi="宋体" w:cs="宋体"/>
          <w:color w:val="auto"/>
          <w:szCs w:val="21"/>
          <w:highlight w:val="none"/>
          <w:lang w:val="en-US" w:eastAsia="zh-CN"/>
        </w:rPr>
        <w:t>并</w:t>
      </w:r>
      <w:r>
        <w:rPr>
          <w:rFonts w:hint="eastAsia" w:hAnsi="宋体" w:cs="宋体"/>
          <w:color w:val="auto"/>
          <w:szCs w:val="21"/>
          <w:highlight w:val="none"/>
          <w:lang w:val="en-US" w:eastAsia="zh-Hans"/>
        </w:rPr>
        <w:t>提供软件著作权</w:t>
      </w:r>
      <w:r>
        <w:rPr>
          <w:rFonts w:hint="eastAsia" w:hAnsi="宋体" w:cs="宋体"/>
          <w:color w:val="auto"/>
          <w:szCs w:val="21"/>
          <w:highlight w:val="none"/>
          <w:lang w:val="en-US" w:eastAsia="zh-CN"/>
        </w:rPr>
        <w:t>。</w:t>
      </w:r>
    </w:p>
    <w:p w14:paraId="0963D079">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2.</w:t>
      </w:r>
      <w:r>
        <w:rPr>
          <w:rFonts w:hint="eastAsia" w:hAnsi="宋体" w:cs="宋体"/>
          <w:color w:val="auto"/>
          <w:szCs w:val="21"/>
          <w:highlight w:val="none"/>
          <w:lang w:val="en-US" w:eastAsia="zh-Hans"/>
        </w:rPr>
        <w:t>标准性原则：测评方案的设计与实施应依据国家等级保护的相关标准进行。</w:t>
      </w:r>
    </w:p>
    <w:p w14:paraId="3427B42B">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w:t>
      </w:r>
      <w:r>
        <w:rPr>
          <w:rFonts w:hint="eastAsia" w:hAnsi="宋体" w:cs="宋体"/>
          <w:color w:val="auto"/>
          <w:szCs w:val="21"/>
          <w:highlight w:val="none"/>
          <w:lang w:val="en-US" w:eastAsia="zh-Hans"/>
        </w:rPr>
        <w:t>可控性原则：测评的工具、方法和过程需在双方认可范围内并符合进度表安排，保证采购人对服务工作的可控性</w:t>
      </w:r>
      <w:r>
        <w:rPr>
          <w:rFonts w:hint="eastAsia" w:hAnsi="宋体" w:cs="宋体"/>
          <w:color w:val="auto"/>
          <w:szCs w:val="21"/>
          <w:highlight w:val="none"/>
          <w:lang w:val="en-US" w:eastAsia="zh-CN"/>
        </w:rPr>
        <w:t>。</w:t>
      </w:r>
    </w:p>
    <w:p w14:paraId="7F0119AA">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4.</w:t>
      </w:r>
      <w:r>
        <w:rPr>
          <w:rFonts w:hint="eastAsia" w:hAnsi="宋体" w:cs="宋体"/>
          <w:color w:val="auto"/>
          <w:szCs w:val="21"/>
          <w:highlight w:val="none"/>
          <w:lang w:val="en-US" w:eastAsia="zh-Hans"/>
        </w:rPr>
        <w:t>整体性原则：测评和分析的范围和内容应当整体全面，包括安全涉及的各个层面，避免由于遗漏造成未来安全隐患</w:t>
      </w:r>
      <w:r>
        <w:rPr>
          <w:rFonts w:hint="eastAsia" w:hAnsi="宋体" w:cs="宋体"/>
          <w:color w:val="auto"/>
          <w:szCs w:val="21"/>
          <w:highlight w:val="none"/>
          <w:lang w:val="en-US" w:eastAsia="zh-CN"/>
        </w:rPr>
        <w:t>。</w:t>
      </w:r>
    </w:p>
    <w:p w14:paraId="7E153540">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5.</w:t>
      </w:r>
      <w:r>
        <w:rPr>
          <w:rFonts w:hint="eastAsia" w:hAnsi="宋体" w:cs="宋体"/>
          <w:color w:val="auto"/>
          <w:szCs w:val="21"/>
          <w:highlight w:val="none"/>
          <w:lang w:val="en-US" w:eastAsia="zh-Hans"/>
        </w:rPr>
        <w:t>最小影响原则：测评工作应尽可能小的影响系统和网络的正常运行，不能对现网的运行和业务产生</w:t>
      </w:r>
      <w:r>
        <w:rPr>
          <w:rFonts w:hint="eastAsia" w:hAnsi="宋体" w:cs="宋体"/>
          <w:color w:val="auto"/>
          <w:szCs w:val="21"/>
          <w:highlight w:val="none"/>
          <w:lang w:val="en-US" w:eastAsia="zh-CN"/>
        </w:rPr>
        <w:t>任何</w:t>
      </w:r>
      <w:r>
        <w:rPr>
          <w:rFonts w:hint="eastAsia" w:hAnsi="宋体" w:cs="宋体"/>
          <w:color w:val="auto"/>
          <w:szCs w:val="21"/>
          <w:highlight w:val="none"/>
          <w:lang w:val="en-US" w:eastAsia="zh-Hans"/>
        </w:rPr>
        <w:t>影响</w:t>
      </w:r>
      <w:r>
        <w:rPr>
          <w:rFonts w:hint="eastAsia" w:hAnsi="宋体" w:cs="宋体"/>
          <w:color w:val="auto"/>
          <w:szCs w:val="21"/>
          <w:highlight w:val="none"/>
          <w:lang w:val="en-US" w:eastAsia="zh-CN"/>
        </w:rPr>
        <w:t>。</w:t>
      </w:r>
    </w:p>
    <w:p w14:paraId="26BD2440">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（二）</w:t>
      </w:r>
      <w:r>
        <w:rPr>
          <w:rFonts w:hint="eastAsia" w:hAnsi="宋体" w:cs="宋体"/>
          <w:color w:val="auto"/>
          <w:szCs w:val="21"/>
          <w:highlight w:val="none"/>
          <w:lang w:val="en-US" w:eastAsia="zh-Hans"/>
        </w:rPr>
        <w:t>人员配备</w:t>
      </w:r>
    </w:p>
    <w:p w14:paraId="22D605FD">
      <w:pPr>
        <w:pStyle w:val="2"/>
        <w:rPr>
          <w:rFonts w:hint="eastAsia"/>
          <w:lang w:val="en-US" w:eastAsia="zh-Hans"/>
        </w:rPr>
      </w:pPr>
      <w:r>
        <w:rPr>
          <w:rFonts w:hint="eastAsia"/>
          <w:lang w:val="en-US" w:eastAsia="zh-Hans"/>
        </w:rPr>
        <w:t>1.项目组成员满足5人以上，至少包含1名高级测评师、2名中级测评师，2名初级测评师。</w:t>
      </w:r>
    </w:p>
    <w:p w14:paraId="7141248E">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（三）测评依据</w:t>
      </w:r>
    </w:p>
    <w:p w14:paraId="17DE2ACA">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1.</w:t>
      </w:r>
      <w:r>
        <w:rPr>
          <w:rFonts w:hint="eastAsia" w:hAnsi="宋体" w:cs="宋体"/>
          <w:color w:val="auto"/>
          <w:szCs w:val="21"/>
          <w:highlight w:val="none"/>
          <w:lang w:val="en-US" w:eastAsia="zh-Hans"/>
        </w:rPr>
        <w:t>《中华人民共和国网络安全法》</w:t>
      </w:r>
    </w:p>
    <w:p w14:paraId="542F2CE4">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2.</w:t>
      </w:r>
      <w:r>
        <w:rPr>
          <w:rFonts w:hint="eastAsia" w:hAnsi="宋体" w:cs="宋体"/>
          <w:color w:val="auto"/>
          <w:szCs w:val="21"/>
          <w:highlight w:val="none"/>
          <w:lang w:val="en-US" w:eastAsia="zh-Hans"/>
        </w:rPr>
        <w:t>《中华人民共和国数据安全法》</w:t>
      </w:r>
    </w:p>
    <w:p w14:paraId="7918497A">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3.</w:t>
      </w:r>
      <w:r>
        <w:rPr>
          <w:rFonts w:hint="eastAsia" w:hAnsi="宋体" w:cs="宋体"/>
          <w:color w:val="auto"/>
          <w:szCs w:val="21"/>
          <w:highlight w:val="none"/>
          <w:lang w:val="en-US" w:eastAsia="zh-Hans"/>
        </w:rPr>
        <w:t>《</w:t>
      </w:r>
      <w:bookmarkStart w:id="194" w:name="OLE_LINK25"/>
      <w:bookmarkStart w:id="195" w:name="OLE_LINK24"/>
      <w:r>
        <w:rPr>
          <w:rFonts w:hint="eastAsia" w:hAnsi="宋体" w:cs="宋体"/>
          <w:color w:val="auto"/>
          <w:szCs w:val="21"/>
          <w:highlight w:val="none"/>
          <w:lang w:val="en-US" w:eastAsia="zh-Hans"/>
        </w:rPr>
        <w:t>中华人民共和国计算机信息系统安全保护条例</w:t>
      </w:r>
      <w:bookmarkEnd w:id="194"/>
      <w:bookmarkEnd w:id="195"/>
      <w:r>
        <w:rPr>
          <w:rFonts w:hint="eastAsia" w:hAnsi="宋体" w:cs="宋体"/>
          <w:color w:val="auto"/>
          <w:szCs w:val="21"/>
          <w:highlight w:val="none"/>
          <w:lang w:val="en-US" w:eastAsia="zh-Hans"/>
        </w:rPr>
        <w:t>》（国务院令第147号）</w:t>
      </w:r>
    </w:p>
    <w:p w14:paraId="7DC498CB">
      <w:pPr>
        <w:tabs>
          <w:tab w:val="left" w:pos="480"/>
        </w:tabs>
        <w:spacing w:line="360" w:lineRule="auto"/>
        <w:ind w:firstLine="480" w:firstLineChars="200"/>
        <w:rPr>
          <w:rFonts w:hint="eastAsia" w:hAnsi="宋体" w:cs="宋体"/>
          <w:color w:val="auto"/>
          <w:szCs w:val="21"/>
          <w:highlight w:val="none"/>
          <w:lang w:val="en-US" w:eastAsia="zh-Hans"/>
        </w:rPr>
      </w:pPr>
      <w:r>
        <w:rPr>
          <w:rFonts w:hint="eastAsia" w:hAnsi="宋体" w:cs="宋体"/>
          <w:color w:val="auto"/>
          <w:szCs w:val="21"/>
          <w:highlight w:val="none"/>
          <w:lang w:val="en-US" w:eastAsia="zh-CN"/>
        </w:rPr>
        <w:t>4.</w:t>
      </w:r>
      <w:r>
        <w:rPr>
          <w:rFonts w:hint="eastAsia" w:hAnsi="宋体" w:cs="宋体"/>
          <w:color w:val="auto"/>
          <w:szCs w:val="21"/>
          <w:highlight w:val="none"/>
          <w:lang w:val="en-US" w:eastAsia="zh-Hans"/>
        </w:rPr>
        <w:t>《信息安全等级保护管理办法》（公通字</w:t>
      </w:r>
      <w:r>
        <w:rPr>
          <w:rFonts w:hint="eastAsia" w:hAnsi="宋体" w:cs="宋体"/>
          <w:color w:val="auto"/>
          <w:szCs w:val="21"/>
          <w:highlight w:val="none"/>
          <w:lang w:val="en-US" w:eastAsia="zh-CN"/>
        </w:rPr>
        <w:t>〔</w:t>
      </w:r>
      <w:r>
        <w:rPr>
          <w:rFonts w:hint="eastAsia" w:hAnsi="宋体" w:cs="宋体"/>
          <w:color w:val="auto"/>
          <w:szCs w:val="21"/>
          <w:highlight w:val="none"/>
          <w:lang w:val="en-US" w:eastAsia="zh-Hans"/>
        </w:rPr>
        <w:t>2007</w:t>
      </w:r>
      <w:r>
        <w:rPr>
          <w:rFonts w:hint="eastAsia" w:hAnsi="宋体" w:cs="宋体"/>
          <w:color w:val="auto"/>
          <w:szCs w:val="21"/>
          <w:highlight w:val="none"/>
          <w:lang w:val="en-US" w:eastAsia="zh-CN"/>
        </w:rPr>
        <w:t>〕</w:t>
      </w:r>
      <w:r>
        <w:rPr>
          <w:rFonts w:hint="eastAsia" w:hAnsi="宋体" w:cs="宋体"/>
          <w:color w:val="auto"/>
          <w:szCs w:val="21"/>
          <w:highlight w:val="none"/>
          <w:lang w:val="en-US" w:eastAsia="zh-Hans"/>
        </w:rPr>
        <w:t>43号）</w:t>
      </w:r>
    </w:p>
    <w:p w14:paraId="04CEAA85">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5.《计算机信息系统安全保护等级划分准则》（GB17859-1999）</w:t>
      </w:r>
    </w:p>
    <w:p w14:paraId="50699F2B">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6.《信息安全技术 信息安全风险评估方法》（GB/T 20984-2022）</w:t>
      </w:r>
    </w:p>
    <w:p w14:paraId="16D1381F">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7.《信息安全技术 网络安全等级保护测评过程指南》（GB/T 28449-2018）</w:t>
      </w:r>
    </w:p>
    <w:p w14:paraId="530847CD">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8.《信息安全技术 网络安全等级保护基本要求》（GB/T 22239-2019）</w:t>
      </w:r>
    </w:p>
    <w:p w14:paraId="3C2756D1">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9.《信息安全技术 网络安全等级保护测评要求》(GB/T 28448-2019)</w:t>
      </w:r>
    </w:p>
    <w:p w14:paraId="00ECC74E">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10.《信息安全技术 网络安全等级保护实施指南》（GB/T 25058-2019）</w:t>
      </w:r>
    </w:p>
    <w:p w14:paraId="47C0686A">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11.《信息安全技术 网络安全等级保护定级指南》（GB/T 22240-2020）</w:t>
      </w:r>
    </w:p>
    <w:p w14:paraId="44E49C7E">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12.《网络安全等级保护测评高风险判定指引》（T/ISEAA 001-2020）</w:t>
      </w:r>
    </w:p>
    <w:p w14:paraId="1E43DB83">
      <w:pPr>
        <w:tabs>
          <w:tab w:val="left" w:pos="480"/>
        </w:tabs>
        <w:spacing w:line="360" w:lineRule="auto"/>
        <w:ind w:firstLine="480" w:firstLineChars="200"/>
        <w:rPr>
          <w:rFonts w:hint="default" w:hAnsi="宋体" w:cs="宋体"/>
          <w:color w:val="auto"/>
          <w:szCs w:val="21"/>
          <w:highlight w:val="none"/>
          <w:lang w:val="en-US" w:eastAsia="zh-CN"/>
        </w:rPr>
      </w:pPr>
      <w:r>
        <w:rPr>
          <w:rFonts w:hint="eastAsia" w:hAnsi="宋体" w:cs="宋体"/>
          <w:color w:val="auto"/>
          <w:szCs w:val="21"/>
          <w:highlight w:val="none"/>
          <w:lang w:val="en-US" w:eastAsia="zh-CN"/>
        </w:rPr>
        <w:t>三、测评内容</w:t>
      </w:r>
    </w:p>
    <w:p w14:paraId="36016165">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第一阶段：等级保护</w:t>
      </w:r>
    </w:p>
    <w:p w14:paraId="0845E32D">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网络安全等级保护工作共分为五步，分别是：“定级、备案、建设整改、等级测评、监督检查”。该项目主要完成系统的安全测评工作，依据安全技术和安全管理两个方面的测评要求，分别从安全物理环境、安全通信网络、安全区域边界、安全计算环境、安全管理中心、安全管理制度、安全管理机构、安全管理人员、安全建设管理、安全运维管理十个安全类别进行安全测评。</w:t>
      </w:r>
    </w:p>
    <w:p w14:paraId="0FEE1A82">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1.定级要求</w:t>
      </w:r>
    </w:p>
    <w:p w14:paraId="4F699C04">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该项工作开展的主要依据是《网络安全等级保护定级指南》（GB/T 22240-2020）确定系统等级。</w:t>
      </w:r>
    </w:p>
    <w:p w14:paraId="5C1FAA14">
      <w:pPr>
        <w:tabs>
          <w:tab w:val="left" w:pos="480"/>
        </w:tabs>
        <w:spacing w:line="360" w:lineRule="auto"/>
        <w:ind w:firstLine="480" w:firstLineChars="200"/>
        <w:rPr>
          <w:rFonts w:hint="eastAsia" w:hAnsi="宋体" w:cs="宋体"/>
          <w:color w:val="auto"/>
          <w:szCs w:val="21"/>
          <w:highlight w:val="none"/>
          <w:lang w:val="en-US" w:eastAsia="zh-CN"/>
        </w:rPr>
      </w:pPr>
      <w:bookmarkStart w:id="196" w:name="_Toc420584915"/>
      <w:r>
        <w:rPr>
          <w:rFonts w:hint="eastAsia" w:hAnsi="宋体" w:cs="宋体"/>
          <w:color w:val="auto"/>
          <w:szCs w:val="21"/>
          <w:highlight w:val="none"/>
          <w:lang w:val="en-US" w:eastAsia="zh-CN"/>
        </w:rPr>
        <w:t>2.备案</w:t>
      </w:r>
      <w:bookmarkEnd w:id="196"/>
    </w:p>
    <w:p w14:paraId="405AFF86">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信息系统的安全保护等级确定后，二级以上（含二级）信息系统的运营使用单位或主管部门应到属地公安机关办理备案手续。按照国家政策要求，跨省或者全国统一联网运行的信息系统在各地运行、应用的分支系统，向当地设区的市级以上公安机关备案。该项目系统应向西安市公安局雁塔分局网安大队申请信息系统备案。</w:t>
      </w:r>
    </w:p>
    <w:p w14:paraId="6238FB7E">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完成备案的信息系统，将获得公安机关颁发的《信息系统安全等级保护备案证明》。</w:t>
      </w:r>
    </w:p>
    <w:p w14:paraId="523716D8">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（二）第二阶段：等级保护测评要求</w:t>
      </w:r>
    </w:p>
    <w:p w14:paraId="0DD97DD8">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依据《GB/T 22239-2019信息安全技术信息系统安全等级保护基本要求》的条款要求，全面分析应用系统的安全保护措施与等级保护相应级别之间的差距，进行合规性分析，为系统等级保护加固整改提供客观依据，配合委托方督促集成商根据安全改进建议进行适度加固整改，分别从10个层面完成等保测评工作，具体测评项如下表：</w:t>
      </w:r>
    </w:p>
    <w:p w14:paraId="4BE6DEB1">
      <w:pPr>
        <w:keepNext w:val="0"/>
        <w:keepLines w:val="0"/>
        <w:pageBreakBefore w:val="0"/>
        <w:widowControl w:val="0"/>
        <w:kinsoku/>
        <w:wordWrap/>
        <w:overflowPunct/>
        <w:topLinePunct w:val="0"/>
        <w:autoSpaceDE/>
        <w:autoSpaceDN/>
        <w:bidi w:val="0"/>
        <w:adjustRightInd/>
        <w:snapToGrid w:val="0"/>
        <w:spacing w:beforeLines="50" w:after="157" w:afterLines="50" w:line="560" w:lineRule="exact"/>
        <w:ind w:firstLine="482" w:firstLineChars="200"/>
        <w:jc w:val="center"/>
        <w:textAlignment w:val="auto"/>
        <w:rPr>
          <w:rFonts w:hint="eastAsia" w:ascii="宋体" w:hAnsi="宋体"/>
          <w:b/>
          <w:color w:val="000000"/>
          <w:sz w:val="24"/>
          <w:lang w:val="en-US" w:eastAsia="zh-CN"/>
        </w:rPr>
      </w:pPr>
      <w:r>
        <w:rPr>
          <w:rFonts w:hint="eastAsia" w:ascii="宋体" w:hAnsi="宋体"/>
          <w:b/>
          <w:color w:val="000000"/>
          <w:sz w:val="24"/>
          <w:lang w:val="en-US" w:eastAsia="zh-CN"/>
        </w:rPr>
        <w:t>二级系统测评指标</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4131"/>
        <w:gridCol w:w="3269"/>
      </w:tblGrid>
      <w:tr w14:paraId="1029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10" w:type="pct"/>
            <w:tcBorders>
              <w:top w:val="single" w:color="auto" w:sz="4" w:space="0"/>
              <w:left w:val="single" w:color="auto" w:sz="4" w:space="0"/>
              <w:bottom w:val="single" w:color="auto" w:sz="4" w:space="0"/>
              <w:right w:val="single" w:color="auto" w:sz="4" w:space="0"/>
            </w:tcBorders>
            <w:vAlign w:val="center"/>
          </w:tcPr>
          <w:p w14:paraId="0BCCD8FA">
            <w:pPr>
              <w:bidi w:val="0"/>
              <w:jc w:val="center"/>
              <w:rPr>
                <w:rFonts w:hint="eastAsia"/>
              </w:rPr>
            </w:pPr>
            <w:r>
              <w:rPr>
                <w:rFonts w:hint="eastAsia"/>
              </w:rPr>
              <w:t>安全层面</w:t>
            </w:r>
          </w:p>
        </w:tc>
        <w:tc>
          <w:tcPr>
            <w:tcW w:w="2170" w:type="pct"/>
            <w:tcBorders>
              <w:top w:val="single" w:color="auto" w:sz="4" w:space="0"/>
              <w:left w:val="single" w:color="auto" w:sz="4" w:space="0"/>
              <w:bottom w:val="single" w:color="auto" w:sz="4" w:space="0"/>
              <w:right w:val="single" w:color="auto" w:sz="4" w:space="0"/>
            </w:tcBorders>
            <w:vAlign w:val="center"/>
          </w:tcPr>
          <w:p w14:paraId="53E16929">
            <w:pPr>
              <w:bidi w:val="0"/>
              <w:jc w:val="center"/>
              <w:rPr>
                <w:rFonts w:hint="eastAsia"/>
              </w:rPr>
            </w:pPr>
            <w:r>
              <w:rPr>
                <w:rFonts w:hint="eastAsia"/>
              </w:rPr>
              <w:t>安全控制点</w:t>
            </w:r>
          </w:p>
        </w:tc>
        <w:tc>
          <w:tcPr>
            <w:tcW w:w="1718" w:type="pct"/>
            <w:tcBorders>
              <w:top w:val="single" w:color="auto" w:sz="4" w:space="0"/>
              <w:left w:val="single" w:color="auto" w:sz="4" w:space="0"/>
              <w:bottom w:val="single" w:color="auto" w:sz="4" w:space="0"/>
              <w:right w:val="single" w:color="auto" w:sz="4" w:space="0"/>
            </w:tcBorders>
            <w:vAlign w:val="center"/>
          </w:tcPr>
          <w:p w14:paraId="55F5F137">
            <w:pPr>
              <w:bidi w:val="0"/>
              <w:jc w:val="center"/>
              <w:rPr>
                <w:rFonts w:hint="eastAsia"/>
              </w:rPr>
            </w:pPr>
            <w:r>
              <w:rPr>
                <w:rFonts w:hint="eastAsia"/>
              </w:rPr>
              <w:t>测评项数</w:t>
            </w:r>
          </w:p>
        </w:tc>
      </w:tr>
      <w:tr w14:paraId="2F72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6C0EAA69">
            <w:pPr>
              <w:bidi w:val="0"/>
              <w:jc w:val="center"/>
              <w:rPr>
                <w:rFonts w:hint="eastAsia"/>
              </w:rPr>
            </w:pPr>
            <w:r>
              <w:rPr>
                <w:rFonts w:hint="eastAsia"/>
              </w:rPr>
              <w:t>安全物理环境</w:t>
            </w:r>
          </w:p>
        </w:tc>
        <w:tc>
          <w:tcPr>
            <w:tcW w:w="2170" w:type="pct"/>
            <w:tcBorders>
              <w:top w:val="single" w:color="auto" w:sz="4" w:space="0"/>
              <w:left w:val="single" w:color="auto" w:sz="4" w:space="0"/>
              <w:bottom w:val="single" w:color="auto" w:sz="4" w:space="0"/>
              <w:right w:val="single" w:color="auto" w:sz="4" w:space="0"/>
            </w:tcBorders>
            <w:vAlign w:val="center"/>
          </w:tcPr>
          <w:p w14:paraId="113DAF6A">
            <w:pPr>
              <w:bidi w:val="0"/>
              <w:jc w:val="center"/>
              <w:rPr>
                <w:rFonts w:hint="eastAsia"/>
              </w:rPr>
            </w:pPr>
            <w:r>
              <w:rPr>
                <w:rFonts w:hint="eastAsia"/>
              </w:rPr>
              <w:t>物理位置的选择</w:t>
            </w:r>
          </w:p>
        </w:tc>
        <w:tc>
          <w:tcPr>
            <w:tcW w:w="1718" w:type="pct"/>
            <w:tcBorders>
              <w:top w:val="single" w:color="auto" w:sz="4" w:space="0"/>
              <w:left w:val="single" w:color="auto" w:sz="4" w:space="0"/>
              <w:bottom w:val="single" w:color="auto" w:sz="4" w:space="0"/>
              <w:right w:val="single" w:color="auto" w:sz="4" w:space="0"/>
            </w:tcBorders>
            <w:vAlign w:val="center"/>
          </w:tcPr>
          <w:p w14:paraId="52B02059">
            <w:pPr>
              <w:bidi w:val="0"/>
              <w:jc w:val="center"/>
              <w:rPr>
                <w:rFonts w:hint="eastAsia"/>
              </w:rPr>
            </w:pPr>
            <w:r>
              <w:rPr>
                <w:rFonts w:hint="eastAsia"/>
              </w:rPr>
              <w:t>2</w:t>
            </w:r>
          </w:p>
        </w:tc>
      </w:tr>
      <w:tr w14:paraId="133E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23E8B7F">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4F30F4E3">
            <w:pPr>
              <w:bidi w:val="0"/>
              <w:jc w:val="center"/>
              <w:rPr>
                <w:rFonts w:hint="eastAsia"/>
              </w:rPr>
            </w:pPr>
            <w:r>
              <w:rPr>
                <w:rFonts w:hint="eastAsia"/>
              </w:rPr>
              <w:t>物理访问控制</w:t>
            </w:r>
          </w:p>
        </w:tc>
        <w:tc>
          <w:tcPr>
            <w:tcW w:w="1718" w:type="pct"/>
            <w:tcBorders>
              <w:top w:val="single" w:color="auto" w:sz="4" w:space="0"/>
              <w:left w:val="single" w:color="auto" w:sz="4" w:space="0"/>
              <w:bottom w:val="single" w:color="auto" w:sz="4" w:space="0"/>
              <w:right w:val="single" w:color="auto" w:sz="4" w:space="0"/>
            </w:tcBorders>
            <w:vAlign w:val="center"/>
          </w:tcPr>
          <w:p w14:paraId="72275007">
            <w:pPr>
              <w:bidi w:val="0"/>
              <w:jc w:val="center"/>
              <w:rPr>
                <w:rFonts w:hint="eastAsia"/>
              </w:rPr>
            </w:pPr>
            <w:r>
              <w:rPr>
                <w:rFonts w:hint="eastAsia"/>
              </w:rPr>
              <w:t>1</w:t>
            </w:r>
          </w:p>
        </w:tc>
      </w:tr>
      <w:tr w14:paraId="087F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D5F9B30">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83638AD">
            <w:pPr>
              <w:bidi w:val="0"/>
              <w:jc w:val="center"/>
              <w:rPr>
                <w:rFonts w:hint="eastAsia"/>
              </w:rPr>
            </w:pPr>
            <w:r>
              <w:rPr>
                <w:rFonts w:hint="eastAsia"/>
              </w:rPr>
              <w:t>防盗窃和防破坏</w:t>
            </w:r>
          </w:p>
        </w:tc>
        <w:tc>
          <w:tcPr>
            <w:tcW w:w="1718" w:type="pct"/>
            <w:tcBorders>
              <w:top w:val="single" w:color="auto" w:sz="4" w:space="0"/>
              <w:left w:val="single" w:color="auto" w:sz="4" w:space="0"/>
              <w:bottom w:val="single" w:color="auto" w:sz="4" w:space="0"/>
              <w:right w:val="single" w:color="auto" w:sz="4" w:space="0"/>
            </w:tcBorders>
            <w:vAlign w:val="center"/>
          </w:tcPr>
          <w:p w14:paraId="64740FA3">
            <w:pPr>
              <w:bidi w:val="0"/>
              <w:jc w:val="center"/>
              <w:rPr>
                <w:rFonts w:hint="eastAsia"/>
              </w:rPr>
            </w:pPr>
            <w:r>
              <w:rPr>
                <w:rFonts w:hint="eastAsia"/>
              </w:rPr>
              <w:t>2</w:t>
            </w:r>
          </w:p>
        </w:tc>
      </w:tr>
      <w:tr w14:paraId="19C2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382A207">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F794729">
            <w:pPr>
              <w:bidi w:val="0"/>
              <w:jc w:val="center"/>
              <w:rPr>
                <w:rFonts w:hint="eastAsia"/>
              </w:rPr>
            </w:pPr>
            <w:r>
              <w:rPr>
                <w:rFonts w:hint="eastAsia"/>
              </w:rPr>
              <w:t>防雷击</w:t>
            </w:r>
          </w:p>
        </w:tc>
        <w:tc>
          <w:tcPr>
            <w:tcW w:w="1718" w:type="pct"/>
            <w:tcBorders>
              <w:top w:val="single" w:color="auto" w:sz="4" w:space="0"/>
              <w:left w:val="single" w:color="auto" w:sz="4" w:space="0"/>
              <w:bottom w:val="single" w:color="auto" w:sz="4" w:space="0"/>
              <w:right w:val="single" w:color="auto" w:sz="4" w:space="0"/>
            </w:tcBorders>
            <w:vAlign w:val="center"/>
          </w:tcPr>
          <w:p w14:paraId="7E4A4493">
            <w:pPr>
              <w:bidi w:val="0"/>
              <w:jc w:val="center"/>
              <w:rPr>
                <w:rFonts w:hint="eastAsia"/>
              </w:rPr>
            </w:pPr>
            <w:r>
              <w:rPr>
                <w:rFonts w:hint="eastAsia"/>
              </w:rPr>
              <w:t>1</w:t>
            </w:r>
          </w:p>
        </w:tc>
      </w:tr>
      <w:tr w14:paraId="6660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FD90303">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474A539">
            <w:pPr>
              <w:bidi w:val="0"/>
              <w:jc w:val="center"/>
              <w:rPr>
                <w:rFonts w:hint="eastAsia"/>
              </w:rPr>
            </w:pPr>
            <w:r>
              <w:rPr>
                <w:rFonts w:hint="eastAsia"/>
              </w:rPr>
              <w:t>防火</w:t>
            </w:r>
          </w:p>
        </w:tc>
        <w:tc>
          <w:tcPr>
            <w:tcW w:w="1718" w:type="pct"/>
            <w:tcBorders>
              <w:top w:val="single" w:color="auto" w:sz="4" w:space="0"/>
              <w:left w:val="single" w:color="auto" w:sz="4" w:space="0"/>
              <w:bottom w:val="single" w:color="auto" w:sz="4" w:space="0"/>
              <w:right w:val="single" w:color="auto" w:sz="4" w:space="0"/>
            </w:tcBorders>
            <w:vAlign w:val="center"/>
          </w:tcPr>
          <w:p w14:paraId="260AA721">
            <w:pPr>
              <w:bidi w:val="0"/>
              <w:jc w:val="center"/>
              <w:rPr>
                <w:rFonts w:hint="eastAsia"/>
              </w:rPr>
            </w:pPr>
            <w:r>
              <w:rPr>
                <w:rFonts w:hint="eastAsia"/>
              </w:rPr>
              <w:t>2</w:t>
            </w:r>
          </w:p>
        </w:tc>
      </w:tr>
      <w:tr w14:paraId="293A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D93C464">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90F2CAF">
            <w:pPr>
              <w:bidi w:val="0"/>
              <w:jc w:val="center"/>
              <w:rPr>
                <w:rFonts w:hint="eastAsia"/>
              </w:rPr>
            </w:pPr>
            <w:r>
              <w:rPr>
                <w:rFonts w:hint="eastAsia"/>
              </w:rPr>
              <w:t>防水防潮</w:t>
            </w:r>
          </w:p>
        </w:tc>
        <w:tc>
          <w:tcPr>
            <w:tcW w:w="1718" w:type="pct"/>
            <w:tcBorders>
              <w:top w:val="single" w:color="auto" w:sz="4" w:space="0"/>
              <w:left w:val="single" w:color="auto" w:sz="4" w:space="0"/>
              <w:bottom w:val="single" w:color="auto" w:sz="4" w:space="0"/>
              <w:right w:val="single" w:color="auto" w:sz="4" w:space="0"/>
            </w:tcBorders>
            <w:vAlign w:val="center"/>
          </w:tcPr>
          <w:p w14:paraId="33D93E8D">
            <w:pPr>
              <w:bidi w:val="0"/>
              <w:jc w:val="center"/>
              <w:rPr>
                <w:rFonts w:hint="eastAsia"/>
              </w:rPr>
            </w:pPr>
            <w:r>
              <w:rPr>
                <w:rFonts w:hint="eastAsia"/>
              </w:rPr>
              <w:t>2</w:t>
            </w:r>
          </w:p>
        </w:tc>
      </w:tr>
      <w:tr w14:paraId="569A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6F34DA1">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392F971">
            <w:pPr>
              <w:bidi w:val="0"/>
              <w:jc w:val="center"/>
              <w:rPr>
                <w:rFonts w:hint="eastAsia"/>
              </w:rPr>
            </w:pPr>
            <w:r>
              <w:rPr>
                <w:rFonts w:hint="eastAsia"/>
              </w:rPr>
              <w:t>防静电</w:t>
            </w:r>
          </w:p>
        </w:tc>
        <w:tc>
          <w:tcPr>
            <w:tcW w:w="1718" w:type="pct"/>
            <w:tcBorders>
              <w:top w:val="single" w:color="auto" w:sz="4" w:space="0"/>
              <w:left w:val="single" w:color="auto" w:sz="4" w:space="0"/>
              <w:bottom w:val="single" w:color="auto" w:sz="4" w:space="0"/>
              <w:right w:val="single" w:color="auto" w:sz="4" w:space="0"/>
            </w:tcBorders>
            <w:vAlign w:val="center"/>
          </w:tcPr>
          <w:p w14:paraId="78F5D02D">
            <w:pPr>
              <w:bidi w:val="0"/>
              <w:jc w:val="center"/>
              <w:rPr>
                <w:rFonts w:hint="eastAsia"/>
              </w:rPr>
            </w:pPr>
            <w:r>
              <w:rPr>
                <w:rFonts w:hint="eastAsia"/>
              </w:rPr>
              <w:t>1</w:t>
            </w:r>
          </w:p>
        </w:tc>
      </w:tr>
      <w:tr w14:paraId="468D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CA0F877">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C4BEEBF">
            <w:pPr>
              <w:bidi w:val="0"/>
              <w:jc w:val="center"/>
              <w:rPr>
                <w:rFonts w:hint="eastAsia"/>
              </w:rPr>
            </w:pPr>
            <w:r>
              <w:rPr>
                <w:rFonts w:hint="eastAsia"/>
              </w:rPr>
              <w:t>温湿度控制</w:t>
            </w:r>
          </w:p>
        </w:tc>
        <w:tc>
          <w:tcPr>
            <w:tcW w:w="1718" w:type="pct"/>
            <w:tcBorders>
              <w:top w:val="single" w:color="auto" w:sz="4" w:space="0"/>
              <w:left w:val="single" w:color="auto" w:sz="4" w:space="0"/>
              <w:bottom w:val="single" w:color="auto" w:sz="4" w:space="0"/>
              <w:right w:val="single" w:color="auto" w:sz="4" w:space="0"/>
            </w:tcBorders>
            <w:vAlign w:val="center"/>
          </w:tcPr>
          <w:p w14:paraId="1B15C181">
            <w:pPr>
              <w:bidi w:val="0"/>
              <w:jc w:val="center"/>
              <w:rPr>
                <w:rFonts w:hint="eastAsia"/>
              </w:rPr>
            </w:pPr>
            <w:r>
              <w:rPr>
                <w:rFonts w:hint="eastAsia"/>
              </w:rPr>
              <w:t>1</w:t>
            </w:r>
          </w:p>
        </w:tc>
      </w:tr>
      <w:tr w14:paraId="6AD1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8095B0F">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4C7F366">
            <w:pPr>
              <w:bidi w:val="0"/>
              <w:jc w:val="center"/>
              <w:rPr>
                <w:rFonts w:hint="eastAsia"/>
              </w:rPr>
            </w:pPr>
            <w:r>
              <w:rPr>
                <w:rFonts w:hint="eastAsia"/>
              </w:rPr>
              <w:t>电力供应</w:t>
            </w:r>
          </w:p>
        </w:tc>
        <w:tc>
          <w:tcPr>
            <w:tcW w:w="1718" w:type="pct"/>
            <w:tcBorders>
              <w:top w:val="single" w:color="auto" w:sz="4" w:space="0"/>
              <w:left w:val="single" w:color="auto" w:sz="4" w:space="0"/>
              <w:bottom w:val="single" w:color="auto" w:sz="4" w:space="0"/>
              <w:right w:val="single" w:color="auto" w:sz="4" w:space="0"/>
            </w:tcBorders>
            <w:vAlign w:val="center"/>
          </w:tcPr>
          <w:p w14:paraId="7D61A43A">
            <w:pPr>
              <w:bidi w:val="0"/>
              <w:jc w:val="center"/>
              <w:rPr>
                <w:rFonts w:hint="eastAsia"/>
              </w:rPr>
            </w:pPr>
            <w:r>
              <w:rPr>
                <w:rFonts w:hint="eastAsia"/>
              </w:rPr>
              <w:t>2</w:t>
            </w:r>
          </w:p>
        </w:tc>
      </w:tr>
      <w:tr w14:paraId="2B87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0CFBADA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49A4B54">
            <w:pPr>
              <w:bidi w:val="0"/>
              <w:jc w:val="center"/>
              <w:rPr>
                <w:rFonts w:hint="eastAsia"/>
              </w:rPr>
            </w:pPr>
            <w:r>
              <w:rPr>
                <w:rFonts w:hint="eastAsia"/>
              </w:rPr>
              <w:t>电磁防护</w:t>
            </w:r>
          </w:p>
        </w:tc>
        <w:tc>
          <w:tcPr>
            <w:tcW w:w="1718" w:type="pct"/>
            <w:tcBorders>
              <w:top w:val="single" w:color="auto" w:sz="4" w:space="0"/>
              <w:left w:val="single" w:color="auto" w:sz="4" w:space="0"/>
              <w:bottom w:val="single" w:color="auto" w:sz="4" w:space="0"/>
              <w:right w:val="single" w:color="auto" w:sz="4" w:space="0"/>
            </w:tcBorders>
            <w:vAlign w:val="center"/>
          </w:tcPr>
          <w:p w14:paraId="77AE25F8">
            <w:pPr>
              <w:bidi w:val="0"/>
              <w:jc w:val="center"/>
              <w:rPr>
                <w:rFonts w:hint="eastAsia"/>
              </w:rPr>
            </w:pPr>
            <w:r>
              <w:rPr>
                <w:rFonts w:hint="eastAsia"/>
              </w:rPr>
              <w:t>1</w:t>
            </w:r>
          </w:p>
        </w:tc>
      </w:tr>
      <w:tr w14:paraId="3AE2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520CB8D7">
            <w:pPr>
              <w:bidi w:val="0"/>
              <w:jc w:val="center"/>
              <w:rPr>
                <w:rFonts w:hint="eastAsia"/>
              </w:rPr>
            </w:pPr>
            <w:r>
              <w:rPr>
                <w:rFonts w:hint="eastAsia"/>
              </w:rPr>
              <w:t>安全通信网络</w:t>
            </w:r>
          </w:p>
        </w:tc>
        <w:tc>
          <w:tcPr>
            <w:tcW w:w="2170" w:type="pct"/>
            <w:tcBorders>
              <w:top w:val="single" w:color="auto" w:sz="4" w:space="0"/>
              <w:left w:val="single" w:color="auto" w:sz="4" w:space="0"/>
              <w:bottom w:val="single" w:color="auto" w:sz="4" w:space="0"/>
              <w:right w:val="single" w:color="auto" w:sz="4" w:space="0"/>
            </w:tcBorders>
            <w:vAlign w:val="center"/>
          </w:tcPr>
          <w:p w14:paraId="0924416D">
            <w:pPr>
              <w:bidi w:val="0"/>
              <w:jc w:val="center"/>
              <w:rPr>
                <w:rFonts w:hint="eastAsia"/>
              </w:rPr>
            </w:pPr>
            <w:r>
              <w:rPr>
                <w:rFonts w:hint="eastAsia"/>
              </w:rPr>
              <w:t>网络架构</w:t>
            </w:r>
          </w:p>
        </w:tc>
        <w:tc>
          <w:tcPr>
            <w:tcW w:w="1718" w:type="pct"/>
            <w:tcBorders>
              <w:top w:val="single" w:color="auto" w:sz="4" w:space="0"/>
              <w:left w:val="single" w:color="auto" w:sz="4" w:space="0"/>
              <w:bottom w:val="single" w:color="auto" w:sz="4" w:space="0"/>
              <w:right w:val="single" w:color="auto" w:sz="4" w:space="0"/>
            </w:tcBorders>
            <w:vAlign w:val="center"/>
          </w:tcPr>
          <w:p w14:paraId="6CF77A2E">
            <w:pPr>
              <w:bidi w:val="0"/>
              <w:jc w:val="center"/>
              <w:rPr>
                <w:rFonts w:hint="eastAsia"/>
              </w:rPr>
            </w:pPr>
            <w:r>
              <w:rPr>
                <w:rFonts w:hint="eastAsia"/>
              </w:rPr>
              <w:t>2</w:t>
            </w:r>
          </w:p>
        </w:tc>
      </w:tr>
      <w:tr w14:paraId="675B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E17A7C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62060AE2">
            <w:pPr>
              <w:bidi w:val="0"/>
              <w:jc w:val="center"/>
              <w:rPr>
                <w:rFonts w:hint="eastAsia"/>
              </w:rPr>
            </w:pPr>
            <w:r>
              <w:rPr>
                <w:rFonts w:hint="eastAsia"/>
              </w:rPr>
              <w:t>通信传输</w:t>
            </w:r>
          </w:p>
        </w:tc>
        <w:tc>
          <w:tcPr>
            <w:tcW w:w="1718" w:type="pct"/>
            <w:tcBorders>
              <w:top w:val="single" w:color="auto" w:sz="4" w:space="0"/>
              <w:left w:val="single" w:color="auto" w:sz="4" w:space="0"/>
              <w:bottom w:val="single" w:color="auto" w:sz="4" w:space="0"/>
              <w:right w:val="single" w:color="auto" w:sz="4" w:space="0"/>
            </w:tcBorders>
            <w:vAlign w:val="center"/>
          </w:tcPr>
          <w:p w14:paraId="0F0F031C">
            <w:pPr>
              <w:bidi w:val="0"/>
              <w:jc w:val="center"/>
              <w:rPr>
                <w:rFonts w:hint="eastAsia"/>
              </w:rPr>
            </w:pPr>
            <w:r>
              <w:rPr>
                <w:rFonts w:hint="eastAsia"/>
              </w:rPr>
              <w:t>1</w:t>
            </w:r>
          </w:p>
        </w:tc>
      </w:tr>
      <w:tr w14:paraId="2019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73E0E02">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3F900EB">
            <w:pPr>
              <w:bidi w:val="0"/>
              <w:jc w:val="center"/>
              <w:rPr>
                <w:rFonts w:hint="eastAsia"/>
              </w:rPr>
            </w:pPr>
            <w:r>
              <w:rPr>
                <w:rFonts w:hint="eastAsia"/>
              </w:rPr>
              <w:t>可信验证</w:t>
            </w:r>
          </w:p>
        </w:tc>
        <w:tc>
          <w:tcPr>
            <w:tcW w:w="1718" w:type="pct"/>
            <w:tcBorders>
              <w:top w:val="single" w:color="auto" w:sz="4" w:space="0"/>
              <w:left w:val="single" w:color="auto" w:sz="4" w:space="0"/>
              <w:bottom w:val="single" w:color="auto" w:sz="4" w:space="0"/>
              <w:right w:val="single" w:color="auto" w:sz="4" w:space="0"/>
            </w:tcBorders>
            <w:vAlign w:val="center"/>
          </w:tcPr>
          <w:p w14:paraId="0FAFB57B">
            <w:pPr>
              <w:bidi w:val="0"/>
              <w:jc w:val="center"/>
              <w:rPr>
                <w:rFonts w:hint="eastAsia"/>
              </w:rPr>
            </w:pPr>
            <w:r>
              <w:rPr>
                <w:rFonts w:hint="eastAsia"/>
              </w:rPr>
              <w:t>1</w:t>
            </w:r>
          </w:p>
        </w:tc>
      </w:tr>
      <w:tr w14:paraId="7C68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6370D61E">
            <w:pPr>
              <w:bidi w:val="0"/>
              <w:jc w:val="center"/>
              <w:rPr>
                <w:rFonts w:hint="eastAsia"/>
              </w:rPr>
            </w:pPr>
            <w:r>
              <w:rPr>
                <w:rFonts w:hint="eastAsia"/>
              </w:rPr>
              <w:t>安全区域边界</w:t>
            </w:r>
          </w:p>
        </w:tc>
        <w:tc>
          <w:tcPr>
            <w:tcW w:w="2170" w:type="pct"/>
            <w:tcBorders>
              <w:top w:val="single" w:color="auto" w:sz="4" w:space="0"/>
              <w:left w:val="single" w:color="auto" w:sz="4" w:space="0"/>
              <w:bottom w:val="single" w:color="auto" w:sz="4" w:space="0"/>
              <w:right w:val="single" w:color="auto" w:sz="4" w:space="0"/>
            </w:tcBorders>
            <w:vAlign w:val="center"/>
          </w:tcPr>
          <w:p w14:paraId="3C5E72BE">
            <w:pPr>
              <w:bidi w:val="0"/>
              <w:jc w:val="center"/>
              <w:rPr>
                <w:rFonts w:hint="eastAsia"/>
              </w:rPr>
            </w:pPr>
            <w:r>
              <w:rPr>
                <w:rFonts w:hint="eastAsia"/>
              </w:rPr>
              <w:t>边界防护</w:t>
            </w:r>
          </w:p>
        </w:tc>
        <w:tc>
          <w:tcPr>
            <w:tcW w:w="1718" w:type="pct"/>
            <w:tcBorders>
              <w:top w:val="single" w:color="auto" w:sz="4" w:space="0"/>
              <w:left w:val="single" w:color="auto" w:sz="4" w:space="0"/>
              <w:bottom w:val="single" w:color="auto" w:sz="4" w:space="0"/>
              <w:right w:val="single" w:color="auto" w:sz="4" w:space="0"/>
            </w:tcBorders>
            <w:vAlign w:val="center"/>
          </w:tcPr>
          <w:p w14:paraId="45FF8104">
            <w:pPr>
              <w:bidi w:val="0"/>
              <w:jc w:val="center"/>
              <w:rPr>
                <w:rFonts w:hint="eastAsia"/>
              </w:rPr>
            </w:pPr>
            <w:r>
              <w:rPr>
                <w:rFonts w:hint="eastAsia"/>
              </w:rPr>
              <w:t>1</w:t>
            </w:r>
          </w:p>
        </w:tc>
      </w:tr>
      <w:tr w14:paraId="295C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B3CB11A">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7E9F163">
            <w:pPr>
              <w:bidi w:val="0"/>
              <w:jc w:val="center"/>
              <w:rPr>
                <w:rFonts w:hint="eastAsia"/>
              </w:rPr>
            </w:pPr>
            <w:r>
              <w:rPr>
                <w:rFonts w:hint="eastAsia"/>
              </w:rPr>
              <w:t>访问控制</w:t>
            </w:r>
          </w:p>
        </w:tc>
        <w:tc>
          <w:tcPr>
            <w:tcW w:w="1718" w:type="pct"/>
            <w:tcBorders>
              <w:top w:val="single" w:color="auto" w:sz="4" w:space="0"/>
              <w:left w:val="single" w:color="auto" w:sz="4" w:space="0"/>
              <w:bottom w:val="single" w:color="auto" w:sz="4" w:space="0"/>
              <w:right w:val="single" w:color="auto" w:sz="4" w:space="0"/>
            </w:tcBorders>
            <w:vAlign w:val="center"/>
          </w:tcPr>
          <w:p w14:paraId="4A4D950A">
            <w:pPr>
              <w:bidi w:val="0"/>
              <w:jc w:val="center"/>
              <w:rPr>
                <w:rFonts w:hint="eastAsia"/>
              </w:rPr>
            </w:pPr>
            <w:r>
              <w:rPr>
                <w:rFonts w:hint="eastAsia"/>
              </w:rPr>
              <w:t>4</w:t>
            </w:r>
          </w:p>
        </w:tc>
      </w:tr>
      <w:tr w14:paraId="4D31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F689A30">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4B91B3E5">
            <w:pPr>
              <w:bidi w:val="0"/>
              <w:jc w:val="center"/>
              <w:rPr>
                <w:rFonts w:hint="eastAsia"/>
              </w:rPr>
            </w:pPr>
            <w:r>
              <w:rPr>
                <w:rFonts w:hint="eastAsia"/>
              </w:rPr>
              <w:t>入侵防范</w:t>
            </w:r>
          </w:p>
        </w:tc>
        <w:tc>
          <w:tcPr>
            <w:tcW w:w="1718" w:type="pct"/>
            <w:tcBorders>
              <w:top w:val="single" w:color="auto" w:sz="4" w:space="0"/>
              <w:left w:val="single" w:color="auto" w:sz="4" w:space="0"/>
              <w:bottom w:val="single" w:color="auto" w:sz="4" w:space="0"/>
              <w:right w:val="single" w:color="auto" w:sz="4" w:space="0"/>
            </w:tcBorders>
            <w:vAlign w:val="center"/>
          </w:tcPr>
          <w:p w14:paraId="202862ED">
            <w:pPr>
              <w:bidi w:val="0"/>
              <w:jc w:val="center"/>
              <w:rPr>
                <w:rFonts w:hint="eastAsia"/>
              </w:rPr>
            </w:pPr>
            <w:r>
              <w:rPr>
                <w:rFonts w:hint="eastAsia"/>
              </w:rPr>
              <w:t>1</w:t>
            </w:r>
          </w:p>
        </w:tc>
      </w:tr>
      <w:tr w14:paraId="059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ED5D654">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6A2040E8">
            <w:pPr>
              <w:bidi w:val="0"/>
              <w:jc w:val="center"/>
              <w:rPr>
                <w:rFonts w:hint="eastAsia"/>
              </w:rPr>
            </w:pPr>
            <w:r>
              <w:rPr>
                <w:rFonts w:hint="eastAsia"/>
              </w:rPr>
              <w:t>恶意代码防范</w:t>
            </w:r>
          </w:p>
        </w:tc>
        <w:tc>
          <w:tcPr>
            <w:tcW w:w="1718" w:type="pct"/>
            <w:tcBorders>
              <w:top w:val="single" w:color="auto" w:sz="4" w:space="0"/>
              <w:left w:val="single" w:color="auto" w:sz="4" w:space="0"/>
              <w:bottom w:val="single" w:color="auto" w:sz="4" w:space="0"/>
              <w:right w:val="single" w:color="auto" w:sz="4" w:space="0"/>
            </w:tcBorders>
            <w:vAlign w:val="center"/>
          </w:tcPr>
          <w:p w14:paraId="2A4A597E">
            <w:pPr>
              <w:bidi w:val="0"/>
              <w:jc w:val="center"/>
              <w:rPr>
                <w:rFonts w:hint="eastAsia"/>
              </w:rPr>
            </w:pPr>
            <w:r>
              <w:rPr>
                <w:rFonts w:hint="eastAsia"/>
              </w:rPr>
              <w:t>1</w:t>
            </w:r>
          </w:p>
        </w:tc>
      </w:tr>
      <w:tr w14:paraId="49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21E6B5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BD21BA9">
            <w:pPr>
              <w:bidi w:val="0"/>
              <w:jc w:val="center"/>
              <w:rPr>
                <w:rFonts w:hint="eastAsia"/>
              </w:rPr>
            </w:pPr>
            <w:r>
              <w:rPr>
                <w:rFonts w:hint="eastAsia"/>
              </w:rPr>
              <w:t>安全审计</w:t>
            </w:r>
          </w:p>
        </w:tc>
        <w:tc>
          <w:tcPr>
            <w:tcW w:w="1718" w:type="pct"/>
            <w:tcBorders>
              <w:top w:val="single" w:color="auto" w:sz="4" w:space="0"/>
              <w:left w:val="single" w:color="auto" w:sz="4" w:space="0"/>
              <w:bottom w:val="single" w:color="auto" w:sz="4" w:space="0"/>
              <w:right w:val="single" w:color="auto" w:sz="4" w:space="0"/>
            </w:tcBorders>
            <w:vAlign w:val="center"/>
          </w:tcPr>
          <w:p w14:paraId="4D69DE32">
            <w:pPr>
              <w:bidi w:val="0"/>
              <w:jc w:val="center"/>
              <w:rPr>
                <w:rFonts w:hint="eastAsia"/>
              </w:rPr>
            </w:pPr>
            <w:r>
              <w:rPr>
                <w:rFonts w:hint="eastAsia"/>
              </w:rPr>
              <w:t>3</w:t>
            </w:r>
          </w:p>
        </w:tc>
      </w:tr>
      <w:tr w14:paraId="357E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8B9A3F2">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3A23E95">
            <w:pPr>
              <w:bidi w:val="0"/>
              <w:jc w:val="center"/>
              <w:rPr>
                <w:rFonts w:hint="eastAsia"/>
              </w:rPr>
            </w:pPr>
            <w:r>
              <w:rPr>
                <w:rFonts w:hint="eastAsia"/>
              </w:rPr>
              <w:t>可信验证</w:t>
            </w:r>
          </w:p>
        </w:tc>
        <w:tc>
          <w:tcPr>
            <w:tcW w:w="1718" w:type="pct"/>
            <w:tcBorders>
              <w:top w:val="single" w:color="auto" w:sz="4" w:space="0"/>
              <w:left w:val="single" w:color="auto" w:sz="4" w:space="0"/>
              <w:bottom w:val="single" w:color="auto" w:sz="4" w:space="0"/>
              <w:right w:val="single" w:color="auto" w:sz="4" w:space="0"/>
            </w:tcBorders>
            <w:vAlign w:val="center"/>
          </w:tcPr>
          <w:p w14:paraId="19AC685F">
            <w:pPr>
              <w:bidi w:val="0"/>
              <w:jc w:val="center"/>
              <w:rPr>
                <w:rFonts w:hint="eastAsia"/>
              </w:rPr>
            </w:pPr>
            <w:r>
              <w:rPr>
                <w:rFonts w:hint="eastAsia"/>
              </w:rPr>
              <w:t>1</w:t>
            </w:r>
          </w:p>
        </w:tc>
      </w:tr>
      <w:tr w14:paraId="1F9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13B8C732">
            <w:pPr>
              <w:bidi w:val="0"/>
              <w:jc w:val="center"/>
              <w:rPr>
                <w:rFonts w:hint="eastAsia"/>
              </w:rPr>
            </w:pPr>
            <w:r>
              <w:rPr>
                <w:rFonts w:hint="eastAsia"/>
              </w:rPr>
              <w:t>安全计算环境</w:t>
            </w:r>
          </w:p>
        </w:tc>
        <w:tc>
          <w:tcPr>
            <w:tcW w:w="2170" w:type="pct"/>
            <w:tcBorders>
              <w:top w:val="single" w:color="auto" w:sz="4" w:space="0"/>
              <w:left w:val="single" w:color="auto" w:sz="4" w:space="0"/>
              <w:bottom w:val="single" w:color="auto" w:sz="4" w:space="0"/>
              <w:right w:val="single" w:color="auto" w:sz="4" w:space="0"/>
            </w:tcBorders>
            <w:vAlign w:val="center"/>
          </w:tcPr>
          <w:p w14:paraId="34F5A4C7">
            <w:pPr>
              <w:bidi w:val="0"/>
              <w:jc w:val="center"/>
              <w:rPr>
                <w:rFonts w:hint="eastAsia"/>
              </w:rPr>
            </w:pPr>
            <w:r>
              <w:rPr>
                <w:rFonts w:hint="eastAsia"/>
              </w:rPr>
              <w:t>身份鉴别</w:t>
            </w:r>
          </w:p>
        </w:tc>
        <w:tc>
          <w:tcPr>
            <w:tcW w:w="1718" w:type="pct"/>
            <w:tcBorders>
              <w:top w:val="single" w:color="auto" w:sz="4" w:space="0"/>
              <w:left w:val="single" w:color="auto" w:sz="4" w:space="0"/>
              <w:bottom w:val="single" w:color="auto" w:sz="4" w:space="0"/>
              <w:right w:val="single" w:color="auto" w:sz="4" w:space="0"/>
            </w:tcBorders>
            <w:vAlign w:val="center"/>
          </w:tcPr>
          <w:p w14:paraId="69E46B9B">
            <w:pPr>
              <w:bidi w:val="0"/>
              <w:jc w:val="center"/>
              <w:rPr>
                <w:rFonts w:hint="eastAsia"/>
              </w:rPr>
            </w:pPr>
            <w:r>
              <w:rPr>
                <w:rFonts w:hint="eastAsia"/>
              </w:rPr>
              <w:t>3</w:t>
            </w:r>
          </w:p>
        </w:tc>
      </w:tr>
      <w:tr w14:paraId="3848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4E2E2D9">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441CCDB">
            <w:pPr>
              <w:bidi w:val="0"/>
              <w:jc w:val="center"/>
              <w:rPr>
                <w:rFonts w:hint="eastAsia"/>
              </w:rPr>
            </w:pPr>
            <w:r>
              <w:rPr>
                <w:rFonts w:hint="eastAsia"/>
              </w:rPr>
              <w:t>访问控制</w:t>
            </w:r>
          </w:p>
        </w:tc>
        <w:tc>
          <w:tcPr>
            <w:tcW w:w="1718" w:type="pct"/>
            <w:tcBorders>
              <w:top w:val="single" w:color="auto" w:sz="4" w:space="0"/>
              <w:left w:val="single" w:color="auto" w:sz="4" w:space="0"/>
              <w:bottom w:val="single" w:color="auto" w:sz="4" w:space="0"/>
              <w:right w:val="single" w:color="auto" w:sz="4" w:space="0"/>
            </w:tcBorders>
            <w:vAlign w:val="center"/>
          </w:tcPr>
          <w:p w14:paraId="24BD0D47">
            <w:pPr>
              <w:bidi w:val="0"/>
              <w:jc w:val="center"/>
              <w:rPr>
                <w:rFonts w:hint="eastAsia"/>
              </w:rPr>
            </w:pPr>
            <w:r>
              <w:rPr>
                <w:rFonts w:hint="eastAsia"/>
              </w:rPr>
              <w:t>4</w:t>
            </w:r>
          </w:p>
        </w:tc>
      </w:tr>
      <w:tr w14:paraId="3CE1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380FDD9">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6CE56C3F">
            <w:pPr>
              <w:bidi w:val="0"/>
              <w:jc w:val="center"/>
              <w:rPr>
                <w:rFonts w:hint="eastAsia"/>
              </w:rPr>
            </w:pPr>
            <w:r>
              <w:rPr>
                <w:rFonts w:hint="eastAsia"/>
              </w:rPr>
              <w:t>安全审计</w:t>
            </w:r>
          </w:p>
        </w:tc>
        <w:tc>
          <w:tcPr>
            <w:tcW w:w="1718" w:type="pct"/>
            <w:tcBorders>
              <w:top w:val="single" w:color="auto" w:sz="4" w:space="0"/>
              <w:left w:val="single" w:color="auto" w:sz="4" w:space="0"/>
              <w:bottom w:val="single" w:color="auto" w:sz="4" w:space="0"/>
              <w:right w:val="single" w:color="auto" w:sz="4" w:space="0"/>
            </w:tcBorders>
            <w:vAlign w:val="center"/>
          </w:tcPr>
          <w:p w14:paraId="166DDF85">
            <w:pPr>
              <w:bidi w:val="0"/>
              <w:jc w:val="center"/>
              <w:rPr>
                <w:rFonts w:hint="eastAsia"/>
              </w:rPr>
            </w:pPr>
            <w:r>
              <w:rPr>
                <w:rFonts w:hint="eastAsia"/>
              </w:rPr>
              <w:t>3</w:t>
            </w:r>
          </w:p>
        </w:tc>
      </w:tr>
      <w:tr w14:paraId="109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58E43DC8">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1833ECB">
            <w:pPr>
              <w:bidi w:val="0"/>
              <w:jc w:val="center"/>
              <w:rPr>
                <w:rFonts w:hint="eastAsia"/>
              </w:rPr>
            </w:pPr>
            <w:r>
              <w:rPr>
                <w:rFonts w:hint="eastAsia"/>
              </w:rPr>
              <w:t>入侵防范</w:t>
            </w:r>
          </w:p>
        </w:tc>
        <w:tc>
          <w:tcPr>
            <w:tcW w:w="1718" w:type="pct"/>
            <w:tcBorders>
              <w:top w:val="single" w:color="auto" w:sz="4" w:space="0"/>
              <w:left w:val="single" w:color="auto" w:sz="4" w:space="0"/>
              <w:bottom w:val="single" w:color="auto" w:sz="4" w:space="0"/>
              <w:right w:val="single" w:color="auto" w:sz="4" w:space="0"/>
            </w:tcBorders>
            <w:vAlign w:val="center"/>
          </w:tcPr>
          <w:p w14:paraId="2D58F6E3">
            <w:pPr>
              <w:bidi w:val="0"/>
              <w:jc w:val="center"/>
              <w:rPr>
                <w:rFonts w:hint="eastAsia"/>
              </w:rPr>
            </w:pPr>
            <w:r>
              <w:rPr>
                <w:rFonts w:hint="eastAsia"/>
              </w:rPr>
              <w:t>5</w:t>
            </w:r>
          </w:p>
        </w:tc>
      </w:tr>
      <w:tr w14:paraId="760D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9177F15">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6E64DCBE">
            <w:pPr>
              <w:bidi w:val="0"/>
              <w:jc w:val="center"/>
              <w:rPr>
                <w:rFonts w:hint="eastAsia"/>
              </w:rPr>
            </w:pPr>
            <w:r>
              <w:rPr>
                <w:rFonts w:hint="eastAsia"/>
              </w:rPr>
              <w:t>恶意代码防范</w:t>
            </w:r>
          </w:p>
        </w:tc>
        <w:tc>
          <w:tcPr>
            <w:tcW w:w="1718" w:type="pct"/>
            <w:tcBorders>
              <w:top w:val="single" w:color="auto" w:sz="4" w:space="0"/>
              <w:left w:val="single" w:color="auto" w:sz="4" w:space="0"/>
              <w:bottom w:val="single" w:color="auto" w:sz="4" w:space="0"/>
              <w:right w:val="single" w:color="auto" w:sz="4" w:space="0"/>
            </w:tcBorders>
            <w:vAlign w:val="center"/>
          </w:tcPr>
          <w:p w14:paraId="73AF0217">
            <w:pPr>
              <w:bidi w:val="0"/>
              <w:jc w:val="center"/>
              <w:rPr>
                <w:rFonts w:hint="eastAsia"/>
              </w:rPr>
            </w:pPr>
            <w:r>
              <w:rPr>
                <w:rFonts w:hint="eastAsia"/>
              </w:rPr>
              <w:t>1</w:t>
            </w:r>
          </w:p>
        </w:tc>
      </w:tr>
      <w:tr w14:paraId="6954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DA0D511">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230943A">
            <w:pPr>
              <w:bidi w:val="0"/>
              <w:jc w:val="center"/>
              <w:rPr>
                <w:rFonts w:hint="eastAsia"/>
              </w:rPr>
            </w:pPr>
            <w:r>
              <w:rPr>
                <w:rFonts w:hint="eastAsia"/>
              </w:rPr>
              <w:t>可信验证</w:t>
            </w:r>
          </w:p>
        </w:tc>
        <w:tc>
          <w:tcPr>
            <w:tcW w:w="1718" w:type="pct"/>
            <w:tcBorders>
              <w:top w:val="single" w:color="auto" w:sz="4" w:space="0"/>
              <w:left w:val="single" w:color="auto" w:sz="4" w:space="0"/>
              <w:bottom w:val="single" w:color="auto" w:sz="4" w:space="0"/>
              <w:right w:val="single" w:color="auto" w:sz="4" w:space="0"/>
            </w:tcBorders>
            <w:vAlign w:val="center"/>
          </w:tcPr>
          <w:p w14:paraId="5488A0DD">
            <w:pPr>
              <w:bidi w:val="0"/>
              <w:jc w:val="center"/>
              <w:rPr>
                <w:rFonts w:hint="eastAsia"/>
              </w:rPr>
            </w:pPr>
            <w:r>
              <w:rPr>
                <w:rFonts w:hint="eastAsia"/>
              </w:rPr>
              <w:t>1</w:t>
            </w:r>
          </w:p>
        </w:tc>
      </w:tr>
      <w:tr w14:paraId="6640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EEEA54E">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B78BC92">
            <w:pPr>
              <w:bidi w:val="0"/>
              <w:jc w:val="center"/>
              <w:rPr>
                <w:rFonts w:hint="eastAsia"/>
              </w:rPr>
            </w:pPr>
            <w:r>
              <w:rPr>
                <w:rFonts w:hint="eastAsia"/>
              </w:rPr>
              <w:t>数据完整性</w:t>
            </w:r>
          </w:p>
        </w:tc>
        <w:tc>
          <w:tcPr>
            <w:tcW w:w="1718" w:type="pct"/>
            <w:tcBorders>
              <w:top w:val="single" w:color="auto" w:sz="4" w:space="0"/>
              <w:left w:val="single" w:color="auto" w:sz="4" w:space="0"/>
              <w:bottom w:val="single" w:color="auto" w:sz="4" w:space="0"/>
              <w:right w:val="single" w:color="auto" w:sz="4" w:space="0"/>
            </w:tcBorders>
            <w:vAlign w:val="center"/>
          </w:tcPr>
          <w:p w14:paraId="572A12E4">
            <w:pPr>
              <w:bidi w:val="0"/>
              <w:jc w:val="center"/>
              <w:rPr>
                <w:rFonts w:hint="eastAsia"/>
              </w:rPr>
            </w:pPr>
            <w:r>
              <w:rPr>
                <w:rFonts w:hint="eastAsia"/>
              </w:rPr>
              <w:t>1</w:t>
            </w:r>
          </w:p>
        </w:tc>
      </w:tr>
      <w:tr w14:paraId="64A5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7CABA2F">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1C61B3D">
            <w:pPr>
              <w:bidi w:val="0"/>
              <w:jc w:val="center"/>
              <w:rPr>
                <w:rFonts w:hint="eastAsia"/>
              </w:rPr>
            </w:pPr>
            <w:r>
              <w:rPr>
                <w:rFonts w:hint="eastAsia"/>
              </w:rPr>
              <w:t>数据备份恢复</w:t>
            </w:r>
          </w:p>
        </w:tc>
        <w:tc>
          <w:tcPr>
            <w:tcW w:w="1718" w:type="pct"/>
            <w:tcBorders>
              <w:top w:val="single" w:color="auto" w:sz="4" w:space="0"/>
              <w:left w:val="single" w:color="auto" w:sz="4" w:space="0"/>
              <w:bottom w:val="single" w:color="auto" w:sz="4" w:space="0"/>
              <w:right w:val="single" w:color="auto" w:sz="4" w:space="0"/>
            </w:tcBorders>
            <w:vAlign w:val="center"/>
          </w:tcPr>
          <w:p w14:paraId="1346E143">
            <w:pPr>
              <w:bidi w:val="0"/>
              <w:jc w:val="center"/>
              <w:rPr>
                <w:rFonts w:hint="eastAsia"/>
              </w:rPr>
            </w:pPr>
            <w:r>
              <w:rPr>
                <w:rFonts w:hint="eastAsia"/>
              </w:rPr>
              <w:t>2</w:t>
            </w:r>
          </w:p>
        </w:tc>
      </w:tr>
      <w:tr w14:paraId="6C20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585C166">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D169BDE">
            <w:pPr>
              <w:bidi w:val="0"/>
              <w:jc w:val="center"/>
              <w:rPr>
                <w:rFonts w:hint="eastAsia"/>
              </w:rPr>
            </w:pPr>
            <w:r>
              <w:rPr>
                <w:rFonts w:hint="eastAsia"/>
              </w:rPr>
              <w:t>剩余信息保护</w:t>
            </w:r>
          </w:p>
        </w:tc>
        <w:tc>
          <w:tcPr>
            <w:tcW w:w="1718" w:type="pct"/>
            <w:tcBorders>
              <w:top w:val="single" w:color="auto" w:sz="4" w:space="0"/>
              <w:left w:val="single" w:color="auto" w:sz="4" w:space="0"/>
              <w:bottom w:val="single" w:color="auto" w:sz="4" w:space="0"/>
              <w:right w:val="single" w:color="auto" w:sz="4" w:space="0"/>
            </w:tcBorders>
            <w:vAlign w:val="center"/>
          </w:tcPr>
          <w:p w14:paraId="3B6CC3BE">
            <w:pPr>
              <w:bidi w:val="0"/>
              <w:jc w:val="center"/>
              <w:rPr>
                <w:rFonts w:hint="eastAsia"/>
              </w:rPr>
            </w:pPr>
            <w:r>
              <w:rPr>
                <w:rFonts w:hint="eastAsia"/>
              </w:rPr>
              <w:t>1</w:t>
            </w:r>
          </w:p>
        </w:tc>
      </w:tr>
      <w:tr w14:paraId="243B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33AA272">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7AF43BE">
            <w:pPr>
              <w:bidi w:val="0"/>
              <w:jc w:val="center"/>
              <w:rPr>
                <w:rFonts w:hint="eastAsia"/>
              </w:rPr>
            </w:pPr>
            <w:r>
              <w:rPr>
                <w:rFonts w:hint="eastAsia"/>
              </w:rPr>
              <w:t>个人信息保护</w:t>
            </w:r>
          </w:p>
        </w:tc>
        <w:tc>
          <w:tcPr>
            <w:tcW w:w="1718" w:type="pct"/>
            <w:tcBorders>
              <w:top w:val="single" w:color="auto" w:sz="4" w:space="0"/>
              <w:left w:val="single" w:color="auto" w:sz="4" w:space="0"/>
              <w:bottom w:val="single" w:color="auto" w:sz="4" w:space="0"/>
              <w:right w:val="single" w:color="auto" w:sz="4" w:space="0"/>
            </w:tcBorders>
            <w:vAlign w:val="center"/>
          </w:tcPr>
          <w:p w14:paraId="63C841B0">
            <w:pPr>
              <w:bidi w:val="0"/>
              <w:jc w:val="center"/>
              <w:rPr>
                <w:rFonts w:hint="eastAsia"/>
              </w:rPr>
            </w:pPr>
            <w:r>
              <w:rPr>
                <w:rFonts w:hint="eastAsia"/>
              </w:rPr>
              <w:t>2</w:t>
            </w:r>
          </w:p>
        </w:tc>
      </w:tr>
      <w:tr w14:paraId="0CE3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5EB63A1C">
            <w:pPr>
              <w:bidi w:val="0"/>
              <w:jc w:val="center"/>
              <w:rPr>
                <w:rFonts w:hint="eastAsia"/>
              </w:rPr>
            </w:pPr>
            <w:r>
              <w:rPr>
                <w:rFonts w:hint="eastAsia"/>
              </w:rPr>
              <w:t>安全管理中心</w:t>
            </w:r>
          </w:p>
        </w:tc>
        <w:tc>
          <w:tcPr>
            <w:tcW w:w="2170" w:type="pct"/>
            <w:tcBorders>
              <w:top w:val="single" w:color="auto" w:sz="4" w:space="0"/>
              <w:left w:val="single" w:color="auto" w:sz="4" w:space="0"/>
              <w:bottom w:val="single" w:color="auto" w:sz="4" w:space="0"/>
              <w:right w:val="single" w:color="auto" w:sz="4" w:space="0"/>
            </w:tcBorders>
            <w:vAlign w:val="center"/>
          </w:tcPr>
          <w:p w14:paraId="5D75F140">
            <w:pPr>
              <w:bidi w:val="0"/>
              <w:jc w:val="center"/>
              <w:rPr>
                <w:rFonts w:hint="eastAsia"/>
              </w:rPr>
            </w:pPr>
            <w:r>
              <w:rPr>
                <w:rFonts w:hint="eastAsia"/>
              </w:rPr>
              <w:t>系统管理</w:t>
            </w:r>
          </w:p>
        </w:tc>
        <w:tc>
          <w:tcPr>
            <w:tcW w:w="1718" w:type="pct"/>
            <w:tcBorders>
              <w:top w:val="single" w:color="auto" w:sz="4" w:space="0"/>
              <w:left w:val="single" w:color="auto" w:sz="4" w:space="0"/>
              <w:bottom w:val="single" w:color="auto" w:sz="4" w:space="0"/>
              <w:right w:val="single" w:color="auto" w:sz="4" w:space="0"/>
            </w:tcBorders>
            <w:vAlign w:val="center"/>
          </w:tcPr>
          <w:p w14:paraId="2C9C686F">
            <w:pPr>
              <w:bidi w:val="0"/>
              <w:jc w:val="center"/>
              <w:rPr>
                <w:rFonts w:hint="eastAsia"/>
              </w:rPr>
            </w:pPr>
            <w:r>
              <w:rPr>
                <w:rFonts w:hint="eastAsia"/>
              </w:rPr>
              <w:t>2</w:t>
            </w:r>
          </w:p>
        </w:tc>
      </w:tr>
      <w:tr w14:paraId="1900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22199AB">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E9AB2F2">
            <w:pPr>
              <w:bidi w:val="0"/>
              <w:jc w:val="center"/>
              <w:rPr>
                <w:rFonts w:hint="eastAsia"/>
              </w:rPr>
            </w:pPr>
            <w:r>
              <w:rPr>
                <w:rFonts w:hint="eastAsia"/>
              </w:rPr>
              <w:t>审计管理</w:t>
            </w:r>
          </w:p>
        </w:tc>
        <w:tc>
          <w:tcPr>
            <w:tcW w:w="1718" w:type="pct"/>
            <w:tcBorders>
              <w:top w:val="single" w:color="auto" w:sz="4" w:space="0"/>
              <w:left w:val="single" w:color="auto" w:sz="4" w:space="0"/>
              <w:bottom w:val="single" w:color="auto" w:sz="4" w:space="0"/>
              <w:right w:val="single" w:color="auto" w:sz="4" w:space="0"/>
            </w:tcBorders>
            <w:vAlign w:val="center"/>
          </w:tcPr>
          <w:p w14:paraId="167D150F">
            <w:pPr>
              <w:bidi w:val="0"/>
              <w:jc w:val="center"/>
              <w:rPr>
                <w:rFonts w:hint="eastAsia"/>
              </w:rPr>
            </w:pPr>
            <w:r>
              <w:rPr>
                <w:rFonts w:hint="eastAsia"/>
              </w:rPr>
              <w:t>2</w:t>
            </w:r>
          </w:p>
        </w:tc>
      </w:tr>
      <w:tr w14:paraId="4405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07344FE5">
            <w:pPr>
              <w:bidi w:val="0"/>
              <w:jc w:val="center"/>
              <w:rPr>
                <w:rFonts w:hint="eastAsia"/>
              </w:rPr>
            </w:pPr>
            <w:r>
              <w:rPr>
                <w:rFonts w:hint="eastAsia"/>
              </w:rPr>
              <w:t>安全管理制度</w:t>
            </w:r>
          </w:p>
        </w:tc>
        <w:tc>
          <w:tcPr>
            <w:tcW w:w="2170" w:type="pct"/>
            <w:tcBorders>
              <w:top w:val="single" w:color="auto" w:sz="4" w:space="0"/>
              <w:left w:val="single" w:color="auto" w:sz="4" w:space="0"/>
              <w:bottom w:val="single" w:color="auto" w:sz="4" w:space="0"/>
              <w:right w:val="single" w:color="auto" w:sz="4" w:space="0"/>
            </w:tcBorders>
            <w:vAlign w:val="center"/>
          </w:tcPr>
          <w:p w14:paraId="0E436A2E">
            <w:pPr>
              <w:bidi w:val="0"/>
              <w:jc w:val="center"/>
              <w:rPr>
                <w:rFonts w:hint="eastAsia"/>
              </w:rPr>
            </w:pPr>
            <w:r>
              <w:rPr>
                <w:rFonts w:hint="eastAsia"/>
              </w:rPr>
              <w:t>安全策略</w:t>
            </w:r>
          </w:p>
        </w:tc>
        <w:tc>
          <w:tcPr>
            <w:tcW w:w="1718" w:type="pct"/>
            <w:tcBorders>
              <w:top w:val="single" w:color="auto" w:sz="4" w:space="0"/>
              <w:left w:val="single" w:color="auto" w:sz="4" w:space="0"/>
              <w:bottom w:val="single" w:color="auto" w:sz="4" w:space="0"/>
              <w:right w:val="single" w:color="auto" w:sz="4" w:space="0"/>
            </w:tcBorders>
            <w:vAlign w:val="center"/>
          </w:tcPr>
          <w:p w14:paraId="50922DA5">
            <w:pPr>
              <w:bidi w:val="0"/>
              <w:jc w:val="center"/>
              <w:rPr>
                <w:rFonts w:hint="eastAsia"/>
              </w:rPr>
            </w:pPr>
            <w:r>
              <w:rPr>
                <w:rFonts w:hint="eastAsia"/>
              </w:rPr>
              <w:t>1</w:t>
            </w:r>
          </w:p>
        </w:tc>
      </w:tr>
      <w:tr w14:paraId="5241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0211003C">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240DBA9">
            <w:pPr>
              <w:bidi w:val="0"/>
              <w:jc w:val="center"/>
              <w:rPr>
                <w:rFonts w:hint="eastAsia"/>
              </w:rPr>
            </w:pPr>
            <w:r>
              <w:rPr>
                <w:rFonts w:hint="eastAsia"/>
              </w:rPr>
              <w:t>管理制度</w:t>
            </w:r>
          </w:p>
        </w:tc>
        <w:tc>
          <w:tcPr>
            <w:tcW w:w="1718" w:type="pct"/>
            <w:tcBorders>
              <w:top w:val="single" w:color="auto" w:sz="4" w:space="0"/>
              <w:left w:val="single" w:color="auto" w:sz="4" w:space="0"/>
              <w:bottom w:val="single" w:color="auto" w:sz="4" w:space="0"/>
              <w:right w:val="single" w:color="auto" w:sz="4" w:space="0"/>
            </w:tcBorders>
            <w:vAlign w:val="center"/>
          </w:tcPr>
          <w:p w14:paraId="09C62602">
            <w:pPr>
              <w:bidi w:val="0"/>
              <w:jc w:val="center"/>
              <w:rPr>
                <w:rFonts w:hint="eastAsia"/>
              </w:rPr>
            </w:pPr>
            <w:r>
              <w:rPr>
                <w:rFonts w:hint="eastAsia"/>
              </w:rPr>
              <w:t>2</w:t>
            </w:r>
          </w:p>
        </w:tc>
      </w:tr>
      <w:tr w14:paraId="444C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188F73A">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454AFC9">
            <w:pPr>
              <w:bidi w:val="0"/>
              <w:jc w:val="center"/>
              <w:rPr>
                <w:rFonts w:hint="eastAsia"/>
              </w:rPr>
            </w:pPr>
            <w:r>
              <w:rPr>
                <w:rFonts w:hint="eastAsia"/>
              </w:rPr>
              <w:t>制定和发布</w:t>
            </w:r>
          </w:p>
        </w:tc>
        <w:tc>
          <w:tcPr>
            <w:tcW w:w="1718" w:type="pct"/>
            <w:tcBorders>
              <w:top w:val="single" w:color="auto" w:sz="4" w:space="0"/>
              <w:left w:val="single" w:color="auto" w:sz="4" w:space="0"/>
              <w:bottom w:val="single" w:color="auto" w:sz="4" w:space="0"/>
              <w:right w:val="single" w:color="auto" w:sz="4" w:space="0"/>
            </w:tcBorders>
            <w:vAlign w:val="center"/>
          </w:tcPr>
          <w:p w14:paraId="0E088F3F">
            <w:pPr>
              <w:bidi w:val="0"/>
              <w:jc w:val="center"/>
              <w:rPr>
                <w:rFonts w:hint="eastAsia"/>
              </w:rPr>
            </w:pPr>
            <w:r>
              <w:rPr>
                <w:rFonts w:hint="eastAsia"/>
              </w:rPr>
              <w:t>2</w:t>
            </w:r>
          </w:p>
        </w:tc>
      </w:tr>
      <w:tr w14:paraId="6D15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AF6DF8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0B8244D1">
            <w:pPr>
              <w:bidi w:val="0"/>
              <w:jc w:val="center"/>
              <w:rPr>
                <w:rFonts w:hint="eastAsia"/>
              </w:rPr>
            </w:pPr>
            <w:r>
              <w:rPr>
                <w:rFonts w:hint="eastAsia"/>
              </w:rPr>
              <w:t>评审和修订</w:t>
            </w:r>
          </w:p>
        </w:tc>
        <w:tc>
          <w:tcPr>
            <w:tcW w:w="1718" w:type="pct"/>
            <w:tcBorders>
              <w:top w:val="single" w:color="auto" w:sz="4" w:space="0"/>
              <w:left w:val="single" w:color="auto" w:sz="4" w:space="0"/>
              <w:bottom w:val="single" w:color="auto" w:sz="4" w:space="0"/>
              <w:right w:val="single" w:color="auto" w:sz="4" w:space="0"/>
            </w:tcBorders>
            <w:vAlign w:val="center"/>
          </w:tcPr>
          <w:p w14:paraId="0649BFA7">
            <w:pPr>
              <w:bidi w:val="0"/>
              <w:jc w:val="center"/>
              <w:rPr>
                <w:rFonts w:hint="eastAsia"/>
              </w:rPr>
            </w:pPr>
            <w:r>
              <w:rPr>
                <w:rFonts w:hint="eastAsia"/>
              </w:rPr>
              <w:t>1</w:t>
            </w:r>
          </w:p>
        </w:tc>
      </w:tr>
      <w:tr w14:paraId="3BAD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14274177">
            <w:pPr>
              <w:bidi w:val="0"/>
              <w:jc w:val="center"/>
              <w:rPr>
                <w:rFonts w:hint="eastAsia"/>
              </w:rPr>
            </w:pPr>
            <w:r>
              <w:rPr>
                <w:rFonts w:hint="eastAsia"/>
              </w:rPr>
              <w:t>安全管理机构</w:t>
            </w:r>
          </w:p>
        </w:tc>
        <w:tc>
          <w:tcPr>
            <w:tcW w:w="2170" w:type="pct"/>
            <w:tcBorders>
              <w:top w:val="single" w:color="auto" w:sz="4" w:space="0"/>
              <w:left w:val="single" w:color="auto" w:sz="4" w:space="0"/>
              <w:bottom w:val="single" w:color="auto" w:sz="4" w:space="0"/>
              <w:right w:val="single" w:color="auto" w:sz="4" w:space="0"/>
            </w:tcBorders>
            <w:vAlign w:val="center"/>
          </w:tcPr>
          <w:p w14:paraId="4F995991">
            <w:pPr>
              <w:bidi w:val="0"/>
              <w:jc w:val="center"/>
              <w:rPr>
                <w:rFonts w:hint="eastAsia"/>
              </w:rPr>
            </w:pPr>
            <w:r>
              <w:rPr>
                <w:rFonts w:hint="eastAsia"/>
              </w:rPr>
              <w:t>岗位设置</w:t>
            </w:r>
          </w:p>
        </w:tc>
        <w:tc>
          <w:tcPr>
            <w:tcW w:w="1718" w:type="pct"/>
            <w:tcBorders>
              <w:top w:val="single" w:color="auto" w:sz="4" w:space="0"/>
              <w:left w:val="single" w:color="auto" w:sz="4" w:space="0"/>
              <w:bottom w:val="single" w:color="auto" w:sz="4" w:space="0"/>
              <w:right w:val="single" w:color="auto" w:sz="4" w:space="0"/>
            </w:tcBorders>
            <w:vAlign w:val="center"/>
          </w:tcPr>
          <w:p w14:paraId="1B0A3351">
            <w:pPr>
              <w:bidi w:val="0"/>
              <w:jc w:val="center"/>
              <w:rPr>
                <w:rFonts w:hint="eastAsia"/>
              </w:rPr>
            </w:pPr>
            <w:r>
              <w:rPr>
                <w:rFonts w:hint="eastAsia"/>
              </w:rPr>
              <w:t>2</w:t>
            </w:r>
          </w:p>
        </w:tc>
      </w:tr>
      <w:tr w14:paraId="2BC8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608533B">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6F5F867">
            <w:pPr>
              <w:bidi w:val="0"/>
              <w:jc w:val="center"/>
              <w:rPr>
                <w:rFonts w:hint="eastAsia"/>
              </w:rPr>
            </w:pPr>
            <w:r>
              <w:rPr>
                <w:rFonts w:hint="eastAsia"/>
              </w:rPr>
              <w:t>人员配备</w:t>
            </w:r>
          </w:p>
        </w:tc>
        <w:tc>
          <w:tcPr>
            <w:tcW w:w="1718" w:type="pct"/>
            <w:tcBorders>
              <w:top w:val="single" w:color="auto" w:sz="4" w:space="0"/>
              <w:left w:val="single" w:color="auto" w:sz="4" w:space="0"/>
              <w:bottom w:val="single" w:color="auto" w:sz="4" w:space="0"/>
              <w:right w:val="single" w:color="auto" w:sz="4" w:space="0"/>
            </w:tcBorders>
            <w:vAlign w:val="center"/>
          </w:tcPr>
          <w:p w14:paraId="64D29ABE">
            <w:pPr>
              <w:bidi w:val="0"/>
              <w:jc w:val="center"/>
              <w:rPr>
                <w:rFonts w:hint="eastAsia"/>
              </w:rPr>
            </w:pPr>
            <w:r>
              <w:rPr>
                <w:rFonts w:hint="eastAsia"/>
              </w:rPr>
              <w:t>1</w:t>
            </w:r>
          </w:p>
        </w:tc>
      </w:tr>
      <w:tr w14:paraId="494A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C6A4F32">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47F6287">
            <w:pPr>
              <w:bidi w:val="0"/>
              <w:jc w:val="center"/>
              <w:rPr>
                <w:rFonts w:hint="eastAsia"/>
              </w:rPr>
            </w:pPr>
            <w:r>
              <w:rPr>
                <w:rFonts w:hint="eastAsia"/>
              </w:rPr>
              <w:t>授权和审批</w:t>
            </w:r>
          </w:p>
        </w:tc>
        <w:tc>
          <w:tcPr>
            <w:tcW w:w="1718" w:type="pct"/>
            <w:tcBorders>
              <w:top w:val="single" w:color="auto" w:sz="4" w:space="0"/>
              <w:left w:val="single" w:color="auto" w:sz="4" w:space="0"/>
              <w:bottom w:val="single" w:color="auto" w:sz="4" w:space="0"/>
              <w:right w:val="single" w:color="auto" w:sz="4" w:space="0"/>
            </w:tcBorders>
            <w:vAlign w:val="center"/>
          </w:tcPr>
          <w:p w14:paraId="1B53380A">
            <w:pPr>
              <w:bidi w:val="0"/>
              <w:jc w:val="center"/>
              <w:rPr>
                <w:rFonts w:hint="eastAsia"/>
              </w:rPr>
            </w:pPr>
            <w:r>
              <w:rPr>
                <w:rFonts w:hint="eastAsia"/>
              </w:rPr>
              <w:t>2</w:t>
            </w:r>
          </w:p>
        </w:tc>
      </w:tr>
      <w:tr w14:paraId="2CC5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451CDF67">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5E879B3">
            <w:pPr>
              <w:bidi w:val="0"/>
              <w:jc w:val="center"/>
              <w:rPr>
                <w:rFonts w:hint="eastAsia"/>
              </w:rPr>
            </w:pPr>
            <w:r>
              <w:rPr>
                <w:rFonts w:hint="eastAsia"/>
              </w:rPr>
              <w:t>沟通和合作</w:t>
            </w:r>
          </w:p>
        </w:tc>
        <w:tc>
          <w:tcPr>
            <w:tcW w:w="1718" w:type="pct"/>
            <w:tcBorders>
              <w:top w:val="single" w:color="auto" w:sz="4" w:space="0"/>
              <w:left w:val="single" w:color="auto" w:sz="4" w:space="0"/>
              <w:bottom w:val="single" w:color="auto" w:sz="4" w:space="0"/>
              <w:right w:val="single" w:color="auto" w:sz="4" w:space="0"/>
            </w:tcBorders>
            <w:vAlign w:val="center"/>
          </w:tcPr>
          <w:p w14:paraId="0F137673">
            <w:pPr>
              <w:bidi w:val="0"/>
              <w:jc w:val="center"/>
              <w:rPr>
                <w:rFonts w:hint="eastAsia"/>
              </w:rPr>
            </w:pPr>
            <w:r>
              <w:rPr>
                <w:rFonts w:hint="eastAsia"/>
              </w:rPr>
              <w:t>3</w:t>
            </w:r>
          </w:p>
        </w:tc>
      </w:tr>
      <w:tr w14:paraId="3A5C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D61F6D7">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0A036438">
            <w:pPr>
              <w:bidi w:val="0"/>
              <w:jc w:val="center"/>
              <w:rPr>
                <w:rFonts w:hint="eastAsia"/>
              </w:rPr>
            </w:pPr>
            <w:r>
              <w:rPr>
                <w:rFonts w:hint="eastAsia"/>
              </w:rPr>
              <w:t>审核和检查</w:t>
            </w:r>
          </w:p>
        </w:tc>
        <w:tc>
          <w:tcPr>
            <w:tcW w:w="1718" w:type="pct"/>
            <w:tcBorders>
              <w:top w:val="single" w:color="auto" w:sz="4" w:space="0"/>
              <w:left w:val="single" w:color="auto" w:sz="4" w:space="0"/>
              <w:bottom w:val="single" w:color="auto" w:sz="4" w:space="0"/>
              <w:right w:val="single" w:color="auto" w:sz="4" w:space="0"/>
            </w:tcBorders>
            <w:vAlign w:val="center"/>
          </w:tcPr>
          <w:p w14:paraId="5C80DBF7">
            <w:pPr>
              <w:bidi w:val="0"/>
              <w:jc w:val="center"/>
              <w:rPr>
                <w:rFonts w:hint="eastAsia"/>
              </w:rPr>
            </w:pPr>
            <w:r>
              <w:rPr>
                <w:rFonts w:hint="eastAsia"/>
              </w:rPr>
              <w:t>1</w:t>
            </w:r>
          </w:p>
        </w:tc>
      </w:tr>
      <w:tr w14:paraId="619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51F0E0B6">
            <w:pPr>
              <w:bidi w:val="0"/>
              <w:jc w:val="center"/>
              <w:rPr>
                <w:rFonts w:hint="eastAsia"/>
              </w:rPr>
            </w:pPr>
            <w:r>
              <w:rPr>
                <w:rFonts w:hint="eastAsia"/>
              </w:rPr>
              <w:t>安全管理人员</w:t>
            </w:r>
          </w:p>
        </w:tc>
        <w:tc>
          <w:tcPr>
            <w:tcW w:w="2170" w:type="pct"/>
            <w:tcBorders>
              <w:top w:val="single" w:color="auto" w:sz="4" w:space="0"/>
              <w:left w:val="single" w:color="auto" w:sz="4" w:space="0"/>
              <w:bottom w:val="single" w:color="auto" w:sz="4" w:space="0"/>
              <w:right w:val="single" w:color="auto" w:sz="4" w:space="0"/>
            </w:tcBorders>
            <w:vAlign w:val="center"/>
          </w:tcPr>
          <w:p w14:paraId="0534B0D1">
            <w:pPr>
              <w:bidi w:val="0"/>
              <w:jc w:val="center"/>
              <w:rPr>
                <w:rFonts w:hint="eastAsia"/>
              </w:rPr>
            </w:pPr>
            <w:r>
              <w:rPr>
                <w:rFonts w:hint="eastAsia"/>
              </w:rPr>
              <w:t>人员录用</w:t>
            </w:r>
          </w:p>
        </w:tc>
        <w:tc>
          <w:tcPr>
            <w:tcW w:w="1718" w:type="pct"/>
            <w:tcBorders>
              <w:top w:val="single" w:color="auto" w:sz="4" w:space="0"/>
              <w:left w:val="single" w:color="auto" w:sz="4" w:space="0"/>
              <w:bottom w:val="single" w:color="auto" w:sz="4" w:space="0"/>
              <w:right w:val="single" w:color="auto" w:sz="4" w:space="0"/>
            </w:tcBorders>
            <w:vAlign w:val="center"/>
          </w:tcPr>
          <w:p w14:paraId="20DC19D3">
            <w:pPr>
              <w:bidi w:val="0"/>
              <w:jc w:val="center"/>
              <w:rPr>
                <w:rFonts w:hint="eastAsia"/>
              </w:rPr>
            </w:pPr>
            <w:r>
              <w:rPr>
                <w:rFonts w:hint="eastAsia"/>
              </w:rPr>
              <w:t>2</w:t>
            </w:r>
          </w:p>
        </w:tc>
      </w:tr>
      <w:tr w14:paraId="6614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6717E19">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A0B18A5">
            <w:pPr>
              <w:bidi w:val="0"/>
              <w:jc w:val="center"/>
              <w:rPr>
                <w:rFonts w:hint="eastAsia"/>
              </w:rPr>
            </w:pPr>
            <w:r>
              <w:rPr>
                <w:rFonts w:hint="eastAsia"/>
              </w:rPr>
              <w:t>人员离岗</w:t>
            </w:r>
          </w:p>
        </w:tc>
        <w:tc>
          <w:tcPr>
            <w:tcW w:w="1718" w:type="pct"/>
            <w:tcBorders>
              <w:top w:val="single" w:color="auto" w:sz="4" w:space="0"/>
              <w:left w:val="single" w:color="auto" w:sz="4" w:space="0"/>
              <w:bottom w:val="single" w:color="auto" w:sz="4" w:space="0"/>
              <w:right w:val="single" w:color="auto" w:sz="4" w:space="0"/>
            </w:tcBorders>
            <w:vAlign w:val="center"/>
          </w:tcPr>
          <w:p w14:paraId="43070ED4">
            <w:pPr>
              <w:bidi w:val="0"/>
              <w:jc w:val="center"/>
              <w:rPr>
                <w:rFonts w:hint="eastAsia"/>
              </w:rPr>
            </w:pPr>
            <w:r>
              <w:rPr>
                <w:rFonts w:hint="eastAsia"/>
              </w:rPr>
              <w:t>1</w:t>
            </w:r>
          </w:p>
        </w:tc>
      </w:tr>
      <w:tr w14:paraId="4AB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EAB191F">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EED3921">
            <w:pPr>
              <w:bidi w:val="0"/>
              <w:jc w:val="center"/>
              <w:rPr>
                <w:rFonts w:hint="eastAsia"/>
              </w:rPr>
            </w:pPr>
            <w:r>
              <w:rPr>
                <w:rFonts w:hint="eastAsia"/>
              </w:rPr>
              <w:t>安全意识和教育培训</w:t>
            </w:r>
          </w:p>
        </w:tc>
        <w:tc>
          <w:tcPr>
            <w:tcW w:w="1718" w:type="pct"/>
            <w:tcBorders>
              <w:top w:val="single" w:color="auto" w:sz="4" w:space="0"/>
              <w:left w:val="single" w:color="auto" w:sz="4" w:space="0"/>
              <w:bottom w:val="single" w:color="auto" w:sz="4" w:space="0"/>
              <w:right w:val="single" w:color="auto" w:sz="4" w:space="0"/>
            </w:tcBorders>
            <w:vAlign w:val="center"/>
          </w:tcPr>
          <w:p w14:paraId="001F4585">
            <w:pPr>
              <w:bidi w:val="0"/>
              <w:jc w:val="center"/>
              <w:rPr>
                <w:rFonts w:hint="eastAsia"/>
              </w:rPr>
            </w:pPr>
            <w:r>
              <w:rPr>
                <w:rFonts w:hint="eastAsia"/>
              </w:rPr>
              <w:t>1</w:t>
            </w:r>
          </w:p>
        </w:tc>
      </w:tr>
      <w:tr w14:paraId="4193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6361F02">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D7B6EE9">
            <w:pPr>
              <w:bidi w:val="0"/>
              <w:jc w:val="center"/>
              <w:rPr>
                <w:rFonts w:hint="eastAsia"/>
              </w:rPr>
            </w:pPr>
            <w:r>
              <w:rPr>
                <w:rFonts w:hint="eastAsia"/>
              </w:rPr>
              <w:t>外部人员访问管理</w:t>
            </w:r>
          </w:p>
        </w:tc>
        <w:tc>
          <w:tcPr>
            <w:tcW w:w="1718" w:type="pct"/>
            <w:tcBorders>
              <w:top w:val="single" w:color="auto" w:sz="4" w:space="0"/>
              <w:left w:val="single" w:color="auto" w:sz="4" w:space="0"/>
              <w:bottom w:val="single" w:color="auto" w:sz="4" w:space="0"/>
              <w:right w:val="single" w:color="auto" w:sz="4" w:space="0"/>
            </w:tcBorders>
            <w:vAlign w:val="center"/>
          </w:tcPr>
          <w:p w14:paraId="0B0A4B5E">
            <w:pPr>
              <w:bidi w:val="0"/>
              <w:jc w:val="center"/>
              <w:rPr>
                <w:rFonts w:hint="eastAsia"/>
              </w:rPr>
            </w:pPr>
            <w:r>
              <w:rPr>
                <w:rFonts w:hint="eastAsia"/>
              </w:rPr>
              <w:t>3</w:t>
            </w:r>
          </w:p>
        </w:tc>
      </w:tr>
      <w:tr w14:paraId="7B4D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21087AD7">
            <w:pPr>
              <w:bidi w:val="0"/>
              <w:jc w:val="center"/>
              <w:rPr>
                <w:rFonts w:hint="eastAsia"/>
              </w:rPr>
            </w:pPr>
            <w:r>
              <w:rPr>
                <w:rFonts w:hint="eastAsia"/>
              </w:rPr>
              <w:t>安全建设管理</w:t>
            </w:r>
          </w:p>
        </w:tc>
        <w:tc>
          <w:tcPr>
            <w:tcW w:w="2170" w:type="pct"/>
            <w:tcBorders>
              <w:top w:val="single" w:color="auto" w:sz="4" w:space="0"/>
              <w:left w:val="single" w:color="auto" w:sz="4" w:space="0"/>
              <w:bottom w:val="single" w:color="auto" w:sz="4" w:space="0"/>
              <w:right w:val="single" w:color="auto" w:sz="4" w:space="0"/>
            </w:tcBorders>
            <w:vAlign w:val="center"/>
          </w:tcPr>
          <w:p w14:paraId="236272EB">
            <w:pPr>
              <w:bidi w:val="0"/>
              <w:jc w:val="center"/>
              <w:rPr>
                <w:rFonts w:hint="eastAsia"/>
              </w:rPr>
            </w:pPr>
            <w:r>
              <w:rPr>
                <w:rFonts w:hint="eastAsia"/>
              </w:rPr>
              <w:t>定级和备案</w:t>
            </w:r>
          </w:p>
        </w:tc>
        <w:tc>
          <w:tcPr>
            <w:tcW w:w="1718" w:type="pct"/>
            <w:tcBorders>
              <w:top w:val="single" w:color="auto" w:sz="4" w:space="0"/>
              <w:left w:val="single" w:color="auto" w:sz="4" w:space="0"/>
              <w:bottom w:val="single" w:color="auto" w:sz="4" w:space="0"/>
              <w:right w:val="single" w:color="auto" w:sz="4" w:space="0"/>
            </w:tcBorders>
            <w:vAlign w:val="center"/>
          </w:tcPr>
          <w:p w14:paraId="7FC141E0">
            <w:pPr>
              <w:bidi w:val="0"/>
              <w:jc w:val="center"/>
              <w:rPr>
                <w:rFonts w:hint="eastAsia"/>
              </w:rPr>
            </w:pPr>
            <w:r>
              <w:rPr>
                <w:rFonts w:hint="eastAsia"/>
              </w:rPr>
              <w:t>4</w:t>
            </w:r>
          </w:p>
        </w:tc>
      </w:tr>
      <w:tr w14:paraId="2B20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5765B91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683F3F39">
            <w:pPr>
              <w:bidi w:val="0"/>
              <w:jc w:val="center"/>
              <w:rPr>
                <w:rFonts w:hint="eastAsia"/>
              </w:rPr>
            </w:pPr>
            <w:r>
              <w:rPr>
                <w:rFonts w:hint="eastAsia"/>
              </w:rPr>
              <w:t>安全方案设计</w:t>
            </w:r>
          </w:p>
        </w:tc>
        <w:tc>
          <w:tcPr>
            <w:tcW w:w="1718" w:type="pct"/>
            <w:tcBorders>
              <w:top w:val="single" w:color="auto" w:sz="4" w:space="0"/>
              <w:left w:val="single" w:color="auto" w:sz="4" w:space="0"/>
              <w:bottom w:val="single" w:color="auto" w:sz="4" w:space="0"/>
              <w:right w:val="single" w:color="auto" w:sz="4" w:space="0"/>
            </w:tcBorders>
            <w:vAlign w:val="center"/>
          </w:tcPr>
          <w:p w14:paraId="17C10976">
            <w:pPr>
              <w:bidi w:val="0"/>
              <w:jc w:val="center"/>
              <w:rPr>
                <w:rFonts w:hint="eastAsia"/>
              </w:rPr>
            </w:pPr>
            <w:r>
              <w:rPr>
                <w:rFonts w:hint="eastAsia"/>
              </w:rPr>
              <w:t>3</w:t>
            </w:r>
          </w:p>
        </w:tc>
      </w:tr>
      <w:tr w14:paraId="542A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EFFCF1E">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B5C5C2D">
            <w:pPr>
              <w:bidi w:val="0"/>
              <w:jc w:val="center"/>
              <w:rPr>
                <w:rFonts w:hint="eastAsia"/>
              </w:rPr>
            </w:pPr>
            <w:r>
              <w:rPr>
                <w:rFonts w:hint="eastAsia"/>
              </w:rPr>
              <w:t>产品采购和使用</w:t>
            </w:r>
          </w:p>
        </w:tc>
        <w:tc>
          <w:tcPr>
            <w:tcW w:w="1718" w:type="pct"/>
            <w:tcBorders>
              <w:top w:val="single" w:color="auto" w:sz="4" w:space="0"/>
              <w:left w:val="single" w:color="auto" w:sz="4" w:space="0"/>
              <w:bottom w:val="single" w:color="auto" w:sz="4" w:space="0"/>
              <w:right w:val="single" w:color="auto" w:sz="4" w:space="0"/>
            </w:tcBorders>
            <w:vAlign w:val="center"/>
          </w:tcPr>
          <w:p w14:paraId="5833549F">
            <w:pPr>
              <w:bidi w:val="0"/>
              <w:jc w:val="center"/>
              <w:rPr>
                <w:rFonts w:hint="eastAsia"/>
              </w:rPr>
            </w:pPr>
            <w:r>
              <w:rPr>
                <w:rFonts w:hint="eastAsia"/>
              </w:rPr>
              <w:t>2</w:t>
            </w:r>
          </w:p>
        </w:tc>
      </w:tr>
      <w:tr w14:paraId="3667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D08B490">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4E85E5F">
            <w:pPr>
              <w:bidi w:val="0"/>
              <w:jc w:val="center"/>
              <w:rPr>
                <w:rFonts w:hint="eastAsia"/>
              </w:rPr>
            </w:pPr>
            <w:r>
              <w:rPr>
                <w:rFonts w:hint="eastAsia"/>
              </w:rPr>
              <w:t>自行软件开发</w:t>
            </w:r>
          </w:p>
        </w:tc>
        <w:tc>
          <w:tcPr>
            <w:tcW w:w="1718" w:type="pct"/>
            <w:tcBorders>
              <w:top w:val="single" w:color="auto" w:sz="4" w:space="0"/>
              <w:left w:val="single" w:color="auto" w:sz="4" w:space="0"/>
              <w:bottom w:val="single" w:color="auto" w:sz="4" w:space="0"/>
              <w:right w:val="single" w:color="auto" w:sz="4" w:space="0"/>
            </w:tcBorders>
            <w:vAlign w:val="center"/>
          </w:tcPr>
          <w:p w14:paraId="71783FCC">
            <w:pPr>
              <w:bidi w:val="0"/>
              <w:jc w:val="center"/>
              <w:rPr>
                <w:rFonts w:hint="eastAsia"/>
              </w:rPr>
            </w:pPr>
            <w:r>
              <w:rPr>
                <w:rFonts w:hint="eastAsia"/>
              </w:rPr>
              <w:t>2</w:t>
            </w:r>
          </w:p>
        </w:tc>
      </w:tr>
      <w:tr w14:paraId="13A0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3ED3CF4">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FB9DA8B">
            <w:pPr>
              <w:bidi w:val="0"/>
              <w:jc w:val="center"/>
              <w:rPr>
                <w:rFonts w:hint="eastAsia"/>
              </w:rPr>
            </w:pPr>
            <w:r>
              <w:rPr>
                <w:rFonts w:hint="eastAsia"/>
              </w:rPr>
              <w:t>外包软件开发</w:t>
            </w:r>
          </w:p>
        </w:tc>
        <w:tc>
          <w:tcPr>
            <w:tcW w:w="1718" w:type="pct"/>
            <w:tcBorders>
              <w:top w:val="single" w:color="auto" w:sz="4" w:space="0"/>
              <w:left w:val="single" w:color="auto" w:sz="4" w:space="0"/>
              <w:bottom w:val="single" w:color="auto" w:sz="4" w:space="0"/>
              <w:right w:val="single" w:color="auto" w:sz="4" w:space="0"/>
            </w:tcBorders>
            <w:vAlign w:val="center"/>
          </w:tcPr>
          <w:p w14:paraId="5F8F3A2D">
            <w:pPr>
              <w:bidi w:val="0"/>
              <w:jc w:val="center"/>
              <w:rPr>
                <w:rFonts w:hint="eastAsia"/>
              </w:rPr>
            </w:pPr>
            <w:r>
              <w:rPr>
                <w:rFonts w:hint="eastAsia"/>
              </w:rPr>
              <w:t>2</w:t>
            </w:r>
          </w:p>
        </w:tc>
      </w:tr>
      <w:tr w14:paraId="73C5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F856193">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19DC839">
            <w:pPr>
              <w:bidi w:val="0"/>
              <w:jc w:val="center"/>
              <w:rPr>
                <w:rFonts w:hint="eastAsia"/>
              </w:rPr>
            </w:pPr>
            <w:r>
              <w:rPr>
                <w:rFonts w:hint="eastAsia"/>
              </w:rPr>
              <w:t>工程实施</w:t>
            </w:r>
          </w:p>
        </w:tc>
        <w:tc>
          <w:tcPr>
            <w:tcW w:w="1718" w:type="pct"/>
            <w:tcBorders>
              <w:top w:val="single" w:color="auto" w:sz="4" w:space="0"/>
              <w:left w:val="single" w:color="auto" w:sz="4" w:space="0"/>
              <w:bottom w:val="single" w:color="auto" w:sz="4" w:space="0"/>
              <w:right w:val="single" w:color="auto" w:sz="4" w:space="0"/>
            </w:tcBorders>
            <w:vAlign w:val="center"/>
          </w:tcPr>
          <w:p w14:paraId="33E9C8CC">
            <w:pPr>
              <w:bidi w:val="0"/>
              <w:jc w:val="center"/>
              <w:rPr>
                <w:rFonts w:hint="eastAsia"/>
              </w:rPr>
            </w:pPr>
            <w:r>
              <w:rPr>
                <w:rFonts w:hint="eastAsia"/>
              </w:rPr>
              <w:t>2</w:t>
            </w:r>
          </w:p>
        </w:tc>
      </w:tr>
      <w:tr w14:paraId="2E38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56740A8C">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5E92879">
            <w:pPr>
              <w:bidi w:val="0"/>
              <w:jc w:val="center"/>
              <w:rPr>
                <w:rFonts w:hint="eastAsia"/>
              </w:rPr>
            </w:pPr>
            <w:r>
              <w:rPr>
                <w:rFonts w:hint="eastAsia"/>
              </w:rPr>
              <w:t>测试验收</w:t>
            </w:r>
          </w:p>
        </w:tc>
        <w:tc>
          <w:tcPr>
            <w:tcW w:w="1718" w:type="pct"/>
            <w:tcBorders>
              <w:top w:val="single" w:color="auto" w:sz="4" w:space="0"/>
              <w:left w:val="single" w:color="auto" w:sz="4" w:space="0"/>
              <w:bottom w:val="single" w:color="auto" w:sz="4" w:space="0"/>
              <w:right w:val="single" w:color="auto" w:sz="4" w:space="0"/>
            </w:tcBorders>
            <w:vAlign w:val="center"/>
          </w:tcPr>
          <w:p w14:paraId="714DA443">
            <w:pPr>
              <w:bidi w:val="0"/>
              <w:jc w:val="center"/>
              <w:rPr>
                <w:rFonts w:hint="eastAsia"/>
              </w:rPr>
            </w:pPr>
            <w:r>
              <w:rPr>
                <w:rFonts w:hint="eastAsia"/>
              </w:rPr>
              <w:t>2</w:t>
            </w:r>
          </w:p>
        </w:tc>
      </w:tr>
      <w:tr w14:paraId="73F6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4719442">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0C45F7D2">
            <w:pPr>
              <w:bidi w:val="0"/>
              <w:jc w:val="center"/>
              <w:rPr>
                <w:rFonts w:hint="eastAsia"/>
              </w:rPr>
            </w:pPr>
            <w:r>
              <w:rPr>
                <w:rFonts w:hint="eastAsia"/>
              </w:rPr>
              <w:t>系统交付</w:t>
            </w:r>
          </w:p>
        </w:tc>
        <w:tc>
          <w:tcPr>
            <w:tcW w:w="1718" w:type="pct"/>
            <w:tcBorders>
              <w:top w:val="single" w:color="auto" w:sz="4" w:space="0"/>
              <w:left w:val="single" w:color="auto" w:sz="4" w:space="0"/>
              <w:bottom w:val="single" w:color="auto" w:sz="4" w:space="0"/>
              <w:right w:val="single" w:color="auto" w:sz="4" w:space="0"/>
            </w:tcBorders>
            <w:vAlign w:val="center"/>
          </w:tcPr>
          <w:p w14:paraId="3910F8CB">
            <w:pPr>
              <w:bidi w:val="0"/>
              <w:jc w:val="center"/>
              <w:rPr>
                <w:rFonts w:hint="eastAsia"/>
              </w:rPr>
            </w:pPr>
            <w:r>
              <w:rPr>
                <w:rFonts w:hint="eastAsia"/>
              </w:rPr>
              <w:t>3</w:t>
            </w:r>
          </w:p>
        </w:tc>
      </w:tr>
      <w:tr w14:paraId="1964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4F07B28">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31976A6">
            <w:pPr>
              <w:bidi w:val="0"/>
              <w:jc w:val="center"/>
              <w:rPr>
                <w:rFonts w:hint="eastAsia"/>
              </w:rPr>
            </w:pPr>
            <w:r>
              <w:rPr>
                <w:rFonts w:hint="eastAsia"/>
              </w:rPr>
              <w:t>等级测评</w:t>
            </w:r>
          </w:p>
        </w:tc>
        <w:tc>
          <w:tcPr>
            <w:tcW w:w="1718" w:type="pct"/>
            <w:tcBorders>
              <w:top w:val="single" w:color="auto" w:sz="4" w:space="0"/>
              <w:left w:val="single" w:color="auto" w:sz="4" w:space="0"/>
              <w:bottom w:val="single" w:color="auto" w:sz="4" w:space="0"/>
              <w:right w:val="single" w:color="auto" w:sz="4" w:space="0"/>
            </w:tcBorders>
            <w:vAlign w:val="center"/>
          </w:tcPr>
          <w:p w14:paraId="5CE44AFE">
            <w:pPr>
              <w:bidi w:val="0"/>
              <w:jc w:val="center"/>
              <w:rPr>
                <w:rFonts w:hint="eastAsia"/>
              </w:rPr>
            </w:pPr>
            <w:r>
              <w:rPr>
                <w:rFonts w:hint="eastAsia"/>
              </w:rPr>
              <w:t>3</w:t>
            </w:r>
          </w:p>
        </w:tc>
      </w:tr>
      <w:tr w14:paraId="397D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0A25C191">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4837E802">
            <w:pPr>
              <w:bidi w:val="0"/>
              <w:jc w:val="center"/>
              <w:rPr>
                <w:rFonts w:hint="eastAsia"/>
              </w:rPr>
            </w:pPr>
            <w:r>
              <w:rPr>
                <w:rFonts w:hint="eastAsia"/>
              </w:rPr>
              <w:t>服务供应商选择</w:t>
            </w:r>
          </w:p>
        </w:tc>
        <w:tc>
          <w:tcPr>
            <w:tcW w:w="1718" w:type="pct"/>
            <w:tcBorders>
              <w:top w:val="single" w:color="auto" w:sz="4" w:space="0"/>
              <w:left w:val="single" w:color="auto" w:sz="4" w:space="0"/>
              <w:bottom w:val="single" w:color="auto" w:sz="4" w:space="0"/>
              <w:right w:val="single" w:color="auto" w:sz="4" w:space="0"/>
            </w:tcBorders>
            <w:vAlign w:val="center"/>
          </w:tcPr>
          <w:p w14:paraId="1618E804">
            <w:pPr>
              <w:bidi w:val="0"/>
              <w:jc w:val="center"/>
              <w:rPr>
                <w:rFonts w:hint="eastAsia"/>
              </w:rPr>
            </w:pPr>
            <w:r>
              <w:rPr>
                <w:rFonts w:hint="eastAsia"/>
              </w:rPr>
              <w:t>2</w:t>
            </w:r>
          </w:p>
        </w:tc>
      </w:tr>
      <w:tr w14:paraId="29F5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restart"/>
            <w:tcBorders>
              <w:top w:val="single" w:color="auto" w:sz="4" w:space="0"/>
              <w:left w:val="single" w:color="auto" w:sz="4" w:space="0"/>
              <w:bottom w:val="single" w:color="auto" w:sz="4" w:space="0"/>
              <w:right w:val="single" w:color="auto" w:sz="4" w:space="0"/>
            </w:tcBorders>
            <w:vAlign w:val="center"/>
          </w:tcPr>
          <w:p w14:paraId="08AFBAD7">
            <w:pPr>
              <w:bidi w:val="0"/>
              <w:jc w:val="center"/>
              <w:rPr>
                <w:rFonts w:hint="eastAsia"/>
              </w:rPr>
            </w:pPr>
            <w:r>
              <w:rPr>
                <w:rFonts w:hint="eastAsia"/>
              </w:rPr>
              <w:t>安全运维管理</w:t>
            </w:r>
          </w:p>
        </w:tc>
        <w:tc>
          <w:tcPr>
            <w:tcW w:w="2170" w:type="pct"/>
            <w:tcBorders>
              <w:top w:val="single" w:color="auto" w:sz="4" w:space="0"/>
              <w:left w:val="single" w:color="auto" w:sz="4" w:space="0"/>
              <w:bottom w:val="single" w:color="auto" w:sz="4" w:space="0"/>
              <w:right w:val="single" w:color="auto" w:sz="4" w:space="0"/>
            </w:tcBorders>
            <w:vAlign w:val="center"/>
          </w:tcPr>
          <w:p w14:paraId="6A1D94E8">
            <w:pPr>
              <w:bidi w:val="0"/>
              <w:jc w:val="center"/>
              <w:rPr>
                <w:rFonts w:hint="eastAsia"/>
              </w:rPr>
            </w:pPr>
            <w:r>
              <w:rPr>
                <w:rFonts w:hint="eastAsia"/>
              </w:rPr>
              <w:t>环境管理</w:t>
            </w:r>
          </w:p>
        </w:tc>
        <w:tc>
          <w:tcPr>
            <w:tcW w:w="1718" w:type="pct"/>
            <w:tcBorders>
              <w:top w:val="single" w:color="auto" w:sz="4" w:space="0"/>
              <w:left w:val="single" w:color="auto" w:sz="4" w:space="0"/>
              <w:bottom w:val="single" w:color="auto" w:sz="4" w:space="0"/>
              <w:right w:val="single" w:color="auto" w:sz="4" w:space="0"/>
            </w:tcBorders>
            <w:vAlign w:val="center"/>
          </w:tcPr>
          <w:p w14:paraId="715FEC61">
            <w:pPr>
              <w:bidi w:val="0"/>
              <w:jc w:val="center"/>
              <w:rPr>
                <w:rFonts w:hint="eastAsia"/>
              </w:rPr>
            </w:pPr>
            <w:r>
              <w:rPr>
                <w:rFonts w:hint="eastAsia"/>
              </w:rPr>
              <w:t>3</w:t>
            </w:r>
          </w:p>
        </w:tc>
      </w:tr>
      <w:tr w14:paraId="7226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2E2119F">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BA6265F">
            <w:pPr>
              <w:bidi w:val="0"/>
              <w:jc w:val="center"/>
              <w:rPr>
                <w:rFonts w:hint="eastAsia"/>
              </w:rPr>
            </w:pPr>
            <w:r>
              <w:rPr>
                <w:rFonts w:hint="eastAsia"/>
              </w:rPr>
              <w:t>资产管理</w:t>
            </w:r>
          </w:p>
        </w:tc>
        <w:tc>
          <w:tcPr>
            <w:tcW w:w="1718" w:type="pct"/>
            <w:tcBorders>
              <w:top w:val="single" w:color="auto" w:sz="4" w:space="0"/>
              <w:left w:val="single" w:color="auto" w:sz="4" w:space="0"/>
              <w:bottom w:val="single" w:color="auto" w:sz="4" w:space="0"/>
              <w:right w:val="single" w:color="auto" w:sz="4" w:space="0"/>
            </w:tcBorders>
            <w:vAlign w:val="center"/>
          </w:tcPr>
          <w:p w14:paraId="21A792E1">
            <w:pPr>
              <w:bidi w:val="0"/>
              <w:jc w:val="center"/>
              <w:rPr>
                <w:rFonts w:hint="eastAsia"/>
              </w:rPr>
            </w:pPr>
            <w:r>
              <w:rPr>
                <w:rFonts w:hint="eastAsia"/>
              </w:rPr>
              <w:t>1</w:t>
            </w:r>
          </w:p>
        </w:tc>
      </w:tr>
      <w:tr w14:paraId="2E4C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C59EB1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73C4010">
            <w:pPr>
              <w:bidi w:val="0"/>
              <w:jc w:val="center"/>
              <w:rPr>
                <w:rFonts w:hint="eastAsia"/>
              </w:rPr>
            </w:pPr>
            <w:r>
              <w:rPr>
                <w:rFonts w:hint="eastAsia"/>
              </w:rPr>
              <w:t>介质管理</w:t>
            </w:r>
          </w:p>
        </w:tc>
        <w:tc>
          <w:tcPr>
            <w:tcW w:w="1718" w:type="pct"/>
            <w:tcBorders>
              <w:top w:val="single" w:color="auto" w:sz="4" w:space="0"/>
              <w:left w:val="single" w:color="auto" w:sz="4" w:space="0"/>
              <w:bottom w:val="single" w:color="auto" w:sz="4" w:space="0"/>
              <w:right w:val="single" w:color="auto" w:sz="4" w:space="0"/>
            </w:tcBorders>
            <w:vAlign w:val="center"/>
          </w:tcPr>
          <w:p w14:paraId="350D35BF">
            <w:pPr>
              <w:bidi w:val="0"/>
              <w:jc w:val="center"/>
              <w:rPr>
                <w:rFonts w:hint="eastAsia"/>
              </w:rPr>
            </w:pPr>
            <w:r>
              <w:rPr>
                <w:rFonts w:hint="eastAsia"/>
              </w:rPr>
              <w:t>2</w:t>
            </w:r>
          </w:p>
        </w:tc>
      </w:tr>
      <w:tr w14:paraId="73D5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862B62F">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D1C8D49">
            <w:pPr>
              <w:bidi w:val="0"/>
              <w:jc w:val="center"/>
              <w:rPr>
                <w:rFonts w:hint="eastAsia"/>
              </w:rPr>
            </w:pPr>
            <w:r>
              <w:rPr>
                <w:rFonts w:hint="eastAsia"/>
              </w:rPr>
              <w:t>设备维护管理</w:t>
            </w:r>
          </w:p>
        </w:tc>
        <w:tc>
          <w:tcPr>
            <w:tcW w:w="1718" w:type="pct"/>
            <w:tcBorders>
              <w:top w:val="single" w:color="auto" w:sz="4" w:space="0"/>
              <w:left w:val="single" w:color="auto" w:sz="4" w:space="0"/>
              <w:bottom w:val="single" w:color="auto" w:sz="4" w:space="0"/>
              <w:right w:val="single" w:color="auto" w:sz="4" w:space="0"/>
            </w:tcBorders>
            <w:vAlign w:val="center"/>
          </w:tcPr>
          <w:p w14:paraId="28F13D3E">
            <w:pPr>
              <w:bidi w:val="0"/>
              <w:jc w:val="center"/>
              <w:rPr>
                <w:rFonts w:hint="eastAsia"/>
              </w:rPr>
            </w:pPr>
            <w:r>
              <w:rPr>
                <w:rFonts w:hint="eastAsia"/>
              </w:rPr>
              <w:t>2</w:t>
            </w:r>
          </w:p>
        </w:tc>
      </w:tr>
      <w:tr w14:paraId="7E5E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0405129">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B2AE670">
            <w:pPr>
              <w:bidi w:val="0"/>
              <w:jc w:val="center"/>
              <w:rPr>
                <w:rFonts w:hint="eastAsia"/>
              </w:rPr>
            </w:pPr>
            <w:r>
              <w:rPr>
                <w:rFonts w:hint="eastAsia"/>
              </w:rPr>
              <w:t>漏洞和风险管理</w:t>
            </w:r>
          </w:p>
        </w:tc>
        <w:tc>
          <w:tcPr>
            <w:tcW w:w="1718" w:type="pct"/>
            <w:tcBorders>
              <w:top w:val="single" w:color="auto" w:sz="4" w:space="0"/>
              <w:left w:val="single" w:color="auto" w:sz="4" w:space="0"/>
              <w:bottom w:val="single" w:color="auto" w:sz="4" w:space="0"/>
              <w:right w:val="single" w:color="auto" w:sz="4" w:space="0"/>
            </w:tcBorders>
            <w:vAlign w:val="center"/>
          </w:tcPr>
          <w:p w14:paraId="62732A1D">
            <w:pPr>
              <w:bidi w:val="0"/>
              <w:jc w:val="center"/>
              <w:rPr>
                <w:rFonts w:hint="eastAsia"/>
              </w:rPr>
            </w:pPr>
            <w:r>
              <w:rPr>
                <w:rFonts w:hint="eastAsia"/>
              </w:rPr>
              <w:t>1</w:t>
            </w:r>
          </w:p>
        </w:tc>
      </w:tr>
      <w:tr w14:paraId="3792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E6CAEE3">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3539AA2A">
            <w:pPr>
              <w:bidi w:val="0"/>
              <w:jc w:val="center"/>
              <w:rPr>
                <w:rFonts w:hint="eastAsia"/>
              </w:rPr>
            </w:pPr>
            <w:r>
              <w:rPr>
                <w:rFonts w:hint="eastAsia"/>
              </w:rPr>
              <w:t>网络和系统安全管理</w:t>
            </w:r>
          </w:p>
        </w:tc>
        <w:tc>
          <w:tcPr>
            <w:tcW w:w="1718" w:type="pct"/>
            <w:tcBorders>
              <w:top w:val="single" w:color="auto" w:sz="4" w:space="0"/>
              <w:left w:val="single" w:color="auto" w:sz="4" w:space="0"/>
              <w:bottom w:val="single" w:color="auto" w:sz="4" w:space="0"/>
              <w:right w:val="single" w:color="auto" w:sz="4" w:space="0"/>
            </w:tcBorders>
            <w:vAlign w:val="center"/>
          </w:tcPr>
          <w:p w14:paraId="0CAE3E98">
            <w:pPr>
              <w:bidi w:val="0"/>
              <w:jc w:val="center"/>
              <w:rPr>
                <w:rFonts w:hint="eastAsia"/>
              </w:rPr>
            </w:pPr>
            <w:r>
              <w:rPr>
                <w:rFonts w:hint="eastAsia"/>
              </w:rPr>
              <w:t>5</w:t>
            </w:r>
          </w:p>
        </w:tc>
      </w:tr>
      <w:tr w14:paraId="4E1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6BD100A9">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5E414046">
            <w:pPr>
              <w:bidi w:val="0"/>
              <w:jc w:val="center"/>
              <w:rPr>
                <w:rFonts w:hint="eastAsia"/>
              </w:rPr>
            </w:pPr>
            <w:r>
              <w:rPr>
                <w:rFonts w:hint="eastAsia"/>
              </w:rPr>
              <w:t>恶意代码防范管理</w:t>
            </w:r>
          </w:p>
        </w:tc>
        <w:tc>
          <w:tcPr>
            <w:tcW w:w="1718" w:type="pct"/>
            <w:tcBorders>
              <w:top w:val="single" w:color="auto" w:sz="4" w:space="0"/>
              <w:left w:val="single" w:color="auto" w:sz="4" w:space="0"/>
              <w:bottom w:val="single" w:color="auto" w:sz="4" w:space="0"/>
              <w:right w:val="single" w:color="auto" w:sz="4" w:space="0"/>
            </w:tcBorders>
            <w:vAlign w:val="center"/>
          </w:tcPr>
          <w:p w14:paraId="10E8D01E">
            <w:pPr>
              <w:bidi w:val="0"/>
              <w:jc w:val="center"/>
              <w:rPr>
                <w:rFonts w:hint="eastAsia"/>
              </w:rPr>
            </w:pPr>
            <w:r>
              <w:rPr>
                <w:rFonts w:hint="eastAsia"/>
              </w:rPr>
              <w:t>3</w:t>
            </w:r>
          </w:p>
        </w:tc>
      </w:tr>
      <w:tr w14:paraId="2D0F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7477767">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FD75D85">
            <w:pPr>
              <w:bidi w:val="0"/>
              <w:jc w:val="center"/>
              <w:rPr>
                <w:rFonts w:hint="eastAsia"/>
              </w:rPr>
            </w:pPr>
            <w:r>
              <w:rPr>
                <w:rFonts w:hint="eastAsia"/>
              </w:rPr>
              <w:t>配置管理</w:t>
            </w:r>
          </w:p>
        </w:tc>
        <w:tc>
          <w:tcPr>
            <w:tcW w:w="1718" w:type="pct"/>
            <w:tcBorders>
              <w:top w:val="single" w:color="auto" w:sz="4" w:space="0"/>
              <w:left w:val="single" w:color="auto" w:sz="4" w:space="0"/>
              <w:bottom w:val="single" w:color="auto" w:sz="4" w:space="0"/>
              <w:right w:val="single" w:color="auto" w:sz="4" w:space="0"/>
            </w:tcBorders>
            <w:vAlign w:val="center"/>
          </w:tcPr>
          <w:p w14:paraId="4E89A937">
            <w:pPr>
              <w:bidi w:val="0"/>
              <w:jc w:val="center"/>
              <w:rPr>
                <w:rFonts w:hint="eastAsia"/>
              </w:rPr>
            </w:pPr>
            <w:r>
              <w:rPr>
                <w:rFonts w:hint="eastAsia"/>
              </w:rPr>
              <w:t>1</w:t>
            </w:r>
          </w:p>
        </w:tc>
      </w:tr>
      <w:tr w14:paraId="6FA7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30F2B4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4EC7E9CC">
            <w:pPr>
              <w:bidi w:val="0"/>
              <w:jc w:val="center"/>
              <w:rPr>
                <w:rFonts w:hint="eastAsia"/>
              </w:rPr>
            </w:pPr>
            <w:r>
              <w:rPr>
                <w:rFonts w:hint="eastAsia"/>
              </w:rPr>
              <w:t>密码管理</w:t>
            </w:r>
          </w:p>
        </w:tc>
        <w:tc>
          <w:tcPr>
            <w:tcW w:w="1718" w:type="pct"/>
            <w:tcBorders>
              <w:top w:val="single" w:color="auto" w:sz="4" w:space="0"/>
              <w:left w:val="single" w:color="auto" w:sz="4" w:space="0"/>
              <w:bottom w:val="single" w:color="auto" w:sz="4" w:space="0"/>
              <w:right w:val="single" w:color="auto" w:sz="4" w:space="0"/>
            </w:tcBorders>
            <w:vAlign w:val="center"/>
          </w:tcPr>
          <w:p w14:paraId="059D8F68">
            <w:pPr>
              <w:bidi w:val="0"/>
              <w:jc w:val="center"/>
              <w:rPr>
                <w:rFonts w:hint="eastAsia"/>
              </w:rPr>
            </w:pPr>
            <w:r>
              <w:rPr>
                <w:rFonts w:hint="eastAsia"/>
              </w:rPr>
              <w:t>2</w:t>
            </w:r>
          </w:p>
        </w:tc>
      </w:tr>
      <w:tr w14:paraId="015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2420824C">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453B43B">
            <w:pPr>
              <w:bidi w:val="0"/>
              <w:jc w:val="center"/>
              <w:rPr>
                <w:rFonts w:hint="eastAsia"/>
              </w:rPr>
            </w:pPr>
            <w:r>
              <w:rPr>
                <w:rFonts w:hint="eastAsia"/>
              </w:rPr>
              <w:t>变更管理</w:t>
            </w:r>
          </w:p>
        </w:tc>
        <w:tc>
          <w:tcPr>
            <w:tcW w:w="1718" w:type="pct"/>
            <w:tcBorders>
              <w:top w:val="single" w:color="auto" w:sz="4" w:space="0"/>
              <w:left w:val="single" w:color="auto" w:sz="4" w:space="0"/>
              <w:bottom w:val="single" w:color="auto" w:sz="4" w:space="0"/>
              <w:right w:val="single" w:color="auto" w:sz="4" w:space="0"/>
            </w:tcBorders>
            <w:vAlign w:val="center"/>
          </w:tcPr>
          <w:p w14:paraId="054B6CF7">
            <w:pPr>
              <w:bidi w:val="0"/>
              <w:jc w:val="center"/>
              <w:rPr>
                <w:rFonts w:hint="eastAsia"/>
              </w:rPr>
            </w:pPr>
            <w:r>
              <w:rPr>
                <w:rFonts w:hint="eastAsia"/>
              </w:rPr>
              <w:t>1</w:t>
            </w:r>
          </w:p>
        </w:tc>
      </w:tr>
      <w:tr w14:paraId="641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38FFAD99">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0792FE2">
            <w:pPr>
              <w:bidi w:val="0"/>
              <w:jc w:val="center"/>
              <w:rPr>
                <w:rFonts w:hint="eastAsia"/>
              </w:rPr>
            </w:pPr>
            <w:r>
              <w:rPr>
                <w:rFonts w:hint="eastAsia"/>
              </w:rPr>
              <w:t>备份与恢复管理</w:t>
            </w:r>
          </w:p>
        </w:tc>
        <w:tc>
          <w:tcPr>
            <w:tcW w:w="1718" w:type="pct"/>
            <w:tcBorders>
              <w:top w:val="single" w:color="auto" w:sz="4" w:space="0"/>
              <w:left w:val="single" w:color="auto" w:sz="4" w:space="0"/>
              <w:bottom w:val="single" w:color="auto" w:sz="4" w:space="0"/>
              <w:right w:val="single" w:color="auto" w:sz="4" w:space="0"/>
            </w:tcBorders>
            <w:vAlign w:val="center"/>
          </w:tcPr>
          <w:p w14:paraId="2522F6F2">
            <w:pPr>
              <w:bidi w:val="0"/>
              <w:jc w:val="center"/>
              <w:rPr>
                <w:rFonts w:hint="eastAsia"/>
              </w:rPr>
            </w:pPr>
            <w:r>
              <w:rPr>
                <w:rFonts w:hint="eastAsia"/>
              </w:rPr>
              <w:t>3</w:t>
            </w:r>
          </w:p>
        </w:tc>
      </w:tr>
      <w:tr w14:paraId="1001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9E37CEB">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7D5D69CD">
            <w:pPr>
              <w:bidi w:val="0"/>
              <w:jc w:val="center"/>
              <w:rPr>
                <w:rFonts w:hint="eastAsia"/>
              </w:rPr>
            </w:pPr>
            <w:r>
              <w:rPr>
                <w:rFonts w:hint="eastAsia"/>
              </w:rPr>
              <w:t>安全事件处置</w:t>
            </w:r>
          </w:p>
        </w:tc>
        <w:tc>
          <w:tcPr>
            <w:tcW w:w="1718" w:type="pct"/>
            <w:tcBorders>
              <w:top w:val="single" w:color="auto" w:sz="4" w:space="0"/>
              <w:left w:val="single" w:color="auto" w:sz="4" w:space="0"/>
              <w:bottom w:val="single" w:color="auto" w:sz="4" w:space="0"/>
              <w:right w:val="single" w:color="auto" w:sz="4" w:space="0"/>
            </w:tcBorders>
            <w:vAlign w:val="center"/>
          </w:tcPr>
          <w:p w14:paraId="599DC915">
            <w:pPr>
              <w:bidi w:val="0"/>
              <w:jc w:val="center"/>
              <w:rPr>
                <w:rFonts w:hint="eastAsia"/>
              </w:rPr>
            </w:pPr>
            <w:r>
              <w:rPr>
                <w:rFonts w:hint="eastAsia"/>
              </w:rPr>
              <w:t>3</w:t>
            </w:r>
          </w:p>
        </w:tc>
      </w:tr>
      <w:tr w14:paraId="2E37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1263B5AE">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2042C321">
            <w:pPr>
              <w:bidi w:val="0"/>
              <w:jc w:val="center"/>
              <w:rPr>
                <w:rFonts w:hint="eastAsia"/>
              </w:rPr>
            </w:pPr>
            <w:r>
              <w:rPr>
                <w:rFonts w:hint="eastAsia"/>
              </w:rPr>
              <w:t>应急预案管理</w:t>
            </w:r>
          </w:p>
        </w:tc>
        <w:tc>
          <w:tcPr>
            <w:tcW w:w="1718" w:type="pct"/>
            <w:tcBorders>
              <w:top w:val="single" w:color="auto" w:sz="4" w:space="0"/>
              <w:left w:val="single" w:color="auto" w:sz="4" w:space="0"/>
              <w:bottom w:val="single" w:color="auto" w:sz="4" w:space="0"/>
              <w:right w:val="single" w:color="auto" w:sz="4" w:space="0"/>
            </w:tcBorders>
            <w:vAlign w:val="center"/>
          </w:tcPr>
          <w:p w14:paraId="133A5322">
            <w:pPr>
              <w:bidi w:val="0"/>
              <w:jc w:val="center"/>
              <w:rPr>
                <w:rFonts w:hint="eastAsia"/>
              </w:rPr>
            </w:pPr>
            <w:r>
              <w:rPr>
                <w:rFonts w:hint="eastAsia"/>
              </w:rPr>
              <w:t>2</w:t>
            </w:r>
          </w:p>
        </w:tc>
      </w:tr>
      <w:tr w14:paraId="3EA8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0" w:type="pct"/>
            <w:vMerge w:val="continue"/>
            <w:tcBorders>
              <w:top w:val="single" w:color="auto" w:sz="4" w:space="0"/>
              <w:left w:val="single" w:color="auto" w:sz="4" w:space="0"/>
              <w:bottom w:val="single" w:color="auto" w:sz="4" w:space="0"/>
              <w:right w:val="single" w:color="auto" w:sz="4" w:space="0"/>
            </w:tcBorders>
            <w:vAlign w:val="center"/>
          </w:tcPr>
          <w:p w14:paraId="7BD72DED">
            <w:pPr>
              <w:bidi w:val="0"/>
              <w:jc w:val="center"/>
              <w:rPr>
                <w:rFonts w:hint="eastAsia"/>
              </w:rPr>
            </w:pPr>
          </w:p>
        </w:tc>
        <w:tc>
          <w:tcPr>
            <w:tcW w:w="2170" w:type="pct"/>
            <w:tcBorders>
              <w:top w:val="single" w:color="auto" w:sz="4" w:space="0"/>
              <w:left w:val="single" w:color="auto" w:sz="4" w:space="0"/>
              <w:bottom w:val="single" w:color="auto" w:sz="4" w:space="0"/>
              <w:right w:val="single" w:color="auto" w:sz="4" w:space="0"/>
            </w:tcBorders>
            <w:vAlign w:val="center"/>
          </w:tcPr>
          <w:p w14:paraId="1F10EABD">
            <w:pPr>
              <w:bidi w:val="0"/>
              <w:jc w:val="center"/>
              <w:rPr>
                <w:rFonts w:hint="eastAsia"/>
              </w:rPr>
            </w:pPr>
            <w:r>
              <w:rPr>
                <w:rFonts w:hint="eastAsia"/>
              </w:rPr>
              <w:t>外包运维管理</w:t>
            </w:r>
          </w:p>
        </w:tc>
        <w:tc>
          <w:tcPr>
            <w:tcW w:w="1718" w:type="pct"/>
            <w:tcBorders>
              <w:top w:val="single" w:color="auto" w:sz="4" w:space="0"/>
              <w:left w:val="single" w:color="auto" w:sz="4" w:space="0"/>
              <w:bottom w:val="single" w:color="auto" w:sz="4" w:space="0"/>
              <w:right w:val="single" w:color="auto" w:sz="4" w:space="0"/>
            </w:tcBorders>
            <w:vAlign w:val="center"/>
          </w:tcPr>
          <w:p w14:paraId="73436304">
            <w:pPr>
              <w:bidi w:val="0"/>
              <w:jc w:val="center"/>
              <w:rPr>
                <w:rFonts w:hint="eastAsia"/>
              </w:rPr>
            </w:pPr>
            <w:r>
              <w:rPr>
                <w:rFonts w:hint="eastAsia"/>
              </w:rPr>
              <w:t>2</w:t>
            </w:r>
          </w:p>
        </w:tc>
      </w:tr>
      <w:tr w14:paraId="0CAD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81" w:type="pct"/>
            <w:gridSpan w:val="2"/>
            <w:tcBorders>
              <w:top w:val="single" w:color="auto" w:sz="4" w:space="0"/>
              <w:left w:val="single" w:color="auto" w:sz="4" w:space="0"/>
              <w:bottom w:val="single" w:color="auto" w:sz="4" w:space="0"/>
              <w:right w:val="single" w:color="auto" w:sz="4" w:space="0"/>
            </w:tcBorders>
            <w:vAlign w:val="center"/>
          </w:tcPr>
          <w:p w14:paraId="0FF79BF0">
            <w:pPr>
              <w:bidi w:val="0"/>
              <w:jc w:val="center"/>
              <w:rPr>
                <w:rFonts w:hint="eastAsia"/>
              </w:rPr>
            </w:pPr>
            <w:r>
              <w:rPr>
                <w:rFonts w:hint="eastAsia"/>
              </w:rPr>
              <w:t>总计</w:t>
            </w:r>
          </w:p>
        </w:tc>
        <w:tc>
          <w:tcPr>
            <w:tcW w:w="1718" w:type="pct"/>
            <w:tcBorders>
              <w:top w:val="single" w:color="auto" w:sz="4" w:space="0"/>
              <w:left w:val="single" w:color="auto" w:sz="4" w:space="0"/>
              <w:bottom w:val="single" w:color="auto" w:sz="4" w:space="0"/>
              <w:right w:val="single" w:color="auto" w:sz="4" w:space="0"/>
            </w:tcBorders>
            <w:vAlign w:val="center"/>
          </w:tcPr>
          <w:p w14:paraId="05B9E15A">
            <w:pPr>
              <w:bidi w:val="0"/>
              <w:jc w:val="center"/>
              <w:rPr>
                <w:rFonts w:hint="eastAsia"/>
              </w:rPr>
            </w:pPr>
            <w:r>
              <w:rPr>
                <w:rFonts w:hint="eastAsia"/>
              </w:rPr>
              <w:t>135</w:t>
            </w:r>
          </w:p>
        </w:tc>
      </w:tr>
    </w:tbl>
    <w:p w14:paraId="23D7C3DA">
      <w:pPr>
        <w:rPr>
          <w:rFonts w:hint="eastAsia"/>
          <w:lang w:val="en-US" w:eastAsia="zh-CN"/>
        </w:rPr>
      </w:pPr>
    </w:p>
    <w:p w14:paraId="6DD88FB5">
      <w:pPr>
        <w:pStyle w:val="19"/>
        <w:numPr>
          <w:ilvl w:val="0"/>
          <w:numId w:val="0"/>
        </w:numPr>
        <w:spacing w:beforeLines="50" w:afterLines="50" w:line="240" w:lineRule="atLeast"/>
        <w:ind w:left="420" w:leftChars="0"/>
        <w:jc w:val="left"/>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阶段：建设整改咨询</w:t>
      </w:r>
    </w:p>
    <w:p w14:paraId="687A2127">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建设整改咨询工作以等级测评和漏洞扫描发现的安全问题为工作重点，编写《整改建议报告》；将信息系统的安全建设整改需求落实到可操作的安全技术和管理上，提出能够实现的技术参数或制度及其具体规范。</w:t>
      </w:r>
    </w:p>
    <w:p w14:paraId="31CEDE07">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2.依据相关《整改建议报告》开展建设整改工作时，服务方将提供建设整改过程中的与建设整改相关的咨询服务。</w:t>
      </w:r>
    </w:p>
    <w:p w14:paraId="20E6FF54">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3.对信息系统安全整改建议进行确认，并依照建议，协助学校进行漏洞修复，补丁升级等非硬件层面的安全加固，制定可执行的安全整改方案和计划，然后协助学校分步实施安全整改工作。</w:t>
      </w:r>
    </w:p>
    <w:p w14:paraId="6549F89F">
      <w:pPr>
        <w:pStyle w:val="19"/>
        <w:numPr>
          <w:ilvl w:val="0"/>
          <w:numId w:val="0"/>
        </w:numPr>
        <w:spacing w:beforeLines="50" w:afterLines="50" w:line="240" w:lineRule="atLeast"/>
        <w:ind w:left="420" w:leftChars="0"/>
        <w:jc w:val="left"/>
        <w:outlineLvl w:val="9"/>
        <w:rPr>
          <w:rFonts w:hint="eastAsia" w:ascii="宋体" w:hAnsi="宋体" w:eastAsia="宋体" w:cs="Times New Roman"/>
          <w:sz w:val="32"/>
          <w:szCs w:val="32"/>
          <w:lang w:val="en-US" w:eastAsia="zh-Hans"/>
        </w:rPr>
      </w:pPr>
      <w:r>
        <w:rPr>
          <w:rFonts w:hint="eastAsia" w:ascii="宋体" w:hAnsi="宋体" w:eastAsia="宋体" w:cs="Times New Roman"/>
          <w:sz w:val="32"/>
          <w:szCs w:val="32"/>
          <w:lang w:val="en-US" w:eastAsia="zh-CN"/>
        </w:rPr>
        <w:t>（四）第四阶段：</w:t>
      </w:r>
      <w:r>
        <w:rPr>
          <w:rFonts w:hint="eastAsia" w:ascii="宋体" w:hAnsi="宋体" w:eastAsia="宋体" w:cs="Times New Roman"/>
          <w:sz w:val="32"/>
          <w:szCs w:val="32"/>
          <w:lang w:val="en-US" w:eastAsia="zh-Hans"/>
        </w:rPr>
        <w:t>售后服务</w:t>
      </w:r>
    </w:p>
    <w:p w14:paraId="3CB4A068">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服务方将向西安美术学院提供包括应急响应、配合检查、电话支持、安全咨询等服务在内的安全保障服务。具体服务内容如下：</w:t>
      </w:r>
    </w:p>
    <w:p w14:paraId="18055CF0">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1.应急响应服务</w:t>
      </w:r>
    </w:p>
    <w:p w14:paraId="6D0CD395">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针对本次项目，服务方提供7*24的常规应急响应及灾难恢复专家服务。在接到用户故障报修电话10分钟内响应。对客户信息网络应用系统突发的信息安全事件进行响应、处理、恢复、取证、跟踪、事后分析的方法及过程。</w:t>
      </w:r>
    </w:p>
    <w:p w14:paraId="0322EB22">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2.配合检查服务</w:t>
      </w:r>
    </w:p>
    <w:p w14:paraId="62B9B4B8">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服务方免费协助西安美术学院响应公安机关、单位内部以及第三方机构针对信息系统安全等级保护工作的检查工作。服务内容包括协助西安美术学院准备、完善各类资料文档，配合检查过程中的答疑及技术支持及其他现场检查的响应。</w:t>
      </w:r>
    </w:p>
    <w:p w14:paraId="0C15E293">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3.电话支持服务</w:t>
      </w:r>
    </w:p>
    <w:p w14:paraId="0C460929">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7*24小时不间断的电话支持服务，解答西安美术学院在使用过程中遇到的问题，及时提出解决问题的建议和操作方法。电话响应时间不超过10分钟，到达现场时间不超过2小时，解决问题不超过24小时。</w:t>
      </w:r>
    </w:p>
    <w:p w14:paraId="4E7631BD">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4.安全咨询服务</w:t>
      </w:r>
    </w:p>
    <w:p w14:paraId="65BA8F6B">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服务方为西安美术学院免费提供两年技术咨询服务，包括信息系统整改建设咨询服务以及其他相关安全咨询服务，一旦接到用户的服务请求，技术服务工程师将立即开始提供服务，帮助客户解决信息安全相关技术问题，全面配合西安美术学院做好业务系统全保障工作。</w:t>
      </w:r>
    </w:p>
    <w:p w14:paraId="0C2EA6CC">
      <w:pPr>
        <w:keepNext w:val="0"/>
        <w:keepLines w:val="0"/>
        <w:pageBreakBefore w:val="0"/>
        <w:widowControl w:val="0"/>
        <w:numPr>
          <w:ilvl w:val="0"/>
          <w:numId w:val="0"/>
        </w:numPr>
        <w:kinsoku/>
        <w:wordWrap/>
        <w:overflowPunct/>
        <w:topLinePunct w:val="0"/>
        <w:autoSpaceDE/>
        <w:autoSpaceDN/>
        <w:bidi w:val="0"/>
        <w:adjustRightInd/>
        <w:snapToGrid w:val="0"/>
        <w:spacing w:afterLines="50" w:line="560" w:lineRule="exact"/>
        <w:ind w:firstLine="643" w:firstLineChars="200"/>
        <w:jc w:val="both"/>
        <w:textAlignment w:val="auto"/>
        <w:rPr>
          <w:rFonts w:hint="eastAsia" w:ascii="黑体" w:hAnsi="黑体" w:eastAsia="黑体" w:cs="黑体"/>
          <w:sz w:val="32"/>
          <w:szCs w:val="32"/>
        </w:rPr>
      </w:pPr>
      <w:r>
        <w:rPr>
          <w:rFonts w:hint="eastAsia" w:ascii="黑体" w:hAnsi="黑体" w:eastAsia="黑体" w:cs="黑体"/>
          <w:b/>
          <w:color w:val="000000"/>
          <w:sz w:val="32"/>
          <w:szCs w:val="32"/>
          <w:lang w:val="en-US" w:eastAsia="zh-CN"/>
        </w:rPr>
        <w:t>五、</w:t>
      </w:r>
      <w:r>
        <w:rPr>
          <w:rFonts w:hint="eastAsia" w:ascii="黑体" w:hAnsi="黑体" w:eastAsia="黑体" w:cs="黑体"/>
          <w:b/>
          <w:color w:val="000000"/>
          <w:sz w:val="32"/>
          <w:szCs w:val="32"/>
          <w:lang w:val="en-US" w:eastAsia="zh-Hans"/>
        </w:rPr>
        <w:t>主要交付物清单</w:t>
      </w:r>
    </w:p>
    <w:p w14:paraId="288A8C70">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1.《网络安全等级保护测评方案》（每个系统一份）；</w:t>
      </w:r>
    </w:p>
    <w:p w14:paraId="7FD6A012">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2.《网络安全等级保护测评报告》（每个系统一份）；</w:t>
      </w:r>
    </w:p>
    <w:p w14:paraId="6E59E8A6">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3.《整改建议报告》（每个系统一份）。</w:t>
      </w:r>
    </w:p>
    <w:p w14:paraId="6A1C2F4A">
      <w:pPr>
        <w:keepNext w:val="0"/>
        <w:keepLines w:val="0"/>
        <w:pageBreakBefore w:val="0"/>
        <w:widowControl w:val="0"/>
        <w:numPr>
          <w:ilvl w:val="0"/>
          <w:numId w:val="0"/>
        </w:numPr>
        <w:kinsoku/>
        <w:wordWrap/>
        <w:overflowPunct/>
        <w:topLinePunct w:val="0"/>
        <w:autoSpaceDE/>
        <w:autoSpaceDN/>
        <w:bidi w:val="0"/>
        <w:adjustRightInd/>
        <w:snapToGrid w:val="0"/>
        <w:spacing w:afterLines="50" w:line="560" w:lineRule="exact"/>
        <w:ind w:firstLine="643" w:firstLineChars="200"/>
        <w:jc w:val="both"/>
        <w:textAlignment w:val="auto"/>
        <w:rPr>
          <w:rFonts w:hint="eastAsia" w:ascii="黑体" w:hAnsi="黑体" w:eastAsia="黑体" w:cs="黑体"/>
          <w:b/>
          <w:color w:val="000000"/>
          <w:sz w:val="32"/>
          <w:szCs w:val="32"/>
          <w:lang w:val="en-US" w:eastAsia="zh-Hans"/>
        </w:rPr>
      </w:pPr>
      <w:bookmarkStart w:id="197" w:name="_Toc359486628"/>
      <w:bookmarkStart w:id="198" w:name="_Toc359485981"/>
      <w:bookmarkStart w:id="199" w:name="_Toc359487174"/>
      <w:bookmarkStart w:id="200" w:name="_Toc359487274"/>
      <w:bookmarkStart w:id="201" w:name="_Toc359486793"/>
      <w:bookmarkStart w:id="202" w:name="_Toc469564492"/>
      <w:r>
        <w:rPr>
          <w:rFonts w:hint="eastAsia" w:ascii="黑体" w:hAnsi="黑体" w:eastAsia="黑体" w:cs="黑体"/>
          <w:b/>
          <w:color w:val="000000"/>
          <w:sz w:val="32"/>
          <w:szCs w:val="32"/>
          <w:lang w:val="en-US" w:eastAsia="zh-CN"/>
        </w:rPr>
        <w:t>六、</w:t>
      </w:r>
      <w:r>
        <w:rPr>
          <w:rFonts w:hint="eastAsia" w:ascii="黑体" w:hAnsi="黑体" w:eastAsia="黑体" w:cs="黑体"/>
          <w:b/>
          <w:color w:val="000000"/>
          <w:sz w:val="32"/>
          <w:szCs w:val="32"/>
          <w:lang w:val="en-US" w:eastAsia="zh-Hans"/>
        </w:rPr>
        <w:t>保密责任与赔偿承诺</w:t>
      </w:r>
      <w:bookmarkEnd w:id="197"/>
      <w:bookmarkEnd w:id="198"/>
      <w:bookmarkEnd w:id="199"/>
      <w:bookmarkEnd w:id="200"/>
      <w:bookmarkEnd w:id="201"/>
    </w:p>
    <w:p w14:paraId="564D4D50">
      <w:pPr>
        <w:tabs>
          <w:tab w:val="left" w:pos="480"/>
        </w:tabs>
        <w:spacing w:line="360" w:lineRule="auto"/>
        <w:ind w:firstLine="480" w:firstLineChars="200"/>
        <w:rPr>
          <w:rFonts w:hint="eastAsia" w:hAnsi="宋体" w:cs="宋体"/>
          <w:color w:val="auto"/>
          <w:szCs w:val="21"/>
          <w:highlight w:val="none"/>
          <w:lang w:val="en-US" w:eastAsia="zh-CN"/>
        </w:rPr>
      </w:pPr>
      <w:bookmarkStart w:id="203" w:name="_Toc359339958"/>
      <w:bookmarkEnd w:id="203"/>
      <w:r>
        <w:rPr>
          <w:rFonts w:hint="eastAsia" w:hAnsi="宋体" w:cs="宋体"/>
          <w:color w:val="auto"/>
          <w:szCs w:val="21"/>
          <w:highlight w:val="none"/>
          <w:lang w:val="en-US" w:eastAsia="zh-CN"/>
        </w:rPr>
        <w:t>1.服务方应承诺</w:t>
      </w:r>
    </w:p>
    <w:p w14:paraId="3F3DBD5B">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（1）服务方应严格遵守西安美术学院有关保密的相关规定，不得泄漏西安美术学院的任何机密。</w:t>
      </w:r>
    </w:p>
    <w:p w14:paraId="7126C47A">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（2）在技术服务期间，服务方对接触到的有关西安美术学院工作活动、商业活动、技术情报和技术资料等文件进行保密。</w:t>
      </w:r>
    </w:p>
    <w:p w14:paraId="60E8E978">
      <w:pPr>
        <w:tabs>
          <w:tab w:val="left" w:pos="480"/>
        </w:tabs>
        <w:spacing w:line="360" w:lineRule="auto"/>
        <w:ind w:firstLine="480" w:firstLineChars="200"/>
        <w:rPr>
          <w:rFonts w:hint="eastAsia" w:hAnsi="宋体" w:cs="宋体"/>
          <w:color w:val="auto"/>
          <w:szCs w:val="21"/>
          <w:highlight w:val="none"/>
          <w:lang w:val="en-US" w:eastAsia="zh-CN"/>
        </w:rPr>
      </w:pPr>
      <w:bookmarkStart w:id="204" w:name="_Toc359339959"/>
      <w:bookmarkEnd w:id="204"/>
      <w:r>
        <w:rPr>
          <w:rFonts w:hint="eastAsia" w:hAnsi="宋体" w:cs="宋体"/>
          <w:color w:val="auto"/>
          <w:szCs w:val="21"/>
          <w:highlight w:val="none"/>
          <w:lang w:val="en-US" w:eastAsia="zh-CN"/>
        </w:rPr>
        <w:t>2.赔偿承诺与措施</w:t>
      </w:r>
    </w:p>
    <w:p w14:paraId="53F5AF3A">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（1）在测评服务期间，如果出现因服务方责任，未能在承诺时间内恢复业务运行，西安美术学院有权请第三方进行解决处理，由此所产生的一切费用由服务方承担。</w:t>
      </w:r>
    </w:p>
    <w:p w14:paraId="00581F68">
      <w:pPr>
        <w:tabs>
          <w:tab w:val="left" w:pos="480"/>
        </w:tabs>
        <w:spacing w:line="360" w:lineRule="auto"/>
        <w:ind w:firstLine="48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（2）测评服务期间，服务方不符合或达不到合同中要求的技术服务标准，西安美术学院可以提前终止或解除合同。</w:t>
      </w:r>
    </w:p>
    <w:bookmarkEnd w:id="202"/>
    <w:p w14:paraId="13AEA174">
      <w:pPr>
        <w:pStyle w:val="8"/>
        <w:rPr>
          <w:rFonts w:hint="eastAsia"/>
          <w:lang w:val="en-US" w:eastAsia="zh-CN"/>
        </w:rPr>
      </w:pPr>
    </w:p>
    <w:p w14:paraId="731EA5DB">
      <w:pPr>
        <w:jc w:val="center"/>
        <w:rPr>
          <w:rStyle w:val="32"/>
          <w:rFonts w:hint="eastAsia" w:ascii="宋体" w:eastAsia="宋体" w:cs="宋体"/>
          <w:color w:val="auto"/>
          <w:sz w:val="36"/>
          <w:szCs w:val="21"/>
          <w:highlight w:val="none"/>
        </w:rPr>
      </w:pPr>
      <w:r>
        <w:rPr>
          <w:rStyle w:val="32"/>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205" w:name="_Toc16389"/>
      <w:r>
        <w:rPr>
          <w:rStyle w:val="32"/>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205"/>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项目编号：SXZCZB2025-ZCCS-0534</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bidi w:val="0"/>
        <w:jc w:val="center"/>
        <w:rPr>
          <w:b/>
          <w:bCs/>
          <w:sz w:val="52"/>
          <w:szCs w:val="40"/>
        </w:rPr>
      </w:pPr>
    </w:p>
    <w:p w14:paraId="0C44DB0E">
      <w:pPr>
        <w:bidi w:val="0"/>
        <w:jc w:val="center"/>
        <w:rPr>
          <w:rFonts w:hint="eastAsia"/>
          <w:b/>
          <w:bCs/>
          <w:sz w:val="52"/>
          <w:szCs w:val="40"/>
          <w:lang w:val="en-US" w:eastAsia="zh-CN"/>
        </w:rPr>
      </w:pPr>
      <w:r>
        <w:rPr>
          <w:rFonts w:hint="eastAsia"/>
          <w:b/>
          <w:bCs/>
          <w:sz w:val="52"/>
          <w:szCs w:val="40"/>
          <w:lang w:val="en-US" w:eastAsia="zh-CN"/>
        </w:rPr>
        <w:t>西安美院信息系统网络安全等级保护测评服务采购项目</w:t>
      </w:r>
    </w:p>
    <w:p w14:paraId="1B454BC0">
      <w:pPr>
        <w:jc w:val="center"/>
        <w:rPr>
          <w:rFonts w:hint="eastAsia" w:ascii="宋体" w:hAnsi="宋体" w:eastAsia="宋体" w:cs="宋体"/>
          <w:b/>
          <w:color w:val="auto"/>
          <w:kern w:val="0"/>
          <w:sz w:val="56"/>
          <w:szCs w:val="56"/>
          <w:highlight w:val="none"/>
          <w:lang w:val="en-US" w:eastAsia="zh-CN" w:bidi="ar-SA"/>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2"/>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206"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2"/>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8"/>
        <w:spacing w:line="360" w:lineRule="auto"/>
        <w:rPr>
          <w:rFonts w:ascii="宋体" w:hAnsi="宋体" w:cs="宋体"/>
          <w:color w:val="auto"/>
          <w:highlight w:val="none"/>
        </w:rPr>
      </w:pPr>
    </w:p>
    <w:p w14:paraId="598F2FF4">
      <w:pPr>
        <w:pStyle w:val="8"/>
        <w:spacing w:line="360" w:lineRule="auto"/>
        <w:rPr>
          <w:rFonts w:ascii="宋体" w:hAnsi="宋体" w:cs="宋体"/>
          <w:color w:val="auto"/>
          <w:highlight w:val="none"/>
        </w:rPr>
      </w:pPr>
    </w:p>
    <w:p w14:paraId="633FAF57">
      <w:pPr>
        <w:pStyle w:val="8"/>
        <w:ind w:firstLine="880"/>
        <w:rPr>
          <w:rFonts w:ascii="宋体" w:hAnsi="宋体" w:cs="宋体"/>
          <w:bCs/>
          <w:color w:val="auto"/>
          <w:sz w:val="44"/>
          <w:highlight w:val="none"/>
        </w:rPr>
      </w:pPr>
    </w:p>
    <w:p w14:paraId="527405D6">
      <w:pPr>
        <w:pStyle w:val="8"/>
        <w:ind w:firstLine="880"/>
        <w:rPr>
          <w:rFonts w:ascii="宋体" w:hAnsi="宋体" w:cs="宋体"/>
          <w:bCs/>
          <w:color w:val="auto"/>
          <w:sz w:val="44"/>
          <w:highlight w:val="none"/>
        </w:rPr>
      </w:pPr>
    </w:p>
    <w:bookmarkEnd w:id="206"/>
    <w:p w14:paraId="57D57A6A">
      <w:pPr>
        <w:pStyle w:val="2"/>
        <w:rPr>
          <w:color w:val="auto"/>
          <w:highlight w:val="none"/>
        </w:rPr>
      </w:pPr>
      <w:bookmarkStart w:id="207" w:name="_Toc403077648"/>
      <w:bookmarkStart w:id="208" w:name="_Toc363474027"/>
      <w:bookmarkStart w:id="209" w:name="_Toc204524343"/>
    </w:p>
    <w:p w14:paraId="2F8C6C7F">
      <w:pPr>
        <w:pStyle w:val="2"/>
        <w:rPr>
          <w:color w:val="auto"/>
          <w:highlight w:val="none"/>
        </w:rPr>
      </w:pPr>
    </w:p>
    <w:p w14:paraId="72048236">
      <w:pPr>
        <w:pStyle w:val="2"/>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210" w:name="_Toc6128"/>
      <w:bookmarkStart w:id="211" w:name="_Toc32002"/>
      <w:bookmarkStart w:id="212" w:name="_Toc15762"/>
      <w:bookmarkStart w:id="213" w:name="_Toc28508"/>
      <w:bookmarkStart w:id="214" w:name="_Toc4367"/>
      <w:bookmarkStart w:id="215" w:name="_Toc16320"/>
      <w:r>
        <w:rPr>
          <w:rFonts w:hint="eastAsia" w:hAnsi="宋体" w:cs="宋体"/>
          <w:b/>
          <w:color w:val="auto"/>
          <w:sz w:val="32"/>
          <w:szCs w:val="32"/>
          <w:highlight w:val="none"/>
        </w:rPr>
        <w:t>一、磋商</w:t>
      </w:r>
      <w:bookmarkEnd w:id="207"/>
      <w:bookmarkEnd w:id="208"/>
      <w:r>
        <w:rPr>
          <w:rFonts w:hint="eastAsia" w:hAnsi="宋体" w:cs="宋体"/>
          <w:b/>
          <w:color w:val="auto"/>
          <w:sz w:val="32"/>
          <w:szCs w:val="32"/>
          <w:highlight w:val="none"/>
        </w:rPr>
        <w:t>响应函</w:t>
      </w:r>
      <w:bookmarkEnd w:id="210"/>
      <w:bookmarkEnd w:id="211"/>
      <w:bookmarkEnd w:id="212"/>
      <w:bookmarkEnd w:id="213"/>
      <w:bookmarkEnd w:id="214"/>
      <w:bookmarkEnd w:id="215"/>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4"/>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4"/>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4"/>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16" w:name="_Toc403077651"/>
      <w:bookmarkStart w:id="217" w:name="_Toc732"/>
      <w:bookmarkStart w:id="218" w:name="_Toc17800"/>
      <w:bookmarkStart w:id="219" w:name="_Toc28910"/>
      <w:bookmarkStart w:id="220" w:name="_Toc9730"/>
      <w:bookmarkStart w:id="221" w:name="_Toc27989"/>
      <w:bookmarkStart w:id="222" w:name="_Toc13482"/>
      <w:bookmarkStart w:id="223" w:name="_Toc363474030"/>
      <w:r>
        <w:rPr>
          <w:rFonts w:hint="eastAsia" w:ascii="宋体" w:hAnsi="宋体" w:cs="宋体"/>
          <w:bCs w:val="0"/>
          <w:color w:val="auto"/>
          <w:sz w:val="32"/>
          <w:highlight w:val="none"/>
        </w:rPr>
        <w:t>二、磋商报价表</w:t>
      </w:r>
      <w:bookmarkEnd w:id="216"/>
      <w:bookmarkEnd w:id="217"/>
      <w:bookmarkEnd w:id="218"/>
      <w:bookmarkEnd w:id="219"/>
      <w:bookmarkEnd w:id="220"/>
      <w:bookmarkEnd w:id="221"/>
      <w:bookmarkEnd w:id="222"/>
      <w:bookmarkEnd w:id="223"/>
    </w:p>
    <w:p w14:paraId="22052E7E">
      <w:pPr>
        <w:spacing w:line="360" w:lineRule="auto"/>
        <w:jc w:val="center"/>
        <w:outlineLvl w:val="1"/>
        <w:rPr>
          <w:rFonts w:hAnsi="宋体" w:cs="宋体"/>
          <w:color w:val="auto"/>
          <w:szCs w:val="24"/>
          <w:highlight w:val="none"/>
        </w:rPr>
      </w:pPr>
      <w:bookmarkStart w:id="224" w:name="_Toc11518"/>
      <w:bookmarkStart w:id="225" w:name="_Toc29008"/>
      <w:bookmarkStart w:id="226" w:name="_Toc1405"/>
      <w:bookmarkStart w:id="227" w:name="_Toc12732"/>
      <w:bookmarkStart w:id="228" w:name="_Toc7982"/>
      <w:bookmarkStart w:id="229" w:name="_Toc32277"/>
      <w:r>
        <w:rPr>
          <w:rFonts w:hint="eastAsia" w:hAnsi="宋体" w:cs="宋体"/>
          <w:color w:val="auto"/>
          <w:szCs w:val="24"/>
          <w:highlight w:val="none"/>
        </w:rPr>
        <w:t>2.1报价一览表</w:t>
      </w:r>
      <w:bookmarkEnd w:id="224"/>
      <w:bookmarkEnd w:id="225"/>
      <w:bookmarkEnd w:id="226"/>
      <w:bookmarkEnd w:id="227"/>
      <w:bookmarkEnd w:id="228"/>
      <w:bookmarkEnd w:id="229"/>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30" w:name="_Toc19127"/>
      <w:bookmarkStart w:id="231" w:name="_Toc11197"/>
      <w:bookmarkStart w:id="232" w:name="_Toc9760"/>
      <w:bookmarkStart w:id="233" w:name="_Toc9220"/>
      <w:bookmarkStart w:id="234" w:name="_Toc8017"/>
      <w:bookmarkStart w:id="235" w:name="_Toc8370"/>
      <w:r>
        <w:rPr>
          <w:rFonts w:hint="eastAsia" w:hAnsi="宋体" w:cs="宋体"/>
          <w:b/>
          <w:color w:val="auto"/>
          <w:sz w:val="30"/>
          <w:szCs w:val="30"/>
          <w:highlight w:val="none"/>
        </w:rPr>
        <w:t>2.2分项报价表</w:t>
      </w:r>
      <w:bookmarkEnd w:id="230"/>
      <w:bookmarkEnd w:id="231"/>
      <w:bookmarkEnd w:id="232"/>
      <w:bookmarkEnd w:id="233"/>
      <w:bookmarkEnd w:id="234"/>
      <w:bookmarkEnd w:id="235"/>
    </w:p>
    <w:p w14:paraId="207108B6">
      <w:pPr>
        <w:pStyle w:val="2"/>
        <w:rPr>
          <w:color w:val="auto"/>
          <w:highlight w:val="none"/>
        </w:rPr>
      </w:pPr>
    </w:p>
    <w:p w14:paraId="6128E1DF">
      <w:pPr>
        <w:pStyle w:val="2"/>
        <w:rPr>
          <w:color w:val="auto"/>
          <w:highlight w:val="none"/>
        </w:rPr>
      </w:pPr>
      <w:r>
        <w:rPr>
          <w:rFonts w:hint="eastAsia"/>
          <w:color w:val="auto"/>
          <w:highlight w:val="none"/>
        </w:rPr>
        <w:t>供应商自行拟定格式，用于说明磋商报价各报价的组成。</w:t>
      </w:r>
    </w:p>
    <w:p w14:paraId="0D27EC6B">
      <w:pPr>
        <w:pStyle w:val="2"/>
        <w:rPr>
          <w:color w:val="auto"/>
          <w:highlight w:val="none"/>
        </w:rPr>
      </w:pPr>
    </w:p>
    <w:p w14:paraId="351137BB">
      <w:pPr>
        <w:ind w:firstLine="420"/>
        <w:rPr>
          <w:rFonts w:hAnsi="宋体" w:cs="宋体"/>
          <w:color w:val="auto"/>
          <w:highlight w:val="none"/>
        </w:rPr>
      </w:pPr>
    </w:p>
    <w:p w14:paraId="6B04D280">
      <w:pPr>
        <w:pStyle w:val="2"/>
        <w:rPr>
          <w:color w:val="auto"/>
          <w:highlight w:val="none"/>
        </w:rPr>
      </w:pPr>
    </w:p>
    <w:p w14:paraId="5C9EF0D4">
      <w:pPr>
        <w:rPr>
          <w:rFonts w:hAnsi="宋体" w:cs="宋体"/>
          <w:color w:val="auto"/>
          <w:highlight w:val="none"/>
        </w:rPr>
      </w:pPr>
    </w:p>
    <w:bookmarkEnd w:id="209"/>
    <w:p w14:paraId="2000A8C6">
      <w:pPr>
        <w:jc w:val="center"/>
        <w:outlineLvl w:val="1"/>
        <w:rPr>
          <w:rFonts w:hAnsi="宋体" w:cs="宋体"/>
          <w:color w:val="auto"/>
          <w:sz w:val="32"/>
          <w:szCs w:val="32"/>
          <w:highlight w:val="none"/>
        </w:rPr>
      </w:pPr>
      <w:bookmarkStart w:id="236" w:name="_Toc344572163"/>
      <w:r>
        <w:rPr>
          <w:rFonts w:hint="eastAsia" w:hAnsi="宋体" w:cs="宋体"/>
          <w:color w:val="auto"/>
          <w:sz w:val="32"/>
          <w:szCs w:val="32"/>
          <w:highlight w:val="none"/>
        </w:rPr>
        <w:br w:type="page"/>
      </w:r>
      <w:bookmarkStart w:id="237" w:name="_Toc24059"/>
      <w:bookmarkStart w:id="238" w:name="_Toc32126"/>
      <w:bookmarkStart w:id="239" w:name="_Toc32541"/>
      <w:bookmarkStart w:id="240" w:name="_Toc24936"/>
      <w:bookmarkStart w:id="241" w:name="_Toc3628"/>
      <w:bookmarkStart w:id="242" w:name="_Toc5944"/>
      <w:r>
        <w:rPr>
          <w:rFonts w:hint="eastAsia" w:hAnsi="宋体" w:cs="宋体"/>
          <w:b/>
          <w:bCs/>
          <w:color w:val="auto"/>
          <w:sz w:val="32"/>
          <w:szCs w:val="32"/>
          <w:highlight w:val="none"/>
        </w:rPr>
        <w:t>三、磋商方案说明书</w:t>
      </w:r>
      <w:bookmarkEnd w:id="237"/>
      <w:bookmarkEnd w:id="238"/>
      <w:bookmarkEnd w:id="239"/>
      <w:bookmarkEnd w:id="240"/>
      <w:bookmarkEnd w:id="241"/>
      <w:bookmarkEnd w:id="242"/>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2"/>
        <w:rPr>
          <w:color w:val="auto"/>
          <w:highlight w:val="none"/>
        </w:rPr>
      </w:pPr>
    </w:p>
    <w:p w14:paraId="30601DCC">
      <w:pPr>
        <w:pStyle w:val="2"/>
        <w:rPr>
          <w:color w:val="auto"/>
          <w:highlight w:val="none"/>
        </w:rPr>
      </w:pPr>
    </w:p>
    <w:p w14:paraId="45C2FAC7">
      <w:pPr>
        <w:rPr>
          <w:rFonts w:hAnsi="宋体" w:cs="宋体"/>
          <w:color w:val="auto"/>
          <w:highlight w:val="none"/>
        </w:rPr>
      </w:pPr>
    </w:p>
    <w:p w14:paraId="545438FB">
      <w:pPr>
        <w:pStyle w:val="2"/>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43" w:name="_Toc23455"/>
      <w:bookmarkStart w:id="244" w:name="_Toc21284"/>
      <w:bookmarkStart w:id="245" w:name="_Toc9218"/>
      <w:bookmarkStart w:id="246" w:name="_Toc1379"/>
      <w:bookmarkStart w:id="247" w:name="_Toc2621"/>
      <w:bookmarkStart w:id="248" w:name="_Toc8845"/>
      <w:bookmarkStart w:id="249" w:name="_Toc15265"/>
      <w:bookmarkStart w:id="250" w:name="_Toc5662"/>
    </w:p>
    <w:p w14:paraId="70D1C1A2">
      <w:pPr>
        <w:spacing w:line="360" w:lineRule="auto"/>
        <w:rPr>
          <w:rFonts w:hAnsi="宋体" w:cs="宋体"/>
          <w:b/>
          <w:bCs/>
          <w:color w:val="auto"/>
          <w:sz w:val="30"/>
          <w:szCs w:val="30"/>
          <w:highlight w:val="none"/>
        </w:rPr>
      </w:pPr>
      <w:bookmarkStart w:id="251" w:name="_Toc3626"/>
      <w:bookmarkStart w:id="252" w:name="_Toc31151"/>
      <w:bookmarkStart w:id="253" w:name="_Toc4503"/>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5"/>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7"/>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7"/>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7"/>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7"/>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7"/>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7"/>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7"/>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7"/>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7"/>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7"/>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7"/>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7"/>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7"/>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7"/>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7"/>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7"/>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43"/>
      <w:bookmarkEnd w:id="244"/>
      <w:bookmarkEnd w:id="245"/>
      <w:bookmarkEnd w:id="246"/>
      <w:bookmarkEnd w:id="247"/>
      <w:r>
        <w:rPr>
          <w:rFonts w:hint="eastAsia" w:hAnsi="宋体" w:cs="宋体"/>
          <w:b/>
          <w:bCs/>
          <w:color w:val="auto"/>
          <w:sz w:val="32"/>
          <w:szCs w:val="32"/>
          <w:highlight w:val="none"/>
        </w:rPr>
        <w:t>商务条款偏离表</w:t>
      </w:r>
      <w:bookmarkEnd w:id="248"/>
      <w:bookmarkEnd w:id="249"/>
      <w:bookmarkEnd w:id="250"/>
      <w:bookmarkEnd w:id="251"/>
      <w:bookmarkEnd w:id="252"/>
      <w:bookmarkEnd w:id="253"/>
    </w:p>
    <w:p w14:paraId="20385B01">
      <w:pPr>
        <w:pStyle w:val="22"/>
        <w:widowControl w:val="0"/>
        <w:spacing w:before="0" w:beforeAutospacing="0" w:after="0" w:afterAutospacing="0"/>
        <w:jc w:val="both"/>
        <w:rPr>
          <w:rFonts w:cs="宋体"/>
          <w:color w:val="auto"/>
          <w:highlight w:val="none"/>
        </w:rPr>
      </w:pPr>
    </w:p>
    <w:p w14:paraId="51C350C8">
      <w:pPr>
        <w:pStyle w:val="22"/>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22"/>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22"/>
        <w:widowControl w:val="0"/>
        <w:spacing w:before="0" w:beforeAutospacing="0" w:after="0" w:afterAutospacing="0"/>
        <w:ind w:firstLine="480" w:firstLineChars="200"/>
        <w:jc w:val="center"/>
        <w:rPr>
          <w:rFonts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22"/>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22"/>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22"/>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22"/>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22"/>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22"/>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22"/>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22"/>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22"/>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22"/>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22"/>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22"/>
              <w:widowControl w:val="0"/>
              <w:spacing w:before="0" w:beforeAutospacing="0" w:after="0" w:afterAutospacing="0"/>
              <w:ind w:firstLine="480" w:firstLineChars="200"/>
              <w:jc w:val="center"/>
              <w:rPr>
                <w:rFonts w:cs="宋体"/>
                <w:color w:val="auto"/>
                <w:highlight w:val="none"/>
              </w:rPr>
            </w:pPr>
          </w:p>
        </w:tc>
      </w:tr>
    </w:tbl>
    <w:p w14:paraId="0719B666">
      <w:pPr>
        <w:pStyle w:val="22"/>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22"/>
        <w:widowControl w:val="0"/>
        <w:spacing w:before="0" w:beforeAutospacing="0" w:after="0" w:afterAutospacing="0"/>
        <w:ind w:firstLine="480" w:firstLineChars="200"/>
        <w:jc w:val="center"/>
        <w:rPr>
          <w:rFonts w:cs="宋体"/>
          <w:color w:val="auto"/>
          <w:highlight w:val="none"/>
        </w:rPr>
      </w:pPr>
    </w:p>
    <w:p w14:paraId="2E9A1915">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22"/>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36"/>
    <w:p w14:paraId="1A318D22">
      <w:pPr>
        <w:spacing w:line="360" w:lineRule="auto"/>
        <w:jc w:val="center"/>
        <w:outlineLvl w:val="1"/>
        <w:rPr>
          <w:rFonts w:hAnsi="宋体" w:cs="宋体"/>
          <w:b/>
          <w:bCs/>
          <w:color w:val="auto"/>
          <w:sz w:val="30"/>
          <w:szCs w:val="30"/>
          <w:highlight w:val="none"/>
        </w:rPr>
      </w:pPr>
      <w:bookmarkStart w:id="254" w:name="_Toc363474033"/>
      <w:bookmarkStart w:id="255" w:name="_Toc403077656"/>
      <w:r>
        <w:rPr>
          <w:rFonts w:hint="eastAsia" w:hAnsi="宋体" w:cs="宋体"/>
          <w:b/>
          <w:bCs/>
          <w:color w:val="auto"/>
          <w:sz w:val="30"/>
          <w:szCs w:val="30"/>
          <w:highlight w:val="none"/>
        </w:rPr>
        <w:br w:type="page"/>
      </w:r>
      <w:bookmarkStart w:id="256" w:name="_Toc27470"/>
      <w:bookmarkStart w:id="257" w:name="_Toc11212"/>
      <w:bookmarkStart w:id="258" w:name="_Toc3386"/>
      <w:bookmarkStart w:id="259" w:name="_Toc1542"/>
      <w:bookmarkStart w:id="260" w:name="_Toc7544"/>
      <w:bookmarkStart w:id="261" w:name="_Toc3253"/>
      <w:r>
        <w:rPr>
          <w:rFonts w:hint="eastAsia" w:hAnsi="宋体" w:cs="宋体"/>
          <w:b/>
          <w:bCs/>
          <w:color w:val="auto"/>
          <w:sz w:val="30"/>
          <w:szCs w:val="30"/>
          <w:highlight w:val="none"/>
        </w:rPr>
        <w:t>五、陕西省政府采购供应商拒绝政府采购领域商业贿赂承诺书</w:t>
      </w:r>
      <w:bookmarkEnd w:id="254"/>
      <w:bookmarkEnd w:id="255"/>
      <w:bookmarkEnd w:id="256"/>
      <w:bookmarkEnd w:id="257"/>
      <w:bookmarkEnd w:id="258"/>
      <w:bookmarkEnd w:id="259"/>
      <w:bookmarkEnd w:id="260"/>
      <w:bookmarkEnd w:id="261"/>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62" w:name="_Toc363474034"/>
      <w:bookmarkStart w:id="263" w:name="_Toc403077657"/>
      <w:r>
        <w:rPr>
          <w:rFonts w:hint="eastAsia" w:hAnsi="宋体" w:cs="宋体"/>
          <w:b/>
          <w:bCs/>
          <w:color w:val="auto"/>
          <w:sz w:val="30"/>
          <w:szCs w:val="30"/>
          <w:highlight w:val="none"/>
        </w:rPr>
        <w:br w:type="page"/>
      </w:r>
      <w:bookmarkStart w:id="264" w:name="_Toc29285"/>
      <w:bookmarkStart w:id="265" w:name="_Toc13983"/>
      <w:bookmarkStart w:id="266" w:name="_Toc32016"/>
      <w:bookmarkStart w:id="267" w:name="_Toc7842"/>
      <w:bookmarkStart w:id="268" w:name="_Toc6273"/>
      <w:bookmarkStart w:id="269" w:name="_Toc6077"/>
      <w:r>
        <w:rPr>
          <w:rFonts w:hint="eastAsia" w:hAnsi="宋体" w:cs="宋体"/>
          <w:b/>
          <w:bCs/>
          <w:color w:val="auto"/>
          <w:sz w:val="30"/>
          <w:szCs w:val="30"/>
          <w:highlight w:val="none"/>
        </w:rPr>
        <w:t>六、特定资格证明文件</w:t>
      </w:r>
      <w:bookmarkEnd w:id="262"/>
      <w:bookmarkEnd w:id="263"/>
      <w:bookmarkEnd w:id="264"/>
      <w:bookmarkEnd w:id="265"/>
      <w:bookmarkEnd w:id="266"/>
      <w:bookmarkEnd w:id="267"/>
      <w:bookmarkEnd w:id="268"/>
      <w:bookmarkEnd w:id="269"/>
    </w:p>
    <w:p w14:paraId="7CE907A1">
      <w:pPr>
        <w:keepNext w:val="0"/>
        <w:keepLines w:val="0"/>
        <w:pageBreakBefore w:val="0"/>
        <w:kinsoku/>
        <w:overflowPunct/>
        <w:topLinePunct w:val="0"/>
        <w:autoSpaceDE/>
        <w:autoSpaceDN/>
        <w:bidi w:val="0"/>
        <w:adjustRightInd/>
        <w:snapToGrid w:val="0"/>
        <w:spacing w:line="360" w:lineRule="auto"/>
        <w:ind w:left="480" w:leftChars="200" w:firstLine="0" w:firstLineChars="0"/>
        <w:jc w:val="left"/>
        <w:textAlignment w:val="auto"/>
        <w:rPr>
          <w:rFonts w:hint="eastAsia" w:hAnsi="宋体" w:cs="宋体"/>
          <w:color w:val="auto"/>
          <w:highlight w:val="none"/>
        </w:rPr>
      </w:pPr>
      <w:r>
        <w:rPr>
          <w:rFonts w:hint="eastAsia" w:hAnsi="宋体" w:cs="宋体"/>
          <w:color w:val="auto"/>
          <w:highlight w:val="none"/>
        </w:rPr>
        <w:t>（1）提供合格有效的法人或者其他组织的营业执照等证明文件，自然人的身份证明；</w:t>
      </w:r>
      <w:r>
        <w:rPr>
          <w:rFonts w:hint="eastAsia" w:hAnsi="宋体" w:cs="宋体"/>
          <w:color w:val="auto"/>
          <w:highlight w:val="none"/>
        </w:rPr>
        <w:br w:type="textWrapping"/>
      </w:r>
      <w:r>
        <w:rPr>
          <w:rFonts w:hint="eastAsia" w:hAnsi="宋体" w:cs="宋体"/>
          <w:color w:val="auto"/>
          <w:highlight w:val="none"/>
        </w:rPr>
        <w:t>（2）提供法定代表人授权书（附法定代表人、被授权人身份证复印件），法定代表人直接参加的，须提供法定代表人身份证明及身份证复印件；</w:t>
      </w:r>
      <w:r>
        <w:rPr>
          <w:rFonts w:hint="eastAsia" w:hAnsi="宋体" w:cs="宋体"/>
          <w:color w:val="auto"/>
          <w:highlight w:val="none"/>
        </w:rPr>
        <w:br w:type="textWrapping"/>
      </w:r>
      <w:r>
        <w:rPr>
          <w:rFonts w:hint="eastAsia" w:hAnsi="宋体" w:cs="宋体"/>
          <w:color w:val="auto"/>
          <w:highlight w:val="none"/>
        </w:rPr>
        <w:t>（3）财务状况：提供2023年度或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hAnsi="宋体" w:cs="宋体"/>
          <w:color w:val="auto"/>
          <w:highlight w:val="none"/>
        </w:rPr>
        <w:br w:type="textWrapping"/>
      </w:r>
      <w:r>
        <w:rPr>
          <w:rFonts w:hint="eastAsia" w:hAnsi="宋体" w:cs="宋体"/>
          <w:color w:val="auto"/>
          <w:highlight w:val="none"/>
        </w:rPr>
        <w:t>（4）税收缴纳证明：提供磋商截止日前近一年内任意一个月的纳税证明或完税证明（任意税种），依法免税的单位应提供相关证明材料；</w:t>
      </w:r>
      <w:r>
        <w:rPr>
          <w:rFonts w:hint="eastAsia" w:hAnsi="宋体" w:cs="宋体"/>
          <w:color w:val="auto"/>
          <w:highlight w:val="none"/>
        </w:rPr>
        <w:br w:type="textWrapping"/>
      </w:r>
      <w:r>
        <w:rPr>
          <w:rFonts w:hint="eastAsia" w:hAnsi="宋体" w:cs="宋体"/>
          <w:color w:val="auto"/>
          <w:highlight w:val="none"/>
        </w:rPr>
        <w:t>（5）社会保障资金缴纳证明：提供磋商截止日前近一年内任意一个月的社会保障资金缴存单据或社保机构开具的社会保险参保缴费情况证明，依法不需要缴纳社会保障资金的单位应提供相关证明材料；</w:t>
      </w:r>
      <w:r>
        <w:rPr>
          <w:rFonts w:hint="eastAsia" w:hAnsi="宋体" w:cs="宋体"/>
          <w:color w:val="auto"/>
          <w:highlight w:val="none"/>
        </w:rPr>
        <w:br w:type="textWrapping"/>
      </w:r>
      <w:r>
        <w:rPr>
          <w:rFonts w:hint="eastAsia" w:hAnsi="宋体" w:cs="宋体"/>
          <w:color w:val="auto"/>
          <w:highlight w:val="none"/>
        </w:rPr>
        <w:t>（6）供应商通过“信用中国”网站(www.creditchina.gov.cn)、中国政府采购网(www.ccgp.gov.cn)等查询相关主体信用记录，提供“信用中国”网站下载的《信用信息报告》；</w:t>
      </w:r>
      <w:r>
        <w:rPr>
          <w:rFonts w:hint="eastAsia" w:hAnsi="宋体" w:cs="宋体"/>
          <w:color w:val="auto"/>
          <w:highlight w:val="none"/>
        </w:rPr>
        <w:br w:type="textWrapping"/>
      </w:r>
      <w:r>
        <w:rPr>
          <w:rFonts w:hint="eastAsia" w:hAnsi="宋体" w:cs="宋体"/>
          <w:color w:val="auto"/>
          <w:highlight w:val="none"/>
        </w:rPr>
        <w:t>（7）供应商具备公安部第三研究所颁发的《网络安全服务认证证书等级保护测评服务认证》(复印件加盖公章)；</w:t>
      </w:r>
      <w:r>
        <w:rPr>
          <w:rFonts w:hint="eastAsia" w:hAnsi="宋体" w:cs="宋体"/>
          <w:color w:val="auto"/>
          <w:highlight w:val="none"/>
        </w:rPr>
        <w:br w:type="textWrapping"/>
      </w:r>
      <w:r>
        <w:rPr>
          <w:rFonts w:hint="eastAsia" w:hAnsi="宋体" w:cs="宋体"/>
          <w:color w:val="auto"/>
          <w:highlight w:val="none"/>
        </w:rPr>
        <w:t>（8）参加政府采购活动前3年内，在经营活动中没有重大违法记录的书面声明；</w:t>
      </w:r>
      <w:r>
        <w:rPr>
          <w:rFonts w:hint="eastAsia" w:hAnsi="宋体" w:cs="宋体"/>
          <w:color w:val="auto"/>
          <w:highlight w:val="none"/>
        </w:rPr>
        <w:br w:type="textWrapping"/>
      </w:r>
      <w:r>
        <w:rPr>
          <w:rFonts w:hint="eastAsia" w:hAnsi="宋体" w:cs="宋体"/>
          <w:color w:val="auto"/>
          <w:highlight w:val="none"/>
        </w:rPr>
        <w:t>（9）提供具有履行合同所必需的设备和专业技术能力的书面承诺；</w:t>
      </w:r>
      <w:r>
        <w:rPr>
          <w:rFonts w:hint="eastAsia" w:hAnsi="宋体" w:cs="宋体"/>
          <w:color w:val="auto"/>
          <w:highlight w:val="none"/>
        </w:rPr>
        <w:br w:type="textWrapping"/>
      </w:r>
      <w:r>
        <w:rPr>
          <w:rFonts w:hint="eastAsia" w:hAnsi="宋体" w:cs="宋体"/>
          <w:color w:val="auto"/>
          <w:highlight w:val="none"/>
        </w:rPr>
        <w:t>（10）供应商须提供中小企业声明函；</w:t>
      </w:r>
      <w:r>
        <w:rPr>
          <w:rFonts w:hint="eastAsia" w:hAnsi="宋体" w:cs="宋体"/>
          <w:color w:val="auto"/>
          <w:highlight w:val="none"/>
        </w:rPr>
        <w:br w:type="textWrapping"/>
      </w:r>
      <w:r>
        <w:rPr>
          <w:rFonts w:hint="eastAsia" w:hAnsi="宋体" w:cs="宋体"/>
          <w:color w:val="auto"/>
          <w:highlight w:val="none"/>
        </w:rPr>
        <w:t>（11）本项目不接受联合体磋商（提供承诺书）。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70" w:name="_Toc12717"/>
      <w:bookmarkStart w:id="271" w:name="_Toc24739"/>
      <w:bookmarkStart w:id="272" w:name="_Toc22315"/>
      <w:bookmarkStart w:id="273" w:name="_Toc19114"/>
      <w:bookmarkStart w:id="274" w:name="_Toc23859"/>
      <w:bookmarkStart w:id="275" w:name="_Toc6853"/>
      <w:r>
        <w:rPr>
          <w:rFonts w:hint="eastAsia" w:hAnsi="宋体" w:cs="宋体"/>
          <w:b/>
          <w:bCs/>
          <w:color w:val="auto"/>
          <w:sz w:val="30"/>
          <w:szCs w:val="30"/>
          <w:highlight w:val="none"/>
        </w:rPr>
        <w:t>七、其它</w:t>
      </w:r>
      <w:bookmarkEnd w:id="270"/>
      <w:bookmarkEnd w:id="271"/>
      <w:bookmarkEnd w:id="272"/>
      <w:bookmarkEnd w:id="273"/>
      <w:bookmarkEnd w:id="274"/>
      <w:bookmarkEnd w:id="275"/>
    </w:p>
    <w:p w14:paraId="6C2BBA37">
      <w:pPr>
        <w:pStyle w:val="2"/>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2"/>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76" w:name="_Toc29387"/>
      <w:bookmarkStart w:id="277" w:name="_Toc25119"/>
      <w:bookmarkStart w:id="278" w:name="_Toc17513"/>
      <w:bookmarkStart w:id="279" w:name="_Toc6055"/>
      <w:bookmarkStart w:id="280" w:name="_Toc13906"/>
      <w:r>
        <w:rPr>
          <w:rFonts w:hint="eastAsia" w:hAnsi="宋体" w:cs="宋体"/>
          <w:b/>
          <w:color w:val="auto"/>
          <w:sz w:val="28"/>
          <w:szCs w:val="28"/>
          <w:highlight w:val="none"/>
        </w:rPr>
        <w:t>附件1：法定代表人身份证明/法定代表人授权书</w:t>
      </w:r>
      <w:bookmarkEnd w:id="276"/>
      <w:bookmarkEnd w:id="277"/>
      <w:bookmarkEnd w:id="278"/>
      <w:bookmarkEnd w:id="279"/>
      <w:bookmarkEnd w:id="280"/>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2"/>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2"/>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81" w:name="_Toc17295"/>
      <w:bookmarkStart w:id="282" w:name="_Toc11767"/>
    </w:p>
    <w:p w14:paraId="0D3C5164">
      <w:pPr>
        <w:widowControl/>
        <w:spacing w:line="360" w:lineRule="auto"/>
        <w:ind w:left="1" w:firstLine="281" w:firstLineChars="100"/>
        <w:rPr>
          <w:rFonts w:hAnsi="宋体" w:cs="宋体"/>
          <w:b/>
          <w:color w:val="auto"/>
          <w:sz w:val="28"/>
          <w:szCs w:val="28"/>
          <w:highlight w:val="none"/>
        </w:rPr>
      </w:pPr>
    </w:p>
    <w:p w14:paraId="11869530">
      <w:pPr>
        <w:pStyle w:val="11"/>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22"/>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22"/>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4"/>
          <w:highlight w:val="none"/>
          <w:lang w:val="en-US" w:eastAsia="zh-CN"/>
        </w:rPr>
        <w:t>中华人民共和国</w:t>
      </w:r>
      <w:r>
        <w:rPr>
          <w:rFonts w:hint="eastAsia" w:cs="宋体"/>
          <w:color w:val="auto"/>
          <w:highlight w:val="none"/>
          <w:shd w:val="clear" w:color="auto" w:fill="FFFFFF"/>
        </w:rPr>
        <w:t xml:space="preserve">政府采购法》有关“提供虚假材料的规定”接受处罚。 </w:t>
      </w:r>
    </w:p>
    <w:p w14:paraId="4F9A3619">
      <w:pPr>
        <w:pStyle w:val="22"/>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22"/>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9"/>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4"/>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4"/>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4"/>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4"/>
        <w:adjustRightInd w:val="0"/>
        <w:snapToGrid w:val="0"/>
        <w:spacing w:line="720" w:lineRule="exact"/>
        <w:rPr>
          <w:rFonts w:hAnsi="宋体" w:cs="宋体"/>
          <w:color w:val="auto"/>
          <w:spacing w:val="4"/>
          <w:sz w:val="24"/>
          <w:szCs w:val="24"/>
          <w:highlight w:val="none"/>
        </w:rPr>
      </w:pPr>
    </w:p>
    <w:p w14:paraId="02500415">
      <w:pPr>
        <w:pStyle w:val="14"/>
        <w:adjustRightInd w:val="0"/>
        <w:snapToGrid w:val="0"/>
        <w:spacing w:line="720" w:lineRule="exact"/>
        <w:rPr>
          <w:rFonts w:hAnsi="宋体" w:cs="宋体"/>
          <w:color w:val="auto"/>
          <w:spacing w:val="4"/>
          <w:sz w:val="24"/>
          <w:szCs w:val="24"/>
          <w:highlight w:val="none"/>
        </w:rPr>
      </w:pPr>
    </w:p>
    <w:p w14:paraId="3E47B083">
      <w:pPr>
        <w:pStyle w:val="14"/>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9"/>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eastAsia" w:hAnsi="宋体" w:eastAsia="宋体" w:cs="宋体"/>
          <w:b/>
          <w:color w:val="auto"/>
          <w:sz w:val="28"/>
          <w:szCs w:val="28"/>
          <w:highlight w:val="none"/>
          <w:lang w:eastAsia="zh-CN"/>
        </w:rPr>
      </w:pPr>
      <w:bookmarkStart w:id="283" w:name="_Toc32573"/>
      <w:bookmarkStart w:id="284" w:name="_Toc2812"/>
      <w:bookmarkStart w:id="285" w:name="_Toc29482"/>
      <w:r>
        <w:rPr>
          <w:rFonts w:hint="eastAsia" w:hAnsi="宋体" w:cs="宋体"/>
          <w:b/>
          <w:color w:val="auto"/>
          <w:sz w:val="28"/>
          <w:szCs w:val="28"/>
          <w:highlight w:val="none"/>
        </w:rPr>
        <w:t>附件2：中小企业声明函</w:t>
      </w:r>
      <w:bookmarkEnd w:id="281"/>
      <w:bookmarkEnd w:id="282"/>
      <w:bookmarkEnd w:id="283"/>
      <w:bookmarkEnd w:id="284"/>
      <w:bookmarkEnd w:id="285"/>
    </w:p>
    <w:p w14:paraId="70E8A17E">
      <w:pPr>
        <w:spacing w:beforeLines="50" w:afterLines="50" w:line="360" w:lineRule="auto"/>
        <w:jc w:val="center"/>
        <w:rPr>
          <w:rFonts w:hAnsi="宋体" w:cs="宋体"/>
          <w:b/>
          <w:color w:val="auto"/>
          <w:sz w:val="28"/>
          <w:szCs w:val="28"/>
          <w:highlight w:val="none"/>
        </w:rPr>
      </w:pPr>
      <w:bookmarkStart w:id="286"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87" w:name="_Toc10758"/>
      <w:bookmarkStart w:id="288" w:name="_Toc5964"/>
      <w:bookmarkStart w:id="289" w:name="_Toc8863"/>
      <w:bookmarkStart w:id="290" w:name="_Toc12704"/>
      <w:bookmarkStart w:id="291" w:name="_Toc13530"/>
      <w:r>
        <w:rPr>
          <w:rFonts w:hint="eastAsia" w:hAnsi="宋体" w:cs="宋体"/>
          <w:b/>
          <w:color w:val="auto"/>
          <w:sz w:val="28"/>
          <w:szCs w:val="28"/>
          <w:highlight w:val="none"/>
        </w:rPr>
        <w:t>附件3：磋商产品属节能、环境标志产品列表（如有）</w:t>
      </w:r>
      <w:bookmarkEnd w:id="287"/>
      <w:bookmarkEnd w:id="288"/>
      <w:bookmarkEnd w:id="289"/>
      <w:bookmarkEnd w:id="290"/>
      <w:bookmarkEnd w:id="291"/>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86"/>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5"/>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8"/>
        <w:spacing w:line="400" w:lineRule="exact"/>
        <w:ind w:left="48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92" w:name="_Toc29025"/>
      <w:bookmarkStart w:id="293" w:name="_Toc27124"/>
      <w:bookmarkStart w:id="294" w:name="_Toc11066"/>
      <w:bookmarkStart w:id="295" w:name="_Toc11235"/>
      <w:bookmarkStart w:id="296" w:name="_Toc22425"/>
      <w:r>
        <w:rPr>
          <w:rFonts w:hint="eastAsia" w:hAnsi="宋体" w:cs="宋体"/>
          <w:b/>
          <w:bCs/>
          <w:color w:val="auto"/>
          <w:spacing w:val="6"/>
          <w:sz w:val="30"/>
          <w:szCs w:val="30"/>
          <w:highlight w:val="none"/>
        </w:rPr>
        <w:t>附件4：残疾人福利性单位声明函（如有）</w:t>
      </w:r>
      <w:bookmarkEnd w:id="292"/>
      <w:bookmarkEnd w:id="293"/>
      <w:bookmarkEnd w:id="294"/>
      <w:bookmarkEnd w:id="295"/>
      <w:bookmarkEnd w:id="296"/>
    </w:p>
    <w:p w14:paraId="334000A8">
      <w:pPr>
        <w:spacing w:line="588" w:lineRule="exact"/>
        <w:jc w:val="center"/>
        <w:rPr>
          <w:rFonts w:hAnsi="宋体" w:cs="宋体"/>
          <w:b/>
          <w:color w:val="auto"/>
          <w:spacing w:val="6"/>
          <w:sz w:val="32"/>
          <w:szCs w:val="32"/>
          <w:highlight w:val="none"/>
        </w:rPr>
      </w:pPr>
      <w:bookmarkStart w:id="297" w:name="OLE_LINK14"/>
      <w:bookmarkStart w:id="298" w:name="OLE_LINK13"/>
      <w:r>
        <w:rPr>
          <w:rFonts w:hint="eastAsia" w:hAnsi="宋体" w:cs="宋体"/>
          <w:b/>
          <w:color w:val="auto"/>
          <w:spacing w:val="6"/>
          <w:sz w:val="32"/>
          <w:szCs w:val="32"/>
          <w:highlight w:val="none"/>
        </w:rPr>
        <w:t>残疾人福利性单位声明函</w:t>
      </w:r>
    </w:p>
    <w:bookmarkEnd w:id="297"/>
    <w:bookmarkEnd w:id="298"/>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99" w:name="_Toc29109"/>
      <w:bookmarkStart w:id="300" w:name="_Toc2119"/>
      <w:bookmarkStart w:id="301" w:name="_Toc19526"/>
      <w:bookmarkStart w:id="302" w:name="_Toc2139"/>
      <w:bookmarkStart w:id="303" w:name="_Toc23160"/>
      <w:r>
        <w:rPr>
          <w:rFonts w:hint="eastAsia" w:hAnsi="宋体" w:cs="宋体"/>
          <w:b/>
          <w:color w:val="auto"/>
          <w:sz w:val="28"/>
          <w:szCs w:val="28"/>
          <w:highlight w:val="none"/>
        </w:rPr>
        <w:t>附件5：质疑函范本</w:t>
      </w:r>
      <w:bookmarkEnd w:id="299"/>
      <w:bookmarkEnd w:id="300"/>
      <w:bookmarkEnd w:id="301"/>
      <w:bookmarkEnd w:id="302"/>
      <w:bookmarkEnd w:id="303"/>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6"/>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6"/>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6"/>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6"/>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6"/>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西安美院信息系统网络安全等级保护测评服务采购项目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7F2F9E"/>
    <w:rsid w:val="038A4972"/>
    <w:rsid w:val="051E0804"/>
    <w:rsid w:val="054F4610"/>
    <w:rsid w:val="05B80C59"/>
    <w:rsid w:val="05DA68EB"/>
    <w:rsid w:val="064767BD"/>
    <w:rsid w:val="06E72E78"/>
    <w:rsid w:val="0714287C"/>
    <w:rsid w:val="07EC2E3C"/>
    <w:rsid w:val="099E253A"/>
    <w:rsid w:val="09D21BBD"/>
    <w:rsid w:val="0A52691C"/>
    <w:rsid w:val="0A7B73F3"/>
    <w:rsid w:val="0AE0655C"/>
    <w:rsid w:val="0B2608DC"/>
    <w:rsid w:val="0B75056B"/>
    <w:rsid w:val="0BE31B98"/>
    <w:rsid w:val="0C4F1BEB"/>
    <w:rsid w:val="0C580AA0"/>
    <w:rsid w:val="0DB8556E"/>
    <w:rsid w:val="0DCD7E5B"/>
    <w:rsid w:val="0EC42C1D"/>
    <w:rsid w:val="0FB71F81"/>
    <w:rsid w:val="0FCB77DB"/>
    <w:rsid w:val="0FD83CA6"/>
    <w:rsid w:val="108274B3"/>
    <w:rsid w:val="10BD35C7"/>
    <w:rsid w:val="10C03B1A"/>
    <w:rsid w:val="110A4333"/>
    <w:rsid w:val="11933EF1"/>
    <w:rsid w:val="124E6541"/>
    <w:rsid w:val="13055EFC"/>
    <w:rsid w:val="1408016B"/>
    <w:rsid w:val="14FF19C2"/>
    <w:rsid w:val="16D004E2"/>
    <w:rsid w:val="16D34E48"/>
    <w:rsid w:val="17381DE3"/>
    <w:rsid w:val="175400B6"/>
    <w:rsid w:val="179E42FF"/>
    <w:rsid w:val="17E77172"/>
    <w:rsid w:val="18243F2C"/>
    <w:rsid w:val="18624A54"/>
    <w:rsid w:val="19F1107F"/>
    <w:rsid w:val="1A6A586E"/>
    <w:rsid w:val="1A7840BB"/>
    <w:rsid w:val="1A7F74B5"/>
    <w:rsid w:val="1AB77E2C"/>
    <w:rsid w:val="1B917B2A"/>
    <w:rsid w:val="1BAE4D2B"/>
    <w:rsid w:val="1BF20D44"/>
    <w:rsid w:val="1BF70EFF"/>
    <w:rsid w:val="1D6C4D32"/>
    <w:rsid w:val="1D8C396C"/>
    <w:rsid w:val="1DC4219F"/>
    <w:rsid w:val="1E47352A"/>
    <w:rsid w:val="1E474499"/>
    <w:rsid w:val="1E616F4E"/>
    <w:rsid w:val="1E7D10B6"/>
    <w:rsid w:val="1E9329DA"/>
    <w:rsid w:val="1F126C7C"/>
    <w:rsid w:val="1FB72D74"/>
    <w:rsid w:val="1FEB742A"/>
    <w:rsid w:val="20530343"/>
    <w:rsid w:val="20531852"/>
    <w:rsid w:val="209348EA"/>
    <w:rsid w:val="21210A4D"/>
    <w:rsid w:val="21C422DC"/>
    <w:rsid w:val="23605E63"/>
    <w:rsid w:val="237F1D35"/>
    <w:rsid w:val="23AC19CC"/>
    <w:rsid w:val="23B4085A"/>
    <w:rsid w:val="245416F5"/>
    <w:rsid w:val="24D93136"/>
    <w:rsid w:val="255B2E26"/>
    <w:rsid w:val="258C4C14"/>
    <w:rsid w:val="25E76599"/>
    <w:rsid w:val="25F413E1"/>
    <w:rsid w:val="26450D58"/>
    <w:rsid w:val="2683064A"/>
    <w:rsid w:val="26B94EF9"/>
    <w:rsid w:val="272C1927"/>
    <w:rsid w:val="281E2746"/>
    <w:rsid w:val="289A5B44"/>
    <w:rsid w:val="28C0686E"/>
    <w:rsid w:val="29E01C20"/>
    <w:rsid w:val="29E55A22"/>
    <w:rsid w:val="2AF552B4"/>
    <w:rsid w:val="2B372839"/>
    <w:rsid w:val="2B934FAD"/>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C81974"/>
    <w:rsid w:val="31CF685F"/>
    <w:rsid w:val="3231334B"/>
    <w:rsid w:val="331040BE"/>
    <w:rsid w:val="333E1EEE"/>
    <w:rsid w:val="33D26ADA"/>
    <w:rsid w:val="355C5974"/>
    <w:rsid w:val="358723B5"/>
    <w:rsid w:val="359C6A8A"/>
    <w:rsid w:val="361433DA"/>
    <w:rsid w:val="36745C27"/>
    <w:rsid w:val="37662F7D"/>
    <w:rsid w:val="38325D99"/>
    <w:rsid w:val="39D553AA"/>
    <w:rsid w:val="3A064C79"/>
    <w:rsid w:val="3A8C2B51"/>
    <w:rsid w:val="3AD061AD"/>
    <w:rsid w:val="3AF06488"/>
    <w:rsid w:val="3B4F0A10"/>
    <w:rsid w:val="3B50782C"/>
    <w:rsid w:val="3B5369C6"/>
    <w:rsid w:val="3B663A4F"/>
    <w:rsid w:val="3BB014AF"/>
    <w:rsid w:val="3BE21884"/>
    <w:rsid w:val="3C7B1945"/>
    <w:rsid w:val="3C7D53DE"/>
    <w:rsid w:val="3CF439C9"/>
    <w:rsid w:val="3D4D690C"/>
    <w:rsid w:val="3D4E699A"/>
    <w:rsid w:val="3DBB5CCD"/>
    <w:rsid w:val="3DBC7D3F"/>
    <w:rsid w:val="3E4F1453"/>
    <w:rsid w:val="3E7C700F"/>
    <w:rsid w:val="3F790A1F"/>
    <w:rsid w:val="406B590C"/>
    <w:rsid w:val="413466DE"/>
    <w:rsid w:val="415D5C35"/>
    <w:rsid w:val="41D40B6C"/>
    <w:rsid w:val="42377DAE"/>
    <w:rsid w:val="429D651C"/>
    <w:rsid w:val="42B37C55"/>
    <w:rsid w:val="42F00D2B"/>
    <w:rsid w:val="430B7CC0"/>
    <w:rsid w:val="43305EF3"/>
    <w:rsid w:val="43CE2F84"/>
    <w:rsid w:val="45A81449"/>
    <w:rsid w:val="45D148E1"/>
    <w:rsid w:val="4625718E"/>
    <w:rsid w:val="477E6905"/>
    <w:rsid w:val="47BA5602"/>
    <w:rsid w:val="47CB7BCD"/>
    <w:rsid w:val="48723E9C"/>
    <w:rsid w:val="48A948A9"/>
    <w:rsid w:val="48F344FE"/>
    <w:rsid w:val="496B79EC"/>
    <w:rsid w:val="49BD79B3"/>
    <w:rsid w:val="49C82C57"/>
    <w:rsid w:val="4A02381D"/>
    <w:rsid w:val="4A1C0EB1"/>
    <w:rsid w:val="4A5E47CC"/>
    <w:rsid w:val="4AAC2C6F"/>
    <w:rsid w:val="4B9C1A50"/>
    <w:rsid w:val="4BAD77B9"/>
    <w:rsid w:val="4C966BC0"/>
    <w:rsid w:val="4D1E03A6"/>
    <w:rsid w:val="4D3038E5"/>
    <w:rsid w:val="4D477799"/>
    <w:rsid w:val="4D596375"/>
    <w:rsid w:val="4DEB6377"/>
    <w:rsid w:val="4DED6593"/>
    <w:rsid w:val="4E4A3EC7"/>
    <w:rsid w:val="4E7E7EDA"/>
    <w:rsid w:val="4EA053B3"/>
    <w:rsid w:val="4EAD270E"/>
    <w:rsid w:val="4F0B353D"/>
    <w:rsid w:val="4F0D5377"/>
    <w:rsid w:val="50121437"/>
    <w:rsid w:val="50132763"/>
    <w:rsid w:val="50877DE9"/>
    <w:rsid w:val="509203B3"/>
    <w:rsid w:val="5099655E"/>
    <w:rsid w:val="50DF5A3C"/>
    <w:rsid w:val="50E055CC"/>
    <w:rsid w:val="51844B18"/>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6E23696"/>
    <w:rsid w:val="572052E3"/>
    <w:rsid w:val="582F6BEF"/>
    <w:rsid w:val="58415BC6"/>
    <w:rsid w:val="585F62DF"/>
    <w:rsid w:val="590A2C81"/>
    <w:rsid w:val="59361347"/>
    <w:rsid w:val="593908DE"/>
    <w:rsid w:val="59875AED"/>
    <w:rsid w:val="598A113A"/>
    <w:rsid w:val="59A66EED"/>
    <w:rsid w:val="5A4E220C"/>
    <w:rsid w:val="5AF150AF"/>
    <w:rsid w:val="5C06474A"/>
    <w:rsid w:val="5D500F29"/>
    <w:rsid w:val="5D5905FD"/>
    <w:rsid w:val="5D822C5A"/>
    <w:rsid w:val="5D93740B"/>
    <w:rsid w:val="5DD46E27"/>
    <w:rsid w:val="5E421FD0"/>
    <w:rsid w:val="5E7A79CF"/>
    <w:rsid w:val="5EAA2796"/>
    <w:rsid w:val="5ED0632D"/>
    <w:rsid w:val="5ED51AA0"/>
    <w:rsid w:val="5EE611DF"/>
    <w:rsid w:val="5F1C7961"/>
    <w:rsid w:val="5F864151"/>
    <w:rsid w:val="60032A91"/>
    <w:rsid w:val="60637039"/>
    <w:rsid w:val="60C74A21"/>
    <w:rsid w:val="61195669"/>
    <w:rsid w:val="61397DAE"/>
    <w:rsid w:val="61B50D1E"/>
    <w:rsid w:val="62AE5E99"/>
    <w:rsid w:val="633F11E7"/>
    <w:rsid w:val="638A1AF5"/>
    <w:rsid w:val="64A936CA"/>
    <w:rsid w:val="64CA4AE0"/>
    <w:rsid w:val="665B3698"/>
    <w:rsid w:val="665D1ED0"/>
    <w:rsid w:val="666C1E3A"/>
    <w:rsid w:val="66DC6D4D"/>
    <w:rsid w:val="679B47E6"/>
    <w:rsid w:val="67B04461"/>
    <w:rsid w:val="682C6065"/>
    <w:rsid w:val="68776D2D"/>
    <w:rsid w:val="68A6624A"/>
    <w:rsid w:val="68E646F7"/>
    <w:rsid w:val="690D798C"/>
    <w:rsid w:val="69D4240D"/>
    <w:rsid w:val="69DE533E"/>
    <w:rsid w:val="69E9326E"/>
    <w:rsid w:val="6AC02E25"/>
    <w:rsid w:val="6AEA6BBE"/>
    <w:rsid w:val="6B005D17"/>
    <w:rsid w:val="6B237606"/>
    <w:rsid w:val="6B7F174D"/>
    <w:rsid w:val="6C9F6852"/>
    <w:rsid w:val="6CCF5389"/>
    <w:rsid w:val="6CD52274"/>
    <w:rsid w:val="6E237E7E"/>
    <w:rsid w:val="6E960558"/>
    <w:rsid w:val="6F386134"/>
    <w:rsid w:val="6F944668"/>
    <w:rsid w:val="6F995F63"/>
    <w:rsid w:val="70406237"/>
    <w:rsid w:val="70C5413D"/>
    <w:rsid w:val="70FE3161"/>
    <w:rsid w:val="71BC1928"/>
    <w:rsid w:val="723E1DBC"/>
    <w:rsid w:val="73C72DDD"/>
    <w:rsid w:val="7436299A"/>
    <w:rsid w:val="74393A30"/>
    <w:rsid w:val="74C552BF"/>
    <w:rsid w:val="74F97939"/>
    <w:rsid w:val="75102D70"/>
    <w:rsid w:val="76047015"/>
    <w:rsid w:val="76214E9E"/>
    <w:rsid w:val="76E06023"/>
    <w:rsid w:val="76F90B4C"/>
    <w:rsid w:val="77190C13"/>
    <w:rsid w:val="773B2F52"/>
    <w:rsid w:val="77D649A3"/>
    <w:rsid w:val="784B5870"/>
    <w:rsid w:val="790068CB"/>
    <w:rsid w:val="790A0471"/>
    <w:rsid w:val="79B7342D"/>
    <w:rsid w:val="79E26DE7"/>
    <w:rsid w:val="7A5B0EAD"/>
    <w:rsid w:val="7B5D576D"/>
    <w:rsid w:val="7C08295D"/>
    <w:rsid w:val="7C853459"/>
    <w:rsid w:val="7CDC740A"/>
    <w:rsid w:val="7D694394"/>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2"/>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6">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520" w:lineRule="exact"/>
      <w:ind w:firstLine="480" w:firstLineChars="200"/>
    </w:pPr>
    <w:rPr>
      <w:rFonts w:hAnsi="宋体" w:cs="宋体"/>
      <w:kern w:val="2"/>
      <w:szCs w:val="24"/>
    </w:rPr>
  </w:style>
  <w:style w:type="paragraph" w:styleId="8">
    <w:name w:val="Normal Indent"/>
    <w:basedOn w:val="1"/>
    <w:next w:val="9"/>
    <w:autoRedefine/>
    <w:qFormat/>
    <w:uiPriority w:val="0"/>
    <w:pPr>
      <w:spacing w:line="300" w:lineRule="auto"/>
      <w:ind w:firstLine="420" w:firstLineChars="200"/>
    </w:pPr>
    <w:rPr>
      <w:rFonts w:ascii="Calibri"/>
      <w:kern w:val="2"/>
      <w:sz w:val="21"/>
      <w:szCs w:val="24"/>
    </w:rPr>
  </w:style>
  <w:style w:type="paragraph" w:styleId="9">
    <w:name w:val="toc 4"/>
    <w:basedOn w:val="1"/>
    <w:next w:val="1"/>
    <w:qFormat/>
    <w:uiPriority w:val="0"/>
    <w:pPr>
      <w:ind w:left="1260" w:leftChars="600"/>
    </w:pPr>
  </w:style>
  <w:style w:type="paragraph" w:styleId="10">
    <w:name w:val="annotation text"/>
    <w:basedOn w:val="1"/>
    <w:qFormat/>
    <w:uiPriority w:val="0"/>
    <w:pPr>
      <w:jc w:val="left"/>
    </w:pPr>
  </w:style>
  <w:style w:type="paragraph" w:styleId="11">
    <w:name w:val="Body Text 3"/>
    <w:basedOn w:val="1"/>
    <w:autoRedefine/>
    <w:qFormat/>
    <w:uiPriority w:val="0"/>
    <w:pPr>
      <w:jc w:val="center"/>
    </w:pPr>
    <w:rPr>
      <w:rFonts w:ascii="Times New Roman"/>
      <w:b/>
      <w:spacing w:val="-20"/>
      <w:w w:val="110"/>
      <w:kern w:val="2"/>
      <w:sz w:val="52"/>
    </w:rPr>
  </w:style>
  <w:style w:type="paragraph" w:styleId="12">
    <w:name w:val="Body Text Indent"/>
    <w:basedOn w:val="1"/>
    <w:next w:val="2"/>
    <w:autoRedefine/>
    <w:qFormat/>
    <w:uiPriority w:val="99"/>
    <w:pPr>
      <w:spacing w:afterLines="50" w:line="360" w:lineRule="exact"/>
      <w:ind w:firstLine="480" w:firstLineChars="200"/>
    </w:pPr>
    <w:rPr>
      <w:rFonts w:hAnsi="宋体"/>
      <w:szCs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Balloon Text"/>
    <w:basedOn w:val="1"/>
    <w:link w:val="42"/>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8">
    <w:name w:val="toc 1"/>
    <w:basedOn w:val="1"/>
    <w:next w:val="1"/>
    <w:autoRedefine/>
    <w:unhideWhenUsed/>
    <w:qFormat/>
    <w:uiPriority w:val="39"/>
  </w:style>
  <w:style w:type="paragraph" w:styleId="19">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39"/>
    <w:pPr>
      <w:ind w:left="420" w:leftChars="200"/>
    </w:pPr>
  </w:style>
  <w:style w:type="paragraph" w:styleId="22">
    <w:name w:val="Normal (Web)"/>
    <w:basedOn w:val="1"/>
    <w:next w:val="1"/>
    <w:autoRedefine/>
    <w:qFormat/>
    <w:uiPriority w:val="0"/>
    <w:pPr>
      <w:widowControl/>
      <w:spacing w:before="100" w:beforeAutospacing="1" w:after="100" w:afterAutospacing="1"/>
      <w:jc w:val="left"/>
    </w:pPr>
    <w:rPr>
      <w:rFonts w:hAnsi="宋体"/>
      <w:szCs w:val="24"/>
    </w:rPr>
  </w:style>
  <w:style w:type="paragraph" w:styleId="23">
    <w:name w:val="Body Text First Indent"/>
    <w:basedOn w:val="2"/>
    <w:unhideWhenUsed/>
    <w:qFormat/>
    <w:uiPriority w:val="99"/>
    <w:pPr>
      <w:ind w:firstLine="420" w:firstLineChars="100"/>
    </w:pPr>
  </w:style>
  <w:style w:type="paragraph" w:styleId="24">
    <w:name w:val="Body Text First Indent 2"/>
    <w:basedOn w:val="12"/>
    <w:next w:val="1"/>
    <w:autoRedefine/>
    <w:qFormat/>
    <w:uiPriority w:val="0"/>
    <w:pPr>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Hyperlink"/>
    <w:basedOn w:val="27"/>
    <w:autoRedefine/>
    <w:qFormat/>
    <w:uiPriority w:val="0"/>
    <w:rPr>
      <w:color w:val="0000FF"/>
      <w:u w:val="single"/>
    </w:rPr>
  </w:style>
  <w:style w:type="paragraph" w:customStyle="1" w:styleId="30">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32">
    <w:name w:val="标题 1 Char"/>
    <w:link w:val="3"/>
    <w:autoRedefine/>
    <w:qFormat/>
    <w:uiPriority w:val="0"/>
    <w:rPr>
      <w:rFonts w:ascii="仿宋_GB2312" w:hAnsi="宋体" w:eastAsia="仿宋_GB2312"/>
      <w:b/>
      <w:kern w:val="2"/>
      <w:sz w:val="32"/>
    </w:rPr>
  </w:style>
  <w:style w:type="paragraph" w:customStyle="1" w:styleId="33">
    <w:name w:val="MessageHeader"/>
    <w:basedOn w:val="1"/>
    <w:next w:val="34"/>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4">
    <w:name w:val="BodyText"/>
    <w:basedOn w:val="1"/>
    <w:next w:val="1"/>
    <w:autoRedefine/>
    <w:qFormat/>
    <w:uiPriority w:val="0"/>
    <w:pPr>
      <w:jc w:val="center"/>
      <w:textAlignment w:val="baseline"/>
    </w:pPr>
  </w:style>
  <w:style w:type="paragraph" w:customStyle="1" w:styleId="35">
    <w:name w:val="列出段落1"/>
    <w:basedOn w:val="1"/>
    <w:autoRedefine/>
    <w:qFormat/>
    <w:uiPriority w:val="34"/>
    <w:pPr>
      <w:ind w:firstLine="420" w:firstLineChars="200"/>
    </w:pPr>
  </w:style>
  <w:style w:type="paragraph" w:customStyle="1" w:styleId="36">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7">
    <w:name w:val="表格文字中"/>
    <w:basedOn w:val="1"/>
    <w:autoRedefine/>
    <w:qFormat/>
    <w:uiPriority w:val="0"/>
    <w:pPr>
      <w:adjustRightInd w:val="0"/>
      <w:snapToGrid w:val="0"/>
      <w:ind w:left="22" w:leftChars="8"/>
      <w:jc w:val="center"/>
    </w:pPr>
    <w:rPr>
      <w:szCs w:val="24"/>
    </w:rPr>
  </w:style>
  <w:style w:type="paragraph" w:customStyle="1" w:styleId="38">
    <w:name w:val="Char1"/>
    <w:basedOn w:val="1"/>
    <w:autoRedefine/>
    <w:qFormat/>
    <w:uiPriority w:val="0"/>
    <w:pPr>
      <w:tabs>
        <w:tab w:val="left" w:pos="360"/>
      </w:tabs>
      <w:ind w:left="360" w:hanging="360" w:hangingChars="200"/>
    </w:pPr>
    <w:rPr>
      <w:szCs w:val="24"/>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列表段落1"/>
    <w:basedOn w:val="1"/>
    <w:autoRedefine/>
    <w:qFormat/>
    <w:uiPriority w:val="99"/>
    <w:pPr>
      <w:ind w:firstLine="420" w:firstLineChars="200"/>
    </w:pPr>
  </w:style>
  <w:style w:type="paragraph" w:customStyle="1" w:styleId="41">
    <w:name w:val="Table Paragraph"/>
    <w:basedOn w:val="1"/>
    <w:autoRedefine/>
    <w:qFormat/>
    <w:uiPriority w:val="1"/>
    <w:pPr>
      <w:autoSpaceDE w:val="0"/>
      <w:autoSpaceDN w:val="0"/>
      <w:jc w:val="left"/>
    </w:pPr>
    <w:rPr>
      <w:rFonts w:hAnsi="宋体" w:cs="宋体"/>
      <w:sz w:val="22"/>
      <w:szCs w:val="22"/>
      <w:lang w:val="zh-CN"/>
    </w:rPr>
  </w:style>
  <w:style w:type="character" w:customStyle="1" w:styleId="42">
    <w:name w:val="批注框文本 Char"/>
    <w:basedOn w:val="27"/>
    <w:link w:val="15"/>
    <w:qFormat/>
    <w:uiPriority w:val="0"/>
    <w:rPr>
      <w:rFonts w:ascii="宋体"/>
      <w:sz w:val="18"/>
      <w:szCs w:val="18"/>
    </w:rPr>
  </w:style>
  <w:style w:type="paragraph" w:customStyle="1" w:styleId="43">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4">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11091</Words>
  <Characters>12155</Characters>
  <Lines>245</Lines>
  <Paragraphs>69</Paragraphs>
  <TotalTime>14</TotalTime>
  <ScaleCrop>false</ScaleCrop>
  <LinksUpToDate>false</LinksUpToDate>
  <CharactersWithSpaces>12287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高东联</cp:lastModifiedBy>
  <dcterms:modified xsi:type="dcterms:W3CDTF">2025-06-25T02:24:32Z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55A295D62EF14353949769F5174C16C3_13</vt:lpwstr>
  </property>
  <property fmtid="{D5CDD505-2E9C-101B-9397-08002B2CF9AE}" pid="4" name="KSOTemplateDocerSaveRecord">
    <vt:lpwstr>eyJoZGlkIjoiZjZkY2MwMDAxYzIxYWZlZTg1Mzc1OGNhZGJhZDlhODIiLCJ1c2VySWQiOiI0NTYyNzc5NzIifQ==</vt:lpwstr>
  </property>
</Properties>
</file>