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3C57E">
      <w:pPr>
        <w:spacing w:line="360" w:lineRule="auto"/>
        <w:ind w:firstLine="1124" w:firstLineChars="400"/>
        <w:jc w:val="right"/>
        <w:rPr>
          <w:rFonts w:hint="eastAsia" w:ascii="宋体" w:hAnsi="宋体" w:eastAsia="宋体" w:cs="宋体"/>
          <w:b/>
          <w:color w:val="auto"/>
          <w:sz w:val="28"/>
          <w:szCs w:val="28"/>
        </w:rPr>
      </w:pPr>
      <w:bookmarkStart w:id="162" w:name="_GoBack"/>
      <w:bookmarkEnd w:id="162"/>
    </w:p>
    <w:p w14:paraId="3B842008">
      <w:pPr>
        <w:spacing w:line="360" w:lineRule="auto"/>
        <w:ind w:firstLine="1285" w:firstLineChars="400"/>
        <w:jc w:val="right"/>
        <w:rPr>
          <w:rFonts w:hint="eastAsia" w:ascii="宋体" w:hAnsi="宋体" w:eastAsia="宋体" w:cs="宋体"/>
          <w:b/>
          <w:color w:val="auto"/>
          <w:sz w:val="28"/>
          <w:szCs w:val="28"/>
        </w:rPr>
      </w:pPr>
      <w:r>
        <w:rPr>
          <w:rFonts w:hint="eastAsia" w:ascii="宋体" w:hAnsi="宋体" w:eastAsia="宋体" w:cs="宋体"/>
          <w:b/>
          <w:color w:val="auto"/>
          <w:sz w:val="32"/>
          <w:szCs w:val="32"/>
        </w:rPr>
        <w:drawing>
          <wp:anchor distT="0" distB="0" distL="114300" distR="114300" simplePos="0" relativeHeight="251659264" behindDoc="1" locked="0" layoutInCell="1" allowOverlap="1">
            <wp:simplePos x="0" y="0"/>
            <wp:positionH relativeFrom="column">
              <wp:posOffset>-130810</wp:posOffset>
            </wp:positionH>
            <wp:positionV relativeFrom="paragraph">
              <wp:posOffset>-347345</wp:posOffset>
            </wp:positionV>
            <wp:extent cx="1487170" cy="1615440"/>
            <wp:effectExtent l="0" t="0" r="17780" b="3810"/>
            <wp:wrapTight wrapText="bothSides">
              <wp:wrapPolygon>
                <wp:start x="21592" y="-2"/>
                <wp:lineTo x="0" y="0"/>
                <wp:lineTo x="0" y="21600"/>
                <wp:lineTo x="21592" y="21602"/>
                <wp:lineTo x="8" y="21602"/>
                <wp:lineTo x="21600" y="21600"/>
                <wp:lineTo x="21600" y="0"/>
                <wp:lineTo x="8" y="-2"/>
                <wp:lineTo x="21592" y="-2"/>
              </wp:wrapPolygon>
            </wp:wrapTight>
            <wp:docPr id="1" name="图片 3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公司Logo"/>
                    <pic:cNvPicPr>
                      <a:picLocks noChangeAspect="1"/>
                    </pic:cNvPicPr>
                  </pic:nvPicPr>
                  <pic:blipFill>
                    <a:blip r:embed="rId13" cstate="print"/>
                    <a:stretch>
                      <a:fillRect/>
                    </a:stretch>
                  </pic:blipFill>
                  <pic:spPr>
                    <a:xfrm>
                      <a:off x="0" y="0"/>
                      <a:ext cx="1487170" cy="1615440"/>
                    </a:xfrm>
                    <a:prstGeom prst="rect">
                      <a:avLst/>
                    </a:prstGeom>
                    <a:noFill/>
                    <a:ln>
                      <a:noFill/>
                    </a:ln>
                  </pic:spPr>
                </pic:pic>
              </a:graphicData>
            </a:graphic>
          </wp:anchor>
        </w:drawing>
      </w: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YJGH2025-AKCG-012-1</w:t>
      </w:r>
      <w:r>
        <w:rPr>
          <w:rFonts w:hint="eastAsia" w:ascii="宋体" w:hAnsi="宋体" w:eastAsia="宋体" w:cs="宋体"/>
          <w:b/>
          <w:color w:val="auto"/>
          <w:sz w:val="28"/>
          <w:szCs w:val="28"/>
        </w:rPr>
        <w:t xml:space="preserve">                       </w:t>
      </w:r>
    </w:p>
    <w:p w14:paraId="01B72584">
      <w:pPr>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608CA7DB">
      <w:pPr>
        <w:pStyle w:val="6"/>
        <w:rPr>
          <w:rFonts w:hint="eastAsia" w:ascii="宋体" w:hAnsi="宋体" w:eastAsia="宋体" w:cs="宋体"/>
          <w:color w:val="auto"/>
        </w:rPr>
      </w:pPr>
    </w:p>
    <w:p w14:paraId="466322A8">
      <w:pPr>
        <w:spacing w:line="800" w:lineRule="exact"/>
        <w:jc w:val="center"/>
        <w:rPr>
          <w:rFonts w:hint="eastAsia" w:ascii="宋体" w:hAnsi="宋体" w:eastAsia="宋体" w:cs="宋体"/>
          <w:b/>
          <w:bCs/>
          <w:color w:val="auto"/>
          <w:w w:val="80"/>
          <w:sz w:val="52"/>
          <w:szCs w:val="52"/>
        </w:rPr>
      </w:pPr>
    </w:p>
    <w:p w14:paraId="1982B24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宋体"/>
          <w:b/>
          <w:bCs/>
          <w:color w:val="auto"/>
          <w:w w:val="80"/>
          <w:sz w:val="52"/>
          <w:szCs w:val="52"/>
        </w:rPr>
      </w:pPr>
    </w:p>
    <w:p w14:paraId="78BAFD03">
      <w:pPr>
        <w:spacing w:line="800" w:lineRule="exact"/>
        <w:jc w:val="center"/>
        <w:rPr>
          <w:rFonts w:hint="eastAsia" w:ascii="宋体" w:hAnsi="宋体" w:eastAsia="宋体" w:cs="宋体"/>
          <w:b/>
          <w:color w:val="auto"/>
          <w:spacing w:val="0"/>
          <w:w w:val="100"/>
          <w:sz w:val="44"/>
          <w:szCs w:val="44"/>
        </w:rPr>
      </w:pPr>
      <w:r>
        <w:rPr>
          <w:rFonts w:hint="eastAsia" w:hAnsi="宋体" w:cs="宋体"/>
          <w:b/>
          <w:bCs/>
          <w:color w:val="auto"/>
          <w:spacing w:val="-6"/>
          <w:w w:val="100"/>
          <w:sz w:val="48"/>
          <w:szCs w:val="48"/>
          <w:lang w:eastAsia="zh-CN"/>
        </w:rPr>
        <w:t>平利县2025年村庄规划编制采购项目一标段</w:t>
      </w:r>
    </w:p>
    <w:p w14:paraId="0CD5BAE0">
      <w:pPr>
        <w:pStyle w:val="23"/>
        <w:ind w:left="680"/>
        <w:rPr>
          <w:rFonts w:hint="eastAsia" w:ascii="宋体" w:hAnsi="宋体" w:eastAsia="宋体" w:cs="宋体"/>
          <w:color w:val="auto"/>
        </w:rPr>
      </w:pPr>
    </w:p>
    <w:p w14:paraId="0BEEB76A">
      <w:pPr>
        <w:pStyle w:val="9"/>
        <w:rPr>
          <w:rFonts w:hint="eastAsia" w:ascii="宋体" w:hAnsi="宋体" w:eastAsia="宋体" w:cs="宋体"/>
          <w:color w:val="auto"/>
        </w:rPr>
      </w:pPr>
    </w:p>
    <w:p w14:paraId="08C82F54">
      <w:pPr>
        <w:rPr>
          <w:rFonts w:hint="eastAsia" w:ascii="宋体" w:hAnsi="宋体" w:eastAsia="宋体" w:cs="宋体"/>
          <w:color w:val="auto"/>
        </w:rPr>
      </w:pPr>
    </w:p>
    <w:p w14:paraId="40980FB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招 标 文 件</w:t>
      </w:r>
    </w:p>
    <w:p w14:paraId="71BA1E9F">
      <w:pPr>
        <w:spacing w:line="360" w:lineRule="auto"/>
        <w:jc w:val="center"/>
        <w:rPr>
          <w:rFonts w:hint="eastAsia" w:ascii="宋体" w:hAnsi="宋体" w:eastAsia="宋体" w:cs="宋体"/>
          <w:b/>
          <w:color w:val="auto"/>
          <w:sz w:val="44"/>
          <w:szCs w:val="44"/>
        </w:rPr>
      </w:pPr>
    </w:p>
    <w:p w14:paraId="7BE3670B">
      <w:pPr>
        <w:pStyle w:val="23"/>
        <w:ind w:left="0" w:leftChars="0" w:firstLine="0" w:firstLineChars="0"/>
        <w:rPr>
          <w:rFonts w:hint="eastAsia" w:ascii="宋体" w:hAnsi="宋体" w:eastAsia="宋体" w:cs="宋体"/>
          <w:color w:val="auto"/>
        </w:rPr>
      </w:pPr>
    </w:p>
    <w:p w14:paraId="2FE7D630">
      <w:pPr>
        <w:rPr>
          <w:rFonts w:hint="eastAsia" w:ascii="宋体" w:hAnsi="宋体" w:eastAsia="宋体" w:cs="宋体"/>
          <w:color w:val="auto"/>
        </w:rPr>
      </w:pPr>
    </w:p>
    <w:p w14:paraId="480DFCF4">
      <w:pPr>
        <w:pStyle w:val="21"/>
        <w:rPr>
          <w:rFonts w:hint="eastAsia"/>
        </w:rPr>
      </w:pPr>
    </w:p>
    <w:p w14:paraId="30617286">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   购   人：</w:t>
      </w:r>
      <w:r>
        <w:rPr>
          <w:rFonts w:hint="eastAsia" w:ascii="宋体" w:hAnsi="宋体" w:eastAsia="宋体" w:cs="宋体"/>
          <w:b/>
          <w:color w:val="auto"/>
          <w:sz w:val="32"/>
          <w:szCs w:val="32"/>
          <w:u w:val="single"/>
        </w:rPr>
        <w:t xml:space="preserve">   </w:t>
      </w:r>
      <w:r>
        <w:rPr>
          <w:rFonts w:hint="eastAsia" w:hAnsi="宋体" w:cs="宋体"/>
          <w:b/>
          <w:color w:val="auto"/>
          <w:sz w:val="32"/>
          <w:szCs w:val="32"/>
          <w:u w:val="single"/>
          <w:lang w:val="en-US" w:eastAsia="zh-CN"/>
        </w:rPr>
        <w:t xml:space="preserve">   </w:t>
      </w:r>
      <w:r>
        <w:rPr>
          <w:rFonts w:hint="eastAsia" w:hAnsi="宋体" w:cs="宋体"/>
          <w:b/>
          <w:color w:val="auto"/>
          <w:sz w:val="32"/>
          <w:szCs w:val="32"/>
          <w:u w:val="single"/>
          <w:lang w:eastAsia="zh-CN"/>
        </w:rPr>
        <w:t>平利县自然资源局</w:t>
      </w:r>
      <w:r>
        <w:rPr>
          <w:rFonts w:hint="eastAsia" w:hAnsi="宋体" w:cs="宋体"/>
          <w:b/>
          <w:color w:val="auto"/>
          <w:sz w:val="32"/>
          <w:szCs w:val="32"/>
          <w:u w:val="single"/>
          <w:lang w:val="en-US" w:eastAsia="zh-CN"/>
        </w:rPr>
        <w:t xml:space="preserve">         </w:t>
      </w:r>
      <w:r>
        <w:rPr>
          <w:rFonts w:hint="eastAsia" w:hAnsi="宋体" w:cs="宋体"/>
          <w:b/>
          <w:color w:val="auto"/>
          <w:sz w:val="32"/>
          <w:szCs w:val="32"/>
          <w:u w:val="none"/>
          <w:lang w:val="en-US" w:eastAsia="zh-CN"/>
        </w:rPr>
        <w:t>（盖章）</w:t>
      </w:r>
      <w:r>
        <w:rPr>
          <w:rFonts w:hint="eastAsia" w:ascii="宋体" w:hAnsi="宋体" w:eastAsia="宋体" w:cs="宋体"/>
          <w:b/>
          <w:color w:val="auto"/>
          <w:sz w:val="32"/>
          <w:szCs w:val="32"/>
          <w:u w:val="none"/>
        </w:rPr>
        <w:t xml:space="preserve"> </w:t>
      </w:r>
      <w:r>
        <w:rPr>
          <w:rFonts w:hint="eastAsia" w:ascii="宋体" w:hAnsi="宋体" w:eastAsia="宋体" w:cs="宋体"/>
          <w:b/>
          <w:color w:val="auto"/>
          <w:sz w:val="32"/>
          <w:szCs w:val="32"/>
          <w:u w:val="single"/>
        </w:rPr>
        <w:t xml:space="preserve">    </w:t>
      </w:r>
    </w:p>
    <w:p w14:paraId="6A94011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p>
    <w:p w14:paraId="55129DF8">
      <w:pPr>
        <w:spacing w:line="720" w:lineRule="auto"/>
        <w:ind w:firstLine="321" w:firstLineChars="1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 xml:space="preserve">    时        间：</w:t>
      </w:r>
      <w:r>
        <w:rPr>
          <w:rFonts w:hint="eastAsia" w:ascii="宋体" w:hAnsi="宋体" w:eastAsia="宋体" w:cs="宋体"/>
          <w:b/>
          <w:color w:val="auto"/>
          <w:sz w:val="32"/>
          <w:szCs w:val="32"/>
          <w:u w:val="single"/>
        </w:rPr>
        <w:t xml:space="preserve">       二○二</w:t>
      </w:r>
      <w:r>
        <w:rPr>
          <w:rFonts w:hint="eastAsia"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hAnsi="宋体" w:cs="宋体"/>
          <w:b/>
          <w:color w:val="auto"/>
          <w:sz w:val="32"/>
          <w:szCs w:val="32"/>
          <w:u w:val="single"/>
          <w:lang w:val="en-US" w:eastAsia="zh-CN"/>
        </w:rPr>
        <w:t>六</w:t>
      </w:r>
      <w:r>
        <w:rPr>
          <w:rFonts w:hint="eastAsia" w:ascii="宋体" w:hAnsi="宋体" w:eastAsia="宋体" w:cs="宋体"/>
          <w:b/>
          <w:color w:val="auto"/>
          <w:sz w:val="32"/>
          <w:szCs w:val="32"/>
          <w:u w:val="single"/>
        </w:rPr>
        <w:t xml:space="preserve">月           </w:t>
      </w:r>
    </w:p>
    <w:p w14:paraId="03F9EBFC">
      <w:pPr>
        <w:pStyle w:val="40"/>
        <w:ind w:firstLine="643"/>
        <w:rPr>
          <w:rFonts w:hint="eastAsia" w:ascii="宋体" w:hAnsi="宋体" w:eastAsia="宋体" w:cs="宋体"/>
          <w:b/>
          <w:color w:val="auto"/>
          <w:sz w:val="32"/>
          <w:szCs w:val="32"/>
          <w:u w:val="single"/>
        </w:rPr>
      </w:pPr>
    </w:p>
    <w:p w14:paraId="62F45F5E">
      <w:pPr>
        <w:tabs>
          <w:tab w:val="left" w:pos="1097"/>
        </w:tabs>
        <w:jc w:val="left"/>
        <w:rPr>
          <w:rFonts w:hint="eastAsia" w:ascii="宋体" w:hAnsi="宋体" w:eastAsia="宋体" w:cs="宋体"/>
          <w:color w:val="auto"/>
        </w:rPr>
        <w:sectPr>
          <w:headerReference r:id="rId6" w:type="first"/>
          <w:footerReference r:id="rId8" w:type="first"/>
          <w:headerReference r:id="rId5" w:type="default"/>
          <w:footerReference r:id="rId7" w:type="default"/>
          <w:pgSz w:w="11906" w:h="16838"/>
          <w:pgMar w:top="1418" w:right="1361" w:bottom="1418" w:left="1474" w:header="851" w:footer="992" w:gutter="0"/>
          <w:cols w:space="720" w:num="1"/>
          <w:titlePg/>
          <w:docGrid w:type="lines" w:linePitch="312" w:charSpace="0"/>
        </w:sectPr>
      </w:pPr>
    </w:p>
    <w:p w14:paraId="477F7598">
      <w:pPr>
        <w:jc w:val="center"/>
        <w:outlineLvl w:val="0"/>
        <w:rPr>
          <w:rFonts w:hint="eastAsia" w:ascii="宋体" w:hAnsi="宋体" w:eastAsia="宋体" w:cs="宋体"/>
          <w:b/>
          <w:color w:val="auto"/>
          <w:sz w:val="36"/>
          <w:szCs w:val="36"/>
        </w:rPr>
      </w:pPr>
    </w:p>
    <w:p w14:paraId="1EC5CEC4">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5F601121">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513EFD1D">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455B62E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7E537A7">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27"/>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59B631A0">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119AFD46">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12E35498">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A0E4822">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3D6C8F6C">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3092D18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02E7DF0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6D02AA2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4164484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00940123">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4F20210">
      <w:pPr>
        <w:snapToGrid w:val="0"/>
        <w:spacing w:line="360" w:lineRule="auto"/>
        <w:rPr>
          <w:rFonts w:hint="eastAsia" w:ascii="宋体" w:hAnsi="宋体" w:eastAsia="宋体" w:cs="宋体"/>
          <w:b/>
          <w:color w:val="auto"/>
          <w:sz w:val="48"/>
          <w:szCs w:val="48"/>
        </w:rPr>
      </w:pPr>
    </w:p>
    <w:p w14:paraId="1106C117">
      <w:pPr>
        <w:pStyle w:val="9"/>
        <w:rPr>
          <w:rFonts w:hint="eastAsia" w:ascii="宋体" w:hAnsi="宋体" w:eastAsia="宋体" w:cs="宋体"/>
          <w:color w:val="auto"/>
        </w:rPr>
      </w:pPr>
    </w:p>
    <w:p w14:paraId="56A224A5">
      <w:pPr>
        <w:snapToGrid w:val="0"/>
        <w:spacing w:line="360" w:lineRule="auto"/>
        <w:jc w:val="center"/>
        <w:rPr>
          <w:rFonts w:hint="eastAsia" w:ascii="宋体" w:hAnsi="宋体" w:eastAsia="宋体" w:cs="宋体"/>
          <w:b/>
          <w:color w:val="auto"/>
          <w:sz w:val="48"/>
          <w:szCs w:val="48"/>
        </w:rPr>
      </w:pPr>
    </w:p>
    <w:p w14:paraId="63108B76">
      <w:pPr>
        <w:snapToGrid w:val="0"/>
        <w:spacing w:line="360" w:lineRule="auto"/>
        <w:jc w:val="center"/>
        <w:rPr>
          <w:rFonts w:hint="eastAsia" w:ascii="宋体" w:hAnsi="宋体" w:eastAsia="宋体" w:cs="宋体"/>
          <w:b/>
          <w:color w:val="auto"/>
          <w:sz w:val="48"/>
          <w:szCs w:val="48"/>
        </w:rPr>
      </w:pPr>
    </w:p>
    <w:p w14:paraId="5F7A9071">
      <w:pPr>
        <w:snapToGrid w:val="0"/>
        <w:spacing w:line="360" w:lineRule="auto"/>
        <w:jc w:val="center"/>
        <w:rPr>
          <w:rFonts w:hint="eastAsia" w:ascii="宋体" w:hAnsi="宋体" w:eastAsia="宋体" w:cs="宋体"/>
          <w:b/>
          <w:color w:val="auto"/>
          <w:sz w:val="48"/>
          <w:szCs w:val="48"/>
        </w:rPr>
      </w:pPr>
    </w:p>
    <w:p w14:paraId="66FF16A1">
      <w:pPr>
        <w:snapToGrid w:val="0"/>
        <w:spacing w:line="360" w:lineRule="auto"/>
        <w:jc w:val="center"/>
        <w:rPr>
          <w:rFonts w:hint="eastAsia" w:ascii="宋体" w:hAnsi="宋体" w:eastAsia="宋体" w:cs="宋体"/>
          <w:b/>
          <w:color w:val="auto"/>
          <w:sz w:val="48"/>
          <w:szCs w:val="48"/>
        </w:rPr>
      </w:pPr>
    </w:p>
    <w:p w14:paraId="4F7B7537">
      <w:pPr>
        <w:snapToGrid w:val="0"/>
        <w:spacing w:line="360" w:lineRule="auto"/>
        <w:jc w:val="center"/>
        <w:rPr>
          <w:rFonts w:hint="eastAsia" w:ascii="宋体" w:hAnsi="宋体" w:eastAsia="宋体" w:cs="宋体"/>
          <w:b/>
          <w:color w:val="auto"/>
          <w:sz w:val="48"/>
          <w:szCs w:val="48"/>
        </w:rPr>
      </w:pPr>
    </w:p>
    <w:p w14:paraId="68593C9E">
      <w:pPr>
        <w:snapToGrid w:val="0"/>
        <w:spacing w:line="360" w:lineRule="auto"/>
        <w:jc w:val="center"/>
        <w:rPr>
          <w:rFonts w:hint="eastAsia" w:ascii="宋体" w:hAnsi="宋体" w:eastAsia="宋体" w:cs="宋体"/>
          <w:b/>
          <w:color w:val="auto"/>
          <w:sz w:val="48"/>
          <w:szCs w:val="48"/>
        </w:rPr>
      </w:pPr>
    </w:p>
    <w:p w14:paraId="7D39662C">
      <w:pPr>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139FD8A">
      <w:pPr>
        <w:snapToGrid w:val="0"/>
        <w:spacing w:line="360" w:lineRule="auto"/>
        <w:jc w:val="center"/>
        <w:rPr>
          <w:rFonts w:hint="eastAsia" w:ascii="宋体" w:hAnsi="宋体" w:eastAsia="宋体" w:cs="宋体"/>
          <w:b/>
          <w:color w:val="auto"/>
          <w:sz w:val="50"/>
        </w:rPr>
      </w:pPr>
    </w:p>
    <w:p w14:paraId="6EBFBCEC">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第一章  招标公告</w:t>
      </w:r>
    </w:p>
    <w:p w14:paraId="2893301A">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第二章  投标须知</w:t>
      </w:r>
    </w:p>
    <w:p w14:paraId="1F358BD4">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第三章  拟签订合同主要条款</w:t>
      </w:r>
    </w:p>
    <w:p w14:paraId="69D226E0">
      <w:pPr>
        <w:snapToGrid w:val="0"/>
        <w:spacing w:line="840" w:lineRule="exact"/>
        <w:ind w:firstLine="2329" w:firstLineChars="728"/>
        <w:rPr>
          <w:rFonts w:hint="eastAsia" w:ascii="宋体" w:hAnsi="宋体" w:eastAsia="宋体" w:cs="宋体"/>
          <w:b/>
          <w:color w:val="auto"/>
          <w:sz w:val="32"/>
          <w:lang w:eastAsia="zh-CN"/>
        </w:rPr>
      </w:pPr>
      <w:r>
        <w:rPr>
          <w:rFonts w:hint="eastAsia" w:ascii="宋体" w:hAnsi="宋体" w:eastAsia="宋体" w:cs="宋体"/>
          <w:b/>
          <w:color w:val="auto"/>
          <w:sz w:val="32"/>
        </w:rPr>
        <w:t>第四章  采购内容与</w:t>
      </w:r>
      <w:r>
        <w:rPr>
          <w:rFonts w:hint="eastAsia" w:hAnsi="宋体" w:cs="宋体"/>
          <w:b/>
          <w:color w:val="auto"/>
          <w:sz w:val="32"/>
          <w:lang w:eastAsia="zh-CN"/>
        </w:rPr>
        <w:t>技术要求</w:t>
      </w:r>
    </w:p>
    <w:p w14:paraId="0A123160">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第五章  投标文件基本格式</w:t>
      </w:r>
    </w:p>
    <w:p w14:paraId="6CA65A0D">
      <w:pPr>
        <w:pStyle w:val="6"/>
        <w:rPr>
          <w:rFonts w:hint="eastAsia" w:ascii="宋体" w:hAnsi="宋体" w:eastAsia="宋体" w:cs="宋体"/>
          <w:b w:val="0"/>
          <w:color w:val="auto"/>
        </w:rPr>
      </w:pPr>
    </w:p>
    <w:p w14:paraId="6BCA7847">
      <w:pPr>
        <w:rPr>
          <w:rFonts w:hint="eastAsia" w:ascii="宋体" w:hAnsi="宋体" w:eastAsia="宋体" w:cs="宋体"/>
          <w:b/>
          <w:color w:val="auto"/>
          <w:sz w:val="32"/>
        </w:rPr>
      </w:pPr>
    </w:p>
    <w:p w14:paraId="3D063FD1">
      <w:pPr>
        <w:pStyle w:val="6"/>
        <w:rPr>
          <w:rFonts w:hint="eastAsia" w:ascii="宋体" w:hAnsi="宋体" w:eastAsia="宋体" w:cs="宋体"/>
          <w:b w:val="0"/>
          <w:color w:val="auto"/>
        </w:rPr>
      </w:pPr>
    </w:p>
    <w:p w14:paraId="08C7434E">
      <w:pPr>
        <w:rPr>
          <w:rFonts w:hint="eastAsia" w:ascii="宋体" w:hAnsi="宋体" w:eastAsia="宋体" w:cs="宋体"/>
          <w:b/>
          <w:color w:val="auto"/>
          <w:sz w:val="32"/>
        </w:rPr>
      </w:pPr>
    </w:p>
    <w:p w14:paraId="63D98698">
      <w:pPr>
        <w:pStyle w:val="6"/>
        <w:rPr>
          <w:rFonts w:hint="eastAsia" w:ascii="宋体" w:hAnsi="宋体" w:eastAsia="宋体" w:cs="宋体"/>
          <w:b w:val="0"/>
          <w:color w:val="auto"/>
        </w:rPr>
      </w:pPr>
    </w:p>
    <w:p w14:paraId="67FC621D">
      <w:pPr>
        <w:rPr>
          <w:rFonts w:hint="eastAsia" w:ascii="宋体" w:hAnsi="宋体" w:eastAsia="宋体" w:cs="宋体"/>
          <w:b/>
          <w:color w:val="auto"/>
          <w:sz w:val="32"/>
        </w:rPr>
      </w:pPr>
    </w:p>
    <w:p w14:paraId="731A03B1">
      <w:pPr>
        <w:rPr>
          <w:rFonts w:hint="eastAsia" w:ascii="宋体" w:hAnsi="宋体" w:eastAsia="宋体" w:cs="宋体"/>
          <w:b/>
          <w:color w:val="auto"/>
          <w:sz w:val="32"/>
        </w:rPr>
      </w:pPr>
    </w:p>
    <w:p w14:paraId="726E8F43">
      <w:pPr>
        <w:snapToGrid w:val="0"/>
        <w:spacing w:beforeLines="100" w:afterLines="50" w:line="440" w:lineRule="exact"/>
        <w:jc w:val="center"/>
        <w:rPr>
          <w:rFonts w:hint="eastAsia" w:ascii="宋体" w:hAnsi="宋体" w:eastAsia="宋体" w:cs="宋体"/>
          <w:b/>
          <w:color w:val="auto"/>
          <w:sz w:val="32"/>
          <w:szCs w:val="32"/>
        </w:rPr>
      </w:pPr>
    </w:p>
    <w:p w14:paraId="61B7A6AE">
      <w:pPr>
        <w:snapToGrid w:val="0"/>
        <w:spacing w:beforeLines="100" w:afterLines="50"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第一章  招标公告</w:t>
      </w:r>
    </w:p>
    <w:p w14:paraId="52EE60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bookmarkStart w:id="0" w:name="_Toc167591026"/>
      <w:bookmarkStart w:id="1" w:name="_Toc167591313"/>
      <w:bookmarkStart w:id="2" w:name="_Toc173549961"/>
      <w:bookmarkStart w:id="3" w:name="_Toc207897901"/>
      <w:bookmarkStart w:id="4" w:name="_Toc175032420"/>
      <w:bookmarkStart w:id="5" w:name="_Toc170980437"/>
      <w:bookmarkStart w:id="6" w:name="_Toc245176650"/>
      <w:bookmarkStart w:id="7" w:name="_Toc170980535"/>
      <w:bookmarkStart w:id="8" w:name="_Toc208337149"/>
      <w:bookmarkStart w:id="9" w:name="_Toc169838515"/>
      <w:bookmarkStart w:id="10" w:name="_Toc245657538"/>
      <w:bookmarkStart w:id="11" w:name="_Toc167590758"/>
      <w:bookmarkStart w:id="12" w:name="_Toc154482462"/>
      <w:bookmarkStart w:id="13" w:name="_Toc244623576"/>
      <w:bookmarkStart w:id="14" w:name="_Toc167849343"/>
      <w:bookmarkStart w:id="15" w:name="_Toc175033575"/>
      <w:bookmarkStart w:id="16" w:name="_Toc167591127"/>
      <w:bookmarkStart w:id="17" w:name="_Toc169846856"/>
      <w:bookmarkStart w:id="18" w:name="_Toc169846759"/>
      <w:bookmarkStart w:id="19" w:name="_Toc167591475"/>
      <w:bookmarkStart w:id="20" w:name="_Toc245658519"/>
      <w:bookmarkStart w:id="21" w:name="_Toc201650492"/>
      <w:bookmarkStart w:id="22" w:name="_Toc260242592"/>
      <w:r>
        <w:rPr>
          <w:rStyle w:val="27"/>
          <w:rFonts w:hint="eastAsia" w:ascii="宋体" w:hAnsi="宋体" w:eastAsia="宋体" w:cs="宋体"/>
          <w:b/>
          <w:bCs/>
          <w:i w:val="0"/>
          <w:iCs w:val="0"/>
          <w:caps w:val="0"/>
          <w:color w:val="auto"/>
          <w:spacing w:val="0"/>
          <w:sz w:val="24"/>
          <w:szCs w:val="24"/>
          <w:shd w:val="clear" w:fill="FFFFFF"/>
        </w:rPr>
        <w:t>项目概况</w:t>
      </w:r>
    </w:p>
    <w:p w14:paraId="21A1750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平利县2025年村庄规划编制采购项目招标项目的潜在投标人应在安康市公共资源交易平台获取招标文件，并于2025年06月25日 14时00分（北京时间）前递交投标文件。</w:t>
      </w:r>
    </w:p>
    <w:p w14:paraId="64180D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一、项目基本情况</w:t>
      </w:r>
    </w:p>
    <w:p w14:paraId="1A296B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项目编号：YJGH2025-AKCG-012</w:t>
      </w:r>
    </w:p>
    <w:p w14:paraId="71338E7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项目名称：平利县2025年村庄规划编制采购项目</w:t>
      </w:r>
    </w:p>
    <w:p w14:paraId="5ADEE18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6D5588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预算金额：2,330,000.00元</w:t>
      </w:r>
    </w:p>
    <w:p w14:paraId="0CEA72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926FE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w:t>
      </w:r>
    </w:p>
    <w:p w14:paraId="0ECBB3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合同包预算金额：1,160,000.00元</w:t>
      </w:r>
    </w:p>
    <w:p w14:paraId="1D0E0B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合同包最高限价：1,160,000.00元</w:t>
      </w:r>
    </w:p>
    <w:tbl>
      <w:tblPr>
        <w:tblStyle w:val="24"/>
        <w:tblW w:w="5290"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1"/>
        <w:gridCol w:w="964"/>
        <w:gridCol w:w="1834"/>
        <w:gridCol w:w="1209"/>
        <w:gridCol w:w="1290"/>
        <w:gridCol w:w="1864"/>
        <w:gridCol w:w="1909"/>
      </w:tblGrid>
      <w:tr w14:paraId="5E13E0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032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4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E6EA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D906E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F4C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002412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8D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356C82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35F3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077B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752EE6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E06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692CE0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4D474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DF6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4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9AA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D57B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平利县2025年村庄规划编制采购项目一标段</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6A69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C20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A4D3B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1,160,000.00</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AE4E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1,160,000.00</w:t>
            </w:r>
          </w:p>
        </w:tc>
      </w:tr>
    </w:tbl>
    <w:p w14:paraId="374DD8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2EB2F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合同履行期限：详见招标文件具体要求</w:t>
      </w:r>
    </w:p>
    <w:p w14:paraId="676858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w:t>
      </w:r>
    </w:p>
    <w:p w14:paraId="47CE9D7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合同包预算金额：1,170,000.00元</w:t>
      </w:r>
    </w:p>
    <w:p w14:paraId="64FB5E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合同包最高限价：1,170,000.00元</w:t>
      </w:r>
    </w:p>
    <w:tbl>
      <w:tblPr>
        <w:tblStyle w:val="24"/>
        <w:tblW w:w="5300" w:type="pct"/>
        <w:tblInd w:w="-2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0"/>
        <w:gridCol w:w="1029"/>
        <w:gridCol w:w="1927"/>
        <w:gridCol w:w="1210"/>
        <w:gridCol w:w="1258"/>
        <w:gridCol w:w="1847"/>
        <w:gridCol w:w="1928"/>
      </w:tblGrid>
      <w:tr w14:paraId="35054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D2C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C7A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179A0E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141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411963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C36E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D3593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96E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891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12824D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1AA7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769778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16D51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ECF5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5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D34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657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平利县2025年村庄规划编制采购项目二标段</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4255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1189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1F4ECC">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1,170,000.00</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CEBF1A">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1,170,000.00</w:t>
            </w:r>
          </w:p>
        </w:tc>
      </w:tr>
    </w:tbl>
    <w:p w14:paraId="5BF2B4D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537DC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合同履行期限：详见招标文件具体要求</w:t>
      </w:r>
    </w:p>
    <w:p w14:paraId="492B3B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二、申请人的资格要求：</w:t>
      </w:r>
    </w:p>
    <w:p w14:paraId="7B01EF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19D379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0EA7D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合同包1(平利县2025年村庄规划编制采购项目一标段)落实政府采购政策需满足的资格要求如下:</w:t>
      </w:r>
    </w:p>
    <w:p w14:paraId="13A41C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15A851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合同包2(平利县2025年村庄规划编制采购项目二标段)落实政府采购政策需满足的资格要求如下:</w:t>
      </w:r>
    </w:p>
    <w:p w14:paraId="667ADDC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313914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35774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合同包1(平利县2025年村庄规划编制采购项目一标段)特定资格要求如下:</w:t>
      </w:r>
    </w:p>
    <w:p w14:paraId="4B009A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投标人应具备有效的土地规划机构乙级（含乙级）以上资质证书或自然资源主管部门核发的城乡规划编制单位乙级（含乙级）以上资质证书；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本项目不接受联合体投标；⑩本项目专门面向中小企业采购，投标企业应提供《中小企业声明函》，本项目采购标的对应的中小企业划分标准所属行业为：其他未列明行业。注：以上资质（资格）要求均为必备条件。其他要求详见招标文件。</w:t>
      </w:r>
    </w:p>
    <w:p w14:paraId="7B1531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合同包2(平利县2025年村庄规划编制采购项目二标段)特定资格要求如下:</w:t>
      </w:r>
    </w:p>
    <w:p w14:paraId="4D2BD6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投标人应具备有效的土地规划机构乙级（含乙级）以上资质证书或自然资源主管部门核发的城乡规划编制单位乙级（含乙级）以上资质证书；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本项目不接受联合体投标；⑩本项目专门面向中小企业采购，投标企业应提供《中小企业声明函》，本项目采购标的对应的中小企业划分标准所属行业为：其他未列明行业。注：以上资质（资格）要求均为必备条件。其他要求详见招标文件。</w:t>
      </w:r>
    </w:p>
    <w:p w14:paraId="55FE5C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三、获取招标文件</w:t>
      </w:r>
    </w:p>
    <w:p w14:paraId="0508EE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时间：2025年06月05日至2025年06月11日，每天上午08:00:00至</w:t>
      </w:r>
    </w:p>
    <w:p w14:paraId="775CCC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160FD2D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04FE2F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68E90D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05AA7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0993AF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时间：2025年06月25日 14时00分00秒 （北京时间）</w:t>
      </w:r>
    </w:p>
    <w:p w14:paraId="29F891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提交投标文件地点：安康市公共资源交易平台</w:t>
      </w:r>
    </w:p>
    <w:p w14:paraId="2050B4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开标地点：安康市汉滨区香溪路8号安康市公共资源交易中心403开标室</w:t>
      </w:r>
    </w:p>
    <w:p w14:paraId="0BF5ED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五、公告期限</w:t>
      </w:r>
    </w:p>
    <w:p w14:paraId="7CA125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7906E1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六、其他补充事宜</w:t>
      </w:r>
    </w:p>
    <w:p w14:paraId="5EE8EB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投标人使用捆绑CA证书登录安康市公共资源交易中心（http://ak.sxggzyjy.cn/），选择有意向的项目点击“我要投标”完善相关信息。2.网上投标成功后，投标单位须在招标文件获取截止时间前将加盖公章的网上投标成功回执单、企业介绍信、经办人身份证复印件（备注经办人联系电话及邮箱）扫描电子版发送至邮箱2991944368@qq.com；3.下载文件：投标人登录安康市公共资源交易中心（http://ak.sxggzyjy.cn/），选择“交易乙方”身份进入投标人界面下载招标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招标文件的将会影响后续开评标活动。如无进行线上操作，导致无法参与投标的，责任自负。</w:t>
      </w:r>
    </w:p>
    <w:p w14:paraId="3AB65A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6086CC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949E8D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名称：平利县自然资源局（本级）</w:t>
      </w:r>
    </w:p>
    <w:p w14:paraId="7F0B35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地址：陕西省安康市平利县城关镇月湖南路</w:t>
      </w:r>
    </w:p>
    <w:p w14:paraId="1C88BD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联系方式：13084806789</w:t>
      </w:r>
    </w:p>
    <w:p w14:paraId="513748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33CC6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130F20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706FA13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5D7B25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817F2A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59D7232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716737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p>
    <w:p w14:paraId="785799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陕西悦嘉冠宏项目管理</w:t>
      </w:r>
      <w:r>
        <w:rPr>
          <w:rFonts w:hint="eastAsia" w:ascii="宋体" w:hAnsi="宋体" w:eastAsia="宋体" w:cs="宋体"/>
          <w:i w:val="0"/>
          <w:iCs w:val="0"/>
          <w:caps w:val="0"/>
          <w:color w:val="auto"/>
          <w:spacing w:val="0"/>
          <w:sz w:val="24"/>
          <w:szCs w:val="24"/>
        </w:rPr>
        <w:t>有限公司</w:t>
      </w:r>
    </w:p>
    <w:p w14:paraId="61EF3E07">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宋体" w:hAnsi="宋体" w:eastAsia="宋体" w:cs="宋体"/>
          <w:b/>
          <w:color w:val="auto"/>
          <w:sz w:val="32"/>
          <w:szCs w:val="32"/>
        </w:rPr>
      </w:pPr>
      <w:r>
        <w:rPr>
          <w:rFonts w:hint="eastAsia" w:ascii="宋体" w:hAnsi="宋体" w:eastAsia="宋体" w:cs="宋体"/>
          <w:i w:val="0"/>
          <w:iCs w:val="0"/>
          <w:caps w:val="0"/>
          <w:color w:val="auto"/>
          <w:spacing w:val="0"/>
          <w:sz w:val="24"/>
          <w:szCs w:val="24"/>
          <w:lang w:val="en-US" w:eastAsia="zh-CN"/>
        </w:rPr>
        <w:t>202</w:t>
      </w:r>
      <w:r>
        <w:rPr>
          <w:rFonts w:hint="eastAsia"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val="en-US" w:eastAsia="zh-CN"/>
        </w:rPr>
        <w:t>年</w:t>
      </w:r>
      <w:r>
        <w:rPr>
          <w:rFonts w:hint="eastAsia"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lang w:val="en-US" w:eastAsia="zh-CN"/>
        </w:rPr>
        <w:t>月</w:t>
      </w:r>
      <w:r>
        <w:rPr>
          <w:rFonts w:hint="eastAsia" w:eastAsia="宋体" w:cs="宋体"/>
          <w:i w:val="0"/>
          <w:iCs w:val="0"/>
          <w:caps w:val="0"/>
          <w:color w:val="auto"/>
          <w:spacing w:val="0"/>
          <w:sz w:val="24"/>
          <w:szCs w:val="24"/>
          <w:lang w:val="en-US" w:eastAsia="zh-CN"/>
        </w:rPr>
        <w:t>04</w:t>
      </w:r>
      <w:r>
        <w:rPr>
          <w:rFonts w:hint="eastAsia" w:ascii="宋体" w:hAnsi="宋体" w:eastAsia="宋体" w:cs="宋体"/>
          <w:i w:val="0"/>
          <w:iCs w:val="0"/>
          <w:caps w:val="0"/>
          <w:color w:val="auto"/>
          <w:spacing w:val="0"/>
          <w:sz w:val="24"/>
          <w:szCs w:val="24"/>
          <w:lang w:val="en-US" w:eastAsia="zh-CN"/>
        </w:rPr>
        <w:t>日</w:t>
      </w:r>
    </w:p>
    <w:p w14:paraId="0988484E">
      <w:pPr>
        <w:widowControl/>
        <w:spacing w:beforeLines="100" w:afterLines="50" w:line="440" w:lineRule="exact"/>
        <w:jc w:val="center"/>
        <w:rPr>
          <w:rFonts w:hint="eastAsia" w:ascii="宋体" w:hAnsi="宋体" w:eastAsia="宋体" w:cs="宋体"/>
          <w:b/>
          <w:color w:val="auto"/>
          <w:sz w:val="32"/>
          <w:szCs w:val="32"/>
        </w:rPr>
      </w:pPr>
    </w:p>
    <w:p w14:paraId="7D24E76F">
      <w:pPr>
        <w:pStyle w:val="11"/>
        <w:rPr>
          <w:rFonts w:hint="eastAsia" w:ascii="宋体" w:hAnsi="宋体" w:eastAsia="宋体" w:cs="宋体"/>
          <w:b/>
          <w:color w:val="auto"/>
          <w:sz w:val="32"/>
          <w:szCs w:val="32"/>
        </w:rPr>
      </w:pPr>
    </w:p>
    <w:p w14:paraId="5AA36E79">
      <w:pPr>
        <w:pStyle w:val="23"/>
        <w:rPr>
          <w:rFonts w:hint="eastAsia" w:ascii="宋体" w:hAnsi="宋体" w:eastAsia="宋体" w:cs="宋体"/>
          <w:b/>
          <w:color w:val="auto"/>
          <w:sz w:val="32"/>
          <w:szCs w:val="32"/>
        </w:rPr>
      </w:pPr>
    </w:p>
    <w:p w14:paraId="00A1824A">
      <w:pPr>
        <w:rPr>
          <w:rFonts w:hint="eastAsia" w:ascii="宋体" w:hAnsi="宋体" w:eastAsia="宋体" w:cs="宋体"/>
          <w:b/>
          <w:color w:val="auto"/>
          <w:sz w:val="32"/>
          <w:szCs w:val="32"/>
        </w:rPr>
      </w:pPr>
    </w:p>
    <w:p w14:paraId="2911AD0B">
      <w:pPr>
        <w:pStyle w:val="11"/>
        <w:rPr>
          <w:rFonts w:hint="eastAsia" w:ascii="宋体" w:hAnsi="宋体" w:eastAsia="宋体" w:cs="宋体"/>
          <w:b/>
          <w:color w:val="auto"/>
          <w:sz w:val="32"/>
          <w:szCs w:val="32"/>
        </w:rPr>
      </w:pPr>
    </w:p>
    <w:p w14:paraId="08F85C31">
      <w:pPr>
        <w:pStyle w:val="23"/>
        <w:rPr>
          <w:rFonts w:hint="eastAsia" w:ascii="宋体" w:hAnsi="宋体" w:eastAsia="宋体" w:cs="宋体"/>
          <w:b/>
          <w:color w:val="auto"/>
          <w:sz w:val="32"/>
          <w:szCs w:val="32"/>
        </w:rPr>
      </w:pPr>
    </w:p>
    <w:p w14:paraId="16A2087F">
      <w:pPr>
        <w:rPr>
          <w:rFonts w:hint="eastAsia" w:ascii="宋体" w:hAnsi="宋体" w:eastAsia="宋体" w:cs="宋体"/>
          <w:b/>
          <w:color w:val="auto"/>
          <w:sz w:val="32"/>
          <w:szCs w:val="32"/>
        </w:rPr>
      </w:pPr>
    </w:p>
    <w:p w14:paraId="43F9576A">
      <w:pPr>
        <w:pStyle w:val="11"/>
        <w:rPr>
          <w:rFonts w:hint="eastAsia"/>
        </w:rPr>
      </w:pPr>
    </w:p>
    <w:p w14:paraId="70F18218">
      <w:pPr>
        <w:widowControl/>
        <w:spacing w:beforeLines="100" w:afterLines="50" w:line="440" w:lineRule="exact"/>
        <w:jc w:val="center"/>
        <w:rPr>
          <w:rFonts w:hint="eastAsia" w:ascii="宋体" w:hAnsi="宋体" w:eastAsia="宋体" w:cs="宋体"/>
          <w:color w:val="auto"/>
          <w:sz w:val="24"/>
        </w:rPr>
      </w:pPr>
      <w:r>
        <w:rPr>
          <w:rFonts w:hint="eastAsia" w:ascii="宋体" w:hAnsi="宋体" w:eastAsia="宋体" w:cs="宋体"/>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09997C">
      <w:pPr>
        <w:spacing w:line="240" w:lineRule="auto"/>
        <w:jc w:val="left"/>
        <w:outlineLvl w:val="1"/>
        <w:rPr>
          <w:rFonts w:hint="eastAsia" w:ascii="宋体" w:hAnsi="宋体" w:eastAsia="宋体" w:cs="宋体"/>
          <w:b/>
          <w:color w:val="auto"/>
          <w:sz w:val="30"/>
          <w:szCs w:val="30"/>
        </w:rPr>
      </w:pPr>
      <w:bookmarkStart w:id="23" w:name="_Toc169846859"/>
      <w:bookmarkStart w:id="24" w:name="_Toc175032423"/>
      <w:bookmarkStart w:id="25" w:name="_Toc208337150"/>
      <w:bookmarkStart w:id="26" w:name="_Toc167591029"/>
      <w:bookmarkStart w:id="27" w:name="_Toc167591130"/>
      <w:bookmarkStart w:id="28" w:name="_Toc167590761"/>
      <w:bookmarkStart w:id="29" w:name="_Toc167849346"/>
      <w:bookmarkStart w:id="30" w:name="_Toc245176651"/>
      <w:bookmarkStart w:id="31" w:name="_Toc167591316"/>
      <w:bookmarkStart w:id="32" w:name="_Toc170980538"/>
      <w:bookmarkStart w:id="33" w:name="_Toc173549964"/>
      <w:bookmarkStart w:id="34" w:name="_Toc169846762"/>
      <w:bookmarkStart w:id="35" w:name="_Toc245657539"/>
      <w:bookmarkStart w:id="36" w:name="_Toc170980440"/>
      <w:bookmarkStart w:id="37" w:name="_Toc244623577"/>
      <w:bookmarkStart w:id="38" w:name="_Toc245658520"/>
      <w:bookmarkStart w:id="39" w:name="_Toc169838518"/>
      <w:bookmarkStart w:id="40" w:name="_Toc175033578"/>
      <w:bookmarkStart w:id="41" w:name="_Toc207897902"/>
      <w:bookmarkStart w:id="42" w:name="_Toc154482465"/>
      <w:bookmarkStart w:id="43" w:name="_Toc167591478"/>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195251">
      <w:pPr>
        <w:spacing w:line="460" w:lineRule="exact"/>
        <w:ind w:firstLine="480" w:firstLineChars="200"/>
        <w:rPr>
          <w:rFonts w:hint="eastAsia" w:ascii="宋体" w:hAnsi="宋体" w:eastAsia="宋体" w:cs="宋体"/>
          <w:color w:val="auto"/>
          <w:sz w:val="24"/>
        </w:rPr>
      </w:pPr>
      <w:r>
        <w:rPr>
          <w:rFonts w:hint="eastAsia" w:ascii="宋体" w:hAnsi="宋体" w:eastAsia="宋体" w:cs="宋体"/>
          <w:snapToGrid w:val="0"/>
          <w:color w:val="auto"/>
          <w:sz w:val="24"/>
        </w:rPr>
        <w:t>本次招标依据《中华人民共和国政府采购法》、《政府采购货物和服务招标投标管理办法》、《中华人民共和国政府采购法实施条例》及国家现行有关法律法规执行。</w:t>
      </w:r>
    </w:p>
    <w:p w14:paraId="2BC3255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13F806E6">
      <w:pPr>
        <w:spacing w:line="4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 采   购   人：</w:t>
      </w:r>
      <w:r>
        <w:rPr>
          <w:rFonts w:hint="eastAsia" w:hAnsi="宋体" w:cs="宋体"/>
          <w:color w:val="auto"/>
          <w:sz w:val="24"/>
          <w:lang w:eastAsia="zh-CN"/>
        </w:rPr>
        <w:t>平利县自然资源局</w:t>
      </w:r>
    </w:p>
    <w:p w14:paraId="031722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采购代理机构：陕西悦嘉冠宏项目管理有限公司</w:t>
      </w:r>
    </w:p>
    <w:p w14:paraId="555AECF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招标采购单位：采购人及采购代理机构的统称</w:t>
      </w:r>
    </w:p>
    <w:p w14:paraId="5201F0B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 监督管理机构：</w:t>
      </w:r>
      <w:r>
        <w:rPr>
          <w:rFonts w:hint="eastAsia" w:hAnsi="宋体" w:cs="宋体"/>
          <w:color w:val="auto"/>
          <w:sz w:val="24"/>
          <w:lang w:eastAsia="zh-CN"/>
        </w:rPr>
        <w:t>平利县财政局</w:t>
      </w:r>
      <w:r>
        <w:rPr>
          <w:rFonts w:hint="eastAsia" w:ascii="宋体" w:hAnsi="宋体" w:eastAsia="宋体" w:cs="宋体"/>
          <w:color w:val="auto"/>
          <w:sz w:val="24"/>
          <w:szCs w:val="24"/>
        </w:rPr>
        <w:t>及采购人纪监部门</w:t>
      </w:r>
    </w:p>
    <w:p w14:paraId="4792D39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2．合格的</w:t>
      </w:r>
      <w:r>
        <w:rPr>
          <w:rFonts w:hint="eastAsia" w:hAnsi="宋体" w:cs="宋体"/>
          <w:b/>
          <w:color w:val="auto"/>
          <w:sz w:val="24"/>
          <w:lang w:val="en-US" w:eastAsia="zh-CN"/>
        </w:rPr>
        <w:t>投标人</w:t>
      </w:r>
      <w:r>
        <w:rPr>
          <w:rFonts w:hint="eastAsia" w:ascii="宋体" w:hAnsi="宋体" w:eastAsia="宋体" w:cs="宋体"/>
          <w:b/>
          <w:color w:val="auto"/>
          <w:sz w:val="24"/>
        </w:rPr>
        <w:t>、合格的服务</w:t>
      </w:r>
    </w:p>
    <w:p w14:paraId="7E31ED3B">
      <w:pPr>
        <w:spacing w:line="460" w:lineRule="exact"/>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2.1 合格的</w:t>
      </w:r>
      <w:r>
        <w:rPr>
          <w:rFonts w:hint="eastAsia" w:hAnsi="宋体" w:cs="宋体"/>
          <w:b/>
          <w:color w:val="auto"/>
          <w:sz w:val="24"/>
          <w:lang w:val="en-US" w:eastAsia="zh-CN"/>
        </w:rPr>
        <w:t>投标人</w:t>
      </w:r>
    </w:p>
    <w:p w14:paraId="5EA124F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2.1.1 资质要求：</w:t>
      </w:r>
    </w:p>
    <w:p w14:paraId="2EDAD94E">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highlight w:val="none"/>
        </w:rPr>
        <w:t>依照《中华人民共和国公司法》注册、符合《中华人民共和国政府采购法》第二十二条要求具备的条件、并具备</w:t>
      </w:r>
      <w:r>
        <w:rPr>
          <w:rFonts w:hint="eastAsia" w:ascii="宋体" w:hAnsi="宋体" w:eastAsia="宋体" w:cs="宋体"/>
          <w:bCs/>
          <w:color w:val="auto"/>
          <w:sz w:val="24"/>
          <w:highlight w:val="none"/>
        </w:rPr>
        <w:t>国家规定的相关该行业必备资质，</w:t>
      </w:r>
      <w:r>
        <w:rPr>
          <w:rFonts w:hint="eastAsia" w:ascii="宋体" w:hAnsi="宋体" w:eastAsia="宋体" w:cs="宋体"/>
          <w:color w:val="auto"/>
          <w:sz w:val="24"/>
          <w:highlight w:val="none"/>
        </w:rPr>
        <w:t>有能力提供本次</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采购服务的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rPr>
        <w:t>；</w:t>
      </w:r>
    </w:p>
    <w:p w14:paraId="4344D08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4E3AD272">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3CE0ABD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（3）投标人应具备有效的土地规划机构乙级（含乙级）以上资质证书或自然资源主管部门核发的城乡规划编制单位乙级（含乙级）以上资质证书</w:t>
      </w:r>
      <w:r>
        <w:rPr>
          <w:rFonts w:hint="eastAsia" w:ascii="宋体" w:hAnsi="宋体" w:eastAsia="宋体" w:cs="宋体"/>
          <w:i w:val="0"/>
          <w:iCs w:val="0"/>
          <w:caps w:val="0"/>
          <w:color w:val="auto"/>
          <w:spacing w:val="0"/>
          <w:sz w:val="24"/>
          <w:szCs w:val="24"/>
          <w:shd w:val="clear" w:fill="FFFFFF"/>
          <w:lang w:eastAsia="zh-CN"/>
        </w:rPr>
        <w:t>；</w:t>
      </w:r>
    </w:p>
    <w:p w14:paraId="0ABB09F4">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695A8DA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33D8393D">
      <w:pPr>
        <w:pStyle w:val="22"/>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）社会保障资金缴纳证明：提供2025年1月至开标前任意一个月的社会保障资金缴纳证明或社会保险缴纳清单或社会保险缴纳专用收据（依法不需要缴纳社会保障资金或新成立的投标单位应提供相关文件证明）；</w:t>
      </w:r>
    </w:p>
    <w:p w14:paraId="288A93CC">
      <w:pPr>
        <w:pStyle w:val="22"/>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64700BEF">
      <w:pPr>
        <w:pStyle w:val="22"/>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602152D0">
      <w:pPr>
        <w:pStyle w:val="9"/>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E7A6C15">
      <w:pPr>
        <w:pStyle w:val="9"/>
        <w:spacing w:after="0" w:line="460" w:lineRule="exact"/>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p>
    <w:p w14:paraId="65F8E432">
      <w:pPr>
        <w:pStyle w:val="9"/>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2.1.2 </w:t>
      </w:r>
      <w:r>
        <w:rPr>
          <w:rFonts w:hint="eastAsia" w:ascii="宋体" w:hAnsi="宋体" w:cs="宋体"/>
          <w:color w:val="auto"/>
          <w:sz w:val="24"/>
          <w:szCs w:val="24"/>
          <w:lang w:val="en-US" w:eastAsia="zh-CN"/>
        </w:rPr>
        <w:t>投标</w:t>
      </w:r>
      <w:r>
        <w:rPr>
          <w:rFonts w:hint="eastAsia" w:hAnsi="宋体" w:cs="宋体"/>
          <w:color w:val="auto"/>
          <w:sz w:val="24"/>
          <w:szCs w:val="24"/>
          <w:lang w:val="en-US" w:eastAsia="zh-CN"/>
        </w:rPr>
        <w:t>人</w:t>
      </w:r>
      <w:r>
        <w:rPr>
          <w:rFonts w:hint="eastAsia" w:ascii="宋体" w:hAnsi="宋体" w:eastAsia="宋体" w:cs="宋体"/>
          <w:color w:val="auto"/>
          <w:sz w:val="24"/>
          <w:szCs w:val="24"/>
          <w:lang w:val="en-US" w:eastAsia="zh-CN"/>
        </w:rPr>
        <w:t>须使用CA证书在安康市公共资源交易中心点击“我要投标”完善相关信息，未完善信息的潜在</w:t>
      </w:r>
      <w:r>
        <w:rPr>
          <w:rFonts w:hint="eastAsia" w:hAnsi="宋体" w:cs="宋体"/>
          <w:color w:val="auto"/>
          <w:sz w:val="24"/>
          <w:szCs w:val="24"/>
          <w:lang w:val="en-US" w:eastAsia="zh-CN"/>
        </w:rPr>
        <w:t>投标人</w:t>
      </w:r>
      <w:r>
        <w:rPr>
          <w:rFonts w:hint="eastAsia" w:ascii="宋体" w:hAnsi="宋体" w:eastAsia="宋体" w:cs="宋体"/>
          <w:color w:val="auto"/>
          <w:sz w:val="24"/>
          <w:szCs w:val="24"/>
          <w:lang w:val="en-US" w:eastAsia="zh-CN"/>
        </w:rPr>
        <w:t>均无资格参加投标</w:t>
      </w:r>
      <w:r>
        <w:rPr>
          <w:rFonts w:hint="eastAsia" w:ascii="宋体" w:hAnsi="宋体" w:eastAsia="宋体" w:cs="宋体"/>
          <w:color w:val="auto"/>
          <w:sz w:val="24"/>
          <w:szCs w:val="24"/>
        </w:rPr>
        <w:t>。</w:t>
      </w:r>
    </w:p>
    <w:p w14:paraId="446C18E0">
      <w:pPr>
        <w:pStyle w:val="9"/>
        <w:spacing w:after="0" w:line="460" w:lineRule="exact"/>
        <w:ind w:firstLine="480" w:firstLineChars="200"/>
        <w:rPr>
          <w:rFonts w:hint="eastAsia" w:ascii="宋体" w:hAnsi="宋体" w:eastAsia="宋体" w:cs="宋体"/>
          <w:color w:val="auto"/>
        </w:rPr>
      </w:pPr>
      <w:r>
        <w:rPr>
          <w:rFonts w:hint="eastAsia" w:ascii="宋体" w:hAnsi="宋体" w:eastAsia="宋体" w:cs="宋体"/>
          <w:color w:val="auto"/>
          <w:sz w:val="24"/>
        </w:rPr>
        <w:t xml:space="preserve">2.1.3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4F4D9F90">
      <w:pPr>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rPr>
        <w:t xml:space="preserve">2.2 </w:t>
      </w:r>
      <w:r>
        <w:rPr>
          <w:rFonts w:hint="eastAsia" w:ascii="宋体" w:hAnsi="宋体" w:eastAsia="宋体" w:cs="宋体"/>
          <w:bCs/>
          <w:color w:val="auto"/>
          <w:sz w:val="24"/>
          <w:szCs w:val="24"/>
        </w:rPr>
        <w:t>合格的服务</w:t>
      </w:r>
    </w:p>
    <w:p w14:paraId="24F92B2C">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2.2.1 投标所用服务，均应来自上述2.1条款所规定的合格供应商。</w:t>
      </w:r>
    </w:p>
    <w:p w14:paraId="568A219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2.2.2 </w:t>
      </w:r>
      <w:r>
        <w:rPr>
          <w:rFonts w:hint="eastAsia" w:ascii="宋体" w:hAnsi="宋体" w:eastAsia="宋体" w:cs="宋体"/>
          <w:color w:val="auto"/>
          <w:sz w:val="24"/>
          <w:highlight w:val="none"/>
        </w:rPr>
        <w:t>服务系指</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须承担的服务</w:t>
      </w:r>
      <w:r>
        <w:rPr>
          <w:rFonts w:hint="eastAsia" w:ascii="宋体" w:hAnsi="宋体" w:eastAsia="宋体" w:cs="宋体"/>
          <w:b w:val="0"/>
          <w:bCs/>
          <w:color w:val="auto"/>
          <w:sz w:val="24"/>
          <w:highlight w:val="none"/>
        </w:rPr>
        <w:t>。</w:t>
      </w:r>
    </w:p>
    <w:p w14:paraId="335E1B5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3．投标费用</w:t>
      </w:r>
    </w:p>
    <w:p w14:paraId="31BFFB38">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color w:val="auto"/>
          <w:sz w:val="24"/>
        </w:rPr>
        <w:t>供应商无论投标的结果如何，供应商应承担所有与准备和参加投标有关的全部费用。</w:t>
      </w:r>
      <w:bookmarkStart w:id="44" w:name="_Toc175032424"/>
      <w:bookmarkStart w:id="45" w:name="_Toc245176652"/>
      <w:bookmarkStart w:id="46" w:name="_Toc167591479"/>
      <w:bookmarkStart w:id="47" w:name="_Toc167591317"/>
      <w:bookmarkStart w:id="48" w:name="_Toc169838519"/>
      <w:bookmarkStart w:id="49" w:name="_Toc170980441"/>
      <w:bookmarkStart w:id="50" w:name="_Toc173549965"/>
      <w:bookmarkStart w:id="51" w:name="_Toc208337151"/>
      <w:bookmarkStart w:id="52" w:name="_Toc167590762"/>
      <w:bookmarkStart w:id="53" w:name="_Toc169846860"/>
      <w:bookmarkStart w:id="54" w:name="_Toc167591131"/>
      <w:bookmarkStart w:id="55" w:name="_Toc154482466"/>
      <w:bookmarkStart w:id="56" w:name="_Toc245657540"/>
      <w:bookmarkStart w:id="57" w:name="_Toc175033579"/>
      <w:bookmarkStart w:id="58" w:name="_Toc170980539"/>
      <w:bookmarkStart w:id="59" w:name="_Toc167591030"/>
      <w:bookmarkStart w:id="60" w:name="_Toc169846763"/>
      <w:bookmarkStart w:id="61" w:name="_Toc245658521"/>
      <w:bookmarkStart w:id="62" w:name="_Toc167849347"/>
      <w:bookmarkStart w:id="63" w:name="_Toc244623578"/>
      <w:bookmarkStart w:id="64" w:name="_Toc207897903"/>
    </w:p>
    <w:p w14:paraId="2673A46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A9991F7">
      <w:pPr>
        <w:spacing w:line="460" w:lineRule="exact"/>
        <w:ind w:firstLine="482"/>
        <w:rPr>
          <w:rFonts w:hint="eastAsia" w:ascii="宋体" w:hAnsi="宋体" w:eastAsia="宋体" w:cs="宋体"/>
          <w:b/>
          <w:color w:val="auto"/>
          <w:kern w:val="1"/>
          <w:sz w:val="24"/>
        </w:rPr>
      </w:pPr>
      <w:bookmarkStart w:id="65" w:name="_Toc244623579"/>
      <w:bookmarkStart w:id="66" w:name="_Toc169846764"/>
      <w:bookmarkStart w:id="67" w:name="_Toc245658522"/>
      <w:bookmarkStart w:id="68" w:name="_Toc175033580"/>
      <w:bookmarkStart w:id="69" w:name="_Toc167591318"/>
      <w:bookmarkStart w:id="70" w:name="_Toc173549966"/>
      <w:bookmarkStart w:id="71" w:name="_Toc245657541"/>
      <w:bookmarkStart w:id="72" w:name="_Toc167591132"/>
      <w:bookmarkStart w:id="73" w:name="_Toc208337152"/>
      <w:bookmarkStart w:id="74" w:name="_Toc207897904"/>
      <w:bookmarkStart w:id="75" w:name="_Toc167591031"/>
      <w:bookmarkStart w:id="76" w:name="_Toc169846861"/>
      <w:bookmarkStart w:id="77" w:name="_Toc154482467"/>
      <w:bookmarkStart w:id="78" w:name="_Toc170980442"/>
      <w:bookmarkStart w:id="79" w:name="_Toc175032425"/>
      <w:bookmarkStart w:id="80" w:name="_Toc167849348"/>
      <w:bookmarkStart w:id="81" w:name="_Toc167591480"/>
      <w:bookmarkStart w:id="82" w:name="_Toc169838520"/>
      <w:bookmarkStart w:id="83" w:name="_Toc170980540"/>
      <w:bookmarkStart w:id="84" w:name="_Toc245176653"/>
      <w:bookmarkStart w:id="85" w:name="_Toc167590763"/>
      <w:r>
        <w:rPr>
          <w:rFonts w:hint="eastAsia" w:ascii="宋体" w:hAnsi="宋体" w:eastAsia="宋体" w:cs="宋体"/>
          <w:b/>
          <w:color w:val="auto"/>
          <w:kern w:val="1"/>
          <w:sz w:val="24"/>
        </w:rPr>
        <w:t>4．招标文件构成</w:t>
      </w:r>
    </w:p>
    <w:p w14:paraId="7A2D1FBD">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招标文件包括下列内容：</w:t>
      </w:r>
    </w:p>
    <w:p w14:paraId="5271DB61">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第一章  招标公告</w:t>
      </w:r>
    </w:p>
    <w:p w14:paraId="66E88B6C">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第二章  投标须知</w:t>
      </w:r>
    </w:p>
    <w:p w14:paraId="3BDA2ED0">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第三章  拟签订合同主要条款</w:t>
      </w:r>
    </w:p>
    <w:p w14:paraId="3329AC8D">
      <w:pPr>
        <w:spacing w:line="460" w:lineRule="exact"/>
        <w:ind w:firstLine="470"/>
        <w:rPr>
          <w:rFonts w:hint="eastAsia" w:ascii="宋体" w:hAnsi="宋体" w:eastAsia="宋体" w:cs="宋体"/>
          <w:color w:val="auto"/>
          <w:kern w:val="1"/>
          <w:sz w:val="24"/>
          <w:lang w:eastAsia="zh-CN"/>
        </w:rPr>
      </w:pPr>
      <w:r>
        <w:rPr>
          <w:rFonts w:hint="eastAsia" w:ascii="宋体" w:hAnsi="宋体" w:eastAsia="宋体" w:cs="宋体"/>
          <w:color w:val="auto"/>
          <w:kern w:val="1"/>
          <w:sz w:val="24"/>
        </w:rPr>
        <w:t>第四章  采购内容与</w:t>
      </w:r>
      <w:r>
        <w:rPr>
          <w:rFonts w:hint="eastAsia" w:hAnsi="宋体" w:cs="宋体"/>
          <w:color w:val="auto"/>
          <w:kern w:val="1"/>
          <w:sz w:val="24"/>
          <w:lang w:eastAsia="zh-CN"/>
        </w:rPr>
        <w:t>技术要求</w:t>
      </w:r>
    </w:p>
    <w:p w14:paraId="3769389B">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第五章  投标文件基本格式</w:t>
      </w:r>
    </w:p>
    <w:p w14:paraId="641162AF">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5．招标文件的澄清和修改</w:t>
      </w:r>
    </w:p>
    <w:p w14:paraId="7EDF265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5.1 采购人或者采购代理机构可以对已发出的招标文件进行必要的澄清或者修改。澄清或者修改的内容可能影响投标文件编制的，采购人或者采购代理机构应当在投标截止时间至少15日前，须在政府采购网上</w:t>
      </w:r>
      <w:r>
        <w:rPr>
          <w:rFonts w:hint="eastAsia" w:ascii="宋体" w:hAnsi="宋体" w:eastAsia="宋体" w:cs="宋体"/>
          <w:color w:val="auto"/>
          <w:sz w:val="24"/>
        </w:rPr>
        <w:t>发布更正公告并</w:t>
      </w:r>
      <w:r>
        <w:rPr>
          <w:rFonts w:hint="eastAsia" w:ascii="宋体" w:hAnsi="宋体" w:eastAsia="宋体" w:cs="宋体"/>
          <w:color w:val="auto"/>
          <w:kern w:val="1"/>
          <w:sz w:val="24"/>
        </w:rPr>
        <w:t>以书面形式通知所有获取招标文件的潜在投标人；不足15日的，采购人或者采购代理机构应当顺延提交投标文件的截止时间；</w:t>
      </w:r>
      <w:r>
        <w:rPr>
          <w:rFonts w:hint="eastAsia" w:ascii="宋体" w:hAnsi="宋体" w:eastAsia="宋体" w:cs="宋体"/>
          <w:color w:val="auto"/>
          <w:sz w:val="24"/>
        </w:rPr>
        <w:t>该澄清或者修改的内容为招标文件的组成部分。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0A3AA6D4">
      <w:pPr>
        <w:spacing w:line="460" w:lineRule="exact"/>
        <w:ind w:firstLine="480"/>
        <w:rPr>
          <w:rFonts w:hint="eastAsia" w:ascii="宋体" w:hAnsi="宋体" w:eastAsia="宋体" w:cs="宋体"/>
          <w:color w:val="auto"/>
          <w:sz w:val="24"/>
        </w:rPr>
      </w:pPr>
      <w:r>
        <w:rPr>
          <w:rFonts w:hint="eastAsia" w:ascii="宋体" w:hAnsi="宋体" w:eastAsia="宋体" w:cs="宋体"/>
          <w:color w:val="auto"/>
          <w:kern w:val="1"/>
          <w:sz w:val="24"/>
        </w:rPr>
        <w:t xml:space="preserve">5.2 </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shd w:val="clear" w:color="auto" w:fill="FFFFFF"/>
        </w:rPr>
        <w:t>对招标文件有异议的，应当在投标截止时间10日前，</w:t>
      </w:r>
      <w:r>
        <w:rPr>
          <w:rFonts w:hint="eastAsia" w:ascii="宋体" w:hAnsi="宋体" w:eastAsia="宋体" w:cs="宋体"/>
          <w:color w:val="auto"/>
          <w:kern w:val="1"/>
          <w:sz w:val="24"/>
        </w:rPr>
        <w:t>按招标公告中的通讯地址，</w:t>
      </w:r>
      <w:r>
        <w:rPr>
          <w:rFonts w:hint="eastAsia" w:ascii="宋体" w:hAnsi="宋体" w:eastAsia="宋体" w:cs="宋体"/>
          <w:color w:val="auto"/>
          <w:sz w:val="24"/>
        </w:rPr>
        <w:t>以书面形式通知采购代理机构（邮</w:t>
      </w:r>
      <w:r>
        <w:rPr>
          <w:rFonts w:hint="eastAsia" w:ascii="宋体" w:hAnsi="宋体" w:eastAsia="宋体" w:cs="宋体"/>
          <w:color w:val="auto"/>
          <w:kern w:val="1"/>
          <w:sz w:val="24"/>
        </w:rPr>
        <w:t>箱2991944368@qq.com）。采购代理机构对供应商的澄清要求均以书面形式予以答复，并将根据澄清要求涉及的范围把书面答复送达给相关的每一个购买招标文件的供应商。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415EC46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5.3 </w:t>
      </w:r>
      <w:r>
        <w:rPr>
          <w:rFonts w:hint="eastAsia" w:ascii="宋体" w:hAnsi="宋体" w:eastAsia="宋体" w:cs="宋体"/>
          <w:color w:val="auto"/>
          <w:sz w:val="24"/>
        </w:rPr>
        <w:t>采购人可以视采购具体情况，延长投标截止时间和开标时间。在招标文件要求提交投标文件的截止时间三日前，将变更时间书面通知所有供应商，并在</w:t>
      </w:r>
      <w:r>
        <w:rPr>
          <w:rFonts w:hint="eastAsia" w:ascii="宋体" w:hAnsi="宋体" w:eastAsia="宋体" w:cs="宋体"/>
          <w:color w:val="auto"/>
          <w:kern w:val="1"/>
          <w:sz w:val="24"/>
        </w:rPr>
        <w:t>政府采购网</w:t>
      </w:r>
      <w:r>
        <w:rPr>
          <w:rFonts w:hint="eastAsia" w:ascii="宋体" w:hAnsi="宋体" w:eastAsia="宋体" w:cs="宋体"/>
          <w:color w:val="auto"/>
          <w:sz w:val="24"/>
        </w:rPr>
        <w:t>上发布变更公告。</w:t>
      </w:r>
    </w:p>
    <w:p w14:paraId="215D34EE">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6.招标文件的解释权归采购代理机构和采购人。</w:t>
      </w:r>
    </w:p>
    <w:p w14:paraId="0B50ED9E">
      <w:pPr>
        <w:keepNext w:val="0"/>
        <w:keepLines w:val="0"/>
        <w:pageBreakBefore w:val="0"/>
        <w:widowControl w:val="0"/>
        <w:kinsoku/>
        <w:wordWrap/>
        <w:overflowPunct/>
        <w:topLinePunct w:val="0"/>
        <w:autoSpaceDE/>
        <w:autoSpaceDN/>
        <w:bidi w:val="0"/>
        <w:adjustRightInd w:val="0"/>
        <w:snapToGrid/>
        <w:spacing w:beforeLines="50" w:afterLines="50" w:line="480" w:lineRule="exact"/>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D33CC0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20F4751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7.1 供应商应认真阅读招标文件的所有内容，严格按照招标文件的要求编制和提供投标文件，并保证所提供的全部资料的真实性，使投标文件对招标文件作出实质性响应。如果供应商在投标文件中没有按照招标文件要求提交全部资料或者投标文件没有对招标文件在各方面都作出实质性响应，其投标将被拒绝。</w:t>
      </w:r>
    </w:p>
    <w:p w14:paraId="3B550EE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7.2 供应商提交的投标文件（包括产品的技术资料）以及供应商与采购代理机构就有关投标的所有来往函电均应以中文书写。</w:t>
      </w:r>
    </w:p>
    <w:p w14:paraId="4CA7B190">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8．投标文件构成</w:t>
      </w:r>
    </w:p>
    <w:p w14:paraId="3C362BB8">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 供应商编写的投标文件应包括，但不限于下列部分，请按招标文件提供的相应内容及要求并依照系统中顺序编写：</w:t>
      </w:r>
    </w:p>
    <w:p w14:paraId="7A7B168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（1）投标响应函</w:t>
      </w:r>
    </w:p>
    <w:p w14:paraId="311EC97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报价一览</w:t>
      </w:r>
      <w:r>
        <w:rPr>
          <w:rFonts w:hint="eastAsia" w:ascii="宋体" w:hAnsi="宋体" w:eastAsia="宋体" w:cs="宋体"/>
          <w:color w:val="auto"/>
          <w:sz w:val="24"/>
          <w:highlight w:val="none"/>
        </w:rPr>
        <w:t>表</w:t>
      </w:r>
    </w:p>
    <w:p w14:paraId="315512F3">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分项报价表</w:t>
      </w:r>
    </w:p>
    <w:p w14:paraId="55CAF059">
      <w:pPr>
        <w:pStyle w:val="13"/>
        <w:spacing w:line="460" w:lineRule="exact"/>
        <w:ind w:firstLine="1080" w:firstLineChars="450"/>
        <w:rPr>
          <w:rFonts w:hint="eastAsia" w:ascii="宋体" w:hAnsi="宋体" w:eastAsia="宋体" w:cs="宋体"/>
          <w:color w:val="auto"/>
          <w:highlight w:val="none"/>
        </w:rPr>
      </w:pPr>
      <w:r>
        <w:rPr>
          <w:rFonts w:hint="eastAsia" w:ascii="宋体" w:hAnsi="宋体" w:eastAsia="宋体" w:cs="宋体"/>
          <w:color w:val="auto"/>
          <w:kern w:val="0"/>
          <w:sz w:val="24"/>
          <w:szCs w:val="22"/>
          <w:highlight w:val="none"/>
        </w:rPr>
        <w:t>商务条款响应说明</w:t>
      </w:r>
    </w:p>
    <w:p w14:paraId="178CE8E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（3）法定代表人授权委托书</w:t>
      </w:r>
    </w:p>
    <w:p w14:paraId="17B5C12B">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w:t>
      </w:r>
    </w:p>
    <w:p w14:paraId="199EE26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rPr>
        <w:t>资格证明文件</w:t>
      </w:r>
    </w:p>
    <w:p w14:paraId="7F1D86D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（5）投标方案说明及售后服务承诺</w:t>
      </w:r>
    </w:p>
    <w:p w14:paraId="311EC80F">
      <w:pPr>
        <w:spacing w:line="460" w:lineRule="exact"/>
        <w:ind w:firstLine="480"/>
        <w:rPr>
          <w:rFonts w:hint="eastAsia" w:ascii="宋体" w:hAnsi="宋体" w:eastAsia="宋体" w:cs="宋体"/>
          <w:color w:val="auto"/>
          <w:kern w:val="1"/>
          <w:sz w:val="24"/>
          <w:highlight w:val="none"/>
        </w:rPr>
      </w:pPr>
      <w:r>
        <w:rPr>
          <w:rFonts w:hint="eastAsia" w:ascii="宋体" w:hAnsi="宋体" w:eastAsia="宋体" w:cs="宋体"/>
          <w:color w:val="auto"/>
          <w:sz w:val="24"/>
          <w:highlight w:val="none"/>
        </w:rPr>
        <w:t>（6）供应商拒绝政府采购领域商业贿赂承诺</w:t>
      </w:r>
    </w:p>
    <w:p w14:paraId="6E19E81D">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8.2 </w:t>
      </w:r>
      <w:r>
        <w:rPr>
          <w:rFonts w:hint="eastAsia" w:ascii="宋体" w:hAnsi="宋体" w:eastAsia="宋体" w:cs="宋体"/>
          <w:color w:val="auto"/>
          <w:sz w:val="24"/>
        </w:rPr>
        <w:t>供应商应按照本须知第8.1条的内容及第五章提供的内容编写响应文件</w:t>
      </w:r>
      <w:r>
        <w:rPr>
          <w:rFonts w:hint="eastAsia" w:ascii="宋体" w:hAnsi="宋体" w:eastAsia="宋体" w:cs="宋体"/>
          <w:color w:val="auto"/>
          <w:kern w:val="1"/>
          <w:sz w:val="24"/>
        </w:rPr>
        <w:t>，不得缺少招标文件要求填写的表格或提交的资料。</w:t>
      </w:r>
    </w:p>
    <w:p w14:paraId="3581DA86">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kern w:val="1"/>
          <w:sz w:val="24"/>
        </w:rPr>
        <w:t>8.3 供应商应将投标文件编制目录，逐页标注连续页码</w:t>
      </w:r>
      <w:r>
        <w:rPr>
          <w:rFonts w:hint="eastAsia" w:ascii="宋体" w:hAnsi="宋体" w:eastAsia="宋体" w:cs="宋体"/>
          <w:bCs/>
          <w:color w:val="auto"/>
          <w:kern w:val="1"/>
          <w:sz w:val="24"/>
        </w:rPr>
        <w:t>。</w:t>
      </w:r>
    </w:p>
    <w:p w14:paraId="47A9D3A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9．投标报价</w:t>
      </w:r>
    </w:p>
    <w:p w14:paraId="643B5684">
      <w:pPr>
        <w:pStyle w:val="9"/>
        <w:spacing w:after="0"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9.1投标报价以人民币为结算货币，须包括完成本项目所要求服务的全部内容及合同中载明的所有一般风险、责任和义务等一切应缴费用等完成本项目的全部工作内容所需的所有费用。</w:t>
      </w:r>
    </w:p>
    <w:p w14:paraId="4EEC771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9.2供应商必须对服务要求进行完整报价。招标采购单位拒绝只对部分</w:t>
      </w:r>
      <w:r>
        <w:rPr>
          <w:rFonts w:hint="eastAsia" w:hAnsi="宋体" w:cs="宋体"/>
          <w:color w:val="auto"/>
          <w:sz w:val="24"/>
          <w:lang w:val="en-US" w:eastAsia="zh-CN"/>
        </w:rPr>
        <w:t>服务</w:t>
      </w:r>
      <w:r>
        <w:rPr>
          <w:rFonts w:hint="eastAsia" w:ascii="宋体" w:hAnsi="宋体" w:eastAsia="宋体" w:cs="宋体"/>
          <w:color w:val="auto"/>
          <w:sz w:val="24"/>
        </w:rPr>
        <w:t>进行报价的投标。供应商应在投标文件中的投标分项报价表上标明对本次招标拟提供服务的单价和总价，任何有选择的报价将不予接受。</w:t>
      </w:r>
    </w:p>
    <w:p w14:paraId="673D55A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供应商对本项目只允许有一个报价，不接受超过招标文件中9.6项规定的预算金额的报价、可变动性报价、赠送及“零”报价，否则视为无效响应。</w:t>
      </w:r>
    </w:p>
    <w:p w14:paraId="14F2913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9.4 供应商所报的投标报价在合同执行过程中是固定不变的，不得以任何理由予以变更。任何包含价格调整要求的投标，将被认为是非响应性投标而予以拒绝。</w:t>
      </w:r>
    </w:p>
    <w:p w14:paraId="04E842F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9.5 报价</w:t>
      </w:r>
      <w:r>
        <w:rPr>
          <w:rFonts w:hint="eastAsia" w:ascii="宋体" w:hAnsi="宋体" w:eastAsia="宋体" w:cs="宋体"/>
          <w:color w:val="auto"/>
          <w:sz w:val="24"/>
          <w:szCs w:val="24"/>
        </w:rPr>
        <w:t>最低不是中标的唯一依据。</w:t>
      </w:r>
    </w:p>
    <w:p w14:paraId="4C5636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9.6 本项目</w:t>
      </w:r>
      <w:r>
        <w:rPr>
          <w:rFonts w:hint="eastAsia" w:hAnsi="宋体" w:cs="宋体"/>
          <w:color w:val="auto"/>
          <w:sz w:val="24"/>
          <w:lang w:eastAsia="zh-CN"/>
        </w:rPr>
        <w:t>采购预算</w:t>
      </w:r>
      <w:r>
        <w:rPr>
          <w:rFonts w:hint="eastAsia" w:ascii="宋体" w:hAnsi="宋体" w:eastAsia="宋体" w:cs="宋体"/>
          <w:color w:val="auto"/>
          <w:sz w:val="24"/>
        </w:rPr>
        <w:t>为：人民币</w:t>
      </w:r>
      <w:r>
        <w:rPr>
          <w:rFonts w:hint="eastAsia" w:hAnsi="宋体" w:cs="宋体"/>
          <w:color w:val="auto"/>
          <w:sz w:val="24"/>
          <w:lang w:val="en-US" w:eastAsia="zh-CN"/>
        </w:rPr>
        <w:t>壹佰壹拾陆万元整</w:t>
      </w:r>
      <w:r>
        <w:rPr>
          <w:rFonts w:hint="eastAsia" w:ascii="宋体" w:hAnsi="宋体" w:eastAsia="宋体" w:cs="宋体"/>
          <w:color w:val="auto"/>
          <w:sz w:val="24"/>
        </w:rPr>
        <w:t>（￥：1,160,000.00</w:t>
      </w:r>
      <w:r>
        <w:rPr>
          <w:rFonts w:hint="eastAsia" w:ascii="宋体" w:hAnsi="宋体" w:eastAsia="宋体" w:cs="宋体"/>
          <w:color w:val="auto"/>
          <w:sz w:val="24"/>
          <w:szCs w:val="24"/>
        </w:rPr>
        <w:t>元</w:t>
      </w:r>
      <w:r>
        <w:rPr>
          <w:rFonts w:hint="eastAsia" w:ascii="宋体" w:hAnsi="宋体" w:eastAsia="宋体" w:cs="宋体"/>
          <w:color w:val="auto"/>
          <w:sz w:val="24"/>
        </w:rPr>
        <w:t>）。投标报价大于</w:t>
      </w:r>
      <w:r>
        <w:rPr>
          <w:rFonts w:hint="eastAsia" w:hAnsi="宋体" w:cs="宋体"/>
          <w:color w:val="auto"/>
          <w:sz w:val="24"/>
          <w:lang w:eastAsia="zh-CN"/>
        </w:rPr>
        <w:t>采购预算</w:t>
      </w:r>
      <w:r>
        <w:rPr>
          <w:rFonts w:hint="eastAsia" w:ascii="宋体" w:hAnsi="宋体" w:eastAsia="宋体" w:cs="宋体"/>
          <w:color w:val="auto"/>
          <w:sz w:val="24"/>
        </w:rPr>
        <w:t>，按废标处理。</w:t>
      </w:r>
    </w:p>
    <w:p w14:paraId="2B59FA82">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 xml:space="preserve">9.7 </w:t>
      </w:r>
      <w:r>
        <w:rPr>
          <w:rFonts w:hint="eastAsia" w:ascii="宋体" w:hAnsi="宋体" w:eastAsia="宋体" w:cs="宋体"/>
          <w:b/>
          <w:bCs/>
          <w:color w:val="auto"/>
          <w:sz w:val="24"/>
        </w:rPr>
        <w:t>评标委员会</w:t>
      </w:r>
      <w:r>
        <w:rPr>
          <w:rFonts w:hint="eastAsia" w:ascii="宋体" w:hAnsi="宋体" w:eastAsia="宋体" w:cs="宋体"/>
          <w:b/>
          <w:bCs/>
          <w:color w:val="auto"/>
          <w:sz w:val="24"/>
          <w:szCs w:val="24"/>
        </w:rPr>
        <w:t>认为供应商的报价明显低于其他通过符合性审查供应商的报价，有可能影响</w:t>
      </w:r>
      <w:r>
        <w:rPr>
          <w:rFonts w:hint="eastAsia" w:hAnsi="宋体" w:cs="宋体"/>
          <w:b/>
          <w:bCs/>
          <w:color w:val="auto"/>
          <w:sz w:val="24"/>
          <w:szCs w:val="24"/>
          <w:lang w:val="en-US" w:eastAsia="zh-CN"/>
        </w:rPr>
        <w:t>服务</w:t>
      </w:r>
      <w:r>
        <w:rPr>
          <w:rFonts w:hint="eastAsia" w:ascii="宋体" w:hAnsi="宋体" w:eastAsia="宋体" w:cs="宋体"/>
          <w:b/>
          <w:bCs/>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b/>
          <w:bCs/>
          <w:color w:val="auto"/>
          <w:sz w:val="24"/>
        </w:rPr>
        <w:t>。</w:t>
      </w:r>
    </w:p>
    <w:p w14:paraId="03D31D85">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10．投标货币</w:t>
      </w:r>
    </w:p>
    <w:p w14:paraId="7F734775">
      <w:pPr>
        <w:spacing w:line="4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10.1 </w:t>
      </w:r>
      <w:r>
        <w:rPr>
          <w:rFonts w:hint="eastAsia" w:ascii="宋体" w:hAnsi="宋体" w:eastAsia="宋体" w:cs="宋体"/>
          <w:color w:val="auto"/>
          <w:sz w:val="24"/>
          <w:szCs w:val="24"/>
        </w:rPr>
        <w:t>投标单位提供的服务一律以人民币报价，单位：元（精确到小数点</w:t>
      </w:r>
      <w:r>
        <w:rPr>
          <w:rFonts w:hint="eastAsia" w:ascii="宋体" w:hAnsi="宋体" w:eastAsia="宋体" w:cs="宋体"/>
          <w:bCs/>
          <w:color w:val="auto"/>
          <w:sz w:val="24"/>
        </w:rPr>
        <w:t>后两位）</w:t>
      </w:r>
      <w:r>
        <w:rPr>
          <w:rFonts w:hint="eastAsia" w:ascii="宋体" w:hAnsi="宋体" w:eastAsia="宋体" w:cs="宋体"/>
          <w:color w:val="auto"/>
          <w:sz w:val="24"/>
        </w:rPr>
        <w:t>。</w:t>
      </w:r>
    </w:p>
    <w:p w14:paraId="677702AA">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09E6253">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中标</w:t>
      </w:r>
      <w:r>
        <w:rPr>
          <w:rFonts w:hint="eastAsia" w:ascii="宋体" w:hAnsi="宋体" w:eastAsia="宋体" w:cs="宋体"/>
          <w:color w:val="auto"/>
          <w:sz w:val="24"/>
        </w:rPr>
        <w:t>单位按本须知第30.1条规定缴纳中标服务费、按本须知第29.2条规定与采购人签订采购合同后，将合同扫描件PDF格式发至采购代理机构邮箱：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rPr>
        <w:fldChar w:fldCharType="separate"/>
      </w:r>
      <w:r>
        <w:rPr>
          <w:rFonts w:hint="eastAsia" w:ascii="宋体" w:hAnsi="宋体" w:eastAsia="宋体" w:cs="宋体"/>
          <w:color w:val="auto"/>
          <w:sz w:val="24"/>
        </w:rPr>
        <w:t>2991944368@qq.com。</w:t>
      </w:r>
      <w:r>
        <w:rPr>
          <w:rFonts w:hint="eastAsia" w:ascii="宋体" w:hAnsi="宋体" w:eastAsia="宋体" w:cs="宋体"/>
          <w:color w:val="auto"/>
          <w:sz w:val="24"/>
        </w:rPr>
        <w:fldChar w:fldCharType="end"/>
      </w:r>
    </w:p>
    <w:p w14:paraId="178335C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11.2 投</w:t>
      </w:r>
      <w:r>
        <w:rPr>
          <w:rFonts w:hint="eastAsia" w:ascii="宋体" w:hAnsi="宋体" w:eastAsia="宋体" w:cs="宋体"/>
          <w:color w:val="auto"/>
          <w:sz w:val="24"/>
          <w:szCs w:val="24"/>
          <w:lang w:val="zh-CN"/>
        </w:rPr>
        <w:t>标人有下列情形之一的</w:t>
      </w:r>
      <w:r>
        <w:rPr>
          <w:rFonts w:hint="eastAsia" w:ascii="宋体" w:hAnsi="宋体" w:eastAsia="宋体" w:cs="宋体"/>
          <w:color w:val="auto"/>
          <w:sz w:val="24"/>
          <w:szCs w:val="24"/>
        </w:rPr>
        <w:t>或</w:t>
      </w:r>
      <w:r>
        <w:rPr>
          <w:rFonts w:hint="eastAsia" w:ascii="宋体" w:hAnsi="宋体" w:eastAsia="宋体" w:cs="宋体"/>
          <w:color w:val="auto"/>
          <w:sz w:val="24"/>
          <w:szCs w:val="24"/>
          <w:lang w:val="zh-CN"/>
        </w:rPr>
        <w:t>情节严重的，由财政部门将其列入不良行为记录名单，在一至三年内禁止参加政府采购活动，并予以通报：</w:t>
      </w:r>
    </w:p>
    <w:p w14:paraId="1268841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1、中标人中标后无正当理由不与采购人签订合同的；</w:t>
      </w:r>
    </w:p>
    <w:p w14:paraId="01B9515B">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2、中标人将中标项目转让给他人，或者在投标文件中未说明，且未经采购人同意，将中标项目分包给他人的；</w:t>
      </w:r>
    </w:p>
    <w:p w14:paraId="2757EBBE">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3、供应商提供虚假资质谋取中标的；</w:t>
      </w:r>
    </w:p>
    <w:p w14:paraId="7E5976C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4、有围标、串标现象，经查证属实的；</w:t>
      </w:r>
    </w:p>
    <w:p w14:paraId="4B28BA1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5、供应商在招标文件规定的投标有效期内撤回投标的；</w:t>
      </w:r>
    </w:p>
    <w:p w14:paraId="187FCA51">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6、供应商自行放弃中标资格的；</w:t>
      </w:r>
    </w:p>
    <w:p w14:paraId="108852C7">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7、中标人不在规定的时效（接到采购代理机构通知之日起七日内）内领取《中标通知书》的；</w:t>
      </w:r>
    </w:p>
    <w:p w14:paraId="40B05248">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8、中标人因自身原因未能在规定期限内与采购人签订合同的。</w:t>
      </w:r>
    </w:p>
    <w:p w14:paraId="661AB1E0">
      <w:pPr>
        <w:adjustRightInd/>
        <w:spacing w:line="46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12．投标有效期</w:t>
      </w:r>
    </w:p>
    <w:p w14:paraId="321A8F48">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投标有效期为开标之日起九十（90）个日历日（中标人的投标文件有效期与合同有效期一致）。供应商的投标有效期比招标文件规定短的将被视为非响应性投标而予以拒绝。</w:t>
      </w:r>
    </w:p>
    <w:p w14:paraId="255673BD">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在特殊情况下，在原投标有效期期满之前，采购人可征得供应商同意延长投标有效期。这种要求与答复均应为书面形式提交。</w:t>
      </w:r>
    </w:p>
    <w:p w14:paraId="17179BFC">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13．投标文件的制作和签署</w:t>
      </w:r>
    </w:p>
    <w:p w14:paraId="63D263C8">
      <w:pPr>
        <w:pBdr>
          <w:top w:val="none" w:color="auto" w:sz="0" w:space="1"/>
          <w:left w:val="none" w:color="auto" w:sz="0" w:space="4"/>
          <w:bottom w:val="none" w:color="auto" w:sz="0" w:space="1"/>
          <w:right w:val="none" w:color="auto" w:sz="0" w:space="4"/>
        </w:pBd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须使用数字认证证书(CA锁)对电子投标文件进行签章、加密、递交及开标时解密等相关投标事宜。开标前，</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需登录网络开标大厅。开标时，按照工作人员要求进行远程解密，如因</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自身原因造成无法解密投标文件，按无效投标对待</w:t>
      </w:r>
      <w:r>
        <w:rPr>
          <w:rFonts w:hint="eastAsia" w:ascii="宋体" w:hAnsi="宋体" w:eastAsia="宋体" w:cs="宋体"/>
          <w:color w:val="auto"/>
          <w:sz w:val="24"/>
        </w:rPr>
        <w:t>。</w:t>
      </w:r>
    </w:p>
    <w:p w14:paraId="58BF324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13.1供应商登录全国公共资源交易平台（陕西省）网站(电子交易平台-企业端）后，在“我的项目”中点击“项目流程-交易文件下载”下载电子招标文件（*.SXSZF），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未进行网上下载招标文件的，后面无法进行电子投标文件的上传</w:t>
      </w:r>
      <w:r>
        <w:rPr>
          <w:rFonts w:hint="eastAsia" w:ascii="宋体" w:hAnsi="宋体" w:eastAsia="宋体" w:cs="宋体"/>
          <w:color w:val="auto"/>
          <w:sz w:val="24"/>
        </w:rPr>
        <w:t>；</w:t>
      </w:r>
    </w:p>
    <w:p w14:paraId="7E7CA831">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注：该项目如有变更文件，则应点击“项目流程—答疑文件下载”下载更新后的电子招标文件（*.SXSCF），使用旧版电子招标文件制作的电子投标文件，系统将拒绝接收。</w:t>
      </w:r>
    </w:p>
    <w:p w14:paraId="2559E598">
      <w:pPr>
        <w:wordWrap w:val="0"/>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13.2 供应商登录全国公共资源交易平台（陕西省）网站（http：//www.sxggzyjy.cn/）“服务指南”—“下载专区”中免费下载“陕西省公共资源交易平台政府采购电子标书制作工具”，并升级至最新版本，使用该客户端可以打开电子招标文件及制作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4F45407A">
      <w:pP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13.3 除供应商对投标文件错处做必要修改外，投标文件不得行间插字、涂改和增删，如有修改错漏处，必须由供应商的法定代表人或其授权代表在修改处签字后才有效。</w:t>
      </w:r>
    </w:p>
    <w:p w14:paraId="5581C450">
      <w:pPr>
        <w:spacing w:line="460" w:lineRule="exact"/>
        <w:ind w:firstLine="480"/>
        <w:rPr>
          <w:rFonts w:hint="eastAsia" w:ascii="宋体" w:hAnsi="宋体" w:eastAsia="宋体" w:cs="宋体"/>
          <w:color w:val="auto"/>
        </w:rPr>
      </w:pPr>
      <w:r>
        <w:rPr>
          <w:rFonts w:hint="eastAsia" w:ascii="宋体" w:hAnsi="宋体" w:eastAsia="宋体" w:cs="宋体"/>
          <w:b/>
          <w:bCs/>
          <w:color w:val="auto"/>
          <w:sz w:val="24"/>
        </w:rPr>
        <w:t>注：电子版投标文件中所有需要法定代表人或被授权委托人签字处均不能采用机打签名方式，应采用手写签名方式。否则供应商自行承担责任。</w:t>
      </w:r>
    </w:p>
    <w:p w14:paraId="1A079735">
      <w:pP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sz w:val="24"/>
        </w:rPr>
        <w:t>14</w:t>
      </w:r>
      <w:r>
        <w:rPr>
          <w:rFonts w:hint="eastAsia" w:hAnsi="宋体" w:cs="宋体"/>
          <w:b/>
          <w:bCs/>
          <w:color w:val="auto"/>
          <w:sz w:val="24"/>
          <w:lang w:eastAsia="zh-CN"/>
        </w:rPr>
        <w:t>.</w:t>
      </w:r>
      <w:r>
        <w:rPr>
          <w:rFonts w:hint="eastAsia" w:ascii="宋体" w:hAnsi="宋体" w:eastAsia="宋体" w:cs="宋体"/>
          <w:color w:val="auto"/>
          <w:sz w:val="24"/>
        </w:rPr>
        <w:t>凡因供应商对招标文件阅读不深、理解不透、误解、疏漏或投标文件因表述不清所引起的后果由供应商自负</w:t>
      </w:r>
      <w:r>
        <w:rPr>
          <w:rFonts w:hint="eastAsia" w:ascii="宋体" w:hAnsi="宋体" w:eastAsia="宋体" w:cs="宋体"/>
          <w:color w:val="auto"/>
          <w:kern w:val="1"/>
          <w:sz w:val="24"/>
        </w:rPr>
        <w:t>。</w:t>
      </w:r>
    </w:p>
    <w:p w14:paraId="6E3BC067">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baseline"/>
        <w:outlineLvl w:val="1"/>
        <w:rPr>
          <w:rFonts w:hint="eastAsia" w:ascii="宋体" w:hAnsi="宋体" w:eastAsia="宋体" w:cs="宋体"/>
          <w:b/>
          <w:color w:val="auto"/>
          <w:sz w:val="30"/>
          <w:szCs w:val="30"/>
        </w:rPr>
      </w:pPr>
      <w:bookmarkStart w:id="86" w:name="_Toc173549967"/>
      <w:bookmarkStart w:id="87" w:name="_Toc245176654"/>
      <w:bookmarkStart w:id="88" w:name="_Toc169846765"/>
      <w:bookmarkStart w:id="89" w:name="_Toc167591032"/>
      <w:bookmarkStart w:id="90" w:name="_Toc245657542"/>
      <w:bookmarkStart w:id="91" w:name="_Toc169838521"/>
      <w:bookmarkStart w:id="92" w:name="_Toc175033581"/>
      <w:bookmarkStart w:id="93" w:name="_Toc167591481"/>
      <w:bookmarkStart w:id="94" w:name="_Toc207897905"/>
      <w:bookmarkStart w:id="95" w:name="_Toc167591319"/>
      <w:bookmarkStart w:id="96" w:name="_Toc244623580"/>
      <w:bookmarkStart w:id="97" w:name="_Toc167849349"/>
      <w:bookmarkStart w:id="98" w:name="_Toc169846862"/>
      <w:bookmarkStart w:id="99" w:name="_Toc245658523"/>
      <w:bookmarkStart w:id="100" w:name="_Toc170980541"/>
      <w:bookmarkStart w:id="101" w:name="_Toc167590764"/>
      <w:bookmarkStart w:id="102" w:name="_Toc175032426"/>
      <w:bookmarkStart w:id="103" w:name="_Toc167591133"/>
      <w:bookmarkStart w:id="104" w:name="_Toc154482468"/>
      <w:bookmarkStart w:id="105" w:name="_Toc208337153"/>
      <w:bookmarkStart w:id="106" w:name="_Toc170980443"/>
      <w:r>
        <w:rPr>
          <w:rFonts w:hint="eastAsia" w:ascii="宋体" w:hAnsi="宋体" w:eastAsia="宋体" w:cs="宋体"/>
          <w:b/>
          <w:color w:val="auto"/>
          <w:sz w:val="30"/>
          <w:szCs w:val="30"/>
        </w:rPr>
        <w:t>四、投标文件的递交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5923DEE">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w:t>
      </w:r>
      <w:r>
        <w:rPr>
          <w:rFonts w:hint="eastAsia" w:hAnsi="宋体" w:cs="宋体"/>
          <w:b/>
          <w:color w:val="auto"/>
          <w:sz w:val="24"/>
          <w:lang w:val="en-US" w:eastAsia="zh-CN"/>
        </w:rPr>
        <w:t>5</w:t>
      </w:r>
      <w:r>
        <w:rPr>
          <w:rFonts w:hint="eastAsia" w:ascii="宋体" w:hAnsi="宋体" w:eastAsia="宋体" w:cs="宋体"/>
          <w:b/>
          <w:color w:val="auto"/>
          <w:sz w:val="24"/>
        </w:rPr>
        <w:t>. 电子版投标文件的递交</w:t>
      </w:r>
    </w:p>
    <w:p w14:paraId="3AEE6B55">
      <w:pPr>
        <w:adjustRightInd/>
        <w:spacing w:line="46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15.1 电子投标文件可于提交投标文件截止时间前任意时段登录全国公共资源交易平台（陕西省）网站[电子交易平台-企业端]进行提交，逾期系统将拒绝接收。提交时，供应商应登录全国公共资源交易中心平台（陕西省），选择“电子交易平台-陕西政府采购交易系统-企业端”进行登陆，登陆后选择“交易乙方”身份进入，进入菜单“采购业务-我的项目-项目流程-上传投标文件”，投标文件须进行签章、加密后上传，上传成功，电子化平台将予以记录。</w:t>
      </w:r>
    </w:p>
    <w:p w14:paraId="499B6660">
      <w:pPr>
        <w:adjustRightIn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761F373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rPr>
      </w:pPr>
      <w:r>
        <w:rPr>
          <w:rFonts w:hint="eastAsia" w:ascii="宋体" w:hAnsi="宋体" w:eastAsia="宋体" w:cs="宋体"/>
          <w:color w:val="auto"/>
          <w:sz w:val="24"/>
        </w:rPr>
        <w:t>15.2 开标时投标供应商请务必</w:t>
      </w:r>
      <w:r>
        <w:rPr>
          <w:rFonts w:hint="eastAsia" w:hAnsi="宋体" w:cs="宋体"/>
          <w:color w:val="auto"/>
          <w:sz w:val="24"/>
          <w:lang w:val="en-US" w:eastAsia="zh-CN"/>
        </w:rPr>
        <w:t>使用</w:t>
      </w:r>
      <w:r>
        <w:rPr>
          <w:rFonts w:hint="eastAsia" w:ascii="宋体" w:hAnsi="宋体" w:eastAsia="宋体" w:cs="宋体"/>
          <w:color w:val="auto"/>
          <w:sz w:val="24"/>
        </w:rPr>
        <w:t>数字认证证书</w:t>
      </w:r>
      <w:r>
        <w:rPr>
          <w:rFonts w:hint="eastAsia" w:ascii="宋体" w:hAnsi="宋体" w:eastAsia="宋体" w:cs="宋体"/>
          <w:b/>
          <w:bCs/>
          <w:color w:val="auto"/>
          <w:sz w:val="24"/>
        </w:rPr>
        <w:t>（CA锁主锁）</w:t>
      </w:r>
      <w:r>
        <w:rPr>
          <w:rFonts w:hint="eastAsia" w:ascii="宋体" w:hAnsi="宋体" w:eastAsia="宋体" w:cs="宋体"/>
          <w:color w:val="auto"/>
          <w:sz w:val="24"/>
        </w:rPr>
        <w:t>对投标文件进行解密等相关投标事宜。如因投标供应商自身原因未</w:t>
      </w:r>
      <w:r>
        <w:rPr>
          <w:rFonts w:hint="eastAsia" w:hAnsi="宋体" w:cs="宋体"/>
          <w:color w:val="auto"/>
          <w:sz w:val="24"/>
          <w:lang w:val="en-US" w:eastAsia="zh-CN"/>
        </w:rPr>
        <w:t>正确使用</w:t>
      </w:r>
      <w:r>
        <w:rPr>
          <w:rFonts w:hint="eastAsia" w:ascii="宋体" w:hAnsi="宋体" w:eastAsia="宋体" w:cs="宋体"/>
          <w:color w:val="auto"/>
          <w:sz w:val="24"/>
        </w:rPr>
        <w:t>数字认证证书造成无法解密投标文件的，按无效投标处理。</w:t>
      </w:r>
    </w:p>
    <w:p w14:paraId="1A568E54">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16．投标截止日期</w:t>
      </w:r>
    </w:p>
    <w:p w14:paraId="0A23E2E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供应商应在不迟于招标文件中规定的投标截止时间将电子版投标文件上传提交至全国公共资源交易中心平台（陕西省）网站电子交易平台，逾期将被拒绝接收。</w:t>
      </w:r>
    </w:p>
    <w:p w14:paraId="04150F1C">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采购代理机构可以按本须知</w:t>
      </w:r>
      <w:r>
        <w:rPr>
          <w:rFonts w:hint="eastAsia" w:ascii="宋体" w:hAnsi="宋体" w:eastAsia="宋体" w:cs="宋体"/>
          <w:snapToGrid w:val="0"/>
          <w:color w:val="auto"/>
          <w:kern w:val="24"/>
          <w:sz w:val="24"/>
        </w:rPr>
        <w:t>第5.3条</w:t>
      </w:r>
      <w:r>
        <w:rPr>
          <w:rFonts w:hint="eastAsia" w:ascii="宋体" w:hAnsi="宋体" w:eastAsia="宋体" w:cs="宋体"/>
          <w:snapToGrid w:val="0"/>
          <w:color w:val="auto"/>
          <w:sz w:val="24"/>
        </w:rPr>
        <w:t>规</w:t>
      </w:r>
      <w:r>
        <w:rPr>
          <w:rFonts w:hint="eastAsia" w:ascii="宋体" w:hAnsi="宋体" w:eastAsia="宋体" w:cs="宋体"/>
          <w:color w:val="auto"/>
          <w:sz w:val="24"/>
        </w:rPr>
        <w:t>定，通知因修改招标文件而适当延长投标截止期。在此情况下，招标采购单位和供应商受投标截止期制约的所有权利和义务均应延长至新的截止期。</w:t>
      </w:r>
    </w:p>
    <w:p w14:paraId="7E8FF28D">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17．迟交的投标文件</w:t>
      </w:r>
    </w:p>
    <w:p w14:paraId="03DF59E1">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17.1采购代理机构将拒绝接收投标截止时间后送达的任何电子版投标文件。</w:t>
      </w:r>
    </w:p>
    <w:p w14:paraId="6680004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sz w:val="24"/>
        </w:rPr>
        <w:t>18．投标文件的修改和撤回</w:t>
      </w:r>
    </w:p>
    <w:p w14:paraId="0AA7365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18.1 供应商在上传提交电子版投标文件后，投标截止时间前，可以修改或撤回其电子版投标文件。</w:t>
      </w:r>
    </w:p>
    <w:p w14:paraId="49D19B5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18.2 在投标截止日期之后，供应商不得对其投标文件做任何修改或撤回。</w:t>
      </w:r>
    </w:p>
    <w:p w14:paraId="6CA5B78B">
      <w:pPr>
        <w:snapToGrid w:val="0"/>
        <w:spacing w:line="46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18.3 从投标截止期始至招标文件确定的投标文件有效期期满这段时间内，供应商不得撤回其投标文件。</w:t>
      </w:r>
    </w:p>
    <w:p w14:paraId="7B2C7732">
      <w:pPr>
        <w:keepNext w:val="0"/>
        <w:keepLines w:val="0"/>
        <w:pageBreakBefore w:val="0"/>
        <w:widowControl w:val="0"/>
        <w:kinsoku/>
        <w:wordWrap/>
        <w:overflowPunct/>
        <w:topLinePunct w:val="0"/>
        <w:autoSpaceDE/>
        <w:autoSpaceDN/>
        <w:bidi w:val="0"/>
        <w:adjustRightInd w:val="0"/>
        <w:snapToGrid w:val="0"/>
        <w:spacing w:beforeLines="50" w:after="157" w:afterLines="50" w:line="440" w:lineRule="exact"/>
        <w:jc w:val="center"/>
        <w:textAlignment w:val="baseline"/>
        <w:outlineLvl w:val="1"/>
        <w:rPr>
          <w:rFonts w:hint="eastAsia" w:ascii="宋体" w:hAnsi="宋体" w:eastAsia="宋体" w:cs="宋体"/>
          <w:b/>
          <w:color w:val="auto"/>
          <w:sz w:val="30"/>
          <w:szCs w:val="30"/>
        </w:rPr>
      </w:pPr>
      <w:bookmarkStart w:id="107" w:name="_Toc245658524"/>
      <w:bookmarkStart w:id="108" w:name="_Toc208337154"/>
      <w:bookmarkStart w:id="109" w:name="_Toc167590765"/>
      <w:bookmarkStart w:id="110" w:name="_Toc169838522"/>
      <w:bookmarkStart w:id="111" w:name="_Toc167591033"/>
      <w:bookmarkStart w:id="112" w:name="_Toc175033582"/>
      <w:bookmarkStart w:id="113" w:name="_Toc170980542"/>
      <w:bookmarkStart w:id="114" w:name="_Toc167591134"/>
      <w:bookmarkStart w:id="115" w:name="_Toc170980444"/>
      <w:bookmarkStart w:id="116" w:name="_Toc167849350"/>
      <w:bookmarkStart w:id="117" w:name="_Toc245176655"/>
      <w:bookmarkStart w:id="118" w:name="_Toc154482469"/>
      <w:bookmarkStart w:id="119" w:name="_Toc175032427"/>
      <w:bookmarkStart w:id="120" w:name="_Toc167591320"/>
      <w:bookmarkStart w:id="121" w:name="_Toc167591482"/>
      <w:bookmarkStart w:id="122" w:name="_Toc169846766"/>
      <w:bookmarkStart w:id="123" w:name="_Toc169846863"/>
      <w:bookmarkStart w:id="124" w:name="_Toc173549968"/>
      <w:bookmarkStart w:id="125" w:name="_Toc207897906"/>
      <w:bookmarkStart w:id="126" w:name="_Toc245657543"/>
      <w:bookmarkStart w:id="127" w:name="_Toc244623581"/>
      <w:r>
        <w:rPr>
          <w:rFonts w:hint="eastAsia" w:ascii="宋体" w:hAnsi="宋体" w:eastAsia="宋体" w:cs="宋体"/>
          <w:b/>
          <w:color w:val="auto"/>
          <w:sz w:val="30"/>
          <w:szCs w:val="30"/>
        </w:rPr>
        <w:t>五、开标与评标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B6FB84E">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19．</w:t>
      </w:r>
      <w:r>
        <w:rPr>
          <w:rFonts w:hint="eastAsia" w:ascii="宋体" w:hAnsi="宋体" w:eastAsia="宋体" w:cs="宋体"/>
          <w:b/>
          <w:color w:val="auto"/>
          <w:sz w:val="24"/>
          <w:szCs w:val="24"/>
        </w:rPr>
        <w:t>电子版投标文件解密和评审</w:t>
      </w:r>
    </w:p>
    <w:p w14:paraId="24A37DF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19.1 采购代理机构组织开标、文件解密、评审工作，开标整个过程接受监督部门的监督。</w:t>
      </w:r>
    </w:p>
    <w:p w14:paraId="50FA0970">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 </w:t>
      </w:r>
      <w:r>
        <w:rPr>
          <w:rFonts w:hint="eastAsia" w:ascii="宋体" w:hAnsi="宋体" w:eastAsia="宋体" w:cs="宋体"/>
          <w:color w:val="auto"/>
          <w:sz w:val="24"/>
          <w:lang w:val="en-US" w:eastAsia="zh-CN"/>
        </w:rPr>
        <w:t>采购代理机构在规定的时间和地点组织远程不见面开标，投标人无须委派代表出席开标现场</w:t>
      </w:r>
      <w:r>
        <w:rPr>
          <w:rFonts w:hint="eastAsia" w:ascii="宋体" w:hAnsi="宋体" w:eastAsia="宋体" w:cs="宋体"/>
          <w:color w:val="auto"/>
          <w:sz w:val="24"/>
        </w:rPr>
        <w:t>。</w:t>
      </w:r>
    </w:p>
    <w:p w14:paraId="062627DB">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19.3 </w:t>
      </w:r>
      <w:r>
        <w:rPr>
          <w:rFonts w:hint="eastAsia" w:ascii="宋体" w:hAnsi="宋体" w:eastAsia="宋体" w:cs="宋体"/>
          <w:color w:val="auto"/>
          <w:sz w:val="24"/>
          <w:lang w:val="en-US" w:eastAsia="zh-CN"/>
        </w:rPr>
        <w:t>本项目采用电子化投标及远程不见面开标方式。投标人须使用数字认证证书(CA锁)对电子投标文件进行签章、加密、递交及开标时解密等相关投标事宜。开标时投标人须使用数字认证证书（CA 锁），如因投标人自身原因未正确使用数字认证证书（CA 锁）造成无法解密投标文件，按无效投标对待</w:t>
      </w:r>
      <w:r>
        <w:rPr>
          <w:rFonts w:hint="eastAsia" w:ascii="宋体" w:hAnsi="宋体" w:eastAsia="宋体" w:cs="宋体"/>
          <w:color w:val="auto"/>
          <w:sz w:val="24"/>
        </w:rPr>
        <w:t>。</w:t>
      </w:r>
    </w:p>
    <w:p w14:paraId="666263B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19.4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19B3484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color w:val="auto"/>
          <w:sz w:val="24"/>
          <w:lang w:val="en-US" w:eastAsia="zh-CN"/>
        </w:rPr>
        <w:t>；点击页面上“签到”按钮进行签到，开标前60分钟可以签到。签到成功之后，按钮灰化，无需再次签到，同时第一个座位图右下角出现绿色√。</w:t>
      </w:r>
    </w:p>
    <w:p w14:paraId="128BB47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w:t>
      </w:r>
      <w:r>
        <w:rPr>
          <w:rFonts w:hint="eastAsia" w:ascii="宋体" w:hAnsi="宋体"/>
          <w:color w:val="auto"/>
          <w:kern w:val="0"/>
          <w:sz w:val="24"/>
          <w:szCs w:val="24"/>
          <w:highlight w:val="none"/>
          <w:lang w:val="en-US" w:eastAsia="zh-CN"/>
        </w:rPr>
        <w:t>投标</w:t>
      </w:r>
      <w:r>
        <w:rPr>
          <w:rFonts w:hint="eastAsia" w:ascii="宋体" w:hAnsi="宋体"/>
          <w:color w:val="auto"/>
          <w:kern w:val="0"/>
          <w:sz w:val="24"/>
          <w:szCs w:val="24"/>
          <w:highlight w:val="none"/>
        </w:rPr>
        <w:t>文件导入开评标系统。</w:t>
      </w:r>
    </w:p>
    <w:p w14:paraId="13E39F79">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19.7 </w:t>
      </w:r>
      <w:r>
        <w:rPr>
          <w:rFonts w:hint="eastAsia" w:ascii="宋体" w:hAnsi="宋体" w:eastAsia="宋体" w:cs="宋体"/>
          <w:color w:val="auto"/>
          <w:sz w:val="24"/>
          <w:lang w:val="en-US" w:eastAsia="zh-CN"/>
        </w:rPr>
        <w:t>建议投标人在开标前半小时登录不见面开标大厅，并及时签到（开标前 60 分钟即可签到），遇到问题及时联系客服 4009280095。</w:t>
      </w:r>
      <w:r>
        <w:rPr>
          <w:rFonts w:hint="eastAsia" w:ascii="宋体" w:hAnsi="宋体"/>
          <w:color w:val="auto"/>
          <w:kern w:val="0"/>
          <w:sz w:val="24"/>
          <w:szCs w:val="24"/>
          <w:highlight w:val="none"/>
        </w:rPr>
        <w:t>请及时关注不见面开播大厅右侧公告及互动栏目信息。</w:t>
      </w:r>
    </w:p>
    <w:p w14:paraId="34BB6F57">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8</w:t>
      </w:r>
      <w:r>
        <w:rPr>
          <w:rFonts w:hint="eastAsia" w:ascii="宋体" w:hAnsi="宋体" w:eastAsia="宋体" w:cs="宋体"/>
          <w:color w:val="auto"/>
          <w:sz w:val="24"/>
        </w:rPr>
        <w:t xml:space="preserve"> 采购代理机构将在开标会议现场做开标记录，开标记录包括开标时录入的全部内容。</w:t>
      </w:r>
    </w:p>
    <w:p w14:paraId="73B0642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9</w:t>
      </w:r>
      <w:r>
        <w:rPr>
          <w:rFonts w:hint="eastAsia" w:ascii="宋体" w:hAnsi="宋体" w:eastAsia="宋体" w:cs="宋体"/>
          <w:color w:val="auto"/>
          <w:sz w:val="24"/>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36128BE0">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20．评标委员会</w:t>
      </w:r>
    </w:p>
    <w:p w14:paraId="72FA13F7">
      <w:pPr>
        <w:spacing w:line="46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color w:val="auto"/>
          <w:sz w:val="24"/>
          <w:szCs w:val="24"/>
        </w:rPr>
        <w:t>20.1 采购人</w:t>
      </w:r>
      <w:r>
        <w:rPr>
          <w:rFonts w:hint="eastAsia" w:ascii="宋体" w:hAnsi="宋体" w:eastAsia="宋体" w:cs="宋体"/>
          <w:snapToGrid w:val="0"/>
          <w:color w:val="auto"/>
          <w:sz w:val="24"/>
          <w:szCs w:val="24"/>
        </w:rPr>
        <w:t>将按照《中华人民共和国政府采购法》、《政府采购货物和服务招标投标管理办法》及有关规定组建评标委员会。</w:t>
      </w:r>
    </w:p>
    <w:p w14:paraId="7C6A692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 评标委员会由采购人代表及评审专家组成，专家从陕西省政府采购（专家库中）随机抽取产生。</w:t>
      </w:r>
    </w:p>
    <w:p w14:paraId="117200B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评标委员会负责评标工作，对投标文件进行审查和评估，并向采购人提交书面评审意见。</w:t>
      </w:r>
    </w:p>
    <w:p w14:paraId="0883FB59">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21．评标过程的保密性</w:t>
      </w:r>
    </w:p>
    <w:p w14:paraId="05B2FE0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文件解密后，直至发布中标公告时止，凡与审查、澄清、评价和比较投标的有关资料以及授标意见等，均属保密范围，评标委员会及招标工作人员不得向供应商及与评标无关的其他人透露。</w:t>
      </w:r>
    </w:p>
    <w:p w14:paraId="23F3E6F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在评标过程中，如果供应商试图在投标文件审查、澄清、比较及授予合同方面向评标委员会或采购人施加任何影响，其投标将被拒绝。</w:t>
      </w:r>
    </w:p>
    <w:p w14:paraId="64833CC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22. 投标文件的澄清</w:t>
      </w:r>
    </w:p>
    <w:p w14:paraId="78083FC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在评标期间，为有助于对投标文件的审查、评价和比较，评标委员会可分别要求供应商对其投标文件进行澄清或说明，有关澄清或说明的要求和答复应以书面形式提交。澄清和说明的内容不得超出投标文件的范围或改变投标文件实质性内容。</w:t>
      </w:r>
    </w:p>
    <w:p w14:paraId="1DCED7E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23. </w:t>
      </w:r>
      <w:r>
        <w:rPr>
          <w:rFonts w:hint="eastAsia" w:ascii="宋体" w:hAnsi="宋体" w:eastAsia="宋体" w:cs="宋体"/>
          <w:b/>
          <w:color w:val="auto"/>
          <w:sz w:val="24"/>
          <w:szCs w:val="24"/>
        </w:rPr>
        <w:t>出现下列情况之一的，其电子版投标文件视为无效文件：</w:t>
      </w:r>
    </w:p>
    <w:p w14:paraId="52C529C6">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（1）供应商拒绝对电子版投标文件进行解密的；</w:t>
      </w:r>
    </w:p>
    <w:p w14:paraId="6F629EA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（2）因供应商自身原因(如未带CA锁或所带CA锁与制作电子投标文件使用的CA锁不一致，或延用旧版本招标文件编制投标文件等情形)，导致在规定时间内无法解密投标文件的；</w:t>
      </w:r>
    </w:p>
    <w:p w14:paraId="5A30B02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（3）上传的电子投标文件无法打开的或投标响应缺项、漏项的；</w:t>
      </w:r>
    </w:p>
    <w:p w14:paraId="1231006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（4）投标文件未按照招标文件要求签署、盖章的；</w:t>
      </w:r>
    </w:p>
    <w:p w14:paraId="4C0ECFD4">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（5）不具备招标文件中规定的资格要求的；</w:t>
      </w:r>
    </w:p>
    <w:p w14:paraId="3E83063A">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（6）报价超过招标文件中规定的预算金额或者最高限价的；</w:t>
      </w:r>
    </w:p>
    <w:p w14:paraId="64A122EC">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（7）投标文件含有采购人不能接受的附加条件的；</w:t>
      </w:r>
    </w:p>
    <w:p w14:paraId="090CC85A">
      <w:pPr>
        <w:spacing w:line="460" w:lineRule="exact"/>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（8）法律、法规和招标文件规定的其他无效情形。</w:t>
      </w:r>
    </w:p>
    <w:p w14:paraId="2789DEC3">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24．投标文件的初审</w:t>
      </w:r>
    </w:p>
    <w:p w14:paraId="0E1597E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 xml:space="preserve">24.1 </w:t>
      </w:r>
      <w:r>
        <w:rPr>
          <w:rFonts w:hint="eastAsia" w:ascii="宋体" w:hAnsi="宋体" w:eastAsia="宋体" w:cs="宋体"/>
          <w:color w:val="auto"/>
          <w:sz w:val="24"/>
        </w:rPr>
        <w:t>资质有效性评审：本次招标所要求的必备资质证明文件，缺其中一项或某项达不到招标文件要求，均按无效文件处理。</w:t>
      </w:r>
    </w:p>
    <w:p w14:paraId="0035DD4B">
      <w:pPr>
        <w:spacing w:line="460" w:lineRule="exact"/>
        <w:ind w:firstLine="480" w:firstLineChars="200"/>
        <w:rPr>
          <w:rFonts w:hint="eastAsia" w:ascii="宋体" w:hAnsi="宋体" w:eastAsia="宋体" w:cs="宋体"/>
          <w:color w:val="auto"/>
          <w:sz w:val="24"/>
        </w:rPr>
      </w:pPr>
    </w:p>
    <w:p w14:paraId="0B0A03F2">
      <w:pPr>
        <w:pStyle w:val="11"/>
        <w:rPr>
          <w:rFonts w:hint="eastAsia" w:ascii="宋体" w:hAnsi="宋体" w:eastAsia="宋体" w:cs="宋体"/>
          <w:color w:val="auto"/>
          <w:sz w:val="24"/>
        </w:rPr>
      </w:pPr>
    </w:p>
    <w:p w14:paraId="1601ADA3">
      <w:pPr>
        <w:rPr>
          <w:rFonts w:hint="eastAsia"/>
        </w:rPr>
      </w:pP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042"/>
        <w:gridCol w:w="1625"/>
        <w:gridCol w:w="6511"/>
      </w:tblGrid>
      <w:tr w14:paraId="79C0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14:paraId="55008C2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85" w:type="pct"/>
            <w:tcBorders>
              <w:top w:val="single" w:color="auto" w:sz="4" w:space="0"/>
              <w:left w:val="single" w:color="auto" w:sz="4" w:space="0"/>
              <w:bottom w:val="single" w:color="auto" w:sz="4" w:space="0"/>
              <w:right w:val="single" w:color="auto" w:sz="4" w:space="0"/>
            </w:tcBorders>
            <w:vAlign w:val="center"/>
          </w:tcPr>
          <w:p w14:paraId="1C4CEDB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审查因素</w:t>
            </w:r>
          </w:p>
        </w:tc>
        <w:tc>
          <w:tcPr>
            <w:tcW w:w="3545" w:type="pct"/>
            <w:tcBorders>
              <w:top w:val="single" w:color="auto" w:sz="4" w:space="0"/>
              <w:left w:val="single" w:color="auto" w:sz="4" w:space="0"/>
              <w:bottom w:val="single" w:color="auto" w:sz="4" w:space="0"/>
              <w:right w:val="single" w:color="auto" w:sz="4" w:space="0"/>
            </w:tcBorders>
            <w:vAlign w:val="center"/>
          </w:tcPr>
          <w:p w14:paraId="2AC88FA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r>
      <w:tr w14:paraId="0207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exact"/>
          <w:jc w:val="center"/>
        </w:trPr>
        <w:tc>
          <w:tcPr>
            <w:tcW w:w="568" w:type="pct"/>
            <w:tcBorders>
              <w:top w:val="single" w:color="auto" w:sz="4" w:space="0"/>
              <w:left w:val="single" w:color="auto" w:sz="4" w:space="0"/>
              <w:right w:val="single" w:color="auto" w:sz="4" w:space="0"/>
            </w:tcBorders>
            <w:vAlign w:val="center"/>
          </w:tcPr>
          <w:p w14:paraId="5078B10D">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885" w:type="pct"/>
            <w:tcBorders>
              <w:top w:val="single" w:color="auto" w:sz="4" w:space="0"/>
              <w:left w:val="single" w:color="auto" w:sz="4" w:space="0"/>
              <w:bottom w:val="single" w:color="auto" w:sz="4" w:space="0"/>
              <w:right w:val="single" w:color="auto" w:sz="4" w:space="0"/>
            </w:tcBorders>
            <w:vAlign w:val="center"/>
          </w:tcPr>
          <w:p w14:paraId="093AB94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营业执照</w:t>
            </w:r>
          </w:p>
        </w:tc>
        <w:tc>
          <w:tcPr>
            <w:tcW w:w="3545" w:type="pct"/>
            <w:tcBorders>
              <w:top w:val="single" w:color="auto" w:sz="4" w:space="0"/>
              <w:left w:val="single" w:color="auto" w:sz="4" w:space="0"/>
              <w:bottom w:val="single" w:color="auto" w:sz="4" w:space="0"/>
              <w:right w:val="single" w:color="auto" w:sz="4" w:space="0"/>
            </w:tcBorders>
            <w:vAlign w:val="center"/>
          </w:tcPr>
          <w:p w14:paraId="4F5A0DB3">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具有独立承担民事责任能力的法人、其他组织或自然人，提供年检有效的统一社会信用代码的营业执照。</w:t>
            </w:r>
          </w:p>
        </w:tc>
      </w:tr>
      <w:tr w14:paraId="43EC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7" w:hRule="atLeast"/>
          <w:jc w:val="center"/>
        </w:trPr>
        <w:tc>
          <w:tcPr>
            <w:tcW w:w="568" w:type="pct"/>
            <w:tcBorders>
              <w:left w:val="single" w:color="auto" w:sz="4" w:space="0"/>
              <w:right w:val="single" w:color="auto" w:sz="4" w:space="0"/>
            </w:tcBorders>
            <w:vAlign w:val="center"/>
          </w:tcPr>
          <w:p w14:paraId="7250A3EB">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885" w:type="pct"/>
            <w:tcBorders>
              <w:top w:val="single" w:color="auto" w:sz="4" w:space="0"/>
              <w:left w:val="single" w:color="auto" w:sz="4" w:space="0"/>
              <w:bottom w:val="single" w:color="auto" w:sz="4" w:space="0"/>
              <w:right w:val="single" w:color="auto" w:sz="4" w:space="0"/>
            </w:tcBorders>
            <w:vAlign w:val="center"/>
          </w:tcPr>
          <w:p w14:paraId="1C53D342">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授权委托书</w:t>
            </w:r>
          </w:p>
        </w:tc>
        <w:tc>
          <w:tcPr>
            <w:tcW w:w="3545" w:type="pct"/>
            <w:tcBorders>
              <w:top w:val="single" w:color="auto" w:sz="4" w:space="0"/>
              <w:left w:val="single" w:color="auto" w:sz="4" w:space="0"/>
              <w:bottom w:val="single" w:color="auto" w:sz="4" w:space="0"/>
              <w:right w:val="single" w:color="auto" w:sz="4" w:space="0"/>
            </w:tcBorders>
            <w:vAlign w:val="center"/>
          </w:tcPr>
          <w:p w14:paraId="07039552">
            <w:pPr>
              <w:tabs>
                <w:tab w:val="left" w:pos="210"/>
              </w:tabs>
              <w:spacing w:line="3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法定代表人直接参加投标的，须出具法定代表人身份证；法定代表人授权代表参加投标的，须出具法定代表人授权委托书及被授权代表身份证。</w:t>
            </w:r>
          </w:p>
        </w:tc>
      </w:tr>
      <w:tr w14:paraId="65F6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68" w:type="pct"/>
            <w:tcBorders>
              <w:left w:val="single" w:color="auto" w:sz="4" w:space="0"/>
              <w:right w:val="single" w:color="auto" w:sz="4" w:space="0"/>
            </w:tcBorders>
            <w:vAlign w:val="center"/>
          </w:tcPr>
          <w:p w14:paraId="4C5A0E59">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3</w:t>
            </w:r>
          </w:p>
        </w:tc>
        <w:tc>
          <w:tcPr>
            <w:tcW w:w="885" w:type="pct"/>
            <w:tcBorders>
              <w:top w:val="single" w:color="auto" w:sz="4" w:space="0"/>
              <w:left w:val="single" w:color="auto" w:sz="4" w:space="0"/>
              <w:bottom w:val="single" w:color="auto" w:sz="4" w:space="0"/>
              <w:right w:val="single" w:color="auto" w:sz="4" w:space="0"/>
            </w:tcBorders>
            <w:vAlign w:val="center"/>
          </w:tcPr>
          <w:p w14:paraId="033F74B7">
            <w:pPr>
              <w:spacing w:line="340" w:lineRule="exact"/>
              <w:jc w:val="center"/>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资质要求</w:t>
            </w:r>
          </w:p>
        </w:tc>
        <w:tc>
          <w:tcPr>
            <w:tcW w:w="3545" w:type="pct"/>
            <w:tcBorders>
              <w:top w:val="single" w:color="auto" w:sz="4" w:space="0"/>
              <w:left w:val="single" w:color="auto" w:sz="4" w:space="0"/>
              <w:bottom w:val="single" w:color="auto" w:sz="4" w:space="0"/>
              <w:right w:val="single" w:color="auto" w:sz="4" w:space="0"/>
            </w:tcBorders>
            <w:vAlign w:val="center"/>
          </w:tcPr>
          <w:p w14:paraId="07E85796">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投标人应具备有效的土地规划机构乙级（含乙级）以上资质证书或自然资源主管部门核发的城乡规划编制单位乙级（含乙级）以上资质证书。</w:t>
            </w:r>
          </w:p>
        </w:tc>
      </w:tr>
      <w:tr w14:paraId="28F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68" w:type="pct"/>
            <w:tcBorders>
              <w:left w:val="single" w:color="auto" w:sz="4" w:space="0"/>
              <w:right w:val="single" w:color="auto" w:sz="4" w:space="0"/>
            </w:tcBorders>
            <w:vAlign w:val="center"/>
          </w:tcPr>
          <w:p w14:paraId="2D1C2303">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4</w:t>
            </w:r>
          </w:p>
        </w:tc>
        <w:tc>
          <w:tcPr>
            <w:tcW w:w="885" w:type="pct"/>
            <w:tcBorders>
              <w:top w:val="single" w:color="auto" w:sz="4" w:space="0"/>
              <w:left w:val="single" w:color="auto" w:sz="4" w:space="0"/>
              <w:bottom w:val="single" w:color="auto" w:sz="4" w:space="0"/>
              <w:right w:val="single" w:color="auto" w:sz="4" w:space="0"/>
            </w:tcBorders>
            <w:vAlign w:val="center"/>
          </w:tcPr>
          <w:p w14:paraId="677FCB75">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健全的财务</w:t>
            </w:r>
            <w:r>
              <w:rPr>
                <w:rFonts w:hint="eastAsia" w:hAnsi="宋体" w:cs="宋体"/>
                <w:b/>
                <w:color w:val="auto"/>
                <w:sz w:val="21"/>
                <w:szCs w:val="21"/>
                <w:lang w:val="en-US" w:eastAsia="zh-CN"/>
              </w:rPr>
              <w:t xml:space="preserve">    </w:t>
            </w:r>
            <w:r>
              <w:rPr>
                <w:rFonts w:hint="eastAsia" w:ascii="宋体" w:hAnsi="宋体" w:eastAsia="宋体" w:cs="宋体"/>
                <w:b/>
                <w:color w:val="auto"/>
                <w:sz w:val="21"/>
                <w:szCs w:val="21"/>
              </w:rPr>
              <w:t>会计制度</w:t>
            </w:r>
          </w:p>
        </w:tc>
        <w:tc>
          <w:tcPr>
            <w:tcW w:w="3545" w:type="pct"/>
            <w:tcBorders>
              <w:top w:val="single" w:color="auto" w:sz="4" w:space="0"/>
              <w:left w:val="single" w:color="auto" w:sz="4" w:space="0"/>
              <w:bottom w:val="single" w:color="auto" w:sz="4" w:space="0"/>
              <w:right w:val="single" w:color="auto" w:sz="4" w:space="0"/>
            </w:tcBorders>
            <w:vAlign w:val="center"/>
          </w:tcPr>
          <w:p w14:paraId="29227F19">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tc>
      </w:tr>
      <w:tr w14:paraId="093D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7" w:hRule="atLeast"/>
          <w:jc w:val="center"/>
        </w:trPr>
        <w:tc>
          <w:tcPr>
            <w:tcW w:w="568" w:type="pct"/>
            <w:tcBorders>
              <w:left w:val="single" w:color="auto" w:sz="4" w:space="0"/>
              <w:right w:val="single" w:color="auto" w:sz="4" w:space="0"/>
            </w:tcBorders>
            <w:vAlign w:val="center"/>
          </w:tcPr>
          <w:p w14:paraId="60B093C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5</w:t>
            </w:r>
          </w:p>
        </w:tc>
        <w:tc>
          <w:tcPr>
            <w:tcW w:w="885" w:type="pct"/>
            <w:tcBorders>
              <w:top w:val="single" w:color="auto" w:sz="4" w:space="0"/>
              <w:left w:val="single" w:color="auto" w:sz="4" w:space="0"/>
              <w:bottom w:val="single" w:color="auto" w:sz="4" w:space="0"/>
              <w:right w:val="single" w:color="auto" w:sz="4" w:space="0"/>
            </w:tcBorders>
            <w:vAlign w:val="center"/>
          </w:tcPr>
          <w:p w14:paraId="553283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社会保障资金</w:t>
            </w:r>
          </w:p>
          <w:p w14:paraId="25F508CC">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缴纳证明</w:t>
            </w:r>
          </w:p>
        </w:tc>
        <w:tc>
          <w:tcPr>
            <w:tcW w:w="3545" w:type="pct"/>
            <w:tcBorders>
              <w:top w:val="single" w:color="auto" w:sz="4" w:space="0"/>
              <w:left w:val="single" w:color="auto" w:sz="4" w:space="0"/>
              <w:bottom w:val="single" w:color="auto" w:sz="4" w:space="0"/>
              <w:right w:val="single" w:color="auto" w:sz="4" w:space="0"/>
            </w:tcBorders>
            <w:vAlign w:val="center"/>
          </w:tcPr>
          <w:p w14:paraId="73054FE6">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社会保障资金缴纳证明：提供2025年1月至开标前任意一个月的社会保障资金缴纳证明或社会保险缴纳清单或社会保险缴纳专用收据（依法不需要缴纳社会保障资金或新成立的投标单位应提供相关文件证明）。</w:t>
            </w:r>
          </w:p>
        </w:tc>
      </w:tr>
      <w:tr w14:paraId="01C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4A8A8B0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6</w:t>
            </w:r>
          </w:p>
        </w:tc>
        <w:tc>
          <w:tcPr>
            <w:tcW w:w="885" w:type="pct"/>
            <w:tcBorders>
              <w:top w:val="single" w:color="auto" w:sz="4" w:space="0"/>
              <w:left w:val="single" w:color="auto" w:sz="4" w:space="0"/>
              <w:bottom w:val="single" w:color="auto" w:sz="4" w:space="0"/>
              <w:right w:val="single" w:color="auto" w:sz="4" w:space="0"/>
            </w:tcBorders>
            <w:vAlign w:val="center"/>
          </w:tcPr>
          <w:p w14:paraId="5C11B1C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税收缴纳证明</w:t>
            </w:r>
          </w:p>
        </w:tc>
        <w:tc>
          <w:tcPr>
            <w:tcW w:w="3545" w:type="pct"/>
            <w:tcBorders>
              <w:top w:val="single" w:color="auto" w:sz="4" w:space="0"/>
              <w:left w:val="single" w:color="auto" w:sz="4" w:space="0"/>
              <w:bottom w:val="single" w:color="auto" w:sz="4" w:space="0"/>
              <w:right w:val="single" w:color="auto" w:sz="4" w:space="0"/>
            </w:tcBorders>
            <w:vAlign w:val="center"/>
          </w:tcPr>
          <w:p w14:paraId="6FEAEF49">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税收缴纳证明：提供2025年1月至开标前任意一个月已缴纳的完税证明（依法免税或新成立的投标单位应提供相关文件证明）。</w:t>
            </w:r>
          </w:p>
        </w:tc>
      </w:tr>
      <w:tr w14:paraId="70F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1D2B1ED8">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7</w:t>
            </w:r>
          </w:p>
        </w:tc>
        <w:tc>
          <w:tcPr>
            <w:tcW w:w="885" w:type="pct"/>
            <w:tcBorders>
              <w:top w:val="single" w:color="auto" w:sz="4" w:space="0"/>
              <w:left w:val="single" w:color="auto" w:sz="4" w:space="0"/>
              <w:bottom w:val="single" w:color="auto" w:sz="4" w:space="0"/>
              <w:right w:val="single" w:color="auto" w:sz="4" w:space="0"/>
            </w:tcBorders>
            <w:vAlign w:val="center"/>
          </w:tcPr>
          <w:p w14:paraId="7B0727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主体信用</w:t>
            </w:r>
          </w:p>
          <w:p w14:paraId="22A2CBFF">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查询记录</w:t>
            </w:r>
          </w:p>
        </w:tc>
        <w:tc>
          <w:tcPr>
            <w:tcW w:w="3545" w:type="pct"/>
            <w:tcBorders>
              <w:top w:val="single" w:color="auto" w:sz="4" w:space="0"/>
              <w:left w:val="single" w:color="auto" w:sz="4" w:space="0"/>
              <w:bottom w:val="single" w:color="auto" w:sz="4" w:space="0"/>
              <w:right w:val="single" w:color="auto" w:sz="4" w:space="0"/>
            </w:tcBorders>
            <w:vAlign w:val="center"/>
          </w:tcPr>
          <w:p w14:paraId="67CB4A35">
            <w:pPr>
              <w:keepNext w:val="0"/>
              <w:keepLines w:val="0"/>
              <w:pageBreakBefore w:val="0"/>
              <w:widowControl w:val="0"/>
              <w:kinsoku/>
              <w:wordWrap w:val="0"/>
              <w:overflowPunct/>
              <w:topLinePunct w:val="0"/>
              <w:autoSpaceDE/>
              <w:autoSpaceDN/>
              <w:bidi w:val="0"/>
              <w:adjustRightInd w:val="0"/>
              <w:snapToGrid/>
              <w:spacing w:line="3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供应商未被列入失信被执行人、重大税收违法失信主体、政府采购严重违法失信行为记录名单，以“信用中国”网站(www.creditchina.gov.cn)、中国政府采购网(www.ccgp.gov.cn)查询结果为准（截止时点为</w:t>
            </w:r>
            <w:r>
              <w:rPr>
                <w:rFonts w:hint="eastAsia" w:hAnsi="宋体" w:cs="宋体"/>
                <w:color w:val="auto"/>
                <w:sz w:val="21"/>
                <w:szCs w:val="21"/>
                <w:lang w:val="en-US" w:eastAsia="zh-CN"/>
              </w:rPr>
              <w:t>招标</w:t>
            </w:r>
            <w:r>
              <w:rPr>
                <w:rFonts w:hint="eastAsia" w:ascii="宋体" w:hAnsi="宋体" w:eastAsia="宋体" w:cs="宋体"/>
                <w:color w:val="auto"/>
                <w:sz w:val="21"/>
                <w:szCs w:val="21"/>
              </w:rPr>
              <w:t>文件发出至投标截止时间内，</w:t>
            </w:r>
            <w:r>
              <w:rPr>
                <w:rFonts w:hint="eastAsia" w:ascii="宋体" w:hAnsi="宋体" w:eastAsia="宋体" w:cs="宋体"/>
                <w:b/>
                <w:bCs/>
                <w:color w:val="auto"/>
                <w:sz w:val="21"/>
                <w:szCs w:val="21"/>
              </w:rPr>
              <w:t>网页截图加盖投标供应商公章</w:t>
            </w:r>
            <w:r>
              <w:rPr>
                <w:rFonts w:hint="eastAsia" w:ascii="宋体" w:hAnsi="宋体" w:eastAsia="宋体" w:cs="宋体"/>
                <w:color w:val="auto"/>
                <w:sz w:val="21"/>
                <w:szCs w:val="21"/>
              </w:rPr>
              <w:t>）。</w:t>
            </w:r>
          </w:p>
        </w:tc>
      </w:tr>
      <w:tr w14:paraId="0D2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2E80313A">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8</w:t>
            </w:r>
          </w:p>
        </w:tc>
        <w:tc>
          <w:tcPr>
            <w:tcW w:w="885" w:type="pct"/>
            <w:tcBorders>
              <w:top w:val="single" w:color="auto" w:sz="4" w:space="0"/>
              <w:left w:val="single" w:color="auto" w:sz="4" w:space="0"/>
              <w:bottom w:val="single" w:color="auto" w:sz="4" w:space="0"/>
              <w:right w:val="single" w:color="auto" w:sz="4" w:space="0"/>
            </w:tcBorders>
            <w:vAlign w:val="center"/>
          </w:tcPr>
          <w:p w14:paraId="4843CE4B">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无重大违法记录</w:t>
            </w:r>
          </w:p>
          <w:p w14:paraId="41265A7B">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的书面声明</w:t>
            </w:r>
          </w:p>
        </w:tc>
        <w:tc>
          <w:tcPr>
            <w:tcW w:w="3545" w:type="pct"/>
            <w:tcBorders>
              <w:top w:val="single" w:color="auto" w:sz="4" w:space="0"/>
              <w:left w:val="single" w:color="auto" w:sz="4" w:space="0"/>
              <w:bottom w:val="single" w:color="auto" w:sz="4" w:space="0"/>
              <w:right w:val="single" w:color="auto" w:sz="4" w:space="0"/>
            </w:tcBorders>
            <w:vAlign w:val="center"/>
          </w:tcPr>
          <w:p w14:paraId="079EDE17">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供应商参加政府采购活动前3年内，在经营活动中没有重大违法记录的书面声明</w:t>
            </w:r>
            <w:r>
              <w:rPr>
                <w:rFonts w:hint="eastAsia" w:ascii="宋体" w:hAnsi="宋体" w:eastAsia="宋体" w:cs="宋体"/>
                <w:b/>
                <w:color w:val="auto"/>
                <w:sz w:val="21"/>
                <w:szCs w:val="21"/>
              </w:rPr>
              <w:t>（加盖投标供应商公章）。</w:t>
            </w:r>
          </w:p>
        </w:tc>
      </w:tr>
      <w:tr w14:paraId="7C8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568" w:type="pct"/>
            <w:tcBorders>
              <w:left w:val="single" w:color="auto" w:sz="4" w:space="0"/>
              <w:right w:val="single" w:color="auto" w:sz="4" w:space="0"/>
            </w:tcBorders>
            <w:vAlign w:val="center"/>
          </w:tcPr>
          <w:p w14:paraId="42D0B209">
            <w:pPr>
              <w:spacing w:line="340" w:lineRule="exact"/>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9</w:t>
            </w:r>
          </w:p>
        </w:tc>
        <w:tc>
          <w:tcPr>
            <w:tcW w:w="885" w:type="pct"/>
            <w:tcBorders>
              <w:top w:val="single" w:color="auto" w:sz="4" w:space="0"/>
              <w:left w:val="single" w:color="auto" w:sz="4" w:space="0"/>
              <w:bottom w:val="single" w:color="auto" w:sz="4" w:space="0"/>
              <w:right w:val="single" w:color="auto" w:sz="4" w:space="0"/>
            </w:tcBorders>
            <w:vAlign w:val="center"/>
          </w:tcPr>
          <w:p w14:paraId="1005487B">
            <w:pPr>
              <w:snapToGrid w:val="0"/>
              <w:spacing w:line="340" w:lineRule="exact"/>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联合体投标</w:t>
            </w:r>
          </w:p>
        </w:tc>
        <w:tc>
          <w:tcPr>
            <w:tcW w:w="3545" w:type="pct"/>
            <w:tcBorders>
              <w:top w:val="single" w:color="auto" w:sz="4" w:space="0"/>
              <w:left w:val="single" w:color="auto" w:sz="4" w:space="0"/>
              <w:bottom w:val="single" w:color="auto" w:sz="4" w:space="0"/>
              <w:right w:val="single" w:color="auto" w:sz="4" w:space="0"/>
            </w:tcBorders>
            <w:vAlign w:val="center"/>
          </w:tcPr>
          <w:p w14:paraId="00343DEB">
            <w:pPr>
              <w:snapToGrid w:val="0"/>
              <w:spacing w:line="34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本项目不接受联合体投标，出具非联合体投标的</w:t>
            </w:r>
            <w:r>
              <w:rPr>
                <w:rFonts w:hint="eastAsia" w:hAnsi="宋体" w:cs="宋体"/>
                <w:color w:val="auto"/>
                <w:sz w:val="21"/>
                <w:szCs w:val="21"/>
                <w:lang w:eastAsia="zh-CN"/>
              </w:rPr>
              <w:t>声明函</w:t>
            </w:r>
            <w:r>
              <w:rPr>
                <w:rFonts w:hint="eastAsia" w:ascii="宋体" w:hAnsi="宋体" w:eastAsia="宋体" w:cs="宋体"/>
                <w:color w:val="auto"/>
                <w:sz w:val="21"/>
                <w:szCs w:val="21"/>
              </w:rPr>
              <w:t>。</w:t>
            </w:r>
          </w:p>
        </w:tc>
      </w:tr>
      <w:tr w14:paraId="33D1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568" w:type="pct"/>
            <w:tcBorders>
              <w:left w:val="single" w:color="auto" w:sz="4" w:space="0"/>
              <w:right w:val="single" w:color="auto" w:sz="4" w:space="0"/>
            </w:tcBorders>
            <w:vAlign w:val="center"/>
          </w:tcPr>
          <w:p w14:paraId="423E3F04">
            <w:pPr>
              <w:spacing w:line="340" w:lineRule="exact"/>
              <w:jc w:val="center"/>
              <w:rPr>
                <w:rFonts w:hint="default" w:hAnsi="宋体" w:cs="宋体"/>
                <w:bCs/>
                <w:color w:val="auto"/>
                <w:sz w:val="21"/>
                <w:szCs w:val="21"/>
                <w:lang w:val="en-US" w:eastAsia="zh-CN"/>
              </w:rPr>
            </w:pPr>
            <w:r>
              <w:rPr>
                <w:rFonts w:hint="eastAsia" w:hAnsi="宋体" w:cs="宋体"/>
                <w:bCs/>
                <w:color w:val="auto"/>
                <w:sz w:val="21"/>
                <w:szCs w:val="21"/>
                <w:lang w:val="en-US" w:eastAsia="zh-CN"/>
              </w:rPr>
              <w:t>10</w:t>
            </w:r>
          </w:p>
        </w:tc>
        <w:tc>
          <w:tcPr>
            <w:tcW w:w="885" w:type="pct"/>
            <w:tcBorders>
              <w:top w:val="single" w:color="auto" w:sz="4" w:space="0"/>
              <w:left w:val="single" w:color="auto" w:sz="4" w:space="0"/>
              <w:bottom w:val="single" w:color="auto" w:sz="4" w:space="0"/>
              <w:right w:val="single" w:color="auto" w:sz="4" w:space="0"/>
            </w:tcBorders>
            <w:vAlign w:val="center"/>
          </w:tcPr>
          <w:p w14:paraId="172476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rPr>
              <w:t>中小企业声明函</w:t>
            </w:r>
          </w:p>
        </w:tc>
        <w:tc>
          <w:tcPr>
            <w:tcW w:w="3545" w:type="pct"/>
            <w:tcBorders>
              <w:top w:val="single" w:color="auto" w:sz="4" w:space="0"/>
              <w:left w:val="single" w:color="auto" w:sz="4" w:space="0"/>
              <w:bottom w:val="single" w:color="auto" w:sz="4" w:space="0"/>
              <w:right w:val="single" w:color="auto" w:sz="4" w:space="0"/>
            </w:tcBorders>
            <w:vAlign w:val="center"/>
          </w:tcPr>
          <w:p w14:paraId="2793FA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本项目专门面向中小企业采购，投标企业应提供《中小企业声明函》，本项目采购标的对应的中小企业划分标准所属行业为：其他未列明行业。</w:t>
            </w:r>
          </w:p>
        </w:tc>
      </w:tr>
      <w:tr w14:paraId="242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6" w:hRule="atLeast"/>
          <w:jc w:val="center"/>
        </w:trPr>
        <w:tc>
          <w:tcPr>
            <w:tcW w:w="5000" w:type="pct"/>
            <w:gridSpan w:val="3"/>
            <w:tcBorders>
              <w:left w:val="single" w:color="auto" w:sz="4" w:space="0"/>
              <w:bottom w:val="single" w:color="auto" w:sz="4" w:space="0"/>
              <w:right w:val="single" w:color="auto" w:sz="4" w:space="0"/>
            </w:tcBorders>
            <w:vAlign w:val="center"/>
          </w:tcPr>
          <w:p w14:paraId="452ED072">
            <w:pPr>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注：供应商须保证投标文件中包含上述资质证明文件的复印件加盖公章，审查不合格将视为非响应投标。</w:t>
            </w:r>
          </w:p>
        </w:tc>
      </w:tr>
    </w:tbl>
    <w:p w14:paraId="4EA01507">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评标委员会将审查投标文件是否实质性响应了招标文件的要求。实质性响应的投标应该是与招标文件要求的全部条款、条件和规格相符，评标委员会只根据投标文件本身的内容确定投标文件的响应性，而不寻求外部的证据。</w:t>
      </w:r>
    </w:p>
    <w:p w14:paraId="249B6DFD">
      <w:pPr>
        <w:spacing w:line="460" w:lineRule="exact"/>
        <w:ind w:firstLine="480" w:firstLineChars="200"/>
        <w:rPr>
          <w:rFonts w:hint="eastAsia"/>
          <w:color w:val="auto"/>
        </w:rPr>
      </w:pPr>
      <w:r>
        <w:rPr>
          <w:rFonts w:hint="eastAsia" w:ascii="宋体" w:hAnsi="宋体" w:eastAsia="宋体" w:cs="宋体"/>
          <w:color w:val="auto"/>
          <w:sz w:val="24"/>
          <w:szCs w:val="24"/>
        </w:rPr>
        <w:t>24.3 投标文件符合性审查表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720"/>
        <w:gridCol w:w="2810"/>
      </w:tblGrid>
      <w:tr w14:paraId="1549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tcPr>
          <w:p w14:paraId="25D51C2B">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3080" w:type="pct"/>
            <w:vAlign w:val="center"/>
          </w:tcPr>
          <w:p w14:paraId="1D31AE52">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1513" w:type="pct"/>
            <w:vAlign w:val="center"/>
          </w:tcPr>
          <w:p w14:paraId="7191209D">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7B53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23549CB0">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1</w:t>
            </w:r>
          </w:p>
        </w:tc>
        <w:tc>
          <w:tcPr>
            <w:tcW w:w="3080" w:type="pct"/>
            <w:vAlign w:val="center"/>
          </w:tcPr>
          <w:p w14:paraId="41EE06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响应文件项目名称、项目编号与招标文件是否一致。</w:t>
            </w:r>
          </w:p>
        </w:tc>
        <w:tc>
          <w:tcPr>
            <w:tcW w:w="1513" w:type="pct"/>
            <w:vAlign w:val="center"/>
          </w:tcPr>
          <w:p w14:paraId="52BE87E1">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ED8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5" w:type="pct"/>
            <w:vAlign w:val="center"/>
          </w:tcPr>
          <w:p w14:paraId="6D4EF361">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2</w:t>
            </w:r>
          </w:p>
        </w:tc>
        <w:tc>
          <w:tcPr>
            <w:tcW w:w="3080" w:type="pct"/>
            <w:vAlign w:val="center"/>
          </w:tcPr>
          <w:p w14:paraId="044D7175">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投标文件要求加盖投标单位公章、法定代表人或被授权人签字处是否执行文件规定，是否齐全。</w:t>
            </w:r>
          </w:p>
        </w:tc>
        <w:tc>
          <w:tcPr>
            <w:tcW w:w="1513" w:type="pct"/>
            <w:vAlign w:val="center"/>
          </w:tcPr>
          <w:p w14:paraId="303FAAD8">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7F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6385BA7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3</w:t>
            </w:r>
          </w:p>
        </w:tc>
        <w:tc>
          <w:tcPr>
            <w:tcW w:w="3080" w:type="pct"/>
            <w:vAlign w:val="center"/>
          </w:tcPr>
          <w:p w14:paraId="219133A7">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r>
              <w:rPr>
                <w:rFonts w:hint="eastAsia" w:ascii="宋体" w:hAnsi="宋体" w:eastAsia="宋体" w:cs="宋体"/>
                <w:color w:val="auto"/>
                <w:sz w:val="21"/>
                <w:szCs w:val="21"/>
                <w:highlight w:val="none"/>
                <w:lang w:eastAsia="zh-CN"/>
              </w:rPr>
              <w:t>与营业执照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资质证件</w:t>
            </w:r>
            <w:r>
              <w:rPr>
                <w:rFonts w:hint="eastAsia" w:ascii="宋体" w:hAnsi="宋体" w:eastAsia="宋体" w:cs="宋体"/>
                <w:color w:val="auto"/>
                <w:sz w:val="21"/>
                <w:szCs w:val="21"/>
              </w:rPr>
              <w:t>是否一致。</w:t>
            </w:r>
          </w:p>
        </w:tc>
        <w:tc>
          <w:tcPr>
            <w:tcW w:w="1513" w:type="pct"/>
            <w:vAlign w:val="center"/>
          </w:tcPr>
          <w:p w14:paraId="177AAFA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796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5FF45A6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4</w:t>
            </w:r>
          </w:p>
        </w:tc>
        <w:tc>
          <w:tcPr>
            <w:tcW w:w="3080" w:type="pct"/>
            <w:vAlign w:val="center"/>
          </w:tcPr>
          <w:p w14:paraId="6A0798AB">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投标文件的投标有效期是否符合招标文件的要求。</w:t>
            </w:r>
          </w:p>
        </w:tc>
        <w:tc>
          <w:tcPr>
            <w:tcW w:w="1513" w:type="pct"/>
            <w:vAlign w:val="center"/>
          </w:tcPr>
          <w:p w14:paraId="3887DBF5">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062C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759BD1F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5</w:t>
            </w:r>
          </w:p>
        </w:tc>
        <w:tc>
          <w:tcPr>
            <w:tcW w:w="3080" w:type="pct"/>
            <w:vAlign w:val="center"/>
          </w:tcPr>
          <w:p w14:paraId="799E2BB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投标文件的组成及有效性。</w:t>
            </w:r>
          </w:p>
        </w:tc>
        <w:tc>
          <w:tcPr>
            <w:tcW w:w="1513" w:type="pct"/>
            <w:vAlign w:val="center"/>
          </w:tcPr>
          <w:p w14:paraId="7B1B294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F9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0C5E9C84">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6</w:t>
            </w:r>
          </w:p>
        </w:tc>
        <w:tc>
          <w:tcPr>
            <w:tcW w:w="3080" w:type="pct"/>
            <w:vAlign w:val="center"/>
          </w:tcPr>
          <w:p w14:paraId="27C152BD">
            <w:pPr>
              <w:widowControl/>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服务期是否符合招标文件要求。</w:t>
            </w:r>
          </w:p>
        </w:tc>
        <w:tc>
          <w:tcPr>
            <w:tcW w:w="1513" w:type="pct"/>
            <w:vAlign w:val="center"/>
          </w:tcPr>
          <w:p w14:paraId="2DB22E9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933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44B158CF">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7</w:t>
            </w:r>
          </w:p>
        </w:tc>
        <w:tc>
          <w:tcPr>
            <w:tcW w:w="3080" w:type="pct"/>
            <w:vAlign w:val="center"/>
          </w:tcPr>
          <w:p w14:paraId="50E11D8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投标报价未超出</w:t>
            </w:r>
            <w:r>
              <w:rPr>
                <w:rFonts w:hint="eastAsia" w:hAnsi="宋体" w:cs="宋体"/>
                <w:color w:val="auto"/>
                <w:sz w:val="21"/>
                <w:szCs w:val="21"/>
                <w:lang w:eastAsia="zh-CN"/>
              </w:rPr>
              <w:t>采购预算</w:t>
            </w:r>
            <w:r>
              <w:rPr>
                <w:rFonts w:hint="eastAsia" w:ascii="宋体" w:hAnsi="宋体" w:eastAsia="宋体" w:cs="宋体"/>
                <w:color w:val="auto"/>
                <w:sz w:val="21"/>
                <w:szCs w:val="21"/>
              </w:rPr>
              <w:t>。</w:t>
            </w:r>
          </w:p>
        </w:tc>
        <w:tc>
          <w:tcPr>
            <w:tcW w:w="1513" w:type="pct"/>
            <w:vAlign w:val="center"/>
          </w:tcPr>
          <w:p w14:paraId="2A85BFBF">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471C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576F9323">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8</w:t>
            </w:r>
          </w:p>
        </w:tc>
        <w:tc>
          <w:tcPr>
            <w:tcW w:w="3080" w:type="pct"/>
            <w:vAlign w:val="center"/>
          </w:tcPr>
          <w:p w14:paraId="18943E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投标报价明细表。</w:t>
            </w:r>
          </w:p>
        </w:tc>
        <w:tc>
          <w:tcPr>
            <w:tcW w:w="1513" w:type="pct"/>
            <w:vAlign w:val="center"/>
          </w:tcPr>
          <w:p w14:paraId="4F2D1EEC">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41CC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5" w:type="pct"/>
            <w:vAlign w:val="center"/>
          </w:tcPr>
          <w:p w14:paraId="44373ED9">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9</w:t>
            </w:r>
          </w:p>
        </w:tc>
        <w:tc>
          <w:tcPr>
            <w:tcW w:w="3080" w:type="pct"/>
            <w:vAlign w:val="center"/>
          </w:tcPr>
          <w:p w14:paraId="01DB44CF">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投标方案</w:t>
            </w:r>
            <w:r>
              <w:rPr>
                <w:rFonts w:hint="eastAsia" w:hAnsi="宋体" w:cs="宋体"/>
                <w:color w:val="auto"/>
                <w:sz w:val="21"/>
                <w:szCs w:val="21"/>
                <w:lang w:val="en-US" w:eastAsia="zh-CN"/>
              </w:rPr>
              <w:t>未</w:t>
            </w:r>
            <w:r>
              <w:rPr>
                <w:rFonts w:hint="eastAsia" w:ascii="宋体" w:hAnsi="宋体" w:eastAsia="宋体" w:cs="宋体"/>
                <w:color w:val="auto"/>
                <w:sz w:val="21"/>
                <w:szCs w:val="21"/>
              </w:rPr>
              <w:t>出现严重漏项，</w:t>
            </w:r>
            <w:r>
              <w:rPr>
                <w:rFonts w:hint="eastAsia" w:hAnsi="宋体" w:cs="宋体"/>
                <w:color w:val="auto"/>
                <w:sz w:val="21"/>
                <w:szCs w:val="21"/>
                <w:lang w:val="en-US" w:eastAsia="zh-CN"/>
              </w:rPr>
              <w:t>未</w:t>
            </w:r>
            <w:r>
              <w:rPr>
                <w:rFonts w:hint="eastAsia" w:ascii="宋体" w:hAnsi="宋体" w:eastAsia="宋体" w:cs="宋体"/>
                <w:color w:val="auto"/>
                <w:sz w:val="21"/>
                <w:szCs w:val="21"/>
              </w:rPr>
              <w:t>造成系统缺陷，</w:t>
            </w:r>
            <w:r>
              <w:rPr>
                <w:rFonts w:hint="eastAsia" w:hAnsi="宋体" w:cs="宋体"/>
                <w:color w:val="auto"/>
                <w:sz w:val="21"/>
                <w:szCs w:val="21"/>
                <w:lang w:val="en-US" w:eastAsia="zh-CN"/>
              </w:rPr>
              <w:t>未</w:t>
            </w:r>
            <w:r>
              <w:rPr>
                <w:rFonts w:hint="eastAsia" w:ascii="宋体" w:hAnsi="宋体" w:eastAsia="宋体" w:cs="宋体"/>
                <w:color w:val="auto"/>
                <w:sz w:val="21"/>
                <w:szCs w:val="21"/>
              </w:rPr>
              <w:t>影响到该项目的实施。</w:t>
            </w:r>
          </w:p>
        </w:tc>
        <w:tc>
          <w:tcPr>
            <w:tcW w:w="1513" w:type="pct"/>
            <w:vAlign w:val="center"/>
          </w:tcPr>
          <w:p w14:paraId="0D9D9EA2">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A8A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0F0A1D19">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rPr>
              <w:t>1</w:t>
            </w:r>
            <w:r>
              <w:rPr>
                <w:rFonts w:hint="eastAsia" w:hAnsi="宋体" w:cs="宋体"/>
                <w:color w:val="auto"/>
                <w:spacing w:val="10"/>
                <w:sz w:val="21"/>
                <w:szCs w:val="21"/>
                <w:lang w:val="en-US" w:eastAsia="zh-CN"/>
              </w:rPr>
              <w:t>0</w:t>
            </w:r>
          </w:p>
        </w:tc>
        <w:tc>
          <w:tcPr>
            <w:tcW w:w="3080" w:type="pct"/>
            <w:vAlign w:val="center"/>
          </w:tcPr>
          <w:p w14:paraId="0B8AF72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招标文件中规定的其他要求。</w:t>
            </w:r>
          </w:p>
        </w:tc>
        <w:tc>
          <w:tcPr>
            <w:tcW w:w="1513" w:type="pct"/>
            <w:vAlign w:val="center"/>
          </w:tcPr>
          <w:p w14:paraId="4EC41EB1">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9A296A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24.4 如果投标文件没有实质性响应招标文件的要求，评标委员会将予以拒绝，投标供应商不得通过修正或撤销不合要求的偏离从而使其投标成为实质性响应的投标。</w:t>
      </w:r>
    </w:p>
    <w:p w14:paraId="1A4CD0D0">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24.5 评标委员会将只对确定为实质性响应的投标进行审核，看其是否有计算上和累加上的算术错误，修正错误的原则如下：</w:t>
      </w:r>
    </w:p>
    <w:p w14:paraId="44392C1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1）投标报价表中内容与投标文件投标分项报价表内容不一致的，应以投标报价表为准；</w:t>
      </w:r>
    </w:p>
    <w:p w14:paraId="3871AA9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2）投标文件的大写金额和小写金额不一致的，以大写金额为准；总价金额与按单价汇总金额不一致的，以单价金额计算结果为准；单价金额小数点有明显错位的，应以总价为准，并修改单价；</w:t>
      </w:r>
    </w:p>
    <w:p w14:paraId="18DF7C2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24.6 评标委员会将按上述修正错误的原则调整投标文件中的投标报价，调整后的价格应对供应商具有约束力。如果供应商不接受修正后的价格，则其投标将被拒绝。</w:t>
      </w:r>
    </w:p>
    <w:p w14:paraId="16F7FA3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25．投标文件的详细评审</w:t>
      </w:r>
    </w:p>
    <w:p w14:paraId="30526755">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 评标委员会将按照第24条规定只对确定为实质性响应招标文件要求的投标进行详细的评价和比较。</w:t>
      </w:r>
    </w:p>
    <w:p w14:paraId="28839F68">
      <w:pPr>
        <w:spacing w:line="460" w:lineRule="exact"/>
        <w:ind w:firstLine="480" w:firstLineChars="200"/>
        <w:rPr>
          <w:rFonts w:hint="eastAsia" w:ascii="宋体" w:hAnsi="宋体" w:eastAsia="宋体" w:cs="宋体"/>
          <w:b/>
          <w:color w:val="auto"/>
          <w:sz w:val="24"/>
          <w:highlight w:val="green"/>
        </w:rPr>
      </w:pPr>
      <w:r>
        <w:rPr>
          <w:rFonts w:hint="eastAsia" w:ascii="宋体" w:hAnsi="宋体" w:eastAsia="宋体" w:cs="宋体"/>
          <w:b/>
          <w:color w:val="auto"/>
          <w:sz w:val="24"/>
          <w:highlight w:val="green"/>
        </w:rPr>
        <w:t>25.2 评标方法：综合评分法</w:t>
      </w:r>
    </w:p>
    <w:p w14:paraId="5681D4A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评价和比较以招标文件为依据，对所有实质上响应的投标分别从</w:t>
      </w:r>
      <w:r>
        <w:rPr>
          <w:rFonts w:hint="eastAsia" w:ascii="宋体" w:hAnsi="宋体" w:eastAsia="宋体" w:cs="宋体"/>
          <w:color w:val="auto"/>
          <w:sz w:val="24"/>
          <w:highlight w:val="none"/>
          <w:lang w:eastAsia="zh-CN"/>
        </w:rPr>
        <w:t>“投标报价”、“</w:t>
      </w:r>
      <w:r>
        <w:rPr>
          <w:rFonts w:hint="eastAsia" w:hAnsi="宋体" w:cs="宋体"/>
          <w:color w:val="auto"/>
          <w:sz w:val="24"/>
          <w:highlight w:val="none"/>
          <w:lang w:val="en-US" w:eastAsia="zh-CN"/>
        </w:rPr>
        <w:t>商务响应</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技术方案及服务承诺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专业人员配备情况</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企业业绩</w:t>
      </w:r>
      <w:r>
        <w:rPr>
          <w:rFonts w:hint="eastAsia" w:hAnsi="宋体" w:cs="宋体"/>
          <w:color w:val="auto"/>
          <w:sz w:val="24"/>
          <w:highlight w:val="none"/>
          <w:lang w:eastAsia="zh-CN"/>
        </w:rPr>
        <w:t>”</w:t>
      </w:r>
      <w:r>
        <w:rPr>
          <w:rFonts w:hint="eastAsia" w:ascii="宋体" w:hAnsi="宋体" w:eastAsia="宋体" w:cs="宋体"/>
          <w:color w:val="auto"/>
          <w:sz w:val="24"/>
        </w:rPr>
        <w:t>等方面进行评审赋分。</w:t>
      </w:r>
    </w:p>
    <w:p w14:paraId="75BC6D4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rPr>
      </w:pPr>
      <w:r>
        <w:rPr>
          <w:rFonts w:hint="eastAsia" w:ascii="宋体" w:hAnsi="宋体" w:eastAsia="宋体" w:cs="宋体"/>
          <w:b/>
          <w:color w:val="auto"/>
          <w:sz w:val="24"/>
        </w:rPr>
        <w:t>评审总分值为100分，具体分值如下：</w:t>
      </w:r>
    </w:p>
    <w:tbl>
      <w:tblPr>
        <w:tblStyle w:val="24"/>
        <w:tblpPr w:leftFromText="180" w:rightFromText="180" w:vertAnchor="text" w:horzAnchor="page" w:tblpX="1485" w:tblpY="52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0"/>
        <w:gridCol w:w="6111"/>
        <w:gridCol w:w="945"/>
      </w:tblGrid>
      <w:tr w14:paraId="783F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754" w:type="dxa"/>
            <w:noWrap w:val="0"/>
            <w:vAlign w:val="center"/>
          </w:tcPr>
          <w:p w14:paraId="5D0E96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b/>
                <w:color w:val="auto"/>
                <w:sz w:val="24"/>
              </w:rPr>
            </w:pPr>
            <w:r>
              <w:rPr>
                <w:rFonts w:hint="eastAsia" w:ascii="宋体" w:hAnsi="宋体"/>
                <w:b/>
                <w:color w:val="auto"/>
                <w:sz w:val="24"/>
              </w:rPr>
              <w:t>序号</w:t>
            </w:r>
          </w:p>
        </w:tc>
        <w:tc>
          <w:tcPr>
            <w:tcW w:w="1590" w:type="dxa"/>
            <w:noWrap w:val="0"/>
            <w:vAlign w:val="center"/>
          </w:tcPr>
          <w:p w14:paraId="4C0B65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评分因素</w:t>
            </w:r>
          </w:p>
        </w:tc>
        <w:tc>
          <w:tcPr>
            <w:tcW w:w="6111" w:type="dxa"/>
            <w:noWrap w:val="0"/>
            <w:vAlign w:val="center"/>
          </w:tcPr>
          <w:p w14:paraId="470F17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评分标准</w:t>
            </w:r>
          </w:p>
        </w:tc>
        <w:tc>
          <w:tcPr>
            <w:tcW w:w="945" w:type="dxa"/>
            <w:noWrap w:val="0"/>
            <w:vAlign w:val="center"/>
          </w:tcPr>
          <w:p w14:paraId="63D517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 w:val="24"/>
                <w:lang w:eastAsia="zh-CN"/>
              </w:rPr>
            </w:pPr>
            <w:r>
              <w:rPr>
                <w:rFonts w:hint="eastAsia" w:ascii="宋体" w:hAnsi="宋体"/>
                <w:b/>
                <w:color w:val="auto"/>
                <w:sz w:val="24"/>
              </w:rPr>
              <w:t>分值</w:t>
            </w:r>
          </w:p>
        </w:tc>
      </w:tr>
      <w:tr w14:paraId="12B7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54" w:type="dxa"/>
            <w:noWrap w:val="0"/>
            <w:vAlign w:val="center"/>
          </w:tcPr>
          <w:p w14:paraId="211AA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kern w:val="2"/>
                <w:sz w:val="22"/>
                <w:szCs w:val="22"/>
                <w:lang w:val="en-US" w:eastAsia="zh-CN" w:bidi="ar-SA"/>
              </w:rPr>
            </w:pPr>
            <w:r>
              <w:rPr>
                <w:rFonts w:hint="eastAsia" w:ascii="宋体" w:hAnsi="宋体" w:cs="Times New Roman"/>
                <w:color w:val="auto"/>
                <w:kern w:val="2"/>
                <w:sz w:val="22"/>
                <w:szCs w:val="22"/>
                <w:lang w:val="en-US" w:eastAsia="zh-CN" w:bidi="ar-SA"/>
              </w:rPr>
              <w:t>1</w:t>
            </w:r>
          </w:p>
        </w:tc>
        <w:tc>
          <w:tcPr>
            <w:tcW w:w="1590" w:type="dxa"/>
            <w:noWrap w:val="0"/>
            <w:vAlign w:val="center"/>
          </w:tcPr>
          <w:p w14:paraId="2357B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投标报价</w:t>
            </w:r>
          </w:p>
          <w:p w14:paraId="22AB45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0B0291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rPr>
              <w:t>以满足</w:t>
            </w:r>
            <w:r>
              <w:rPr>
                <w:rFonts w:hint="eastAsia" w:hAnsi="宋体" w:cs="Times New Roman"/>
                <w:color w:val="auto"/>
                <w:sz w:val="22"/>
                <w:szCs w:val="22"/>
                <w:lang w:eastAsia="zh-CN"/>
              </w:rPr>
              <w:t>招标</w:t>
            </w:r>
            <w:r>
              <w:rPr>
                <w:rFonts w:hint="eastAsia" w:ascii="宋体" w:hAnsi="宋体" w:eastAsia="宋体" w:cs="Times New Roman"/>
                <w:color w:val="auto"/>
                <w:sz w:val="22"/>
                <w:szCs w:val="22"/>
              </w:rPr>
              <w:t>文件要求且</w:t>
            </w:r>
            <w:r>
              <w:rPr>
                <w:rFonts w:hint="eastAsia" w:ascii="宋体" w:hAnsi="宋体" w:cs="Times New Roman"/>
                <w:color w:val="auto"/>
                <w:sz w:val="22"/>
                <w:szCs w:val="22"/>
                <w:lang w:val="en-US" w:eastAsia="zh-CN"/>
              </w:rPr>
              <w:t>最后</w:t>
            </w:r>
            <w:r>
              <w:rPr>
                <w:rFonts w:hint="eastAsia" w:ascii="宋体" w:hAnsi="宋体" w:eastAsia="宋体" w:cs="Times New Roman"/>
                <w:color w:val="auto"/>
                <w:sz w:val="22"/>
                <w:szCs w:val="22"/>
              </w:rPr>
              <w:t>报价最低的</w:t>
            </w:r>
            <w:r>
              <w:rPr>
                <w:rFonts w:hint="eastAsia" w:ascii="宋体" w:hAnsi="宋体" w:cs="Times New Roman"/>
                <w:color w:val="auto"/>
                <w:sz w:val="22"/>
                <w:szCs w:val="22"/>
                <w:lang w:val="en-US" w:eastAsia="zh-CN"/>
              </w:rPr>
              <w:t>供应商的价格</w:t>
            </w:r>
            <w:r>
              <w:rPr>
                <w:rFonts w:hint="eastAsia" w:ascii="宋体" w:hAnsi="宋体" w:eastAsia="宋体" w:cs="Times New Roman"/>
                <w:color w:val="auto"/>
                <w:sz w:val="22"/>
                <w:szCs w:val="22"/>
              </w:rPr>
              <w:t>为</w:t>
            </w:r>
            <w:r>
              <w:rPr>
                <w:rFonts w:hint="eastAsia" w:hAnsi="宋体" w:cs="Times New Roman"/>
                <w:color w:val="auto"/>
                <w:sz w:val="22"/>
                <w:szCs w:val="22"/>
                <w:lang w:val="en-US" w:eastAsia="zh-CN"/>
              </w:rPr>
              <w:t>评标</w:t>
            </w:r>
            <w:r>
              <w:rPr>
                <w:rFonts w:hint="eastAsia" w:ascii="宋体" w:hAnsi="宋体" w:eastAsia="宋体" w:cs="Times New Roman"/>
                <w:color w:val="auto"/>
                <w:sz w:val="22"/>
                <w:szCs w:val="22"/>
              </w:rPr>
              <w:t>基准价,其价格分为满分</w:t>
            </w: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rPr>
              <w:t>分,其他</w:t>
            </w:r>
            <w:r>
              <w:rPr>
                <w:rFonts w:hint="eastAsia" w:ascii="宋体" w:hAnsi="宋体" w:cs="Times New Roman"/>
                <w:color w:val="auto"/>
                <w:sz w:val="22"/>
                <w:szCs w:val="22"/>
                <w:lang w:eastAsia="zh-CN"/>
              </w:rPr>
              <w:t>供应商</w:t>
            </w:r>
            <w:r>
              <w:rPr>
                <w:rFonts w:hint="eastAsia" w:ascii="宋体" w:hAnsi="宋体" w:eastAsia="宋体" w:cs="Times New Roman"/>
                <w:color w:val="auto"/>
                <w:sz w:val="22"/>
                <w:szCs w:val="22"/>
              </w:rPr>
              <w:t>的价格分按照下列公式计算:</w:t>
            </w:r>
            <w:r>
              <w:rPr>
                <w:rFonts w:hint="eastAsia" w:hAnsi="宋体" w:cs="Times New Roman"/>
                <w:color w:val="auto"/>
                <w:sz w:val="22"/>
                <w:szCs w:val="22"/>
                <w:lang w:val="en-US" w:eastAsia="zh-CN"/>
              </w:rPr>
              <w:t>投标报价得分=(评标基准价/投标报价)×20</w:t>
            </w:r>
            <w:r>
              <w:rPr>
                <w:rFonts w:hint="eastAsia" w:ascii="宋体" w:hAnsi="宋体" w:eastAsia="宋体" w:cs="Times New Roman"/>
                <w:color w:val="auto"/>
                <w:sz w:val="22"/>
                <w:szCs w:val="22"/>
              </w:rPr>
              <w:t>。</w:t>
            </w:r>
          </w:p>
        </w:tc>
        <w:tc>
          <w:tcPr>
            <w:tcW w:w="945" w:type="dxa"/>
            <w:noWrap w:val="0"/>
            <w:vAlign w:val="center"/>
          </w:tcPr>
          <w:p w14:paraId="239FA7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2"/>
                <w:szCs w:val="22"/>
                <w:lang w:val="en-US" w:eastAsia="zh-CN" w:bidi="ar-SA"/>
              </w:rPr>
            </w:pP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lang w:val="en-US" w:eastAsia="zh-CN"/>
              </w:rPr>
              <w:t>分</w:t>
            </w:r>
          </w:p>
        </w:tc>
      </w:tr>
      <w:tr w14:paraId="12D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4" w:type="dxa"/>
            <w:noWrap w:val="0"/>
            <w:vAlign w:val="center"/>
          </w:tcPr>
          <w:p w14:paraId="2DF03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2</w:t>
            </w:r>
          </w:p>
        </w:tc>
        <w:tc>
          <w:tcPr>
            <w:tcW w:w="1590" w:type="dxa"/>
            <w:noWrap w:val="0"/>
            <w:vAlign w:val="center"/>
          </w:tcPr>
          <w:p w14:paraId="4A9FB6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商务响应</w:t>
            </w:r>
          </w:p>
          <w:p w14:paraId="03510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（5分）</w:t>
            </w:r>
          </w:p>
        </w:tc>
        <w:tc>
          <w:tcPr>
            <w:tcW w:w="6111" w:type="dxa"/>
            <w:noWrap w:val="0"/>
            <w:vAlign w:val="center"/>
          </w:tcPr>
          <w:p w14:paraId="688188E5">
            <w:pPr>
              <w:adjustRightInd/>
              <w:spacing w:line="300" w:lineRule="exact"/>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经过有效性和符合性审核合格的单位，对付款、服务期、验收、售后服务等方面进行响应，按响应程度赋0-5分。</w:t>
            </w:r>
          </w:p>
        </w:tc>
        <w:tc>
          <w:tcPr>
            <w:tcW w:w="945" w:type="dxa"/>
            <w:noWrap w:val="0"/>
            <w:vAlign w:val="center"/>
          </w:tcPr>
          <w:p w14:paraId="291C5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0DB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54" w:type="dxa"/>
            <w:vMerge w:val="restart"/>
            <w:noWrap w:val="0"/>
            <w:vAlign w:val="center"/>
          </w:tcPr>
          <w:p w14:paraId="046935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3</w:t>
            </w:r>
          </w:p>
          <w:p w14:paraId="5BB86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restart"/>
            <w:noWrap w:val="0"/>
            <w:vAlign w:val="center"/>
          </w:tcPr>
          <w:p w14:paraId="36B506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技术</w:t>
            </w:r>
            <w:r>
              <w:rPr>
                <w:rFonts w:hint="eastAsia" w:ascii="宋体" w:hAnsi="宋体" w:eastAsia="宋体" w:cs="Times New Roman"/>
                <w:color w:val="auto"/>
                <w:sz w:val="22"/>
                <w:szCs w:val="22"/>
              </w:rPr>
              <w:t>方案</w:t>
            </w:r>
            <w:r>
              <w:rPr>
                <w:rFonts w:hint="eastAsia" w:hAnsi="宋体" w:cs="Times New Roman"/>
                <w:color w:val="auto"/>
                <w:sz w:val="22"/>
                <w:szCs w:val="22"/>
                <w:lang w:val="en-US" w:eastAsia="zh-CN"/>
              </w:rPr>
              <w:t>及</w:t>
            </w:r>
          </w:p>
          <w:p w14:paraId="5B054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服务承诺</w:t>
            </w:r>
            <w:r>
              <w:rPr>
                <w:rFonts w:hint="eastAsia" w:ascii="宋体" w:hAnsi="宋体" w:eastAsia="宋体" w:cs="Times New Roman"/>
                <w:color w:val="auto"/>
                <w:sz w:val="22"/>
                <w:szCs w:val="22"/>
                <w:lang w:val="en-US" w:eastAsia="zh-CN"/>
              </w:rPr>
              <w:t xml:space="preserve">  </w:t>
            </w:r>
          </w:p>
          <w:p w14:paraId="74AD06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eastAsia="zh-CN"/>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60</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1EFEA53B">
            <w:pPr>
              <w:adjustRightInd/>
              <w:spacing w:line="300" w:lineRule="exact"/>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项目的总体理解与思路：</w:t>
            </w:r>
            <w:r>
              <w:rPr>
                <w:rFonts w:hint="default" w:ascii="宋体" w:hAnsi="宋体" w:eastAsia="宋体" w:cs="Times New Roman"/>
                <w:color w:val="auto"/>
                <w:sz w:val="22"/>
                <w:szCs w:val="22"/>
                <w:lang w:val="en-US" w:eastAsia="zh-CN"/>
              </w:rPr>
              <w:t>投标</w:t>
            </w:r>
            <w:r>
              <w:rPr>
                <w:rFonts w:hint="eastAsia" w:hAnsi="宋体" w:cs="Times New Roman"/>
                <w:color w:val="auto"/>
                <w:sz w:val="22"/>
                <w:szCs w:val="22"/>
                <w:lang w:val="en-US" w:eastAsia="zh-CN"/>
              </w:rPr>
              <w:t>人</w:t>
            </w:r>
            <w:r>
              <w:rPr>
                <w:rFonts w:hint="default" w:ascii="宋体" w:hAnsi="宋体" w:eastAsia="宋体" w:cs="Times New Roman"/>
                <w:color w:val="auto"/>
                <w:sz w:val="22"/>
                <w:szCs w:val="22"/>
                <w:lang w:val="en-US" w:eastAsia="zh-CN"/>
              </w:rPr>
              <w:t>从国家、省、市政策层面、区域层面解读项目背景，提供对认识和理解项目的背景、意义、要求，对该项目实施意义的必要性、专业性做出理解与分析，包含不限于技术路线、规划定位、规划任务、编制原则、规划编制内容。结合平利县现状特征及实际发展情况准确把握本项目思路。思路清晰、切实可行计 6-10 分， 思路较清晰、较切实可行计 3-6 分，思路不清晰、不切实可行计 0-3 分，本项满分 10 分。</w:t>
            </w:r>
          </w:p>
        </w:tc>
        <w:tc>
          <w:tcPr>
            <w:tcW w:w="945" w:type="dxa"/>
            <w:noWrap w:val="0"/>
            <w:vAlign w:val="center"/>
          </w:tcPr>
          <w:p w14:paraId="62921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7153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54" w:type="dxa"/>
            <w:vMerge w:val="continue"/>
            <w:noWrap w:val="0"/>
            <w:vAlign w:val="center"/>
          </w:tcPr>
          <w:p w14:paraId="702D7B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4345CF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59BA09A2">
            <w:pPr>
              <w:adjustRightInd/>
              <w:spacing w:line="300" w:lineRule="exact"/>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针对本项目实际情况，</w:t>
            </w:r>
            <w:r>
              <w:rPr>
                <w:rFonts w:hint="eastAsia" w:hAnsi="宋体"/>
                <w:color w:val="auto"/>
                <w:sz w:val="21"/>
                <w:szCs w:val="21"/>
                <w:lang w:val="en-US" w:eastAsia="zh-CN"/>
              </w:rPr>
              <w:t>基于本项目现状分析，制定规划编制工作的具体实施方案，</w:t>
            </w:r>
            <w:r>
              <w:rPr>
                <w:rFonts w:hint="eastAsia" w:ascii="宋体" w:hAnsi="宋体"/>
                <w:color w:val="auto"/>
                <w:sz w:val="21"/>
                <w:szCs w:val="21"/>
                <w:lang w:val="en-US" w:eastAsia="zh-CN"/>
              </w:rPr>
              <w:t>并列出工作流程，从对方案及流程内容的清晰程度、完整程度、科学合理程度、可行程度等方面进行评审。</w:t>
            </w:r>
          </w:p>
          <w:p w14:paraId="38BD0E96">
            <w:pPr>
              <w:adjustRightInd/>
              <w:spacing w:line="300" w:lineRule="exact"/>
              <w:textAlignment w:val="auto"/>
              <w:rPr>
                <w:rFonts w:hint="eastAsia" w:ascii="宋体" w:hAnsi="宋体" w:eastAsia="宋体" w:cs="Times New Roman"/>
                <w:color w:val="auto"/>
                <w:sz w:val="22"/>
                <w:szCs w:val="22"/>
              </w:rPr>
            </w:pPr>
            <w:r>
              <w:rPr>
                <w:rFonts w:hint="eastAsia" w:ascii="宋体" w:hAnsi="宋体"/>
                <w:color w:val="auto"/>
                <w:sz w:val="21"/>
                <w:szCs w:val="21"/>
                <w:lang w:val="en-US" w:eastAsia="zh-CN"/>
              </w:rPr>
              <w:t>方案科学、合理，内容清晰、可行性强，得10-15分；方案较为合理，内容清晰、</w:t>
            </w:r>
            <w:r>
              <w:rPr>
                <w:rFonts w:hint="eastAsia" w:hAnsi="宋体"/>
                <w:color w:val="auto"/>
                <w:sz w:val="21"/>
                <w:szCs w:val="21"/>
                <w:lang w:val="en-US" w:eastAsia="zh-CN"/>
              </w:rPr>
              <w:t>有</w:t>
            </w:r>
            <w:r>
              <w:rPr>
                <w:rFonts w:hint="eastAsia" w:ascii="宋体" w:hAnsi="宋体"/>
                <w:color w:val="auto"/>
                <w:sz w:val="21"/>
                <w:szCs w:val="21"/>
                <w:lang w:val="en-US" w:eastAsia="zh-CN"/>
              </w:rPr>
              <w:t>可行性</w:t>
            </w:r>
            <w:r>
              <w:rPr>
                <w:rFonts w:hint="eastAsia" w:hAnsi="宋体"/>
                <w:color w:val="auto"/>
                <w:sz w:val="21"/>
                <w:szCs w:val="21"/>
                <w:lang w:val="en-US" w:eastAsia="zh-CN"/>
              </w:rPr>
              <w:t>，</w:t>
            </w:r>
            <w:r>
              <w:rPr>
                <w:rFonts w:hint="eastAsia" w:ascii="宋体" w:hAnsi="宋体"/>
                <w:color w:val="auto"/>
                <w:sz w:val="21"/>
                <w:szCs w:val="21"/>
                <w:lang w:val="en-US" w:eastAsia="zh-CN"/>
              </w:rPr>
              <w:t>得5-10分；方案存在部分缺陷和不足的计1-5分</w:t>
            </w:r>
            <w:r>
              <w:rPr>
                <w:rFonts w:hint="eastAsia" w:hAnsi="宋体"/>
                <w:color w:val="auto"/>
                <w:sz w:val="21"/>
                <w:szCs w:val="21"/>
                <w:lang w:val="en-US" w:eastAsia="zh-CN"/>
              </w:rPr>
              <w:t>；方案不合理不切合实际情况的或</w:t>
            </w:r>
            <w:r>
              <w:rPr>
                <w:rFonts w:hint="eastAsia" w:ascii="宋体" w:hAnsi="宋体"/>
                <w:color w:val="auto"/>
                <w:sz w:val="21"/>
                <w:szCs w:val="21"/>
                <w:lang w:val="en-US" w:eastAsia="zh-CN"/>
              </w:rPr>
              <w:t>无方案不得分。</w:t>
            </w:r>
          </w:p>
        </w:tc>
        <w:tc>
          <w:tcPr>
            <w:tcW w:w="945" w:type="dxa"/>
            <w:noWrap w:val="0"/>
            <w:vAlign w:val="center"/>
          </w:tcPr>
          <w:p w14:paraId="7535E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15</w:t>
            </w:r>
            <w:r>
              <w:rPr>
                <w:rFonts w:hint="eastAsia" w:ascii="宋体" w:hAnsi="宋体" w:cs="Times New Roman"/>
                <w:color w:val="auto"/>
                <w:sz w:val="22"/>
                <w:szCs w:val="22"/>
                <w:lang w:val="en-US" w:eastAsia="zh-CN"/>
              </w:rPr>
              <w:t>分</w:t>
            </w:r>
          </w:p>
        </w:tc>
      </w:tr>
      <w:tr w14:paraId="773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54" w:type="dxa"/>
            <w:vMerge w:val="continue"/>
            <w:noWrap w:val="0"/>
            <w:vAlign w:val="center"/>
          </w:tcPr>
          <w:p w14:paraId="29CD4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711CF6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14ED323D">
            <w:pPr>
              <w:adjustRightInd/>
              <w:spacing w:line="300" w:lineRule="exact"/>
              <w:textAlignment w:val="auto"/>
              <w:rPr>
                <w:rFonts w:hint="default" w:ascii="宋体" w:hAnsi="宋体" w:eastAsia="宋体" w:cs="Times New Roman"/>
                <w:color w:val="auto"/>
                <w:sz w:val="22"/>
                <w:szCs w:val="22"/>
                <w:lang w:val="en-US" w:eastAsia="zh-CN"/>
              </w:rPr>
            </w:pPr>
            <w:r>
              <w:rPr>
                <w:rFonts w:hint="default" w:ascii="宋体" w:hAnsi="宋体" w:eastAsia="宋体" w:cs="Times New Roman"/>
                <w:color w:val="auto"/>
                <w:sz w:val="22"/>
                <w:szCs w:val="22"/>
                <w:lang w:val="en-US" w:eastAsia="zh-CN"/>
              </w:rPr>
              <w:t>拟投入本项目服务团队(现场采集资料调研人员、后期技术资料整理人员、方案编制人员、质量检査员等)人员数量、组成结构、执业资格、从业经验等方面进行综合比较:根据组织结构是否合理、专业配备是否齐全、人员分工是否</w:t>
            </w:r>
            <w:r>
              <w:rPr>
                <w:rFonts w:hint="eastAsia" w:hAnsi="宋体" w:cs="Times New Roman"/>
                <w:color w:val="auto"/>
                <w:sz w:val="22"/>
                <w:szCs w:val="22"/>
                <w:lang w:val="en-US" w:eastAsia="zh-CN"/>
              </w:rPr>
              <w:t>合理、岗位责任制度是否明确，根据响应程度计0-5分。</w:t>
            </w:r>
          </w:p>
        </w:tc>
        <w:tc>
          <w:tcPr>
            <w:tcW w:w="945" w:type="dxa"/>
            <w:noWrap w:val="0"/>
            <w:vAlign w:val="center"/>
          </w:tcPr>
          <w:p w14:paraId="3A9C1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6EA3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54" w:type="dxa"/>
            <w:vMerge w:val="continue"/>
            <w:noWrap w:val="0"/>
            <w:vAlign w:val="center"/>
          </w:tcPr>
          <w:p w14:paraId="3059F8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64FDC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5711F41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提供针对本项目的质量保障措施，从措施的完整性、科学性、合理性、与项目实际情况得贴合度等方面进行评审。</w:t>
            </w:r>
          </w:p>
          <w:p w14:paraId="43C2A1EC">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保障措施完整、科学、合理，贴合本项目实际情况得7-10分；</w:t>
            </w:r>
          </w:p>
          <w:p w14:paraId="49E26F2F">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保障措施较为完整、较为贴合本项目实际情况得4-7分；</w:t>
            </w:r>
          </w:p>
          <w:p w14:paraId="7A7A70AB">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保障措施不够完善、不符合本项目实际情况得1-4分；</w:t>
            </w:r>
          </w:p>
          <w:p w14:paraId="6C72D7CD">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无质量保障措施内容不得分。</w:t>
            </w:r>
          </w:p>
        </w:tc>
        <w:tc>
          <w:tcPr>
            <w:tcW w:w="945" w:type="dxa"/>
            <w:noWrap w:val="0"/>
            <w:vAlign w:val="center"/>
          </w:tcPr>
          <w:p w14:paraId="6A66C0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3C02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54" w:type="dxa"/>
            <w:vMerge w:val="continue"/>
            <w:noWrap w:val="0"/>
            <w:vAlign w:val="center"/>
          </w:tcPr>
          <w:p w14:paraId="1AEB9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0377BA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07938861">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供应商提供完整、可行、全面的进度计划保证措施及进度保证方案，能满足采购人要求，确保项目能够按时完成并通过标准发布验收</w:t>
            </w:r>
            <w:r>
              <w:rPr>
                <w:rFonts w:hint="eastAsia" w:hAnsi="宋体" w:cs="Times New Roman"/>
                <w:color w:val="auto"/>
                <w:sz w:val="22"/>
                <w:szCs w:val="22"/>
                <w:lang w:val="en-US" w:eastAsia="zh-CN"/>
              </w:rPr>
              <w:t>。</w:t>
            </w:r>
          </w:p>
          <w:p w14:paraId="6F1BBD0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措施及方案完善合理、切实可行得7-10分；</w:t>
            </w:r>
          </w:p>
          <w:p w14:paraId="731451C7">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措施及方案基本满足、可行性一般得4-7分；</w:t>
            </w:r>
          </w:p>
          <w:p w14:paraId="4A7489F4">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措施及方案不健全、可行性不足得1-4分；</w:t>
            </w:r>
          </w:p>
          <w:p w14:paraId="5507E5C0">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无进度保障措施内容不得分。</w:t>
            </w:r>
          </w:p>
        </w:tc>
        <w:tc>
          <w:tcPr>
            <w:tcW w:w="945" w:type="dxa"/>
            <w:noWrap w:val="0"/>
            <w:vAlign w:val="center"/>
          </w:tcPr>
          <w:p w14:paraId="362676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10分</w:t>
            </w:r>
          </w:p>
        </w:tc>
      </w:tr>
      <w:tr w14:paraId="672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54" w:type="dxa"/>
            <w:vMerge w:val="continue"/>
            <w:noWrap w:val="0"/>
            <w:vAlign w:val="center"/>
          </w:tcPr>
          <w:p w14:paraId="70B3B3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2531E0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0B2B0D5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结合本项目特点，投标企业针对多村规划编制工作中可能遇到的问题进行分析并提出合理化建议，包括现状梳理、案例分析、村庄特色、现状用地等内容的分析和理解就村庄规划的重点难点问题解决的对策，做出合理、完整的方案。</w:t>
            </w:r>
            <w:r>
              <w:rPr>
                <w:rFonts w:hint="eastAsia" w:hAnsi="宋体" w:cs="Times New Roman"/>
                <w:color w:val="auto"/>
                <w:sz w:val="22"/>
                <w:szCs w:val="22"/>
                <w:lang w:val="en-US" w:eastAsia="zh-CN"/>
              </w:rPr>
              <w:t>根据响应程度计0-5分</w:t>
            </w:r>
            <w:r>
              <w:rPr>
                <w:rFonts w:hint="eastAsia" w:ascii="宋体" w:hAnsi="宋体" w:eastAsia="宋体" w:cs="Times New Roman"/>
                <w:color w:val="auto"/>
                <w:sz w:val="22"/>
                <w:szCs w:val="22"/>
                <w:lang w:val="en-US" w:eastAsia="zh-CN"/>
              </w:rPr>
              <w:t>。</w:t>
            </w:r>
          </w:p>
        </w:tc>
        <w:tc>
          <w:tcPr>
            <w:tcW w:w="945" w:type="dxa"/>
            <w:noWrap w:val="0"/>
            <w:vAlign w:val="center"/>
          </w:tcPr>
          <w:p w14:paraId="19188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623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54" w:type="dxa"/>
            <w:vMerge w:val="continue"/>
            <w:noWrap w:val="0"/>
            <w:vAlign w:val="center"/>
          </w:tcPr>
          <w:p w14:paraId="3E5D6D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B5143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5E133143">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后期服务配合计划完备、可行性强，能满足采购人要求，保证随叫随到，配合采购人提供相应的成果方案及相关材料；配合采购人或上级主管部门组织成果评审、报批等相关工作</w:t>
            </w:r>
            <w:r>
              <w:rPr>
                <w:rFonts w:hint="eastAsia" w:hAnsi="宋体" w:cs="Times New Roman"/>
                <w:color w:val="auto"/>
                <w:sz w:val="22"/>
                <w:szCs w:val="22"/>
                <w:lang w:val="en-US" w:eastAsia="zh-CN"/>
              </w:rPr>
              <w:t>作出承诺</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根据响应程度计0-5分。</w:t>
            </w:r>
          </w:p>
        </w:tc>
        <w:tc>
          <w:tcPr>
            <w:tcW w:w="945" w:type="dxa"/>
            <w:noWrap w:val="0"/>
            <w:vAlign w:val="center"/>
          </w:tcPr>
          <w:p w14:paraId="2640E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54DA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54" w:type="dxa"/>
            <w:vMerge w:val="restart"/>
            <w:noWrap w:val="0"/>
            <w:vAlign w:val="center"/>
          </w:tcPr>
          <w:p w14:paraId="17FB2B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4</w:t>
            </w:r>
          </w:p>
        </w:tc>
        <w:tc>
          <w:tcPr>
            <w:tcW w:w="1590" w:type="dxa"/>
            <w:vMerge w:val="restart"/>
            <w:noWrap w:val="0"/>
            <w:vAlign w:val="center"/>
          </w:tcPr>
          <w:p w14:paraId="08FB42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专业人员配备情况</w:t>
            </w:r>
          </w:p>
          <w:p w14:paraId="7E8338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（9分）</w:t>
            </w:r>
          </w:p>
        </w:tc>
        <w:tc>
          <w:tcPr>
            <w:tcW w:w="6111" w:type="dxa"/>
            <w:noWrap w:val="0"/>
            <w:vAlign w:val="center"/>
          </w:tcPr>
          <w:p w14:paraId="575B0F28">
            <w:pPr>
              <w:adjustRightInd/>
              <w:spacing w:line="300" w:lineRule="exact"/>
              <w:textAlignment w:val="auto"/>
              <w:rPr>
                <w:rFonts w:hint="eastAsia"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拟派</w:t>
            </w:r>
            <w:r>
              <w:rPr>
                <w:rFonts w:hint="eastAsia" w:ascii="宋体" w:hAnsi="宋体" w:eastAsia="宋体" w:cs="Times New Roman"/>
                <w:color w:val="auto"/>
                <w:sz w:val="22"/>
                <w:szCs w:val="22"/>
                <w:lang w:val="en-US" w:eastAsia="zh-CN"/>
              </w:rPr>
              <w:t>本项目的项目负责人，</w:t>
            </w:r>
            <w:r>
              <w:rPr>
                <w:rFonts w:hint="eastAsia" w:hAnsi="宋体" w:cs="Times New Roman"/>
                <w:color w:val="auto"/>
                <w:sz w:val="22"/>
                <w:szCs w:val="22"/>
                <w:lang w:val="en-US" w:eastAsia="zh-CN"/>
              </w:rPr>
              <w:t>具备相关专业（规划类或测绘类）</w:t>
            </w:r>
            <w:r>
              <w:rPr>
                <w:rFonts w:hint="eastAsia" w:ascii="宋体" w:hAnsi="宋体" w:eastAsia="宋体" w:cs="Times New Roman"/>
                <w:color w:val="auto"/>
                <w:sz w:val="22"/>
                <w:szCs w:val="22"/>
                <w:lang w:val="en-US" w:eastAsia="zh-CN"/>
              </w:rPr>
              <w:t>高级职称的得</w:t>
            </w:r>
            <w:r>
              <w:rPr>
                <w:rFonts w:hint="eastAsia"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分，具有</w:t>
            </w:r>
            <w:r>
              <w:rPr>
                <w:rFonts w:hint="eastAsia" w:hAnsi="宋体" w:cs="Times New Roman"/>
                <w:color w:val="auto"/>
                <w:sz w:val="22"/>
                <w:szCs w:val="22"/>
                <w:lang w:val="en-US" w:eastAsia="zh-CN"/>
              </w:rPr>
              <w:t>相关专业（规划类或测绘类）</w:t>
            </w:r>
            <w:r>
              <w:rPr>
                <w:rFonts w:hint="eastAsia" w:ascii="宋体" w:hAnsi="宋体" w:eastAsia="宋体" w:cs="Times New Roman"/>
                <w:color w:val="auto"/>
                <w:sz w:val="22"/>
                <w:szCs w:val="22"/>
                <w:lang w:val="en-US" w:eastAsia="zh-CN"/>
              </w:rPr>
              <w:t>中级职称的得</w:t>
            </w:r>
            <w:r>
              <w:rPr>
                <w:rFonts w:hint="eastAsia"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分，其他不得分(</w:t>
            </w:r>
            <w:r>
              <w:rPr>
                <w:rFonts w:hint="eastAsia" w:hAnsi="宋体" w:cs="Times New Roman"/>
                <w:color w:val="auto"/>
                <w:sz w:val="22"/>
                <w:szCs w:val="22"/>
                <w:lang w:val="en-US" w:eastAsia="zh-CN"/>
              </w:rPr>
              <w:t>需</w:t>
            </w:r>
            <w:r>
              <w:rPr>
                <w:rFonts w:hint="eastAsia" w:ascii="宋体" w:hAnsi="宋体" w:eastAsia="宋体" w:cs="Times New Roman"/>
                <w:color w:val="auto"/>
                <w:sz w:val="22"/>
                <w:szCs w:val="22"/>
                <w:lang w:val="en-US" w:eastAsia="zh-CN"/>
              </w:rPr>
              <w:t>提供职称证书</w:t>
            </w:r>
            <w:r>
              <w:rPr>
                <w:rFonts w:hint="eastAsia" w:hAnsi="宋体" w:cs="Times New Roman"/>
                <w:color w:val="auto"/>
                <w:sz w:val="22"/>
                <w:szCs w:val="22"/>
                <w:lang w:val="en-US" w:eastAsia="zh-CN"/>
              </w:rPr>
              <w:t>复印件加盖公章，未提供不得分</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 xml:space="preserve"> </w:t>
            </w:r>
          </w:p>
        </w:tc>
        <w:tc>
          <w:tcPr>
            <w:tcW w:w="945" w:type="dxa"/>
            <w:noWrap w:val="0"/>
            <w:vAlign w:val="center"/>
          </w:tcPr>
          <w:p w14:paraId="7085D1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4</w:t>
            </w:r>
            <w:r>
              <w:rPr>
                <w:rFonts w:hint="eastAsia" w:ascii="宋体" w:hAnsi="宋体" w:cs="Times New Roman"/>
                <w:color w:val="auto"/>
                <w:sz w:val="22"/>
                <w:szCs w:val="22"/>
                <w:lang w:val="en-US" w:eastAsia="zh-CN"/>
              </w:rPr>
              <w:t>分</w:t>
            </w:r>
          </w:p>
        </w:tc>
      </w:tr>
      <w:tr w14:paraId="3545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54" w:type="dxa"/>
            <w:vMerge w:val="continue"/>
            <w:noWrap w:val="0"/>
            <w:vAlign w:val="center"/>
          </w:tcPr>
          <w:p w14:paraId="0AA48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15E7C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65B78135">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zh-CN" w:eastAsia="zh-CN"/>
              </w:rPr>
              <w:t>拟投入的项目</w:t>
            </w:r>
            <w:r>
              <w:rPr>
                <w:rFonts w:hint="eastAsia" w:hAnsi="宋体" w:cs="Times New Roman"/>
                <w:color w:val="auto"/>
                <w:sz w:val="22"/>
                <w:szCs w:val="22"/>
                <w:lang w:val="en-US" w:eastAsia="zh-CN"/>
              </w:rPr>
              <w:t>团队</w:t>
            </w:r>
            <w:r>
              <w:rPr>
                <w:rFonts w:hint="eastAsia" w:ascii="宋体" w:hAnsi="宋体" w:eastAsia="宋体" w:cs="Times New Roman"/>
                <w:color w:val="auto"/>
                <w:sz w:val="22"/>
                <w:szCs w:val="22"/>
                <w:lang w:val="zh-CN" w:eastAsia="zh-CN"/>
              </w:rPr>
              <w:t>实施人员（</w:t>
            </w:r>
            <w:r>
              <w:rPr>
                <w:rFonts w:hint="eastAsia" w:ascii="宋体" w:hAnsi="宋体" w:eastAsia="宋体" w:cs="Times New Roman"/>
                <w:color w:val="auto"/>
                <w:sz w:val="22"/>
                <w:szCs w:val="22"/>
                <w:lang w:val="en-US" w:eastAsia="zh-CN"/>
              </w:rPr>
              <w:t>项目负责人除外</w:t>
            </w:r>
            <w:r>
              <w:rPr>
                <w:rFonts w:hint="eastAsia" w:ascii="宋体" w:hAnsi="宋体" w:eastAsia="宋体" w:cs="Times New Roman"/>
                <w:color w:val="auto"/>
                <w:sz w:val="22"/>
                <w:szCs w:val="22"/>
                <w:lang w:val="zh-CN" w:eastAsia="zh-CN"/>
              </w:rPr>
              <w:t>）</w:t>
            </w:r>
            <w:r>
              <w:rPr>
                <w:rFonts w:hint="eastAsia" w:hAnsi="宋体" w:cs="Times New Roman"/>
                <w:color w:val="auto"/>
                <w:sz w:val="22"/>
                <w:szCs w:val="22"/>
                <w:lang w:val="zh-CN" w:eastAsia="zh-CN"/>
              </w:rPr>
              <w:t>，</w:t>
            </w:r>
            <w:r>
              <w:rPr>
                <w:rFonts w:hint="eastAsia" w:ascii="宋体" w:hAnsi="宋体" w:eastAsia="宋体" w:cs="Times New Roman"/>
                <w:color w:val="auto"/>
                <w:sz w:val="22"/>
                <w:szCs w:val="22"/>
                <w:lang w:val="zh-CN" w:eastAsia="zh-CN"/>
              </w:rPr>
              <w:t>每提供一个</w:t>
            </w:r>
            <w:r>
              <w:rPr>
                <w:rFonts w:hint="eastAsia" w:hAnsi="宋体" w:cs="Times New Roman"/>
                <w:color w:val="auto"/>
                <w:sz w:val="22"/>
                <w:szCs w:val="22"/>
                <w:lang w:val="en-US" w:eastAsia="zh-CN"/>
              </w:rPr>
              <w:t>具备相关专业（规划类或测绘类）注册资质证书或中级及以上职称证书得1分，最高得</w:t>
            </w:r>
            <w:r>
              <w:rPr>
                <w:rFonts w:hint="eastAsia" w:ascii="宋体" w:hAnsi="宋体" w:eastAsia="宋体" w:cs="Times New Roman"/>
                <w:color w:val="auto"/>
                <w:sz w:val="22"/>
                <w:szCs w:val="22"/>
                <w:lang w:val="zh-CN" w:eastAsia="zh-CN"/>
              </w:rPr>
              <w:t>5分</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需</w:t>
            </w:r>
            <w:r>
              <w:rPr>
                <w:rFonts w:hint="eastAsia" w:ascii="宋体" w:hAnsi="宋体" w:eastAsia="宋体" w:cs="Times New Roman"/>
                <w:color w:val="auto"/>
                <w:sz w:val="22"/>
                <w:szCs w:val="22"/>
                <w:lang w:val="en-US" w:eastAsia="zh-CN"/>
              </w:rPr>
              <w:t>提供职称证书</w:t>
            </w:r>
            <w:r>
              <w:rPr>
                <w:rFonts w:hint="eastAsia" w:hAnsi="宋体" w:cs="Times New Roman"/>
                <w:color w:val="auto"/>
                <w:sz w:val="22"/>
                <w:szCs w:val="22"/>
                <w:lang w:val="en-US" w:eastAsia="zh-CN"/>
              </w:rPr>
              <w:t>复印件加盖公章，未提供不得分</w:t>
            </w:r>
            <w:r>
              <w:rPr>
                <w:rFonts w:hint="eastAsia" w:ascii="宋体" w:hAnsi="宋体" w:eastAsia="宋体" w:cs="Times New Roman"/>
                <w:color w:val="auto"/>
                <w:sz w:val="22"/>
                <w:szCs w:val="22"/>
                <w:lang w:val="en-US" w:eastAsia="zh-CN"/>
              </w:rPr>
              <w:t xml:space="preserve">) </w:t>
            </w:r>
            <w:r>
              <w:rPr>
                <w:rFonts w:hint="eastAsia" w:hAnsi="宋体" w:cs="Times New Roman"/>
                <w:color w:val="auto"/>
                <w:sz w:val="22"/>
                <w:szCs w:val="22"/>
                <w:lang w:val="en-US" w:eastAsia="zh-CN"/>
              </w:rPr>
              <w:t>。</w:t>
            </w:r>
          </w:p>
        </w:tc>
        <w:tc>
          <w:tcPr>
            <w:tcW w:w="945" w:type="dxa"/>
            <w:noWrap w:val="0"/>
            <w:vAlign w:val="center"/>
          </w:tcPr>
          <w:p w14:paraId="0D810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11BA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54" w:type="dxa"/>
            <w:noWrap w:val="0"/>
            <w:vAlign w:val="center"/>
          </w:tcPr>
          <w:p w14:paraId="24B9F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w:t>
            </w:r>
          </w:p>
        </w:tc>
        <w:tc>
          <w:tcPr>
            <w:tcW w:w="1590" w:type="dxa"/>
            <w:noWrap w:val="0"/>
            <w:vAlign w:val="center"/>
          </w:tcPr>
          <w:p w14:paraId="5FB9DC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企业业绩</w:t>
            </w:r>
          </w:p>
          <w:p w14:paraId="73FA4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（6分）</w:t>
            </w:r>
          </w:p>
        </w:tc>
        <w:tc>
          <w:tcPr>
            <w:tcW w:w="6111" w:type="dxa"/>
            <w:noWrap w:val="0"/>
            <w:vAlign w:val="center"/>
          </w:tcPr>
          <w:p w14:paraId="0CF90B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提供近三年的</w:t>
            </w:r>
            <w:r>
              <w:rPr>
                <w:rFonts w:hint="eastAsia" w:hAnsi="宋体" w:cs="宋体"/>
                <w:color w:val="auto"/>
                <w:sz w:val="21"/>
                <w:szCs w:val="21"/>
                <w:highlight w:val="none"/>
                <w:lang w:val="en-US" w:eastAsia="zh-CN"/>
              </w:rPr>
              <w:t>（2022年1月至项目开标前）</w:t>
            </w:r>
            <w:r>
              <w:rPr>
                <w:rFonts w:hint="default" w:ascii="宋体" w:hAnsi="宋体" w:eastAsia="宋体" w:cs="宋体"/>
                <w:color w:val="auto"/>
                <w:sz w:val="21"/>
                <w:szCs w:val="21"/>
                <w:highlight w:val="none"/>
                <w:lang w:val="en-US" w:eastAsia="zh-CN"/>
              </w:rPr>
              <w:t>类似项目业绩。每提供一个得2分，最多得6分。（以加盖公章的合同及中标通知书为准，不得有缺页，残页，金额、标的物签署、盖章、日期等要素齐全，所有内容应清晰可辨，否则不予认可）。</w:t>
            </w:r>
          </w:p>
        </w:tc>
        <w:tc>
          <w:tcPr>
            <w:tcW w:w="945" w:type="dxa"/>
            <w:noWrap w:val="0"/>
            <w:vAlign w:val="center"/>
          </w:tcPr>
          <w:p w14:paraId="7DCEFE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6分</w:t>
            </w:r>
          </w:p>
        </w:tc>
      </w:tr>
    </w:tbl>
    <w:p w14:paraId="62A0F1F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25.3供应商的投标文件中须提供与以上评分因素相关的证明材料。如果发现有弄虚作假的，评标委员会将取消其投标资格。</w:t>
      </w:r>
    </w:p>
    <w:p w14:paraId="074656D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本项目落实政府采购政策</w:t>
      </w:r>
    </w:p>
    <w:p w14:paraId="1AF0D27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4543F86D">
      <w:pPr>
        <w:spacing w:line="460" w:lineRule="exact"/>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（一）中小</w:t>
      </w:r>
      <w:r>
        <w:rPr>
          <w:rFonts w:hint="eastAsia" w:ascii="宋体" w:hAnsi="宋体" w:eastAsia="宋体" w:cs="宋体"/>
          <w:b/>
          <w:bCs/>
          <w:color w:val="auto"/>
          <w:sz w:val="24"/>
          <w:szCs w:val="24"/>
          <w:lang w:val="zh-CN"/>
        </w:rPr>
        <w:t>企业</w:t>
      </w:r>
      <w:r>
        <w:rPr>
          <w:rFonts w:hint="eastAsia" w:ascii="宋体" w:hAnsi="宋体" w:eastAsia="宋体" w:cs="宋体"/>
          <w:b/>
          <w:bCs/>
          <w:color w:val="auto"/>
          <w:sz w:val="24"/>
          <w:szCs w:val="24"/>
        </w:rPr>
        <w:t>落实政府采购政策</w:t>
      </w:r>
    </w:p>
    <w:p w14:paraId="1F527E0A">
      <w:pPr>
        <w:spacing w:line="460" w:lineRule="exac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（1）根据</w:t>
      </w:r>
      <w:r>
        <w:rPr>
          <w:rFonts w:hint="eastAsia" w:ascii="宋体" w:hAnsi="宋体" w:eastAsia="宋体" w:cs="宋体"/>
          <w:color w:val="auto"/>
          <w:sz w:val="24"/>
          <w:szCs w:val="24"/>
          <w:shd w:val="clear" w:color="auto" w:fill="FFFFFF"/>
        </w:rPr>
        <w:t>《政府采购促进中小企业发展管理办法》（财库〔2020〕46号）</w:t>
      </w:r>
      <w:r>
        <w:rPr>
          <w:rFonts w:hint="eastAsia" w:ascii="宋体" w:hAnsi="宋体" w:eastAsia="宋体" w:cs="宋体"/>
          <w:color w:val="auto"/>
          <w:sz w:val="24"/>
          <w:szCs w:val="24"/>
        </w:rPr>
        <w:t>的规定，</w:t>
      </w:r>
      <w:r>
        <w:rPr>
          <w:rFonts w:hint="eastAsia" w:ascii="宋体" w:hAnsi="宋体" w:eastAsia="宋体" w:cs="宋体"/>
          <w:color w:val="auto"/>
          <w:sz w:val="24"/>
          <w:szCs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920454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6CC20FA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（一）在货物采购项目中，货物由中小企业制造，即货物由中小企业生产且使用该中小企业商号或者注册商标；</w:t>
      </w:r>
    </w:p>
    <w:p w14:paraId="00F9479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（二）在工程采购项目中，工程由中小企业承建，即工程施工单位为中小企业；</w:t>
      </w:r>
    </w:p>
    <w:p w14:paraId="3E1431C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（三）在服务采购项目中，服务由中小企业承接，即提供服务的人员为中小企业依照《中华人民共和国劳动合同法》订立劳动合同的从业人员。</w:t>
      </w:r>
    </w:p>
    <w:p w14:paraId="33A2A6E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（3）在货物采购项目中，供应商提供的货物既有中小企业制造货物，也有大型企业制造货物的，不享受本办法规定的中小企业扶持政策。</w:t>
      </w:r>
    </w:p>
    <w:p w14:paraId="5662A8A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（4）以联合体形式参加政府采购活动，联合体各方均为中小企业的，联合体视同中小企业。其中，联合体各方均为小微企业的，联合体视同小微企业。</w:t>
      </w:r>
    </w:p>
    <w:p w14:paraId="076CFB28">
      <w:pPr>
        <w:spacing w:line="460" w:lineRule="exact"/>
        <w:ind w:firstLine="480" w:firstLineChars="200"/>
        <w:rPr>
          <w:rFonts w:hint="eastAsia" w:ascii="宋体" w:hAnsi="宋体" w:eastAsia="宋体" w:cs="宋体"/>
          <w:color w:val="auto"/>
        </w:rPr>
      </w:pPr>
      <w:r>
        <w:rPr>
          <w:rFonts w:hint="eastAsia" w:ascii="宋体" w:hAnsi="宋体" w:eastAsia="宋体" w:cs="宋体"/>
          <w:color w:val="auto"/>
          <w:sz w:val="24"/>
          <w:szCs w:val="24"/>
        </w:rPr>
        <w:t>（5）中小企业划分标准参照《关于印发中小企业划型标准规定的通知》（工信部联企业〔2011〕300号）执行，本项目采购标的对应的中小企业划分标准所属行业为</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其他未列明行业</w:t>
      </w:r>
      <w:r>
        <w:rPr>
          <w:rFonts w:hint="eastAsia" w:ascii="宋体" w:hAnsi="宋体" w:eastAsia="宋体" w:cs="宋体"/>
          <w:color w:val="auto"/>
          <w:sz w:val="24"/>
          <w:szCs w:val="24"/>
        </w:rPr>
        <w:t>。</w:t>
      </w:r>
    </w:p>
    <w:p w14:paraId="4A5568C0">
      <w:pPr>
        <w:autoSpaceDE w:val="0"/>
        <w:autoSpaceDN w:val="0"/>
        <w:snapToGrid w:val="0"/>
        <w:spacing w:line="46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cs="宋体"/>
          <w:b/>
          <w:bCs/>
          <w:color w:val="auto"/>
          <w:kern w:val="0"/>
          <w:sz w:val="24"/>
          <w:highlight w:val="none"/>
          <w:lang w:val="en-US" w:eastAsia="zh-CN"/>
        </w:rPr>
        <w:t>本项目专门面向中小企业采购，</w:t>
      </w:r>
      <w:r>
        <w:rPr>
          <w:rFonts w:hint="eastAsia" w:ascii="宋体" w:hAnsi="宋体" w:cs="宋体"/>
          <w:b/>
          <w:bCs/>
          <w:color w:val="auto"/>
          <w:kern w:val="0"/>
          <w:sz w:val="24"/>
          <w:highlight w:val="none"/>
        </w:rPr>
        <w:t>中小企业参加政府采购活动，应当出具</w:t>
      </w:r>
      <w:r>
        <w:rPr>
          <w:rFonts w:hint="eastAsia" w:ascii="宋体" w:hAnsi="宋体" w:cs="宋体"/>
          <w:b/>
          <w:bCs/>
          <w:color w:val="auto"/>
          <w:sz w:val="24"/>
          <w:highlight w:val="none"/>
          <w:shd w:val="clear" w:color="auto" w:fill="FFFFFF"/>
        </w:rPr>
        <w:t>《政府采购促进中小企业发展管理办法》（财库〔2020〕46号）</w:t>
      </w:r>
      <w:r>
        <w:rPr>
          <w:rFonts w:hint="eastAsia" w:ascii="宋体" w:hAnsi="宋体" w:cs="宋体"/>
          <w:b/>
          <w:bCs/>
          <w:color w:val="auto"/>
          <w:kern w:val="0"/>
          <w:sz w:val="24"/>
          <w:highlight w:val="none"/>
        </w:rPr>
        <w:t>规定的《中小企业声明函》</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格式详见附件1</w:t>
      </w:r>
      <w:r>
        <w:rPr>
          <w:rFonts w:hint="eastAsia" w:ascii="宋体" w:hAnsi="宋体" w:cs="宋体"/>
          <w:b/>
          <w:bCs/>
          <w:color w:val="auto"/>
          <w:kern w:val="0"/>
          <w:sz w:val="24"/>
          <w:highlight w:val="none"/>
          <w:lang w:eastAsia="zh-CN"/>
        </w:rPr>
        <w:t>）</w:t>
      </w:r>
      <w:r>
        <w:rPr>
          <w:rFonts w:hint="eastAsia" w:ascii="宋体" w:hAnsi="宋体" w:eastAsia="宋体" w:cs="宋体"/>
          <w:b/>
          <w:bCs/>
          <w:color w:val="auto"/>
          <w:sz w:val="24"/>
          <w:szCs w:val="24"/>
        </w:rPr>
        <w:t>。</w:t>
      </w:r>
    </w:p>
    <w:p w14:paraId="239BF637">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监狱和戒毒企业</w:t>
      </w:r>
      <w:r>
        <w:rPr>
          <w:rFonts w:hint="eastAsia" w:ascii="宋体" w:hAnsi="宋体" w:eastAsia="宋体" w:cs="宋体"/>
          <w:color w:val="auto"/>
          <w:sz w:val="24"/>
          <w:szCs w:val="24"/>
        </w:rPr>
        <w:t>落实政府采购政策</w:t>
      </w:r>
    </w:p>
    <w:p w14:paraId="6DFF63C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监狱和戒毒企业应符合《财政部</w:t>
      </w:r>
      <w:r>
        <w:rPr>
          <w:rFonts w:hint="eastAsia" w:ascii="宋体" w:hAnsi="宋体" w:eastAsia="宋体" w:cs="宋体"/>
          <w:color w:val="auto"/>
          <w:sz w:val="24"/>
          <w:szCs w:val="24"/>
        </w:rPr>
        <w:t>、司法部关于政府采购支持监狱企业发展有关问题的通知》--财库[2014]68号</w:t>
      </w:r>
      <w:r>
        <w:rPr>
          <w:rFonts w:hint="eastAsia" w:ascii="宋体" w:hAnsi="宋体" w:eastAsia="宋体" w:cs="宋体"/>
          <w:color w:val="auto"/>
          <w:sz w:val="24"/>
          <w:szCs w:val="24"/>
          <w:lang w:val="zh-CN"/>
        </w:rPr>
        <w:t>，并提供由省级以上监狱管理局、戒毒管理局(含新疆生产建设兵团)出具的属于监狱企业的证明文件。</w:t>
      </w:r>
    </w:p>
    <w:p w14:paraId="552B4D19">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（三）残疾人福利性单位落实政府采购政策</w:t>
      </w:r>
    </w:p>
    <w:p w14:paraId="7857EAC8">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（1）残疾人福利性单位应符合《财政部 民政部 中国残疾人联合会关于促进残疾人就业政府采购政策的通知》--财库〔2017〕141号规定的条件，并提供《残疾人福利性单位声明函》，并对声明的真实性负责。</w:t>
      </w:r>
    </w:p>
    <w:p w14:paraId="343A913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(2)中标、成交供应商为残疾人福利性单位的，采购人或者其委托的采购代理机构应当随中标、成交结果同时公告其《残疾人福利性单位声明函》，接受社会监督。</w:t>
      </w:r>
    </w:p>
    <w:p w14:paraId="6FA08577">
      <w:pPr>
        <w:autoSpaceDE w:val="0"/>
        <w:autoSpaceDN w:val="0"/>
        <w:snapToGrid w:val="0"/>
        <w:spacing w:line="46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应如实提供以上证明文件，如存在虚假应标，将取消其投标资格。</w:t>
      </w:r>
    </w:p>
    <w:p w14:paraId="3C9AC233">
      <w:pPr>
        <w:autoSpaceDE w:val="0"/>
        <w:autoSpaceDN w:val="0"/>
        <w:snapToGrid w:val="0"/>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投标产品政府采购政策</w:t>
      </w:r>
    </w:p>
    <w:p w14:paraId="4CED3C8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节能产品根据《关于调整优化节能产品环境标志产品政府采购执行机制的通知》（财库〔2019〕9号）的规定，以中国政府采购网（http://www.ccgp.gov.cn/）公布的最新一期节能产品政府采购清单为准。</w:t>
      </w:r>
    </w:p>
    <w:p w14:paraId="7061375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（2）环境标志产品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31AEB10B">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6338C3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21820B4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同一标段的节能、环保、环境标志产品部分优惠只对属于清单内的非强制类产品进行优惠，强制类产品不给予优惠。</w:t>
      </w:r>
    </w:p>
    <w:p w14:paraId="32CB6EE7">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节能、环保、环境标志产品不重复优惠；同时列入国家级清单和省级清单的产品不重复优惠。</w:t>
      </w:r>
    </w:p>
    <w:p w14:paraId="32321244">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获得上述认证的产品在投标时应提供有效证明材料。以上所有证明文件复印件须加盖投标人公章并注明“与原件一致”。</w:t>
      </w:r>
    </w:p>
    <w:p w14:paraId="5133EF14">
      <w:pPr>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价格优惠比例</w:t>
      </w:r>
    </w:p>
    <w:p w14:paraId="7CB75824">
      <w:pPr>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根据</w:t>
      </w:r>
      <w:r>
        <w:rPr>
          <w:rFonts w:hint="eastAsia" w:ascii="宋体" w:hAnsi="宋体" w:eastAsia="宋体" w:cs="宋体"/>
          <w:color w:val="auto"/>
          <w:sz w:val="24"/>
          <w:szCs w:val="24"/>
          <w:shd w:val="clear" w:color="auto" w:fill="FFFFFF"/>
        </w:rPr>
        <w:t>《政府采购促进中小企业发展管理办法》（财库〔2020〕46号）及《财政部关于进一步加大政府采购支持中小企业力度的通知》（财库〔2022〕19号）的相关规定，</w:t>
      </w:r>
      <w:r>
        <w:rPr>
          <w:rFonts w:hint="eastAsia" w:ascii="宋体" w:hAnsi="宋体" w:eastAsia="宋体" w:cs="宋体"/>
          <w:color w:val="auto"/>
          <w:sz w:val="24"/>
          <w:szCs w:val="24"/>
        </w:rPr>
        <w:t>对符合规定的小微企业报价给予 10% 的扣除，用扣除后的价格参加评审；</w:t>
      </w:r>
      <w:r>
        <w:rPr>
          <w:rFonts w:hint="eastAsia" w:ascii="宋体" w:hAnsi="宋体" w:eastAsia="宋体" w:cs="宋体"/>
          <w:color w:val="auto"/>
          <w:sz w:val="24"/>
          <w:szCs w:val="24"/>
          <w:lang w:val="zh-CN"/>
        </w:rPr>
        <w:t>在政府采购活动中，监狱企业</w:t>
      </w:r>
      <w:r>
        <w:rPr>
          <w:rFonts w:hint="eastAsia" w:ascii="宋体" w:hAnsi="宋体" w:eastAsia="宋体" w:cs="宋体"/>
          <w:color w:val="auto"/>
          <w:sz w:val="24"/>
          <w:szCs w:val="24"/>
        </w:rPr>
        <w:t>和</w:t>
      </w:r>
      <w:r>
        <w:rPr>
          <w:rFonts w:hint="eastAsia" w:ascii="宋体" w:hAnsi="宋体" w:eastAsia="宋体" w:cs="宋体"/>
          <w:color w:val="auto"/>
          <w:sz w:val="24"/>
          <w:szCs w:val="24"/>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p>
    <w:p w14:paraId="691025BE">
      <w:pPr>
        <w:spacing w:line="460" w:lineRule="exact"/>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bCs/>
          <w:color w:val="auto"/>
          <w:sz w:val="24"/>
          <w:szCs w:val="24"/>
        </w:rPr>
        <w:t>中标（成交）企业</w:t>
      </w:r>
      <w:r>
        <w:rPr>
          <w:rFonts w:hint="eastAsia" w:ascii="宋体" w:hAnsi="宋体" w:eastAsia="宋体" w:cs="宋体"/>
          <w:bCs/>
          <w:color w:val="auto"/>
          <w:sz w:val="24"/>
          <w:szCs w:val="24"/>
          <w:lang w:val="zh-CN"/>
        </w:rPr>
        <w:t>享受了中小企业优惠政策的，其《中小企业声明函》或《残疾人福利性单位声明函》</w:t>
      </w:r>
      <w:r>
        <w:rPr>
          <w:rFonts w:hint="eastAsia" w:ascii="宋体" w:hAnsi="宋体" w:eastAsia="宋体" w:cs="宋体"/>
          <w:bCs/>
          <w:color w:val="auto"/>
          <w:sz w:val="24"/>
          <w:szCs w:val="24"/>
        </w:rPr>
        <w:t>或</w:t>
      </w:r>
      <w:r>
        <w:rPr>
          <w:rFonts w:hint="eastAsia" w:ascii="宋体" w:hAnsi="宋体" w:eastAsia="宋体" w:cs="宋体"/>
          <w:color w:val="auto"/>
          <w:sz w:val="24"/>
          <w:szCs w:val="24"/>
        </w:rPr>
        <w:t>《残疾人福利性单位声明函》</w:t>
      </w:r>
      <w:r>
        <w:rPr>
          <w:rFonts w:hint="eastAsia" w:ascii="宋体" w:hAnsi="宋体" w:eastAsia="宋体" w:cs="宋体"/>
          <w:bCs/>
          <w:color w:val="auto"/>
          <w:sz w:val="24"/>
          <w:szCs w:val="24"/>
        </w:rPr>
        <w:t>等相应证明材料</w:t>
      </w:r>
      <w:r>
        <w:rPr>
          <w:rFonts w:hint="eastAsia" w:ascii="宋体" w:hAnsi="宋体" w:eastAsia="宋体" w:cs="宋体"/>
          <w:bCs/>
          <w:color w:val="auto"/>
          <w:sz w:val="24"/>
          <w:szCs w:val="24"/>
          <w:lang w:val="zh-CN"/>
        </w:rPr>
        <w:t>随</w:t>
      </w:r>
      <w:r>
        <w:rPr>
          <w:rFonts w:hint="eastAsia" w:ascii="宋体" w:hAnsi="宋体" w:eastAsia="宋体" w:cs="宋体"/>
          <w:bCs/>
          <w:color w:val="auto"/>
          <w:sz w:val="24"/>
          <w:szCs w:val="24"/>
        </w:rPr>
        <w:t>中标（成交）</w:t>
      </w:r>
      <w:r>
        <w:rPr>
          <w:rFonts w:hint="eastAsia" w:ascii="宋体" w:hAnsi="宋体" w:eastAsia="宋体" w:cs="宋体"/>
          <w:bCs/>
          <w:color w:val="auto"/>
          <w:sz w:val="24"/>
          <w:szCs w:val="24"/>
          <w:lang w:val="zh-CN"/>
        </w:rPr>
        <w:t>公告一并公布。</w:t>
      </w:r>
    </w:p>
    <w:p w14:paraId="1B17941B">
      <w:pPr>
        <w:adjustRightInd w:val="0"/>
        <w:spacing w:line="460" w:lineRule="exact"/>
        <w:ind w:firstLine="480" w:firstLineChars="200"/>
        <w:textAlignment w:val="baseline"/>
        <w:rPr>
          <w:rFonts w:hint="eastAsia" w:ascii="宋体" w:hAnsi="宋体" w:eastAsia="宋体" w:cs="宋体"/>
          <w:b/>
          <w:bCs/>
          <w:color w:val="auto"/>
          <w:kern w:val="1"/>
          <w:sz w:val="24"/>
          <w:szCs w:val="24"/>
        </w:rPr>
      </w:pPr>
      <w:r>
        <w:rPr>
          <w:rFonts w:hint="eastAsia" w:ascii="宋体" w:hAnsi="宋体" w:cs="宋体"/>
          <w:color w:val="auto"/>
          <w:sz w:val="24"/>
          <w:highlight w:val="none"/>
          <w:lang w:val="zh-CN" w:eastAsia="zh-CN"/>
        </w:rPr>
        <w:t>（</w:t>
      </w:r>
      <w:r>
        <w:rPr>
          <w:rFonts w:hint="eastAsia" w:ascii="宋体" w:hAnsi="宋体" w:cs="宋体"/>
          <w:b/>
          <w:bCs/>
          <w:color w:val="auto"/>
          <w:sz w:val="24"/>
          <w:highlight w:val="none"/>
          <w:lang w:val="zh-CN" w:eastAsia="zh-CN"/>
        </w:rPr>
        <w:t>备注：</w:t>
      </w:r>
      <w:r>
        <w:rPr>
          <w:rFonts w:hint="eastAsia" w:ascii="宋体" w:hAnsi="宋体" w:cs="宋体"/>
          <w:color w:val="auto"/>
          <w:sz w:val="24"/>
          <w:highlight w:val="none"/>
          <w:lang w:val="zh-CN" w:eastAsia="zh-CN"/>
        </w:rPr>
        <w:t>本项目专门面向中小企业采购，不执行价格评审优惠的扶持政策。）</w:t>
      </w:r>
    </w:p>
    <w:p w14:paraId="4C597D94">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b/>
          <w:bCs/>
          <w:color w:val="auto"/>
          <w:kern w:val="1"/>
          <w:sz w:val="24"/>
          <w:szCs w:val="24"/>
        </w:rPr>
        <w:t xml:space="preserve">26.4 </w:t>
      </w:r>
      <w:r>
        <w:rPr>
          <w:rFonts w:hint="eastAsia" w:ascii="宋体" w:hAnsi="宋体" w:eastAsia="宋体" w:cs="宋体"/>
          <w:color w:val="auto"/>
          <w:kern w:val="1"/>
          <w:sz w:val="24"/>
          <w:szCs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4F47A0DB">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0F41886">
      <w:pPr>
        <w:wordWrap w:val="0"/>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w:t>
      </w:r>
      <w:r>
        <w:rPr>
          <w:rFonts w:hint="eastAsia" w:ascii="宋体" w:hAnsi="宋体" w:eastAsia="宋体" w:cs="宋体"/>
          <w:color w:val="auto"/>
          <w:sz w:val="24"/>
          <w:szCs w:val="24"/>
        </w:rPr>
        <w:t>本着“银企自愿，风险自担”的原则，中标（成交）单位为中小企业的可以自愿选择政府采购贷款进行融资，</w:t>
      </w:r>
      <w:r>
        <w:rPr>
          <w:rFonts w:hint="eastAsia" w:ascii="宋体" w:hAnsi="宋体" w:eastAsia="宋体" w:cs="宋体"/>
          <w:color w:val="auto"/>
          <w:kern w:val="1"/>
          <w:sz w:val="24"/>
          <w:szCs w:val="24"/>
        </w:rPr>
        <w:t>具体可登陆http://www.ccgp-shaanxi.gov.cn/zcdservice/zcd/shananxi（陕西省政府采购信用融资平台）查看办理</w:t>
      </w:r>
      <w:r>
        <w:rPr>
          <w:rFonts w:hint="eastAsia" w:ascii="宋体" w:hAnsi="宋体" w:eastAsia="宋体" w:cs="宋体"/>
          <w:color w:val="auto"/>
          <w:sz w:val="24"/>
          <w:szCs w:val="24"/>
        </w:rPr>
        <w:t>。</w:t>
      </w:r>
    </w:p>
    <w:p w14:paraId="0B582176">
      <w:pPr>
        <w:spacing w:line="460" w:lineRule="exact"/>
        <w:ind w:firstLine="480" w:firstLineChars="200"/>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 xml:space="preserve">26.5 </w:t>
      </w:r>
      <w:r>
        <w:rPr>
          <w:rFonts w:hint="eastAsia" w:ascii="宋体" w:hAnsi="宋体" w:eastAsia="宋体" w:cs="宋体"/>
          <w:color w:val="auto"/>
          <w:kern w:val="1"/>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EAE1FA">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b/>
          <w:bCs/>
          <w:color w:val="auto"/>
          <w:kern w:val="1"/>
          <w:sz w:val="24"/>
          <w:szCs w:val="24"/>
        </w:rPr>
        <w:t xml:space="preserve">27. </w:t>
      </w:r>
      <w:r>
        <w:rPr>
          <w:rFonts w:hint="eastAsia" w:ascii="宋体" w:hAnsi="宋体" w:eastAsia="宋体" w:cs="宋体"/>
          <w:color w:val="auto"/>
          <w:kern w:val="1"/>
          <w:sz w:val="24"/>
          <w:szCs w:val="24"/>
        </w:rPr>
        <w:t>评标委员会根据</w:t>
      </w:r>
      <w:r>
        <w:rPr>
          <w:rFonts w:hint="eastAsia" w:ascii="宋体" w:hAnsi="宋体" w:eastAsia="宋体" w:cs="宋体"/>
          <w:color w:val="auto"/>
          <w:sz w:val="24"/>
          <w:szCs w:val="24"/>
        </w:rPr>
        <w:t>原始评标记录和评标结果编写</w:t>
      </w:r>
      <w:r>
        <w:rPr>
          <w:rFonts w:hint="eastAsia" w:ascii="宋体" w:hAnsi="宋体" w:eastAsia="宋体" w:cs="宋体"/>
          <w:color w:val="auto"/>
          <w:kern w:val="1"/>
          <w:sz w:val="24"/>
          <w:szCs w:val="24"/>
        </w:rPr>
        <w:t>评标报告，报采购人。</w:t>
      </w:r>
      <w:bookmarkStart w:id="128" w:name="_Toc245657544"/>
      <w:bookmarkStart w:id="129" w:name="_Toc175032428"/>
      <w:bookmarkStart w:id="130" w:name="_Toc167591034"/>
      <w:bookmarkStart w:id="131" w:name="_Toc245658525"/>
      <w:bookmarkStart w:id="132" w:name="_Toc170980445"/>
      <w:bookmarkStart w:id="133" w:name="_Toc167849351"/>
      <w:bookmarkStart w:id="134" w:name="_Toc244623582"/>
      <w:bookmarkStart w:id="135" w:name="_Toc169846864"/>
      <w:bookmarkStart w:id="136" w:name="_Toc167590766"/>
      <w:bookmarkStart w:id="137" w:name="_Toc173549969"/>
      <w:bookmarkStart w:id="138" w:name="_Toc167591135"/>
      <w:bookmarkStart w:id="139" w:name="_Toc154482470"/>
      <w:bookmarkStart w:id="140" w:name="_Toc169846767"/>
      <w:bookmarkStart w:id="141" w:name="_Toc207897907"/>
      <w:bookmarkStart w:id="142" w:name="_Toc167591483"/>
      <w:bookmarkStart w:id="143" w:name="_Toc175033583"/>
      <w:bookmarkStart w:id="144" w:name="_Toc169838523"/>
      <w:bookmarkStart w:id="145" w:name="_Toc167591321"/>
      <w:bookmarkStart w:id="146" w:name="_Toc245176656"/>
      <w:bookmarkStart w:id="147" w:name="_Toc208337155"/>
      <w:bookmarkStart w:id="148" w:name="_Toc170980543"/>
    </w:p>
    <w:p w14:paraId="0E852018">
      <w:pPr>
        <w:spacing w:beforeLines="50" w:afterLines="50" w:line="240" w:lineRule="auto"/>
        <w:jc w:val="center"/>
        <w:rPr>
          <w:rFonts w:hint="eastAsia" w:ascii="宋体" w:hAnsi="宋体" w:eastAsia="宋体" w:cs="宋体"/>
          <w:color w:val="auto"/>
          <w:sz w:val="24"/>
        </w:rPr>
      </w:pPr>
      <w:r>
        <w:rPr>
          <w:rFonts w:hint="eastAsia" w:ascii="宋体" w:hAnsi="宋体" w:eastAsia="宋体" w:cs="宋体"/>
          <w:b/>
          <w:color w:val="auto"/>
          <w:sz w:val="30"/>
          <w:szCs w:val="30"/>
        </w:rPr>
        <w:t>六、质疑与投诉</w:t>
      </w:r>
    </w:p>
    <w:p w14:paraId="53CC2A7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 质疑及投诉</w:t>
      </w:r>
    </w:p>
    <w:p w14:paraId="15FFEF6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28.1 质疑</w:t>
      </w:r>
    </w:p>
    <w:p w14:paraId="27BC551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szCs w:val="24"/>
          <w:shd w:val="clear" w:color="auto" w:fill="FFFFFF"/>
        </w:rPr>
        <w:t>供应商认为招标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rPr>
        <w:t>。</w:t>
      </w:r>
    </w:p>
    <w:p w14:paraId="4F65C5B6">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shd w:val="clear" w:color="auto" w:fill="FFFFFF"/>
        </w:rPr>
        <w:t>提出质疑的供应商（以下简称质疑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125F3308">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（3）供应商提出质疑应当提交质疑函和必要的证明材料，质疑函应包括下列内容：</w:t>
      </w:r>
    </w:p>
    <w:p w14:paraId="5AE9670E">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74A6DCBB">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23F1C045">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2952F03">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4AABE399">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3795532D">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0469E0C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（4）供应商为自然人的，应当由本人签字；供应商为法人或者其他组织的，应当由法定代表人、主要负责人，或者其授权代表签字或者盖章，并加盖公章。</w:t>
      </w:r>
    </w:p>
    <w:p w14:paraId="7C679377">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5）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CAB7652">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（6）采购人负责供应商质疑答复。采购人委托采购代理机构采购的，采购代理机构在委托授权范围内作出答复。</w:t>
      </w:r>
    </w:p>
    <w:p w14:paraId="52EF7C9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（7）接收质疑函的方式和联系方式：</w:t>
      </w:r>
    </w:p>
    <w:p w14:paraId="1DF8763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1DE1688D">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7803105E">
      <w:pPr>
        <w:widowControl/>
        <w:spacing w:line="460" w:lineRule="exact"/>
        <w:ind w:firstLine="480" w:firstLineChars="200"/>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采购人名称：</w:t>
      </w:r>
      <w:r>
        <w:rPr>
          <w:rFonts w:hint="eastAsia" w:hAnsi="宋体" w:cs="宋体"/>
          <w:color w:val="auto"/>
          <w:sz w:val="24"/>
          <w:szCs w:val="24"/>
          <w:lang w:eastAsia="zh-CN"/>
        </w:rPr>
        <w:t>平利县自然资源局</w:t>
      </w:r>
    </w:p>
    <w:p w14:paraId="370B0CA3">
      <w:pPr>
        <w:adjustRightIn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    址：</w:t>
      </w:r>
      <w:r>
        <w:rPr>
          <w:rFonts w:hint="eastAsia" w:hAnsi="宋体" w:cs="宋体"/>
          <w:color w:val="auto"/>
          <w:sz w:val="24"/>
          <w:szCs w:val="24"/>
          <w:shd w:val="clear" w:color="auto" w:fill="FFFFFF"/>
          <w:lang w:eastAsia="zh-CN"/>
        </w:rPr>
        <w:t>陕西省安康市平利县城关镇月湖南路</w:t>
      </w:r>
      <w:r>
        <w:rPr>
          <w:rFonts w:hint="eastAsia" w:ascii="宋体" w:hAnsi="宋体" w:eastAsia="宋体" w:cs="宋体"/>
          <w:bCs/>
          <w:color w:val="auto"/>
          <w:sz w:val="24"/>
          <w:szCs w:val="24"/>
        </w:rPr>
        <w:t>；</w:t>
      </w:r>
    </w:p>
    <w:p w14:paraId="7408F7D7">
      <w:pPr>
        <w:adjustRightIn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szCs w:val="24"/>
        </w:rPr>
        <w:t>联系方式：13084806789</w:t>
      </w:r>
      <w:r>
        <w:rPr>
          <w:rFonts w:hint="eastAsia" w:ascii="宋体" w:hAnsi="宋体" w:eastAsia="宋体" w:cs="宋体"/>
          <w:color w:val="auto"/>
          <w:sz w:val="24"/>
        </w:rPr>
        <w:t>；</w:t>
      </w:r>
    </w:p>
    <w:p w14:paraId="373A9B0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采购代理机构：陕西悦嘉冠宏项目管理有限公司</w:t>
      </w:r>
    </w:p>
    <w:p w14:paraId="3CBEE998">
      <w:pPr>
        <w:widowControl/>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hAnsi="宋体" w:cs="宋体"/>
          <w:color w:val="auto"/>
          <w:kern w:val="2"/>
          <w:sz w:val="24"/>
          <w:lang w:eastAsia="zh-CN"/>
        </w:rPr>
        <w:t>安康市汉滨区吾悦广场二期商铺S2-121</w:t>
      </w:r>
    </w:p>
    <w:p w14:paraId="789BA000">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联系方式：0915-3115535、15809159650</w:t>
      </w:r>
    </w:p>
    <w:p w14:paraId="17B07975">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箱：2991944368@qq.com</w:t>
      </w:r>
    </w:p>
    <w:p w14:paraId="42A48BE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28.2 投诉</w:t>
      </w:r>
    </w:p>
    <w:p w14:paraId="0D2C2491">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576FFA3C">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05F78388">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E7E08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1106EECC">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75DE09E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79D6DF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20FD3154">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06204204">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A9A370A">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0D8BC761">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4F69A303">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69F7916F">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5835532">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7055C6A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1E2E2004">
      <w:pPr>
        <w:widowControl/>
        <w:shd w:val="clear" w:color="auto" w:fill="FFFFFF"/>
        <w:spacing w:line="460" w:lineRule="exact"/>
        <w:ind w:firstLine="480"/>
        <w:jc w:val="left"/>
        <w:rPr>
          <w:rFonts w:hint="eastAsia" w:ascii="宋体" w:hAnsi="宋体" w:eastAsia="宋体" w:cs="宋体"/>
          <w:b/>
          <w:color w:val="auto"/>
          <w:sz w:val="30"/>
          <w:szCs w:val="30"/>
        </w:rPr>
      </w:pPr>
      <w:r>
        <w:rPr>
          <w:rFonts w:hint="eastAsia" w:ascii="宋体" w:hAnsi="宋体" w:eastAsia="宋体" w:cs="宋体"/>
          <w:color w:val="auto"/>
          <w:sz w:val="24"/>
        </w:rPr>
        <w:t>（5）供应商投诉的事项不得超出已质疑事项的范围，但基于质疑答复内容提出的投诉事项除外。</w:t>
      </w:r>
    </w:p>
    <w:p w14:paraId="18F65F88">
      <w:pPr>
        <w:snapToGrid w:val="0"/>
        <w:spacing w:beforeLines="50" w:afterLines="50" w:line="240" w:lineRule="auto"/>
        <w:jc w:val="center"/>
        <w:outlineLvl w:val="1"/>
        <w:rPr>
          <w:rFonts w:hint="eastAsia" w:ascii="宋体" w:hAnsi="宋体" w:eastAsia="宋体" w:cs="宋体"/>
          <w:b/>
          <w:color w:val="auto"/>
          <w:sz w:val="30"/>
          <w:szCs w:val="30"/>
        </w:rPr>
      </w:pPr>
    </w:p>
    <w:p w14:paraId="25231375">
      <w:pPr>
        <w:snapToGrid w:val="0"/>
        <w:spacing w:beforeLines="50" w:afterLines="50" w:line="240" w:lineRule="auto"/>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七、授予合同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5C590D">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29．中标通知书</w:t>
      </w:r>
    </w:p>
    <w:p w14:paraId="72E2695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29.1采购代理机构在收到采购人的定标复函后，将在陕西省政府采购网、陕西省公共资源交易中心网上发布中标公告，并在规定时间向中标人发出中标通知书。</w:t>
      </w:r>
    </w:p>
    <w:p w14:paraId="6323013B">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29.2 中标人在收到中标通知书后</w:t>
      </w:r>
      <w:r>
        <w:rPr>
          <w:rFonts w:hint="eastAsia" w:hAnsi="宋体" w:cs="宋体"/>
          <w:color w:val="auto"/>
          <w:sz w:val="24"/>
          <w:lang w:val="en-US" w:eastAsia="zh-CN"/>
        </w:rPr>
        <w:t>二十五</w:t>
      </w:r>
      <w:r>
        <w:rPr>
          <w:rFonts w:hint="eastAsia" w:ascii="宋体" w:hAnsi="宋体" w:eastAsia="宋体" w:cs="宋体"/>
          <w:color w:val="auto"/>
          <w:sz w:val="24"/>
        </w:rPr>
        <w:t>日内，与采购人签订合同。</w:t>
      </w:r>
    </w:p>
    <w:p w14:paraId="39FE776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29.3 中标通知书是合同的组成部分。</w:t>
      </w:r>
    </w:p>
    <w:p w14:paraId="2F4953F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30．中标服务费</w:t>
      </w:r>
    </w:p>
    <w:p w14:paraId="42BF5716">
      <w:pPr>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30.1依据</w:t>
      </w:r>
      <w:r>
        <w:rPr>
          <w:rFonts w:hint="eastAsia" w:ascii="宋体" w:hAnsi="宋体" w:eastAsia="宋体" w:cs="宋体"/>
          <w:bCs/>
          <w:color w:val="auto"/>
          <w:sz w:val="24"/>
          <w:szCs w:val="24"/>
        </w:rPr>
        <w:t>《政府采购代理机构管理暂行办法》（</w:t>
      </w:r>
      <w:r>
        <w:rPr>
          <w:rFonts w:hint="eastAsia" w:ascii="宋体" w:hAnsi="宋体" w:eastAsia="宋体" w:cs="宋体"/>
          <w:color w:val="auto"/>
          <w:sz w:val="24"/>
          <w:szCs w:val="24"/>
        </w:rPr>
        <w:t>财库〔2018〕2号</w:t>
      </w:r>
      <w:r>
        <w:rPr>
          <w:rFonts w:hint="eastAsia" w:ascii="宋体" w:hAnsi="宋体" w:eastAsia="宋体" w:cs="宋体"/>
          <w:bCs/>
          <w:color w:val="auto"/>
          <w:sz w:val="24"/>
          <w:szCs w:val="24"/>
        </w:rPr>
        <w:t>）的规定，</w:t>
      </w:r>
      <w:r>
        <w:rPr>
          <w:rFonts w:hint="eastAsia" w:ascii="宋体" w:hAnsi="宋体" w:eastAsia="宋体" w:cs="宋体"/>
          <w:color w:val="auto"/>
          <w:sz w:val="24"/>
          <w:szCs w:val="24"/>
        </w:rPr>
        <w:t>参照原</w:t>
      </w:r>
      <w:r>
        <w:rPr>
          <w:rFonts w:hint="eastAsia" w:ascii="宋体" w:hAnsi="宋体" w:eastAsia="宋体" w:cs="宋体"/>
          <w:bCs/>
          <w:color w:val="auto"/>
          <w:sz w:val="24"/>
          <w:szCs w:val="24"/>
        </w:rPr>
        <w:t>国家计委《招标代理服务收费管理暂行办法》(</w:t>
      </w:r>
      <w:r>
        <w:rPr>
          <w:rFonts w:hint="eastAsia" w:ascii="宋体" w:hAnsi="宋体" w:eastAsia="宋体" w:cs="宋体"/>
          <w:color w:val="auto"/>
          <w:sz w:val="24"/>
          <w:szCs w:val="24"/>
        </w:rPr>
        <w:t>计价格〔2002〕1980号)</w:t>
      </w:r>
      <w:r>
        <w:rPr>
          <w:rFonts w:hint="eastAsia" w:ascii="宋体" w:hAnsi="宋体" w:eastAsia="宋体" w:cs="宋体"/>
          <w:bCs/>
          <w:color w:val="auto"/>
          <w:sz w:val="24"/>
          <w:szCs w:val="24"/>
        </w:rPr>
        <w:t>规定的收费标准，</w:t>
      </w:r>
      <w:r>
        <w:rPr>
          <w:rFonts w:hint="eastAsia" w:ascii="宋体" w:hAnsi="宋体" w:eastAsia="宋体" w:cs="宋体"/>
          <w:b/>
          <w:bCs/>
          <w:color w:val="auto"/>
          <w:sz w:val="24"/>
          <w:szCs w:val="24"/>
        </w:rPr>
        <w:t>中标供应商应在领取中标通知书时，向陕西悦嘉冠宏项目管理有限公司缴纳中标服务费</w:t>
      </w:r>
      <w:r>
        <w:rPr>
          <w:rFonts w:hint="eastAsia" w:hAnsi="宋体" w:cs="宋体"/>
          <w:b/>
          <w:bCs/>
          <w:color w:val="auto"/>
          <w:sz w:val="24"/>
          <w:szCs w:val="24"/>
          <w:lang w:eastAsia="zh-CN"/>
        </w:rPr>
        <w:t>，同时提供纸质版投标文件</w:t>
      </w:r>
      <w:r>
        <w:rPr>
          <w:rFonts w:hint="eastAsia" w:hAnsi="宋体" w:cs="宋体"/>
          <w:b/>
          <w:bCs/>
          <w:color w:val="auto"/>
          <w:sz w:val="24"/>
          <w:szCs w:val="24"/>
          <w:lang w:val="en-US" w:eastAsia="zh-CN"/>
        </w:rPr>
        <w:t>1</w:t>
      </w:r>
      <w:r>
        <w:rPr>
          <w:rFonts w:hint="eastAsia" w:hAnsi="宋体" w:cs="宋体"/>
          <w:b/>
          <w:bCs/>
          <w:color w:val="auto"/>
          <w:sz w:val="24"/>
          <w:szCs w:val="24"/>
          <w:lang w:eastAsia="zh-CN"/>
        </w:rPr>
        <w:t>份和【加盖公章的电子版投标文件（PDF格式）】U盘</w:t>
      </w:r>
      <w:r>
        <w:rPr>
          <w:rFonts w:hint="eastAsia" w:hAnsi="宋体" w:cs="宋体"/>
          <w:b/>
          <w:bCs/>
          <w:color w:val="auto"/>
          <w:sz w:val="24"/>
          <w:szCs w:val="24"/>
          <w:lang w:val="en-US" w:eastAsia="zh-CN"/>
        </w:rPr>
        <w:t>3</w:t>
      </w:r>
      <w:r>
        <w:rPr>
          <w:rFonts w:hint="eastAsia" w:hAnsi="宋体" w:cs="宋体"/>
          <w:b/>
          <w:bCs/>
          <w:color w:val="auto"/>
          <w:sz w:val="24"/>
          <w:szCs w:val="24"/>
          <w:lang w:eastAsia="zh-CN"/>
        </w:rPr>
        <w:t>份</w:t>
      </w:r>
      <w:r>
        <w:rPr>
          <w:rFonts w:hint="eastAsia" w:ascii="宋体" w:hAnsi="宋体" w:eastAsia="宋体" w:cs="宋体"/>
          <w:b/>
          <w:bCs/>
          <w:color w:val="auto"/>
          <w:sz w:val="24"/>
          <w:szCs w:val="24"/>
        </w:rPr>
        <w:t>。</w:t>
      </w:r>
    </w:p>
    <w:p w14:paraId="2C014696">
      <w:pPr>
        <w:adjustRightInd/>
        <w:spacing w:line="460" w:lineRule="exact"/>
        <w:ind w:firstLine="480" w:firstLineChars="200"/>
        <w:textAlignment w:val="auto"/>
        <w:rPr>
          <w:rFonts w:hint="eastAsia" w:ascii="宋体" w:hAnsi="宋体" w:eastAsia="宋体" w:cs="宋体"/>
          <w:color w:val="auto"/>
        </w:rPr>
      </w:pPr>
      <w:r>
        <w:rPr>
          <w:rFonts w:hint="eastAsia" w:ascii="宋体" w:hAnsi="宋体" w:eastAsia="宋体" w:cs="宋体"/>
          <w:b/>
          <w:bCs/>
          <w:color w:val="auto"/>
          <w:sz w:val="24"/>
          <w:szCs w:val="24"/>
        </w:rPr>
        <w:t>30.2</w:t>
      </w:r>
      <w:r>
        <w:rPr>
          <w:rFonts w:hint="eastAsia" w:ascii="宋体" w:hAnsi="宋体" w:eastAsia="宋体" w:cs="宋体"/>
          <w:color w:val="auto"/>
          <w:sz w:val="24"/>
        </w:rPr>
        <w:t>本项目代理服务费按</w:t>
      </w:r>
      <w:r>
        <w:rPr>
          <w:rFonts w:hint="eastAsia" w:hAnsi="宋体" w:cs="宋体"/>
          <w:color w:val="auto"/>
          <w:sz w:val="24"/>
          <w:lang w:val="en-US" w:eastAsia="zh-CN"/>
        </w:rPr>
        <w:t>服务</w:t>
      </w:r>
      <w:r>
        <w:rPr>
          <w:rFonts w:hint="eastAsia" w:ascii="宋体" w:hAnsi="宋体" w:eastAsia="宋体" w:cs="宋体"/>
          <w:color w:val="auto"/>
          <w:sz w:val="24"/>
        </w:rPr>
        <w:t>招标标准计取。</w:t>
      </w:r>
    </w:p>
    <w:tbl>
      <w:tblPr>
        <w:tblStyle w:val="2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454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656A4DA">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中标金额（万元）</w:t>
            </w:r>
          </w:p>
        </w:tc>
        <w:tc>
          <w:tcPr>
            <w:tcW w:w="1831" w:type="dxa"/>
            <w:tcBorders>
              <w:top w:val="single" w:color="auto" w:sz="4" w:space="0"/>
              <w:left w:val="single" w:color="auto" w:sz="4" w:space="0"/>
              <w:bottom w:val="single" w:color="auto" w:sz="4" w:space="0"/>
              <w:right w:val="single" w:color="auto" w:sz="4" w:space="0"/>
            </w:tcBorders>
            <w:vAlign w:val="center"/>
          </w:tcPr>
          <w:p w14:paraId="70360EF6">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货物招标</w:t>
            </w:r>
          </w:p>
        </w:tc>
        <w:tc>
          <w:tcPr>
            <w:tcW w:w="2090" w:type="dxa"/>
            <w:tcBorders>
              <w:top w:val="single" w:color="auto" w:sz="4" w:space="0"/>
              <w:left w:val="single" w:color="auto" w:sz="4" w:space="0"/>
              <w:bottom w:val="single" w:color="auto" w:sz="4" w:space="0"/>
              <w:right w:val="single" w:color="auto" w:sz="4" w:space="0"/>
            </w:tcBorders>
            <w:vAlign w:val="center"/>
          </w:tcPr>
          <w:p w14:paraId="4834FD80">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服务招标</w:t>
            </w:r>
          </w:p>
        </w:tc>
        <w:tc>
          <w:tcPr>
            <w:tcW w:w="2090" w:type="dxa"/>
            <w:tcBorders>
              <w:top w:val="single" w:color="auto" w:sz="4" w:space="0"/>
              <w:left w:val="single" w:color="auto" w:sz="4" w:space="0"/>
              <w:bottom w:val="single" w:color="auto" w:sz="4" w:space="0"/>
              <w:right w:val="single" w:color="auto" w:sz="4" w:space="0"/>
            </w:tcBorders>
            <w:vAlign w:val="center"/>
          </w:tcPr>
          <w:p w14:paraId="079A8CBE">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工程招标</w:t>
            </w:r>
          </w:p>
        </w:tc>
      </w:tr>
      <w:tr w14:paraId="5AC0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19D5525">
            <w:pPr>
              <w:pStyle w:val="20"/>
              <w:spacing w:before="0" w:beforeAutospacing="0" w:after="0" w:afterAutospacing="0" w:line="340" w:lineRule="exact"/>
              <w:jc w:val="both"/>
              <w:rPr>
                <w:rFonts w:hint="eastAsia" w:ascii="宋体" w:hAnsi="宋体" w:eastAsia="宋体" w:cs="宋体"/>
                <w:color w:val="auto"/>
              </w:rPr>
            </w:pPr>
            <w:r>
              <w:rPr>
                <w:rFonts w:hint="eastAsia" w:ascii="宋体" w:hAnsi="宋体" w:eastAsia="宋体" w:cs="宋体"/>
                <w:color w:val="auto"/>
              </w:rPr>
              <w:t>100以下</w:t>
            </w:r>
          </w:p>
        </w:tc>
        <w:tc>
          <w:tcPr>
            <w:tcW w:w="1831" w:type="dxa"/>
            <w:tcBorders>
              <w:top w:val="single" w:color="auto" w:sz="4" w:space="0"/>
              <w:left w:val="single" w:color="auto" w:sz="4" w:space="0"/>
              <w:bottom w:val="single" w:color="auto" w:sz="4" w:space="0"/>
              <w:right w:val="single" w:color="auto" w:sz="4" w:space="0"/>
            </w:tcBorders>
            <w:vAlign w:val="center"/>
          </w:tcPr>
          <w:p w14:paraId="41BED563">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12C09208">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4B249596">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1.0%</w:t>
            </w:r>
          </w:p>
        </w:tc>
      </w:tr>
      <w:tr w14:paraId="6205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065D57F">
            <w:pPr>
              <w:spacing w:line="340" w:lineRule="exact"/>
              <w:rPr>
                <w:rFonts w:hint="eastAsia" w:ascii="宋体" w:hAnsi="宋体" w:eastAsia="宋体" w:cs="宋体"/>
                <w:b/>
                <w:color w:val="auto"/>
                <w:sz w:val="24"/>
              </w:rPr>
            </w:pPr>
            <w:r>
              <w:rPr>
                <w:rFonts w:hint="eastAsia" w:ascii="宋体" w:hAnsi="宋体" w:eastAsia="宋体" w:cs="宋体"/>
                <w:color w:val="auto"/>
                <w:sz w:val="24"/>
              </w:rPr>
              <w:t>100-500</w:t>
            </w:r>
          </w:p>
        </w:tc>
        <w:tc>
          <w:tcPr>
            <w:tcW w:w="1831" w:type="dxa"/>
            <w:tcBorders>
              <w:top w:val="single" w:color="auto" w:sz="4" w:space="0"/>
              <w:left w:val="single" w:color="auto" w:sz="4" w:space="0"/>
              <w:bottom w:val="single" w:color="auto" w:sz="4" w:space="0"/>
              <w:right w:val="single" w:color="auto" w:sz="4" w:space="0"/>
            </w:tcBorders>
            <w:vAlign w:val="center"/>
          </w:tcPr>
          <w:p w14:paraId="53024D1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1.1%</w:t>
            </w:r>
          </w:p>
        </w:tc>
        <w:tc>
          <w:tcPr>
            <w:tcW w:w="2090" w:type="dxa"/>
            <w:tcBorders>
              <w:top w:val="single" w:color="auto" w:sz="4" w:space="0"/>
              <w:left w:val="single" w:color="auto" w:sz="4" w:space="0"/>
              <w:bottom w:val="single" w:color="auto" w:sz="4" w:space="0"/>
              <w:right w:val="single" w:color="auto" w:sz="4" w:space="0"/>
            </w:tcBorders>
            <w:vAlign w:val="center"/>
          </w:tcPr>
          <w:p w14:paraId="063ED5B5">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5D8B28D1">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0.7%</w:t>
            </w:r>
          </w:p>
        </w:tc>
      </w:tr>
      <w:tr w14:paraId="4B8B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C5D123">
            <w:pPr>
              <w:spacing w:line="340" w:lineRule="exact"/>
              <w:rPr>
                <w:rFonts w:hint="eastAsia" w:ascii="宋体" w:hAnsi="宋体" w:eastAsia="宋体" w:cs="宋体"/>
                <w:b/>
                <w:color w:val="auto"/>
                <w:sz w:val="24"/>
              </w:rPr>
            </w:pPr>
            <w:r>
              <w:rPr>
                <w:rFonts w:hint="eastAsia" w:ascii="宋体" w:hAnsi="宋体" w:eastAsia="宋体" w:cs="宋体"/>
                <w:color w:val="auto"/>
                <w:sz w:val="24"/>
              </w:rPr>
              <w:t>500-1000</w:t>
            </w:r>
          </w:p>
        </w:tc>
        <w:tc>
          <w:tcPr>
            <w:tcW w:w="1831" w:type="dxa"/>
            <w:tcBorders>
              <w:top w:val="single" w:color="auto" w:sz="4" w:space="0"/>
              <w:left w:val="single" w:color="auto" w:sz="4" w:space="0"/>
              <w:bottom w:val="single" w:color="auto" w:sz="4" w:space="0"/>
              <w:right w:val="single" w:color="auto" w:sz="4" w:space="0"/>
            </w:tcBorders>
            <w:vAlign w:val="center"/>
          </w:tcPr>
          <w:p w14:paraId="40A169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3536E6E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0.45%</w:t>
            </w:r>
          </w:p>
        </w:tc>
        <w:tc>
          <w:tcPr>
            <w:tcW w:w="2090" w:type="dxa"/>
            <w:tcBorders>
              <w:top w:val="single" w:color="auto" w:sz="4" w:space="0"/>
              <w:left w:val="single" w:color="auto" w:sz="4" w:space="0"/>
              <w:bottom w:val="single" w:color="auto" w:sz="4" w:space="0"/>
              <w:right w:val="single" w:color="auto" w:sz="4" w:space="0"/>
            </w:tcBorders>
            <w:vAlign w:val="center"/>
          </w:tcPr>
          <w:p w14:paraId="016A7E03">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0.55%</w:t>
            </w:r>
          </w:p>
        </w:tc>
      </w:tr>
      <w:tr w14:paraId="499F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588B9C4">
            <w:pPr>
              <w:spacing w:line="340" w:lineRule="exact"/>
              <w:rPr>
                <w:rFonts w:hint="eastAsia" w:ascii="宋体" w:hAnsi="宋体" w:eastAsia="宋体" w:cs="宋体"/>
                <w:b/>
                <w:color w:val="auto"/>
                <w:sz w:val="24"/>
              </w:rPr>
            </w:pPr>
            <w:r>
              <w:rPr>
                <w:rFonts w:hint="eastAsia" w:ascii="宋体" w:hAnsi="宋体" w:eastAsia="宋体" w:cs="宋体"/>
                <w:color w:val="auto"/>
                <w:sz w:val="24"/>
              </w:rPr>
              <w:t>1000-5000</w:t>
            </w:r>
          </w:p>
        </w:tc>
        <w:tc>
          <w:tcPr>
            <w:tcW w:w="1831" w:type="dxa"/>
            <w:tcBorders>
              <w:top w:val="single" w:color="auto" w:sz="4" w:space="0"/>
              <w:left w:val="single" w:color="auto" w:sz="4" w:space="0"/>
              <w:bottom w:val="single" w:color="auto" w:sz="4" w:space="0"/>
              <w:right w:val="single" w:color="auto" w:sz="4" w:space="0"/>
            </w:tcBorders>
            <w:vAlign w:val="center"/>
          </w:tcPr>
          <w:p w14:paraId="63DF25A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w:t>
            </w:r>
          </w:p>
        </w:tc>
        <w:tc>
          <w:tcPr>
            <w:tcW w:w="2090" w:type="dxa"/>
            <w:tcBorders>
              <w:top w:val="single" w:color="auto" w:sz="4" w:space="0"/>
              <w:left w:val="single" w:color="auto" w:sz="4" w:space="0"/>
              <w:bottom w:val="single" w:color="auto" w:sz="4" w:space="0"/>
              <w:right w:val="single" w:color="auto" w:sz="4" w:space="0"/>
            </w:tcBorders>
            <w:vAlign w:val="center"/>
          </w:tcPr>
          <w:p w14:paraId="6EFC31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2F513AC0">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0.35%</w:t>
            </w:r>
          </w:p>
        </w:tc>
      </w:tr>
      <w:tr w14:paraId="7359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B7EDAFE">
            <w:pPr>
              <w:spacing w:line="340" w:lineRule="exact"/>
              <w:rPr>
                <w:rFonts w:hint="eastAsia" w:ascii="宋体" w:hAnsi="宋体" w:eastAsia="宋体" w:cs="宋体"/>
                <w:b/>
                <w:color w:val="auto"/>
                <w:sz w:val="24"/>
              </w:rPr>
            </w:pPr>
            <w:r>
              <w:rPr>
                <w:rFonts w:hint="eastAsia" w:ascii="宋体" w:hAnsi="宋体" w:eastAsia="宋体" w:cs="宋体"/>
                <w:color w:val="auto"/>
                <w:sz w:val="24"/>
              </w:rPr>
              <w:t>5000-10000</w:t>
            </w:r>
          </w:p>
        </w:tc>
        <w:tc>
          <w:tcPr>
            <w:tcW w:w="1831" w:type="dxa"/>
            <w:tcBorders>
              <w:top w:val="single" w:color="auto" w:sz="4" w:space="0"/>
              <w:left w:val="single" w:color="auto" w:sz="4" w:space="0"/>
              <w:bottom w:val="single" w:color="auto" w:sz="4" w:space="0"/>
              <w:right w:val="single" w:color="auto" w:sz="4" w:space="0"/>
            </w:tcBorders>
            <w:vAlign w:val="center"/>
          </w:tcPr>
          <w:p w14:paraId="36198A4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72B18C6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0.1%</w:t>
            </w:r>
          </w:p>
        </w:tc>
        <w:tc>
          <w:tcPr>
            <w:tcW w:w="2090" w:type="dxa"/>
            <w:tcBorders>
              <w:top w:val="single" w:color="auto" w:sz="4" w:space="0"/>
              <w:left w:val="single" w:color="auto" w:sz="4" w:space="0"/>
              <w:bottom w:val="single" w:color="auto" w:sz="4" w:space="0"/>
              <w:right w:val="single" w:color="auto" w:sz="4" w:space="0"/>
            </w:tcBorders>
            <w:vAlign w:val="center"/>
          </w:tcPr>
          <w:p w14:paraId="1544D65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w:t>
            </w:r>
          </w:p>
        </w:tc>
      </w:tr>
      <w:tr w14:paraId="1B9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B7BC2DD">
            <w:pPr>
              <w:spacing w:line="340" w:lineRule="exact"/>
              <w:rPr>
                <w:rFonts w:hint="eastAsia" w:ascii="宋体" w:hAnsi="宋体" w:eastAsia="宋体" w:cs="宋体"/>
                <w:b/>
                <w:color w:val="auto"/>
                <w:sz w:val="24"/>
              </w:rPr>
            </w:pPr>
            <w:r>
              <w:rPr>
                <w:rFonts w:hint="eastAsia" w:ascii="宋体" w:hAnsi="宋体" w:eastAsia="宋体" w:cs="宋体"/>
                <w:color w:val="auto"/>
                <w:sz w:val="24"/>
              </w:rPr>
              <w:t>10000-100000</w:t>
            </w:r>
          </w:p>
        </w:tc>
        <w:tc>
          <w:tcPr>
            <w:tcW w:w="1831" w:type="dxa"/>
            <w:tcBorders>
              <w:top w:val="single" w:color="auto" w:sz="4" w:space="0"/>
              <w:left w:val="single" w:color="auto" w:sz="4" w:space="0"/>
              <w:bottom w:val="single" w:color="auto" w:sz="4" w:space="0"/>
              <w:right w:val="single" w:color="auto" w:sz="4" w:space="0"/>
            </w:tcBorders>
            <w:vAlign w:val="center"/>
          </w:tcPr>
          <w:p w14:paraId="6554FB8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142E037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0C01C02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r>
      <w:tr w14:paraId="2330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EC92B44">
            <w:pPr>
              <w:spacing w:line="340" w:lineRule="exact"/>
              <w:rPr>
                <w:rFonts w:hint="eastAsia" w:ascii="宋体" w:hAnsi="宋体" w:eastAsia="宋体" w:cs="宋体"/>
                <w:b/>
                <w:color w:val="auto"/>
                <w:sz w:val="24"/>
              </w:rPr>
            </w:pPr>
            <w:r>
              <w:rPr>
                <w:rFonts w:hint="eastAsia" w:ascii="宋体" w:hAnsi="宋体" w:eastAsia="宋体" w:cs="宋体"/>
                <w:color w:val="auto"/>
                <w:sz w:val="24"/>
              </w:rPr>
              <w:t>100000以上</w:t>
            </w:r>
          </w:p>
        </w:tc>
        <w:tc>
          <w:tcPr>
            <w:tcW w:w="1831" w:type="dxa"/>
            <w:tcBorders>
              <w:top w:val="single" w:color="auto" w:sz="4" w:space="0"/>
              <w:left w:val="single" w:color="auto" w:sz="4" w:space="0"/>
              <w:bottom w:val="single" w:color="auto" w:sz="4" w:space="0"/>
              <w:right w:val="single" w:color="auto" w:sz="4" w:space="0"/>
            </w:tcBorders>
            <w:vAlign w:val="center"/>
          </w:tcPr>
          <w:p w14:paraId="527461B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215F40D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09DD85BF">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0.01%</w:t>
            </w:r>
          </w:p>
        </w:tc>
      </w:tr>
    </w:tbl>
    <w:p w14:paraId="725AC33A">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注：招标代理服务收费按差额定率累进法计算。</w:t>
      </w:r>
    </w:p>
    <w:p w14:paraId="7AE854C9">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以货物项目为例：中标金额为</w:t>
      </w:r>
      <w:r>
        <w:rPr>
          <w:rFonts w:hint="eastAsia" w:ascii="宋体" w:hAnsi="宋体" w:eastAsia="宋体" w:cs="宋体"/>
          <w:i w:val="0"/>
          <w:iCs w:val="0"/>
          <w:caps w:val="0"/>
          <w:color w:val="auto"/>
          <w:spacing w:val="0"/>
          <w:sz w:val="24"/>
          <w:szCs w:val="24"/>
          <w:shd w:val="clear" w:fill="FFFFFF"/>
        </w:rPr>
        <w:t>1,160,000.00</w:t>
      </w:r>
      <w:r>
        <w:rPr>
          <w:rFonts w:hint="eastAsia" w:ascii="宋体" w:hAnsi="宋体" w:eastAsia="宋体" w:cs="宋体"/>
          <w:color w:val="auto"/>
          <w:sz w:val="24"/>
        </w:rPr>
        <w:t>元，计算招标代理服务收费额如下：</w:t>
      </w:r>
    </w:p>
    <w:p w14:paraId="7BC867FA">
      <w:pPr>
        <w:adjustRightInd/>
        <w:spacing w:line="460" w:lineRule="exact"/>
        <w:ind w:firstLine="360" w:firstLineChars="150"/>
        <w:textAlignment w:val="auto"/>
        <w:rPr>
          <w:rFonts w:hint="default" w:hAnsi="宋体" w:cs="宋体"/>
          <w:color w:val="auto"/>
          <w:sz w:val="24"/>
          <w:lang w:val="en-US" w:eastAsia="zh-CN"/>
        </w:rPr>
      </w:pPr>
      <w:r>
        <w:rPr>
          <w:rFonts w:hint="eastAsia" w:hAnsi="宋体" w:cs="宋体"/>
          <w:color w:val="auto"/>
          <w:sz w:val="24"/>
          <w:lang w:val="en-US" w:eastAsia="zh-CN"/>
        </w:rPr>
        <w:t>100万*1.5%=15000.00元</w:t>
      </w:r>
    </w:p>
    <w:p w14:paraId="15EACA3F">
      <w:pPr>
        <w:adjustRightInd/>
        <w:spacing w:line="460" w:lineRule="exact"/>
        <w:ind w:firstLine="360" w:firstLineChars="150"/>
        <w:textAlignment w:val="auto"/>
        <w:rPr>
          <w:rFonts w:hint="eastAsia" w:ascii="宋体" w:hAnsi="宋体" w:eastAsia="宋体" w:cs="宋体"/>
          <w:color w:val="auto"/>
          <w:sz w:val="24"/>
        </w:rPr>
      </w:pPr>
      <w:r>
        <w:rPr>
          <w:rFonts w:hint="eastAsia" w:hAnsi="宋体" w:cs="宋体"/>
          <w:color w:val="auto"/>
          <w:sz w:val="24"/>
          <w:lang w:val="en-US" w:eastAsia="zh-CN"/>
        </w:rPr>
        <w:t>（116万-100万）*0.8%=1280.00</w:t>
      </w:r>
      <w:r>
        <w:rPr>
          <w:rFonts w:hint="eastAsia" w:ascii="宋体" w:hAnsi="宋体" w:eastAsia="宋体" w:cs="宋体"/>
          <w:color w:val="auto"/>
          <w:sz w:val="24"/>
        </w:rPr>
        <w:t>元</w:t>
      </w:r>
    </w:p>
    <w:p w14:paraId="2C307572">
      <w:pPr>
        <w:adjustRightInd/>
        <w:spacing w:line="460" w:lineRule="exact"/>
        <w:ind w:firstLine="360" w:firstLineChars="150"/>
        <w:textAlignment w:val="auto"/>
        <w:rPr>
          <w:rFonts w:hint="default" w:ascii="宋体" w:hAnsi="宋体" w:eastAsia="宋体" w:cs="宋体"/>
          <w:color w:val="auto"/>
          <w:lang w:val="en-US" w:eastAsia="zh-CN"/>
        </w:rPr>
      </w:pPr>
      <w:r>
        <w:rPr>
          <w:rFonts w:hint="eastAsia" w:ascii="宋体" w:hAnsi="宋体" w:eastAsia="宋体" w:cs="宋体"/>
          <w:color w:val="auto"/>
          <w:sz w:val="24"/>
        </w:rPr>
        <w:t>收费</w:t>
      </w:r>
      <w:r>
        <w:rPr>
          <w:rFonts w:hint="eastAsia" w:ascii="宋体" w:hAnsi="宋体" w:eastAsia="宋体" w:cs="宋体"/>
          <w:color w:val="auto"/>
          <w:spacing w:val="20"/>
          <w:sz w:val="24"/>
        </w:rPr>
        <w:t>=</w:t>
      </w:r>
      <w:r>
        <w:rPr>
          <w:rFonts w:hint="eastAsia" w:hAnsi="宋体" w:cs="宋体"/>
          <w:color w:val="auto"/>
          <w:sz w:val="24"/>
          <w:lang w:val="en-US" w:eastAsia="zh-CN"/>
        </w:rPr>
        <w:t>15000.00+1280.00=16280.00</w:t>
      </w:r>
      <w:r>
        <w:rPr>
          <w:rFonts w:hint="eastAsia" w:ascii="宋体" w:hAnsi="宋体" w:eastAsia="宋体" w:cs="宋体"/>
          <w:color w:val="auto"/>
          <w:sz w:val="24"/>
        </w:rPr>
        <w:t>元</w:t>
      </w:r>
    </w:p>
    <w:p w14:paraId="0B24F5D2">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31．签订合同</w:t>
      </w:r>
    </w:p>
    <w:p w14:paraId="6A7459FC">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如果中标人没有按照上述第29.2条或第30条规定执行，采购人将有充分理由取消该中标决定。在此情况下，采购人可将合同授予综合得分排序名列下一个的供应商，或重新招标。</w:t>
      </w:r>
    </w:p>
    <w:p w14:paraId="087BC69D">
      <w:pPr>
        <w:spacing w:line="460" w:lineRule="exact"/>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32．其他</w:t>
      </w:r>
    </w:p>
    <w:p w14:paraId="537808E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 拒绝商业贿赂</w:t>
      </w:r>
    </w:p>
    <w:p w14:paraId="6B4F8ABF">
      <w:pPr>
        <w:spacing w:line="460" w:lineRule="exact"/>
        <w:ind w:firstLine="480" w:firstLineChars="200"/>
        <w:rPr>
          <w:rFonts w:hint="eastAsia"/>
          <w:color w:val="auto"/>
        </w:rPr>
      </w:pPr>
      <w:r>
        <w:rPr>
          <w:rFonts w:hint="eastAsia" w:ascii="宋体" w:hAnsi="宋体" w:eastAsia="宋体" w:cs="宋体"/>
          <w:color w:val="auto"/>
          <w:sz w:val="24"/>
        </w:rPr>
        <w:t>32.1.1供应商须填写一份《拒绝政府采购领域商业贿赂承诺书》（详见第五章投标文件基本格式）编制在投标文件中</w:t>
      </w:r>
      <w:r>
        <w:rPr>
          <w:rFonts w:hint="eastAsia" w:ascii="宋体" w:hAnsi="宋体" w:eastAsia="宋体" w:cs="宋体"/>
          <w:color w:val="auto"/>
          <w:kern w:val="1"/>
          <w:sz w:val="24"/>
        </w:rPr>
        <w:t>。</w:t>
      </w:r>
      <w:bookmarkStart w:id="149" w:name="_Toc245657546"/>
      <w:bookmarkStart w:id="150" w:name="_Toc208337157"/>
      <w:bookmarkStart w:id="151" w:name="_Toc207897909"/>
      <w:bookmarkStart w:id="152" w:name="_Toc245658527"/>
      <w:bookmarkStart w:id="153" w:name="_Toc244623584"/>
      <w:bookmarkStart w:id="154" w:name="_Toc245176658"/>
    </w:p>
    <w:p w14:paraId="64F2C307">
      <w:pPr>
        <w:spacing w:beforeLines="50" w:afterLines="50" w:line="240" w:lineRule="auto"/>
        <w:ind w:left="141" w:hanging="140" w:hangingChars="50"/>
        <w:jc w:val="center"/>
        <w:rPr>
          <w:rFonts w:hint="eastAsia" w:ascii="宋体" w:hAnsi="宋体" w:eastAsia="宋体" w:cs="宋体"/>
          <w:b/>
          <w:color w:val="auto"/>
        </w:rPr>
      </w:pPr>
      <w:r>
        <w:rPr>
          <w:rFonts w:hint="eastAsia" w:ascii="宋体" w:hAnsi="宋体" w:eastAsia="宋体" w:cs="宋体"/>
          <w:b/>
          <w:color w:val="auto"/>
          <w:sz w:val="28"/>
          <w:szCs w:val="28"/>
        </w:rPr>
        <w:t xml:space="preserve">第三章   </w:t>
      </w:r>
      <w:bookmarkEnd w:id="149"/>
      <w:bookmarkEnd w:id="150"/>
      <w:bookmarkEnd w:id="151"/>
      <w:bookmarkEnd w:id="152"/>
      <w:bookmarkEnd w:id="153"/>
      <w:bookmarkEnd w:id="154"/>
      <w:r>
        <w:rPr>
          <w:rFonts w:hint="eastAsia" w:ascii="宋体" w:hAnsi="宋体" w:eastAsia="宋体" w:cs="宋体"/>
          <w:b/>
          <w:color w:val="auto"/>
          <w:sz w:val="28"/>
          <w:szCs w:val="28"/>
        </w:rPr>
        <w:t>拟签订合同主要条款</w:t>
      </w:r>
    </w:p>
    <w:bookmarkEnd w:id="21"/>
    <w:bookmarkEnd w:id="22"/>
    <w:p w14:paraId="4AB04FA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委托人：</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平利县自然资源局</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rPr>
        <w:t xml:space="preserve"> （以下简称甲方）</w:t>
      </w:r>
    </w:p>
    <w:p w14:paraId="29AFA4F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受托人</w:t>
      </w:r>
      <w:r>
        <w:rPr>
          <w:rFonts w:hint="eastAsia" w:asciiTheme="majorEastAsia" w:hAnsiTheme="majorEastAsia" w:eastAsiaTheme="majorEastAsia" w:cstheme="majorEastAsia"/>
          <w:b/>
          <w:bCs/>
          <w:color w:val="auto"/>
          <w:sz w:val="24"/>
        </w:rPr>
        <w:t>：</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 xml:space="preserve">                 </w:t>
      </w:r>
      <w:r>
        <w:rPr>
          <w:rFonts w:hint="eastAsia" w:asciiTheme="majorEastAsia" w:hAnsiTheme="majorEastAsia" w:eastAsiaTheme="majorEastAsia" w:cstheme="majorEastAsia"/>
          <w:b/>
          <w:bCs/>
          <w:color w:val="auto"/>
          <w:sz w:val="24"/>
          <w:lang w:val="en-US" w:eastAsia="zh-CN"/>
        </w:rPr>
        <w:t xml:space="preserve"> </w:t>
      </w:r>
      <w:r>
        <w:rPr>
          <w:rFonts w:hint="eastAsia" w:asciiTheme="majorEastAsia" w:hAnsiTheme="majorEastAsia" w:eastAsiaTheme="majorEastAsia" w:cstheme="majorEastAsia"/>
          <w:b/>
          <w:bCs/>
          <w:color w:val="auto"/>
          <w:sz w:val="24"/>
        </w:rPr>
        <w:t>（以下简称乙方）</w:t>
      </w:r>
    </w:p>
    <w:p w14:paraId="10F22EB2">
      <w:pPr>
        <w:keepNext w:val="0"/>
        <w:keepLines w:val="0"/>
        <w:pageBreakBefore w:val="0"/>
        <w:widowControl w:val="0"/>
        <w:kinsoku/>
        <w:wordWrap/>
        <w:overflowPunct/>
        <w:topLinePunct w:val="0"/>
        <w:autoSpaceDE/>
        <w:autoSpaceDN/>
        <w:bidi w:val="0"/>
        <w:adjustRightInd/>
        <w:snapToGrid/>
        <w:spacing w:line="420" w:lineRule="exact"/>
        <w:ind w:right="139"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根据《中华人民共和国民法典》及其他有关法律、法规，遵循平等、自愿、公平和诚信的原则，双方就下述项目范围与相关服务事项协商一致，订立本合同。</w:t>
      </w:r>
    </w:p>
    <w:p w14:paraId="7049BD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第一条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项目基本情况</w:t>
      </w:r>
    </w:p>
    <w:p w14:paraId="3BD349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1.项目名称：</w:t>
      </w:r>
      <w:r>
        <w:rPr>
          <w:rFonts w:hint="eastAsia" w:ascii="宋体" w:hAnsi="宋体" w:eastAsia="宋体" w:cs="宋体"/>
          <w:kern w:val="2"/>
          <w:sz w:val="24"/>
          <w:szCs w:val="24"/>
          <w:lang w:val="en-US" w:eastAsia="zh-CN" w:bidi="ar-SA"/>
        </w:rPr>
        <w:t>平利县2025年村庄规划编制采购项目一标段</w:t>
      </w:r>
    </w:p>
    <w:p w14:paraId="2896E5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2.规划范围：大贵镇7个村（半边街村、湘子寨村、毛坝岭村、淑河村、百家湾村、柳林坝村、广兴寨村）；广佛镇8个村（广佛村、柳林子村、秋河村、松河村、闹杨坪村、东山寨村、白果坪村、冯家梁村）；洛河镇7个村（六一村、线河村、南坪街村、水坪村、三坪村、双垭村、狮子坝村）；八仙镇11个村（鸦河口村、百好河村、松阳村、三星寨村、靛坪村、花园岭村、仁溪沟村、金鸡河村、韩河村、江西街村、松树庙村）；三阳镇8个村（蒿子坝村、湖河村、九里村、兰家垭村、梁家坝村、泗王庙村、天池村、小富沟村）；正阳镇7个村（八仙村、洪家坪村、南溪河村、让河村、泗水坪村、正阳河村、周家坪村）</w:t>
      </w:r>
      <w:r>
        <w:rPr>
          <w:rFonts w:hint="eastAsia" w:ascii="宋体" w:hAnsi="宋体" w:eastAsia="宋体" w:cs="宋体"/>
          <w:kern w:val="2"/>
          <w:sz w:val="24"/>
          <w:szCs w:val="24"/>
          <w:lang w:val="en-US" w:eastAsia="zh-CN" w:bidi="ar-SA"/>
        </w:rPr>
        <w:t>。</w:t>
      </w:r>
    </w:p>
    <w:p w14:paraId="4425BF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en-US" w:bidi="ar-SA"/>
        </w:rPr>
        <w:t>3.工作内容：</w:t>
      </w:r>
    </w:p>
    <w:p w14:paraId="2A0026DB">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现状调查与分析</w:t>
      </w:r>
    </w:p>
    <w:p w14:paraId="19BD3C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年度变更调查成果及影像资料，衔接三区三线划定成果，通过内业座谈上图和外业踏勘相结合的方式，对村庄社会经济条件、人口、主要产业类型及规模、基础设施及公共服务设施现状情况进行调查上图，同时征询乡镇、村民对村庄未来的发展诉求，为规划编制提供详实的基础数据。</w:t>
      </w:r>
    </w:p>
    <w:p w14:paraId="3D97DE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（二）村庄定位</w:t>
      </w:r>
    </w:p>
    <w:p w14:paraId="017E83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落实上位规划的镇村体系布局和村庄分类，通过扎实调研明确村庄现状特征和主要问题，研判村庄定位和目标。</w:t>
      </w:r>
    </w:p>
    <w:p w14:paraId="010594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（三）底线管控规定</w:t>
      </w:r>
    </w:p>
    <w:p w14:paraId="64082CE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底线管控要求。传导落实上位国土空间规划和相关法律法规等文件明确涉及规划范围的底线管控要求，包括耕地和永久基本农田、生态保护红线，历史文化保护红线、灾害风险防控线等其他控制线，明确其范围、规模及管控要求。</w:t>
      </w:r>
    </w:p>
    <w:p w14:paraId="0E91CD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划定村庄建设边界线。在符合”三区三线”管控要求，确保县域村庄用地规模不增加的前提下。以2020年度国土变更调查村庄用地(203)规模为基础，衔接永久基本农田核实处置、城镇开发边界优化、生态保护红线占用调整、土地综合整治等工作成果，统筹划定村庄建设边界，明确管控要求。</w:t>
      </w:r>
    </w:p>
    <w:p w14:paraId="4F2D91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（四）规划管控指引</w:t>
      </w:r>
    </w:p>
    <w:p w14:paraId="79C71E6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民建房。严格落实”一户一宅＂，盘活利用好村域内闲置土地，结合农村房地一体确权结果和村民合理建房需求，明确新增农民建房选址范围、用地标准、建筑层数、建筑高度等管控要求，提出农房风貌指引要求。</w:t>
      </w:r>
    </w:p>
    <w:p w14:paraId="72128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益设施布局。落实上位规划和专项规划对村庄公共服务设施和基础设施建设要求，结合村民诉求，按照“缺什么、补什么＂的原则，明确新建公共服务设施和基础设施的用地范围、用地规模、具体用途、配套标准、容积率、建筑密度、建筑高度、建筑退距、风貌指引等建设管控要求。</w:t>
      </w:r>
    </w:p>
    <w:p w14:paraId="4EFCE85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产业用地布局。优先保障农村一二三产业融合发展的空间需求，统筹布局村庄商业服务业、工业、物流仓储等产业用地，用于农产品加工流通、农村休闲观光旅游、乡村新产业新业态等乡村振兴产业。明确产业用地范围、用地规模、具体用途、容积率、建筑密度、建筑高度、建筑退距、风貌指引等建设管控要求，规范乡村产业用地在村庄建设边界内合理布局和土地节约集约高效利用，促进产业用地兼容和空间复合利用。</w:t>
      </w:r>
    </w:p>
    <w:p w14:paraId="4C5627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国土综合整治和生态修复。落实上位规划和专项规划相关任务，明确国土综合整治与生态修复工程项目、实施时序，提出综合整治修复要求和措施。</w:t>
      </w:r>
    </w:p>
    <w:p w14:paraId="77FF2B9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美乡村特色风貌。深入挖掘村庄自然资源和历史文化内涵，突出地域特色和比较优势，因地制宜开展乡村空间设计，加强自然生态空间、乡村生活空间和农业生产空间的融合与协调，结合陕南地形地貌特征和地域乡土特色，提出乡村建筑设计、历史文化遗产保护等的管控引导要求。</w:t>
      </w:r>
    </w:p>
    <w:p w14:paraId="6FA705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（五）图件内容</w:t>
      </w:r>
    </w:p>
    <w:p w14:paraId="2DF2EC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域国土空间规划图。包括永久基本农田保护红线、生态保护红线、历史文化保护线、灾害风险控制线、村庄建设边界等重要控制线要素，以及规划用地分类、公共服务设施和基础设施布局等国土空间规划要素。需在图中插入表格，明确重要控制线划定面积和主要管控要求。</w:t>
      </w:r>
    </w:p>
    <w:p w14:paraId="3F74F32D">
      <w:pPr>
        <w:keepNext w:val="0"/>
        <w:keepLines w:val="0"/>
        <w:pageBreakBefore w:val="0"/>
        <w:widowControl w:val="0"/>
        <w:kinsoku/>
        <w:wordWrap/>
        <w:overflowPunct/>
        <w:topLinePunct w:val="0"/>
        <w:autoSpaceDE/>
        <w:autoSpaceDN/>
        <w:bidi w:val="0"/>
        <w:adjustRightInd/>
        <w:snapToGrid/>
        <w:spacing w:line="420" w:lineRule="exact"/>
        <w:ind w:right="203"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村庄建设用地管控图。村庄建设边界内新增的集中居住，使用存量建设用地或新增用地布局的乡村公共服务设施、基础设施及乡村产业等地块编制图则，明确土地用途、用地规模、容积率、建筑高度、建筑间距等控制要求，建筑风格、材质、色彩等风貌引导要求；对新增作为核发乡村建设规划许可的依据，强化对地块具体建设行为的指导约束。</w:t>
      </w:r>
    </w:p>
    <w:p w14:paraId="481E0D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第二条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编制依据和技术要求</w:t>
      </w:r>
    </w:p>
    <w:p w14:paraId="547DF3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（1）《中华人民共和国土地管理法》（2019年修正）；</w:t>
      </w:r>
    </w:p>
    <w:p w14:paraId="5DC865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（2）《中华人民共和国城乡规划法》（2019年修正）；</w:t>
      </w:r>
    </w:p>
    <w:p w14:paraId="5B6747A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（3）《中华人民共和国文物保护法》（2017年修正）；</w:t>
      </w:r>
    </w:p>
    <w:p w14:paraId="167B90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（4）《中华人民共和国土地管理法实施条例》（2021年修订）；</w:t>
      </w:r>
    </w:p>
    <w:p w14:paraId="1678CC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（5）《中华人民共和国基本农田保护条例》（2011 年修订）；</w:t>
      </w:r>
    </w:p>
    <w:p w14:paraId="35F9E8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（6）《陕西省实施&lt;中华人民共和国土地管理法&gt;办法》（2022年修订）；</w:t>
      </w:r>
    </w:p>
    <w:p w14:paraId="6B328C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（7）《国土空间调查、规划、用途管制用地用海分类指南》（2023版）；</w:t>
      </w:r>
    </w:p>
    <w:p w14:paraId="4CF927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（8）《陕西省乡镇级国土空间规划编制技术要点（试行）》；</w:t>
      </w:r>
    </w:p>
    <w:p w14:paraId="674019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（9）陕西省自然资源厅办公室关于印发《陕西省乡村地区“通则式”规划技术管理规定编制要点（试行）》的通知；</w:t>
      </w:r>
    </w:p>
    <w:p w14:paraId="76989A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（10）国家、省、市其他相关政策、规范。</w:t>
      </w:r>
    </w:p>
    <w:p w14:paraId="48D122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第三条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服务期</w:t>
      </w:r>
    </w:p>
    <w:p w14:paraId="02373B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hAnsi="宋体" w:cs="宋体"/>
          <w:kern w:val="2"/>
          <w:sz w:val="24"/>
          <w:szCs w:val="24"/>
          <w:lang w:val="en-US" w:eastAsia="zh-CN" w:bidi="ar-SA"/>
        </w:rPr>
        <w:t>6个月</w:t>
      </w:r>
      <w:r>
        <w:rPr>
          <w:rFonts w:hint="eastAsia" w:ascii="宋体" w:hAnsi="宋体" w:eastAsia="宋体" w:cs="宋体"/>
          <w:kern w:val="2"/>
          <w:sz w:val="24"/>
          <w:szCs w:val="24"/>
          <w:lang w:val="en-US" w:eastAsia="en-US" w:bidi="ar-SA"/>
        </w:rPr>
        <w:t>（最终成果报批时间以省、市要求时间节点为准）。</w:t>
      </w:r>
    </w:p>
    <w:p w14:paraId="795018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第四条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服务保障</w:t>
      </w:r>
    </w:p>
    <w:p w14:paraId="4AA14E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1.乙方合理安排人员时间，按照既定方案，力争提前保质保量完成服务工作任务。</w:t>
      </w:r>
    </w:p>
    <w:p w14:paraId="5F0487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2.乙方在规划方案编制及项目实施阶段应视情况而定开展相应工作。</w:t>
      </w:r>
    </w:p>
    <w:p w14:paraId="05DB0D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第五条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服务费及付款条件</w:t>
      </w:r>
    </w:p>
    <w:p w14:paraId="122715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1.乙方承接本项目的服务费酬金为人民币      </w:t>
      </w:r>
    </w:p>
    <w:p w14:paraId="0EABE9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en-US" w:bidi="ar-SA"/>
        </w:rPr>
        <w:t>2.付款方式</w:t>
      </w:r>
      <w:r>
        <w:rPr>
          <w:rFonts w:hint="eastAsia" w:ascii="宋体" w:hAnsi="宋体" w:eastAsia="宋体" w:cs="宋体"/>
          <w:b/>
          <w:bCs/>
          <w:kern w:val="2"/>
          <w:sz w:val="24"/>
          <w:szCs w:val="24"/>
          <w:lang w:val="en-US" w:eastAsia="zh-CN" w:bidi="ar-SA"/>
        </w:rPr>
        <w:t>（最终以双方签订合同为准）</w:t>
      </w:r>
    </w:p>
    <w:p w14:paraId="53FA9B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en-US" w:bidi="ar-SA"/>
        </w:rPr>
        <w:t>(1)自合同签订之日起5 日内，甲方向乙方支付合同总金额的</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en-US" w:bidi="ar-SA"/>
        </w:rPr>
        <w:t>0%,即人民币</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w:t>
      </w:r>
    </w:p>
    <w:p w14:paraId="1CA3B5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(2)乙方向甲方提交规划初稿文件后五日内，甲方向乙方支付合同总金额的50%,即人民币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 xml:space="preserve">     </w:t>
      </w:r>
    </w:p>
    <w:p w14:paraId="01FB86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(3)项目评审通过，乙方向甲方提交规划最终技术成果后五日内，甲方向乙方一次性付清全部尾款，即人民</w:t>
      </w:r>
      <w:r>
        <w:rPr>
          <w:rFonts w:hint="eastAsia" w:ascii="宋体" w:hAnsi="宋体" w:eastAsia="宋体" w:cs="宋体"/>
          <w:kern w:val="2"/>
          <w:sz w:val="24"/>
          <w:szCs w:val="24"/>
          <w:lang w:val="en-US" w:eastAsia="zh-CN" w:bidi="ar-SA"/>
        </w:rPr>
        <w:t>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 xml:space="preserve">           </w:t>
      </w:r>
    </w:p>
    <w:p w14:paraId="0A172A4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第六条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双方权利义务</w:t>
      </w:r>
    </w:p>
    <w:p w14:paraId="2D370A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1.甲方责任</w:t>
      </w:r>
    </w:p>
    <w:p w14:paraId="095440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(1)甲方应指派专人负责联系和协调本合同履行的全过程；</w:t>
      </w:r>
    </w:p>
    <w:p w14:paraId="70EDDC5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(2)甲方应及时向乙方提供所需技术基础资料，并对其完整性、正确性及来源合法性负责；</w:t>
      </w:r>
    </w:p>
    <w:p w14:paraId="4B5C223C">
      <w:pPr>
        <w:keepNext w:val="0"/>
        <w:keepLines w:val="0"/>
        <w:pageBreakBefore w:val="0"/>
        <w:widowControl w:val="0"/>
        <w:kinsoku/>
        <w:wordWrap/>
        <w:overflowPunct/>
        <w:topLinePunct w:val="0"/>
        <w:autoSpaceDE/>
        <w:autoSpaceDN/>
        <w:bidi w:val="0"/>
        <w:adjustRightInd/>
        <w:snapToGrid/>
        <w:spacing w:line="420" w:lineRule="exact"/>
        <w:ind w:right="23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(3)甲方应协助乙方进行现状调研和相关资料收集， 组织相关单位的配合，并为乙方在现场工作期间提供相应的便利条件；</w:t>
      </w:r>
    </w:p>
    <w:p w14:paraId="55B80B56">
      <w:pPr>
        <w:keepNext w:val="0"/>
        <w:keepLines w:val="0"/>
        <w:pageBreakBefore w:val="0"/>
        <w:widowControl w:val="0"/>
        <w:kinsoku/>
        <w:wordWrap/>
        <w:overflowPunct/>
        <w:topLinePunct w:val="0"/>
        <w:autoSpaceDE/>
        <w:autoSpaceDN/>
        <w:bidi w:val="0"/>
        <w:adjustRightInd/>
        <w:snapToGrid/>
        <w:spacing w:line="420" w:lineRule="exact"/>
        <w:ind w:right="242"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(4)甲方变更本合同约定的内容或对所提供资料作较 大修改时，应于确定变更或修改之日起7个工作日内书面告之乙方，并由甲、乙双方另行协商签订补充协议，重新明确有关条款；</w:t>
      </w:r>
    </w:p>
    <w:p w14:paraId="005138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(5)甲方应按本合同第五条约定的时间按期如数付款。</w:t>
      </w:r>
    </w:p>
    <w:p w14:paraId="4F1BB6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2.乙方责任</w:t>
      </w:r>
    </w:p>
    <w:p w14:paraId="75CDE9A1">
      <w:pPr>
        <w:keepNext w:val="0"/>
        <w:keepLines w:val="0"/>
        <w:pageBreakBefore w:val="0"/>
        <w:widowControl w:val="0"/>
        <w:kinsoku/>
        <w:wordWrap/>
        <w:overflowPunct/>
        <w:topLinePunct w:val="0"/>
        <w:autoSpaceDE/>
        <w:autoSpaceDN/>
        <w:bidi w:val="0"/>
        <w:adjustRightInd/>
        <w:snapToGrid/>
        <w:spacing w:line="420" w:lineRule="exact"/>
        <w:ind w:right="22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(1)乙方所派技术团队应符合国家相关要求及约定， 不得中途更换项目主要技术负责人，在作业过程中未经甲方 同意更换主要技术负责人，甲方有权解除合同，由此产生的损失由乙方承担；</w:t>
      </w:r>
    </w:p>
    <w:p w14:paraId="46251738">
      <w:pPr>
        <w:keepNext w:val="0"/>
        <w:keepLines w:val="0"/>
        <w:pageBreakBefore w:val="0"/>
        <w:widowControl w:val="0"/>
        <w:kinsoku/>
        <w:wordWrap/>
        <w:overflowPunct/>
        <w:topLinePunct w:val="0"/>
        <w:autoSpaceDE/>
        <w:autoSpaceDN/>
        <w:bidi w:val="0"/>
        <w:adjustRightInd/>
        <w:snapToGrid/>
        <w:spacing w:line="420" w:lineRule="exact"/>
        <w:ind w:right="237"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(2)乙方在本合同执行完成后，应为甲方提供关于本项目的后期跟踪服务，包括：规划解释、政策咨询、技术协调等服务；</w:t>
      </w:r>
    </w:p>
    <w:p w14:paraId="36D3ACE9">
      <w:pPr>
        <w:keepNext w:val="0"/>
        <w:keepLines w:val="0"/>
        <w:pageBreakBefore w:val="0"/>
        <w:widowControl w:val="0"/>
        <w:kinsoku/>
        <w:wordWrap/>
        <w:overflowPunct/>
        <w:topLinePunct w:val="0"/>
        <w:autoSpaceDE/>
        <w:autoSpaceDN/>
        <w:bidi w:val="0"/>
        <w:adjustRightInd/>
        <w:snapToGrid/>
        <w:spacing w:line="420" w:lineRule="exact"/>
        <w:ind w:right="225"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(3)乙方应对其工作人员在现场工作期间的一切行为负责</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如安全事故责任及因此发生的人身损害赔偿和其它费用由乙方承担；</w:t>
      </w:r>
    </w:p>
    <w:p w14:paraId="414668D7">
      <w:pPr>
        <w:keepNext w:val="0"/>
        <w:keepLines w:val="0"/>
        <w:pageBreakBefore w:val="0"/>
        <w:widowControl w:val="0"/>
        <w:kinsoku/>
        <w:wordWrap/>
        <w:overflowPunct/>
        <w:topLinePunct w:val="0"/>
        <w:autoSpaceDE/>
        <w:autoSpaceDN/>
        <w:bidi w:val="0"/>
        <w:adjustRightInd/>
        <w:snapToGrid/>
        <w:spacing w:line="420" w:lineRule="exact"/>
        <w:ind w:right="307"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(4)乙方应对甲方提交的所有资料具有保密义务，乙 方应采取各项措施保证甲方的资料不丢失、不泄露。项目成果归甲方所有，在项目完成后，乙方应将项目所有成果移交 甲方；乙方使用本合同项目成果用于学术研究、发表论文和 著作时如需引用涉及保密要求的工作成果内容，应征得甲方同意，未经甲方同意，不得擅自使用。</w:t>
      </w:r>
    </w:p>
    <w:p w14:paraId="5F9FA4B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第七条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违约责任</w:t>
      </w:r>
    </w:p>
    <w:p w14:paraId="567B48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284" w:rightChars="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en-US" w:bidi="ar-SA"/>
        </w:rPr>
        <w:t>甲方未按合同第五条约定如期付款时，每逾期一天，乙 方有权要求甲方按照每日该阶段合同价款 0.05% 的标准支 付逾期违约金，逾期违约金总额不超过该阶段合同价款的 10%;同时，乙方按合同约定的相应工作顺延；逾期超过 2 0个 工作日以上时，乙方有权暂停履行下阶段工作，并书面通知甲方，乙方违约导致甲方逾期付款的甲方不承担违约赔偿。</w:t>
      </w:r>
    </w:p>
    <w:p w14:paraId="52989A94">
      <w:pPr>
        <w:keepNext w:val="0"/>
        <w:keepLines w:val="0"/>
        <w:pageBreakBefore w:val="0"/>
        <w:widowControl w:val="0"/>
        <w:kinsoku/>
        <w:wordWrap/>
        <w:overflowPunct/>
        <w:topLinePunct w:val="0"/>
        <w:autoSpaceDE/>
        <w:autoSpaceDN/>
        <w:bidi w:val="0"/>
        <w:adjustRightInd/>
        <w:snapToGrid/>
        <w:spacing w:line="420" w:lineRule="exact"/>
        <w:ind w:right="268"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2.因甲方原因造成各阶段项目成果审查、验收和提交书面审查、验收意见滞后的，则乙方按合同约定提交成果的时间相应顺延。</w:t>
      </w:r>
    </w:p>
    <w:p w14:paraId="43C7A646">
      <w:pPr>
        <w:keepNext w:val="0"/>
        <w:keepLines w:val="0"/>
        <w:pageBreakBefore w:val="0"/>
        <w:widowControl w:val="0"/>
        <w:kinsoku/>
        <w:wordWrap/>
        <w:overflowPunct/>
        <w:topLinePunct w:val="0"/>
        <w:autoSpaceDE/>
        <w:autoSpaceDN/>
        <w:bidi w:val="0"/>
        <w:adjustRightInd/>
        <w:snapToGrid/>
        <w:spacing w:line="420" w:lineRule="exact"/>
        <w:ind w:right="219"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因甲方原因造成合同终止或解除，乙方未开始规划设计工作的，不退还甲方已付的定金；已开始规划设计工作的，甲方应根据乙方已完成的实际工作量支付合同价款，同时，乙方将已完成的阶段成果移交给甲方。</w:t>
      </w:r>
    </w:p>
    <w:p w14:paraId="5E804E0F">
      <w:pPr>
        <w:keepNext w:val="0"/>
        <w:keepLines w:val="0"/>
        <w:pageBreakBefore w:val="0"/>
        <w:widowControl w:val="0"/>
        <w:kinsoku/>
        <w:wordWrap/>
        <w:overflowPunct/>
        <w:topLinePunct w:val="0"/>
        <w:autoSpaceDE/>
        <w:autoSpaceDN/>
        <w:bidi w:val="0"/>
        <w:adjustRightInd/>
        <w:snapToGrid/>
        <w:spacing w:line="420" w:lineRule="exact"/>
        <w:ind w:right="276"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4.因乙方原因造成项目成果质量问题的，乙方除负责及时采取有效补救措施外，受损失部分的合同价款已经支付的，乙方应当退还；未支付的，不予支付。同时，乙方还应当向甲方支付受损失部分合同价款 10% 的违约金。</w:t>
      </w:r>
    </w:p>
    <w:p w14:paraId="271A0834">
      <w:pPr>
        <w:keepNext w:val="0"/>
        <w:keepLines w:val="0"/>
        <w:pageBreakBefore w:val="0"/>
        <w:widowControl w:val="0"/>
        <w:kinsoku/>
        <w:wordWrap/>
        <w:overflowPunct/>
        <w:topLinePunct w:val="0"/>
        <w:autoSpaceDE/>
        <w:autoSpaceDN/>
        <w:bidi w:val="0"/>
        <w:adjustRightInd/>
        <w:snapToGrid/>
        <w:spacing w:line="420" w:lineRule="exact"/>
        <w:ind w:right="12"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5.乙方未按合同约定的进度要求提交成果时，每逾期一天，</w:t>
      </w:r>
    </w:p>
    <w:p w14:paraId="50DD4D2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甲方有权要求乙方按照每日该阶段合同价款 0.1% 的标准支付逾期违约金，逾期违约金总额不超过合同总价款的10%</w:t>
      </w:r>
      <w:r>
        <w:rPr>
          <w:rFonts w:hint="eastAsia" w:ascii="宋体" w:hAnsi="宋体" w:eastAsia="宋体" w:cs="宋体"/>
          <w:kern w:val="2"/>
          <w:sz w:val="24"/>
          <w:szCs w:val="24"/>
          <w:lang w:val="en-US" w:eastAsia="zh-CN" w:bidi="ar-SA"/>
        </w:rPr>
        <w:t>。</w:t>
      </w:r>
    </w:p>
    <w:p w14:paraId="37142296">
      <w:pPr>
        <w:keepNext w:val="0"/>
        <w:keepLines w:val="0"/>
        <w:pageBreakBefore w:val="0"/>
        <w:widowControl w:val="0"/>
        <w:kinsoku/>
        <w:wordWrap/>
        <w:overflowPunct/>
        <w:topLinePunct w:val="0"/>
        <w:autoSpaceDE/>
        <w:autoSpaceDN/>
        <w:bidi w:val="0"/>
        <w:adjustRightInd/>
        <w:snapToGrid/>
        <w:spacing w:line="420" w:lineRule="exact"/>
        <w:ind w:right="180"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6.因乙方原因造成合同终止或解除的，乙方须退还甲方已付的所有款项，对甲方造成损失的，还应当承担损害赔偿责任。</w:t>
      </w:r>
    </w:p>
    <w:p w14:paraId="056D4B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第八条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保密责任</w:t>
      </w:r>
    </w:p>
    <w:p w14:paraId="0ABBA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70" w:rightChars="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en-US" w:bidi="ar-SA"/>
        </w:rPr>
        <w:t>甲、乙双方均应遵守《中华人民共和国保守国家秘密法》 和其它相关规定，妥善保管对方提供的资料，保守对方的各项秘密，并保护对方的知识产权；未经对方书面许可，不得利用知悉的对方资料和成果为自己或第三方谋取利益。</w:t>
      </w:r>
    </w:p>
    <w:p w14:paraId="1BD064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2.未经对方许可，任何一方均不得将对方的资料或成果向第三方转让或用于本合同外的其它项目。</w:t>
      </w:r>
    </w:p>
    <w:p w14:paraId="2B2F5E33">
      <w:pPr>
        <w:keepNext w:val="0"/>
        <w:keepLines w:val="0"/>
        <w:pageBreakBefore w:val="0"/>
        <w:widowControl w:val="0"/>
        <w:kinsoku/>
        <w:wordWrap/>
        <w:overflowPunct/>
        <w:topLinePunct w:val="0"/>
        <w:autoSpaceDE/>
        <w:autoSpaceDN/>
        <w:bidi w:val="0"/>
        <w:adjustRightInd/>
        <w:snapToGrid/>
        <w:spacing w:line="420" w:lineRule="exact"/>
        <w:ind w:right="13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3.乙方须以保密方式处理双方直接或间接提供的任何资料，以及因本项目研究工作所直接或间接取得、处理或接 触的任何其它资料。未经甲方同意，不得向第三方透露任何有关项目的内容，或公开任何项目中间成果或最终成果。</w:t>
      </w:r>
    </w:p>
    <w:p w14:paraId="20FAB0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第九条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成果权属</w:t>
      </w:r>
    </w:p>
    <w:p w14:paraId="0786D694">
      <w:pPr>
        <w:keepNext w:val="0"/>
        <w:keepLines w:val="0"/>
        <w:pageBreakBefore w:val="0"/>
        <w:widowControl w:val="0"/>
        <w:kinsoku/>
        <w:wordWrap/>
        <w:overflowPunct/>
        <w:topLinePunct w:val="0"/>
        <w:autoSpaceDE/>
        <w:autoSpaceDN/>
        <w:bidi w:val="0"/>
        <w:adjustRightInd/>
        <w:snapToGrid/>
        <w:spacing w:line="420" w:lineRule="exact"/>
        <w:ind w:right="161"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1.本合同项目成果归甲方所有，乙方享有署名权和乙方独 有成果的知识与技术产权，并享有获得本合同项目成果的相关荣誉和奖励的权利。</w:t>
      </w:r>
    </w:p>
    <w:p w14:paraId="46773D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2.乙方享有使用本合同项目成果用于学术研究、发表论文和著作的权利。</w:t>
      </w:r>
    </w:p>
    <w:p w14:paraId="5249F0A4">
      <w:pPr>
        <w:keepNext w:val="0"/>
        <w:keepLines w:val="0"/>
        <w:pageBreakBefore w:val="0"/>
        <w:widowControl w:val="0"/>
        <w:kinsoku/>
        <w:wordWrap/>
        <w:overflowPunct/>
        <w:topLinePunct w:val="0"/>
        <w:autoSpaceDE/>
        <w:autoSpaceDN/>
        <w:bidi w:val="0"/>
        <w:adjustRightInd/>
        <w:snapToGrid/>
        <w:spacing w:line="420" w:lineRule="exact"/>
        <w:ind w:right="192"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3.甲方根据需要可自行决定成果的使用并进行修改，但 成果署名不得包括乙方，乙方不对修改后的成果进行技术确认和承担技术责任。</w:t>
      </w:r>
    </w:p>
    <w:p w14:paraId="1407EC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第十条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合同争议的解决方式</w:t>
      </w:r>
    </w:p>
    <w:p w14:paraId="55C7FBB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本合同履行期间发生争议的，由甲、乙双方协商解决；协商不成的，双方均可向甲方住所地人民法院起诉。如因相关争 议向人民法院提起诉讼，除争议事项及争议事项所涉及的条款外，双方应当继续履行本合同项下的其他义务。</w:t>
      </w:r>
    </w:p>
    <w:p w14:paraId="739E8B5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第十一条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其他</w:t>
      </w:r>
    </w:p>
    <w:p w14:paraId="7A127063">
      <w:pPr>
        <w:keepNext w:val="0"/>
        <w:keepLines w:val="0"/>
        <w:pageBreakBefore w:val="0"/>
        <w:widowControl w:val="0"/>
        <w:kinsoku/>
        <w:wordWrap/>
        <w:overflowPunct/>
        <w:topLinePunct w:val="0"/>
        <w:autoSpaceDE/>
        <w:autoSpaceDN/>
        <w:bidi w:val="0"/>
        <w:adjustRightInd/>
        <w:snapToGrid/>
        <w:spacing w:line="420" w:lineRule="exact"/>
        <w:ind w:right="4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因不可抗力(包括因战争、动乱或其它非甲、乙方责任造成的爆炸、火灾及其它不能预见、不能避免且不能克服的客观情况)影响本合同履行或者致使合同无法履行时，收到不可抗力一方可以免除赔偿责任。但收到不可抗力乙方应当在10 日内书面通知另一方，并提供不可抗力的详细情况，以及合同不能履行、部分不能履行或者需要延期履行的理由和有关证据。 不可抗力发生后，双方应当尽可能地采取适当措施及时减轻不可抗力对本合同履行所造成的影响。没有采取措施或者所采取的措施明显不当的，该方应当就损失扩大部分向另一方承担赔偿责任。不可抗力发生后，按照不可抗力对履行合同的影响程度，由双方协商是否解除或者变更合同。</w:t>
      </w:r>
    </w:p>
    <w:p w14:paraId="16334F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2.本合同自双方法定代表人或者授权代表人签字并加盖单位公章后生效，甲、乙双方履行完毕，本合同终止。</w:t>
      </w:r>
    </w:p>
    <w:p w14:paraId="784035CC">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第十</w:t>
      </w:r>
      <w:r>
        <w:rPr>
          <w:rFonts w:hint="eastAsia" w:hAnsi="宋体" w:cs="宋体"/>
          <w:b w:val="0"/>
          <w:bCs w:val="0"/>
          <w:sz w:val="24"/>
          <w:szCs w:val="24"/>
          <w:lang w:val="en-US" w:eastAsia="zh-CN"/>
        </w:rPr>
        <w:t>二</w:t>
      </w:r>
      <w:r>
        <w:rPr>
          <w:rFonts w:hint="eastAsia" w:ascii="宋体" w:hAnsi="宋体" w:eastAsia="宋体" w:cs="宋体"/>
          <w:b w:val="0"/>
          <w:bCs w:val="0"/>
          <w:sz w:val="24"/>
          <w:szCs w:val="24"/>
        </w:rPr>
        <w:t>条 附则</w:t>
      </w:r>
    </w:p>
    <w:p w14:paraId="174DF856">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1、本合同执行过程中的未尽事宜，双方应本着实事求是，友好协商的态度加以解决。</w:t>
      </w:r>
    </w:p>
    <w:p w14:paraId="0A90EB78">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2、本合同壹式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w:t>
      </w:r>
    </w:p>
    <w:tbl>
      <w:tblPr>
        <w:tblStyle w:val="2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8"/>
        <w:gridCol w:w="4661"/>
      </w:tblGrid>
      <w:tr w14:paraId="6802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294EF16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661" w:type="dxa"/>
            <w:tcBorders>
              <w:top w:val="single" w:color="auto" w:sz="4" w:space="0"/>
              <w:left w:val="single" w:color="auto" w:sz="4" w:space="0"/>
              <w:bottom w:val="single" w:color="auto" w:sz="4" w:space="0"/>
              <w:right w:val="single" w:color="auto" w:sz="4" w:space="0"/>
            </w:tcBorders>
            <w:vAlign w:val="center"/>
          </w:tcPr>
          <w:p w14:paraId="593F9FA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3D1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425CCF9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661" w:type="dxa"/>
            <w:tcBorders>
              <w:top w:val="single" w:color="auto" w:sz="4" w:space="0"/>
              <w:left w:val="single" w:color="auto" w:sz="4" w:space="0"/>
              <w:bottom w:val="single" w:color="auto" w:sz="4" w:space="0"/>
              <w:right w:val="single" w:color="auto" w:sz="4" w:space="0"/>
            </w:tcBorders>
            <w:vAlign w:val="center"/>
          </w:tcPr>
          <w:p w14:paraId="771908C1">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558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35B8D74C">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61" w:type="dxa"/>
            <w:tcBorders>
              <w:top w:val="single" w:color="auto" w:sz="4" w:space="0"/>
              <w:left w:val="single" w:color="auto" w:sz="4" w:space="0"/>
              <w:bottom w:val="single" w:color="auto" w:sz="4" w:space="0"/>
              <w:right w:val="single" w:color="auto" w:sz="4" w:space="0"/>
            </w:tcBorders>
            <w:vAlign w:val="center"/>
          </w:tcPr>
          <w:p w14:paraId="1307D86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6BE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16ACC54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661" w:type="dxa"/>
            <w:tcBorders>
              <w:top w:val="single" w:color="auto" w:sz="4" w:space="0"/>
              <w:left w:val="single" w:color="auto" w:sz="4" w:space="0"/>
              <w:bottom w:val="single" w:color="auto" w:sz="4" w:space="0"/>
              <w:right w:val="single" w:color="auto" w:sz="4" w:space="0"/>
            </w:tcBorders>
            <w:vAlign w:val="center"/>
          </w:tcPr>
          <w:p w14:paraId="5A8F4782">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6B2D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vMerge w:val="restart"/>
            <w:tcBorders>
              <w:top w:val="single" w:color="auto" w:sz="4" w:space="0"/>
              <w:left w:val="single" w:color="auto" w:sz="4" w:space="0"/>
              <w:right w:val="single" w:color="auto" w:sz="4" w:space="0"/>
            </w:tcBorders>
            <w:vAlign w:val="center"/>
          </w:tcPr>
          <w:p w14:paraId="28720134">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w:t>
            </w:r>
          </w:p>
        </w:tc>
        <w:tc>
          <w:tcPr>
            <w:tcW w:w="4661" w:type="dxa"/>
            <w:tcBorders>
              <w:top w:val="single" w:color="auto" w:sz="4" w:space="0"/>
              <w:left w:val="single" w:color="auto" w:sz="4" w:space="0"/>
              <w:bottom w:val="single" w:color="auto" w:sz="4" w:space="0"/>
              <w:right w:val="single" w:color="auto" w:sz="4" w:space="0"/>
            </w:tcBorders>
            <w:vAlign w:val="center"/>
          </w:tcPr>
          <w:p w14:paraId="57DE35C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签字或盖章</w:t>
            </w:r>
            <w:r>
              <w:rPr>
                <w:rFonts w:hint="eastAsia" w:ascii="宋体" w:hAnsi="宋体" w:cs="宋体"/>
                <w:color w:val="auto"/>
                <w:sz w:val="24"/>
                <w:szCs w:val="24"/>
                <w:highlight w:val="none"/>
                <w:lang w:eastAsia="zh-CN"/>
              </w:rPr>
              <w:t>）</w:t>
            </w:r>
          </w:p>
        </w:tc>
      </w:tr>
      <w:tr w14:paraId="43C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vMerge w:val="continue"/>
            <w:tcBorders>
              <w:left w:val="single" w:color="auto" w:sz="4" w:space="0"/>
              <w:bottom w:val="single" w:color="auto" w:sz="4" w:space="0"/>
              <w:right w:val="single" w:color="auto" w:sz="4" w:space="0"/>
            </w:tcBorders>
            <w:vAlign w:val="center"/>
          </w:tcPr>
          <w:p w14:paraId="7BD2AC8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790CCF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被授权代表：（签字）</w:t>
            </w:r>
          </w:p>
        </w:tc>
      </w:tr>
      <w:tr w14:paraId="2A8F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57DB563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61" w:type="dxa"/>
            <w:tcBorders>
              <w:top w:val="single" w:color="auto" w:sz="4" w:space="0"/>
              <w:left w:val="single" w:color="auto" w:sz="4" w:space="0"/>
              <w:bottom w:val="single" w:color="auto" w:sz="4" w:space="0"/>
              <w:right w:val="single" w:color="auto" w:sz="4" w:space="0"/>
            </w:tcBorders>
            <w:vAlign w:val="center"/>
          </w:tcPr>
          <w:p w14:paraId="64B42FA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4A6F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1E7190F5">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37BE6CA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E20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52E361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61" w:type="dxa"/>
            <w:tcBorders>
              <w:top w:val="single" w:color="auto" w:sz="4" w:space="0"/>
              <w:left w:val="single" w:color="auto" w:sz="4" w:space="0"/>
              <w:bottom w:val="single" w:color="auto" w:sz="4" w:space="0"/>
              <w:right w:val="single" w:color="auto" w:sz="4" w:space="0"/>
            </w:tcBorders>
            <w:vAlign w:val="center"/>
          </w:tcPr>
          <w:p w14:paraId="46F6AAF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700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58" w:type="dxa"/>
            <w:tcBorders>
              <w:top w:val="single" w:color="auto" w:sz="4" w:space="0"/>
              <w:left w:val="single" w:color="auto" w:sz="4" w:space="0"/>
              <w:bottom w:val="single" w:color="auto" w:sz="4" w:space="0"/>
              <w:right w:val="single" w:color="auto" w:sz="4" w:space="0"/>
            </w:tcBorders>
            <w:vAlign w:val="center"/>
          </w:tcPr>
          <w:p w14:paraId="3E7881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661" w:type="dxa"/>
            <w:tcBorders>
              <w:top w:val="single" w:color="auto" w:sz="4" w:space="0"/>
              <w:left w:val="single" w:color="auto" w:sz="4" w:space="0"/>
              <w:bottom w:val="single" w:color="auto" w:sz="4" w:space="0"/>
              <w:right w:val="single" w:color="auto" w:sz="4" w:space="0"/>
            </w:tcBorders>
            <w:vAlign w:val="center"/>
          </w:tcPr>
          <w:p w14:paraId="36393B9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DB9A914">
      <w:pPr>
        <w:pStyle w:val="2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4793098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b/>
          <w:color w:val="auto"/>
          <w:sz w:val="24"/>
          <w:highlight w:val="none"/>
          <w:lang w:eastAsia="zh-CN"/>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1FA76DB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b/>
          <w:color w:val="auto"/>
          <w:sz w:val="24"/>
          <w:highlight w:val="none"/>
          <w:lang w:eastAsia="zh-CN"/>
        </w:rPr>
      </w:pPr>
    </w:p>
    <w:p w14:paraId="47E07A0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b/>
          <w:color w:val="auto"/>
          <w:sz w:val="24"/>
          <w:highlight w:val="none"/>
          <w:lang w:eastAsia="zh-CN"/>
        </w:rPr>
      </w:pPr>
    </w:p>
    <w:p w14:paraId="4D26C341">
      <w:pPr>
        <w:keepNext w:val="0"/>
        <w:keepLines w:val="0"/>
        <w:pageBreakBefore w:val="0"/>
        <w:widowControl w:val="0"/>
        <w:numPr>
          <w:ilvl w:val="0"/>
          <w:numId w:val="2"/>
        </w:numPr>
        <w:kinsoku/>
        <w:wordWrap/>
        <w:overflowPunct/>
        <w:topLinePunct w:val="0"/>
        <w:autoSpaceDE/>
        <w:autoSpaceDN/>
        <w:bidi w:val="0"/>
        <w:adjustRightInd/>
        <w:snapToGrid/>
        <w:spacing w:before="469" w:beforeLines="150" w:line="240"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采购内容与</w:t>
      </w:r>
      <w:r>
        <w:rPr>
          <w:rFonts w:hint="eastAsia" w:hAnsi="宋体" w:cs="宋体"/>
          <w:b/>
          <w:color w:val="auto"/>
          <w:sz w:val="32"/>
          <w:szCs w:val="32"/>
          <w:lang w:eastAsia="zh-CN"/>
        </w:rPr>
        <w:t>技术要求</w:t>
      </w:r>
    </w:p>
    <w:p w14:paraId="2614C70A">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color w:val="auto"/>
          <w:sz w:val="24"/>
          <w:szCs w:val="24"/>
        </w:rPr>
      </w:pPr>
      <w:bookmarkStart w:id="155" w:name="_Toc237598150"/>
      <w:bookmarkStart w:id="156" w:name="_Toc245658529"/>
      <w:bookmarkStart w:id="157" w:name="_Toc245657548"/>
      <w:bookmarkStart w:id="158" w:name="_Toc244623586"/>
      <w:bookmarkStart w:id="159" w:name="_Toc245176660"/>
      <w:r>
        <w:rPr>
          <w:rFonts w:hint="eastAsia" w:ascii="宋体" w:hAnsi="宋体" w:eastAsia="宋体" w:cs="宋体"/>
          <w:b/>
          <w:color w:val="auto"/>
          <w:sz w:val="24"/>
          <w:szCs w:val="24"/>
        </w:rPr>
        <w:t>一、采购内容：</w:t>
      </w:r>
    </w:p>
    <w:p w14:paraId="1943E670">
      <w:pPr>
        <w:keepNext w:val="0"/>
        <w:keepLines w:val="0"/>
        <w:pageBreakBefore w:val="0"/>
        <w:widowControl w:val="0"/>
        <w:kinsoku/>
        <w:wordWrap/>
        <w:overflowPunct/>
        <w:topLinePunct w:val="0"/>
        <w:autoSpaceDE/>
        <w:autoSpaceDN/>
        <w:bidi w:val="0"/>
        <w:snapToGrid/>
        <w:spacing w:line="440" w:lineRule="exact"/>
        <w:ind w:right="-1"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hAnsi="宋体" w:cs="宋体"/>
          <w:bCs/>
          <w:color w:val="auto"/>
          <w:sz w:val="24"/>
          <w:szCs w:val="24"/>
          <w:lang w:val="en-US" w:eastAsia="zh-CN"/>
        </w:rPr>
        <w:t>项目概况</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平利县2025年村庄规划编制采购项目</w:t>
      </w:r>
      <w:r>
        <w:rPr>
          <w:rFonts w:hint="eastAsia" w:hAnsi="宋体" w:cs="宋体"/>
          <w:bCs/>
          <w:color w:val="auto"/>
          <w:sz w:val="24"/>
          <w:szCs w:val="24"/>
          <w:lang w:val="en-US" w:eastAsia="zh-CN"/>
        </w:rPr>
        <w:t>一标段，主要服务工作内容包括48个村的村庄规划编制工作</w:t>
      </w:r>
      <w:r>
        <w:rPr>
          <w:rFonts w:hint="eastAsia" w:ascii="宋体" w:hAnsi="宋体" w:eastAsia="宋体" w:cs="宋体"/>
          <w:color w:val="1552D1"/>
          <w:sz w:val="24"/>
          <w:szCs w:val="24"/>
        </w:rPr>
        <w:t>。</w:t>
      </w:r>
    </w:p>
    <w:p w14:paraId="51B60EBC">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eastAsia="宋体" w:cs="宋体"/>
          <w:kern w:val="2"/>
          <w:sz w:val="24"/>
          <w:szCs w:val="24"/>
          <w:lang w:val="en-US" w:eastAsia="en-US" w:bidi="ar-SA"/>
        </w:rPr>
        <w:t>规划范围：大贵镇7个村（半边街村、湘子寨村、毛坝岭村、淑河村、百家湾村、柳林坝村、广兴寨村）；广佛镇8个村（广佛村、柳林子村、秋河村、松河村、闹杨坪村、东山寨村、白果坪村、冯家梁村）；洛河镇7个村（六一村、线河村、南坪街村、水坪村、三坪村、双垭村、狮子坝村）；八仙镇11个村（鸦河口村、百好河村、松阳村、三星寨村、靛坪村、花园岭村、仁溪沟村、金鸡河村、韩河村、江西街村、松树庙村）；三阳镇8个村（蒿子坝村、湖河村、九里村、兰家垭村、梁家坝村、泗王庙村、天池村、小富沟村）；正阳镇7个村（八仙村、洪家坪村、南溪河村、让河村、泗水坪村、正阳河村、周家坪村）</w:t>
      </w:r>
      <w:r>
        <w:rPr>
          <w:rFonts w:hint="eastAsia" w:ascii="宋体" w:hAnsi="宋体" w:eastAsia="宋体" w:cs="宋体"/>
          <w:kern w:val="2"/>
          <w:sz w:val="24"/>
          <w:szCs w:val="24"/>
          <w:lang w:val="en-US" w:eastAsia="zh-CN" w:bidi="ar-SA"/>
        </w:rPr>
        <w:t>。</w:t>
      </w:r>
    </w:p>
    <w:p w14:paraId="6214CA5C">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default" w:hAnsi="宋体" w:cs="宋体"/>
          <w:color w:val="auto"/>
          <w:sz w:val="24"/>
          <w:szCs w:val="24"/>
          <w:lang w:val="en-US" w:eastAsia="zh-CN"/>
        </w:rPr>
      </w:pPr>
      <w:r>
        <w:rPr>
          <w:rFonts w:hint="eastAsia" w:hAnsi="宋体" w:cs="宋体"/>
          <w:color w:val="auto"/>
          <w:sz w:val="24"/>
          <w:szCs w:val="24"/>
          <w:lang w:val="en-US" w:eastAsia="zh-CN"/>
        </w:rPr>
        <w:t>3、服务期：6个月（最终成果报批时间以省、市要求时间节点为准）。</w:t>
      </w:r>
    </w:p>
    <w:p w14:paraId="0AF8F1EF">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val="0"/>
          <w:bCs w:val="0"/>
          <w:color w:val="auto"/>
        </w:rPr>
      </w:pPr>
      <w:r>
        <w:rPr>
          <w:rFonts w:hint="eastAsia" w:hAnsi="宋体" w:cs="宋体"/>
          <w:b w:val="0"/>
          <w:bCs w:val="0"/>
          <w:color w:val="auto"/>
          <w:sz w:val="24"/>
          <w:szCs w:val="24"/>
          <w:lang w:val="en-US" w:eastAsia="zh-CN"/>
        </w:rPr>
        <w:t>4</w:t>
      </w:r>
      <w:r>
        <w:rPr>
          <w:rFonts w:hint="eastAsia" w:ascii="宋体" w:hAnsi="宋体" w:eastAsia="宋体" w:cs="宋体"/>
          <w:b w:val="0"/>
          <w:bCs w:val="0"/>
          <w:color w:val="auto"/>
          <w:sz w:val="24"/>
          <w:szCs w:val="24"/>
        </w:rPr>
        <w:t>、本项目</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为：人民币</w:t>
      </w:r>
      <w:r>
        <w:rPr>
          <w:rFonts w:hint="eastAsia" w:hAnsi="宋体" w:cs="宋体"/>
          <w:b w:val="0"/>
          <w:bCs w:val="0"/>
          <w:color w:val="auto"/>
          <w:sz w:val="24"/>
          <w:szCs w:val="24"/>
          <w:lang w:val="en-US" w:eastAsia="zh-CN"/>
        </w:rPr>
        <w:t>壹佰壹拾陆万元整</w:t>
      </w:r>
      <w:r>
        <w:rPr>
          <w:rFonts w:hint="eastAsia" w:ascii="宋体" w:hAnsi="宋体" w:eastAsia="宋体" w:cs="宋体"/>
          <w:b w:val="0"/>
          <w:bCs w:val="0"/>
          <w:color w:val="auto"/>
          <w:sz w:val="24"/>
          <w:szCs w:val="24"/>
        </w:rPr>
        <w:t>（￥：1,160,000.00元），投标报价大于</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，按废标处理。</w:t>
      </w:r>
      <w:bookmarkEnd w:id="155"/>
      <w:bookmarkEnd w:id="156"/>
      <w:bookmarkEnd w:id="157"/>
      <w:bookmarkEnd w:id="158"/>
      <w:bookmarkEnd w:id="159"/>
    </w:p>
    <w:p w14:paraId="16FEDD9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编制</w:t>
      </w:r>
      <w:r>
        <w:rPr>
          <w:rFonts w:hint="eastAsia" w:ascii="宋体" w:hAnsi="宋体" w:eastAsia="宋体" w:cs="宋体"/>
          <w:b/>
          <w:bCs/>
          <w:color w:val="auto"/>
          <w:kern w:val="2"/>
          <w:sz w:val="24"/>
          <w:szCs w:val="24"/>
          <w:lang w:val="en-US" w:eastAsia="en-US" w:bidi="ar-SA"/>
        </w:rPr>
        <w:t>内容：</w:t>
      </w:r>
    </w:p>
    <w:p w14:paraId="0755332C">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现状调查与分析</w:t>
      </w:r>
    </w:p>
    <w:p w14:paraId="5BB452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年度变更调查成果及影像资料，衔接三区三线划定成果，通过内业座谈上图和外业踏勘相结合的方式，对村庄社会经济条件、人口、主要产业类型及规模、基础设施及公共服务设施现状情况进行调查上图，同时征询乡镇、村民对村庄未来的发展诉求，为规划编制提供详实的基础数据。</w:t>
      </w:r>
    </w:p>
    <w:p w14:paraId="071478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（二）村庄定位</w:t>
      </w:r>
    </w:p>
    <w:p w14:paraId="2F10EF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落实上位规划的镇村体系布局和村庄分类，通过扎实调研明确村庄现状特征和主要问题，研判村庄定位和目标。</w:t>
      </w:r>
    </w:p>
    <w:p w14:paraId="713DE6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（三）底线管控规定</w:t>
      </w:r>
    </w:p>
    <w:p w14:paraId="415B04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底线管控要求。传导落实上位国土空间规划和相关法律法规等文件明确涉及规划范围的底线管控要求，包括耕地和永久基本农田、生态保护红线，历史文化保护红线、灾害风险防控线等其他控制线，明确其范围、规模及管控要求。</w:t>
      </w:r>
    </w:p>
    <w:p w14:paraId="04073AB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划定村庄建设边界线。在符合”三区三线”管控要求，确保县域村庄用地规模不增加的前提下。以2020年度国土变更调查村庄用地(203)规模为基础，衔接永久基本农田核实处置、城镇开发边界优化、生态保护红线占用调整、土地综合整治等工作成果，统筹划定村庄建设边界，明确管控要求。</w:t>
      </w:r>
    </w:p>
    <w:p w14:paraId="1F8839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（四）规划管控指引</w:t>
      </w:r>
    </w:p>
    <w:p w14:paraId="007E79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民建房。严格落实”一户一宅＂，盘活利用好村域内闲置土地，结合农村房地一体确权结果和村民合理建房需求，明确新增农民建房选址范围、用地标准、建筑层数、建筑高度等管控要求，提出农房风貌指引要求。</w:t>
      </w:r>
    </w:p>
    <w:p w14:paraId="5BE61D0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益设施布局。落实上位规划和专项规划对村庄公共服务设施和基础设施建设要求，结合村民诉求，按照“缺什么、补什么＂的原则，明确新建公共服务设施和基础设施的用地范围、用地规模、具体用途、配套标准、容积率、建筑密度、建筑高度、建筑退距、风貌指引等建设管控要求。</w:t>
      </w:r>
    </w:p>
    <w:p w14:paraId="67CBA1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产业用地布局。优先保障农村一二三产业融合发展的空间需求，统筹布局村庄商业服务业、工业、物流仓储等产业用地，用于农产品加工流通、农村休闲观光旅游、乡村新产业新业态等乡村振兴产业。明确产业用地范围、用地规模、具体用途、容积率、建筑密度、建筑高度、建筑退距、风貌指引等建设管控要求，规范乡村产业用地在村庄建设边界内合理布局和土地节约集约高效利用，促进产业用地兼容和空间复合利用。</w:t>
      </w:r>
    </w:p>
    <w:p w14:paraId="60FE08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国土综合整治和生态修复。落实上位规划和专项规划相关任务，明确国土综合整治与生态修复工程项目、实施时序，提出综合整治修复要求和措施。</w:t>
      </w:r>
    </w:p>
    <w:p w14:paraId="13306A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美乡村特色风貌。深入挖掘村庄自然资源和历史文化内涵，突出地域特色和比较优势，因地制宜开展乡村空间设计，加强自然生态空间、乡村生活空间和农业生产空间的融合与协调，结合陕南地形地貌特征和地域乡土特色，提出乡村建筑设计、历史文化遗产保护等的管控引导要求。</w:t>
      </w:r>
    </w:p>
    <w:p w14:paraId="61B4F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（五）图件内容</w:t>
      </w:r>
    </w:p>
    <w:p w14:paraId="4A3589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域国土空间规划图。包括永久基本农田保护红线、生态保护红线、历史文化保护线、灾害风险控制线、村庄建设边界等重要控制线要素，以及规划用地分类、公共服务设施和基础设施布局等国土空间规划要素。需在图中插入表格，明确重要控制线划定面积和主要管控要求。</w:t>
      </w:r>
    </w:p>
    <w:p w14:paraId="59BFDA44">
      <w:pPr>
        <w:keepNext w:val="0"/>
        <w:keepLines w:val="0"/>
        <w:pageBreakBefore w:val="0"/>
        <w:widowControl w:val="0"/>
        <w:kinsoku/>
        <w:wordWrap/>
        <w:overflowPunct/>
        <w:topLinePunct w:val="0"/>
        <w:autoSpaceDE/>
        <w:autoSpaceDN/>
        <w:bidi w:val="0"/>
        <w:adjustRightInd/>
        <w:snapToGrid/>
        <w:spacing w:line="420" w:lineRule="exact"/>
        <w:ind w:right="203"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村庄建设用地管控图。村庄建设边界内新增的集中居住，使用存量建设用地或新增用地布局的乡村公共服务设施、基础设施及乡村产业等地块编制图则，明确土地用途、用地规模、容积率、建筑高度、建筑间距等控制要求，建筑风格、材质、色彩等风貌引导要求；对新增作为核发乡村建设规划许可的依据，强化对地块具体建设行为的指导约束。</w:t>
      </w:r>
    </w:p>
    <w:p w14:paraId="448AD2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lang w:val="en-US" w:eastAsia="en-US" w:bidi="ar-SA"/>
        </w:rPr>
        <w:t>编制依据和技术要求</w:t>
      </w:r>
    </w:p>
    <w:p w14:paraId="5BC9624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（1）《中华人民共和国土地管理法》（2019年修正）；</w:t>
      </w:r>
    </w:p>
    <w:p w14:paraId="781147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（2）《中华人民共和国城乡规划法》（2019年修正）；</w:t>
      </w:r>
    </w:p>
    <w:p w14:paraId="469715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（3）《中华人民共和国文物保护法》（2017年修正）；</w:t>
      </w:r>
    </w:p>
    <w:p w14:paraId="3DB5C3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（4）《中华人民共和国土地管理法实施条例》（2021年修订）；</w:t>
      </w:r>
    </w:p>
    <w:p w14:paraId="581F5CB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（5）《中华人民共和国基本农田保护条例》（2011 年修订）；</w:t>
      </w:r>
    </w:p>
    <w:p w14:paraId="16742D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（6）《陕西省实施&lt;中华人民共和国土地管理法&gt;办法》（2022年修订）；</w:t>
      </w:r>
    </w:p>
    <w:p w14:paraId="5D5B4E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（7）《国土空间调查、规划、用途管制用地用海分类指南》（2023版）；</w:t>
      </w:r>
    </w:p>
    <w:p w14:paraId="26B76A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（8）《陕西省乡镇级国土空间规划编制技术要点（试行）》；</w:t>
      </w:r>
    </w:p>
    <w:p w14:paraId="4CE050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（9）陕西省自然资源厅办公室关于印发《陕西省乡村地区“通则式”规划技术管理规定编制要点（试行）》的通知；</w:t>
      </w:r>
    </w:p>
    <w:p w14:paraId="25504B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（10）国家、省、市其他相关政策、规范。</w:t>
      </w:r>
    </w:p>
    <w:p w14:paraId="27B927EA">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四、成果要求</w:t>
      </w:r>
    </w:p>
    <w:p w14:paraId="2476659F">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“通则式规定”成果包含规划技术管理规定和图件。</w:t>
      </w:r>
    </w:p>
    <w:p w14:paraId="61E76C0F">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规划技术管理规定主要以条文形式进行阐述，针对不同村庄的相同管控要求按照底线管控、规划管理等编制内容分类规定，可不逐村单独表述，表达形式应言简意骸、通俗易懂。规划技术管理规定成果以专章形式纳入乡镇级国土空间规划文本。</w:t>
      </w:r>
    </w:p>
    <w:p w14:paraId="1EE194FC">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图件为村域国土空间规划图和村庄建设用地管控图，表达形式应清晰易识别。图件成果以村庄为单位编制。</w:t>
      </w:r>
    </w:p>
    <w:p w14:paraId="4AAD982C">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规划数据库建设应符合国土空间规划”一张图”统一标准和要求，纳入县级国土空间规划数据库，可不单独建设规划数据库。</w:t>
      </w:r>
    </w:p>
    <w:p w14:paraId="69A134FA">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color w:val="auto"/>
          <w:sz w:val="24"/>
          <w:szCs w:val="24"/>
          <w:highlight w:val="none"/>
          <w:lang w:val="en-US" w:eastAsia="zh-CN"/>
        </w:rPr>
      </w:pPr>
    </w:p>
    <w:p w14:paraId="2DE25536">
      <w:pPr>
        <w:keepNext w:val="0"/>
        <w:keepLines w:val="0"/>
        <w:pageBreakBefore w:val="0"/>
        <w:widowControl w:val="0"/>
        <w:kinsoku/>
        <w:wordWrap/>
        <w:overflowPunct/>
        <w:topLinePunct w:val="0"/>
        <w:autoSpaceDE/>
        <w:autoSpaceDN/>
        <w:bidi w:val="0"/>
        <w:adjustRightInd w:val="0"/>
        <w:snapToGrid/>
        <w:spacing w:before="0" w:after="0" w:line="440" w:lineRule="exact"/>
        <w:rPr>
          <w:rFonts w:hint="default" w:hAnsi="宋体" w:cs="宋体"/>
          <w:b/>
          <w:color w:val="1552D1"/>
          <w:sz w:val="24"/>
          <w:szCs w:val="24"/>
          <w:highlight w:val="none"/>
          <w:lang w:val="en-US" w:eastAsia="zh-CN"/>
        </w:rPr>
      </w:pPr>
    </w:p>
    <w:p w14:paraId="4ED6DB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_GB2312" w:hAnsi="楷体_GB2312" w:eastAsia="楷体_GB2312" w:cs="楷体_GB2312"/>
          <w:b/>
          <w:bCs/>
          <w:sz w:val="28"/>
          <w:szCs w:val="28"/>
          <w:lang w:eastAsia="zh-CN"/>
        </w:rPr>
      </w:pPr>
    </w:p>
    <w:p w14:paraId="26ABB8F0">
      <w:pPr>
        <w:pStyle w:val="8"/>
        <w:keepNext w:val="0"/>
        <w:keepLines w:val="0"/>
        <w:pageBreakBefore w:val="0"/>
        <w:widowControl w:val="0"/>
        <w:kinsoku/>
        <w:wordWrap/>
        <w:overflowPunct/>
        <w:topLinePunct w:val="0"/>
        <w:autoSpaceDE/>
        <w:autoSpaceDN/>
        <w:bidi w:val="0"/>
        <w:snapToGrid/>
        <w:spacing w:line="440" w:lineRule="exact"/>
        <w:rPr>
          <w:rFonts w:ascii="宋体" w:hAnsi="宋体" w:eastAsia="宋体" w:cs="Times New Roman"/>
          <w:snapToGrid w:val="0"/>
          <w:sz w:val="24"/>
          <w:szCs w:val="22"/>
        </w:rPr>
      </w:pPr>
    </w:p>
    <w:p w14:paraId="26F01816">
      <w:pPr>
        <w:pStyle w:val="22"/>
        <w:rPr>
          <w:rFonts w:hint="default"/>
          <w:lang w:val="en-US" w:eastAsia="zh-CN"/>
        </w:rPr>
      </w:pPr>
    </w:p>
    <w:p w14:paraId="0230F852">
      <w:pPr>
        <w:pStyle w:val="23"/>
        <w:ind w:left="680" w:firstLine="482"/>
        <w:rPr>
          <w:rFonts w:hint="eastAsia" w:ascii="宋体" w:hAnsi="宋体" w:eastAsia="宋体" w:cs="宋体"/>
          <w:b/>
          <w:color w:val="auto"/>
          <w:sz w:val="24"/>
        </w:rPr>
      </w:pPr>
    </w:p>
    <w:p w14:paraId="4E3C3ABF">
      <w:pPr>
        <w:pStyle w:val="23"/>
        <w:ind w:left="0" w:leftChars="0" w:firstLine="0" w:firstLineChars="0"/>
        <w:rPr>
          <w:rFonts w:hint="eastAsia" w:ascii="宋体" w:hAnsi="宋体" w:eastAsia="宋体" w:cs="宋体"/>
          <w:b/>
          <w:color w:val="auto"/>
          <w:sz w:val="24"/>
        </w:rPr>
      </w:pPr>
    </w:p>
    <w:p w14:paraId="3ABD52C6">
      <w:pPr>
        <w:pStyle w:val="23"/>
        <w:ind w:left="680" w:firstLine="482"/>
        <w:rPr>
          <w:rFonts w:hint="eastAsia" w:ascii="宋体" w:hAnsi="宋体" w:eastAsia="宋体" w:cs="宋体"/>
          <w:b/>
          <w:color w:val="auto"/>
          <w:sz w:val="24"/>
        </w:rPr>
      </w:pPr>
    </w:p>
    <w:p w14:paraId="593261ED">
      <w:pPr>
        <w:rPr>
          <w:rFonts w:hint="eastAsia" w:ascii="宋体" w:hAnsi="宋体" w:eastAsia="宋体" w:cs="宋体"/>
          <w:b/>
          <w:color w:val="auto"/>
          <w:sz w:val="24"/>
        </w:rPr>
      </w:pPr>
    </w:p>
    <w:p w14:paraId="1CAD0993">
      <w:pPr>
        <w:pStyle w:val="23"/>
        <w:rPr>
          <w:rFonts w:hint="eastAsia" w:ascii="宋体" w:hAnsi="宋体" w:eastAsia="宋体" w:cs="宋体"/>
          <w:b/>
          <w:color w:val="auto"/>
          <w:sz w:val="24"/>
        </w:rPr>
      </w:pPr>
    </w:p>
    <w:p w14:paraId="34DCE5B8">
      <w:pPr>
        <w:pStyle w:val="9"/>
        <w:rPr>
          <w:rFonts w:hint="eastAsia" w:ascii="宋体" w:hAnsi="宋体" w:eastAsia="宋体" w:cs="宋体"/>
          <w:color w:val="auto"/>
        </w:rPr>
      </w:pPr>
    </w:p>
    <w:p w14:paraId="7F6A91DF">
      <w:pPr>
        <w:rPr>
          <w:rFonts w:hint="eastAsia" w:ascii="宋体" w:hAnsi="宋体" w:eastAsia="宋体" w:cs="宋体"/>
          <w:color w:val="auto"/>
        </w:rPr>
      </w:pPr>
    </w:p>
    <w:p w14:paraId="46E04E76">
      <w:pPr>
        <w:pStyle w:val="6"/>
        <w:rPr>
          <w:rFonts w:hint="eastAsia" w:ascii="宋体" w:hAnsi="宋体" w:eastAsia="宋体" w:cs="宋体"/>
          <w:color w:val="auto"/>
        </w:rPr>
      </w:pPr>
    </w:p>
    <w:p w14:paraId="717C1A35">
      <w:pPr>
        <w:rPr>
          <w:rFonts w:hint="eastAsia"/>
          <w:color w:val="auto"/>
        </w:rPr>
      </w:pPr>
    </w:p>
    <w:p w14:paraId="49A8840F">
      <w:pPr>
        <w:pStyle w:val="21"/>
        <w:rPr>
          <w:rFonts w:hint="eastAsia"/>
          <w:color w:val="auto"/>
        </w:rPr>
      </w:pPr>
    </w:p>
    <w:p w14:paraId="1B5B0E39">
      <w:pPr>
        <w:rPr>
          <w:rFonts w:hint="eastAsia"/>
          <w:color w:val="auto"/>
        </w:rPr>
      </w:pPr>
    </w:p>
    <w:p w14:paraId="4688E0FE">
      <w:pPr>
        <w:rPr>
          <w:rFonts w:hint="eastAsia"/>
          <w:color w:val="auto"/>
        </w:rPr>
      </w:pPr>
    </w:p>
    <w:p w14:paraId="18752BF9">
      <w:pPr>
        <w:rPr>
          <w:rFonts w:hint="eastAsia"/>
          <w:color w:val="auto"/>
        </w:rPr>
      </w:pPr>
    </w:p>
    <w:p w14:paraId="19E3921B">
      <w:pPr>
        <w:autoSpaceDE w:val="0"/>
        <w:autoSpaceDN w:val="0"/>
        <w:snapToGrid w:val="0"/>
        <w:spacing w:line="360" w:lineRule="auto"/>
        <w:rPr>
          <w:rFonts w:hint="eastAsia" w:ascii="宋体" w:hAnsi="宋体" w:eastAsia="宋体" w:cs="宋体"/>
          <w:b/>
          <w:bCs/>
          <w:color w:val="auto"/>
          <w:sz w:val="32"/>
          <w:szCs w:val="32"/>
        </w:rPr>
      </w:pPr>
    </w:p>
    <w:p w14:paraId="18FCE54F">
      <w:pPr>
        <w:autoSpaceDE w:val="0"/>
        <w:autoSpaceDN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rPr>
        <w:t xml:space="preserve">第五章  </w:t>
      </w:r>
      <w:r>
        <w:rPr>
          <w:rFonts w:hint="eastAsia" w:ascii="宋体" w:hAnsi="宋体" w:eastAsia="宋体" w:cs="宋体"/>
          <w:b/>
          <w:bCs/>
          <w:color w:val="auto"/>
          <w:sz w:val="36"/>
          <w:szCs w:val="36"/>
          <w:lang w:val="zh-CN"/>
        </w:rPr>
        <w:t>投标文件基本格式</w:t>
      </w:r>
    </w:p>
    <w:p w14:paraId="352D57D2">
      <w:pPr>
        <w:snapToGrid w:val="0"/>
        <w:spacing w:line="240" w:lineRule="auto"/>
        <w:ind w:right="-302" w:rightChars="-89"/>
        <w:rPr>
          <w:rFonts w:hint="eastAsia" w:ascii="宋体" w:hAnsi="宋体" w:eastAsia="宋体" w:cs="宋体"/>
          <w:b/>
          <w:color w:val="auto"/>
          <w:sz w:val="28"/>
          <w:szCs w:val="28"/>
        </w:rPr>
      </w:pPr>
    </w:p>
    <w:p w14:paraId="09BCA391">
      <w:pPr>
        <w:snapToGrid w:val="0"/>
        <w:spacing w:line="240" w:lineRule="auto"/>
        <w:ind w:right="-302" w:rightChars="-89"/>
        <w:rPr>
          <w:rFonts w:hint="eastAsia" w:ascii="宋体" w:hAnsi="宋体" w:eastAsia="宋体" w:cs="宋体"/>
          <w:b/>
          <w:color w:val="auto"/>
          <w:sz w:val="28"/>
          <w:szCs w:val="28"/>
        </w:rPr>
      </w:pPr>
    </w:p>
    <w:p w14:paraId="628153F7">
      <w:pPr>
        <w:snapToGrid w:val="0"/>
        <w:spacing w:line="240" w:lineRule="auto"/>
        <w:ind w:right="-302" w:rightChars="-89"/>
        <w:rPr>
          <w:rFonts w:hint="eastAsia" w:ascii="宋体" w:hAnsi="宋体" w:eastAsia="宋体" w:cs="宋体"/>
          <w:b/>
          <w:color w:val="auto"/>
          <w:sz w:val="28"/>
          <w:szCs w:val="28"/>
        </w:rPr>
      </w:pPr>
    </w:p>
    <w:p w14:paraId="6F7098B3">
      <w:pPr>
        <w:snapToGrid w:val="0"/>
        <w:spacing w:line="240" w:lineRule="auto"/>
        <w:ind w:right="-302" w:rightChars="-89"/>
        <w:rPr>
          <w:rFonts w:hint="eastAsia" w:ascii="宋体" w:hAnsi="宋体" w:eastAsia="宋体" w:cs="宋体"/>
          <w:b/>
          <w:color w:val="auto"/>
          <w:sz w:val="28"/>
          <w:szCs w:val="28"/>
        </w:rPr>
      </w:pPr>
    </w:p>
    <w:p w14:paraId="6EB3D0C1">
      <w:pPr>
        <w:snapToGrid w:val="0"/>
        <w:spacing w:line="240" w:lineRule="auto"/>
        <w:ind w:right="-302" w:rightChars="-89"/>
        <w:rPr>
          <w:rFonts w:hint="eastAsia" w:ascii="宋体" w:hAnsi="宋体" w:eastAsia="宋体" w:cs="宋体"/>
          <w:b/>
          <w:color w:val="auto"/>
          <w:sz w:val="28"/>
          <w:szCs w:val="28"/>
        </w:rPr>
      </w:pPr>
    </w:p>
    <w:p w14:paraId="0084353D">
      <w:pPr>
        <w:snapToGrid w:val="0"/>
        <w:spacing w:line="240" w:lineRule="auto"/>
        <w:ind w:right="-302" w:rightChars="-89"/>
        <w:rPr>
          <w:rFonts w:hint="eastAsia" w:ascii="宋体" w:hAnsi="宋体" w:eastAsia="宋体" w:cs="宋体"/>
          <w:b/>
          <w:color w:val="auto"/>
          <w:sz w:val="28"/>
          <w:szCs w:val="28"/>
        </w:rPr>
      </w:pPr>
    </w:p>
    <w:p w14:paraId="17A49796">
      <w:pPr>
        <w:snapToGrid w:val="0"/>
        <w:spacing w:line="240" w:lineRule="auto"/>
        <w:ind w:right="-302" w:rightChars="-89"/>
        <w:rPr>
          <w:rFonts w:hint="eastAsia" w:ascii="宋体" w:hAnsi="宋体" w:eastAsia="宋体" w:cs="宋体"/>
          <w:b/>
          <w:color w:val="auto"/>
          <w:sz w:val="28"/>
          <w:szCs w:val="28"/>
        </w:rPr>
      </w:pPr>
    </w:p>
    <w:p w14:paraId="505AD684">
      <w:pPr>
        <w:snapToGrid w:val="0"/>
        <w:spacing w:line="240" w:lineRule="auto"/>
        <w:ind w:right="-302" w:rightChars="-89"/>
        <w:rPr>
          <w:rFonts w:hint="eastAsia" w:ascii="宋体" w:hAnsi="宋体" w:eastAsia="宋体" w:cs="宋体"/>
          <w:b/>
          <w:color w:val="auto"/>
          <w:sz w:val="28"/>
          <w:szCs w:val="28"/>
        </w:rPr>
      </w:pPr>
    </w:p>
    <w:p w14:paraId="67160FF3">
      <w:pPr>
        <w:snapToGrid w:val="0"/>
        <w:spacing w:line="240" w:lineRule="auto"/>
        <w:ind w:right="-302" w:rightChars="-89"/>
        <w:rPr>
          <w:rFonts w:hint="eastAsia" w:ascii="宋体" w:hAnsi="宋体" w:eastAsia="宋体" w:cs="宋体"/>
          <w:b/>
          <w:color w:val="auto"/>
          <w:sz w:val="28"/>
          <w:szCs w:val="28"/>
        </w:rPr>
      </w:pPr>
    </w:p>
    <w:p w14:paraId="5BFEEA4B">
      <w:pPr>
        <w:snapToGrid w:val="0"/>
        <w:spacing w:line="240" w:lineRule="auto"/>
        <w:ind w:right="-302" w:rightChars="-89"/>
        <w:rPr>
          <w:rFonts w:hint="eastAsia" w:ascii="宋体" w:hAnsi="宋体" w:eastAsia="宋体" w:cs="宋体"/>
          <w:b/>
          <w:color w:val="auto"/>
          <w:sz w:val="28"/>
          <w:szCs w:val="28"/>
        </w:rPr>
      </w:pPr>
    </w:p>
    <w:p w14:paraId="07237A42">
      <w:pPr>
        <w:snapToGrid w:val="0"/>
        <w:spacing w:line="240" w:lineRule="auto"/>
        <w:ind w:right="-302" w:rightChars="-89"/>
        <w:rPr>
          <w:rFonts w:hint="eastAsia" w:ascii="宋体" w:hAnsi="宋体" w:eastAsia="宋体" w:cs="宋体"/>
          <w:b/>
          <w:color w:val="auto"/>
          <w:sz w:val="28"/>
          <w:szCs w:val="28"/>
        </w:rPr>
      </w:pPr>
    </w:p>
    <w:p w14:paraId="49FACA8E">
      <w:pPr>
        <w:snapToGrid w:val="0"/>
        <w:spacing w:line="240" w:lineRule="auto"/>
        <w:ind w:right="-302" w:rightChars="-89"/>
        <w:rPr>
          <w:rFonts w:hint="eastAsia" w:ascii="宋体" w:hAnsi="宋体" w:eastAsia="宋体" w:cs="宋体"/>
          <w:b/>
          <w:color w:val="auto"/>
          <w:sz w:val="28"/>
          <w:szCs w:val="28"/>
        </w:rPr>
      </w:pPr>
    </w:p>
    <w:p w14:paraId="4A4CA5C8">
      <w:pPr>
        <w:snapToGrid w:val="0"/>
        <w:spacing w:line="240" w:lineRule="auto"/>
        <w:ind w:right="-302" w:rightChars="-89"/>
        <w:rPr>
          <w:rFonts w:hint="eastAsia" w:ascii="宋体" w:hAnsi="宋体" w:eastAsia="宋体" w:cs="宋体"/>
          <w:b/>
          <w:color w:val="auto"/>
          <w:sz w:val="28"/>
          <w:szCs w:val="28"/>
        </w:rPr>
      </w:pPr>
    </w:p>
    <w:p w14:paraId="11C00515">
      <w:pPr>
        <w:snapToGrid w:val="0"/>
        <w:spacing w:line="240" w:lineRule="auto"/>
        <w:ind w:right="-302" w:rightChars="-89"/>
        <w:rPr>
          <w:rFonts w:hint="eastAsia" w:ascii="宋体" w:hAnsi="宋体" w:eastAsia="宋体" w:cs="宋体"/>
          <w:b/>
          <w:color w:val="auto"/>
          <w:sz w:val="28"/>
          <w:szCs w:val="28"/>
        </w:rPr>
      </w:pPr>
    </w:p>
    <w:p w14:paraId="63EB55F8">
      <w:pPr>
        <w:snapToGrid w:val="0"/>
        <w:spacing w:line="240" w:lineRule="auto"/>
        <w:ind w:right="-302" w:rightChars="-89"/>
        <w:rPr>
          <w:rFonts w:hint="eastAsia" w:ascii="宋体" w:hAnsi="宋体" w:eastAsia="宋体" w:cs="宋体"/>
          <w:b/>
          <w:color w:val="auto"/>
          <w:sz w:val="28"/>
          <w:szCs w:val="28"/>
        </w:rPr>
      </w:pPr>
    </w:p>
    <w:p w14:paraId="6361B82A">
      <w:pPr>
        <w:snapToGrid w:val="0"/>
        <w:spacing w:line="240" w:lineRule="auto"/>
        <w:ind w:right="-302" w:rightChars="-89"/>
        <w:rPr>
          <w:rFonts w:hint="eastAsia" w:ascii="宋体" w:hAnsi="宋体" w:eastAsia="宋体" w:cs="宋体"/>
          <w:b/>
          <w:color w:val="auto"/>
          <w:sz w:val="28"/>
          <w:szCs w:val="28"/>
        </w:rPr>
      </w:pPr>
    </w:p>
    <w:p w14:paraId="4B528F34">
      <w:pPr>
        <w:snapToGrid w:val="0"/>
        <w:spacing w:line="240" w:lineRule="auto"/>
        <w:ind w:right="-302" w:rightChars="-89"/>
        <w:rPr>
          <w:rFonts w:hint="eastAsia" w:ascii="宋体" w:hAnsi="宋体" w:eastAsia="宋体" w:cs="宋体"/>
          <w:b/>
          <w:color w:val="auto"/>
          <w:sz w:val="28"/>
          <w:szCs w:val="28"/>
        </w:rPr>
      </w:pPr>
    </w:p>
    <w:p w14:paraId="045C4130">
      <w:pPr>
        <w:snapToGrid w:val="0"/>
        <w:spacing w:line="240" w:lineRule="auto"/>
        <w:ind w:right="-302" w:rightChars="-89"/>
        <w:rPr>
          <w:rFonts w:hint="eastAsia" w:ascii="宋体" w:hAnsi="宋体" w:eastAsia="宋体" w:cs="宋体"/>
          <w:b/>
          <w:color w:val="auto"/>
          <w:sz w:val="28"/>
          <w:szCs w:val="28"/>
        </w:rPr>
      </w:pPr>
    </w:p>
    <w:p w14:paraId="7AE5D78A">
      <w:pPr>
        <w:pStyle w:val="11"/>
        <w:keepNext w:val="0"/>
        <w:keepLines w:val="0"/>
        <w:pageBreakBefore w:val="0"/>
        <w:widowControl w:val="0"/>
        <w:kinsoku/>
        <w:wordWrap/>
        <w:overflowPunct/>
        <w:topLinePunct w:val="0"/>
        <w:autoSpaceDE/>
        <w:autoSpaceDN/>
        <w:bidi w:val="0"/>
        <w:adjustRightInd w:val="0"/>
        <w:snapToGrid/>
        <w:spacing w:after="0" w:line="240" w:lineRule="exact"/>
        <w:textAlignment w:val="baseline"/>
        <w:rPr>
          <w:rFonts w:hint="eastAsia"/>
          <w:color w:val="auto"/>
        </w:rPr>
      </w:pPr>
    </w:p>
    <w:p w14:paraId="3ACAD22B">
      <w:pPr>
        <w:snapToGrid w:val="0"/>
        <w:spacing w:line="240" w:lineRule="auto"/>
        <w:ind w:right="-302" w:rightChars="-89"/>
        <w:rPr>
          <w:rFonts w:hint="eastAsia" w:ascii="宋体" w:hAnsi="宋体" w:eastAsia="宋体" w:cs="宋体"/>
          <w:b/>
          <w:color w:val="auto"/>
          <w:sz w:val="28"/>
          <w:szCs w:val="28"/>
        </w:rPr>
      </w:pPr>
    </w:p>
    <w:p w14:paraId="75627A2A">
      <w:pPr>
        <w:snapToGrid w:val="0"/>
        <w:spacing w:line="240" w:lineRule="auto"/>
        <w:ind w:right="-302" w:rightChars="-8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YJGH2025-AKCG-012-1</w:t>
      </w:r>
    </w:p>
    <w:p w14:paraId="57FE1E47">
      <w:pPr>
        <w:snapToGrid w:val="0"/>
        <w:spacing w:line="360" w:lineRule="auto"/>
        <w:ind w:right="-302" w:rightChars="-89"/>
        <w:rPr>
          <w:rFonts w:hint="eastAsia" w:ascii="宋体" w:hAnsi="宋体" w:eastAsia="宋体" w:cs="宋体"/>
          <w:b/>
          <w:color w:val="auto"/>
          <w:sz w:val="28"/>
          <w:szCs w:val="28"/>
        </w:rPr>
      </w:pPr>
    </w:p>
    <w:p w14:paraId="4D4B953C">
      <w:pPr>
        <w:spacing w:line="360" w:lineRule="auto"/>
        <w:ind w:firstLine="5320" w:firstLineChars="19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4303D914">
      <w:pPr>
        <w:spacing w:line="360" w:lineRule="auto"/>
        <w:jc w:val="left"/>
        <w:rPr>
          <w:rFonts w:hint="eastAsia" w:ascii="宋体" w:hAnsi="宋体" w:eastAsia="宋体" w:cs="宋体"/>
          <w:color w:val="auto"/>
        </w:rPr>
      </w:pPr>
      <w:r>
        <w:rPr>
          <w:rFonts w:hint="eastAsia" w:ascii="宋体" w:hAnsi="宋体" w:eastAsia="宋体" w:cs="宋体"/>
          <w:b/>
          <w:color w:val="auto"/>
          <w:sz w:val="28"/>
          <w:szCs w:val="28"/>
        </w:rPr>
        <w:t xml:space="preserve"> </w:t>
      </w:r>
    </w:p>
    <w:p w14:paraId="6BCFBBC9">
      <w:pPr>
        <w:spacing w:line="20" w:lineRule="atLeast"/>
        <w:jc w:val="center"/>
        <w:rPr>
          <w:rFonts w:hint="eastAsia" w:ascii="宋体" w:hAnsi="宋体" w:eastAsia="宋体" w:cs="宋体"/>
          <w:b/>
          <w:bCs w:val="0"/>
          <w:color w:val="auto"/>
          <w:spacing w:val="-20"/>
          <w:sz w:val="112"/>
          <w:szCs w:val="112"/>
        </w:rPr>
      </w:pPr>
      <w:r>
        <w:rPr>
          <w:rFonts w:hint="eastAsia" w:hAnsi="宋体" w:cs="宋体"/>
          <w:b/>
          <w:bCs w:val="0"/>
          <w:color w:val="auto"/>
          <w:spacing w:val="-20"/>
          <w:sz w:val="48"/>
          <w:szCs w:val="48"/>
          <w:lang w:eastAsia="zh-CN"/>
        </w:rPr>
        <w:t>平利县2025年村庄规划编制采购项目一标段</w:t>
      </w:r>
    </w:p>
    <w:p w14:paraId="62FA01D4">
      <w:pPr>
        <w:pStyle w:val="23"/>
        <w:ind w:left="680"/>
        <w:rPr>
          <w:rFonts w:hint="eastAsia" w:ascii="宋体" w:hAnsi="宋体" w:eastAsia="宋体" w:cs="宋体"/>
          <w:color w:val="auto"/>
        </w:rPr>
      </w:pPr>
    </w:p>
    <w:p w14:paraId="464EFAA6">
      <w:pPr>
        <w:rPr>
          <w:rFonts w:hint="eastAsia"/>
          <w:color w:val="auto"/>
        </w:rPr>
      </w:pPr>
    </w:p>
    <w:p w14:paraId="6EF50A33">
      <w:pPr>
        <w:pStyle w:val="23"/>
        <w:ind w:left="680"/>
        <w:rPr>
          <w:rFonts w:hint="eastAsia" w:ascii="宋体" w:hAnsi="宋体" w:eastAsia="宋体" w:cs="宋体"/>
          <w:color w:val="auto"/>
        </w:rPr>
      </w:pPr>
    </w:p>
    <w:p w14:paraId="1C1E3625">
      <w:pPr>
        <w:spacing w:line="20" w:lineRule="atLeast"/>
        <w:jc w:val="center"/>
        <w:rPr>
          <w:rFonts w:hint="eastAsia" w:ascii="宋体" w:hAnsi="宋体" w:eastAsia="宋体" w:cs="宋体"/>
          <w:bCs/>
          <w:color w:val="auto"/>
          <w:sz w:val="84"/>
          <w:szCs w:val="84"/>
        </w:rPr>
      </w:pPr>
      <w:r>
        <w:rPr>
          <w:rFonts w:hint="eastAsia" w:ascii="宋体" w:hAnsi="宋体" w:eastAsia="宋体" w:cs="宋体"/>
          <w:color w:val="auto"/>
          <w:sz w:val="84"/>
          <w:szCs w:val="84"/>
        </w:rPr>
        <w:t>投标文件</w:t>
      </w:r>
    </w:p>
    <w:p w14:paraId="4848310B">
      <w:pPr>
        <w:spacing w:line="20" w:lineRule="atLeast"/>
        <w:jc w:val="center"/>
        <w:rPr>
          <w:rFonts w:hint="eastAsia" w:ascii="宋体" w:hAnsi="宋体" w:eastAsia="宋体" w:cs="宋体"/>
          <w:b/>
          <w:color w:val="auto"/>
          <w:sz w:val="36"/>
        </w:rPr>
      </w:pPr>
    </w:p>
    <w:p w14:paraId="35CB5B6A">
      <w:pPr>
        <w:pStyle w:val="78"/>
        <w:rPr>
          <w:rFonts w:hint="eastAsia" w:ascii="宋体" w:hAnsi="宋体" w:eastAsia="宋体" w:cs="宋体"/>
          <w:color w:val="auto"/>
        </w:rPr>
      </w:pPr>
    </w:p>
    <w:p w14:paraId="3AF9933C">
      <w:pPr>
        <w:pStyle w:val="78"/>
        <w:rPr>
          <w:rFonts w:hint="eastAsia" w:ascii="宋体" w:hAnsi="宋体" w:eastAsia="宋体" w:cs="宋体"/>
          <w:color w:val="auto"/>
        </w:rPr>
      </w:pPr>
    </w:p>
    <w:p w14:paraId="17880B5E">
      <w:pPr>
        <w:pStyle w:val="78"/>
        <w:rPr>
          <w:rFonts w:hint="eastAsia" w:ascii="宋体" w:hAnsi="宋体" w:eastAsia="宋体" w:cs="宋体"/>
          <w:color w:val="auto"/>
        </w:rPr>
      </w:pPr>
    </w:p>
    <w:p w14:paraId="3A119AC1">
      <w:pPr>
        <w:snapToGrid w:val="0"/>
        <w:spacing w:line="800" w:lineRule="exact"/>
        <w:ind w:firstLine="1576"/>
        <w:rPr>
          <w:rFonts w:hint="eastAsia" w:ascii="宋体" w:hAnsi="宋体" w:eastAsia="宋体" w:cs="宋体"/>
          <w:b/>
          <w:color w:val="auto"/>
          <w:sz w:val="32"/>
          <w:szCs w:val="32"/>
          <w:u w:val="single"/>
        </w:rPr>
      </w:pPr>
      <w:r>
        <w:rPr>
          <w:rFonts w:hint="eastAsia" w:ascii="宋体" w:hAnsi="宋体" w:eastAsia="宋体" w:cs="宋体"/>
          <w:b/>
          <w:color w:val="auto"/>
          <w:sz w:val="32"/>
          <w:szCs w:val="32"/>
        </w:rPr>
        <w:t>供应商：</w:t>
      </w:r>
      <w:r>
        <w:rPr>
          <w:rFonts w:hint="eastAsia" w:ascii="宋体" w:hAnsi="宋体" w:eastAsia="宋体" w:cs="宋体"/>
          <w:b/>
          <w:color w:val="auto"/>
          <w:sz w:val="32"/>
          <w:szCs w:val="32"/>
          <w:u w:val="single"/>
        </w:rPr>
        <w:t xml:space="preserve">                                </w:t>
      </w:r>
    </w:p>
    <w:p w14:paraId="03F81131">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法定代表人或委托人（签字或盖章）：</w:t>
      </w:r>
      <w:r>
        <w:rPr>
          <w:rFonts w:hint="eastAsia" w:ascii="宋体" w:hAnsi="宋体" w:eastAsia="宋体" w:cs="宋体"/>
          <w:b/>
          <w:bCs/>
          <w:color w:val="auto"/>
          <w:sz w:val="32"/>
          <w:szCs w:val="32"/>
          <w:u w:val="single"/>
        </w:rPr>
        <w:t xml:space="preserve">      </w:t>
      </w:r>
    </w:p>
    <w:p w14:paraId="2BB3B8ED">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地址：</w:t>
      </w:r>
      <w:r>
        <w:rPr>
          <w:rFonts w:hint="eastAsia" w:ascii="宋体" w:hAnsi="宋体" w:eastAsia="宋体" w:cs="宋体"/>
          <w:b/>
          <w:bCs/>
          <w:color w:val="auto"/>
          <w:sz w:val="32"/>
          <w:szCs w:val="32"/>
          <w:u w:val="single"/>
        </w:rPr>
        <w:t xml:space="preserve">                                  </w:t>
      </w:r>
    </w:p>
    <w:p w14:paraId="38BEEE67">
      <w:pPr>
        <w:snapToGrid w:val="0"/>
        <w:spacing w:line="800" w:lineRule="exact"/>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4C8B3FF7">
      <w:pPr>
        <w:spacing w:line="20" w:lineRule="atLeast"/>
        <w:jc w:val="center"/>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br w:type="page"/>
      </w:r>
    </w:p>
    <w:p w14:paraId="17D9B025">
      <w:pPr>
        <w:pStyle w:val="9"/>
        <w:rPr>
          <w:rFonts w:hint="eastAsia" w:ascii="宋体" w:hAnsi="宋体" w:eastAsia="宋体" w:cs="宋体"/>
          <w:color w:val="auto"/>
        </w:rPr>
      </w:pPr>
    </w:p>
    <w:p w14:paraId="1497BC88">
      <w:pPr>
        <w:pStyle w:val="9"/>
        <w:rPr>
          <w:rFonts w:hint="eastAsia" w:ascii="宋体" w:hAnsi="宋体" w:eastAsia="宋体" w:cs="宋体"/>
          <w:color w:val="auto"/>
        </w:rPr>
      </w:pPr>
    </w:p>
    <w:p w14:paraId="32B275E8">
      <w:pPr>
        <w:rPr>
          <w:rFonts w:hint="eastAsia" w:ascii="宋体" w:hAnsi="宋体" w:eastAsia="宋体" w:cs="宋体"/>
          <w:color w:val="auto"/>
        </w:rPr>
      </w:pPr>
    </w:p>
    <w:p w14:paraId="1F381691">
      <w:pPr>
        <w:spacing w:line="360" w:lineRule="atLeast"/>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目    录</w:t>
      </w:r>
    </w:p>
    <w:p w14:paraId="62C23952">
      <w:pPr>
        <w:spacing w:line="360" w:lineRule="atLeast"/>
        <w:rPr>
          <w:rFonts w:hint="eastAsia" w:ascii="宋体" w:hAnsi="宋体" w:eastAsia="宋体" w:cs="宋体"/>
          <w:color w:val="auto"/>
        </w:rPr>
      </w:pPr>
    </w:p>
    <w:p w14:paraId="64095B66">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一   投标响应函</w:t>
      </w:r>
    </w:p>
    <w:p w14:paraId="1F5C3B1A">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二   报价</w:t>
      </w:r>
      <w:r>
        <w:rPr>
          <w:rFonts w:hint="eastAsia" w:hAnsi="宋体" w:cs="宋体"/>
          <w:b/>
          <w:bCs/>
          <w:color w:val="auto"/>
          <w:sz w:val="30"/>
          <w:szCs w:val="30"/>
          <w:lang w:val="en-US" w:eastAsia="zh-CN"/>
        </w:rPr>
        <w:t>一览</w:t>
      </w:r>
      <w:r>
        <w:rPr>
          <w:rFonts w:hint="eastAsia" w:ascii="宋体" w:hAnsi="宋体" w:eastAsia="宋体" w:cs="宋体"/>
          <w:b/>
          <w:bCs/>
          <w:color w:val="auto"/>
          <w:sz w:val="30"/>
          <w:szCs w:val="30"/>
        </w:rPr>
        <w:t>表</w:t>
      </w:r>
    </w:p>
    <w:p w14:paraId="1FD1D3DD">
      <w:pPr>
        <w:pStyle w:val="13"/>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分项报价表</w:t>
      </w:r>
    </w:p>
    <w:p w14:paraId="2020E109">
      <w:pPr>
        <w:pStyle w:val="13"/>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商务条款响应说明</w:t>
      </w:r>
    </w:p>
    <w:p w14:paraId="535F1529">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三   法定代表人授权委托书</w:t>
      </w:r>
    </w:p>
    <w:p w14:paraId="5089D6C5">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法定代表人证明书</w:t>
      </w:r>
    </w:p>
    <w:p w14:paraId="3F3E6974">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四   </w:t>
      </w:r>
      <w:r>
        <w:rPr>
          <w:rFonts w:hint="eastAsia" w:hAnsi="宋体" w:cs="宋体"/>
          <w:b/>
          <w:bCs/>
          <w:color w:val="auto"/>
          <w:sz w:val="30"/>
          <w:szCs w:val="30"/>
          <w:lang w:val="en-US" w:eastAsia="zh-CN"/>
        </w:rPr>
        <w:t>投标人</w:t>
      </w:r>
      <w:r>
        <w:rPr>
          <w:rFonts w:hint="eastAsia" w:ascii="宋体" w:hAnsi="宋体" w:eastAsia="宋体" w:cs="宋体"/>
          <w:b/>
          <w:bCs/>
          <w:color w:val="auto"/>
          <w:sz w:val="30"/>
          <w:szCs w:val="30"/>
        </w:rPr>
        <w:t>资格证明文件</w:t>
      </w:r>
    </w:p>
    <w:p w14:paraId="6FBABF6D">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五   投标方案说明及售后服务承诺</w:t>
      </w:r>
    </w:p>
    <w:p w14:paraId="48621F92">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六   供应商拒绝政府采购领域商业贿赂承诺 </w:t>
      </w:r>
    </w:p>
    <w:p w14:paraId="524C7BF5">
      <w:pPr>
        <w:pStyle w:val="13"/>
        <w:spacing w:line="400" w:lineRule="exact"/>
        <w:rPr>
          <w:rFonts w:hint="eastAsia" w:ascii="宋体" w:hAnsi="宋体" w:eastAsia="宋体" w:cs="宋体"/>
          <w:b/>
          <w:bCs/>
          <w:color w:val="auto"/>
          <w:sz w:val="30"/>
          <w:szCs w:val="30"/>
        </w:rPr>
      </w:pPr>
    </w:p>
    <w:p w14:paraId="63BA3EF6">
      <w:pPr>
        <w:spacing w:line="400" w:lineRule="exact"/>
        <w:ind w:right="456" w:firstLine="1950" w:firstLineChars="650"/>
        <w:rPr>
          <w:rFonts w:hint="eastAsia" w:ascii="宋体" w:hAnsi="宋体" w:eastAsia="宋体" w:cs="宋体"/>
          <w:b/>
          <w:bCs/>
          <w:color w:val="auto"/>
          <w:sz w:val="30"/>
          <w:szCs w:val="30"/>
        </w:rPr>
      </w:pPr>
    </w:p>
    <w:p w14:paraId="35F6BEC8">
      <w:pPr>
        <w:pStyle w:val="9"/>
        <w:rPr>
          <w:rFonts w:hint="eastAsia" w:ascii="宋体" w:hAnsi="宋体" w:eastAsia="宋体" w:cs="宋体"/>
          <w:b/>
          <w:bCs/>
          <w:color w:val="auto"/>
          <w:sz w:val="30"/>
          <w:szCs w:val="30"/>
        </w:rPr>
      </w:pPr>
    </w:p>
    <w:p w14:paraId="2274459C">
      <w:pPr>
        <w:pStyle w:val="10"/>
        <w:rPr>
          <w:rFonts w:hint="eastAsia" w:ascii="宋体" w:hAnsi="宋体" w:eastAsia="宋体" w:cs="宋体"/>
          <w:color w:val="auto"/>
          <w:sz w:val="30"/>
          <w:szCs w:val="30"/>
        </w:rPr>
      </w:pPr>
    </w:p>
    <w:p w14:paraId="0940FE0B">
      <w:pPr>
        <w:rPr>
          <w:rFonts w:hint="eastAsia" w:ascii="宋体" w:hAnsi="宋体" w:eastAsia="宋体" w:cs="宋体"/>
          <w:color w:val="auto"/>
        </w:rPr>
      </w:pPr>
    </w:p>
    <w:p w14:paraId="0D0DE0E1">
      <w:pPr>
        <w:spacing w:line="600" w:lineRule="exact"/>
        <w:rPr>
          <w:rFonts w:hint="eastAsia" w:ascii="宋体" w:hAnsi="宋体" w:eastAsia="宋体" w:cs="宋体"/>
          <w:b/>
          <w:color w:val="auto"/>
          <w:sz w:val="32"/>
          <w:szCs w:val="32"/>
        </w:rPr>
      </w:pPr>
    </w:p>
    <w:p w14:paraId="10EC7D30">
      <w:pPr>
        <w:pStyle w:val="6"/>
        <w:rPr>
          <w:rFonts w:hint="eastAsia" w:ascii="宋体" w:hAnsi="宋体" w:eastAsia="宋体" w:cs="宋体"/>
          <w:b/>
          <w:color w:val="auto"/>
          <w:sz w:val="32"/>
          <w:szCs w:val="32"/>
        </w:rPr>
      </w:pPr>
    </w:p>
    <w:p w14:paraId="7A0BE457">
      <w:pPr>
        <w:rPr>
          <w:rFonts w:hint="eastAsia"/>
          <w:color w:val="auto"/>
        </w:rPr>
      </w:pPr>
    </w:p>
    <w:p w14:paraId="658EF349">
      <w:pPr>
        <w:spacing w:line="600" w:lineRule="exact"/>
        <w:ind w:firstLine="3644" w:firstLineChars="1139"/>
        <w:rPr>
          <w:rFonts w:hint="eastAsia" w:ascii="宋体" w:hAnsi="宋体" w:eastAsia="宋体" w:cs="宋体"/>
          <w:b/>
          <w:color w:val="auto"/>
          <w:sz w:val="32"/>
          <w:szCs w:val="32"/>
        </w:rPr>
      </w:pPr>
      <w:r>
        <w:rPr>
          <w:rFonts w:hint="eastAsia" w:ascii="宋体" w:hAnsi="宋体" w:eastAsia="宋体" w:cs="宋体"/>
          <w:b/>
          <w:color w:val="auto"/>
          <w:sz w:val="32"/>
          <w:szCs w:val="32"/>
        </w:rPr>
        <w:t>一、投标响应函</w:t>
      </w:r>
    </w:p>
    <w:p w14:paraId="680C666C">
      <w:pPr>
        <w:spacing w:line="440" w:lineRule="exact"/>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1FF1661A">
      <w:pPr>
        <w:spacing w:line="440" w:lineRule="exact"/>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（采购项目名称）</w:t>
      </w:r>
      <w:r>
        <w:rPr>
          <w:rFonts w:hint="eastAsia" w:ascii="宋体" w:hAnsi="宋体" w:eastAsia="宋体" w:cs="宋体"/>
          <w:color w:val="auto"/>
          <w:sz w:val="24"/>
        </w:rPr>
        <w:t>招标采购服务的招标公告</w:t>
      </w:r>
      <w:r>
        <w:rPr>
          <w:rFonts w:hint="eastAsia" w:ascii="宋体" w:hAnsi="宋体" w:eastAsia="宋体" w:cs="宋体"/>
          <w:color w:val="auto"/>
          <w:sz w:val="24"/>
          <w:u w:val="single"/>
        </w:rPr>
        <w:t>（项目编号）</w:t>
      </w:r>
      <w:r>
        <w:rPr>
          <w:rFonts w:hint="eastAsia" w:ascii="宋体" w:hAnsi="宋体" w:eastAsia="宋体" w:cs="宋体"/>
          <w:color w:val="auto"/>
          <w:sz w:val="24"/>
        </w:rPr>
        <w:t>，签字代表</w:t>
      </w:r>
      <w:r>
        <w:rPr>
          <w:rFonts w:hint="eastAsia" w:ascii="宋体" w:hAnsi="宋体" w:eastAsia="宋体" w:cs="宋体"/>
          <w:color w:val="auto"/>
          <w:sz w:val="24"/>
          <w:u w:val="single"/>
        </w:rPr>
        <w:t>（姓名、职务）</w:t>
      </w:r>
      <w:r>
        <w:rPr>
          <w:rFonts w:hint="eastAsia" w:ascii="宋体" w:hAnsi="宋体" w:eastAsia="宋体" w:cs="宋体"/>
          <w:color w:val="auto"/>
          <w:sz w:val="24"/>
        </w:rPr>
        <w:t>经正式授权并代表供应商</w:t>
      </w:r>
      <w:r>
        <w:rPr>
          <w:rFonts w:hint="eastAsia" w:ascii="宋体" w:hAnsi="宋体" w:eastAsia="宋体" w:cs="宋体"/>
          <w:color w:val="auto"/>
          <w:sz w:val="24"/>
          <w:u w:val="single"/>
        </w:rPr>
        <w:t>（供应商名称、地址）</w:t>
      </w:r>
      <w:r>
        <w:rPr>
          <w:rFonts w:hint="eastAsia" w:ascii="宋体" w:hAnsi="宋体" w:eastAsia="宋体" w:cs="宋体"/>
          <w:color w:val="auto"/>
          <w:sz w:val="24"/>
        </w:rPr>
        <w:t>。</w:t>
      </w:r>
    </w:p>
    <w:p w14:paraId="69D58B6A">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5181533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w:t>
      </w:r>
      <w:r>
        <w:rPr>
          <w:rFonts w:hint="eastAsia" w:hAnsi="宋体" w:cs="宋体"/>
          <w:color w:val="auto"/>
          <w:sz w:val="24"/>
          <w:lang w:val="en-US" w:eastAsia="zh-CN"/>
        </w:rPr>
        <w:t>服务</w:t>
      </w:r>
      <w:r>
        <w:rPr>
          <w:rFonts w:hint="eastAsia" w:ascii="宋体" w:hAnsi="宋体" w:eastAsia="宋体" w:cs="宋体"/>
          <w:color w:val="auto"/>
          <w:sz w:val="24"/>
        </w:rPr>
        <w:t>投标总价为</w:t>
      </w:r>
      <w:r>
        <w:rPr>
          <w:rFonts w:hint="eastAsia" w:ascii="宋体" w:hAnsi="宋体" w:eastAsia="宋体" w:cs="宋体"/>
          <w:color w:val="auto"/>
          <w:sz w:val="24"/>
          <w:u w:val="single"/>
        </w:rPr>
        <w:t>人民币金额数（同时用汉字大写和数字表示的投标总价）</w:t>
      </w:r>
      <w:r>
        <w:rPr>
          <w:rFonts w:hint="eastAsia" w:ascii="宋体" w:hAnsi="宋体" w:eastAsia="宋体" w:cs="宋体"/>
          <w:color w:val="auto"/>
          <w:sz w:val="24"/>
        </w:rPr>
        <w:t>。</w:t>
      </w:r>
    </w:p>
    <w:p w14:paraId="7C45A8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2．供应商将按招标文件的规定履行合同责任和义务。</w:t>
      </w:r>
    </w:p>
    <w:p w14:paraId="5017839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3．供应商已详细审查全部招标文件。我们完全理解并同意放弃对这方面有不明及误解的权力。</w:t>
      </w:r>
    </w:p>
    <w:p w14:paraId="0E9B9D0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个日历日（中标人的投标文件有效期延长为与合同有效期一致）。</w:t>
      </w:r>
    </w:p>
    <w:p w14:paraId="3214EC06">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5．供应商完全理解并同意贵方在招标文件中拒绝投标的条款。</w:t>
      </w:r>
    </w:p>
    <w:p w14:paraId="065A16D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6．供应商同意提供按照贵方可能要求的与其投标有关的一切数据或资料，完全理解贵方不一定接受最低投标报价的投标或收到的任何投标。</w:t>
      </w:r>
    </w:p>
    <w:p w14:paraId="5ED4C99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7．若我方获得中标，我方保证按招标文件及相关规定向贵方支付中标服务费及相关的全部费用。</w:t>
      </w:r>
    </w:p>
    <w:p w14:paraId="7946FEC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8．我公司完全响应招标文件中不接受联合体投标要求。</w:t>
      </w:r>
    </w:p>
    <w:p w14:paraId="448DED1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 与本投标有关的一切正式往来信函请寄：</w:t>
      </w:r>
    </w:p>
    <w:p w14:paraId="7BF7EA14">
      <w:pP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供应商名称（公章）：</w:t>
      </w:r>
    </w:p>
    <w:p w14:paraId="59159067">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详细地址：</w:t>
      </w:r>
      <w:r>
        <w:rPr>
          <w:rFonts w:hint="eastAsia" w:ascii="宋体" w:hAnsi="宋体" w:eastAsia="宋体" w:cs="宋体"/>
          <w:color w:val="auto"/>
          <w:sz w:val="24"/>
          <w:u w:val="single"/>
        </w:rPr>
        <w:t xml:space="preserve">                                  </w:t>
      </w:r>
    </w:p>
    <w:p w14:paraId="150B72AA">
      <w:pPr>
        <w:tabs>
          <w:tab w:val="left" w:pos="360"/>
        </w:tabs>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6ADF07B6">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电话：</w:t>
      </w:r>
      <w:r>
        <w:rPr>
          <w:rFonts w:hint="eastAsia" w:ascii="宋体" w:hAnsi="宋体" w:eastAsia="宋体" w:cs="宋体"/>
          <w:color w:val="auto"/>
          <w:sz w:val="24"/>
          <w:u w:val="single"/>
        </w:rPr>
        <w:t xml:space="preserve">                                      </w:t>
      </w:r>
    </w:p>
    <w:p w14:paraId="77307E4C">
      <w:pPr>
        <w:autoSpaceDE w:val="0"/>
        <w:autoSpaceDN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传真：</w:t>
      </w:r>
      <w:r>
        <w:rPr>
          <w:rFonts w:hint="eastAsia" w:ascii="宋体" w:hAnsi="宋体" w:eastAsia="宋体" w:cs="宋体"/>
          <w:color w:val="auto"/>
          <w:sz w:val="24"/>
          <w:u w:val="single"/>
        </w:rPr>
        <w:t xml:space="preserve">                                      </w:t>
      </w:r>
    </w:p>
    <w:p w14:paraId="66824E10">
      <w:pPr>
        <w:tabs>
          <w:tab w:val="left" w:pos="360"/>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电子邮件地址：</w:t>
      </w:r>
      <w:r>
        <w:rPr>
          <w:rFonts w:hint="eastAsia" w:ascii="宋体" w:hAnsi="宋体" w:eastAsia="宋体" w:cs="宋体"/>
          <w:color w:val="auto"/>
          <w:sz w:val="24"/>
          <w:u w:val="single"/>
        </w:rPr>
        <w:t xml:space="preserve">                              </w:t>
      </w:r>
    </w:p>
    <w:p w14:paraId="56210012">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开户银行：</w:t>
      </w:r>
      <w:r>
        <w:rPr>
          <w:rFonts w:hint="eastAsia" w:ascii="宋体" w:hAnsi="宋体" w:eastAsia="宋体" w:cs="宋体"/>
          <w:color w:val="auto"/>
          <w:sz w:val="24"/>
          <w:u w:val="single"/>
        </w:rPr>
        <w:t xml:space="preserve">                                  </w:t>
      </w:r>
    </w:p>
    <w:p w14:paraId="18A7F917">
      <w:pPr>
        <w:autoSpaceDE w:val="0"/>
        <w:autoSpaceDN w:val="0"/>
        <w:spacing w:line="400" w:lineRule="exact"/>
        <w:ind w:firstLine="480" w:firstLineChars="200"/>
        <w:rPr>
          <w:rFonts w:hint="eastAsia" w:ascii="宋体" w:hAnsi="宋体" w:eastAsia="宋体" w:cs="宋体"/>
          <w:color w:val="auto"/>
          <w:sz w:val="24"/>
          <w:lang w:val="zh-CN"/>
        </w:rPr>
      </w:pPr>
      <w:r>
        <w:rPr>
          <w:rFonts w:hint="eastAsia" w:hAnsi="宋体" w:cs="宋体"/>
          <w:color w:val="auto"/>
          <w:sz w:val="24"/>
          <w:lang w:val="en-US" w:eastAsia="zh-CN"/>
        </w:rPr>
        <w:t>账</w:t>
      </w:r>
      <w:r>
        <w:rPr>
          <w:rFonts w:hint="eastAsia" w:ascii="宋体" w:hAnsi="宋体" w:eastAsia="宋体" w:cs="宋体"/>
          <w:color w:val="auto"/>
          <w:sz w:val="24"/>
          <w:lang w:val="zh-CN"/>
        </w:rPr>
        <w:t>号：</w:t>
      </w:r>
      <w:r>
        <w:rPr>
          <w:rFonts w:hint="eastAsia" w:ascii="宋体" w:hAnsi="宋体" w:eastAsia="宋体" w:cs="宋体"/>
          <w:color w:val="auto"/>
          <w:sz w:val="24"/>
          <w:u w:val="single"/>
        </w:rPr>
        <w:t xml:space="preserve">                                      </w:t>
      </w:r>
    </w:p>
    <w:p w14:paraId="66B0BAC5">
      <w:pPr>
        <w:autoSpaceDE w:val="0"/>
        <w:autoSpaceDN w:val="0"/>
        <w:spacing w:line="400" w:lineRule="exact"/>
        <w:ind w:right="480"/>
        <w:rPr>
          <w:rFonts w:hint="eastAsia" w:ascii="宋体" w:hAnsi="宋体" w:eastAsia="宋体" w:cs="宋体"/>
          <w:color w:val="auto"/>
          <w:sz w:val="24"/>
          <w:lang w:val="zh-CN"/>
        </w:rPr>
      </w:pPr>
    </w:p>
    <w:p w14:paraId="34B23242">
      <w:pPr>
        <w:wordWrap w:val="0"/>
        <w:autoSpaceDE w:val="0"/>
        <w:autoSpaceDN w:val="0"/>
        <w:spacing w:line="400" w:lineRule="exact"/>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年     月     日</w:t>
      </w:r>
    </w:p>
    <w:p w14:paraId="768D94CE">
      <w:pPr>
        <w:autoSpaceDE w:val="0"/>
        <w:autoSpaceDN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00A1204">
      <w:pPr>
        <w:autoSpaceDE w:val="0"/>
        <w:autoSpaceDN w:val="0"/>
        <w:snapToGrid w:val="0"/>
        <w:spacing w:line="360" w:lineRule="auto"/>
        <w:jc w:val="center"/>
        <w:rPr>
          <w:rFonts w:hint="eastAsia" w:ascii="宋体" w:hAnsi="宋体" w:eastAsia="宋体" w:cs="宋体"/>
          <w:b/>
          <w:color w:val="auto"/>
          <w:sz w:val="32"/>
          <w:szCs w:val="32"/>
        </w:rPr>
      </w:pPr>
    </w:p>
    <w:p w14:paraId="732814C5">
      <w:pPr>
        <w:autoSpaceDE w:val="0"/>
        <w:autoSpaceDN w:val="0"/>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32"/>
          <w:szCs w:val="32"/>
        </w:rPr>
        <w:t>二、报价</w:t>
      </w:r>
      <w:r>
        <w:rPr>
          <w:rFonts w:hint="eastAsia" w:hAnsi="宋体" w:cs="宋体"/>
          <w:b/>
          <w:color w:val="auto"/>
          <w:sz w:val="32"/>
          <w:szCs w:val="32"/>
          <w:lang w:val="en-US" w:eastAsia="zh-CN"/>
        </w:rPr>
        <w:t>一览</w:t>
      </w:r>
      <w:r>
        <w:rPr>
          <w:rFonts w:hint="eastAsia" w:ascii="宋体" w:hAnsi="宋体" w:eastAsia="宋体" w:cs="宋体"/>
          <w:b/>
          <w:color w:val="auto"/>
          <w:sz w:val="32"/>
          <w:szCs w:val="32"/>
        </w:rPr>
        <w:t>表</w:t>
      </w:r>
    </w:p>
    <w:p w14:paraId="348B646C">
      <w:pP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 xml:space="preserve">                                    项目编号：</w:t>
      </w:r>
      <w:r>
        <w:rPr>
          <w:rFonts w:hint="eastAsia" w:hAnsi="宋体" w:cs="宋体"/>
          <w:bCs/>
          <w:color w:val="auto"/>
          <w:sz w:val="28"/>
          <w:szCs w:val="28"/>
          <w:lang w:eastAsia="zh-CN"/>
        </w:rPr>
        <w:t>YJGH2025-AKCG-012-1</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1"/>
        <w:gridCol w:w="2085"/>
        <w:gridCol w:w="2276"/>
        <w:gridCol w:w="1498"/>
      </w:tblGrid>
      <w:tr w14:paraId="74E6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43" w:type="pct"/>
            <w:vAlign w:val="center"/>
          </w:tcPr>
          <w:p w14:paraId="3167FD10">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1123" w:type="pct"/>
            <w:vAlign w:val="center"/>
          </w:tcPr>
          <w:p w14:paraId="5F01B048">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6CFB149F">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（元）</w:t>
            </w:r>
          </w:p>
        </w:tc>
        <w:tc>
          <w:tcPr>
            <w:tcW w:w="1226" w:type="pct"/>
            <w:vAlign w:val="center"/>
          </w:tcPr>
          <w:p w14:paraId="76024EF2">
            <w:pPr>
              <w:spacing w:line="560" w:lineRule="exact"/>
              <w:jc w:val="center"/>
              <w:rPr>
                <w:rFonts w:hint="default" w:ascii="宋体" w:hAnsi="宋体" w:eastAsia="宋体" w:cs="宋体"/>
                <w:bCs/>
                <w:color w:val="auto"/>
                <w:sz w:val="28"/>
                <w:szCs w:val="28"/>
                <w:lang w:val="en-US"/>
              </w:rPr>
            </w:pPr>
            <w:r>
              <w:rPr>
                <w:rFonts w:hint="eastAsia" w:hAnsi="宋体" w:cs="宋体"/>
                <w:bCs/>
                <w:color w:val="auto"/>
                <w:sz w:val="28"/>
                <w:szCs w:val="28"/>
                <w:lang w:val="en-US" w:eastAsia="zh-CN"/>
              </w:rPr>
              <w:t>服务期</w:t>
            </w:r>
          </w:p>
        </w:tc>
        <w:tc>
          <w:tcPr>
            <w:tcW w:w="806" w:type="pct"/>
            <w:vAlign w:val="center"/>
          </w:tcPr>
          <w:p w14:paraId="66EA31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  注</w:t>
            </w:r>
          </w:p>
        </w:tc>
      </w:tr>
      <w:tr w14:paraId="4624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843" w:type="pct"/>
            <w:vAlign w:val="center"/>
          </w:tcPr>
          <w:p w14:paraId="77C0D944">
            <w:pPr>
              <w:spacing w:line="560" w:lineRule="exact"/>
              <w:jc w:val="center"/>
              <w:rPr>
                <w:rFonts w:hint="eastAsia" w:ascii="宋体" w:hAnsi="宋体" w:eastAsia="宋体" w:cs="宋体"/>
                <w:color w:val="auto"/>
                <w:sz w:val="28"/>
                <w:szCs w:val="28"/>
              </w:rPr>
            </w:pPr>
            <w:r>
              <w:rPr>
                <w:rFonts w:hint="eastAsia" w:hAnsi="宋体" w:cs="宋体"/>
                <w:color w:val="auto"/>
                <w:sz w:val="28"/>
                <w:szCs w:val="28"/>
                <w:lang w:eastAsia="zh-CN"/>
              </w:rPr>
              <w:t>平利县2025年村庄规划编制采购项目一标段</w:t>
            </w:r>
          </w:p>
        </w:tc>
        <w:tc>
          <w:tcPr>
            <w:tcW w:w="1123" w:type="pct"/>
            <w:vAlign w:val="center"/>
          </w:tcPr>
          <w:p w14:paraId="2F996222">
            <w:pPr>
              <w:spacing w:line="560" w:lineRule="exact"/>
              <w:jc w:val="center"/>
              <w:rPr>
                <w:rFonts w:hint="eastAsia" w:ascii="宋体" w:hAnsi="宋体" w:eastAsia="宋体" w:cs="宋体"/>
                <w:bCs/>
                <w:color w:val="auto"/>
                <w:sz w:val="28"/>
                <w:szCs w:val="28"/>
              </w:rPr>
            </w:pPr>
          </w:p>
        </w:tc>
        <w:tc>
          <w:tcPr>
            <w:tcW w:w="1226" w:type="pct"/>
            <w:vAlign w:val="center"/>
          </w:tcPr>
          <w:p w14:paraId="2C8133F6">
            <w:pPr>
              <w:spacing w:line="560" w:lineRule="exact"/>
              <w:jc w:val="center"/>
              <w:rPr>
                <w:rFonts w:hint="eastAsia" w:ascii="宋体" w:hAnsi="宋体" w:eastAsia="宋体" w:cs="宋体"/>
                <w:bCs/>
                <w:color w:val="auto"/>
                <w:sz w:val="28"/>
                <w:szCs w:val="28"/>
              </w:rPr>
            </w:pPr>
          </w:p>
        </w:tc>
        <w:tc>
          <w:tcPr>
            <w:tcW w:w="806" w:type="pct"/>
            <w:vAlign w:val="center"/>
          </w:tcPr>
          <w:p w14:paraId="61EE47A8">
            <w:pPr>
              <w:spacing w:line="560" w:lineRule="exact"/>
              <w:jc w:val="center"/>
              <w:rPr>
                <w:rFonts w:hint="eastAsia" w:ascii="宋体" w:hAnsi="宋体" w:eastAsia="宋体" w:cs="宋体"/>
                <w:bCs/>
                <w:color w:val="auto"/>
                <w:sz w:val="28"/>
                <w:szCs w:val="28"/>
              </w:rPr>
            </w:pPr>
          </w:p>
        </w:tc>
      </w:tr>
      <w:tr w14:paraId="67BC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843" w:type="pct"/>
            <w:vAlign w:val="center"/>
          </w:tcPr>
          <w:p w14:paraId="51768704">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06DC40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（大写）</w:t>
            </w:r>
          </w:p>
        </w:tc>
        <w:tc>
          <w:tcPr>
            <w:tcW w:w="3156" w:type="pct"/>
            <w:gridSpan w:val="3"/>
            <w:vAlign w:val="center"/>
          </w:tcPr>
          <w:p w14:paraId="769633CC">
            <w:pPr>
              <w:spacing w:line="560" w:lineRule="exact"/>
              <w:rPr>
                <w:rFonts w:hint="eastAsia" w:ascii="宋体" w:hAnsi="宋体" w:eastAsia="宋体" w:cs="宋体"/>
                <w:bCs/>
                <w:color w:val="auto"/>
                <w:sz w:val="28"/>
                <w:szCs w:val="28"/>
              </w:rPr>
            </w:pPr>
          </w:p>
        </w:tc>
      </w:tr>
    </w:tbl>
    <w:p w14:paraId="6C2FC561">
      <w:pPr>
        <w:spacing w:line="440" w:lineRule="exact"/>
        <w:ind w:firstLine="560"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p>
    <w:p w14:paraId="12911AE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1.供应商应按采购文件的要求，根据实际情况进行报价；</w:t>
      </w:r>
    </w:p>
    <w:p w14:paraId="0D226C4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2.投标报价包含设备费、材料费、人工费、相关伴随费用、税金及其他不可预见费用；</w:t>
      </w:r>
    </w:p>
    <w:p w14:paraId="1C66AC17">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3.本报价为固定不变价；</w:t>
      </w:r>
    </w:p>
    <w:p w14:paraId="21E485ED">
      <w:pPr>
        <w:spacing w:line="400" w:lineRule="exact"/>
        <w:ind w:firstLine="480" w:firstLineChars="200"/>
        <w:jc w:val="left"/>
        <w:rPr>
          <w:rFonts w:hint="eastAsia" w:ascii="宋体" w:hAnsi="宋体" w:eastAsia="宋体" w:cs="宋体"/>
          <w:color w:val="auto"/>
          <w:sz w:val="28"/>
          <w:szCs w:val="28"/>
        </w:rPr>
      </w:pPr>
      <w:r>
        <w:rPr>
          <w:rFonts w:hint="eastAsia" w:ascii="宋体" w:hAnsi="宋体" w:eastAsia="宋体" w:cs="宋体"/>
          <w:color w:val="auto"/>
          <w:sz w:val="24"/>
          <w:szCs w:val="24"/>
        </w:rPr>
        <w:t>4.报价以人民币元为单位，保留小数点后两位。</w:t>
      </w:r>
    </w:p>
    <w:p w14:paraId="69C80AC8">
      <w:pPr>
        <w:spacing w:line="252" w:lineRule="atLeast"/>
        <w:ind w:firstLine="280" w:firstLineChars="100"/>
        <w:rPr>
          <w:rFonts w:hint="eastAsia" w:ascii="宋体" w:hAnsi="宋体" w:eastAsia="宋体" w:cs="宋体"/>
          <w:color w:val="auto"/>
          <w:sz w:val="28"/>
          <w:szCs w:val="28"/>
        </w:rPr>
      </w:pPr>
    </w:p>
    <w:p w14:paraId="051D31CA">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C88CCE4">
      <w:pPr>
        <w:rPr>
          <w:rFonts w:hint="eastAsia" w:ascii="宋体" w:hAnsi="宋体" w:eastAsia="宋体" w:cs="宋体"/>
          <w:color w:val="auto"/>
          <w:sz w:val="24"/>
        </w:rPr>
      </w:pPr>
    </w:p>
    <w:p w14:paraId="2DC7EEA6">
      <w:pPr>
        <w:wordWrap w:val="0"/>
        <w:spacing w:line="272" w:lineRule="atLeast"/>
        <w:jc w:val="both"/>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DB22C48">
      <w:pPr>
        <w:wordWrap w:val="0"/>
        <w:spacing w:line="272" w:lineRule="atLeast"/>
        <w:ind w:firstLine="4480"/>
        <w:jc w:val="right"/>
        <w:rPr>
          <w:rFonts w:hint="eastAsia" w:ascii="宋体" w:hAnsi="宋体" w:eastAsia="宋体" w:cs="宋体"/>
          <w:color w:val="auto"/>
          <w:sz w:val="28"/>
          <w:szCs w:val="28"/>
        </w:rPr>
      </w:pPr>
    </w:p>
    <w:p w14:paraId="3E6CDD99">
      <w:pPr>
        <w:wordWrap w:val="0"/>
        <w:spacing w:line="272" w:lineRule="atLeast"/>
        <w:ind w:firstLine="4480"/>
        <w:jc w:val="right"/>
        <w:rPr>
          <w:rFonts w:hint="eastAsia" w:ascii="宋体" w:hAnsi="宋体" w:eastAsia="宋体" w:cs="宋体"/>
          <w:color w:val="auto"/>
          <w:sz w:val="22"/>
          <w:szCs w:val="22"/>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9E041E2">
      <w:pPr>
        <w:pStyle w:val="13"/>
        <w:rPr>
          <w:rFonts w:hint="eastAsia" w:ascii="宋体" w:hAnsi="宋体" w:eastAsia="宋体" w:cs="宋体"/>
          <w:color w:val="auto"/>
          <w:sz w:val="24"/>
          <w:szCs w:val="24"/>
        </w:rPr>
      </w:pPr>
    </w:p>
    <w:p w14:paraId="22F45122">
      <w:pPr>
        <w:pStyle w:val="13"/>
        <w:rPr>
          <w:rFonts w:hint="eastAsia" w:ascii="宋体" w:hAnsi="宋体" w:eastAsia="宋体" w:cs="宋体"/>
          <w:color w:val="auto"/>
        </w:rPr>
      </w:pPr>
      <w:r>
        <w:rPr>
          <w:rFonts w:hint="eastAsia" w:ascii="宋体" w:hAnsi="宋体" w:eastAsia="宋体" w:cs="宋体"/>
          <w:color w:val="auto"/>
          <w:sz w:val="24"/>
          <w:szCs w:val="24"/>
        </w:rPr>
        <w:t>附表1</w:t>
      </w:r>
    </w:p>
    <w:p w14:paraId="12F9A5CD">
      <w:pPr>
        <w:pStyle w:val="13"/>
        <w:jc w:val="center"/>
        <w:rPr>
          <w:rFonts w:hint="eastAsia" w:ascii="宋体" w:hAnsi="宋体" w:eastAsia="宋体" w:cs="宋体"/>
          <w:b/>
          <w:color w:val="auto"/>
          <w:sz w:val="32"/>
        </w:rPr>
      </w:pPr>
    </w:p>
    <w:p w14:paraId="079BFA11">
      <w:pPr>
        <w:pStyle w:val="13"/>
        <w:jc w:val="center"/>
        <w:rPr>
          <w:rFonts w:hint="eastAsia" w:ascii="宋体" w:hAnsi="宋体" w:eastAsia="宋体" w:cs="宋体"/>
          <w:b/>
          <w:color w:val="auto"/>
          <w:sz w:val="32"/>
        </w:rPr>
      </w:pPr>
      <w:r>
        <w:rPr>
          <w:rFonts w:hint="eastAsia" w:ascii="宋体" w:hAnsi="宋体" w:eastAsia="宋体" w:cs="宋体"/>
          <w:b/>
          <w:color w:val="auto"/>
          <w:sz w:val="32"/>
        </w:rPr>
        <w:t>分项报价表</w:t>
      </w:r>
    </w:p>
    <w:tbl>
      <w:tblPr>
        <w:tblStyle w:val="2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77"/>
        <w:gridCol w:w="1317"/>
        <w:gridCol w:w="1317"/>
        <w:gridCol w:w="1317"/>
        <w:gridCol w:w="1318"/>
      </w:tblGrid>
      <w:tr w14:paraId="6EDD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47FA29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2777" w:type="dxa"/>
            <w:noWrap w:val="0"/>
            <w:vAlign w:val="center"/>
          </w:tcPr>
          <w:p w14:paraId="672B98C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分项费用名称/类别</w:t>
            </w:r>
          </w:p>
        </w:tc>
        <w:tc>
          <w:tcPr>
            <w:tcW w:w="1317" w:type="dxa"/>
            <w:noWrap w:val="0"/>
            <w:vAlign w:val="center"/>
          </w:tcPr>
          <w:p w14:paraId="1B0008BE">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单价</w:t>
            </w:r>
          </w:p>
        </w:tc>
        <w:tc>
          <w:tcPr>
            <w:tcW w:w="1317" w:type="dxa"/>
            <w:noWrap w:val="0"/>
            <w:vAlign w:val="center"/>
          </w:tcPr>
          <w:p w14:paraId="6DB2DCE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317" w:type="dxa"/>
            <w:noWrap w:val="0"/>
            <w:vAlign w:val="center"/>
          </w:tcPr>
          <w:p w14:paraId="5774C6BA">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总价</w:t>
            </w:r>
          </w:p>
        </w:tc>
        <w:tc>
          <w:tcPr>
            <w:tcW w:w="1318" w:type="dxa"/>
            <w:noWrap w:val="0"/>
            <w:vAlign w:val="center"/>
          </w:tcPr>
          <w:p w14:paraId="56BAD004">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75A9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297A07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77" w:type="dxa"/>
            <w:noWrap w:val="0"/>
            <w:vAlign w:val="center"/>
          </w:tcPr>
          <w:p w14:paraId="39226C46">
            <w:pPr>
              <w:jc w:val="center"/>
              <w:rPr>
                <w:rFonts w:hint="eastAsia" w:ascii="宋体" w:hAnsi="宋体" w:eastAsia="宋体" w:cs="宋体"/>
                <w:color w:val="auto"/>
                <w:sz w:val="28"/>
                <w:szCs w:val="28"/>
              </w:rPr>
            </w:pPr>
          </w:p>
        </w:tc>
        <w:tc>
          <w:tcPr>
            <w:tcW w:w="1317" w:type="dxa"/>
            <w:noWrap w:val="0"/>
            <w:vAlign w:val="center"/>
          </w:tcPr>
          <w:p w14:paraId="300CA4E8">
            <w:pPr>
              <w:jc w:val="center"/>
              <w:rPr>
                <w:rFonts w:hint="eastAsia" w:ascii="宋体" w:hAnsi="宋体" w:eastAsia="宋体" w:cs="宋体"/>
                <w:color w:val="auto"/>
                <w:sz w:val="28"/>
                <w:szCs w:val="28"/>
              </w:rPr>
            </w:pPr>
          </w:p>
        </w:tc>
        <w:tc>
          <w:tcPr>
            <w:tcW w:w="1317" w:type="dxa"/>
            <w:noWrap w:val="0"/>
            <w:vAlign w:val="center"/>
          </w:tcPr>
          <w:p w14:paraId="25B278F2">
            <w:pPr>
              <w:jc w:val="center"/>
              <w:rPr>
                <w:rFonts w:hint="eastAsia" w:ascii="宋体" w:hAnsi="宋体" w:eastAsia="宋体" w:cs="宋体"/>
                <w:bCs/>
                <w:color w:val="auto"/>
                <w:sz w:val="28"/>
                <w:szCs w:val="28"/>
              </w:rPr>
            </w:pPr>
          </w:p>
        </w:tc>
        <w:tc>
          <w:tcPr>
            <w:tcW w:w="1317" w:type="dxa"/>
            <w:noWrap w:val="0"/>
            <w:vAlign w:val="center"/>
          </w:tcPr>
          <w:p w14:paraId="413F8DB6">
            <w:pPr>
              <w:jc w:val="center"/>
              <w:rPr>
                <w:rFonts w:hint="eastAsia" w:ascii="宋体" w:hAnsi="宋体" w:eastAsia="宋体" w:cs="宋体"/>
                <w:color w:val="auto"/>
                <w:sz w:val="28"/>
                <w:szCs w:val="28"/>
              </w:rPr>
            </w:pPr>
          </w:p>
        </w:tc>
        <w:tc>
          <w:tcPr>
            <w:tcW w:w="1318" w:type="dxa"/>
            <w:noWrap w:val="0"/>
            <w:vAlign w:val="center"/>
          </w:tcPr>
          <w:p w14:paraId="3348EEEE">
            <w:pPr>
              <w:jc w:val="center"/>
              <w:rPr>
                <w:rFonts w:hint="eastAsia" w:ascii="宋体" w:hAnsi="宋体" w:eastAsia="宋体" w:cs="宋体"/>
                <w:color w:val="auto"/>
                <w:sz w:val="28"/>
                <w:szCs w:val="28"/>
              </w:rPr>
            </w:pPr>
          </w:p>
        </w:tc>
      </w:tr>
      <w:tr w14:paraId="515E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389A9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77" w:type="dxa"/>
            <w:noWrap w:val="0"/>
            <w:vAlign w:val="center"/>
          </w:tcPr>
          <w:p w14:paraId="13196AED">
            <w:pPr>
              <w:jc w:val="center"/>
              <w:rPr>
                <w:rFonts w:hint="eastAsia" w:ascii="宋体" w:hAnsi="宋体" w:eastAsia="宋体" w:cs="宋体"/>
                <w:color w:val="auto"/>
                <w:sz w:val="28"/>
                <w:szCs w:val="28"/>
              </w:rPr>
            </w:pPr>
          </w:p>
        </w:tc>
        <w:tc>
          <w:tcPr>
            <w:tcW w:w="1317" w:type="dxa"/>
            <w:noWrap w:val="0"/>
            <w:vAlign w:val="center"/>
          </w:tcPr>
          <w:p w14:paraId="34483B3D">
            <w:pPr>
              <w:jc w:val="center"/>
              <w:rPr>
                <w:rFonts w:hint="eastAsia" w:ascii="宋体" w:hAnsi="宋体" w:eastAsia="宋体" w:cs="宋体"/>
                <w:color w:val="auto"/>
                <w:sz w:val="28"/>
                <w:szCs w:val="28"/>
              </w:rPr>
            </w:pPr>
          </w:p>
        </w:tc>
        <w:tc>
          <w:tcPr>
            <w:tcW w:w="1317" w:type="dxa"/>
            <w:noWrap w:val="0"/>
            <w:vAlign w:val="center"/>
          </w:tcPr>
          <w:p w14:paraId="34A93B50">
            <w:pPr>
              <w:jc w:val="center"/>
              <w:rPr>
                <w:rFonts w:hint="eastAsia" w:ascii="宋体" w:hAnsi="宋体" w:eastAsia="宋体" w:cs="宋体"/>
                <w:bCs/>
                <w:color w:val="auto"/>
                <w:sz w:val="28"/>
                <w:szCs w:val="28"/>
              </w:rPr>
            </w:pPr>
          </w:p>
        </w:tc>
        <w:tc>
          <w:tcPr>
            <w:tcW w:w="1317" w:type="dxa"/>
            <w:noWrap w:val="0"/>
            <w:vAlign w:val="center"/>
          </w:tcPr>
          <w:p w14:paraId="41B6437F">
            <w:pPr>
              <w:jc w:val="center"/>
              <w:rPr>
                <w:rFonts w:hint="eastAsia" w:ascii="宋体" w:hAnsi="宋体" w:eastAsia="宋体" w:cs="宋体"/>
                <w:color w:val="auto"/>
                <w:sz w:val="28"/>
                <w:szCs w:val="28"/>
              </w:rPr>
            </w:pPr>
          </w:p>
        </w:tc>
        <w:tc>
          <w:tcPr>
            <w:tcW w:w="1318" w:type="dxa"/>
            <w:noWrap w:val="0"/>
            <w:vAlign w:val="center"/>
          </w:tcPr>
          <w:p w14:paraId="5ECDBAA1">
            <w:pPr>
              <w:jc w:val="center"/>
              <w:rPr>
                <w:rFonts w:hint="eastAsia" w:ascii="宋体" w:hAnsi="宋体" w:eastAsia="宋体" w:cs="宋体"/>
                <w:color w:val="auto"/>
                <w:sz w:val="28"/>
                <w:szCs w:val="28"/>
              </w:rPr>
            </w:pPr>
          </w:p>
        </w:tc>
      </w:tr>
      <w:tr w14:paraId="70C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3AE095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77" w:type="dxa"/>
            <w:noWrap w:val="0"/>
            <w:vAlign w:val="center"/>
          </w:tcPr>
          <w:p w14:paraId="473A2039">
            <w:pPr>
              <w:jc w:val="center"/>
              <w:rPr>
                <w:rFonts w:hint="eastAsia" w:ascii="宋体" w:hAnsi="宋体" w:eastAsia="宋体" w:cs="宋体"/>
                <w:color w:val="auto"/>
                <w:sz w:val="28"/>
                <w:szCs w:val="28"/>
              </w:rPr>
            </w:pPr>
          </w:p>
        </w:tc>
        <w:tc>
          <w:tcPr>
            <w:tcW w:w="1317" w:type="dxa"/>
            <w:noWrap w:val="0"/>
            <w:vAlign w:val="center"/>
          </w:tcPr>
          <w:p w14:paraId="7B18EC5E">
            <w:pPr>
              <w:jc w:val="center"/>
              <w:rPr>
                <w:rFonts w:hint="eastAsia" w:ascii="宋体" w:hAnsi="宋体" w:eastAsia="宋体" w:cs="宋体"/>
                <w:color w:val="auto"/>
                <w:sz w:val="28"/>
                <w:szCs w:val="28"/>
              </w:rPr>
            </w:pPr>
          </w:p>
        </w:tc>
        <w:tc>
          <w:tcPr>
            <w:tcW w:w="1317" w:type="dxa"/>
            <w:noWrap w:val="0"/>
            <w:vAlign w:val="center"/>
          </w:tcPr>
          <w:p w14:paraId="6E53CC8E">
            <w:pPr>
              <w:jc w:val="center"/>
              <w:rPr>
                <w:rFonts w:hint="eastAsia" w:ascii="宋体" w:hAnsi="宋体" w:eastAsia="宋体" w:cs="宋体"/>
                <w:color w:val="auto"/>
                <w:sz w:val="28"/>
                <w:szCs w:val="28"/>
              </w:rPr>
            </w:pPr>
          </w:p>
        </w:tc>
        <w:tc>
          <w:tcPr>
            <w:tcW w:w="1317" w:type="dxa"/>
            <w:noWrap w:val="0"/>
            <w:vAlign w:val="center"/>
          </w:tcPr>
          <w:p w14:paraId="6CEAE444">
            <w:pPr>
              <w:jc w:val="center"/>
              <w:rPr>
                <w:rFonts w:hint="eastAsia" w:ascii="宋体" w:hAnsi="宋体" w:eastAsia="宋体" w:cs="宋体"/>
                <w:color w:val="auto"/>
                <w:sz w:val="28"/>
                <w:szCs w:val="28"/>
              </w:rPr>
            </w:pPr>
          </w:p>
        </w:tc>
        <w:tc>
          <w:tcPr>
            <w:tcW w:w="1318" w:type="dxa"/>
            <w:noWrap w:val="0"/>
            <w:vAlign w:val="center"/>
          </w:tcPr>
          <w:p w14:paraId="797783D2">
            <w:pPr>
              <w:jc w:val="center"/>
              <w:rPr>
                <w:rFonts w:hint="eastAsia" w:ascii="宋体" w:hAnsi="宋体" w:eastAsia="宋体" w:cs="宋体"/>
                <w:color w:val="auto"/>
                <w:sz w:val="28"/>
                <w:szCs w:val="28"/>
              </w:rPr>
            </w:pPr>
          </w:p>
        </w:tc>
      </w:tr>
      <w:tr w14:paraId="233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07F4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77" w:type="dxa"/>
            <w:noWrap w:val="0"/>
            <w:vAlign w:val="center"/>
          </w:tcPr>
          <w:p w14:paraId="3EF5BE48">
            <w:pPr>
              <w:jc w:val="center"/>
              <w:rPr>
                <w:rFonts w:hint="eastAsia" w:ascii="宋体" w:hAnsi="宋体" w:eastAsia="宋体" w:cs="宋体"/>
                <w:color w:val="auto"/>
                <w:sz w:val="28"/>
                <w:szCs w:val="28"/>
              </w:rPr>
            </w:pPr>
          </w:p>
        </w:tc>
        <w:tc>
          <w:tcPr>
            <w:tcW w:w="1317" w:type="dxa"/>
            <w:noWrap w:val="0"/>
            <w:vAlign w:val="center"/>
          </w:tcPr>
          <w:p w14:paraId="10A9A645">
            <w:pPr>
              <w:jc w:val="center"/>
              <w:rPr>
                <w:rFonts w:hint="eastAsia" w:ascii="宋体" w:hAnsi="宋体" w:eastAsia="宋体" w:cs="宋体"/>
                <w:color w:val="auto"/>
                <w:sz w:val="28"/>
                <w:szCs w:val="28"/>
              </w:rPr>
            </w:pPr>
          </w:p>
        </w:tc>
        <w:tc>
          <w:tcPr>
            <w:tcW w:w="1317" w:type="dxa"/>
            <w:noWrap w:val="0"/>
            <w:vAlign w:val="center"/>
          </w:tcPr>
          <w:p w14:paraId="3381FB9D">
            <w:pPr>
              <w:jc w:val="center"/>
              <w:rPr>
                <w:rFonts w:hint="eastAsia" w:ascii="宋体" w:hAnsi="宋体" w:eastAsia="宋体" w:cs="宋体"/>
                <w:color w:val="auto"/>
                <w:sz w:val="28"/>
                <w:szCs w:val="28"/>
              </w:rPr>
            </w:pPr>
          </w:p>
        </w:tc>
        <w:tc>
          <w:tcPr>
            <w:tcW w:w="1317" w:type="dxa"/>
            <w:noWrap w:val="0"/>
            <w:vAlign w:val="center"/>
          </w:tcPr>
          <w:p w14:paraId="71F9250C">
            <w:pPr>
              <w:jc w:val="center"/>
              <w:rPr>
                <w:rFonts w:hint="eastAsia" w:ascii="宋体" w:hAnsi="宋体" w:eastAsia="宋体" w:cs="宋体"/>
                <w:color w:val="auto"/>
                <w:sz w:val="28"/>
                <w:szCs w:val="28"/>
              </w:rPr>
            </w:pPr>
          </w:p>
        </w:tc>
        <w:tc>
          <w:tcPr>
            <w:tcW w:w="1318" w:type="dxa"/>
            <w:noWrap w:val="0"/>
            <w:vAlign w:val="center"/>
          </w:tcPr>
          <w:p w14:paraId="68717A76">
            <w:pPr>
              <w:jc w:val="center"/>
              <w:rPr>
                <w:rFonts w:hint="eastAsia" w:ascii="宋体" w:hAnsi="宋体" w:eastAsia="宋体" w:cs="宋体"/>
                <w:color w:val="auto"/>
                <w:sz w:val="28"/>
                <w:szCs w:val="28"/>
              </w:rPr>
            </w:pPr>
          </w:p>
        </w:tc>
      </w:tr>
      <w:tr w14:paraId="65A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4E57E71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77" w:type="dxa"/>
            <w:noWrap w:val="0"/>
            <w:vAlign w:val="center"/>
          </w:tcPr>
          <w:p w14:paraId="0F963527">
            <w:pPr>
              <w:jc w:val="center"/>
              <w:rPr>
                <w:rFonts w:hint="eastAsia" w:ascii="宋体" w:hAnsi="宋体" w:eastAsia="宋体" w:cs="宋体"/>
                <w:color w:val="auto"/>
                <w:sz w:val="28"/>
                <w:szCs w:val="28"/>
              </w:rPr>
            </w:pPr>
          </w:p>
        </w:tc>
        <w:tc>
          <w:tcPr>
            <w:tcW w:w="1317" w:type="dxa"/>
            <w:noWrap w:val="0"/>
            <w:vAlign w:val="center"/>
          </w:tcPr>
          <w:p w14:paraId="7019D100">
            <w:pPr>
              <w:jc w:val="center"/>
              <w:rPr>
                <w:rFonts w:hint="eastAsia" w:ascii="宋体" w:hAnsi="宋体" w:eastAsia="宋体" w:cs="宋体"/>
                <w:color w:val="auto"/>
                <w:sz w:val="28"/>
                <w:szCs w:val="28"/>
              </w:rPr>
            </w:pPr>
          </w:p>
        </w:tc>
        <w:tc>
          <w:tcPr>
            <w:tcW w:w="1317" w:type="dxa"/>
            <w:noWrap w:val="0"/>
            <w:vAlign w:val="center"/>
          </w:tcPr>
          <w:p w14:paraId="663CF29D">
            <w:pPr>
              <w:jc w:val="center"/>
              <w:rPr>
                <w:rFonts w:hint="eastAsia" w:ascii="宋体" w:hAnsi="宋体" w:eastAsia="宋体" w:cs="宋体"/>
                <w:color w:val="auto"/>
                <w:sz w:val="28"/>
                <w:szCs w:val="28"/>
              </w:rPr>
            </w:pPr>
          </w:p>
        </w:tc>
        <w:tc>
          <w:tcPr>
            <w:tcW w:w="1317" w:type="dxa"/>
            <w:noWrap w:val="0"/>
            <w:vAlign w:val="center"/>
          </w:tcPr>
          <w:p w14:paraId="5DC1A452">
            <w:pPr>
              <w:jc w:val="center"/>
              <w:rPr>
                <w:rFonts w:hint="eastAsia" w:ascii="宋体" w:hAnsi="宋体" w:eastAsia="宋体" w:cs="宋体"/>
                <w:color w:val="auto"/>
                <w:sz w:val="28"/>
                <w:szCs w:val="28"/>
              </w:rPr>
            </w:pPr>
          </w:p>
        </w:tc>
        <w:tc>
          <w:tcPr>
            <w:tcW w:w="1318" w:type="dxa"/>
            <w:noWrap w:val="0"/>
            <w:vAlign w:val="center"/>
          </w:tcPr>
          <w:p w14:paraId="0F004872">
            <w:pPr>
              <w:jc w:val="center"/>
              <w:rPr>
                <w:rFonts w:hint="eastAsia" w:ascii="宋体" w:hAnsi="宋体" w:eastAsia="宋体" w:cs="宋体"/>
                <w:color w:val="auto"/>
                <w:sz w:val="28"/>
                <w:szCs w:val="28"/>
              </w:rPr>
            </w:pPr>
          </w:p>
        </w:tc>
      </w:tr>
      <w:tr w14:paraId="421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BB4F35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N</w:t>
            </w:r>
          </w:p>
        </w:tc>
        <w:tc>
          <w:tcPr>
            <w:tcW w:w="2777" w:type="dxa"/>
            <w:noWrap w:val="0"/>
            <w:vAlign w:val="center"/>
          </w:tcPr>
          <w:p w14:paraId="627B7BF5">
            <w:pPr>
              <w:jc w:val="center"/>
              <w:rPr>
                <w:rFonts w:hint="eastAsia" w:ascii="宋体" w:hAnsi="宋体" w:eastAsia="宋体" w:cs="宋体"/>
                <w:color w:val="auto"/>
                <w:sz w:val="28"/>
                <w:szCs w:val="28"/>
              </w:rPr>
            </w:pPr>
          </w:p>
        </w:tc>
        <w:tc>
          <w:tcPr>
            <w:tcW w:w="1317" w:type="dxa"/>
            <w:noWrap w:val="0"/>
            <w:vAlign w:val="center"/>
          </w:tcPr>
          <w:p w14:paraId="2B54406E">
            <w:pPr>
              <w:jc w:val="center"/>
              <w:rPr>
                <w:rFonts w:hint="eastAsia" w:ascii="宋体" w:hAnsi="宋体" w:eastAsia="宋体" w:cs="宋体"/>
                <w:color w:val="auto"/>
                <w:sz w:val="28"/>
                <w:szCs w:val="28"/>
              </w:rPr>
            </w:pPr>
          </w:p>
        </w:tc>
        <w:tc>
          <w:tcPr>
            <w:tcW w:w="1317" w:type="dxa"/>
            <w:noWrap w:val="0"/>
            <w:vAlign w:val="center"/>
          </w:tcPr>
          <w:p w14:paraId="4EC7EC40">
            <w:pPr>
              <w:jc w:val="center"/>
              <w:rPr>
                <w:rFonts w:hint="eastAsia" w:ascii="宋体" w:hAnsi="宋体" w:eastAsia="宋体" w:cs="宋体"/>
                <w:color w:val="auto"/>
                <w:sz w:val="28"/>
                <w:szCs w:val="28"/>
              </w:rPr>
            </w:pPr>
          </w:p>
        </w:tc>
        <w:tc>
          <w:tcPr>
            <w:tcW w:w="1317" w:type="dxa"/>
            <w:noWrap w:val="0"/>
            <w:vAlign w:val="center"/>
          </w:tcPr>
          <w:p w14:paraId="4E8C650E">
            <w:pPr>
              <w:jc w:val="center"/>
              <w:rPr>
                <w:rFonts w:hint="eastAsia" w:ascii="宋体" w:hAnsi="宋体" w:eastAsia="宋体" w:cs="宋体"/>
                <w:color w:val="auto"/>
                <w:sz w:val="28"/>
                <w:szCs w:val="28"/>
              </w:rPr>
            </w:pPr>
          </w:p>
        </w:tc>
        <w:tc>
          <w:tcPr>
            <w:tcW w:w="1318" w:type="dxa"/>
            <w:noWrap w:val="0"/>
            <w:vAlign w:val="center"/>
          </w:tcPr>
          <w:p w14:paraId="07C5EB7C">
            <w:pPr>
              <w:jc w:val="center"/>
              <w:rPr>
                <w:rFonts w:hint="eastAsia" w:ascii="宋体" w:hAnsi="宋体" w:eastAsia="宋体" w:cs="宋体"/>
                <w:color w:val="auto"/>
                <w:sz w:val="28"/>
                <w:szCs w:val="28"/>
              </w:rPr>
            </w:pPr>
          </w:p>
        </w:tc>
      </w:tr>
    </w:tbl>
    <w:p w14:paraId="6176D6CC">
      <w:pPr>
        <w:spacing w:line="500" w:lineRule="exact"/>
        <w:rPr>
          <w:rFonts w:hint="eastAsia" w:ascii="宋体" w:hAnsi="宋体" w:eastAsia="宋体" w:cs="宋体"/>
          <w:color w:val="auto"/>
          <w:sz w:val="24"/>
        </w:rPr>
      </w:pPr>
    </w:p>
    <w:p w14:paraId="670D996A">
      <w:pPr>
        <w:spacing w:line="500" w:lineRule="exact"/>
        <w:rPr>
          <w:rFonts w:hint="eastAsia" w:ascii="宋体" w:hAnsi="宋体" w:eastAsia="宋体" w:cs="宋体"/>
          <w:color w:val="auto"/>
          <w:sz w:val="24"/>
        </w:rPr>
      </w:pPr>
    </w:p>
    <w:p w14:paraId="43E2D6B7">
      <w:pPr>
        <w:pStyle w:val="9"/>
        <w:rPr>
          <w:rFonts w:hint="eastAsia" w:ascii="宋体" w:hAnsi="宋体" w:eastAsia="宋体" w:cs="宋体"/>
          <w:color w:val="auto"/>
        </w:rPr>
      </w:pPr>
    </w:p>
    <w:p w14:paraId="184B7BEE">
      <w:pPr>
        <w:spacing w:line="500" w:lineRule="exact"/>
        <w:rPr>
          <w:rFonts w:hint="eastAsia" w:ascii="宋体" w:hAnsi="宋体" w:eastAsia="宋体" w:cs="宋体"/>
          <w:color w:val="auto"/>
          <w:sz w:val="24"/>
        </w:rPr>
      </w:pPr>
      <w:r>
        <w:rPr>
          <w:rFonts w:hint="eastAsia" w:ascii="宋体" w:hAnsi="宋体" w:eastAsia="宋体" w:cs="宋体"/>
          <w:color w:val="auto"/>
          <w:sz w:val="24"/>
        </w:rPr>
        <w:t>注：本表中的“分项报价合计”与“</w:t>
      </w:r>
      <w:r>
        <w:rPr>
          <w:rFonts w:hint="eastAsia" w:hAnsi="宋体" w:cs="宋体"/>
          <w:color w:val="auto"/>
          <w:sz w:val="24"/>
          <w:lang w:val="en-US" w:eastAsia="zh-CN"/>
        </w:rPr>
        <w:t>报价一览</w:t>
      </w:r>
      <w:r>
        <w:rPr>
          <w:rFonts w:hint="eastAsia" w:ascii="宋体" w:hAnsi="宋体" w:eastAsia="宋体" w:cs="宋体"/>
          <w:color w:val="auto"/>
          <w:sz w:val="24"/>
        </w:rPr>
        <w:t>表”中的</w:t>
      </w:r>
      <w:r>
        <w:rPr>
          <w:rFonts w:hint="eastAsia" w:ascii="宋体" w:hAnsi="宋体" w:eastAsia="宋体" w:cs="宋体"/>
          <w:color w:val="auto"/>
          <w:spacing w:val="-6"/>
          <w:sz w:val="24"/>
        </w:rPr>
        <w:t>“</w:t>
      </w:r>
      <w:r>
        <w:rPr>
          <w:rFonts w:hint="eastAsia" w:ascii="宋体" w:hAnsi="宋体" w:eastAsia="宋体" w:cs="宋体"/>
          <w:color w:val="auto"/>
          <w:sz w:val="24"/>
        </w:rPr>
        <w:t>投标总报价</w:t>
      </w:r>
      <w:r>
        <w:rPr>
          <w:rFonts w:hint="eastAsia" w:ascii="宋体" w:hAnsi="宋体" w:eastAsia="宋体" w:cs="宋体"/>
          <w:color w:val="auto"/>
          <w:spacing w:val="-6"/>
          <w:sz w:val="24"/>
        </w:rPr>
        <w:t>”</w:t>
      </w:r>
      <w:r>
        <w:rPr>
          <w:rFonts w:hint="eastAsia" w:ascii="宋体" w:hAnsi="宋体" w:eastAsia="宋体" w:cs="宋体"/>
          <w:color w:val="auto"/>
          <w:sz w:val="24"/>
        </w:rPr>
        <w:t>一致。各子项分别报价。</w:t>
      </w:r>
    </w:p>
    <w:p w14:paraId="3648AC47">
      <w:pPr>
        <w:ind w:right="420"/>
        <w:rPr>
          <w:rFonts w:hint="eastAsia" w:ascii="宋体" w:hAnsi="宋体" w:eastAsia="宋体" w:cs="宋体"/>
          <w:color w:val="auto"/>
          <w:sz w:val="24"/>
        </w:rPr>
      </w:pPr>
    </w:p>
    <w:p w14:paraId="1780CC2B">
      <w:pPr>
        <w:pStyle w:val="13"/>
        <w:rPr>
          <w:rFonts w:hint="eastAsia" w:ascii="宋体" w:hAnsi="宋体" w:eastAsia="宋体" w:cs="宋体"/>
          <w:color w:val="auto"/>
          <w:sz w:val="24"/>
          <w:szCs w:val="24"/>
        </w:rPr>
      </w:pPr>
    </w:p>
    <w:p w14:paraId="28C8888C">
      <w:pPr>
        <w:pStyle w:val="13"/>
        <w:rPr>
          <w:rFonts w:hint="eastAsia" w:ascii="宋体" w:hAnsi="宋体" w:eastAsia="宋体" w:cs="宋体"/>
          <w:color w:val="auto"/>
          <w:sz w:val="24"/>
          <w:szCs w:val="24"/>
        </w:rPr>
      </w:pPr>
    </w:p>
    <w:p w14:paraId="4BA18B9B">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57BB6F3">
      <w:pPr>
        <w:rPr>
          <w:rFonts w:hint="eastAsia" w:ascii="宋体" w:hAnsi="宋体" w:eastAsia="宋体" w:cs="宋体"/>
          <w:color w:val="auto"/>
          <w:sz w:val="24"/>
        </w:rPr>
      </w:pPr>
    </w:p>
    <w:p w14:paraId="7F7D0085">
      <w:pPr>
        <w:rPr>
          <w:rFonts w:hint="eastAsia" w:ascii="宋体" w:hAnsi="宋体" w:eastAsia="宋体" w:cs="宋体"/>
          <w:b/>
          <w:color w:val="auto"/>
          <w:sz w:val="32"/>
          <w:szCs w:val="32"/>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079C2A9">
      <w:pPr>
        <w:pStyle w:val="9"/>
        <w:rPr>
          <w:rFonts w:hint="eastAsia" w:ascii="宋体" w:hAnsi="宋体" w:eastAsia="宋体" w:cs="宋体"/>
          <w:b/>
          <w:color w:val="auto"/>
          <w:sz w:val="32"/>
          <w:szCs w:val="32"/>
        </w:rPr>
      </w:pPr>
    </w:p>
    <w:p w14:paraId="56202A01">
      <w:pPr>
        <w:pStyle w:val="13"/>
        <w:rPr>
          <w:rFonts w:hint="eastAsia" w:ascii="宋体" w:hAnsi="宋体" w:eastAsia="宋体" w:cs="宋体"/>
          <w:color w:val="auto"/>
          <w:sz w:val="24"/>
          <w:szCs w:val="24"/>
        </w:rPr>
      </w:pPr>
    </w:p>
    <w:p w14:paraId="0889EE3D">
      <w:pPr>
        <w:pStyle w:val="13"/>
        <w:rPr>
          <w:rFonts w:hint="eastAsia" w:ascii="宋体" w:hAnsi="宋体" w:eastAsia="宋体" w:cs="宋体"/>
          <w:color w:val="auto"/>
          <w:sz w:val="24"/>
          <w:szCs w:val="24"/>
        </w:rPr>
      </w:pPr>
    </w:p>
    <w:p w14:paraId="2FE466DE">
      <w:pPr>
        <w:pStyle w:val="13"/>
        <w:rPr>
          <w:rFonts w:hint="eastAsia" w:ascii="宋体" w:hAnsi="宋体" w:eastAsia="宋体" w:cs="宋体"/>
          <w:color w:val="auto"/>
          <w:sz w:val="24"/>
          <w:szCs w:val="24"/>
        </w:rPr>
      </w:pPr>
    </w:p>
    <w:p w14:paraId="46275975">
      <w:pPr>
        <w:pStyle w:val="13"/>
        <w:rPr>
          <w:rFonts w:hint="eastAsia" w:ascii="宋体" w:hAnsi="宋体" w:eastAsia="宋体" w:cs="宋体"/>
          <w:color w:val="auto"/>
          <w:sz w:val="24"/>
          <w:szCs w:val="24"/>
        </w:rPr>
      </w:pPr>
      <w:r>
        <w:rPr>
          <w:rFonts w:hint="eastAsia" w:ascii="宋体" w:hAnsi="宋体" w:eastAsia="宋体" w:cs="宋体"/>
          <w:color w:val="auto"/>
          <w:sz w:val="24"/>
          <w:szCs w:val="24"/>
        </w:rPr>
        <w:t>附表2</w:t>
      </w:r>
    </w:p>
    <w:p w14:paraId="1B23CA44">
      <w:pPr>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商务条款响应说明</w:t>
      </w:r>
    </w:p>
    <w:p w14:paraId="72EFD9F5">
      <w:pPr>
        <w:kinsoku w:val="0"/>
        <w:spacing w:line="500" w:lineRule="exact"/>
        <w:ind w:left="-581" w:leftChars="-171" w:firstLine="358"/>
        <w:rPr>
          <w:rFonts w:hint="eastAsia" w:ascii="宋体" w:hAnsi="宋体" w:eastAsia="宋体" w:cs="宋体"/>
          <w:b/>
          <w:color w:val="auto"/>
          <w:sz w:val="24"/>
        </w:rPr>
      </w:pPr>
      <w:r>
        <w:rPr>
          <w:rFonts w:hint="eastAsia" w:ascii="宋体" w:hAnsi="宋体" w:eastAsia="宋体" w:cs="宋体"/>
          <w:color w:val="auto"/>
          <w:sz w:val="24"/>
        </w:rPr>
        <w:t>项目名称：                                                 项目编号：</w:t>
      </w:r>
      <w:r>
        <w:rPr>
          <w:rFonts w:hint="eastAsia" w:ascii="宋体" w:hAnsi="宋体" w:eastAsia="宋体" w:cs="宋体"/>
          <w:color w:val="auto"/>
          <w:sz w:val="32"/>
          <w:szCs w:val="32"/>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14B6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FA36E8F">
            <w:pPr>
              <w:spacing w:line="560" w:lineRule="exact"/>
              <w:ind w:right="-272" w:rightChars="-80" w:firstLine="120" w:firstLineChars="50"/>
              <w:rPr>
                <w:rFonts w:hint="eastAsia" w:ascii="宋体" w:hAnsi="宋体" w:eastAsia="宋体" w:cs="宋体"/>
                <w:color w:val="auto"/>
                <w:sz w:val="24"/>
              </w:rPr>
            </w:pPr>
            <w:r>
              <w:rPr>
                <w:rFonts w:hint="eastAsia" w:ascii="宋体" w:hAnsi="宋体" w:eastAsia="宋体" w:cs="宋体"/>
                <w:color w:val="auto"/>
                <w:sz w:val="24"/>
              </w:rPr>
              <w:t>序号</w:t>
            </w:r>
          </w:p>
        </w:tc>
        <w:tc>
          <w:tcPr>
            <w:tcW w:w="3425" w:type="dxa"/>
            <w:vAlign w:val="center"/>
          </w:tcPr>
          <w:p w14:paraId="7C1C84AE">
            <w:pPr>
              <w:spacing w:line="560" w:lineRule="exact"/>
              <w:ind w:right="-272" w:rightChars="-80"/>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992" w:type="dxa"/>
            <w:vAlign w:val="center"/>
          </w:tcPr>
          <w:p w14:paraId="3F50E649">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投标文件实际数据</w:t>
            </w:r>
          </w:p>
        </w:tc>
        <w:tc>
          <w:tcPr>
            <w:tcW w:w="1866" w:type="dxa"/>
            <w:vAlign w:val="center"/>
          </w:tcPr>
          <w:p w14:paraId="0741A03D">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响应说明</w:t>
            </w:r>
          </w:p>
        </w:tc>
      </w:tr>
      <w:tr w14:paraId="699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F684EA4">
            <w:pPr>
              <w:spacing w:line="560" w:lineRule="exact"/>
              <w:ind w:right="-272" w:rightChars="-80"/>
              <w:jc w:val="center"/>
              <w:rPr>
                <w:rFonts w:hint="eastAsia" w:ascii="宋体" w:hAnsi="宋体" w:eastAsia="宋体" w:cs="宋体"/>
                <w:color w:val="auto"/>
                <w:sz w:val="24"/>
              </w:rPr>
            </w:pPr>
          </w:p>
        </w:tc>
        <w:tc>
          <w:tcPr>
            <w:tcW w:w="3425" w:type="dxa"/>
            <w:vAlign w:val="center"/>
          </w:tcPr>
          <w:p w14:paraId="0D4DDFEA">
            <w:pPr>
              <w:spacing w:line="560" w:lineRule="exact"/>
              <w:ind w:right="-272" w:rightChars="-80"/>
              <w:jc w:val="center"/>
              <w:rPr>
                <w:rFonts w:hint="eastAsia" w:ascii="宋体" w:hAnsi="宋体" w:eastAsia="宋体" w:cs="宋体"/>
                <w:color w:val="auto"/>
                <w:sz w:val="24"/>
              </w:rPr>
            </w:pPr>
          </w:p>
        </w:tc>
        <w:tc>
          <w:tcPr>
            <w:tcW w:w="2992" w:type="dxa"/>
            <w:vAlign w:val="center"/>
          </w:tcPr>
          <w:p w14:paraId="790F0733">
            <w:pPr>
              <w:spacing w:line="560" w:lineRule="exact"/>
              <w:ind w:right="-272" w:rightChars="-80"/>
              <w:jc w:val="center"/>
              <w:rPr>
                <w:rFonts w:hint="eastAsia" w:ascii="宋体" w:hAnsi="宋体" w:eastAsia="宋体" w:cs="宋体"/>
                <w:color w:val="auto"/>
                <w:sz w:val="24"/>
              </w:rPr>
            </w:pPr>
          </w:p>
        </w:tc>
        <w:tc>
          <w:tcPr>
            <w:tcW w:w="1866" w:type="dxa"/>
            <w:vAlign w:val="center"/>
          </w:tcPr>
          <w:p w14:paraId="71E874B5">
            <w:pPr>
              <w:spacing w:line="560" w:lineRule="exact"/>
              <w:ind w:right="-272" w:rightChars="-80"/>
              <w:jc w:val="center"/>
              <w:rPr>
                <w:rFonts w:hint="eastAsia" w:ascii="宋体" w:hAnsi="宋体" w:eastAsia="宋体" w:cs="宋体"/>
                <w:color w:val="auto"/>
                <w:sz w:val="24"/>
              </w:rPr>
            </w:pPr>
          </w:p>
        </w:tc>
      </w:tr>
      <w:tr w14:paraId="5E98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3A7CA89">
            <w:pPr>
              <w:spacing w:line="560" w:lineRule="exact"/>
              <w:ind w:right="-272" w:rightChars="-80"/>
              <w:jc w:val="center"/>
              <w:rPr>
                <w:rFonts w:hint="eastAsia" w:ascii="宋体" w:hAnsi="宋体" w:eastAsia="宋体" w:cs="宋体"/>
                <w:color w:val="auto"/>
                <w:sz w:val="24"/>
              </w:rPr>
            </w:pPr>
          </w:p>
        </w:tc>
        <w:tc>
          <w:tcPr>
            <w:tcW w:w="3425" w:type="dxa"/>
            <w:vAlign w:val="center"/>
          </w:tcPr>
          <w:p w14:paraId="51CC1750">
            <w:pPr>
              <w:spacing w:line="560" w:lineRule="exact"/>
              <w:ind w:right="-272" w:rightChars="-80"/>
              <w:jc w:val="center"/>
              <w:rPr>
                <w:rFonts w:hint="eastAsia" w:ascii="宋体" w:hAnsi="宋体" w:eastAsia="宋体" w:cs="宋体"/>
                <w:color w:val="auto"/>
                <w:sz w:val="24"/>
              </w:rPr>
            </w:pPr>
          </w:p>
        </w:tc>
        <w:tc>
          <w:tcPr>
            <w:tcW w:w="2992" w:type="dxa"/>
            <w:vAlign w:val="center"/>
          </w:tcPr>
          <w:p w14:paraId="1E66C8DD">
            <w:pPr>
              <w:spacing w:line="560" w:lineRule="exact"/>
              <w:ind w:right="-272" w:rightChars="-80"/>
              <w:jc w:val="center"/>
              <w:rPr>
                <w:rFonts w:hint="eastAsia" w:ascii="宋体" w:hAnsi="宋体" w:eastAsia="宋体" w:cs="宋体"/>
                <w:color w:val="auto"/>
                <w:sz w:val="24"/>
              </w:rPr>
            </w:pPr>
          </w:p>
        </w:tc>
        <w:tc>
          <w:tcPr>
            <w:tcW w:w="1866" w:type="dxa"/>
            <w:vAlign w:val="center"/>
          </w:tcPr>
          <w:p w14:paraId="2F919B23">
            <w:pPr>
              <w:spacing w:line="560" w:lineRule="exact"/>
              <w:ind w:right="-272" w:rightChars="-80"/>
              <w:jc w:val="center"/>
              <w:rPr>
                <w:rFonts w:hint="eastAsia" w:ascii="宋体" w:hAnsi="宋体" w:eastAsia="宋体" w:cs="宋体"/>
                <w:color w:val="auto"/>
                <w:sz w:val="24"/>
              </w:rPr>
            </w:pPr>
          </w:p>
        </w:tc>
      </w:tr>
      <w:tr w14:paraId="121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1D84A52">
            <w:pPr>
              <w:spacing w:line="560" w:lineRule="exact"/>
              <w:ind w:right="-272" w:rightChars="-80"/>
              <w:jc w:val="center"/>
              <w:rPr>
                <w:rFonts w:hint="eastAsia" w:ascii="宋体" w:hAnsi="宋体" w:eastAsia="宋体" w:cs="宋体"/>
                <w:color w:val="auto"/>
                <w:sz w:val="24"/>
              </w:rPr>
            </w:pPr>
          </w:p>
        </w:tc>
        <w:tc>
          <w:tcPr>
            <w:tcW w:w="3425" w:type="dxa"/>
            <w:vAlign w:val="center"/>
          </w:tcPr>
          <w:p w14:paraId="4569D0C4">
            <w:pPr>
              <w:spacing w:line="560" w:lineRule="exact"/>
              <w:ind w:right="-272" w:rightChars="-80"/>
              <w:jc w:val="center"/>
              <w:rPr>
                <w:rFonts w:hint="eastAsia" w:ascii="宋体" w:hAnsi="宋体" w:eastAsia="宋体" w:cs="宋体"/>
                <w:color w:val="auto"/>
                <w:sz w:val="24"/>
              </w:rPr>
            </w:pPr>
          </w:p>
        </w:tc>
        <w:tc>
          <w:tcPr>
            <w:tcW w:w="2992" w:type="dxa"/>
            <w:vAlign w:val="center"/>
          </w:tcPr>
          <w:p w14:paraId="050C8F8A">
            <w:pPr>
              <w:spacing w:line="560" w:lineRule="exact"/>
              <w:ind w:right="-272" w:rightChars="-80"/>
              <w:jc w:val="center"/>
              <w:rPr>
                <w:rFonts w:hint="eastAsia" w:ascii="宋体" w:hAnsi="宋体" w:eastAsia="宋体" w:cs="宋体"/>
                <w:color w:val="auto"/>
                <w:sz w:val="24"/>
              </w:rPr>
            </w:pPr>
          </w:p>
        </w:tc>
        <w:tc>
          <w:tcPr>
            <w:tcW w:w="1866" w:type="dxa"/>
            <w:vAlign w:val="center"/>
          </w:tcPr>
          <w:p w14:paraId="3816978C">
            <w:pPr>
              <w:spacing w:line="560" w:lineRule="exact"/>
              <w:ind w:right="-272" w:rightChars="-80"/>
              <w:jc w:val="center"/>
              <w:rPr>
                <w:rFonts w:hint="eastAsia" w:ascii="宋体" w:hAnsi="宋体" w:eastAsia="宋体" w:cs="宋体"/>
                <w:color w:val="auto"/>
                <w:sz w:val="24"/>
              </w:rPr>
            </w:pPr>
          </w:p>
        </w:tc>
      </w:tr>
      <w:tr w14:paraId="609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2ECF69">
            <w:pPr>
              <w:spacing w:line="560" w:lineRule="exact"/>
              <w:ind w:right="-272" w:rightChars="-80"/>
              <w:jc w:val="center"/>
              <w:rPr>
                <w:rFonts w:hint="eastAsia" w:ascii="宋体" w:hAnsi="宋体" w:eastAsia="宋体" w:cs="宋体"/>
                <w:color w:val="auto"/>
                <w:sz w:val="24"/>
              </w:rPr>
            </w:pPr>
          </w:p>
        </w:tc>
        <w:tc>
          <w:tcPr>
            <w:tcW w:w="3425" w:type="dxa"/>
            <w:vAlign w:val="center"/>
          </w:tcPr>
          <w:p w14:paraId="6EEC657C">
            <w:pPr>
              <w:spacing w:line="560" w:lineRule="exact"/>
              <w:ind w:right="-272" w:rightChars="-80"/>
              <w:jc w:val="center"/>
              <w:rPr>
                <w:rFonts w:hint="eastAsia" w:ascii="宋体" w:hAnsi="宋体" w:eastAsia="宋体" w:cs="宋体"/>
                <w:color w:val="auto"/>
                <w:sz w:val="24"/>
              </w:rPr>
            </w:pPr>
          </w:p>
        </w:tc>
        <w:tc>
          <w:tcPr>
            <w:tcW w:w="2992" w:type="dxa"/>
            <w:vAlign w:val="center"/>
          </w:tcPr>
          <w:p w14:paraId="2433DAE1">
            <w:pPr>
              <w:spacing w:line="560" w:lineRule="exact"/>
              <w:ind w:right="-272" w:rightChars="-80"/>
              <w:jc w:val="center"/>
              <w:rPr>
                <w:rFonts w:hint="eastAsia" w:ascii="宋体" w:hAnsi="宋体" w:eastAsia="宋体" w:cs="宋体"/>
                <w:color w:val="auto"/>
                <w:sz w:val="24"/>
              </w:rPr>
            </w:pPr>
          </w:p>
        </w:tc>
        <w:tc>
          <w:tcPr>
            <w:tcW w:w="1866" w:type="dxa"/>
            <w:vAlign w:val="center"/>
          </w:tcPr>
          <w:p w14:paraId="117DFF62">
            <w:pPr>
              <w:spacing w:line="560" w:lineRule="exact"/>
              <w:ind w:right="-272" w:rightChars="-80"/>
              <w:jc w:val="center"/>
              <w:rPr>
                <w:rFonts w:hint="eastAsia" w:ascii="宋体" w:hAnsi="宋体" w:eastAsia="宋体" w:cs="宋体"/>
                <w:color w:val="auto"/>
                <w:sz w:val="24"/>
              </w:rPr>
            </w:pPr>
          </w:p>
        </w:tc>
      </w:tr>
      <w:tr w14:paraId="674B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A55CF97">
            <w:pPr>
              <w:spacing w:line="560" w:lineRule="exact"/>
              <w:ind w:right="-272" w:rightChars="-80"/>
              <w:jc w:val="center"/>
              <w:rPr>
                <w:rFonts w:hint="eastAsia" w:ascii="宋体" w:hAnsi="宋体" w:eastAsia="宋体" w:cs="宋体"/>
                <w:color w:val="auto"/>
                <w:sz w:val="24"/>
              </w:rPr>
            </w:pPr>
          </w:p>
        </w:tc>
        <w:tc>
          <w:tcPr>
            <w:tcW w:w="3425" w:type="dxa"/>
            <w:vAlign w:val="center"/>
          </w:tcPr>
          <w:p w14:paraId="036CF99C">
            <w:pPr>
              <w:spacing w:line="560" w:lineRule="exact"/>
              <w:ind w:right="-272" w:rightChars="-80"/>
              <w:jc w:val="center"/>
              <w:rPr>
                <w:rFonts w:hint="eastAsia" w:ascii="宋体" w:hAnsi="宋体" w:eastAsia="宋体" w:cs="宋体"/>
                <w:color w:val="auto"/>
                <w:sz w:val="24"/>
              </w:rPr>
            </w:pPr>
          </w:p>
        </w:tc>
        <w:tc>
          <w:tcPr>
            <w:tcW w:w="2992" w:type="dxa"/>
            <w:vAlign w:val="center"/>
          </w:tcPr>
          <w:p w14:paraId="4931F153">
            <w:pPr>
              <w:spacing w:line="560" w:lineRule="exact"/>
              <w:ind w:right="-272" w:rightChars="-80"/>
              <w:jc w:val="center"/>
              <w:rPr>
                <w:rFonts w:hint="eastAsia" w:ascii="宋体" w:hAnsi="宋体" w:eastAsia="宋体" w:cs="宋体"/>
                <w:color w:val="auto"/>
                <w:sz w:val="24"/>
              </w:rPr>
            </w:pPr>
          </w:p>
        </w:tc>
        <w:tc>
          <w:tcPr>
            <w:tcW w:w="1866" w:type="dxa"/>
            <w:vAlign w:val="center"/>
          </w:tcPr>
          <w:p w14:paraId="1DD3282D">
            <w:pPr>
              <w:spacing w:line="560" w:lineRule="exact"/>
              <w:ind w:right="-272" w:rightChars="-80"/>
              <w:jc w:val="center"/>
              <w:rPr>
                <w:rFonts w:hint="eastAsia" w:ascii="宋体" w:hAnsi="宋体" w:eastAsia="宋体" w:cs="宋体"/>
                <w:color w:val="auto"/>
                <w:sz w:val="24"/>
              </w:rPr>
            </w:pPr>
          </w:p>
        </w:tc>
      </w:tr>
      <w:tr w14:paraId="7DC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5EACDA8">
            <w:pPr>
              <w:spacing w:line="560" w:lineRule="exact"/>
              <w:ind w:right="-272" w:rightChars="-80"/>
              <w:jc w:val="center"/>
              <w:rPr>
                <w:rFonts w:hint="eastAsia" w:ascii="宋体" w:hAnsi="宋体" w:eastAsia="宋体" w:cs="宋体"/>
                <w:color w:val="auto"/>
                <w:sz w:val="24"/>
              </w:rPr>
            </w:pPr>
          </w:p>
        </w:tc>
        <w:tc>
          <w:tcPr>
            <w:tcW w:w="3425" w:type="dxa"/>
            <w:vAlign w:val="center"/>
          </w:tcPr>
          <w:p w14:paraId="5CBEDBB9">
            <w:pPr>
              <w:spacing w:line="560" w:lineRule="exact"/>
              <w:ind w:right="-272" w:rightChars="-80"/>
              <w:jc w:val="center"/>
              <w:rPr>
                <w:rFonts w:hint="eastAsia" w:ascii="宋体" w:hAnsi="宋体" w:eastAsia="宋体" w:cs="宋体"/>
                <w:color w:val="auto"/>
                <w:sz w:val="24"/>
              </w:rPr>
            </w:pPr>
          </w:p>
        </w:tc>
        <w:tc>
          <w:tcPr>
            <w:tcW w:w="2992" w:type="dxa"/>
            <w:vAlign w:val="center"/>
          </w:tcPr>
          <w:p w14:paraId="7FFFC620">
            <w:pPr>
              <w:spacing w:line="560" w:lineRule="exact"/>
              <w:ind w:right="-272" w:rightChars="-80"/>
              <w:jc w:val="center"/>
              <w:rPr>
                <w:rFonts w:hint="eastAsia" w:ascii="宋体" w:hAnsi="宋体" w:eastAsia="宋体" w:cs="宋体"/>
                <w:color w:val="auto"/>
                <w:sz w:val="24"/>
              </w:rPr>
            </w:pPr>
          </w:p>
        </w:tc>
        <w:tc>
          <w:tcPr>
            <w:tcW w:w="1866" w:type="dxa"/>
            <w:vAlign w:val="center"/>
          </w:tcPr>
          <w:p w14:paraId="2E2B752A">
            <w:pPr>
              <w:spacing w:line="560" w:lineRule="exact"/>
              <w:ind w:right="-272" w:rightChars="-80"/>
              <w:jc w:val="center"/>
              <w:rPr>
                <w:rFonts w:hint="eastAsia" w:ascii="宋体" w:hAnsi="宋体" w:eastAsia="宋体" w:cs="宋体"/>
                <w:color w:val="auto"/>
                <w:sz w:val="24"/>
              </w:rPr>
            </w:pPr>
          </w:p>
        </w:tc>
      </w:tr>
      <w:tr w14:paraId="107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8EB88AF">
            <w:pPr>
              <w:spacing w:line="560" w:lineRule="exact"/>
              <w:ind w:right="-272" w:rightChars="-80"/>
              <w:jc w:val="center"/>
              <w:rPr>
                <w:rFonts w:hint="eastAsia" w:ascii="宋体" w:hAnsi="宋体" w:eastAsia="宋体" w:cs="宋体"/>
                <w:color w:val="auto"/>
                <w:sz w:val="24"/>
              </w:rPr>
            </w:pPr>
          </w:p>
        </w:tc>
        <w:tc>
          <w:tcPr>
            <w:tcW w:w="3425" w:type="dxa"/>
            <w:vAlign w:val="center"/>
          </w:tcPr>
          <w:p w14:paraId="601B6238">
            <w:pPr>
              <w:spacing w:line="560" w:lineRule="exact"/>
              <w:ind w:right="-272" w:rightChars="-80"/>
              <w:jc w:val="center"/>
              <w:rPr>
                <w:rFonts w:hint="eastAsia" w:ascii="宋体" w:hAnsi="宋体" w:eastAsia="宋体" w:cs="宋体"/>
                <w:color w:val="auto"/>
                <w:sz w:val="24"/>
              </w:rPr>
            </w:pPr>
          </w:p>
        </w:tc>
        <w:tc>
          <w:tcPr>
            <w:tcW w:w="2992" w:type="dxa"/>
            <w:vAlign w:val="center"/>
          </w:tcPr>
          <w:p w14:paraId="2419B68A">
            <w:pPr>
              <w:spacing w:line="560" w:lineRule="exact"/>
              <w:ind w:right="-272" w:rightChars="-80"/>
              <w:jc w:val="center"/>
              <w:rPr>
                <w:rFonts w:hint="eastAsia" w:ascii="宋体" w:hAnsi="宋体" w:eastAsia="宋体" w:cs="宋体"/>
                <w:color w:val="auto"/>
                <w:sz w:val="24"/>
              </w:rPr>
            </w:pPr>
          </w:p>
        </w:tc>
        <w:tc>
          <w:tcPr>
            <w:tcW w:w="1866" w:type="dxa"/>
            <w:vAlign w:val="center"/>
          </w:tcPr>
          <w:p w14:paraId="63882098">
            <w:pPr>
              <w:spacing w:line="560" w:lineRule="exact"/>
              <w:ind w:right="-272" w:rightChars="-80"/>
              <w:jc w:val="center"/>
              <w:rPr>
                <w:rFonts w:hint="eastAsia" w:ascii="宋体" w:hAnsi="宋体" w:eastAsia="宋体" w:cs="宋体"/>
                <w:color w:val="auto"/>
                <w:sz w:val="24"/>
              </w:rPr>
            </w:pPr>
          </w:p>
        </w:tc>
      </w:tr>
      <w:tr w14:paraId="47A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C7976B">
            <w:pPr>
              <w:spacing w:line="560" w:lineRule="exact"/>
              <w:ind w:right="-272" w:rightChars="-80"/>
              <w:jc w:val="center"/>
              <w:rPr>
                <w:rFonts w:hint="eastAsia" w:ascii="宋体" w:hAnsi="宋体" w:eastAsia="宋体" w:cs="宋体"/>
                <w:color w:val="auto"/>
                <w:sz w:val="24"/>
              </w:rPr>
            </w:pPr>
          </w:p>
        </w:tc>
        <w:tc>
          <w:tcPr>
            <w:tcW w:w="3425" w:type="dxa"/>
            <w:vAlign w:val="center"/>
          </w:tcPr>
          <w:p w14:paraId="6C43D22A">
            <w:pPr>
              <w:spacing w:line="560" w:lineRule="exact"/>
              <w:ind w:right="-272" w:rightChars="-80"/>
              <w:jc w:val="center"/>
              <w:rPr>
                <w:rFonts w:hint="eastAsia" w:ascii="宋体" w:hAnsi="宋体" w:eastAsia="宋体" w:cs="宋体"/>
                <w:color w:val="auto"/>
                <w:sz w:val="24"/>
              </w:rPr>
            </w:pPr>
          </w:p>
        </w:tc>
        <w:tc>
          <w:tcPr>
            <w:tcW w:w="2992" w:type="dxa"/>
            <w:vAlign w:val="center"/>
          </w:tcPr>
          <w:p w14:paraId="2F7695EE">
            <w:pPr>
              <w:spacing w:line="560" w:lineRule="exact"/>
              <w:ind w:right="-272" w:rightChars="-80"/>
              <w:jc w:val="center"/>
              <w:rPr>
                <w:rFonts w:hint="eastAsia" w:ascii="宋体" w:hAnsi="宋体" w:eastAsia="宋体" w:cs="宋体"/>
                <w:color w:val="auto"/>
                <w:sz w:val="24"/>
              </w:rPr>
            </w:pPr>
          </w:p>
        </w:tc>
        <w:tc>
          <w:tcPr>
            <w:tcW w:w="1866" w:type="dxa"/>
            <w:vAlign w:val="center"/>
          </w:tcPr>
          <w:p w14:paraId="7F719E52">
            <w:pPr>
              <w:spacing w:line="560" w:lineRule="exact"/>
              <w:ind w:right="-272" w:rightChars="-80"/>
              <w:jc w:val="center"/>
              <w:rPr>
                <w:rFonts w:hint="eastAsia" w:ascii="宋体" w:hAnsi="宋体" w:eastAsia="宋体" w:cs="宋体"/>
                <w:color w:val="auto"/>
                <w:sz w:val="24"/>
              </w:rPr>
            </w:pPr>
          </w:p>
        </w:tc>
      </w:tr>
      <w:tr w14:paraId="3EEF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556998D">
            <w:pPr>
              <w:spacing w:line="560" w:lineRule="exact"/>
              <w:ind w:right="-272" w:rightChars="-80"/>
              <w:jc w:val="center"/>
              <w:rPr>
                <w:rFonts w:hint="eastAsia" w:ascii="宋体" w:hAnsi="宋体" w:eastAsia="宋体" w:cs="宋体"/>
                <w:color w:val="auto"/>
                <w:sz w:val="24"/>
              </w:rPr>
            </w:pPr>
          </w:p>
        </w:tc>
        <w:tc>
          <w:tcPr>
            <w:tcW w:w="3425" w:type="dxa"/>
            <w:vAlign w:val="center"/>
          </w:tcPr>
          <w:p w14:paraId="06C17E4D">
            <w:pPr>
              <w:spacing w:line="560" w:lineRule="exact"/>
              <w:ind w:right="-272" w:rightChars="-80"/>
              <w:jc w:val="center"/>
              <w:rPr>
                <w:rFonts w:hint="eastAsia" w:ascii="宋体" w:hAnsi="宋体" w:eastAsia="宋体" w:cs="宋体"/>
                <w:color w:val="auto"/>
                <w:sz w:val="24"/>
              </w:rPr>
            </w:pPr>
          </w:p>
        </w:tc>
        <w:tc>
          <w:tcPr>
            <w:tcW w:w="2992" w:type="dxa"/>
            <w:vAlign w:val="center"/>
          </w:tcPr>
          <w:p w14:paraId="4D4F62BB">
            <w:pPr>
              <w:spacing w:line="560" w:lineRule="exact"/>
              <w:ind w:right="-272" w:rightChars="-80"/>
              <w:jc w:val="center"/>
              <w:rPr>
                <w:rFonts w:hint="eastAsia" w:ascii="宋体" w:hAnsi="宋体" w:eastAsia="宋体" w:cs="宋体"/>
                <w:color w:val="auto"/>
                <w:sz w:val="24"/>
              </w:rPr>
            </w:pPr>
          </w:p>
        </w:tc>
        <w:tc>
          <w:tcPr>
            <w:tcW w:w="1866" w:type="dxa"/>
            <w:vAlign w:val="center"/>
          </w:tcPr>
          <w:p w14:paraId="57ACD333">
            <w:pPr>
              <w:spacing w:line="560" w:lineRule="exact"/>
              <w:ind w:right="-272" w:rightChars="-80"/>
              <w:jc w:val="center"/>
              <w:rPr>
                <w:rFonts w:hint="eastAsia" w:ascii="宋体" w:hAnsi="宋体" w:eastAsia="宋体" w:cs="宋体"/>
                <w:color w:val="auto"/>
                <w:sz w:val="24"/>
              </w:rPr>
            </w:pPr>
          </w:p>
        </w:tc>
      </w:tr>
      <w:tr w14:paraId="13DA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033DB80B">
            <w:pPr>
              <w:spacing w:line="560" w:lineRule="exact"/>
              <w:ind w:right="-272" w:rightChars="-80"/>
              <w:jc w:val="center"/>
              <w:rPr>
                <w:rFonts w:hint="eastAsia" w:ascii="宋体" w:hAnsi="宋体" w:eastAsia="宋体" w:cs="宋体"/>
                <w:color w:val="auto"/>
                <w:sz w:val="24"/>
              </w:rPr>
            </w:pPr>
          </w:p>
        </w:tc>
        <w:tc>
          <w:tcPr>
            <w:tcW w:w="3425" w:type="dxa"/>
            <w:vAlign w:val="center"/>
          </w:tcPr>
          <w:p w14:paraId="06A221C8">
            <w:pPr>
              <w:spacing w:line="560" w:lineRule="exact"/>
              <w:ind w:right="-272" w:rightChars="-80"/>
              <w:jc w:val="center"/>
              <w:rPr>
                <w:rFonts w:hint="eastAsia" w:ascii="宋体" w:hAnsi="宋体" w:eastAsia="宋体" w:cs="宋体"/>
                <w:color w:val="auto"/>
                <w:sz w:val="24"/>
              </w:rPr>
            </w:pPr>
          </w:p>
        </w:tc>
        <w:tc>
          <w:tcPr>
            <w:tcW w:w="2992" w:type="dxa"/>
            <w:vAlign w:val="center"/>
          </w:tcPr>
          <w:p w14:paraId="0BE4859F">
            <w:pPr>
              <w:spacing w:line="560" w:lineRule="exact"/>
              <w:ind w:right="-272" w:rightChars="-80"/>
              <w:jc w:val="center"/>
              <w:rPr>
                <w:rFonts w:hint="eastAsia" w:ascii="宋体" w:hAnsi="宋体" w:eastAsia="宋体" w:cs="宋体"/>
                <w:color w:val="auto"/>
                <w:sz w:val="24"/>
              </w:rPr>
            </w:pPr>
          </w:p>
        </w:tc>
        <w:tc>
          <w:tcPr>
            <w:tcW w:w="1866" w:type="dxa"/>
            <w:vAlign w:val="center"/>
          </w:tcPr>
          <w:p w14:paraId="4A3052B9">
            <w:pPr>
              <w:spacing w:line="560" w:lineRule="exact"/>
              <w:ind w:right="-272" w:rightChars="-80"/>
              <w:jc w:val="center"/>
              <w:rPr>
                <w:rFonts w:hint="eastAsia" w:ascii="宋体" w:hAnsi="宋体" w:eastAsia="宋体" w:cs="宋体"/>
                <w:color w:val="auto"/>
                <w:sz w:val="24"/>
              </w:rPr>
            </w:pPr>
          </w:p>
        </w:tc>
      </w:tr>
      <w:tr w14:paraId="3D46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C2915D3">
            <w:pPr>
              <w:spacing w:line="560" w:lineRule="exact"/>
              <w:ind w:right="-272" w:rightChars="-80"/>
              <w:jc w:val="center"/>
              <w:rPr>
                <w:rFonts w:hint="eastAsia" w:ascii="宋体" w:hAnsi="宋体" w:eastAsia="宋体" w:cs="宋体"/>
                <w:color w:val="auto"/>
                <w:sz w:val="24"/>
              </w:rPr>
            </w:pPr>
          </w:p>
        </w:tc>
        <w:tc>
          <w:tcPr>
            <w:tcW w:w="3425" w:type="dxa"/>
            <w:vAlign w:val="center"/>
          </w:tcPr>
          <w:p w14:paraId="5B96AD1E">
            <w:pPr>
              <w:spacing w:line="560" w:lineRule="exact"/>
              <w:ind w:right="-272" w:rightChars="-80"/>
              <w:jc w:val="center"/>
              <w:rPr>
                <w:rFonts w:hint="eastAsia" w:ascii="宋体" w:hAnsi="宋体" w:eastAsia="宋体" w:cs="宋体"/>
                <w:color w:val="auto"/>
                <w:sz w:val="24"/>
              </w:rPr>
            </w:pPr>
          </w:p>
        </w:tc>
        <w:tc>
          <w:tcPr>
            <w:tcW w:w="2992" w:type="dxa"/>
            <w:vAlign w:val="center"/>
          </w:tcPr>
          <w:p w14:paraId="06F56034">
            <w:pPr>
              <w:spacing w:line="560" w:lineRule="exact"/>
              <w:ind w:right="-272" w:rightChars="-80"/>
              <w:jc w:val="center"/>
              <w:rPr>
                <w:rFonts w:hint="eastAsia" w:ascii="宋体" w:hAnsi="宋体" w:eastAsia="宋体" w:cs="宋体"/>
                <w:color w:val="auto"/>
                <w:sz w:val="24"/>
              </w:rPr>
            </w:pPr>
          </w:p>
        </w:tc>
        <w:tc>
          <w:tcPr>
            <w:tcW w:w="1866" w:type="dxa"/>
            <w:vAlign w:val="center"/>
          </w:tcPr>
          <w:p w14:paraId="40D143C2">
            <w:pPr>
              <w:spacing w:line="560" w:lineRule="exact"/>
              <w:ind w:right="-272" w:rightChars="-80"/>
              <w:jc w:val="center"/>
              <w:rPr>
                <w:rFonts w:hint="eastAsia" w:ascii="宋体" w:hAnsi="宋体" w:eastAsia="宋体" w:cs="宋体"/>
                <w:color w:val="auto"/>
                <w:sz w:val="24"/>
              </w:rPr>
            </w:pPr>
          </w:p>
        </w:tc>
      </w:tr>
    </w:tbl>
    <w:p w14:paraId="6161C0C1">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说明：</w:t>
      </w:r>
    </w:p>
    <w:p w14:paraId="4D60D2DB">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1、按照招标文件中第三章“拟签订合同主要条款”商务条款须如实填写（包括提供服务的时间、地点、</w:t>
      </w:r>
      <w:r>
        <w:rPr>
          <w:rFonts w:hint="eastAsia" w:hAnsi="宋体" w:cs="宋体"/>
          <w:color w:val="auto"/>
          <w:sz w:val="24"/>
          <w:lang w:val="en-US" w:eastAsia="zh-CN"/>
        </w:rPr>
        <w:t>付款</w:t>
      </w:r>
      <w:r>
        <w:rPr>
          <w:rFonts w:hint="eastAsia" w:ascii="宋体" w:hAnsi="宋体" w:eastAsia="宋体" w:cs="宋体"/>
          <w:color w:val="auto"/>
          <w:sz w:val="24"/>
        </w:rPr>
        <w:t>方式等）。</w:t>
      </w:r>
    </w:p>
    <w:p w14:paraId="30FCCE87">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2、响应说明填写：优于、相同、低于。</w:t>
      </w:r>
    </w:p>
    <w:p w14:paraId="1CD4C770">
      <w:pPr>
        <w:pStyle w:val="13"/>
        <w:rPr>
          <w:rFonts w:hint="eastAsia" w:ascii="宋体" w:hAnsi="宋体" w:eastAsia="宋体" w:cs="宋体"/>
          <w:color w:val="auto"/>
          <w:sz w:val="24"/>
        </w:rPr>
      </w:pPr>
    </w:p>
    <w:p w14:paraId="18B3021A">
      <w:pPr>
        <w:pStyle w:val="13"/>
        <w:rPr>
          <w:rFonts w:hint="eastAsia" w:ascii="宋体" w:hAnsi="宋体" w:eastAsia="宋体" w:cs="宋体"/>
          <w:color w:val="auto"/>
          <w:sz w:val="24"/>
          <w:szCs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25F59CA6">
      <w:pPr>
        <w:pStyle w:val="1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DD09CB6">
      <w:pPr>
        <w:pStyle w:val="13"/>
        <w:rPr>
          <w:rFonts w:hint="eastAsia" w:ascii="宋体" w:hAnsi="宋体" w:eastAsia="宋体" w:cs="宋体"/>
          <w:color w:val="auto"/>
          <w:sz w:val="24"/>
          <w:szCs w:val="24"/>
        </w:rPr>
      </w:pPr>
    </w:p>
    <w:p w14:paraId="6A6C5C54">
      <w:pPr>
        <w:pStyle w:val="13"/>
        <w:rPr>
          <w:rFonts w:hint="eastAsia" w:ascii="宋体" w:hAnsi="宋体" w:eastAsia="宋体" w:cs="宋体"/>
          <w:color w:val="auto"/>
          <w:sz w:val="24"/>
          <w:szCs w:val="24"/>
        </w:rPr>
      </w:pPr>
      <w:r>
        <w:rPr>
          <w:rFonts w:hint="eastAsia" w:ascii="宋体" w:hAnsi="宋体" w:eastAsia="宋体" w:cs="宋体"/>
          <w:color w:val="auto"/>
          <w:sz w:val="24"/>
        </w:rPr>
        <w:t xml:space="preserve">法定代表人或被授权人（签字或盖章）：  </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741456FE">
      <w:pPr>
        <w:pStyle w:val="13"/>
        <w:rPr>
          <w:rFonts w:hint="eastAsia" w:ascii="宋体" w:hAnsi="宋体" w:eastAsia="宋体" w:cs="宋体"/>
          <w:color w:val="auto"/>
          <w:sz w:val="24"/>
          <w:szCs w:val="24"/>
        </w:rPr>
      </w:pPr>
    </w:p>
    <w:p w14:paraId="7EF85139">
      <w:pPr>
        <w:pStyle w:val="13"/>
        <w:rPr>
          <w:rFonts w:hint="eastAsia" w:ascii="宋体" w:hAnsi="宋体" w:eastAsia="宋体" w:cs="宋体"/>
          <w:color w:val="auto"/>
          <w:sz w:val="24"/>
          <w:szCs w:val="24"/>
        </w:rPr>
      </w:pPr>
    </w:p>
    <w:p w14:paraId="3BEFEFC7">
      <w:pPr>
        <w:pStyle w:val="13"/>
        <w:rPr>
          <w:rFonts w:hint="eastAsia" w:ascii="宋体" w:hAnsi="宋体" w:eastAsia="宋体" w:cs="宋体"/>
          <w:color w:val="auto"/>
          <w:sz w:val="24"/>
          <w:szCs w:val="24"/>
        </w:rPr>
      </w:pPr>
    </w:p>
    <w:p w14:paraId="354AC9A4">
      <w:pPr>
        <w:pStyle w:val="13"/>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szCs w:val="24"/>
        </w:rPr>
        <w:t xml:space="preserve">            </w:t>
      </w:r>
    </w:p>
    <w:p w14:paraId="4099EF44">
      <w:pPr>
        <w:numPr>
          <w:ilvl w:val="0"/>
          <w:numId w:val="4"/>
        </w:numPr>
        <w:jc w:val="center"/>
        <w:rPr>
          <w:rFonts w:hint="eastAsia" w:ascii="宋体" w:hAnsi="宋体" w:eastAsia="宋体" w:cs="宋体"/>
          <w:color w:val="auto"/>
        </w:rPr>
      </w:pPr>
      <w:r>
        <w:rPr>
          <w:rFonts w:hint="eastAsia" w:ascii="宋体" w:hAnsi="宋体" w:eastAsia="宋体" w:cs="宋体"/>
          <w:b/>
          <w:color w:val="auto"/>
          <w:sz w:val="32"/>
          <w:szCs w:val="32"/>
        </w:rPr>
        <w:t>法定代表人授权委托书</w:t>
      </w:r>
    </w:p>
    <w:p w14:paraId="7EB07073">
      <w:pPr>
        <w:pStyle w:val="9"/>
        <w:rPr>
          <w:rFonts w:hint="eastAsia" w:ascii="宋体" w:hAnsi="宋体" w:eastAsia="宋体" w:cs="宋体"/>
          <w:color w:val="auto"/>
        </w:rPr>
      </w:pPr>
    </w:p>
    <w:p w14:paraId="02678B21">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63FCB6A9">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的投标，以本公司名义处理一切与之有关的事务。</w:t>
      </w:r>
    </w:p>
    <w:p w14:paraId="73145F00">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0526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25D8E898">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6C962664">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vAlign w:val="center"/>
          </w:tcPr>
          <w:p w14:paraId="0214063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72C6E6B5">
            <w:pPr>
              <w:pStyle w:val="17"/>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0B0B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1084F38D">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p>
        </w:tc>
        <w:tc>
          <w:tcPr>
            <w:tcW w:w="4433" w:type="dxa"/>
            <w:vAlign w:val="center"/>
          </w:tcPr>
          <w:p w14:paraId="2CC0087A">
            <w:pPr>
              <w:pBdr>
                <w:top w:val="none" w:color="auto" w:sz="0" w:space="1"/>
                <w:left w:val="none" w:color="auto" w:sz="0" w:space="4"/>
                <w:bottom w:val="none" w:color="auto" w:sz="0" w:space="1"/>
                <w:right w:val="none" w:color="auto" w:sz="0" w:space="4"/>
              </w:pBd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6799119F">
            <w:pPr>
              <w:pBdr>
                <w:top w:val="none" w:color="auto" w:sz="0" w:space="1"/>
                <w:left w:val="none" w:color="auto" w:sz="0" w:space="4"/>
                <w:bottom w:val="none" w:color="auto" w:sz="0" w:space="1"/>
                <w:right w:val="none" w:color="auto" w:sz="0" w:space="4"/>
              </w:pBd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4BB19270">
      <w:pPr>
        <w:pBdr>
          <w:top w:val="none" w:color="auto" w:sz="0" w:space="1"/>
          <w:left w:val="none" w:color="auto" w:sz="0" w:space="4"/>
          <w:bottom w:val="none" w:color="auto" w:sz="0" w:space="1"/>
          <w:right w:val="none" w:color="auto" w:sz="0" w:space="4"/>
        </w:pBdr>
        <w:autoSpaceDE w:val="0"/>
        <w:autoSpaceDN w:val="0"/>
        <w:rPr>
          <w:rFonts w:hint="eastAsia" w:ascii="宋体" w:hAnsi="宋体" w:eastAsia="宋体" w:cs="宋体"/>
          <w:color w:val="auto"/>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C74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7CAB129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F51D080">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vAlign w:val="center"/>
          </w:tcPr>
          <w:p w14:paraId="5D9B166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EFF420F">
            <w:pPr>
              <w:pStyle w:val="17"/>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767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43EFF54B">
            <w:pPr>
              <w:pStyle w:val="17"/>
              <w:pBdr>
                <w:top w:val="none" w:color="auto" w:sz="0" w:space="1"/>
                <w:left w:val="none" w:color="auto" w:sz="0" w:space="4"/>
                <w:bottom w:val="none" w:color="auto" w:sz="0" w:space="1"/>
                <w:right w:val="none" w:color="auto" w:sz="0" w:space="4"/>
              </w:pBdr>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vAlign w:val="center"/>
          </w:tcPr>
          <w:p w14:paraId="349CD3B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3084C0C">
      <w:pPr>
        <w:pStyle w:val="13"/>
        <w:pBdr>
          <w:top w:val="none" w:color="auto" w:sz="0" w:space="1"/>
          <w:left w:val="none" w:color="auto" w:sz="0" w:space="4"/>
          <w:bottom w:val="none" w:color="auto" w:sz="0" w:space="1"/>
          <w:right w:val="none" w:color="auto" w:sz="0" w:space="4"/>
        </w:pBdr>
        <w:spacing w:line="500" w:lineRule="exact"/>
        <w:rPr>
          <w:rFonts w:hint="eastAsia" w:ascii="宋体" w:hAnsi="宋体" w:eastAsia="宋体" w:cs="宋体"/>
          <w:b/>
          <w:color w:val="auto"/>
          <w:sz w:val="32"/>
          <w:szCs w:val="32"/>
        </w:rPr>
      </w:pPr>
      <w:r>
        <w:rPr>
          <w:rFonts w:hint="eastAsia" w:ascii="宋体" w:hAnsi="宋体" w:eastAsia="宋体" w:cs="宋体"/>
          <w:color w:val="auto"/>
          <w:sz w:val="24"/>
          <w:szCs w:val="24"/>
        </w:rPr>
        <w:t>注：授权书内容填写要明确，文字要工整清楚，涂改无效。</w:t>
      </w:r>
    </w:p>
    <w:p w14:paraId="7640AA2B">
      <w:pPr>
        <w:tabs>
          <w:tab w:val="left" w:pos="210"/>
        </w:tabs>
        <w:spacing w:line="320" w:lineRule="exact"/>
        <w:jc w:val="center"/>
        <w:rPr>
          <w:rFonts w:hint="eastAsia" w:ascii="宋体" w:hAnsi="宋体" w:eastAsia="宋体" w:cs="宋体"/>
          <w:b/>
          <w:color w:val="auto"/>
          <w:sz w:val="32"/>
          <w:szCs w:val="32"/>
        </w:rPr>
      </w:pPr>
    </w:p>
    <w:p w14:paraId="6A16470C">
      <w:pPr>
        <w:tabs>
          <w:tab w:val="left" w:pos="210"/>
        </w:tabs>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法定代表人证明书</w:t>
      </w:r>
    </w:p>
    <w:p w14:paraId="1C74438C">
      <w:pPr>
        <w:tabs>
          <w:tab w:val="left" w:pos="210"/>
        </w:tabs>
        <w:spacing w:line="320" w:lineRule="exact"/>
        <w:jc w:val="center"/>
        <w:rPr>
          <w:rFonts w:hint="eastAsia" w:ascii="宋体" w:hAnsi="宋体" w:eastAsia="宋体" w:cs="宋体"/>
          <w:b/>
          <w:color w:val="auto"/>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D53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36AA0F0D">
            <w:pPr>
              <w:tabs>
                <w:tab w:val="left" w:pos="210"/>
              </w:tabs>
              <w:spacing w:line="320" w:lineRule="exact"/>
              <w:rPr>
                <w:rFonts w:hint="eastAsia" w:ascii="宋体" w:hAnsi="宋体" w:eastAsia="宋体" w:cs="宋体"/>
                <w:color w:val="auto"/>
                <w:sz w:val="24"/>
              </w:rPr>
            </w:pPr>
            <w:r>
              <w:rPr>
                <w:rFonts w:hint="eastAsia" w:ascii="宋体" w:hAnsi="宋体" w:eastAsia="宋体" w:cs="宋体"/>
                <w:color w:val="auto"/>
                <w:sz w:val="24"/>
              </w:rPr>
              <w:t>致：陕西悦嘉冠宏项目管理有限公司</w:t>
            </w:r>
          </w:p>
        </w:tc>
      </w:tr>
      <w:tr w14:paraId="0C3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339CE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w:t>
            </w:r>
          </w:p>
          <w:p w14:paraId="3602E027">
            <w:pPr>
              <w:tabs>
                <w:tab w:val="left" w:pos="210"/>
              </w:tabs>
              <w:spacing w:line="320" w:lineRule="exact"/>
              <w:jc w:val="center"/>
              <w:rPr>
                <w:rFonts w:hint="eastAsia" w:ascii="宋体" w:hAnsi="宋体" w:eastAsia="宋体" w:cs="宋体"/>
                <w:color w:val="auto"/>
                <w:sz w:val="24"/>
              </w:rPr>
            </w:pPr>
          </w:p>
          <w:p w14:paraId="315AB3F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业</w:t>
            </w:r>
          </w:p>
          <w:p w14:paraId="22A41739">
            <w:pPr>
              <w:tabs>
                <w:tab w:val="left" w:pos="210"/>
              </w:tabs>
              <w:spacing w:line="320" w:lineRule="exact"/>
              <w:jc w:val="center"/>
              <w:rPr>
                <w:rFonts w:hint="eastAsia" w:ascii="宋体" w:hAnsi="宋体" w:eastAsia="宋体" w:cs="宋体"/>
                <w:color w:val="auto"/>
                <w:sz w:val="24"/>
              </w:rPr>
            </w:pPr>
          </w:p>
          <w:p w14:paraId="66D76B6E">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w:t>
            </w:r>
          </w:p>
          <w:p w14:paraId="0F55CBBB">
            <w:pPr>
              <w:tabs>
                <w:tab w:val="left" w:pos="210"/>
              </w:tabs>
              <w:spacing w:line="320" w:lineRule="exact"/>
              <w:jc w:val="center"/>
              <w:rPr>
                <w:rFonts w:hint="eastAsia" w:ascii="宋体" w:hAnsi="宋体" w:eastAsia="宋体" w:cs="宋体"/>
                <w:color w:val="auto"/>
                <w:sz w:val="24"/>
              </w:rPr>
            </w:pPr>
          </w:p>
          <w:p w14:paraId="2A144A7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人</w:t>
            </w:r>
          </w:p>
        </w:tc>
        <w:tc>
          <w:tcPr>
            <w:tcW w:w="2064" w:type="dxa"/>
            <w:vAlign w:val="center"/>
          </w:tcPr>
          <w:p w14:paraId="0FC6A298">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企业名称</w:t>
            </w:r>
          </w:p>
        </w:tc>
        <w:tc>
          <w:tcPr>
            <w:tcW w:w="6356" w:type="dxa"/>
            <w:gridSpan w:val="4"/>
            <w:vAlign w:val="center"/>
          </w:tcPr>
          <w:p w14:paraId="0F0BAEC2">
            <w:pPr>
              <w:tabs>
                <w:tab w:val="left" w:pos="210"/>
              </w:tabs>
              <w:spacing w:line="320" w:lineRule="exact"/>
              <w:jc w:val="center"/>
              <w:rPr>
                <w:rFonts w:hint="eastAsia" w:ascii="宋体" w:hAnsi="宋体" w:eastAsia="宋体" w:cs="宋体"/>
                <w:color w:val="auto"/>
                <w:sz w:val="24"/>
              </w:rPr>
            </w:pPr>
          </w:p>
        </w:tc>
      </w:tr>
      <w:tr w14:paraId="585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36D6CC93">
            <w:pPr>
              <w:tabs>
                <w:tab w:val="left" w:pos="210"/>
              </w:tabs>
              <w:spacing w:line="320" w:lineRule="exact"/>
              <w:jc w:val="center"/>
              <w:rPr>
                <w:rFonts w:hint="eastAsia" w:ascii="宋体" w:hAnsi="宋体" w:eastAsia="宋体" w:cs="宋体"/>
                <w:color w:val="auto"/>
                <w:sz w:val="24"/>
              </w:rPr>
            </w:pPr>
          </w:p>
        </w:tc>
        <w:tc>
          <w:tcPr>
            <w:tcW w:w="2064" w:type="dxa"/>
            <w:vAlign w:val="center"/>
          </w:tcPr>
          <w:p w14:paraId="3C9153B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法定地址</w:t>
            </w:r>
          </w:p>
        </w:tc>
        <w:tc>
          <w:tcPr>
            <w:tcW w:w="6356" w:type="dxa"/>
            <w:gridSpan w:val="4"/>
            <w:vAlign w:val="center"/>
          </w:tcPr>
          <w:p w14:paraId="7B865E22">
            <w:pPr>
              <w:tabs>
                <w:tab w:val="left" w:pos="210"/>
              </w:tabs>
              <w:spacing w:line="320" w:lineRule="exact"/>
              <w:jc w:val="center"/>
              <w:rPr>
                <w:rFonts w:hint="eastAsia" w:ascii="宋体" w:hAnsi="宋体" w:eastAsia="宋体" w:cs="宋体"/>
                <w:color w:val="auto"/>
                <w:sz w:val="24"/>
              </w:rPr>
            </w:pPr>
          </w:p>
        </w:tc>
      </w:tr>
      <w:tr w14:paraId="2C0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87BDFB4">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A34550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6356" w:type="dxa"/>
            <w:gridSpan w:val="4"/>
            <w:vAlign w:val="center"/>
          </w:tcPr>
          <w:p w14:paraId="4673E880">
            <w:pPr>
              <w:tabs>
                <w:tab w:val="left" w:pos="210"/>
              </w:tabs>
              <w:spacing w:line="320" w:lineRule="exact"/>
              <w:jc w:val="center"/>
              <w:rPr>
                <w:rFonts w:hint="eastAsia" w:ascii="宋体" w:hAnsi="宋体" w:eastAsia="宋体" w:cs="宋体"/>
                <w:color w:val="auto"/>
                <w:sz w:val="24"/>
              </w:rPr>
            </w:pPr>
          </w:p>
        </w:tc>
      </w:tr>
      <w:tr w14:paraId="11E7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2F8C4F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6C0892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工商登记机关</w:t>
            </w:r>
          </w:p>
        </w:tc>
        <w:tc>
          <w:tcPr>
            <w:tcW w:w="6356" w:type="dxa"/>
            <w:gridSpan w:val="4"/>
            <w:vAlign w:val="center"/>
          </w:tcPr>
          <w:p w14:paraId="37A1C6B2">
            <w:pPr>
              <w:tabs>
                <w:tab w:val="left" w:pos="210"/>
              </w:tabs>
              <w:spacing w:line="320" w:lineRule="exact"/>
              <w:jc w:val="center"/>
              <w:rPr>
                <w:rFonts w:hint="eastAsia" w:ascii="宋体" w:hAnsi="宋体" w:eastAsia="宋体" w:cs="宋体"/>
                <w:color w:val="auto"/>
                <w:sz w:val="24"/>
              </w:rPr>
            </w:pPr>
          </w:p>
        </w:tc>
      </w:tr>
      <w:tr w14:paraId="1F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1EE2E04E">
            <w:pPr>
              <w:tabs>
                <w:tab w:val="left" w:pos="210"/>
              </w:tabs>
              <w:spacing w:line="320" w:lineRule="exact"/>
              <w:jc w:val="center"/>
              <w:rPr>
                <w:rFonts w:hint="eastAsia" w:ascii="宋体" w:hAnsi="宋体" w:eastAsia="宋体" w:cs="宋体"/>
                <w:color w:val="auto"/>
                <w:sz w:val="24"/>
              </w:rPr>
            </w:pPr>
          </w:p>
        </w:tc>
        <w:tc>
          <w:tcPr>
            <w:tcW w:w="2064" w:type="dxa"/>
            <w:vAlign w:val="center"/>
          </w:tcPr>
          <w:p w14:paraId="2ACA4FA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税务登记机关</w:t>
            </w:r>
          </w:p>
        </w:tc>
        <w:tc>
          <w:tcPr>
            <w:tcW w:w="6356" w:type="dxa"/>
            <w:gridSpan w:val="4"/>
            <w:vAlign w:val="center"/>
          </w:tcPr>
          <w:p w14:paraId="623855E0">
            <w:pPr>
              <w:tabs>
                <w:tab w:val="left" w:pos="210"/>
              </w:tabs>
              <w:spacing w:line="320" w:lineRule="exact"/>
              <w:rPr>
                <w:rFonts w:hint="eastAsia" w:ascii="宋体" w:hAnsi="宋体" w:eastAsia="宋体" w:cs="宋体"/>
                <w:color w:val="auto"/>
                <w:sz w:val="24"/>
              </w:rPr>
            </w:pPr>
          </w:p>
        </w:tc>
      </w:tr>
      <w:tr w14:paraId="6E8C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3B4F2CB">
            <w:pPr>
              <w:tabs>
                <w:tab w:val="left" w:pos="210"/>
              </w:tabs>
              <w:spacing w:line="320" w:lineRule="exact"/>
              <w:jc w:val="center"/>
              <w:rPr>
                <w:rFonts w:hint="eastAsia" w:ascii="宋体" w:hAnsi="宋体" w:eastAsia="宋体" w:cs="宋体"/>
                <w:color w:val="auto"/>
                <w:sz w:val="24"/>
              </w:rPr>
            </w:pPr>
          </w:p>
        </w:tc>
        <w:tc>
          <w:tcPr>
            <w:tcW w:w="2064" w:type="dxa"/>
            <w:vAlign w:val="center"/>
          </w:tcPr>
          <w:p w14:paraId="5B1A1EB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信用代码证号</w:t>
            </w:r>
          </w:p>
        </w:tc>
        <w:tc>
          <w:tcPr>
            <w:tcW w:w="6356" w:type="dxa"/>
            <w:gridSpan w:val="4"/>
            <w:vAlign w:val="center"/>
          </w:tcPr>
          <w:p w14:paraId="5E24BB6E">
            <w:pPr>
              <w:tabs>
                <w:tab w:val="left" w:pos="210"/>
              </w:tabs>
              <w:spacing w:line="320" w:lineRule="exact"/>
              <w:jc w:val="center"/>
              <w:rPr>
                <w:rFonts w:hint="eastAsia" w:ascii="宋体" w:hAnsi="宋体" w:eastAsia="宋体" w:cs="宋体"/>
                <w:color w:val="auto"/>
                <w:sz w:val="24"/>
              </w:rPr>
            </w:pPr>
          </w:p>
        </w:tc>
      </w:tr>
      <w:tr w14:paraId="6B6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38E8863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064" w:type="dxa"/>
            <w:vAlign w:val="center"/>
          </w:tcPr>
          <w:p w14:paraId="0B1D1FC9">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2235" w:type="dxa"/>
            <w:gridSpan w:val="2"/>
            <w:vAlign w:val="center"/>
          </w:tcPr>
          <w:p w14:paraId="694FDCD0">
            <w:pPr>
              <w:tabs>
                <w:tab w:val="left" w:pos="210"/>
              </w:tabs>
              <w:spacing w:line="320" w:lineRule="exact"/>
              <w:jc w:val="center"/>
              <w:rPr>
                <w:rFonts w:hint="eastAsia" w:ascii="宋体" w:hAnsi="宋体" w:eastAsia="宋体" w:cs="宋体"/>
                <w:color w:val="auto"/>
                <w:sz w:val="24"/>
              </w:rPr>
            </w:pPr>
          </w:p>
        </w:tc>
        <w:tc>
          <w:tcPr>
            <w:tcW w:w="2059" w:type="dxa"/>
            <w:vAlign w:val="center"/>
          </w:tcPr>
          <w:p w14:paraId="522F93C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2062" w:type="dxa"/>
            <w:vAlign w:val="center"/>
          </w:tcPr>
          <w:p w14:paraId="09279310">
            <w:pPr>
              <w:tabs>
                <w:tab w:val="left" w:pos="210"/>
              </w:tabs>
              <w:spacing w:line="320" w:lineRule="exact"/>
              <w:jc w:val="center"/>
              <w:rPr>
                <w:rFonts w:hint="eastAsia" w:ascii="宋体" w:hAnsi="宋体" w:eastAsia="宋体" w:cs="宋体"/>
                <w:color w:val="auto"/>
                <w:sz w:val="24"/>
              </w:rPr>
            </w:pPr>
          </w:p>
        </w:tc>
      </w:tr>
      <w:tr w14:paraId="620B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7C253AA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7EAF01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2235" w:type="dxa"/>
            <w:gridSpan w:val="2"/>
            <w:vAlign w:val="center"/>
          </w:tcPr>
          <w:p w14:paraId="5C472CE6">
            <w:pPr>
              <w:tabs>
                <w:tab w:val="left" w:pos="210"/>
              </w:tabs>
              <w:spacing w:line="320" w:lineRule="exact"/>
              <w:jc w:val="center"/>
              <w:rPr>
                <w:rFonts w:hint="eastAsia" w:ascii="宋体" w:hAnsi="宋体" w:eastAsia="宋体" w:cs="宋体"/>
                <w:color w:val="auto"/>
                <w:sz w:val="24"/>
              </w:rPr>
            </w:pPr>
          </w:p>
        </w:tc>
        <w:tc>
          <w:tcPr>
            <w:tcW w:w="2059" w:type="dxa"/>
            <w:vAlign w:val="center"/>
          </w:tcPr>
          <w:p w14:paraId="43CBE89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062" w:type="dxa"/>
            <w:vAlign w:val="center"/>
          </w:tcPr>
          <w:p w14:paraId="3C5259DB">
            <w:pPr>
              <w:tabs>
                <w:tab w:val="left" w:pos="210"/>
              </w:tabs>
              <w:spacing w:line="320" w:lineRule="exact"/>
              <w:jc w:val="center"/>
              <w:rPr>
                <w:rFonts w:hint="eastAsia" w:ascii="宋体" w:hAnsi="宋体" w:eastAsia="宋体" w:cs="宋体"/>
                <w:color w:val="auto"/>
                <w:sz w:val="24"/>
              </w:rPr>
            </w:pPr>
          </w:p>
        </w:tc>
      </w:tr>
      <w:tr w14:paraId="7016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62149D0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EC44157">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传真</w:t>
            </w:r>
          </w:p>
        </w:tc>
        <w:tc>
          <w:tcPr>
            <w:tcW w:w="6356" w:type="dxa"/>
            <w:gridSpan w:val="4"/>
            <w:vAlign w:val="center"/>
          </w:tcPr>
          <w:p w14:paraId="25BF5108">
            <w:pPr>
              <w:tabs>
                <w:tab w:val="left" w:pos="210"/>
              </w:tabs>
              <w:spacing w:line="320" w:lineRule="exact"/>
              <w:jc w:val="center"/>
              <w:rPr>
                <w:rFonts w:hint="eastAsia" w:ascii="宋体" w:hAnsi="宋体" w:eastAsia="宋体" w:cs="宋体"/>
                <w:color w:val="auto"/>
                <w:sz w:val="24"/>
              </w:rPr>
            </w:pPr>
          </w:p>
        </w:tc>
      </w:tr>
      <w:tr w14:paraId="161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1BD426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法定代表人身份证正反复印件</w:t>
            </w:r>
          </w:p>
        </w:tc>
        <w:tc>
          <w:tcPr>
            <w:tcW w:w="4122" w:type="dxa"/>
            <w:gridSpan w:val="2"/>
            <w:vMerge w:val="restart"/>
            <w:vAlign w:val="center"/>
          </w:tcPr>
          <w:p w14:paraId="3F5A141D">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（粘贴处）</w:t>
            </w:r>
          </w:p>
        </w:tc>
        <w:tc>
          <w:tcPr>
            <w:tcW w:w="4298" w:type="dxa"/>
            <w:gridSpan w:val="3"/>
            <w:vAlign w:val="center"/>
          </w:tcPr>
          <w:p w14:paraId="118C68F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r>
      <w:tr w14:paraId="7F2E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5F7E76AE">
            <w:pPr>
              <w:tabs>
                <w:tab w:val="left" w:pos="210"/>
              </w:tabs>
              <w:spacing w:line="320" w:lineRule="exact"/>
              <w:jc w:val="center"/>
              <w:rPr>
                <w:rFonts w:hint="eastAsia" w:ascii="宋体" w:hAnsi="宋体" w:eastAsia="宋体" w:cs="宋体"/>
                <w:color w:val="auto"/>
                <w:sz w:val="24"/>
              </w:rPr>
            </w:pPr>
          </w:p>
        </w:tc>
        <w:tc>
          <w:tcPr>
            <w:tcW w:w="4122" w:type="dxa"/>
            <w:gridSpan w:val="2"/>
            <w:vMerge w:val="continue"/>
            <w:vAlign w:val="center"/>
          </w:tcPr>
          <w:p w14:paraId="03FDC26B">
            <w:pPr>
              <w:tabs>
                <w:tab w:val="left" w:pos="210"/>
              </w:tabs>
              <w:spacing w:line="320" w:lineRule="exact"/>
              <w:jc w:val="center"/>
              <w:rPr>
                <w:rFonts w:hint="eastAsia" w:ascii="宋体" w:hAnsi="宋体" w:eastAsia="宋体" w:cs="宋体"/>
                <w:color w:val="auto"/>
                <w:sz w:val="24"/>
              </w:rPr>
            </w:pPr>
          </w:p>
        </w:tc>
        <w:tc>
          <w:tcPr>
            <w:tcW w:w="4298" w:type="dxa"/>
            <w:gridSpan w:val="3"/>
            <w:vAlign w:val="bottom"/>
          </w:tcPr>
          <w:p w14:paraId="04DCA21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（公章）</w:t>
            </w:r>
          </w:p>
          <w:p w14:paraId="6443D291">
            <w:pPr>
              <w:tabs>
                <w:tab w:val="left" w:pos="210"/>
              </w:tabs>
              <w:spacing w:line="320" w:lineRule="exact"/>
              <w:jc w:val="center"/>
              <w:rPr>
                <w:rFonts w:hint="eastAsia" w:ascii="宋体" w:hAnsi="宋体" w:eastAsia="宋体" w:cs="宋体"/>
                <w:color w:val="auto"/>
                <w:sz w:val="24"/>
              </w:rPr>
            </w:pPr>
          </w:p>
          <w:p w14:paraId="6F334162">
            <w:pPr>
              <w:tabs>
                <w:tab w:val="left" w:pos="210"/>
              </w:tabs>
              <w:spacing w:line="320" w:lineRule="exact"/>
              <w:jc w:val="center"/>
              <w:rPr>
                <w:rFonts w:hint="eastAsia" w:ascii="宋体" w:hAnsi="宋体" w:eastAsia="宋体" w:cs="宋体"/>
                <w:color w:val="auto"/>
                <w:sz w:val="24"/>
              </w:rPr>
            </w:pPr>
          </w:p>
          <w:p w14:paraId="28B0BF4C">
            <w:pPr>
              <w:tabs>
                <w:tab w:val="left" w:pos="210"/>
              </w:tabs>
              <w:spacing w:line="320" w:lineRule="exact"/>
              <w:jc w:val="center"/>
              <w:rPr>
                <w:rFonts w:hint="eastAsia" w:ascii="宋体" w:hAnsi="宋体" w:eastAsia="宋体" w:cs="宋体"/>
                <w:color w:val="auto"/>
                <w:sz w:val="24"/>
              </w:rPr>
            </w:pPr>
          </w:p>
          <w:p w14:paraId="47561E89">
            <w:pPr>
              <w:tabs>
                <w:tab w:val="left" w:pos="210"/>
              </w:tabs>
              <w:spacing w:line="32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tc>
      </w:tr>
    </w:tbl>
    <w:p w14:paraId="0FC664B3">
      <w:pPr>
        <w:spacing w:line="440" w:lineRule="exact"/>
        <w:jc w:val="center"/>
        <w:rPr>
          <w:rFonts w:hint="eastAsia" w:ascii="宋体" w:hAnsi="宋体" w:eastAsia="宋体" w:cs="宋体"/>
          <w:b/>
          <w:bCs/>
          <w:color w:val="auto"/>
          <w:sz w:val="32"/>
          <w:szCs w:val="32"/>
        </w:rPr>
      </w:pPr>
    </w:p>
    <w:p w14:paraId="73D037F4">
      <w:pPr>
        <w:spacing w:line="440" w:lineRule="exact"/>
        <w:jc w:val="center"/>
        <w:outlineLvl w:val="1"/>
        <w:rPr>
          <w:rFonts w:hint="eastAsia" w:ascii="宋体" w:hAnsi="宋体" w:eastAsia="宋体" w:cs="宋体"/>
          <w:b/>
          <w:color w:val="auto"/>
          <w:sz w:val="36"/>
        </w:rPr>
      </w:pPr>
      <w:r>
        <w:rPr>
          <w:rFonts w:hint="eastAsia" w:ascii="宋体" w:hAnsi="宋体" w:eastAsia="宋体" w:cs="宋体"/>
          <w:b/>
          <w:color w:val="auto"/>
          <w:sz w:val="36"/>
        </w:rPr>
        <w:br w:type="page"/>
      </w:r>
    </w:p>
    <w:p w14:paraId="64CD7C22">
      <w:pPr>
        <w:spacing w:line="440" w:lineRule="exact"/>
        <w:jc w:val="center"/>
        <w:outlineLvl w:val="1"/>
        <w:rPr>
          <w:rFonts w:hint="eastAsia" w:ascii="宋体" w:hAnsi="宋体" w:eastAsia="宋体" w:cs="宋体"/>
          <w:b/>
          <w:color w:val="auto"/>
          <w:sz w:val="36"/>
        </w:rPr>
      </w:pPr>
    </w:p>
    <w:p w14:paraId="1D3CD105">
      <w:pPr>
        <w:spacing w:line="44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四、</w:t>
      </w:r>
      <w:r>
        <w:rPr>
          <w:rFonts w:hint="eastAsia" w:hAnsi="宋体" w:cs="宋体"/>
          <w:b/>
          <w:color w:val="auto"/>
          <w:sz w:val="32"/>
          <w:szCs w:val="32"/>
          <w:lang w:val="en-US" w:eastAsia="zh-CN"/>
        </w:rPr>
        <w:t>投标人</w:t>
      </w:r>
      <w:r>
        <w:rPr>
          <w:rFonts w:hint="eastAsia" w:ascii="宋体" w:hAnsi="宋体" w:eastAsia="宋体" w:cs="宋体"/>
          <w:b/>
          <w:color w:val="auto"/>
          <w:sz w:val="32"/>
          <w:szCs w:val="32"/>
        </w:rPr>
        <w:t>资格证明文件</w:t>
      </w:r>
    </w:p>
    <w:p w14:paraId="50D18A25">
      <w:pPr>
        <w:spacing w:line="440" w:lineRule="exact"/>
        <w:jc w:val="center"/>
        <w:outlineLvl w:val="1"/>
        <w:rPr>
          <w:rFonts w:hint="eastAsia" w:ascii="宋体" w:hAnsi="宋体" w:eastAsia="宋体" w:cs="宋体"/>
          <w:b/>
          <w:color w:val="auto"/>
          <w:sz w:val="24"/>
        </w:rPr>
      </w:pPr>
    </w:p>
    <w:p w14:paraId="5237B621">
      <w:pPr>
        <w:adjustRightInd/>
        <w:spacing w:line="43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符合《中华人民共和国政府采购法》第二十二条的规定，有能力提供本次采购服务的供应商。</w:t>
      </w:r>
    </w:p>
    <w:p w14:paraId="08EE781F">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6496A90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7828C8E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（3）投标人应具备有效的土地规划机构乙级（含乙级）以上资质证书或自然资源主管部门核发的城乡规划编制单位乙级（含乙级）以上资质证书</w:t>
      </w:r>
      <w:r>
        <w:rPr>
          <w:rFonts w:hint="eastAsia" w:ascii="宋体" w:hAnsi="宋体" w:eastAsia="宋体" w:cs="宋体"/>
          <w:i w:val="0"/>
          <w:iCs w:val="0"/>
          <w:caps w:val="0"/>
          <w:color w:val="auto"/>
          <w:spacing w:val="0"/>
          <w:sz w:val="24"/>
          <w:szCs w:val="24"/>
          <w:shd w:val="clear" w:fill="FFFFFF"/>
          <w:lang w:eastAsia="zh-CN"/>
        </w:rPr>
        <w:t>；</w:t>
      </w:r>
    </w:p>
    <w:p w14:paraId="44BF4772">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2E4DCF53">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1B5C31A6">
      <w:pPr>
        <w:pStyle w:val="22"/>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）社会保障资金缴纳证明：提供2025年1月至开标前任意一个月的社会保障资金缴纳证明或社会保险缴纳清单或社会保险缴纳专用收据（依法不需要缴纳社会保障资金或新成立的投标单位应提供相关文件证明）；</w:t>
      </w:r>
    </w:p>
    <w:p w14:paraId="5FA8C1F4">
      <w:pPr>
        <w:pStyle w:val="22"/>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10FE5043">
      <w:pPr>
        <w:pStyle w:val="22"/>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7EF8DC1A">
      <w:pPr>
        <w:pStyle w:val="9"/>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807BE7D">
      <w:pPr>
        <w:spacing w:line="440" w:lineRule="exact"/>
        <w:ind w:firstLine="480" w:firstLineChars="200"/>
        <w:rPr>
          <w:rFonts w:hint="eastAsia"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格式见附件1</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eastAsia="zh-CN"/>
        </w:rPr>
        <w:t>；</w:t>
      </w:r>
    </w:p>
    <w:p w14:paraId="4A3EC021">
      <w:pPr>
        <w:spacing w:line="440" w:lineRule="exact"/>
        <w:ind w:firstLine="480" w:firstLineChars="200"/>
        <w:rPr>
          <w:rFonts w:hint="default" w:hAnsi="宋体" w:cs="宋体"/>
          <w:color w:val="auto"/>
          <w:sz w:val="24"/>
          <w:szCs w:val="24"/>
          <w:lang w:val="en-US" w:eastAsia="zh-CN"/>
        </w:rPr>
      </w:pPr>
      <w:r>
        <w:rPr>
          <w:rFonts w:hint="eastAsia" w:hAnsi="宋体" w:cs="宋体"/>
          <w:color w:val="auto"/>
          <w:sz w:val="24"/>
          <w:szCs w:val="24"/>
          <w:lang w:val="en-US" w:eastAsia="zh-CN"/>
        </w:rPr>
        <w:t>（11）企业业绩情况；</w:t>
      </w:r>
    </w:p>
    <w:p w14:paraId="50410857">
      <w:pPr>
        <w:spacing w:line="440" w:lineRule="exact"/>
        <w:ind w:firstLine="480" w:firstLineChars="200"/>
        <w:rPr>
          <w:rFonts w:hint="eastAsia" w:ascii="宋体" w:hAnsi="宋体" w:eastAsia="宋体" w:cs="宋体"/>
          <w:color w:val="auto"/>
          <w:sz w:val="28"/>
          <w:szCs w:val="28"/>
        </w:rPr>
      </w:pPr>
      <w:r>
        <w:rPr>
          <w:rFonts w:hint="eastAsia" w:hAnsi="宋体" w:cs="宋体"/>
          <w:color w:val="auto"/>
          <w:sz w:val="24"/>
          <w:szCs w:val="24"/>
          <w:lang w:eastAsia="zh-CN"/>
        </w:rPr>
        <w:t>（</w:t>
      </w:r>
      <w:r>
        <w:rPr>
          <w:rFonts w:hint="eastAsia" w:hAnsi="宋体" w:cs="宋体"/>
          <w:color w:val="auto"/>
          <w:sz w:val="24"/>
          <w:szCs w:val="24"/>
          <w:lang w:val="en-US" w:eastAsia="zh-CN"/>
        </w:rPr>
        <w:t>12</w:t>
      </w:r>
      <w:r>
        <w:rPr>
          <w:rFonts w:hint="eastAsia" w:hAnsi="宋体" w:cs="宋体"/>
          <w:color w:val="auto"/>
          <w:sz w:val="24"/>
          <w:szCs w:val="24"/>
          <w:lang w:eastAsia="zh-CN"/>
        </w:rPr>
        <w:t>）</w:t>
      </w:r>
      <w:r>
        <w:rPr>
          <w:rFonts w:hint="eastAsia" w:ascii="宋体" w:hAnsi="宋体" w:eastAsia="宋体" w:cs="宋体"/>
          <w:color w:val="auto"/>
          <w:sz w:val="24"/>
          <w:szCs w:val="24"/>
        </w:rPr>
        <w:t>供应商认为有必要提供的其他证明材料或赋分中所要求的证明材料。</w:t>
      </w:r>
    </w:p>
    <w:p w14:paraId="6387AE4F">
      <w:pPr>
        <w:pStyle w:val="9"/>
        <w:rPr>
          <w:rFonts w:hint="eastAsia" w:ascii="宋体" w:hAnsi="宋体" w:eastAsia="宋体" w:cs="宋体"/>
          <w:color w:val="auto"/>
          <w:sz w:val="21"/>
          <w:szCs w:val="21"/>
          <w:lang w:val="en-US" w:eastAsia="zh-CN"/>
        </w:rPr>
      </w:pPr>
      <w:r>
        <w:rPr>
          <w:rFonts w:hint="eastAsia" w:ascii="宋体" w:hAnsi="宋体" w:eastAsia="宋体" w:cs="宋体"/>
          <w:color w:val="auto"/>
          <w:sz w:val="28"/>
          <w:szCs w:val="28"/>
        </w:rPr>
        <w:t>附件1</w:t>
      </w:r>
    </w:p>
    <w:p w14:paraId="5C414A04">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bookmarkStart w:id="160" w:name="OLE_LINK14"/>
      <w:bookmarkStart w:id="161" w:name="OLE_LINK13"/>
      <w:r>
        <w:rPr>
          <w:rStyle w:val="27"/>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23DD5EB1">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0A35F8C">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C1EB43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D2C0E6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6CE9157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367ECA1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79DD62E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6F670B08">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68986B">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50364C3E">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40EB66C8">
      <w:pPr>
        <w:pStyle w:val="8"/>
        <w:pBdr>
          <w:top w:val="none" w:color="auto" w:sz="0" w:space="1"/>
          <w:left w:val="none" w:color="auto" w:sz="0" w:space="4"/>
          <w:bottom w:val="none" w:color="auto" w:sz="0" w:space="1"/>
          <w:right w:val="none" w:color="auto" w:sz="0" w:space="4"/>
        </w:pBdr>
        <w:rPr>
          <w:rFonts w:hint="eastAsia" w:ascii="宋体" w:hAnsi="宋体" w:eastAsia="宋体" w:cs="宋体"/>
          <w:bCs/>
          <w:color w:val="auto"/>
          <w:spacing w:val="6"/>
          <w:sz w:val="28"/>
          <w:szCs w:val="28"/>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751D3E69">
      <w:pPr>
        <w:spacing w:line="588" w:lineRule="exact"/>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附件2</w:t>
      </w:r>
    </w:p>
    <w:p w14:paraId="06B80355">
      <w:pPr>
        <w:spacing w:line="588" w:lineRule="exact"/>
        <w:jc w:val="center"/>
        <w:rPr>
          <w:rFonts w:hint="eastAsia" w:ascii="宋体" w:hAnsi="宋体" w:eastAsia="宋体" w:cs="宋体"/>
          <w:b/>
          <w:color w:val="auto"/>
          <w:spacing w:val="6"/>
          <w:sz w:val="32"/>
          <w:szCs w:val="32"/>
        </w:rPr>
      </w:pPr>
    </w:p>
    <w:p w14:paraId="4875AA6D">
      <w:pPr>
        <w:spacing w:line="588" w:lineRule="exact"/>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bookmarkEnd w:id="160"/>
    <w:bookmarkEnd w:id="161"/>
    <w:p w14:paraId="3B8BA2CF">
      <w:pPr>
        <w:spacing w:line="588" w:lineRule="exact"/>
        <w:rPr>
          <w:rFonts w:hint="eastAsia" w:ascii="宋体" w:hAnsi="宋体" w:eastAsia="宋体" w:cs="宋体"/>
          <w:b/>
          <w:color w:val="auto"/>
          <w:spacing w:val="6"/>
          <w:sz w:val="30"/>
          <w:szCs w:val="30"/>
        </w:rPr>
      </w:pPr>
    </w:p>
    <w:p w14:paraId="37CA4105">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w:t>
      </w:r>
      <w:r>
        <w:rPr>
          <w:rFonts w:hint="eastAsia" w:ascii="宋体" w:hAnsi="宋体" w:eastAsia="宋体" w:cs="宋体"/>
          <w:color w:val="auto"/>
          <w:sz w:val="32"/>
          <w:szCs w:val="32"/>
        </w:rPr>
        <w:t>〔2017〕141</w:t>
      </w:r>
      <w:r>
        <w:rPr>
          <w:rFonts w:hint="eastAsia" w:ascii="宋体" w:hAnsi="宋体" w:eastAsia="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DDA489">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5D406344">
      <w:pPr>
        <w:spacing w:line="588" w:lineRule="exact"/>
        <w:ind w:firstLine="624" w:firstLineChars="200"/>
        <w:rPr>
          <w:rFonts w:hint="eastAsia" w:ascii="宋体" w:hAnsi="宋体" w:eastAsia="宋体" w:cs="宋体"/>
          <w:color w:val="auto"/>
          <w:spacing w:val="6"/>
          <w:sz w:val="30"/>
          <w:szCs w:val="30"/>
        </w:rPr>
      </w:pPr>
    </w:p>
    <w:p w14:paraId="1C28C33A">
      <w:pPr>
        <w:spacing w:line="588" w:lineRule="exact"/>
        <w:ind w:firstLine="624" w:firstLineChars="200"/>
        <w:rPr>
          <w:rFonts w:hint="eastAsia" w:ascii="宋体" w:hAnsi="宋体" w:eastAsia="宋体" w:cs="宋体"/>
          <w:color w:val="auto"/>
          <w:spacing w:val="6"/>
          <w:sz w:val="30"/>
          <w:szCs w:val="30"/>
        </w:rPr>
      </w:pPr>
    </w:p>
    <w:p w14:paraId="5FBDC3F3">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单位名称（盖章）：</w:t>
      </w:r>
    </w:p>
    <w:p w14:paraId="520ACA70">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日  期：</w:t>
      </w:r>
    </w:p>
    <w:p w14:paraId="7F0C024E">
      <w:pPr>
        <w:pStyle w:val="73"/>
        <w:rPr>
          <w:rFonts w:hint="eastAsia" w:ascii="宋体" w:hAnsi="宋体" w:eastAsia="宋体" w:cs="宋体"/>
          <w:color w:val="auto"/>
        </w:rPr>
      </w:pPr>
    </w:p>
    <w:p w14:paraId="363D1D94">
      <w:pPr>
        <w:pStyle w:val="73"/>
        <w:rPr>
          <w:rFonts w:hint="eastAsia" w:ascii="宋体" w:hAnsi="宋体" w:eastAsia="宋体" w:cs="宋体"/>
          <w:color w:val="auto"/>
        </w:rPr>
      </w:pPr>
    </w:p>
    <w:p w14:paraId="0E2E6CA2">
      <w:pPr>
        <w:pStyle w:val="73"/>
        <w:rPr>
          <w:rFonts w:hint="eastAsia" w:ascii="宋体" w:hAnsi="宋体" w:eastAsia="宋体" w:cs="宋体"/>
          <w:color w:val="auto"/>
        </w:rPr>
      </w:pPr>
    </w:p>
    <w:p w14:paraId="36960567">
      <w:pPr>
        <w:widowControl/>
        <w:spacing w:line="440" w:lineRule="exact"/>
        <w:rPr>
          <w:rFonts w:hint="eastAsia" w:ascii="宋体" w:hAnsi="宋体" w:eastAsia="宋体" w:cs="宋体"/>
          <w:b/>
          <w:bCs/>
          <w:color w:val="auto"/>
          <w:sz w:val="32"/>
          <w:szCs w:val="32"/>
        </w:rPr>
      </w:pPr>
    </w:p>
    <w:p w14:paraId="75F74787">
      <w:pPr>
        <w:pStyle w:val="73"/>
        <w:rPr>
          <w:rFonts w:hint="eastAsia" w:ascii="宋体" w:hAnsi="宋体" w:eastAsia="宋体" w:cs="宋体"/>
          <w:color w:val="auto"/>
        </w:rPr>
      </w:pPr>
    </w:p>
    <w:p w14:paraId="4AE7F319">
      <w:pPr>
        <w:widowControl/>
        <w:spacing w:line="440" w:lineRule="exact"/>
        <w:jc w:val="center"/>
        <w:rPr>
          <w:rFonts w:hint="eastAsia" w:ascii="宋体" w:hAnsi="宋体" w:eastAsia="宋体" w:cs="宋体"/>
          <w:b/>
          <w:bCs/>
          <w:color w:val="auto"/>
          <w:sz w:val="32"/>
          <w:szCs w:val="32"/>
        </w:rPr>
      </w:pPr>
    </w:p>
    <w:p w14:paraId="5808CCD3">
      <w:pPr>
        <w:pStyle w:val="6"/>
        <w:rPr>
          <w:rFonts w:hint="eastAsia"/>
          <w:color w:val="auto"/>
        </w:rPr>
      </w:pPr>
    </w:p>
    <w:p w14:paraId="30CFEFE3">
      <w:pPr>
        <w:pStyle w:val="9"/>
        <w:rPr>
          <w:rFonts w:hint="eastAsia" w:ascii="宋体" w:hAnsi="宋体" w:eastAsia="宋体" w:cs="宋体"/>
          <w:color w:val="auto"/>
        </w:rPr>
      </w:pPr>
    </w:p>
    <w:p w14:paraId="5DBC779F">
      <w:pPr>
        <w:widowControl/>
        <w:spacing w:line="440" w:lineRule="exact"/>
        <w:jc w:val="center"/>
        <w:rPr>
          <w:rFonts w:hint="eastAsia" w:ascii="宋体" w:hAnsi="宋体" w:eastAsia="宋体" w:cs="宋体"/>
          <w:b/>
          <w:bCs/>
          <w:color w:val="auto"/>
          <w:sz w:val="32"/>
          <w:szCs w:val="32"/>
        </w:rPr>
      </w:pPr>
    </w:p>
    <w:p w14:paraId="03431439">
      <w:pPr>
        <w:pStyle w:val="6"/>
        <w:rPr>
          <w:rFonts w:hint="eastAsia" w:ascii="宋体" w:hAnsi="宋体" w:eastAsia="宋体" w:cs="宋体"/>
          <w:b/>
          <w:bCs/>
          <w:color w:val="auto"/>
          <w:sz w:val="32"/>
          <w:szCs w:val="32"/>
        </w:rPr>
      </w:pPr>
    </w:p>
    <w:p w14:paraId="4AE29373">
      <w:pPr>
        <w:rPr>
          <w:rFonts w:hint="eastAsia"/>
          <w:color w:val="auto"/>
        </w:rPr>
      </w:pPr>
    </w:p>
    <w:p w14:paraId="40D8FAB1">
      <w:pPr>
        <w:widowControl/>
        <w:spacing w:line="440" w:lineRule="exact"/>
        <w:jc w:val="center"/>
        <w:rPr>
          <w:rFonts w:hint="eastAsia" w:ascii="宋体" w:hAnsi="宋体" w:eastAsia="宋体" w:cs="宋体"/>
          <w:color w:val="auto"/>
          <w:sz w:val="24"/>
        </w:rPr>
      </w:pPr>
      <w:r>
        <w:rPr>
          <w:rFonts w:hint="eastAsia" w:ascii="宋体" w:hAnsi="宋体" w:eastAsia="宋体" w:cs="宋体"/>
          <w:b/>
          <w:bCs/>
          <w:color w:val="auto"/>
          <w:sz w:val="32"/>
          <w:szCs w:val="32"/>
        </w:rPr>
        <w:t>五、投标方案说明及服务承诺</w:t>
      </w:r>
    </w:p>
    <w:p w14:paraId="28766864">
      <w:pPr>
        <w:spacing w:line="480" w:lineRule="auto"/>
        <w:jc w:val="left"/>
        <w:rPr>
          <w:rFonts w:hint="eastAsia" w:ascii="宋体" w:hAnsi="宋体" w:eastAsia="宋体" w:cs="宋体"/>
          <w:color w:val="auto"/>
          <w:sz w:val="24"/>
        </w:rPr>
      </w:pPr>
    </w:p>
    <w:p w14:paraId="284C8BFA">
      <w:pPr>
        <w:adjustRightInd/>
        <w:spacing w:line="480" w:lineRule="auto"/>
        <w:ind w:firstLine="480" w:firstLineChars="200"/>
        <w:textAlignment w:val="auto"/>
        <w:rPr>
          <w:rFonts w:hint="eastAsia" w:ascii="宋体" w:hAnsi="宋体" w:eastAsia="宋体" w:cs="宋体"/>
          <w:color w:val="auto"/>
          <w:sz w:val="24"/>
          <w:szCs w:val="24"/>
          <w:lang w:eastAsia="zh-CN"/>
        </w:rPr>
      </w:pPr>
      <w:r>
        <w:rPr>
          <w:rFonts w:hint="eastAsia" w:hAnsi="宋体" w:cs="宋体"/>
          <w:color w:val="auto"/>
          <w:sz w:val="24"/>
          <w:lang w:val="en-US" w:eastAsia="zh-CN"/>
        </w:rPr>
        <w:t>1、</w:t>
      </w:r>
      <w:r>
        <w:rPr>
          <w:rFonts w:hint="eastAsia" w:ascii="宋体" w:hAnsi="宋体" w:eastAsia="宋体" w:cs="宋体"/>
          <w:color w:val="auto"/>
          <w:sz w:val="24"/>
        </w:rPr>
        <w:t>各供应商按照</w:t>
      </w:r>
      <w:r>
        <w:rPr>
          <w:rFonts w:hint="eastAsia" w:hAnsi="宋体" w:cs="宋体"/>
          <w:color w:val="auto"/>
          <w:sz w:val="24"/>
          <w:lang w:eastAsia="zh-CN"/>
        </w:rPr>
        <w:t>招标文件</w:t>
      </w:r>
      <w:r>
        <w:rPr>
          <w:rFonts w:hint="eastAsia" w:ascii="宋体" w:hAnsi="宋体" w:eastAsia="宋体" w:cs="宋体"/>
          <w:color w:val="auto"/>
          <w:sz w:val="24"/>
        </w:rPr>
        <w:t>“第四章 采购内容与技术要求”及</w:t>
      </w:r>
      <w:r>
        <w:rPr>
          <w:rFonts w:hint="eastAsia" w:hAnsi="宋体" w:cs="宋体"/>
          <w:color w:val="auto"/>
          <w:sz w:val="24"/>
          <w:lang w:eastAsia="zh-CN"/>
        </w:rPr>
        <w:t>招标文件</w:t>
      </w:r>
      <w:r>
        <w:rPr>
          <w:rFonts w:hint="eastAsia" w:ascii="宋体" w:hAnsi="宋体" w:eastAsia="宋体" w:cs="宋体"/>
          <w:color w:val="auto"/>
          <w:sz w:val="24"/>
        </w:rPr>
        <w:t>“综合评分法”中的评审细则表编制对应的</w:t>
      </w:r>
      <w:r>
        <w:rPr>
          <w:rFonts w:hint="eastAsia" w:hAnsi="宋体" w:cs="宋体"/>
          <w:color w:val="auto"/>
          <w:sz w:val="24"/>
          <w:lang w:val="en-US" w:eastAsia="zh-CN"/>
        </w:rPr>
        <w:t>投标</w:t>
      </w:r>
      <w:r>
        <w:rPr>
          <w:rFonts w:hint="eastAsia" w:ascii="宋体" w:hAnsi="宋体" w:eastAsia="宋体" w:cs="宋体"/>
          <w:color w:val="auto"/>
          <w:sz w:val="24"/>
        </w:rPr>
        <w:t>方案</w:t>
      </w:r>
      <w:r>
        <w:rPr>
          <w:rFonts w:hint="eastAsia" w:hAnsi="宋体" w:cs="宋体"/>
          <w:color w:val="auto"/>
          <w:sz w:val="24"/>
          <w:lang w:eastAsia="zh-CN"/>
        </w:rPr>
        <w:t>。</w:t>
      </w:r>
    </w:p>
    <w:p w14:paraId="19DD7812">
      <w:pPr>
        <w:adjustRightInd/>
        <w:spacing w:line="480" w:lineRule="auto"/>
        <w:ind w:firstLine="480" w:firstLineChars="200"/>
        <w:textAlignment w:val="auto"/>
        <w:rPr>
          <w:rFonts w:hint="eastAsia" w:ascii="宋体" w:hAnsi="宋体" w:eastAsia="宋体" w:cs="宋体"/>
          <w:b/>
          <w:bCs/>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、供应商认为有必要说明的问题。</w:t>
      </w:r>
    </w:p>
    <w:p w14:paraId="42B302D9">
      <w:pPr>
        <w:widowControl/>
        <w:adjustRightInd/>
        <w:spacing w:line="440" w:lineRule="exact"/>
        <w:jc w:val="center"/>
        <w:textAlignment w:val="auto"/>
        <w:rPr>
          <w:rFonts w:hint="eastAsia" w:ascii="宋体" w:hAnsi="宋体" w:eastAsia="宋体" w:cs="宋体"/>
          <w:b/>
          <w:bCs/>
          <w:color w:val="auto"/>
          <w:sz w:val="32"/>
          <w:szCs w:val="32"/>
        </w:rPr>
      </w:pPr>
    </w:p>
    <w:p w14:paraId="5B5B7F17">
      <w:pPr>
        <w:pStyle w:val="9"/>
        <w:rPr>
          <w:rFonts w:hint="eastAsia" w:ascii="宋体" w:hAnsi="宋体" w:eastAsia="宋体" w:cs="宋体"/>
          <w:color w:val="auto"/>
        </w:rPr>
      </w:pPr>
    </w:p>
    <w:p w14:paraId="24E43501">
      <w:pPr>
        <w:pStyle w:val="22"/>
        <w:ind w:firstLine="321"/>
        <w:rPr>
          <w:rFonts w:hint="eastAsia" w:ascii="宋体" w:hAnsi="宋体" w:eastAsia="宋体" w:cs="宋体"/>
          <w:b/>
          <w:bCs/>
          <w:color w:val="auto"/>
          <w:sz w:val="32"/>
          <w:szCs w:val="32"/>
        </w:rPr>
      </w:pPr>
    </w:p>
    <w:p w14:paraId="2BE8414D">
      <w:pPr>
        <w:pStyle w:val="22"/>
        <w:ind w:firstLine="321"/>
        <w:rPr>
          <w:rFonts w:hint="eastAsia" w:ascii="宋体" w:hAnsi="宋体" w:eastAsia="宋体" w:cs="宋体"/>
          <w:b/>
          <w:bCs/>
          <w:color w:val="auto"/>
          <w:sz w:val="32"/>
          <w:szCs w:val="32"/>
        </w:rPr>
      </w:pPr>
    </w:p>
    <w:p w14:paraId="55ED9B04">
      <w:pPr>
        <w:pStyle w:val="22"/>
        <w:ind w:firstLine="321"/>
        <w:rPr>
          <w:rFonts w:hint="eastAsia" w:ascii="宋体" w:hAnsi="宋体" w:eastAsia="宋体" w:cs="宋体"/>
          <w:b/>
          <w:bCs/>
          <w:color w:val="auto"/>
          <w:sz w:val="32"/>
          <w:szCs w:val="32"/>
        </w:rPr>
      </w:pPr>
    </w:p>
    <w:p w14:paraId="439F0D80">
      <w:pPr>
        <w:pStyle w:val="22"/>
        <w:ind w:firstLine="321"/>
        <w:rPr>
          <w:rFonts w:hint="eastAsia" w:ascii="宋体" w:hAnsi="宋体" w:eastAsia="宋体" w:cs="宋体"/>
          <w:b/>
          <w:bCs/>
          <w:color w:val="auto"/>
          <w:sz w:val="32"/>
          <w:szCs w:val="32"/>
        </w:rPr>
      </w:pPr>
    </w:p>
    <w:p w14:paraId="4ED47196">
      <w:pPr>
        <w:pStyle w:val="22"/>
        <w:ind w:firstLine="321"/>
        <w:rPr>
          <w:rFonts w:hint="eastAsia" w:ascii="宋体" w:hAnsi="宋体" w:eastAsia="宋体" w:cs="宋体"/>
          <w:b/>
          <w:bCs/>
          <w:color w:val="auto"/>
          <w:sz w:val="32"/>
          <w:szCs w:val="32"/>
        </w:rPr>
      </w:pPr>
    </w:p>
    <w:p w14:paraId="2BD001E2">
      <w:pPr>
        <w:rPr>
          <w:rFonts w:hint="eastAsia" w:ascii="宋体" w:hAnsi="宋体" w:eastAsia="宋体" w:cs="宋体"/>
          <w:color w:val="auto"/>
        </w:rPr>
      </w:pPr>
    </w:p>
    <w:p w14:paraId="70374EEB">
      <w:pPr>
        <w:pStyle w:val="22"/>
        <w:ind w:firstLine="321"/>
        <w:rPr>
          <w:rFonts w:hint="eastAsia" w:ascii="宋体" w:hAnsi="宋体" w:eastAsia="宋体" w:cs="宋体"/>
          <w:b/>
          <w:bCs/>
          <w:color w:val="auto"/>
          <w:sz w:val="32"/>
          <w:szCs w:val="32"/>
        </w:rPr>
      </w:pPr>
    </w:p>
    <w:p w14:paraId="6C81C0D8">
      <w:pPr>
        <w:pStyle w:val="23"/>
        <w:rPr>
          <w:rFonts w:hint="eastAsia" w:ascii="宋体" w:hAnsi="宋体" w:eastAsia="宋体" w:cs="宋体"/>
          <w:b/>
          <w:bCs/>
          <w:color w:val="auto"/>
          <w:sz w:val="32"/>
          <w:szCs w:val="32"/>
        </w:rPr>
      </w:pPr>
    </w:p>
    <w:p w14:paraId="3C0E4DFE">
      <w:pPr>
        <w:rPr>
          <w:rFonts w:hint="eastAsia" w:ascii="宋体" w:hAnsi="宋体" w:eastAsia="宋体" w:cs="宋体"/>
          <w:b/>
          <w:bCs/>
          <w:color w:val="auto"/>
          <w:sz w:val="32"/>
          <w:szCs w:val="32"/>
        </w:rPr>
      </w:pPr>
    </w:p>
    <w:p w14:paraId="16119859">
      <w:pPr>
        <w:pStyle w:val="6"/>
        <w:rPr>
          <w:rFonts w:hint="eastAsia"/>
          <w:color w:val="auto"/>
        </w:rPr>
      </w:pPr>
    </w:p>
    <w:p w14:paraId="0AFF8EFF">
      <w:pPr>
        <w:rPr>
          <w:rFonts w:hint="eastAsia"/>
          <w:color w:val="auto"/>
        </w:rPr>
      </w:pPr>
    </w:p>
    <w:p w14:paraId="557F3E89">
      <w:pPr>
        <w:spacing w:line="360" w:lineRule="atLeast"/>
        <w:rPr>
          <w:rFonts w:hint="eastAsia" w:ascii="宋体" w:hAnsi="宋体" w:eastAsia="宋体" w:cs="宋体"/>
          <w:b/>
          <w:bCs/>
          <w:color w:val="auto"/>
          <w:sz w:val="32"/>
          <w:szCs w:val="32"/>
        </w:rPr>
      </w:pPr>
    </w:p>
    <w:p w14:paraId="7A7293A7">
      <w:pPr>
        <w:spacing w:line="36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t>六、</w:t>
      </w:r>
      <w:r>
        <w:rPr>
          <w:rFonts w:hint="eastAsia" w:ascii="宋体" w:hAnsi="宋体" w:eastAsia="宋体" w:cs="宋体"/>
          <w:b/>
          <w:color w:val="auto"/>
          <w:sz w:val="32"/>
        </w:rPr>
        <w:t>陕西省政府采购供应商拒绝政府采购领域商业贿赂承诺书</w:t>
      </w:r>
      <w:r>
        <w:rPr>
          <w:rFonts w:hint="eastAsia" w:ascii="宋体" w:hAnsi="宋体" w:eastAsia="宋体" w:cs="宋体"/>
          <w:b/>
          <w:color w:val="auto"/>
          <w:sz w:val="32"/>
          <w:szCs w:val="32"/>
        </w:rPr>
        <w:t>Ⅰ</w:t>
      </w:r>
    </w:p>
    <w:p w14:paraId="0250D80F">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为响应党中央、国务院关于治理政府采购领域商业贿赂行为的号召，我单位在此庄严承诺：</w:t>
      </w:r>
    </w:p>
    <w:p w14:paraId="00428CC4">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1、在参与政府采购活动中遵纪守法、诚信经营、公平竞标。</w:t>
      </w:r>
    </w:p>
    <w:p w14:paraId="4759E15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2、不向政府采购人、采购代理机构和政府采购评审专家进行任何形式的商业贿赂以谋取交易机会。</w:t>
      </w:r>
    </w:p>
    <w:p w14:paraId="4D48CB1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3、不向政府采购代理机构和采购人提供虚假资质文件或采用虚假应标方式参与政府采购市场竞争并谋取中标、成交。</w:t>
      </w:r>
    </w:p>
    <w:p w14:paraId="0A23B966">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4、不采取“围标、陪标”等商业欺诈手段获得政府采购订单。</w:t>
      </w:r>
    </w:p>
    <w:p w14:paraId="312767E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5、不采取不正当手段诋毁、排挤其他供应商。</w:t>
      </w:r>
    </w:p>
    <w:p w14:paraId="43264A0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6、不在提供商品和服务时“偷梁换柱、以次充好”损害采购人的合法权益。</w:t>
      </w:r>
    </w:p>
    <w:p w14:paraId="4D815DF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7、不与采购人、采购代理机构政府采购评审专家或其他供应商恶意串通，进行质疑和投诉，维护政府采购市场秩序。</w:t>
      </w:r>
    </w:p>
    <w:p w14:paraId="3C4B25F8">
      <w:pPr>
        <w:widowControl/>
        <w:spacing w:line="520" w:lineRule="exact"/>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8、尊重和接受政府采购监督管理部门的监督和政府采购代理机构招标采购要求，承担因违约行为给采购人造成的损失。</w:t>
      </w:r>
      <w:r>
        <w:rPr>
          <w:rFonts w:hint="eastAsia" w:ascii="宋体" w:hAnsi="宋体" w:eastAsia="宋体" w:cs="宋体"/>
          <w:color w:val="auto"/>
          <w:sz w:val="24"/>
        </w:rPr>
        <w:br w:type="textWrapping"/>
      </w:r>
      <w:r>
        <w:rPr>
          <w:rFonts w:hint="eastAsia" w:ascii="宋体" w:hAnsi="宋体" w:eastAsia="宋体" w:cs="宋体"/>
          <w:color w:val="auto"/>
          <w:sz w:val="24"/>
        </w:rPr>
        <w:t>　　9、不发生其他有悖于政府采购公开、公平、公正和诚信原则的行为。</w:t>
      </w:r>
      <w:r>
        <w:rPr>
          <w:rFonts w:hint="eastAsia" w:ascii="宋体" w:hAnsi="宋体" w:eastAsia="宋体" w:cs="宋体"/>
          <w:color w:val="auto"/>
          <w:sz w:val="24"/>
        </w:rPr>
        <w:br w:type="textWrapping"/>
      </w:r>
      <w:r>
        <w:rPr>
          <w:rFonts w:hint="eastAsia" w:ascii="宋体" w:hAnsi="宋体" w:eastAsia="宋体" w:cs="宋体"/>
          <w:color w:val="auto"/>
          <w:sz w:val="24"/>
        </w:rPr>
        <w:br w:type="textWrapping"/>
      </w:r>
      <w:r>
        <w:rPr>
          <w:rFonts w:hint="eastAsia" w:ascii="宋体" w:hAnsi="宋体" w:eastAsia="宋体" w:cs="宋体"/>
          <w:color w:val="auto"/>
          <w:sz w:val="24"/>
        </w:rPr>
        <w:t>  承诺单位：</w:t>
      </w:r>
      <w:r>
        <w:rPr>
          <w:rFonts w:hint="eastAsia" w:ascii="宋体" w:hAnsi="宋体" w:eastAsia="宋体" w:cs="宋体"/>
          <w:color w:val="auto"/>
          <w:sz w:val="24"/>
          <w:u w:val="single"/>
        </w:rPr>
        <w:t>　　                    　</w:t>
      </w:r>
      <w:r>
        <w:rPr>
          <w:rFonts w:hint="eastAsia" w:ascii="宋体" w:hAnsi="宋体" w:eastAsia="宋体" w:cs="宋体"/>
          <w:color w:val="auto"/>
          <w:sz w:val="24"/>
        </w:rPr>
        <w:t>（盖章）</w:t>
      </w:r>
      <w:r>
        <w:rPr>
          <w:rFonts w:hint="eastAsia" w:ascii="宋体" w:hAnsi="宋体" w:eastAsia="宋体" w:cs="宋体"/>
          <w:color w:val="auto"/>
          <w:sz w:val="24"/>
        </w:rPr>
        <w:br w:type="textWrapping"/>
      </w:r>
      <w:r>
        <w:rPr>
          <w:rFonts w:hint="eastAsia" w:ascii="宋体" w:hAnsi="宋体" w:eastAsia="宋体" w:cs="宋体"/>
          <w:color w:val="auto"/>
          <w:sz w:val="24"/>
        </w:rPr>
        <w:t>  全权代表：</w:t>
      </w:r>
      <w:r>
        <w:rPr>
          <w:rFonts w:hint="eastAsia" w:ascii="宋体" w:hAnsi="宋体" w:eastAsia="宋体" w:cs="宋体"/>
          <w:color w:val="auto"/>
          <w:sz w:val="24"/>
          <w:u w:val="single"/>
        </w:rPr>
        <w:t>　　　　　　　　        　</w:t>
      </w:r>
      <w:r>
        <w:rPr>
          <w:rFonts w:hint="eastAsia" w:ascii="宋体" w:hAnsi="宋体" w:eastAsia="宋体" w:cs="宋体"/>
          <w:color w:val="auto"/>
          <w:sz w:val="24"/>
        </w:rPr>
        <w:t>（签字）</w:t>
      </w:r>
      <w:r>
        <w:rPr>
          <w:rFonts w:hint="eastAsia" w:ascii="宋体" w:hAnsi="宋体" w:eastAsia="宋体" w:cs="宋体"/>
          <w:color w:val="auto"/>
          <w:sz w:val="24"/>
        </w:rPr>
        <w:br w:type="textWrapping"/>
      </w:r>
      <w:r>
        <w:rPr>
          <w:rFonts w:hint="eastAsia" w:ascii="宋体" w:hAnsi="宋体" w:eastAsia="宋体" w:cs="宋体"/>
          <w:color w:val="auto"/>
          <w:sz w:val="24"/>
        </w:rPr>
        <w:t>  地　　址：</w:t>
      </w:r>
      <w:r>
        <w:rPr>
          <w:rFonts w:hint="eastAsia" w:ascii="宋体" w:hAnsi="宋体" w:eastAsia="宋体" w:cs="宋体"/>
          <w:color w:val="auto"/>
          <w:sz w:val="24"/>
          <w:u w:val="single"/>
        </w:rPr>
        <w:t xml:space="preserve">                          </w:t>
      </w:r>
    </w:p>
    <w:p w14:paraId="0CA9C20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电　　话：</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w:t>
      </w:r>
      <w:r>
        <w:rPr>
          <w:rFonts w:hint="eastAsia" w:ascii="宋体" w:hAnsi="宋体" w:eastAsia="宋体" w:cs="宋体"/>
          <w:color w:val="auto"/>
          <w:sz w:val="24"/>
        </w:rPr>
        <w:br w:type="textWrapping"/>
      </w:r>
      <w:r>
        <w:rPr>
          <w:rFonts w:hint="eastAsia" w:ascii="宋体" w:hAnsi="宋体" w:eastAsia="宋体" w:cs="宋体"/>
          <w:color w:val="auto"/>
          <w:sz w:val="24"/>
        </w:rPr>
        <w:t>                                                年　　月　　日</w:t>
      </w:r>
    </w:p>
    <w:p w14:paraId="536439E5">
      <w:pPr>
        <w:rPr>
          <w:rFonts w:hint="eastAsia" w:ascii="宋体" w:hAnsi="宋体" w:eastAsia="宋体" w:cs="宋体"/>
          <w:color w:val="auto"/>
        </w:rPr>
      </w:pPr>
    </w:p>
    <w:p w14:paraId="2E66C19B">
      <w:pPr>
        <w:wordWrap w:val="0"/>
        <w:spacing w:line="360" w:lineRule="auto"/>
        <w:ind w:right="480" w:firstLine="360" w:firstLineChars="150"/>
        <w:jc w:val="center"/>
        <w:rPr>
          <w:rFonts w:hint="eastAsia" w:ascii="宋体" w:hAnsi="宋体" w:eastAsia="宋体" w:cs="宋体"/>
          <w:color w:val="auto"/>
          <w:sz w:val="24"/>
          <w:szCs w:val="28"/>
        </w:rPr>
      </w:pPr>
    </w:p>
    <w:p w14:paraId="40116C07">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197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vAlign w:val="center"/>
          </w:tcPr>
          <w:p w14:paraId="3E96BFCB">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5C9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360" w:type="dxa"/>
            <w:gridSpan w:val="3"/>
            <w:vAlign w:val="center"/>
          </w:tcPr>
          <w:p w14:paraId="101B9B7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作为参加贵单位组织的招标采购项目的供应商，本公司承诺：在参加本项目招标之前不存在被依法禁止经营行为、财产被接管或冻结的情况，如有隐瞒实情，愿承担一切责任及后果。</w:t>
            </w:r>
          </w:p>
        </w:tc>
      </w:tr>
      <w:tr w14:paraId="79C0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vAlign w:val="center"/>
          </w:tcPr>
          <w:p w14:paraId="36A7F2F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56" w:type="dxa"/>
            <w:vAlign w:val="center"/>
          </w:tcPr>
          <w:p w14:paraId="44AD4F8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vAlign w:val="center"/>
          </w:tcPr>
          <w:p w14:paraId="3EA6A0C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14F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369" w:type="dxa"/>
            <w:vAlign w:val="center"/>
          </w:tcPr>
          <w:p w14:paraId="3C1AA5A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vAlign w:val="center"/>
          </w:tcPr>
          <w:p w14:paraId="23CEBFA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vAlign w:val="center"/>
          </w:tcPr>
          <w:p w14:paraId="2C15B7F9">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E7F44BC">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311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vAlign w:val="center"/>
          </w:tcPr>
          <w:p w14:paraId="35BF2BB9">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00A1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vAlign w:val="center"/>
          </w:tcPr>
          <w:p w14:paraId="0AB7D59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14C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vAlign w:val="center"/>
          </w:tcPr>
          <w:p w14:paraId="0DBB091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34" w:type="dxa"/>
            <w:vAlign w:val="center"/>
          </w:tcPr>
          <w:p w14:paraId="2CD555B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vAlign w:val="center"/>
          </w:tcPr>
          <w:p w14:paraId="60DD7F7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CF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vAlign w:val="center"/>
          </w:tcPr>
          <w:p w14:paraId="3B61A0E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vAlign w:val="center"/>
          </w:tcPr>
          <w:p w14:paraId="67F0F02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vAlign w:val="center"/>
          </w:tcPr>
          <w:p w14:paraId="656F8CF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2A2C964">
      <w:pPr>
        <w:spacing w:line="360" w:lineRule="atLeast"/>
        <w:rPr>
          <w:rFonts w:hint="eastAsia" w:ascii="宋体" w:hAnsi="宋体" w:eastAsia="宋体" w:cs="宋体"/>
          <w:b/>
          <w:color w:val="auto"/>
          <w:sz w:val="32"/>
          <w:szCs w:val="32"/>
        </w:rPr>
      </w:pPr>
    </w:p>
    <w:p w14:paraId="77BF1FAA">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承诺书Ⅳ</w:t>
      </w:r>
    </w:p>
    <w:p w14:paraId="2AFBB222">
      <w:pPr>
        <w:spacing w:line="360" w:lineRule="auto"/>
        <w:ind w:right="480"/>
        <w:rPr>
          <w:rFonts w:hint="eastAsia" w:ascii="宋体" w:hAnsi="宋体" w:eastAsia="宋体" w:cs="宋体"/>
          <w:color w:val="auto"/>
          <w:sz w:val="24"/>
          <w:szCs w:val="28"/>
        </w:rPr>
      </w:pPr>
    </w:p>
    <w:tbl>
      <w:tblPr>
        <w:tblStyle w:val="2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7A0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vAlign w:val="center"/>
          </w:tcPr>
          <w:p w14:paraId="6388B914">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22F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vAlign w:val="center"/>
          </w:tcPr>
          <w:p w14:paraId="54F4EB1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作为参加贵单位组织的招标采购项目的供应商，本公司承诺：参加本次投标提交的所有资质证明文件及业绩证明文件是真实的、有效的，如有隐瞒实情，愿承担一切责任及后果。</w:t>
            </w:r>
          </w:p>
        </w:tc>
      </w:tr>
      <w:tr w14:paraId="1A3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vAlign w:val="center"/>
          </w:tcPr>
          <w:p w14:paraId="56EB6DC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87" w:type="dxa"/>
            <w:vAlign w:val="center"/>
          </w:tcPr>
          <w:p w14:paraId="05CD073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vAlign w:val="center"/>
          </w:tcPr>
          <w:p w14:paraId="75FD4EA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A90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vAlign w:val="center"/>
          </w:tcPr>
          <w:p w14:paraId="504CC05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vAlign w:val="center"/>
          </w:tcPr>
          <w:p w14:paraId="73002B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vAlign w:val="center"/>
          </w:tcPr>
          <w:p w14:paraId="662BA0D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E1AF2F1">
      <w:pPr>
        <w:pStyle w:val="66"/>
        <w:ind w:firstLine="680"/>
        <w:rPr>
          <w:rFonts w:hint="eastAsia" w:ascii="宋体" w:hAnsi="宋体" w:eastAsia="宋体" w:cs="宋体"/>
          <w:color w:val="auto"/>
        </w:rPr>
      </w:pPr>
    </w:p>
    <w:p w14:paraId="2C712919">
      <w:pPr>
        <w:pStyle w:val="66"/>
        <w:ind w:firstLine="680"/>
        <w:rPr>
          <w:rFonts w:hint="eastAsia" w:ascii="宋体" w:hAnsi="宋体" w:eastAsia="宋体" w:cs="宋体"/>
          <w:color w:val="auto"/>
        </w:rPr>
      </w:pPr>
    </w:p>
    <w:p w14:paraId="70AF2D72">
      <w:pPr>
        <w:pStyle w:val="66"/>
        <w:ind w:firstLine="680"/>
        <w:rPr>
          <w:rFonts w:hint="eastAsia" w:ascii="宋体" w:hAnsi="宋体" w:eastAsia="宋体" w:cs="宋体"/>
          <w:color w:val="auto"/>
        </w:rPr>
      </w:pPr>
    </w:p>
    <w:p w14:paraId="4D104BBD">
      <w:pPr>
        <w:pStyle w:val="66"/>
        <w:ind w:firstLine="680"/>
        <w:rPr>
          <w:rFonts w:hint="eastAsia" w:ascii="宋体" w:hAnsi="宋体" w:eastAsia="宋体" w:cs="宋体"/>
          <w:color w:val="auto"/>
        </w:rPr>
      </w:pPr>
    </w:p>
    <w:p w14:paraId="13634C9F">
      <w:pPr>
        <w:pStyle w:val="66"/>
        <w:ind w:firstLine="680"/>
        <w:rPr>
          <w:rFonts w:hint="eastAsia" w:ascii="宋体" w:hAnsi="宋体" w:eastAsia="宋体" w:cs="宋体"/>
          <w:color w:val="auto"/>
        </w:rPr>
      </w:pPr>
    </w:p>
    <w:p w14:paraId="0466370C">
      <w:pPr>
        <w:pStyle w:val="66"/>
        <w:ind w:firstLine="680"/>
        <w:rPr>
          <w:rFonts w:hint="eastAsia" w:ascii="宋体" w:hAnsi="宋体" w:eastAsia="宋体" w:cs="宋体"/>
          <w:color w:val="auto"/>
        </w:rPr>
      </w:pPr>
    </w:p>
    <w:p w14:paraId="68177D80">
      <w:pPr>
        <w:spacing w:line="440" w:lineRule="exact"/>
        <w:rPr>
          <w:rFonts w:hint="eastAsia" w:ascii="宋体" w:hAnsi="宋体" w:eastAsia="宋体" w:cs="宋体"/>
          <w:color w:val="auto"/>
        </w:rPr>
        <w:sectPr>
          <w:headerReference r:id="rId9" w:type="default"/>
          <w:footerReference r:id="rId10" w:type="default"/>
          <w:pgSz w:w="11906" w:h="16838"/>
          <w:pgMar w:top="1418" w:right="1361" w:bottom="1418" w:left="1474" w:header="851" w:footer="992" w:gutter="0"/>
          <w:cols w:space="720" w:num="1"/>
          <w:docGrid w:type="linesAndChars" w:linePitch="312" w:charSpace="0"/>
        </w:sectPr>
      </w:pPr>
    </w:p>
    <w:p w14:paraId="4C432888">
      <w:pPr>
        <w:pStyle w:val="9"/>
        <w:rPr>
          <w:rFonts w:hint="eastAsia" w:ascii="宋体" w:hAnsi="宋体" w:eastAsia="宋体" w:cs="宋体"/>
          <w:color w:val="auto"/>
        </w:rPr>
      </w:pPr>
    </w:p>
    <w:sectPr>
      <w:footerReference r:id="rId11" w:type="default"/>
      <w:pgSz w:w="11906" w:h="16838"/>
      <w:pgMar w:top="1418" w:right="1361" w:bottom="1418" w:left="14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D1BB">
    <w:pPr>
      <w:pStyle w:val="15"/>
      <w:tabs>
        <w:tab w:val="clear" w:pos="8306"/>
      </w:tabs>
      <w:ind w:left="-581" w:leftChars="-171" w:right="-466" w:rightChars="-137"/>
      <w:rPr>
        <w:szCs w:val="21"/>
        <w:u w:val="single"/>
      </w:rPr>
    </w:pPr>
    <w:r>
      <w:rPr>
        <w:szCs w:val="21"/>
        <w:u w:val="single"/>
      </w:rPr>
      <w:t xml:space="preserve">                                                                                                             </w:t>
    </w:r>
  </w:p>
  <w:p w14:paraId="5433AE80">
    <w:pPr>
      <w:pStyle w:val="15"/>
      <w:ind w:firstLine="452" w:firstLineChars="25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7DC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7D3">
    <w:pPr>
      <w:pStyle w:val="15"/>
      <w:tabs>
        <w:tab w:val="clear" w:pos="8306"/>
      </w:tabs>
      <w:ind w:left="-581" w:leftChars="-171" w:right="-466" w:rightChars="-137"/>
      <w:rPr>
        <w:szCs w:val="21"/>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9840D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w:t>
                          </w:r>
                          <w:r>
                            <w:rPr>
                              <w:rFonts w:hint="eastAsia"/>
                              <w:lang w:val="en-US" w:eastAsia="zh-CN"/>
                            </w:rPr>
                            <w:t>53</w:t>
                          </w:r>
                          <w:r>
                            <w:rPr>
                              <w:rFonts w:hint="eastAsia"/>
                            </w:rPr>
                            <w:t>页</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w0E84BAACo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pZv&#10;kz69x4rKbj0VxuG9G2hr5jhSMNEe2mDSlwgxypO6p4u6MEQm06XVcrUqKSUpNzuEX9xf9wHjB3CG&#10;JaPmgZ4vqyqOnzCOpXNJ6mbdjdI6P6G2/wUIc4xA3oHpdmIyTpysOOyGid7ONSdi19Me1NzS2nOm&#10;P1qSOa3MbITZ2M3GwQe17/JOpe7o3x0ijZQnTR1GWGKYHHrAzHVatrQh//q56v4H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FcNBPOAQAAqAMAAA4AAAAAAAAAAQAgAAAAHgEAAGRycy9l&#10;Mm9Eb2MueG1sUEsFBgAAAAAGAAYAWQEAAF4FAAAAAA==&#10;">
              <v:fill on="f" focussize="0,0"/>
              <v:stroke on="f"/>
              <v:imagedata o:title=""/>
              <o:lock v:ext="edit" aspectratio="f"/>
              <v:textbox inset="0mm,0mm,0mm,0mm" style="mso-fit-shape-to-text:t;">
                <w:txbxContent>
                  <w:p w14:paraId="6E9840D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w:t>
                    </w:r>
                    <w:r>
                      <w:rPr>
                        <w:rFonts w:hint="eastAsia"/>
                        <w:lang w:val="en-US" w:eastAsia="zh-CN"/>
                      </w:rPr>
                      <w:t>53</w:t>
                    </w:r>
                    <w:r>
                      <w:rPr>
                        <w:rFonts w:hint="eastAsia"/>
                      </w:rPr>
                      <w:t>页</w:t>
                    </w:r>
                  </w:p>
                </w:txbxContent>
              </v:textbox>
            </v:shape>
          </w:pict>
        </mc:Fallback>
      </mc:AlternateContent>
    </w:r>
    <w:r>
      <w:rPr>
        <w:szCs w:val="21"/>
        <w:u w:val="single"/>
      </w:rPr>
      <w:t xml:space="preserve">                                                                                                              </w:t>
    </w:r>
  </w:p>
  <w:p w14:paraId="6D05AD32">
    <w:pPr>
      <w:pStyle w:val="15"/>
      <w:tabs>
        <w:tab w:val="clear" w:pos="8306"/>
      </w:tabs>
      <w:ind w:left="-581" w:leftChars="-171" w:right="-466" w:rightChars="-137" w:firstLine="542" w:firstLineChars="300"/>
      <w:rPr>
        <w:rFonts w:hint="eastAsia" w:hAnsi="宋体" w:eastAsia="宋体"/>
        <w:b/>
        <w:i/>
        <w:szCs w:val="21"/>
        <w:lang w:eastAsia="zh-CN"/>
      </w:rPr>
    </w:pPr>
    <w:r>
      <w:rPr>
        <w:rFonts w:hint="eastAsia" w:hAnsi="宋体" w:cs="宋体"/>
        <w:b/>
        <w:i/>
        <w:color w:val="000000"/>
        <w:szCs w:val="21"/>
      </w:rPr>
      <w:t xml:space="preserve">陕西悦嘉冠宏项目管理有限公司  </w:t>
    </w:r>
    <w:r>
      <w:rPr>
        <w:rFonts w:hAnsi="宋体"/>
        <w:i/>
      </w:rPr>
      <w:t xml:space="preserve">         </w:t>
    </w:r>
    <w:r>
      <w:rPr>
        <w:rFonts w:hint="eastAsia" w:hAnsi="宋体"/>
        <w:i/>
      </w:rPr>
      <w:t xml:space="preserve">    </w:t>
    </w:r>
    <w:r>
      <w:rPr>
        <w:rFonts w:hAnsi="宋体"/>
        <w:i/>
      </w:rPr>
      <w:t xml:space="preserve">                  </w:t>
    </w:r>
    <w:r>
      <w:rPr>
        <w:rFonts w:hint="eastAsia" w:hAnsi="宋体"/>
        <w:i/>
      </w:rPr>
      <w:t xml:space="preserve">     </w:t>
    </w:r>
    <w:r>
      <w:rPr>
        <w:rFonts w:hint="eastAsia" w:hAnsi="宋体" w:cs="宋体"/>
        <w:b/>
        <w:i/>
        <w:color w:val="000000"/>
        <w:szCs w:val="21"/>
        <w:lang w:eastAsia="zh-CN"/>
      </w:rPr>
      <w:t>安康市汉滨区吾悦广场二期商铺S2-121</w:t>
    </w:r>
  </w:p>
  <w:p w14:paraId="7C8A68F9">
    <w:pPr>
      <w:pStyle w:val="15"/>
      <w:tabs>
        <w:tab w:val="clear" w:pos="8306"/>
      </w:tabs>
      <w:ind w:left="-581" w:leftChars="-171" w:right="-466" w:rightChars="-137"/>
      <w:jc w:val="center"/>
      <w:rPr>
        <w:rFonts w:hAnsi="宋体"/>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6C51">
    <w:pPr>
      <w:pStyle w:val="15"/>
      <w:tabs>
        <w:tab w:val="clear" w:pos="8306"/>
      </w:tabs>
      <w:ind w:left="-581" w:leftChars="-171" w:right="-466" w:rightChars="-137"/>
      <w:jc w:val="center"/>
      <w:rPr>
        <w:rFonts w:hAnsi="宋体"/>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BF25">
    <w:pPr>
      <w:pStyle w:val="16"/>
      <w:ind w:left="-223" w:leftChars="-171" w:right="-581" w:rightChars="-171" w:hanging="358" w:hangingChars="198"/>
      <w:jc w:val="right"/>
      <w:rPr>
        <w:rFonts w:hint="eastAsia" w:eastAsia="宋体"/>
        <w:b/>
        <w:i/>
        <w:iCs/>
        <w:sz w:val="20"/>
        <w:szCs w:val="20"/>
        <w:lang w:eastAsia="zh-CN"/>
      </w:rPr>
    </w:pPr>
    <w:r>
      <w:rPr>
        <w:rFonts w:hAnsi="宋体"/>
        <w:b/>
      </w:rPr>
      <w:t xml:space="preserve">                                  </w:t>
    </w:r>
    <w:r>
      <w:rPr>
        <w:rFonts w:hint="eastAsia" w:hAnsi="宋体"/>
        <w:b/>
      </w:rPr>
      <w:t xml:space="preserve">    </w:t>
    </w:r>
    <w:r>
      <w:rPr>
        <w:rFonts w:hint="eastAsia" w:hAnsi="宋体"/>
        <w:b/>
        <w:lang w:eastAsia="zh-CN"/>
      </w:rPr>
      <w:t>平利县2025年村庄规划编制采购项目一标段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95DD">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A164">
    <w:pPr>
      <w:pStyle w:val="16"/>
      <w:ind w:left="-223" w:leftChars="-171" w:right="-581" w:rightChars="-171" w:hanging="358" w:hangingChars="198"/>
      <w:jc w:val="right"/>
      <w:rPr>
        <w:rFonts w:hint="eastAsia" w:hAnsi="宋体" w:eastAsia="宋体"/>
        <w:b/>
        <w:i/>
        <w:lang w:eastAsia="zh-CN"/>
      </w:rPr>
    </w:pPr>
    <w:r>
      <w:rPr>
        <w:rFonts w:hAnsi="宋体"/>
        <w:b/>
      </w:rPr>
      <w:t xml:space="preserve"> </w:t>
    </w:r>
    <w:r>
      <w:rPr>
        <w:rFonts w:hAnsi="宋体"/>
        <w:bCs/>
        <w:i/>
        <w:iCs/>
      </w:rPr>
      <w:t xml:space="preserve"> </w:t>
    </w:r>
    <w:r>
      <w:rPr>
        <w:rFonts w:hint="eastAsia" w:hAnsi="宋体"/>
        <w:bCs/>
        <w:i/>
        <w:iCs/>
        <w:lang w:eastAsia="zh-CN"/>
      </w:rPr>
      <w:t>平利县2025年村庄规划编制采购项目一标段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BA6D9"/>
    <w:multiLevelType w:val="singleLevel"/>
    <w:tmpl w:val="E07BA6D9"/>
    <w:lvl w:ilvl="0" w:tentative="0">
      <w:start w:val="3"/>
      <w:numFmt w:val="chineseCounting"/>
      <w:suff w:val="nothing"/>
      <w:lvlText w:val="%1、"/>
      <w:lvlJc w:val="left"/>
      <w:rPr>
        <w:rFonts w:hint="eastAsia"/>
      </w:rPr>
    </w:lvl>
  </w:abstractNum>
  <w:abstractNum w:abstractNumId="1">
    <w:nsid w:val="EA5CDA65"/>
    <w:multiLevelType w:val="singleLevel"/>
    <w:tmpl w:val="EA5CDA65"/>
    <w:lvl w:ilvl="0" w:tentative="0">
      <w:start w:val="1"/>
      <w:numFmt w:val="chineseCounting"/>
      <w:suff w:val="nothing"/>
      <w:lvlText w:val="（%1）"/>
      <w:lvlJc w:val="left"/>
      <w:rPr>
        <w:rFonts w:hint="eastAsia"/>
      </w:rPr>
    </w:lvl>
  </w:abstractNum>
  <w:abstractNum w:abstractNumId="2">
    <w:nsid w:val="169F97D4"/>
    <w:multiLevelType w:val="singleLevel"/>
    <w:tmpl w:val="169F97D4"/>
    <w:lvl w:ilvl="0" w:tentative="0">
      <w:start w:val="1"/>
      <w:numFmt w:val="chineseCounting"/>
      <w:suff w:val="nothing"/>
      <w:lvlText w:val="（%1）"/>
      <w:lvlJc w:val="left"/>
      <w:rPr>
        <w:rFonts w:hint="eastAsia"/>
      </w:rPr>
    </w:lvl>
  </w:abstractNum>
  <w:abstractNum w:abstractNumId="3">
    <w:nsid w:val="7353523B"/>
    <w:multiLevelType w:val="singleLevel"/>
    <w:tmpl w:val="7353523B"/>
    <w:lvl w:ilvl="0" w:tentative="0">
      <w:start w:val="4"/>
      <w:numFmt w:val="chineseCounting"/>
      <w:suff w:val="space"/>
      <w:lvlText w:val="第%1章"/>
      <w:lvlJc w:val="left"/>
      <w:rPr>
        <w:rFonts w:hint="eastAsia"/>
        <w:sz w:val="32"/>
        <w:szCs w:val="32"/>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6eSbH40pWzkGK+khl6YKODuXf0=" w:salt="cEKaHQ+0tiWAbCjbfsqv5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813BE0"/>
    <w:rsid w:val="00005938"/>
    <w:rsid w:val="00017772"/>
    <w:rsid w:val="000200D1"/>
    <w:rsid w:val="00031FED"/>
    <w:rsid w:val="00033B4B"/>
    <w:rsid w:val="00037FE8"/>
    <w:rsid w:val="000401E1"/>
    <w:rsid w:val="000416A0"/>
    <w:rsid w:val="00045B1F"/>
    <w:rsid w:val="00046886"/>
    <w:rsid w:val="00054AE7"/>
    <w:rsid w:val="00072DCB"/>
    <w:rsid w:val="000851E5"/>
    <w:rsid w:val="00093811"/>
    <w:rsid w:val="00093DE9"/>
    <w:rsid w:val="000A38C3"/>
    <w:rsid w:val="000A3F62"/>
    <w:rsid w:val="000B2277"/>
    <w:rsid w:val="000B6575"/>
    <w:rsid w:val="000C344C"/>
    <w:rsid w:val="000C79A2"/>
    <w:rsid w:val="000D51BA"/>
    <w:rsid w:val="000D6935"/>
    <w:rsid w:val="000D74C4"/>
    <w:rsid w:val="000E1EE6"/>
    <w:rsid w:val="000F2063"/>
    <w:rsid w:val="000F55B9"/>
    <w:rsid w:val="000F6546"/>
    <w:rsid w:val="000F7B32"/>
    <w:rsid w:val="00100994"/>
    <w:rsid w:val="001034BB"/>
    <w:rsid w:val="00111CA3"/>
    <w:rsid w:val="00123AC0"/>
    <w:rsid w:val="0013152D"/>
    <w:rsid w:val="00131E67"/>
    <w:rsid w:val="00156D86"/>
    <w:rsid w:val="00157AB3"/>
    <w:rsid w:val="00157C81"/>
    <w:rsid w:val="00161EA4"/>
    <w:rsid w:val="0017296C"/>
    <w:rsid w:val="0017616E"/>
    <w:rsid w:val="0018476C"/>
    <w:rsid w:val="0019356C"/>
    <w:rsid w:val="001953E5"/>
    <w:rsid w:val="00196019"/>
    <w:rsid w:val="001A1A00"/>
    <w:rsid w:val="001B03BC"/>
    <w:rsid w:val="001B0CB0"/>
    <w:rsid w:val="001B0F45"/>
    <w:rsid w:val="001C0F53"/>
    <w:rsid w:val="001C7A2B"/>
    <w:rsid w:val="001D0BDB"/>
    <w:rsid w:val="001D279B"/>
    <w:rsid w:val="001D6879"/>
    <w:rsid w:val="001E0609"/>
    <w:rsid w:val="001E2745"/>
    <w:rsid w:val="001E2CBB"/>
    <w:rsid w:val="001F5439"/>
    <w:rsid w:val="00216B28"/>
    <w:rsid w:val="002171DC"/>
    <w:rsid w:val="002302C4"/>
    <w:rsid w:val="00233FD7"/>
    <w:rsid w:val="002378A9"/>
    <w:rsid w:val="002457A7"/>
    <w:rsid w:val="00247A00"/>
    <w:rsid w:val="0025123F"/>
    <w:rsid w:val="00252144"/>
    <w:rsid w:val="002528FF"/>
    <w:rsid w:val="00253315"/>
    <w:rsid w:val="00253472"/>
    <w:rsid w:val="00253653"/>
    <w:rsid w:val="002557B1"/>
    <w:rsid w:val="0025669E"/>
    <w:rsid w:val="0027215A"/>
    <w:rsid w:val="00284D2B"/>
    <w:rsid w:val="0028567A"/>
    <w:rsid w:val="002922F1"/>
    <w:rsid w:val="00295FF7"/>
    <w:rsid w:val="002A3551"/>
    <w:rsid w:val="002B2318"/>
    <w:rsid w:val="002D0BA3"/>
    <w:rsid w:val="002D287B"/>
    <w:rsid w:val="002D434E"/>
    <w:rsid w:val="002D5AF2"/>
    <w:rsid w:val="002D5C1C"/>
    <w:rsid w:val="002F272D"/>
    <w:rsid w:val="002F2A76"/>
    <w:rsid w:val="0030448B"/>
    <w:rsid w:val="003104D1"/>
    <w:rsid w:val="00312E62"/>
    <w:rsid w:val="00321C1B"/>
    <w:rsid w:val="003236B6"/>
    <w:rsid w:val="00332B35"/>
    <w:rsid w:val="003344C1"/>
    <w:rsid w:val="00335747"/>
    <w:rsid w:val="00335D7C"/>
    <w:rsid w:val="00343BA5"/>
    <w:rsid w:val="00347362"/>
    <w:rsid w:val="00360640"/>
    <w:rsid w:val="003847D9"/>
    <w:rsid w:val="003A1687"/>
    <w:rsid w:val="003A300E"/>
    <w:rsid w:val="003A5071"/>
    <w:rsid w:val="003A7B5E"/>
    <w:rsid w:val="003B6EA1"/>
    <w:rsid w:val="003B78EA"/>
    <w:rsid w:val="003C5851"/>
    <w:rsid w:val="003D2EFA"/>
    <w:rsid w:val="003D605D"/>
    <w:rsid w:val="003F133D"/>
    <w:rsid w:val="003F3923"/>
    <w:rsid w:val="003F4492"/>
    <w:rsid w:val="003F6C85"/>
    <w:rsid w:val="003F7B26"/>
    <w:rsid w:val="003F7F2C"/>
    <w:rsid w:val="0041174A"/>
    <w:rsid w:val="0041601D"/>
    <w:rsid w:val="0042213B"/>
    <w:rsid w:val="004264A6"/>
    <w:rsid w:val="00427116"/>
    <w:rsid w:val="0043645F"/>
    <w:rsid w:val="00436E98"/>
    <w:rsid w:val="00443F3E"/>
    <w:rsid w:val="0045154A"/>
    <w:rsid w:val="00470289"/>
    <w:rsid w:val="004801E1"/>
    <w:rsid w:val="00482E50"/>
    <w:rsid w:val="00497806"/>
    <w:rsid w:val="004B7C5E"/>
    <w:rsid w:val="004C0884"/>
    <w:rsid w:val="004D158D"/>
    <w:rsid w:val="004D306A"/>
    <w:rsid w:val="004E03A8"/>
    <w:rsid w:val="004E2B33"/>
    <w:rsid w:val="004E2D6A"/>
    <w:rsid w:val="004F1CBB"/>
    <w:rsid w:val="005031E5"/>
    <w:rsid w:val="00505050"/>
    <w:rsid w:val="005137AB"/>
    <w:rsid w:val="005215DF"/>
    <w:rsid w:val="00536055"/>
    <w:rsid w:val="005370C8"/>
    <w:rsid w:val="0054550E"/>
    <w:rsid w:val="0055033B"/>
    <w:rsid w:val="00551915"/>
    <w:rsid w:val="0056149C"/>
    <w:rsid w:val="005634A8"/>
    <w:rsid w:val="00574840"/>
    <w:rsid w:val="00580660"/>
    <w:rsid w:val="00582351"/>
    <w:rsid w:val="00587FA6"/>
    <w:rsid w:val="005A2706"/>
    <w:rsid w:val="005C6691"/>
    <w:rsid w:val="00605F28"/>
    <w:rsid w:val="00612BC4"/>
    <w:rsid w:val="00615FB1"/>
    <w:rsid w:val="00622C41"/>
    <w:rsid w:val="0062730B"/>
    <w:rsid w:val="00633B4B"/>
    <w:rsid w:val="00640653"/>
    <w:rsid w:val="00644EB9"/>
    <w:rsid w:val="00647C8B"/>
    <w:rsid w:val="00650FD9"/>
    <w:rsid w:val="00650FE1"/>
    <w:rsid w:val="0065375E"/>
    <w:rsid w:val="00656257"/>
    <w:rsid w:val="006603FB"/>
    <w:rsid w:val="00667B92"/>
    <w:rsid w:val="0067322B"/>
    <w:rsid w:val="006901AB"/>
    <w:rsid w:val="0069058D"/>
    <w:rsid w:val="00691A20"/>
    <w:rsid w:val="00697589"/>
    <w:rsid w:val="006A0A63"/>
    <w:rsid w:val="006A6ED0"/>
    <w:rsid w:val="006D04DC"/>
    <w:rsid w:val="006D3DF9"/>
    <w:rsid w:val="006F08D7"/>
    <w:rsid w:val="006F4711"/>
    <w:rsid w:val="00701E17"/>
    <w:rsid w:val="00705EF1"/>
    <w:rsid w:val="00723CFD"/>
    <w:rsid w:val="007245DF"/>
    <w:rsid w:val="00727F88"/>
    <w:rsid w:val="007325CA"/>
    <w:rsid w:val="00733D03"/>
    <w:rsid w:val="00743786"/>
    <w:rsid w:val="0074551C"/>
    <w:rsid w:val="00752CF6"/>
    <w:rsid w:val="00766619"/>
    <w:rsid w:val="00770C87"/>
    <w:rsid w:val="00785B7B"/>
    <w:rsid w:val="0079005C"/>
    <w:rsid w:val="007B1791"/>
    <w:rsid w:val="007B1889"/>
    <w:rsid w:val="007C2A6D"/>
    <w:rsid w:val="007C580B"/>
    <w:rsid w:val="007D5C34"/>
    <w:rsid w:val="007D6706"/>
    <w:rsid w:val="007E3ABB"/>
    <w:rsid w:val="007E49B4"/>
    <w:rsid w:val="007F6BD3"/>
    <w:rsid w:val="0080041E"/>
    <w:rsid w:val="008024B5"/>
    <w:rsid w:val="0080595F"/>
    <w:rsid w:val="00810AFA"/>
    <w:rsid w:val="00813BE0"/>
    <w:rsid w:val="00813E52"/>
    <w:rsid w:val="00827FFE"/>
    <w:rsid w:val="00834F33"/>
    <w:rsid w:val="00836137"/>
    <w:rsid w:val="008731FC"/>
    <w:rsid w:val="008821D1"/>
    <w:rsid w:val="008A0C95"/>
    <w:rsid w:val="008C75AB"/>
    <w:rsid w:val="008D0CAC"/>
    <w:rsid w:val="008D31E2"/>
    <w:rsid w:val="008D4AB8"/>
    <w:rsid w:val="008E2F8C"/>
    <w:rsid w:val="008F4D2E"/>
    <w:rsid w:val="008F5B81"/>
    <w:rsid w:val="008F613C"/>
    <w:rsid w:val="008F6A12"/>
    <w:rsid w:val="0090207D"/>
    <w:rsid w:val="0091598B"/>
    <w:rsid w:val="00917206"/>
    <w:rsid w:val="009206FE"/>
    <w:rsid w:val="00924D70"/>
    <w:rsid w:val="00925A93"/>
    <w:rsid w:val="00926EB8"/>
    <w:rsid w:val="00927110"/>
    <w:rsid w:val="00931ACB"/>
    <w:rsid w:val="0093248B"/>
    <w:rsid w:val="00935259"/>
    <w:rsid w:val="009368FC"/>
    <w:rsid w:val="00940E7B"/>
    <w:rsid w:val="0094169A"/>
    <w:rsid w:val="00942245"/>
    <w:rsid w:val="009454AC"/>
    <w:rsid w:val="00955C5D"/>
    <w:rsid w:val="00956B49"/>
    <w:rsid w:val="00956ED8"/>
    <w:rsid w:val="00956EF1"/>
    <w:rsid w:val="00963747"/>
    <w:rsid w:val="00963866"/>
    <w:rsid w:val="009650EF"/>
    <w:rsid w:val="00966A2D"/>
    <w:rsid w:val="00967963"/>
    <w:rsid w:val="009679D3"/>
    <w:rsid w:val="00967D60"/>
    <w:rsid w:val="0097693A"/>
    <w:rsid w:val="00986BCA"/>
    <w:rsid w:val="009933DB"/>
    <w:rsid w:val="00993B0B"/>
    <w:rsid w:val="00993B73"/>
    <w:rsid w:val="009A4009"/>
    <w:rsid w:val="009A45B6"/>
    <w:rsid w:val="009B3362"/>
    <w:rsid w:val="009B570F"/>
    <w:rsid w:val="009B6FCF"/>
    <w:rsid w:val="009D5935"/>
    <w:rsid w:val="009D6EC4"/>
    <w:rsid w:val="009E19F6"/>
    <w:rsid w:val="009F256D"/>
    <w:rsid w:val="00A00A9D"/>
    <w:rsid w:val="00A02160"/>
    <w:rsid w:val="00A05B8A"/>
    <w:rsid w:val="00A05D3E"/>
    <w:rsid w:val="00A20DA8"/>
    <w:rsid w:val="00A21ED5"/>
    <w:rsid w:val="00A255C8"/>
    <w:rsid w:val="00A37269"/>
    <w:rsid w:val="00A40CA2"/>
    <w:rsid w:val="00A45281"/>
    <w:rsid w:val="00A62AE5"/>
    <w:rsid w:val="00A7016D"/>
    <w:rsid w:val="00A74349"/>
    <w:rsid w:val="00A8297A"/>
    <w:rsid w:val="00A83BAB"/>
    <w:rsid w:val="00A95022"/>
    <w:rsid w:val="00AB2396"/>
    <w:rsid w:val="00AC4B19"/>
    <w:rsid w:val="00AD52F3"/>
    <w:rsid w:val="00AD6CAB"/>
    <w:rsid w:val="00AE6E5D"/>
    <w:rsid w:val="00B04707"/>
    <w:rsid w:val="00B04E02"/>
    <w:rsid w:val="00B127CA"/>
    <w:rsid w:val="00B12CBB"/>
    <w:rsid w:val="00B13784"/>
    <w:rsid w:val="00B21D00"/>
    <w:rsid w:val="00B27A83"/>
    <w:rsid w:val="00B27E17"/>
    <w:rsid w:val="00B32FA1"/>
    <w:rsid w:val="00B33661"/>
    <w:rsid w:val="00B348BA"/>
    <w:rsid w:val="00B61DDB"/>
    <w:rsid w:val="00B67790"/>
    <w:rsid w:val="00B70F4E"/>
    <w:rsid w:val="00B72C24"/>
    <w:rsid w:val="00B73868"/>
    <w:rsid w:val="00B76319"/>
    <w:rsid w:val="00B76343"/>
    <w:rsid w:val="00B8263A"/>
    <w:rsid w:val="00BC3788"/>
    <w:rsid w:val="00BC706C"/>
    <w:rsid w:val="00BD2E91"/>
    <w:rsid w:val="00BD7173"/>
    <w:rsid w:val="00BE13BC"/>
    <w:rsid w:val="00BE348C"/>
    <w:rsid w:val="00BE42DE"/>
    <w:rsid w:val="00BF19A3"/>
    <w:rsid w:val="00BF4C9C"/>
    <w:rsid w:val="00C0195C"/>
    <w:rsid w:val="00C16EC4"/>
    <w:rsid w:val="00C17DF4"/>
    <w:rsid w:val="00C223B3"/>
    <w:rsid w:val="00C233A1"/>
    <w:rsid w:val="00C245B0"/>
    <w:rsid w:val="00C25930"/>
    <w:rsid w:val="00C376EA"/>
    <w:rsid w:val="00C417E2"/>
    <w:rsid w:val="00C45A24"/>
    <w:rsid w:val="00C73B34"/>
    <w:rsid w:val="00C74296"/>
    <w:rsid w:val="00C75AE6"/>
    <w:rsid w:val="00C932E7"/>
    <w:rsid w:val="00C9605D"/>
    <w:rsid w:val="00CD6CE0"/>
    <w:rsid w:val="00CE712A"/>
    <w:rsid w:val="00CE79EE"/>
    <w:rsid w:val="00CF3FB6"/>
    <w:rsid w:val="00CF7D23"/>
    <w:rsid w:val="00D073EA"/>
    <w:rsid w:val="00D10405"/>
    <w:rsid w:val="00D104C5"/>
    <w:rsid w:val="00D126F8"/>
    <w:rsid w:val="00D14CAA"/>
    <w:rsid w:val="00D168F1"/>
    <w:rsid w:val="00D178CC"/>
    <w:rsid w:val="00D33536"/>
    <w:rsid w:val="00D43FAD"/>
    <w:rsid w:val="00D44BE1"/>
    <w:rsid w:val="00D4690A"/>
    <w:rsid w:val="00D6351B"/>
    <w:rsid w:val="00D65F05"/>
    <w:rsid w:val="00D6621F"/>
    <w:rsid w:val="00D718F2"/>
    <w:rsid w:val="00D743B5"/>
    <w:rsid w:val="00D76F7C"/>
    <w:rsid w:val="00D80D0A"/>
    <w:rsid w:val="00D94524"/>
    <w:rsid w:val="00D96598"/>
    <w:rsid w:val="00D97101"/>
    <w:rsid w:val="00DA021C"/>
    <w:rsid w:val="00DA1591"/>
    <w:rsid w:val="00DB27C8"/>
    <w:rsid w:val="00DE11E3"/>
    <w:rsid w:val="00DE29B0"/>
    <w:rsid w:val="00DE5330"/>
    <w:rsid w:val="00DE7017"/>
    <w:rsid w:val="00DF023D"/>
    <w:rsid w:val="00E00E77"/>
    <w:rsid w:val="00E1779E"/>
    <w:rsid w:val="00E221F9"/>
    <w:rsid w:val="00E356A3"/>
    <w:rsid w:val="00E4512C"/>
    <w:rsid w:val="00E468D4"/>
    <w:rsid w:val="00E934F5"/>
    <w:rsid w:val="00E94EB6"/>
    <w:rsid w:val="00EA2401"/>
    <w:rsid w:val="00EB067D"/>
    <w:rsid w:val="00EB59B9"/>
    <w:rsid w:val="00ED0C2E"/>
    <w:rsid w:val="00ED4EAD"/>
    <w:rsid w:val="00ED6D32"/>
    <w:rsid w:val="00EE07E1"/>
    <w:rsid w:val="00EF3076"/>
    <w:rsid w:val="00F143B4"/>
    <w:rsid w:val="00F17378"/>
    <w:rsid w:val="00F17D75"/>
    <w:rsid w:val="00F25A25"/>
    <w:rsid w:val="00F31ABB"/>
    <w:rsid w:val="00F3527B"/>
    <w:rsid w:val="00F50450"/>
    <w:rsid w:val="00F521B2"/>
    <w:rsid w:val="00F54C5E"/>
    <w:rsid w:val="00F63099"/>
    <w:rsid w:val="00F63714"/>
    <w:rsid w:val="00F83F24"/>
    <w:rsid w:val="00FA0E02"/>
    <w:rsid w:val="00FA21B8"/>
    <w:rsid w:val="00FA26A7"/>
    <w:rsid w:val="00FB7EAE"/>
    <w:rsid w:val="00FC4F29"/>
    <w:rsid w:val="00FE2239"/>
    <w:rsid w:val="00FF0DE2"/>
    <w:rsid w:val="01231CE0"/>
    <w:rsid w:val="012D72E8"/>
    <w:rsid w:val="01622118"/>
    <w:rsid w:val="016814B1"/>
    <w:rsid w:val="0170172A"/>
    <w:rsid w:val="0173764E"/>
    <w:rsid w:val="017A6A7D"/>
    <w:rsid w:val="0186183B"/>
    <w:rsid w:val="01995ED0"/>
    <w:rsid w:val="01AC6959"/>
    <w:rsid w:val="01B4376B"/>
    <w:rsid w:val="01D619FC"/>
    <w:rsid w:val="01DD44AD"/>
    <w:rsid w:val="01DF0F3D"/>
    <w:rsid w:val="01EC1F63"/>
    <w:rsid w:val="01ED75BD"/>
    <w:rsid w:val="020D59C5"/>
    <w:rsid w:val="02434703"/>
    <w:rsid w:val="0247371F"/>
    <w:rsid w:val="025A35B7"/>
    <w:rsid w:val="027A2DC5"/>
    <w:rsid w:val="02A060B2"/>
    <w:rsid w:val="02B03607"/>
    <w:rsid w:val="02B7149E"/>
    <w:rsid w:val="02C63391"/>
    <w:rsid w:val="02D6233B"/>
    <w:rsid w:val="02D92240"/>
    <w:rsid w:val="02DA3CDA"/>
    <w:rsid w:val="02DD640C"/>
    <w:rsid w:val="02E75BF4"/>
    <w:rsid w:val="02EA2FF7"/>
    <w:rsid w:val="02F3512B"/>
    <w:rsid w:val="02F45EAD"/>
    <w:rsid w:val="02FD10ED"/>
    <w:rsid w:val="02FD7048"/>
    <w:rsid w:val="03011BBD"/>
    <w:rsid w:val="03091FDF"/>
    <w:rsid w:val="030F5AF0"/>
    <w:rsid w:val="03127FDB"/>
    <w:rsid w:val="03142038"/>
    <w:rsid w:val="03191B3E"/>
    <w:rsid w:val="03204738"/>
    <w:rsid w:val="0328750D"/>
    <w:rsid w:val="032A51B4"/>
    <w:rsid w:val="032C0004"/>
    <w:rsid w:val="03315857"/>
    <w:rsid w:val="03357DBF"/>
    <w:rsid w:val="03452DDF"/>
    <w:rsid w:val="034F7840"/>
    <w:rsid w:val="036954B5"/>
    <w:rsid w:val="036D2DAF"/>
    <w:rsid w:val="037E6DF3"/>
    <w:rsid w:val="0383586F"/>
    <w:rsid w:val="038739B7"/>
    <w:rsid w:val="03890CFF"/>
    <w:rsid w:val="038E70DB"/>
    <w:rsid w:val="038F0B6A"/>
    <w:rsid w:val="03B056CD"/>
    <w:rsid w:val="03B15DF9"/>
    <w:rsid w:val="03B31109"/>
    <w:rsid w:val="03B9704E"/>
    <w:rsid w:val="03D0739B"/>
    <w:rsid w:val="03D426CC"/>
    <w:rsid w:val="03D45E55"/>
    <w:rsid w:val="03E87B85"/>
    <w:rsid w:val="03EA3413"/>
    <w:rsid w:val="03F21D45"/>
    <w:rsid w:val="03F37D85"/>
    <w:rsid w:val="04093FB2"/>
    <w:rsid w:val="040B3F6D"/>
    <w:rsid w:val="040E18DD"/>
    <w:rsid w:val="04153EA3"/>
    <w:rsid w:val="04153F12"/>
    <w:rsid w:val="04163A89"/>
    <w:rsid w:val="04376BAE"/>
    <w:rsid w:val="043A1B06"/>
    <w:rsid w:val="0441123E"/>
    <w:rsid w:val="045349AC"/>
    <w:rsid w:val="045A2095"/>
    <w:rsid w:val="04695E6D"/>
    <w:rsid w:val="04940E42"/>
    <w:rsid w:val="049E6B25"/>
    <w:rsid w:val="04A4399E"/>
    <w:rsid w:val="04A45C05"/>
    <w:rsid w:val="04A5181C"/>
    <w:rsid w:val="04AF2286"/>
    <w:rsid w:val="04B0076A"/>
    <w:rsid w:val="04C305A0"/>
    <w:rsid w:val="04C926BF"/>
    <w:rsid w:val="04D81FF5"/>
    <w:rsid w:val="04EE6171"/>
    <w:rsid w:val="04F01E58"/>
    <w:rsid w:val="0526590B"/>
    <w:rsid w:val="05344D58"/>
    <w:rsid w:val="053B709F"/>
    <w:rsid w:val="053B7CFB"/>
    <w:rsid w:val="054D10C0"/>
    <w:rsid w:val="05604D10"/>
    <w:rsid w:val="056E25FE"/>
    <w:rsid w:val="057D2852"/>
    <w:rsid w:val="05805E49"/>
    <w:rsid w:val="058455EF"/>
    <w:rsid w:val="058D5D40"/>
    <w:rsid w:val="05973428"/>
    <w:rsid w:val="05A22040"/>
    <w:rsid w:val="05A45064"/>
    <w:rsid w:val="05B232C6"/>
    <w:rsid w:val="05B47563"/>
    <w:rsid w:val="05B57C30"/>
    <w:rsid w:val="05C22E26"/>
    <w:rsid w:val="05C936C8"/>
    <w:rsid w:val="05D50583"/>
    <w:rsid w:val="05D85056"/>
    <w:rsid w:val="05DD0D36"/>
    <w:rsid w:val="05DD3B04"/>
    <w:rsid w:val="05E428E3"/>
    <w:rsid w:val="05E935D0"/>
    <w:rsid w:val="05F60344"/>
    <w:rsid w:val="06081035"/>
    <w:rsid w:val="06086396"/>
    <w:rsid w:val="060F55C5"/>
    <w:rsid w:val="061565DA"/>
    <w:rsid w:val="06331465"/>
    <w:rsid w:val="063C18DB"/>
    <w:rsid w:val="064A5470"/>
    <w:rsid w:val="064F2C87"/>
    <w:rsid w:val="06600D03"/>
    <w:rsid w:val="06613D46"/>
    <w:rsid w:val="066858FA"/>
    <w:rsid w:val="066C6A80"/>
    <w:rsid w:val="066F00FA"/>
    <w:rsid w:val="067E4221"/>
    <w:rsid w:val="068C13EC"/>
    <w:rsid w:val="06A51DC1"/>
    <w:rsid w:val="06A84990"/>
    <w:rsid w:val="06A87FC2"/>
    <w:rsid w:val="06AA079F"/>
    <w:rsid w:val="06AB6D03"/>
    <w:rsid w:val="06B449F3"/>
    <w:rsid w:val="06BF4949"/>
    <w:rsid w:val="06D06CDC"/>
    <w:rsid w:val="06E25862"/>
    <w:rsid w:val="06E83959"/>
    <w:rsid w:val="06FA7876"/>
    <w:rsid w:val="070E1CE1"/>
    <w:rsid w:val="070E31AB"/>
    <w:rsid w:val="070E781A"/>
    <w:rsid w:val="070F7481"/>
    <w:rsid w:val="071102DE"/>
    <w:rsid w:val="07145221"/>
    <w:rsid w:val="0722213B"/>
    <w:rsid w:val="072D6AAA"/>
    <w:rsid w:val="0730026B"/>
    <w:rsid w:val="074064C0"/>
    <w:rsid w:val="07431443"/>
    <w:rsid w:val="07480DE0"/>
    <w:rsid w:val="075C17A5"/>
    <w:rsid w:val="07614287"/>
    <w:rsid w:val="0763631A"/>
    <w:rsid w:val="07660241"/>
    <w:rsid w:val="076E4503"/>
    <w:rsid w:val="07807815"/>
    <w:rsid w:val="07914C79"/>
    <w:rsid w:val="07A757D9"/>
    <w:rsid w:val="07AC6ACA"/>
    <w:rsid w:val="07AF4E39"/>
    <w:rsid w:val="07B9297B"/>
    <w:rsid w:val="07C6616C"/>
    <w:rsid w:val="07D35778"/>
    <w:rsid w:val="07D46B37"/>
    <w:rsid w:val="07D913E7"/>
    <w:rsid w:val="07DB043D"/>
    <w:rsid w:val="07E51972"/>
    <w:rsid w:val="07E72199"/>
    <w:rsid w:val="07F60492"/>
    <w:rsid w:val="07FA3719"/>
    <w:rsid w:val="0800440D"/>
    <w:rsid w:val="080A4C6A"/>
    <w:rsid w:val="08115588"/>
    <w:rsid w:val="082428A7"/>
    <w:rsid w:val="08302CF9"/>
    <w:rsid w:val="083730EE"/>
    <w:rsid w:val="08391992"/>
    <w:rsid w:val="08417305"/>
    <w:rsid w:val="084B0214"/>
    <w:rsid w:val="085F5246"/>
    <w:rsid w:val="086116C2"/>
    <w:rsid w:val="0861453F"/>
    <w:rsid w:val="08A8309C"/>
    <w:rsid w:val="08B61208"/>
    <w:rsid w:val="08B9795A"/>
    <w:rsid w:val="08C66DB9"/>
    <w:rsid w:val="08C801D5"/>
    <w:rsid w:val="08D35514"/>
    <w:rsid w:val="08D80B16"/>
    <w:rsid w:val="08E0465E"/>
    <w:rsid w:val="08FE4037"/>
    <w:rsid w:val="09110913"/>
    <w:rsid w:val="091177F8"/>
    <w:rsid w:val="0920556A"/>
    <w:rsid w:val="09230AF5"/>
    <w:rsid w:val="0929319F"/>
    <w:rsid w:val="092A6A14"/>
    <w:rsid w:val="093D1994"/>
    <w:rsid w:val="093E40C5"/>
    <w:rsid w:val="09552930"/>
    <w:rsid w:val="09586B96"/>
    <w:rsid w:val="096652B1"/>
    <w:rsid w:val="097A2D8F"/>
    <w:rsid w:val="098D4EFF"/>
    <w:rsid w:val="0991595F"/>
    <w:rsid w:val="09993FE4"/>
    <w:rsid w:val="09B23F4C"/>
    <w:rsid w:val="09B5175D"/>
    <w:rsid w:val="09B551E2"/>
    <w:rsid w:val="09C55772"/>
    <w:rsid w:val="09E07A6C"/>
    <w:rsid w:val="09E12C15"/>
    <w:rsid w:val="09EE2B1A"/>
    <w:rsid w:val="0A0C03C4"/>
    <w:rsid w:val="0A0F5B39"/>
    <w:rsid w:val="0A1C72DC"/>
    <w:rsid w:val="0A387109"/>
    <w:rsid w:val="0A3C0A38"/>
    <w:rsid w:val="0A3C4AB2"/>
    <w:rsid w:val="0A423FCF"/>
    <w:rsid w:val="0A465CB9"/>
    <w:rsid w:val="0A4D37B3"/>
    <w:rsid w:val="0A522E12"/>
    <w:rsid w:val="0A556823"/>
    <w:rsid w:val="0A5955BD"/>
    <w:rsid w:val="0A5A128D"/>
    <w:rsid w:val="0A642E41"/>
    <w:rsid w:val="0A6B64D2"/>
    <w:rsid w:val="0A6D3A68"/>
    <w:rsid w:val="0A7E7A7E"/>
    <w:rsid w:val="0A806F0A"/>
    <w:rsid w:val="0A807AA2"/>
    <w:rsid w:val="0A885831"/>
    <w:rsid w:val="0A940961"/>
    <w:rsid w:val="0AA4257A"/>
    <w:rsid w:val="0AA522E1"/>
    <w:rsid w:val="0AB94359"/>
    <w:rsid w:val="0ABC5336"/>
    <w:rsid w:val="0ADF16C4"/>
    <w:rsid w:val="0AF70E7E"/>
    <w:rsid w:val="0AFA5540"/>
    <w:rsid w:val="0B0E4E77"/>
    <w:rsid w:val="0B173B18"/>
    <w:rsid w:val="0B190801"/>
    <w:rsid w:val="0B28021A"/>
    <w:rsid w:val="0B3F7726"/>
    <w:rsid w:val="0B4417D6"/>
    <w:rsid w:val="0B4C27A8"/>
    <w:rsid w:val="0B5E0566"/>
    <w:rsid w:val="0B615EC7"/>
    <w:rsid w:val="0B661850"/>
    <w:rsid w:val="0B6F7ED2"/>
    <w:rsid w:val="0B772BAF"/>
    <w:rsid w:val="0B897349"/>
    <w:rsid w:val="0B8A419C"/>
    <w:rsid w:val="0B934110"/>
    <w:rsid w:val="0B994890"/>
    <w:rsid w:val="0BAD6F0F"/>
    <w:rsid w:val="0BB6589E"/>
    <w:rsid w:val="0BBB7C64"/>
    <w:rsid w:val="0BBF2826"/>
    <w:rsid w:val="0BCA04CD"/>
    <w:rsid w:val="0BCA5276"/>
    <w:rsid w:val="0BD43567"/>
    <w:rsid w:val="0BDF2B3F"/>
    <w:rsid w:val="0BE7726C"/>
    <w:rsid w:val="0BEB1E81"/>
    <w:rsid w:val="0BF1196B"/>
    <w:rsid w:val="0BF92F63"/>
    <w:rsid w:val="0BFE2369"/>
    <w:rsid w:val="0C0149DC"/>
    <w:rsid w:val="0C1E46B3"/>
    <w:rsid w:val="0C203E2E"/>
    <w:rsid w:val="0C227C79"/>
    <w:rsid w:val="0C2A517C"/>
    <w:rsid w:val="0C400593"/>
    <w:rsid w:val="0C4F16FA"/>
    <w:rsid w:val="0C4F2856"/>
    <w:rsid w:val="0C5B7783"/>
    <w:rsid w:val="0C6C2A03"/>
    <w:rsid w:val="0C7230AE"/>
    <w:rsid w:val="0C737112"/>
    <w:rsid w:val="0C7D5F6F"/>
    <w:rsid w:val="0C921A43"/>
    <w:rsid w:val="0CA30181"/>
    <w:rsid w:val="0CA45CE6"/>
    <w:rsid w:val="0CA52963"/>
    <w:rsid w:val="0CAA2DA3"/>
    <w:rsid w:val="0CAA56BA"/>
    <w:rsid w:val="0CB27138"/>
    <w:rsid w:val="0CBC0DF4"/>
    <w:rsid w:val="0CC46262"/>
    <w:rsid w:val="0CC7456D"/>
    <w:rsid w:val="0CD24C37"/>
    <w:rsid w:val="0CD52F53"/>
    <w:rsid w:val="0CE74EF0"/>
    <w:rsid w:val="0CE918C5"/>
    <w:rsid w:val="0CFB45A6"/>
    <w:rsid w:val="0D217FC1"/>
    <w:rsid w:val="0D237FE0"/>
    <w:rsid w:val="0D2F1C3E"/>
    <w:rsid w:val="0D4D5AB5"/>
    <w:rsid w:val="0D610B2A"/>
    <w:rsid w:val="0D625CCF"/>
    <w:rsid w:val="0D6767DA"/>
    <w:rsid w:val="0D76050D"/>
    <w:rsid w:val="0D7C4373"/>
    <w:rsid w:val="0D7E3A58"/>
    <w:rsid w:val="0D873E01"/>
    <w:rsid w:val="0DBB66A5"/>
    <w:rsid w:val="0DC26EF9"/>
    <w:rsid w:val="0DCE11B5"/>
    <w:rsid w:val="0DDE4FD5"/>
    <w:rsid w:val="0DE26422"/>
    <w:rsid w:val="0DEB4533"/>
    <w:rsid w:val="0DF00D27"/>
    <w:rsid w:val="0DF02F5A"/>
    <w:rsid w:val="0DF37BDA"/>
    <w:rsid w:val="0DF43F10"/>
    <w:rsid w:val="0DFB3465"/>
    <w:rsid w:val="0DFC1CBF"/>
    <w:rsid w:val="0E0E0EC3"/>
    <w:rsid w:val="0E1A6B2D"/>
    <w:rsid w:val="0E33311B"/>
    <w:rsid w:val="0E3554DF"/>
    <w:rsid w:val="0E40297F"/>
    <w:rsid w:val="0E45273F"/>
    <w:rsid w:val="0E4B5052"/>
    <w:rsid w:val="0E8C4A4E"/>
    <w:rsid w:val="0E9755D5"/>
    <w:rsid w:val="0E9B4A82"/>
    <w:rsid w:val="0E9E34AD"/>
    <w:rsid w:val="0EA33A67"/>
    <w:rsid w:val="0EB90862"/>
    <w:rsid w:val="0EB9159E"/>
    <w:rsid w:val="0EBB5489"/>
    <w:rsid w:val="0EBC24C4"/>
    <w:rsid w:val="0ECE168D"/>
    <w:rsid w:val="0ED957F9"/>
    <w:rsid w:val="0EE15C31"/>
    <w:rsid w:val="0EF079CC"/>
    <w:rsid w:val="0EF44E94"/>
    <w:rsid w:val="0EFA5735"/>
    <w:rsid w:val="0EFB26E0"/>
    <w:rsid w:val="0EFC3537"/>
    <w:rsid w:val="0F1503D7"/>
    <w:rsid w:val="0F166627"/>
    <w:rsid w:val="0F1A1B32"/>
    <w:rsid w:val="0F2F4197"/>
    <w:rsid w:val="0F3D1676"/>
    <w:rsid w:val="0F5359C2"/>
    <w:rsid w:val="0F545D77"/>
    <w:rsid w:val="0F5959AB"/>
    <w:rsid w:val="0F603A4B"/>
    <w:rsid w:val="0F657B6F"/>
    <w:rsid w:val="0F677BBE"/>
    <w:rsid w:val="0F7C6B81"/>
    <w:rsid w:val="0F812FCB"/>
    <w:rsid w:val="0F900AB3"/>
    <w:rsid w:val="0F924C28"/>
    <w:rsid w:val="0F9326D0"/>
    <w:rsid w:val="0F9D54D1"/>
    <w:rsid w:val="0FAC546C"/>
    <w:rsid w:val="0FAD2E2D"/>
    <w:rsid w:val="0FBB6A8E"/>
    <w:rsid w:val="0FBC4D21"/>
    <w:rsid w:val="0FCA1444"/>
    <w:rsid w:val="0FD50C97"/>
    <w:rsid w:val="0FE453CA"/>
    <w:rsid w:val="0FF0315D"/>
    <w:rsid w:val="0FFA6DF2"/>
    <w:rsid w:val="0FFB3399"/>
    <w:rsid w:val="1010343F"/>
    <w:rsid w:val="10267E3B"/>
    <w:rsid w:val="10460428"/>
    <w:rsid w:val="104A1CB7"/>
    <w:rsid w:val="105222A4"/>
    <w:rsid w:val="106874D7"/>
    <w:rsid w:val="107C5E67"/>
    <w:rsid w:val="107E09EF"/>
    <w:rsid w:val="10842FA1"/>
    <w:rsid w:val="108F4451"/>
    <w:rsid w:val="108F6DB8"/>
    <w:rsid w:val="10976757"/>
    <w:rsid w:val="10980C5A"/>
    <w:rsid w:val="10A46C6C"/>
    <w:rsid w:val="10AC360E"/>
    <w:rsid w:val="10BD4C93"/>
    <w:rsid w:val="10C312F8"/>
    <w:rsid w:val="10C73403"/>
    <w:rsid w:val="10D61F64"/>
    <w:rsid w:val="10DB6DBA"/>
    <w:rsid w:val="10EA7EE5"/>
    <w:rsid w:val="10EB6D6C"/>
    <w:rsid w:val="10F342B6"/>
    <w:rsid w:val="10F37D42"/>
    <w:rsid w:val="11201284"/>
    <w:rsid w:val="11291914"/>
    <w:rsid w:val="11336B48"/>
    <w:rsid w:val="11367F0D"/>
    <w:rsid w:val="114207E7"/>
    <w:rsid w:val="114401F9"/>
    <w:rsid w:val="1146544B"/>
    <w:rsid w:val="115A3779"/>
    <w:rsid w:val="116C5221"/>
    <w:rsid w:val="118D0AFC"/>
    <w:rsid w:val="119111E0"/>
    <w:rsid w:val="11997415"/>
    <w:rsid w:val="11A04A4A"/>
    <w:rsid w:val="11AA74C5"/>
    <w:rsid w:val="11B579A6"/>
    <w:rsid w:val="11BD2261"/>
    <w:rsid w:val="11C94145"/>
    <w:rsid w:val="11D413C1"/>
    <w:rsid w:val="11E00FF1"/>
    <w:rsid w:val="11E72415"/>
    <w:rsid w:val="11E92FB8"/>
    <w:rsid w:val="11F02061"/>
    <w:rsid w:val="11FE5AD5"/>
    <w:rsid w:val="12000F6D"/>
    <w:rsid w:val="12047EB9"/>
    <w:rsid w:val="121518F4"/>
    <w:rsid w:val="12210E91"/>
    <w:rsid w:val="12230BC6"/>
    <w:rsid w:val="122956A3"/>
    <w:rsid w:val="122C4F70"/>
    <w:rsid w:val="123163BA"/>
    <w:rsid w:val="124837BD"/>
    <w:rsid w:val="124D097B"/>
    <w:rsid w:val="1252417B"/>
    <w:rsid w:val="12573698"/>
    <w:rsid w:val="12712A39"/>
    <w:rsid w:val="127561E3"/>
    <w:rsid w:val="127A6C91"/>
    <w:rsid w:val="128D7B71"/>
    <w:rsid w:val="129D7F55"/>
    <w:rsid w:val="12A47AB9"/>
    <w:rsid w:val="12A50BF1"/>
    <w:rsid w:val="12B101AF"/>
    <w:rsid w:val="12BB1692"/>
    <w:rsid w:val="12CE3B28"/>
    <w:rsid w:val="12D72A76"/>
    <w:rsid w:val="12E7589C"/>
    <w:rsid w:val="12E86B2E"/>
    <w:rsid w:val="12F13B21"/>
    <w:rsid w:val="12F322F9"/>
    <w:rsid w:val="12F33AEA"/>
    <w:rsid w:val="12F4667C"/>
    <w:rsid w:val="12FA55E2"/>
    <w:rsid w:val="130B059B"/>
    <w:rsid w:val="131431D7"/>
    <w:rsid w:val="13173411"/>
    <w:rsid w:val="131B4D73"/>
    <w:rsid w:val="132800F1"/>
    <w:rsid w:val="13287AB1"/>
    <w:rsid w:val="132F409E"/>
    <w:rsid w:val="13321E54"/>
    <w:rsid w:val="13332544"/>
    <w:rsid w:val="133403D2"/>
    <w:rsid w:val="1334365B"/>
    <w:rsid w:val="134644BB"/>
    <w:rsid w:val="134E6ACD"/>
    <w:rsid w:val="13532B9F"/>
    <w:rsid w:val="13596EAB"/>
    <w:rsid w:val="136006EF"/>
    <w:rsid w:val="13633F18"/>
    <w:rsid w:val="136E1994"/>
    <w:rsid w:val="13782944"/>
    <w:rsid w:val="137F453B"/>
    <w:rsid w:val="13801C0C"/>
    <w:rsid w:val="138925FF"/>
    <w:rsid w:val="138E49D4"/>
    <w:rsid w:val="13AA3FB9"/>
    <w:rsid w:val="13BC4140"/>
    <w:rsid w:val="13C130B8"/>
    <w:rsid w:val="13C133CE"/>
    <w:rsid w:val="13DD6999"/>
    <w:rsid w:val="13E94231"/>
    <w:rsid w:val="13EF077D"/>
    <w:rsid w:val="13F66B0F"/>
    <w:rsid w:val="13F91A59"/>
    <w:rsid w:val="140565C9"/>
    <w:rsid w:val="14065889"/>
    <w:rsid w:val="14071333"/>
    <w:rsid w:val="14121F00"/>
    <w:rsid w:val="14157CFF"/>
    <w:rsid w:val="142A1B8C"/>
    <w:rsid w:val="1431403B"/>
    <w:rsid w:val="143D51AD"/>
    <w:rsid w:val="14455DB5"/>
    <w:rsid w:val="14497983"/>
    <w:rsid w:val="145356A5"/>
    <w:rsid w:val="14573A06"/>
    <w:rsid w:val="145964CE"/>
    <w:rsid w:val="146064E0"/>
    <w:rsid w:val="146634F5"/>
    <w:rsid w:val="146E59B7"/>
    <w:rsid w:val="14771BFB"/>
    <w:rsid w:val="147B2562"/>
    <w:rsid w:val="149E6DB3"/>
    <w:rsid w:val="14A25CC1"/>
    <w:rsid w:val="14A30DA0"/>
    <w:rsid w:val="14AC486F"/>
    <w:rsid w:val="14B54D20"/>
    <w:rsid w:val="14D902A4"/>
    <w:rsid w:val="14FE7D0A"/>
    <w:rsid w:val="15026240"/>
    <w:rsid w:val="150B53C0"/>
    <w:rsid w:val="15111512"/>
    <w:rsid w:val="15120E34"/>
    <w:rsid w:val="151347B6"/>
    <w:rsid w:val="151D6822"/>
    <w:rsid w:val="151D76E2"/>
    <w:rsid w:val="151E29EF"/>
    <w:rsid w:val="152366EF"/>
    <w:rsid w:val="1529591A"/>
    <w:rsid w:val="152F49F1"/>
    <w:rsid w:val="15472EE6"/>
    <w:rsid w:val="154D0DC0"/>
    <w:rsid w:val="155950A0"/>
    <w:rsid w:val="157111BC"/>
    <w:rsid w:val="157C10BD"/>
    <w:rsid w:val="158A3C94"/>
    <w:rsid w:val="158C5DDE"/>
    <w:rsid w:val="159A2FE3"/>
    <w:rsid w:val="159C695D"/>
    <w:rsid w:val="159D2DB9"/>
    <w:rsid w:val="15AE538F"/>
    <w:rsid w:val="15BD5BED"/>
    <w:rsid w:val="15BE5AF9"/>
    <w:rsid w:val="15C17F83"/>
    <w:rsid w:val="15C35E56"/>
    <w:rsid w:val="15C46C1B"/>
    <w:rsid w:val="15D5540F"/>
    <w:rsid w:val="15E924AD"/>
    <w:rsid w:val="15EE2829"/>
    <w:rsid w:val="160D3847"/>
    <w:rsid w:val="16127F5F"/>
    <w:rsid w:val="16183A6D"/>
    <w:rsid w:val="161D0F63"/>
    <w:rsid w:val="16277F30"/>
    <w:rsid w:val="162C4E22"/>
    <w:rsid w:val="1660774B"/>
    <w:rsid w:val="166E2C6E"/>
    <w:rsid w:val="166F2593"/>
    <w:rsid w:val="167F2DF7"/>
    <w:rsid w:val="16850002"/>
    <w:rsid w:val="1685350E"/>
    <w:rsid w:val="169052DA"/>
    <w:rsid w:val="16983ABF"/>
    <w:rsid w:val="169E2832"/>
    <w:rsid w:val="16A732CD"/>
    <w:rsid w:val="16B822DF"/>
    <w:rsid w:val="16C03F59"/>
    <w:rsid w:val="16C3480B"/>
    <w:rsid w:val="16C51CA5"/>
    <w:rsid w:val="16CB4E9D"/>
    <w:rsid w:val="16CE5BD8"/>
    <w:rsid w:val="16D459DB"/>
    <w:rsid w:val="16DF58FB"/>
    <w:rsid w:val="16EA2C3C"/>
    <w:rsid w:val="16F4518C"/>
    <w:rsid w:val="16F91545"/>
    <w:rsid w:val="170C702E"/>
    <w:rsid w:val="17171217"/>
    <w:rsid w:val="171933EF"/>
    <w:rsid w:val="172116DF"/>
    <w:rsid w:val="17236738"/>
    <w:rsid w:val="17316ABF"/>
    <w:rsid w:val="1735753B"/>
    <w:rsid w:val="173D4E28"/>
    <w:rsid w:val="174520BE"/>
    <w:rsid w:val="17503769"/>
    <w:rsid w:val="176A5676"/>
    <w:rsid w:val="176F19A6"/>
    <w:rsid w:val="17760F12"/>
    <w:rsid w:val="177673FF"/>
    <w:rsid w:val="1787048B"/>
    <w:rsid w:val="178D1616"/>
    <w:rsid w:val="1791320D"/>
    <w:rsid w:val="17C70888"/>
    <w:rsid w:val="17CB0BF1"/>
    <w:rsid w:val="17D24241"/>
    <w:rsid w:val="17D3085E"/>
    <w:rsid w:val="17EC719B"/>
    <w:rsid w:val="17EF29C5"/>
    <w:rsid w:val="17F36871"/>
    <w:rsid w:val="17F5185C"/>
    <w:rsid w:val="18033B1F"/>
    <w:rsid w:val="18037BDF"/>
    <w:rsid w:val="18053074"/>
    <w:rsid w:val="180A2B06"/>
    <w:rsid w:val="180C5E11"/>
    <w:rsid w:val="18115FA7"/>
    <w:rsid w:val="181D0B4B"/>
    <w:rsid w:val="182A0104"/>
    <w:rsid w:val="183A53B5"/>
    <w:rsid w:val="18463F1B"/>
    <w:rsid w:val="18495740"/>
    <w:rsid w:val="184F12F7"/>
    <w:rsid w:val="187A6402"/>
    <w:rsid w:val="187D34C3"/>
    <w:rsid w:val="18835AA6"/>
    <w:rsid w:val="189C2C68"/>
    <w:rsid w:val="18B90DE0"/>
    <w:rsid w:val="18BB297A"/>
    <w:rsid w:val="18BD1A34"/>
    <w:rsid w:val="18C71B47"/>
    <w:rsid w:val="18C87BBA"/>
    <w:rsid w:val="18CC0F04"/>
    <w:rsid w:val="18D76311"/>
    <w:rsid w:val="18E164EC"/>
    <w:rsid w:val="18F75181"/>
    <w:rsid w:val="18FD3996"/>
    <w:rsid w:val="19052CB5"/>
    <w:rsid w:val="190B0FC1"/>
    <w:rsid w:val="191A0178"/>
    <w:rsid w:val="191B0CF3"/>
    <w:rsid w:val="191F7822"/>
    <w:rsid w:val="1922596B"/>
    <w:rsid w:val="192A381F"/>
    <w:rsid w:val="192E7138"/>
    <w:rsid w:val="19365193"/>
    <w:rsid w:val="19560FD7"/>
    <w:rsid w:val="1959487C"/>
    <w:rsid w:val="196011BA"/>
    <w:rsid w:val="1962696F"/>
    <w:rsid w:val="19647C4E"/>
    <w:rsid w:val="198019C0"/>
    <w:rsid w:val="1980212F"/>
    <w:rsid w:val="1982222E"/>
    <w:rsid w:val="19917E56"/>
    <w:rsid w:val="19AD0379"/>
    <w:rsid w:val="19B061DB"/>
    <w:rsid w:val="19B760BB"/>
    <w:rsid w:val="19BA51B3"/>
    <w:rsid w:val="19E97647"/>
    <w:rsid w:val="19F31E08"/>
    <w:rsid w:val="19F71E2F"/>
    <w:rsid w:val="19F74B4D"/>
    <w:rsid w:val="19F85F38"/>
    <w:rsid w:val="1A0D36F9"/>
    <w:rsid w:val="1A143B31"/>
    <w:rsid w:val="1A161AA4"/>
    <w:rsid w:val="1A164F65"/>
    <w:rsid w:val="1A2A4626"/>
    <w:rsid w:val="1A3A0E56"/>
    <w:rsid w:val="1A494EE7"/>
    <w:rsid w:val="1A4C733A"/>
    <w:rsid w:val="1A5071BF"/>
    <w:rsid w:val="1A591CE7"/>
    <w:rsid w:val="1A5A3E5D"/>
    <w:rsid w:val="1A6D4D80"/>
    <w:rsid w:val="1A8827D6"/>
    <w:rsid w:val="1A8C2E21"/>
    <w:rsid w:val="1A987A7B"/>
    <w:rsid w:val="1AA64167"/>
    <w:rsid w:val="1AA740D9"/>
    <w:rsid w:val="1AAE0369"/>
    <w:rsid w:val="1AC67607"/>
    <w:rsid w:val="1ACD08AB"/>
    <w:rsid w:val="1ACE073E"/>
    <w:rsid w:val="1AD270EE"/>
    <w:rsid w:val="1AD31C39"/>
    <w:rsid w:val="1ADB0702"/>
    <w:rsid w:val="1ADC67B7"/>
    <w:rsid w:val="1AE814E2"/>
    <w:rsid w:val="1AF4363C"/>
    <w:rsid w:val="1AF668FB"/>
    <w:rsid w:val="1AF8189A"/>
    <w:rsid w:val="1AFD76D7"/>
    <w:rsid w:val="1B014330"/>
    <w:rsid w:val="1B0E6C12"/>
    <w:rsid w:val="1B1C0118"/>
    <w:rsid w:val="1B334C97"/>
    <w:rsid w:val="1B4D564D"/>
    <w:rsid w:val="1B654F4C"/>
    <w:rsid w:val="1B677C9C"/>
    <w:rsid w:val="1B6862BA"/>
    <w:rsid w:val="1B877960"/>
    <w:rsid w:val="1B8D5199"/>
    <w:rsid w:val="1B8F790E"/>
    <w:rsid w:val="1B9F150F"/>
    <w:rsid w:val="1B9F2D70"/>
    <w:rsid w:val="1BA139C6"/>
    <w:rsid w:val="1BA147C3"/>
    <w:rsid w:val="1BAA01F9"/>
    <w:rsid w:val="1BAD40D9"/>
    <w:rsid w:val="1BAD500D"/>
    <w:rsid w:val="1BAF23E4"/>
    <w:rsid w:val="1BBE1A50"/>
    <w:rsid w:val="1BBF1918"/>
    <w:rsid w:val="1BD376BC"/>
    <w:rsid w:val="1BE31406"/>
    <w:rsid w:val="1BEF729E"/>
    <w:rsid w:val="1C0237E3"/>
    <w:rsid w:val="1C044017"/>
    <w:rsid w:val="1C1257EE"/>
    <w:rsid w:val="1C2A71B4"/>
    <w:rsid w:val="1C4253AC"/>
    <w:rsid w:val="1C520EFD"/>
    <w:rsid w:val="1C531BF3"/>
    <w:rsid w:val="1C5647E1"/>
    <w:rsid w:val="1C5F4E50"/>
    <w:rsid w:val="1C620F9C"/>
    <w:rsid w:val="1C637273"/>
    <w:rsid w:val="1C76156C"/>
    <w:rsid w:val="1C7622D6"/>
    <w:rsid w:val="1C7631E1"/>
    <w:rsid w:val="1C7D439F"/>
    <w:rsid w:val="1C9257D4"/>
    <w:rsid w:val="1CA032C8"/>
    <w:rsid w:val="1CA16D3A"/>
    <w:rsid w:val="1CA85480"/>
    <w:rsid w:val="1CE35C0D"/>
    <w:rsid w:val="1CE76430"/>
    <w:rsid w:val="1CEA3D21"/>
    <w:rsid w:val="1CF52B44"/>
    <w:rsid w:val="1CFF45C7"/>
    <w:rsid w:val="1D0653FB"/>
    <w:rsid w:val="1D0748D3"/>
    <w:rsid w:val="1D09142A"/>
    <w:rsid w:val="1D0E4833"/>
    <w:rsid w:val="1D1E5BDE"/>
    <w:rsid w:val="1D2534DD"/>
    <w:rsid w:val="1D2D3883"/>
    <w:rsid w:val="1D540E0F"/>
    <w:rsid w:val="1D60491D"/>
    <w:rsid w:val="1D611166"/>
    <w:rsid w:val="1D671CA7"/>
    <w:rsid w:val="1D6B56C2"/>
    <w:rsid w:val="1D7211C5"/>
    <w:rsid w:val="1D7C38E5"/>
    <w:rsid w:val="1D7C3D6B"/>
    <w:rsid w:val="1D7D6A89"/>
    <w:rsid w:val="1D983F5A"/>
    <w:rsid w:val="1D9F5EAC"/>
    <w:rsid w:val="1DA726DC"/>
    <w:rsid w:val="1DA84CB7"/>
    <w:rsid w:val="1DAE056E"/>
    <w:rsid w:val="1DB95B67"/>
    <w:rsid w:val="1DBD2BFD"/>
    <w:rsid w:val="1DC03FA0"/>
    <w:rsid w:val="1DD47B92"/>
    <w:rsid w:val="1DD648FA"/>
    <w:rsid w:val="1DD97480"/>
    <w:rsid w:val="1DFA1B76"/>
    <w:rsid w:val="1E09017D"/>
    <w:rsid w:val="1E0C6872"/>
    <w:rsid w:val="1E1A3E93"/>
    <w:rsid w:val="1E2200E0"/>
    <w:rsid w:val="1E2F179E"/>
    <w:rsid w:val="1E3610D6"/>
    <w:rsid w:val="1E3F1F63"/>
    <w:rsid w:val="1E542A0B"/>
    <w:rsid w:val="1E590815"/>
    <w:rsid w:val="1E616A77"/>
    <w:rsid w:val="1E693469"/>
    <w:rsid w:val="1E6F3E9A"/>
    <w:rsid w:val="1E78026B"/>
    <w:rsid w:val="1E8043AA"/>
    <w:rsid w:val="1E86080E"/>
    <w:rsid w:val="1E8D2F04"/>
    <w:rsid w:val="1E8E2E0B"/>
    <w:rsid w:val="1E902759"/>
    <w:rsid w:val="1EBE582E"/>
    <w:rsid w:val="1EC031DF"/>
    <w:rsid w:val="1ECD7416"/>
    <w:rsid w:val="1ECE2E43"/>
    <w:rsid w:val="1ECE31BC"/>
    <w:rsid w:val="1ED339E6"/>
    <w:rsid w:val="1EDA0429"/>
    <w:rsid w:val="1EFB1CDD"/>
    <w:rsid w:val="1EFD09DA"/>
    <w:rsid w:val="1EFD6929"/>
    <w:rsid w:val="1F042CD9"/>
    <w:rsid w:val="1F096AD1"/>
    <w:rsid w:val="1F196F31"/>
    <w:rsid w:val="1F342C07"/>
    <w:rsid w:val="1F4E5F72"/>
    <w:rsid w:val="1F59262E"/>
    <w:rsid w:val="1F620E57"/>
    <w:rsid w:val="1F6F0F8A"/>
    <w:rsid w:val="1F7746CD"/>
    <w:rsid w:val="1F7A63A3"/>
    <w:rsid w:val="1F8D422A"/>
    <w:rsid w:val="1F933900"/>
    <w:rsid w:val="1F966216"/>
    <w:rsid w:val="1F9922A3"/>
    <w:rsid w:val="1FB06DF8"/>
    <w:rsid w:val="1FB20BA0"/>
    <w:rsid w:val="1FC74713"/>
    <w:rsid w:val="1FDC5402"/>
    <w:rsid w:val="1FE25535"/>
    <w:rsid w:val="1FF23D5B"/>
    <w:rsid w:val="1FF539E8"/>
    <w:rsid w:val="201D0CAE"/>
    <w:rsid w:val="20284D01"/>
    <w:rsid w:val="20490B82"/>
    <w:rsid w:val="20493418"/>
    <w:rsid w:val="2058029F"/>
    <w:rsid w:val="206235E0"/>
    <w:rsid w:val="20635A20"/>
    <w:rsid w:val="206643AE"/>
    <w:rsid w:val="207D5313"/>
    <w:rsid w:val="208A4CE8"/>
    <w:rsid w:val="20995545"/>
    <w:rsid w:val="20AA090F"/>
    <w:rsid w:val="20AF71E7"/>
    <w:rsid w:val="20BA1850"/>
    <w:rsid w:val="20C15CDF"/>
    <w:rsid w:val="20C534E0"/>
    <w:rsid w:val="20CE6FB4"/>
    <w:rsid w:val="20D11AEE"/>
    <w:rsid w:val="20EF5AB5"/>
    <w:rsid w:val="20F313C8"/>
    <w:rsid w:val="20FA42B5"/>
    <w:rsid w:val="21072993"/>
    <w:rsid w:val="21262B10"/>
    <w:rsid w:val="212C219F"/>
    <w:rsid w:val="213A5134"/>
    <w:rsid w:val="21557350"/>
    <w:rsid w:val="21792A83"/>
    <w:rsid w:val="217C377D"/>
    <w:rsid w:val="21845506"/>
    <w:rsid w:val="21865F47"/>
    <w:rsid w:val="219227E7"/>
    <w:rsid w:val="21925757"/>
    <w:rsid w:val="21954506"/>
    <w:rsid w:val="21967F6C"/>
    <w:rsid w:val="219B3C09"/>
    <w:rsid w:val="219B5671"/>
    <w:rsid w:val="219F4623"/>
    <w:rsid w:val="21AB0BB7"/>
    <w:rsid w:val="21B715DB"/>
    <w:rsid w:val="21BC2E94"/>
    <w:rsid w:val="21C4616F"/>
    <w:rsid w:val="21C82661"/>
    <w:rsid w:val="21CD412A"/>
    <w:rsid w:val="21CD73AC"/>
    <w:rsid w:val="21D3798C"/>
    <w:rsid w:val="21E16F61"/>
    <w:rsid w:val="21E464DA"/>
    <w:rsid w:val="21E62FB6"/>
    <w:rsid w:val="21E66FB0"/>
    <w:rsid w:val="220623A3"/>
    <w:rsid w:val="22063627"/>
    <w:rsid w:val="2220773E"/>
    <w:rsid w:val="2221364A"/>
    <w:rsid w:val="222515D0"/>
    <w:rsid w:val="2258300F"/>
    <w:rsid w:val="226A31BE"/>
    <w:rsid w:val="226E02AC"/>
    <w:rsid w:val="2280684F"/>
    <w:rsid w:val="228068B9"/>
    <w:rsid w:val="22830937"/>
    <w:rsid w:val="228755AF"/>
    <w:rsid w:val="22931CFE"/>
    <w:rsid w:val="22A01DD0"/>
    <w:rsid w:val="22AD25B4"/>
    <w:rsid w:val="22B95E2D"/>
    <w:rsid w:val="22BD45EC"/>
    <w:rsid w:val="22C20173"/>
    <w:rsid w:val="22C94458"/>
    <w:rsid w:val="22D12CF5"/>
    <w:rsid w:val="22D36C7A"/>
    <w:rsid w:val="22DB735D"/>
    <w:rsid w:val="22E220A1"/>
    <w:rsid w:val="22E97987"/>
    <w:rsid w:val="22FB613C"/>
    <w:rsid w:val="230351EA"/>
    <w:rsid w:val="23036D58"/>
    <w:rsid w:val="23092AD8"/>
    <w:rsid w:val="230B5B90"/>
    <w:rsid w:val="233731EF"/>
    <w:rsid w:val="233933C9"/>
    <w:rsid w:val="233B0096"/>
    <w:rsid w:val="23400A54"/>
    <w:rsid w:val="234842FF"/>
    <w:rsid w:val="23567065"/>
    <w:rsid w:val="235A1193"/>
    <w:rsid w:val="237C69EE"/>
    <w:rsid w:val="238615B6"/>
    <w:rsid w:val="23891E71"/>
    <w:rsid w:val="23957EF5"/>
    <w:rsid w:val="239F08AF"/>
    <w:rsid w:val="23A376D9"/>
    <w:rsid w:val="23A6505A"/>
    <w:rsid w:val="23B5025A"/>
    <w:rsid w:val="23BF0981"/>
    <w:rsid w:val="23CD2668"/>
    <w:rsid w:val="23E00202"/>
    <w:rsid w:val="23E274D4"/>
    <w:rsid w:val="23E32EED"/>
    <w:rsid w:val="23E40A13"/>
    <w:rsid w:val="23E457A0"/>
    <w:rsid w:val="23E6755B"/>
    <w:rsid w:val="23F5232C"/>
    <w:rsid w:val="2428210E"/>
    <w:rsid w:val="242E7EB3"/>
    <w:rsid w:val="24306FB4"/>
    <w:rsid w:val="244208A1"/>
    <w:rsid w:val="24441531"/>
    <w:rsid w:val="24446B17"/>
    <w:rsid w:val="246109A1"/>
    <w:rsid w:val="24614C26"/>
    <w:rsid w:val="246851A0"/>
    <w:rsid w:val="246904B5"/>
    <w:rsid w:val="24732EC1"/>
    <w:rsid w:val="24827881"/>
    <w:rsid w:val="248A24E4"/>
    <w:rsid w:val="24962C66"/>
    <w:rsid w:val="24B324C4"/>
    <w:rsid w:val="24B373DE"/>
    <w:rsid w:val="24C247FC"/>
    <w:rsid w:val="24CD56ED"/>
    <w:rsid w:val="24CF42BA"/>
    <w:rsid w:val="24D50D7A"/>
    <w:rsid w:val="24DC1410"/>
    <w:rsid w:val="24E95B44"/>
    <w:rsid w:val="24EF025A"/>
    <w:rsid w:val="24FE0D75"/>
    <w:rsid w:val="250025E5"/>
    <w:rsid w:val="25067B09"/>
    <w:rsid w:val="2509629B"/>
    <w:rsid w:val="250B68C1"/>
    <w:rsid w:val="251453C6"/>
    <w:rsid w:val="25153B26"/>
    <w:rsid w:val="251A4840"/>
    <w:rsid w:val="252F2DBC"/>
    <w:rsid w:val="25375BD9"/>
    <w:rsid w:val="253A1C19"/>
    <w:rsid w:val="25465E24"/>
    <w:rsid w:val="25493C12"/>
    <w:rsid w:val="25521420"/>
    <w:rsid w:val="25557CC1"/>
    <w:rsid w:val="256614A3"/>
    <w:rsid w:val="25826CB2"/>
    <w:rsid w:val="258E50DA"/>
    <w:rsid w:val="258F4AA1"/>
    <w:rsid w:val="25974EB0"/>
    <w:rsid w:val="259B27EB"/>
    <w:rsid w:val="25B14021"/>
    <w:rsid w:val="25B74626"/>
    <w:rsid w:val="25B873F2"/>
    <w:rsid w:val="25E46186"/>
    <w:rsid w:val="25E57F34"/>
    <w:rsid w:val="25E642D6"/>
    <w:rsid w:val="25F27687"/>
    <w:rsid w:val="26122A45"/>
    <w:rsid w:val="261A30C3"/>
    <w:rsid w:val="262E6F4C"/>
    <w:rsid w:val="26320923"/>
    <w:rsid w:val="26323262"/>
    <w:rsid w:val="26906EF1"/>
    <w:rsid w:val="269161A2"/>
    <w:rsid w:val="26967365"/>
    <w:rsid w:val="26A821CC"/>
    <w:rsid w:val="26D42515"/>
    <w:rsid w:val="26E4671F"/>
    <w:rsid w:val="26E6225C"/>
    <w:rsid w:val="26E739EB"/>
    <w:rsid w:val="26E825C8"/>
    <w:rsid w:val="26F934AF"/>
    <w:rsid w:val="27043A03"/>
    <w:rsid w:val="270E1616"/>
    <w:rsid w:val="271A7147"/>
    <w:rsid w:val="271B4765"/>
    <w:rsid w:val="2722788B"/>
    <w:rsid w:val="272818D0"/>
    <w:rsid w:val="27282370"/>
    <w:rsid w:val="272B2D22"/>
    <w:rsid w:val="273A0DDE"/>
    <w:rsid w:val="273F731D"/>
    <w:rsid w:val="27403392"/>
    <w:rsid w:val="274121D1"/>
    <w:rsid w:val="27432151"/>
    <w:rsid w:val="276271F2"/>
    <w:rsid w:val="276718E5"/>
    <w:rsid w:val="27716E60"/>
    <w:rsid w:val="27773BB9"/>
    <w:rsid w:val="2778671F"/>
    <w:rsid w:val="277C6E17"/>
    <w:rsid w:val="278008FF"/>
    <w:rsid w:val="27845717"/>
    <w:rsid w:val="2786305D"/>
    <w:rsid w:val="279171D2"/>
    <w:rsid w:val="27997215"/>
    <w:rsid w:val="27A0275C"/>
    <w:rsid w:val="27A55E58"/>
    <w:rsid w:val="27A729CF"/>
    <w:rsid w:val="27B275FE"/>
    <w:rsid w:val="27B5130F"/>
    <w:rsid w:val="27D843EB"/>
    <w:rsid w:val="27DA49CC"/>
    <w:rsid w:val="27E62055"/>
    <w:rsid w:val="27E9713F"/>
    <w:rsid w:val="27EF5AF0"/>
    <w:rsid w:val="27FA6C2A"/>
    <w:rsid w:val="280165CF"/>
    <w:rsid w:val="282576FE"/>
    <w:rsid w:val="28297E09"/>
    <w:rsid w:val="283868ED"/>
    <w:rsid w:val="2848347A"/>
    <w:rsid w:val="2862238F"/>
    <w:rsid w:val="28674413"/>
    <w:rsid w:val="28682ABE"/>
    <w:rsid w:val="2871794F"/>
    <w:rsid w:val="28A04D34"/>
    <w:rsid w:val="28AA029E"/>
    <w:rsid w:val="28AC6990"/>
    <w:rsid w:val="28BB1ACD"/>
    <w:rsid w:val="28BD3CA8"/>
    <w:rsid w:val="28C25231"/>
    <w:rsid w:val="28CE0693"/>
    <w:rsid w:val="28EB3FD6"/>
    <w:rsid w:val="28EC1F83"/>
    <w:rsid w:val="28EC572A"/>
    <w:rsid w:val="28EE0B72"/>
    <w:rsid w:val="28F13758"/>
    <w:rsid w:val="2931403C"/>
    <w:rsid w:val="294F2FF6"/>
    <w:rsid w:val="296042A7"/>
    <w:rsid w:val="2961005D"/>
    <w:rsid w:val="296148D9"/>
    <w:rsid w:val="297177CF"/>
    <w:rsid w:val="2990793C"/>
    <w:rsid w:val="299353D1"/>
    <w:rsid w:val="29987B95"/>
    <w:rsid w:val="299B50A3"/>
    <w:rsid w:val="299D2FA0"/>
    <w:rsid w:val="29A634C1"/>
    <w:rsid w:val="29AC12EA"/>
    <w:rsid w:val="29AC486B"/>
    <w:rsid w:val="29B222DA"/>
    <w:rsid w:val="29B246F9"/>
    <w:rsid w:val="29B305FE"/>
    <w:rsid w:val="29BF3DC0"/>
    <w:rsid w:val="29C05A89"/>
    <w:rsid w:val="29CA2BC3"/>
    <w:rsid w:val="29CD3442"/>
    <w:rsid w:val="29D50020"/>
    <w:rsid w:val="29E86279"/>
    <w:rsid w:val="29EC119F"/>
    <w:rsid w:val="29F10EC1"/>
    <w:rsid w:val="29FF5F90"/>
    <w:rsid w:val="2A016D6A"/>
    <w:rsid w:val="2A03339A"/>
    <w:rsid w:val="2A0357A4"/>
    <w:rsid w:val="2A0F4271"/>
    <w:rsid w:val="2A1329E4"/>
    <w:rsid w:val="2A285E8D"/>
    <w:rsid w:val="2A3B419D"/>
    <w:rsid w:val="2A474578"/>
    <w:rsid w:val="2A4D51DC"/>
    <w:rsid w:val="2A4F2AB6"/>
    <w:rsid w:val="2A533EF2"/>
    <w:rsid w:val="2A587773"/>
    <w:rsid w:val="2A723C3E"/>
    <w:rsid w:val="2A99159E"/>
    <w:rsid w:val="2AA2141F"/>
    <w:rsid w:val="2ABC68B2"/>
    <w:rsid w:val="2AC42EF8"/>
    <w:rsid w:val="2AC44386"/>
    <w:rsid w:val="2AD25A6C"/>
    <w:rsid w:val="2AE07661"/>
    <w:rsid w:val="2AE204EA"/>
    <w:rsid w:val="2AE64E94"/>
    <w:rsid w:val="2AF26BEF"/>
    <w:rsid w:val="2AF9239C"/>
    <w:rsid w:val="2B067AAD"/>
    <w:rsid w:val="2B0F66A3"/>
    <w:rsid w:val="2B1C283F"/>
    <w:rsid w:val="2B2E7401"/>
    <w:rsid w:val="2B5D12F4"/>
    <w:rsid w:val="2B687AB9"/>
    <w:rsid w:val="2B6D1958"/>
    <w:rsid w:val="2B7B2982"/>
    <w:rsid w:val="2B7C689A"/>
    <w:rsid w:val="2B7F2405"/>
    <w:rsid w:val="2B881CA7"/>
    <w:rsid w:val="2B89111D"/>
    <w:rsid w:val="2BAB0DC0"/>
    <w:rsid w:val="2BCA7FF2"/>
    <w:rsid w:val="2BCD2AC7"/>
    <w:rsid w:val="2BDB54D0"/>
    <w:rsid w:val="2BFA6E3A"/>
    <w:rsid w:val="2BFE4598"/>
    <w:rsid w:val="2C04027B"/>
    <w:rsid w:val="2C0B26DD"/>
    <w:rsid w:val="2C0F3C53"/>
    <w:rsid w:val="2C113A36"/>
    <w:rsid w:val="2C1C611A"/>
    <w:rsid w:val="2C2C0776"/>
    <w:rsid w:val="2C2C4D53"/>
    <w:rsid w:val="2C3003DA"/>
    <w:rsid w:val="2C352DBE"/>
    <w:rsid w:val="2C4E63F4"/>
    <w:rsid w:val="2C613A01"/>
    <w:rsid w:val="2C6429C2"/>
    <w:rsid w:val="2C7007D1"/>
    <w:rsid w:val="2C73502A"/>
    <w:rsid w:val="2C8B4966"/>
    <w:rsid w:val="2C985C23"/>
    <w:rsid w:val="2C9E40DF"/>
    <w:rsid w:val="2CA92C2F"/>
    <w:rsid w:val="2CC04700"/>
    <w:rsid w:val="2CCB7E63"/>
    <w:rsid w:val="2CCE4918"/>
    <w:rsid w:val="2CD35F4A"/>
    <w:rsid w:val="2CD45AC9"/>
    <w:rsid w:val="2CED2131"/>
    <w:rsid w:val="2CEF54DA"/>
    <w:rsid w:val="2CF90C9B"/>
    <w:rsid w:val="2D062E5D"/>
    <w:rsid w:val="2D0F29F4"/>
    <w:rsid w:val="2D21170D"/>
    <w:rsid w:val="2D235ACA"/>
    <w:rsid w:val="2D4237CA"/>
    <w:rsid w:val="2D5179A0"/>
    <w:rsid w:val="2D5326F0"/>
    <w:rsid w:val="2D5704A8"/>
    <w:rsid w:val="2D5874FA"/>
    <w:rsid w:val="2D936083"/>
    <w:rsid w:val="2D9C347F"/>
    <w:rsid w:val="2D9E7F4D"/>
    <w:rsid w:val="2DAF488E"/>
    <w:rsid w:val="2DBF48F2"/>
    <w:rsid w:val="2DD85E42"/>
    <w:rsid w:val="2DF23E9E"/>
    <w:rsid w:val="2DF3355E"/>
    <w:rsid w:val="2E001218"/>
    <w:rsid w:val="2E17114A"/>
    <w:rsid w:val="2E215460"/>
    <w:rsid w:val="2E242BB5"/>
    <w:rsid w:val="2E243469"/>
    <w:rsid w:val="2E27692E"/>
    <w:rsid w:val="2E2A3D19"/>
    <w:rsid w:val="2E3C4F0D"/>
    <w:rsid w:val="2E4756C4"/>
    <w:rsid w:val="2E5479FC"/>
    <w:rsid w:val="2E610F8A"/>
    <w:rsid w:val="2E623DDE"/>
    <w:rsid w:val="2E7667B3"/>
    <w:rsid w:val="2E7B1D83"/>
    <w:rsid w:val="2E7B3A83"/>
    <w:rsid w:val="2E7E2B75"/>
    <w:rsid w:val="2E81406D"/>
    <w:rsid w:val="2E8D7ED5"/>
    <w:rsid w:val="2E94602C"/>
    <w:rsid w:val="2EA16A57"/>
    <w:rsid w:val="2EA172A6"/>
    <w:rsid w:val="2EAB6683"/>
    <w:rsid w:val="2EAF6067"/>
    <w:rsid w:val="2ECA6BCB"/>
    <w:rsid w:val="2ECE7D00"/>
    <w:rsid w:val="2ED85C9F"/>
    <w:rsid w:val="2EEA2DF0"/>
    <w:rsid w:val="2EF16CC5"/>
    <w:rsid w:val="2EF170A8"/>
    <w:rsid w:val="2EFC2CC6"/>
    <w:rsid w:val="2F011C65"/>
    <w:rsid w:val="2F055C30"/>
    <w:rsid w:val="2F0605C2"/>
    <w:rsid w:val="2F06754D"/>
    <w:rsid w:val="2F0703F1"/>
    <w:rsid w:val="2F0C6266"/>
    <w:rsid w:val="2F1020B8"/>
    <w:rsid w:val="2F360C72"/>
    <w:rsid w:val="2F4363D0"/>
    <w:rsid w:val="2F5E6375"/>
    <w:rsid w:val="2F6A0BFA"/>
    <w:rsid w:val="2F6B4C2B"/>
    <w:rsid w:val="2F6D6971"/>
    <w:rsid w:val="2F7B5B5F"/>
    <w:rsid w:val="2F7D23FA"/>
    <w:rsid w:val="2F805A94"/>
    <w:rsid w:val="2F843499"/>
    <w:rsid w:val="2F8919F4"/>
    <w:rsid w:val="2F963509"/>
    <w:rsid w:val="2F9A024E"/>
    <w:rsid w:val="2FAD486D"/>
    <w:rsid w:val="2FB25711"/>
    <w:rsid w:val="2FC372F8"/>
    <w:rsid w:val="300528CD"/>
    <w:rsid w:val="30187CA8"/>
    <w:rsid w:val="301B27CA"/>
    <w:rsid w:val="30252CF1"/>
    <w:rsid w:val="30275F10"/>
    <w:rsid w:val="30286D1B"/>
    <w:rsid w:val="302C52D0"/>
    <w:rsid w:val="30354AD0"/>
    <w:rsid w:val="303912CB"/>
    <w:rsid w:val="304F240D"/>
    <w:rsid w:val="305E6B84"/>
    <w:rsid w:val="30757826"/>
    <w:rsid w:val="307A1170"/>
    <w:rsid w:val="307C467C"/>
    <w:rsid w:val="30863944"/>
    <w:rsid w:val="30895143"/>
    <w:rsid w:val="308C4C56"/>
    <w:rsid w:val="30987BAF"/>
    <w:rsid w:val="309B7FB5"/>
    <w:rsid w:val="30A041BB"/>
    <w:rsid w:val="30A21A3A"/>
    <w:rsid w:val="30C03B63"/>
    <w:rsid w:val="30D60049"/>
    <w:rsid w:val="30DA612E"/>
    <w:rsid w:val="30E374CB"/>
    <w:rsid w:val="30F1206F"/>
    <w:rsid w:val="30FD276C"/>
    <w:rsid w:val="310D0795"/>
    <w:rsid w:val="31110384"/>
    <w:rsid w:val="3118530D"/>
    <w:rsid w:val="311B0B83"/>
    <w:rsid w:val="31263704"/>
    <w:rsid w:val="31335015"/>
    <w:rsid w:val="313444DA"/>
    <w:rsid w:val="313A00D6"/>
    <w:rsid w:val="31404CBC"/>
    <w:rsid w:val="314164B9"/>
    <w:rsid w:val="31423588"/>
    <w:rsid w:val="31432D80"/>
    <w:rsid w:val="31694EA5"/>
    <w:rsid w:val="317C26E2"/>
    <w:rsid w:val="317E3B33"/>
    <w:rsid w:val="31822EA3"/>
    <w:rsid w:val="318823B5"/>
    <w:rsid w:val="318C25B5"/>
    <w:rsid w:val="31A812DD"/>
    <w:rsid w:val="31AD70B0"/>
    <w:rsid w:val="31B70201"/>
    <w:rsid w:val="31BB6A54"/>
    <w:rsid w:val="31C25655"/>
    <w:rsid w:val="31CC3AAB"/>
    <w:rsid w:val="31EE325B"/>
    <w:rsid w:val="31F3202A"/>
    <w:rsid w:val="31F640E2"/>
    <w:rsid w:val="31F73384"/>
    <w:rsid w:val="31F76F67"/>
    <w:rsid w:val="31FC732C"/>
    <w:rsid w:val="31FD75EA"/>
    <w:rsid w:val="32172A89"/>
    <w:rsid w:val="322A206E"/>
    <w:rsid w:val="323A19FB"/>
    <w:rsid w:val="32523BD2"/>
    <w:rsid w:val="325C1B21"/>
    <w:rsid w:val="325E4907"/>
    <w:rsid w:val="325F7AD4"/>
    <w:rsid w:val="326E1DA8"/>
    <w:rsid w:val="32764A43"/>
    <w:rsid w:val="328C5A1F"/>
    <w:rsid w:val="32AF1D2D"/>
    <w:rsid w:val="32B422A2"/>
    <w:rsid w:val="32DA5FD2"/>
    <w:rsid w:val="32FB6D75"/>
    <w:rsid w:val="33140D5C"/>
    <w:rsid w:val="33221CE9"/>
    <w:rsid w:val="3326250F"/>
    <w:rsid w:val="33286253"/>
    <w:rsid w:val="332D20BB"/>
    <w:rsid w:val="3338632C"/>
    <w:rsid w:val="334838B5"/>
    <w:rsid w:val="335552A8"/>
    <w:rsid w:val="335E0C09"/>
    <w:rsid w:val="335E76DA"/>
    <w:rsid w:val="33622FBD"/>
    <w:rsid w:val="336B6A5B"/>
    <w:rsid w:val="336D29BB"/>
    <w:rsid w:val="33777BDF"/>
    <w:rsid w:val="338226BF"/>
    <w:rsid w:val="338426A8"/>
    <w:rsid w:val="3393405E"/>
    <w:rsid w:val="339B7B9C"/>
    <w:rsid w:val="33B41642"/>
    <w:rsid w:val="33D47CD3"/>
    <w:rsid w:val="33DF628F"/>
    <w:rsid w:val="33E22740"/>
    <w:rsid w:val="33E33DAA"/>
    <w:rsid w:val="33E66E0D"/>
    <w:rsid w:val="33F12CF5"/>
    <w:rsid w:val="33F472F4"/>
    <w:rsid w:val="341A465E"/>
    <w:rsid w:val="342564A7"/>
    <w:rsid w:val="342B2C4B"/>
    <w:rsid w:val="34413930"/>
    <w:rsid w:val="34490D4E"/>
    <w:rsid w:val="344C0107"/>
    <w:rsid w:val="344D5A5A"/>
    <w:rsid w:val="345075D7"/>
    <w:rsid w:val="34632C0E"/>
    <w:rsid w:val="346D3315"/>
    <w:rsid w:val="347131C9"/>
    <w:rsid w:val="34794F36"/>
    <w:rsid w:val="348D1BAC"/>
    <w:rsid w:val="348E197A"/>
    <w:rsid w:val="348E7897"/>
    <w:rsid w:val="349139E8"/>
    <w:rsid w:val="34917AD8"/>
    <w:rsid w:val="34A12D86"/>
    <w:rsid w:val="34B45B0C"/>
    <w:rsid w:val="34C83166"/>
    <w:rsid w:val="34CA5019"/>
    <w:rsid w:val="34D00650"/>
    <w:rsid w:val="34D060C8"/>
    <w:rsid w:val="34E06416"/>
    <w:rsid w:val="34E7235B"/>
    <w:rsid w:val="34EF15FB"/>
    <w:rsid w:val="34FB3A20"/>
    <w:rsid w:val="35004F11"/>
    <w:rsid w:val="35065BC1"/>
    <w:rsid w:val="35431E02"/>
    <w:rsid w:val="354F2DD5"/>
    <w:rsid w:val="35587F57"/>
    <w:rsid w:val="355D31B2"/>
    <w:rsid w:val="35647C4D"/>
    <w:rsid w:val="357165DC"/>
    <w:rsid w:val="357F318C"/>
    <w:rsid w:val="358523F6"/>
    <w:rsid w:val="35AD088D"/>
    <w:rsid w:val="35BE3D11"/>
    <w:rsid w:val="35BF424F"/>
    <w:rsid w:val="35BF4F22"/>
    <w:rsid w:val="35C12DFA"/>
    <w:rsid w:val="35CE3DA4"/>
    <w:rsid w:val="35D001C3"/>
    <w:rsid w:val="35D94F86"/>
    <w:rsid w:val="35E337E3"/>
    <w:rsid w:val="35FA3CC9"/>
    <w:rsid w:val="360025EB"/>
    <w:rsid w:val="36067AA5"/>
    <w:rsid w:val="360B70C5"/>
    <w:rsid w:val="3616641F"/>
    <w:rsid w:val="361F3660"/>
    <w:rsid w:val="36204F48"/>
    <w:rsid w:val="3624559D"/>
    <w:rsid w:val="36334828"/>
    <w:rsid w:val="36403771"/>
    <w:rsid w:val="364B0D9A"/>
    <w:rsid w:val="36564B4E"/>
    <w:rsid w:val="36670D84"/>
    <w:rsid w:val="366C2F77"/>
    <w:rsid w:val="367C65ED"/>
    <w:rsid w:val="369938DF"/>
    <w:rsid w:val="369A7FB2"/>
    <w:rsid w:val="36A0394F"/>
    <w:rsid w:val="36A76F6E"/>
    <w:rsid w:val="36AD17CD"/>
    <w:rsid w:val="36B77429"/>
    <w:rsid w:val="36BA2220"/>
    <w:rsid w:val="36BC6E5A"/>
    <w:rsid w:val="36D14A8D"/>
    <w:rsid w:val="36E125D1"/>
    <w:rsid w:val="36EC6E1D"/>
    <w:rsid w:val="36FF44B6"/>
    <w:rsid w:val="3730436B"/>
    <w:rsid w:val="37307DA0"/>
    <w:rsid w:val="373959B7"/>
    <w:rsid w:val="373D3C1A"/>
    <w:rsid w:val="374807F2"/>
    <w:rsid w:val="374B166A"/>
    <w:rsid w:val="37504905"/>
    <w:rsid w:val="37510F5F"/>
    <w:rsid w:val="37554A14"/>
    <w:rsid w:val="375579C6"/>
    <w:rsid w:val="376240B8"/>
    <w:rsid w:val="37667F69"/>
    <w:rsid w:val="376F50D9"/>
    <w:rsid w:val="377140A7"/>
    <w:rsid w:val="378E39D6"/>
    <w:rsid w:val="37970350"/>
    <w:rsid w:val="379C0F3E"/>
    <w:rsid w:val="37AC55F4"/>
    <w:rsid w:val="37AF78BF"/>
    <w:rsid w:val="37B84450"/>
    <w:rsid w:val="37B94CCF"/>
    <w:rsid w:val="37CA1552"/>
    <w:rsid w:val="37CB3525"/>
    <w:rsid w:val="37CC06C5"/>
    <w:rsid w:val="37CF0A57"/>
    <w:rsid w:val="37DA3CA8"/>
    <w:rsid w:val="37DE2A14"/>
    <w:rsid w:val="37F70866"/>
    <w:rsid w:val="38053E16"/>
    <w:rsid w:val="380D50A3"/>
    <w:rsid w:val="38165566"/>
    <w:rsid w:val="381A63C3"/>
    <w:rsid w:val="383158C3"/>
    <w:rsid w:val="38367687"/>
    <w:rsid w:val="3844340B"/>
    <w:rsid w:val="384856EC"/>
    <w:rsid w:val="38600ED0"/>
    <w:rsid w:val="386369C6"/>
    <w:rsid w:val="386A3C6A"/>
    <w:rsid w:val="386C72CC"/>
    <w:rsid w:val="38712169"/>
    <w:rsid w:val="3871488F"/>
    <w:rsid w:val="38785394"/>
    <w:rsid w:val="387E3452"/>
    <w:rsid w:val="387F712F"/>
    <w:rsid w:val="38952351"/>
    <w:rsid w:val="38A02D03"/>
    <w:rsid w:val="38A102EE"/>
    <w:rsid w:val="38AF0F10"/>
    <w:rsid w:val="38B06938"/>
    <w:rsid w:val="38B44711"/>
    <w:rsid w:val="38CA305E"/>
    <w:rsid w:val="38D338D2"/>
    <w:rsid w:val="38D63B6F"/>
    <w:rsid w:val="38D6748E"/>
    <w:rsid w:val="38EB284C"/>
    <w:rsid w:val="38F4048C"/>
    <w:rsid w:val="38F51392"/>
    <w:rsid w:val="38FC0535"/>
    <w:rsid w:val="39095982"/>
    <w:rsid w:val="390D4873"/>
    <w:rsid w:val="39111E53"/>
    <w:rsid w:val="3914252C"/>
    <w:rsid w:val="39180046"/>
    <w:rsid w:val="3938031F"/>
    <w:rsid w:val="393C5818"/>
    <w:rsid w:val="394025D1"/>
    <w:rsid w:val="3954469F"/>
    <w:rsid w:val="39637D05"/>
    <w:rsid w:val="397A0296"/>
    <w:rsid w:val="397A73CA"/>
    <w:rsid w:val="397C05A0"/>
    <w:rsid w:val="398460CE"/>
    <w:rsid w:val="399600AF"/>
    <w:rsid w:val="399D1283"/>
    <w:rsid w:val="39A548AC"/>
    <w:rsid w:val="39B13840"/>
    <w:rsid w:val="39B5614E"/>
    <w:rsid w:val="39C07FB5"/>
    <w:rsid w:val="39CA36BC"/>
    <w:rsid w:val="39CB005B"/>
    <w:rsid w:val="39D80F44"/>
    <w:rsid w:val="39E266A7"/>
    <w:rsid w:val="39F9367E"/>
    <w:rsid w:val="3A0E1B3F"/>
    <w:rsid w:val="3A1D6F67"/>
    <w:rsid w:val="3A2520A5"/>
    <w:rsid w:val="3A2F1B73"/>
    <w:rsid w:val="3A460EF8"/>
    <w:rsid w:val="3A4D1B7C"/>
    <w:rsid w:val="3A4D7DEE"/>
    <w:rsid w:val="3A507E2F"/>
    <w:rsid w:val="3A511AA0"/>
    <w:rsid w:val="3A626ADF"/>
    <w:rsid w:val="3A671B38"/>
    <w:rsid w:val="3A6A171C"/>
    <w:rsid w:val="3A820764"/>
    <w:rsid w:val="3A8240A1"/>
    <w:rsid w:val="3A894FD4"/>
    <w:rsid w:val="3A8A0380"/>
    <w:rsid w:val="3AAA084D"/>
    <w:rsid w:val="3ACA0059"/>
    <w:rsid w:val="3ACE19FE"/>
    <w:rsid w:val="3ADA31A7"/>
    <w:rsid w:val="3ADA7C0A"/>
    <w:rsid w:val="3AE1146A"/>
    <w:rsid w:val="3AE70633"/>
    <w:rsid w:val="3AEE4A2D"/>
    <w:rsid w:val="3AEE56B5"/>
    <w:rsid w:val="3AF125D8"/>
    <w:rsid w:val="3AF54EC0"/>
    <w:rsid w:val="3AF67AF9"/>
    <w:rsid w:val="3AFF6407"/>
    <w:rsid w:val="3B05685A"/>
    <w:rsid w:val="3B320CB9"/>
    <w:rsid w:val="3B33106A"/>
    <w:rsid w:val="3B3A6E0E"/>
    <w:rsid w:val="3B421B19"/>
    <w:rsid w:val="3B5270C4"/>
    <w:rsid w:val="3B736C72"/>
    <w:rsid w:val="3B7C1C32"/>
    <w:rsid w:val="3B7D32FB"/>
    <w:rsid w:val="3B8464BD"/>
    <w:rsid w:val="3B8B7DB7"/>
    <w:rsid w:val="3BA21B40"/>
    <w:rsid w:val="3BB77C3E"/>
    <w:rsid w:val="3BB96571"/>
    <w:rsid w:val="3BBA154B"/>
    <w:rsid w:val="3BBB5003"/>
    <w:rsid w:val="3BC3571A"/>
    <w:rsid w:val="3BC73AF2"/>
    <w:rsid w:val="3BE621CD"/>
    <w:rsid w:val="3BE97EC8"/>
    <w:rsid w:val="3BF02D89"/>
    <w:rsid w:val="3BF673A9"/>
    <w:rsid w:val="3BFD589A"/>
    <w:rsid w:val="3C072A91"/>
    <w:rsid w:val="3C15708C"/>
    <w:rsid w:val="3C1B2A8E"/>
    <w:rsid w:val="3C325E91"/>
    <w:rsid w:val="3C3465E6"/>
    <w:rsid w:val="3C3F04A5"/>
    <w:rsid w:val="3C4302B4"/>
    <w:rsid w:val="3C471327"/>
    <w:rsid w:val="3C592F9C"/>
    <w:rsid w:val="3C614BF0"/>
    <w:rsid w:val="3C677840"/>
    <w:rsid w:val="3C6B39F6"/>
    <w:rsid w:val="3C6E0204"/>
    <w:rsid w:val="3C7D18AC"/>
    <w:rsid w:val="3C883CFE"/>
    <w:rsid w:val="3C8855BC"/>
    <w:rsid w:val="3C8C1B6D"/>
    <w:rsid w:val="3C93589D"/>
    <w:rsid w:val="3C9A4D13"/>
    <w:rsid w:val="3CA518D0"/>
    <w:rsid w:val="3CBB184E"/>
    <w:rsid w:val="3CD07617"/>
    <w:rsid w:val="3CDB5382"/>
    <w:rsid w:val="3CEE2215"/>
    <w:rsid w:val="3CEF56BC"/>
    <w:rsid w:val="3D050E9F"/>
    <w:rsid w:val="3D1316F3"/>
    <w:rsid w:val="3D143125"/>
    <w:rsid w:val="3D2A56DD"/>
    <w:rsid w:val="3D326F37"/>
    <w:rsid w:val="3D3343E1"/>
    <w:rsid w:val="3D3B3BAE"/>
    <w:rsid w:val="3D5E027A"/>
    <w:rsid w:val="3D5F6226"/>
    <w:rsid w:val="3D61514B"/>
    <w:rsid w:val="3D62649B"/>
    <w:rsid w:val="3D732D45"/>
    <w:rsid w:val="3D7715A0"/>
    <w:rsid w:val="3D787873"/>
    <w:rsid w:val="3D7F67DA"/>
    <w:rsid w:val="3D9A637B"/>
    <w:rsid w:val="3D9B5E1C"/>
    <w:rsid w:val="3DAC2E6E"/>
    <w:rsid w:val="3DB042A9"/>
    <w:rsid w:val="3DBA5AB5"/>
    <w:rsid w:val="3DBB47A3"/>
    <w:rsid w:val="3DBF4515"/>
    <w:rsid w:val="3DC350E9"/>
    <w:rsid w:val="3DC56D18"/>
    <w:rsid w:val="3DCF0412"/>
    <w:rsid w:val="3DE6285D"/>
    <w:rsid w:val="3DED3675"/>
    <w:rsid w:val="3DF0659A"/>
    <w:rsid w:val="3DF71413"/>
    <w:rsid w:val="3E003037"/>
    <w:rsid w:val="3E115D8B"/>
    <w:rsid w:val="3E12113F"/>
    <w:rsid w:val="3E345123"/>
    <w:rsid w:val="3E362773"/>
    <w:rsid w:val="3E390C6C"/>
    <w:rsid w:val="3E391AB1"/>
    <w:rsid w:val="3E396547"/>
    <w:rsid w:val="3E3B4703"/>
    <w:rsid w:val="3E652C97"/>
    <w:rsid w:val="3E6A5D96"/>
    <w:rsid w:val="3E7B4D39"/>
    <w:rsid w:val="3E7E06A8"/>
    <w:rsid w:val="3E8A61B0"/>
    <w:rsid w:val="3EA13564"/>
    <w:rsid w:val="3EBA4BC0"/>
    <w:rsid w:val="3EC37D6A"/>
    <w:rsid w:val="3EC675CD"/>
    <w:rsid w:val="3ECD214D"/>
    <w:rsid w:val="3ED2712A"/>
    <w:rsid w:val="3EDC3CCF"/>
    <w:rsid w:val="3EE02DA1"/>
    <w:rsid w:val="3EE410C1"/>
    <w:rsid w:val="3EE62144"/>
    <w:rsid w:val="3EE7519C"/>
    <w:rsid w:val="3EEE66E1"/>
    <w:rsid w:val="3EF85C99"/>
    <w:rsid w:val="3EFD43E0"/>
    <w:rsid w:val="3F0244FD"/>
    <w:rsid w:val="3F0B6169"/>
    <w:rsid w:val="3F0D33E8"/>
    <w:rsid w:val="3F0D6B4E"/>
    <w:rsid w:val="3F105DD2"/>
    <w:rsid w:val="3F2226C4"/>
    <w:rsid w:val="3F2C6B41"/>
    <w:rsid w:val="3F3642F8"/>
    <w:rsid w:val="3F3C4CE2"/>
    <w:rsid w:val="3F3F2D4F"/>
    <w:rsid w:val="3F49568D"/>
    <w:rsid w:val="3F4A0AD2"/>
    <w:rsid w:val="3F5A5C63"/>
    <w:rsid w:val="3F680DB8"/>
    <w:rsid w:val="3F6C3497"/>
    <w:rsid w:val="3F7214AB"/>
    <w:rsid w:val="3F7B50F8"/>
    <w:rsid w:val="3F7E56B2"/>
    <w:rsid w:val="3F8E0862"/>
    <w:rsid w:val="3F914907"/>
    <w:rsid w:val="3F9F7964"/>
    <w:rsid w:val="3FA72A28"/>
    <w:rsid w:val="3FAA44A3"/>
    <w:rsid w:val="3FB9370F"/>
    <w:rsid w:val="3FBD4EAF"/>
    <w:rsid w:val="3FC10999"/>
    <w:rsid w:val="3FC43E7E"/>
    <w:rsid w:val="3FC54E26"/>
    <w:rsid w:val="3FC904BA"/>
    <w:rsid w:val="3FD316C4"/>
    <w:rsid w:val="3FD66687"/>
    <w:rsid w:val="3FEF42B0"/>
    <w:rsid w:val="3FFB24A8"/>
    <w:rsid w:val="401B1D89"/>
    <w:rsid w:val="401B1E80"/>
    <w:rsid w:val="40233E13"/>
    <w:rsid w:val="40371AEB"/>
    <w:rsid w:val="403A34BF"/>
    <w:rsid w:val="403E135E"/>
    <w:rsid w:val="40461BE8"/>
    <w:rsid w:val="404D1B35"/>
    <w:rsid w:val="40572B80"/>
    <w:rsid w:val="405C5CD8"/>
    <w:rsid w:val="406A442D"/>
    <w:rsid w:val="406B2131"/>
    <w:rsid w:val="407B55AF"/>
    <w:rsid w:val="40817C2B"/>
    <w:rsid w:val="408C4C35"/>
    <w:rsid w:val="408C741E"/>
    <w:rsid w:val="40A47871"/>
    <w:rsid w:val="40AA096A"/>
    <w:rsid w:val="40BE47BF"/>
    <w:rsid w:val="40C755C3"/>
    <w:rsid w:val="40D12960"/>
    <w:rsid w:val="40D94A2F"/>
    <w:rsid w:val="40EF2F6F"/>
    <w:rsid w:val="40F30ABF"/>
    <w:rsid w:val="40F35563"/>
    <w:rsid w:val="40F46241"/>
    <w:rsid w:val="40FB2F96"/>
    <w:rsid w:val="41053EE9"/>
    <w:rsid w:val="41162815"/>
    <w:rsid w:val="414328DC"/>
    <w:rsid w:val="41462226"/>
    <w:rsid w:val="414F1ABD"/>
    <w:rsid w:val="414F3663"/>
    <w:rsid w:val="415A33F1"/>
    <w:rsid w:val="416C6814"/>
    <w:rsid w:val="41714A20"/>
    <w:rsid w:val="419458BB"/>
    <w:rsid w:val="41A353BD"/>
    <w:rsid w:val="41A41AB2"/>
    <w:rsid w:val="41B44EBA"/>
    <w:rsid w:val="41B6778D"/>
    <w:rsid w:val="41C61C6E"/>
    <w:rsid w:val="41C76ECA"/>
    <w:rsid w:val="41CC2A17"/>
    <w:rsid w:val="41D968F7"/>
    <w:rsid w:val="41E46F0B"/>
    <w:rsid w:val="41EF54AD"/>
    <w:rsid w:val="41F81A75"/>
    <w:rsid w:val="41FA4CBA"/>
    <w:rsid w:val="41FD2111"/>
    <w:rsid w:val="420B2393"/>
    <w:rsid w:val="420D72F7"/>
    <w:rsid w:val="421C5640"/>
    <w:rsid w:val="422449A5"/>
    <w:rsid w:val="423106E9"/>
    <w:rsid w:val="42367C1A"/>
    <w:rsid w:val="424A2E47"/>
    <w:rsid w:val="425A2E6B"/>
    <w:rsid w:val="425A4050"/>
    <w:rsid w:val="425B7825"/>
    <w:rsid w:val="425C3B94"/>
    <w:rsid w:val="425E65DA"/>
    <w:rsid w:val="426715B0"/>
    <w:rsid w:val="42675F01"/>
    <w:rsid w:val="42713088"/>
    <w:rsid w:val="428C754F"/>
    <w:rsid w:val="429A29C7"/>
    <w:rsid w:val="42A70B56"/>
    <w:rsid w:val="42A81E82"/>
    <w:rsid w:val="42AB17DA"/>
    <w:rsid w:val="42AE4310"/>
    <w:rsid w:val="42B67A0E"/>
    <w:rsid w:val="42C15438"/>
    <w:rsid w:val="42C26733"/>
    <w:rsid w:val="42D454C4"/>
    <w:rsid w:val="42E54FAE"/>
    <w:rsid w:val="42E859D2"/>
    <w:rsid w:val="42ED5DAB"/>
    <w:rsid w:val="430725C2"/>
    <w:rsid w:val="431B4859"/>
    <w:rsid w:val="4321249B"/>
    <w:rsid w:val="43273FCD"/>
    <w:rsid w:val="432D5657"/>
    <w:rsid w:val="43316874"/>
    <w:rsid w:val="434265C0"/>
    <w:rsid w:val="4342748A"/>
    <w:rsid w:val="43456981"/>
    <w:rsid w:val="434F3B8C"/>
    <w:rsid w:val="435F7498"/>
    <w:rsid w:val="4361330E"/>
    <w:rsid w:val="43673395"/>
    <w:rsid w:val="437065D8"/>
    <w:rsid w:val="437635B8"/>
    <w:rsid w:val="437B41DA"/>
    <w:rsid w:val="437D2A29"/>
    <w:rsid w:val="43803ABF"/>
    <w:rsid w:val="43854516"/>
    <w:rsid w:val="439B346E"/>
    <w:rsid w:val="439B3D19"/>
    <w:rsid w:val="439D53BA"/>
    <w:rsid w:val="439F2770"/>
    <w:rsid w:val="43AD4574"/>
    <w:rsid w:val="43AD48DB"/>
    <w:rsid w:val="43B24A85"/>
    <w:rsid w:val="43B67D4C"/>
    <w:rsid w:val="43BA2967"/>
    <w:rsid w:val="43CA0C1A"/>
    <w:rsid w:val="43CB50BF"/>
    <w:rsid w:val="43E35FA8"/>
    <w:rsid w:val="43EA577A"/>
    <w:rsid w:val="43F53D3D"/>
    <w:rsid w:val="43F61E18"/>
    <w:rsid w:val="43F90375"/>
    <w:rsid w:val="43FA4398"/>
    <w:rsid w:val="44011308"/>
    <w:rsid w:val="44017F61"/>
    <w:rsid w:val="44034C7C"/>
    <w:rsid w:val="440B1558"/>
    <w:rsid w:val="440F38B6"/>
    <w:rsid w:val="441A3DB6"/>
    <w:rsid w:val="442B5606"/>
    <w:rsid w:val="44327555"/>
    <w:rsid w:val="44450CE1"/>
    <w:rsid w:val="444D3A8D"/>
    <w:rsid w:val="44527B3F"/>
    <w:rsid w:val="44543D0D"/>
    <w:rsid w:val="445A055B"/>
    <w:rsid w:val="445F6C80"/>
    <w:rsid w:val="4478552E"/>
    <w:rsid w:val="447A7C07"/>
    <w:rsid w:val="449C51DE"/>
    <w:rsid w:val="44A04FC0"/>
    <w:rsid w:val="44AA69A8"/>
    <w:rsid w:val="44AB14EB"/>
    <w:rsid w:val="44C0687D"/>
    <w:rsid w:val="44C942B1"/>
    <w:rsid w:val="44D32419"/>
    <w:rsid w:val="44D955AA"/>
    <w:rsid w:val="44DD05B7"/>
    <w:rsid w:val="44E328F5"/>
    <w:rsid w:val="44F21DB6"/>
    <w:rsid w:val="44FD7B79"/>
    <w:rsid w:val="45046514"/>
    <w:rsid w:val="45060392"/>
    <w:rsid w:val="450C1BDF"/>
    <w:rsid w:val="4529261A"/>
    <w:rsid w:val="453058F8"/>
    <w:rsid w:val="45371298"/>
    <w:rsid w:val="4543014A"/>
    <w:rsid w:val="454C2B7E"/>
    <w:rsid w:val="455761C5"/>
    <w:rsid w:val="45631570"/>
    <w:rsid w:val="45774754"/>
    <w:rsid w:val="457C3051"/>
    <w:rsid w:val="458D0812"/>
    <w:rsid w:val="4594003E"/>
    <w:rsid w:val="4596214C"/>
    <w:rsid w:val="45976F38"/>
    <w:rsid w:val="45A37DC6"/>
    <w:rsid w:val="45A91D20"/>
    <w:rsid w:val="45C252AC"/>
    <w:rsid w:val="45D37115"/>
    <w:rsid w:val="45D83DC7"/>
    <w:rsid w:val="45DA3AAF"/>
    <w:rsid w:val="45EB3C6C"/>
    <w:rsid w:val="45FE69DA"/>
    <w:rsid w:val="460A157C"/>
    <w:rsid w:val="460D33B2"/>
    <w:rsid w:val="462E7473"/>
    <w:rsid w:val="463D05A7"/>
    <w:rsid w:val="464249B5"/>
    <w:rsid w:val="46493FDA"/>
    <w:rsid w:val="464A682A"/>
    <w:rsid w:val="465C7E62"/>
    <w:rsid w:val="4663669D"/>
    <w:rsid w:val="46770578"/>
    <w:rsid w:val="467C01A8"/>
    <w:rsid w:val="467D71D5"/>
    <w:rsid w:val="46820B96"/>
    <w:rsid w:val="46937A3A"/>
    <w:rsid w:val="46953F72"/>
    <w:rsid w:val="46A0383F"/>
    <w:rsid w:val="46BF53C5"/>
    <w:rsid w:val="46C72EB6"/>
    <w:rsid w:val="46C8277D"/>
    <w:rsid w:val="46CC107B"/>
    <w:rsid w:val="46DB0CE0"/>
    <w:rsid w:val="46DC6B8B"/>
    <w:rsid w:val="46E44D25"/>
    <w:rsid w:val="46E82023"/>
    <w:rsid w:val="471324B2"/>
    <w:rsid w:val="471E6D3E"/>
    <w:rsid w:val="4724784C"/>
    <w:rsid w:val="47325008"/>
    <w:rsid w:val="47354A7D"/>
    <w:rsid w:val="473C009B"/>
    <w:rsid w:val="47462CC6"/>
    <w:rsid w:val="475317BA"/>
    <w:rsid w:val="47536FE6"/>
    <w:rsid w:val="47552C0E"/>
    <w:rsid w:val="4759182B"/>
    <w:rsid w:val="475D2027"/>
    <w:rsid w:val="476617A9"/>
    <w:rsid w:val="477A22B2"/>
    <w:rsid w:val="478E562C"/>
    <w:rsid w:val="478E7050"/>
    <w:rsid w:val="47A035AA"/>
    <w:rsid w:val="47A23541"/>
    <w:rsid w:val="47A45631"/>
    <w:rsid w:val="47AE3FB6"/>
    <w:rsid w:val="47B108FB"/>
    <w:rsid w:val="47B25A3D"/>
    <w:rsid w:val="47BD2631"/>
    <w:rsid w:val="47BF3B5B"/>
    <w:rsid w:val="47C4141A"/>
    <w:rsid w:val="47C45FDA"/>
    <w:rsid w:val="47C55DFE"/>
    <w:rsid w:val="47C84AD9"/>
    <w:rsid w:val="47CE127A"/>
    <w:rsid w:val="47D03D41"/>
    <w:rsid w:val="47DD12A6"/>
    <w:rsid w:val="47EA097B"/>
    <w:rsid w:val="47FA15C3"/>
    <w:rsid w:val="47FA55C2"/>
    <w:rsid w:val="480A1457"/>
    <w:rsid w:val="480B4FD7"/>
    <w:rsid w:val="4824504F"/>
    <w:rsid w:val="483E0C21"/>
    <w:rsid w:val="48402C26"/>
    <w:rsid w:val="48547582"/>
    <w:rsid w:val="48555CFE"/>
    <w:rsid w:val="485665CF"/>
    <w:rsid w:val="489E6510"/>
    <w:rsid w:val="48A1287E"/>
    <w:rsid w:val="48AF7747"/>
    <w:rsid w:val="48BA179B"/>
    <w:rsid w:val="48BF5C2C"/>
    <w:rsid w:val="48C1357C"/>
    <w:rsid w:val="48C21FD4"/>
    <w:rsid w:val="48C56BC7"/>
    <w:rsid w:val="48D323C4"/>
    <w:rsid w:val="48DE6ABF"/>
    <w:rsid w:val="48EE462B"/>
    <w:rsid w:val="48F724D3"/>
    <w:rsid w:val="48F97907"/>
    <w:rsid w:val="48FD4D2E"/>
    <w:rsid w:val="48FE4037"/>
    <w:rsid w:val="49140543"/>
    <w:rsid w:val="49164112"/>
    <w:rsid w:val="491E54BA"/>
    <w:rsid w:val="491F6A3B"/>
    <w:rsid w:val="493C78B3"/>
    <w:rsid w:val="494264BE"/>
    <w:rsid w:val="49477EDB"/>
    <w:rsid w:val="49557CAA"/>
    <w:rsid w:val="495B2DE4"/>
    <w:rsid w:val="49720363"/>
    <w:rsid w:val="497B57A3"/>
    <w:rsid w:val="497D512C"/>
    <w:rsid w:val="499524B9"/>
    <w:rsid w:val="49A563CB"/>
    <w:rsid w:val="49B642D0"/>
    <w:rsid w:val="49B6500C"/>
    <w:rsid w:val="49C66632"/>
    <w:rsid w:val="49D6446A"/>
    <w:rsid w:val="49DC79EE"/>
    <w:rsid w:val="49EF020F"/>
    <w:rsid w:val="4A012529"/>
    <w:rsid w:val="4A055753"/>
    <w:rsid w:val="4A1A1322"/>
    <w:rsid w:val="4A1C72A3"/>
    <w:rsid w:val="4A262478"/>
    <w:rsid w:val="4A4A4CD1"/>
    <w:rsid w:val="4A4C7DD3"/>
    <w:rsid w:val="4A5B6017"/>
    <w:rsid w:val="4A5E5BBD"/>
    <w:rsid w:val="4A614A94"/>
    <w:rsid w:val="4A6F17D6"/>
    <w:rsid w:val="4A753EB0"/>
    <w:rsid w:val="4A7A516A"/>
    <w:rsid w:val="4A8B2045"/>
    <w:rsid w:val="4A8D1057"/>
    <w:rsid w:val="4A9A25BE"/>
    <w:rsid w:val="4A9B3474"/>
    <w:rsid w:val="4AA845AF"/>
    <w:rsid w:val="4AAA4AEF"/>
    <w:rsid w:val="4AAD72E9"/>
    <w:rsid w:val="4AB12B4E"/>
    <w:rsid w:val="4AB12E60"/>
    <w:rsid w:val="4AB471D9"/>
    <w:rsid w:val="4AC35C25"/>
    <w:rsid w:val="4AC523D0"/>
    <w:rsid w:val="4AD37E71"/>
    <w:rsid w:val="4ADD4F2D"/>
    <w:rsid w:val="4AEA5D44"/>
    <w:rsid w:val="4AF62C56"/>
    <w:rsid w:val="4AF74563"/>
    <w:rsid w:val="4AFE1B71"/>
    <w:rsid w:val="4B077824"/>
    <w:rsid w:val="4B097EB7"/>
    <w:rsid w:val="4B0E3E9D"/>
    <w:rsid w:val="4B3E4236"/>
    <w:rsid w:val="4B4060CC"/>
    <w:rsid w:val="4B4D1904"/>
    <w:rsid w:val="4B502B4B"/>
    <w:rsid w:val="4B546595"/>
    <w:rsid w:val="4B605694"/>
    <w:rsid w:val="4B932314"/>
    <w:rsid w:val="4B95261A"/>
    <w:rsid w:val="4BA243DA"/>
    <w:rsid w:val="4BA271CA"/>
    <w:rsid w:val="4BAA697F"/>
    <w:rsid w:val="4BB9621F"/>
    <w:rsid w:val="4BC97FF3"/>
    <w:rsid w:val="4BCB0439"/>
    <w:rsid w:val="4BCD2D2D"/>
    <w:rsid w:val="4BD45177"/>
    <w:rsid w:val="4BDD4D44"/>
    <w:rsid w:val="4BF34DC4"/>
    <w:rsid w:val="4BF45F8E"/>
    <w:rsid w:val="4BFB5EBC"/>
    <w:rsid w:val="4BFE6267"/>
    <w:rsid w:val="4C130386"/>
    <w:rsid w:val="4C147CC8"/>
    <w:rsid w:val="4C291DCA"/>
    <w:rsid w:val="4C2A37E5"/>
    <w:rsid w:val="4C317AFA"/>
    <w:rsid w:val="4C4355C5"/>
    <w:rsid w:val="4C4E6BA2"/>
    <w:rsid w:val="4C527974"/>
    <w:rsid w:val="4C547DA9"/>
    <w:rsid w:val="4C5C48CE"/>
    <w:rsid w:val="4C6F6B69"/>
    <w:rsid w:val="4C743D39"/>
    <w:rsid w:val="4C8F131B"/>
    <w:rsid w:val="4C997D3D"/>
    <w:rsid w:val="4C9B4631"/>
    <w:rsid w:val="4CB15EB1"/>
    <w:rsid w:val="4CB35B6F"/>
    <w:rsid w:val="4CBA5263"/>
    <w:rsid w:val="4CBD2F9E"/>
    <w:rsid w:val="4CC50B32"/>
    <w:rsid w:val="4CE14642"/>
    <w:rsid w:val="4CF82D3A"/>
    <w:rsid w:val="4CFD28E4"/>
    <w:rsid w:val="4D017A79"/>
    <w:rsid w:val="4D085BA5"/>
    <w:rsid w:val="4D090490"/>
    <w:rsid w:val="4D0B6312"/>
    <w:rsid w:val="4D0E6C43"/>
    <w:rsid w:val="4D2836C3"/>
    <w:rsid w:val="4D354E05"/>
    <w:rsid w:val="4D3A1DD2"/>
    <w:rsid w:val="4D464FC6"/>
    <w:rsid w:val="4D4F3BF5"/>
    <w:rsid w:val="4D5747E4"/>
    <w:rsid w:val="4D601D52"/>
    <w:rsid w:val="4D6638B8"/>
    <w:rsid w:val="4D695DB1"/>
    <w:rsid w:val="4D706CF0"/>
    <w:rsid w:val="4D735628"/>
    <w:rsid w:val="4D744710"/>
    <w:rsid w:val="4D7C7509"/>
    <w:rsid w:val="4D804193"/>
    <w:rsid w:val="4D834C75"/>
    <w:rsid w:val="4D84644B"/>
    <w:rsid w:val="4D934FB2"/>
    <w:rsid w:val="4D943890"/>
    <w:rsid w:val="4DB676F3"/>
    <w:rsid w:val="4DB72016"/>
    <w:rsid w:val="4DD138EE"/>
    <w:rsid w:val="4DD81A3B"/>
    <w:rsid w:val="4DDE6E33"/>
    <w:rsid w:val="4DE734E0"/>
    <w:rsid w:val="4DF1027D"/>
    <w:rsid w:val="4E23635A"/>
    <w:rsid w:val="4E4B32B9"/>
    <w:rsid w:val="4E550154"/>
    <w:rsid w:val="4E570232"/>
    <w:rsid w:val="4E621680"/>
    <w:rsid w:val="4E6C14C4"/>
    <w:rsid w:val="4E6C43D6"/>
    <w:rsid w:val="4E7D5085"/>
    <w:rsid w:val="4E89387B"/>
    <w:rsid w:val="4E97232A"/>
    <w:rsid w:val="4EAC0A02"/>
    <w:rsid w:val="4EB541E6"/>
    <w:rsid w:val="4EB571B2"/>
    <w:rsid w:val="4EB725CA"/>
    <w:rsid w:val="4EB970B4"/>
    <w:rsid w:val="4ECE3A40"/>
    <w:rsid w:val="4EDC636B"/>
    <w:rsid w:val="4EDC7B20"/>
    <w:rsid w:val="4EDE0CE6"/>
    <w:rsid w:val="4EDE69B6"/>
    <w:rsid w:val="4EE17E41"/>
    <w:rsid w:val="4EF402C4"/>
    <w:rsid w:val="4EF70D4B"/>
    <w:rsid w:val="4EFD0A8F"/>
    <w:rsid w:val="4EFD7C09"/>
    <w:rsid w:val="4F0A6CD0"/>
    <w:rsid w:val="4F0E67C1"/>
    <w:rsid w:val="4F134725"/>
    <w:rsid w:val="4F151F39"/>
    <w:rsid w:val="4F184CAA"/>
    <w:rsid w:val="4F1C2962"/>
    <w:rsid w:val="4F222004"/>
    <w:rsid w:val="4F363F69"/>
    <w:rsid w:val="4F3C21A6"/>
    <w:rsid w:val="4F5C3AF9"/>
    <w:rsid w:val="4F826223"/>
    <w:rsid w:val="4F8D0DCB"/>
    <w:rsid w:val="4F8E160A"/>
    <w:rsid w:val="4F9C088A"/>
    <w:rsid w:val="4F9E057C"/>
    <w:rsid w:val="4FA53FD1"/>
    <w:rsid w:val="4FBA6882"/>
    <w:rsid w:val="4FC14750"/>
    <w:rsid w:val="4FDE7EC3"/>
    <w:rsid w:val="4FE2028E"/>
    <w:rsid w:val="4FE21219"/>
    <w:rsid w:val="4FE96449"/>
    <w:rsid w:val="4FEB5EF5"/>
    <w:rsid w:val="4FF10859"/>
    <w:rsid w:val="4FF859FC"/>
    <w:rsid w:val="4FFB5296"/>
    <w:rsid w:val="50033B60"/>
    <w:rsid w:val="500D280C"/>
    <w:rsid w:val="500E00AE"/>
    <w:rsid w:val="5019461F"/>
    <w:rsid w:val="501A590B"/>
    <w:rsid w:val="502C0328"/>
    <w:rsid w:val="504D681D"/>
    <w:rsid w:val="504E5EFC"/>
    <w:rsid w:val="50591CBD"/>
    <w:rsid w:val="505A18BD"/>
    <w:rsid w:val="505A3B38"/>
    <w:rsid w:val="505C08D9"/>
    <w:rsid w:val="505F5281"/>
    <w:rsid w:val="50692B8F"/>
    <w:rsid w:val="506F2605"/>
    <w:rsid w:val="506F5D79"/>
    <w:rsid w:val="50747106"/>
    <w:rsid w:val="50796695"/>
    <w:rsid w:val="50895FD3"/>
    <w:rsid w:val="50990893"/>
    <w:rsid w:val="50A85462"/>
    <w:rsid w:val="50B71D65"/>
    <w:rsid w:val="50BB2A09"/>
    <w:rsid w:val="50BF6EFA"/>
    <w:rsid w:val="50D310B0"/>
    <w:rsid w:val="50D32246"/>
    <w:rsid w:val="50D47D58"/>
    <w:rsid w:val="50E2094C"/>
    <w:rsid w:val="510559A1"/>
    <w:rsid w:val="51164A27"/>
    <w:rsid w:val="51242B67"/>
    <w:rsid w:val="51254F47"/>
    <w:rsid w:val="51412E32"/>
    <w:rsid w:val="516721B8"/>
    <w:rsid w:val="51691BB2"/>
    <w:rsid w:val="51707CD5"/>
    <w:rsid w:val="517D75B6"/>
    <w:rsid w:val="519430D3"/>
    <w:rsid w:val="519A6BD3"/>
    <w:rsid w:val="519E15B5"/>
    <w:rsid w:val="51A006F9"/>
    <w:rsid w:val="51AE6039"/>
    <w:rsid w:val="51B318A1"/>
    <w:rsid w:val="51B36077"/>
    <w:rsid w:val="51B5312E"/>
    <w:rsid w:val="51C0039E"/>
    <w:rsid w:val="51D8611F"/>
    <w:rsid w:val="51F07D24"/>
    <w:rsid w:val="52062065"/>
    <w:rsid w:val="522C0980"/>
    <w:rsid w:val="523569AA"/>
    <w:rsid w:val="52390EFF"/>
    <w:rsid w:val="52396EDA"/>
    <w:rsid w:val="523B5586"/>
    <w:rsid w:val="523E560F"/>
    <w:rsid w:val="525062A1"/>
    <w:rsid w:val="5277471F"/>
    <w:rsid w:val="52782598"/>
    <w:rsid w:val="527A0862"/>
    <w:rsid w:val="527A7415"/>
    <w:rsid w:val="528D6B9E"/>
    <w:rsid w:val="5290473E"/>
    <w:rsid w:val="529707AE"/>
    <w:rsid w:val="529B2076"/>
    <w:rsid w:val="52A949D3"/>
    <w:rsid w:val="52C30EA7"/>
    <w:rsid w:val="52EE2AB3"/>
    <w:rsid w:val="52EF2204"/>
    <w:rsid w:val="52EF49DD"/>
    <w:rsid w:val="52F80BF4"/>
    <w:rsid w:val="52FF2524"/>
    <w:rsid w:val="530F5DF3"/>
    <w:rsid w:val="53145364"/>
    <w:rsid w:val="5315378B"/>
    <w:rsid w:val="53232CD3"/>
    <w:rsid w:val="53251DCF"/>
    <w:rsid w:val="53274625"/>
    <w:rsid w:val="5328294B"/>
    <w:rsid w:val="532904C6"/>
    <w:rsid w:val="53332F09"/>
    <w:rsid w:val="53381791"/>
    <w:rsid w:val="53422C0C"/>
    <w:rsid w:val="5357136E"/>
    <w:rsid w:val="5357543C"/>
    <w:rsid w:val="535F4011"/>
    <w:rsid w:val="537A2A68"/>
    <w:rsid w:val="537F1FF3"/>
    <w:rsid w:val="538237B0"/>
    <w:rsid w:val="53894FAB"/>
    <w:rsid w:val="53897AEB"/>
    <w:rsid w:val="538D0238"/>
    <w:rsid w:val="53900B19"/>
    <w:rsid w:val="53973C36"/>
    <w:rsid w:val="539D2273"/>
    <w:rsid w:val="539E1245"/>
    <w:rsid w:val="53A96D8B"/>
    <w:rsid w:val="53AB33A5"/>
    <w:rsid w:val="53AB6894"/>
    <w:rsid w:val="53B229BC"/>
    <w:rsid w:val="53B56046"/>
    <w:rsid w:val="53B93BF0"/>
    <w:rsid w:val="53DE1E7C"/>
    <w:rsid w:val="53E40D09"/>
    <w:rsid w:val="53E421E6"/>
    <w:rsid w:val="53F561E2"/>
    <w:rsid w:val="53FA7975"/>
    <w:rsid w:val="53FB38B8"/>
    <w:rsid w:val="540A21A8"/>
    <w:rsid w:val="540D705C"/>
    <w:rsid w:val="540F2816"/>
    <w:rsid w:val="541937DA"/>
    <w:rsid w:val="541C7A5F"/>
    <w:rsid w:val="541D7CD6"/>
    <w:rsid w:val="54226432"/>
    <w:rsid w:val="54232D99"/>
    <w:rsid w:val="54362CFA"/>
    <w:rsid w:val="54487482"/>
    <w:rsid w:val="544F1170"/>
    <w:rsid w:val="545F47F8"/>
    <w:rsid w:val="546D12BF"/>
    <w:rsid w:val="546E2206"/>
    <w:rsid w:val="547F7462"/>
    <w:rsid w:val="54833F20"/>
    <w:rsid w:val="54953448"/>
    <w:rsid w:val="54984C61"/>
    <w:rsid w:val="54A0765A"/>
    <w:rsid w:val="54AF0829"/>
    <w:rsid w:val="54CB0CB0"/>
    <w:rsid w:val="54DF27E5"/>
    <w:rsid w:val="54EA4089"/>
    <w:rsid w:val="54FB5E9E"/>
    <w:rsid w:val="55062CE3"/>
    <w:rsid w:val="5506588F"/>
    <w:rsid w:val="55097A97"/>
    <w:rsid w:val="553A5AF3"/>
    <w:rsid w:val="55417558"/>
    <w:rsid w:val="55490BEE"/>
    <w:rsid w:val="554E37CB"/>
    <w:rsid w:val="555F1631"/>
    <w:rsid w:val="55605992"/>
    <w:rsid w:val="55620F49"/>
    <w:rsid w:val="55694EF7"/>
    <w:rsid w:val="556B3ECC"/>
    <w:rsid w:val="55741FDC"/>
    <w:rsid w:val="557B2298"/>
    <w:rsid w:val="55842E58"/>
    <w:rsid w:val="55947A03"/>
    <w:rsid w:val="5595757B"/>
    <w:rsid w:val="559F4ECF"/>
    <w:rsid w:val="55B34CA2"/>
    <w:rsid w:val="55BF695A"/>
    <w:rsid w:val="55C107FF"/>
    <w:rsid w:val="55CE0E60"/>
    <w:rsid w:val="55CF3699"/>
    <w:rsid w:val="55E652A4"/>
    <w:rsid w:val="55E9164C"/>
    <w:rsid w:val="55FA184D"/>
    <w:rsid w:val="56196C97"/>
    <w:rsid w:val="5622307F"/>
    <w:rsid w:val="56284A85"/>
    <w:rsid w:val="562F0670"/>
    <w:rsid w:val="5631056A"/>
    <w:rsid w:val="56387B6B"/>
    <w:rsid w:val="565D160F"/>
    <w:rsid w:val="5663082B"/>
    <w:rsid w:val="56724F0F"/>
    <w:rsid w:val="56777EC0"/>
    <w:rsid w:val="56792EFC"/>
    <w:rsid w:val="567C04E6"/>
    <w:rsid w:val="56821F70"/>
    <w:rsid w:val="5695486E"/>
    <w:rsid w:val="569C6DC5"/>
    <w:rsid w:val="56A02570"/>
    <w:rsid w:val="56A81F26"/>
    <w:rsid w:val="56BB50F1"/>
    <w:rsid w:val="56C212E9"/>
    <w:rsid w:val="56C31F98"/>
    <w:rsid w:val="56D62EE9"/>
    <w:rsid w:val="56D73747"/>
    <w:rsid w:val="56D95D0D"/>
    <w:rsid w:val="56F9582A"/>
    <w:rsid w:val="5711403B"/>
    <w:rsid w:val="571C4455"/>
    <w:rsid w:val="571C4CE8"/>
    <w:rsid w:val="5720760C"/>
    <w:rsid w:val="57281DFC"/>
    <w:rsid w:val="5751574E"/>
    <w:rsid w:val="576266D7"/>
    <w:rsid w:val="576E1390"/>
    <w:rsid w:val="577067CF"/>
    <w:rsid w:val="57725DB1"/>
    <w:rsid w:val="577F73F4"/>
    <w:rsid w:val="578C5A6B"/>
    <w:rsid w:val="57911B24"/>
    <w:rsid w:val="579241C9"/>
    <w:rsid w:val="579371A0"/>
    <w:rsid w:val="57A756B9"/>
    <w:rsid w:val="57AB09F6"/>
    <w:rsid w:val="57AB183C"/>
    <w:rsid w:val="57AC2A6B"/>
    <w:rsid w:val="57BE20C8"/>
    <w:rsid w:val="57C92468"/>
    <w:rsid w:val="57CC1DF8"/>
    <w:rsid w:val="57DD5915"/>
    <w:rsid w:val="57EE7A0C"/>
    <w:rsid w:val="57FE4E71"/>
    <w:rsid w:val="58122873"/>
    <w:rsid w:val="582B3764"/>
    <w:rsid w:val="582E2DEC"/>
    <w:rsid w:val="582E442D"/>
    <w:rsid w:val="58314541"/>
    <w:rsid w:val="583207A1"/>
    <w:rsid w:val="58334E3C"/>
    <w:rsid w:val="58440EE7"/>
    <w:rsid w:val="584C7061"/>
    <w:rsid w:val="58517425"/>
    <w:rsid w:val="58587C37"/>
    <w:rsid w:val="585C5E97"/>
    <w:rsid w:val="586305A3"/>
    <w:rsid w:val="58764853"/>
    <w:rsid w:val="587F5BEE"/>
    <w:rsid w:val="5881492E"/>
    <w:rsid w:val="58AF60D1"/>
    <w:rsid w:val="58B40A7E"/>
    <w:rsid w:val="58B605D2"/>
    <w:rsid w:val="58BE37F0"/>
    <w:rsid w:val="58BE7D4E"/>
    <w:rsid w:val="58CD4DF9"/>
    <w:rsid w:val="58D56089"/>
    <w:rsid w:val="58D77EC8"/>
    <w:rsid w:val="58DD38AC"/>
    <w:rsid w:val="58F37EB3"/>
    <w:rsid w:val="58F85DAB"/>
    <w:rsid w:val="58FE7B92"/>
    <w:rsid w:val="590F53CD"/>
    <w:rsid w:val="591C0864"/>
    <w:rsid w:val="591F526F"/>
    <w:rsid w:val="59224AE0"/>
    <w:rsid w:val="592B495A"/>
    <w:rsid w:val="593343F9"/>
    <w:rsid w:val="59337669"/>
    <w:rsid w:val="59413C73"/>
    <w:rsid w:val="5960578A"/>
    <w:rsid w:val="59695AE1"/>
    <w:rsid w:val="596A791F"/>
    <w:rsid w:val="597510DD"/>
    <w:rsid w:val="597A222F"/>
    <w:rsid w:val="598047FD"/>
    <w:rsid w:val="59892FD4"/>
    <w:rsid w:val="598D62E4"/>
    <w:rsid w:val="59980435"/>
    <w:rsid w:val="599E4F02"/>
    <w:rsid w:val="599F2205"/>
    <w:rsid w:val="59A23A2D"/>
    <w:rsid w:val="59B73BDD"/>
    <w:rsid w:val="59C37532"/>
    <w:rsid w:val="59D03D4A"/>
    <w:rsid w:val="59D10B16"/>
    <w:rsid w:val="59D82A6A"/>
    <w:rsid w:val="59E16615"/>
    <w:rsid w:val="59EB45C7"/>
    <w:rsid w:val="59F50E7B"/>
    <w:rsid w:val="59F541BD"/>
    <w:rsid w:val="5A0A7DDC"/>
    <w:rsid w:val="5A174603"/>
    <w:rsid w:val="5A1C477D"/>
    <w:rsid w:val="5A2D57CE"/>
    <w:rsid w:val="5A2F3295"/>
    <w:rsid w:val="5A5E5516"/>
    <w:rsid w:val="5A6836C2"/>
    <w:rsid w:val="5A782C02"/>
    <w:rsid w:val="5A8C0DEA"/>
    <w:rsid w:val="5A9B2715"/>
    <w:rsid w:val="5AA17BA3"/>
    <w:rsid w:val="5AAC03C0"/>
    <w:rsid w:val="5AAF12B5"/>
    <w:rsid w:val="5ABD6880"/>
    <w:rsid w:val="5AC2719A"/>
    <w:rsid w:val="5AC8156C"/>
    <w:rsid w:val="5AE46AF8"/>
    <w:rsid w:val="5AF54639"/>
    <w:rsid w:val="5AF608C2"/>
    <w:rsid w:val="5AFE121E"/>
    <w:rsid w:val="5AFE4837"/>
    <w:rsid w:val="5B13057C"/>
    <w:rsid w:val="5B157129"/>
    <w:rsid w:val="5B160A48"/>
    <w:rsid w:val="5B2343F2"/>
    <w:rsid w:val="5B3C5E57"/>
    <w:rsid w:val="5B415E00"/>
    <w:rsid w:val="5B5878BB"/>
    <w:rsid w:val="5B59302B"/>
    <w:rsid w:val="5B6D223C"/>
    <w:rsid w:val="5B7A09DC"/>
    <w:rsid w:val="5B7C46CC"/>
    <w:rsid w:val="5B8019B4"/>
    <w:rsid w:val="5B8023FB"/>
    <w:rsid w:val="5B8932B4"/>
    <w:rsid w:val="5B8C5246"/>
    <w:rsid w:val="5BA0092A"/>
    <w:rsid w:val="5BA150F8"/>
    <w:rsid w:val="5BA2436D"/>
    <w:rsid w:val="5BA63AC8"/>
    <w:rsid w:val="5BB3592B"/>
    <w:rsid w:val="5BB90563"/>
    <w:rsid w:val="5BCB5845"/>
    <w:rsid w:val="5BCF7D1A"/>
    <w:rsid w:val="5BD3019C"/>
    <w:rsid w:val="5BD31895"/>
    <w:rsid w:val="5BD45A90"/>
    <w:rsid w:val="5BEE1070"/>
    <w:rsid w:val="5BF373BE"/>
    <w:rsid w:val="5BF4588C"/>
    <w:rsid w:val="5C294BBA"/>
    <w:rsid w:val="5C2F64FC"/>
    <w:rsid w:val="5C314FF5"/>
    <w:rsid w:val="5C414F8B"/>
    <w:rsid w:val="5C4D2F4E"/>
    <w:rsid w:val="5C580DF6"/>
    <w:rsid w:val="5C600D7A"/>
    <w:rsid w:val="5C620BE5"/>
    <w:rsid w:val="5C635F9D"/>
    <w:rsid w:val="5C861D4D"/>
    <w:rsid w:val="5C8E67BC"/>
    <w:rsid w:val="5CA2624C"/>
    <w:rsid w:val="5CA73BD4"/>
    <w:rsid w:val="5CBC5377"/>
    <w:rsid w:val="5CC31F65"/>
    <w:rsid w:val="5CC70305"/>
    <w:rsid w:val="5CD46AF0"/>
    <w:rsid w:val="5CDB57BD"/>
    <w:rsid w:val="5CDE61B0"/>
    <w:rsid w:val="5CEA1C0F"/>
    <w:rsid w:val="5D0056CD"/>
    <w:rsid w:val="5D045320"/>
    <w:rsid w:val="5D10697C"/>
    <w:rsid w:val="5D1B23B6"/>
    <w:rsid w:val="5D241C82"/>
    <w:rsid w:val="5D2500B2"/>
    <w:rsid w:val="5D272186"/>
    <w:rsid w:val="5D4D3BC9"/>
    <w:rsid w:val="5D5201C0"/>
    <w:rsid w:val="5D54605F"/>
    <w:rsid w:val="5D5F63FA"/>
    <w:rsid w:val="5D622C51"/>
    <w:rsid w:val="5D6B1CDE"/>
    <w:rsid w:val="5D6C5B9F"/>
    <w:rsid w:val="5D750E10"/>
    <w:rsid w:val="5D7A1F44"/>
    <w:rsid w:val="5D9769B9"/>
    <w:rsid w:val="5D9957CE"/>
    <w:rsid w:val="5DA57385"/>
    <w:rsid w:val="5DA84D5A"/>
    <w:rsid w:val="5DAD596C"/>
    <w:rsid w:val="5DBF3804"/>
    <w:rsid w:val="5DD54C37"/>
    <w:rsid w:val="5DE02421"/>
    <w:rsid w:val="5DE50ADE"/>
    <w:rsid w:val="5DEB193E"/>
    <w:rsid w:val="5DEB1A8A"/>
    <w:rsid w:val="5DF105F4"/>
    <w:rsid w:val="5DF9547D"/>
    <w:rsid w:val="5DFD0546"/>
    <w:rsid w:val="5E10433C"/>
    <w:rsid w:val="5E1761E2"/>
    <w:rsid w:val="5E1D4494"/>
    <w:rsid w:val="5E2558D5"/>
    <w:rsid w:val="5E363E88"/>
    <w:rsid w:val="5E3702E9"/>
    <w:rsid w:val="5E3F1828"/>
    <w:rsid w:val="5E776E19"/>
    <w:rsid w:val="5E781EA8"/>
    <w:rsid w:val="5E8220B8"/>
    <w:rsid w:val="5E8B72E9"/>
    <w:rsid w:val="5EA131BB"/>
    <w:rsid w:val="5EB35A52"/>
    <w:rsid w:val="5EBB44CF"/>
    <w:rsid w:val="5EC46D4B"/>
    <w:rsid w:val="5EC92CF9"/>
    <w:rsid w:val="5ECA193D"/>
    <w:rsid w:val="5ECC7AFE"/>
    <w:rsid w:val="5ED6237A"/>
    <w:rsid w:val="5EE07C8C"/>
    <w:rsid w:val="5EEC2C65"/>
    <w:rsid w:val="5EF84B46"/>
    <w:rsid w:val="5F0E2632"/>
    <w:rsid w:val="5F1E0954"/>
    <w:rsid w:val="5F1E54B3"/>
    <w:rsid w:val="5F27742B"/>
    <w:rsid w:val="5F391D7D"/>
    <w:rsid w:val="5F3C5E8C"/>
    <w:rsid w:val="5F442273"/>
    <w:rsid w:val="5F4C4CD8"/>
    <w:rsid w:val="5F4E1153"/>
    <w:rsid w:val="5F6F17C0"/>
    <w:rsid w:val="5F916F21"/>
    <w:rsid w:val="5F922DB6"/>
    <w:rsid w:val="5FAD37D0"/>
    <w:rsid w:val="5FB61BF9"/>
    <w:rsid w:val="5FBF1B9D"/>
    <w:rsid w:val="5FC6296C"/>
    <w:rsid w:val="5FDF775B"/>
    <w:rsid w:val="5FE05567"/>
    <w:rsid w:val="5FEE28F2"/>
    <w:rsid w:val="5FF74090"/>
    <w:rsid w:val="600078F2"/>
    <w:rsid w:val="602558DD"/>
    <w:rsid w:val="60356E75"/>
    <w:rsid w:val="603622D4"/>
    <w:rsid w:val="603749F0"/>
    <w:rsid w:val="60436B6E"/>
    <w:rsid w:val="60471B32"/>
    <w:rsid w:val="60555918"/>
    <w:rsid w:val="605B228F"/>
    <w:rsid w:val="606A35EC"/>
    <w:rsid w:val="608F79BB"/>
    <w:rsid w:val="60921A56"/>
    <w:rsid w:val="6093558F"/>
    <w:rsid w:val="60971021"/>
    <w:rsid w:val="609A5FD4"/>
    <w:rsid w:val="609F420A"/>
    <w:rsid w:val="60DD6293"/>
    <w:rsid w:val="60E71AAD"/>
    <w:rsid w:val="60EA0BB5"/>
    <w:rsid w:val="60EF63C3"/>
    <w:rsid w:val="60FD5070"/>
    <w:rsid w:val="61021797"/>
    <w:rsid w:val="610A2125"/>
    <w:rsid w:val="611148A3"/>
    <w:rsid w:val="61177686"/>
    <w:rsid w:val="612024AA"/>
    <w:rsid w:val="61233D0D"/>
    <w:rsid w:val="612E3E49"/>
    <w:rsid w:val="61301CA4"/>
    <w:rsid w:val="6135571D"/>
    <w:rsid w:val="61376B98"/>
    <w:rsid w:val="61456EA0"/>
    <w:rsid w:val="6146579B"/>
    <w:rsid w:val="614A476E"/>
    <w:rsid w:val="615D5214"/>
    <w:rsid w:val="616E5A44"/>
    <w:rsid w:val="61793339"/>
    <w:rsid w:val="617C00A0"/>
    <w:rsid w:val="618115B3"/>
    <w:rsid w:val="619678E3"/>
    <w:rsid w:val="61A201C7"/>
    <w:rsid w:val="61A34C21"/>
    <w:rsid w:val="61AC2934"/>
    <w:rsid w:val="61AF276B"/>
    <w:rsid w:val="61B34EB5"/>
    <w:rsid w:val="61C711F0"/>
    <w:rsid w:val="61E35160"/>
    <w:rsid w:val="61E54796"/>
    <w:rsid w:val="6200438B"/>
    <w:rsid w:val="62032E0E"/>
    <w:rsid w:val="62081925"/>
    <w:rsid w:val="62116CA6"/>
    <w:rsid w:val="62131948"/>
    <w:rsid w:val="621E1289"/>
    <w:rsid w:val="622638C5"/>
    <w:rsid w:val="62556286"/>
    <w:rsid w:val="625D5730"/>
    <w:rsid w:val="626824CE"/>
    <w:rsid w:val="626C108A"/>
    <w:rsid w:val="626E0C0D"/>
    <w:rsid w:val="6285135B"/>
    <w:rsid w:val="62896443"/>
    <w:rsid w:val="628B3AD1"/>
    <w:rsid w:val="628C54F2"/>
    <w:rsid w:val="62935859"/>
    <w:rsid w:val="629D18B9"/>
    <w:rsid w:val="62A011D4"/>
    <w:rsid w:val="62A35796"/>
    <w:rsid w:val="62B166A5"/>
    <w:rsid w:val="62BB0FC2"/>
    <w:rsid w:val="62BC0026"/>
    <w:rsid w:val="62CE32CD"/>
    <w:rsid w:val="62D63483"/>
    <w:rsid w:val="62DA12FD"/>
    <w:rsid w:val="62E721B9"/>
    <w:rsid w:val="63061893"/>
    <w:rsid w:val="630D6E01"/>
    <w:rsid w:val="631837A9"/>
    <w:rsid w:val="631A1AEB"/>
    <w:rsid w:val="6324186F"/>
    <w:rsid w:val="632B573B"/>
    <w:rsid w:val="632F4D0D"/>
    <w:rsid w:val="6334585C"/>
    <w:rsid w:val="633F404A"/>
    <w:rsid w:val="63421625"/>
    <w:rsid w:val="63442D0E"/>
    <w:rsid w:val="634B50FF"/>
    <w:rsid w:val="635C2F2F"/>
    <w:rsid w:val="637B7465"/>
    <w:rsid w:val="638E0307"/>
    <w:rsid w:val="63907DD8"/>
    <w:rsid w:val="63A31C47"/>
    <w:rsid w:val="63A54528"/>
    <w:rsid w:val="63AA1C7A"/>
    <w:rsid w:val="63BC7B19"/>
    <w:rsid w:val="63D064F0"/>
    <w:rsid w:val="63DC133C"/>
    <w:rsid w:val="63DF1EC5"/>
    <w:rsid w:val="63E257C3"/>
    <w:rsid w:val="63E907F7"/>
    <w:rsid w:val="63EE55CF"/>
    <w:rsid w:val="63EF5FB3"/>
    <w:rsid w:val="63F52B5E"/>
    <w:rsid w:val="64024C1C"/>
    <w:rsid w:val="640908E2"/>
    <w:rsid w:val="64370CD0"/>
    <w:rsid w:val="64495226"/>
    <w:rsid w:val="64496CE5"/>
    <w:rsid w:val="646376FD"/>
    <w:rsid w:val="646457EE"/>
    <w:rsid w:val="646D6238"/>
    <w:rsid w:val="64755EBF"/>
    <w:rsid w:val="648621F1"/>
    <w:rsid w:val="648E7946"/>
    <w:rsid w:val="64A456D3"/>
    <w:rsid w:val="64A62BA0"/>
    <w:rsid w:val="64B451F5"/>
    <w:rsid w:val="64BD6665"/>
    <w:rsid w:val="64C57979"/>
    <w:rsid w:val="64CE781A"/>
    <w:rsid w:val="64D26883"/>
    <w:rsid w:val="64E413C7"/>
    <w:rsid w:val="64E7797E"/>
    <w:rsid w:val="64F05702"/>
    <w:rsid w:val="64F52238"/>
    <w:rsid w:val="64FC1398"/>
    <w:rsid w:val="650A7B0E"/>
    <w:rsid w:val="65362E2C"/>
    <w:rsid w:val="65443D45"/>
    <w:rsid w:val="654B0EB1"/>
    <w:rsid w:val="655936EB"/>
    <w:rsid w:val="65617FE8"/>
    <w:rsid w:val="65667E09"/>
    <w:rsid w:val="656767D3"/>
    <w:rsid w:val="656F7B2B"/>
    <w:rsid w:val="65714CDF"/>
    <w:rsid w:val="65757142"/>
    <w:rsid w:val="65782A35"/>
    <w:rsid w:val="6581405E"/>
    <w:rsid w:val="659208A9"/>
    <w:rsid w:val="65942AEC"/>
    <w:rsid w:val="659860C0"/>
    <w:rsid w:val="65993368"/>
    <w:rsid w:val="65A84F87"/>
    <w:rsid w:val="65A929C4"/>
    <w:rsid w:val="65AC784E"/>
    <w:rsid w:val="65D00EF4"/>
    <w:rsid w:val="65DA3048"/>
    <w:rsid w:val="65EA5545"/>
    <w:rsid w:val="65F45EE6"/>
    <w:rsid w:val="65F675A1"/>
    <w:rsid w:val="65F93BDD"/>
    <w:rsid w:val="65FB7BAC"/>
    <w:rsid w:val="65FF3D02"/>
    <w:rsid w:val="66001A13"/>
    <w:rsid w:val="66034465"/>
    <w:rsid w:val="660525FF"/>
    <w:rsid w:val="660A0DF2"/>
    <w:rsid w:val="6618187B"/>
    <w:rsid w:val="66192061"/>
    <w:rsid w:val="661D20BA"/>
    <w:rsid w:val="66217636"/>
    <w:rsid w:val="662D61DD"/>
    <w:rsid w:val="663010CC"/>
    <w:rsid w:val="66417024"/>
    <w:rsid w:val="66475617"/>
    <w:rsid w:val="664B4641"/>
    <w:rsid w:val="665E1C36"/>
    <w:rsid w:val="665E7B8E"/>
    <w:rsid w:val="665F228F"/>
    <w:rsid w:val="666F6FDA"/>
    <w:rsid w:val="66710825"/>
    <w:rsid w:val="667460A7"/>
    <w:rsid w:val="667915FC"/>
    <w:rsid w:val="668D0F48"/>
    <w:rsid w:val="66A33553"/>
    <w:rsid w:val="66BC6C7E"/>
    <w:rsid w:val="66BF59A6"/>
    <w:rsid w:val="66C27E6B"/>
    <w:rsid w:val="66C52F98"/>
    <w:rsid w:val="66C809EF"/>
    <w:rsid w:val="66CD207A"/>
    <w:rsid w:val="670562A3"/>
    <w:rsid w:val="670E6313"/>
    <w:rsid w:val="67135AD0"/>
    <w:rsid w:val="67155318"/>
    <w:rsid w:val="672E01F9"/>
    <w:rsid w:val="6739419F"/>
    <w:rsid w:val="67525C25"/>
    <w:rsid w:val="675F7ABA"/>
    <w:rsid w:val="67693BEF"/>
    <w:rsid w:val="677953B3"/>
    <w:rsid w:val="677D0067"/>
    <w:rsid w:val="6787323E"/>
    <w:rsid w:val="67947C24"/>
    <w:rsid w:val="67AA16B3"/>
    <w:rsid w:val="67B0406A"/>
    <w:rsid w:val="67B82027"/>
    <w:rsid w:val="67D313D6"/>
    <w:rsid w:val="67E17781"/>
    <w:rsid w:val="67E822F7"/>
    <w:rsid w:val="67EC4C3D"/>
    <w:rsid w:val="67F24A7A"/>
    <w:rsid w:val="67F24E79"/>
    <w:rsid w:val="67FC6B6F"/>
    <w:rsid w:val="68070443"/>
    <w:rsid w:val="680A1475"/>
    <w:rsid w:val="680F3CBA"/>
    <w:rsid w:val="68124BFE"/>
    <w:rsid w:val="68130AA5"/>
    <w:rsid w:val="68141568"/>
    <w:rsid w:val="6818307E"/>
    <w:rsid w:val="682C4A4D"/>
    <w:rsid w:val="682D5D57"/>
    <w:rsid w:val="68321C9E"/>
    <w:rsid w:val="68324AFE"/>
    <w:rsid w:val="68503216"/>
    <w:rsid w:val="68513BE5"/>
    <w:rsid w:val="6855616D"/>
    <w:rsid w:val="68594AF9"/>
    <w:rsid w:val="685B430F"/>
    <w:rsid w:val="68664B20"/>
    <w:rsid w:val="687719CE"/>
    <w:rsid w:val="687C25C6"/>
    <w:rsid w:val="68827AD1"/>
    <w:rsid w:val="68987E78"/>
    <w:rsid w:val="689929A6"/>
    <w:rsid w:val="68B35172"/>
    <w:rsid w:val="68B84324"/>
    <w:rsid w:val="68BA11A9"/>
    <w:rsid w:val="68DF602F"/>
    <w:rsid w:val="68E411E6"/>
    <w:rsid w:val="68E8128C"/>
    <w:rsid w:val="68F8657C"/>
    <w:rsid w:val="690F6CC1"/>
    <w:rsid w:val="6911644D"/>
    <w:rsid w:val="69243F59"/>
    <w:rsid w:val="692C280C"/>
    <w:rsid w:val="69343594"/>
    <w:rsid w:val="693C6439"/>
    <w:rsid w:val="69476619"/>
    <w:rsid w:val="6954431B"/>
    <w:rsid w:val="69557699"/>
    <w:rsid w:val="695B0099"/>
    <w:rsid w:val="695E3090"/>
    <w:rsid w:val="69623B75"/>
    <w:rsid w:val="6991096C"/>
    <w:rsid w:val="699A0060"/>
    <w:rsid w:val="69BA5167"/>
    <w:rsid w:val="69D254C3"/>
    <w:rsid w:val="69EB10D7"/>
    <w:rsid w:val="69F25029"/>
    <w:rsid w:val="6A011CD3"/>
    <w:rsid w:val="6A204534"/>
    <w:rsid w:val="6A216A07"/>
    <w:rsid w:val="6A2A2138"/>
    <w:rsid w:val="6A2C7448"/>
    <w:rsid w:val="6A2F7BA7"/>
    <w:rsid w:val="6A4D3BB3"/>
    <w:rsid w:val="6A4F7275"/>
    <w:rsid w:val="6A51692D"/>
    <w:rsid w:val="6A557984"/>
    <w:rsid w:val="6A5F30D4"/>
    <w:rsid w:val="6A68486C"/>
    <w:rsid w:val="6A6C650F"/>
    <w:rsid w:val="6A6D4AD7"/>
    <w:rsid w:val="6A6D758A"/>
    <w:rsid w:val="6A6E1250"/>
    <w:rsid w:val="6A797B0B"/>
    <w:rsid w:val="6A7A05A3"/>
    <w:rsid w:val="6A8A197E"/>
    <w:rsid w:val="6A9177B5"/>
    <w:rsid w:val="6A925C52"/>
    <w:rsid w:val="6A995AD4"/>
    <w:rsid w:val="6A9F1D50"/>
    <w:rsid w:val="6ABC7B2A"/>
    <w:rsid w:val="6ADB1386"/>
    <w:rsid w:val="6ADD4AD7"/>
    <w:rsid w:val="6AE02CCC"/>
    <w:rsid w:val="6AFC66C1"/>
    <w:rsid w:val="6B017182"/>
    <w:rsid w:val="6B070C84"/>
    <w:rsid w:val="6B072469"/>
    <w:rsid w:val="6B14490F"/>
    <w:rsid w:val="6B1E07BA"/>
    <w:rsid w:val="6B255F96"/>
    <w:rsid w:val="6B303A85"/>
    <w:rsid w:val="6B3415C6"/>
    <w:rsid w:val="6B4A5E54"/>
    <w:rsid w:val="6B4F7CE4"/>
    <w:rsid w:val="6B52286F"/>
    <w:rsid w:val="6B612C93"/>
    <w:rsid w:val="6B686DC6"/>
    <w:rsid w:val="6B7172A8"/>
    <w:rsid w:val="6B755376"/>
    <w:rsid w:val="6B783903"/>
    <w:rsid w:val="6B841928"/>
    <w:rsid w:val="6B8942B5"/>
    <w:rsid w:val="6B894480"/>
    <w:rsid w:val="6B8D7C01"/>
    <w:rsid w:val="6B900E95"/>
    <w:rsid w:val="6B947F73"/>
    <w:rsid w:val="6B9A1DCD"/>
    <w:rsid w:val="6BAE26A6"/>
    <w:rsid w:val="6BB17167"/>
    <w:rsid w:val="6BBA45DD"/>
    <w:rsid w:val="6BC8454D"/>
    <w:rsid w:val="6BCA055B"/>
    <w:rsid w:val="6BCB7B8C"/>
    <w:rsid w:val="6BD9385B"/>
    <w:rsid w:val="6BDA72DD"/>
    <w:rsid w:val="6BDB0AC2"/>
    <w:rsid w:val="6BDB763C"/>
    <w:rsid w:val="6BE061B4"/>
    <w:rsid w:val="6BF04B87"/>
    <w:rsid w:val="6C083042"/>
    <w:rsid w:val="6C0C2E9F"/>
    <w:rsid w:val="6C1671F2"/>
    <w:rsid w:val="6C176282"/>
    <w:rsid w:val="6C1C7D54"/>
    <w:rsid w:val="6C1E17E7"/>
    <w:rsid w:val="6C23212A"/>
    <w:rsid w:val="6C2C7894"/>
    <w:rsid w:val="6C2F7834"/>
    <w:rsid w:val="6C352974"/>
    <w:rsid w:val="6C3A1E4E"/>
    <w:rsid w:val="6C466D49"/>
    <w:rsid w:val="6C4B3E5B"/>
    <w:rsid w:val="6C50257D"/>
    <w:rsid w:val="6C534AD0"/>
    <w:rsid w:val="6C5A0C9C"/>
    <w:rsid w:val="6C6C4E70"/>
    <w:rsid w:val="6C7266A9"/>
    <w:rsid w:val="6C7843BD"/>
    <w:rsid w:val="6C7A789B"/>
    <w:rsid w:val="6C7E119C"/>
    <w:rsid w:val="6C8D4150"/>
    <w:rsid w:val="6C8D4D71"/>
    <w:rsid w:val="6C8D7839"/>
    <w:rsid w:val="6C9C76A9"/>
    <w:rsid w:val="6CA23A8D"/>
    <w:rsid w:val="6CB31ED9"/>
    <w:rsid w:val="6CB34EF7"/>
    <w:rsid w:val="6CCB63F7"/>
    <w:rsid w:val="6CD67DF1"/>
    <w:rsid w:val="6CE15B4A"/>
    <w:rsid w:val="6CE54A74"/>
    <w:rsid w:val="6CE82FB5"/>
    <w:rsid w:val="6CEC1137"/>
    <w:rsid w:val="6CEC294A"/>
    <w:rsid w:val="6CF23902"/>
    <w:rsid w:val="6CF23F51"/>
    <w:rsid w:val="6CF33735"/>
    <w:rsid w:val="6CF739F8"/>
    <w:rsid w:val="6CFE3DFE"/>
    <w:rsid w:val="6D0559C0"/>
    <w:rsid w:val="6D0D1874"/>
    <w:rsid w:val="6D201287"/>
    <w:rsid w:val="6D2A2E3C"/>
    <w:rsid w:val="6D331C10"/>
    <w:rsid w:val="6D3E4550"/>
    <w:rsid w:val="6D4B673B"/>
    <w:rsid w:val="6D58316F"/>
    <w:rsid w:val="6D5B1B17"/>
    <w:rsid w:val="6D5C7E93"/>
    <w:rsid w:val="6D7C48D9"/>
    <w:rsid w:val="6D837A6B"/>
    <w:rsid w:val="6D8D471B"/>
    <w:rsid w:val="6D9A31AF"/>
    <w:rsid w:val="6DA2439B"/>
    <w:rsid w:val="6DA4572A"/>
    <w:rsid w:val="6DA61278"/>
    <w:rsid w:val="6DB10D65"/>
    <w:rsid w:val="6DC44499"/>
    <w:rsid w:val="6DC5642E"/>
    <w:rsid w:val="6DCC2744"/>
    <w:rsid w:val="6DCC7106"/>
    <w:rsid w:val="6DD0652B"/>
    <w:rsid w:val="6DDD0F4C"/>
    <w:rsid w:val="6DF02D11"/>
    <w:rsid w:val="6DF646D1"/>
    <w:rsid w:val="6DFF511C"/>
    <w:rsid w:val="6E012008"/>
    <w:rsid w:val="6E0D5F6A"/>
    <w:rsid w:val="6E12434B"/>
    <w:rsid w:val="6E1B2A45"/>
    <w:rsid w:val="6E1D7995"/>
    <w:rsid w:val="6E2A51AC"/>
    <w:rsid w:val="6E443CD7"/>
    <w:rsid w:val="6E695BDB"/>
    <w:rsid w:val="6E712D65"/>
    <w:rsid w:val="6E7F4DEC"/>
    <w:rsid w:val="6E8807A0"/>
    <w:rsid w:val="6E901E0F"/>
    <w:rsid w:val="6E9C0054"/>
    <w:rsid w:val="6E9E25C0"/>
    <w:rsid w:val="6EAA7AC5"/>
    <w:rsid w:val="6EB269D8"/>
    <w:rsid w:val="6EB600AC"/>
    <w:rsid w:val="6EB62AE8"/>
    <w:rsid w:val="6EB925AC"/>
    <w:rsid w:val="6EBE0BFC"/>
    <w:rsid w:val="6EC151A6"/>
    <w:rsid w:val="6ECD6FE0"/>
    <w:rsid w:val="6ED21D20"/>
    <w:rsid w:val="6ED24F66"/>
    <w:rsid w:val="6EE06794"/>
    <w:rsid w:val="6EE66BAA"/>
    <w:rsid w:val="6EE66E76"/>
    <w:rsid w:val="6EED6B4D"/>
    <w:rsid w:val="6F065FEF"/>
    <w:rsid w:val="6F181D9D"/>
    <w:rsid w:val="6F235279"/>
    <w:rsid w:val="6F2B42A3"/>
    <w:rsid w:val="6F3865CE"/>
    <w:rsid w:val="6F4C21C9"/>
    <w:rsid w:val="6F53364E"/>
    <w:rsid w:val="6F6A3B53"/>
    <w:rsid w:val="6F7279A2"/>
    <w:rsid w:val="6F8F0DF9"/>
    <w:rsid w:val="6FA054EF"/>
    <w:rsid w:val="6FA10B33"/>
    <w:rsid w:val="6FA47581"/>
    <w:rsid w:val="6FC80644"/>
    <w:rsid w:val="6FC84312"/>
    <w:rsid w:val="6FCA6558"/>
    <w:rsid w:val="6FD52029"/>
    <w:rsid w:val="6FD862E1"/>
    <w:rsid w:val="6FDF2472"/>
    <w:rsid w:val="6FE07854"/>
    <w:rsid w:val="6FE13686"/>
    <w:rsid w:val="6FE6767D"/>
    <w:rsid w:val="6FE824C7"/>
    <w:rsid w:val="6FF70137"/>
    <w:rsid w:val="6FFC1FA7"/>
    <w:rsid w:val="6FFC228A"/>
    <w:rsid w:val="6FFF198A"/>
    <w:rsid w:val="7014255E"/>
    <w:rsid w:val="70152337"/>
    <w:rsid w:val="70175CAC"/>
    <w:rsid w:val="701E14FE"/>
    <w:rsid w:val="702151A8"/>
    <w:rsid w:val="7031017D"/>
    <w:rsid w:val="703A6638"/>
    <w:rsid w:val="70465F6B"/>
    <w:rsid w:val="70622E8F"/>
    <w:rsid w:val="70635E14"/>
    <w:rsid w:val="706738E0"/>
    <w:rsid w:val="706B4852"/>
    <w:rsid w:val="70704441"/>
    <w:rsid w:val="70785B41"/>
    <w:rsid w:val="70863E07"/>
    <w:rsid w:val="70871756"/>
    <w:rsid w:val="70907913"/>
    <w:rsid w:val="70A47449"/>
    <w:rsid w:val="70A92069"/>
    <w:rsid w:val="70AF66B5"/>
    <w:rsid w:val="70B13C51"/>
    <w:rsid w:val="70D96C94"/>
    <w:rsid w:val="70DC6045"/>
    <w:rsid w:val="70E308EE"/>
    <w:rsid w:val="70F645EB"/>
    <w:rsid w:val="71150E3B"/>
    <w:rsid w:val="711558FA"/>
    <w:rsid w:val="711C4313"/>
    <w:rsid w:val="71286B1C"/>
    <w:rsid w:val="712C6C0B"/>
    <w:rsid w:val="713E411F"/>
    <w:rsid w:val="714333C7"/>
    <w:rsid w:val="714C3BDE"/>
    <w:rsid w:val="714E032A"/>
    <w:rsid w:val="71502C18"/>
    <w:rsid w:val="7158313C"/>
    <w:rsid w:val="7159744B"/>
    <w:rsid w:val="716A518C"/>
    <w:rsid w:val="71852CFD"/>
    <w:rsid w:val="71900970"/>
    <w:rsid w:val="719978E3"/>
    <w:rsid w:val="71997B68"/>
    <w:rsid w:val="719A7175"/>
    <w:rsid w:val="719F556D"/>
    <w:rsid w:val="71B53266"/>
    <w:rsid w:val="71B95053"/>
    <w:rsid w:val="71BE5983"/>
    <w:rsid w:val="71D05A87"/>
    <w:rsid w:val="71E5291A"/>
    <w:rsid w:val="71FF6314"/>
    <w:rsid w:val="72035651"/>
    <w:rsid w:val="721775E0"/>
    <w:rsid w:val="721B5781"/>
    <w:rsid w:val="72213B22"/>
    <w:rsid w:val="72256AA4"/>
    <w:rsid w:val="723B4C62"/>
    <w:rsid w:val="72404763"/>
    <w:rsid w:val="724375B8"/>
    <w:rsid w:val="724F3A5F"/>
    <w:rsid w:val="72514892"/>
    <w:rsid w:val="72556331"/>
    <w:rsid w:val="725A3FB8"/>
    <w:rsid w:val="72754258"/>
    <w:rsid w:val="727F4C9F"/>
    <w:rsid w:val="72876A2D"/>
    <w:rsid w:val="72955E51"/>
    <w:rsid w:val="72B7586B"/>
    <w:rsid w:val="72BD7A32"/>
    <w:rsid w:val="72C80408"/>
    <w:rsid w:val="72CB7876"/>
    <w:rsid w:val="72CE1C45"/>
    <w:rsid w:val="72CF410F"/>
    <w:rsid w:val="72D40328"/>
    <w:rsid w:val="72E41644"/>
    <w:rsid w:val="72F7056D"/>
    <w:rsid w:val="72FC4C0D"/>
    <w:rsid w:val="73010E2E"/>
    <w:rsid w:val="731052D4"/>
    <w:rsid w:val="732C1710"/>
    <w:rsid w:val="73311E40"/>
    <w:rsid w:val="73351CBE"/>
    <w:rsid w:val="733E4294"/>
    <w:rsid w:val="73427030"/>
    <w:rsid w:val="734D4427"/>
    <w:rsid w:val="73523587"/>
    <w:rsid w:val="736F1674"/>
    <w:rsid w:val="73793984"/>
    <w:rsid w:val="737C100A"/>
    <w:rsid w:val="737C78D5"/>
    <w:rsid w:val="737D69CE"/>
    <w:rsid w:val="73815342"/>
    <w:rsid w:val="73873A47"/>
    <w:rsid w:val="739A6031"/>
    <w:rsid w:val="73AB79CE"/>
    <w:rsid w:val="73B02BD1"/>
    <w:rsid w:val="73BA5752"/>
    <w:rsid w:val="73CB2D9D"/>
    <w:rsid w:val="73D22747"/>
    <w:rsid w:val="73EA0D3A"/>
    <w:rsid w:val="73EC232B"/>
    <w:rsid w:val="74064B2B"/>
    <w:rsid w:val="740C3A61"/>
    <w:rsid w:val="740F06A1"/>
    <w:rsid w:val="741622EE"/>
    <w:rsid w:val="741D5FB8"/>
    <w:rsid w:val="7420032F"/>
    <w:rsid w:val="742645FB"/>
    <w:rsid w:val="743E1BA0"/>
    <w:rsid w:val="744C0418"/>
    <w:rsid w:val="74582192"/>
    <w:rsid w:val="745D743D"/>
    <w:rsid w:val="74634609"/>
    <w:rsid w:val="746A26E7"/>
    <w:rsid w:val="746F19DF"/>
    <w:rsid w:val="748603D9"/>
    <w:rsid w:val="748E2B68"/>
    <w:rsid w:val="749F594D"/>
    <w:rsid w:val="74C3107B"/>
    <w:rsid w:val="74CF7BC9"/>
    <w:rsid w:val="74F666F1"/>
    <w:rsid w:val="74FA2D76"/>
    <w:rsid w:val="751D6BFA"/>
    <w:rsid w:val="751E2CEF"/>
    <w:rsid w:val="75222556"/>
    <w:rsid w:val="75267743"/>
    <w:rsid w:val="752C1F57"/>
    <w:rsid w:val="754F5996"/>
    <w:rsid w:val="75556324"/>
    <w:rsid w:val="75584126"/>
    <w:rsid w:val="755F606D"/>
    <w:rsid w:val="757600CE"/>
    <w:rsid w:val="757A79CC"/>
    <w:rsid w:val="75802C86"/>
    <w:rsid w:val="758C14FE"/>
    <w:rsid w:val="758C688C"/>
    <w:rsid w:val="75A43E0A"/>
    <w:rsid w:val="75A83179"/>
    <w:rsid w:val="75AB2E4F"/>
    <w:rsid w:val="75AF569C"/>
    <w:rsid w:val="75BB0461"/>
    <w:rsid w:val="75C02DFE"/>
    <w:rsid w:val="75C45BFF"/>
    <w:rsid w:val="75CC38F0"/>
    <w:rsid w:val="75D72A5B"/>
    <w:rsid w:val="75D824C3"/>
    <w:rsid w:val="75DD72EB"/>
    <w:rsid w:val="75DE749D"/>
    <w:rsid w:val="75E67B1E"/>
    <w:rsid w:val="75ED63E9"/>
    <w:rsid w:val="76017DCE"/>
    <w:rsid w:val="76161B99"/>
    <w:rsid w:val="76226641"/>
    <w:rsid w:val="763440A7"/>
    <w:rsid w:val="7634769B"/>
    <w:rsid w:val="76427FB3"/>
    <w:rsid w:val="76476C13"/>
    <w:rsid w:val="7668109F"/>
    <w:rsid w:val="76712F80"/>
    <w:rsid w:val="76731C3C"/>
    <w:rsid w:val="76751F2B"/>
    <w:rsid w:val="767D03B4"/>
    <w:rsid w:val="76984C91"/>
    <w:rsid w:val="769D215A"/>
    <w:rsid w:val="76A05BF4"/>
    <w:rsid w:val="76A20E9F"/>
    <w:rsid w:val="76A92DB6"/>
    <w:rsid w:val="76C94FEF"/>
    <w:rsid w:val="7706286C"/>
    <w:rsid w:val="7713180C"/>
    <w:rsid w:val="77155F9A"/>
    <w:rsid w:val="771A786E"/>
    <w:rsid w:val="771D1184"/>
    <w:rsid w:val="7720788B"/>
    <w:rsid w:val="77270CEE"/>
    <w:rsid w:val="77467C70"/>
    <w:rsid w:val="77502B5C"/>
    <w:rsid w:val="77504ED9"/>
    <w:rsid w:val="77767B29"/>
    <w:rsid w:val="77866F48"/>
    <w:rsid w:val="77881196"/>
    <w:rsid w:val="778925D9"/>
    <w:rsid w:val="779613BC"/>
    <w:rsid w:val="77B86BF8"/>
    <w:rsid w:val="77CA6AE8"/>
    <w:rsid w:val="77D83625"/>
    <w:rsid w:val="77DC1B80"/>
    <w:rsid w:val="77F32FFC"/>
    <w:rsid w:val="78011453"/>
    <w:rsid w:val="78181CEF"/>
    <w:rsid w:val="78247EA7"/>
    <w:rsid w:val="78323765"/>
    <w:rsid w:val="783B5B4B"/>
    <w:rsid w:val="78410F0D"/>
    <w:rsid w:val="7841443E"/>
    <w:rsid w:val="784155A1"/>
    <w:rsid w:val="784213C6"/>
    <w:rsid w:val="784616B8"/>
    <w:rsid w:val="78490DEE"/>
    <w:rsid w:val="78496C6A"/>
    <w:rsid w:val="784C420E"/>
    <w:rsid w:val="78544C53"/>
    <w:rsid w:val="78701594"/>
    <w:rsid w:val="78737DA2"/>
    <w:rsid w:val="78793FB6"/>
    <w:rsid w:val="78867281"/>
    <w:rsid w:val="788E4F7A"/>
    <w:rsid w:val="78A10A47"/>
    <w:rsid w:val="78B72354"/>
    <w:rsid w:val="78B742EB"/>
    <w:rsid w:val="78BE6BCD"/>
    <w:rsid w:val="78CD22CE"/>
    <w:rsid w:val="78D15018"/>
    <w:rsid w:val="78DB0655"/>
    <w:rsid w:val="78DC4674"/>
    <w:rsid w:val="78DF6517"/>
    <w:rsid w:val="78E9565C"/>
    <w:rsid w:val="79034D12"/>
    <w:rsid w:val="79185978"/>
    <w:rsid w:val="791E5C05"/>
    <w:rsid w:val="7928792B"/>
    <w:rsid w:val="793B7903"/>
    <w:rsid w:val="79460F09"/>
    <w:rsid w:val="794B7083"/>
    <w:rsid w:val="796534DC"/>
    <w:rsid w:val="79674FAC"/>
    <w:rsid w:val="79684157"/>
    <w:rsid w:val="796D3CE8"/>
    <w:rsid w:val="798948A0"/>
    <w:rsid w:val="7997682F"/>
    <w:rsid w:val="799C3CC6"/>
    <w:rsid w:val="79B61365"/>
    <w:rsid w:val="79B96153"/>
    <w:rsid w:val="79CC194F"/>
    <w:rsid w:val="7A0D756F"/>
    <w:rsid w:val="7A106FE1"/>
    <w:rsid w:val="7A49023D"/>
    <w:rsid w:val="7A4A3C70"/>
    <w:rsid w:val="7A5A2142"/>
    <w:rsid w:val="7A6F1F5A"/>
    <w:rsid w:val="7A76326F"/>
    <w:rsid w:val="7A8253E2"/>
    <w:rsid w:val="7A83205A"/>
    <w:rsid w:val="7A835818"/>
    <w:rsid w:val="7A837BE7"/>
    <w:rsid w:val="7A883DFD"/>
    <w:rsid w:val="7A9163C1"/>
    <w:rsid w:val="7AAA4A36"/>
    <w:rsid w:val="7AAC28A6"/>
    <w:rsid w:val="7AB27FC1"/>
    <w:rsid w:val="7ACC65AC"/>
    <w:rsid w:val="7ACD25E3"/>
    <w:rsid w:val="7AD11BB4"/>
    <w:rsid w:val="7ADB5B96"/>
    <w:rsid w:val="7AE808DE"/>
    <w:rsid w:val="7AED3989"/>
    <w:rsid w:val="7AF97C10"/>
    <w:rsid w:val="7AFC5E63"/>
    <w:rsid w:val="7AFF44C8"/>
    <w:rsid w:val="7B02494F"/>
    <w:rsid w:val="7B0B297B"/>
    <w:rsid w:val="7B1948B1"/>
    <w:rsid w:val="7B211B0D"/>
    <w:rsid w:val="7B2E6A17"/>
    <w:rsid w:val="7B325DCD"/>
    <w:rsid w:val="7B390021"/>
    <w:rsid w:val="7B3D3646"/>
    <w:rsid w:val="7B6B1BA7"/>
    <w:rsid w:val="7B70592A"/>
    <w:rsid w:val="7B81599F"/>
    <w:rsid w:val="7B8716FF"/>
    <w:rsid w:val="7B881327"/>
    <w:rsid w:val="7B94741F"/>
    <w:rsid w:val="7B9639E2"/>
    <w:rsid w:val="7BA22012"/>
    <w:rsid w:val="7BC22C77"/>
    <w:rsid w:val="7BF30832"/>
    <w:rsid w:val="7BFD0638"/>
    <w:rsid w:val="7C0B28F5"/>
    <w:rsid w:val="7C102CFC"/>
    <w:rsid w:val="7C1640B9"/>
    <w:rsid w:val="7C19711E"/>
    <w:rsid w:val="7C1C7FDF"/>
    <w:rsid w:val="7C2021AE"/>
    <w:rsid w:val="7C294DA3"/>
    <w:rsid w:val="7C297B7B"/>
    <w:rsid w:val="7C2A65E0"/>
    <w:rsid w:val="7C2D7612"/>
    <w:rsid w:val="7C353A58"/>
    <w:rsid w:val="7C5A783B"/>
    <w:rsid w:val="7C5F272E"/>
    <w:rsid w:val="7C6D3C2C"/>
    <w:rsid w:val="7C7F5F4F"/>
    <w:rsid w:val="7C830697"/>
    <w:rsid w:val="7C854E91"/>
    <w:rsid w:val="7C85534F"/>
    <w:rsid w:val="7C877190"/>
    <w:rsid w:val="7CA81342"/>
    <w:rsid w:val="7CB72A5B"/>
    <w:rsid w:val="7CBA50DB"/>
    <w:rsid w:val="7CBD1203"/>
    <w:rsid w:val="7CBF6866"/>
    <w:rsid w:val="7CD05A39"/>
    <w:rsid w:val="7CD92609"/>
    <w:rsid w:val="7CDF7E46"/>
    <w:rsid w:val="7CE26752"/>
    <w:rsid w:val="7CF7436D"/>
    <w:rsid w:val="7CFF29C7"/>
    <w:rsid w:val="7D0475D9"/>
    <w:rsid w:val="7D0666A3"/>
    <w:rsid w:val="7D0D7A83"/>
    <w:rsid w:val="7D150A4C"/>
    <w:rsid w:val="7D2539DD"/>
    <w:rsid w:val="7D3C1A03"/>
    <w:rsid w:val="7D4A0D82"/>
    <w:rsid w:val="7D5135AD"/>
    <w:rsid w:val="7D541054"/>
    <w:rsid w:val="7D57165F"/>
    <w:rsid w:val="7D57594E"/>
    <w:rsid w:val="7D59001A"/>
    <w:rsid w:val="7D6000EB"/>
    <w:rsid w:val="7D633ACE"/>
    <w:rsid w:val="7D674A92"/>
    <w:rsid w:val="7D6A51A2"/>
    <w:rsid w:val="7D6D0ED6"/>
    <w:rsid w:val="7D77395A"/>
    <w:rsid w:val="7D781988"/>
    <w:rsid w:val="7D7A2D61"/>
    <w:rsid w:val="7D8776DE"/>
    <w:rsid w:val="7D8C275D"/>
    <w:rsid w:val="7DA15785"/>
    <w:rsid w:val="7DA7291C"/>
    <w:rsid w:val="7DC4225F"/>
    <w:rsid w:val="7DE24AF3"/>
    <w:rsid w:val="7DE279FD"/>
    <w:rsid w:val="7DE71A39"/>
    <w:rsid w:val="7DFC55DA"/>
    <w:rsid w:val="7DFF1D34"/>
    <w:rsid w:val="7E0D2F31"/>
    <w:rsid w:val="7E3E60EE"/>
    <w:rsid w:val="7E4802CA"/>
    <w:rsid w:val="7E4C2D9B"/>
    <w:rsid w:val="7E6051FC"/>
    <w:rsid w:val="7E7E0938"/>
    <w:rsid w:val="7E7F2F4D"/>
    <w:rsid w:val="7E816E1E"/>
    <w:rsid w:val="7E8806EE"/>
    <w:rsid w:val="7E885D74"/>
    <w:rsid w:val="7E9056BC"/>
    <w:rsid w:val="7E9763E6"/>
    <w:rsid w:val="7E9B5030"/>
    <w:rsid w:val="7EB657EC"/>
    <w:rsid w:val="7EB94268"/>
    <w:rsid w:val="7ECB353E"/>
    <w:rsid w:val="7ECE15DA"/>
    <w:rsid w:val="7ECE34E5"/>
    <w:rsid w:val="7ED35E7B"/>
    <w:rsid w:val="7ED72892"/>
    <w:rsid w:val="7EE20724"/>
    <w:rsid w:val="7EE2367A"/>
    <w:rsid w:val="7EED5281"/>
    <w:rsid w:val="7EF96296"/>
    <w:rsid w:val="7EFB0406"/>
    <w:rsid w:val="7F021615"/>
    <w:rsid w:val="7F04649C"/>
    <w:rsid w:val="7F087281"/>
    <w:rsid w:val="7F1A4150"/>
    <w:rsid w:val="7F1D4BD4"/>
    <w:rsid w:val="7F2116BD"/>
    <w:rsid w:val="7F2879FB"/>
    <w:rsid w:val="7F2B1F2B"/>
    <w:rsid w:val="7F3D21A0"/>
    <w:rsid w:val="7F556989"/>
    <w:rsid w:val="7F721EBB"/>
    <w:rsid w:val="7F740000"/>
    <w:rsid w:val="7F773EC5"/>
    <w:rsid w:val="7F7A405C"/>
    <w:rsid w:val="7F8F09A8"/>
    <w:rsid w:val="7F901560"/>
    <w:rsid w:val="7F9E0690"/>
    <w:rsid w:val="7F9E74CE"/>
    <w:rsid w:val="7FC16CA6"/>
    <w:rsid w:val="7FC315D0"/>
    <w:rsid w:val="7FC429FD"/>
    <w:rsid w:val="7FCB73B0"/>
    <w:rsid w:val="7FCC29E7"/>
    <w:rsid w:val="7FCF7426"/>
    <w:rsid w:val="7FD0007F"/>
    <w:rsid w:val="7FD81418"/>
    <w:rsid w:val="7FD9666D"/>
    <w:rsid w:val="7FE5487E"/>
    <w:rsid w:val="7FE929F3"/>
    <w:rsid w:val="7FF41362"/>
    <w:rsid w:val="7FF46ED3"/>
    <w:rsid w:val="7FF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hAnsi="宋体"/>
      <w:b/>
      <w:kern w:val="44"/>
      <w:sz w:val="48"/>
      <w:szCs w:val="48"/>
    </w:rPr>
  </w:style>
  <w:style w:type="paragraph" w:styleId="3">
    <w:name w:val="heading 2"/>
    <w:basedOn w:val="1"/>
    <w:next w:val="1"/>
    <w:autoRedefine/>
    <w:qFormat/>
    <w:uiPriority w:val="0"/>
    <w:pPr>
      <w:keepNext/>
      <w:keepLines/>
      <w:widowControl/>
      <w:tabs>
        <w:tab w:val="left" w:pos="720"/>
      </w:tabs>
      <w:jc w:val="center"/>
      <w:outlineLvl w:val="1"/>
    </w:pPr>
    <w:rPr>
      <w:rFonts w:hAnsi="宋体"/>
      <w:b/>
      <w:color w:val="000000"/>
      <w:sz w:val="30"/>
      <w:szCs w:val="30"/>
    </w:rPr>
  </w:style>
  <w:style w:type="paragraph" w:styleId="4">
    <w:name w:val="heading 3"/>
    <w:basedOn w:val="1"/>
    <w:next w:val="5"/>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9"/>
    <w:pPr>
      <w:keepNext/>
      <w:keepLines/>
      <w:jc w:val="left"/>
      <w:outlineLvl w:val="3"/>
    </w:pPr>
    <w:rPr>
      <w:rFonts w:hint="eastAsia" w:ascii="Arial" w:hAnsi="Arial"/>
      <w:b/>
      <w:sz w:val="32"/>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陈思"/>
    <w:basedOn w:val="1"/>
    <w:autoRedefine/>
    <w:qFormat/>
    <w:uiPriority w:val="0"/>
    <w:pPr>
      <w:ind w:firstLine="200" w:firstLineChars="200"/>
      <w:jc w:val="both"/>
    </w:pPr>
    <w:rPr>
      <w:rFonts w:ascii="宋体" w:hAnsi="宋体"/>
    </w:rPr>
  </w:style>
  <w:style w:type="paragraph" w:styleId="8">
    <w:name w:val="Normal Indent"/>
    <w:basedOn w:val="1"/>
    <w:link w:val="41"/>
    <w:autoRedefine/>
    <w:qFormat/>
    <w:uiPriority w:val="0"/>
    <w:pPr>
      <w:adjustRightInd/>
      <w:spacing w:line="240" w:lineRule="auto"/>
      <w:ind w:firstLine="420"/>
      <w:textAlignment w:val="auto"/>
    </w:pPr>
    <w:rPr>
      <w:rFonts w:ascii="Times New Roman" w:hAnsi="Times New Roman"/>
      <w:sz w:val="20"/>
      <w:szCs w:val="20"/>
    </w:rPr>
  </w:style>
  <w:style w:type="paragraph" w:styleId="9">
    <w:name w:val="Body Text"/>
    <w:basedOn w:val="1"/>
    <w:next w:val="10"/>
    <w:link w:val="42"/>
    <w:autoRedefine/>
    <w:qFormat/>
    <w:uiPriority w:val="0"/>
    <w:pPr>
      <w:spacing w:after="120"/>
    </w:pPr>
    <w:rPr>
      <w:sz w:val="20"/>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Body Text Indent"/>
    <w:basedOn w:val="1"/>
    <w:next w:val="1"/>
    <w:autoRedefine/>
    <w:qFormat/>
    <w:uiPriority w:val="0"/>
    <w:pPr>
      <w:spacing w:after="120"/>
      <w:ind w:left="420" w:leftChars="200"/>
    </w:pPr>
    <w:rPr>
      <w:rFonts w:ascii="Times New Roman" w:hAnsi="Times New Roman"/>
      <w:szCs w:val="24"/>
    </w:rPr>
  </w:style>
  <w:style w:type="paragraph" w:styleId="12">
    <w:name w:val="Block Text"/>
    <w:basedOn w:val="1"/>
    <w:next w:val="1"/>
    <w:autoRedefine/>
    <w:semiHidden/>
    <w:unhideWhenUsed/>
    <w:qFormat/>
    <w:uiPriority w:val="99"/>
    <w:pPr>
      <w:ind w:left="1440" w:leftChars="700" w:right="700" w:rightChars="700"/>
    </w:pPr>
  </w:style>
  <w:style w:type="paragraph" w:styleId="13">
    <w:name w:val="Plain Text"/>
    <w:basedOn w:val="1"/>
    <w:autoRedefine/>
    <w:qFormat/>
    <w:uiPriority w:val="0"/>
    <w:pPr>
      <w:adjustRightInd/>
      <w:spacing w:line="240" w:lineRule="auto"/>
      <w:textAlignment w:val="auto"/>
    </w:pPr>
    <w:rPr>
      <w:rFonts w:hAnsi="Courier New" w:cs="Courier New"/>
      <w:kern w:val="2"/>
      <w:sz w:val="21"/>
      <w:szCs w:val="21"/>
    </w:rPr>
  </w:style>
  <w:style w:type="paragraph" w:styleId="14">
    <w:name w:val="Balloon Text"/>
    <w:basedOn w:val="1"/>
    <w:link w:val="43"/>
    <w:autoRedefine/>
    <w:qFormat/>
    <w:uiPriority w:val="0"/>
    <w:pPr>
      <w:spacing w:line="240" w:lineRule="auto"/>
    </w:pPr>
    <w:rPr>
      <w:sz w:val="18"/>
      <w:szCs w:val="18"/>
    </w:rPr>
  </w:style>
  <w:style w:type="paragraph" w:styleId="15">
    <w:name w:val="footer"/>
    <w:basedOn w:val="1"/>
    <w:link w:val="44"/>
    <w:autoRedefine/>
    <w:qFormat/>
    <w:uiPriority w:val="0"/>
    <w:pPr>
      <w:tabs>
        <w:tab w:val="center" w:pos="4153"/>
        <w:tab w:val="right" w:pos="8306"/>
      </w:tabs>
      <w:snapToGrid w:val="0"/>
      <w:jc w:val="left"/>
    </w:pPr>
    <w:rPr>
      <w:sz w:val="18"/>
      <w:szCs w:val="18"/>
    </w:rPr>
  </w:style>
  <w:style w:type="paragraph" w:styleId="16">
    <w:name w:val="header"/>
    <w:basedOn w:val="1"/>
    <w:link w:val="45"/>
    <w:autoRedefine/>
    <w:qFormat/>
    <w:uiPriority w:val="0"/>
    <w:pPr>
      <w:widowControl/>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rPr>
      <w:rFonts w:ascii="Times New Roman"/>
      <w:kern w:val="2"/>
      <w:sz w:val="21"/>
      <w:szCs w:val="24"/>
    </w:rPr>
  </w:style>
  <w:style w:type="paragraph" w:styleId="18">
    <w:name w:val="Body Text Indent 3"/>
    <w:basedOn w:val="1"/>
    <w:autoRedefine/>
    <w:qFormat/>
    <w:uiPriority w:val="0"/>
    <w:pPr>
      <w:autoSpaceDE w:val="0"/>
      <w:autoSpaceDN w:val="0"/>
      <w:snapToGrid w:val="0"/>
      <w:spacing w:line="360" w:lineRule="auto"/>
      <w:ind w:firstLine="524" w:firstLineChars="187"/>
    </w:pPr>
    <w:rPr>
      <w:rFonts w:eastAsia="仿宋_GB2312"/>
      <w:color w:val="000000"/>
      <w:sz w:val="28"/>
      <w:szCs w:val="28"/>
      <w:lang w:val="zh-CN"/>
    </w:rPr>
  </w:style>
  <w:style w:type="paragraph" w:styleId="19">
    <w:name w:val="HTML Preformatted"/>
    <w:basedOn w:val="1"/>
    <w:link w:val="46"/>
    <w:autoRedefine/>
    <w:qFormat/>
    <w:uiPriority w:val="0"/>
    <w:rPr>
      <w:rFonts w:ascii="Courier New" w:hAnsi="Courier New"/>
      <w:sz w:val="20"/>
      <w:szCs w:val="20"/>
    </w:rPr>
  </w:style>
  <w:style w:type="paragraph" w:styleId="20">
    <w:name w:val="Normal (Web)"/>
    <w:basedOn w:val="1"/>
    <w:autoRedefine/>
    <w:qFormat/>
    <w:uiPriority w:val="0"/>
    <w:pPr>
      <w:widowControl/>
      <w:spacing w:before="100" w:beforeAutospacing="1" w:after="100" w:afterAutospacing="1"/>
      <w:jc w:val="left"/>
    </w:pPr>
    <w:rPr>
      <w:rFonts w:hAnsi="宋体"/>
      <w:sz w:val="24"/>
    </w:rPr>
  </w:style>
  <w:style w:type="paragraph" w:styleId="21">
    <w:name w:val="Title"/>
    <w:basedOn w:val="1"/>
    <w:next w:val="1"/>
    <w:autoRedefine/>
    <w:qFormat/>
    <w:uiPriority w:val="0"/>
    <w:pPr>
      <w:spacing w:before="240" w:after="60"/>
      <w:jc w:val="center"/>
      <w:outlineLvl w:val="0"/>
    </w:pPr>
    <w:rPr>
      <w:rFonts w:hint="eastAsia" w:ascii="Cambria" w:hAnsi="Cambria"/>
      <w:b/>
      <w:sz w:val="32"/>
      <w:szCs w:val="32"/>
    </w:rPr>
  </w:style>
  <w:style w:type="paragraph" w:styleId="22">
    <w:name w:val="Body Text First Indent"/>
    <w:basedOn w:val="9"/>
    <w:next w:val="23"/>
    <w:autoRedefine/>
    <w:qFormat/>
    <w:uiPriority w:val="0"/>
    <w:pPr>
      <w:ind w:firstLine="420" w:firstLineChars="100"/>
    </w:pPr>
  </w:style>
  <w:style w:type="paragraph" w:styleId="23">
    <w:name w:val="Body Text First Indent 2"/>
    <w:basedOn w:val="11"/>
    <w:autoRedefine/>
    <w:unhideWhenUsed/>
    <w:qFormat/>
    <w:uiPriority w:val="99"/>
    <w:pPr>
      <w:tabs>
        <w:tab w:val="left" w:pos="1050"/>
      </w:tabs>
      <w:ind w:firstLine="420" w:firstLineChars="20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rFonts w:cs="Times New Roman"/>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rFonts w:cs="Times New Roman"/>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首行缩进"/>
    <w:basedOn w:val="1"/>
    <w:autoRedefine/>
    <w:qFormat/>
    <w:uiPriority w:val="0"/>
    <w:pPr>
      <w:spacing w:line="360" w:lineRule="auto"/>
      <w:ind w:firstLine="420" w:firstLineChars="200"/>
    </w:pPr>
    <w:rPr>
      <w:sz w:val="21"/>
    </w:rPr>
  </w:style>
  <w:style w:type="paragraph" w:customStyle="1" w:styleId="40">
    <w:name w:val="列出段落1"/>
    <w:basedOn w:val="1"/>
    <w:autoRedefine/>
    <w:qFormat/>
    <w:uiPriority w:val="0"/>
    <w:pPr>
      <w:adjustRightInd/>
      <w:spacing w:line="240" w:lineRule="auto"/>
      <w:ind w:firstLine="200" w:firstLineChars="200"/>
      <w:textAlignment w:val="auto"/>
    </w:pPr>
    <w:rPr>
      <w:rFonts w:ascii="Calibri"/>
      <w:kern w:val="2"/>
      <w:sz w:val="21"/>
      <w:szCs w:val="24"/>
    </w:rPr>
  </w:style>
  <w:style w:type="character" w:customStyle="1" w:styleId="41">
    <w:name w:val="正文缩进 Char"/>
    <w:link w:val="8"/>
    <w:autoRedefine/>
    <w:qFormat/>
    <w:locked/>
    <w:uiPriority w:val="0"/>
    <w:rPr>
      <w:rFonts w:eastAsia="宋体"/>
      <w:lang w:bidi="ar-SA"/>
    </w:rPr>
  </w:style>
  <w:style w:type="character" w:customStyle="1" w:styleId="42">
    <w:name w:val="正文文本 Char"/>
    <w:link w:val="9"/>
    <w:autoRedefine/>
    <w:semiHidden/>
    <w:qFormat/>
    <w:locked/>
    <w:uiPriority w:val="0"/>
    <w:rPr>
      <w:rFonts w:ascii="宋体" w:hAnsi="Calibri" w:eastAsia="宋体"/>
      <w:szCs w:val="22"/>
      <w:lang w:val="en-US" w:eastAsia="zh-CN" w:bidi="ar-SA"/>
    </w:rPr>
  </w:style>
  <w:style w:type="character" w:customStyle="1" w:styleId="43">
    <w:name w:val="批注框文本 Char"/>
    <w:link w:val="14"/>
    <w:autoRedefine/>
    <w:qFormat/>
    <w:uiPriority w:val="0"/>
    <w:rPr>
      <w:rFonts w:ascii="宋体" w:hAnsi="Calibri"/>
      <w:sz w:val="18"/>
      <w:szCs w:val="18"/>
    </w:rPr>
  </w:style>
  <w:style w:type="character" w:customStyle="1" w:styleId="44">
    <w:name w:val="页脚 Char"/>
    <w:link w:val="15"/>
    <w:autoRedefine/>
    <w:semiHidden/>
    <w:qFormat/>
    <w:locked/>
    <w:uiPriority w:val="0"/>
    <w:rPr>
      <w:rFonts w:ascii="宋体" w:hAnsi="Calibri" w:eastAsia="宋体"/>
      <w:sz w:val="18"/>
      <w:szCs w:val="18"/>
      <w:lang w:val="en-US" w:eastAsia="zh-CN" w:bidi="ar-SA"/>
    </w:rPr>
  </w:style>
  <w:style w:type="character" w:customStyle="1" w:styleId="45">
    <w:name w:val="页眉 Char"/>
    <w:link w:val="16"/>
    <w:autoRedefine/>
    <w:semiHidden/>
    <w:qFormat/>
    <w:locked/>
    <w:uiPriority w:val="0"/>
    <w:rPr>
      <w:rFonts w:ascii="宋体" w:hAnsi="Calibri" w:eastAsia="宋体"/>
      <w:sz w:val="18"/>
      <w:szCs w:val="18"/>
      <w:lang w:val="en-US" w:eastAsia="zh-CN" w:bidi="ar-SA"/>
    </w:rPr>
  </w:style>
  <w:style w:type="character" w:customStyle="1" w:styleId="46">
    <w:name w:val="HTML 预设格式 Char"/>
    <w:link w:val="19"/>
    <w:autoRedefine/>
    <w:qFormat/>
    <w:uiPriority w:val="0"/>
    <w:rPr>
      <w:rFonts w:ascii="Courier New" w:hAnsi="Courier New" w:cs="Courier New"/>
    </w:rPr>
  </w:style>
  <w:style w:type="character" w:customStyle="1" w:styleId="47">
    <w:name w:val="font101"/>
    <w:basedOn w:val="26"/>
    <w:autoRedefine/>
    <w:qFormat/>
    <w:uiPriority w:val="0"/>
    <w:rPr>
      <w:rFonts w:hint="eastAsia" w:ascii="宋体" w:hAnsi="宋体" w:eastAsia="宋体" w:cs="宋体"/>
      <w:color w:val="000000"/>
      <w:sz w:val="22"/>
      <w:szCs w:val="22"/>
      <w:u w:val="none"/>
    </w:rPr>
  </w:style>
  <w:style w:type="character" w:customStyle="1" w:styleId="48">
    <w:name w:val="Footer Char"/>
    <w:autoRedefine/>
    <w:qFormat/>
    <w:locked/>
    <w:uiPriority w:val="0"/>
    <w:rPr>
      <w:rFonts w:ascii="Calibri" w:hAnsi="Calibri" w:eastAsia="宋体"/>
      <w:kern w:val="2"/>
      <w:sz w:val="18"/>
      <w:szCs w:val="18"/>
      <w:lang w:val="en-US" w:eastAsia="zh-CN" w:bidi="ar-SA"/>
    </w:rPr>
  </w:style>
  <w:style w:type="character" w:customStyle="1" w:styleId="49">
    <w:name w:val="font01"/>
    <w:basedOn w:val="26"/>
    <w:autoRedefine/>
    <w:qFormat/>
    <w:uiPriority w:val="0"/>
    <w:rPr>
      <w:rFonts w:hint="default" w:ascii="Calibri" w:hAnsi="Calibri" w:cs="Calibri"/>
      <w:color w:val="000000"/>
      <w:sz w:val="22"/>
      <w:szCs w:val="22"/>
      <w:u w:val="none"/>
    </w:rPr>
  </w:style>
  <w:style w:type="character" w:customStyle="1" w:styleId="50">
    <w:name w:val="Header Char"/>
    <w:autoRedefine/>
    <w:qFormat/>
    <w:locked/>
    <w:uiPriority w:val="0"/>
    <w:rPr>
      <w:rFonts w:ascii="Calibri" w:hAnsi="Calibri" w:eastAsia="宋体"/>
      <w:kern w:val="2"/>
      <w:sz w:val="18"/>
      <w:szCs w:val="18"/>
      <w:lang w:val="en-US" w:eastAsia="zh-CN" w:bidi="ar-SA"/>
    </w:rPr>
  </w:style>
  <w:style w:type="character" w:customStyle="1" w:styleId="51">
    <w:name w:val="18"/>
    <w:basedOn w:val="26"/>
    <w:autoRedefine/>
    <w:qFormat/>
    <w:uiPriority w:val="0"/>
    <w:rPr>
      <w:rFonts w:hint="default" w:ascii="Times New Roman" w:hAnsi="Times New Roman" w:cs="Times New Roman"/>
      <w:b/>
    </w:rPr>
  </w:style>
  <w:style w:type="character" w:customStyle="1" w:styleId="52">
    <w:name w:val="正文标准 Char"/>
    <w:link w:val="53"/>
    <w:autoRedefine/>
    <w:qFormat/>
    <w:uiPriority w:val="0"/>
    <w:rPr>
      <w:rFonts w:ascii="Calibri"/>
      <w:kern w:val="2"/>
      <w:sz w:val="21"/>
      <w:szCs w:val="24"/>
    </w:rPr>
  </w:style>
  <w:style w:type="paragraph" w:customStyle="1" w:styleId="53">
    <w:name w:val="正文标准"/>
    <w:basedOn w:val="1"/>
    <w:link w:val="52"/>
    <w:autoRedefine/>
    <w:qFormat/>
    <w:uiPriority w:val="0"/>
    <w:pPr>
      <w:adjustRightInd/>
      <w:spacing w:line="240" w:lineRule="auto"/>
      <w:ind w:firstLine="200" w:firstLineChars="200"/>
      <w:jc w:val="left"/>
      <w:textAlignment w:val="auto"/>
    </w:pPr>
    <w:rPr>
      <w:rFonts w:ascii="Calibri" w:hAnsi="Times New Roman"/>
      <w:kern w:val="2"/>
      <w:sz w:val="21"/>
      <w:szCs w:val="24"/>
    </w:rPr>
  </w:style>
  <w:style w:type="character" w:customStyle="1" w:styleId="54">
    <w:name w:val="font11"/>
    <w:basedOn w:val="26"/>
    <w:autoRedefine/>
    <w:qFormat/>
    <w:uiPriority w:val="0"/>
    <w:rPr>
      <w:rFonts w:hint="eastAsia" w:ascii="宋体" w:hAnsi="宋体" w:eastAsia="宋体" w:cs="宋体"/>
      <w:color w:val="000000"/>
      <w:sz w:val="22"/>
      <w:szCs w:val="22"/>
      <w:u w:val="none"/>
    </w:rPr>
  </w:style>
  <w:style w:type="character" w:customStyle="1" w:styleId="55">
    <w:name w:val="样式 正文缩进 + 首行缩进:  2 字符 Char Char"/>
    <w:link w:val="56"/>
    <w:autoRedefine/>
    <w:qFormat/>
    <w:locked/>
    <w:uiPriority w:val="0"/>
    <w:rPr>
      <w:rFonts w:eastAsia="宋体"/>
      <w:sz w:val="24"/>
      <w:lang w:bidi="ar-SA"/>
    </w:rPr>
  </w:style>
  <w:style w:type="paragraph" w:customStyle="1" w:styleId="56">
    <w:name w:val="样式 正文缩进 + 首行缩进:  2 字符"/>
    <w:basedOn w:val="8"/>
    <w:link w:val="55"/>
    <w:autoRedefine/>
    <w:qFormat/>
    <w:uiPriority w:val="0"/>
    <w:pPr>
      <w:spacing w:line="360" w:lineRule="auto"/>
      <w:ind w:firstLine="480" w:firstLineChars="200"/>
    </w:pPr>
    <w:rPr>
      <w:sz w:val="24"/>
    </w:rPr>
  </w:style>
  <w:style w:type="character" w:customStyle="1" w:styleId="57">
    <w:name w:val="font61"/>
    <w:basedOn w:val="26"/>
    <w:autoRedefine/>
    <w:qFormat/>
    <w:uiPriority w:val="0"/>
    <w:rPr>
      <w:rFonts w:hint="eastAsia" w:ascii="宋体" w:hAnsi="宋体" w:eastAsia="宋体" w:cs="宋体"/>
      <w:color w:val="000000"/>
      <w:sz w:val="22"/>
      <w:szCs w:val="22"/>
      <w:u w:val="none"/>
    </w:rPr>
  </w:style>
  <w:style w:type="character" w:customStyle="1" w:styleId="58">
    <w:name w:val="font21"/>
    <w:basedOn w:val="26"/>
    <w:autoRedefine/>
    <w:qFormat/>
    <w:uiPriority w:val="0"/>
    <w:rPr>
      <w:rFonts w:hint="eastAsia" w:ascii="宋体" w:hAnsi="宋体" w:eastAsia="宋体" w:cs="宋体"/>
      <w:color w:val="000000"/>
      <w:sz w:val="22"/>
      <w:szCs w:val="22"/>
      <w:u w:val="none"/>
    </w:rPr>
  </w:style>
  <w:style w:type="character" w:customStyle="1" w:styleId="59">
    <w:name w:val="15"/>
    <w:basedOn w:val="26"/>
    <w:autoRedefine/>
    <w:qFormat/>
    <w:uiPriority w:val="0"/>
    <w:rPr>
      <w:rFonts w:hint="default" w:ascii="Times New Roman" w:hAnsi="Times New Roman" w:cs="Times New Roman"/>
      <w:b/>
    </w:rPr>
  </w:style>
  <w:style w:type="character" w:customStyle="1" w:styleId="60">
    <w:name w:val="17"/>
    <w:basedOn w:val="26"/>
    <w:autoRedefine/>
    <w:qFormat/>
    <w:uiPriority w:val="0"/>
    <w:rPr>
      <w:rFonts w:hint="default" w:ascii="Times New Roman" w:hAnsi="Times New Roman" w:cs="Times New Roman"/>
      <w:b/>
    </w:rPr>
  </w:style>
  <w:style w:type="character" w:customStyle="1" w:styleId="61">
    <w:name w:val="22"/>
    <w:basedOn w:val="26"/>
    <w:autoRedefine/>
    <w:qFormat/>
    <w:uiPriority w:val="0"/>
    <w:rPr>
      <w:rFonts w:hint="default" w:ascii="Times New Roman" w:hAnsi="Times New Roman" w:cs="Times New Roman"/>
      <w:b/>
    </w:rPr>
  </w:style>
  <w:style w:type="character" w:customStyle="1" w:styleId="62">
    <w:name w:val="font51"/>
    <w:basedOn w:val="26"/>
    <w:autoRedefine/>
    <w:qFormat/>
    <w:uiPriority w:val="0"/>
    <w:rPr>
      <w:rFonts w:hint="default" w:ascii="Calibri" w:hAnsi="Calibri" w:cs="Calibri"/>
      <w:color w:val="000000"/>
      <w:sz w:val="22"/>
      <w:szCs w:val="22"/>
      <w:u w:val="none"/>
    </w:rPr>
  </w:style>
  <w:style w:type="character" w:customStyle="1" w:styleId="63">
    <w:name w:val="23"/>
    <w:basedOn w:val="26"/>
    <w:autoRedefine/>
    <w:qFormat/>
    <w:uiPriority w:val="0"/>
    <w:rPr>
      <w:rFonts w:hint="default" w:ascii="Times New Roman" w:hAnsi="Times New Roman" w:cs="Times New Roman"/>
      <w:b/>
    </w:rPr>
  </w:style>
  <w:style w:type="character" w:customStyle="1" w:styleId="64">
    <w:name w:val="21"/>
    <w:basedOn w:val="26"/>
    <w:autoRedefine/>
    <w:qFormat/>
    <w:uiPriority w:val="0"/>
    <w:rPr>
      <w:rFonts w:hint="default" w:ascii="Times New Roman" w:hAnsi="Times New Roman" w:cs="Times New Roman"/>
      <w:b/>
    </w:rPr>
  </w:style>
  <w:style w:type="paragraph" w:customStyle="1" w:styleId="65">
    <w:name w:val="普通(网站) Char"/>
    <w:basedOn w:val="1"/>
    <w:autoRedefine/>
    <w:qFormat/>
    <w:uiPriority w:val="0"/>
    <w:pPr>
      <w:spacing w:before="100" w:beforeAutospacing="1" w:after="100" w:afterAutospacing="1"/>
      <w:jc w:val="left"/>
    </w:pPr>
    <w:rPr>
      <w:rFonts w:hint="eastAsia" w:hAnsi="宋体"/>
      <w:sz w:val="24"/>
      <w:szCs w:val="24"/>
    </w:rPr>
  </w:style>
  <w:style w:type="paragraph" w:customStyle="1" w:styleId="66">
    <w:name w:val="正文缩进1"/>
    <w:basedOn w:val="1"/>
    <w:autoRedefine/>
    <w:qFormat/>
    <w:uiPriority w:val="0"/>
    <w:pPr>
      <w:ind w:firstLine="420" w:firstLineChars="200"/>
    </w:pPr>
  </w:style>
  <w:style w:type="paragraph" w:customStyle="1" w:styleId="67">
    <w:name w:val="招标文件正文"/>
    <w:basedOn w:val="1"/>
    <w:autoRedefine/>
    <w:qFormat/>
    <w:uiPriority w:val="0"/>
    <w:pPr>
      <w:spacing w:line="300" w:lineRule="auto"/>
      <w:ind w:firstLine="200" w:firstLineChars="200"/>
      <w:jc w:val="left"/>
    </w:pPr>
    <w:rPr>
      <w:sz w:val="32"/>
      <w:szCs w:val="32"/>
    </w:rPr>
  </w:style>
  <w:style w:type="paragraph" w:customStyle="1" w:styleId="68">
    <w:name w:val="表注1"/>
    <w:basedOn w:val="1"/>
    <w:autoRedefine/>
    <w:qFormat/>
    <w:uiPriority w:val="0"/>
    <w:pPr>
      <w:snapToGrid w:val="0"/>
      <w:spacing w:beforeLines="50" w:line="300" w:lineRule="auto"/>
      <w:ind w:left="350" w:hanging="350" w:hangingChars="350"/>
    </w:pPr>
    <w:rPr>
      <w:rFonts w:eastAsia="仿宋_GB2312"/>
      <w:bCs/>
      <w:color w:val="000000"/>
      <w:szCs w:val="24"/>
    </w:rPr>
  </w:style>
  <w:style w:type="paragraph" w:customStyle="1" w:styleId="69">
    <w:name w:val="表格文字中"/>
    <w:basedOn w:val="1"/>
    <w:autoRedefine/>
    <w:qFormat/>
    <w:uiPriority w:val="0"/>
    <w:pPr>
      <w:snapToGrid w:val="0"/>
      <w:ind w:left="22" w:leftChars="8"/>
      <w:jc w:val="center"/>
    </w:pPr>
    <w:rPr>
      <w:szCs w:val="24"/>
    </w:rPr>
  </w:style>
  <w:style w:type="paragraph" w:customStyle="1" w:styleId="70">
    <w:name w:val="列出段落2"/>
    <w:basedOn w:val="1"/>
    <w:autoRedefine/>
    <w:qFormat/>
    <w:uiPriority w:val="0"/>
    <w:pPr>
      <w:adjustRightInd/>
      <w:spacing w:line="240" w:lineRule="auto"/>
      <w:ind w:firstLine="420" w:firstLineChars="200"/>
      <w:textAlignment w:val="auto"/>
    </w:pPr>
    <w:rPr>
      <w:rFonts w:ascii="Calibri"/>
      <w:kern w:val="2"/>
      <w:sz w:val="21"/>
    </w:rPr>
  </w:style>
  <w:style w:type="paragraph" w:customStyle="1" w:styleId="71">
    <w:name w:val="title12"/>
    <w:basedOn w:val="1"/>
    <w:autoRedefine/>
    <w:qFormat/>
    <w:uiPriority w:val="0"/>
    <w:pPr>
      <w:spacing w:before="150"/>
      <w:jc w:val="left"/>
    </w:pPr>
    <w:rPr>
      <w:rFonts w:hint="eastAsia" w:hAnsi="宋体"/>
      <w:b/>
      <w:sz w:val="22"/>
    </w:rPr>
  </w:style>
  <w:style w:type="paragraph" w:customStyle="1" w:styleId="72">
    <w:name w:val="title1"/>
    <w:basedOn w:val="1"/>
    <w:autoRedefine/>
    <w:qFormat/>
    <w:uiPriority w:val="0"/>
    <w:pPr>
      <w:spacing w:before="150"/>
      <w:jc w:val="left"/>
    </w:pPr>
    <w:rPr>
      <w:rFonts w:hint="eastAsia" w:hAnsi="宋体"/>
      <w:b/>
      <w:sz w:val="22"/>
    </w:rPr>
  </w:style>
  <w:style w:type="paragraph" w:customStyle="1" w:styleId="7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Table Paragraph"/>
    <w:basedOn w:val="1"/>
    <w:autoRedefine/>
    <w:qFormat/>
    <w:uiPriority w:val="1"/>
    <w:pPr>
      <w:spacing w:before="106"/>
      <w:jc w:val="center"/>
    </w:pPr>
    <w:rPr>
      <w:rFonts w:ascii="Arial" w:hAnsi="Arial" w:eastAsia="Arial" w:cs="Arial"/>
      <w:lang w:val="zh-CN" w:bidi="zh-CN"/>
    </w:rPr>
  </w:style>
  <w:style w:type="paragraph" w:customStyle="1" w:styleId="75">
    <w:name w:val="样式 WG标题3 + 行距: 固定值 18 磅"/>
    <w:basedOn w:val="1"/>
    <w:autoRedefine/>
    <w:qFormat/>
    <w:uiPriority w:val="0"/>
    <w:pPr>
      <w:autoSpaceDE w:val="0"/>
      <w:autoSpaceDN w:val="0"/>
      <w:spacing w:line="360" w:lineRule="exact"/>
      <w:ind w:firstLine="200" w:firstLineChars="200"/>
      <w:outlineLvl w:val="2"/>
    </w:pPr>
    <w:rPr>
      <w:rFonts w:cs="宋体"/>
      <w:b/>
      <w:bCs/>
      <w:color w:val="000000"/>
      <w:kern w:val="20"/>
      <w:sz w:val="24"/>
    </w:rPr>
  </w:style>
  <w:style w:type="paragraph" w:customStyle="1" w:styleId="76">
    <w:name w:val="项目列表"/>
    <w:autoRedefine/>
    <w:qFormat/>
    <w:uiPriority w:val="0"/>
    <w:pPr>
      <w:tabs>
        <w:tab w:val="left" w:pos="0"/>
      </w:tabs>
      <w:spacing w:line="300" w:lineRule="auto"/>
    </w:pPr>
    <w:rPr>
      <w:rFonts w:ascii="Arial" w:hAnsi="Arial" w:eastAsia="宋体" w:cs="Times New Roman"/>
      <w:sz w:val="21"/>
      <w:szCs w:val="21"/>
      <w:lang w:val="en-US" w:eastAsia="zh-CN" w:bidi="ar-SA"/>
    </w:rPr>
  </w:style>
  <w:style w:type="paragraph" w:customStyle="1" w:styleId="77">
    <w:name w:val="正文标准样式"/>
    <w:basedOn w:val="1"/>
    <w:autoRedefine/>
    <w:qFormat/>
    <w:uiPriority w:val="0"/>
    <w:pPr>
      <w:adjustRightInd/>
      <w:spacing w:line="300" w:lineRule="auto"/>
      <w:ind w:firstLine="420" w:firstLineChars="200"/>
      <w:textAlignment w:val="auto"/>
    </w:pPr>
    <w:rPr>
      <w:rFonts w:ascii="微软雅黑" w:hAnsi="微软雅黑"/>
      <w:color w:val="000000"/>
      <w:sz w:val="21"/>
      <w:szCs w:val="21"/>
    </w:rPr>
  </w:style>
  <w:style w:type="paragraph" w:customStyle="1" w:styleId="78">
    <w:name w:val="正文文本 21"/>
    <w:basedOn w:val="1"/>
    <w:autoRedefine/>
    <w:qFormat/>
    <w:uiPriority w:val="0"/>
    <w:pPr>
      <w:spacing w:line="480" w:lineRule="auto"/>
    </w:pPr>
    <w:rPr>
      <w:sz w:val="20"/>
    </w:rPr>
  </w:style>
  <w:style w:type="character" w:customStyle="1" w:styleId="79">
    <w:name w:val="font31"/>
    <w:basedOn w:val="26"/>
    <w:autoRedefine/>
    <w:qFormat/>
    <w:uiPriority w:val="0"/>
    <w:rPr>
      <w:rFonts w:hint="eastAsia" w:ascii="宋体" w:hAnsi="宋体" w:eastAsia="宋体" w:cs="宋体"/>
      <w:color w:val="000000"/>
      <w:sz w:val="18"/>
      <w:szCs w:val="18"/>
      <w:u w:val="none"/>
    </w:rPr>
  </w:style>
  <w:style w:type="character" w:customStyle="1" w:styleId="80">
    <w:name w:val="font41"/>
    <w:basedOn w:val="26"/>
    <w:autoRedefine/>
    <w:qFormat/>
    <w:uiPriority w:val="0"/>
    <w:rPr>
      <w:rFonts w:hint="default" w:ascii="Wingdings 2" w:hAnsi="Wingdings 2" w:eastAsia="Wingdings 2" w:cs="Wingdings 2"/>
      <w:color w:val="000000"/>
      <w:sz w:val="18"/>
      <w:szCs w:val="18"/>
      <w:u w:val="none"/>
    </w:rPr>
  </w:style>
  <w:style w:type="character" w:customStyle="1" w:styleId="81">
    <w:name w:val="16"/>
    <w:basedOn w:val="26"/>
    <w:autoRedefine/>
    <w:qFormat/>
    <w:uiPriority w:val="0"/>
    <w:rPr>
      <w:rFonts w:hint="default" w:ascii="Times New Roman" w:hAnsi="Times New Roman" w:cs="Times New Roman"/>
      <w:b/>
    </w:rPr>
  </w:style>
  <w:style w:type="paragraph" w:customStyle="1" w:styleId="82">
    <w:name w:val="正文2"/>
    <w:basedOn w:val="1"/>
    <w:autoRedefine/>
    <w:qFormat/>
    <w:uiPriority w:val="0"/>
    <w:pPr>
      <w:spacing w:before="156"/>
      <w:ind w:firstLine="510" w:firstLineChars="200"/>
    </w:pPr>
    <w:rPr>
      <w:rFonts w:ascii="Calibri" w:cs="Calibri"/>
      <w:szCs w:val="20"/>
    </w:rPr>
  </w:style>
  <w:style w:type="paragraph" w:customStyle="1" w:styleId="83">
    <w:name w:val="Other|1"/>
    <w:basedOn w:val="1"/>
    <w:autoRedefine/>
    <w:qFormat/>
    <w:uiPriority w:val="0"/>
    <w:pPr>
      <w:spacing w:line="439" w:lineRule="auto"/>
      <w:ind w:firstLine="400"/>
    </w:pPr>
    <w:rPr>
      <w:rFonts w:hAnsi="宋体" w:cs="宋体"/>
      <w:sz w:val="30"/>
      <w:szCs w:val="30"/>
      <w:lang w:val="zh-TW" w:eastAsia="zh-TW" w:bidi="zh-TW"/>
    </w:rPr>
  </w:style>
  <w:style w:type="paragraph" w:customStyle="1" w:styleId="84">
    <w:name w:val="公文正文"/>
    <w:basedOn w:val="1"/>
    <w:autoRedefine/>
    <w:qFormat/>
    <w:uiPriority w:val="99"/>
    <w:pPr>
      <w:widowControl/>
      <w:spacing w:line="360" w:lineRule="auto"/>
      <w:ind w:firstLine="200" w:firstLineChars="200"/>
    </w:pPr>
    <w:rPr>
      <w:rFonts w:ascii="仿宋" w:hAnsi="仿宋" w:eastAsia="仿宋" w:cs="仿宋"/>
      <w:sz w:val="32"/>
      <w:szCs w:val="32"/>
    </w:rPr>
  </w:style>
  <w:style w:type="character" w:customStyle="1" w:styleId="85">
    <w:name w:val="first-child"/>
    <w:basedOn w:val="26"/>
    <w:autoRedefine/>
    <w:qFormat/>
    <w:uiPriority w:val="0"/>
  </w:style>
  <w:style w:type="character" w:customStyle="1" w:styleId="86">
    <w:name w:val="layui-layer-tabnow"/>
    <w:basedOn w:val="26"/>
    <w:autoRedefine/>
    <w:qFormat/>
    <w:uiPriority w:val="0"/>
    <w:rPr>
      <w:bdr w:val="single" w:color="CCCCCC" w:sz="6" w:space="0"/>
      <w:shd w:val="clear" w:color="auto" w:fill="FFFFFF"/>
    </w:rPr>
  </w:style>
  <w:style w:type="paragraph" w:customStyle="1" w:styleId="87">
    <w:name w:val="正文（首行缩进2字符）"/>
    <w:basedOn w:val="1"/>
    <w:autoRedefine/>
    <w:qFormat/>
    <w:uiPriority w:val="0"/>
    <w:pPr>
      <w:spacing w:line="360" w:lineRule="auto"/>
      <w:ind w:firstLine="420" w:firstLineChars="200"/>
    </w:pPr>
    <w:rPr>
      <w:szCs w:val="21"/>
    </w:rPr>
  </w:style>
  <w:style w:type="paragraph" w:customStyle="1" w:styleId="88">
    <w:name w:val="表格格式陈"/>
    <w:basedOn w:val="1"/>
    <w:autoRedefine/>
    <w:qFormat/>
    <w:uiPriority w:val="0"/>
    <w:pPr>
      <w:adjustRightInd w:val="0"/>
      <w:snapToGrid w:val="0"/>
      <w:ind w:left="10" w:leftChars="10" w:right="10" w:rightChars="10"/>
      <w:jc w:val="center"/>
    </w:pPr>
    <w:rPr>
      <w:rFonts w:ascii="宋体" w:hAnsi="宋体"/>
      <w:color w:val="000000" w:themeColor="text1"/>
      <w:sz w:val="21"/>
      <w14:textFill>
        <w14:solidFill>
          <w14:schemeClr w14:val="tx1"/>
        </w14:solidFill>
      </w14:textFill>
    </w:rPr>
  </w:style>
  <w:style w:type="paragraph" w:customStyle="1" w:styleId="89">
    <w:name w:val="列表段落"/>
    <w:basedOn w:val="1"/>
    <w:autoRedefine/>
    <w:qFormat/>
    <w:uiPriority w:val="34"/>
    <w:pPr>
      <w:spacing w:line="360" w:lineRule="auto"/>
      <w:ind w:firstLine="420" w:firstLineChars="200"/>
    </w:pPr>
    <w:rPr>
      <w:rFonts w:ascii="Times New Roman" w:hAnsi="Times New Roman" w:eastAsia="宋体" w:cs="Times New Roman"/>
      <w:sz w:val="24"/>
    </w:rPr>
  </w:style>
  <w:style w:type="paragraph" w:styleId="9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10982</Words>
  <Characters>12457</Characters>
  <Lines>213</Lines>
  <Paragraphs>60</Paragraphs>
  <TotalTime>28</TotalTime>
  <ScaleCrop>false</ScaleCrop>
  <LinksUpToDate>false</LinksUpToDate>
  <CharactersWithSpaces>12649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2020-09-03T09:31:00Z</dcterms:created>
  <dc:creator>微软中国</dc:creator>
  <cp:lastModifiedBy>抱抱熊</cp:lastModifiedBy>
  <cp:lastPrinted>2025-06-06T07:27:00Z</cp:lastPrinted>
  <dcterms:modified xsi:type="dcterms:W3CDTF">2025-06-26T07:06:09Z</dcterms:modified>
  <dc:title>项目编号：AXCGSJ2018018                             陕西安信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AD030BAE189A44908061B53F35EB5AA0_13</vt:lpwstr>
  </property>
  <property fmtid="{D5CDD505-2E9C-101B-9397-08002B2CF9AE}" pid="4" name="KSOTemplateDocerSaveRecord">
    <vt:lpwstr>eyJoZGlkIjoiZTQ0MjI3Nzg2MmZlNzliYzRjMTk2YjY5OWE0NWE5ODMiLCJ1c2VySWQiOiIxMDUwNzYyMjY1In0=</vt:lpwstr>
  </property>
</Properties>
</file>