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25DC5">
      <w:pPr>
        <w:pStyle w:val="3"/>
        <w:numPr>
          <w:ilvl w:val="0"/>
          <w:numId w:val="1"/>
        </w:numPr>
        <w:spacing w:before="0" w:after="156" w:afterLines="50" w:line="360" w:lineRule="auto"/>
        <w:jc w:val="center"/>
        <w:rPr>
          <w:rFonts w:hint="eastAsia" w:ascii="仿宋" w:hAnsi="仿宋" w:eastAsia="仿宋" w:cs="仿宋"/>
          <w:bCs/>
          <w:szCs w:val="36"/>
          <w:highlight w:val="none"/>
        </w:rPr>
      </w:pPr>
      <w:bookmarkStart w:id="0" w:name="_Toc7896"/>
      <w:r>
        <w:rPr>
          <w:rFonts w:hint="eastAsia" w:ascii="仿宋" w:hAnsi="仿宋" w:eastAsia="仿宋" w:cs="仿宋"/>
          <w:bCs/>
          <w:szCs w:val="36"/>
          <w:highlight w:val="none"/>
        </w:rPr>
        <w:t>采购内容及技术要求</w:t>
      </w:r>
      <w:bookmarkEnd w:id="0"/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502"/>
        <w:gridCol w:w="4973"/>
        <w:gridCol w:w="672"/>
        <w:gridCol w:w="678"/>
      </w:tblGrid>
      <w:tr w14:paraId="12C77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0F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B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29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AD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采购具体要求</w:t>
            </w:r>
          </w:p>
        </w:tc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D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C8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6D2D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2E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9D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3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5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0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D7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D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7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质量监督驻场服务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F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组织不少于3-4人的专业技术团队对项目责任主体单位的资质、质量管理体系、质量管理责任制的落实情况、履约情况和按图施工情况开展指导帮扶；对项目建设过程中专项技术方案的编制、审批、材料设备管理和工序管理等质量管理工作进行帮扶指导，形成书面检查帮扶记录；</w:t>
            </w:r>
          </w:p>
        </w:tc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A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家次</w:t>
            </w:r>
          </w:p>
        </w:tc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D3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0E9B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A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2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3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、利用农民工夜校等渠道对工人、管理人员分层次开展工程质量管理培训；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形成管理培训记录；</w:t>
            </w: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4B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7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A7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36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安全驻场服务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7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1、组织不少于3-4人的专业技术团队对项目安全管理、基坑(槽)开挖支护工程、有限空间作业、模板工程、脚手架（吊篮）工程、起重吊装、高处作业、施工用电和施工机具等危险性较大施工和作业进行帮扶指导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，形成书面帮扶指导记录；</w:t>
            </w:r>
          </w:p>
        </w:tc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F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家次</w:t>
            </w:r>
          </w:p>
        </w:tc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9C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75DF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1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22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F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、依据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版重大安全生产事故隐患判定标准对辖区目重大事故隐患开展排查，形成书面检查帮扶记录；</w:t>
            </w: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C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2E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9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9C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90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2E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、利用农民工夜校等渠道对工人、管理人员分层次开展工程安全管理培训；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形成管理培训记录；</w:t>
            </w: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6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A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C2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E7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6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、指导帮扶辖区项目完善项目事故应急演练；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形成书面帮扶指导记录；</w:t>
            </w: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9F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85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79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7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CE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起重机械设备专项检查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D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据甲方工作需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要及检查计划派遣专业技术人员开展专项检查工作；攀高检查内容包括但不限于以下施工机械设备：塔吊、施工升降、物料提升机、门式起重机等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；形成专项检查工作记录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家次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F4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 w14:paraId="3455429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CAD52"/>
    <w:multiLevelType w:val="singleLevel"/>
    <w:tmpl w:val="C84CAD52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6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  <w:style w:type="character" w:customStyle="1" w:styleId="6">
    <w:name w:val="font51"/>
    <w:basedOn w:val="5"/>
    <w:uiPriority w:val="0"/>
    <w:rPr>
      <w:rFonts w:ascii="方正公文仿宋" w:hAnsi="方正公文仿宋" w:eastAsia="方正公文仿宋" w:cs="方正公文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2025-06-26T08:47:34Z</dcterms:created>
  <dc:creator>Administrator</dc:creator>
  <cp:lastModifiedBy>echo</cp:lastModifiedBy>
  <dcterms:modified xsi:type="dcterms:W3CDTF">2025-06-26T08:47:38Z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eyJoZGlkIjoiM2YwNzFlMDkwMmZlZTgxMjI4ZjViYjJjNzlmMDkxMzMiLCJ1c2VySWQiOiIyNDg2NTg2NDAifQ==</vt:lpwstr>
  </property>
  <property fmtid="{D5CDD505-2E9C-101B-9397-08002B2CF9AE}" pid="4" name="ICV">
    <vt:lpwstr>580E9A48FE2449C690B78176E5FCBDE8_12</vt:lpwstr>
  </property>
</Properties>
</file>