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CBDEA">
      <w:pPr>
        <w:jc w:val="center"/>
        <w:rPr>
          <w:rFonts w:ascii="方正小标宋简体" w:hAnsi="黑体" w:eastAsia="方正小标宋简体"/>
          <w:sz w:val="40"/>
          <w:szCs w:val="40"/>
        </w:rPr>
      </w:pPr>
      <w:bookmarkStart w:id="0" w:name="_Hlk196387187"/>
    </w:p>
    <w:p w14:paraId="5287CE68">
      <w:pPr>
        <w:jc w:val="center"/>
        <w:rPr>
          <w:rFonts w:ascii="方正小标宋简体" w:hAnsi="黑体" w:eastAsia="方正小标宋简体"/>
          <w:sz w:val="40"/>
          <w:szCs w:val="40"/>
        </w:rPr>
      </w:pPr>
    </w:p>
    <w:p w14:paraId="269153B8">
      <w:pPr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ascii="方正小标宋简体" w:hAnsi="黑体" w:eastAsia="方正小标宋简体"/>
          <w:sz w:val="40"/>
          <w:szCs w:val="40"/>
        </w:rPr>
        <w:t>志丹工业园区</w:t>
      </w:r>
      <w:bookmarkEnd w:id="0"/>
      <w:r>
        <w:rPr>
          <w:rFonts w:ascii="方正小标宋简体" w:hAnsi="黑体" w:eastAsia="方正小标宋简体"/>
          <w:sz w:val="40"/>
          <w:szCs w:val="40"/>
        </w:rPr>
        <w:t>总体规划环境影响</w:t>
      </w:r>
      <w:r>
        <w:rPr>
          <w:rFonts w:hint="eastAsia" w:ascii="方正小标宋简体" w:hAnsi="黑体" w:eastAsia="方正小标宋简体"/>
          <w:sz w:val="40"/>
          <w:szCs w:val="40"/>
        </w:rPr>
        <w:t>评价</w:t>
      </w:r>
    </w:p>
    <w:p w14:paraId="383A0B4F">
      <w:pPr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ascii="方正小标宋简体" w:hAnsi="黑体" w:eastAsia="方正小标宋简体"/>
          <w:sz w:val="40"/>
          <w:szCs w:val="40"/>
        </w:rPr>
        <w:t>报告书</w:t>
      </w:r>
      <w:r>
        <w:rPr>
          <w:rFonts w:hint="eastAsia" w:ascii="方正小标宋简体" w:hAnsi="黑体" w:eastAsia="方正小标宋简体"/>
          <w:sz w:val="40"/>
          <w:szCs w:val="40"/>
        </w:rPr>
        <w:t>编制项目</w:t>
      </w:r>
    </w:p>
    <w:p w14:paraId="07BE3CFA">
      <w:pPr>
        <w:spacing w:line="24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 w14:paraId="54659A21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为贯彻落实市委重要指示精神，加快推进志丹工业园区高质量发展，按照“五集五区”要求并结合已批复的《志丹县国土空间总体规划（2021-2035年）》最新规划成果，重新编制园区总体规划环境影响评价报告书。项目编制费用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预算价格为</w:t>
      </w:r>
      <w:r>
        <w:rPr>
          <w:rFonts w:hint="eastAsia" w:ascii="仿宋_GB2312" w:hAnsi="仿宋_GB2312"/>
          <w:kern w:val="2"/>
          <w:sz w:val="32"/>
          <w:szCs w:val="32"/>
          <w:lang w:val="en-US" w:eastAsia="zh-CN" w:bidi="ar"/>
        </w:rPr>
        <w:t>80万元，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限价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74万元。</w:t>
      </w:r>
    </w:p>
    <w:p w14:paraId="69CE89E5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1、项目概况</w:t>
      </w:r>
    </w:p>
    <w:p w14:paraId="338D0875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 w:cs="仿宋"/>
          <w:sz w:val="32"/>
          <w:szCs w:val="32"/>
        </w:rPr>
        <w:t>依据</w:t>
      </w:r>
      <w:r>
        <w:rPr>
          <w:rFonts w:hint="eastAsia" w:ascii="仿宋_GB2312" w:hAnsi="仿宋_GB2312" w:cs="仿宋_GB2312"/>
          <w:sz w:val="32"/>
          <w:szCs w:val="32"/>
        </w:rPr>
        <w:t>国家发改委 自然资源部</w:t>
      </w:r>
      <w:r>
        <w:rPr>
          <w:rFonts w:hint="eastAsia" w:ascii="仿宋_GB2312" w:hAnsi="仿宋_GB2312"/>
          <w:sz w:val="32"/>
          <w:szCs w:val="32"/>
        </w:rPr>
        <w:t>《关于做好</w:t>
      </w:r>
      <w:r>
        <w:rPr>
          <w:rFonts w:ascii="仿宋_GB2312" w:hAnsi="仿宋_GB2312"/>
          <w:sz w:val="32"/>
          <w:szCs w:val="32"/>
        </w:rPr>
        <w:t>&lt;</w:t>
      </w:r>
      <w:r>
        <w:rPr>
          <w:rFonts w:hint="eastAsia" w:ascii="仿宋_GB2312" w:hAnsi="仿宋_GB2312"/>
          <w:sz w:val="32"/>
          <w:szCs w:val="32"/>
        </w:rPr>
        <w:t>中国开发区审核公告目录（</w:t>
      </w:r>
      <w:r>
        <w:rPr>
          <w:rFonts w:ascii="仿宋_GB2312" w:hAnsi="仿宋_GB2312"/>
          <w:sz w:val="32"/>
          <w:szCs w:val="32"/>
        </w:rPr>
        <w:t>2018</w:t>
      </w:r>
      <w:r>
        <w:rPr>
          <w:rFonts w:hint="eastAsia" w:ascii="仿宋_GB2312" w:hAnsi="仿宋_GB2312"/>
          <w:sz w:val="32"/>
          <w:szCs w:val="32"/>
        </w:rPr>
        <w:t>年版）</w:t>
      </w:r>
      <w:r>
        <w:rPr>
          <w:rFonts w:ascii="仿宋_GB2312" w:hAnsi="仿宋_GB2312"/>
          <w:sz w:val="32"/>
          <w:szCs w:val="32"/>
        </w:rPr>
        <w:t>&gt;</w:t>
      </w:r>
      <w:r>
        <w:rPr>
          <w:rFonts w:hint="eastAsia" w:ascii="仿宋_GB2312" w:hAnsi="仿宋_GB2312"/>
          <w:sz w:val="32"/>
          <w:szCs w:val="32"/>
        </w:rPr>
        <w:t>修订工作的通知》文件要求，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现需结合已批复的《志丹县国土空间总体规划（2021-2035年）》成果，开展志丹工业园区总体规划环境影响评价报告书编制工作</w:t>
      </w:r>
      <w:r>
        <w:rPr>
          <w:rFonts w:hint="eastAsia" w:ascii="仿宋_GB2312" w:hAnsi="仿宋_GB2312"/>
          <w:sz w:val="32"/>
          <w:szCs w:val="32"/>
        </w:rPr>
        <w:t>，</w:t>
      </w:r>
      <w:r>
        <w:rPr>
          <w:rFonts w:ascii="仿宋_GB2312" w:hAnsi="仿宋_GB2312"/>
          <w:sz w:val="32"/>
          <w:szCs w:val="32"/>
        </w:rPr>
        <w:t>进一步优化园区空间布局，提升产业发展能级，推动园区高质量发展。</w:t>
      </w:r>
    </w:p>
    <w:p w14:paraId="448A4A6B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2、服务要求</w:t>
      </w:r>
    </w:p>
    <w:p w14:paraId="3B6FE28F">
      <w:pPr>
        <w:pStyle w:val="16"/>
        <w:widowControl/>
        <w:spacing w:beforeLines="0" w:afterLines="0" w:line="240" w:lineRule="auto"/>
        <w:ind w:leftChars="0" w:firstLine="648"/>
        <w:rPr>
          <w:rFonts w:eastAsia="宋体"/>
          <w:spacing w:val="14"/>
          <w:kern w:val="0"/>
          <w:sz w:val="24"/>
        </w:rPr>
      </w:pPr>
      <w:r>
        <w:rPr>
          <w:rFonts w:ascii="仿宋_GB2312" w:hAnsi="仿宋_GB2312"/>
          <w:kern w:val="2"/>
          <w:sz w:val="32"/>
          <w:szCs w:val="32"/>
          <w:lang w:bidi="ar"/>
        </w:rPr>
        <w:t>根据国家环境保护法律法规、政策、环境影响评价技术导则及有关标准、规范的要求，对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总体</w:t>
      </w:r>
      <w:r>
        <w:rPr>
          <w:rFonts w:ascii="仿宋_GB2312" w:hAnsi="仿宋_GB2312"/>
          <w:kern w:val="2"/>
          <w:sz w:val="32"/>
          <w:szCs w:val="32"/>
          <w:lang w:bidi="ar"/>
        </w:rPr>
        <w:t>规划进行环境影响评价，编制《志丹工业园区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总体规划</w:t>
      </w:r>
      <w:r>
        <w:rPr>
          <w:rFonts w:ascii="仿宋_GB2312" w:hAnsi="仿宋_GB2312"/>
          <w:kern w:val="2"/>
          <w:sz w:val="32"/>
          <w:szCs w:val="32"/>
          <w:lang w:bidi="ar"/>
        </w:rPr>
        <w:t>环境影响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评价</w:t>
      </w:r>
      <w:r>
        <w:rPr>
          <w:rFonts w:ascii="仿宋_GB2312" w:hAnsi="仿宋_GB2312"/>
          <w:kern w:val="2"/>
          <w:sz w:val="32"/>
          <w:szCs w:val="32"/>
          <w:lang w:bidi="ar"/>
        </w:rPr>
        <w:t>报告书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》</w:t>
      </w:r>
      <w:r>
        <w:rPr>
          <w:rFonts w:ascii="仿宋_GB2312" w:hAnsi="仿宋_GB2312"/>
          <w:kern w:val="2"/>
          <w:sz w:val="32"/>
          <w:szCs w:val="32"/>
          <w:lang w:bidi="ar"/>
        </w:rPr>
        <w:t>。</w:t>
      </w:r>
    </w:p>
    <w:p w14:paraId="548E5516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3、收费依据</w:t>
      </w:r>
    </w:p>
    <w:p w14:paraId="3A3A9D58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bookmarkStart w:id="1" w:name="OLE_LINK10"/>
      <w:r>
        <w:rPr>
          <w:rFonts w:hint="eastAsia" w:ascii="仿宋_GB2312" w:hAnsi="仿宋_GB2312"/>
          <w:kern w:val="2"/>
          <w:sz w:val="32"/>
          <w:szCs w:val="32"/>
          <w:lang w:bidi="ar"/>
        </w:rPr>
        <w:t>国家计委、国家环境保护总局《关于规范环境影响咨询收费有关问题的通知》(计价格〔2002〕125号)</w:t>
      </w:r>
      <w:bookmarkEnd w:id="1"/>
      <w:r>
        <w:rPr>
          <w:rFonts w:hint="eastAsia" w:ascii="仿宋_GB2312" w:hAnsi="仿宋_GB2312"/>
          <w:kern w:val="2"/>
          <w:sz w:val="32"/>
          <w:szCs w:val="32"/>
          <w:lang w:bidi="ar"/>
        </w:rPr>
        <w:t>。</w:t>
      </w:r>
    </w:p>
    <w:p w14:paraId="75B30385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4、调整系数</w:t>
      </w:r>
    </w:p>
    <w:p w14:paraId="6F9AFB40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（1）环境影响评价大纲、报告书编制收费行业调整系数，属于</w:t>
      </w:r>
      <w:r>
        <w:rPr>
          <w:rFonts w:ascii="仿宋_GB2312" w:hAnsi="仿宋_GB2312"/>
          <w:kern w:val="2"/>
          <w:sz w:val="32"/>
          <w:szCs w:val="32"/>
          <w:lang w:bidi="ar"/>
        </w:rPr>
        <w:t>化工、冶金、有色、黄金、煤炭、矿产、纺织、化纤、轻工、医药、区域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的行业，调整系数为1.2。</w:t>
      </w:r>
    </w:p>
    <w:p w14:paraId="27A5C2DC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（2）</w:t>
      </w:r>
      <w:r>
        <w:rPr>
          <w:rFonts w:ascii="仿宋_GB2312" w:hAnsi="仿宋_GB2312"/>
          <w:kern w:val="2"/>
          <w:sz w:val="32"/>
          <w:szCs w:val="32"/>
          <w:lang w:bidi="ar"/>
        </w:rPr>
        <w:t>环境影响评价大纲、报告书编制收费环境敏感程度调整系数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，</w:t>
      </w:r>
      <w:r>
        <w:rPr>
          <w:rFonts w:ascii="仿宋_GB2312" w:hAnsi="仿宋_GB2312"/>
          <w:kern w:val="2"/>
          <w:sz w:val="32"/>
          <w:szCs w:val="32"/>
          <w:lang w:bidi="ar"/>
        </w:rPr>
        <w:t>环境敏感程度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的，调整系数为1.2。</w:t>
      </w:r>
    </w:p>
    <w:p w14:paraId="1D312819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5、服务期限</w:t>
      </w:r>
    </w:p>
    <w:p w14:paraId="5B368AD4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自合同签订之日起150日历天。</w:t>
      </w:r>
    </w:p>
    <w:p w14:paraId="71081C05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6、提交成果</w:t>
      </w:r>
    </w:p>
    <w:p w14:paraId="4CD6FDBB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6套纸质成果及电子版成果，包含</w:t>
      </w:r>
      <w:r>
        <w:rPr>
          <w:rFonts w:ascii="仿宋_GB2312" w:hAnsi="仿宋_GB2312"/>
          <w:kern w:val="2"/>
          <w:sz w:val="32"/>
          <w:szCs w:val="32"/>
          <w:lang w:bidi="ar"/>
        </w:rPr>
        <w:t>环境影响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评价</w:t>
      </w:r>
      <w:r>
        <w:rPr>
          <w:rFonts w:ascii="仿宋_GB2312" w:hAnsi="仿宋_GB2312"/>
          <w:kern w:val="2"/>
          <w:sz w:val="32"/>
          <w:szCs w:val="32"/>
          <w:lang w:bidi="ar"/>
        </w:rPr>
        <w:t>报告书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及其相关附件材料等。</w:t>
      </w:r>
    </w:p>
    <w:p w14:paraId="19DE4156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7、是否面向中小企业</w:t>
      </w:r>
    </w:p>
    <w:p w14:paraId="0994CC99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是</w:t>
      </w:r>
    </w:p>
    <w:p w14:paraId="25A2FB18"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8、资质要求</w:t>
      </w:r>
    </w:p>
    <w:p w14:paraId="4DC4B8C6">
      <w:pPr>
        <w:pStyle w:val="16"/>
        <w:widowControl/>
        <w:spacing w:beforeLines="0" w:afterLines="0" w:line="240" w:lineRule="auto"/>
        <w:ind w:leftChars="0" w:firstLine="648"/>
        <w:rPr>
          <w:rFonts w:hint="eastAsia" w:ascii="仿宋_GB2312" w:hAnsi="仿宋_GB2312"/>
          <w:kern w:val="2"/>
          <w:sz w:val="32"/>
          <w:szCs w:val="32"/>
          <w:lang w:bidi="ar"/>
        </w:rPr>
      </w:pPr>
      <w:r>
        <w:rPr>
          <w:rFonts w:hint="eastAsia" w:ascii="仿宋_GB2312" w:hAnsi="仿宋_GB2312"/>
          <w:kern w:val="2"/>
          <w:sz w:val="32"/>
          <w:szCs w:val="32"/>
          <w:lang w:bidi="ar"/>
        </w:rPr>
        <w:t>供应商在生态环境部环境影响评价信用平台登记注册(提供网站截图)</w:t>
      </w: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/>
          <w:kern w:val="2"/>
          <w:sz w:val="32"/>
          <w:szCs w:val="32"/>
          <w:lang w:bidi="ar"/>
        </w:rPr>
        <w:t>拟派项目负责人须具备环境影响评价工程师职业资格。</w:t>
      </w:r>
      <w:bookmarkStart w:id="2" w:name="_GoBack"/>
      <w:bookmarkEnd w:id="2"/>
    </w:p>
    <w:p w14:paraId="226A97DA">
      <w:pPr>
        <w:pStyle w:val="16"/>
        <w:widowControl/>
        <w:spacing w:beforeLines="0" w:afterLines="0" w:line="240" w:lineRule="auto"/>
        <w:ind w:leftChars="0" w:firstLine="648"/>
        <w:jc w:val="right"/>
        <w:rPr>
          <w:rFonts w:hint="eastAsia" w:ascii="仿宋_GB2312" w:hAnsi="仿宋_GB2312"/>
          <w:kern w:val="2"/>
          <w:sz w:val="32"/>
          <w:szCs w:val="32"/>
          <w:lang w:bidi="ar"/>
        </w:rPr>
      </w:pPr>
    </w:p>
    <w:p w14:paraId="3211D836">
      <w:pPr>
        <w:pStyle w:val="16"/>
        <w:widowControl/>
        <w:wordWrap w:val="0"/>
        <w:spacing w:beforeLines="0" w:afterLines="0" w:line="240" w:lineRule="auto"/>
        <w:ind w:leftChars="0" w:firstLine="648"/>
        <w:jc w:val="right"/>
        <w:rPr>
          <w:rFonts w:hint="default" w:ascii="仿宋_GB2312" w:hAnsi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/>
          <w:kern w:val="2"/>
          <w:sz w:val="32"/>
          <w:szCs w:val="32"/>
          <w:lang w:eastAsia="zh-CN" w:bidi="ar"/>
        </w:rPr>
        <w:t>志丹工业园区管理委员会</w:t>
      </w:r>
      <w:r>
        <w:rPr>
          <w:rFonts w:hint="eastAsia" w:ascii="仿宋_GB2312" w:hAnsi="仿宋_GB2312"/>
          <w:kern w:val="2"/>
          <w:sz w:val="32"/>
          <w:szCs w:val="32"/>
          <w:lang w:val="en-US" w:eastAsia="zh-CN" w:bidi="ar"/>
        </w:rPr>
        <w:t xml:space="preserve">     </w:t>
      </w:r>
    </w:p>
    <w:p w14:paraId="0CC3A333">
      <w:pPr>
        <w:pStyle w:val="16"/>
        <w:widowControl/>
        <w:wordWrap w:val="0"/>
        <w:spacing w:beforeLines="0" w:afterLines="0" w:line="240" w:lineRule="auto"/>
        <w:ind w:leftChars="0" w:firstLine="648"/>
        <w:jc w:val="right"/>
        <w:rPr>
          <w:rFonts w:hint="default" w:ascii="仿宋_GB2312" w:hAnsi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/>
          <w:kern w:val="2"/>
          <w:sz w:val="32"/>
          <w:szCs w:val="32"/>
          <w:lang w:val="en-US" w:eastAsia="zh-CN" w:bidi="ar"/>
        </w:rPr>
        <w:t xml:space="preserve">2025年6月20日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2E"/>
    <w:rsid w:val="000852A7"/>
    <w:rsid w:val="000936E5"/>
    <w:rsid w:val="000D008D"/>
    <w:rsid w:val="00114151"/>
    <w:rsid w:val="00117274"/>
    <w:rsid w:val="00142789"/>
    <w:rsid w:val="00160AFF"/>
    <w:rsid w:val="001C6BD3"/>
    <w:rsid w:val="001E7AD1"/>
    <w:rsid w:val="00226361"/>
    <w:rsid w:val="002E47C6"/>
    <w:rsid w:val="00310C01"/>
    <w:rsid w:val="003E6A4A"/>
    <w:rsid w:val="00442304"/>
    <w:rsid w:val="004823F9"/>
    <w:rsid w:val="004D38DC"/>
    <w:rsid w:val="00544408"/>
    <w:rsid w:val="00546445"/>
    <w:rsid w:val="005D1D20"/>
    <w:rsid w:val="005E51FB"/>
    <w:rsid w:val="00626672"/>
    <w:rsid w:val="006641F4"/>
    <w:rsid w:val="006A478E"/>
    <w:rsid w:val="006F2697"/>
    <w:rsid w:val="00715E9E"/>
    <w:rsid w:val="00726268"/>
    <w:rsid w:val="00731EB3"/>
    <w:rsid w:val="007336F5"/>
    <w:rsid w:val="00743F2E"/>
    <w:rsid w:val="00772D33"/>
    <w:rsid w:val="007865B9"/>
    <w:rsid w:val="00794EDE"/>
    <w:rsid w:val="007D4EA9"/>
    <w:rsid w:val="007D5C9A"/>
    <w:rsid w:val="00810401"/>
    <w:rsid w:val="0082042E"/>
    <w:rsid w:val="00863609"/>
    <w:rsid w:val="008C46D4"/>
    <w:rsid w:val="008D2A32"/>
    <w:rsid w:val="008E2F44"/>
    <w:rsid w:val="00984520"/>
    <w:rsid w:val="009C3A61"/>
    <w:rsid w:val="009E3826"/>
    <w:rsid w:val="00AA5D12"/>
    <w:rsid w:val="00B40781"/>
    <w:rsid w:val="00B539FB"/>
    <w:rsid w:val="00B611B6"/>
    <w:rsid w:val="00BE4C86"/>
    <w:rsid w:val="00C06ADF"/>
    <w:rsid w:val="00C34D0F"/>
    <w:rsid w:val="00C60FE6"/>
    <w:rsid w:val="00CA33C8"/>
    <w:rsid w:val="00CD7B9B"/>
    <w:rsid w:val="00D15D2B"/>
    <w:rsid w:val="00D64FE6"/>
    <w:rsid w:val="00D97432"/>
    <w:rsid w:val="00DA7ACC"/>
    <w:rsid w:val="00DA7FD0"/>
    <w:rsid w:val="00DB3CFA"/>
    <w:rsid w:val="00E15614"/>
    <w:rsid w:val="00E453CE"/>
    <w:rsid w:val="00E718E5"/>
    <w:rsid w:val="00E71E02"/>
    <w:rsid w:val="00EB7E43"/>
    <w:rsid w:val="00EC67E7"/>
    <w:rsid w:val="00EC69BC"/>
    <w:rsid w:val="00EF60A4"/>
    <w:rsid w:val="00F0616F"/>
    <w:rsid w:val="00F333E8"/>
    <w:rsid w:val="00F84332"/>
    <w:rsid w:val="00FF1856"/>
    <w:rsid w:val="04C32264"/>
    <w:rsid w:val="156B67BB"/>
    <w:rsid w:val="3B8624DF"/>
    <w:rsid w:val="4D4951CE"/>
    <w:rsid w:val="6012042D"/>
    <w:rsid w:val="631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7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Body Text First Indent 2"/>
    <w:basedOn w:val="11"/>
    <w:link w:val="38"/>
    <w:qFormat/>
    <w:uiPriority w:val="0"/>
    <w:pPr>
      <w:spacing w:beforeLines="100" w:after="0" w:afterLines="100" w:line="360" w:lineRule="auto"/>
      <w:ind w:left="0" w:firstLine="420" w:firstLineChars="200"/>
    </w:pPr>
    <w:rPr>
      <w:rFonts w:ascii="Times New Roman" w:hAnsi="Times New Roman" w:eastAsia="仿宋_GB2312" w:cs="Times New Roman"/>
      <w:spacing w:val="2"/>
      <w:kern w:val="56"/>
      <w:sz w:val="30"/>
      <w:szCs w:val="24"/>
    </w:r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缩进 字符"/>
    <w:basedOn w:val="18"/>
    <w:link w:val="11"/>
    <w:semiHidden/>
    <w:qFormat/>
    <w:uiPriority w:val="99"/>
  </w:style>
  <w:style w:type="character" w:customStyle="1" w:styleId="38">
    <w:name w:val="正文文本首行缩进 2 字符"/>
    <w:basedOn w:val="37"/>
    <w:link w:val="16"/>
    <w:qFormat/>
    <w:uiPriority w:val="0"/>
    <w:rPr>
      <w:rFonts w:ascii="Times New Roman" w:hAnsi="Times New Roman" w:eastAsia="仿宋_GB2312" w:cs="Times New Roman"/>
      <w:spacing w:val="2"/>
      <w:kern w:val="56"/>
      <w:sz w:val="30"/>
      <w:szCs w:val="24"/>
    </w:rPr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12D4-DDDC-4D55-8041-0731CB5002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697</Characters>
  <Lines>4</Lines>
  <Paragraphs>1</Paragraphs>
  <TotalTime>1</TotalTime>
  <ScaleCrop>false</ScaleCrop>
  <LinksUpToDate>false</LinksUpToDate>
  <CharactersWithSpaces>710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2025-06-19T03:43:00Z</dcterms:created>
  <dc:creator>倩 张</dc:creator>
  <cp:lastModifiedBy>行走的云1388409592</cp:lastModifiedBy>
  <dcterms:modified xsi:type="dcterms:W3CDTF">2025-06-23T02:32:28Z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eyJoZGlkIjoiNGM1YmNkZjk1NTM3YjM5NjAzYTljZjhjNjZiYzRhNWYiLCJ1c2VySWQiOiIxMDIwMDQyNCJ9</vt:lpwstr>
  </property>
  <property fmtid="{D5CDD505-2E9C-101B-9397-08002B2CF9AE}" pid="3" name="KSOProductBuildVer">
    <vt:lpwstr>2052-12.1.0.21541</vt:lpwstr>
  </property>
  <property fmtid="{D5CDD505-2E9C-101B-9397-08002B2CF9AE}" pid="4" name="ICV">
    <vt:lpwstr>6C452231896E49F4B6461B82E71686F2_12</vt:lpwstr>
  </property>
</Properties>
</file>