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西安市妇幼保健院增补叶酸预防神经管缺陷项目竞争性谈判公告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增补叶酸预防神经管缺陷项目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2025年07月07日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项目编号：XAJG（ZFCG）-20250602</w:t>
      </w:r>
    </w:p>
    <w:p>
      <w:pPr>
        <w:pStyle w:val="null3"/>
      </w:pPr>
      <w:r>
        <w:rPr>
          <w:rFonts w:ascii="仿宋_GB2312" w:hAnsi="仿宋_GB2312" w:cs="仿宋_GB2312" w:eastAsia="仿宋_GB2312"/>
        </w:rPr>
        <w:t>项目名称：增补叶酸预防神经管缺陷项目</w:t>
      </w:r>
    </w:p>
    <w:p>
      <w:pPr>
        <w:pStyle w:val="null3"/>
      </w:pPr>
      <w:r>
        <w:rPr>
          <w:rFonts w:ascii="仿宋_GB2312" w:hAnsi="仿宋_GB2312" w:cs="仿宋_GB2312" w:eastAsia="仿宋_GB2312"/>
        </w:rPr>
        <w:t>采购方式：竞争性谈判</w:t>
      </w:r>
    </w:p>
    <w:p>
      <w:pPr>
        <w:pStyle w:val="null3"/>
      </w:pPr>
      <w:r>
        <w:rPr>
          <w:rFonts w:ascii="仿宋_GB2312" w:hAnsi="仿宋_GB2312" w:cs="仿宋_GB2312" w:eastAsia="仿宋_GB2312"/>
        </w:rPr>
        <w:t>预算金额：1,960,000.00元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采购包1：甲方提出需求，乙方及时响应，10个日历日，完成药品配送及项目配套服务。</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合同包1(增补叶酸预防神经管缺陷项目)落实政府采购政策需满足的资格要求如下:</w:t>
      </w:r>
    </w:p>
    <w:p>
      <w:pPr>
        <w:pStyle w:val="null3"/>
        <w:ind w:left="480"/>
      </w:pPr>
      <w:r>
        <w:rPr>
          <w:rFonts w:ascii="仿宋_GB2312" w:hAnsi="仿宋_GB2312" w:cs="仿宋_GB2312" w:eastAsia="仿宋_GB2312"/>
        </w:rPr>
        <w:t>参与的供应商（联合体）提供的货物全部由符合政策要求的中小企业制造。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合同包1(增补叶酸预防神经管缺陷项目)特定资格要求如下:</w:t>
      </w:r>
    </w:p>
    <w:p>
      <w:pPr>
        <w:pStyle w:val="null3"/>
      </w:pPr>
      <w:r>
        <w:rPr>
          <w:rFonts w:ascii="仿宋_GB2312" w:hAnsi="仿宋_GB2312" w:cs="仿宋_GB2312" w:eastAsia="仿宋_GB2312"/>
        </w:rPr>
        <w:t>(1)在中华人民共和国境内注册，依法取得并有效存续的营业执照（含电子营业执照）\事业单位法人证书\民办非企业单位登记证书\非企业专业服务机构执业许可证等</w:t>
      </w:r>
    </w:p>
    <w:p>
      <w:pPr>
        <w:pStyle w:val="null3"/>
      </w:pPr>
      <w:r>
        <w:rPr>
          <w:rFonts w:ascii="仿宋_GB2312" w:hAnsi="仿宋_GB2312" w:cs="仿宋_GB2312" w:eastAsia="仿宋_GB2312"/>
        </w:rPr>
        <w:t>(2)法定代表人（主要负责人）委托代理人参加谈判时，应提供法定代表人（主要负责人）委托授权书；法定代表人（主要负责人）亲自参加谈判时，应提供法定代表人（主要负责人）身份证明书</w:t>
      </w:r>
    </w:p>
    <w:p>
      <w:pPr>
        <w:pStyle w:val="null3"/>
      </w:pPr>
      <w:r>
        <w:rPr>
          <w:rFonts w:ascii="仿宋_GB2312" w:hAnsi="仿宋_GB2312" w:cs="仿宋_GB2312" w:eastAsia="仿宋_GB2312"/>
        </w:rPr>
        <w:t>(3)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供应商无须提供，谈判现场查询）</w:t>
      </w:r>
    </w:p>
    <w:p>
      <w:pPr>
        <w:pStyle w:val="null3"/>
      </w:pPr>
      <w:r>
        <w:rPr>
          <w:rFonts w:ascii="仿宋_GB2312" w:hAnsi="仿宋_GB2312" w:cs="仿宋_GB2312" w:eastAsia="仿宋_GB2312"/>
        </w:rPr>
        <w:t>(4)供应商为生产厂商的，须具有所投药品的《药品生产许可证》；供应商为代理商的，须具有《药品经营许可证》，同时提供所投药品生产厂商的《药品生产许可证》</w:t>
      </w:r>
    </w:p>
    <w:p>
      <w:pPr>
        <w:pStyle w:val="null3"/>
      </w:pPr>
      <w:r>
        <w:rPr>
          <w:rFonts w:ascii="仿宋_GB2312" w:hAnsi="仿宋_GB2312" w:cs="仿宋_GB2312" w:eastAsia="仿宋_GB2312"/>
        </w:rPr>
        <w:t>(5)提供谈判截止之日前一年内已缴纳的至少一个月的纳税证明或完税证明（任意税种），依法免税的单位应提供相关证明材料</w:t>
      </w:r>
    </w:p>
    <w:p>
      <w:pPr>
        <w:pStyle w:val="null3"/>
      </w:pPr>
      <w:r>
        <w:rPr>
          <w:rFonts w:ascii="仿宋_GB2312" w:hAnsi="仿宋_GB2312" w:cs="仿宋_GB2312" w:eastAsia="仿宋_GB2312"/>
        </w:rPr>
        <w:t>(6)提供谈判截止之日前一年内已缴存的至少一个月的社会保障资金缴存单据或社保机构开具的社会保险参保缴费情况证明，依法不需要缴纳社会保障资金的单位应提供相关证明材料</w:t>
      </w:r>
    </w:p>
    <w:p>
      <w:pPr>
        <w:pStyle w:val="null3"/>
      </w:pPr>
      <w:r>
        <w:rPr>
          <w:rFonts w:ascii="仿宋_GB2312" w:hAnsi="仿宋_GB2312" w:cs="仿宋_GB2312" w:eastAsia="仿宋_GB2312"/>
        </w:rPr>
        <w:t>(7)提供2024年度的财务审计报告（至少包括资产负债表和利润表，成立时间至提交谈判响应文件截止时间不足一年的可提供成立后任意时段的资产负债表），或谈判时间前六个月内银行出具的资信证明</w:t>
      </w:r>
    </w:p>
    <w:p>
      <w:pPr>
        <w:pStyle w:val="null3"/>
      </w:pPr>
      <w:r>
        <w:rPr>
          <w:rFonts w:ascii="仿宋_GB2312" w:hAnsi="仿宋_GB2312" w:cs="仿宋_GB2312" w:eastAsia="仿宋_GB2312"/>
        </w:rPr>
        <w:t>(8)供应商非采购人单位职工及家属投资开办，其法人、股东和经营管理人员非采购人单位职工及家属。</w:t>
      </w:r>
    </w:p>
    <w:p>
      <w:pPr>
        <w:pStyle w:val="null3"/>
      </w:pPr>
      <w:r>
        <w:rPr>
          <w:rFonts w:ascii="仿宋_GB2312" w:hAnsi="仿宋_GB2312" w:cs="仿宋_GB2312" w:eastAsia="仿宋_GB2312"/>
        </w:rPr>
        <w:t>(9)本项目不接受联合体</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2025年06月27日 </w:t>
      </w:r>
      <w:r>
        <w:rPr>
          <w:rFonts w:ascii="仿宋_GB2312" w:hAnsi="仿宋_GB2312" w:cs="仿宋_GB2312" w:eastAsia="仿宋_GB2312"/>
        </w:rPr>
        <w:t>至</w:t>
      </w:r>
      <w:r>
        <w:rPr>
          <w:rFonts w:ascii="仿宋_GB2312" w:hAnsi="仿宋_GB2312" w:cs="仿宋_GB2312" w:eastAsia="仿宋_GB2312"/>
        </w:rPr>
        <w:t xml:space="preserve"> 2025年07月02日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2025年07月07日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2025年07月07日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（六）落实政府采购政策需满足的资格要求如下:</w:t>
      </w:r>
    </w:p>
    <w:p>
      <w:pPr>
        <w:pStyle w:val="null3"/>
      </w:pPr>
      <w:r>
        <w:rPr>
          <w:rFonts w:ascii="仿宋_GB2312" w:hAnsi="仿宋_GB2312" w:cs="仿宋_GB2312" w:eastAsia="仿宋_GB2312"/>
        </w:rPr>
        <w:t>（1）《政府采购促进中小企业发展管理办法》（财库〔2020〕46号）；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（3）《关于促进残疾人就业政府采购政策的通知》（财库〔2017〕141号）。</w:t>
      </w:r>
    </w:p>
    <w:p>
      <w:pPr>
        <w:pStyle w:val="null3"/>
      </w:pPr>
      <w:r>
        <w:rPr>
          <w:rFonts w:ascii="仿宋_GB2312" w:hAnsi="仿宋_GB2312" w:cs="仿宋_GB2312" w:eastAsia="仿宋_GB2312"/>
        </w:rPr>
        <w:t>（4）《节能产品政府采购实施意见》（财库[2004]185号）；</w:t>
      </w:r>
    </w:p>
    <w:p>
      <w:pPr>
        <w:pStyle w:val="null3"/>
      </w:pPr>
      <w:r>
        <w:rPr>
          <w:rFonts w:ascii="仿宋_GB2312" w:hAnsi="仿宋_GB2312" w:cs="仿宋_GB2312" w:eastAsia="仿宋_GB2312"/>
        </w:rPr>
        <w:t>（5）《环境标志产品政府采购实施的意见》（财库[2006]90号）；</w:t>
      </w:r>
    </w:p>
    <w:p>
      <w:pPr>
        <w:pStyle w:val="null3"/>
      </w:pPr>
      <w:r>
        <w:rPr>
          <w:rFonts w:ascii="仿宋_GB2312" w:hAnsi="仿宋_GB2312" w:cs="仿宋_GB2312" w:eastAsia="仿宋_GB2312"/>
        </w:rPr>
        <w:t>（6）《国务院办公厅关于建立政府强制采购节能产品制度的通知》（国办发〔2007〕51号）；</w:t>
      </w:r>
    </w:p>
    <w:p>
      <w:pPr>
        <w:pStyle w:val="null3"/>
      </w:pPr>
      <w:r>
        <w:rPr>
          <w:rFonts w:ascii="仿宋_GB2312" w:hAnsi="仿宋_GB2312" w:cs="仿宋_GB2312" w:eastAsia="仿宋_GB2312"/>
        </w:rPr>
        <w:t>（7）财政部发展改革委生态环境部市场监管总局关于调整优化节能产品、环境标志产品政府采购执行机制的通知（财库[2019]9号）；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（11）陕西省财政厅关于印发《陕西省中小企业政府采购信用融资办法》（陕财办采〔2018〕23号），相关政策、业务流程、办理平台（详见http://www.ccgp-shaanxi.gov.cn/zcdservice/zcd/shanxi/）；</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（13）《关于进一步加强政府绿色采购有关问题的通知》（陕财办采〔2021〕29号）；</w:t>
      </w:r>
    </w:p>
    <w:p>
      <w:pPr>
        <w:pStyle w:val="null3"/>
      </w:pPr>
      <w:r>
        <w:rPr>
          <w:rFonts w:ascii="仿宋_GB2312" w:hAnsi="仿宋_GB2312" w:cs="仿宋_GB2312" w:eastAsia="仿宋_GB2312"/>
        </w:rPr>
        <w:t>（14）《陕西省财政厅陕西省工业和信息化厅关于运用政府采购政策支持首台（套）及创新产品有关事项的通知》（陕财办采﹝2021﹞17号）；</w:t>
      </w:r>
    </w:p>
    <w:p>
      <w:pPr>
        <w:pStyle w:val="null3"/>
      </w:pPr>
      <w:r>
        <w:rPr>
          <w:rFonts w:ascii="仿宋_GB2312" w:hAnsi="仿宋_GB2312" w:cs="仿宋_GB2312" w:eastAsia="仿宋_GB2312"/>
        </w:rPr>
        <w:t>（15）《关于进一步加大政府采购支持中小企业力度的通知》（财库〔2022〕19号）、《关于落实政府采购支持中小企业政策有关事项的通知》（陕财办采函〔2022〕10号）；</w:t>
      </w:r>
    </w:p>
    <w:p>
      <w:pPr>
        <w:pStyle w:val="null3"/>
      </w:pPr>
      <w:r>
        <w:rPr>
          <w:rFonts w:ascii="仿宋_GB2312" w:hAnsi="仿宋_GB2312" w:cs="仿宋_GB2312" w:eastAsia="仿宋_GB2312"/>
        </w:rPr>
        <w:t>（16）其他需要落实的政府采购政策。</w:t>
      </w:r>
    </w:p>
    <w:p>
      <w:pPr>
        <w:pStyle w:val="null3"/>
      </w:pPr>
      <w:r>
        <w:rPr>
          <w:rFonts w:ascii="仿宋_GB2312" w:hAnsi="仿宋_GB2312" w:cs="仿宋_GB2312" w:eastAsia="仿宋_GB2312"/>
        </w:rPr>
        <w:t>（七）本项目专门面向中小企业。</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西安市妇幼保健院</w:t>
      </w:r>
    </w:p>
    <w:p>
      <w:pPr>
        <w:pStyle w:val="null3"/>
      </w:pPr>
      <w:r>
        <w:rPr>
          <w:rFonts w:ascii="仿宋_GB2312" w:hAnsi="仿宋_GB2312" w:cs="仿宋_GB2312" w:eastAsia="仿宋_GB2312"/>
        </w:rPr>
        <w:t>地址：</w:t>
      </w:r>
      <w:r>
        <w:rPr>
          <w:rFonts w:ascii="仿宋_GB2312" w:hAnsi="仿宋_GB2312" w:cs="仿宋_GB2312" w:eastAsia="仿宋_GB2312"/>
        </w:rPr>
        <w:t>西安市莲湖区西大街73号</w:t>
      </w:r>
    </w:p>
    <w:p>
      <w:pPr>
        <w:pStyle w:val="null3"/>
      </w:pPr>
      <w:r>
        <w:rPr>
          <w:rFonts w:ascii="仿宋_GB2312" w:hAnsi="仿宋_GB2312" w:cs="仿宋_GB2312" w:eastAsia="仿宋_GB2312"/>
        </w:rPr>
        <w:t>联系方式：</w:t>
      </w:r>
      <w:r>
        <w:rPr>
          <w:rFonts w:ascii="仿宋_GB2312" w:hAnsi="仿宋_GB2312" w:cs="仿宋_GB2312" w:eastAsia="仿宋_GB2312"/>
        </w:rPr>
        <w:t>872519787</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西安建工建设工程招标有限公司</w:t>
      </w:r>
    </w:p>
    <w:p>
      <w:pPr>
        <w:pStyle w:val="null3"/>
      </w:pPr>
      <w:r>
        <w:rPr>
          <w:rFonts w:ascii="仿宋_GB2312" w:hAnsi="仿宋_GB2312" w:cs="仿宋_GB2312" w:eastAsia="仿宋_GB2312"/>
        </w:rPr>
        <w:t>地址：</w:t>
      </w:r>
      <w:r>
        <w:rPr>
          <w:rFonts w:ascii="仿宋_GB2312" w:hAnsi="仿宋_GB2312" w:cs="仿宋_GB2312" w:eastAsia="仿宋_GB2312"/>
        </w:rPr>
        <w:t>西安市碑林区小东门外炮房街48号盈栋大厦6楼</w:t>
      </w:r>
    </w:p>
    <w:p>
      <w:pPr>
        <w:pStyle w:val="null3"/>
      </w:pPr>
      <w:r>
        <w:rPr>
          <w:rFonts w:ascii="仿宋_GB2312" w:hAnsi="仿宋_GB2312" w:cs="仿宋_GB2312" w:eastAsia="仿宋_GB2312"/>
        </w:rPr>
        <w:t>联系方式：</w:t>
      </w:r>
      <w:r>
        <w:rPr>
          <w:rFonts w:ascii="仿宋_GB2312" w:hAnsi="仿宋_GB2312" w:cs="仿宋_GB2312" w:eastAsia="仿宋_GB2312"/>
        </w:rPr>
        <w:t>029-82400102</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牛超 丁雨昕</w:t>
      </w:r>
    </w:p>
    <w:p>
      <w:pPr>
        <w:pStyle w:val="null3"/>
      </w:pPr>
      <w:r>
        <w:rPr>
          <w:rFonts w:ascii="仿宋_GB2312" w:hAnsi="仿宋_GB2312" w:cs="仿宋_GB2312" w:eastAsia="仿宋_GB2312"/>
        </w:rPr>
        <w:t>电话：</w:t>
      </w:r>
      <w:r>
        <w:rPr>
          <w:rFonts w:ascii="仿宋_GB2312" w:hAnsi="仿宋_GB2312" w:cs="仿宋_GB2312" w:eastAsia="仿宋_GB2312"/>
        </w:rPr>
        <w:t>029-82400102</w:t>
      </w:r>
    </w:p>
    <w:p>
      <w:pPr>
        <w:pStyle w:val="null3"/>
        <w:jc w:val="right"/>
      </w:pPr>
      <w:r>
        <w:rPr>
          <w:rFonts w:ascii="仿宋_GB2312" w:hAnsi="仿宋_GB2312" w:cs="仿宋_GB2312" w:eastAsia="仿宋_GB2312"/>
        </w:rPr>
        <w:t>西安建工建设工程招标有限公司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