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both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一、项目情况</w:t>
      </w:r>
    </w:p>
    <w:p>
      <w:pPr>
        <w:pStyle w:val="4"/>
        <w:spacing w:line="360" w:lineRule="auto"/>
        <w:outlineLvl w:val="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（一）</w:t>
      </w:r>
      <w:r>
        <w:rPr>
          <w:rFonts w:hint="eastAsia" w:ascii="仿宋" w:hAnsi="仿宋" w:eastAsia="仿宋" w:cs="仿宋"/>
          <w:b/>
          <w:sz w:val="24"/>
          <w:szCs w:val="24"/>
        </w:rPr>
        <w:t>机房现状</w:t>
      </w:r>
    </w:p>
    <w:p>
      <w:pPr>
        <w:pStyle w:val="4"/>
        <w:spacing w:line="360" w:lineRule="auto"/>
        <w:ind w:firstLine="48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省政协7楼机房为政协大楼网络及部分应用系统平台物理承载体，机房总面积约72平方米。机房共含6个子系统：配电系统（含两路市电及UPS供电）、精密空调、消防系统（含七氟丙烷灭火系统、火灾报警等）、接地系统（采用铜带经过接地滤波器形成接地泄流网）、视频监控及门禁系统、动环监控系统（含温室度、漏水报警等），机房内的场地设施按照容错系统配置，保障电子政务内外网信息系统连续、安全、稳定运行。</w:t>
      </w:r>
    </w:p>
    <w:p>
      <w:pPr>
        <w:pStyle w:val="4"/>
        <w:spacing w:line="360" w:lineRule="auto"/>
        <w:outlineLvl w:val="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（二）业务系统现状</w:t>
      </w:r>
    </w:p>
    <w:p>
      <w:pPr>
        <w:pStyle w:val="4"/>
        <w:spacing w:line="360" w:lineRule="auto"/>
        <w:ind w:firstLine="48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目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前，省政协协同办公系统、智慧政协系统已经全面完成并正常投入使用。省政协已建设应用系统包括协同办公系统、智慧政协系统的建设，取得了较好的建设成效，均部署在陕西省信创政务云平台，通过省级政务信息化资源申请获得基础设施资源服务，业务应用都托管至政务云环境。用户的使用体验成为业务系统投入发挥效益的关键，而持续性、标准化的运维体系建设则是提升用户使用满意度的有效支撑。</w:t>
      </w:r>
    </w:p>
    <w:p>
      <w:pPr>
        <w:pStyle w:val="4"/>
        <w:spacing w:line="360" w:lineRule="auto"/>
        <w:ind w:firstLine="48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政协现有应用系统主要有协同办公系统、智慧政协（一期）包括提案管理系统、社情民意系统、履职管理系统、政协智库系统、政协APP等。</w:t>
      </w:r>
    </w:p>
    <w:p>
      <w:pPr>
        <w:pStyle w:val="4"/>
        <w:spacing w:line="360" w:lineRule="auto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（三）运维需求</w:t>
      </w:r>
    </w:p>
    <w:p>
      <w:pPr>
        <w:pStyle w:val="4"/>
        <w:spacing w:line="360" w:lineRule="auto"/>
        <w:ind w:firstLine="480"/>
        <w:jc w:val="both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运维服务将采用服务外包方式，拟通过竞争性磋商的方式选择能满足运维资格、经验丰富、技术实力雄厚的企业承担。整体运维服务通过高效组织，合理分工，职责明确，严格监管确保项目运维的可行性。</w:t>
      </w:r>
    </w:p>
    <w:p>
      <w:pPr>
        <w:pStyle w:val="4"/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商务要求</w:t>
      </w:r>
    </w:p>
    <w:p>
      <w:pPr>
        <w:pStyle w:val="4"/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服务期：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自</w:t>
      </w:r>
      <w:r>
        <w:rPr>
          <w:rFonts w:hint="eastAsia" w:ascii="仿宋" w:hAnsi="仿宋" w:eastAsia="仿宋" w:cs="仿宋"/>
          <w:sz w:val="24"/>
          <w:szCs w:val="24"/>
        </w:rPr>
        <w:t>合同签订之日起12个月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>
      <w:pPr>
        <w:pStyle w:val="4"/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服务的地点：中国人民政治协商会议陕西省委员会办公厅指定地点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...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具体内容详见采购文件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37C9"/>
    <w:multiLevelType w:val="multilevel"/>
    <w:tmpl w:val="0A6D37C9"/>
    <w:lvl w:ilvl="0" w:tentative="0">
      <w:start w:val="1"/>
      <w:numFmt w:val="decimal"/>
      <w:lvlText w:val="%1."/>
      <w:lvlJc w:val="left"/>
      <w:pPr>
        <w:ind w:left="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907FE"/>
    <w:rsid w:val="27AA76BE"/>
    <w:rsid w:val="52D9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2025-06-27T10:13:00Z</dcterms:created>
  <dc:creator>李天旭</dc:creator>
  <cp:lastModifiedBy>李天旭</cp:lastModifiedBy>
  <dcterms:modified xsi:type="dcterms:W3CDTF">2025-06-27T10:15:02Z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