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校舍安全维修加固项目，具体内容详见工程量清单及竞争性磋商文件。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对学校卫生间进行改造及部分建筑工程施工，具体工作内容详见工程量清单。</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工程地点：项目位于西安市新城区</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4DD8302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（一）编制依据：</w:t>
      </w:r>
    </w:p>
    <w:p w14:paraId="6BF6598C">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1.《陕西省建设工程工程量清单计价规则》（2009）及其配套文件；</w:t>
      </w:r>
    </w:p>
    <w:p w14:paraId="5DD0456C">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2.陕西省住房和城乡建设厅《关于调整我省建设工程计价依据的通知》陕建发〔2019〕45号文件；</w:t>
      </w:r>
    </w:p>
    <w:p w14:paraId="5273A316">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3.正常施工组织设计、施工方法及标准图集；</w:t>
      </w:r>
    </w:p>
    <w:p w14:paraId="1E84ACEA">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4.依据西安市新城区长兴幼儿园校舍安全维修加固项目施工图纸计算工程量；</w:t>
      </w:r>
    </w:p>
    <w:p w14:paraId="5D300A0F">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5.计价软件采用广联达云计价平台GCCP6.0版本：6.4100.23.122。</w:t>
      </w:r>
    </w:p>
    <w:p w14:paraId="06AB000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（二）工程量清单：电子版另附。</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auto"/>
          <w:sz w:val="24"/>
          <w:szCs w:val="24"/>
          <w:lang w:val="en-US" w:eastAsia="zh-CN"/>
        </w:rPr>
        <w:t>（三）图纸：电子版另附。</w:t>
      </w:r>
      <w:bookmarkStart w:id="0" w:name="_GoBack"/>
      <w:bookmarkEnd w:id="0"/>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4114122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1563E5D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55F95825">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3FBB0C67">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2F299D9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637CA6FD">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7BC8D6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7310703D">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00983"/>
    <w:rsid w:val="1FE01B5B"/>
    <w:rsid w:val="2A7C33BB"/>
    <w:rsid w:val="2CFA1945"/>
    <w:rsid w:val="33B97F47"/>
    <w:rsid w:val="42DD08F0"/>
    <w:rsid w:val="641E2BAA"/>
    <w:rsid w:val="67A254F4"/>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1243</Words>
  <Characters>1291</Characters>
  <Lines>20</Lines>
  <Paragraphs>5</Paragraphs>
  <TotalTime>15</TotalTime>
  <ScaleCrop>false</ScaleCrop>
  <LinksUpToDate>false</LinksUpToDate>
  <CharactersWithSpaces>1293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2025-06-28T09:07:03Z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