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版本号：GZH-ZB-20250601720250614001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渭南监狱老病残监区室内改造工程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GZH-ZB-202506017</w:t>
      </w:r>
      <w:r>
        <w:br/>
      </w:r>
      <w:r>
        <w:br/>
      </w:r>
      <w:r>
        <w:br/>
      </w:r>
    </w:p>
    <w:p>
      <w:pPr>
        <w:pStyle w:val="null3"/>
        <w:jc w:val="center"/>
        <w:outlineLvl w:val="2"/>
      </w:pPr>
      <w:r>
        <w:rPr>
          <w:rFonts w:ascii="仿宋_GB2312" w:hAnsi="仿宋_GB2312" w:cs="仿宋_GB2312" w:eastAsia="仿宋_GB2312"/>
          <w:sz w:val="28"/>
          <w:b/>
        </w:rPr>
        <w:t>陕西省渭南监狱</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陕西省渭南监狱</w:t>
      </w:r>
      <w:r>
        <w:rPr>
          <w:rFonts w:ascii="仿宋_GB2312" w:hAnsi="仿宋_GB2312" w:cs="仿宋_GB2312" w:eastAsia="仿宋_GB2312"/>
        </w:rPr>
        <w:t>委托，拟对</w:t>
      </w:r>
      <w:r>
        <w:rPr>
          <w:rFonts w:ascii="仿宋_GB2312" w:hAnsi="仿宋_GB2312" w:cs="仿宋_GB2312" w:eastAsia="仿宋_GB2312"/>
        </w:rPr>
        <w:t>渭南监狱老病残监区室内改造工程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GZH-ZB-202506017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渭南监狱老病残监区室内改造工程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该项目主要对陕西省渭南监狱老病残监区室内进行改造。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采购包1（陕西省渭南监狱老病残监区室内改造工程）：属于专门面向中小企业采购。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1、拟派项目负责人资质和专业要求。：具有建筑工程专业国家注册建造师二级以上（含）资格，并具有省级及以上建设行政主管部门颁发的有效的安全生产考核证书，未担任其他在建工程的项目经理。</w:t>
      </w:r>
    </w:p>
    <w:p>
      <w:pPr>
        <w:pStyle w:val="null3"/>
      </w:pPr>
      <w:r>
        <w:rPr>
          <w:rFonts w:ascii="仿宋_GB2312" w:hAnsi="仿宋_GB2312" w:cs="仿宋_GB2312" w:eastAsia="仿宋_GB2312"/>
        </w:rPr>
        <w:t>2、企业资质：供应商具备建筑装修装饰工程专业承包资质二级及以上资质，且具有有效的安全生产许可证。</w:t>
      </w:r>
    </w:p>
    <w:p>
      <w:pPr>
        <w:pStyle w:val="null3"/>
      </w:pPr>
      <w:r>
        <w:rPr>
          <w:rFonts w:ascii="仿宋_GB2312" w:hAnsi="仿宋_GB2312" w:cs="仿宋_GB2312" w:eastAsia="仿宋_GB2312"/>
        </w:rPr>
        <w:t>3、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4、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7、书面声明：提供具有履行本合同所必需的设备和专业技术能力的书面声明。</w:t>
      </w:r>
    </w:p>
    <w:p>
      <w:pPr>
        <w:pStyle w:val="null3"/>
      </w:pPr>
      <w:r>
        <w:rPr>
          <w:rFonts w:ascii="仿宋_GB2312" w:hAnsi="仿宋_GB2312" w:cs="仿宋_GB2312" w:eastAsia="仿宋_GB2312"/>
        </w:rPr>
        <w:t>8、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9、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陕西省渭南监狱经办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0913-2065375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装饰灯、大便器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墙面涂料、防水涂料、木门、钢质门、便器、水泥、地砖</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开户名称：陕西国中恒工程项目管理有限公司</w:t>
            </w:r>
          </w:p>
          <w:p>
            <w:pPr>
              <w:pStyle w:val="null3"/>
            </w:pPr>
            <w:r>
              <w:rPr>
                <w:rFonts w:ascii="仿宋_GB2312" w:hAnsi="仿宋_GB2312" w:cs="仿宋_GB2312" w:eastAsia="仿宋_GB2312"/>
              </w:rPr>
              <w:t>开户银行：中国建设银行股份有限公司西安莲湖路支行</w:t>
            </w:r>
          </w:p>
          <w:p>
            <w:pPr>
              <w:pStyle w:val="null3"/>
            </w:pPr>
            <w:r>
              <w:rPr>
                <w:rFonts w:ascii="仿宋_GB2312" w:hAnsi="仿宋_GB2312" w:cs="仿宋_GB2312" w:eastAsia="仿宋_GB2312"/>
              </w:rPr>
              <w:t>银行账号：61050171110000001138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次代理服务包括采购代理服务及工程量清单编制两个部分，其收费方式及标准如下：1.购代理服务费根据《国家发展改革委关于降低部分建设项目收费标准规范收费行为等有关问题的通知》(发改价格[2011]534号)标准70%计取。2.工程量清单编制费根据陕西省物价局、陕西省住房和城乡建设厅关于我省工程造价咨询服务收费标准有关问题的通知（陕价行发〔2014〕88号）标准75%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陕西省渭南监狱</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一、本工程履约验收以施工合同、竣工图纸、设计变更、现场签证、洽商文件及中标承诺、采购文件、经修订的工程量清单、中标供应商响应文件以及合同签订时国家及行业现行的标准和技术规范为依据。</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老病残监区室内改造工程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标的名称：老病残监区室内改造工程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一、工程概况：该项目主要对陕西省渭南监狱老病残监区室内进行改造。具体建设内容详见工程量清单。</w:t>
            </w:r>
          </w:p>
          <w:p>
            <w:pPr>
              <w:pStyle w:val="null3"/>
            </w:pPr>
            <w:r>
              <w:rPr>
                <w:rFonts w:ascii="仿宋_GB2312" w:hAnsi="仿宋_GB2312" w:cs="仿宋_GB2312" w:eastAsia="仿宋_GB2312"/>
              </w:rPr>
              <w:t>二、工程量清单：见附件。清单计价软件采用广联达云计价GCCP6.0，版本号：6.4100.23.122。</w:t>
            </w:r>
          </w:p>
          <w:p>
            <w:pPr>
              <w:pStyle w:val="null3"/>
            </w:pPr>
            <w:r>
              <w:rPr>
                <w:rFonts w:ascii="仿宋_GB2312" w:hAnsi="仿宋_GB2312" w:cs="仿宋_GB2312" w:eastAsia="仿宋_GB2312"/>
              </w:rPr>
              <w:t>三、关于核心产品：不适用。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《中华人民共和国建筑法》、《建设工程质量管理条例》、《建筑工程施工验收规范质量验收统一标准》、《建筑装饰装修工程质量验收标准》和《房屋建筑工程质量保修办法》(建设部令第80号)以及相关规定。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严格按照国家颁发的施工技术验收规范进行施工，质量应达到国家质量检验评定的合格标准。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计划工期：90日历天。（2）合同履约地点：陕西省渭南监狱。（3）缺陷责任期：自工程验收之日起1年，自竣工验收合格之日起计。（4）质量保修期：执行《房屋建筑工程质量保修办法》(建设部令第80号)及本项目承发包合同，工程的质量保修期：(一)地基基础工程和主体结构工程，为设计文件规定的该工程的合理使用年限；(二)屋面防水工程、有防水要求的卫生间、房间和外墙面的防渗漏，为5年；(三)供热与供冷系统，为2个采暖期、供冷期；(四)电气管线、给排水管道、设备安装为2年；(五)装修工程为2年。(六）其他工程的保修期限由发承包双方另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具有建筑工程专业国家注册建造师二级以上（含）资格，并具有省级及以上建设行政主管部门颁发的有效的安全生产考核证书，未担任其他在建工程的项目经理。</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供应商具备建筑装修装饰工程专业承包资质二级及以上资质，且具有有效的安全生产许可证。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已标价工程量清单 报价函 标的清单 响应函 供应商承诺书.docx 资格证明文件.docx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同时满足以下条款：（1）货币单位符合磋商文件要求；（2）报价符合唯一性要求；（3）未超出采购预算或最高限价；（4）符合《报价函》、《已标价工程量清单》及《标的清单》的填报要求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强制优先采购产品承诺函</w:t>
            </w:r>
          </w:p>
        </w:tc>
        <w:tc>
          <w:tcPr>
            <w:tcW w:type="dxa" w:w="3322"/>
          </w:tcPr>
          <w:p>
            <w:pPr>
              <w:pStyle w:val="null3"/>
            </w:pPr>
            <w:r>
              <w:rPr>
                <w:rFonts w:ascii="仿宋_GB2312" w:hAnsi="仿宋_GB2312" w:cs="仿宋_GB2312" w:eastAsia="仿宋_GB2312"/>
              </w:rPr>
              <w:t>提供《强制优先采购产品承诺函》，且符合磋商文件要求。</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以及《合同文本》条款的要求，且未有采购人不能接受的附加条件的。结合磋商文件第3章“磋商项目技术、服务、商务要求”及第8章“拟签订合同文本”的实质性要求且没有负偏离。</w:t>
            </w:r>
          </w:p>
        </w:tc>
        <w:tc>
          <w:tcPr>
            <w:tcW w:type="dxa" w:w="1661"/>
          </w:tcPr>
          <w:p>
            <w:pPr>
              <w:pStyle w:val="null3"/>
            </w:pPr>
            <w:r>
              <w:rPr>
                <w:rFonts w:ascii="仿宋_GB2312" w:hAnsi="仿宋_GB2312" w:cs="仿宋_GB2312" w:eastAsia="仿宋_GB2312"/>
              </w:rPr>
              <w:t>报价函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提供2022年1月1日以来同类工程施工项目的业绩证明文件（同类工程指装饰装修工程施工或建筑工程施工，证明文件指施工合同协议书），每出具一份业绩证明文件得2分。满分10分。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组成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根据供应商提供的施工部署或总平面布置赋分，完全满足本项目实际需求得4分，基本满足本项目需求得3分，基本满足但完整性和可操作性欠缺得2分，不满足本项目需求根据情况得1分。未提供不得分。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安排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主要施工设备计划及主要材料供应计划</w:t>
            </w:r>
          </w:p>
        </w:tc>
        <w:tc>
          <w:tcPr>
            <w:tcW w:type="dxa" w:w="2492"/>
          </w:tcPr>
          <w:p>
            <w:pPr>
              <w:pStyle w:val="null3"/>
            </w:pPr>
            <w:r>
              <w:rPr>
                <w:rFonts w:ascii="仿宋_GB2312" w:hAnsi="仿宋_GB2312" w:cs="仿宋_GB2312" w:eastAsia="仿宋_GB2312"/>
              </w:rPr>
              <w:t>根据供应商提供的主要施工设备计划及主要材料供应计划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根据供应商提供的成品保护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响应文件包含对本项目质量保障，后期维护管理及发生质量问题后的补救措施，有明确具体的承诺，切实可行。根据响应情况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详见附件：质保服务.docx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