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8C031">
      <w:pPr>
        <w:tabs>
          <w:tab w:val="left" w:pos="5670"/>
        </w:tabs>
        <w:spacing w:line="100" w:lineRule="atLeast"/>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 xml:space="preserve"> </w:t>
      </w:r>
    </w:p>
    <w:p w14:paraId="74BA8C6E">
      <w:pPr>
        <w:pStyle w:val="35"/>
        <w:rPr>
          <w:rFonts w:hint="eastAsia"/>
          <w:color w:val="auto"/>
          <w:highlight w:val="none"/>
        </w:rPr>
      </w:pPr>
    </w:p>
    <w:p w14:paraId="5EC1C7E8">
      <w:pPr>
        <w:spacing w:line="100" w:lineRule="atLeast"/>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SSJY-CG（G）-2025020</w:t>
      </w:r>
    </w:p>
    <w:p w14:paraId="51D9E3F1">
      <w:pPr>
        <w:pStyle w:val="5"/>
        <w:jc w:val="both"/>
        <w:rPr>
          <w:rFonts w:hint="eastAsia"/>
          <w:color w:val="auto"/>
          <w:highlight w:val="none"/>
        </w:rPr>
      </w:pPr>
    </w:p>
    <w:p w14:paraId="106320B1">
      <w:pPr>
        <w:rPr>
          <w:rFonts w:hint="eastAsia"/>
          <w:color w:val="auto"/>
          <w:highlight w:val="none"/>
        </w:rPr>
      </w:pPr>
    </w:p>
    <w:p w14:paraId="46753883">
      <w:pPr>
        <w:pStyle w:val="49"/>
        <w:rPr>
          <w:rFonts w:hint="eastAsia"/>
          <w:color w:val="auto"/>
          <w:highlight w:val="none"/>
        </w:rPr>
      </w:pPr>
    </w:p>
    <w:p w14:paraId="0E7E7F5B">
      <w:pPr>
        <w:pStyle w:val="16"/>
        <w:jc w:val="center"/>
        <w:rPr>
          <w:rFonts w:hint="eastAsia" w:ascii="宋体" w:hAnsi="宋体" w:eastAsia="宋体" w:cs="宋体"/>
          <w:b/>
          <w:bCs/>
          <w:color w:val="auto"/>
          <w:sz w:val="48"/>
          <w:szCs w:val="48"/>
          <w:highlight w:val="none"/>
          <w:lang w:val="en-US" w:eastAsia="zh-CN"/>
        </w:rPr>
      </w:pPr>
      <w:r>
        <w:rPr>
          <w:rFonts w:hint="eastAsia" w:ascii="宋体" w:hAnsi="宋体" w:cs="宋体"/>
          <w:b/>
          <w:bCs/>
          <w:color w:val="auto"/>
          <w:sz w:val="48"/>
          <w:szCs w:val="48"/>
          <w:highlight w:val="none"/>
          <w:lang w:val="en-US" w:eastAsia="zh-CN"/>
        </w:rPr>
        <w:t>2025年中央水利发展资金泾阳县人畜集中供水及单村人畜供水安装在线计量监测项目（一期）</w:t>
      </w:r>
    </w:p>
    <w:p w14:paraId="517099A7">
      <w:pPr>
        <w:rPr>
          <w:rFonts w:hint="eastAsia" w:ascii="宋体" w:hAnsi="宋体" w:eastAsia="宋体" w:cs="宋体"/>
          <w:b/>
          <w:bCs/>
          <w:color w:val="auto"/>
          <w:sz w:val="44"/>
          <w:szCs w:val="44"/>
          <w:highlight w:val="none"/>
          <w:lang w:val="en-US" w:eastAsia="zh-CN"/>
        </w:rPr>
      </w:pPr>
    </w:p>
    <w:p w14:paraId="0A333AD2">
      <w:pPr>
        <w:rPr>
          <w:rFonts w:hint="eastAsia" w:ascii="宋体" w:hAnsi="宋体" w:eastAsia="宋体" w:cs="宋体"/>
          <w:b/>
          <w:bCs/>
          <w:color w:val="auto"/>
          <w:sz w:val="44"/>
          <w:szCs w:val="44"/>
          <w:highlight w:val="none"/>
          <w:lang w:eastAsia="zh-CN"/>
        </w:rPr>
      </w:pPr>
    </w:p>
    <w:p w14:paraId="66F71F7F">
      <w:pPr>
        <w:rPr>
          <w:rFonts w:hint="eastAsia"/>
          <w:color w:val="auto"/>
          <w:highlight w:val="none"/>
        </w:rPr>
      </w:pPr>
    </w:p>
    <w:p w14:paraId="35DD7A01">
      <w:pPr>
        <w:spacing w:line="100" w:lineRule="atLeast"/>
        <w:jc w:val="center"/>
        <w:rPr>
          <w:rFonts w:hint="eastAsia" w:ascii="宋体" w:hAnsi="宋体" w:eastAsia="宋体" w:cs="宋体"/>
          <w:b/>
          <w:bCs/>
          <w:color w:val="auto"/>
          <w:sz w:val="72"/>
          <w:szCs w:val="72"/>
          <w:highlight w:val="none"/>
          <w:lang w:eastAsia="zh-CN"/>
        </w:rPr>
      </w:pPr>
      <w:r>
        <w:rPr>
          <w:rFonts w:hint="eastAsia" w:ascii="宋体" w:hAnsi="宋体" w:cs="宋体"/>
          <w:b/>
          <w:bCs/>
          <w:color w:val="auto"/>
          <w:sz w:val="72"/>
          <w:szCs w:val="72"/>
          <w:highlight w:val="none"/>
          <w:lang w:eastAsia="zh-CN"/>
        </w:rPr>
        <w:t>竞争性磋商文件</w:t>
      </w:r>
    </w:p>
    <w:p w14:paraId="36796701">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b/>
          <w:bCs/>
          <w:color w:val="auto"/>
          <w:sz w:val="72"/>
          <w:szCs w:val="72"/>
          <w:highlight w:val="none"/>
        </w:rPr>
        <w:drawing>
          <wp:inline distT="0" distB="0" distL="114300" distR="114300">
            <wp:extent cx="3768090" cy="3100070"/>
            <wp:effectExtent l="0" t="0" r="3810" b="5080"/>
            <wp:docPr id="6" name="图片 6" descr="af3f1f6857ba2f38e11dc7bafb9c8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f3f1f6857ba2f38e11dc7bafb9c8ea"/>
                    <pic:cNvPicPr>
                      <a:picLocks noChangeAspect="1"/>
                    </pic:cNvPicPr>
                  </pic:nvPicPr>
                  <pic:blipFill>
                    <a:blip r:embed="rId22"/>
                    <a:srcRect r="927" b="18492"/>
                    <a:stretch>
                      <a:fillRect/>
                    </a:stretch>
                  </pic:blipFill>
                  <pic:spPr>
                    <a:xfrm>
                      <a:off x="0" y="0"/>
                      <a:ext cx="3768090" cy="3100070"/>
                    </a:xfrm>
                    <a:prstGeom prst="rect">
                      <a:avLst/>
                    </a:prstGeom>
                  </pic:spPr>
                </pic:pic>
              </a:graphicData>
            </a:graphic>
          </wp:inline>
        </w:drawing>
      </w:r>
    </w:p>
    <w:p w14:paraId="549561D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6603E95">
      <w:pPr>
        <w:pStyle w:val="35"/>
        <w:rPr>
          <w:rFonts w:hint="eastAsia"/>
          <w:color w:val="auto"/>
          <w:highlight w:val="none"/>
        </w:rPr>
      </w:pPr>
    </w:p>
    <w:p w14:paraId="56A3F772">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color w:val="auto"/>
          <w:sz w:val="36"/>
          <w:szCs w:val="36"/>
          <w:highlight w:val="none"/>
          <w:lang w:eastAsia="zh-CN"/>
        </w:rPr>
      </w:pPr>
      <w:r>
        <w:rPr>
          <w:rFonts w:hint="eastAsia" w:ascii="宋体" w:hAnsi="宋体" w:eastAsia="宋体" w:cs="宋体"/>
          <w:b/>
          <w:color w:val="auto"/>
          <w:sz w:val="36"/>
          <w:szCs w:val="36"/>
          <w:highlight w:val="none"/>
        </w:rPr>
        <w:t xml:space="preserve">采 </w:t>
      </w:r>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 xml:space="preserve"> 人：</w:t>
      </w:r>
      <w:r>
        <w:rPr>
          <w:rFonts w:hint="eastAsia" w:ascii="宋体" w:hAnsi="宋体" w:cs="宋体"/>
          <w:b/>
          <w:color w:val="auto"/>
          <w:sz w:val="36"/>
          <w:szCs w:val="36"/>
          <w:highlight w:val="none"/>
          <w:lang w:eastAsia="zh-CN"/>
        </w:rPr>
        <w:t>泾阳县水资源工作站</w:t>
      </w:r>
    </w:p>
    <w:p w14:paraId="235ECE2C">
      <w:pPr>
        <w:keepNext w:val="0"/>
        <w:keepLines w:val="0"/>
        <w:pageBreakBefore w:val="0"/>
        <w:widowControl w:val="0"/>
        <w:kinsoku/>
        <w:wordWrap/>
        <w:overflowPunct/>
        <w:topLinePunct w:val="0"/>
        <w:bidi w:val="0"/>
        <w:spacing w:line="360" w:lineRule="auto"/>
        <w:ind w:firstLine="1084" w:firstLineChars="300"/>
        <w:textAlignment w:val="auto"/>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采购代理机构：</w:t>
      </w:r>
      <w:r>
        <w:rPr>
          <w:rFonts w:hint="eastAsia" w:ascii="宋体" w:hAnsi="宋体" w:cs="宋体"/>
          <w:b/>
          <w:color w:val="auto"/>
          <w:sz w:val="36"/>
          <w:szCs w:val="36"/>
          <w:highlight w:val="none"/>
          <w:lang w:val="en-US" w:eastAsia="zh-CN"/>
        </w:rPr>
        <w:t>陕西盛仕骄阳项目管理有限公司</w:t>
      </w:r>
    </w:p>
    <w:p w14:paraId="3F09B16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color w:val="auto"/>
          <w:sz w:val="36"/>
          <w:szCs w:val="36"/>
          <w:highlight w:val="none"/>
        </w:rPr>
        <w:t>二〇二</w:t>
      </w: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月</w:t>
      </w:r>
    </w:p>
    <w:p w14:paraId="40ACEDEA">
      <w:pPr>
        <w:autoSpaceDE w:val="0"/>
        <w:autoSpaceDN w:val="0"/>
        <w:adjustRightInd w:val="0"/>
        <w:snapToGrid w:val="0"/>
        <w:spacing w:line="360" w:lineRule="auto"/>
        <w:jc w:val="center"/>
        <w:rPr>
          <w:rFonts w:hint="eastAsia" w:ascii="宋体" w:hAnsi="宋体" w:eastAsia="宋体" w:cs="宋体"/>
          <w:b/>
          <w:bCs/>
          <w:color w:val="auto"/>
          <w:sz w:val="28"/>
          <w:szCs w:val="2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top w:val="none" w:sz="0" w:space="0"/>
            <w:left w:val="none" w:sz="0" w:space="0"/>
            <w:bottom w:val="none" w:sz="0" w:space="0"/>
            <w:right w:val="none" w:sz="0" w:space="0"/>
          </w:pgBorders>
          <w:pgNumType w:fmt="decimal" w:start="0"/>
          <w:cols w:space="425" w:num="1"/>
          <w:titlePg/>
          <w:docGrid w:linePitch="312" w:charSpace="0"/>
        </w:sectPr>
      </w:pPr>
    </w:p>
    <w:p w14:paraId="7CF980BB">
      <w:pPr>
        <w:autoSpaceDE w:val="0"/>
        <w:autoSpaceDN w:val="0"/>
        <w:adjustRightInd w:val="0"/>
        <w:snapToGrid w:val="0"/>
        <w:spacing w:line="360" w:lineRule="auto"/>
        <w:jc w:val="center"/>
        <w:rPr>
          <w:rFonts w:hint="eastAsia" w:ascii="宋体" w:hAnsi="宋体" w:eastAsia="宋体" w:cs="宋体"/>
          <w:b/>
          <w:bCs/>
          <w:color w:val="auto"/>
          <w:sz w:val="28"/>
          <w:szCs w:val="28"/>
          <w:highlight w:val="none"/>
          <w:lang w:val="zh-CN"/>
        </w:rPr>
      </w:pPr>
    </w:p>
    <w:p w14:paraId="0E68CDD3">
      <w:pPr>
        <w:autoSpaceDE w:val="0"/>
        <w:autoSpaceDN w:val="0"/>
        <w:adjustRightInd w:val="0"/>
        <w:snapToGri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目  录</w:t>
      </w:r>
    </w:p>
    <w:p w14:paraId="61F7CEE8">
      <w:pPr>
        <w:autoSpaceDE w:val="0"/>
        <w:autoSpaceDN w:val="0"/>
        <w:adjustRightInd w:val="0"/>
        <w:snapToGrid w:val="0"/>
        <w:spacing w:line="360" w:lineRule="auto"/>
        <w:jc w:val="center"/>
        <w:rPr>
          <w:rFonts w:hint="eastAsia" w:ascii="宋体" w:hAnsi="宋体" w:eastAsia="宋体" w:cs="宋体"/>
          <w:b/>
          <w:bCs/>
          <w:color w:val="auto"/>
          <w:sz w:val="28"/>
          <w:szCs w:val="28"/>
          <w:highlight w:val="none"/>
          <w:lang w:val="zh-CN"/>
        </w:rPr>
      </w:pPr>
    </w:p>
    <w:p w14:paraId="238C2AEE">
      <w:pPr>
        <w:pStyle w:val="28"/>
        <w:keepNext w:val="0"/>
        <w:keepLines w:val="0"/>
        <w:pageBreakBefore w:val="0"/>
        <w:widowControl w:val="0"/>
        <w:tabs>
          <w:tab w:val="right" w:leader="hyphen" w:pos="9746"/>
          <w:tab w:val="clear" w:pos="9060"/>
        </w:tabs>
        <w:kinsoku/>
        <w:wordWrap/>
        <w:overflowPunct/>
        <w:topLinePunct w:val="0"/>
        <w:bidi w:val="0"/>
        <w:spacing w:line="440" w:lineRule="exact"/>
        <w:jc w:val="center"/>
        <w:textAlignment w:val="auto"/>
        <w:rPr>
          <w:rFonts w:hint="eastAsia" w:ascii="宋体" w:hAnsi="宋体" w:eastAsia="宋体" w:cs="宋体"/>
          <w:b/>
          <w:bCs w:val="0"/>
          <w:color w:val="auto"/>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"1-1"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_Toc4186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lang w:val="zh-CN"/>
        </w:rPr>
        <w:t>第一章 竞争性磋商公告</w:t>
      </w:r>
      <w:r>
        <w:rPr>
          <w:rFonts w:hint="eastAsia" w:ascii="宋体" w:hAnsi="宋体" w:eastAsia="宋体" w:cs="宋体"/>
          <w:b/>
          <w:bCs w:val="0"/>
          <w:color w:val="auto"/>
          <w:sz w:val="24"/>
          <w:szCs w:val="24"/>
        </w:rPr>
        <w:tab/>
      </w: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PAGEREF _Toc4186 \h </w:instrText>
      </w:r>
      <w:r>
        <w:rPr>
          <w:rFonts w:hint="eastAsia" w:ascii="宋体" w:hAnsi="宋体" w:eastAsia="宋体" w:cs="宋体"/>
          <w:b/>
          <w:bCs w:val="0"/>
          <w:color w:val="auto"/>
          <w:sz w:val="24"/>
          <w:szCs w:val="24"/>
        </w:rPr>
        <w:fldChar w:fldCharType="separate"/>
      </w:r>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rPr>
        <w:fldChar w:fldCharType="end"/>
      </w:r>
      <w:r>
        <w:rPr>
          <w:rFonts w:hint="eastAsia" w:ascii="宋体" w:hAnsi="宋体" w:eastAsia="宋体" w:cs="宋体"/>
          <w:b/>
          <w:bCs w:val="0"/>
          <w:color w:val="auto"/>
          <w:sz w:val="24"/>
          <w:szCs w:val="24"/>
          <w:highlight w:val="none"/>
        </w:rPr>
        <w:fldChar w:fldCharType="end"/>
      </w:r>
    </w:p>
    <w:p w14:paraId="7C57C2A1">
      <w:pPr>
        <w:pStyle w:val="28"/>
        <w:keepNext w:val="0"/>
        <w:keepLines w:val="0"/>
        <w:pageBreakBefore w:val="0"/>
        <w:widowControl w:val="0"/>
        <w:tabs>
          <w:tab w:val="right" w:leader="hyphen" w:pos="9746"/>
          <w:tab w:val="clear" w:pos="9060"/>
        </w:tabs>
        <w:kinsoku/>
        <w:wordWrap/>
        <w:overflowPunct/>
        <w:topLinePunct w:val="0"/>
        <w:bidi w:val="0"/>
        <w:spacing w:line="440" w:lineRule="exact"/>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_Toc26631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lang w:val="zh-CN"/>
        </w:rPr>
        <w:t xml:space="preserve">第二章 </w:t>
      </w:r>
      <w:r>
        <w:rPr>
          <w:rFonts w:hint="eastAsia" w:ascii="宋体" w:hAnsi="宋体" w:eastAsia="宋体" w:cs="宋体"/>
          <w:b/>
          <w:bCs w:val="0"/>
          <w:color w:val="auto"/>
          <w:sz w:val="24"/>
          <w:szCs w:val="24"/>
          <w:highlight w:val="none"/>
          <w:lang w:val="zh-CN"/>
        </w:rPr>
        <w:t>竞争性磋商须知</w:t>
      </w:r>
      <w:r>
        <w:rPr>
          <w:rFonts w:hint="eastAsia" w:ascii="宋体" w:hAnsi="宋体" w:eastAsia="宋体" w:cs="宋体"/>
          <w:b/>
          <w:bCs w:val="0"/>
          <w:color w:val="auto"/>
          <w:sz w:val="24"/>
          <w:szCs w:val="24"/>
        </w:rPr>
        <w:tab/>
      </w: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PAGEREF _Toc26631 \h </w:instrText>
      </w:r>
      <w:r>
        <w:rPr>
          <w:rFonts w:hint="eastAsia" w:ascii="宋体" w:hAnsi="宋体" w:eastAsia="宋体" w:cs="宋体"/>
          <w:b/>
          <w:bCs w:val="0"/>
          <w:color w:val="auto"/>
          <w:sz w:val="24"/>
          <w:szCs w:val="24"/>
        </w:rPr>
        <w:fldChar w:fldCharType="separate"/>
      </w:r>
      <w:r>
        <w:rPr>
          <w:rFonts w:hint="eastAsia" w:ascii="宋体" w:hAnsi="宋体" w:eastAsia="宋体" w:cs="宋体"/>
          <w:b/>
          <w:bCs w:val="0"/>
          <w:color w:val="auto"/>
          <w:sz w:val="24"/>
          <w:szCs w:val="24"/>
        </w:rPr>
        <w:t>5</w:t>
      </w:r>
      <w:r>
        <w:rPr>
          <w:rFonts w:hint="eastAsia" w:ascii="宋体" w:hAnsi="宋体" w:eastAsia="宋体" w:cs="宋体"/>
          <w:b/>
          <w:bCs w:val="0"/>
          <w:color w:val="auto"/>
          <w:sz w:val="24"/>
          <w:szCs w:val="24"/>
        </w:rPr>
        <w:fldChar w:fldCharType="end"/>
      </w:r>
      <w:r>
        <w:rPr>
          <w:rFonts w:hint="eastAsia" w:ascii="宋体" w:hAnsi="宋体" w:eastAsia="宋体" w:cs="宋体"/>
          <w:b/>
          <w:bCs w:val="0"/>
          <w:color w:val="auto"/>
          <w:sz w:val="24"/>
          <w:szCs w:val="24"/>
          <w:highlight w:val="none"/>
        </w:rPr>
        <w:fldChar w:fldCharType="end"/>
      </w:r>
    </w:p>
    <w:p w14:paraId="6EFFC0D7">
      <w:pPr>
        <w:pStyle w:val="28"/>
        <w:keepNext w:val="0"/>
        <w:keepLines w:val="0"/>
        <w:pageBreakBefore w:val="0"/>
        <w:widowControl w:val="0"/>
        <w:tabs>
          <w:tab w:val="right" w:leader="hyphen" w:pos="9746"/>
          <w:tab w:val="clear" w:pos="9060"/>
        </w:tabs>
        <w:kinsoku/>
        <w:wordWrap/>
        <w:overflowPunct/>
        <w:topLinePunct w:val="0"/>
        <w:bidi w:val="0"/>
        <w:spacing w:line="440" w:lineRule="exact"/>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_Toc741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lang w:val="en-US" w:eastAsia="zh-CN"/>
        </w:rPr>
        <w:t xml:space="preserve">第三章 </w:t>
      </w:r>
      <w:r>
        <w:rPr>
          <w:rFonts w:hint="eastAsia" w:ascii="宋体" w:hAnsi="宋体" w:eastAsia="宋体" w:cs="宋体"/>
          <w:b/>
          <w:bCs w:val="0"/>
          <w:color w:val="auto"/>
          <w:sz w:val="24"/>
          <w:szCs w:val="24"/>
          <w:highlight w:val="none"/>
          <w:lang w:val="zh-CN" w:eastAsia="zh-CN"/>
        </w:rPr>
        <w:t>供应商须知</w:t>
      </w:r>
      <w:r>
        <w:rPr>
          <w:rFonts w:hint="eastAsia" w:ascii="宋体" w:hAnsi="宋体" w:eastAsia="宋体" w:cs="宋体"/>
          <w:b/>
          <w:bCs w:val="0"/>
          <w:color w:val="auto"/>
          <w:sz w:val="24"/>
          <w:szCs w:val="24"/>
        </w:rPr>
        <w:tab/>
      </w: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PAGEREF _Toc741 \h </w:instrText>
      </w:r>
      <w:r>
        <w:rPr>
          <w:rFonts w:hint="eastAsia" w:ascii="宋体" w:hAnsi="宋体" w:eastAsia="宋体" w:cs="宋体"/>
          <w:b/>
          <w:bCs w:val="0"/>
          <w:color w:val="auto"/>
          <w:sz w:val="24"/>
          <w:szCs w:val="24"/>
        </w:rPr>
        <w:fldChar w:fldCharType="separate"/>
      </w:r>
      <w:r>
        <w:rPr>
          <w:rFonts w:hint="eastAsia" w:ascii="宋体" w:hAnsi="宋体" w:eastAsia="宋体" w:cs="宋体"/>
          <w:b/>
          <w:bCs w:val="0"/>
          <w:color w:val="auto"/>
          <w:sz w:val="24"/>
          <w:szCs w:val="24"/>
        </w:rPr>
        <w:t>10</w:t>
      </w:r>
      <w:r>
        <w:rPr>
          <w:rFonts w:hint="eastAsia" w:ascii="宋体" w:hAnsi="宋体" w:eastAsia="宋体" w:cs="宋体"/>
          <w:b/>
          <w:bCs w:val="0"/>
          <w:color w:val="auto"/>
          <w:sz w:val="24"/>
          <w:szCs w:val="24"/>
        </w:rPr>
        <w:fldChar w:fldCharType="end"/>
      </w:r>
      <w:r>
        <w:rPr>
          <w:rFonts w:hint="eastAsia" w:ascii="宋体" w:hAnsi="宋体" w:eastAsia="宋体" w:cs="宋体"/>
          <w:b/>
          <w:bCs w:val="0"/>
          <w:color w:val="auto"/>
          <w:sz w:val="24"/>
          <w:szCs w:val="24"/>
          <w:highlight w:val="none"/>
        </w:rPr>
        <w:fldChar w:fldCharType="end"/>
      </w:r>
    </w:p>
    <w:p w14:paraId="453C0DD2">
      <w:pPr>
        <w:pStyle w:val="28"/>
        <w:keepNext w:val="0"/>
        <w:keepLines w:val="0"/>
        <w:pageBreakBefore w:val="0"/>
        <w:widowControl w:val="0"/>
        <w:tabs>
          <w:tab w:val="right" w:leader="hyphen" w:pos="9746"/>
          <w:tab w:val="clear" w:pos="9060"/>
        </w:tabs>
        <w:kinsoku/>
        <w:wordWrap/>
        <w:overflowPunct/>
        <w:topLinePunct w:val="0"/>
        <w:bidi w:val="0"/>
        <w:spacing w:line="440" w:lineRule="exact"/>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_Toc23051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lang w:val="en-US" w:eastAsia="zh-CN"/>
        </w:rPr>
        <w:t>第四章 评审办法</w:t>
      </w:r>
      <w:r>
        <w:rPr>
          <w:rFonts w:hint="eastAsia" w:ascii="宋体" w:hAnsi="宋体" w:eastAsia="宋体" w:cs="宋体"/>
          <w:b/>
          <w:bCs w:val="0"/>
          <w:color w:val="auto"/>
          <w:sz w:val="24"/>
          <w:szCs w:val="24"/>
        </w:rPr>
        <w:tab/>
      </w: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PAGEREF _Toc23051 \h </w:instrText>
      </w:r>
      <w:r>
        <w:rPr>
          <w:rFonts w:hint="eastAsia" w:ascii="宋体" w:hAnsi="宋体" w:eastAsia="宋体" w:cs="宋体"/>
          <w:b/>
          <w:bCs w:val="0"/>
          <w:color w:val="auto"/>
          <w:sz w:val="24"/>
          <w:szCs w:val="24"/>
        </w:rPr>
        <w:fldChar w:fldCharType="separate"/>
      </w:r>
      <w:r>
        <w:rPr>
          <w:rFonts w:hint="eastAsia" w:ascii="宋体" w:hAnsi="宋体" w:eastAsia="宋体" w:cs="宋体"/>
          <w:b/>
          <w:bCs w:val="0"/>
          <w:color w:val="auto"/>
          <w:sz w:val="24"/>
          <w:szCs w:val="24"/>
        </w:rPr>
        <w:t>26</w:t>
      </w:r>
      <w:r>
        <w:rPr>
          <w:rFonts w:hint="eastAsia" w:ascii="宋体" w:hAnsi="宋体" w:eastAsia="宋体" w:cs="宋体"/>
          <w:b/>
          <w:bCs w:val="0"/>
          <w:color w:val="auto"/>
          <w:sz w:val="24"/>
          <w:szCs w:val="24"/>
        </w:rPr>
        <w:fldChar w:fldCharType="end"/>
      </w:r>
      <w:r>
        <w:rPr>
          <w:rFonts w:hint="eastAsia" w:ascii="宋体" w:hAnsi="宋体" w:eastAsia="宋体" w:cs="宋体"/>
          <w:b/>
          <w:bCs w:val="0"/>
          <w:color w:val="auto"/>
          <w:sz w:val="24"/>
          <w:szCs w:val="24"/>
          <w:highlight w:val="none"/>
        </w:rPr>
        <w:fldChar w:fldCharType="end"/>
      </w:r>
    </w:p>
    <w:p w14:paraId="40800DBC">
      <w:pPr>
        <w:pStyle w:val="28"/>
        <w:keepNext w:val="0"/>
        <w:keepLines w:val="0"/>
        <w:pageBreakBefore w:val="0"/>
        <w:widowControl w:val="0"/>
        <w:tabs>
          <w:tab w:val="right" w:leader="hyphen" w:pos="9746"/>
          <w:tab w:val="clear" w:pos="9060"/>
        </w:tabs>
        <w:kinsoku/>
        <w:wordWrap/>
        <w:overflowPunct/>
        <w:topLinePunct w:val="0"/>
        <w:bidi w:val="0"/>
        <w:spacing w:line="440" w:lineRule="exact"/>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_Toc29956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lang w:val="en-US" w:eastAsia="zh-CN"/>
        </w:rPr>
        <w:t>第五章 施工内容及技术要求</w:t>
      </w:r>
      <w:r>
        <w:rPr>
          <w:rFonts w:hint="eastAsia" w:ascii="宋体" w:hAnsi="宋体" w:eastAsia="宋体" w:cs="宋体"/>
          <w:b/>
          <w:bCs w:val="0"/>
          <w:color w:val="auto"/>
          <w:sz w:val="24"/>
          <w:szCs w:val="24"/>
        </w:rPr>
        <w:tab/>
      </w: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PAGEREF _Toc29956 \h </w:instrText>
      </w:r>
      <w:r>
        <w:rPr>
          <w:rFonts w:hint="eastAsia" w:ascii="宋体" w:hAnsi="宋体" w:eastAsia="宋体" w:cs="宋体"/>
          <w:b/>
          <w:bCs w:val="0"/>
          <w:color w:val="auto"/>
          <w:sz w:val="24"/>
          <w:szCs w:val="24"/>
        </w:rPr>
        <w:fldChar w:fldCharType="separate"/>
      </w:r>
      <w:r>
        <w:rPr>
          <w:rFonts w:hint="eastAsia" w:ascii="宋体" w:hAnsi="宋体" w:eastAsia="宋体" w:cs="宋体"/>
          <w:b/>
          <w:bCs w:val="0"/>
          <w:color w:val="auto"/>
          <w:sz w:val="24"/>
          <w:szCs w:val="24"/>
        </w:rPr>
        <w:t>37</w:t>
      </w:r>
      <w:r>
        <w:rPr>
          <w:rFonts w:hint="eastAsia" w:ascii="宋体" w:hAnsi="宋体" w:eastAsia="宋体" w:cs="宋体"/>
          <w:b/>
          <w:bCs w:val="0"/>
          <w:color w:val="auto"/>
          <w:sz w:val="24"/>
          <w:szCs w:val="24"/>
        </w:rPr>
        <w:fldChar w:fldCharType="end"/>
      </w:r>
      <w:r>
        <w:rPr>
          <w:rFonts w:hint="eastAsia" w:ascii="宋体" w:hAnsi="宋体" w:eastAsia="宋体" w:cs="宋体"/>
          <w:b/>
          <w:bCs w:val="0"/>
          <w:color w:val="auto"/>
          <w:sz w:val="24"/>
          <w:szCs w:val="24"/>
          <w:highlight w:val="none"/>
        </w:rPr>
        <w:fldChar w:fldCharType="end"/>
      </w:r>
    </w:p>
    <w:p w14:paraId="6403C572">
      <w:pPr>
        <w:pStyle w:val="28"/>
        <w:keepNext w:val="0"/>
        <w:keepLines w:val="0"/>
        <w:pageBreakBefore w:val="0"/>
        <w:widowControl w:val="0"/>
        <w:tabs>
          <w:tab w:val="right" w:leader="hyphen" w:pos="9746"/>
          <w:tab w:val="clear" w:pos="9060"/>
        </w:tabs>
        <w:kinsoku/>
        <w:wordWrap/>
        <w:overflowPunct/>
        <w:topLinePunct w:val="0"/>
        <w:bidi w:val="0"/>
        <w:spacing w:line="440" w:lineRule="exact"/>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_Toc15310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lang w:val="zh-CN" w:eastAsia="zh-CN"/>
        </w:rPr>
        <w:t>第</w:t>
      </w: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zh-CN" w:eastAsia="zh-CN"/>
        </w:rPr>
        <w:t>章 合同协议书</w:t>
      </w:r>
      <w:r>
        <w:rPr>
          <w:rFonts w:hint="eastAsia" w:ascii="宋体" w:hAnsi="宋体" w:eastAsia="宋体" w:cs="宋体"/>
          <w:b/>
          <w:bCs w:val="0"/>
          <w:color w:val="auto"/>
          <w:sz w:val="24"/>
          <w:szCs w:val="24"/>
        </w:rPr>
        <w:tab/>
      </w: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PAGEREF _Toc15310 \h </w:instrText>
      </w:r>
      <w:r>
        <w:rPr>
          <w:rFonts w:hint="eastAsia" w:ascii="宋体" w:hAnsi="宋体" w:eastAsia="宋体" w:cs="宋体"/>
          <w:b/>
          <w:bCs w:val="0"/>
          <w:color w:val="auto"/>
          <w:sz w:val="24"/>
          <w:szCs w:val="24"/>
        </w:rPr>
        <w:fldChar w:fldCharType="separate"/>
      </w:r>
      <w:r>
        <w:rPr>
          <w:rFonts w:hint="eastAsia" w:ascii="宋体" w:hAnsi="宋体" w:eastAsia="宋体" w:cs="宋体"/>
          <w:b/>
          <w:bCs w:val="0"/>
          <w:color w:val="auto"/>
          <w:sz w:val="24"/>
          <w:szCs w:val="24"/>
        </w:rPr>
        <w:t>42</w:t>
      </w:r>
      <w:r>
        <w:rPr>
          <w:rFonts w:hint="eastAsia" w:ascii="宋体" w:hAnsi="宋体" w:eastAsia="宋体" w:cs="宋体"/>
          <w:b/>
          <w:bCs w:val="0"/>
          <w:color w:val="auto"/>
          <w:sz w:val="24"/>
          <w:szCs w:val="24"/>
        </w:rPr>
        <w:fldChar w:fldCharType="end"/>
      </w:r>
      <w:r>
        <w:rPr>
          <w:rFonts w:hint="eastAsia" w:ascii="宋体" w:hAnsi="宋体" w:eastAsia="宋体" w:cs="宋体"/>
          <w:b/>
          <w:bCs w:val="0"/>
          <w:color w:val="auto"/>
          <w:sz w:val="24"/>
          <w:szCs w:val="24"/>
          <w:highlight w:val="none"/>
        </w:rPr>
        <w:fldChar w:fldCharType="end"/>
      </w:r>
    </w:p>
    <w:p w14:paraId="7DD1D60B">
      <w:pPr>
        <w:pStyle w:val="28"/>
        <w:keepNext w:val="0"/>
        <w:keepLines w:val="0"/>
        <w:pageBreakBefore w:val="0"/>
        <w:widowControl w:val="0"/>
        <w:tabs>
          <w:tab w:val="right" w:leader="hyphen" w:pos="9746"/>
          <w:tab w:val="clear" w:pos="9060"/>
        </w:tabs>
        <w:kinsoku/>
        <w:wordWrap/>
        <w:overflowPunct/>
        <w:topLinePunct w:val="0"/>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_Toc735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lang w:val="zh-CN" w:eastAsia="zh-CN"/>
        </w:rPr>
        <w:t>第</w:t>
      </w:r>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lang w:val="zh-CN" w:eastAsia="zh-CN"/>
        </w:rPr>
        <w:t>章 竞争性磋商响应文件格式</w:t>
      </w:r>
      <w:r>
        <w:rPr>
          <w:rFonts w:hint="eastAsia" w:ascii="宋体" w:hAnsi="宋体" w:eastAsia="宋体" w:cs="宋体"/>
          <w:b/>
          <w:bCs w:val="0"/>
          <w:color w:val="auto"/>
          <w:sz w:val="24"/>
          <w:szCs w:val="24"/>
        </w:rPr>
        <w:tab/>
      </w: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PAGEREF _Toc735 \h </w:instrText>
      </w:r>
      <w:r>
        <w:rPr>
          <w:rFonts w:hint="eastAsia" w:ascii="宋体" w:hAnsi="宋体" w:eastAsia="宋体" w:cs="宋体"/>
          <w:b/>
          <w:bCs w:val="0"/>
          <w:color w:val="auto"/>
          <w:sz w:val="24"/>
          <w:szCs w:val="24"/>
        </w:rPr>
        <w:fldChar w:fldCharType="separate"/>
      </w:r>
      <w:r>
        <w:rPr>
          <w:rFonts w:hint="eastAsia" w:ascii="宋体" w:hAnsi="宋体" w:eastAsia="宋体" w:cs="宋体"/>
          <w:b/>
          <w:bCs w:val="0"/>
          <w:color w:val="auto"/>
          <w:sz w:val="24"/>
          <w:szCs w:val="24"/>
        </w:rPr>
        <w:t>98</w:t>
      </w:r>
      <w:r>
        <w:rPr>
          <w:rFonts w:hint="eastAsia" w:ascii="宋体" w:hAnsi="宋体" w:eastAsia="宋体" w:cs="宋体"/>
          <w:b/>
          <w:bCs w:val="0"/>
          <w:color w:val="auto"/>
          <w:sz w:val="24"/>
          <w:szCs w:val="24"/>
        </w:rPr>
        <w:fldChar w:fldCharType="end"/>
      </w:r>
      <w:r>
        <w:rPr>
          <w:rFonts w:hint="eastAsia" w:ascii="宋体" w:hAnsi="宋体" w:eastAsia="宋体" w:cs="宋体"/>
          <w:b/>
          <w:bCs w:val="0"/>
          <w:color w:val="auto"/>
          <w:sz w:val="24"/>
          <w:szCs w:val="24"/>
          <w:highlight w:val="none"/>
        </w:rPr>
        <w:fldChar w:fldCharType="end"/>
      </w:r>
    </w:p>
    <w:p w14:paraId="20B87741">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sz w:val="24"/>
          <w:szCs w:val="24"/>
          <w:highlight w:val="none"/>
        </w:rPr>
        <w:fldChar w:fldCharType="end"/>
      </w:r>
    </w:p>
    <w:p w14:paraId="325BE8A9">
      <w:pPr>
        <w:autoSpaceDE w:val="0"/>
        <w:autoSpaceDN w:val="0"/>
        <w:adjustRightInd w:val="0"/>
        <w:snapToGrid w:val="0"/>
        <w:spacing w:line="360" w:lineRule="auto"/>
        <w:rPr>
          <w:rFonts w:hint="eastAsia" w:ascii="宋体" w:hAnsi="宋体" w:eastAsia="宋体" w:cs="宋体"/>
          <w:bCs/>
          <w:color w:val="auto"/>
          <w:sz w:val="28"/>
          <w:szCs w:val="28"/>
          <w:highlight w:val="none"/>
        </w:rPr>
      </w:pPr>
    </w:p>
    <w:p w14:paraId="1564AEB2">
      <w:pPr>
        <w:autoSpaceDE w:val="0"/>
        <w:autoSpaceDN w:val="0"/>
        <w:adjustRightInd w:val="0"/>
        <w:spacing w:line="360" w:lineRule="auto"/>
        <w:rPr>
          <w:rFonts w:hint="eastAsia" w:ascii="宋体" w:hAnsi="宋体" w:eastAsia="宋体" w:cs="宋体"/>
          <w:b/>
          <w:bCs/>
          <w:color w:val="auto"/>
          <w:sz w:val="28"/>
          <w:szCs w:val="28"/>
          <w:highlight w:val="none"/>
        </w:rPr>
      </w:pPr>
    </w:p>
    <w:p w14:paraId="133A60CE">
      <w:pPr>
        <w:autoSpaceDE w:val="0"/>
        <w:autoSpaceDN w:val="0"/>
        <w:adjustRightInd w:val="0"/>
        <w:jc w:val="left"/>
        <w:rPr>
          <w:rFonts w:hint="eastAsia" w:ascii="宋体" w:hAnsi="宋体" w:eastAsia="宋体" w:cs="宋体"/>
          <w:b/>
          <w:bCs/>
          <w:color w:val="auto"/>
          <w:sz w:val="28"/>
          <w:szCs w:val="28"/>
          <w:highlight w:val="none"/>
          <w:lang w:val="zh-CN"/>
        </w:rPr>
      </w:pPr>
    </w:p>
    <w:p w14:paraId="1CAFFD1B">
      <w:pPr>
        <w:autoSpaceDE w:val="0"/>
        <w:autoSpaceDN w:val="0"/>
        <w:adjustRightInd w:val="0"/>
        <w:jc w:val="left"/>
        <w:rPr>
          <w:rFonts w:hint="eastAsia" w:ascii="宋体" w:hAnsi="宋体" w:eastAsia="宋体" w:cs="宋体"/>
          <w:b/>
          <w:bCs/>
          <w:color w:val="auto"/>
          <w:sz w:val="28"/>
          <w:szCs w:val="28"/>
          <w:highlight w:val="none"/>
          <w:lang w:val="zh-CN"/>
        </w:rPr>
      </w:pPr>
    </w:p>
    <w:p w14:paraId="40E51D58">
      <w:pPr>
        <w:autoSpaceDE w:val="0"/>
        <w:autoSpaceDN w:val="0"/>
        <w:adjustRightInd w:val="0"/>
        <w:jc w:val="left"/>
        <w:rPr>
          <w:rFonts w:hint="eastAsia" w:ascii="宋体" w:hAnsi="宋体" w:eastAsia="宋体" w:cs="宋体"/>
          <w:b/>
          <w:bCs/>
          <w:color w:val="auto"/>
          <w:sz w:val="28"/>
          <w:szCs w:val="28"/>
          <w:highlight w:val="none"/>
          <w:lang w:val="zh-CN"/>
        </w:rPr>
      </w:pPr>
    </w:p>
    <w:p w14:paraId="4EC26D99">
      <w:pPr>
        <w:autoSpaceDE w:val="0"/>
        <w:autoSpaceDN w:val="0"/>
        <w:adjustRightInd w:val="0"/>
        <w:jc w:val="left"/>
        <w:rPr>
          <w:rFonts w:hint="eastAsia" w:ascii="宋体" w:hAnsi="宋体" w:eastAsia="宋体" w:cs="宋体"/>
          <w:b/>
          <w:bCs/>
          <w:color w:val="auto"/>
          <w:sz w:val="28"/>
          <w:szCs w:val="28"/>
          <w:highlight w:val="none"/>
          <w:lang w:val="zh-CN"/>
        </w:rPr>
      </w:pPr>
    </w:p>
    <w:p w14:paraId="1DDC9A07">
      <w:pPr>
        <w:autoSpaceDE w:val="0"/>
        <w:autoSpaceDN w:val="0"/>
        <w:adjustRightInd w:val="0"/>
        <w:jc w:val="left"/>
        <w:rPr>
          <w:rFonts w:hint="eastAsia" w:ascii="宋体" w:hAnsi="宋体" w:eastAsia="宋体" w:cs="宋体"/>
          <w:b/>
          <w:bCs/>
          <w:color w:val="auto"/>
          <w:sz w:val="28"/>
          <w:szCs w:val="28"/>
          <w:highlight w:val="none"/>
          <w:lang w:val="zh-CN"/>
        </w:rPr>
      </w:pPr>
    </w:p>
    <w:p w14:paraId="520CD366">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highlight w:val="none"/>
          <w:lang w:val="zh-CN"/>
        </w:rPr>
        <w:sectPr>
          <w:headerReference r:id="rId9" w:type="first"/>
          <w:footerReference r:id="rId11" w:type="firs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14:paraId="68F8F482">
      <w:pPr>
        <w:pStyle w:val="2"/>
        <w:keepLines w:val="0"/>
        <w:pageBreakBefore w:val="0"/>
        <w:kinsoku/>
        <w:overflowPunct/>
        <w:topLinePunct w:val="0"/>
        <w:autoSpaceDE/>
        <w:autoSpaceDN/>
        <w:bidi w:val="0"/>
        <w:adjustRightInd/>
        <w:snapToGrid/>
        <w:spacing w:line="440" w:lineRule="exact"/>
        <w:rPr>
          <w:rFonts w:hint="eastAsia" w:ascii="宋体" w:hAnsi="宋体" w:eastAsia="宋体" w:cs="宋体"/>
          <w:b/>
          <w:bCs/>
          <w:color w:val="auto"/>
          <w:szCs w:val="28"/>
          <w:highlight w:val="none"/>
          <w:lang w:val="zh-CN"/>
        </w:rPr>
      </w:pPr>
      <w:bookmarkStart w:id="0" w:name="_Toc4186"/>
      <w:bookmarkStart w:id="1" w:name="_Toc497206287"/>
      <w:r>
        <w:rPr>
          <w:rFonts w:hint="eastAsia" w:ascii="宋体" w:hAnsi="宋体" w:eastAsia="宋体" w:cs="宋体"/>
          <w:b/>
          <w:bCs/>
          <w:color w:val="auto"/>
          <w:sz w:val="32"/>
          <w:szCs w:val="32"/>
          <w:highlight w:val="none"/>
          <w:lang w:val="zh-CN"/>
        </w:rPr>
        <w:t>第一章 竞争性磋商公告</w:t>
      </w:r>
      <w:bookmarkEnd w:id="0"/>
      <w:bookmarkEnd w:id="1"/>
    </w:p>
    <w:tbl>
      <w:tblPr>
        <w:tblStyle w:val="38"/>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0"/>
      </w:tblGrid>
      <w:tr w14:paraId="0FFF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9480" w:type="dxa"/>
          </w:tcPr>
          <w:p w14:paraId="6C49AB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Style w:val="40"/>
                <w:rFonts w:hint="eastAsia" w:ascii="宋体" w:hAnsi="宋体" w:eastAsia="宋体" w:cs="宋体"/>
                <w:b/>
                <w:bCs/>
                <w:i w:val="0"/>
                <w:iCs w:val="0"/>
                <w:caps w:val="0"/>
                <w:color w:val="auto"/>
                <w:spacing w:val="0"/>
                <w:sz w:val="24"/>
                <w:szCs w:val="24"/>
                <w:highlight w:val="none"/>
                <w:shd w:val="clear" w:fill="FFFFFF"/>
                <w:vertAlign w:val="baseline"/>
              </w:rPr>
            </w:pPr>
            <w:r>
              <w:rPr>
                <w:rStyle w:val="40"/>
                <w:rFonts w:hint="eastAsia" w:ascii="宋体" w:hAnsi="宋体" w:eastAsia="宋体" w:cs="宋体"/>
                <w:b/>
                <w:bCs/>
                <w:i w:val="0"/>
                <w:iCs w:val="0"/>
                <w:caps w:val="0"/>
                <w:color w:val="auto"/>
                <w:spacing w:val="0"/>
                <w:sz w:val="24"/>
                <w:szCs w:val="24"/>
                <w:highlight w:val="none"/>
                <w:shd w:val="clear" w:fill="FFFFFF"/>
                <w:vertAlign w:val="baseline"/>
              </w:rPr>
              <w:t>项目概况</w:t>
            </w:r>
          </w:p>
          <w:p w14:paraId="4C49A3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left"/>
              <w:textAlignment w:val="baseline"/>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aps w:val="0"/>
                <w:color w:val="auto"/>
                <w:spacing w:val="0"/>
                <w:sz w:val="24"/>
                <w:szCs w:val="24"/>
                <w:highlight w:val="none"/>
                <w:shd w:val="clear" w:fill="FFFFFF"/>
                <w:vertAlign w:val="baseline"/>
                <w:lang w:eastAsia="zh-CN"/>
              </w:rPr>
              <w:t>2025年中央水利发展资金泾阳县人畜集中供水及单村人畜供水安装在线计量监测项目（一期）</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采购项目</w:t>
            </w:r>
            <w:r>
              <w:rPr>
                <w:rFonts w:hint="eastAsia" w:ascii="宋体" w:hAnsi="宋体" w:eastAsia="宋体" w:cs="宋体"/>
                <w:b w:val="0"/>
                <w:bCs w:val="0"/>
                <w:i w:val="0"/>
                <w:iCs w:val="0"/>
                <w:caps w:val="0"/>
                <w:color w:val="auto"/>
                <w:spacing w:val="0"/>
                <w:sz w:val="24"/>
                <w:szCs w:val="24"/>
                <w:highlight w:val="none"/>
                <w:shd w:val="clear" w:fill="FFFFFF"/>
                <w:vertAlign w:val="baseline"/>
              </w:rPr>
              <w:t>的潜在供应商应在</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西安市未央区凤城八路与渭滨路十字西北角水晶新天地6楼11603室</w:t>
            </w:r>
            <w:r>
              <w:rPr>
                <w:rFonts w:hint="eastAsia" w:ascii="宋体" w:hAnsi="宋体" w:eastAsia="宋体" w:cs="宋体"/>
                <w:b w:val="0"/>
                <w:bCs w:val="0"/>
                <w:i w:val="0"/>
                <w:iCs w:val="0"/>
                <w:caps w:val="0"/>
                <w:color w:val="auto"/>
                <w:spacing w:val="0"/>
                <w:sz w:val="24"/>
                <w:szCs w:val="24"/>
                <w:highlight w:val="none"/>
                <w:shd w:val="clear" w:fill="FFFFFF"/>
                <w:vertAlign w:val="baseline"/>
              </w:rPr>
              <w:t>获取采购文件，</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并于2025年07月02日14时30分</w:t>
            </w:r>
            <w:r>
              <w:rPr>
                <w:rFonts w:hint="eastAsia" w:ascii="宋体" w:hAnsi="宋体" w:eastAsia="宋体" w:cs="宋体"/>
                <w:b w:val="0"/>
                <w:bCs w:val="0"/>
                <w:i w:val="0"/>
                <w:iCs w:val="0"/>
                <w:caps w:val="0"/>
                <w:color w:val="auto"/>
                <w:spacing w:val="0"/>
                <w:sz w:val="24"/>
                <w:szCs w:val="24"/>
                <w:highlight w:val="none"/>
                <w:shd w:val="clear" w:fill="FFFFFF"/>
                <w:vertAlign w:val="baseline"/>
              </w:rPr>
              <w:t>（北京时间）前提交响应文件。</w:t>
            </w:r>
          </w:p>
        </w:tc>
      </w:tr>
    </w:tbl>
    <w:p w14:paraId="0CFECB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color w:val="auto"/>
          <w:sz w:val="24"/>
          <w:szCs w:val="24"/>
          <w:highlight w:val="none"/>
        </w:rPr>
      </w:pPr>
      <w:r>
        <w:rPr>
          <w:rStyle w:val="40"/>
          <w:rFonts w:hint="eastAsia" w:ascii="宋体" w:hAnsi="宋体" w:eastAsia="宋体" w:cs="宋体"/>
          <w:b/>
          <w:bCs/>
          <w:i w:val="0"/>
          <w:iCs w:val="0"/>
          <w:caps w:val="0"/>
          <w:color w:val="auto"/>
          <w:spacing w:val="0"/>
          <w:sz w:val="24"/>
          <w:szCs w:val="24"/>
          <w:highlight w:val="none"/>
          <w:shd w:val="clear" w:fill="FFFFFF"/>
          <w:vertAlign w:val="baseline"/>
        </w:rPr>
        <w:t>一、项目基本情况</w:t>
      </w:r>
    </w:p>
    <w:p w14:paraId="4890771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项目编号：</w:t>
      </w:r>
      <w:r>
        <w:rPr>
          <w:rFonts w:hint="eastAsia" w:cs="宋体"/>
          <w:i w:val="0"/>
          <w:iCs w:val="0"/>
          <w:caps w:val="0"/>
          <w:color w:val="auto"/>
          <w:spacing w:val="0"/>
          <w:sz w:val="24"/>
          <w:szCs w:val="24"/>
          <w:highlight w:val="none"/>
          <w:shd w:val="clear" w:fill="FFFFFF"/>
          <w:vertAlign w:val="baseline"/>
          <w:lang w:val="en-US" w:eastAsia="zh-CN"/>
        </w:rPr>
        <w:t>SSJY-CG（G）-2025020</w:t>
      </w:r>
    </w:p>
    <w:p w14:paraId="3AE085F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项目名称：</w:t>
      </w:r>
      <w:r>
        <w:rPr>
          <w:rFonts w:hint="eastAsia" w:cs="宋体"/>
          <w:b w:val="0"/>
          <w:bCs w:val="0"/>
          <w:i w:val="0"/>
          <w:iCs w:val="0"/>
          <w:caps w:val="0"/>
          <w:color w:val="auto"/>
          <w:spacing w:val="0"/>
          <w:sz w:val="24"/>
          <w:szCs w:val="24"/>
          <w:highlight w:val="none"/>
          <w:shd w:val="clear" w:fill="FFFFFF"/>
          <w:vertAlign w:val="baseline"/>
          <w:lang w:eastAsia="zh-CN"/>
        </w:rPr>
        <w:t>2025年中央水利发展资金泾阳县人畜集中供水及单村人畜供水安装在线计量监测项目（一期）</w:t>
      </w:r>
    </w:p>
    <w:p w14:paraId="3F9811B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采购方式：竞争性磋商</w:t>
      </w:r>
    </w:p>
    <w:p w14:paraId="2AC2976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预算金额：</w:t>
      </w:r>
      <w:r>
        <w:rPr>
          <w:rFonts w:hint="eastAsia" w:ascii="宋体" w:hAnsi="宋体" w:eastAsia="宋体" w:cs="宋体"/>
          <w:color w:val="auto"/>
          <w:kern w:val="0"/>
          <w:sz w:val="24"/>
          <w:szCs w:val="24"/>
          <w:highlight w:val="none"/>
          <w:lang w:val="en-US" w:eastAsia="zh-CN" w:bidi="ar"/>
        </w:rPr>
        <w:t>288,000.00</w:t>
      </w:r>
      <w:r>
        <w:rPr>
          <w:rFonts w:hint="eastAsia" w:cs="Times New Roman"/>
          <w:color w:val="auto"/>
          <w:kern w:val="2"/>
          <w:highlight w:val="none"/>
        </w:rPr>
        <w:t>元</w:t>
      </w:r>
    </w:p>
    <w:p w14:paraId="014CBA5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采购需求：</w:t>
      </w:r>
    </w:p>
    <w:p w14:paraId="3167586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合同包1(</w:t>
      </w:r>
      <w:r>
        <w:rPr>
          <w:rFonts w:hint="eastAsia" w:cs="宋体"/>
          <w:b w:val="0"/>
          <w:bCs w:val="0"/>
          <w:i w:val="0"/>
          <w:iCs w:val="0"/>
          <w:caps w:val="0"/>
          <w:color w:val="auto"/>
          <w:spacing w:val="0"/>
          <w:sz w:val="24"/>
          <w:szCs w:val="24"/>
          <w:highlight w:val="none"/>
          <w:shd w:val="clear" w:fill="FFFFFF"/>
          <w:vertAlign w:val="baseline"/>
          <w:lang w:eastAsia="zh-CN"/>
        </w:rPr>
        <w:t>2025年中央水利发展资金泾阳县人畜集中供水及单村人畜供水安装在线计量监测项目（一期）</w:t>
      </w:r>
      <w:r>
        <w:rPr>
          <w:rFonts w:hint="eastAsia" w:ascii="宋体" w:hAnsi="宋体" w:eastAsia="宋体" w:cs="宋体"/>
          <w:i w:val="0"/>
          <w:iCs w:val="0"/>
          <w:caps w:val="0"/>
          <w:color w:val="auto"/>
          <w:spacing w:val="0"/>
          <w:sz w:val="24"/>
          <w:szCs w:val="24"/>
          <w:highlight w:val="none"/>
          <w:shd w:val="clear" w:fill="FFFFFF"/>
          <w:vertAlign w:val="baseline"/>
        </w:rPr>
        <w:t>):</w:t>
      </w:r>
    </w:p>
    <w:p w14:paraId="280EE20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合同包预算金额：</w:t>
      </w:r>
      <w:r>
        <w:rPr>
          <w:rFonts w:hint="eastAsia" w:ascii="宋体" w:hAnsi="宋体" w:eastAsia="宋体" w:cs="宋体"/>
          <w:color w:val="auto"/>
          <w:kern w:val="0"/>
          <w:sz w:val="24"/>
          <w:szCs w:val="24"/>
          <w:highlight w:val="none"/>
          <w:lang w:val="en-US" w:eastAsia="zh-CN" w:bidi="ar"/>
        </w:rPr>
        <w:t>288,000.00</w:t>
      </w:r>
      <w:r>
        <w:rPr>
          <w:rFonts w:hint="eastAsia" w:cs="Times New Roman"/>
          <w:color w:val="auto"/>
          <w:kern w:val="2"/>
          <w:highlight w:val="none"/>
        </w:rPr>
        <w:t>元</w:t>
      </w:r>
    </w:p>
    <w:p w14:paraId="1DA934C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合同包最高限价：</w:t>
      </w:r>
      <w:r>
        <w:rPr>
          <w:rFonts w:hint="eastAsia" w:ascii="宋体" w:hAnsi="宋体" w:eastAsia="宋体" w:cs="宋体"/>
          <w:color w:val="auto"/>
          <w:kern w:val="0"/>
          <w:sz w:val="24"/>
          <w:szCs w:val="24"/>
          <w:highlight w:val="none"/>
          <w:lang w:val="en-US" w:eastAsia="zh-CN" w:bidi="ar"/>
        </w:rPr>
        <w:t>287,983.44</w:t>
      </w:r>
      <w:r>
        <w:rPr>
          <w:rFonts w:hint="eastAsia" w:cs="Times New Roman"/>
          <w:color w:val="auto"/>
          <w:kern w:val="2"/>
          <w:highlight w:val="none"/>
        </w:rPr>
        <w:t>元</w:t>
      </w:r>
    </w:p>
    <w:tbl>
      <w:tblPr>
        <w:tblStyle w:val="37"/>
        <w:tblW w:w="9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7"/>
        <w:gridCol w:w="1063"/>
        <w:gridCol w:w="2425"/>
        <w:gridCol w:w="1230"/>
        <w:gridCol w:w="1483"/>
        <w:gridCol w:w="1116"/>
        <w:gridCol w:w="1152"/>
      </w:tblGrid>
      <w:tr w14:paraId="10F5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jc w:val="center"/>
        </w:trPr>
        <w:tc>
          <w:tcPr>
            <w:tcW w:w="11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E37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0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81C2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E8503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99B15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14:paraId="3F94602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4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DCB3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8DEBB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7B78F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7726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1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70F5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p>
        </w:tc>
        <w:tc>
          <w:tcPr>
            <w:tcW w:w="10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5E113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其他建筑工程</w:t>
            </w:r>
          </w:p>
        </w:tc>
        <w:tc>
          <w:tcPr>
            <w:tcW w:w="2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3415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2025年中央水利发展资金泾阳县人饮集中供水及单村供水安装在线计量监测</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E7AF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1（项）</w:t>
            </w:r>
          </w:p>
        </w:tc>
        <w:tc>
          <w:tcPr>
            <w:tcW w:w="14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6A5E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详见采购文件</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650D0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288,000.00</w:t>
            </w:r>
          </w:p>
        </w:tc>
        <w:tc>
          <w:tcPr>
            <w:tcW w:w="1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FF3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287,983.44</w:t>
            </w:r>
          </w:p>
        </w:tc>
      </w:tr>
    </w:tbl>
    <w:p w14:paraId="7C62A57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本合同包不接受联合体投标</w:t>
      </w:r>
    </w:p>
    <w:p w14:paraId="2FDD2FA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合同履行期限：</w:t>
      </w:r>
      <w:r>
        <w:rPr>
          <w:rFonts w:hint="eastAsia" w:cs="宋体"/>
          <w:i w:val="0"/>
          <w:iCs w:val="0"/>
          <w:caps w:val="0"/>
          <w:color w:val="auto"/>
          <w:spacing w:val="0"/>
          <w:sz w:val="24"/>
          <w:szCs w:val="24"/>
          <w:highlight w:val="none"/>
          <w:shd w:val="clear" w:fill="FFFFFF"/>
          <w:vertAlign w:val="baseline"/>
          <w:lang w:val="en-US" w:eastAsia="zh-CN"/>
        </w:rPr>
        <w:t>自合同签订之日起</w:t>
      </w:r>
      <w:r>
        <w:rPr>
          <w:rFonts w:hint="eastAsia"/>
          <w:color w:val="auto"/>
          <w:highlight w:val="none"/>
          <w:lang w:val="en-US" w:eastAsia="zh-CN"/>
        </w:rPr>
        <w:t>60日历日</w:t>
      </w:r>
      <w:r>
        <w:rPr>
          <w:rFonts w:hint="eastAsia" w:cs="宋体"/>
          <w:color w:val="auto"/>
          <w:sz w:val="24"/>
          <w:szCs w:val="24"/>
          <w:highlight w:val="none"/>
          <w:lang w:val="en-US" w:eastAsia="zh-CN"/>
        </w:rPr>
        <w:t>。</w:t>
      </w:r>
    </w:p>
    <w:p w14:paraId="0C4918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color w:val="auto"/>
          <w:sz w:val="24"/>
          <w:szCs w:val="24"/>
          <w:highlight w:val="none"/>
        </w:rPr>
      </w:pPr>
      <w:r>
        <w:rPr>
          <w:rStyle w:val="40"/>
          <w:rFonts w:hint="eastAsia" w:ascii="宋体" w:hAnsi="宋体" w:eastAsia="宋体" w:cs="宋体"/>
          <w:b/>
          <w:bCs/>
          <w:i w:val="0"/>
          <w:iCs w:val="0"/>
          <w:caps w:val="0"/>
          <w:color w:val="auto"/>
          <w:spacing w:val="0"/>
          <w:sz w:val="24"/>
          <w:szCs w:val="24"/>
          <w:highlight w:val="none"/>
          <w:shd w:val="clear" w:fill="FFFFFF"/>
          <w:vertAlign w:val="baseline"/>
        </w:rPr>
        <w:t>二、申请人的资格要求：</w:t>
      </w:r>
    </w:p>
    <w:p w14:paraId="0F1BFDD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vertAlign w:val="baseline"/>
        </w:rPr>
        <w:t>1.满足《中华人民共和国政府采购法》第二十二条规定</w:t>
      </w:r>
      <w:r>
        <w:rPr>
          <w:rFonts w:hint="eastAsia" w:cs="宋体"/>
          <w:i w:val="0"/>
          <w:iCs w:val="0"/>
          <w:caps w:val="0"/>
          <w:color w:val="auto"/>
          <w:spacing w:val="0"/>
          <w:sz w:val="24"/>
          <w:szCs w:val="24"/>
          <w:highlight w:val="none"/>
          <w:shd w:val="clear" w:fill="FFFFFF"/>
          <w:vertAlign w:val="baseline"/>
          <w:lang w:eastAsia="zh-CN"/>
        </w:rPr>
        <w:t>；</w:t>
      </w:r>
    </w:p>
    <w:p w14:paraId="6E2B6F8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2.落实政府采购政策需满足的资格要求：</w:t>
      </w:r>
    </w:p>
    <w:p w14:paraId="654E8F0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baseline"/>
        <w:rPr>
          <w:rFonts w:hint="default" w:cs="Times New Roman"/>
          <w:color w:val="auto"/>
          <w:kern w:val="2"/>
          <w:highlight w:val="none"/>
          <w:lang w:val="en-US"/>
        </w:rPr>
      </w:pPr>
      <w:r>
        <w:rPr>
          <w:rFonts w:hint="eastAsia" w:ascii="宋体" w:hAnsi="宋体" w:eastAsia="宋体" w:cs="宋体"/>
          <w:i w:val="0"/>
          <w:iCs w:val="0"/>
          <w:caps w:val="0"/>
          <w:color w:val="auto"/>
          <w:spacing w:val="0"/>
          <w:sz w:val="24"/>
          <w:szCs w:val="24"/>
          <w:highlight w:val="none"/>
          <w:shd w:val="clear" w:fill="FFFFFF"/>
          <w:vertAlign w:val="baseline"/>
        </w:rPr>
        <w:t>合同包1(</w:t>
      </w:r>
      <w:r>
        <w:rPr>
          <w:rFonts w:hint="eastAsia" w:cs="宋体"/>
          <w:b w:val="0"/>
          <w:bCs w:val="0"/>
          <w:i w:val="0"/>
          <w:iCs w:val="0"/>
          <w:caps w:val="0"/>
          <w:color w:val="auto"/>
          <w:spacing w:val="0"/>
          <w:sz w:val="24"/>
          <w:szCs w:val="24"/>
          <w:highlight w:val="none"/>
          <w:shd w:val="clear" w:fill="FFFFFF"/>
          <w:vertAlign w:val="baseline"/>
          <w:lang w:eastAsia="zh-CN"/>
        </w:rPr>
        <w:t>2025年中央水利发展资金泾阳县人畜集中供水及单村人畜供水安装在线计量监测项目（一期）</w:t>
      </w:r>
      <w:r>
        <w:rPr>
          <w:rFonts w:hint="eastAsia" w:ascii="宋体" w:hAnsi="宋体" w:eastAsia="宋体" w:cs="宋体"/>
          <w:i w:val="0"/>
          <w:iCs w:val="0"/>
          <w:caps w:val="0"/>
          <w:color w:val="auto"/>
          <w:spacing w:val="0"/>
          <w:sz w:val="24"/>
          <w:szCs w:val="24"/>
          <w:highlight w:val="none"/>
          <w:shd w:val="clear" w:fill="FFFFFF"/>
          <w:vertAlign w:val="baseline"/>
        </w:rPr>
        <w:t>)落实政府采购政策需满足的资格要求如下</w:t>
      </w:r>
      <w:r>
        <w:rPr>
          <w:rFonts w:hint="eastAsia" w:cs="宋体"/>
          <w:i w:val="0"/>
          <w:iCs w:val="0"/>
          <w:caps w:val="0"/>
          <w:color w:val="auto"/>
          <w:spacing w:val="0"/>
          <w:sz w:val="24"/>
          <w:szCs w:val="24"/>
          <w:highlight w:val="none"/>
          <w:shd w:val="clear" w:fill="FFFFFF"/>
          <w:vertAlign w:val="baseline"/>
          <w:lang w:eastAsia="zh-CN"/>
        </w:rPr>
        <w:t>：</w:t>
      </w:r>
      <w:r>
        <w:rPr>
          <w:rFonts w:hint="eastAsia" w:cs="宋体"/>
          <w:i w:val="0"/>
          <w:iCs w:val="0"/>
          <w:caps w:val="0"/>
          <w:color w:val="auto"/>
          <w:spacing w:val="0"/>
          <w:sz w:val="24"/>
          <w:szCs w:val="24"/>
          <w:highlight w:val="none"/>
          <w:shd w:val="clear" w:fill="FFFFFF"/>
          <w:vertAlign w:val="baseline"/>
          <w:lang w:val="en-US" w:eastAsia="zh-CN"/>
        </w:rPr>
        <w:t>本项目专门面向中小企业采购。</w:t>
      </w:r>
    </w:p>
    <w:p w14:paraId="4EB57E31">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53D7709F">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w:t>
      </w:r>
      <w:r>
        <w:rPr>
          <w:rFonts w:hint="eastAsia" w:ascii="宋体" w:hAnsi="宋体" w:cs="宋体"/>
          <w:color w:val="auto"/>
          <w:sz w:val="24"/>
          <w:szCs w:val="24"/>
          <w:highlight w:val="none"/>
          <w:lang w:val="en-US" w:eastAsia="zh-CN"/>
        </w:rPr>
        <w:t>2025年中央水利发展资金泾阳县人畜集中供水及单村人畜供水安装在线计量监测项目（一期）</w:t>
      </w:r>
      <w:r>
        <w:rPr>
          <w:rFonts w:hint="eastAsia" w:ascii="宋体" w:hAnsi="宋体" w:eastAsia="宋体" w:cs="宋体"/>
          <w:color w:val="auto"/>
          <w:sz w:val="24"/>
          <w:szCs w:val="24"/>
          <w:highlight w:val="none"/>
          <w:lang w:val="en-US" w:eastAsia="zh-CN"/>
        </w:rPr>
        <w:t>)特定资格要求如下:</w:t>
      </w:r>
    </w:p>
    <w:p w14:paraId="314D3C6F">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具有独立承担民事责任能力的法人、其他组织或自然人，并出具合法有效的营业执照或事业单位法人证书等国家规定的相关证明，自然人参与的提供其身份证明；</w:t>
      </w:r>
    </w:p>
    <w:p w14:paraId="481A83E5">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须提供具有财务审计资质单位出具的2023年-2024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6CBEF58E">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供应商须提供2024年7月至今任意一个月已缴纳完税凭证或税务机关开具的完税证明，依法免税或无须缴纳税收的供应商应提供相关文件证明； </w:t>
      </w:r>
    </w:p>
    <w:p w14:paraId="7D32146E">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供应商须提供2024年7月至今任意一个月已缴纳的社会保障资金缴存单据或社保机构开具的社会保险参保缴费情况证明，依法不需要缴纳社会保障资金的供应商应提供相关证明；</w:t>
      </w:r>
    </w:p>
    <w:p w14:paraId="601252E8">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具备履行合同所必需的设备和专业技术能力的证明材料(由供应商根据项目需求提供说明材料或者承诺)；</w:t>
      </w:r>
    </w:p>
    <w:p w14:paraId="369CE9B1">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提供参加政府采购活动前三年内在经营活动中没有重大违法记录的书面声明；</w:t>
      </w:r>
    </w:p>
    <w:p w14:paraId="17405511">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应授权合法的人员参加磋商全过程，其中法定代表人直接参加磋商的，须出具法定代表人身份证明、法人身份证原件及复印件；法定代表人授权代表参加磋商的，须出具法定代表人授权书、授权代表身份证原件及复印件；</w:t>
      </w:r>
    </w:p>
    <w:p w14:paraId="6EA0876F">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供应商须具备建设部门颁发有效的水利水电工程施工总承包叁级（含叁级）以上资质，同时具备有效的安全生产许可证；</w:t>
      </w:r>
    </w:p>
    <w:p w14:paraId="14AEFEA3">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拟投入的项目经理须具备有效的水利水电工程专业贰级（含贰级）以上注册建造师执业资格和安全生产考核B证，且未担任其他在建工程项目（需提供企业书面承诺等证明材料）；</w:t>
      </w:r>
    </w:p>
    <w:p w14:paraId="0C0EC375">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17DA43BB">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与采购人存在利害关系可能影响采购公正性的单位，不得参加磋商、单位负责人为同一人或存在控股、管理关系的不同单位，不得参加同一标段磋商，否则，相关投标均无效；</w:t>
      </w:r>
    </w:p>
    <w:p w14:paraId="4D02C831">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本项目不接受联合体磋商。</w:t>
      </w:r>
    </w:p>
    <w:p w14:paraId="5501AA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color w:val="auto"/>
          <w:sz w:val="24"/>
          <w:szCs w:val="24"/>
          <w:highlight w:val="none"/>
        </w:rPr>
      </w:pPr>
      <w:r>
        <w:rPr>
          <w:rStyle w:val="40"/>
          <w:rFonts w:hint="eastAsia" w:ascii="宋体" w:hAnsi="宋体" w:eastAsia="宋体" w:cs="宋体"/>
          <w:b/>
          <w:bCs/>
          <w:i w:val="0"/>
          <w:iCs w:val="0"/>
          <w:caps w:val="0"/>
          <w:color w:val="auto"/>
          <w:spacing w:val="0"/>
          <w:sz w:val="24"/>
          <w:szCs w:val="24"/>
          <w:highlight w:val="none"/>
          <w:shd w:val="clear" w:fill="FFFFFF"/>
          <w:vertAlign w:val="baseline"/>
        </w:rPr>
        <w:t>三、获取采购文件</w:t>
      </w:r>
    </w:p>
    <w:p w14:paraId="2C3517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时间：2025年0</w:t>
      </w:r>
      <w:r>
        <w:rPr>
          <w:rFonts w:hint="eastAsia" w:cs="宋体"/>
          <w:i w:val="0"/>
          <w:iCs w:val="0"/>
          <w:caps w:val="0"/>
          <w:color w:val="auto"/>
          <w:spacing w:val="0"/>
          <w:sz w:val="24"/>
          <w:szCs w:val="24"/>
          <w:highlight w:val="none"/>
          <w:shd w:val="clear"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cs="宋体"/>
          <w:i w:val="0"/>
          <w:iCs w:val="0"/>
          <w:caps w:val="0"/>
          <w:color w:val="auto"/>
          <w:spacing w:val="0"/>
          <w:sz w:val="24"/>
          <w:szCs w:val="24"/>
          <w:highlight w:val="none"/>
          <w:shd w:val="clear" w:fill="FFFFFF"/>
          <w:vertAlign w:val="baseline"/>
          <w:lang w:val="en-US" w:eastAsia="zh-CN"/>
        </w:rPr>
        <w:t>18</w:t>
      </w:r>
      <w:r>
        <w:rPr>
          <w:rFonts w:hint="eastAsia" w:ascii="宋体" w:hAnsi="宋体" w:eastAsia="宋体" w:cs="宋体"/>
          <w:i w:val="0"/>
          <w:iCs w:val="0"/>
          <w:caps w:val="0"/>
          <w:color w:val="auto"/>
          <w:spacing w:val="0"/>
          <w:sz w:val="24"/>
          <w:szCs w:val="24"/>
          <w:highlight w:val="none"/>
          <w:shd w:val="clear" w:fill="FFFFFF"/>
          <w:vertAlign w:val="baseline"/>
        </w:rPr>
        <w:t>日至2025年0</w:t>
      </w:r>
      <w:r>
        <w:rPr>
          <w:rFonts w:hint="eastAsia" w:cs="宋体"/>
          <w:i w:val="0"/>
          <w:iCs w:val="0"/>
          <w:caps w:val="0"/>
          <w:color w:val="auto"/>
          <w:spacing w:val="0"/>
          <w:sz w:val="24"/>
          <w:szCs w:val="24"/>
          <w:highlight w:val="none"/>
          <w:shd w:val="clear"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cs="宋体"/>
          <w:i w:val="0"/>
          <w:iCs w:val="0"/>
          <w:caps w:val="0"/>
          <w:color w:val="auto"/>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auto"/>
          <w:spacing w:val="0"/>
          <w:sz w:val="24"/>
          <w:szCs w:val="24"/>
          <w:highlight w:val="none"/>
          <w:shd w:val="clear" w:fill="FFFFFF"/>
          <w:vertAlign w:val="baseline"/>
        </w:rPr>
        <w:t>日，每天上午09:00:00至12:00:00，下午14:00:00至17:00:00（北京时间）</w:t>
      </w:r>
    </w:p>
    <w:p w14:paraId="774C39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途径：</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西安市未央区凤城八路与渭滨路十字西北角水晶新天地6楼11603室</w:t>
      </w:r>
    </w:p>
    <w:p w14:paraId="62147B6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方式：现场获取</w:t>
      </w:r>
    </w:p>
    <w:p w14:paraId="7164F13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售价：</w:t>
      </w:r>
      <w:r>
        <w:rPr>
          <w:rFonts w:hint="eastAsia" w:cs="宋体"/>
          <w:i w:val="0"/>
          <w:iCs w:val="0"/>
          <w:caps w:val="0"/>
          <w:color w:val="auto"/>
          <w:spacing w:val="0"/>
          <w:sz w:val="24"/>
          <w:szCs w:val="24"/>
          <w:highlight w:val="none"/>
          <w:shd w:val="clear" w:fill="FFFFFF"/>
          <w:vertAlign w:val="baseline"/>
          <w:lang w:val="en-US" w:eastAsia="zh-CN"/>
        </w:rPr>
        <w:t>0元</w:t>
      </w:r>
    </w:p>
    <w:p w14:paraId="689D14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color w:val="auto"/>
          <w:sz w:val="24"/>
          <w:szCs w:val="24"/>
          <w:highlight w:val="none"/>
        </w:rPr>
      </w:pPr>
      <w:r>
        <w:rPr>
          <w:rStyle w:val="40"/>
          <w:rFonts w:hint="eastAsia" w:ascii="宋体" w:hAnsi="宋体" w:eastAsia="宋体" w:cs="宋体"/>
          <w:b/>
          <w:bCs/>
          <w:i w:val="0"/>
          <w:iCs w:val="0"/>
          <w:caps w:val="0"/>
          <w:color w:val="auto"/>
          <w:spacing w:val="0"/>
          <w:sz w:val="24"/>
          <w:szCs w:val="24"/>
          <w:highlight w:val="none"/>
          <w:shd w:val="clear" w:fill="FFFFFF"/>
          <w:vertAlign w:val="baseline"/>
        </w:rPr>
        <w:t>四</w:t>
      </w:r>
      <w:r>
        <w:rPr>
          <w:rStyle w:val="40"/>
          <w:rFonts w:hint="eastAsia" w:cs="宋体"/>
          <w:b/>
          <w:bCs/>
          <w:i w:val="0"/>
          <w:iCs w:val="0"/>
          <w:caps w:val="0"/>
          <w:color w:val="auto"/>
          <w:spacing w:val="0"/>
          <w:sz w:val="24"/>
          <w:szCs w:val="24"/>
          <w:highlight w:val="none"/>
          <w:shd w:val="clear" w:fill="FFFFFF"/>
          <w:vertAlign w:val="baseline"/>
          <w:lang w:eastAsia="zh-CN"/>
        </w:rPr>
        <w:t>、</w:t>
      </w:r>
      <w:r>
        <w:rPr>
          <w:rStyle w:val="40"/>
          <w:rFonts w:hint="eastAsia" w:ascii="宋体" w:hAnsi="宋体" w:eastAsia="宋体" w:cs="宋体"/>
          <w:b/>
          <w:bCs/>
          <w:i w:val="0"/>
          <w:iCs w:val="0"/>
          <w:caps w:val="0"/>
          <w:color w:val="auto"/>
          <w:spacing w:val="0"/>
          <w:sz w:val="24"/>
          <w:szCs w:val="24"/>
          <w:highlight w:val="none"/>
          <w:shd w:val="clear" w:fill="FFFFFF"/>
          <w:vertAlign w:val="baseline"/>
        </w:rPr>
        <w:t>响应文件提交</w:t>
      </w:r>
    </w:p>
    <w:p w14:paraId="2B7D987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截止时间：</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202</w:t>
      </w:r>
      <w:r>
        <w:rPr>
          <w:rFonts w:hint="eastAsia" w:cs="宋体"/>
          <w:b w:val="0"/>
          <w:bCs w:val="0"/>
          <w:i w:val="0"/>
          <w:iCs w:val="0"/>
          <w:caps w:val="0"/>
          <w:color w:val="auto"/>
          <w:spacing w:val="0"/>
          <w:sz w:val="24"/>
          <w:szCs w:val="24"/>
          <w:highlight w:val="none"/>
          <w:shd w:val="clear" w:fill="FFFFFF"/>
          <w:vertAlign w:val="baseline"/>
          <w:lang w:val="en-US" w:eastAsia="zh-CN"/>
        </w:rPr>
        <w:t>5</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年</w:t>
      </w:r>
      <w:r>
        <w:rPr>
          <w:rFonts w:hint="eastAsia" w:cs="宋体"/>
          <w:b w:val="0"/>
          <w:bCs w:val="0"/>
          <w:i w:val="0"/>
          <w:iCs w:val="0"/>
          <w:caps w:val="0"/>
          <w:color w:val="auto"/>
          <w:spacing w:val="0"/>
          <w:sz w:val="24"/>
          <w:szCs w:val="24"/>
          <w:highlight w:val="none"/>
          <w:shd w:val="clear" w:fill="FFFFFF"/>
          <w:vertAlign w:val="baseline"/>
          <w:lang w:val="en-US" w:eastAsia="zh-CN"/>
        </w:rPr>
        <w:t>07</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月</w:t>
      </w:r>
      <w:r>
        <w:rPr>
          <w:rFonts w:hint="eastAsia" w:cs="宋体"/>
          <w:b w:val="0"/>
          <w:bCs w:val="0"/>
          <w:i w:val="0"/>
          <w:iCs w:val="0"/>
          <w:caps w:val="0"/>
          <w:color w:val="auto"/>
          <w:spacing w:val="0"/>
          <w:sz w:val="24"/>
          <w:szCs w:val="24"/>
          <w:highlight w:val="none"/>
          <w:shd w:val="clear" w:fill="FFFFFF"/>
          <w:vertAlign w:val="baseline"/>
          <w:lang w:val="en-US" w:eastAsia="zh-CN"/>
        </w:rPr>
        <w:t>02</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日</w:t>
      </w:r>
      <w:r>
        <w:rPr>
          <w:rFonts w:hint="eastAsia" w:ascii="宋体" w:hAnsi="宋体" w:eastAsia="宋体" w:cs="宋体"/>
          <w:color w:val="auto"/>
          <w:sz w:val="24"/>
          <w:szCs w:val="24"/>
          <w:highlight w:val="none"/>
          <w:lang w:val="en-US" w:eastAsia="zh-CN"/>
        </w:rPr>
        <w:t>14时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r>
        <w:rPr>
          <w:rFonts w:hint="eastAsia" w:ascii="宋体" w:hAnsi="宋体" w:eastAsia="宋体" w:cs="宋体"/>
          <w:i w:val="0"/>
          <w:iCs w:val="0"/>
          <w:caps w:val="0"/>
          <w:color w:val="auto"/>
          <w:spacing w:val="0"/>
          <w:sz w:val="24"/>
          <w:szCs w:val="24"/>
          <w:highlight w:val="none"/>
          <w:shd w:val="clear" w:fill="FFFFFF"/>
          <w:vertAlign w:val="baseline"/>
        </w:rPr>
        <w:t>00秒（北京时间）</w:t>
      </w:r>
    </w:p>
    <w:p w14:paraId="4076070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地点：</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西安市未央区凤城八路与渭滨路十字西北角水晶新天地6楼11603室</w:t>
      </w:r>
    </w:p>
    <w:p w14:paraId="7EBE61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color w:val="auto"/>
          <w:sz w:val="24"/>
          <w:szCs w:val="24"/>
          <w:highlight w:val="none"/>
        </w:rPr>
      </w:pPr>
      <w:r>
        <w:rPr>
          <w:rStyle w:val="40"/>
          <w:rFonts w:hint="eastAsia" w:ascii="宋体" w:hAnsi="宋体" w:eastAsia="宋体" w:cs="宋体"/>
          <w:b/>
          <w:bCs/>
          <w:i w:val="0"/>
          <w:iCs w:val="0"/>
          <w:caps w:val="0"/>
          <w:color w:val="auto"/>
          <w:spacing w:val="0"/>
          <w:sz w:val="24"/>
          <w:szCs w:val="24"/>
          <w:highlight w:val="none"/>
          <w:shd w:val="clear" w:fill="FFFFFF"/>
          <w:vertAlign w:val="baseline"/>
        </w:rPr>
        <w:t>五、开启</w:t>
      </w:r>
    </w:p>
    <w:p w14:paraId="27C0E7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时间：</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202</w:t>
      </w:r>
      <w:r>
        <w:rPr>
          <w:rFonts w:hint="eastAsia" w:cs="宋体"/>
          <w:b w:val="0"/>
          <w:bCs w:val="0"/>
          <w:i w:val="0"/>
          <w:iCs w:val="0"/>
          <w:caps w:val="0"/>
          <w:color w:val="auto"/>
          <w:spacing w:val="0"/>
          <w:sz w:val="24"/>
          <w:szCs w:val="24"/>
          <w:highlight w:val="none"/>
          <w:shd w:val="clear" w:fill="FFFFFF"/>
          <w:vertAlign w:val="baseline"/>
          <w:lang w:val="en-US" w:eastAsia="zh-CN"/>
        </w:rPr>
        <w:t>5</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年</w:t>
      </w:r>
      <w:r>
        <w:rPr>
          <w:rFonts w:hint="eastAsia" w:cs="宋体"/>
          <w:b w:val="0"/>
          <w:bCs w:val="0"/>
          <w:i w:val="0"/>
          <w:iCs w:val="0"/>
          <w:caps w:val="0"/>
          <w:color w:val="auto"/>
          <w:spacing w:val="0"/>
          <w:sz w:val="24"/>
          <w:szCs w:val="24"/>
          <w:highlight w:val="none"/>
          <w:shd w:val="clear" w:fill="FFFFFF"/>
          <w:vertAlign w:val="baseline"/>
          <w:lang w:val="en-US" w:eastAsia="zh-CN"/>
        </w:rPr>
        <w:t>07</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月</w:t>
      </w:r>
      <w:r>
        <w:rPr>
          <w:rFonts w:hint="eastAsia" w:cs="宋体"/>
          <w:b w:val="0"/>
          <w:bCs w:val="0"/>
          <w:i w:val="0"/>
          <w:iCs w:val="0"/>
          <w:caps w:val="0"/>
          <w:color w:val="auto"/>
          <w:spacing w:val="0"/>
          <w:sz w:val="24"/>
          <w:szCs w:val="24"/>
          <w:highlight w:val="none"/>
          <w:shd w:val="clear" w:fill="FFFFFF"/>
          <w:vertAlign w:val="baseline"/>
          <w:lang w:val="en-US" w:eastAsia="zh-CN"/>
        </w:rPr>
        <w:t>02</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日</w:t>
      </w:r>
      <w:r>
        <w:rPr>
          <w:rFonts w:hint="eastAsia" w:ascii="宋体" w:hAnsi="宋体" w:eastAsia="宋体" w:cs="宋体"/>
          <w:color w:val="auto"/>
          <w:sz w:val="24"/>
          <w:szCs w:val="24"/>
          <w:highlight w:val="none"/>
          <w:lang w:val="en-US" w:eastAsia="zh-CN"/>
        </w:rPr>
        <w:t>14时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r>
        <w:rPr>
          <w:rFonts w:hint="eastAsia" w:ascii="宋体" w:hAnsi="宋体" w:eastAsia="宋体" w:cs="宋体"/>
          <w:i w:val="0"/>
          <w:iCs w:val="0"/>
          <w:caps w:val="0"/>
          <w:color w:val="auto"/>
          <w:spacing w:val="0"/>
          <w:sz w:val="24"/>
          <w:szCs w:val="24"/>
          <w:highlight w:val="none"/>
          <w:shd w:val="clear" w:fill="FFFFFF"/>
          <w:vertAlign w:val="baseline"/>
        </w:rPr>
        <w:t>00秒（北京时间）</w:t>
      </w:r>
    </w:p>
    <w:p w14:paraId="6025AB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地点：</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西安市未央区凤城八路与渭滨路十字西北角水晶新天地6楼11603室</w:t>
      </w:r>
    </w:p>
    <w:p w14:paraId="2B240D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color w:val="auto"/>
          <w:sz w:val="24"/>
          <w:szCs w:val="24"/>
          <w:highlight w:val="none"/>
        </w:rPr>
      </w:pPr>
      <w:r>
        <w:rPr>
          <w:rStyle w:val="40"/>
          <w:rFonts w:hint="eastAsia" w:ascii="宋体" w:hAnsi="宋体" w:eastAsia="宋体" w:cs="宋体"/>
          <w:b/>
          <w:bCs/>
          <w:i w:val="0"/>
          <w:iCs w:val="0"/>
          <w:caps w:val="0"/>
          <w:color w:val="auto"/>
          <w:spacing w:val="0"/>
          <w:sz w:val="24"/>
          <w:szCs w:val="24"/>
          <w:highlight w:val="none"/>
          <w:shd w:val="clear" w:fill="FFFFFF"/>
          <w:vertAlign w:val="baseline"/>
        </w:rPr>
        <w:t>六、公告期限</w:t>
      </w:r>
    </w:p>
    <w:p w14:paraId="44CD46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rPr>
        <w:t>自本公告发布之日起3个工作日。</w:t>
      </w:r>
    </w:p>
    <w:p w14:paraId="6411A7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color w:val="auto"/>
          <w:sz w:val="24"/>
          <w:szCs w:val="24"/>
          <w:highlight w:val="none"/>
        </w:rPr>
      </w:pPr>
      <w:r>
        <w:rPr>
          <w:rStyle w:val="40"/>
          <w:rFonts w:hint="eastAsia" w:ascii="宋体" w:hAnsi="宋体" w:eastAsia="宋体" w:cs="宋体"/>
          <w:b/>
          <w:bCs/>
          <w:i w:val="0"/>
          <w:iCs w:val="0"/>
          <w:caps w:val="0"/>
          <w:color w:val="auto"/>
          <w:spacing w:val="0"/>
          <w:sz w:val="24"/>
          <w:szCs w:val="24"/>
          <w:highlight w:val="none"/>
          <w:shd w:val="clear" w:fill="FFFFFF"/>
          <w:vertAlign w:val="baseline"/>
        </w:rPr>
        <w:t>七、其他补充事宜</w:t>
      </w:r>
    </w:p>
    <w:p w14:paraId="763BA85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1、落实的其他政府采购政策要求：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政府采购促进中小企业发展管理办法》（财库〔2020〕46号）；（2）《财政部司法部关于政府采购支持监狱企业发展有关问题的通知》（财库〔2014〕68号）；（3）《国务院办公厅关于建立政府强制采购节能产品制度的通知》（国办发〔2007〕51号）；（4）《环境标志产品政府采购实施的意见》（财库〔2006〕90号）；（5）《关于促进残疾人就业政府采购政策的通知》（财库〔2017〕141号）；（6）《财政部国家发展改革委关于印发〈节能产品政府采购实施意见〉的通知》（财库〔2004〕185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中小企业政府采购信用融资办法》（陕财办采〔2018〕23号）；(12)《陕西省财政厅关于加快推进我省中小企业政府采购信用融资工作的通知》（陕财办采〔2020〕15号）；（13）《财政部关于在政府采购活动中查询及使用信用记录有关问题的通知》（财库〔2016〕125号）；（14）</w:t>
      </w:r>
      <w:r>
        <w:rPr>
          <w:rFonts w:hint="eastAsia" w:ascii="宋体" w:hAnsi="宋体" w:eastAsia="宋体" w:cs="宋体"/>
          <w:color w:val="auto"/>
          <w:sz w:val="24"/>
          <w:szCs w:val="24"/>
          <w:highlight w:val="none"/>
          <w:lang w:val="en-US" w:eastAsia="zh-CN"/>
        </w:rPr>
        <w:t>《财政部关于进一步加大政府采购支持中小企业力度的通知》（财库〔2022〕19号）；（15）</w:t>
      </w:r>
      <w:r>
        <w:rPr>
          <w:rFonts w:hint="eastAsia" w:ascii="宋体" w:hAnsi="宋体" w:eastAsia="宋体" w:cs="宋体"/>
          <w:color w:val="auto"/>
          <w:sz w:val="24"/>
          <w:szCs w:val="24"/>
          <w:highlight w:val="none"/>
        </w:rPr>
        <w:t>其他落实的政府采购政策。若享受以上政策优惠的企业，需提供相应声明函或品目清单范围内产品的有效认证证书。</w:t>
      </w:r>
    </w:p>
    <w:p w14:paraId="0F5374CC">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lang w:val="en-US" w:eastAsia="zh-CN"/>
        </w:rPr>
        <w:t>2、注意事项：</w:t>
      </w:r>
      <w:r>
        <w:rPr>
          <w:rFonts w:hint="eastAsia" w:ascii="宋体" w:hAnsi="宋体" w:eastAsia="宋体" w:cs="宋体"/>
          <w:b w:val="0"/>
          <w:bCs w:val="0"/>
          <w:color w:val="auto"/>
          <w:kern w:val="2"/>
          <w:highlight w:val="none"/>
          <w:lang w:val="en-US" w:eastAsia="zh-CN"/>
        </w:rPr>
        <w:t>（1）</w:t>
      </w:r>
      <w:r>
        <w:rPr>
          <w:rFonts w:hint="eastAsia" w:ascii="宋体" w:hAnsi="宋体" w:eastAsia="宋体" w:cs="Times New Roman"/>
          <w:color w:val="auto"/>
          <w:sz w:val="24"/>
          <w:szCs w:val="24"/>
          <w:highlight w:val="none"/>
          <w:lang w:val="en-US" w:eastAsia="zh-CN"/>
        </w:rPr>
        <w:t>凡有意参加本项目的供应商在</w:t>
      </w:r>
      <w:r>
        <w:rPr>
          <w:rFonts w:hint="eastAsia" w:ascii="宋体" w:hAnsi="宋体" w:eastAsia="宋体" w:cs="宋体"/>
          <w:b w:val="0"/>
          <w:bCs w:val="0"/>
          <w:color w:val="auto"/>
          <w:kern w:val="2"/>
          <w:highlight w:val="none"/>
          <w:lang w:val="en-US" w:eastAsia="zh-CN"/>
        </w:rPr>
        <w:t>获取采购文件</w:t>
      </w:r>
      <w:r>
        <w:rPr>
          <w:rFonts w:hint="eastAsia" w:cs="宋体"/>
          <w:b w:val="0"/>
          <w:bCs w:val="0"/>
          <w:color w:val="auto"/>
          <w:kern w:val="2"/>
          <w:highlight w:val="none"/>
          <w:lang w:val="en-US" w:eastAsia="zh-CN"/>
        </w:rPr>
        <w:t>时间内（法定节假日除外）</w:t>
      </w:r>
      <w:r>
        <w:rPr>
          <w:rFonts w:hint="eastAsia" w:cs="宋体"/>
          <w:b w:val="0"/>
          <w:bCs w:val="0"/>
          <w:color w:val="auto"/>
          <w:kern w:val="2"/>
          <w:highlight w:val="none"/>
          <w:lang w:eastAsia="zh-CN"/>
        </w:rPr>
        <w:t>，</w:t>
      </w:r>
      <w:r>
        <w:rPr>
          <w:rFonts w:hint="eastAsia" w:ascii="宋体" w:hAnsi="宋体" w:eastAsia="宋体" w:cs="宋体"/>
          <w:b w:val="0"/>
          <w:bCs w:val="0"/>
          <w:color w:val="auto"/>
          <w:sz w:val="24"/>
          <w:szCs w:val="24"/>
          <w:highlight w:val="none"/>
          <w:lang w:val="en-US" w:eastAsia="zh-CN"/>
        </w:rPr>
        <w:t>须携带</w:t>
      </w:r>
      <w:r>
        <w:rPr>
          <w:rFonts w:hint="eastAsia" w:cs="宋体"/>
          <w:b w:val="0"/>
          <w:bCs w:val="0"/>
          <w:color w:val="auto"/>
          <w:sz w:val="24"/>
          <w:szCs w:val="24"/>
          <w:highlight w:val="none"/>
          <w:lang w:val="en-US" w:eastAsia="zh-CN"/>
        </w:rPr>
        <w:t>有效的</w:t>
      </w:r>
      <w:r>
        <w:rPr>
          <w:rFonts w:hint="eastAsia" w:ascii="宋体" w:hAnsi="宋体" w:eastAsia="宋体" w:cs="宋体"/>
          <w:b w:val="0"/>
          <w:bCs w:val="0"/>
          <w:color w:val="auto"/>
          <w:sz w:val="24"/>
          <w:szCs w:val="24"/>
          <w:highlight w:val="none"/>
        </w:rPr>
        <w:t>单位介绍信及经办人身份证复印件加盖公章至</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西安市未央区凤城八路与渭滨路十字西北角水晶新天地6楼11603室</w:t>
      </w:r>
      <w:r>
        <w:rPr>
          <w:rFonts w:hint="eastAsia" w:cs="宋体"/>
          <w:b w:val="0"/>
          <w:bCs w:val="0"/>
          <w:i w:val="0"/>
          <w:iCs w:val="0"/>
          <w:caps w:val="0"/>
          <w:color w:val="auto"/>
          <w:spacing w:val="0"/>
          <w:sz w:val="24"/>
          <w:szCs w:val="24"/>
          <w:highlight w:val="none"/>
          <w:shd w:val="clear" w:fill="FFFFFF"/>
          <w:vertAlign w:val="baseline"/>
          <w:lang w:val="en-US" w:eastAsia="zh-CN"/>
        </w:rPr>
        <w:t>免费</w:t>
      </w:r>
      <w:r>
        <w:rPr>
          <w:rFonts w:hint="eastAsia" w:ascii="宋体" w:hAnsi="宋体" w:eastAsia="宋体" w:cs="宋体"/>
          <w:b w:val="0"/>
          <w:bCs w:val="0"/>
          <w:color w:val="auto"/>
          <w:sz w:val="24"/>
          <w:szCs w:val="24"/>
          <w:highlight w:val="none"/>
          <w:lang w:val="en-US" w:eastAsia="zh-CN"/>
        </w:rPr>
        <w:t>获取</w:t>
      </w:r>
      <w:r>
        <w:rPr>
          <w:rFonts w:hint="eastAsia"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kern w:val="2"/>
          <w:highlight w:val="none"/>
        </w:rPr>
        <w:t>。</w:t>
      </w:r>
      <w:r>
        <w:rPr>
          <w:rFonts w:hint="eastAsia" w:ascii="宋体" w:hAnsi="宋体" w:eastAsia="宋体" w:cs="宋体"/>
          <w:b w:val="0"/>
          <w:bCs w:val="0"/>
          <w:color w:val="auto"/>
          <w:kern w:val="2"/>
          <w:highlight w:val="none"/>
          <w:lang w:eastAsia="zh-CN"/>
        </w:rPr>
        <w:t>（</w:t>
      </w:r>
      <w:r>
        <w:rPr>
          <w:rFonts w:hint="eastAsia" w:ascii="宋体" w:hAnsi="宋体" w:eastAsia="宋体" w:cs="宋体"/>
          <w:b w:val="0"/>
          <w:bCs w:val="0"/>
          <w:color w:val="auto"/>
          <w:kern w:val="2"/>
          <w:highlight w:val="none"/>
          <w:lang w:val="en-US" w:eastAsia="zh-CN"/>
        </w:rPr>
        <w:t>2</w:t>
      </w:r>
      <w:r>
        <w:rPr>
          <w:rFonts w:hint="eastAsia" w:ascii="宋体" w:hAnsi="宋体" w:eastAsia="宋体" w:cs="宋体"/>
          <w:b w:val="0"/>
          <w:bCs w:val="0"/>
          <w:color w:val="auto"/>
          <w:kern w:val="2"/>
          <w:highlight w:val="none"/>
          <w:lang w:eastAsia="zh-CN"/>
        </w:rPr>
        <w:t>）</w:t>
      </w:r>
      <w:r>
        <w:rPr>
          <w:rFonts w:hint="eastAsia" w:ascii="宋体" w:hAnsi="宋体" w:eastAsia="宋体" w:cs="宋体"/>
          <w:b w:val="0"/>
          <w:bCs w:val="0"/>
          <w:color w:val="auto"/>
          <w:kern w:val="2"/>
          <w:highlight w:val="none"/>
        </w:rPr>
        <w:t>供应商按照陕西省财政厅关于政府采购供应商注册登记有关事项的通知中的要求，通过陕西省政府采购网（http://www.ccgp-shaanxi.gov.cn/）注册登记加入陕西省政府采购供应商库。</w:t>
      </w:r>
    </w:p>
    <w:p w14:paraId="274122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baseline"/>
        <w:rPr>
          <w:rFonts w:hint="eastAsia" w:ascii="宋体" w:hAnsi="宋体" w:eastAsia="宋体" w:cs="宋体"/>
          <w:b w:val="0"/>
          <w:bCs w:val="0"/>
          <w:color w:val="auto"/>
          <w:sz w:val="24"/>
          <w:szCs w:val="24"/>
          <w:highlight w:val="none"/>
        </w:rPr>
      </w:pPr>
      <w:r>
        <w:rPr>
          <w:rStyle w:val="40"/>
          <w:rFonts w:hint="eastAsia" w:ascii="宋体" w:hAnsi="宋体" w:eastAsia="宋体" w:cs="宋体"/>
          <w:b/>
          <w:bCs/>
          <w:i w:val="0"/>
          <w:iCs w:val="0"/>
          <w:caps w:val="0"/>
          <w:color w:val="auto"/>
          <w:spacing w:val="0"/>
          <w:sz w:val="24"/>
          <w:szCs w:val="24"/>
          <w:highlight w:val="none"/>
          <w:shd w:val="clear" w:fill="FFFFFF"/>
          <w:vertAlign w:val="baseline"/>
        </w:rPr>
        <w:t>八、对本次招标提出询问，请按以下方式联系。</w:t>
      </w:r>
    </w:p>
    <w:p w14:paraId="3BABB5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rPr>
      </w:pPr>
      <w:r>
        <w:rPr>
          <w:rFonts w:hint="eastAsia" w:ascii="宋体" w:hAnsi="宋体" w:eastAsia="宋体" w:cs="宋体"/>
          <w:b w:val="0"/>
          <w:bCs w:val="0"/>
          <w:i w:val="0"/>
          <w:iCs w:val="0"/>
          <w:caps w:val="0"/>
          <w:color w:val="auto"/>
          <w:spacing w:val="0"/>
          <w:sz w:val="24"/>
          <w:szCs w:val="24"/>
          <w:highlight w:val="none"/>
          <w:shd w:val="clear" w:fill="FFFFFF"/>
          <w:vertAlign w:val="baseline"/>
        </w:rPr>
        <w:t>1.采购人信息</w:t>
      </w:r>
    </w:p>
    <w:p w14:paraId="7F143F94">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s="Times New Roman"/>
          <w:color w:val="auto"/>
          <w:kern w:val="2"/>
          <w:highlight w:val="none"/>
          <w:lang w:eastAsia="zh-CN"/>
        </w:rPr>
      </w:pPr>
      <w:r>
        <w:rPr>
          <w:rFonts w:hint="eastAsia" w:cs="Times New Roman"/>
          <w:color w:val="auto"/>
          <w:kern w:val="2"/>
          <w:highlight w:val="none"/>
        </w:rPr>
        <w:t>名称：</w:t>
      </w:r>
      <w:r>
        <w:rPr>
          <w:rFonts w:hint="eastAsia" w:cs="Times New Roman"/>
          <w:color w:val="auto"/>
          <w:kern w:val="2"/>
          <w:highlight w:val="none"/>
          <w:lang w:eastAsia="zh-CN"/>
        </w:rPr>
        <w:t>泾阳县水资源工作站</w:t>
      </w:r>
    </w:p>
    <w:p w14:paraId="4D0C7E01">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cs="Times New Roman"/>
          <w:color w:val="auto"/>
          <w:kern w:val="2"/>
          <w:highlight w:val="none"/>
        </w:rPr>
      </w:pPr>
      <w:r>
        <w:rPr>
          <w:rFonts w:hint="eastAsia" w:cs="Times New Roman"/>
          <w:color w:val="auto"/>
          <w:kern w:val="2"/>
          <w:highlight w:val="none"/>
        </w:rPr>
        <w:t>地址：</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泾阳县水利姚家巷1号</w:t>
      </w:r>
    </w:p>
    <w:p w14:paraId="657410CE">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cs="Times New Roman"/>
          <w:color w:val="auto"/>
          <w:kern w:val="2"/>
          <w:highlight w:val="none"/>
        </w:rPr>
      </w:pPr>
      <w:r>
        <w:rPr>
          <w:rFonts w:hint="eastAsia" w:cs="Times New Roman"/>
          <w:color w:val="auto"/>
          <w:kern w:val="2"/>
          <w:highlight w:val="none"/>
        </w:rPr>
        <w:t>联系方式：</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029-36222139</w:t>
      </w:r>
    </w:p>
    <w:p w14:paraId="43FC7A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rPr>
      </w:pPr>
      <w:r>
        <w:rPr>
          <w:rFonts w:hint="eastAsia" w:ascii="宋体" w:hAnsi="宋体" w:eastAsia="宋体" w:cs="宋体"/>
          <w:b w:val="0"/>
          <w:bCs w:val="0"/>
          <w:i w:val="0"/>
          <w:iCs w:val="0"/>
          <w:caps w:val="0"/>
          <w:color w:val="auto"/>
          <w:spacing w:val="0"/>
          <w:sz w:val="24"/>
          <w:szCs w:val="24"/>
          <w:highlight w:val="none"/>
          <w:shd w:val="clear" w:fill="FFFFFF"/>
          <w:vertAlign w:val="baseline"/>
        </w:rPr>
        <w:t>2.釆购代理机构信息</w:t>
      </w:r>
    </w:p>
    <w:p w14:paraId="651CAF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rPr>
      </w:pPr>
      <w:bookmarkStart w:id="2" w:name="_Hlk102659764"/>
      <w:r>
        <w:rPr>
          <w:rFonts w:hint="eastAsia" w:ascii="宋体" w:hAnsi="宋体" w:eastAsia="宋体" w:cs="宋体"/>
          <w:b w:val="0"/>
          <w:bCs w:val="0"/>
          <w:i w:val="0"/>
          <w:iCs w:val="0"/>
          <w:caps w:val="0"/>
          <w:color w:val="auto"/>
          <w:spacing w:val="0"/>
          <w:sz w:val="24"/>
          <w:szCs w:val="24"/>
          <w:highlight w:val="none"/>
          <w:shd w:val="clear" w:fill="FFFFFF"/>
          <w:vertAlign w:val="baseline"/>
        </w:rPr>
        <w:t>名称：陕西盛仕骄阳项目管理有限公司</w:t>
      </w:r>
    </w:p>
    <w:p w14:paraId="5F9D56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rPr>
      </w:pPr>
      <w:r>
        <w:rPr>
          <w:rFonts w:hint="eastAsia" w:ascii="宋体" w:hAnsi="宋体" w:eastAsia="宋体" w:cs="宋体"/>
          <w:b w:val="0"/>
          <w:bCs w:val="0"/>
          <w:i w:val="0"/>
          <w:iCs w:val="0"/>
          <w:caps w:val="0"/>
          <w:color w:val="auto"/>
          <w:spacing w:val="0"/>
          <w:sz w:val="24"/>
          <w:szCs w:val="24"/>
          <w:highlight w:val="none"/>
          <w:shd w:val="clear" w:fill="FFFFFF"/>
          <w:vertAlign w:val="baseline"/>
        </w:rPr>
        <w:t>地址：</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西安市未央区凤城八路与渭滨路十字西北角水晶新天地6楼11603室</w:t>
      </w:r>
    </w:p>
    <w:p w14:paraId="0E9D75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rPr>
      </w:pPr>
      <w:r>
        <w:rPr>
          <w:rFonts w:hint="eastAsia" w:ascii="宋体" w:hAnsi="宋体" w:eastAsia="宋体" w:cs="宋体"/>
          <w:b w:val="0"/>
          <w:bCs w:val="0"/>
          <w:i w:val="0"/>
          <w:iCs w:val="0"/>
          <w:caps w:val="0"/>
          <w:color w:val="auto"/>
          <w:spacing w:val="0"/>
          <w:sz w:val="24"/>
          <w:szCs w:val="24"/>
          <w:highlight w:val="none"/>
          <w:shd w:val="clear" w:fill="FFFFFF"/>
          <w:vertAlign w:val="baseline"/>
        </w:rPr>
        <w:t>联系方式：029-89871668</w:t>
      </w:r>
    </w:p>
    <w:bookmarkEnd w:id="2"/>
    <w:p w14:paraId="5E5649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rPr>
      </w:pPr>
      <w:bookmarkStart w:id="3" w:name="_Hlk102659814"/>
      <w:r>
        <w:rPr>
          <w:rFonts w:hint="eastAsia" w:ascii="宋体" w:hAnsi="宋体" w:eastAsia="宋体" w:cs="宋体"/>
          <w:b w:val="0"/>
          <w:bCs w:val="0"/>
          <w:i w:val="0"/>
          <w:iCs w:val="0"/>
          <w:caps w:val="0"/>
          <w:color w:val="auto"/>
          <w:spacing w:val="0"/>
          <w:sz w:val="24"/>
          <w:szCs w:val="24"/>
          <w:highlight w:val="none"/>
          <w:shd w:val="clear" w:fill="FFFFFF"/>
          <w:vertAlign w:val="baseline"/>
        </w:rPr>
        <w:t xml:space="preserve">3.项目联系方式 </w:t>
      </w:r>
    </w:p>
    <w:p w14:paraId="60DBF4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rPr>
        <w:t>项目联系人：</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张双艳 王茹</w:t>
      </w:r>
    </w:p>
    <w:p w14:paraId="10B63B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baseline"/>
        <w:rPr>
          <w:rFonts w:hint="eastAsia"/>
          <w:color w:val="auto"/>
          <w:highlight w:val="none"/>
        </w:rPr>
      </w:pPr>
      <w:r>
        <w:rPr>
          <w:rFonts w:hint="eastAsia" w:ascii="宋体" w:hAnsi="宋体" w:eastAsia="宋体" w:cs="宋体"/>
          <w:b w:val="0"/>
          <w:bCs w:val="0"/>
          <w:i w:val="0"/>
          <w:iCs w:val="0"/>
          <w:caps w:val="0"/>
          <w:color w:val="auto"/>
          <w:spacing w:val="0"/>
          <w:sz w:val="24"/>
          <w:szCs w:val="24"/>
          <w:highlight w:val="none"/>
          <w:shd w:val="clear" w:fill="FFFFFF"/>
          <w:vertAlign w:val="baseline"/>
        </w:rPr>
        <w:t>电话：029-89871668</w:t>
      </w:r>
    </w:p>
    <w:bookmarkEnd w:id="3"/>
    <w:p w14:paraId="117F05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5760" w:firstLineChars="2400"/>
        <w:jc w:val="left"/>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rPr>
      </w:pPr>
      <w:r>
        <w:rPr>
          <w:rFonts w:hint="eastAsia" w:ascii="宋体" w:hAnsi="宋体" w:eastAsia="宋体" w:cs="宋体"/>
          <w:b w:val="0"/>
          <w:bCs w:val="0"/>
          <w:i w:val="0"/>
          <w:iCs w:val="0"/>
          <w:caps w:val="0"/>
          <w:color w:val="auto"/>
          <w:spacing w:val="0"/>
          <w:sz w:val="24"/>
          <w:szCs w:val="24"/>
          <w:highlight w:val="none"/>
          <w:shd w:val="clear" w:fill="FFFFFF"/>
          <w:vertAlign w:val="baseline"/>
        </w:rPr>
        <w:t>陕西盛仕骄阳项目管理有限公司</w:t>
      </w:r>
    </w:p>
    <w:p w14:paraId="756DF45C">
      <w:pPr>
        <w:keepNext w:val="0"/>
        <w:keepLines w:val="0"/>
        <w:pageBreakBefore w:val="0"/>
        <w:kinsoku/>
        <w:overflowPunct/>
        <w:topLinePunct w:val="0"/>
        <w:autoSpaceDE/>
        <w:autoSpaceDN/>
        <w:bidi w:val="0"/>
        <w:adjustRightInd/>
        <w:snapToGrid/>
        <w:spacing w:line="440" w:lineRule="exact"/>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sectPr>
          <w:footerReference r:id="rId13" w:type="first"/>
          <w:footerReference r:id="rId12"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titlePg/>
          <w:docGrid w:linePitch="312" w:charSpace="0"/>
        </w:sectPr>
      </w:pPr>
      <w:r>
        <w:rPr>
          <w:rFonts w:hint="eastAsia" w:ascii="宋体" w:hAnsi="宋体" w:eastAsia="宋体" w:cs="宋体"/>
          <w:b w:val="0"/>
          <w:bCs w:val="0"/>
          <w:i w:val="0"/>
          <w:iCs w:val="0"/>
          <w:caps w:val="0"/>
          <w:color w:val="auto"/>
          <w:spacing w:val="0"/>
          <w:sz w:val="24"/>
          <w:szCs w:val="24"/>
          <w:highlight w:val="none"/>
          <w:shd w:val="clear" w:fill="FFFFFF"/>
          <w:vertAlign w:val="baseline"/>
        </w:rPr>
        <w:t xml:space="preserve">                                     </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 xml:space="preserve">  </w:t>
      </w:r>
      <w:r>
        <w:rPr>
          <w:rFonts w:hint="eastAsia" w:ascii="宋体" w:hAnsi="宋体" w:eastAsia="宋体" w:cs="宋体"/>
          <w:b w:val="0"/>
          <w:bCs w:val="0"/>
          <w:i w:val="0"/>
          <w:iCs w:val="0"/>
          <w:caps w:val="0"/>
          <w:color w:val="auto"/>
          <w:spacing w:val="0"/>
          <w:sz w:val="24"/>
          <w:szCs w:val="24"/>
          <w:highlight w:val="none"/>
          <w:shd w:val="clear" w:fill="FFFFFF"/>
          <w:vertAlign w:val="baseline"/>
        </w:rPr>
        <w:t xml:space="preserve">   </w:t>
      </w:r>
      <w:r>
        <w:rPr>
          <w:rFonts w:hint="eastAsia" w:ascii="宋体" w:hAnsi="宋体" w:cs="宋体"/>
          <w:b w:val="0"/>
          <w:bCs w:val="0"/>
          <w:i w:val="0"/>
          <w:iCs w:val="0"/>
          <w:caps w:val="0"/>
          <w:color w:val="auto"/>
          <w:spacing w:val="0"/>
          <w:sz w:val="24"/>
          <w:szCs w:val="24"/>
          <w:highlight w:val="none"/>
          <w:shd w:val="clear" w:fill="FFFFFF"/>
          <w:vertAlign w:val="baseline"/>
          <w:lang w:val="en-US" w:eastAsia="zh-CN"/>
        </w:rPr>
        <w:t xml:space="preserve">         </w:t>
      </w:r>
      <w:r>
        <w:rPr>
          <w:rFonts w:hint="eastAsia" w:ascii="宋体" w:hAnsi="宋体" w:eastAsia="宋体" w:cs="宋体"/>
          <w:b w:val="0"/>
          <w:bCs w:val="0"/>
          <w:i w:val="0"/>
          <w:iCs w:val="0"/>
          <w:caps w:val="0"/>
          <w:color w:val="auto"/>
          <w:spacing w:val="0"/>
          <w:sz w:val="24"/>
          <w:szCs w:val="24"/>
          <w:highlight w:val="none"/>
          <w:shd w:val="clear" w:fill="FFFFFF"/>
          <w:vertAlign w:val="baseline"/>
        </w:rPr>
        <w:t xml:space="preserve">  2025年0</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6</w:t>
      </w:r>
      <w:r>
        <w:rPr>
          <w:rFonts w:hint="eastAsia" w:ascii="宋体" w:hAnsi="宋体" w:eastAsia="宋体" w:cs="宋体"/>
          <w:b w:val="0"/>
          <w:bCs w:val="0"/>
          <w:i w:val="0"/>
          <w:iCs w:val="0"/>
          <w:caps w:val="0"/>
          <w:color w:val="auto"/>
          <w:spacing w:val="0"/>
          <w:sz w:val="24"/>
          <w:szCs w:val="24"/>
          <w:highlight w:val="none"/>
          <w:shd w:val="clear" w:fill="FFFFFF"/>
          <w:vertAlign w:val="baseline"/>
        </w:rPr>
        <w:t>月</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18</w:t>
      </w:r>
      <w:r>
        <w:rPr>
          <w:rFonts w:hint="eastAsia" w:ascii="宋体" w:hAnsi="宋体" w:eastAsia="宋体" w:cs="宋体"/>
          <w:b w:val="0"/>
          <w:bCs w:val="0"/>
          <w:i w:val="0"/>
          <w:iCs w:val="0"/>
          <w:caps w:val="0"/>
          <w:color w:val="auto"/>
          <w:spacing w:val="0"/>
          <w:sz w:val="24"/>
          <w:szCs w:val="24"/>
          <w:highlight w:val="none"/>
          <w:shd w:val="clear" w:fill="FFFFFF"/>
          <w:vertAlign w:val="baseline"/>
        </w:rPr>
        <w:t>日</w:t>
      </w:r>
    </w:p>
    <w:p w14:paraId="4D8F0A94">
      <w:pPr>
        <w:pStyle w:val="2"/>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highlight w:val="none"/>
          <w:lang w:val="zh-CN"/>
        </w:rPr>
      </w:pPr>
      <w:bookmarkStart w:id="4" w:name="_Toc26631"/>
      <w:r>
        <w:rPr>
          <w:rFonts w:hint="eastAsia" w:ascii="宋体" w:hAnsi="宋体" w:eastAsia="宋体" w:cs="宋体"/>
          <w:b/>
          <w:bCs/>
          <w:color w:val="auto"/>
          <w:sz w:val="32"/>
          <w:szCs w:val="32"/>
          <w:highlight w:val="none"/>
          <w:lang w:val="zh-CN"/>
        </w:rPr>
        <w:t>竞争性磋商须知</w:t>
      </w:r>
      <w:bookmarkEnd w:id="4"/>
    </w:p>
    <w:tbl>
      <w:tblPr>
        <w:tblStyle w:val="37"/>
        <w:tblW w:w="101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632"/>
        <w:gridCol w:w="7818"/>
      </w:tblGrid>
      <w:tr w14:paraId="6B55C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728" w:type="dxa"/>
            <w:vAlign w:val="center"/>
          </w:tcPr>
          <w:p w14:paraId="7C4AA71D">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序号</w:t>
            </w:r>
          </w:p>
        </w:tc>
        <w:tc>
          <w:tcPr>
            <w:tcW w:w="1632" w:type="dxa"/>
            <w:vAlign w:val="center"/>
          </w:tcPr>
          <w:p w14:paraId="62AC81AF">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 xml:space="preserve">条款名称 </w:t>
            </w:r>
          </w:p>
        </w:tc>
        <w:tc>
          <w:tcPr>
            <w:tcW w:w="7818" w:type="dxa"/>
            <w:vAlign w:val="center"/>
          </w:tcPr>
          <w:p w14:paraId="592FB11D">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说明和要求</w:t>
            </w:r>
          </w:p>
        </w:tc>
      </w:tr>
      <w:tr w14:paraId="13CC5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46BB5758">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1</w:t>
            </w:r>
          </w:p>
        </w:tc>
        <w:tc>
          <w:tcPr>
            <w:tcW w:w="1632" w:type="dxa"/>
            <w:vAlign w:val="center"/>
          </w:tcPr>
          <w:p w14:paraId="6EB9532A">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采购人</w:t>
            </w:r>
          </w:p>
        </w:tc>
        <w:tc>
          <w:tcPr>
            <w:tcW w:w="7818" w:type="dxa"/>
            <w:vAlign w:val="center"/>
          </w:tcPr>
          <w:p w14:paraId="3D6ECFC1">
            <w:pPr>
              <w:keepNext w:val="0"/>
              <w:keepLines w:val="0"/>
              <w:pageBreakBefore w:val="0"/>
              <w:kinsoku/>
              <w:wordWrap/>
              <w:overflowPunct/>
              <w:topLinePunct w:val="0"/>
              <w:bidi w:val="0"/>
              <w:snapToGrid/>
              <w:spacing w:line="420" w:lineRule="exact"/>
              <w:ind w:left="0" w:leftChars="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名  称：</w:t>
            </w:r>
            <w:r>
              <w:rPr>
                <w:rFonts w:hint="eastAsia" w:ascii="宋体" w:hAnsi="宋体" w:cs="宋体"/>
                <w:color w:val="auto"/>
                <w:sz w:val="24"/>
                <w:szCs w:val="24"/>
                <w:highlight w:val="none"/>
                <w:lang w:val="en-US" w:eastAsia="zh-CN"/>
              </w:rPr>
              <w:t>泾阳县水资源工作站</w:t>
            </w:r>
          </w:p>
          <w:p w14:paraId="32F51F80">
            <w:pPr>
              <w:keepNext w:val="0"/>
              <w:keepLines w:val="0"/>
              <w:pageBreakBefore w:val="0"/>
              <w:kinsoku/>
              <w:wordWrap/>
              <w:overflowPunct/>
              <w:topLinePunct w:val="0"/>
              <w:bidi w:val="0"/>
              <w:snapToGrid/>
              <w:spacing w:line="420" w:lineRule="exact"/>
              <w:ind w:left="0" w:leftChars="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地  址：</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泾阳县水利姚家巷1号</w:t>
            </w:r>
          </w:p>
          <w:p w14:paraId="1DAFE3CA">
            <w:pPr>
              <w:keepNext w:val="0"/>
              <w:keepLines w:val="0"/>
              <w:pageBreakBefore w:val="0"/>
              <w:kinsoku/>
              <w:wordWrap/>
              <w:overflowPunct/>
              <w:topLinePunct w:val="0"/>
              <w:bidi w:val="0"/>
              <w:snapToGrid/>
              <w:spacing w:line="420" w:lineRule="exact"/>
              <w:ind w:left="0" w:leftChars="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刘老师</w:t>
            </w:r>
          </w:p>
          <w:p w14:paraId="688CB8ED">
            <w:pPr>
              <w:keepNext w:val="0"/>
              <w:keepLines w:val="0"/>
              <w:pageBreakBefore w:val="0"/>
              <w:kinsoku/>
              <w:wordWrap/>
              <w:overflowPunct/>
              <w:topLinePunct w:val="0"/>
              <w:bidi w:val="0"/>
              <w:snapToGrid/>
              <w:spacing w:line="420" w:lineRule="exact"/>
              <w:ind w:left="0" w:leftChars="0"/>
              <w:textAlignment w:val="auto"/>
              <w:rPr>
                <w:rFonts w:hint="default" w:ascii="宋体" w:hAnsi="宋体" w:cs="宋体"/>
                <w:color w:val="auto"/>
                <w:sz w:val="24"/>
                <w:szCs w:val="24"/>
                <w:highlight w:val="none"/>
                <w:lang w:val="en-US"/>
              </w:rPr>
            </w:pPr>
            <w:r>
              <w:rPr>
                <w:rFonts w:hint="default" w:ascii="宋体" w:hAnsi="宋体" w:eastAsia="宋体" w:cs="宋体"/>
                <w:color w:val="auto"/>
                <w:sz w:val="24"/>
                <w:szCs w:val="24"/>
                <w:highlight w:val="none"/>
                <w:lang w:val="en-US" w:eastAsia="zh-CN"/>
              </w:rPr>
              <w:t>联系方式</w:t>
            </w:r>
            <w:r>
              <w:rPr>
                <w:rFonts w:hint="eastAsia" w:ascii="宋体" w:hAnsi="宋体" w:cs="宋体"/>
                <w:color w:val="auto"/>
                <w:sz w:val="24"/>
                <w:szCs w:val="24"/>
                <w:highlight w:val="none"/>
                <w:lang w:val="en-US" w:eastAsia="zh-CN"/>
              </w:rPr>
              <w:t>:</w:t>
            </w:r>
            <w:r>
              <w:rPr>
                <w:rFonts w:hint="eastAsia" w:ascii="宋体" w:hAnsi="宋体" w:eastAsia="宋体" w:cs="宋体"/>
                <w:b w:val="0"/>
                <w:bCs w:val="0"/>
                <w:i w:val="0"/>
                <w:iCs w:val="0"/>
                <w:caps w:val="0"/>
                <w:color w:val="auto"/>
                <w:spacing w:val="0"/>
                <w:sz w:val="24"/>
                <w:szCs w:val="24"/>
                <w:shd w:val="clear" w:fill="FFFFFF"/>
                <w:vertAlign w:val="baseline"/>
                <w:lang w:val="en-US" w:eastAsia="zh-CN"/>
              </w:rPr>
              <w:t>029-36222139</w:t>
            </w:r>
          </w:p>
        </w:tc>
      </w:tr>
      <w:tr w14:paraId="10FEF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06A0EDA4">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2</w:t>
            </w:r>
          </w:p>
        </w:tc>
        <w:tc>
          <w:tcPr>
            <w:tcW w:w="1632" w:type="dxa"/>
            <w:vAlign w:val="center"/>
          </w:tcPr>
          <w:p w14:paraId="04E7053F">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采购代理机构</w:t>
            </w:r>
          </w:p>
        </w:tc>
        <w:tc>
          <w:tcPr>
            <w:tcW w:w="7818" w:type="dxa"/>
            <w:vAlign w:val="center"/>
          </w:tcPr>
          <w:p w14:paraId="3404BD12">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名  称</w:t>
            </w: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rPr>
              <w:t>陕西盛仕骄阳项目管理有限公司</w:t>
            </w:r>
          </w:p>
          <w:p w14:paraId="2431F8C5">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default" w:ascii="宋体" w:hAnsi="宋体" w:cs="宋体"/>
                <w:color w:val="auto"/>
                <w:sz w:val="24"/>
                <w:szCs w:val="24"/>
                <w:highlight w:val="none"/>
                <w:lang w:val="en-US"/>
              </w:rPr>
              <w:t>：</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西安市未央区凤城八路与渭滨路十字西北角水晶新天地6楼11603室</w:t>
            </w:r>
          </w:p>
          <w:p w14:paraId="19C51AD3">
            <w:pPr>
              <w:keepNext w:val="0"/>
              <w:keepLines w:val="0"/>
              <w:pageBreakBefore w:val="0"/>
              <w:kinsoku/>
              <w:wordWrap/>
              <w:overflowPunct/>
              <w:topLinePunct w:val="0"/>
              <w:bidi w:val="0"/>
              <w:snapToGrid/>
              <w:spacing w:line="420" w:lineRule="exact"/>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lang w:val="en-US" w:eastAsia="zh-CN"/>
              </w:rPr>
              <w:t>张双艳 王茹</w:t>
            </w:r>
          </w:p>
          <w:p w14:paraId="4C9EE6FD">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rPr>
              <w:t>029-89871668</w:t>
            </w:r>
          </w:p>
        </w:tc>
      </w:tr>
      <w:tr w14:paraId="139D8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66AA4BEF">
            <w:pPr>
              <w:pStyle w:val="120"/>
              <w:keepNext w:val="0"/>
              <w:keepLines w:val="0"/>
              <w:pageBreakBefore w:val="0"/>
              <w:kinsoku/>
              <w:wordWrap/>
              <w:overflowPunct/>
              <w:topLinePunct w:val="0"/>
              <w:bidi w:val="0"/>
              <w:snapToGrid/>
              <w:spacing w:line="420" w:lineRule="exact"/>
              <w:ind w:left="0" w:leftChars="0"/>
              <w:jc w:val="center"/>
              <w:textAlignment w:val="auto"/>
              <w:rPr>
                <w:color w:val="auto"/>
                <w:kern w:val="2"/>
                <w:highlight w:val="none"/>
              </w:rPr>
            </w:pPr>
            <w:r>
              <w:rPr>
                <w:rFonts w:hint="eastAsia"/>
                <w:color w:val="auto"/>
                <w:kern w:val="2"/>
                <w:highlight w:val="none"/>
              </w:rPr>
              <w:t>3</w:t>
            </w:r>
          </w:p>
        </w:tc>
        <w:tc>
          <w:tcPr>
            <w:tcW w:w="1632" w:type="dxa"/>
            <w:vAlign w:val="center"/>
          </w:tcPr>
          <w:p w14:paraId="7D05D908">
            <w:pPr>
              <w:pStyle w:val="120"/>
              <w:keepNext w:val="0"/>
              <w:keepLines w:val="0"/>
              <w:pageBreakBefore w:val="0"/>
              <w:kinsoku/>
              <w:wordWrap/>
              <w:overflowPunct/>
              <w:topLinePunct w:val="0"/>
              <w:bidi w:val="0"/>
              <w:snapToGrid/>
              <w:spacing w:line="420" w:lineRule="exact"/>
              <w:ind w:left="0" w:leftChars="0"/>
              <w:jc w:val="center"/>
              <w:textAlignment w:val="auto"/>
              <w:rPr>
                <w:color w:val="auto"/>
                <w:kern w:val="2"/>
                <w:highlight w:val="none"/>
              </w:rPr>
            </w:pPr>
            <w:r>
              <w:rPr>
                <w:rFonts w:hint="eastAsia"/>
                <w:color w:val="auto"/>
                <w:kern w:val="2"/>
                <w:highlight w:val="none"/>
              </w:rPr>
              <w:t>项目名称</w:t>
            </w:r>
          </w:p>
        </w:tc>
        <w:tc>
          <w:tcPr>
            <w:tcW w:w="7818" w:type="dxa"/>
            <w:vAlign w:val="center"/>
          </w:tcPr>
          <w:p w14:paraId="24EF40F8">
            <w:pPr>
              <w:keepNext w:val="0"/>
              <w:keepLines w:val="0"/>
              <w:pageBreakBefore w:val="0"/>
              <w:kinsoku/>
              <w:wordWrap/>
              <w:overflowPunct/>
              <w:topLinePunct w:val="0"/>
              <w:bidi w:val="0"/>
              <w:snapToGrid/>
              <w:spacing w:line="420" w:lineRule="exact"/>
              <w:ind w:left="0"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2025年中央水利发展资金泾阳县人畜集中供水及单村人畜供水安装在线计量监测项目（一期）</w:t>
            </w:r>
          </w:p>
        </w:tc>
      </w:tr>
      <w:tr w14:paraId="18B8A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11C57A66">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4</w:t>
            </w:r>
          </w:p>
        </w:tc>
        <w:tc>
          <w:tcPr>
            <w:tcW w:w="1632" w:type="dxa"/>
            <w:vAlign w:val="center"/>
          </w:tcPr>
          <w:p w14:paraId="4BFE8C93">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项目编号</w:t>
            </w:r>
          </w:p>
        </w:tc>
        <w:tc>
          <w:tcPr>
            <w:tcW w:w="7818" w:type="dxa"/>
            <w:vAlign w:val="center"/>
          </w:tcPr>
          <w:p w14:paraId="7A8BBD9C">
            <w:pPr>
              <w:keepNext w:val="0"/>
              <w:keepLines w:val="0"/>
              <w:pageBreakBefore w:val="0"/>
              <w:kinsoku/>
              <w:wordWrap/>
              <w:overflowPunct/>
              <w:topLinePunct w:val="0"/>
              <w:bidi w:val="0"/>
              <w:snapToGrid/>
              <w:spacing w:line="420" w:lineRule="exact"/>
              <w:ind w:left="0"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SSJY-CG（G）-2025020</w:t>
            </w:r>
          </w:p>
        </w:tc>
      </w:tr>
      <w:tr w14:paraId="0B20F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50DC7A73">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rPr>
              <w:t>5</w:t>
            </w:r>
          </w:p>
        </w:tc>
        <w:tc>
          <w:tcPr>
            <w:tcW w:w="1632" w:type="dxa"/>
            <w:vAlign w:val="center"/>
          </w:tcPr>
          <w:p w14:paraId="427DDCAA">
            <w:pPr>
              <w:pStyle w:val="120"/>
              <w:keepNext w:val="0"/>
              <w:keepLines w:val="0"/>
              <w:pageBreakBefore w:val="0"/>
              <w:kinsoku/>
              <w:wordWrap/>
              <w:overflowPunct/>
              <w:topLinePunct w:val="0"/>
              <w:bidi w:val="0"/>
              <w:snapToGrid/>
              <w:spacing w:line="420" w:lineRule="exact"/>
              <w:ind w:left="0" w:leftChars="0"/>
              <w:jc w:val="center"/>
              <w:textAlignment w:val="auto"/>
              <w:rPr>
                <w:color w:val="auto"/>
                <w:kern w:val="2"/>
                <w:highlight w:val="none"/>
              </w:rPr>
            </w:pPr>
            <w:r>
              <w:rPr>
                <w:rFonts w:hint="eastAsia"/>
                <w:color w:val="auto"/>
                <w:kern w:val="2"/>
                <w:highlight w:val="none"/>
              </w:rPr>
              <w:t>采购内容</w:t>
            </w:r>
          </w:p>
        </w:tc>
        <w:tc>
          <w:tcPr>
            <w:tcW w:w="7818" w:type="dxa"/>
            <w:vAlign w:val="center"/>
          </w:tcPr>
          <w:p w14:paraId="2BB31E9A">
            <w:pPr>
              <w:pStyle w:val="120"/>
              <w:keepNext w:val="0"/>
              <w:keepLines w:val="0"/>
              <w:pageBreakBefore w:val="0"/>
              <w:kinsoku/>
              <w:wordWrap/>
              <w:overflowPunct/>
              <w:topLinePunct w:val="0"/>
              <w:bidi w:val="0"/>
              <w:snapToGrid/>
              <w:spacing w:line="420" w:lineRule="exact"/>
              <w:ind w:left="0" w:leftChars="0"/>
              <w:textAlignment w:val="auto"/>
              <w:rPr>
                <w:color w:val="auto"/>
                <w:highlight w:val="none"/>
              </w:rPr>
            </w:pPr>
            <w:r>
              <w:rPr>
                <w:rFonts w:hint="eastAsia"/>
                <w:color w:val="auto"/>
                <w:highlight w:val="none"/>
                <w:lang w:eastAsia="zh-CN"/>
              </w:rPr>
              <w:t>维修改造项目，</w:t>
            </w:r>
            <w:r>
              <w:rPr>
                <w:rFonts w:hint="eastAsia"/>
                <w:color w:val="auto"/>
                <w:highlight w:val="none"/>
              </w:rPr>
              <w:t>内容详见</w:t>
            </w:r>
            <w:r>
              <w:rPr>
                <w:rFonts w:hint="eastAsia"/>
                <w:color w:val="auto"/>
                <w:highlight w:val="none"/>
                <w:lang w:val="en-US" w:eastAsia="zh-CN"/>
              </w:rPr>
              <w:t>采购</w:t>
            </w:r>
            <w:r>
              <w:rPr>
                <w:rFonts w:hint="eastAsia"/>
                <w:color w:val="auto"/>
                <w:highlight w:val="none"/>
              </w:rPr>
              <w:t>文件</w:t>
            </w:r>
            <w:r>
              <w:rPr>
                <w:rFonts w:hint="eastAsia"/>
                <w:color w:val="auto"/>
                <w:highlight w:val="none"/>
                <w:lang w:val="en-US" w:eastAsia="zh-CN"/>
              </w:rPr>
              <w:t>及工程量清单</w:t>
            </w:r>
            <w:r>
              <w:rPr>
                <w:rFonts w:hint="eastAsia"/>
                <w:color w:val="auto"/>
                <w:highlight w:val="none"/>
              </w:rPr>
              <w:t>。</w:t>
            </w:r>
          </w:p>
        </w:tc>
      </w:tr>
      <w:tr w14:paraId="39911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8" w:type="dxa"/>
            <w:vAlign w:val="center"/>
          </w:tcPr>
          <w:p w14:paraId="389385AA">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color w:val="auto"/>
                <w:highlight w:val="none"/>
              </w:rPr>
              <w:t>6</w:t>
            </w:r>
          </w:p>
        </w:tc>
        <w:tc>
          <w:tcPr>
            <w:tcW w:w="1632" w:type="dxa"/>
            <w:vAlign w:val="center"/>
          </w:tcPr>
          <w:p w14:paraId="2C38FC30">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color w:val="auto"/>
                <w:highlight w:val="none"/>
              </w:rPr>
              <w:t>采购预算</w:t>
            </w:r>
          </w:p>
        </w:tc>
        <w:tc>
          <w:tcPr>
            <w:tcW w:w="7818" w:type="dxa"/>
            <w:vAlign w:val="center"/>
          </w:tcPr>
          <w:p w14:paraId="38815D4C">
            <w:pPr>
              <w:pStyle w:val="120"/>
              <w:keepNext w:val="0"/>
              <w:keepLines w:val="0"/>
              <w:pageBreakBefore w:val="0"/>
              <w:kinsoku/>
              <w:wordWrap/>
              <w:overflowPunct/>
              <w:topLinePunct w:val="0"/>
              <w:bidi w:val="0"/>
              <w:snapToGrid/>
              <w:spacing w:line="420" w:lineRule="exact"/>
              <w:ind w:left="0" w:leftChars="0"/>
              <w:jc w:val="both"/>
              <w:textAlignment w:val="auto"/>
              <w:rPr>
                <w:rFonts w:hint="default" w:eastAsia="宋体"/>
                <w:color w:val="auto"/>
                <w:highlight w:val="none"/>
                <w:lang w:val="en-US" w:eastAsia="zh-CN"/>
              </w:rPr>
            </w:pPr>
            <w:r>
              <w:rPr>
                <w:rFonts w:hint="eastAsia" w:ascii="宋体" w:hAnsi="宋体" w:eastAsia="宋体" w:cs="宋体"/>
                <w:color w:val="auto"/>
                <w:kern w:val="0"/>
                <w:sz w:val="24"/>
                <w:szCs w:val="24"/>
                <w:highlight w:val="none"/>
                <w:lang w:val="en-US" w:eastAsia="zh-CN" w:bidi="ar"/>
              </w:rPr>
              <w:t>288,000.00</w:t>
            </w:r>
            <w:r>
              <w:rPr>
                <w:rFonts w:hint="eastAsia"/>
                <w:color w:val="auto"/>
                <w:highlight w:val="none"/>
                <w:lang w:val="en-US" w:eastAsia="zh-CN"/>
              </w:rPr>
              <w:t>元</w:t>
            </w:r>
          </w:p>
        </w:tc>
      </w:tr>
      <w:tr w14:paraId="63C29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2139F977">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color w:val="auto"/>
                <w:highlight w:val="none"/>
              </w:rPr>
              <w:t>7</w:t>
            </w:r>
          </w:p>
        </w:tc>
        <w:tc>
          <w:tcPr>
            <w:tcW w:w="1632" w:type="dxa"/>
            <w:vAlign w:val="center"/>
          </w:tcPr>
          <w:p w14:paraId="4B47BD5D">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color w:val="auto"/>
                <w:highlight w:val="none"/>
              </w:rPr>
              <w:t>最高限价</w:t>
            </w:r>
          </w:p>
        </w:tc>
        <w:tc>
          <w:tcPr>
            <w:tcW w:w="7818" w:type="dxa"/>
            <w:vAlign w:val="center"/>
          </w:tcPr>
          <w:p w14:paraId="20825D8E">
            <w:pPr>
              <w:pStyle w:val="120"/>
              <w:keepNext w:val="0"/>
              <w:keepLines w:val="0"/>
              <w:pageBreakBefore w:val="0"/>
              <w:kinsoku/>
              <w:wordWrap/>
              <w:overflowPunct/>
              <w:topLinePunct w:val="0"/>
              <w:bidi w:val="0"/>
              <w:snapToGrid/>
              <w:spacing w:line="420" w:lineRule="exact"/>
              <w:ind w:left="0" w:leftChars="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287,983.44</w:t>
            </w:r>
            <w:r>
              <w:rPr>
                <w:rFonts w:hint="eastAsia"/>
                <w:color w:val="auto"/>
                <w:highlight w:val="none"/>
                <w:lang w:val="en-US" w:eastAsia="zh-CN"/>
              </w:rPr>
              <w:t>元</w:t>
            </w:r>
          </w:p>
        </w:tc>
      </w:tr>
      <w:tr w14:paraId="096EA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3F4AD0D8">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color w:val="auto"/>
                <w:highlight w:val="none"/>
              </w:rPr>
              <w:t>8</w:t>
            </w:r>
          </w:p>
        </w:tc>
        <w:tc>
          <w:tcPr>
            <w:tcW w:w="1632" w:type="dxa"/>
            <w:vAlign w:val="center"/>
          </w:tcPr>
          <w:p w14:paraId="364DBDBB">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工期及施工地点</w:t>
            </w:r>
          </w:p>
        </w:tc>
        <w:tc>
          <w:tcPr>
            <w:tcW w:w="7818" w:type="dxa"/>
            <w:vAlign w:val="center"/>
          </w:tcPr>
          <w:p w14:paraId="2E57F5AF">
            <w:pPr>
              <w:pStyle w:val="120"/>
              <w:keepNext w:val="0"/>
              <w:keepLines w:val="0"/>
              <w:pageBreakBefore w:val="0"/>
              <w:kinsoku/>
              <w:wordWrap/>
              <w:overflowPunct/>
              <w:topLinePunct w:val="0"/>
              <w:bidi w:val="0"/>
              <w:snapToGrid/>
              <w:spacing w:line="420" w:lineRule="exact"/>
              <w:ind w:left="0" w:leftChars="0"/>
              <w:jc w:val="both"/>
              <w:textAlignment w:val="auto"/>
              <w:rPr>
                <w:rFonts w:hint="default"/>
                <w:color w:val="auto"/>
                <w:highlight w:val="none"/>
                <w:lang w:val="en-US" w:eastAsia="zh-CN"/>
              </w:rPr>
            </w:pPr>
            <w:r>
              <w:rPr>
                <w:rFonts w:hint="eastAsia"/>
                <w:color w:val="auto"/>
                <w:highlight w:val="none"/>
                <w:lang w:val="en-US" w:eastAsia="zh-CN"/>
              </w:rPr>
              <w:t>工期：自合同签订之日起60日历日。</w:t>
            </w:r>
          </w:p>
          <w:p w14:paraId="474650EB">
            <w:pPr>
              <w:pStyle w:val="120"/>
              <w:keepNext w:val="0"/>
              <w:keepLines w:val="0"/>
              <w:pageBreakBefore w:val="0"/>
              <w:kinsoku/>
              <w:wordWrap/>
              <w:overflowPunct/>
              <w:topLinePunct w:val="0"/>
              <w:bidi w:val="0"/>
              <w:snapToGrid/>
              <w:spacing w:line="420" w:lineRule="exact"/>
              <w:ind w:left="0" w:leftChars="0"/>
              <w:jc w:val="both"/>
              <w:textAlignment w:val="auto"/>
              <w:rPr>
                <w:rFonts w:hint="default"/>
                <w:color w:val="auto"/>
                <w:highlight w:val="none"/>
                <w:lang w:val="en-US" w:eastAsia="zh-CN"/>
              </w:rPr>
            </w:pPr>
            <w:r>
              <w:rPr>
                <w:rFonts w:hint="eastAsia"/>
                <w:color w:val="auto"/>
                <w:highlight w:val="none"/>
                <w:lang w:val="en-US" w:eastAsia="zh-CN"/>
              </w:rPr>
              <w:t>施工地点：采购人指定地点。</w:t>
            </w:r>
          </w:p>
        </w:tc>
      </w:tr>
      <w:tr w14:paraId="7F3FE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5203EC25">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color w:val="auto"/>
                <w:highlight w:val="none"/>
              </w:rPr>
              <w:t>9</w:t>
            </w:r>
          </w:p>
        </w:tc>
        <w:tc>
          <w:tcPr>
            <w:tcW w:w="1632" w:type="dxa"/>
            <w:vAlign w:val="center"/>
          </w:tcPr>
          <w:p w14:paraId="00C05E52">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质量要求、验收标准</w:t>
            </w:r>
          </w:p>
        </w:tc>
        <w:tc>
          <w:tcPr>
            <w:tcW w:w="7818" w:type="dxa"/>
            <w:vAlign w:val="center"/>
          </w:tcPr>
          <w:p w14:paraId="0AB1849E">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质量要求：达到国家现行技术标准。</w:t>
            </w:r>
          </w:p>
          <w:p w14:paraId="7B7B7DF4">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验收标准：国家标准、行业标准、企业标准。</w:t>
            </w:r>
          </w:p>
        </w:tc>
      </w:tr>
      <w:tr w14:paraId="58CA9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448C01D9">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color w:val="auto"/>
                <w:highlight w:val="none"/>
              </w:rPr>
              <w:t>10</w:t>
            </w:r>
          </w:p>
        </w:tc>
        <w:tc>
          <w:tcPr>
            <w:tcW w:w="1632" w:type="dxa"/>
            <w:vAlign w:val="center"/>
          </w:tcPr>
          <w:p w14:paraId="34E1CE57">
            <w:pPr>
              <w:keepNext w:val="0"/>
              <w:keepLines w:val="0"/>
              <w:pageBreakBefore w:val="0"/>
              <w:kinsoku/>
              <w:wordWrap/>
              <w:overflowPunct/>
              <w:topLinePunct w:val="0"/>
              <w:bidi w:val="0"/>
              <w:snapToGrid/>
              <w:spacing w:line="420" w:lineRule="exact"/>
              <w:ind w:left="0" w:leftChars="0"/>
              <w:jc w:val="center"/>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竞争性磋商文件</w:t>
            </w:r>
            <w:r>
              <w:rPr>
                <w:rFonts w:hint="eastAsia" w:ascii="宋体" w:hAnsi="宋体" w:cs="宋体"/>
                <w:color w:val="auto"/>
                <w:sz w:val="24"/>
                <w:szCs w:val="24"/>
                <w:highlight w:val="none"/>
              </w:rPr>
              <w:t>发售</w:t>
            </w:r>
          </w:p>
        </w:tc>
        <w:tc>
          <w:tcPr>
            <w:tcW w:w="7818" w:type="dxa"/>
            <w:vAlign w:val="center"/>
          </w:tcPr>
          <w:p w14:paraId="005470F4">
            <w:pPr>
              <w:pStyle w:val="127"/>
              <w:keepNext w:val="0"/>
              <w:keepLines w:val="0"/>
              <w:pageBreakBefore w:val="0"/>
              <w:kinsoku/>
              <w:wordWrap/>
              <w:overflowPunct/>
              <w:topLinePunct w:val="0"/>
              <w:bidi w:val="0"/>
              <w:snapToGrid/>
              <w:spacing w:line="420" w:lineRule="exact"/>
              <w:ind w:left="0" w:lef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发售时间：2025年06月18日至2025年06月25日（上午9：00-12:00，下午14:00-17:00）。</w:t>
            </w:r>
          </w:p>
          <w:p w14:paraId="27C3A50F">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发售地点：</w:t>
            </w:r>
            <w:r>
              <w:rPr>
                <w:rFonts w:hint="eastAsia" w:ascii="宋体" w:hAnsi="宋体" w:cs="宋体"/>
                <w:color w:val="auto"/>
                <w:sz w:val="24"/>
                <w:szCs w:val="24"/>
                <w:highlight w:val="none"/>
                <w:lang w:val="en-US" w:eastAsia="zh-CN"/>
              </w:rPr>
              <w:t>西安市未央区凤城八路与渭滨路十字西北角水晶新天地6楼11603室</w:t>
            </w:r>
          </w:p>
        </w:tc>
      </w:tr>
      <w:tr w14:paraId="5B39A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176CEE5B">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color w:val="auto"/>
                <w:highlight w:val="none"/>
              </w:rPr>
              <w:t>11</w:t>
            </w:r>
          </w:p>
        </w:tc>
        <w:tc>
          <w:tcPr>
            <w:tcW w:w="1632" w:type="dxa"/>
            <w:vAlign w:val="center"/>
          </w:tcPr>
          <w:p w14:paraId="5FA25636">
            <w:pPr>
              <w:pStyle w:val="120"/>
              <w:keepNext w:val="0"/>
              <w:keepLines w:val="0"/>
              <w:pageBreakBefore w:val="0"/>
              <w:kinsoku/>
              <w:wordWrap/>
              <w:overflowPunct/>
              <w:topLinePunct w:val="0"/>
              <w:bidi w:val="0"/>
              <w:snapToGrid/>
              <w:spacing w:line="420" w:lineRule="exact"/>
              <w:ind w:left="0" w:leftChars="0"/>
              <w:jc w:val="center"/>
              <w:textAlignment w:val="auto"/>
              <w:rPr>
                <w:rFonts w:hint="eastAsia" w:eastAsia="宋体"/>
                <w:color w:val="auto"/>
                <w:highlight w:val="none"/>
                <w:lang w:val="zh-CN" w:eastAsia="zh-CN"/>
              </w:rPr>
            </w:pPr>
            <w:r>
              <w:rPr>
                <w:rFonts w:hint="eastAsia"/>
                <w:color w:val="auto"/>
                <w:highlight w:val="none"/>
                <w:lang w:val="zh-CN" w:eastAsia="zh-CN"/>
              </w:rPr>
              <w:t>是否接受</w:t>
            </w:r>
            <w:r>
              <w:rPr>
                <w:rFonts w:hint="eastAsia"/>
                <w:color w:val="auto"/>
                <w:highlight w:val="none"/>
                <w:lang w:val="zh-CN"/>
              </w:rPr>
              <w:t>联合体</w:t>
            </w:r>
            <w:r>
              <w:rPr>
                <w:rFonts w:hint="eastAsia"/>
                <w:color w:val="auto"/>
                <w:highlight w:val="none"/>
                <w:lang w:val="en-US" w:eastAsia="zh-CN"/>
              </w:rPr>
              <w:t>磋商</w:t>
            </w:r>
          </w:p>
        </w:tc>
        <w:tc>
          <w:tcPr>
            <w:tcW w:w="7818" w:type="dxa"/>
            <w:vAlign w:val="center"/>
          </w:tcPr>
          <w:p w14:paraId="08A6F5B0">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sdt>
              <w:sdtPr>
                <w:rPr>
                  <w:rFonts w:hint="eastAsia"/>
                  <w:color w:val="auto"/>
                  <w:sz w:val="24"/>
                  <w:szCs w:val="24"/>
                  <w:highlight w:val="none"/>
                </w:rPr>
                <w:id w:val="2139916130"/>
                <w14:checkbox>
                  <w14:checked w14:val="0"/>
                  <w14:checkedState w14:val="2611" w14:font="MS Gothic"/>
                  <w14:uncheckedState w14:val="2610" w14:font="MS Gothic"/>
                </w14:checkbox>
              </w:sdtPr>
              <w:sdtEndPr>
                <w:rPr>
                  <w:rFonts w:hint="eastAsia"/>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color w:val="auto"/>
                <w:sz w:val="24"/>
                <w:szCs w:val="24"/>
                <w:highlight w:val="none"/>
              </w:rPr>
              <w:t xml:space="preserve">是  </w:t>
            </w:r>
            <w:sdt>
              <w:sdtPr>
                <w:rPr>
                  <w:rFonts w:hint="eastAsia"/>
                  <w:color w:val="auto"/>
                  <w:sz w:val="24"/>
                  <w:szCs w:val="24"/>
                  <w:highlight w:val="none"/>
                </w:rPr>
                <w:id w:val="-2072024220"/>
                <w14:checkbox>
                  <w14:checked w14:val="1"/>
                  <w14:checkedState w14:val="2611" w14:font="MS Gothic"/>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lang w:val="en-US" w:eastAsia="zh-CN"/>
                  </w:rPr>
                  <w:t>☑</w:t>
                </w:r>
              </w:sdtContent>
            </w:sdt>
            <w:r>
              <w:rPr>
                <w:rFonts w:hint="eastAsia"/>
                <w:color w:val="auto"/>
                <w:sz w:val="24"/>
                <w:szCs w:val="24"/>
                <w:highlight w:val="none"/>
              </w:rPr>
              <w:t>否</w:t>
            </w:r>
          </w:p>
        </w:tc>
      </w:tr>
      <w:tr w14:paraId="2EFFA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6B29922B">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12</w:t>
            </w:r>
          </w:p>
        </w:tc>
        <w:tc>
          <w:tcPr>
            <w:tcW w:w="1632" w:type="dxa"/>
            <w:vAlign w:val="center"/>
          </w:tcPr>
          <w:p w14:paraId="677D8622">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en-US" w:eastAsia="zh-CN"/>
              </w:rPr>
              <w:t>踏勘</w:t>
            </w:r>
            <w:r>
              <w:rPr>
                <w:rFonts w:hint="eastAsia"/>
                <w:color w:val="auto"/>
                <w:highlight w:val="none"/>
                <w:lang w:val="zh-CN"/>
              </w:rPr>
              <w:t>现场、标前答疑会</w:t>
            </w:r>
          </w:p>
        </w:tc>
        <w:tc>
          <w:tcPr>
            <w:tcW w:w="7818" w:type="dxa"/>
            <w:vAlign w:val="center"/>
          </w:tcPr>
          <w:p w14:paraId="7FBFC846">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不组织</w:t>
            </w:r>
          </w:p>
        </w:tc>
      </w:tr>
      <w:tr w14:paraId="78C77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7A628D5B">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13</w:t>
            </w:r>
          </w:p>
        </w:tc>
        <w:tc>
          <w:tcPr>
            <w:tcW w:w="1632" w:type="dxa"/>
            <w:vAlign w:val="center"/>
          </w:tcPr>
          <w:p w14:paraId="0221F4BA">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构成</w:t>
            </w:r>
            <w:r>
              <w:rPr>
                <w:rFonts w:hint="eastAsia"/>
                <w:color w:val="auto"/>
                <w:highlight w:val="none"/>
                <w:lang w:val="en-US" w:eastAsia="zh-CN"/>
              </w:rPr>
              <w:t>竞争性磋商文件</w:t>
            </w:r>
            <w:r>
              <w:rPr>
                <w:rFonts w:hint="eastAsia"/>
                <w:color w:val="auto"/>
                <w:highlight w:val="none"/>
                <w:lang w:val="zh-CN"/>
              </w:rPr>
              <w:t>的其他文件</w:t>
            </w:r>
          </w:p>
        </w:tc>
        <w:tc>
          <w:tcPr>
            <w:tcW w:w="7818" w:type="dxa"/>
            <w:vAlign w:val="center"/>
          </w:tcPr>
          <w:p w14:paraId="717E092B">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竞争性磋商文件</w:t>
            </w:r>
            <w:r>
              <w:rPr>
                <w:rFonts w:hint="eastAsia" w:ascii="宋体" w:hAnsi="宋体" w:eastAsia="宋体" w:cs="宋体"/>
                <w:color w:val="auto"/>
                <w:kern w:val="0"/>
                <w:sz w:val="24"/>
                <w:szCs w:val="24"/>
                <w:highlight w:val="none"/>
                <w:lang w:val="zh-CN" w:eastAsia="zh-CN" w:bidi="ar-SA"/>
              </w:rPr>
              <w:t>的澄清、修改书及有关补充通知为竞争性磋商文件的有效组成部分。</w:t>
            </w:r>
          </w:p>
        </w:tc>
      </w:tr>
      <w:tr w14:paraId="0FD80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7BCE97F4">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14</w:t>
            </w:r>
          </w:p>
        </w:tc>
        <w:tc>
          <w:tcPr>
            <w:tcW w:w="1632" w:type="dxa"/>
            <w:vAlign w:val="center"/>
          </w:tcPr>
          <w:p w14:paraId="32F790DE">
            <w:pPr>
              <w:pStyle w:val="127"/>
              <w:keepNext w:val="0"/>
              <w:keepLines w:val="0"/>
              <w:pageBreakBefore w:val="0"/>
              <w:kinsoku/>
              <w:wordWrap/>
              <w:overflowPunct/>
              <w:topLinePunct w:val="0"/>
              <w:bidi w:val="0"/>
              <w:snapToGrid/>
              <w:spacing w:line="420" w:lineRule="exact"/>
              <w:ind w:left="0" w:leftChars="0"/>
              <w:jc w:val="center"/>
              <w:textAlignment w:val="auto"/>
              <w:rPr>
                <w:rFonts w:ascii="宋体" w:hAnsi="宋体" w:cs="宋体"/>
                <w:color w:val="auto"/>
                <w:kern w:val="2"/>
                <w:szCs w:val="24"/>
                <w:highlight w:val="none"/>
              </w:rPr>
            </w:pPr>
            <w:r>
              <w:rPr>
                <w:rFonts w:hint="eastAsia"/>
                <w:color w:val="auto"/>
                <w:highlight w:val="none"/>
                <w:lang w:val="en-US" w:eastAsia="zh-CN"/>
              </w:rPr>
              <w:t>竞争性磋商响应</w:t>
            </w:r>
            <w:r>
              <w:rPr>
                <w:rFonts w:hint="eastAsia" w:ascii="宋体" w:hAnsi="宋体" w:cs="宋体"/>
                <w:color w:val="auto"/>
                <w:szCs w:val="24"/>
                <w:highlight w:val="none"/>
                <w:lang w:val="en-US" w:eastAsia="zh-CN"/>
              </w:rPr>
              <w:t>文件</w:t>
            </w:r>
            <w:r>
              <w:rPr>
                <w:rFonts w:hint="eastAsia" w:ascii="宋体" w:hAnsi="宋体" w:cs="宋体"/>
                <w:color w:val="auto"/>
                <w:szCs w:val="24"/>
                <w:highlight w:val="none"/>
              </w:rPr>
              <w:t>递交截止时间和地点</w:t>
            </w:r>
          </w:p>
        </w:tc>
        <w:tc>
          <w:tcPr>
            <w:tcW w:w="7818" w:type="dxa"/>
            <w:vAlign w:val="center"/>
          </w:tcPr>
          <w:p w14:paraId="27FBD13A">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响应文件</w:t>
            </w: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val="en-US" w:eastAsia="zh-CN"/>
              </w:rPr>
              <w:t>2025年07月02日14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30（北京时间）</w:t>
            </w:r>
          </w:p>
          <w:p w14:paraId="43DBDA6D">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时间：</w:t>
            </w:r>
            <w:r>
              <w:rPr>
                <w:rFonts w:hint="eastAsia" w:ascii="宋体" w:hAnsi="宋体" w:cs="宋体"/>
                <w:color w:val="auto"/>
                <w:sz w:val="24"/>
                <w:szCs w:val="24"/>
                <w:highlight w:val="none"/>
                <w:lang w:val="en-US" w:eastAsia="zh-CN"/>
              </w:rPr>
              <w:t>2025年07月02日14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30（北京时间）</w:t>
            </w:r>
          </w:p>
          <w:p w14:paraId="49F74CA1">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val="en-US" w:eastAsia="zh-CN"/>
              </w:rPr>
              <w:t>西安市未央区凤城八路与渭滨路十字西北角水晶新天地6楼11603室</w:t>
            </w:r>
          </w:p>
        </w:tc>
      </w:tr>
      <w:tr w14:paraId="4130E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5DB22F9E">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15</w:t>
            </w:r>
          </w:p>
        </w:tc>
        <w:tc>
          <w:tcPr>
            <w:tcW w:w="1632" w:type="dxa"/>
            <w:vAlign w:val="center"/>
          </w:tcPr>
          <w:p w14:paraId="02B42453">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en-US" w:eastAsia="zh-CN"/>
              </w:rPr>
              <w:t>磋商</w:t>
            </w:r>
            <w:r>
              <w:rPr>
                <w:rFonts w:hint="eastAsia"/>
                <w:color w:val="auto"/>
                <w:highlight w:val="none"/>
                <w:lang w:val="zh-CN"/>
              </w:rPr>
              <w:t>有效期</w:t>
            </w:r>
          </w:p>
        </w:tc>
        <w:tc>
          <w:tcPr>
            <w:tcW w:w="7818" w:type="dxa"/>
            <w:vAlign w:val="center"/>
          </w:tcPr>
          <w:p w14:paraId="3339546C">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从</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截止日起90日历天。</w:t>
            </w:r>
          </w:p>
        </w:tc>
      </w:tr>
      <w:tr w14:paraId="599DD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12BECA08">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kern w:val="2"/>
                <w:highlight w:val="none"/>
                <w:lang w:val="en-US" w:eastAsia="zh-CN"/>
              </w:rPr>
            </w:pPr>
            <w:r>
              <w:rPr>
                <w:rFonts w:hint="eastAsia"/>
                <w:color w:val="auto"/>
                <w:kern w:val="2"/>
                <w:highlight w:val="none"/>
                <w:lang w:val="en-US" w:eastAsia="zh-CN"/>
              </w:rPr>
              <w:t>16</w:t>
            </w:r>
          </w:p>
        </w:tc>
        <w:tc>
          <w:tcPr>
            <w:tcW w:w="1632" w:type="dxa"/>
            <w:vAlign w:val="center"/>
          </w:tcPr>
          <w:p w14:paraId="5CA0F576">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color w:val="auto"/>
                <w:highlight w:val="none"/>
                <w:lang w:val="zh-CN"/>
              </w:rPr>
              <w:t>签字盖章</w:t>
            </w:r>
          </w:p>
        </w:tc>
        <w:tc>
          <w:tcPr>
            <w:tcW w:w="7818" w:type="dxa"/>
            <w:vAlign w:val="center"/>
          </w:tcPr>
          <w:p w14:paraId="458EF2B8">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供应商必须按</w:t>
            </w:r>
            <w:r>
              <w:rPr>
                <w:rFonts w:hint="eastAsia" w:ascii="宋体" w:hAnsi="宋体" w:cs="宋体"/>
                <w:color w:val="auto"/>
                <w:sz w:val="24"/>
                <w:szCs w:val="24"/>
                <w:highlight w:val="none"/>
                <w:lang w:val="en-US" w:eastAsia="zh-CN"/>
              </w:rPr>
              <w:t>照竞争性磋商文件</w:t>
            </w:r>
            <w:r>
              <w:rPr>
                <w:rFonts w:hint="eastAsia" w:ascii="宋体" w:hAnsi="宋体" w:cs="宋体"/>
                <w:color w:val="auto"/>
                <w:sz w:val="24"/>
                <w:szCs w:val="24"/>
                <w:highlight w:val="none"/>
              </w:rPr>
              <w:t>的规定和要求签字、盖章。</w:t>
            </w:r>
          </w:p>
        </w:tc>
      </w:tr>
      <w:tr w14:paraId="4B441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176C0DAA">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17</w:t>
            </w:r>
          </w:p>
        </w:tc>
        <w:tc>
          <w:tcPr>
            <w:tcW w:w="1632" w:type="dxa"/>
            <w:vAlign w:val="center"/>
          </w:tcPr>
          <w:p w14:paraId="1E91A95B">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lang w:val="zh-CN"/>
              </w:rPr>
            </w:pPr>
            <w:r>
              <w:rPr>
                <w:rFonts w:hint="eastAsia" w:ascii="宋体" w:hAnsi="宋体" w:cs="宋体"/>
                <w:color w:val="auto"/>
                <w:sz w:val="24"/>
                <w:szCs w:val="24"/>
                <w:highlight w:val="none"/>
                <w:lang w:val="en-US" w:eastAsia="zh-CN"/>
              </w:rPr>
              <w:t>竞争性磋商响应文件</w:t>
            </w:r>
            <w:r>
              <w:rPr>
                <w:rFonts w:hint="eastAsia"/>
                <w:color w:val="auto"/>
                <w:highlight w:val="none"/>
                <w:lang w:val="zh-CN"/>
              </w:rPr>
              <w:t>的装订、数量</w:t>
            </w:r>
          </w:p>
        </w:tc>
        <w:tc>
          <w:tcPr>
            <w:tcW w:w="7818" w:type="dxa"/>
            <w:vAlign w:val="center"/>
          </w:tcPr>
          <w:p w14:paraId="04A1351E">
            <w:pPr>
              <w:keepNext w:val="0"/>
              <w:keepLines w:val="0"/>
              <w:pageBreakBefore w:val="0"/>
              <w:kinsoku/>
              <w:wordWrap/>
              <w:overflowPunct/>
              <w:topLinePunct w:val="0"/>
              <w:bidi w:val="0"/>
              <w:snapToGrid/>
              <w:spacing w:line="420" w:lineRule="exact"/>
              <w:ind w:left="0" w:leftChars="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竞争性磋商响应文件</w:t>
            </w:r>
            <w:r>
              <w:rPr>
                <w:rFonts w:hint="eastAsia" w:ascii="宋体" w:hAnsi="宋体" w:cs="宋体"/>
                <w:color w:val="auto"/>
                <w:sz w:val="24"/>
                <w:szCs w:val="24"/>
                <w:highlight w:val="none"/>
              </w:rPr>
              <w:t>一律采用书籍（胶装）方式装订。</w:t>
            </w:r>
            <w:r>
              <w:rPr>
                <w:rFonts w:hint="eastAsia" w:ascii="宋体" w:hAnsi="宋体" w:cs="宋体"/>
                <w:b/>
                <w:bCs/>
                <w:color w:val="auto"/>
                <w:sz w:val="24"/>
                <w:szCs w:val="24"/>
                <w:highlight w:val="none"/>
                <w:lang w:val="en-US" w:eastAsia="zh-CN"/>
              </w:rPr>
              <w:t>竞争性磋商响应文件</w:t>
            </w:r>
            <w:r>
              <w:rPr>
                <w:rFonts w:hint="eastAsia" w:ascii="宋体" w:hAnsi="宋体" w:cs="宋体"/>
                <w:b/>
                <w:bCs/>
                <w:color w:val="auto"/>
                <w:sz w:val="24"/>
                <w:szCs w:val="24"/>
                <w:highlight w:val="none"/>
              </w:rPr>
              <w:t>正本壹份、副本贰份，电子版贰份（采用U盘）。</w:t>
            </w:r>
            <w:r>
              <w:rPr>
                <w:rFonts w:hint="eastAsia" w:ascii="宋体" w:hAnsi="宋体" w:cs="宋体"/>
                <w:color w:val="auto"/>
                <w:sz w:val="24"/>
                <w:szCs w:val="24"/>
                <w:highlight w:val="none"/>
              </w:rPr>
              <w:t>供应商应将</w:t>
            </w:r>
            <w:r>
              <w:rPr>
                <w:rFonts w:hint="eastAsia" w:ascii="宋体" w:hAnsi="宋体" w:cs="宋体"/>
                <w:color w:val="auto"/>
                <w:sz w:val="24"/>
                <w:szCs w:val="24"/>
                <w:highlight w:val="none"/>
                <w:lang w:val="en-US" w:eastAsia="zh-CN"/>
              </w:rPr>
              <w:t>竞争性磋商响应文件</w:t>
            </w:r>
            <w:r>
              <w:rPr>
                <w:rFonts w:hint="eastAsia" w:ascii="宋体" w:hAnsi="宋体" w:cs="宋体"/>
                <w:color w:val="auto"/>
                <w:sz w:val="24"/>
                <w:szCs w:val="24"/>
                <w:highlight w:val="none"/>
              </w:rPr>
              <w:t>的正本、所有副本</w:t>
            </w:r>
            <w:r>
              <w:rPr>
                <w:rFonts w:hint="eastAsia" w:ascii="宋体" w:hAnsi="宋体" w:eastAsia="宋体" w:cs="宋体"/>
                <w:color w:val="auto"/>
                <w:sz w:val="24"/>
                <w:szCs w:val="24"/>
              </w:rPr>
              <w:t>（所有副本密封在一个密封袋内）</w:t>
            </w:r>
            <w:r>
              <w:rPr>
                <w:rFonts w:hint="eastAsia" w:ascii="宋体" w:hAnsi="宋体" w:cs="宋体"/>
                <w:color w:val="auto"/>
                <w:sz w:val="24"/>
                <w:szCs w:val="24"/>
                <w:highlight w:val="none"/>
              </w:rPr>
              <w:t>和电子版文件，用单独的封袋分别密封（封袋不得有破损），在封袋上标明“正本”、“副本”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“电子</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”字样，封袋封口处应加贴封条密封，并在封线处加盖公章（骑缝章）。</w:t>
            </w:r>
          </w:p>
          <w:p w14:paraId="6EA38B2B">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对未按</w:t>
            </w:r>
            <w:r>
              <w:rPr>
                <w:rFonts w:hint="eastAsia" w:ascii="宋体" w:hAnsi="宋体" w:cs="宋体"/>
                <w:b/>
                <w:color w:val="auto"/>
                <w:sz w:val="24"/>
                <w:szCs w:val="24"/>
                <w:highlight w:val="none"/>
                <w:lang w:val="en-US" w:eastAsia="zh-CN"/>
              </w:rPr>
              <w:t>竞争性磋商文件</w:t>
            </w:r>
            <w:r>
              <w:rPr>
                <w:rFonts w:hint="eastAsia" w:ascii="宋体" w:hAnsi="宋体" w:cs="宋体"/>
                <w:b/>
                <w:color w:val="auto"/>
                <w:sz w:val="24"/>
                <w:szCs w:val="24"/>
                <w:highlight w:val="none"/>
              </w:rPr>
              <w:t>要求方式装订和递交的</w:t>
            </w:r>
            <w:r>
              <w:rPr>
                <w:rFonts w:hint="eastAsia" w:ascii="宋体" w:hAnsi="宋体" w:cs="宋体"/>
                <w:b/>
                <w:color w:val="auto"/>
                <w:sz w:val="24"/>
                <w:szCs w:val="24"/>
                <w:highlight w:val="none"/>
                <w:lang w:val="en-US" w:eastAsia="zh-CN"/>
              </w:rPr>
              <w:t>竞争性磋商响应文件</w:t>
            </w:r>
            <w:r>
              <w:rPr>
                <w:rFonts w:hint="eastAsia" w:ascii="宋体" w:hAnsi="宋体" w:cs="宋体"/>
                <w:b/>
                <w:color w:val="auto"/>
                <w:sz w:val="24"/>
                <w:szCs w:val="24"/>
                <w:highlight w:val="none"/>
              </w:rPr>
              <w:t>，将作为无效文件处理。</w:t>
            </w:r>
          </w:p>
        </w:tc>
      </w:tr>
      <w:tr w14:paraId="10B97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6A83B6C4">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18</w:t>
            </w:r>
          </w:p>
        </w:tc>
        <w:tc>
          <w:tcPr>
            <w:tcW w:w="1632" w:type="dxa"/>
            <w:vAlign w:val="center"/>
          </w:tcPr>
          <w:p w14:paraId="27C7732A">
            <w:pPr>
              <w:keepNext w:val="0"/>
              <w:keepLines w:val="0"/>
              <w:pageBreakBefore w:val="0"/>
              <w:kinsoku/>
              <w:wordWrap/>
              <w:overflowPunct/>
              <w:topLinePunct w:val="0"/>
              <w:bidi w:val="0"/>
              <w:snapToGrid/>
              <w:spacing w:line="420" w:lineRule="exact"/>
              <w:ind w:left="0" w:leftChars="0"/>
              <w:jc w:val="center"/>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封套上写明</w:t>
            </w:r>
          </w:p>
        </w:tc>
        <w:tc>
          <w:tcPr>
            <w:tcW w:w="7818" w:type="dxa"/>
            <w:vAlign w:val="center"/>
          </w:tcPr>
          <w:p w14:paraId="03673B67">
            <w:pPr>
              <w:pStyle w:val="127"/>
              <w:keepNext w:val="0"/>
              <w:keepLines w:val="0"/>
              <w:pageBreakBefore w:val="0"/>
              <w:kinsoku/>
              <w:wordWrap/>
              <w:overflowPunct/>
              <w:topLinePunct w:val="0"/>
              <w:bidi w:val="0"/>
              <w:snapToGrid/>
              <w:spacing w:line="420" w:lineRule="exact"/>
              <w:ind w:left="0" w:leftChars="0"/>
              <w:jc w:val="both"/>
              <w:textAlignment w:val="auto"/>
              <w:rPr>
                <w:rFonts w:ascii="宋体" w:hAnsi="宋体" w:cs="宋体"/>
                <w:color w:val="auto"/>
                <w:szCs w:val="24"/>
                <w:highlight w:val="none"/>
              </w:rPr>
            </w:pPr>
            <w:r>
              <w:rPr>
                <w:rFonts w:hint="eastAsia" w:ascii="宋体" w:hAnsi="宋体" w:cs="宋体"/>
                <w:color w:val="auto"/>
                <w:szCs w:val="24"/>
                <w:highlight w:val="none"/>
              </w:rPr>
              <w:t>项目名称：</w:t>
            </w:r>
          </w:p>
          <w:p w14:paraId="7D973E04">
            <w:pPr>
              <w:pStyle w:val="127"/>
              <w:keepNext w:val="0"/>
              <w:keepLines w:val="0"/>
              <w:pageBreakBefore w:val="0"/>
              <w:kinsoku/>
              <w:wordWrap/>
              <w:overflowPunct/>
              <w:topLinePunct w:val="0"/>
              <w:bidi w:val="0"/>
              <w:snapToGrid/>
              <w:spacing w:line="420" w:lineRule="exact"/>
              <w:ind w:left="0" w:leftChars="0"/>
              <w:jc w:val="both"/>
              <w:textAlignment w:val="auto"/>
              <w:rPr>
                <w:rFonts w:ascii="宋体" w:hAnsi="宋体" w:cs="宋体"/>
                <w:color w:val="auto"/>
                <w:szCs w:val="24"/>
                <w:highlight w:val="none"/>
              </w:rPr>
            </w:pPr>
            <w:r>
              <w:rPr>
                <w:rFonts w:hint="eastAsia" w:ascii="宋体" w:hAnsi="宋体" w:cs="宋体"/>
                <w:color w:val="auto"/>
                <w:szCs w:val="24"/>
                <w:highlight w:val="none"/>
              </w:rPr>
              <w:t>项目编号：</w:t>
            </w:r>
          </w:p>
          <w:p w14:paraId="50396100">
            <w:pPr>
              <w:pStyle w:val="127"/>
              <w:keepNext w:val="0"/>
              <w:keepLines w:val="0"/>
              <w:pageBreakBefore w:val="0"/>
              <w:kinsoku/>
              <w:wordWrap/>
              <w:overflowPunct/>
              <w:topLinePunct w:val="0"/>
              <w:bidi w:val="0"/>
              <w:snapToGrid/>
              <w:spacing w:line="420" w:lineRule="exact"/>
              <w:ind w:left="0" w:leftChars="0"/>
              <w:jc w:val="both"/>
              <w:textAlignment w:val="auto"/>
              <w:rPr>
                <w:rFonts w:ascii="宋体" w:hAnsi="宋体" w:cs="宋体"/>
                <w:color w:val="auto"/>
                <w:szCs w:val="24"/>
                <w:highlight w:val="none"/>
              </w:rPr>
            </w:pPr>
            <w:r>
              <w:rPr>
                <w:rFonts w:hint="eastAsia" w:ascii="宋体" w:hAnsi="宋体" w:cs="宋体"/>
                <w:color w:val="auto"/>
                <w:szCs w:val="24"/>
                <w:highlight w:val="none"/>
              </w:rPr>
              <w:t>供应商名称：</w:t>
            </w:r>
          </w:p>
          <w:p w14:paraId="25B135C4">
            <w:pPr>
              <w:pStyle w:val="127"/>
              <w:keepNext w:val="0"/>
              <w:keepLines w:val="0"/>
              <w:pageBreakBefore w:val="0"/>
              <w:kinsoku/>
              <w:wordWrap/>
              <w:overflowPunct/>
              <w:topLinePunct w:val="0"/>
              <w:bidi w:val="0"/>
              <w:snapToGrid/>
              <w:spacing w:line="420" w:lineRule="exact"/>
              <w:ind w:left="0" w:leftChars="0"/>
              <w:jc w:val="both"/>
              <w:textAlignment w:val="auto"/>
              <w:rPr>
                <w:rFonts w:ascii="宋体" w:hAnsi="宋体" w:cs="宋体"/>
                <w:color w:val="auto"/>
                <w:szCs w:val="24"/>
                <w:highlight w:val="none"/>
              </w:rPr>
            </w:pPr>
            <w:r>
              <w:rPr>
                <w:rFonts w:hint="eastAsia" w:ascii="宋体" w:hAnsi="宋体" w:cs="宋体"/>
                <w:color w:val="auto"/>
                <w:szCs w:val="24"/>
                <w:highlight w:val="none"/>
                <w:lang w:val="en-US" w:eastAsia="zh-CN"/>
              </w:rPr>
              <w:t>竞争性磋商响应文件</w:t>
            </w:r>
            <w:r>
              <w:rPr>
                <w:rFonts w:hint="eastAsia" w:ascii="宋体" w:hAnsi="宋体" w:cs="宋体"/>
                <w:color w:val="auto"/>
                <w:szCs w:val="24"/>
                <w:highlight w:val="none"/>
              </w:rPr>
              <w:t>在202</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时</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分前“不得开启”字样</w:t>
            </w:r>
          </w:p>
        </w:tc>
      </w:tr>
      <w:tr w14:paraId="0A511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6C1E5E7F">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19</w:t>
            </w:r>
          </w:p>
        </w:tc>
        <w:tc>
          <w:tcPr>
            <w:tcW w:w="1632" w:type="dxa"/>
            <w:vAlign w:val="center"/>
          </w:tcPr>
          <w:p w14:paraId="52FC1780">
            <w:pPr>
              <w:keepNext w:val="0"/>
              <w:keepLines w:val="0"/>
              <w:pageBreakBefore w:val="0"/>
              <w:kinsoku/>
              <w:wordWrap/>
              <w:overflowPunct/>
              <w:topLinePunct w:val="0"/>
              <w:bidi w:val="0"/>
              <w:snapToGrid/>
              <w:spacing w:line="42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供应商资格要求</w:t>
            </w:r>
          </w:p>
        </w:tc>
        <w:tc>
          <w:tcPr>
            <w:tcW w:w="7818" w:type="dxa"/>
            <w:vAlign w:val="center"/>
          </w:tcPr>
          <w:p w14:paraId="72108112">
            <w:pPr>
              <w:pStyle w:val="32"/>
              <w:keepNext w:val="0"/>
              <w:keepLines w:val="0"/>
              <w:pageBreakBefore w:val="0"/>
              <w:kinsoku/>
              <w:wordWrap/>
              <w:overflowPunct/>
              <w:topLinePunct w:val="0"/>
              <w:bidi w:val="0"/>
              <w:snapToGrid/>
              <w:spacing w:before="0" w:beforeAutospacing="0" w:after="0" w:afterAutospacing="0" w:line="420" w:lineRule="exact"/>
              <w:ind w:left="0" w:leftChars="0"/>
              <w:textAlignment w:val="auto"/>
              <w:rPr>
                <w:rFonts w:hint="eastAsia" w:eastAsia="宋体" w:cs="Times New Roman"/>
                <w:b/>
                <w:bCs/>
                <w:color w:val="auto"/>
                <w:kern w:val="2"/>
                <w:highlight w:val="none"/>
                <w:lang w:eastAsia="zh-CN"/>
              </w:rPr>
            </w:pPr>
            <w:r>
              <w:rPr>
                <w:rFonts w:hint="eastAsia" w:cs="Times New Roman"/>
                <w:b/>
                <w:bCs/>
                <w:color w:val="auto"/>
                <w:kern w:val="2"/>
                <w:highlight w:val="none"/>
              </w:rPr>
              <w:t>1、满足《中华人民共和国政府采购法》第二十二条规定</w:t>
            </w:r>
            <w:r>
              <w:rPr>
                <w:rFonts w:hint="eastAsia" w:cs="Times New Roman"/>
                <w:b/>
                <w:bCs/>
                <w:color w:val="auto"/>
                <w:kern w:val="2"/>
                <w:highlight w:val="none"/>
                <w:lang w:eastAsia="zh-CN"/>
              </w:rPr>
              <w:t>：</w:t>
            </w:r>
          </w:p>
          <w:p w14:paraId="08CE8B92">
            <w:pPr>
              <w:pStyle w:val="16"/>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具有独立承担民事责任能力的法人、其他组织或自然人，并出具合法有效的营业执照或事业单位法人证书等国家规定的相关证明，自然人参与的提供其身份证明；</w:t>
            </w:r>
          </w:p>
          <w:p w14:paraId="7CB57F77">
            <w:pPr>
              <w:pStyle w:val="16"/>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CN" w:eastAsia="zh-CN"/>
              </w:rPr>
              <w:t>供应商须提供具有财务审计资质单位出具的202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6841AE25">
            <w:pPr>
              <w:pStyle w:val="16"/>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供应商须提供2024年7月至今任意一个月已缴纳完税凭证或税务机关开具的完税证明，依法免税或无须缴纳税收的供应商应提供相关文件证明； </w:t>
            </w:r>
          </w:p>
          <w:p w14:paraId="4E40A0E1">
            <w:pPr>
              <w:pStyle w:val="16"/>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供应商须提供2024年7月至今任意一个月已缴纳的社会保障资金缴存单据或社保机构开具的社会保险参保缴费情况证明，依法不需要缴纳社会保障资金的供应商应提供相关证明；</w:t>
            </w:r>
          </w:p>
          <w:p w14:paraId="24C6639F">
            <w:pPr>
              <w:pStyle w:val="16"/>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具备履行合同所必需的设备和专业技术能力的证明材料(由供应商根据项目需求提供说明材料或者承诺)；</w:t>
            </w:r>
          </w:p>
          <w:p w14:paraId="0E7D82AE">
            <w:pPr>
              <w:pStyle w:val="16"/>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提供参加政府采购活动前三年内在经营活动中没有重大违法记录的书面声明；</w:t>
            </w:r>
          </w:p>
          <w:p w14:paraId="30912EB3">
            <w:pPr>
              <w:pStyle w:val="32"/>
              <w:keepNext w:val="0"/>
              <w:keepLines w:val="0"/>
              <w:pageBreakBefore w:val="0"/>
              <w:kinsoku/>
              <w:wordWrap/>
              <w:overflowPunct/>
              <w:topLinePunct w:val="0"/>
              <w:bidi w:val="0"/>
              <w:snapToGrid/>
              <w:spacing w:before="0" w:beforeAutospacing="0" w:after="0" w:afterAutospacing="0" w:line="420" w:lineRule="exact"/>
              <w:ind w:left="0" w:leftChars="0"/>
              <w:textAlignment w:val="auto"/>
              <w:rPr>
                <w:rFonts w:hint="default" w:cs="Times New Roman"/>
                <w:b w:val="0"/>
                <w:bCs w:val="0"/>
                <w:color w:val="auto"/>
                <w:kern w:val="2"/>
                <w:highlight w:val="none"/>
                <w:lang w:val="en-US" w:eastAsia="zh-CN"/>
              </w:rPr>
            </w:pPr>
            <w:r>
              <w:rPr>
                <w:rFonts w:hint="eastAsia" w:cs="Times New Roman"/>
                <w:b/>
                <w:bCs/>
                <w:color w:val="auto"/>
                <w:kern w:val="2"/>
                <w:highlight w:val="none"/>
                <w:lang w:val="en-US" w:eastAsia="zh-CN"/>
              </w:rPr>
              <w:t>2、</w:t>
            </w:r>
            <w:r>
              <w:rPr>
                <w:rFonts w:hint="eastAsia" w:ascii="宋体" w:hAnsi="宋体" w:eastAsia="宋体" w:cs="宋体"/>
                <w:b/>
                <w:bCs/>
                <w:color w:val="auto"/>
                <w:sz w:val="24"/>
                <w:szCs w:val="24"/>
                <w:lang w:val="en-US" w:eastAsia="zh-CN"/>
              </w:rPr>
              <w:t>落实政府采购政策需满足的资格要求：</w:t>
            </w:r>
            <w:r>
              <w:rPr>
                <w:rFonts w:hint="eastAsia" w:ascii="宋体" w:hAnsi="宋体" w:eastAsia="宋体" w:cs="宋体"/>
                <w:b w:val="0"/>
                <w:bCs w:val="0"/>
                <w:color w:val="auto"/>
                <w:sz w:val="24"/>
                <w:szCs w:val="24"/>
                <w:lang w:val="en-US" w:eastAsia="zh-CN"/>
              </w:rPr>
              <w:t>本项目专门面向中小企业采购。</w:t>
            </w:r>
          </w:p>
          <w:p w14:paraId="1AA24228">
            <w:pPr>
              <w:pStyle w:val="32"/>
              <w:keepNext w:val="0"/>
              <w:keepLines w:val="0"/>
              <w:pageBreakBefore w:val="0"/>
              <w:kinsoku/>
              <w:wordWrap/>
              <w:overflowPunct/>
              <w:topLinePunct w:val="0"/>
              <w:bidi w:val="0"/>
              <w:snapToGrid/>
              <w:spacing w:before="0" w:beforeAutospacing="0" w:after="0" w:afterAutospacing="0" w:line="420" w:lineRule="exact"/>
              <w:ind w:left="0" w:leftChars="0"/>
              <w:textAlignment w:val="auto"/>
              <w:rPr>
                <w:rFonts w:hint="eastAsia" w:cs="Times New Roman"/>
                <w:color w:val="auto"/>
                <w:kern w:val="2"/>
                <w:highlight w:val="none"/>
              </w:rPr>
            </w:pPr>
            <w:r>
              <w:rPr>
                <w:rFonts w:hint="eastAsia" w:cs="Times New Roman"/>
                <w:b/>
                <w:bCs/>
                <w:color w:val="auto"/>
                <w:kern w:val="2"/>
                <w:highlight w:val="none"/>
                <w:lang w:val="en-US" w:eastAsia="zh-CN"/>
              </w:rPr>
              <w:t>3</w:t>
            </w:r>
            <w:r>
              <w:rPr>
                <w:rFonts w:hint="eastAsia" w:cs="Times New Roman"/>
                <w:b/>
                <w:bCs/>
                <w:color w:val="auto"/>
                <w:kern w:val="2"/>
                <w:highlight w:val="none"/>
              </w:rPr>
              <w:t>、本项目的特定资格要求：</w:t>
            </w:r>
          </w:p>
          <w:p w14:paraId="46320C5E">
            <w:pPr>
              <w:pStyle w:val="16"/>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授权合法的人员参加磋商全过程，其中法定代表人直接参加磋商的，须出具法定代表人身份证明、法人身份证原件及复印件；法定代表人授权代表参加磋商的，须出具法定代表人授权书、授权代表身份证原件及复印件；</w:t>
            </w:r>
          </w:p>
          <w:p w14:paraId="56A7F841">
            <w:pPr>
              <w:pStyle w:val="16"/>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供应商须具备建设部门颁发有效的水利水电工程施工总承包叁级（含叁级）以上资质，同时具备有效的安全生产许可证；</w:t>
            </w:r>
          </w:p>
          <w:p w14:paraId="21940A9A">
            <w:pPr>
              <w:pStyle w:val="16"/>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拟投入的项目经理须具备有效的水利水电工程专业贰级（含贰级）以上注册建造师执业资格和安全生产考核B证，且未担任其他在建工程项目（需提供企业书面承诺等证明材料）；</w:t>
            </w:r>
          </w:p>
          <w:p w14:paraId="51E5BA92">
            <w:pPr>
              <w:pStyle w:val="16"/>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112DEDF8">
            <w:pPr>
              <w:pStyle w:val="16"/>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与采购人存在利害关系可能影响采购公正性的单位，不得参加磋商、单位负责人为同一人或存在控股、管理关系的不同单位，不得参加同一标段磋商，否则，相关投标均无效；</w:t>
            </w:r>
          </w:p>
          <w:p w14:paraId="1A519BB4">
            <w:pPr>
              <w:pStyle w:val="16"/>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本项目不接受联合体磋商。</w:t>
            </w:r>
          </w:p>
          <w:p w14:paraId="33750BC9">
            <w:pPr>
              <w:pStyle w:val="32"/>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leftChars="0" w:firstLine="482" w:firstLineChars="200"/>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rPr>
              <w:t>以上为必备资质，缺一项或某项达不到要求，按无效文件处理。资格审查时以</w:t>
            </w:r>
            <w:r>
              <w:rPr>
                <w:rFonts w:hint="eastAsia" w:ascii="宋体" w:hAnsi="宋体" w:eastAsia="宋体" w:cs="宋体"/>
                <w:b/>
                <w:bCs/>
                <w:color w:val="auto"/>
                <w:sz w:val="24"/>
                <w:szCs w:val="24"/>
                <w:highlight w:val="none"/>
                <w:lang w:val="en-US" w:eastAsia="zh-CN"/>
              </w:rPr>
              <w:t>竞争性磋商响应文件</w:t>
            </w:r>
            <w:r>
              <w:rPr>
                <w:rFonts w:hint="eastAsia" w:ascii="宋体" w:hAnsi="宋体" w:eastAsia="宋体" w:cs="宋体"/>
                <w:b/>
                <w:bCs/>
                <w:color w:val="auto"/>
                <w:sz w:val="24"/>
                <w:szCs w:val="24"/>
                <w:highlight w:val="none"/>
              </w:rPr>
              <w:t>中所附证明材料为准，原件备查。</w:t>
            </w:r>
          </w:p>
          <w:p w14:paraId="3E0C7FB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未注明要求原件的资格证明文件，在</w:t>
            </w:r>
            <w:r>
              <w:rPr>
                <w:rFonts w:hint="eastAsia" w:ascii="宋体" w:hAnsi="宋体" w:cs="宋体"/>
                <w:b/>
                <w:bCs/>
                <w:color w:val="auto"/>
                <w:sz w:val="24"/>
                <w:szCs w:val="24"/>
                <w:highlight w:val="none"/>
                <w:lang w:val="en-US" w:eastAsia="zh-CN" w:bidi="ar"/>
              </w:rPr>
              <w:t>评审中</w:t>
            </w:r>
            <w:r>
              <w:rPr>
                <w:rFonts w:hint="eastAsia" w:ascii="宋体" w:hAnsi="宋体" w:eastAsia="宋体" w:cs="宋体"/>
                <w:b/>
                <w:bCs/>
                <w:color w:val="auto"/>
                <w:sz w:val="24"/>
                <w:szCs w:val="24"/>
                <w:highlight w:val="none"/>
                <w:lang w:bidi="ar"/>
              </w:rPr>
              <w:t>的任何时间，</w:t>
            </w:r>
            <w:r>
              <w:rPr>
                <w:rFonts w:hint="eastAsia" w:ascii="宋体" w:hAnsi="宋体" w:cs="宋体"/>
                <w:b/>
                <w:bCs/>
                <w:color w:val="auto"/>
                <w:sz w:val="24"/>
                <w:szCs w:val="24"/>
                <w:highlight w:val="none"/>
                <w:lang w:val="en-US" w:eastAsia="zh-CN" w:bidi="ar"/>
              </w:rPr>
              <w:t>磋商小组</w:t>
            </w:r>
            <w:r>
              <w:rPr>
                <w:rFonts w:hint="eastAsia" w:ascii="宋体" w:hAnsi="宋体" w:eastAsia="宋体" w:cs="宋体"/>
                <w:b/>
                <w:bCs/>
                <w:color w:val="auto"/>
                <w:sz w:val="24"/>
                <w:szCs w:val="24"/>
                <w:highlight w:val="none"/>
                <w:lang w:bidi="ar"/>
              </w:rPr>
              <w:t>都有权随时要求审查原件，如果不能按规定时间提供，按无效</w:t>
            </w:r>
            <w:r>
              <w:rPr>
                <w:rFonts w:hint="eastAsia" w:ascii="宋体" w:hAnsi="宋体" w:eastAsia="宋体" w:cs="宋体"/>
                <w:b/>
                <w:bCs/>
                <w:color w:val="auto"/>
                <w:sz w:val="24"/>
                <w:szCs w:val="24"/>
                <w:highlight w:val="none"/>
                <w:lang w:val="en-US" w:eastAsia="zh-CN" w:bidi="ar"/>
              </w:rPr>
              <w:t>投标</w:t>
            </w:r>
            <w:r>
              <w:rPr>
                <w:rFonts w:hint="eastAsia" w:ascii="宋体" w:hAnsi="宋体" w:eastAsia="宋体" w:cs="宋体"/>
                <w:b/>
                <w:bCs/>
                <w:color w:val="auto"/>
                <w:sz w:val="24"/>
                <w:szCs w:val="24"/>
                <w:highlight w:val="none"/>
                <w:lang w:bidi="ar"/>
              </w:rPr>
              <w:t>处理。</w:t>
            </w:r>
          </w:p>
          <w:p w14:paraId="0E0261F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14:paraId="4BD7E24D">
            <w:pPr>
              <w:pStyle w:val="32"/>
              <w:keepNext w:val="0"/>
              <w:keepLines w:val="0"/>
              <w:pageBreakBefore w:val="0"/>
              <w:widowControl/>
              <w:numPr>
                <w:ilvl w:val="0"/>
                <w:numId w:val="5"/>
              </w:numPr>
              <w:kinsoku/>
              <w:wordWrap/>
              <w:overflowPunct/>
              <w:topLinePunct w:val="0"/>
              <w:autoSpaceDE w:val="0"/>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分支机构参与投标时，响应文件中应附法人出具的授权书。法人只能授权一家分支机构参与投标，且不能与分支机构同时参与投标。分支机构须提供自己的资格要求证明文件。</w:t>
            </w:r>
          </w:p>
          <w:p w14:paraId="68BF4C2E">
            <w:pPr>
              <w:pStyle w:val="32"/>
              <w:keepNext w:val="0"/>
              <w:keepLines w:val="0"/>
              <w:pageBreakBefore w:val="0"/>
              <w:widowControl/>
              <w:numPr>
                <w:ilvl w:val="0"/>
                <w:numId w:val="5"/>
              </w:numPr>
              <w:kinsoku/>
              <w:wordWrap/>
              <w:overflowPunct/>
              <w:topLinePunct w:val="0"/>
              <w:autoSpaceDE w:val="0"/>
              <w:autoSpaceDN/>
              <w:bidi w:val="0"/>
              <w:adjustRightInd/>
              <w:snapToGrid/>
              <w:spacing w:before="0" w:beforeAutospacing="0" w:after="0" w:afterAutospacing="0" w:line="420" w:lineRule="exact"/>
              <w:ind w:left="0" w:leftChars="0" w:firstLine="480" w:firstLineChars="200"/>
              <w:textAlignment w:val="auto"/>
              <w:rPr>
                <w:rFonts w:hint="eastAsia"/>
                <w:color w:val="auto"/>
                <w:lang w:val="en-US" w:eastAsia="zh-CN"/>
              </w:rPr>
            </w:pPr>
            <w:r>
              <w:rPr>
                <w:rFonts w:hint="eastAsia" w:ascii="宋体" w:hAnsi="宋体" w:eastAsia="宋体" w:cs="宋体"/>
                <w:color w:val="auto"/>
                <w:kern w:val="2"/>
                <w:sz w:val="24"/>
                <w:szCs w:val="24"/>
              </w:rPr>
              <w:t xml:space="preserve">事业单位法人参与投标可不提供财务状况报告、社会保障资金缴纳证明及税收缴纳证明。 </w:t>
            </w:r>
          </w:p>
        </w:tc>
      </w:tr>
      <w:tr w14:paraId="049F5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22CF04A5">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20</w:t>
            </w:r>
          </w:p>
        </w:tc>
        <w:tc>
          <w:tcPr>
            <w:tcW w:w="1632" w:type="dxa"/>
            <w:vAlign w:val="center"/>
          </w:tcPr>
          <w:p w14:paraId="5D2B5BC8">
            <w:pPr>
              <w:keepNext w:val="0"/>
              <w:keepLines w:val="0"/>
              <w:pageBreakBefore w:val="0"/>
              <w:kinsoku/>
              <w:wordWrap/>
              <w:overflowPunct/>
              <w:topLinePunct w:val="0"/>
              <w:bidi w:val="0"/>
              <w:snapToGrid/>
              <w:spacing w:line="420" w:lineRule="exact"/>
              <w:ind w:left="0"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磋商保证金</w:t>
            </w:r>
          </w:p>
        </w:tc>
        <w:tc>
          <w:tcPr>
            <w:tcW w:w="7818" w:type="dxa"/>
            <w:vAlign w:val="center"/>
          </w:tcPr>
          <w:p w14:paraId="5586065F">
            <w:pPr>
              <w:keepNext w:val="0"/>
              <w:keepLines w:val="0"/>
              <w:pageBreakBefore w:val="0"/>
              <w:kinsoku/>
              <w:wordWrap/>
              <w:overflowPunct/>
              <w:topLinePunct w:val="0"/>
              <w:bidi w:val="0"/>
              <w:snapToGrid/>
              <w:spacing w:line="420" w:lineRule="exact"/>
              <w:ind w:left="0" w:leftChars="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本项目无</w:t>
            </w:r>
            <w:r>
              <w:rPr>
                <w:rFonts w:hint="eastAsia" w:ascii="宋体" w:hAnsi="宋体" w:cs="宋体"/>
                <w:color w:val="auto"/>
                <w:sz w:val="24"/>
                <w:szCs w:val="24"/>
                <w:highlight w:val="none"/>
                <w:lang w:val="en-US" w:eastAsia="zh-CN"/>
              </w:rPr>
              <w:t>磋商保证金</w:t>
            </w:r>
          </w:p>
        </w:tc>
      </w:tr>
      <w:tr w14:paraId="2A49B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7AEAEFF2">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21</w:t>
            </w:r>
          </w:p>
        </w:tc>
        <w:tc>
          <w:tcPr>
            <w:tcW w:w="1632" w:type="dxa"/>
            <w:vAlign w:val="center"/>
          </w:tcPr>
          <w:p w14:paraId="7639F75A">
            <w:pPr>
              <w:keepNext w:val="0"/>
              <w:keepLines w:val="0"/>
              <w:pageBreakBefore w:val="0"/>
              <w:kinsoku/>
              <w:wordWrap/>
              <w:overflowPunct/>
              <w:topLinePunct w:val="0"/>
              <w:bidi w:val="0"/>
              <w:snapToGrid/>
              <w:spacing w:line="420" w:lineRule="exact"/>
              <w:ind w:left="0" w:left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7818" w:type="dxa"/>
            <w:vAlign w:val="center"/>
          </w:tcPr>
          <w:p w14:paraId="019C63D3">
            <w:pPr>
              <w:keepNext w:val="0"/>
              <w:keepLines w:val="0"/>
              <w:pageBreakBefore w:val="0"/>
              <w:kinsoku/>
              <w:wordWrap/>
              <w:overflowPunct/>
              <w:topLinePunct w:val="0"/>
              <w:bidi w:val="0"/>
              <w:snapToGrid/>
              <w:spacing w:line="420" w:lineRule="exact"/>
              <w:ind w:left="0" w:leftChars="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本项目无履约保证金</w:t>
            </w:r>
          </w:p>
        </w:tc>
      </w:tr>
      <w:tr w14:paraId="27FC0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0F8F3F89">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22</w:t>
            </w:r>
          </w:p>
        </w:tc>
        <w:tc>
          <w:tcPr>
            <w:tcW w:w="1632" w:type="dxa"/>
            <w:vAlign w:val="center"/>
          </w:tcPr>
          <w:p w14:paraId="1995F406">
            <w:pPr>
              <w:keepNext w:val="0"/>
              <w:keepLines w:val="0"/>
              <w:pageBreakBefore w:val="0"/>
              <w:kinsoku/>
              <w:wordWrap/>
              <w:overflowPunct/>
              <w:topLinePunct w:val="0"/>
              <w:bidi w:val="0"/>
              <w:snapToGrid/>
              <w:spacing w:line="420" w:lineRule="exact"/>
              <w:ind w:left="0" w:lef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招标代理服务费</w:t>
            </w:r>
          </w:p>
        </w:tc>
        <w:tc>
          <w:tcPr>
            <w:tcW w:w="7818" w:type="dxa"/>
            <w:vAlign w:val="center"/>
          </w:tcPr>
          <w:p w14:paraId="6D73CCAE">
            <w:pPr>
              <w:keepNext w:val="0"/>
              <w:keepLines w:val="0"/>
              <w:pageBreakBefore w:val="0"/>
              <w:numPr>
                <w:ilvl w:val="0"/>
                <w:numId w:val="0"/>
              </w:numPr>
              <w:kinsoku/>
              <w:wordWrap/>
              <w:overflowPunct/>
              <w:topLinePunct w:val="0"/>
              <w:bidi w:val="0"/>
              <w:snapToGrid/>
              <w:spacing w:line="42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招标代理服务费</w:t>
            </w:r>
            <w:r>
              <w:rPr>
                <w:rFonts w:hint="eastAsia" w:ascii="宋体" w:hAnsi="宋体" w:cs="宋体"/>
                <w:color w:val="auto"/>
                <w:sz w:val="24"/>
                <w:szCs w:val="24"/>
                <w:highlight w:val="none"/>
                <w:lang w:val="en-US" w:eastAsia="zh-CN"/>
              </w:rPr>
              <w:t>由成交</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领取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eastAsia="zh-CN"/>
              </w:rPr>
              <w:t>通知书》</w:t>
            </w:r>
            <w:r>
              <w:rPr>
                <w:rFonts w:hint="eastAsia" w:ascii="宋体" w:hAnsi="宋体" w:cs="宋体"/>
                <w:color w:val="auto"/>
                <w:sz w:val="24"/>
                <w:szCs w:val="24"/>
                <w:highlight w:val="none"/>
              </w:rPr>
              <w:t>前，向采购代理机构缴纳招标代理服务费，一次性付清。</w:t>
            </w:r>
          </w:p>
          <w:p w14:paraId="48BD99D8">
            <w:pPr>
              <w:keepNext w:val="0"/>
              <w:keepLines w:val="0"/>
              <w:pageBreakBefore w:val="0"/>
              <w:numPr>
                <w:ilvl w:val="0"/>
                <w:numId w:val="0"/>
              </w:numPr>
              <w:kinsoku/>
              <w:wordWrap/>
              <w:overflowPunct/>
              <w:topLinePunct w:val="0"/>
              <w:bidi w:val="0"/>
              <w:snapToGrid/>
              <w:spacing w:line="420" w:lineRule="exact"/>
              <w:jc w:val="left"/>
              <w:textAlignment w:val="auto"/>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招标代理服务费依据国家计委计价格[2002]1980号《招标代理服务收费管理暂行办法》</w:t>
            </w:r>
            <w:r>
              <w:rPr>
                <w:rFonts w:hint="eastAsia" w:ascii="宋体" w:hAnsi="宋体" w:cs="宋体"/>
                <w:b w:val="0"/>
                <w:bCs w:val="0"/>
                <w:color w:val="auto"/>
                <w:sz w:val="24"/>
                <w:szCs w:val="24"/>
                <w:highlight w:val="none"/>
              </w:rPr>
              <w:t>和国家发展改革委员会办公厅颁发的《关于招标代理服务收费有关问题的通知》（发改办价格[2003]857号）规定标准</w:t>
            </w:r>
            <w:r>
              <w:rPr>
                <w:rFonts w:hint="eastAsia" w:ascii="宋体" w:hAnsi="宋体" w:cs="宋体"/>
                <w:b w:val="0"/>
                <w:bCs w:val="0"/>
                <w:color w:val="auto"/>
                <w:sz w:val="24"/>
                <w:szCs w:val="24"/>
                <w:highlight w:val="none"/>
                <w:lang w:val="en-US" w:eastAsia="zh-CN"/>
              </w:rPr>
              <w:t>收取，</w:t>
            </w:r>
            <w:r>
              <w:rPr>
                <w:rFonts w:hint="eastAsia" w:ascii="宋体" w:hAnsi="宋体" w:cs="宋体"/>
                <w:color w:val="auto"/>
                <w:sz w:val="24"/>
                <w:szCs w:val="24"/>
                <w:highlight w:val="none"/>
              </w:rPr>
              <w:t>招标代理服务费</w:t>
            </w:r>
            <w:r>
              <w:rPr>
                <w:rFonts w:hint="eastAsia" w:ascii="宋体" w:hAnsi="宋体" w:cs="宋体"/>
                <w:color w:val="auto"/>
                <w:sz w:val="24"/>
                <w:szCs w:val="24"/>
                <w:highlight w:val="none"/>
                <w:lang w:val="en-US" w:eastAsia="zh-CN"/>
              </w:rPr>
              <w:t>不足5000元的，按5000元收取</w:t>
            </w:r>
            <w:r>
              <w:rPr>
                <w:rFonts w:hint="eastAsia" w:ascii="宋体" w:hAnsi="宋体" w:cs="宋体"/>
                <w:b w:val="0"/>
                <w:bCs w:val="0"/>
                <w:color w:val="auto"/>
                <w:sz w:val="24"/>
                <w:szCs w:val="24"/>
                <w:highlight w:val="none"/>
                <w:lang w:val="en-US" w:eastAsia="zh-CN"/>
              </w:rPr>
              <w:t>。</w:t>
            </w:r>
          </w:p>
        </w:tc>
      </w:tr>
      <w:tr w14:paraId="4CA25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28" w:type="dxa"/>
            <w:vAlign w:val="center"/>
          </w:tcPr>
          <w:p w14:paraId="20646808">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23</w:t>
            </w:r>
          </w:p>
        </w:tc>
        <w:tc>
          <w:tcPr>
            <w:tcW w:w="1632" w:type="dxa"/>
            <w:vAlign w:val="center"/>
          </w:tcPr>
          <w:p w14:paraId="6E21932A">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color w:val="auto"/>
                <w:highlight w:val="none"/>
              </w:rPr>
              <w:t>知识产权</w:t>
            </w:r>
          </w:p>
        </w:tc>
        <w:tc>
          <w:tcPr>
            <w:tcW w:w="7818" w:type="dxa"/>
            <w:vAlign w:val="center"/>
          </w:tcPr>
          <w:p w14:paraId="2197E894">
            <w:pPr>
              <w:pStyle w:val="120"/>
              <w:keepNext w:val="0"/>
              <w:keepLines w:val="0"/>
              <w:pageBreakBefore w:val="0"/>
              <w:kinsoku/>
              <w:wordWrap/>
              <w:overflowPunct/>
              <w:topLinePunct w:val="0"/>
              <w:bidi w:val="0"/>
              <w:snapToGrid/>
              <w:spacing w:line="420" w:lineRule="exact"/>
              <w:ind w:left="0" w:leftChars="0"/>
              <w:jc w:val="both"/>
              <w:textAlignment w:val="auto"/>
              <w:rPr>
                <w:color w:val="auto"/>
                <w:highlight w:val="none"/>
              </w:rPr>
            </w:pPr>
            <w:r>
              <w:rPr>
                <w:rFonts w:hint="eastAsia"/>
                <w:color w:val="auto"/>
                <w:highlight w:val="none"/>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6D5CF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3E4BB98B">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shd w:val="clear" w:color="auto" w:fill="auto"/>
                <w:lang w:val="en-US" w:eastAsia="zh-CN"/>
              </w:rPr>
            </w:pPr>
            <w:r>
              <w:rPr>
                <w:rFonts w:hint="eastAsia"/>
                <w:color w:val="auto"/>
                <w:highlight w:val="none"/>
                <w:shd w:val="clear" w:color="auto" w:fill="auto"/>
                <w:lang w:val="en-US" w:eastAsia="zh-CN"/>
              </w:rPr>
              <w:t>24</w:t>
            </w:r>
          </w:p>
        </w:tc>
        <w:tc>
          <w:tcPr>
            <w:tcW w:w="1632" w:type="dxa"/>
            <w:vAlign w:val="center"/>
          </w:tcPr>
          <w:p w14:paraId="7DB02571">
            <w:pPr>
              <w:keepNext w:val="0"/>
              <w:keepLines w:val="0"/>
              <w:pageBreakBefore w:val="0"/>
              <w:kinsoku/>
              <w:wordWrap/>
              <w:overflowPunct/>
              <w:topLinePunct w:val="0"/>
              <w:bidi w:val="0"/>
              <w:snapToGrid/>
              <w:spacing w:line="420" w:lineRule="exact"/>
              <w:ind w:left="0" w:leftChars="0"/>
              <w:jc w:val="center"/>
              <w:textAlignment w:val="auto"/>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eastAsia="zh-CN"/>
              </w:rPr>
              <w:t>评</w:t>
            </w:r>
            <w:r>
              <w:rPr>
                <w:rFonts w:hint="eastAsia" w:ascii="宋体" w:hAnsi="宋体" w:cs="宋体"/>
                <w:color w:val="auto"/>
                <w:kern w:val="0"/>
                <w:sz w:val="24"/>
                <w:szCs w:val="24"/>
                <w:highlight w:val="none"/>
                <w:shd w:val="clear" w:color="auto" w:fill="auto"/>
                <w:lang w:val="en-US" w:eastAsia="zh-CN"/>
              </w:rPr>
              <w:t>审</w:t>
            </w:r>
            <w:r>
              <w:rPr>
                <w:rFonts w:hint="eastAsia" w:ascii="宋体" w:hAnsi="宋体" w:cs="宋体"/>
                <w:color w:val="auto"/>
                <w:kern w:val="0"/>
                <w:sz w:val="24"/>
                <w:szCs w:val="24"/>
                <w:highlight w:val="none"/>
                <w:shd w:val="clear" w:color="auto" w:fill="auto"/>
              </w:rPr>
              <w:t>方法</w:t>
            </w:r>
          </w:p>
        </w:tc>
        <w:tc>
          <w:tcPr>
            <w:tcW w:w="7818" w:type="dxa"/>
            <w:vAlign w:val="center"/>
          </w:tcPr>
          <w:p w14:paraId="69122A1E">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综合评分法（详见第四章）</w:t>
            </w:r>
          </w:p>
        </w:tc>
      </w:tr>
      <w:tr w14:paraId="68314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2A60224D">
            <w:pPr>
              <w:pStyle w:val="120"/>
              <w:keepNext w:val="0"/>
              <w:keepLines w:val="0"/>
              <w:pageBreakBefore w:val="0"/>
              <w:kinsoku/>
              <w:wordWrap/>
              <w:overflowPunct/>
              <w:topLinePunct w:val="0"/>
              <w:bidi w:val="0"/>
              <w:snapToGrid/>
              <w:spacing w:line="420" w:lineRule="exact"/>
              <w:ind w:left="0" w:leftChars="0"/>
              <w:jc w:val="center"/>
              <w:textAlignment w:val="auto"/>
              <w:rPr>
                <w:rFonts w:hint="eastAsia"/>
                <w:color w:val="auto"/>
                <w:highlight w:val="none"/>
                <w:lang w:val="en-US" w:eastAsia="zh-CN"/>
              </w:rPr>
            </w:pPr>
            <w:r>
              <w:rPr>
                <w:rFonts w:hint="eastAsia"/>
                <w:color w:val="auto"/>
                <w:highlight w:val="none"/>
                <w:shd w:val="clear" w:color="auto" w:fill="auto"/>
                <w:lang w:val="en-US" w:eastAsia="zh-CN"/>
              </w:rPr>
              <w:t>25</w:t>
            </w:r>
          </w:p>
        </w:tc>
        <w:tc>
          <w:tcPr>
            <w:tcW w:w="1632" w:type="dxa"/>
            <w:vAlign w:val="center"/>
          </w:tcPr>
          <w:p w14:paraId="08658539">
            <w:pPr>
              <w:pStyle w:val="120"/>
              <w:keepNext w:val="0"/>
              <w:keepLines w:val="0"/>
              <w:pageBreakBefore w:val="0"/>
              <w:kinsoku/>
              <w:wordWrap/>
              <w:overflowPunct/>
              <w:topLinePunct w:val="0"/>
              <w:bidi w:val="0"/>
              <w:snapToGrid/>
              <w:spacing w:line="420" w:lineRule="exact"/>
              <w:ind w:left="0" w:leftChars="0"/>
              <w:jc w:val="center"/>
              <w:textAlignment w:val="auto"/>
              <w:rPr>
                <w:rFonts w:hint="eastAsia" w:ascii="宋体" w:hAnsi="宋体" w:cs="宋体"/>
                <w:color w:val="auto"/>
                <w:sz w:val="24"/>
                <w:szCs w:val="24"/>
                <w:highlight w:val="none"/>
              </w:rPr>
            </w:pPr>
            <w:r>
              <w:rPr>
                <w:rFonts w:hint="eastAsia"/>
                <w:color w:val="auto"/>
                <w:highlight w:val="none"/>
                <w:shd w:val="clear" w:color="auto" w:fill="auto"/>
                <w:lang w:val="en-US" w:eastAsia="zh-CN"/>
              </w:rPr>
              <w:t>偏离</w:t>
            </w:r>
          </w:p>
        </w:tc>
        <w:tc>
          <w:tcPr>
            <w:tcW w:w="7818" w:type="dxa"/>
            <w:vAlign w:val="center"/>
          </w:tcPr>
          <w:p w14:paraId="1C61F33A">
            <w:pPr>
              <w:pStyle w:val="120"/>
              <w:keepNext w:val="0"/>
              <w:keepLines w:val="0"/>
              <w:pageBreakBefore w:val="0"/>
              <w:kinsoku/>
              <w:wordWrap/>
              <w:overflowPunct/>
              <w:topLinePunct w:val="0"/>
              <w:bidi w:val="0"/>
              <w:snapToGrid/>
              <w:spacing w:line="420" w:lineRule="exact"/>
              <w:ind w:left="0" w:leftChars="0"/>
              <w:jc w:val="both"/>
              <w:textAlignment w:val="auto"/>
              <w:rPr>
                <w:rFonts w:hint="eastAsia" w:ascii="宋体" w:hAnsi="宋体" w:cs="宋体"/>
                <w:color w:val="auto"/>
                <w:sz w:val="24"/>
                <w:szCs w:val="24"/>
                <w:highlight w:val="none"/>
              </w:rPr>
            </w:pPr>
            <w:r>
              <w:rPr>
                <w:rFonts w:hint="eastAsia"/>
                <w:color w:val="auto"/>
                <w:highlight w:val="none"/>
                <w:shd w:val="clear" w:color="auto" w:fill="auto"/>
                <w:lang w:val="en-US" w:eastAsia="zh-CN"/>
              </w:rPr>
              <w:t>本项目实质性条款包括但不限于工期、付款方式、质保期等不允许负偏离，否则视为无效响应文件。</w:t>
            </w:r>
          </w:p>
        </w:tc>
      </w:tr>
      <w:tr w14:paraId="0E9FF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6CDDE09F">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26</w:t>
            </w:r>
          </w:p>
        </w:tc>
        <w:tc>
          <w:tcPr>
            <w:tcW w:w="1632" w:type="dxa"/>
            <w:vAlign w:val="center"/>
          </w:tcPr>
          <w:p w14:paraId="2D234FBE">
            <w:pPr>
              <w:keepNext w:val="0"/>
              <w:keepLines w:val="0"/>
              <w:pageBreakBefore w:val="0"/>
              <w:kinsoku/>
              <w:wordWrap/>
              <w:overflowPunct/>
              <w:topLinePunct w:val="0"/>
              <w:bidi w:val="0"/>
              <w:snapToGrid/>
              <w:spacing w:line="420" w:lineRule="exact"/>
              <w:ind w:left="0" w:leftChars="0"/>
              <w:jc w:val="center"/>
              <w:textAlignment w:val="auto"/>
              <w:rPr>
                <w:rFonts w:ascii="宋体" w:hAnsi="宋体"/>
                <w:color w:val="auto"/>
                <w:sz w:val="24"/>
                <w:highlight w:val="none"/>
              </w:rPr>
            </w:pPr>
            <w:r>
              <w:rPr>
                <w:rFonts w:hint="eastAsia" w:ascii="宋体" w:hAnsi="宋体" w:cs="宋体"/>
                <w:color w:val="auto"/>
                <w:sz w:val="24"/>
                <w:szCs w:val="24"/>
                <w:highlight w:val="none"/>
              </w:rPr>
              <w:t>履约验收</w:t>
            </w:r>
          </w:p>
        </w:tc>
        <w:tc>
          <w:tcPr>
            <w:tcW w:w="7818" w:type="dxa"/>
            <w:vAlign w:val="center"/>
          </w:tcPr>
          <w:p w14:paraId="2906FBDE">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是否委托采购代理机构组织履约验收：</w:t>
            </w:r>
          </w:p>
          <w:p w14:paraId="7A6ECD96">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□是，验收费用由采购人/</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支付，费用标准按成交金额的5‰计算，不足5000元的，按5000元收取。</w:t>
            </w:r>
          </w:p>
          <w:p w14:paraId="0F5056B3">
            <w:pPr>
              <w:keepNext w:val="0"/>
              <w:keepLines w:val="0"/>
              <w:pageBreakBefore w:val="0"/>
              <w:kinsoku/>
              <w:wordWrap/>
              <w:overflowPunct/>
              <w:topLinePunct w:val="0"/>
              <w:bidi w:val="0"/>
              <w:snapToGrid/>
              <w:spacing w:line="420" w:lineRule="exact"/>
              <w:ind w:left="0" w:left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☑否。</w:t>
            </w:r>
          </w:p>
        </w:tc>
      </w:tr>
      <w:tr w14:paraId="764E5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0B4B9FF4">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lang w:val="en-US" w:eastAsia="zh-CN"/>
              </w:rPr>
              <w:t>27</w:t>
            </w:r>
          </w:p>
        </w:tc>
        <w:tc>
          <w:tcPr>
            <w:tcW w:w="1632" w:type="dxa"/>
            <w:vAlign w:val="center"/>
          </w:tcPr>
          <w:p w14:paraId="3981AB58">
            <w:pPr>
              <w:keepNext w:val="0"/>
              <w:keepLines w:val="0"/>
              <w:pageBreakBefore w:val="0"/>
              <w:kinsoku/>
              <w:wordWrap/>
              <w:overflowPunct/>
              <w:topLinePunct w:val="0"/>
              <w:bidi w:val="0"/>
              <w:snapToGrid/>
              <w:spacing w:line="420" w:lineRule="exact"/>
              <w:ind w:left="0" w:left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信用担保及信用融资</w:t>
            </w:r>
          </w:p>
        </w:tc>
        <w:tc>
          <w:tcPr>
            <w:tcW w:w="7818" w:type="dxa"/>
            <w:vAlign w:val="center"/>
          </w:tcPr>
          <w:p w14:paraId="3AA7BA4B">
            <w:pPr>
              <w:keepNext w:val="0"/>
              <w:keepLines w:val="0"/>
              <w:pageBreakBefore w:val="0"/>
              <w:kinsoku/>
              <w:wordWrap/>
              <w:overflowPunct/>
              <w:topLinePunct w:val="0"/>
              <w:bidi w:val="0"/>
              <w:snapToGrid/>
              <w:spacing w:line="420" w:lineRule="exact"/>
              <w:ind w:left="0" w:leftChars="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53C3F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20402F10">
            <w:pPr>
              <w:pStyle w:val="120"/>
              <w:keepNext w:val="0"/>
              <w:keepLines w:val="0"/>
              <w:pageBreakBefore w:val="0"/>
              <w:kinsoku/>
              <w:wordWrap/>
              <w:overflowPunct/>
              <w:topLinePunct w:val="0"/>
              <w:bidi w:val="0"/>
              <w:snapToGrid/>
              <w:spacing w:line="420" w:lineRule="exact"/>
              <w:ind w:left="0" w:leftChars="0"/>
              <w:jc w:val="center"/>
              <w:textAlignment w:val="auto"/>
              <w:rPr>
                <w:rFonts w:hint="default" w:eastAsia="宋体"/>
                <w:color w:val="auto"/>
                <w:highlight w:val="none"/>
                <w:lang w:val="en-US" w:eastAsia="zh-CN"/>
              </w:rPr>
            </w:pPr>
            <w:r>
              <w:rPr>
                <w:rFonts w:hint="eastAsia"/>
                <w:color w:val="auto"/>
                <w:highlight w:val="none"/>
              </w:rPr>
              <w:t>2</w:t>
            </w:r>
            <w:r>
              <w:rPr>
                <w:rFonts w:hint="eastAsia"/>
                <w:color w:val="auto"/>
                <w:highlight w:val="none"/>
                <w:lang w:val="en-US" w:eastAsia="zh-CN"/>
              </w:rPr>
              <w:t>8</w:t>
            </w:r>
          </w:p>
        </w:tc>
        <w:tc>
          <w:tcPr>
            <w:tcW w:w="1632" w:type="dxa"/>
            <w:vAlign w:val="center"/>
          </w:tcPr>
          <w:p w14:paraId="6A637401">
            <w:pPr>
              <w:pStyle w:val="120"/>
              <w:keepNext w:val="0"/>
              <w:keepLines w:val="0"/>
              <w:pageBreakBefore w:val="0"/>
              <w:kinsoku/>
              <w:wordWrap/>
              <w:overflowPunct/>
              <w:topLinePunct w:val="0"/>
              <w:bidi w:val="0"/>
              <w:snapToGrid/>
              <w:spacing w:line="420" w:lineRule="exact"/>
              <w:ind w:left="0" w:leftChars="0"/>
              <w:jc w:val="center"/>
              <w:textAlignment w:val="auto"/>
              <w:rPr>
                <w:color w:val="auto"/>
                <w:highlight w:val="none"/>
              </w:rPr>
            </w:pPr>
            <w:r>
              <w:rPr>
                <w:rFonts w:hint="eastAsia" w:ascii="宋体" w:hAnsi="宋体" w:eastAsia="宋体" w:cs="宋体"/>
                <w:color w:val="auto"/>
                <w:kern w:val="2"/>
                <w:sz w:val="24"/>
                <w:szCs w:val="24"/>
                <w:highlight w:val="none"/>
                <w:lang w:val="en-US" w:eastAsia="zh-CN"/>
              </w:rPr>
              <w:t>企业规模划分及项目属性</w:t>
            </w:r>
          </w:p>
        </w:tc>
        <w:tc>
          <w:tcPr>
            <w:tcW w:w="7818" w:type="dxa"/>
            <w:vAlign w:val="center"/>
          </w:tcPr>
          <w:p w14:paraId="30EF88D1">
            <w:pPr>
              <w:pStyle w:val="120"/>
              <w:keepNext w:val="0"/>
              <w:keepLines w:val="0"/>
              <w:pageBreakBefore w:val="0"/>
              <w:numPr>
                <w:ilvl w:val="0"/>
                <w:numId w:val="0"/>
              </w:numPr>
              <w:kinsoku/>
              <w:wordWrap/>
              <w:overflowPunct/>
              <w:topLinePunct w:val="0"/>
              <w:bidi w:val="0"/>
              <w:snapToGrid/>
              <w:spacing w:line="420" w:lineRule="exact"/>
              <w:jc w:val="both"/>
              <w:textAlignment w:val="auto"/>
              <w:rPr>
                <w:rFonts w:hint="default"/>
                <w:color w:val="auto"/>
                <w:kern w:val="2"/>
                <w:highlight w:val="none"/>
                <w:lang w:val="en-US"/>
              </w:rPr>
            </w:pPr>
            <w:r>
              <w:rPr>
                <w:rFonts w:hint="eastAsia" w:cs="宋体"/>
                <w:color w:val="auto"/>
                <w:kern w:val="2"/>
                <w:sz w:val="24"/>
                <w:szCs w:val="24"/>
                <w:highlight w:val="none"/>
                <w:lang w:val="en-US" w:eastAsia="zh-CN"/>
              </w:rPr>
              <w:t>1、企业规模划分：企业规模划分标准参照“关于印发中小企业划型标准规定的通知(工信部联企业(2011)300号)”中</w:t>
            </w:r>
            <w:r>
              <w:rPr>
                <w:rFonts w:hint="eastAsia" w:cs="宋体"/>
                <w:b/>
                <w:bCs/>
                <w:color w:val="auto"/>
                <w:kern w:val="2"/>
                <w:sz w:val="24"/>
                <w:szCs w:val="24"/>
                <w:highlight w:val="none"/>
                <w:lang w:val="en-US" w:eastAsia="zh-CN"/>
              </w:rPr>
              <w:t>“建筑业”</w:t>
            </w:r>
            <w:r>
              <w:rPr>
                <w:rFonts w:hint="eastAsia" w:cs="宋体"/>
                <w:b w:val="0"/>
                <w:bCs w:val="0"/>
                <w:color w:val="auto"/>
                <w:kern w:val="2"/>
                <w:sz w:val="24"/>
                <w:szCs w:val="24"/>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1C261A">
            <w:pPr>
              <w:pStyle w:val="120"/>
              <w:keepNext w:val="0"/>
              <w:keepLines w:val="0"/>
              <w:pageBreakBefore w:val="0"/>
              <w:numPr>
                <w:ilvl w:val="0"/>
                <w:numId w:val="0"/>
              </w:numPr>
              <w:kinsoku/>
              <w:wordWrap/>
              <w:overflowPunct/>
              <w:topLinePunct w:val="0"/>
              <w:bidi w:val="0"/>
              <w:snapToGrid/>
              <w:spacing w:line="420" w:lineRule="exact"/>
              <w:ind w:left="0" w:leftChars="0"/>
              <w:jc w:val="both"/>
              <w:textAlignment w:val="auto"/>
              <w:rPr>
                <w:rFonts w:hint="eastAsia"/>
                <w:color w:val="auto"/>
                <w:kern w:val="2"/>
                <w:highlight w:val="none"/>
                <w:lang w:val="en-US" w:eastAsia="zh-CN"/>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w:t>
            </w:r>
            <w:r>
              <w:rPr>
                <w:rFonts w:hint="eastAsia"/>
                <w:color w:val="auto"/>
                <w:kern w:val="2"/>
                <w:highlight w:val="none"/>
              </w:rPr>
              <w:t>本项目属性</w:t>
            </w:r>
            <w:r>
              <w:rPr>
                <w:rFonts w:hint="eastAsia"/>
                <w:color w:val="auto"/>
                <w:kern w:val="2"/>
                <w:highlight w:val="none"/>
                <w:lang w:eastAsia="zh-CN"/>
              </w:rPr>
              <w:t>：</w:t>
            </w:r>
            <w:r>
              <w:rPr>
                <w:rFonts w:hint="eastAsia"/>
                <w:color w:val="auto"/>
                <w:kern w:val="2"/>
                <w:highlight w:val="none"/>
                <w:lang w:val="en-US" w:eastAsia="zh-CN"/>
              </w:rPr>
              <w:t>工程。</w:t>
            </w:r>
          </w:p>
        </w:tc>
      </w:tr>
      <w:tr w14:paraId="22696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8" w:type="dxa"/>
            <w:vAlign w:val="center"/>
          </w:tcPr>
          <w:p w14:paraId="1E57626D">
            <w:pPr>
              <w:pStyle w:val="120"/>
              <w:keepNext w:val="0"/>
              <w:keepLines w:val="0"/>
              <w:pageBreakBefore w:val="0"/>
              <w:kinsoku/>
              <w:wordWrap/>
              <w:overflowPunct/>
              <w:topLinePunct w:val="0"/>
              <w:bidi w:val="0"/>
              <w:snapToGrid/>
              <w:spacing w:line="420" w:lineRule="exact"/>
              <w:ind w:left="0" w:leftChars="0"/>
              <w:jc w:val="center"/>
              <w:textAlignment w:val="auto"/>
              <w:rPr>
                <w:rFonts w:hint="default" w:ascii="宋体" w:hAnsi="宋体" w:eastAsia="宋体" w:cs="宋体"/>
                <w:color w:val="auto"/>
                <w:sz w:val="24"/>
                <w:szCs w:val="24"/>
                <w:highlight w:val="none"/>
                <w:lang w:val="en-US" w:eastAsia="zh-CN"/>
              </w:rPr>
            </w:pPr>
            <w:r>
              <w:rPr>
                <w:rFonts w:hint="eastAsia"/>
                <w:color w:val="auto"/>
                <w:highlight w:val="none"/>
                <w:lang w:val="en-US" w:eastAsia="zh-CN"/>
              </w:rPr>
              <w:t>29</w:t>
            </w:r>
          </w:p>
        </w:tc>
        <w:tc>
          <w:tcPr>
            <w:tcW w:w="1632" w:type="dxa"/>
            <w:vAlign w:val="center"/>
          </w:tcPr>
          <w:p w14:paraId="0980A012">
            <w:pPr>
              <w:pStyle w:val="120"/>
              <w:keepNext w:val="0"/>
              <w:keepLines w:val="0"/>
              <w:pageBreakBefore w:val="0"/>
              <w:kinsoku/>
              <w:wordWrap/>
              <w:overflowPunct/>
              <w:topLinePunct w:val="0"/>
              <w:bidi w:val="0"/>
              <w:snapToGrid/>
              <w:spacing w:line="420" w:lineRule="exact"/>
              <w:ind w:left="0" w:leftChars="0"/>
              <w:jc w:val="center"/>
              <w:textAlignment w:val="auto"/>
              <w:rPr>
                <w:rFonts w:hint="eastAsia" w:ascii="宋体" w:hAnsi="宋体" w:eastAsia="宋体" w:cs="宋体"/>
                <w:b/>
                <w:bCs/>
                <w:color w:val="auto"/>
                <w:highlight w:val="none"/>
                <w:lang w:val="en-US" w:eastAsia="zh-CN"/>
              </w:rPr>
            </w:pPr>
            <w:r>
              <w:rPr>
                <w:rFonts w:hint="eastAsia"/>
                <w:color w:val="auto"/>
                <w:highlight w:val="none"/>
                <w:lang w:val="en-US" w:eastAsia="zh-CN"/>
              </w:rPr>
              <w:t>竞争性磋商响应</w:t>
            </w:r>
            <w:r>
              <w:rPr>
                <w:rFonts w:hint="eastAsia"/>
                <w:color w:val="auto"/>
                <w:highlight w:val="none"/>
                <w:lang w:eastAsia="zh-CN"/>
              </w:rPr>
              <w:t>文件</w:t>
            </w:r>
            <w:r>
              <w:rPr>
                <w:rFonts w:hint="eastAsia"/>
                <w:color w:val="auto"/>
                <w:highlight w:val="none"/>
              </w:rPr>
              <w:t>和证明资料签字、盖章要求</w:t>
            </w:r>
          </w:p>
        </w:tc>
        <w:tc>
          <w:tcPr>
            <w:tcW w:w="7818" w:type="dxa"/>
            <w:vAlign w:val="center"/>
          </w:tcPr>
          <w:p w14:paraId="40F4CC83">
            <w:pPr>
              <w:pStyle w:val="120"/>
              <w:keepNext w:val="0"/>
              <w:keepLines w:val="0"/>
              <w:pageBreakBefore w:val="0"/>
              <w:numPr>
                <w:ilvl w:val="0"/>
                <w:numId w:val="0"/>
              </w:numPr>
              <w:kinsoku/>
              <w:wordWrap/>
              <w:overflowPunct/>
              <w:topLinePunct w:val="0"/>
              <w:bidi w:val="0"/>
              <w:snapToGrid/>
              <w:spacing w:line="420" w:lineRule="exact"/>
              <w:ind w:left="0" w:leftChars="0"/>
              <w:jc w:val="both"/>
              <w:textAlignment w:val="auto"/>
              <w:rPr>
                <w:rFonts w:hint="eastAsia" w:ascii="宋体" w:hAnsi="宋体" w:eastAsia="宋体" w:cs="宋体"/>
                <w:b w:val="0"/>
                <w:bCs w:val="0"/>
                <w:color w:val="auto"/>
                <w:kern w:val="2"/>
                <w:highlight w:val="none"/>
                <w:lang w:val="en-US" w:eastAsia="zh-CN"/>
              </w:rPr>
            </w:pPr>
            <w:r>
              <w:rPr>
                <w:rFonts w:hint="eastAsia" w:ascii="宋体" w:hAnsi="宋体" w:eastAsia="宋体" w:cs="宋体"/>
                <w:b w:val="0"/>
                <w:bCs w:val="0"/>
                <w:color w:val="auto"/>
                <w:kern w:val="2"/>
                <w:highlight w:val="none"/>
                <w:lang w:val="en-US" w:eastAsia="zh-CN"/>
              </w:rPr>
              <w:t>1.按第</w:t>
            </w:r>
            <w:r>
              <w:rPr>
                <w:rFonts w:hint="eastAsia" w:cs="宋体"/>
                <w:b w:val="0"/>
                <w:bCs w:val="0"/>
                <w:color w:val="auto"/>
                <w:kern w:val="2"/>
                <w:highlight w:val="none"/>
                <w:lang w:val="en-US" w:eastAsia="zh-CN"/>
              </w:rPr>
              <w:t>七</w:t>
            </w:r>
            <w:r>
              <w:rPr>
                <w:rFonts w:hint="eastAsia" w:ascii="宋体" w:hAnsi="宋体" w:eastAsia="宋体" w:cs="宋体"/>
                <w:b w:val="0"/>
                <w:bCs w:val="0"/>
                <w:color w:val="auto"/>
                <w:kern w:val="2"/>
                <w:highlight w:val="none"/>
                <w:lang w:val="en-US" w:eastAsia="zh-CN"/>
              </w:rPr>
              <w:t>章竞争性磋商响应文件格式中要求签字和盖章；</w:t>
            </w:r>
          </w:p>
          <w:p w14:paraId="7F9867C9">
            <w:pPr>
              <w:pStyle w:val="120"/>
              <w:keepNext w:val="0"/>
              <w:keepLines w:val="0"/>
              <w:pageBreakBefore w:val="0"/>
              <w:numPr>
                <w:ilvl w:val="0"/>
                <w:numId w:val="0"/>
              </w:numPr>
              <w:kinsoku/>
              <w:wordWrap/>
              <w:overflowPunct/>
              <w:topLinePunct w:val="0"/>
              <w:bidi w:val="0"/>
              <w:snapToGrid/>
              <w:spacing w:line="420" w:lineRule="exact"/>
              <w:ind w:left="0" w:leftChars="0" w:firstLine="0" w:firstLineChars="0"/>
              <w:jc w:val="both"/>
              <w:textAlignment w:val="auto"/>
              <w:rPr>
                <w:rFonts w:hint="eastAsia" w:ascii="宋体" w:hAnsi="宋体" w:eastAsia="宋体" w:cs="宋体"/>
                <w:b w:val="0"/>
                <w:bCs w:val="0"/>
                <w:color w:val="auto"/>
                <w:kern w:val="2"/>
                <w:highlight w:val="none"/>
                <w:lang w:val="en-US" w:eastAsia="zh-CN"/>
              </w:rPr>
            </w:pPr>
            <w:r>
              <w:rPr>
                <w:rFonts w:hint="eastAsia" w:ascii="宋体" w:hAnsi="宋体" w:eastAsia="宋体" w:cs="宋体"/>
                <w:b w:val="0"/>
                <w:bCs w:val="0"/>
                <w:color w:val="auto"/>
                <w:kern w:val="2"/>
                <w:highlight w:val="none"/>
                <w:lang w:val="en-US" w:eastAsia="zh-CN"/>
              </w:rPr>
              <w:t>2.证明资料复印件、扫描件加盖</w:t>
            </w:r>
            <w:r>
              <w:rPr>
                <w:rFonts w:hint="eastAsia" w:cs="宋体"/>
                <w:b w:val="0"/>
                <w:bCs w:val="0"/>
                <w:color w:val="auto"/>
                <w:kern w:val="2"/>
                <w:highlight w:val="none"/>
                <w:lang w:val="en-US" w:eastAsia="zh-CN"/>
              </w:rPr>
              <w:t>供应商</w:t>
            </w:r>
            <w:r>
              <w:rPr>
                <w:rFonts w:hint="eastAsia" w:ascii="宋体" w:hAnsi="宋体" w:eastAsia="宋体" w:cs="宋体"/>
                <w:b w:val="0"/>
                <w:bCs w:val="0"/>
                <w:color w:val="auto"/>
                <w:kern w:val="2"/>
                <w:highlight w:val="none"/>
                <w:lang w:val="en-US" w:eastAsia="zh-CN"/>
              </w:rPr>
              <w:t>公章；</w:t>
            </w:r>
          </w:p>
          <w:p w14:paraId="17E2675A">
            <w:pPr>
              <w:pStyle w:val="120"/>
              <w:keepNext w:val="0"/>
              <w:keepLines w:val="0"/>
              <w:pageBreakBefore w:val="0"/>
              <w:numPr>
                <w:ilvl w:val="0"/>
                <w:numId w:val="0"/>
              </w:numPr>
              <w:kinsoku/>
              <w:wordWrap/>
              <w:overflowPunct/>
              <w:topLinePunct w:val="0"/>
              <w:bidi w:val="0"/>
              <w:snapToGrid/>
              <w:spacing w:line="420" w:lineRule="exact"/>
              <w:ind w:left="0" w:leftChars="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2"/>
                <w:highlight w:val="none"/>
                <w:lang w:val="en-US" w:eastAsia="zh-CN"/>
              </w:rPr>
              <w:t>3.投标报价的计价成果文件封面必须由造价人员签字并加盖执业专用章。</w:t>
            </w:r>
          </w:p>
        </w:tc>
      </w:tr>
    </w:tbl>
    <w:p w14:paraId="6CB0CC4E">
      <w:pPr>
        <w:rPr>
          <w:rFonts w:hint="eastAsia"/>
          <w:color w:val="auto"/>
          <w:highlight w:val="none"/>
          <w:lang w:val="zh-CN"/>
        </w:rPr>
      </w:pPr>
    </w:p>
    <w:p w14:paraId="144D055D">
      <w:pPr>
        <w:keepLines w:val="0"/>
        <w:kinsoku/>
        <w:autoSpaceDE w:val="0"/>
        <w:autoSpaceDN w:val="0"/>
        <w:bidi w:val="0"/>
        <w:adjustRightInd w:val="0"/>
        <w:spacing w:line="420" w:lineRule="exact"/>
        <w:jc w:val="both"/>
        <w:rPr>
          <w:rFonts w:hint="eastAsia" w:ascii="宋体" w:hAnsi="宋体" w:eastAsia="宋体" w:cs="宋体"/>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linePitch="312" w:charSpace="0"/>
        </w:sectPr>
      </w:pPr>
    </w:p>
    <w:p w14:paraId="03B03417">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highlight w:val="none"/>
          <w:lang w:val="zh-CN" w:eastAsia="zh-CN"/>
        </w:rPr>
      </w:pPr>
      <w:bookmarkStart w:id="5" w:name="_Toc741"/>
      <w:r>
        <w:rPr>
          <w:rFonts w:hint="eastAsia" w:ascii="宋体" w:hAnsi="宋体" w:eastAsia="宋体" w:cs="宋体"/>
          <w:b/>
          <w:bCs/>
          <w:color w:val="auto"/>
          <w:sz w:val="32"/>
          <w:szCs w:val="32"/>
          <w:highlight w:val="none"/>
          <w:lang w:val="en-US" w:eastAsia="zh-CN"/>
        </w:rPr>
        <w:t xml:space="preserve">第三章 </w:t>
      </w:r>
      <w:r>
        <w:rPr>
          <w:rFonts w:hint="eastAsia" w:ascii="宋体" w:hAnsi="宋体" w:eastAsia="宋体" w:cs="宋体"/>
          <w:b/>
          <w:bCs/>
          <w:color w:val="auto"/>
          <w:sz w:val="32"/>
          <w:szCs w:val="32"/>
          <w:highlight w:val="none"/>
          <w:lang w:val="zh-CN" w:eastAsia="zh-CN"/>
        </w:rPr>
        <w:t>供应商须知</w:t>
      </w:r>
      <w:bookmarkEnd w:id="5"/>
    </w:p>
    <w:p w14:paraId="326788FA">
      <w:pPr>
        <w:keepLines w:val="0"/>
        <w:pageBreakBefore w:val="0"/>
        <w:widowControl w:val="0"/>
        <w:kinsoku/>
        <w:wordWrap/>
        <w:overflowPunct/>
        <w:topLinePunct w:val="0"/>
        <w:autoSpaceDE w:val="0"/>
        <w:autoSpaceDN w:val="0"/>
        <w:bidi w:val="0"/>
        <w:adjustRightInd w:val="0"/>
        <w:spacing w:line="420" w:lineRule="exact"/>
        <w:ind w:firstLine="573"/>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en-US" w:eastAsia="zh-CN"/>
        </w:rPr>
        <w:t>A</w:t>
      </w:r>
      <w:r>
        <w:rPr>
          <w:rFonts w:hint="eastAsia" w:ascii="宋体" w:hAnsi="宋体" w:eastAsia="宋体" w:cs="宋体"/>
          <w:b/>
          <w:color w:val="auto"/>
          <w:sz w:val="28"/>
          <w:szCs w:val="28"/>
          <w:highlight w:val="none"/>
          <w:lang w:val="zh-CN"/>
        </w:rPr>
        <w:t>、总则</w:t>
      </w:r>
    </w:p>
    <w:p w14:paraId="3285514F">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1、资金来源</w:t>
      </w:r>
    </w:p>
    <w:p w14:paraId="5A0DE61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本次竞争性磋商所签合同使用</w:t>
      </w:r>
      <w:r>
        <w:rPr>
          <w:rFonts w:hint="eastAsia" w:ascii="宋体" w:hAnsi="宋体" w:cs="宋体"/>
          <w:b w:val="0"/>
          <w:bCs/>
          <w:color w:val="auto"/>
          <w:sz w:val="24"/>
          <w:szCs w:val="24"/>
          <w:highlight w:val="none"/>
          <w:lang w:val="en-US" w:eastAsia="zh-CN"/>
        </w:rPr>
        <w:t>财政</w:t>
      </w:r>
      <w:r>
        <w:rPr>
          <w:rFonts w:hint="eastAsia" w:ascii="宋体" w:hAnsi="宋体" w:eastAsia="宋体" w:cs="宋体"/>
          <w:b w:val="0"/>
          <w:bCs/>
          <w:color w:val="auto"/>
          <w:sz w:val="24"/>
          <w:szCs w:val="24"/>
          <w:highlight w:val="none"/>
          <w:lang w:val="en-US" w:eastAsia="zh-CN"/>
        </w:rPr>
        <w:t>资金支付，资金已落实到位。</w:t>
      </w:r>
    </w:p>
    <w:p w14:paraId="635CC1C5">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rPr>
        <w:t>、</w:t>
      </w:r>
      <w:r>
        <w:rPr>
          <w:rFonts w:hint="eastAsia" w:ascii="宋体" w:hAnsi="宋体" w:cs="宋体"/>
          <w:b/>
          <w:color w:val="auto"/>
          <w:sz w:val="24"/>
          <w:szCs w:val="24"/>
          <w:highlight w:val="none"/>
          <w:lang w:val="en-US" w:eastAsia="zh-CN"/>
        </w:rPr>
        <w:t>名词解释</w:t>
      </w:r>
    </w:p>
    <w:p w14:paraId="3370203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1、采 购 人：</w:t>
      </w:r>
      <w:r>
        <w:rPr>
          <w:rFonts w:hint="eastAsia" w:ascii="宋体" w:hAnsi="宋体" w:cs="宋体"/>
          <w:color w:val="auto"/>
          <w:sz w:val="24"/>
          <w:szCs w:val="24"/>
          <w:highlight w:val="none"/>
          <w:lang w:val="zh-CN"/>
        </w:rPr>
        <w:t>泾阳县水资源工作站</w:t>
      </w:r>
    </w:p>
    <w:p w14:paraId="6EEE9E5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2、监督机构：泾阳县</w:t>
      </w:r>
      <w:r>
        <w:rPr>
          <w:rFonts w:hint="eastAsia" w:ascii="宋体" w:hAnsi="宋体" w:cs="宋体"/>
          <w:color w:val="auto"/>
          <w:sz w:val="24"/>
          <w:szCs w:val="24"/>
          <w:highlight w:val="none"/>
          <w:lang w:val="en-US" w:eastAsia="zh-CN"/>
        </w:rPr>
        <w:t>财政局</w:t>
      </w:r>
    </w:p>
    <w:p w14:paraId="53E6B9E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、采购代理机构：</w:t>
      </w:r>
      <w:r>
        <w:rPr>
          <w:rFonts w:hint="eastAsia" w:ascii="宋体" w:hAnsi="宋体" w:cs="宋体"/>
          <w:color w:val="auto"/>
          <w:sz w:val="24"/>
          <w:szCs w:val="24"/>
          <w:highlight w:val="none"/>
          <w:lang w:val="en-US" w:eastAsia="zh-CN"/>
        </w:rPr>
        <w:t>陕西盛仕骄阳项目管理有限公司</w:t>
      </w:r>
      <w:r>
        <w:rPr>
          <w:rFonts w:hint="eastAsia" w:ascii="宋体" w:hAnsi="宋体" w:eastAsia="宋体" w:cs="宋体"/>
          <w:color w:val="auto"/>
          <w:sz w:val="24"/>
          <w:szCs w:val="24"/>
          <w:highlight w:val="none"/>
          <w:lang w:val="zh-CN"/>
        </w:rPr>
        <w:t xml:space="preserve"> </w:t>
      </w:r>
    </w:p>
    <w:p w14:paraId="4397184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、供应商：响应磋商并且符合</w:t>
      </w:r>
      <w:r>
        <w:rPr>
          <w:rFonts w:hint="eastAsia" w:ascii="宋体" w:hAnsi="宋体" w:cs="宋体"/>
          <w:color w:val="auto"/>
          <w:sz w:val="24"/>
          <w:szCs w:val="24"/>
          <w:highlight w:val="none"/>
          <w:lang w:val="zh-CN"/>
        </w:rPr>
        <w:t>竞争性磋商文件</w:t>
      </w:r>
      <w:r>
        <w:rPr>
          <w:rFonts w:hint="eastAsia" w:ascii="宋体" w:hAnsi="宋体" w:eastAsia="宋体" w:cs="宋体"/>
          <w:color w:val="auto"/>
          <w:sz w:val="24"/>
          <w:szCs w:val="24"/>
          <w:highlight w:val="none"/>
          <w:lang w:val="zh-CN"/>
        </w:rPr>
        <w:t>规定资格条件和参加磋商竞争的法人或其他组织或自然人。</w:t>
      </w:r>
    </w:p>
    <w:p w14:paraId="427DED13">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2.5、竞争性磋商文件</w:t>
      </w:r>
      <w:r>
        <w:rPr>
          <w:rFonts w:hint="eastAsia" w:ascii="宋体" w:hAnsi="宋体" w:eastAsia="宋体" w:cs="宋体"/>
          <w:color w:val="auto"/>
          <w:sz w:val="24"/>
          <w:szCs w:val="24"/>
          <w:highlight w:val="none"/>
          <w:lang w:val="en-US" w:eastAsia="zh-CN"/>
        </w:rPr>
        <w:t>：由采购人或采购代理机构发出的文本、文件，包括全部章节和附件及答疑会议纪要。</w:t>
      </w:r>
    </w:p>
    <w:p w14:paraId="0B9F12D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：磋商供应商根据本</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向采购人提交的全部文件。</w:t>
      </w:r>
    </w:p>
    <w:p w14:paraId="6F15705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、书面形式：任何手写、打印或印刷的各种函件，包括电传、电报、电子邮件等。</w:t>
      </w:r>
    </w:p>
    <w:p w14:paraId="19FC226D">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磋商费用</w:t>
      </w:r>
    </w:p>
    <w:p w14:paraId="65E2C2D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无论磋商结果如何，磋商供应商自行承担与参加磋商活动有关的全部费用。</w:t>
      </w:r>
    </w:p>
    <w:p w14:paraId="3CD4806C">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rPr>
        <w:t>合格的供应商</w:t>
      </w:r>
    </w:p>
    <w:p w14:paraId="5296906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《中华人民共和国政府采购法》第二十二条第一款规定的供应商基本资格条件:</w:t>
      </w:r>
    </w:p>
    <w:p w14:paraId="19F9974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具有独立承担民事责任的能力；</w:t>
      </w:r>
    </w:p>
    <w:p w14:paraId="2E734D4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具有良好的商业信誉和健全的财务会计制度；</w:t>
      </w:r>
    </w:p>
    <w:p w14:paraId="27EA4C6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具有履行合同所必需的设备和专业技术能力；</w:t>
      </w:r>
    </w:p>
    <w:p w14:paraId="1DAD913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有依法缴纳税收和社会保障资金的良好记录；</w:t>
      </w:r>
    </w:p>
    <w:p w14:paraId="0DA7021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参加政府采购活动前三年内，在经营活动中没有重大违法记录；</w:t>
      </w:r>
    </w:p>
    <w:p w14:paraId="6AAA089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法律、行政法规规定的其他条件。</w:t>
      </w:r>
    </w:p>
    <w:p w14:paraId="0603491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.2</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根据本次采购项目的要求，规定的供应商特殊条件（见供应商须知前附表）。</w:t>
      </w:r>
    </w:p>
    <w:p w14:paraId="124521D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磋商。</w:t>
      </w:r>
    </w:p>
    <w:p w14:paraId="45E4294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.4</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供应商不得直接或间接地与采购人或采购代理机构有任何关联，亦不得是采购人或采购代理机构的附属机构。如果供应商在磋商中隐瞒了上述关系，一经证实，则该磋商无效。</w:t>
      </w:r>
    </w:p>
    <w:p w14:paraId="3196366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.5</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供应商必须在</w:t>
      </w:r>
      <w:r>
        <w:rPr>
          <w:rFonts w:hint="eastAsia" w:ascii="宋体" w:hAnsi="宋体" w:cs="宋体"/>
          <w:color w:val="auto"/>
          <w:sz w:val="24"/>
          <w:szCs w:val="24"/>
          <w:highlight w:val="none"/>
          <w:lang w:val="en-US" w:eastAsia="zh-CN"/>
        </w:rPr>
        <w:t>陕西盛仕骄阳项目管理有限公司报名并领取</w:t>
      </w:r>
      <w:r>
        <w:rPr>
          <w:rFonts w:hint="eastAsia" w:ascii="宋体" w:hAnsi="宋体" w:cs="宋体"/>
          <w:color w:val="auto"/>
          <w:sz w:val="24"/>
          <w:szCs w:val="24"/>
          <w:highlight w:val="none"/>
          <w:lang w:val="zh-CN"/>
        </w:rPr>
        <w:t>竞争性磋商文件</w:t>
      </w:r>
      <w:r>
        <w:rPr>
          <w:rFonts w:hint="eastAsia" w:ascii="宋体" w:hAnsi="宋体" w:eastAsia="宋体" w:cs="宋体"/>
          <w:color w:val="auto"/>
          <w:sz w:val="24"/>
          <w:szCs w:val="24"/>
          <w:highlight w:val="none"/>
          <w:lang w:val="zh-CN"/>
        </w:rPr>
        <w:t>，方可参加磋商。</w:t>
      </w:r>
    </w:p>
    <w:p w14:paraId="230A58D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.6、联合体</w:t>
      </w:r>
      <w:r>
        <w:rPr>
          <w:rFonts w:hint="eastAsia" w:ascii="宋体" w:hAnsi="宋体" w:cs="宋体"/>
          <w:color w:val="auto"/>
          <w:sz w:val="24"/>
          <w:szCs w:val="24"/>
          <w:lang w:val="en-US" w:eastAsia="zh-CN"/>
        </w:rPr>
        <w:t>磋商</w:t>
      </w:r>
      <w:r>
        <w:rPr>
          <w:rFonts w:hint="eastAsia" w:ascii="宋体" w:hAnsi="宋体" w:cs="宋体"/>
          <w:color w:val="auto"/>
          <w:sz w:val="24"/>
          <w:szCs w:val="24"/>
          <w:lang w:val="zh-CN"/>
        </w:rPr>
        <w:t>：</w:t>
      </w:r>
    </w:p>
    <w:p w14:paraId="4B984CE7">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lang w:val="zh-CN"/>
        </w:rPr>
        <w:t>如果在</w:t>
      </w:r>
      <w:r>
        <w:rPr>
          <w:rFonts w:hint="eastAsia" w:ascii="宋体" w:hAnsi="宋体" w:cs="宋体"/>
          <w:color w:val="auto"/>
          <w:sz w:val="24"/>
          <w:szCs w:val="24"/>
          <w:lang w:val="en-US" w:eastAsia="zh-CN"/>
        </w:rPr>
        <w:t>竞争性磋商文件</w:t>
      </w:r>
      <w:r>
        <w:rPr>
          <w:rFonts w:hint="eastAsia" w:ascii="宋体" w:hAnsi="宋体" w:cs="宋体"/>
          <w:color w:val="auto"/>
          <w:sz w:val="24"/>
          <w:szCs w:val="24"/>
          <w:lang w:val="zh-CN"/>
        </w:rPr>
        <w:t>中接受联合体投标（见供应商须知前附表），则两个以上供应商可以组成一个投标联合体，以一个供应商的身份投标。以联合体形式参加投标的，联合体各方均应当符合《中华人民共和国政府采购法》及实施条例规定的条件。采购人根据采购项目的特殊要求规定供应商特定条件的，联合体各方中至少应当有一方符合采购人规定的特定条件。</w:t>
      </w:r>
    </w:p>
    <w:p w14:paraId="3659FC1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lang w:val="zh-CN"/>
        </w:rPr>
        <w:t>联合体各方之间应当签订共同投标协议，明确约定联合体各方承担的工作和相应的责任，并将共同投标协议连同</w:t>
      </w:r>
      <w:r>
        <w:rPr>
          <w:rFonts w:hint="eastAsia" w:ascii="宋体" w:hAnsi="宋体" w:cs="宋体"/>
          <w:color w:val="auto"/>
          <w:sz w:val="24"/>
          <w:szCs w:val="24"/>
          <w:lang w:val="en-US" w:eastAsia="zh-CN"/>
        </w:rPr>
        <w:t>竞争性磋商响应文件</w:t>
      </w:r>
      <w:r>
        <w:rPr>
          <w:rFonts w:hint="eastAsia" w:ascii="宋体" w:hAnsi="宋体" w:cs="宋体"/>
          <w:color w:val="auto"/>
          <w:sz w:val="24"/>
          <w:szCs w:val="24"/>
          <w:lang w:val="zh-CN"/>
        </w:rPr>
        <w:t>一并提交采购代理机构。联合体各方签订共同投标协议后，不得再以自己名义单独在同一项目中投标，也不得组成新的联合体参加同一项目投标。</w:t>
      </w:r>
    </w:p>
    <w:p w14:paraId="4B84A86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lang w:val="zh-CN"/>
        </w:rPr>
        <w:t>联合体各方应当共同与采购人签订采购合同，就采购合同约定的事项对采购人承担连带责任。</w:t>
      </w:r>
    </w:p>
    <w:p w14:paraId="2C625BB1">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eastAsia="zh-CN"/>
        </w:rPr>
        <w:t>合格的</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zh-CN" w:eastAsia="zh-CN"/>
        </w:rPr>
        <w:t>和合格的服务</w:t>
      </w:r>
    </w:p>
    <w:p w14:paraId="37B42EC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highlight w:val="none"/>
          <w:lang w:val="en-US" w:eastAsia="zh-CN"/>
        </w:rPr>
        <w:t>5.1、</w:t>
      </w:r>
      <w:r>
        <w:rPr>
          <w:rFonts w:hint="eastAsia" w:ascii="宋体" w:hAnsi="宋体" w:eastAsia="宋体" w:cs="宋体"/>
          <w:color w:val="auto"/>
          <w:sz w:val="24"/>
          <w:szCs w:val="24"/>
          <w:lang w:val="zh-CN"/>
        </w:rPr>
        <w:t>供应商提供的所有服务，必须是符合国家有关标准要求，并满足</w:t>
      </w:r>
      <w:r>
        <w:rPr>
          <w:rFonts w:hint="eastAsia" w:ascii="宋体" w:hAnsi="宋体" w:cs="宋体"/>
          <w:color w:val="auto"/>
          <w:sz w:val="24"/>
          <w:szCs w:val="24"/>
          <w:lang w:val="en-US" w:eastAsia="zh-CN"/>
        </w:rPr>
        <w:t>竞争性磋商</w:t>
      </w:r>
      <w:r>
        <w:rPr>
          <w:rFonts w:hint="eastAsia" w:ascii="宋体" w:hAnsi="宋体" w:eastAsia="宋体" w:cs="宋体"/>
          <w:color w:val="auto"/>
          <w:sz w:val="24"/>
          <w:szCs w:val="24"/>
          <w:lang w:val="zh-CN"/>
        </w:rPr>
        <w:t>文件规定的</w:t>
      </w:r>
      <w:r>
        <w:rPr>
          <w:rFonts w:hint="eastAsia" w:ascii="宋体" w:hAnsi="宋体" w:cs="宋体"/>
          <w:color w:val="auto"/>
          <w:sz w:val="24"/>
          <w:szCs w:val="24"/>
          <w:lang w:val="en-US" w:eastAsia="zh-CN"/>
        </w:rPr>
        <w:t>服务内容及要求</w:t>
      </w:r>
      <w:r>
        <w:rPr>
          <w:rFonts w:hint="eastAsia" w:ascii="宋体" w:hAnsi="宋体" w:eastAsia="宋体" w:cs="宋体"/>
          <w:color w:val="auto"/>
          <w:sz w:val="24"/>
          <w:szCs w:val="24"/>
          <w:lang w:val="zh-CN"/>
        </w:rPr>
        <w:t>和其它伴随服务等要求。</w:t>
      </w:r>
    </w:p>
    <w:p w14:paraId="7DDBED8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color w:val="auto"/>
          <w:lang w:val="en-US" w:eastAsia="zh-CN"/>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采购人有权拒绝接受任何不合格的产品和服务，由此产生的费用及相关后果均由供应商自行承担。</w:t>
      </w:r>
    </w:p>
    <w:p w14:paraId="3100BDB9">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cs="宋体"/>
          <w:b/>
          <w:bCs/>
          <w:color w:val="auto"/>
          <w:sz w:val="24"/>
          <w:szCs w:val="24"/>
          <w:highlight w:val="none"/>
          <w:lang w:val="en-US" w:eastAsia="zh-CN"/>
        </w:rPr>
        <w:t>竞争性磋商响应文件</w:t>
      </w:r>
      <w:r>
        <w:rPr>
          <w:rFonts w:hint="eastAsia" w:ascii="宋体" w:hAnsi="宋体" w:eastAsia="宋体" w:cs="宋体"/>
          <w:b/>
          <w:bCs/>
          <w:color w:val="auto"/>
          <w:sz w:val="24"/>
          <w:szCs w:val="24"/>
          <w:highlight w:val="none"/>
          <w:lang w:val="en-US" w:eastAsia="zh-CN"/>
        </w:rPr>
        <w:t>内容的真实性</w:t>
      </w:r>
    </w:p>
    <w:p w14:paraId="7532A5A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应保证其竞争性磋商响应文件中所提供的所有有关磋商的资料、信息是真实的、并且来源于合法的渠道。因竞争性磋商响应文件中所提供的有关磋商的资料、信息不真实、或者其来源不合法而导致的所有法律责任，由供应商自行承担。</w:t>
      </w:r>
    </w:p>
    <w:p w14:paraId="47BBFA3A">
      <w:pPr>
        <w:keepLines w:val="0"/>
        <w:pageBreakBefore w:val="0"/>
        <w:widowControl w:val="0"/>
        <w:kinsoku/>
        <w:wordWrap/>
        <w:overflowPunct/>
        <w:topLinePunct w:val="0"/>
        <w:autoSpaceDE w:val="0"/>
        <w:autoSpaceDN w:val="0"/>
        <w:bidi w:val="0"/>
        <w:adjustRightInd w:val="0"/>
        <w:spacing w:line="420" w:lineRule="exact"/>
        <w:ind w:firstLine="573"/>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en-US" w:eastAsia="zh-CN"/>
        </w:rPr>
        <w:t>B</w:t>
      </w:r>
      <w:r>
        <w:rPr>
          <w:rFonts w:hint="eastAsia" w:ascii="宋体" w:hAnsi="宋体" w:eastAsia="宋体" w:cs="宋体"/>
          <w:b/>
          <w:color w:val="auto"/>
          <w:sz w:val="28"/>
          <w:szCs w:val="28"/>
          <w:highlight w:val="none"/>
          <w:lang w:val="zh-CN"/>
        </w:rPr>
        <w:t>、</w:t>
      </w:r>
      <w:r>
        <w:rPr>
          <w:rFonts w:hint="eastAsia" w:ascii="宋体" w:hAnsi="宋体" w:cs="宋体"/>
          <w:b/>
          <w:color w:val="auto"/>
          <w:sz w:val="28"/>
          <w:szCs w:val="28"/>
          <w:highlight w:val="none"/>
          <w:lang w:val="zh-CN"/>
        </w:rPr>
        <w:t>竞争性磋商文件</w:t>
      </w:r>
    </w:p>
    <w:p w14:paraId="7B5D3A01">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竞争性磋商文件</w:t>
      </w:r>
      <w:r>
        <w:rPr>
          <w:rFonts w:hint="eastAsia" w:ascii="宋体" w:hAnsi="宋体" w:eastAsia="宋体" w:cs="宋体"/>
          <w:b/>
          <w:bCs/>
          <w:color w:val="auto"/>
          <w:sz w:val="24"/>
          <w:szCs w:val="24"/>
          <w:highlight w:val="none"/>
          <w:lang w:val="en-US" w:eastAsia="zh-CN"/>
        </w:rPr>
        <w:t>的构成</w:t>
      </w:r>
    </w:p>
    <w:p w14:paraId="4B0960D9">
      <w:pPr>
        <w:keepNext w:val="0"/>
        <w:keepLines w:val="0"/>
        <w:pageBreakBefore w:val="0"/>
        <w:widowControl w:val="0"/>
        <w:kinsoku/>
        <w:wordWrap/>
        <w:overflowPunct/>
        <w:topLinePunct w:val="0"/>
        <w:bidi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组成：</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是根据本项目的特点和需求编制，包括以下内容：</w:t>
      </w:r>
    </w:p>
    <w:p w14:paraId="30863C7F">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竞争性磋商公告</w:t>
      </w:r>
    </w:p>
    <w:p w14:paraId="218825E7">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val="zh-CN"/>
        </w:rPr>
        <w:t>章 竞争性磋商须知</w:t>
      </w:r>
    </w:p>
    <w:p w14:paraId="2F022182">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第三章 </w:t>
      </w:r>
      <w:r>
        <w:rPr>
          <w:rFonts w:hint="eastAsia" w:ascii="宋体" w:hAnsi="宋体" w:cs="宋体"/>
          <w:color w:val="auto"/>
          <w:sz w:val="24"/>
          <w:szCs w:val="24"/>
          <w:highlight w:val="none"/>
          <w:lang w:val="zh-CN" w:eastAsia="zh-CN"/>
        </w:rPr>
        <w:t>供应商须知</w:t>
      </w:r>
    </w:p>
    <w:p w14:paraId="5D804FF3">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第四章 评审办法</w:t>
      </w:r>
    </w:p>
    <w:p w14:paraId="241461AF">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第五章 施工内容及技术要求</w:t>
      </w:r>
    </w:p>
    <w:p w14:paraId="25D33DC5">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lang w:val="zh-CN" w:eastAsia="zh-CN"/>
        </w:rPr>
        <w:t>章 合同协议书</w:t>
      </w:r>
    </w:p>
    <w:p w14:paraId="3C925DB9">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第</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lang w:val="zh-CN" w:eastAsia="zh-CN"/>
        </w:rPr>
        <w:t>章 竞争性磋商响应文件格式</w:t>
      </w:r>
    </w:p>
    <w:p w14:paraId="4912BEE5">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rPr>
        <w:t>2、供应商应认真阅读</w:t>
      </w:r>
      <w:r>
        <w:rPr>
          <w:rFonts w:hint="eastAsia" w:ascii="宋体" w:hAnsi="宋体" w:cs="宋体"/>
          <w:b w:val="0"/>
          <w:bCs w:val="0"/>
          <w:color w:val="auto"/>
          <w:sz w:val="24"/>
          <w:szCs w:val="24"/>
          <w:highlight w:val="none"/>
          <w:lang w:val="zh-CN"/>
        </w:rPr>
        <w:t>竞争性磋商文件</w:t>
      </w:r>
      <w:r>
        <w:rPr>
          <w:rFonts w:hint="eastAsia" w:ascii="宋体" w:hAnsi="宋体" w:eastAsia="宋体" w:cs="宋体"/>
          <w:b w:val="0"/>
          <w:bCs w:val="0"/>
          <w:color w:val="auto"/>
          <w:sz w:val="24"/>
          <w:szCs w:val="24"/>
          <w:highlight w:val="none"/>
          <w:lang w:val="zh-CN"/>
        </w:rPr>
        <w:t>中所有的事项、格式、条款和规范等要求。如果供应商没有按照</w:t>
      </w:r>
      <w:r>
        <w:rPr>
          <w:rFonts w:hint="eastAsia" w:ascii="宋体" w:hAnsi="宋体" w:cs="宋体"/>
          <w:b w:val="0"/>
          <w:bCs w:val="0"/>
          <w:color w:val="auto"/>
          <w:sz w:val="24"/>
          <w:szCs w:val="24"/>
          <w:highlight w:val="none"/>
          <w:lang w:val="zh-CN"/>
        </w:rPr>
        <w:t>竞争性磋商文件</w:t>
      </w:r>
      <w:r>
        <w:rPr>
          <w:rFonts w:hint="eastAsia" w:ascii="宋体" w:hAnsi="宋体" w:eastAsia="宋体" w:cs="宋体"/>
          <w:b w:val="0"/>
          <w:bCs w:val="0"/>
          <w:color w:val="auto"/>
          <w:sz w:val="24"/>
          <w:szCs w:val="24"/>
          <w:highlight w:val="none"/>
          <w:lang w:val="zh-CN"/>
        </w:rPr>
        <w:t>要求提交全部资料，或者</w:t>
      </w:r>
      <w:r>
        <w:rPr>
          <w:rFonts w:hint="eastAsia" w:ascii="宋体" w:hAnsi="宋体" w:cs="宋体"/>
          <w:b w:val="0"/>
          <w:bCs w:val="0"/>
          <w:color w:val="auto"/>
          <w:sz w:val="24"/>
          <w:szCs w:val="24"/>
          <w:highlight w:val="none"/>
          <w:lang w:val="zh-CN"/>
        </w:rPr>
        <w:t>竞争性磋商响应文件</w:t>
      </w:r>
      <w:r>
        <w:rPr>
          <w:rFonts w:hint="eastAsia" w:ascii="宋体" w:hAnsi="宋体" w:eastAsia="宋体" w:cs="宋体"/>
          <w:b w:val="0"/>
          <w:bCs w:val="0"/>
          <w:color w:val="auto"/>
          <w:sz w:val="24"/>
          <w:szCs w:val="24"/>
          <w:highlight w:val="none"/>
          <w:lang w:val="zh-CN"/>
        </w:rPr>
        <w:t>没有对</w:t>
      </w:r>
      <w:r>
        <w:rPr>
          <w:rFonts w:hint="eastAsia" w:ascii="宋体" w:hAnsi="宋体" w:cs="宋体"/>
          <w:b w:val="0"/>
          <w:bCs w:val="0"/>
          <w:color w:val="auto"/>
          <w:sz w:val="24"/>
          <w:szCs w:val="24"/>
          <w:highlight w:val="none"/>
          <w:lang w:val="zh-CN"/>
        </w:rPr>
        <w:t>竞争性磋商文件</w:t>
      </w:r>
      <w:r>
        <w:rPr>
          <w:rFonts w:hint="eastAsia" w:ascii="宋体" w:hAnsi="宋体" w:eastAsia="宋体" w:cs="宋体"/>
          <w:b w:val="0"/>
          <w:bCs w:val="0"/>
          <w:color w:val="auto"/>
          <w:sz w:val="24"/>
          <w:szCs w:val="24"/>
          <w:highlight w:val="none"/>
          <w:lang w:val="zh-CN"/>
        </w:rPr>
        <w:t>在各方面都做出实质性响应，由此带来不利于供应商的磋商结果，其风险由供应商承担。</w:t>
      </w:r>
    </w:p>
    <w:p w14:paraId="2DAC868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zh-CN"/>
        </w:rPr>
        <w:t>竞争性磋商文件</w:t>
      </w:r>
      <w:r>
        <w:rPr>
          <w:rFonts w:hint="eastAsia" w:ascii="宋体" w:hAnsi="宋体" w:eastAsia="宋体" w:cs="宋体"/>
          <w:b/>
          <w:bCs/>
          <w:color w:val="auto"/>
          <w:sz w:val="24"/>
          <w:szCs w:val="24"/>
          <w:highlight w:val="none"/>
          <w:lang w:val="zh-CN"/>
        </w:rPr>
        <w:t>的澄清或修改</w:t>
      </w:r>
    </w:p>
    <w:p w14:paraId="121E621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zh-CN"/>
        </w:rPr>
        <w:t>.1、在竞争性磋商响应文件截止时间前，采购代理机构无论出于何种原因，可以对</w:t>
      </w:r>
      <w:r>
        <w:rPr>
          <w:rFonts w:hint="eastAsia" w:ascii="宋体" w:hAnsi="宋体" w:cs="宋体"/>
          <w:b w:val="0"/>
          <w:bCs/>
          <w:color w:val="auto"/>
          <w:sz w:val="24"/>
          <w:szCs w:val="24"/>
          <w:highlight w:val="none"/>
          <w:lang w:val="zh-CN"/>
        </w:rPr>
        <w:t>采购文件</w:t>
      </w:r>
      <w:r>
        <w:rPr>
          <w:rFonts w:hint="eastAsia" w:ascii="宋体" w:hAnsi="宋体" w:eastAsia="宋体" w:cs="宋体"/>
          <w:b w:val="0"/>
          <w:bCs/>
          <w:color w:val="auto"/>
          <w:sz w:val="24"/>
          <w:szCs w:val="24"/>
          <w:highlight w:val="none"/>
          <w:lang w:val="zh-CN"/>
        </w:rPr>
        <w:t>进行澄清或者修改。</w:t>
      </w:r>
    </w:p>
    <w:p w14:paraId="19922DD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zh-CN"/>
        </w:rPr>
        <w:t>.2、采购代理机构对已发出的</w:t>
      </w:r>
      <w:r>
        <w:rPr>
          <w:rFonts w:hint="eastAsia" w:ascii="宋体" w:hAnsi="宋体" w:cs="宋体"/>
          <w:b w:val="0"/>
          <w:bCs/>
          <w:color w:val="auto"/>
          <w:sz w:val="24"/>
          <w:szCs w:val="24"/>
          <w:highlight w:val="none"/>
          <w:lang w:val="zh-CN"/>
        </w:rPr>
        <w:t>竞争性磋商文件</w:t>
      </w:r>
      <w:r>
        <w:rPr>
          <w:rFonts w:hint="eastAsia" w:ascii="宋体" w:hAnsi="宋体" w:eastAsia="宋体" w:cs="宋体"/>
          <w:b w:val="0"/>
          <w:bCs/>
          <w:color w:val="auto"/>
          <w:sz w:val="24"/>
          <w:szCs w:val="24"/>
          <w:highlight w:val="none"/>
          <w:lang w:val="zh-CN"/>
        </w:rPr>
        <w:t>进行必要的澄清或修改</w:t>
      </w:r>
      <w:r>
        <w:rPr>
          <w:rFonts w:hint="eastAsia" w:ascii="宋体" w:hAnsi="宋体" w:cs="宋体"/>
          <w:b w:val="0"/>
          <w:bCs/>
          <w:color w:val="auto"/>
          <w:sz w:val="24"/>
          <w:szCs w:val="24"/>
          <w:highlight w:val="none"/>
          <w:lang w:val="en-US" w:eastAsia="zh-CN"/>
        </w:rPr>
        <w:t>的</w:t>
      </w:r>
      <w:r>
        <w:rPr>
          <w:rFonts w:hint="eastAsia" w:ascii="宋体" w:hAnsi="宋体" w:cs="宋体"/>
          <w:b w:val="0"/>
          <w:bCs/>
          <w:color w:val="auto"/>
          <w:sz w:val="24"/>
          <w:szCs w:val="24"/>
          <w:highlight w:val="none"/>
          <w:lang w:val="zh-CN"/>
        </w:rPr>
        <w:t>，</w:t>
      </w:r>
      <w:r>
        <w:rPr>
          <w:rFonts w:hint="eastAsia" w:ascii="宋体" w:hAnsi="宋体" w:eastAsia="宋体" w:cs="宋体"/>
          <w:b w:val="0"/>
          <w:bCs/>
          <w:color w:val="auto"/>
          <w:sz w:val="24"/>
          <w:szCs w:val="24"/>
          <w:highlight w:val="none"/>
          <w:lang w:val="zh-CN"/>
        </w:rPr>
        <w:t>澄清或修改的内容可能影响</w:t>
      </w:r>
      <w:r>
        <w:rPr>
          <w:rFonts w:hint="eastAsia" w:ascii="宋体" w:hAnsi="宋体" w:cs="宋体"/>
          <w:b w:val="0"/>
          <w:bCs/>
          <w:color w:val="auto"/>
          <w:sz w:val="24"/>
          <w:szCs w:val="24"/>
          <w:highlight w:val="none"/>
          <w:lang w:val="zh-CN"/>
        </w:rPr>
        <w:t>竞争性磋商响应文件</w:t>
      </w:r>
      <w:r>
        <w:rPr>
          <w:rFonts w:hint="eastAsia" w:ascii="宋体" w:hAnsi="宋体" w:eastAsia="宋体" w:cs="宋体"/>
          <w:b w:val="0"/>
          <w:bCs/>
          <w:color w:val="auto"/>
          <w:sz w:val="24"/>
          <w:szCs w:val="24"/>
          <w:highlight w:val="none"/>
          <w:lang w:val="zh-CN"/>
        </w:rPr>
        <w:t>编制的，采购代理机构应在提交</w:t>
      </w:r>
      <w:r>
        <w:rPr>
          <w:rFonts w:hint="eastAsia" w:ascii="宋体" w:hAnsi="宋体" w:cs="宋体"/>
          <w:b w:val="0"/>
          <w:bCs/>
          <w:color w:val="auto"/>
          <w:sz w:val="24"/>
          <w:szCs w:val="24"/>
          <w:highlight w:val="none"/>
          <w:lang w:val="zh-CN"/>
        </w:rPr>
        <w:t>竞争性磋商响应文件</w:t>
      </w:r>
      <w:r>
        <w:rPr>
          <w:rFonts w:hint="eastAsia" w:ascii="宋体" w:hAnsi="宋体" w:eastAsia="宋体" w:cs="宋体"/>
          <w:b w:val="0"/>
          <w:bCs/>
          <w:color w:val="auto"/>
          <w:sz w:val="24"/>
          <w:szCs w:val="24"/>
          <w:highlight w:val="none"/>
          <w:lang w:val="zh-CN"/>
        </w:rPr>
        <w:t>截止时间至少5日前，不足5日的，采购代理机构应当顺延提交</w:t>
      </w:r>
      <w:r>
        <w:rPr>
          <w:rFonts w:hint="eastAsia" w:ascii="宋体" w:hAnsi="宋体" w:cs="宋体"/>
          <w:b w:val="0"/>
          <w:bCs/>
          <w:color w:val="auto"/>
          <w:sz w:val="24"/>
          <w:szCs w:val="24"/>
          <w:highlight w:val="none"/>
          <w:lang w:val="zh-CN"/>
        </w:rPr>
        <w:t>竞争性磋商响应文件</w:t>
      </w:r>
      <w:r>
        <w:rPr>
          <w:rFonts w:hint="eastAsia" w:ascii="宋体" w:hAnsi="宋体" w:eastAsia="宋体" w:cs="宋体"/>
          <w:b w:val="0"/>
          <w:bCs/>
          <w:color w:val="auto"/>
          <w:sz w:val="24"/>
          <w:szCs w:val="24"/>
          <w:highlight w:val="none"/>
          <w:lang w:val="zh-CN"/>
        </w:rPr>
        <w:t>截止时间。澄清或者修改内容在政府采购发布媒体上发布更正公告，并以书面形式通知所有</w:t>
      </w:r>
      <w:r>
        <w:rPr>
          <w:rFonts w:hint="eastAsia" w:ascii="宋体" w:hAnsi="宋体" w:cs="宋体"/>
          <w:b w:val="0"/>
          <w:bCs/>
          <w:color w:val="auto"/>
          <w:sz w:val="24"/>
          <w:szCs w:val="24"/>
          <w:highlight w:val="none"/>
          <w:lang w:val="zh-CN"/>
        </w:rPr>
        <w:t>采购文件</w:t>
      </w:r>
      <w:r>
        <w:rPr>
          <w:rFonts w:hint="eastAsia" w:ascii="宋体" w:hAnsi="宋体" w:eastAsia="宋体" w:cs="宋体"/>
          <w:b w:val="0"/>
          <w:bCs/>
          <w:color w:val="auto"/>
          <w:sz w:val="24"/>
          <w:szCs w:val="24"/>
          <w:highlight w:val="none"/>
          <w:lang w:val="zh-CN"/>
        </w:rPr>
        <w:t>收受人，且作为</w:t>
      </w:r>
      <w:r>
        <w:rPr>
          <w:rFonts w:hint="eastAsia" w:ascii="宋体" w:hAnsi="宋体" w:cs="宋体"/>
          <w:b w:val="0"/>
          <w:bCs/>
          <w:color w:val="auto"/>
          <w:sz w:val="24"/>
          <w:szCs w:val="24"/>
          <w:highlight w:val="none"/>
          <w:lang w:val="zh-CN"/>
        </w:rPr>
        <w:t>采购文件</w:t>
      </w:r>
      <w:r>
        <w:rPr>
          <w:rFonts w:hint="eastAsia" w:ascii="宋体" w:hAnsi="宋体" w:eastAsia="宋体" w:cs="宋体"/>
          <w:b w:val="0"/>
          <w:bCs/>
          <w:color w:val="auto"/>
          <w:sz w:val="24"/>
          <w:szCs w:val="24"/>
          <w:highlight w:val="none"/>
          <w:lang w:val="zh-CN"/>
        </w:rPr>
        <w:t>的组成部分。</w:t>
      </w:r>
    </w:p>
    <w:p w14:paraId="055792D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zh-CN"/>
        </w:rPr>
        <w:t>.</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zh-CN"/>
        </w:rPr>
        <w:t>、任何要求对</w:t>
      </w:r>
      <w:r>
        <w:rPr>
          <w:rFonts w:hint="eastAsia" w:ascii="宋体" w:hAnsi="宋体" w:cs="宋体"/>
          <w:b w:val="0"/>
          <w:bCs/>
          <w:color w:val="auto"/>
          <w:sz w:val="24"/>
          <w:szCs w:val="24"/>
          <w:highlight w:val="none"/>
          <w:lang w:val="zh-CN"/>
        </w:rPr>
        <w:t>竞争性磋商文件</w:t>
      </w:r>
      <w:r>
        <w:rPr>
          <w:rFonts w:hint="eastAsia" w:ascii="宋体" w:hAnsi="宋体" w:eastAsia="宋体" w:cs="宋体"/>
          <w:b w:val="0"/>
          <w:bCs/>
          <w:color w:val="auto"/>
          <w:sz w:val="24"/>
          <w:szCs w:val="24"/>
          <w:highlight w:val="none"/>
          <w:lang w:val="zh-CN"/>
        </w:rPr>
        <w:t>进行澄清的磋商供应商，均应在</w:t>
      </w:r>
      <w:r>
        <w:rPr>
          <w:rFonts w:hint="eastAsia" w:ascii="宋体" w:hAnsi="宋体" w:cs="宋体"/>
          <w:b w:val="0"/>
          <w:bCs/>
          <w:color w:val="auto"/>
          <w:sz w:val="24"/>
          <w:szCs w:val="24"/>
          <w:highlight w:val="none"/>
          <w:lang w:val="zh-CN"/>
        </w:rPr>
        <w:t>竞争性磋商响应文件</w:t>
      </w:r>
      <w:r>
        <w:rPr>
          <w:rFonts w:hint="eastAsia" w:ascii="宋体" w:hAnsi="宋体" w:eastAsia="宋体" w:cs="宋体"/>
          <w:b w:val="0"/>
          <w:bCs/>
          <w:color w:val="auto"/>
          <w:sz w:val="24"/>
          <w:szCs w:val="24"/>
          <w:highlight w:val="none"/>
          <w:lang w:val="zh-CN"/>
        </w:rPr>
        <w:t>递交截止时间3天前，以书面形式通知采购代理机构,由代理机构汇总后统一进行答复，并以书面形式通知所有参与竞争性磋商的供应商。磋商供应商收到后澄清或修改文件后24小时内，以书面形式确认收到该文件。</w:t>
      </w:r>
    </w:p>
    <w:p w14:paraId="5FD67BD4">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的澄清或修改内容均以书面形式明确的内容为准。当</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的澄清、修改、补充等在同一内容的表述上不一致时，以最后发出的书面文件为准。所有补充文件将作为</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的组成部分，对所有供应商具有约束力。</w:t>
      </w:r>
    </w:p>
    <w:p w14:paraId="2CE7C2B1">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、供应商若对</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有任何疑问，可以以书面形式向采购代理机构提出询问。否则，视为同意</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的一切条款和要求并承担由此引起的一切法律责任。凡因供应商对</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阅读不深、理解不透、误解、疏漏、或因市场行情了解不清造成的后果和风险均由供应商自负。</w:t>
      </w:r>
    </w:p>
    <w:p w14:paraId="6DB02AB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zh-CN"/>
        </w:rPr>
        <w:t>.</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zh-CN"/>
        </w:rPr>
        <w:t>、</w:t>
      </w:r>
      <w:r>
        <w:rPr>
          <w:rFonts w:hint="eastAsia" w:ascii="宋体" w:hAnsi="宋体" w:cs="宋体"/>
          <w:b w:val="0"/>
          <w:bCs/>
          <w:color w:val="auto"/>
          <w:sz w:val="24"/>
          <w:szCs w:val="24"/>
          <w:highlight w:val="none"/>
          <w:lang w:val="zh-CN"/>
        </w:rPr>
        <w:t>竞争性磋商文件</w:t>
      </w:r>
      <w:r>
        <w:rPr>
          <w:rFonts w:hint="eastAsia" w:ascii="宋体" w:hAnsi="宋体" w:eastAsia="宋体" w:cs="宋体"/>
          <w:b w:val="0"/>
          <w:bCs/>
          <w:color w:val="auto"/>
          <w:sz w:val="24"/>
          <w:szCs w:val="24"/>
          <w:highlight w:val="none"/>
          <w:lang w:val="zh-CN"/>
        </w:rPr>
        <w:t>的解释权归采购代理机构所有。如发现</w:t>
      </w:r>
      <w:r>
        <w:rPr>
          <w:rFonts w:hint="eastAsia" w:ascii="宋体" w:hAnsi="宋体" w:cs="宋体"/>
          <w:b w:val="0"/>
          <w:bCs/>
          <w:color w:val="auto"/>
          <w:sz w:val="24"/>
          <w:szCs w:val="24"/>
          <w:highlight w:val="none"/>
          <w:lang w:val="zh-CN"/>
        </w:rPr>
        <w:t>竞争性磋商文件</w:t>
      </w:r>
      <w:r>
        <w:rPr>
          <w:rFonts w:hint="eastAsia" w:ascii="宋体" w:hAnsi="宋体" w:eastAsia="宋体" w:cs="宋体"/>
          <w:b w:val="0"/>
          <w:bCs/>
          <w:color w:val="auto"/>
          <w:sz w:val="24"/>
          <w:szCs w:val="24"/>
          <w:highlight w:val="none"/>
          <w:lang w:val="zh-CN"/>
        </w:rPr>
        <w:t>内容中与现行的法律法规不相符合的情况，以现行的法律法规为准；</w:t>
      </w:r>
      <w:r>
        <w:rPr>
          <w:rFonts w:hint="eastAsia" w:ascii="宋体" w:hAnsi="宋体" w:cs="宋体"/>
          <w:b w:val="0"/>
          <w:bCs/>
          <w:color w:val="auto"/>
          <w:sz w:val="24"/>
          <w:szCs w:val="24"/>
          <w:highlight w:val="none"/>
          <w:lang w:val="zh-CN"/>
        </w:rPr>
        <w:t>竞争性磋商文件</w:t>
      </w:r>
      <w:r>
        <w:rPr>
          <w:rFonts w:hint="eastAsia" w:ascii="宋体" w:hAnsi="宋体" w:eastAsia="宋体" w:cs="宋体"/>
          <w:b w:val="0"/>
          <w:bCs/>
          <w:color w:val="auto"/>
          <w:sz w:val="24"/>
          <w:szCs w:val="24"/>
          <w:highlight w:val="none"/>
          <w:lang w:val="zh-CN"/>
        </w:rPr>
        <w:t>中某个或多个条款依我国法律、法规被认定为非法、无效或不可执行的,该无效条款的无效、失效和不可执行,不影响亦不损害其他条款的有效性、生效性和可执行性。</w:t>
      </w:r>
    </w:p>
    <w:p w14:paraId="59141610">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hint="eastAsia" w:ascii="宋体" w:hAnsi="宋体" w:eastAsia="宋体" w:cs="宋体"/>
          <w:b/>
          <w:bCs w:val="0"/>
          <w:color w:val="auto"/>
          <w:sz w:val="24"/>
          <w:szCs w:val="24"/>
          <w:highlight w:val="none"/>
          <w:lang w:val="zh-CN"/>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zh-CN"/>
        </w:rPr>
        <w:t>备选磋商方案</w:t>
      </w:r>
    </w:p>
    <w:p w14:paraId="15DEA0FA">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b w:val="0"/>
          <w:bCs/>
          <w:color w:val="auto"/>
          <w:sz w:val="24"/>
          <w:szCs w:val="24"/>
          <w:highlight w:val="none"/>
          <w:lang w:val="zh-CN"/>
        </w:rPr>
        <w:t>本项目不得提供备选方案。</w:t>
      </w:r>
    </w:p>
    <w:p w14:paraId="066CB3AF">
      <w:pPr>
        <w:keepLines w:val="0"/>
        <w:pageBreakBefore w:val="0"/>
        <w:widowControl w:val="0"/>
        <w:kinsoku/>
        <w:wordWrap/>
        <w:overflowPunct/>
        <w:topLinePunct w:val="0"/>
        <w:autoSpaceDE w:val="0"/>
        <w:autoSpaceDN w:val="0"/>
        <w:bidi w:val="0"/>
        <w:adjustRightInd w:val="0"/>
        <w:spacing w:line="420" w:lineRule="exact"/>
        <w:ind w:firstLine="573"/>
        <w:jc w:val="center"/>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C、</w:t>
      </w:r>
      <w:r>
        <w:rPr>
          <w:rFonts w:hint="eastAsia" w:ascii="宋体" w:hAnsi="宋体" w:cs="宋体"/>
          <w:b/>
          <w:color w:val="auto"/>
          <w:sz w:val="28"/>
          <w:szCs w:val="28"/>
          <w:highlight w:val="none"/>
          <w:lang w:val="zh-CN" w:eastAsia="zh-CN"/>
        </w:rPr>
        <w:t>竞争性磋商响应文件</w:t>
      </w:r>
    </w:p>
    <w:p w14:paraId="01449D5C">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10</w:t>
      </w:r>
      <w:r>
        <w:rPr>
          <w:rFonts w:hint="eastAsia" w:ascii="宋体" w:hAnsi="宋体" w:eastAsia="宋体" w:cs="宋体"/>
          <w:b/>
          <w:bCs w:val="0"/>
          <w:color w:val="auto"/>
          <w:sz w:val="24"/>
          <w:szCs w:val="24"/>
          <w:highlight w:val="none"/>
          <w:lang w:val="en-US" w:eastAsia="zh-CN"/>
        </w:rPr>
        <w:t>、</w:t>
      </w:r>
      <w:r>
        <w:rPr>
          <w:rFonts w:hint="eastAsia" w:ascii="宋体" w:hAnsi="宋体" w:cs="宋体"/>
          <w:b/>
          <w:bCs w:val="0"/>
          <w:color w:val="auto"/>
          <w:sz w:val="24"/>
          <w:szCs w:val="24"/>
          <w:highlight w:val="none"/>
          <w:lang w:val="zh-CN"/>
        </w:rPr>
        <w:t>竞争性磋商响应文件</w:t>
      </w:r>
      <w:r>
        <w:rPr>
          <w:rFonts w:hint="eastAsia" w:ascii="宋体" w:hAnsi="宋体" w:eastAsia="宋体" w:cs="宋体"/>
          <w:b/>
          <w:bCs w:val="0"/>
          <w:color w:val="auto"/>
          <w:sz w:val="24"/>
          <w:szCs w:val="24"/>
          <w:highlight w:val="none"/>
          <w:lang w:val="en-US" w:eastAsia="zh-CN"/>
        </w:rPr>
        <w:t>编制的原则</w:t>
      </w:r>
    </w:p>
    <w:p w14:paraId="2BC5730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val="en-US" w:eastAsia="zh-CN"/>
        </w:rPr>
        <w:t>.1、供应商应在认真阅读</w:t>
      </w:r>
      <w:r>
        <w:rPr>
          <w:rFonts w:hint="eastAsia" w:ascii="宋体" w:hAnsi="宋体" w:cs="宋体"/>
          <w:b w:val="0"/>
          <w:bCs/>
          <w:color w:val="auto"/>
          <w:sz w:val="24"/>
          <w:szCs w:val="24"/>
          <w:highlight w:val="none"/>
          <w:lang w:val="en-US" w:eastAsia="zh-CN"/>
        </w:rPr>
        <w:t>竞争性磋商文件</w:t>
      </w:r>
      <w:r>
        <w:rPr>
          <w:rFonts w:hint="eastAsia" w:ascii="宋体" w:hAnsi="宋体" w:eastAsia="宋体" w:cs="宋体"/>
          <w:b w:val="0"/>
          <w:bCs/>
          <w:color w:val="auto"/>
          <w:sz w:val="24"/>
          <w:szCs w:val="24"/>
          <w:highlight w:val="none"/>
          <w:lang w:val="en-US" w:eastAsia="zh-CN"/>
        </w:rPr>
        <w:t>所有内容的基础上，按照</w:t>
      </w:r>
      <w:r>
        <w:rPr>
          <w:rFonts w:hint="eastAsia" w:ascii="宋体" w:hAnsi="宋体" w:cs="宋体"/>
          <w:b w:val="0"/>
          <w:bCs/>
          <w:color w:val="auto"/>
          <w:sz w:val="24"/>
          <w:szCs w:val="24"/>
          <w:highlight w:val="none"/>
          <w:lang w:val="en-US" w:eastAsia="zh-CN"/>
        </w:rPr>
        <w:t>竞争性磋商文件</w:t>
      </w:r>
      <w:r>
        <w:rPr>
          <w:rFonts w:hint="eastAsia" w:ascii="宋体" w:hAnsi="宋体" w:eastAsia="宋体" w:cs="宋体"/>
          <w:b w:val="0"/>
          <w:bCs/>
          <w:color w:val="auto"/>
          <w:sz w:val="24"/>
          <w:szCs w:val="24"/>
          <w:highlight w:val="none"/>
          <w:lang w:val="en-US" w:eastAsia="zh-CN"/>
        </w:rPr>
        <w:t>的要求编制完整的</w:t>
      </w:r>
      <w:r>
        <w:rPr>
          <w:rFonts w:hint="eastAsia" w:ascii="宋体" w:hAnsi="宋体" w:cs="宋体"/>
          <w:b w:val="0"/>
          <w:bCs/>
          <w:color w:val="auto"/>
          <w:sz w:val="24"/>
          <w:szCs w:val="24"/>
          <w:highlight w:val="none"/>
          <w:lang w:val="en-US" w:eastAsia="zh-CN"/>
        </w:rPr>
        <w:t>竞争性磋商响应文件</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zh-CN"/>
        </w:rPr>
        <w:t>竞争性磋商响应文件</w:t>
      </w:r>
      <w:r>
        <w:rPr>
          <w:rFonts w:hint="eastAsia" w:ascii="宋体" w:hAnsi="宋体" w:eastAsia="宋体" w:cs="宋体"/>
          <w:b w:val="0"/>
          <w:bCs/>
          <w:color w:val="auto"/>
          <w:sz w:val="24"/>
          <w:szCs w:val="24"/>
          <w:highlight w:val="none"/>
          <w:lang w:val="zh-CN"/>
        </w:rPr>
        <w:t>参考给定格式编制，对</w:t>
      </w:r>
      <w:r>
        <w:rPr>
          <w:rFonts w:hint="eastAsia" w:ascii="宋体" w:hAnsi="宋体" w:cs="宋体"/>
          <w:b w:val="0"/>
          <w:bCs/>
          <w:color w:val="auto"/>
          <w:sz w:val="24"/>
          <w:szCs w:val="24"/>
          <w:highlight w:val="none"/>
          <w:lang w:val="zh-CN"/>
        </w:rPr>
        <w:t>竞争性磋商文件</w:t>
      </w:r>
      <w:r>
        <w:rPr>
          <w:rFonts w:hint="eastAsia" w:ascii="宋体" w:hAnsi="宋体" w:eastAsia="宋体" w:cs="宋体"/>
          <w:b w:val="0"/>
          <w:bCs/>
          <w:color w:val="auto"/>
          <w:sz w:val="24"/>
          <w:szCs w:val="24"/>
          <w:highlight w:val="none"/>
          <w:lang w:val="zh-CN"/>
        </w:rPr>
        <w:t>要求做出实质性响应。磋商供应商可根据情况自行扩展，但不得随意删减格式要求内容。</w:t>
      </w:r>
    </w:p>
    <w:p w14:paraId="5E681C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val="en-US" w:eastAsia="zh-CN"/>
        </w:rPr>
        <w:t>.2、供应商必须保证</w:t>
      </w:r>
      <w:r>
        <w:rPr>
          <w:rFonts w:hint="eastAsia" w:ascii="宋体" w:hAnsi="宋体" w:cs="宋体"/>
          <w:b w:val="0"/>
          <w:bCs/>
          <w:color w:val="auto"/>
          <w:sz w:val="24"/>
          <w:szCs w:val="24"/>
          <w:highlight w:val="none"/>
          <w:lang w:val="en-US" w:eastAsia="zh-CN"/>
        </w:rPr>
        <w:t>竞争性磋商响应文件</w:t>
      </w:r>
      <w:r>
        <w:rPr>
          <w:rFonts w:hint="eastAsia" w:ascii="宋体" w:hAnsi="宋体" w:eastAsia="宋体" w:cs="宋体"/>
          <w:b w:val="0"/>
          <w:bCs/>
          <w:color w:val="auto"/>
          <w:sz w:val="24"/>
          <w:szCs w:val="24"/>
          <w:highlight w:val="none"/>
          <w:lang w:val="en-US" w:eastAsia="zh-CN"/>
        </w:rPr>
        <w:t>所提供的全部资料真实可靠，并接受对其中任何资料进一步审查的要求。</w:t>
      </w:r>
    </w:p>
    <w:p w14:paraId="65138F8C">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竞争性磋商响应文件</w:t>
      </w:r>
      <w:r>
        <w:rPr>
          <w:rFonts w:hint="eastAsia" w:ascii="宋体" w:hAnsi="宋体" w:eastAsia="宋体" w:cs="宋体"/>
          <w:b w:val="0"/>
          <w:bCs/>
          <w:color w:val="auto"/>
          <w:sz w:val="24"/>
          <w:szCs w:val="24"/>
          <w:highlight w:val="none"/>
          <w:lang w:val="en-US" w:eastAsia="zh-CN"/>
        </w:rPr>
        <w:t>须对</w:t>
      </w:r>
      <w:r>
        <w:rPr>
          <w:rFonts w:hint="eastAsia" w:ascii="宋体" w:hAnsi="宋体" w:cs="宋体"/>
          <w:b w:val="0"/>
          <w:bCs/>
          <w:color w:val="auto"/>
          <w:sz w:val="24"/>
          <w:szCs w:val="24"/>
          <w:highlight w:val="none"/>
          <w:lang w:val="en-US" w:eastAsia="zh-CN"/>
        </w:rPr>
        <w:t>竞争性磋商文件</w:t>
      </w:r>
      <w:r>
        <w:rPr>
          <w:rFonts w:hint="eastAsia" w:ascii="宋体" w:hAnsi="宋体" w:eastAsia="宋体" w:cs="宋体"/>
          <w:b w:val="0"/>
          <w:bCs/>
          <w:color w:val="auto"/>
          <w:sz w:val="24"/>
          <w:szCs w:val="24"/>
          <w:highlight w:val="none"/>
          <w:lang w:val="en-US" w:eastAsia="zh-CN"/>
        </w:rPr>
        <w:t>中的内容做出实质性和完整的响应，否则其投标将被拒绝。</w:t>
      </w:r>
    </w:p>
    <w:p w14:paraId="2F79DEB6">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bCs w:val="0"/>
          <w:color w:val="auto"/>
          <w:sz w:val="24"/>
          <w:szCs w:val="24"/>
          <w:highlight w:val="none"/>
          <w:lang w:val="en-US" w:eastAsia="zh-CN"/>
        </w:rPr>
        <w:t>11</w:t>
      </w:r>
      <w:r>
        <w:rPr>
          <w:rFonts w:hint="eastAsia" w:ascii="宋体" w:hAnsi="宋体" w:eastAsia="宋体" w:cs="宋体"/>
          <w:b/>
          <w:bCs w:val="0"/>
          <w:color w:val="auto"/>
          <w:sz w:val="24"/>
          <w:szCs w:val="24"/>
          <w:highlight w:val="none"/>
          <w:lang w:val="en-US" w:eastAsia="zh-CN"/>
        </w:rPr>
        <w:t>、竞争性</w:t>
      </w:r>
      <w:r>
        <w:rPr>
          <w:rFonts w:hint="eastAsia" w:ascii="宋体" w:hAnsi="宋体" w:cs="宋体"/>
          <w:b/>
          <w:bCs w:val="0"/>
          <w:color w:val="auto"/>
          <w:sz w:val="24"/>
          <w:szCs w:val="24"/>
          <w:highlight w:val="none"/>
          <w:lang w:val="en-US" w:eastAsia="zh-CN"/>
        </w:rPr>
        <w:t>磋商</w:t>
      </w:r>
      <w:r>
        <w:rPr>
          <w:rFonts w:hint="eastAsia" w:ascii="宋体" w:hAnsi="宋体" w:cs="宋体"/>
          <w:b/>
          <w:color w:val="auto"/>
          <w:sz w:val="24"/>
          <w:szCs w:val="24"/>
          <w:highlight w:val="none"/>
          <w:lang w:val="en-US" w:eastAsia="zh-CN"/>
        </w:rPr>
        <w:t>响应</w:t>
      </w:r>
      <w:r>
        <w:rPr>
          <w:rFonts w:hint="eastAsia" w:ascii="宋体" w:hAnsi="宋体" w:cs="宋体"/>
          <w:b/>
          <w:color w:val="auto"/>
          <w:sz w:val="24"/>
          <w:szCs w:val="24"/>
          <w:highlight w:val="none"/>
        </w:rPr>
        <w:t>文件的式样</w:t>
      </w:r>
    </w:p>
    <w:p w14:paraId="1A3D61B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11.1、语言</w:t>
      </w:r>
    </w:p>
    <w:p w14:paraId="198B660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w:t>
      </w:r>
      <w:r>
        <w:rPr>
          <w:rFonts w:hint="default" w:ascii="宋体" w:hAnsi="宋体" w:eastAsia="宋体" w:cs="宋体"/>
          <w:bCs/>
          <w:color w:val="auto"/>
          <w:sz w:val="24"/>
          <w:szCs w:val="24"/>
          <w:highlight w:val="none"/>
          <w:lang w:val="en-US" w:eastAsia="zh-CN"/>
        </w:rPr>
        <w:t>活动的所有文件、资料、函电文字均使用简体中文，确需提交用其他语言形成的资料，必须翻译成简体中文，如有差异，以简体中文为准。</w:t>
      </w:r>
    </w:p>
    <w:p w14:paraId="71DF45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11.2、磋商</w:t>
      </w:r>
      <w:r>
        <w:rPr>
          <w:rFonts w:hint="eastAsia" w:ascii="宋体" w:hAnsi="宋体" w:eastAsia="宋体" w:cs="宋体"/>
          <w:b w:val="0"/>
          <w:bCs/>
          <w:color w:val="auto"/>
          <w:sz w:val="24"/>
          <w:szCs w:val="24"/>
          <w:highlight w:val="none"/>
          <w:lang w:val="zh-CN" w:eastAsia="zh-CN"/>
        </w:rPr>
        <w:t>响应文件计量单位</w:t>
      </w:r>
    </w:p>
    <w:p w14:paraId="50010A0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磋商</w:t>
      </w:r>
      <w:r>
        <w:rPr>
          <w:rFonts w:hint="eastAsia" w:ascii="宋体" w:hAnsi="宋体" w:cs="宋体"/>
          <w:bCs/>
          <w:color w:val="auto"/>
          <w:sz w:val="24"/>
          <w:szCs w:val="24"/>
          <w:highlight w:val="none"/>
          <w:lang w:val="zh-CN"/>
        </w:rPr>
        <w:t>响应文件中所使用的计量单位，除有特殊要求外，均采用国家法定计量单位。</w:t>
      </w:r>
    </w:p>
    <w:p w14:paraId="5FB2C24E">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en-US" w:eastAsia="zh-CN"/>
        </w:rPr>
        <w:t>1</w:t>
      </w: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w:t>
      </w:r>
      <w:r>
        <w:rPr>
          <w:rFonts w:hint="eastAsia" w:ascii="宋体" w:hAnsi="宋体" w:cs="宋体"/>
          <w:b/>
          <w:bCs w:val="0"/>
          <w:color w:val="auto"/>
          <w:sz w:val="24"/>
          <w:szCs w:val="24"/>
          <w:highlight w:val="none"/>
          <w:lang w:val="zh-CN"/>
        </w:rPr>
        <w:t>竞争性磋商响应文件</w:t>
      </w:r>
      <w:r>
        <w:rPr>
          <w:rFonts w:hint="eastAsia" w:ascii="宋体" w:hAnsi="宋体" w:eastAsia="宋体" w:cs="宋体"/>
          <w:b/>
          <w:bCs w:val="0"/>
          <w:color w:val="auto"/>
          <w:sz w:val="24"/>
          <w:szCs w:val="24"/>
          <w:highlight w:val="none"/>
          <w:lang w:val="zh-CN"/>
        </w:rPr>
        <w:t>的组成</w:t>
      </w:r>
    </w:p>
    <w:p w14:paraId="46ACAF4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12.1、</w:t>
      </w:r>
      <w:r>
        <w:rPr>
          <w:rFonts w:hint="eastAsia" w:ascii="宋体" w:hAnsi="宋体" w:eastAsia="宋体" w:cs="宋体"/>
          <w:b w:val="0"/>
          <w:bCs/>
          <w:color w:val="auto"/>
          <w:sz w:val="24"/>
          <w:szCs w:val="24"/>
          <w:highlight w:val="none"/>
          <w:lang w:val="zh-CN" w:eastAsia="zh-CN"/>
        </w:rPr>
        <w:t>磋商响应文件的组成包含磋商响应函</w:t>
      </w:r>
      <w:r>
        <w:rPr>
          <w:rFonts w:hint="eastAsia" w:ascii="宋体" w:hAnsi="宋体" w:cs="宋体"/>
          <w:b w:val="0"/>
          <w:bCs/>
          <w:color w:val="auto"/>
          <w:sz w:val="24"/>
          <w:szCs w:val="24"/>
          <w:highlight w:val="none"/>
          <w:lang w:val="zh-CN" w:eastAsia="zh-CN"/>
        </w:rPr>
        <w:t>、</w:t>
      </w:r>
      <w:r>
        <w:rPr>
          <w:rFonts w:hint="eastAsia" w:ascii="宋体" w:hAnsi="宋体" w:eastAsia="宋体" w:cs="宋体"/>
          <w:b w:val="0"/>
          <w:bCs/>
          <w:color w:val="auto"/>
          <w:sz w:val="24"/>
          <w:szCs w:val="24"/>
          <w:highlight w:val="none"/>
          <w:lang w:val="zh-CN" w:eastAsia="zh-CN"/>
        </w:rPr>
        <w:t>第一次磋商报价表</w:t>
      </w:r>
      <w:r>
        <w:rPr>
          <w:rFonts w:hint="eastAsia" w:ascii="宋体" w:hAnsi="宋体" w:cs="宋体"/>
          <w:b w:val="0"/>
          <w:bCs/>
          <w:color w:val="auto"/>
          <w:sz w:val="24"/>
          <w:szCs w:val="24"/>
          <w:highlight w:val="none"/>
          <w:lang w:val="zh-CN" w:eastAsia="zh-CN"/>
        </w:rPr>
        <w:t>、</w:t>
      </w:r>
      <w:r>
        <w:rPr>
          <w:rFonts w:hint="eastAsia" w:ascii="宋体" w:hAnsi="宋体" w:cs="宋体"/>
          <w:b w:val="0"/>
          <w:bCs/>
          <w:color w:val="auto"/>
          <w:sz w:val="24"/>
          <w:szCs w:val="24"/>
          <w:highlight w:val="none"/>
          <w:lang w:val="en-US" w:eastAsia="zh-CN"/>
        </w:rPr>
        <w:t>已标价工程量清单</w:t>
      </w:r>
      <w:r>
        <w:rPr>
          <w:rFonts w:hint="eastAsia" w:ascii="宋体" w:hAnsi="宋体" w:cs="宋体"/>
          <w:b w:val="0"/>
          <w:bCs/>
          <w:color w:val="auto"/>
          <w:sz w:val="24"/>
          <w:szCs w:val="24"/>
          <w:highlight w:val="none"/>
          <w:lang w:val="zh-CN" w:eastAsia="zh-CN"/>
        </w:rPr>
        <w:t>、</w:t>
      </w:r>
      <w:r>
        <w:rPr>
          <w:rFonts w:hint="eastAsia" w:ascii="宋体" w:hAnsi="宋体" w:eastAsia="宋体" w:cs="宋体"/>
          <w:b w:val="0"/>
          <w:bCs/>
          <w:color w:val="auto"/>
          <w:sz w:val="24"/>
          <w:szCs w:val="24"/>
          <w:highlight w:val="none"/>
          <w:lang w:val="zh-CN" w:eastAsia="zh-CN"/>
        </w:rPr>
        <w:t>磋商方案</w:t>
      </w:r>
      <w:r>
        <w:rPr>
          <w:rFonts w:hint="eastAsia" w:ascii="宋体" w:hAnsi="宋体" w:cs="宋体"/>
          <w:b w:val="0"/>
          <w:bCs/>
          <w:color w:val="auto"/>
          <w:sz w:val="24"/>
          <w:szCs w:val="24"/>
          <w:highlight w:val="none"/>
          <w:lang w:val="zh-CN" w:eastAsia="zh-CN"/>
        </w:rPr>
        <w:t>、技术/商务条款偏差表、</w:t>
      </w:r>
      <w:r>
        <w:rPr>
          <w:rFonts w:hint="eastAsia" w:ascii="宋体" w:hAnsi="宋体" w:eastAsia="宋体" w:cs="宋体"/>
          <w:b w:val="0"/>
          <w:bCs/>
          <w:color w:val="auto"/>
          <w:sz w:val="24"/>
          <w:szCs w:val="24"/>
          <w:highlight w:val="none"/>
          <w:lang w:val="zh-CN" w:eastAsia="zh-CN"/>
        </w:rPr>
        <w:t>供应商承诺书</w:t>
      </w:r>
      <w:r>
        <w:rPr>
          <w:rFonts w:hint="eastAsia" w:ascii="宋体" w:hAnsi="宋体" w:cs="宋体"/>
          <w:b w:val="0"/>
          <w:bCs/>
          <w:color w:val="auto"/>
          <w:sz w:val="24"/>
          <w:szCs w:val="24"/>
          <w:highlight w:val="none"/>
          <w:lang w:val="zh-CN" w:eastAsia="zh-CN"/>
        </w:rPr>
        <w:t>、</w:t>
      </w:r>
      <w:r>
        <w:rPr>
          <w:rFonts w:hint="eastAsia" w:ascii="宋体" w:hAnsi="宋体" w:eastAsia="宋体" w:cs="宋体"/>
          <w:b w:val="0"/>
          <w:bCs/>
          <w:color w:val="auto"/>
          <w:sz w:val="24"/>
          <w:szCs w:val="24"/>
          <w:highlight w:val="none"/>
          <w:lang w:val="zh-CN" w:eastAsia="zh-CN"/>
        </w:rPr>
        <w:t>供应商资质证明文件</w:t>
      </w:r>
      <w:r>
        <w:rPr>
          <w:rFonts w:hint="eastAsia" w:ascii="宋体" w:hAnsi="宋体" w:cs="宋体"/>
          <w:b w:val="0"/>
          <w:bCs/>
          <w:color w:val="auto"/>
          <w:sz w:val="24"/>
          <w:szCs w:val="24"/>
          <w:highlight w:val="none"/>
          <w:lang w:val="zh-CN" w:eastAsia="zh-CN"/>
        </w:rPr>
        <w:t>、</w:t>
      </w:r>
      <w:r>
        <w:rPr>
          <w:rFonts w:hint="eastAsia" w:ascii="宋体" w:hAnsi="宋体" w:eastAsia="宋体" w:cs="宋体"/>
          <w:b w:val="0"/>
          <w:bCs/>
          <w:color w:val="auto"/>
          <w:sz w:val="24"/>
          <w:szCs w:val="24"/>
          <w:highlight w:val="none"/>
          <w:lang w:val="zh-CN" w:eastAsia="zh-CN"/>
        </w:rPr>
        <w:t>其他资料等内容。</w:t>
      </w:r>
    </w:p>
    <w:p w14:paraId="4BBD564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12.2、</w:t>
      </w:r>
      <w:r>
        <w:rPr>
          <w:rFonts w:hint="eastAsia" w:ascii="宋体" w:hAnsi="宋体" w:eastAsia="宋体" w:cs="宋体"/>
          <w:b w:val="0"/>
          <w:bCs/>
          <w:color w:val="auto"/>
          <w:sz w:val="24"/>
          <w:szCs w:val="24"/>
          <w:highlight w:val="none"/>
          <w:lang w:val="zh-CN"/>
        </w:rPr>
        <w:t>本次磋商的最小单元为“包号”，供应商可根据自身的资质情况和经营范围对本次项目进行磋商，不得将其子目再行分解或只对本次项目中的品目进行不完全磋商，任何不完全的响应将会被拒绝。</w:t>
      </w:r>
    </w:p>
    <w:p w14:paraId="355F0422">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竞争性磋商响应文件</w:t>
      </w:r>
      <w:r>
        <w:rPr>
          <w:rFonts w:hint="eastAsia" w:ascii="宋体" w:hAnsi="宋体" w:eastAsia="宋体" w:cs="宋体"/>
          <w:b/>
          <w:color w:val="auto"/>
          <w:sz w:val="24"/>
          <w:szCs w:val="24"/>
          <w:highlight w:val="none"/>
        </w:rPr>
        <w:t xml:space="preserve">格式 </w:t>
      </w:r>
    </w:p>
    <w:p w14:paraId="7D50DBC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供应商应按照</w:t>
      </w:r>
      <w:r>
        <w:rPr>
          <w:rFonts w:hint="eastAsia" w:ascii="宋体" w:hAnsi="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中第</w:t>
      </w:r>
      <w:r>
        <w:rPr>
          <w:rFonts w:hint="eastAsia" w:ascii="宋体" w:hAnsi="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rPr>
        <w:t>章“</w:t>
      </w:r>
      <w:r>
        <w:rPr>
          <w:rFonts w:hint="eastAsia" w:ascii="宋体" w:hAnsi="宋体" w:cs="宋体"/>
          <w:b w:val="0"/>
          <w:bCs/>
          <w:color w:val="auto"/>
          <w:sz w:val="24"/>
          <w:szCs w:val="24"/>
          <w:highlight w:val="none"/>
          <w:lang w:eastAsia="zh-CN"/>
        </w:rPr>
        <w:t>竞争性磋商响应文件</w:t>
      </w:r>
      <w:r>
        <w:rPr>
          <w:rFonts w:hint="eastAsia" w:ascii="宋体" w:hAnsi="宋体" w:eastAsia="宋体" w:cs="宋体"/>
          <w:b w:val="0"/>
          <w:bCs/>
          <w:color w:val="auto"/>
          <w:sz w:val="24"/>
          <w:szCs w:val="24"/>
          <w:highlight w:val="none"/>
        </w:rPr>
        <w:t>格式及构成”所提供的格式和要求制作</w:t>
      </w:r>
      <w:r>
        <w:rPr>
          <w:rFonts w:hint="eastAsia" w:ascii="宋体" w:hAnsi="宋体" w:cs="宋体"/>
          <w:b w:val="0"/>
          <w:bCs/>
          <w:color w:val="auto"/>
          <w:sz w:val="24"/>
          <w:szCs w:val="24"/>
          <w:highlight w:val="none"/>
          <w:lang w:eastAsia="zh-CN"/>
        </w:rPr>
        <w:t>竞争性磋商响应文件</w:t>
      </w:r>
      <w:r>
        <w:rPr>
          <w:rFonts w:hint="eastAsia" w:ascii="宋体" w:hAnsi="宋体" w:eastAsia="宋体" w:cs="宋体"/>
          <w:b w:val="0"/>
          <w:bCs/>
          <w:color w:val="auto"/>
          <w:sz w:val="24"/>
          <w:szCs w:val="24"/>
          <w:highlight w:val="none"/>
        </w:rPr>
        <w:t>，明确表达磋商意愿，详细说明磋商方案、承诺及价格。</w:t>
      </w:r>
    </w:p>
    <w:p w14:paraId="5140229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.2</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按</w:t>
      </w:r>
      <w:r>
        <w:rPr>
          <w:rFonts w:hint="eastAsia" w:ascii="宋体" w:hAnsi="宋体" w:cs="宋体"/>
          <w:b w:val="0"/>
          <w:bCs/>
          <w:color w:val="auto"/>
          <w:sz w:val="24"/>
          <w:szCs w:val="24"/>
          <w:highlight w:val="none"/>
          <w:lang w:eastAsia="zh-CN"/>
        </w:rPr>
        <w:t>竞争性磋商文件</w:t>
      </w:r>
      <w:r>
        <w:rPr>
          <w:rFonts w:hint="eastAsia" w:ascii="宋体" w:hAnsi="宋体" w:cs="宋体"/>
          <w:b w:val="0"/>
          <w:bCs/>
          <w:color w:val="auto"/>
          <w:sz w:val="24"/>
          <w:szCs w:val="24"/>
          <w:highlight w:val="none"/>
          <w:lang w:val="en-US" w:eastAsia="zh-CN"/>
        </w:rPr>
        <w:t>第五章采购内容及要求</w:t>
      </w:r>
      <w:r>
        <w:rPr>
          <w:rFonts w:hint="eastAsia" w:ascii="宋体" w:hAnsi="宋体" w:eastAsia="宋体" w:cs="宋体"/>
          <w:b w:val="0"/>
          <w:bCs/>
          <w:color w:val="auto"/>
          <w:sz w:val="24"/>
          <w:szCs w:val="24"/>
          <w:highlight w:val="none"/>
        </w:rPr>
        <w:t>和第</w:t>
      </w:r>
      <w:r>
        <w:rPr>
          <w:rFonts w:hint="eastAsia" w:ascii="宋体" w:hAnsi="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rPr>
        <w:t>章提供的格式和要求编写其</w:t>
      </w:r>
      <w:r>
        <w:rPr>
          <w:rFonts w:hint="eastAsia" w:ascii="宋体" w:hAnsi="宋体" w:cs="宋体"/>
          <w:b w:val="0"/>
          <w:bCs/>
          <w:color w:val="auto"/>
          <w:sz w:val="24"/>
          <w:szCs w:val="24"/>
          <w:highlight w:val="none"/>
          <w:lang w:eastAsia="zh-CN"/>
        </w:rPr>
        <w:t>竞争性磋商响应文件</w:t>
      </w:r>
      <w:r>
        <w:rPr>
          <w:rFonts w:hint="eastAsia" w:ascii="宋体" w:hAnsi="宋体" w:eastAsia="宋体" w:cs="宋体"/>
          <w:b w:val="0"/>
          <w:bCs/>
          <w:color w:val="auto"/>
          <w:sz w:val="24"/>
          <w:szCs w:val="24"/>
          <w:highlight w:val="none"/>
        </w:rPr>
        <w:t>，供应商不得缺少或留空任何</w:t>
      </w:r>
      <w:r>
        <w:rPr>
          <w:rFonts w:hint="eastAsia" w:ascii="宋体" w:hAnsi="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要求填写的表格或提交的资料。</w:t>
      </w:r>
    </w:p>
    <w:p w14:paraId="3377F0E7">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lang w:val="zh-CN"/>
        </w:rPr>
        <w:t>磋商报价</w:t>
      </w:r>
    </w:p>
    <w:p w14:paraId="0746A6D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w:t>
      </w:r>
      <w:r>
        <w:rPr>
          <w:rFonts w:hint="eastAsia" w:ascii="宋体" w:hAnsi="宋体" w:eastAsia="宋体" w:cs="宋体"/>
          <w:b w:val="0"/>
          <w:bCs/>
          <w:color w:val="auto"/>
          <w:sz w:val="24"/>
          <w:szCs w:val="24"/>
          <w:highlight w:val="none"/>
          <w:lang w:val="en-US" w:eastAsia="zh-CN"/>
        </w:rPr>
        <w:t>供应商可自行到工地踏勘，以充分了解施工现场地理位置、环境情况、道路、存储空间、装卸限制以及任何其他足以影响</w:t>
      </w:r>
      <w:r>
        <w:rPr>
          <w:rFonts w:hint="eastAsia" w:ascii="宋体" w:hAnsi="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lang w:val="en-US" w:eastAsia="zh-CN"/>
        </w:rPr>
        <w:t>报价的情况，任何因忽视或误解工地情况而导致的索赔或工期延长申请将不被批准。凡因供应商对</w:t>
      </w:r>
      <w:r>
        <w:rPr>
          <w:rFonts w:hint="eastAsia" w:ascii="宋体" w:hAnsi="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lang w:val="en-US" w:eastAsia="zh-CN"/>
        </w:rPr>
        <w:t>文件阅读疏忽或误解，或因对施工现场、施工环境、市场行情等了解不清而造成的后果和风险，由供应商负责。在施工期间，要协调施工现场周边社会关系，不得以协调不力而影响工程进度，所发生的一切费用应在报价时加以考虑。</w:t>
      </w:r>
      <w:r>
        <w:rPr>
          <w:rFonts w:hint="eastAsia" w:ascii="宋体" w:hAnsi="宋体" w:eastAsia="宋体" w:cs="宋体"/>
          <w:color w:val="auto"/>
          <w:sz w:val="24"/>
          <w:szCs w:val="24"/>
          <w:highlight w:val="none"/>
          <w:lang w:val="zh-CN" w:eastAsia="zh-CN"/>
        </w:rPr>
        <w:t>供应商</w:t>
      </w:r>
      <w:r>
        <w:rPr>
          <w:rFonts w:hint="eastAsia" w:ascii="宋体" w:hAnsi="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lang w:val="en-US" w:eastAsia="zh-CN"/>
        </w:rPr>
        <w:t>报价</w:t>
      </w:r>
      <w:r>
        <w:rPr>
          <w:rFonts w:hint="eastAsia" w:ascii="宋体" w:hAnsi="宋体" w:eastAsia="宋体" w:cs="宋体"/>
          <w:color w:val="auto"/>
          <w:sz w:val="24"/>
          <w:szCs w:val="24"/>
          <w:highlight w:val="none"/>
          <w:lang w:val="zh-CN" w:eastAsia="zh-CN"/>
        </w:rPr>
        <w:t>均包括完成该工程的分部分项工程费、措施费、其他项目费用、利润、成本、规费、税金和供应商必须的其他费用以及合同中明示或暗示的所有风险、责任和义务等全部费用。</w:t>
      </w:r>
    </w:p>
    <w:p w14:paraId="6755E1FC">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14.2、</w:t>
      </w:r>
      <w:r>
        <w:rPr>
          <w:rFonts w:hint="eastAsia" w:ascii="宋体" w:hAnsi="宋体" w:cs="宋体"/>
          <w:color w:val="auto"/>
          <w:sz w:val="24"/>
          <w:szCs w:val="24"/>
          <w:highlight w:val="none"/>
          <w:lang w:val="en-US" w:eastAsia="zh-CN"/>
        </w:rPr>
        <w:t>本项目为固定综合单价招标，采购人最终以供应商实际完成的工程量据实结算。</w:t>
      </w:r>
    </w:p>
    <w:p w14:paraId="0D1A6FB5">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rPr>
        <w:t>14.</w:t>
      </w:r>
      <w:r>
        <w:rPr>
          <w:rFonts w:hint="eastAsia" w:ascii="宋体" w:hAnsi="宋体" w:cs="宋体"/>
          <w:color w:val="auto"/>
          <w:sz w:val="24"/>
          <w:szCs w:val="24"/>
          <w:lang w:val="en-US" w:eastAsia="zh-CN"/>
        </w:rPr>
        <w:t>3</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磋商</w:t>
      </w:r>
      <w:r>
        <w:rPr>
          <w:rFonts w:hint="eastAsia" w:ascii="宋体" w:hAnsi="宋体" w:cs="宋体"/>
          <w:color w:val="auto"/>
          <w:sz w:val="24"/>
          <w:szCs w:val="24"/>
          <w:lang w:val="zh-CN"/>
        </w:rPr>
        <w:t>报价不因市场因素、政府政策调整、费率调整和税收变化等而作任何调整，</w:t>
      </w:r>
      <w:r>
        <w:rPr>
          <w:rFonts w:hint="eastAsia" w:ascii="宋体" w:hAnsi="宋体" w:cs="宋体"/>
          <w:color w:val="auto"/>
          <w:sz w:val="24"/>
          <w:szCs w:val="24"/>
          <w:lang w:val="en-US" w:eastAsia="zh-CN"/>
        </w:rPr>
        <w:t>供应商</w:t>
      </w:r>
      <w:r>
        <w:rPr>
          <w:rFonts w:hint="eastAsia" w:ascii="宋体" w:hAnsi="宋体" w:cs="宋体"/>
          <w:color w:val="auto"/>
          <w:sz w:val="24"/>
          <w:szCs w:val="24"/>
          <w:lang w:val="zh-CN"/>
        </w:rPr>
        <w:t>应充分考虑到各种风险因素。</w:t>
      </w:r>
    </w:p>
    <w:p w14:paraId="2FCD941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hint="eastAsia" w:ascii="宋体" w:hAnsi="宋体" w:cs="宋体"/>
          <w:color w:val="auto"/>
          <w:sz w:val="24"/>
          <w:szCs w:val="24"/>
          <w:lang w:val="en-US" w:eastAsia="zh-CN"/>
        </w:rPr>
        <w:t>磋商</w:t>
      </w:r>
      <w:r>
        <w:rPr>
          <w:rFonts w:hint="eastAsia" w:ascii="宋体" w:hAnsi="宋体" w:cs="宋体"/>
          <w:color w:val="auto"/>
          <w:sz w:val="24"/>
          <w:szCs w:val="24"/>
          <w:highlight w:val="none"/>
        </w:rPr>
        <w:t>报价货币：人民币，单位:元。</w:t>
      </w:r>
    </w:p>
    <w:p w14:paraId="405BAAA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14.</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供应商不得以低于成本的报价参加</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val="zh-CN"/>
        </w:rPr>
        <w:t>。若</w:t>
      </w:r>
      <w:r>
        <w:rPr>
          <w:rFonts w:hint="eastAsia" w:ascii="宋体" w:hAnsi="宋体" w:cs="宋体"/>
          <w:color w:val="auto"/>
          <w:sz w:val="24"/>
          <w:szCs w:val="24"/>
          <w:highlight w:val="none"/>
          <w:lang w:val="en-US" w:eastAsia="zh-CN"/>
        </w:rPr>
        <w:t>磋商小组</w:t>
      </w:r>
      <w:r>
        <w:rPr>
          <w:rFonts w:hint="eastAsia" w:ascii="宋体" w:hAnsi="宋体" w:cs="宋体"/>
          <w:color w:val="auto"/>
          <w:sz w:val="24"/>
          <w:szCs w:val="24"/>
          <w:highlight w:val="none"/>
          <w:lang w:val="zh-CN"/>
        </w:rPr>
        <w:t>认为某个供应商的报价明显低于其他通过符合性审查的供应商的报价，有可能影响产品质量或者不能诚信履约的，应当要求其在</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val="zh-CN"/>
        </w:rPr>
        <w:t>现场合理的时间内提供书面说明，必要时提交相关证明材料；供应商不能证明其报价合理性的，</w:t>
      </w:r>
      <w:r>
        <w:rPr>
          <w:rFonts w:hint="eastAsia" w:ascii="宋体" w:hAnsi="宋体" w:cs="宋体"/>
          <w:color w:val="auto"/>
          <w:sz w:val="24"/>
          <w:szCs w:val="24"/>
          <w:highlight w:val="none"/>
          <w:lang w:val="en-US" w:eastAsia="zh-CN"/>
        </w:rPr>
        <w:t>磋商小组</w:t>
      </w:r>
      <w:r>
        <w:rPr>
          <w:rFonts w:hint="eastAsia" w:ascii="宋体" w:hAnsi="宋体" w:cs="宋体"/>
          <w:color w:val="auto"/>
          <w:sz w:val="24"/>
          <w:szCs w:val="24"/>
          <w:highlight w:val="none"/>
          <w:lang w:val="zh-CN"/>
        </w:rPr>
        <w:t>应将其作为无效投标处理。</w:t>
      </w:r>
    </w:p>
    <w:p w14:paraId="1EA8FE3C">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en-US" w:eastAsia="zh-CN"/>
        </w:rPr>
        <w:t>14.</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zh-CN"/>
        </w:rPr>
        <w:t>、</w:t>
      </w:r>
      <w:r>
        <w:rPr>
          <w:rFonts w:hint="eastAsia" w:ascii="宋体" w:hAnsi="宋体" w:eastAsia="宋体" w:cs="宋体"/>
          <w:b/>
          <w:bCs w:val="0"/>
          <w:color w:val="auto"/>
          <w:sz w:val="24"/>
          <w:szCs w:val="24"/>
          <w:highlight w:val="none"/>
        </w:rPr>
        <w:t>本次磋商采取二次报价，即：</w:t>
      </w:r>
      <w:r>
        <w:rPr>
          <w:rFonts w:hint="eastAsia" w:ascii="宋体" w:hAnsi="宋体" w:cs="宋体"/>
          <w:b/>
          <w:bCs w:val="0"/>
          <w:color w:val="auto"/>
          <w:sz w:val="24"/>
          <w:szCs w:val="24"/>
          <w:highlight w:val="none"/>
          <w:lang w:eastAsia="zh-CN"/>
        </w:rPr>
        <w:t>竞争性磋商响应文件</w:t>
      </w:r>
      <w:r>
        <w:rPr>
          <w:rFonts w:hint="eastAsia" w:ascii="宋体" w:hAnsi="宋体" w:eastAsia="宋体" w:cs="宋体"/>
          <w:b/>
          <w:bCs w:val="0"/>
          <w:color w:val="auto"/>
          <w:sz w:val="24"/>
          <w:szCs w:val="24"/>
          <w:highlight w:val="none"/>
        </w:rPr>
        <w:t>中的磋商总报价为第一次报价；在磋商供应商初审合格后，第一次报价为有效报价。通过初审的各供应商单位与磋商小组进行背靠背磋商后，在规定时间内，提交第二次报价，第二次报价即为最终报价。</w:t>
      </w:r>
    </w:p>
    <w:p w14:paraId="12951EE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14.</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zh-CN"/>
        </w:rPr>
        <w:t>、供应商在二次报价后</w:t>
      </w:r>
      <w:r>
        <w:rPr>
          <w:rFonts w:hint="eastAsia" w:ascii="宋体" w:hAnsi="宋体" w:cs="宋体"/>
          <w:b w:val="0"/>
          <w:bCs/>
          <w:color w:val="auto"/>
          <w:sz w:val="24"/>
          <w:szCs w:val="24"/>
          <w:highlight w:val="none"/>
          <w:lang w:val="zh-CN"/>
        </w:rPr>
        <w:t>，</w:t>
      </w:r>
      <w:r>
        <w:rPr>
          <w:rFonts w:hint="eastAsia" w:ascii="宋体" w:hAnsi="宋体" w:eastAsia="宋体" w:cs="宋体"/>
          <w:b w:val="0"/>
          <w:bCs/>
          <w:color w:val="auto"/>
          <w:sz w:val="24"/>
          <w:szCs w:val="24"/>
          <w:highlight w:val="none"/>
          <w:lang w:val="zh-CN"/>
        </w:rPr>
        <w:t>分项报价表中的各分项报价根据</w:t>
      </w:r>
      <w:r>
        <w:rPr>
          <w:rFonts w:hint="eastAsia" w:ascii="宋体" w:hAnsi="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lang w:val="zh-CN"/>
        </w:rPr>
        <w:t>二次总报价的下浮比例同比例下降。</w:t>
      </w:r>
    </w:p>
    <w:p w14:paraId="6AD213A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14.8、</w:t>
      </w:r>
      <w:r>
        <w:rPr>
          <w:rFonts w:hint="eastAsia" w:ascii="宋体" w:hAnsi="宋体" w:eastAsia="宋体" w:cs="宋体"/>
          <w:b w:val="0"/>
          <w:bCs/>
          <w:color w:val="auto"/>
          <w:sz w:val="24"/>
          <w:szCs w:val="24"/>
          <w:highlight w:val="none"/>
          <w:lang w:val="zh-CN"/>
        </w:rPr>
        <w:t>磋商后所确定的成交价格，在合同执行过程中，不得以任何理由变更。</w:t>
      </w:r>
    </w:p>
    <w:p w14:paraId="77A9550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14.</w:t>
      </w: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zh-CN"/>
        </w:rPr>
        <w:t>、第一次报价超出</w:t>
      </w:r>
      <w:r>
        <w:rPr>
          <w:rFonts w:hint="eastAsia" w:ascii="宋体" w:hAnsi="宋体" w:cs="宋体"/>
          <w:color w:val="auto"/>
          <w:sz w:val="24"/>
          <w:szCs w:val="24"/>
          <w:vertAlign w:val="baseline"/>
          <w:lang w:val="en-US" w:eastAsia="zh-CN"/>
        </w:rPr>
        <w:t>最高限价</w:t>
      </w:r>
      <w:r>
        <w:rPr>
          <w:rFonts w:hint="eastAsia" w:ascii="宋体" w:hAnsi="宋体" w:eastAsia="宋体" w:cs="宋体"/>
          <w:b w:val="0"/>
          <w:bCs/>
          <w:color w:val="auto"/>
          <w:sz w:val="24"/>
          <w:szCs w:val="24"/>
          <w:highlight w:val="none"/>
          <w:lang w:val="zh-CN"/>
        </w:rPr>
        <w:t>的供应商不进入下一步磋商程序。</w:t>
      </w:r>
    </w:p>
    <w:p w14:paraId="4DB52E3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14.</w:t>
      </w: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val="zh-CN"/>
        </w:rPr>
        <w:t>、本项目不公开任何一次报价。</w:t>
      </w:r>
    </w:p>
    <w:p w14:paraId="01CE25DA">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eastAsia="zh-CN"/>
        </w:rPr>
        <w:t>、证明供应商合格的资格证明文件</w:t>
      </w:r>
    </w:p>
    <w:p w14:paraId="413E6FD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供应商应按照</w:t>
      </w:r>
      <w:r>
        <w:rPr>
          <w:rFonts w:hint="eastAsia" w:ascii="宋体" w:hAnsi="宋体" w:cs="宋体"/>
          <w:color w:val="auto"/>
          <w:sz w:val="24"/>
          <w:szCs w:val="24"/>
          <w:highlight w:val="none"/>
          <w:lang w:val="zh-CN" w:eastAsia="zh-CN"/>
        </w:rPr>
        <w:t>竞争性磋商文件</w:t>
      </w:r>
      <w:r>
        <w:rPr>
          <w:rFonts w:hint="eastAsia" w:ascii="宋体" w:hAnsi="宋体" w:eastAsia="宋体" w:cs="宋体"/>
          <w:color w:val="auto"/>
          <w:sz w:val="24"/>
          <w:szCs w:val="24"/>
          <w:highlight w:val="none"/>
          <w:lang w:val="zh-CN" w:eastAsia="zh-CN"/>
        </w:rPr>
        <w:t>供应商须知前附表的要求，在</w:t>
      </w:r>
      <w:r>
        <w:rPr>
          <w:rFonts w:hint="eastAsia" w:ascii="宋体" w:hAnsi="宋体" w:cs="宋体"/>
          <w:color w:val="auto"/>
          <w:sz w:val="24"/>
          <w:szCs w:val="24"/>
          <w:highlight w:val="none"/>
          <w:lang w:val="zh-CN" w:eastAsia="zh-CN"/>
        </w:rPr>
        <w:t>竞争性磋商响应文件</w:t>
      </w:r>
      <w:r>
        <w:rPr>
          <w:rFonts w:hint="eastAsia" w:ascii="宋体" w:hAnsi="宋体" w:eastAsia="宋体" w:cs="宋体"/>
          <w:color w:val="auto"/>
          <w:sz w:val="24"/>
          <w:szCs w:val="24"/>
          <w:highlight w:val="none"/>
          <w:lang w:val="zh-CN" w:eastAsia="zh-CN"/>
        </w:rPr>
        <w:t>中提交合格的资格证明文件。如果资格证明文件不全或不合格的，其</w:t>
      </w:r>
      <w:r>
        <w:rPr>
          <w:rFonts w:hint="eastAsia" w:ascii="宋体" w:hAnsi="宋体" w:cs="宋体"/>
          <w:color w:val="auto"/>
          <w:sz w:val="24"/>
          <w:szCs w:val="24"/>
          <w:highlight w:val="none"/>
          <w:lang w:val="zh-CN" w:eastAsia="zh-CN"/>
        </w:rPr>
        <w:t>竞争性磋商响应文件</w:t>
      </w:r>
      <w:r>
        <w:rPr>
          <w:rFonts w:hint="eastAsia" w:ascii="宋体" w:hAnsi="宋体" w:eastAsia="宋体" w:cs="宋体"/>
          <w:color w:val="auto"/>
          <w:sz w:val="24"/>
          <w:szCs w:val="24"/>
          <w:highlight w:val="none"/>
          <w:lang w:val="zh-CN" w:eastAsia="zh-CN"/>
        </w:rPr>
        <w:t>将被作无效文件处理。</w:t>
      </w:r>
    </w:p>
    <w:p w14:paraId="05C0D40E">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eastAsia="zh-CN"/>
        </w:rPr>
        <w:t>保证金</w:t>
      </w:r>
    </w:p>
    <w:p w14:paraId="31ED2C2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.1、磋商保证金：本项目</w:t>
      </w:r>
      <w:r>
        <w:rPr>
          <w:rFonts w:hint="eastAsia" w:ascii="宋体" w:hAnsi="宋体" w:eastAsia="宋体" w:cs="宋体"/>
          <w:color w:val="auto"/>
          <w:sz w:val="24"/>
          <w:szCs w:val="24"/>
          <w:highlight w:val="none"/>
          <w:lang w:val="en-US" w:eastAsia="zh-CN"/>
        </w:rPr>
        <w:t>无</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eastAsia="zh-CN"/>
        </w:rPr>
        <w:t>保证金</w:t>
      </w:r>
      <w:r>
        <w:rPr>
          <w:rFonts w:hint="eastAsia" w:ascii="宋体" w:hAnsi="宋体" w:cs="宋体"/>
          <w:color w:val="auto"/>
          <w:sz w:val="24"/>
          <w:szCs w:val="24"/>
          <w:highlight w:val="none"/>
          <w:lang w:val="zh-CN" w:eastAsia="zh-CN"/>
        </w:rPr>
        <w:t>。</w:t>
      </w:r>
    </w:p>
    <w:p w14:paraId="23AE6C5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.2、履约保证金：本项目</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val="zh-CN" w:eastAsia="zh-CN"/>
        </w:rPr>
        <w:t>履约保证金</w:t>
      </w:r>
      <w:r>
        <w:rPr>
          <w:rFonts w:hint="eastAsia" w:ascii="宋体" w:hAnsi="宋体" w:cs="宋体"/>
          <w:color w:val="auto"/>
          <w:sz w:val="24"/>
          <w:szCs w:val="24"/>
          <w:highlight w:val="none"/>
          <w:lang w:val="zh-CN" w:eastAsia="zh-CN"/>
        </w:rPr>
        <w:t>。</w:t>
      </w:r>
    </w:p>
    <w:p w14:paraId="3A4D174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17</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磋商有效期</w:t>
      </w:r>
    </w:p>
    <w:p w14:paraId="05DAA9D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磋商有效期见磋商供应商须知前附表。磋商有效期短于此规定期限的磋商，将按无效磋商处理。</w:t>
      </w:r>
    </w:p>
    <w:p w14:paraId="4009DBD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2、在特殊情况下，在原磋商有效期期满之前，采购代理机构可向供应商提出延长磋商有效期的要求。这种要求与答复均应以书面的形式。供应商可以拒绝采购代理机构的这种要求。同意延长的供应商既不能要求也不允许修改其</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w:t>
      </w:r>
    </w:p>
    <w:p w14:paraId="3F1D0EB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en-US" w:eastAsia="zh-CN"/>
        </w:rPr>
        <w:t>17.3、</w:t>
      </w:r>
      <w:r>
        <w:rPr>
          <w:rFonts w:hint="eastAsia" w:ascii="宋体" w:hAnsi="宋体" w:cs="宋体"/>
          <w:b/>
          <w:color w:val="auto"/>
          <w:sz w:val="24"/>
          <w:szCs w:val="24"/>
          <w:highlight w:val="none"/>
          <w:lang w:val="zh-CN"/>
        </w:rPr>
        <w:t>竞争性磋商响应文件</w:t>
      </w:r>
      <w:r>
        <w:rPr>
          <w:rFonts w:hint="eastAsia" w:ascii="宋体" w:hAnsi="宋体" w:eastAsia="宋体" w:cs="宋体"/>
          <w:b/>
          <w:color w:val="auto"/>
          <w:sz w:val="24"/>
          <w:szCs w:val="24"/>
          <w:highlight w:val="none"/>
          <w:lang w:val="zh-CN"/>
        </w:rPr>
        <w:t>有效期为自磋商截止日起90日历天，成交供应商的</w:t>
      </w:r>
      <w:r>
        <w:rPr>
          <w:rFonts w:hint="eastAsia" w:ascii="宋体" w:hAnsi="宋体" w:cs="宋体"/>
          <w:b/>
          <w:color w:val="auto"/>
          <w:sz w:val="24"/>
          <w:szCs w:val="24"/>
          <w:highlight w:val="none"/>
          <w:lang w:val="zh-CN"/>
        </w:rPr>
        <w:t>竞争性磋商响应文件</w:t>
      </w:r>
      <w:r>
        <w:rPr>
          <w:rFonts w:hint="eastAsia" w:ascii="宋体" w:hAnsi="宋体" w:eastAsia="宋体" w:cs="宋体"/>
          <w:b/>
          <w:color w:val="auto"/>
          <w:sz w:val="24"/>
          <w:szCs w:val="24"/>
          <w:highlight w:val="none"/>
          <w:lang w:val="zh-CN"/>
        </w:rPr>
        <w:t>有效期自动延长至合同执行完毕。</w:t>
      </w:r>
    </w:p>
    <w:p w14:paraId="0F8CC508">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18</w:t>
      </w:r>
      <w:r>
        <w:rPr>
          <w:rFonts w:hint="eastAsia" w:ascii="宋体" w:hAnsi="宋体" w:eastAsia="宋体" w:cs="宋体"/>
          <w:b/>
          <w:color w:val="auto"/>
          <w:sz w:val="24"/>
          <w:szCs w:val="24"/>
          <w:highlight w:val="none"/>
          <w:lang w:val="zh-CN"/>
        </w:rPr>
        <w:t>、</w:t>
      </w:r>
      <w:r>
        <w:rPr>
          <w:rFonts w:hint="eastAsia" w:ascii="宋体" w:hAnsi="宋体" w:cs="宋体"/>
          <w:b/>
          <w:color w:val="auto"/>
          <w:sz w:val="24"/>
          <w:szCs w:val="24"/>
          <w:highlight w:val="none"/>
          <w:lang w:val="zh-CN"/>
        </w:rPr>
        <w:t>竞争性磋商响应文件</w:t>
      </w:r>
      <w:r>
        <w:rPr>
          <w:rFonts w:hint="eastAsia" w:ascii="宋体" w:hAnsi="宋体" w:eastAsia="宋体" w:cs="宋体"/>
          <w:b/>
          <w:color w:val="auto"/>
          <w:sz w:val="24"/>
          <w:szCs w:val="24"/>
          <w:highlight w:val="none"/>
          <w:lang w:val="zh-CN"/>
        </w:rPr>
        <w:t>的式样和签署</w:t>
      </w:r>
    </w:p>
    <w:p w14:paraId="50AD537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1、磋商供应商应填写全称，同时加盖磋商供应商单位印章。</w:t>
      </w:r>
    </w:p>
    <w:p w14:paraId="5720830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中需签字的地方按</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要求签字，需盖章的地方按</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要求盖章。</w:t>
      </w:r>
    </w:p>
    <w:p w14:paraId="709D7D4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cs="宋体"/>
          <w:b/>
          <w:color w:val="auto"/>
          <w:kern w:val="1"/>
          <w:sz w:val="24"/>
          <w:szCs w:val="24"/>
          <w:highlight w:val="none"/>
          <w:lang w:eastAsia="zh-CN"/>
        </w:rPr>
        <w:t>竞争性磋商响应文件</w:t>
      </w:r>
      <w:r>
        <w:rPr>
          <w:rFonts w:hint="eastAsia" w:ascii="宋体" w:hAnsi="宋体" w:eastAsia="宋体" w:cs="宋体"/>
          <w:b/>
          <w:color w:val="auto"/>
          <w:kern w:val="1"/>
          <w:sz w:val="24"/>
          <w:szCs w:val="24"/>
          <w:highlight w:val="none"/>
        </w:rPr>
        <w:t>（正本1份、副本</w:t>
      </w:r>
      <w:r>
        <w:rPr>
          <w:rFonts w:hint="eastAsia" w:ascii="宋体" w:hAnsi="宋体" w:cs="宋体"/>
          <w:b/>
          <w:color w:val="auto"/>
          <w:kern w:val="1"/>
          <w:sz w:val="24"/>
          <w:szCs w:val="24"/>
          <w:highlight w:val="none"/>
          <w:lang w:val="en-US" w:eastAsia="zh-CN"/>
        </w:rPr>
        <w:t>2</w:t>
      </w:r>
      <w:r>
        <w:rPr>
          <w:rFonts w:hint="eastAsia" w:ascii="宋体" w:hAnsi="宋体" w:eastAsia="宋体" w:cs="宋体"/>
          <w:b/>
          <w:color w:val="auto"/>
          <w:kern w:val="1"/>
          <w:sz w:val="24"/>
          <w:szCs w:val="24"/>
          <w:highlight w:val="none"/>
        </w:rPr>
        <w:t>份</w:t>
      </w:r>
      <w:r>
        <w:rPr>
          <w:rFonts w:hint="eastAsia" w:ascii="宋体" w:hAnsi="宋体" w:eastAsia="宋体" w:cs="宋体"/>
          <w:b/>
          <w:color w:val="auto"/>
          <w:kern w:val="1"/>
          <w:sz w:val="24"/>
          <w:szCs w:val="24"/>
          <w:highlight w:val="none"/>
          <w:lang w:eastAsia="zh-CN"/>
        </w:rPr>
        <w:t>、</w:t>
      </w:r>
      <w:r>
        <w:rPr>
          <w:rFonts w:hint="eastAsia" w:ascii="宋体" w:hAnsi="宋体" w:eastAsia="宋体" w:cs="宋体"/>
          <w:b/>
          <w:color w:val="auto"/>
          <w:kern w:val="1"/>
          <w:sz w:val="24"/>
          <w:szCs w:val="24"/>
          <w:highlight w:val="none"/>
          <w:lang w:val="en-US" w:eastAsia="zh-CN"/>
        </w:rPr>
        <w:t>电子文件U盘2份</w:t>
      </w:r>
      <w:r>
        <w:rPr>
          <w:rFonts w:hint="eastAsia" w:ascii="宋体" w:hAnsi="宋体" w:eastAsia="宋体" w:cs="宋体"/>
          <w:b/>
          <w:color w:val="auto"/>
          <w:kern w:val="1"/>
          <w:sz w:val="24"/>
          <w:szCs w:val="24"/>
          <w:highlight w:val="none"/>
        </w:rPr>
        <w:t>）</w:t>
      </w:r>
      <w:r>
        <w:rPr>
          <w:rFonts w:hint="eastAsia" w:ascii="宋体" w:hAnsi="宋体" w:eastAsia="宋体" w:cs="宋体"/>
          <w:color w:val="auto"/>
          <w:kern w:val="1"/>
          <w:sz w:val="24"/>
          <w:szCs w:val="24"/>
          <w:highlight w:val="none"/>
        </w:rPr>
        <w:t>，正、副本须用A4幅面纸张</w:t>
      </w:r>
      <w:r>
        <w:rPr>
          <w:rFonts w:hint="eastAsia" w:ascii="宋体" w:hAnsi="宋体" w:cs="宋体"/>
          <w:b/>
          <w:bCs/>
          <w:color w:val="auto"/>
          <w:kern w:val="1"/>
          <w:sz w:val="24"/>
          <w:szCs w:val="24"/>
          <w:lang w:val="en-US" w:eastAsia="zh-CN"/>
        </w:rPr>
        <w:t>双面</w:t>
      </w:r>
      <w:r>
        <w:rPr>
          <w:rFonts w:hint="eastAsia" w:ascii="宋体" w:hAnsi="宋体" w:cs="宋体"/>
          <w:b/>
          <w:bCs/>
          <w:color w:val="auto"/>
          <w:kern w:val="1"/>
          <w:sz w:val="24"/>
          <w:szCs w:val="24"/>
        </w:rPr>
        <w:t>打印</w:t>
      </w:r>
      <w:r>
        <w:rPr>
          <w:rFonts w:hint="eastAsia" w:ascii="宋体" w:hAnsi="宋体" w:eastAsia="宋体" w:cs="宋体"/>
          <w:color w:val="auto"/>
          <w:kern w:val="1"/>
          <w:sz w:val="24"/>
          <w:szCs w:val="24"/>
          <w:highlight w:val="none"/>
        </w:rPr>
        <w:t>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p>
    <w:p w14:paraId="219BC508">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color w:val="auto"/>
          <w:sz w:val="24"/>
          <w:szCs w:val="24"/>
          <w:highlight w:val="none"/>
          <w:lang w:val="zh-CN"/>
        </w:rPr>
      </w:pPr>
      <w:r>
        <w:rPr>
          <w:rFonts w:hint="eastAsia" w:ascii="宋体" w:hAnsi="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rPr>
        <w:t>4、</w:t>
      </w:r>
      <w:r>
        <w:rPr>
          <w:rFonts w:hint="eastAsia" w:ascii="宋体" w:hAnsi="宋体" w:eastAsia="宋体" w:cs="宋体"/>
          <w:b/>
          <w:bCs/>
          <w:color w:val="auto"/>
          <w:sz w:val="24"/>
          <w:szCs w:val="24"/>
          <w:highlight w:val="none"/>
          <w:lang w:val="zh-CN" w:eastAsia="zh-CN"/>
        </w:rPr>
        <w:t>响应文件电子版</w:t>
      </w:r>
      <w:r>
        <w:rPr>
          <w:rFonts w:hint="eastAsia" w:ascii="宋体" w:hAnsi="宋体" w:eastAsia="宋体" w:cs="宋体"/>
          <w:b/>
          <w:bCs/>
          <w:color w:val="auto"/>
          <w:sz w:val="24"/>
          <w:szCs w:val="24"/>
          <w:highlight w:val="none"/>
          <w:lang w:val="zh-CN"/>
        </w:rPr>
        <w:t>制作要求，电子文件与纸质正本竞争性磋商响应文件的内容应保持一致，具有同等法律效力，包含PDF格式和WORD格式，采用PDF格式的，有盖章和签字的文字页、证件等扫描文件一起编辑到PDF格式文件中，尤其是有盖章和签字的页不能遗漏，采用U盘刻录。</w:t>
      </w:r>
    </w:p>
    <w:p w14:paraId="420FE34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除各供应商对错处做必要修改外，不得行间插字、涂改和增删，如有修改错漏处，必须由供应商法定代表人（或其委托代理人）签字或盖章。</w:t>
      </w:r>
    </w:p>
    <w:p w14:paraId="3E4FBDE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因字迹潦草或表达不清所引起的后果由磋商供应商负责。</w:t>
      </w:r>
    </w:p>
    <w:p w14:paraId="545BE5E2">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19</w:t>
      </w:r>
      <w:r>
        <w:rPr>
          <w:rFonts w:hint="eastAsia" w:ascii="宋体" w:hAnsi="宋体" w:eastAsia="宋体" w:cs="宋体"/>
          <w:b/>
          <w:color w:val="auto"/>
          <w:sz w:val="24"/>
          <w:szCs w:val="24"/>
          <w:highlight w:val="none"/>
          <w:lang w:val="en-US" w:eastAsia="zh-CN"/>
        </w:rPr>
        <w:t>、踏勘和磋商预备会</w:t>
      </w:r>
    </w:p>
    <w:p w14:paraId="013F369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本项目不组织统一踏勘。</w:t>
      </w:r>
    </w:p>
    <w:p w14:paraId="6E4CFC0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本项目不召开磋商预备会，磋商供应商如有疑问，请以书面形式在规定时间内提交至代理机构。</w:t>
      </w:r>
    </w:p>
    <w:p w14:paraId="054BBC1A">
      <w:pPr>
        <w:pStyle w:val="3"/>
        <w:keepLines w:val="0"/>
        <w:pageBreakBefore w:val="0"/>
        <w:widowControl w:val="0"/>
        <w:tabs>
          <w:tab w:val="left" w:pos="576"/>
        </w:tabs>
        <w:kinsoku/>
        <w:wordWrap/>
        <w:overflowPunct/>
        <w:topLinePunct w:val="0"/>
        <w:autoSpaceDE/>
        <w:autoSpaceDN/>
        <w:bidi w:val="0"/>
        <w:spacing w:line="420" w:lineRule="exact"/>
        <w:ind w:left="0" w:leftChars="0"/>
        <w:jc w:val="center"/>
        <w:textAlignment w:val="auto"/>
        <w:rPr>
          <w:rFonts w:hint="eastAsia" w:ascii="宋体" w:hAnsi="宋体" w:eastAsia="宋体" w:cs="宋体"/>
          <w:b/>
          <w:color w:val="auto"/>
          <w:kern w:val="2"/>
          <w:sz w:val="28"/>
          <w:szCs w:val="28"/>
          <w:highlight w:val="none"/>
          <w:lang w:val="zh-CN" w:eastAsia="zh-CN" w:bidi="ar-SA"/>
        </w:rPr>
      </w:pPr>
      <w:bookmarkStart w:id="6" w:name="_Toc13486"/>
      <w:bookmarkStart w:id="7" w:name="_Toc7524491"/>
      <w:bookmarkStart w:id="8" w:name="_Toc29488"/>
      <w:bookmarkStart w:id="9" w:name="_Toc233435938"/>
      <w:bookmarkStart w:id="10" w:name="_Toc23618"/>
      <w:bookmarkStart w:id="11" w:name="_Toc5363"/>
      <w:bookmarkStart w:id="12" w:name="_Toc17826"/>
      <w:bookmarkStart w:id="13" w:name="_Toc10117"/>
      <w:bookmarkStart w:id="14" w:name="_Toc392236633"/>
      <w:bookmarkStart w:id="15" w:name="_Toc386965846"/>
      <w:bookmarkStart w:id="16" w:name="_Toc22633"/>
      <w:r>
        <w:rPr>
          <w:rFonts w:hint="eastAsia" w:ascii="宋体" w:hAnsi="宋体" w:eastAsia="宋体" w:cs="宋体"/>
          <w:b/>
          <w:color w:val="auto"/>
          <w:kern w:val="2"/>
          <w:sz w:val="28"/>
          <w:szCs w:val="28"/>
          <w:highlight w:val="none"/>
          <w:lang w:val="zh-CN" w:eastAsia="zh-CN" w:bidi="ar-SA"/>
        </w:rPr>
        <w:t>D、竞争性磋商响应文件的递交</w:t>
      </w:r>
      <w:bookmarkEnd w:id="6"/>
      <w:bookmarkEnd w:id="7"/>
      <w:bookmarkEnd w:id="8"/>
      <w:bookmarkEnd w:id="9"/>
      <w:bookmarkEnd w:id="10"/>
      <w:bookmarkEnd w:id="11"/>
      <w:bookmarkEnd w:id="12"/>
      <w:bookmarkEnd w:id="13"/>
      <w:bookmarkEnd w:id="14"/>
      <w:bookmarkEnd w:id="15"/>
      <w:bookmarkEnd w:id="16"/>
    </w:p>
    <w:p w14:paraId="42425D0E">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lang w:val="zh-CN"/>
        </w:rPr>
        <w:t>、</w:t>
      </w:r>
      <w:r>
        <w:rPr>
          <w:rFonts w:hint="eastAsia" w:ascii="宋体" w:hAnsi="宋体" w:cs="宋体"/>
          <w:b/>
          <w:bCs w:val="0"/>
          <w:color w:val="auto"/>
          <w:sz w:val="24"/>
          <w:szCs w:val="24"/>
          <w:highlight w:val="none"/>
          <w:lang w:val="zh-CN"/>
        </w:rPr>
        <w:t>竞争性磋商响应文件</w:t>
      </w:r>
      <w:r>
        <w:rPr>
          <w:rFonts w:hint="eastAsia" w:ascii="宋体" w:hAnsi="宋体" w:eastAsia="宋体" w:cs="宋体"/>
          <w:b/>
          <w:bCs w:val="0"/>
          <w:color w:val="auto"/>
          <w:sz w:val="24"/>
          <w:szCs w:val="24"/>
          <w:highlight w:val="none"/>
          <w:lang w:val="zh-CN"/>
        </w:rPr>
        <w:t>的密封、标记及递交</w:t>
      </w:r>
    </w:p>
    <w:p w14:paraId="7FD16EF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eastAsia="zh-CN"/>
        </w:rPr>
        <w:t>20</w:t>
      </w:r>
      <w:r>
        <w:rPr>
          <w:rFonts w:hint="eastAsia" w:ascii="宋体" w:hAnsi="宋体" w:eastAsia="宋体" w:cs="宋体"/>
          <w:b w:val="0"/>
          <w:bCs/>
          <w:color w:val="auto"/>
          <w:sz w:val="24"/>
          <w:szCs w:val="24"/>
          <w:highlight w:val="none"/>
          <w:lang w:val="zh-CN"/>
        </w:rPr>
        <w:t>.1</w:t>
      </w:r>
      <w:r>
        <w:rPr>
          <w:rFonts w:hint="eastAsia" w:ascii="宋体" w:hAnsi="宋体" w:cs="宋体"/>
          <w:b w:val="0"/>
          <w:bCs/>
          <w:color w:val="auto"/>
          <w:sz w:val="24"/>
          <w:szCs w:val="24"/>
          <w:highlight w:val="none"/>
          <w:lang w:val="zh-CN"/>
        </w:rPr>
        <w:t>、竞争性磋商响应文件</w:t>
      </w:r>
      <w:r>
        <w:rPr>
          <w:rFonts w:hint="eastAsia" w:ascii="宋体" w:hAnsi="宋体" w:eastAsia="宋体" w:cs="宋体"/>
          <w:b w:val="0"/>
          <w:bCs/>
          <w:color w:val="auto"/>
          <w:sz w:val="24"/>
          <w:szCs w:val="24"/>
          <w:highlight w:val="none"/>
          <w:lang w:val="zh-CN"/>
        </w:rPr>
        <w:t>应密封在密封袋内。正本单独密封在一个密封袋内，所有副本密封在一个密封袋内</w:t>
      </w:r>
      <w:r>
        <w:rPr>
          <w:rFonts w:hint="eastAsia" w:ascii="宋体" w:hAnsi="宋体" w:cs="宋体"/>
          <w:b w:val="0"/>
          <w:bCs/>
          <w:color w:val="auto"/>
          <w:sz w:val="24"/>
          <w:szCs w:val="24"/>
          <w:highlight w:val="none"/>
          <w:lang w:val="zh-CN"/>
        </w:rPr>
        <w:t>，</w:t>
      </w:r>
      <w:r>
        <w:rPr>
          <w:rFonts w:hint="eastAsia" w:ascii="宋体" w:hAnsi="宋体" w:cs="宋体"/>
          <w:b w:val="0"/>
          <w:bCs/>
          <w:color w:val="auto"/>
          <w:sz w:val="24"/>
          <w:szCs w:val="24"/>
          <w:highlight w:val="none"/>
          <w:lang w:val="en-US" w:eastAsia="zh-CN"/>
        </w:rPr>
        <w:t>电子版文件</w:t>
      </w:r>
      <w:r>
        <w:rPr>
          <w:rFonts w:hint="eastAsia" w:ascii="宋体" w:hAnsi="宋体" w:eastAsia="宋体" w:cs="宋体"/>
          <w:b w:val="0"/>
          <w:bCs/>
          <w:color w:val="auto"/>
          <w:sz w:val="24"/>
          <w:szCs w:val="24"/>
          <w:highlight w:val="none"/>
          <w:lang w:val="zh-CN"/>
        </w:rPr>
        <w:t>单独密封在一个密封袋内</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zh-CN"/>
        </w:rPr>
        <w:t>封袋封口处应加贴封条密封，并在封线处加盖公章（骑缝章）。</w:t>
      </w:r>
    </w:p>
    <w:p w14:paraId="3098F1C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eastAsia="zh-CN"/>
        </w:rPr>
        <w:t>20</w:t>
      </w:r>
      <w:r>
        <w:rPr>
          <w:rFonts w:hint="eastAsia" w:ascii="宋体" w:hAnsi="宋体" w:eastAsia="宋体" w:cs="宋体"/>
          <w:b w:val="0"/>
          <w:bCs/>
          <w:color w:val="auto"/>
          <w:sz w:val="24"/>
          <w:szCs w:val="24"/>
          <w:highlight w:val="none"/>
          <w:lang w:val="zh-CN"/>
        </w:rPr>
        <w:t>.2</w:t>
      </w:r>
      <w:r>
        <w:rPr>
          <w:rFonts w:hint="eastAsia" w:ascii="宋体" w:hAnsi="宋体" w:cs="宋体"/>
          <w:b w:val="0"/>
          <w:bCs/>
          <w:color w:val="auto"/>
          <w:sz w:val="24"/>
          <w:szCs w:val="24"/>
          <w:highlight w:val="none"/>
          <w:lang w:val="zh-CN"/>
        </w:rPr>
        <w:t>、</w:t>
      </w:r>
      <w:r>
        <w:rPr>
          <w:rFonts w:hint="eastAsia" w:ascii="宋体" w:hAnsi="宋体" w:eastAsia="宋体" w:cs="宋体"/>
          <w:b w:val="0"/>
          <w:bCs/>
          <w:color w:val="auto"/>
          <w:sz w:val="24"/>
          <w:szCs w:val="24"/>
          <w:highlight w:val="none"/>
          <w:lang w:val="zh-CN"/>
        </w:rPr>
        <w:t>封皮上写明：</w:t>
      </w:r>
    </w:p>
    <w:p w14:paraId="08A2B8B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14:paraId="398E053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项目编号：</w:t>
      </w:r>
    </w:p>
    <w:p w14:paraId="17E493F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p>
    <w:p w14:paraId="16ADF5C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在</w:t>
      </w:r>
      <w:r>
        <w:rPr>
          <w:rFonts w:hint="eastAsia" w:ascii="宋体" w:hAnsi="宋体" w:cs="宋体"/>
          <w:color w:val="auto"/>
          <w:sz w:val="24"/>
          <w:szCs w:val="24"/>
          <w:highlight w:val="none"/>
          <w:lang w:val="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年</w:t>
      </w:r>
      <w:r>
        <w:rPr>
          <w:rFonts w:hint="eastAsia" w:ascii="宋体" w:hAnsi="宋体" w:eastAsia="宋体" w:cs="宋体"/>
          <w:color w:val="auto"/>
          <w:sz w:val="24"/>
          <w:szCs w:val="24"/>
          <w:highlight w:val="none"/>
          <w:lang w:val="zh-CN"/>
        </w:rPr>
        <w:t xml:space="preserve">  月  日  时  分前“不得开启”字样</w:t>
      </w:r>
      <w:r>
        <w:rPr>
          <w:rFonts w:hint="eastAsia" w:ascii="宋体" w:hAnsi="宋体" w:cs="宋体"/>
          <w:color w:val="auto"/>
          <w:sz w:val="24"/>
          <w:szCs w:val="24"/>
          <w:highlight w:val="none"/>
          <w:lang w:val="zh-CN"/>
        </w:rPr>
        <w:t>。</w:t>
      </w:r>
    </w:p>
    <w:p w14:paraId="676D0343">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lang w:val="zh-CN" w:eastAsia="zh-CN"/>
        </w:rPr>
        <w:t>20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必须密封递交。对封装材料及样式不作特别规定，但供应商应当保证其封装的可靠性，不致因搬运、堆放等原因散开。所有密封袋/箱和</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封面须标明项目名称、采购项目编号、供应商名称及“正本”、“副本”</w:t>
      </w:r>
      <w:r>
        <w:rPr>
          <w:rFonts w:hint="eastAsia" w:ascii="宋体" w:hAnsi="宋体" w:cs="宋体"/>
          <w:color w:val="auto"/>
          <w:sz w:val="24"/>
          <w:szCs w:val="24"/>
          <w:highlight w:val="none"/>
          <w:lang w:val="en-US" w:eastAsia="zh-CN"/>
        </w:rPr>
        <w:t>或“电子文件”</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val="zh-CN"/>
        </w:rPr>
        <w:t>字样。</w:t>
      </w:r>
    </w:p>
    <w:p w14:paraId="1FB90CD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lang w:val="zh-CN" w:eastAsia="zh-CN"/>
        </w:rPr>
        <w:t>20</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未按要求密封和加写标记，采购代理机构应当拒收；采购代理机构对误投或过早启封的</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概不负责。</w:t>
      </w:r>
    </w:p>
    <w:p w14:paraId="4179216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zh-CN" w:eastAsia="zh-CN"/>
        </w:rPr>
        <w:t>20</w:t>
      </w:r>
      <w:r>
        <w:rPr>
          <w:rFonts w:hint="eastAsia" w:ascii="宋体" w:hAnsi="宋体" w:eastAsia="宋体" w:cs="宋体"/>
          <w:color w:val="auto"/>
          <w:sz w:val="24"/>
          <w:szCs w:val="24"/>
          <w:highlight w:val="none"/>
          <w:lang w:val="en-US" w:eastAsia="zh-CN"/>
        </w:rPr>
        <w:t>.5、供应商应按照竞争性磋商公告中规定的时间、地点，在规定的</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递交截止时间前将全部</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和磋商资料递交至采购代理机构接收人处。</w:t>
      </w:r>
    </w:p>
    <w:p w14:paraId="25AB298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zh-CN" w:eastAsia="zh-CN"/>
        </w:rPr>
        <w:t>20</w:t>
      </w:r>
      <w:r>
        <w:rPr>
          <w:rFonts w:hint="eastAsia" w:ascii="宋体" w:hAnsi="宋体" w:eastAsia="宋体" w:cs="宋体"/>
          <w:color w:val="auto"/>
          <w:sz w:val="24"/>
          <w:szCs w:val="24"/>
          <w:highlight w:val="none"/>
          <w:lang w:val="en-US" w:eastAsia="zh-CN"/>
        </w:rPr>
        <w:t>.6、采购代理机构在</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规定的</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递交截止时间前，只负责</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的接收、清点、造册登记工作，并请递交人签字确认，对其有效性不负任何责任。</w:t>
      </w:r>
    </w:p>
    <w:p w14:paraId="7A55621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zh-CN" w:eastAsia="zh-CN"/>
        </w:rPr>
        <w:t>20</w:t>
      </w:r>
      <w:r>
        <w:rPr>
          <w:rFonts w:hint="eastAsia" w:ascii="宋体" w:hAnsi="宋体" w:eastAsia="宋体" w:cs="宋体"/>
          <w:color w:val="auto"/>
          <w:sz w:val="24"/>
          <w:szCs w:val="24"/>
          <w:highlight w:val="none"/>
          <w:lang w:val="en-US" w:eastAsia="zh-CN"/>
        </w:rPr>
        <w:t>.7、无论供应商成交与否，其</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恕不退还。</w:t>
      </w:r>
    </w:p>
    <w:p w14:paraId="28F3C3D1">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、磋商截止时间</w:t>
      </w:r>
    </w:p>
    <w:p w14:paraId="54E22DE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.1、所有</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都必须按“</w:t>
      </w:r>
      <w:r>
        <w:rPr>
          <w:rFonts w:hint="eastAsia" w:ascii="宋体" w:hAnsi="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lang w:val="en-US" w:eastAsia="zh-CN"/>
        </w:rPr>
        <w:t>”中规定的统一递交</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时间送达“</w:t>
      </w:r>
      <w:r>
        <w:rPr>
          <w:rFonts w:hint="eastAsia" w:ascii="宋体" w:hAnsi="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lang w:val="en-US" w:eastAsia="zh-CN"/>
        </w:rPr>
        <w:t>”中规定的递交地址。</w:t>
      </w:r>
    </w:p>
    <w:p w14:paraId="25B14A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.2、出现因</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的修改推迟</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截止日期时，则按修改通知规定的时间递交。</w:t>
      </w:r>
    </w:p>
    <w:p w14:paraId="370DD18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.3、在</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递交截止时间之后递交的任何</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及资料将被拒绝接收。</w:t>
      </w:r>
    </w:p>
    <w:p w14:paraId="7220BDD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.4、拒绝接受以电报、电话、传真、电子邮件形式的投标。</w:t>
      </w:r>
    </w:p>
    <w:p w14:paraId="0CA21618">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zh-CN"/>
        </w:rPr>
        <w:t>、</w:t>
      </w:r>
      <w:r>
        <w:rPr>
          <w:rFonts w:hint="eastAsia" w:ascii="宋体" w:hAnsi="宋体" w:cs="宋体"/>
          <w:b/>
          <w:color w:val="auto"/>
          <w:kern w:val="1"/>
          <w:sz w:val="24"/>
          <w:szCs w:val="24"/>
          <w:highlight w:val="none"/>
          <w:lang w:eastAsia="zh-CN"/>
        </w:rPr>
        <w:t>竞争性磋商响应文件</w:t>
      </w:r>
      <w:r>
        <w:rPr>
          <w:rFonts w:hint="eastAsia" w:ascii="宋体" w:hAnsi="宋体" w:eastAsia="宋体" w:cs="宋体"/>
          <w:b/>
          <w:color w:val="auto"/>
          <w:kern w:val="1"/>
          <w:sz w:val="24"/>
          <w:szCs w:val="24"/>
          <w:highlight w:val="none"/>
        </w:rPr>
        <w:t>的修改</w:t>
      </w:r>
      <w:r>
        <w:rPr>
          <w:rFonts w:hint="eastAsia" w:ascii="宋体" w:hAnsi="宋体" w:cs="宋体"/>
          <w:b/>
          <w:color w:val="auto"/>
          <w:kern w:val="1"/>
          <w:sz w:val="24"/>
          <w:szCs w:val="24"/>
          <w:highlight w:val="none"/>
          <w:lang w:val="en-US" w:eastAsia="zh-CN"/>
        </w:rPr>
        <w:t>与</w:t>
      </w:r>
      <w:r>
        <w:rPr>
          <w:rFonts w:hint="eastAsia" w:ascii="宋体" w:hAnsi="宋体" w:eastAsia="宋体" w:cs="宋体"/>
          <w:b/>
          <w:color w:val="auto"/>
          <w:kern w:val="1"/>
          <w:sz w:val="24"/>
          <w:szCs w:val="24"/>
          <w:highlight w:val="none"/>
        </w:rPr>
        <w:t>撤回</w:t>
      </w:r>
    </w:p>
    <w:p w14:paraId="38465FB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22.1</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供应商在递交了竞争性磋商响应文件后，可以修改或撤回其竞争性磋商响应文件，但必须在规定的磋商截止时间前，以书面形式通知采购代理机构。</w:t>
      </w:r>
    </w:p>
    <w:p w14:paraId="5D16C65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22.2、供应商的修改书或撤回通知书，应由其法定代表人或被授权代表签署并盖单位公章。修改书应按</w:t>
      </w:r>
      <w:r>
        <w:rPr>
          <w:rFonts w:hint="eastAsia" w:ascii="宋体" w:hAnsi="宋体" w:cs="宋体"/>
          <w:color w:val="auto"/>
          <w:sz w:val="24"/>
          <w:szCs w:val="24"/>
          <w:lang w:val="zh-CN"/>
        </w:rPr>
        <w:t>供应商须知前附表</w:t>
      </w:r>
      <w:r>
        <w:rPr>
          <w:rFonts w:hint="eastAsia" w:ascii="宋体" w:hAnsi="宋体" w:cs="宋体"/>
          <w:color w:val="auto"/>
          <w:sz w:val="24"/>
          <w:szCs w:val="24"/>
          <w:highlight w:val="none"/>
          <w:lang w:val="en-US" w:eastAsia="zh-CN"/>
        </w:rPr>
        <w:t>的规定进行密封和标注，并在密封袋上标注“竞争性磋商响应文件修改”或“竞争性磋商响应文件撤回通知”字样，“修改文件”作为竞争性磋商响应文件的组成部分；采购代理机构不退还供应商已撤回的竞争性磋商响应文件（包括纸质和电子版）。</w:t>
      </w:r>
    </w:p>
    <w:p w14:paraId="7D513E23">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22.3、在磋商截止时间之后，供应商不得对其递交的竞争性磋商响应文件做任何修改或撤回。</w:t>
      </w:r>
    </w:p>
    <w:p w14:paraId="67CCF187">
      <w:pPr>
        <w:pStyle w:val="3"/>
        <w:keepLines w:val="0"/>
        <w:pageBreakBefore w:val="0"/>
        <w:widowControl w:val="0"/>
        <w:tabs>
          <w:tab w:val="left" w:pos="576"/>
        </w:tabs>
        <w:kinsoku/>
        <w:wordWrap/>
        <w:overflowPunct/>
        <w:topLinePunct w:val="0"/>
        <w:autoSpaceDE/>
        <w:autoSpaceDN/>
        <w:bidi w:val="0"/>
        <w:spacing w:line="420" w:lineRule="exact"/>
        <w:ind w:left="0" w:leftChars="0"/>
        <w:jc w:val="center"/>
        <w:textAlignment w:val="auto"/>
        <w:rPr>
          <w:rFonts w:hint="eastAsia" w:ascii="宋体" w:hAnsi="宋体" w:eastAsia="宋体" w:cs="宋体"/>
          <w:b/>
          <w:color w:val="auto"/>
          <w:kern w:val="2"/>
          <w:sz w:val="28"/>
          <w:szCs w:val="28"/>
          <w:highlight w:val="none"/>
          <w:lang w:val="zh-CN" w:eastAsia="zh-CN" w:bidi="ar-SA"/>
        </w:rPr>
      </w:pPr>
      <w:r>
        <w:rPr>
          <w:rFonts w:hint="eastAsia" w:ascii="宋体" w:hAnsi="宋体" w:eastAsia="宋体" w:cs="宋体"/>
          <w:b/>
          <w:color w:val="auto"/>
          <w:kern w:val="2"/>
          <w:sz w:val="28"/>
          <w:szCs w:val="28"/>
          <w:highlight w:val="none"/>
          <w:lang w:val="zh-CN" w:eastAsia="zh-CN" w:bidi="ar-SA"/>
        </w:rPr>
        <w:t>E、磋商及评审</w:t>
      </w:r>
    </w:p>
    <w:p w14:paraId="13AAE08A">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lang w:val="en-US" w:eastAsia="zh-CN"/>
        </w:rPr>
        <w:t>、磋商</w:t>
      </w:r>
      <w:r>
        <w:rPr>
          <w:rFonts w:hint="eastAsia" w:ascii="宋体" w:hAnsi="宋体" w:cs="宋体"/>
          <w:b/>
          <w:bCs/>
          <w:color w:val="auto"/>
          <w:sz w:val="24"/>
          <w:szCs w:val="24"/>
          <w:highlight w:val="none"/>
          <w:lang w:val="en-US" w:eastAsia="zh-CN"/>
        </w:rPr>
        <w:t>大会</w:t>
      </w:r>
    </w:p>
    <w:p w14:paraId="73B56BF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.1、采购代理机构按</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规定的时间、地点组织磋商。</w:t>
      </w:r>
    </w:p>
    <w:p w14:paraId="7D95657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.2、磋商大会由采购代理机构主持，采购人代表、磋商供应商等相关人员参加。</w:t>
      </w:r>
    </w:p>
    <w:p w14:paraId="7AC3C7E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.3、磋商供应商应派法定代表人或者授权代表出席开标会，参加开标的代表应签名报到，以证明其出席。磋商供应商的法定代表人或授权代表未出席开标会的，视为其认同磋商结果。</w:t>
      </w:r>
    </w:p>
    <w:p w14:paraId="465BFE3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.4、磋商大会程序：</w:t>
      </w:r>
    </w:p>
    <w:p w14:paraId="3DDC23D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宣布磋商大会现场纪律。</w:t>
      </w:r>
    </w:p>
    <w:p w14:paraId="3C280D6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公布递交</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的磋商供应商名称。</w:t>
      </w:r>
    </w:p>
    <w:p w14:paraId="25FF354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查验</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的密封情况。</w:t>
      </w:r>
    </w:p>
    <w:p w14:paraId="48080A9C">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.5、采购代理机构对开标过程做好记录，并存档备案。</w:t>
      </w:r>
    </w:p>
    <w:p w14:paraId="59DA524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评审程序</w:t>
      </w:r>
    </w:p>
    <w:p w14:paraId="228CBDFC">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初审、澄清有关问题、分别磋商、二次报价、比较与评审、推荐成交候选人名单的工作程序进行评审。在上一步评审中被认定为无效磋商者，不进入下一步的评审</w:t>
      </w:r>
      <w:r>
        <w:rPr>
          <w:rFonts w:hint="eastAsia" w:ascii="宋体" w:hAnsi="宋体" w:cs="宋体"/>
          <w:color w:val="auto"/>
          <w:sz w:val="24"/>
          <w:szCs w:val="24"/>
          <w:highlight w:val="none"/>
          <w:lang w:val="en-US" w:eastAsia="zh-CN"/>
        </w:rPr>
        <w:t>。</w:t>
      </w:r>
    </w:p>
    <w:p w14:paraId="53A2F624">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lang w:val="en-US" w:eastAsia="zh-CN"/>
        </w:rPr>
        <w:t>评审组织及评审原则</w:t>
      </w:r>
    </w:p>
    <w:p w14:paraId="0680129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按照《中华人民共和国政府采购法》及实施条例和关于印发《政府采购竞争性磋商采购方式管理暂行办法》的通知（财库</w:t>
      </w:r>
      <w:r>
        <w:rPr>
          <w:rFonts w:hint="eastAsia" w:ascii="宋体" w:hAnsi="宋体" w:cs="宋体"/>
          <w:color w:val="auto"/>
          <w:sz w:val="24"/>
          <w:szCs w:val="24"/>
          <w:highlight w:val="none"/>
        </w:rPr>
        <w:t>〔2014〕</w:t>
      </w:r>
      <w:r>
        <w:rPr>
          <w:rFonts w:hint="eastAsia" w:ascii="宋体" w:hAnsi="宋体" w:eastAsia="宋体" w:cs="宋体"/>
          <w:color w:val="auto"/>
          <w:sz w:val="24"/>
          <w:szCs w:val="24"/>
          <w:highlight w:val="none"/>
          <w:lang w:val="en-US" w:eastAsia="zh-CN"/>
        </w:rPr>
        <w:t>214号），依法组建磋商小组。磋商小组由采购人代表和评审专家组成，成员人数应当为3人以上单数，其中采购人代表须持有授权书。磋商小组按照</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规定的评审方法独立进行评审工作。</w:t>
      </w:r>
    </w:p>
    <w:p w14:paraId="41A7B92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和</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是评审的依据。在评审中，不得改变</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中规定的评审标准、方法和成交条件。</w:t>
      </w:r>
    </w:p>
    <w:p w14:paraId="280CDD4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在评审期间，对</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的范围或者改变</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的实质性内容。</w:t>
      </w:r>
    </w:p>
    <w:p w14:paraId="1D9D64B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如果供应商在澄清规定期限内，未能答复或拒绝答复磋商小组提出的澄清要求，将由磋商小组根据其</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按最大风险进行评审。</w:t>
      </w:r>
    </w:p>
    <w:p w14:paraId="4B861A0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磋商过程中的实质性变动：</w:t>
      </w:r>
    </w:p>
    <w:p w14:paraId="44DE224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62DD4F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（2）对竞争性磋商文件做出的实质性变动是磋商文件的有效组成部分，磋商小组应当及时以书面形式通知所有参加磋商的供应商。</w:t>
      </w:r>
    </w:p>
    <w:p w14:paraId="7C9B615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6、竞争性磋商响应文件</w:t>
      </w:r>
      <w:r>
        <w:rPr>
          <w:rFonts w:hint="eastAsia" w:ascii="宋体" w:hAnsi="宋体" w:eastAsia="宋体" w:cs="宋体"/>
          <w:b w:val="0"/>
          <w:bCs w:val="0"/>
          <w:color w:val="auto"/>
          <w:sz w:val="24"/>
          <w:szCs w:val="24"/>
          <w:highlight w:val="none"/>
          <w:lang w:val="en-US" w:eastAsia="zh-CN"/>
        </w:rPr>
        <w:t>的资格性</w:t>
      </w:r>
      <w:r>
        <w:rPr>
          <w:rFonts w:hint="eastAsia" w:ascii="宋体" w:hAnsi="宋体" w:cs="宋体"/>
          <w:b w:val="0"/>
          <w:bCs w:val="0"/>
          <w:color w:val="auto"/>
          <w:sz w:val="24"/>
          <w:szCs w:val="24"/>
          <w:highlight w:val="none"/>
          <w:lang w:val="en-US" w:eastAsia="zh-CN"/>
        </w:rPr>
        <w:t>审查</w:t>
      </w:r>
    </w:p>
    <w:p w14:paraId="1515039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开标结束后，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依据法律法规和</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的规定，对</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中的供应商资格证明文件进行审查，以确定供应商是否具备磋商资格。</w:t>
      </w:r>
    </w:p>
    <w:p w14:paraId="20E2802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出现下列情形的，</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将被视为无效：</w:t>
      </w:r>
    </w:p>
    <w:p w14:paraId="5086C0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1)不具备</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中规定的资格要求的；</w:t>
      </w:r>
    </w:p>
    <w:p w14:paraId="0B5B667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2)未按</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要求提供资格证明文件，或未按</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要求加盖公章的；</w:t>
      </w:r>
    </w:p>
    <w:p w14:paraId="044E000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3)监标人认为供应商的资格证明文件存在疑点，需提供更清晰有效的证明文件，供应商不能在规定时限内提供符合</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要求的证明文件的。</w:t>
      </w:r>
    </w:p>
    <w:p w14:paraId="1A32A1B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资格审查结束后，监标人应当对审查结果进行签字确认，并告知有关供应商未通过审查的原因。</w:t>
      </w:r>
    </w:p>
    <w:p w14:paraId="707997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通过资格审查的供应商不足3家的，不得进行符合性审查，应予以废标。</w:t>
      </w:r>
    </w:p>
    <w:p w14:paraId="3FEC576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关于信用记录的查询和使用</w:t>
      </w:r>
    </w:p>
    <w:p w14:paraId="12036C3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供应商不得为列入信用中国(www.creditchina.gov.cn)</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重大税收违法案件当事人名单记录或中国执行信息公开网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http://zxgk.court.gov.cn/shixin/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的失信被执行人名单记录</w:t>
      </w:r>
      <w:r>
        <w:rPr>
          <w:rFonts w:hint="eastAsia" w:ascii="宋体" w:hAnsi="宋体" w:cs="宋体"/>
          <w:color w:val="auto"/>
          <w:sz w:val="24"/>
          <w:szCs w:val="24"/>
          <w:highlight w:val="none"/>
        </w:rPr>
        <w:t>或中国政府采购网(www.ccgp.gov.cn)的政府采购严重违法失信行为记录名单。</w:t>
      </w:r>
    </w:p>
    <w:p w14:paraId="03B8851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供应商在参加政府采购活动前3年内因违法经营被禁止在一定期限内参加政府采购活动，期限届满的，可以参加政府采购活动的，但供应商应提供相关证明材料。</w:t>
      </w:r>
    </w:p>
    <w:p w14:paraId="3284FA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供应商信用记录及企业基本信息查询的时间段为“</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公告发布之日（含当日）至提交</w:t>
      </w:r>
      <w:r>
        <w:rPr>
          <w:rFonts w:hint="eastAsia" w:ascii="宋体" w:hAnsi="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截止之日（含当日）”。</w:t>
      </w:r>
    </w:p>
    <w:p w14:paraId="14B1A1C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两个以上的自然人、法人或者其他组织组成一个联合体，以一个供应商的身份共同参加政府采购活动的，应当对所有联合体成员进行信用记录查询，联合体成员</w:t>
      </w:r>
      <w:r>
        <w:rPr>
          <w:rFonts w:hint="eastAsia" w:ascii="宋体" w:hAnsi="宋体" w:eastAsia="宋体" w:cs="宋体"/>
          <w:color w:val="auto"/>
          <w:sz w:val="24"/>
          <w:szCs w:val="24"/>
          <w:highlight w:val="none"/>
          <w:lang w:val="en-US" w:eastAsia="zh-CN"/>
        </w:rPr>
        <w:t>存在不良信用记录的，视同联合体存在不良信用记录。</w:t>
      </w:r>
    </w:p>
    <w:p w14:paraId="383F62D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注：若供应商在失信行为记录名单中，则其</w:t>
      </w:r>
      <w:r>
        <w:rPr>
          <w:rFonts w:hint="eastAsia" w:ascii="宋体" w:hAnsi="宋体" w:cs="宋体"/>
          <w:b/>
          <w:bCs/>
          <w:color w:val="auto"/>
          <w:sz w:val="24"/>
          <w:szCs w:val="24"/>
          <w:highlight w:val="none"/>
          <w:lang w:val="en-US" w:eastAsia="zh-CN"/>
        </w:rPr>
        <w:t>竞争性磋商响应文件</w:t>
      </w:r>
      <w:r>
        <w:rPr>
          <w:rFonts w:hint="eastAsia" w:ascii="宋体" w:hAnsi="宋体" w:eastAsia="宋体" w:cs="宋体"/>
          <w:b/>
          <w:bCs/>
          <w:color w:val="auto"/>
          <w:sz w:val="24"/>
          <w:szCs w:val="24"/>
          <w:highlight w:val="none"/>
          <w:lang w:val="en-US" w:eastAsia="zh-CN"/>
        </w:rPr>
        <w:t>无效。采购代理机构将打印查询记录作为证据留存。</w:t>
      </w:r>
    </w:p>
    <w:p w14:paraId="71FF445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val="en-US" w:eastAsia="zh-CN"/>
        </w:rPr>
        <w:t>竞争性磋商响应文件</w:t>
      </w:r>
      <w:r>
        <w:rPr>
          <w:rFonts w:hint="eastAsia" w:ascii="宋体" w:hAnsi="宋体" w:eastAsia="宋体" w:cs="宋体"/>
          <w:b w:val="0"/>
          <w:bCs w:val="0"/>
          <w:color w:val="auto"/>
          <w:sz w:val="24"/>
          <w:szCs w:val="24"/>
          <w:highlight w:val="none"/>
          <w:lang w:val="en-US" w:eastAsia="zh-CN"/>
        </w:rPr>
        <w:t>的符合性审查</w:t>
      </w:r>
    </w:p>
    <w:p w14:paraId="74FFF70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磋商小组依据</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的规定，对</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的有效性、完整性和对</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的响应程度进行审查，以确定是否对</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的全部实质性要求做出响应。</w:t>
      </w:r>
    </w:p>
    <w:p w14:paraId="6AFBB82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磋商小组要审查每份</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是否实质上响应了</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的要求。实质上没有响应</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要求的</w:t>
      </w:r>
      <w:r>
        <w:rPr>
          <w:rFonts w:hint="eastAsia" w:ascii="宋体" w:hAnsi="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en-US" w:eastAsia="zh-CN"/>
        </w:rPr>
        <w:t>作无效响应处理，磋商小组应告知有关供应商未通过审查的原因。供应商不得通过修正或撤销不符之处而使其成为实质上响应。</w:t>
      </w:r>
    </w:p>
    <w:p w14:paraId="00CF285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25.9</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评审中，</w:t>
      </w:r>
      <w:r>
        <w:rPr>
          <w:rFonts w:hint="eastAsia" w:ascii="宋体" w:hAnsi="宋体" w:cs="宋体"/>
          <w:b w:val="0"/>
          <w:bCs w:val="0"/>
          <w:color w:val="auto"/>
          <w:sz w:val="24"/>
          <w:szCs w:val="24"/>
          <w:highlight w:val="none"/>
          <w:lang w:val="zh-CN" w:eastAsia="zh-CN"/>
        </w:rPr>
        <w:t>竞争性磋商响应文件</w:t>
      </w:r>
      <w:r>
        <w:rPr>
          <w:rFonts w:hint="eastAsia" w:ascii="宋体" w:hAnsi="宋体" w:eastAsia="宋体" w:cs="宋体"/>
          <w:b w:val="0"/>
          <w:bCs w:val="0"/>
          <w:color w:val="auto"/>
          <w:sz w:val="24"/>
          <w:szCs w:val="24"/>
          <w:highlight w:val="none"/>
          <w:lang w:val="zh-CN" w:eastAsia="zh-CN"/>
        </w:rPr>
        <w:t>出现下列情况，修正原则为：</w:t>
      </w:r>
    </w:p>
    <w:p w14:paraId="258B662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（1）第一次磋商报价表内容与磋商响应文件中对应内容不一致的，以第一次磋商报价表为准</w:t>
      </w:r>
      <w:r>
        <w:rPr>
          <w:rFonts w:hint="eastAsia" w:ascii="宋体" w:hAnsi="宋体" w:cs="宋体"/>
          <w:color w:val="auto"/>
          <w:sz w:val="24"/>
          <w:szCs w:val="24"/>
          <w:highlight w:val="none"/>
          <w:lang w:eastAsia="zh-CN"/>
        </w:rPr>
        <w:t>；</w:t>
      </w:r>
    </w:p>
    <w:p w14:paraId="593D5B3D">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报价的大写金额和小写金额不一致的，以大写金额为准；</w:t>
      </w:r>
    </w:p>
    <w:p w14:paraId="27995C6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总价金额与按单价汇总金额不一致的，以单价汇总金额为准；</w:t>
      </w:r>
    </w:p>
    <w:p w14:paraId="0BBF1ED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单价金额小数点有明显错位的，以总价为准，并修改单价；</w:t>
      </w:r>
    </w:p>
    <w:p w14:paraId="1BC3829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竞争性磋商响应文件</w:t>
      </w:r>
      <w:r>
        <w:rPr>
          <w:rFonts w:hint="eastAsia" w:ascii="宋体" w:hAnsi="宋体" w:eastAsia="宋体" w:cs="宋体"/>
          <w:color w:val="auto"/>
          <w:sz w:val="24"/>
          <w:szCs w:val="24"/>
          <w:highlight w:val="none"/>
          <w:lang w:val="zh-CN" w:eastAsia="zh-CN"/>
        </w:rPr>
        <w:t>正本与副本不一致的，以正本为准；</w:t>
      </w:r>
    </w:p>
    <w:p w14:paraId="0568A99D">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多处内容交叉不符时，以磋商小组评审结果为准；</w:t>
      </w:r>
    </w:p>
    <w:p w14:paraId="51029B21">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文字与图表不符时，以文字为准；</w:t>
      </w:r>
    </w:p>
    <w:p w14:paraId="6B3B199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磋商供应商不同意以上修正，则其投标将被拒绝。磋商供应商同意后，按上述规定修正后的报价对磋商供应商起约束作用。</w:t>
      </w:r>
    </w:p>
    <w:p w14:paraId="6EC520A1">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.10、在详细评审之前，磋商小组要审查每份</w:t>
      </w:r>
      <w:r>
        <w:rPr>
          <w:rFonts w:hint="eastAsia" w:ascii="宋体" w:hAnsi="宋体" w:cs="宋体"/>
          <w:b w:val="0"/>
          <w:bCs w:val="0"/>
          <w:color w:val="auto"/>
          <w:sz w:val="24"/>
          <w:szCs w:val="24"/>
          <w:highlight w:val="none"/>
          <w:lang w:val="en-US" w:eastAsia="zh-CN"/>
        </w:rPr>
        <w:t>竞争性磋商响应文件</w:t>
      </w:r>
      <w:r>
        <w:rPr>
          <w:rFonts w:hint="eastAsia" w:ascii="宋体" w:hAnsi="宋体" w:eastAsia="宋体" w:cs="宋体"/>
          <w:b w:val="0"/>
          <w:bCs w:val="0"/>
          <w:color w:val="auto"/>
          <w:sz w:val="24"/>
          <w:szCs w:val="24"/>
          <w:highlight w:val="none"/>
          <w:lang w:val="en-US" w:eastAsia="zh-CN"/>
        </w:rPr>
        <w:t>是否实质上响应了</w:t>
      </w:r>
      <w:r>
        <w:rPr>
          <w:rFonts w:hint="eastAsia" w:ascii="宋体" w:hAnsi="宋体" w:cs="宋体"/>
          <w:b w:val="0"/>
          <w:bCs w:val="0"/>
          <w:color w:val="auto"/>
          <w:sz w:val="24"/>
          <w:szCs w:val="24"/>
          <w:highlight w:val="none"/>
          <w:lang w:val="en-US" w:eastAsia="zh-CN"/>
        </w:rPr>
        <w:t>竞争性磋商文件</w:t>
      </w:r>
      <w:r>
        <w:rPr>
          <w:rFonts w:hint="eastAsia" w:ascii="宋体" w:hAnsi="宋体" w:eastAsia="宋体" w:cs="宋体"/>
          <w:b w:val="0"/>
          <w:bCs w:val="0"/>
          <w:color w:val="auto"/>
          <w:sz w:val="24"/>
          <w:szCs w:val="24"/>
          <w:highlight w:val="none"/>
          <w:lang w:val="en-US" w:eastAsia="zh-CN"/>
        </w:rPr>
        <w:t>的要求。实质上响应的磋商应该是与</w:t>
      </w:r>
      <w:r>
        <w:rPr>
          <w:rFonts w:hint="eastAsia" w:ascii="宋体" w:hAnsi="宋体" w:cs="宋体"/>
          <w:b w:val="0"/>
          <w:bCs w:val="0"/>
          <w:color w:val="auto"/>
          <w:sz w:val="24"/>
          <w:szCs w:val="24"/>
          <w:highlight w:val="none"/>
          <w:lang w:val="en-US" w:eastAsia="zh-CN"/>
        </w:rPr>
        <w:t>竞争性磋商文件</w:t>
      </w:r>
      <w:r>
        <w:rPr>
          <w:rFonts w:hint="eastAsia" w:ascii="宋体" w:hAnsi="宋体" w:eastAsia="宋体" w:cs="宋体"/>
          <w:b w:val="0"/>
          <w:bCs w:val="0"/>
          <w:color w:val="auto"/>
          <w:sz w:val="24"/>
          <w:szCs w:val="24"/>
          <w:highlight w:val="none"/>
          <w:lang w:val="en-US" w:eastAsia="zh-CN"/>
        </w:rPr>
        <w:t>要求的全部条款、条件和规格参数相符，没有重大偏离的磋商。对关键条文的偏离、保留或反对将被认为是实质上的偏离。磋商小组决定磋商的响应性只根据</w:t>
      </w:r>
      <w:r>
        <w:rPr>
          <w:rFonts w:hint="eastAsia" w:ascii="宋体" w:hAnsi="宋体" w:cs="宋体"/>
          <w:b w:val="0"/>
          <w:bCs w:val="0"/>
          <w:color w:val="auto"/>
          <w:sz w:val="24"/>
          <w:szCs w:val="24"/>
          <w:highlight w:val="none"/>
          <w:lang w:val="en-US" w:eastAsia="zh-CN"/>
        </w:rPr>
        <w:t>竞争性磋商响应文件</w:t>
      </w:r>
      <w:r>
        <w:rPr>
          <w:rFonts w:hint="eastAsia" w:ascii="宋体" w:hAnsi="宋体" w:eastAsia="宋体" w:cs="宋体"/>
          <w:b w:val="0"/>
          <w:bCs w:val="0"/>
          <w:color w:val="auto"/>
          <w:sz w:val="24"/>
          <w:szCs w:val="24"/>
          <w:highlight w:val="none"/>
          <w:lang w:val="en-US" w:eastAsia="zh-CN"/>
        </w:rPr>
        <w:t>本身的内容，而不寻求外部的证据。</w:t>
      </w:r>
    </w:p>
    <w:p w14:paraId="3B6B91C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val="zh-CN" w:eastAsia="zh-CN"/>
        </w:rPr>
        <w:t>凡审查、澄清、评价和比较投标的有关资料及被授标意见等内容，磋商小组成员均不得向磋商供应商</w:t>
      </w:r>
      <w:r>
        <w:rPr>
          <w:rFonts w:hint="eastAsia" w:ascii="宋体" w:hAnsi="宋体" w:eastAsia="宋体" w:cs="宋体"/>
          <w:color w:val="auto"/>
          <w:sz w:val="24"/>
          <w:szCs w:val="24"/>
          <w:highlight w:val="none"/>
          <w:lang w:val="zh-CN" w:eastAsia="zh-CN"/>
        </w:rPr>
        <w:t xml:space="preserve">及与评标无关的其他人透露。 </w:t>
      </w:r>
    </w:p>
    <w:p w14:paraId="43D45CE0">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竞争性磋商响应文件</w:t>
      </w:r>
      <w:r>
        <w:rPr>
          <w:rFonts w:hint="eastAsia" w:ascii="宋体" w:hAnsi="宋体" w:eastAsia="宋体" w:cs="宋体"/>
          <w:b/>
          <w:bCs/>
          <w:color w:val="auto"/>
          <w:sz w:val="24"/>
          <w:szCs w:val="24"/>
          <w:highlight w:val="none"/>
          <w:lang w:val="zh-CN"/>
        </w:rPr>
        <w:t>的详细审查</w:t>
      </w:r>
    </w:p>
    <w:p w14:paraId="5C4C7B3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zh-CN"/>
        </w:rPr>
        <w:t>.1、经磋商确定最终采购需求和提交最后报价的供应商后，磋商小组采用综合评分法对提交最后报价的供应商的</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和最后报价进行综合评分。</w:t>
      </w:r>
    </w:p>
    <w:p w14:paraId="1C3BDB6F">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zh-CN"/>
        </w:rPr>
        <w:t>.2、综合评分法是指</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满足</w:t>
      </w:r>
      <w:r>
        <w:rPr>
          <w:rFonts w:hint="eastAsia" w:ascii="宋体" w:hAnsi="宋体" w:cs="宋体"/>
          <w:color w:val="auto"/>
          <w:sz w:val="24"/>
          <w:szCs w:val="24"/>
          <w:highlight w:val="none"/>
          <w:lang w:val="zh-CN"/>
        </w:rPr>
        <w:t>竞争性磋商文件</w:t>
      </w:r>
      <w:r>
        <w:rPr>
          <w:rFonts w:hint="eastAsia" w:ascii="宋体" w:hAnsi="宋体" w:eastAsia="宋体" w:cs="宋体"/>
          <w:color w:val="auto"/>
          <w:sz w:val="24"/>
          <w:szCs w:val="24"/>
          <w:highlight w:val="none"/>
          <w:lang w:val="zh-CN"/>
        </w:rPr>
        <w:t>全部实质性要求且按评审因素的量化指标评审得分最高的供应商为成交候选供应商的评审方法。</w:t>
      </w:r>
      <w:r>
        <w:rPr>
          <w:rFonts w:hint="eastAsia" w:ascii="宋体" w:hAnsi="宋体" w:cs="宋体"/>
          <w:color w:val="auto"/>
          <w:sz w:val="24"/>
          <w:szCs w:val="24"/>
          <w:highlight w:val="none"/>
          <w:lang w:val="zh-CN"/>
        </w:rPr>
        <w:t>竞争性磋商文件</w:t>
      </w:r>
      <w:r>
        <w:rPr>
          <w:rFonts w:hint="eastAsia" w:ascii="宋体" w:hAnsi="宋体" w:eastAsia="宋体" w:cs="宋体"/>
          <w:color w:val="auto"/>
          <w:sz w:val="24"/>
          <w:szCs w:val="24"/>
          <w:highlight w:val="none"/>
          <w:lang w:val="zh-CN"/>
        </w:rPr>
        <w:t>中没有规定的评审标准不得作为评审依据。</w:t>
      </w:r>
    </w:p>
    <w:p w14:paraId="3B43190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zh-CN"/>
        </w:rPr>
        <w:t>.3、磋商小组各成员应独立对每个有效</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w:t>
      </w:r>
      <w:r>
        <w:rPr>
          <w:rFonts w:hint="eastAsia" w:ascii="宋体" w:hAnsi="宋体" w:eastAsia="宋体" w:cs="宋体"/>
          <w:color w:val="auto"/>
          <w:sz w:val="24"/>
        </w:rPr>
        <w:t>按照</w:t>
      </w:r>
      <w:r>
        <w:rPr>
          <w:rFonts w:hint="eastAsia" w:ascii="宋体" w:hAnsi="宋体" w:cs="宋体"/>
          <w:color w:val="auto"/>
          <w:sz w:val="24"/>
          <w:lang w:eastAsia="zh-CN"/>
        </w:rPr>
        <w:t>评标</w:t>
      </w:r>
      <w:r>
        <w:rPr>
          <w:rFonts w:hint="eastAsia" w:ascii="宋体" w:hAnsi="宋体" w:eastAsia="宋体" w:cs="宋体"/>
          <w:color w:val="auto"/>
          <w:sz w:val="24"/>
        </w:rPr>
        <w:t>因素的量化指标</w:t>
      </w:r>
      <w:r>
        <w:rPr>
          <w:rFonts w:hint="eastAsia" w:ascii="宋体" w:hAnsi="宋体" w:cs="宋体"/>
          <w:color w:val="auto"/>
          <w:sz w:val="24"/>
          <w:lang w:eastAsia="zh-CN"/>
        </w:rPr>
        <w:t>评标</w:t>
      </w:r>
      <w:r>
        <w:rPr>
          <w:rFonts w:hint="eastAsia" w:ascii="宋体" w:hAnsi="宋体" w:eastAsia="宋体" w:cs="宋体"/>
          <w:color w:val="auto"/>
          <w:sz w:val="24"/>
        </w:rPr>
        <w:t>得分</w:t>
      </w:r>
      <w:r>
        <w:rPr>
          <w:rFonts w:hint="eastAsia" w:ascii="宋体" w:hAnsi="宋体" w:eastAsia="宋体" w:cs="宋体"/>
          <w:color w:val="auto"/>
          <w:sz w:val="24"/>
          <w:szCs w:val="24"/>
          <w:highlight w:val="none"/>
          <w:lang w:val="zh-CN"/>
        </w:rPr>
        <w:t>由高到低顺序推荐。</w:t>
      </w:r>
    </w:p>
    <w:p w14:paraId="0D4F7668">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zh-CN"/>
        </w:rPr>
        <w:t>.4、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14:paraId="781E603D">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rPr>
        <w:t>评审过程的保密</w:t>
      </w:r>
    </w:p>
    <w:p w14:paraId="168B955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磋商小组成员和与评审活动有关的工作人员不得泄露有关</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的评审和比较、成交候选人的推荐以及与评审有关的其他情况。</w:t>
      </w:r>
    </w:p>
    <w:p w14:paraId="2A915922">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rPr>
        <w:t>评审方法</w:t>
      </w:r>
    </w:p>
    <w:p w14:paraId="01D50C6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按照《中华人民共和国政府采购法》及实施条例和关于印发《政府采购竞争性磋商采购方式管理暂行办法》的通知（财库</w:t>
      </w:r>
      <w:r>
        <w:rPr>
          <w:rFonts w:hint="eastAsia" w:ascii="宋体" w:hAnsi="宋体" w:cs="宋体"/>
          <w:color w:val="auto"/>
          <w:sz w:val="24"/>
          <w:szCs w:val="24"/>
          <w:highlight w:val="none"/>
        </w:rPr>
        <w:t>〔2014〕</w:t>
      </w:r>
      <w:r>
        <w:rPr>
          <w:rFonts w:hint="eastAsia" w:ascii="宋体" w:hAnsi="宋体" w:eastAsia="宋体" w:cs="宋体"/>
          <w:color w:val="auto"/>
          <w:sz w:val="24"/>
          <w:szCs w:val="24"/>
          <w:highlight w:val="none"/>
          <w:lang w:val="zh-CN"/>
        </w:rPr>
        <w:t>214号），本次评审采用综合评分法，即在全部满足</w:t>
      </w:r>
      <w:r>
        <w:rPr>
          <w:rFonts w:hint="eastAsia" w:ascii="宋体" w:hAnsi="宋体" w:cs="宋体"/>
          <w:color w:val="auto"/>
          <w:sz w:val="24"/>
          <w:szCs w:val="24"/>
          <w:highlight w:val="none"/>
          <w:lang w:val="zh-CN"/>
        </w:rPr>
        <w:t>竞争性磋商文件</w:t>
      </w:r>
      <w:r>
        <w:rPr>
          <w:rFonts w:hint="eastAsia" w:ascii="宋体" w:hAnsi="宋体" w:eastAsia="宋体" w:cs="宋体"/>
          <w:color w:val="auto"/>
          <w:sz w:val="24"/>
          <w:szCs w:val="24"/>
          <w:highlight w:val="none"/>
          <w:lang w:val="zh-CN"/>
        </w:rPr>
        <w:t>实质性要求前提下，磋商小组应当根据综合评分情况，按照评审得分高低顺序</w:t>
      </w:r>
      <w:r>
        <w:rPr>
          <w:rFonts w:hint="eastAsia" w:ascii="宋体" w:hAnsi="宋体" w:cs="宋体"/>
          <w:color w:val="auto"/>
          <w:sz w:val="24"/>
          <w:szCs w:val="24"/>
          <w:highlight w:val="none"/>
          <w:lang w:val="en-US" w:eastAsia="zh-CN"/>
        </w:rPr>
        <w:t>推荐前三名</w:t>
      </w:r>
      <w:r>
        <w:rPr>
          <w:rFonts w:hint="eastAsia" w:ascii="宋体" w:hAnsi="宋体" w:eastAsia="宋体" w:cs="宋体"/>
          <w:color w:val="auto"/>
          <w:sz w:val="24"/>
          <w:szCs w:val="24"/>
          <w:highlight w:val="none"/>
          <w:lang w:val="zh-CN"/>
        </w:rPr>
        <w:t>成交候选人。</w:t>
      </w:r>
    </w:p>
    <w:p w14:paraId="00E1A6B5">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lang w:val="zh-CN"/>
        </w:rPr>
        <w:t>、磋商小组组成及职责</w:t>
      </w:r>
    </w:p>
    <w:p w14:paraId="516B75BA">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1、为确保评标工作公开、公平、公正，依法成立磋商小组。磋商小组由采购人</w:t>
      </w:r>
      <w:r>
        <w:rPr>
          <w:rFonts w:hint="eastAsia" w:ascii="宋体" w:hAnsi="宋体" w:cs="宋体"/>
          <w:color w:val="auto"/>
          <w:sz w:val="24"/>
          <w:szCs w:val="24"/>
          <w:highlight w:val="none"/>
          <w:lang w:val="en-US" w:eastAsia="zh-CN"/>
        </w:rPr>
        <w:t>代表</w:t>
      </w:r>
      <w:r>
        <w:rPr>
          <w:rFonts w:hint="eastAsia" w:ascii="宋体" w:hAnsi="宋体" w:eastAsia="宋体" w:cs="宋体"/>
          <w:color w:val="auto"/>
          <w:sz w:val="24"/>
          <w:szCs w:val="24"/>
          <w:highlight w:val="none"/>
          <w:lang w:val="zh-CN"/>
        </w:rPr>
        <w:t>及和评审专家共3人以上单数组成，其中评审专家人数不得不少于磋商小组成员总数的三分之二，评审专家在</w:t>
      </w:r>
      <w:r>
        <w:rPr>
          <w:rFonts w:hint="eastAsia" w:ascii="宋体" w:hAnsi="宋体" w:cs="宋体"/>
          <w:color w:val="auto"/>
          <w:sz w:val="24"/>
          <w:szCs w:val="24"/>
          <w:highlight w:val="none"/>
          <w:lang w:val="en-US" w:eastAsia="zh-CN"/>
        </w:rPr>
        <w:t>陕西省政府采购网</w:t>
      </w:r>
      <w:r>
        <w:rPr>
          <w:rFonts w:hint="eastAsia" w:ascii="宋体" w:hAnsi="宋体" w:eastAsia="宋体" w:cs="宋体"/>
          <w:color w:val="auto"/>
          <w:sz w:val="24"/>
          <w:szCs w:val="24"/>
          <w:highlight w:val="none"/>
          <w:lang w:val="zh-CN"/>
        </w:rPr>
        <w:t>专家库中随机抽取产生。</w:t>
      </w:r>
    </w:p>
    <w:p w14:paraId="1C8070A1">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2、磋商小组负责具体评审事务，并独立履行下列职责：</w:t>
      </w:r>
    </w:p>
    <w:p w14:paraId="00428F5A">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遵纪守法，客观、公正、廉洁地履行职责，审查</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是否符合</w:t>
      </w:r>
      <w:r>
        <w:rPr>
          <w:rFonts w:hint="eastAsia" w:ascii="宋体" w:hAnsi="宋体" w:cs="宋体"/>
          <w:color w:val="auto"/>
          <w:sz w:val="24"/>
          <w:szCs w:val="24"/>
          <w:highlight w:val="none"/>
          <w:lang w:val="zh-CN"/>
        </w:rPr>
        <w:t>竞争性磋商文件</w:t>
      </w:r>
      <w:r>
        <w:rPr>
          <w:rFonts w:hint="eastAsia" w:ascii="宋体" w:hAnsi="宋体" w:eastAsia="宋体" w:cs="宋体"/>
          <w:color w:val="auto"/>
          <w:sz w:val="24"/>
          <w:szCs w:val="24"/>
          <w:highlight w:val="none"/>
          <w:lang w:val="zh-CN"/>
        </w:rPr>
        <w:t>的要求，并做出评价；</w:t>
      </w:r>
    </w:p>
    <w:p w14:paraId="51B24C03">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要求供应商对</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有关事项作出解释或者澄清；</w:t>
      </w:r>
    </w:p>
    <w:p w14:paraId="29F9F264">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按照</w:t>
      </w:r>
      <w:r>
        <w:rPr>
          <w:rFonts w:hint="eastAsia" w:ascii="宋体" w:hAnsi="宋体" w:cs="宋体"/>
          <w:color w:val="auto"/>
          <w:sz w:val="24"/>
          <w:szCs w:val="24"/>
          <w:highlight w:val="none"/>
          <w:lang w:val="zh-CN"/>
        </w:rPr>
        <w:t>竞争性磋商文件</w:t>
      </w:r>
      <w:r>
        <w:rPr>
          <w:rFonts w:hint="eastAsia" w:ascii="宋体" w:hAnsi="宋体" w:eastAsia="宋体" w:cs="宋体"/>
          <w:color w:val="auto"/>
          <w:sz w:val="24"/>
          <w:szCs w:val="24"/>
          <w:highlight w:val="none"/>
          <w:lang w:val="zh-CN"/>
        </w:rPr>
        <w:t>的要求和磋商办法进行评审，推荐成交候选单位名单，对评审意见承担个人责任；</w:t>
      </w:r>
    </w:p>
    <w:p w14:paraId="33FBFEE0">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对评审过程和结果以及供应商的商业秘密保密；</w:t>
      </w:r>
    </w:p>
    <w:p w14:paraId="0931FCE9">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参与磋商结果报告的起草；</w:t>
      </w:r>
    </w:p>
    <w:p w14:paraId="7B7E29BD">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配合采购代理机构答复供应商提出的质疑；</w:t>
      </w:r>
    </w:p>
    <w:p w14:paraId="566B336B">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配合财政部门的投诉处理工作；</w:t>
      </w:r>
    </w:p>
    <w:p w14:paraId="19119C6D">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依据政府采购法有关精神，有权对磋商过程中出现的一切问题做出处理决定。</w:t>
      </w:r>
    </w:p>
    <w:p w14:paraId="6DD9E04B">
      <w:pPr>
        <w:keepNext w:val="0"/>
        <w:keepLines w:val="0"/>
        <w:pageBreakBefore w:val="0"/>
        <w:widowControl w:val="0"/>
        <w:shd w:val="clea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rPr>
        <w:t>磋商小组在评审过程中发现供应商有行贿、提供虚假材料或者串通等违法行为的，应当及时向财政部门报告。</w:t>
      </w:r>
    </w:p>
    <w:p w14:paraId="341A0235">
      <w:pPr>
        <w:keepNext w:val="0"/>
        <w:keepLines w:val="0"/>
        <w:pageBreakBefore w:val="0"/>
        <w:widowControl w:val="0"/>
        <w:shd w:val="clea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rPr>
        <w:t>磋商小组在评审过程中收到非法干涉的，应当及时向财政、监察等部门举报。</w:t>
      </w:r>
    </w:p>
    <w:p w14:paraId="12E05B6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lang w:val="en-US" w:eastAsia="zh-CN"/>
        </w:rPr>
        <w:t>.5、磋商小组成员应当按照客观、公正、审慎的原则，根据</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规定的评审程序、评审方法和评审标准进行独立评审。</w:t>
      </w:r>
    </w:p>
    <w:p w14:paraId="01FE2882">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zh-CN" w:eastAsia="zh-CN"/>
        </w:rPr>
        <w:t>、磋商小组的职能：</w:t>
      </w:r>
    </w:p>
    <w:p w14:paraId="0D046BF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1、对供应商</w:t>
      </w:r>
      <w:r>
        <w:rPr>
          <w:rFonts w:hint="eastAsia" w:ascii="宋体" w:hAnsi="宋体" w:cs="宋体"/>
          <w:color w:val="auto"/>
          <w:sz w:val="24"/>
          <w:szCs w:val="24"/>
          <w:highlight w:val="none"/>
          <w:lang w:val="zh-CN" w:eastAsia="zh-CN"/>
        </w:rPr>
        <w:t>竞争性磋商响应文件</w:t>
      </w:r>
      <w:r>
        <w:rPr>
          <w:rFonts w:hint="eastAsia" w:ascii="宋体" w:hAnsi="宋体" w:eastAsia="宋体" w:cs="宋体"/>
          <w:color w:val="auto"/>
          <w:sz w:val="24"/>
          <w:szCs w:val="24"/>
          <w:highlight w:val="none"/>
          <w:lang w:val="zh-CN" w:eastAsia="zh-CN"/>
        </w:rPr>
        <w:t>进行审查；</w:t>
      </w:r>
    </w:p>
    <w:p w14:paraId="4F02D22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2、与各供应商就</w:t>
      </w:r>
      <w:r>
        <w:rPr>
          <w:rFonts w:hint="eastAsia" w:ascii="宋体" w:hAnsi="宋体" w:cs="宋体"/>
          <w:color w:val="auto"/>
          <w:sz w:val="24"/>
          <w:szCs w:val="24"/>
          <w:highlight w:val="none"/>
          <w:lang w:val="zh-CN" w:eastAsia="zh-CN"/>
        </w:rPr>
        <w:t>竞争性磋商响应文件</w:t>
      </w:r>
      <w:r>
        <w:rPr>
          <w:rFonts w:hint="eastAsia" w:ascii="宋体" w:hAnsi="宋体" w:eastAsia="宋体" w:cs="宋体"/>
          <w:color w:val="auto"/>
          <w:sz w:val="24"/>
          <w:szCs w:val="24"/>
          <w:highlight w:val="none"/>
          <w:lang w:val="zh-CN" w:eastAsia="zh-CN"/>
        </w:rPr>
        <w:t>（含澄清、说明或补正的内容）中的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eastAsia="zh-CN"/>
        </w:rPr>
        <w:t>方案、磋商报价、同类业绩、</w:t>
      </w:r>
      <w:r>
        <w:rPr>
          <w:rFonts w:hint="eastAsia" w:ascii="宋体" w:hAnsi="宋体" w:cs="宋体"/>
          <w:color w:val="auto"/>
          <w:sz w:val="24"/>
          <w:szCs w:val="24"/>
          <w:highlight w:val="none"/>
          <w:lang w:val="en-US" w:eastAsia="zh-CN"/>
        </w:rPr>
        <w:t>履约能力</w:t>
      </w:r>
      <w:r>
        <w:rPr>
          <w:rFonts w:hint="eastAsia" w:ascii="宋体" w:hAnsi="宋体" w:eastAsia="宋体" w:cs="宋体"/>
          <w:color w:val="auto"/>
          <w:sz w:val="24"/>
          <w:szCs w:val="24"/>
          <w:highlight w:val="none"/>
          <w:lang w:val="zh-CN" w:eastAsia="zh-CN"/>
        </w:rPr>
        <w:t>等进行磋商；</w:t>
      </w:r>
    </w:p>
    <w:p w14:paraId="4A87E75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3、依据</w:t>
      </w:r>
      <w:r>
        <w:rPr>
          <w:rFonts w:hint="eastAsia" w:ascii="宋体" w:hAnsi="宋体" w:cs="宋体"/>
          <w:color w:val="auto"/>
          <w:sz w:val="24"/>
          <w:szCs w:val="24"/>
          <w:highlight w:val="none"/>
          <w:lang w:val="en-US" w:eastAsia="zh-CN"/>
        </w:rPr>
        <w:t>竞争性磋商</w:t>
      </w:r>
      <w:r>
        <w:rPr>
          <w:rFonts w:hint="eastAsia" w:ascii="宋体" w:hAnsi="宋体" w:eastAsia="宋体" w:cs="宋体"/>
          <w:color w:val="auto"/>
          <w:sz w:val="24"/>
          <w:szCs w:val="24"/>
          <w:highlight w:val="none"/>
          <w:lang w:val="zh-CN"/>
        </w:rPr>
        <w:t>文件，并视磋商情况，确定进入最终评审的供应商；</w:t>
      </w:r>
    </w:p>
    <w:p w14:paraId="59875DE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4、排</w:t>
      </w:r>
      <w:r>
        <w:rPr>
          <w:rFonts w:hint="eastAsia" w:ascii="宋体" w:hAnsi="宋体" w:eastAsia="宋体" w:cs="宋体"/>
          <w:color w:val="auto"/>
          <w:sz w:val="24"/>
          <w:szCs w:val="24"/>
          <w:highlight w:val="none"/>
          <w:lang w:val="zh-CN" w:eastAsia="zh-CN"/>
        </w:rPr>
        <w:t>序推荐</w:t>
      </w:r>
      <w:r>
        <w:rPr>
          <w:rFonts w:hint="eastAsia" w:ascii="宋体" w:hAnsi="宋体" w:eastAsia="宋体" w:cs="宋体"/>
          <w:color w:val="auto"/>
          <w:sz w:val="24"/>
          <w:szCs w:val="24"/>
          <w:highlight w:val="none"/>
          <w:lang w:val="en-US" w:eastAsia="zh-CN"/>
        </w:rPr>
        <w:t>候选</w:t>
      </w:r>
      <w:r>
        <w:rPr>
          <w:rFonts w:hint="eastAsia" w:ascii="宋体" w:hAnsi="宋体" w:eastAsia="宋体" w:cs="宋体"/>
          <w:color w:val="auto"/>
          <w:sz w:val="24"/>
          <w:szCs w:val="24"/>
          <w:highlight w:val="none"/>
          <w:lang w:val="zh-CN" w:eastAsia="zh-CN"/>
        </w:rPr>
        <w:t>成</w:t>
      </w:r>
      <w:r>
        <w:rPr>
          <w:rFonts w:hint="eastAsia" w:ascii="宋体" w:hAnsi="宋体" w:eastAsia="宋体" w:cs="宋体"/>
          <w:color w:val="auto"/>
          <w:sz w:val="24"/>
          <w:szCs w:val="24"/>
          <w:highlight w:val="none"/>
          <w:lang w:val="zh-CN"/>
        </w:rPr>
        <w:t>交供应商；</w:t>
      </w:r>
    </w:p>
    <w:p w14:paraId="7F28D40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5、协商处理磋商过程中出现的其它相关问题。</w:t>
      </w:r>
    </w:p>
    <w:p w14:paraId="07FEE59C">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lang w:val="zh-CN"/>
        </w:rPr>
        <w:t>、磋商小组及其成员不得有下列行为：</w:t>
      </w:r>
    </w:p>
    <w:p w14:paraId="3B30189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确定参与评审至评审结束前私自接触供应商；</w:t>
      </w:r>
    </w:p>
    <w:p w14:paraId="7F706D1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接受供应商提出的与</w:t>
      </w:r>
      <w:r>
        <w:rPr>
          <w:rFonts w:hint="eastAsia" w:ascii="宋体" w:hAnsi="宋体" w:cs="宋体"/>
          <w:color w:val="auto"/>
          <w:sz w:val="24"/>
          <w:szCs w:val="24"/>
          <w:highlight w:val="none"/>
          <w:lang w:val="zh-CN"/>
        </w:rPr>
        <w:t>竞争性磋商响应文件</w:t>
      </w:r>
      <w:r>
        <w:rPr>
          <w:rFonts w:hint="eastAsia" w:ascii="宋体" w:hAnsi="宋体" w:eastAsia="宋体" w:cs="宋体"/>
          <w:color w:val="auto"/>
          <w:sz w:val="24"/>
          <w:szCs w:val="24"/>
          <w:highlight w:val="none"/>
          <w:lang w:val="zh-CN"/>
        </w:rPr>
        <w:t>不一致的澄清或者说明，财政部第87号令第五十一条规定的情形除外；</w:t>
      </w:r>
    </w:p>
    <w:p w14:paraId="5A9DEBD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违反评审纪律发表倾向性意见或者征询采购人的倾向性意见；</w:t>
      </w:r>
    </w:p>
    <w:p w14:paraId="3115D18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对需要专业判断的主观评审因素协商评分；</w:t>
      </w:r>
    </w:p>
    <w:p w14:paraId="4D90A86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在评审过程中擅离职守，影响评审程序正常进行的；</w:t>
      </w:r>
    </w:p>
    <w:p w14:paraId="4C0C927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记录、复制或者带走任何评审资料；</w:t>
      </w:r>
    </w:p>
    <w:p w14:paraId="1E812AE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其他不遵守评审纪律的行为。</w:t>
      </w:r>
    </w:p>
    <w:p w14:paraId="222AA56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磋商小组成员有前五项行为之一的，其评审意见无效，并不得获取评审劳务报酬和报销异地评审差旅费。</w:t>
      </w:r>
    </w:p>
    <w:p w14:paraId="31E1910D">
      <w:pPr>
        <w:keepNext w:val="0"/>
        <w:keepLines w:val="0"/>
        <w:pageBreakBefore w:val="0"/>
        <w:widowControl w:val="0"/>
        <w:kinsoku/>
        <w:wordWrap/>
        <w:overflowPunct/>
        <w:topLinePunct w:val="0"/>
        <w:autoSpaceDE w:val="0"/>
        <w:autoSpaceDN w:val="0"/>
        <w:bidi w:val="0"/>
        <w:adjustRightInd w:val="0"/>
        <w:snapToGrid w:val="0"/>
        <w:spacing w:line="420" w:lineRule="exact"/>
        <w:ind w:firstLine="562" w:firstLineChars="200"/>
        <w:jc w:val="center"/>
        <w:textAlignment w:val="auto"/>
        <w:rPr>
          <w:rFonts w:hint="eastAsia" w:ascii="宋体" w:hAnsi="宋体" w:eastAsia="宋体" w:cs="宋体"/>
          <w:b/>
          <w:color w:val="auto"/>
          <w:sz w:val="24"/>
          <w:szCs w:val="24"/>
          <w:highlight w:val="none"/>
          <w:lang w:val="zh-CN" w:eastAsia="zh-CN"/>
        </w:rPr>
      </w:pPr>
      <w:bookmarkStart w:id="17" w:name="_Toc24411"/>
      <w:bookmarkStart w:id="18" w:name="_Toc233435947"/>
      <w:bookmarkStart w:id="19" w:name="_Toc392236645"/>
      <w:bookmarkStart w:id="20" w:name="_Toc26534"/>
      <w:bookmarkStart w:id="21" w:name="_Toc7524503"/>
      <w:bookmarkStart w:id="22" w:name="_Toc2781"/>
      <w:bookmarkStart w:id="23" w:name="_Toc2468"/>
      <w:bookmarkStart w:id="24" w:name="_Toc5977"/>
      <w:bookmarkStart w:id="25" w:name="_Toc29664"/>
      <w:bookmarkStart w:id="26" w:name="_Toc386965858"/>
      <w:bookmarkStart w:id="27" w:name="_Toc27212"/>
      <w:r>
        <w:rPr>
          <w:rFonts w:hint="eastAsia" w:ascii="宋体" w:hAnsi="宋体" w:eastAsia="宋体" w:cs="宋体"/>
          <w:b/>
          <w:bCs/>
          <w:color w:val="auto"/>
          <w:sz w:val="28"/>
          <w:szCs w:val="28"/>
          <w:highlight w:val="none"/>
        </w:rPr>
        <w:t>F</w:t>
      </w:r>
      <w:bookmarkStart w:id="28" w:name="_Hlt491765714"/>
      <w:bookmarkEnd w:id="28"/>
      <w:bookmarkStart w:id="29" w:name="_Hlt497547134"/>
      <w:bookmarkEnd w:id="29"/>
      <w:r>
        <w:rPr>
          <w:rFonts w:hint="eastAsia" w:ascii="宋体" w:hAnsi="宋体" w:eastAsia="宋体" w:cs="宋体"/>
          <w:b/>
          <w:bCs/>
          <w:color w:val="auto"/>
          <w:sz w:val="28"/>
          <w:szCs w:val="28"/>
          <w:highlight w:val="none"/>
          <w:lang w:eastAsia="zh-CN"/>
        </w:rPr>
        <w:t>、</w:t>
      </w:r>
      <w:bookmarkEnd w:id="17"/>
      <w:bookmarkEnd w:id="18"/>
      <w:bookmarkEnd w:id="19"/>
      <w:bookmarkEnd w:id="20"/>
      <w:bookmarkEnd w:id="21"/>
      <w:bookmarkEnd w:id="22"/>
      <w:bookmarkEnd w:id="23"/>
      <w:bookmarkEnd w:id="24"/>
      <w:bookmarkEnd w:id="25"/>
      <w:bookmarkEnd w:id="26"/>
      <w:bookmarkEnd w:id="27"/>
      <w:r>
        <w:rPr>
          <w:rFonts w:hint="eastAsia" w:ascii="宋体" w:hAnsi="宋体" w:eastAsia="宋体" w:cs="宋体"/>
          <w:b/>
          <w:bCs/>
          <w:color w:val="auto"/>
          <w:sz w:val="28"/>
          <w:szCs w:val="28"/>
          <w:highlight w:val="none"/>
          <w:lang w:val="en-US" w:eastAsia="zh-CN"/>
        </w:rPr>
        <w:t>确定中标</w:t>
      </w:r>
    </w:p>
    <w:p w14:paraId="68545BBF">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32</w:t>
      </w:r>
      <w:r>
        <w:rPr>
          <w:rFonts w:hint="eastAsia" w:ascii="宋体" w:hAnsi="宋体" w:eastAsia="宋体" w:cs="宋体"/>
          <w:b/>
          <w:color w:val="auto"/>
          <w:sz w:val="24"/>
          <w:szCs w:val="24"/>
          <w:highlight w:val="none"/>
          <w:lang w:val="zh-CN"/>
        </w:rPr>
        <w:t>、成交程序</w:t>
      </w:r>
    </w:p>
    <w:p w14:paraId="7BC9DEA0">
      <w:pPr>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磋商小组</w:t>
      </w:r>
      <w:r>
        <w:rPr>
          <w:rFonts w:hint="eastAsia" w:ascii="宋体" w:hAnsi="宋体" w:cs="宋体"/>
          <w:color w:val="auto"/>
          <w:sz w:val="24"/>
          <w:szCs w:val="24"/>
          <w:highlight w:val="none"/>
          <w:lang w:val="zh-CN"/>
        </w:rPr>
        <w:t>根据评标方法的规定对供应商进行评标排序，推荐</w:t>
      </w:r>
      <w:r>
        <w:rPr>
          <w:rFonts w:hint="eastAsia" w:ascii="宋体" w:hAnsi="宋体" w:cs="宋体"/>
          <w:color w:val="auto"/>
          <w:sz w:val="24"/>
          <w:szCs w:val="24"/>
          <w:highlight w:val="none"/>
          <w:lang w:val="en-US" w:eastAsia="zh-CN"/>
        </w:rPr>
        <w:t>前三名成交</w:t>
      </w:r>
      <w:r>
        <w:rPr>
          <w:rFonts w:hint="eastAsia" w:ascii="宋体" w:hAnsi="宋体" w:cs="宋体"/>
          <w:color w:val="auto"/>
          <w:sz w:val="24"/>
          <w:szCs w:val="24"/>
          <w:highlight w:val="none"/>
          <w:lang w:val="zh-CN"/>
        </w:rPr>
        <w:t>候选人，作为</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val="zh-CN"/>
        </w:rPr>
        <w:t>结果。采购人也可以授权</w:t>
      </w:r>
      <w:r>
        <w:rPr>
          <w:rFonts w:hint="eastAsia" w:ascii="宋体" w:hAnsi="宋体" w:cs="宋体"/>
          <w:color w:val="auto"/>
          <w:sz w:val="24"/>
          <w:szCs w:val="24"/>
          <w:highlight w:val="none"/>
          <w:lang w:val="en-US" w:eastAsia="zh-CN"/>
        </w:rPr>
        <w:t>磋商小组</w:t>
      </w:r>
      <w:r>
        <w:rPr>
          <w:rFonts w:hint="eastAsia" w:ascii="宋体" w:hAnsi="宋体" w:cs="宋体"/>
          <w:color w:val="auto"/>
          <w:sz w:val="24"/>
          <w:szCs w:val="24"/>
          <w:highlight w:val="none"/>
          <w:lang w:val="zh-CN"/>
        </w:rPr>
        <w:t>评标后直接确定</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zh-CN"/>
        </w:rPr>
        <w:t>供应商。</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val="zh-CN"/>
        </w:rPr>
        <w:t>结果由全体</w:t>
      </w:r>
      <w:r>
        <w:rPr>
          <w:rFonts w:hint="eastAsia" w:ascii="宋体" w:hAnsi="宋体" w:cs="宋体"/>
          <w:color w:val="auto"/>
          <w:sz w:val="24"/>
          <w:szCs w:val="24"/>
          <w:highlight w:val="none"/>
          <w:lang w:val="en-US" w:eastAsia="zh-CN"/>
        </w:rPr>
        <w:t>磋商小组成员</w:t>
      </w:r>
      <w:r>
        <w:rPr>
          <w:rFonts w:hint="eastAsia" w:ascii="宋体" w:hAnsi="宋体" w:cs="宋体"/>
          <w:color w:val="auto"/>
          <w:sz w:val="24"/>
          <w:szCs w:val="24"/>
          <w:highlight w:val="none"/>
          <w:lang w:val="zh-CN"/>
        </w:rPr>
        <w:t>签字确认。</w:t>
      </w:r>
    </w:p>
    <w:p w14:paraId="67276DCE">
      <w:pPr>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.2、采购代理机构在评标结束后2个工作日内将</w:t>
      </w:r>
      <w:r>
        <w:rPr>
          <w:rFonts w:hint="eastAsia" w:ascii="宋体" w:hAnsi="宋体" w:cs="宋体"/>
          <w:color w:val="auto"/>
          <w:sz w:val="24"/>
          <w:szCs w:val="24"/>
          <w:highlight w:val="none"/>
          <w:lang w:val="en-US" w:eastAsia="zh-CN"/>
        </w:rPr>
        <w:t>磋商报告</w:t>
      </w:r>
      <w:r>
        <w:rPr>
          <w:rFonts w:hint="eastAsia" w:ascii="宋体" w:hAnsi="宋体" w:cs="宋体"/>
          <w:color w:val="auto"/>
          <w:sz w:val="24"/>
          <w:szCs w:val="24"/>
          <w:highlight w:val="none"/>
          <w:lang w:val="zh-CN"/>
        </w:rPr>
        <w:t>送采购人。</w:t>
      </w:r>
    </w:p>
    <w:p w14:paraId="70E08C8C">
      <w:pPr>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lang w:val="zh-CN"/>
        </w:rPr>
        <w:t>.3、采购人在收到</w:t>
      </w:r>
      <w:r>
        <w:rPr>
          <w:rFonts w:hint="eastAsia" w:ascii="宋体" w:hAnsi="宋体" w:cs="宋体"/>
          <w:color w:val="auto"/>
          <w:sz w:val="24"/>
          <w:szCs w:val="24"/>
          <w:highlight w:val="none"/>
          <w:lang w:val="en-US" w:eastAsia="zh-CN"/>
        </w:rPr>
        <w:t>磋商报告</w:t>
      </w:r>
      <w:r>
        <w:rPr>
          <w:rFonts w:hint="eastAsia" w:ascii="宋体" w:hAnsi="宋体" w:cs="宋体"/>
          <w:color w:val="auto"/>
          <w:sz w:val="24"/>
          <w:szCs w:val="24"/>
          <w:highlight w:val="none"/>
          <w:lang w:val="zh-CN"/>
        </w:rPr>
        <w:t>后5个工作日内，</w:t>
      </w:r>
      <w:r>
        <w:rPr>
          <w:rFonts w:hint="eastAsia" w:ascii="宋体" w:hAnsi="宋体" w:eastAsia="宋体" w:cs="宋体"/>
          <w:color w:val="auto"/>
          <w:sz w:val="24"/>
          <w:szCs w:val="24"/>
          <w:lang w:val="zh-CN"/>
        </w:rPr>
        <w:t>采购人根据</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报告中推荐的成交候选人排列顺序，确定排名第一的为成交供应商</w:t>
      </w:r>
      <w:r>
        <w:rPr>
          <w:rFonts w:hint="eastAsia" w:ascii="宋体" w:hAnsi="宋体" w:cs="宋体"/>
          <w:color w:val="auto"/>
          <w:sz w:val="24"/>
          <w:szCs w:val="24"/>
          <w:highlight w:val="none"/>
          <w:lang w:val="zh-CN"/>
        </w:rPr>
        <w:t>。同时，复函采购代理机构。</w:t>
      </w:r>
    </w:p>
    <w:p w14:paraId="7C318EB4">
      <w:pPr>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lang w:val="zh-CN"/>
        </w:rPr>
        <w:t>.4、采购代理机构在接到采购人“定标复函”之日起2个工作日</w:t>
      </w:r>
      <w:r>
        <w:rPr>
          <w:rFonts w:hint="eastAsia" w:ascii="宋体" w:hAnsi="宋体" w:cs="宋体"/>
          <w:color w:val="auto"/>
          <w:sz w:val="24"/>
          <w:szCs w:val="24"/>
          <w:highlight w:val="none"/>
          <w:lang w:val="en-US" w:eastAsia="zh-CN"/>
        </w:rPr>
        <w:t>内，将竞争性磋商</w:t>
      </w:r>
      <w:r>
        <w:rPr>
          <w:rFonts w:hint="eastAsia" w:ascii="宋体" w:hAnsi="宋体" w:cs="宋体"/>
          <w:color w:val="auto"/>
          <w:sz w:val="24"/>
          <w:szCs w:val="24"/>
          <w:highlight w:val="none"/>
          <w:lang w:val="zh-CN"/>
        </w:rPr>
        <w:t>文件随</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zh-CN"/>
        </w:rPr>
        <w:t>结果</w:t>
      </w:r>
      <w:r>
        <w:rPr>
          <w:rFonts w:hint="eastAsia" w:ascii="宋体" w:hAnsi="宋体" w:cs="宋体"/>
          <w:color w:val="auto"/>
          <w:sz w:val="24"/>
          <w:szCs w:val="24"/>
          <w:highlight w:val="none"/>
          <w:lang w:val="en-US" w:eastAsia="zh-CN"/>
        </w:rPr>
        <w:t>在</w:t>
      </w:r>
      <w:r>
        <w:rPr>
          <w:rFonts w:hint="eastAsia" w:ascii="宋体" w:hAnsi="宋体" w:cs="宋体"/>
          <w:color w:val="auto"/>
          <w:sz w:val="24"/>
          <w:szCs w:val="24"/>
          <w:highlight w:val="none"/>
          <w:lang w:val="zh-CN"/>
        </w:rPr>
        <w:t>财政部门指定的政府采购信息发布媒体上同时公告。但</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zh-CN"/>
        </w:rPr>
        <w:t>结果公告前</w:t>
      </w:r>
      <w:r>
        <w:rPr>
          <w:rFonts w:hint="eastAsia" w:ascii="宋体" w:hAnsi="宋体" w:cs="宋体"/>
          <w:color w:val="auto"/>
          <w:sz w:val="24"/>
          <w:szCs w:val="24"/>
          <w:highlight w:val="none"/>
          <w:lang w:val="en-US" w:eastAsia="zh-CN"/>
        </w:rPr>
        <w:t>竞争性磋商文件</w:t>
      </w:r>
      <w:r>
        <w:rPr>
          <w:rFonts w:hint="eastAsia" w:ascii="宋体" w:hAnsi="宋体" w:cs="宋体"/>
          <w:color w:val="auto"/>
          <w:sz w:val="24"/>
          <w:szCs w:val="24"/>
          <w:highlight w:val="none"/>
          <w:lang w:val="zh-CN"/>
        </w:rPr>
        <w:t>已公告的，不再重复公告。</w:t>
      </w:r>
    </w:p>
    <w:p w14:paraId="4EF9C151">
      <w:pPr>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、排名第一的</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zh-CN"/>
        </w:rPr>
        <w:t>候选人放弃成交、在规定期限内未能签订合同、因不可抗力不能履行合同、不按照</w:t>
      </w:r>
      <w:r>
        <w:rPr>
          <w:rFonts w:hint="eastAsia" w:ascii="宋体" w:hAnsi="宋体" w:cs="宋体"/>
          <w:color w:val="auto"/>
          <w:sz w:val="24"/>
          <w:szCs w:val="24"/>
          <w:highlight w:val="none"/>
          <w:lang w:val="en-US" w:eastAsia="zh-CN"/>
        </w:rPr>
        <w:t>竞争性磋商文件</w:t>
      </w:r>
      <w:r>
        <w:rPr>
          <w:rFonts w:hint="eastAsia" w:ascii="宋体" w:hAnsi="宋体" w:cs="宋体"/>
          <w:color w:val="auto"/>
          <w:sz w:val="24"/>
          <w:szCs w:val="24"/>
          <w:highlight w:val="none"/>
          <w:lang w:val="zh-CN"/>
        </w:rPr>
        <w:t>要求提交履约保证金，或者被查实存在影响成交结果的违法行为等情形，不符合成交条件的，采购人可以按照</w:t>
      </w:r>
      <w:r>
        <w:rPr>
          <w:rFonts w:hint="eastAsia" w:ascii="宋体" w:hAnsi="宋体" w:cs="宋体"/>
          <w:color w:val="auto"/>
          <w:sz w:val="24"/>
          <w:szCs w:val="24"/>
          <w:highlight w:val="none"/>
          <w:lang w:val="en-US" w:eastAsia="zh-CN"/>
        </w:rPr>
        <w:t>磋商小组</w:t>
      </w:r>
      <w:r>
        <w:rPr>
          <w:rFonts w:hint="eastAsia" w:ascii="宋体" w:hAnsi="宋体" w:cs="宋体"/>
          <w:color w:val="auto"/>
          <w:sz w:val="24"/>
          <w:szCs w:val="24"/>
          <w:highlight w:val="none"/>
          <w:lang w:val="zh-CN"/>
        </w:rPr>
        <w:t>提出的</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zh-CN"/>
        </w:rPr>
        <w:t>候选人名单排序依次确定其他</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zh-CN"/>
        </w:rPr>
        <w:t>候选人为</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zh-CN"/>
        </w:rPr>
        <w:t>供应商，也可以重新组织</w:t>
      </w:r>
      <w:r>
        <w:rPr>
          <w:rFonts w:hint="eastAsia" w:ascii="宋体" w:hAnsi="宋体" w:eastAsia="宋体" w:cs="宋体"/>
          <w:bCs/>
          <w:color w:val="auto"/>
          <w:sz w:val="24"/>
          <w:szCs w:val="24"/>
          <w:highlight w:val="none"/>
        </w:rPr>
        <w:t>开展政府采购活动</w:t>
      </w:r>
      <w:r>
        <w:rPr>
          <w:rFonts w:hint="eastAsia" w:ascii="宋体" w:hAnsi="宋体" w:cs="宋体"/>
          <w:color w:val="auto"/>
          <w:sz w:val="24"/>
          <w:szCs w:val="24"/>
          <w:highlight w:val="none"/>
          <w:lang w:val="zh-CN"/>
        </w:rPr>
        <w:t>。</w:t>
      </w:r>
    </w:p>
    <w:p w14:paraId="6F470309">
      <w:pPr>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.6、供应商或者其他利害关系人对</w:t>
      </w:r>
      <w:r>
        <w:rPr>
          <w:rFonts w:hint="eastAsia" w:ascii="宋体" w:hAnsi="宋体" w:cs="宋体"/>
          <w:color w:val="auto"/>
          <w:sz w:val="24"/>
          <w:szCs w:val="24"/>
          <w:highlight w:val="none"/>
          <w:lang w:val="en-US" w:eastAsia="zh-CN"/>
        </w:rPr>
        <w:t>评标</w:t>
      </w:r>
      <w:r>
        <w:rPr>
          <w:rFonts w:hint="eastAsia" w:ascii="宋体" w:hAnsi="宋体" w:cs="宋体"/>
          <w:color w:val="auto"/>
          <w:sz w:val="24"/>
          <w:szCs w:val="24"/>
          <w:highlight w:val="none"/>
          <w:lang w:val="zh-CN"/>
        </w:rPr>
        <w:t>结果有异议的，应当在法律规定的时间内提出。</w:t>
      </w:r>
    </w:p>
    <w:p w14:paraId="78760486">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33、</w:t>
      </w:r>
      <w:r>
        <w:rPr>
          <w:rFonts w:hint="eastAsia" w:ascii="宋体" w:hAnsi="宋体" w:eastAsia="宋体" w:cs="宋体"/>
          <w:b/>
          <w:color w:val="auto"/>
          <w:sz w:val="24"/>
          <w:szCs w:val="24"/>
          <w:highlight w:val="none"/>
          <w:lang w:val="zh-CN"/>
        </w:rPr>
        <w:t>成交</w:t>
      </w:r>
      <w:r>
        <w:rPr>
          <w:rFonts w:hint="eastAsia" w:ascii="宋体" w:hAnsi="宋体" w:eastAsia="宋体" w:cs="宋体"/>
          <w:b/>
          <w:color w:val="auto"/>
          <w:sz w:val="24"/>
          <w:szCs w:val="24"/>
          <w:highlight w:val="none"/>
          <w:lang w:val="en-US" w:eastAsia="zh-CN"/>
        </w:rPr>
        <w:t>通知</w:t>
      </w:r>
    </w:p>
    <w:p w14:paraId="6000EB7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.1、采购代理机构向成交供应商发出《成交通知书》。</w:t>
      </w:r>
      <w:r>
        <w:rPr>
          <w:rFonts w:hint="eastAsia" w:ascii="宋体" w:hAnsi="宋体" w:eastAsia="宋体" w:cs="宋体"/>
          <w:b/>
          <w:bCs/>
          <w:color w:val="auto"/>
          <w:sz w:val="24"/>
          <w:szCs w:val="24"/>
          <w:highlight w:val="none"/>
          <w:lang w:val="en-US" w:eastAsia="zh-CN"/>
        </w:rPr>
        <w:t>成交供应商领取成交通知书时须携带法定代表人授权书及加盖单位公章的被授权人身份证复印件。</w:t>
      </w:r>
    </w:p>
    <w:p w14:paraId="14513F88">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.2、成交通知书对采购人和成交供应商具有同等法律效力。成交通知书发出之后，采购人改变成交结果，或者成交供应商放弃成交，应当承担相应的法律责任。</w:t>
      </w:r>
    </w:p>
    <w:p w14:paraId="565B22F5">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lang w:val="zh-CN" w:eastAsia="zh-CN"/>
        </w:rPr>
        <w:t>合同</w:t>
      </w:r>
      <w:r>
        <w:rPr>
          <w:rFonts w:hint="eastAsia" w:ascii="宋体" w:hAnsi="宋体" w:eastAsia="宋体" w:cs="宋体"/>
          <w:b/>
          <w:bCs/>
          <w:color w:val="auto"/>
          <w:sz w:val="24"/>
          <w:szCs w:val="24"/>
          <w:highlight w:val="none"/>
          <w:lang w:val="en-US" w:eastAsia="zh-CN"/>
        </w:rPr>
        <w:t>的签订</w:t>
      </w:r>
    </w:p>
    <w:p w14:paraId="5271A9D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.1、采购人应当自成交通知书发出之日起三十日内，按照</w:t>
      </w:r>
      <w:r>
        <w:rPr>
          <w:rFonts w:hint="eastAsia" w:ascii="宋体" w:hAnsi="宋体" w:cs="宋体"/>
          <w:b w:val="0"/>
          <w:bCs/>
          <w:color w:val="auto"/>
          <w:sz w:val="24"/>
          <w:szCs w:val="24"/>
          <w:highlight w:val="none"/>
          <w:lang w:val="en-US" w:eastAsia="zh-CN"/>
        </w:rPr>
        <w:t>竞争性磋商文件</w:t>
      </w:r>
      <w:r>
        <w:rPr>
          <w:rFonts w:hint="eastAsia" w:ascii="宋体" w:hAnsi="宋体" w:eastAsia="宋体" w:cs="宋体"/>
          <w:b w:val="0"/>
          <w:bCs/>
          <w:color w:val="auto"/>
          <w:sz w:val="24"/>
          <w:szCs w:val="24"/>
          <w:highlight w:val="none"/>
          <w:lang w:val="en-US" w:eastAsia="zh-CN"/>
        </w:rPr>
        <w:t>和成交供应商</w:t>
      </w:r>
      <w:r>
        <w:rPr>
          <w:rFonts w:hint="eastAsia" w:ascii="宋体" w:hAnsi="宋体" w:cs="宋体"/>
          <w:b w:val="0"/>
          <w:bCs/>
          <w:color w:val="auto"/>
          <w:sz w:val="24"/>
          <w:szCs w:val="24"/>
          <w:highlight w:val="none"/>
          <w:lang w:val="en-US" w:eastAsia="zh-CN"/>
        </w:rPr>
        <w:t>竞争性磋商响应文件</w:t>
      </w:r>
      <w:r>
        <w:rPr>
          <w:rFonts w:hint="eastAsia" w:ascii="宋体" w:hAnsi="宋体" w:eastAsia="宋体" w:cs="宋体"/>
          <w:b w:val="0"/>
          <w:bCs/>
          <w:color w:val="auto"/>
          <w:sz w:val="24"/>
          <w:szCs w:val="24"/>
          <w:highlight w:val="none"/>
          <w:lang w:val="en-US" w:eastAsia="zh-CN"/>
        </w:rPr>
        <w:t>（包括评审中形成的澄清文件）的约定，与成交供应商签订书面合同。所签订的合同不得对</w:t>
      </w:r>
      <w:r>
        <w:rPr>
          <w:rFonts w:hint="eastAsia" w:ascii="宋体" w:hAnsi="宋体" w:cs="宋体"/>
          <w:b w:val="0"/>
          <w:bCs/>
          <w:color w:val="auto"/>
          <w:sz w:val="24"/>
          <w:szCs w:val="24"/>
          <w:highlight w:val="none"/>
          <w:lang w:val="en-US" w:eastAsia="zh-CN"/>
        </w:rPr>
        <w:t>竞争性磋商文件</w:t>
      </w:r>
      <w:r>
        <w:rPr>
          <w:rFonts w:hint="eastAsia" w:ascii="宋体" w:hAnsi="宋体" w:eastAsia="宋体" w:cs="宋体"/>
          <w:b w:val="0"/>
          <w:bCs/>
          <w:color w:val="auto"/>
          <w:sz w:val="24"/>
          <w:szCs w:val="24"/>
          <w:highlight w:val="none"/>
          <w:lang w:val="en-US" w:eastAsia="zh-CN"/>
        </w:rPr>
        <w:t>和成交供应商的</w:t>
      </w:r>
      <w:r>
        <w:rPr>
          <w:rFonts w:hint="eastAsia" w:ascii="宋体" w:hAnsi="宋体" w:cs="宋体"/>
          <w:b w:val="0"/>
          <w:bCs/>
          <w:color w:val="auto"/>
          <w:sz w:val="24"/>
          <w:szCs w:val="24"/>
          <w:highlight w:val="none"/>
          <w:lang w:val="en-US" w:eastAsia="zh-CN"/>
        </w:rPr>
        <w:t>竞争性磋商响应文件</w:t>
      </w:r>
      <w:r>
        <w:rPr>
          <w:rFonts w:hint="eastAsia" w:ascii="宋体" w:hAnsi="宋体" w:eastAsia="宋体" w:cs="宋体"/>
          <w:b w:val="0"/>
          <w:bCs/>
          <w:color w:val="auto"/>
          <w:sz w:val="24"/>
          <w:szCs w:val="24"/>
          <w:highlight w:val="none"/>
          <w:lang w:val="en-US" w:eastAsia="zh-CN"/>
        </w:rPr>
        <w:t>（包括评审中形成的澄清文件）作实质性修改。</w:t>
      </w:r>
    </w:p>
    <w:p w14:paraId="24501C8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.2、</w:t>
      </w:r>
      <w:r>
        <w:rPr>
          <w:rFonts w:hint="eastAsia" w:ascii="宋体" w:hAnsi="宋体" w:cs="宋体"/>
          <w:bCs/>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14:paraId="514F2B5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34.3、</w:t>
      </w:r>
      <w:r>
        <w:rPr>
          <w:rFonts w:hint="eastAsia" w:ascii="宋体" w:hAnsi="宋体" w:eastAsia="宋体" w:cs="宋体"/>
          <w:b w:val="0"/>
          <w:bCs/>
          <w:color w:val="auto"/>
          <w:sz w:val="24"/>
          <w:szCs w:val="24"/>
          <w:highlight w:val="none"/>
          <w:lang w:val="en-US" w:eastAsia="zh-CN"/>
        </w:rPr>
        <w:t>采购人应当自合同签订之日起7个工作日内将政府采购合同报送监管机构备案。</w:t>
      </w:r>
    </w:p>
    <w:p w14:paraId="24EF102E">
      <w:pPr>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3</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eastAsia="zh-CN"/>
        </w:rPr>
        <w:t>、合同实施</w:t>
      </w:r>
    </w:p>
    <w:p w14:paraId="5BA56BA8">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5E9DE3A0">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36、转包与分包 </w:t>
      </w:r>
    </w:p>
    <w:p w14:paraId="6A5A040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36.1、本项目不允许采取转包方式履行合同。 </w:t>
      </w:r>
    </w:p>
    <w:p w14:paraId="74A1BDF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36.2、本项目经采购人同意，可以将</w:t>
      </w:r>
      <w:r>
        <w:rPr>
          <w:rFonts w:hint="eastAsia" w:ascii="宋体" w:hAnsi="宋体" w:eastAsia="宋体" w:cs="宋体"/>
          <w:bCs/>
          <w:color w:val="auto"/>
          <w:sz w:val="24"/>
          <w:szCs w:val="24"/>
          <w:lang w:eastAsia="zh-CN"/>
        </w:rPr>
        <w:t>中标</w:t>
      </w:r>
      <w:r>
        <w:rPr>
          <w:rFonts w:hint="eastAsia" w:ascii="宋体" w:hAnsi="宋体" w:eastAsia="宋体" w:cs="宋体"/>
          <w:b w:val="0"/>
          <w:bCs/>
          <w:color w:val="auto"/>
          <w:sz w:val="24"/>
          <w:szCs w:val="24"/>
          <w:highlight w:val="none"/>
          <w:lang w:val="en-US" w:eastAsia="zh-CN"/>
        </w:rPr>
        <w:t>项目的部分非主体、非关键性工作分包给他人完成，本项目“主体和关键性工作”是指：</w:t>
      </w:r>
      <w:r>
        <w:rPr>
          <w:rFonts w:hint="eastAsia" w:ascii="宋体" w:hAnsi="宋体" w:eastAsia="宋体" w:cs="宋体"/>
          <w:b w:val="0"/>
          <w:bCs/>
          <w:color w:val="auto"/>
          <w:sz w:val="24"/>
          <w:szCs w:val="24"/>
          <w:highlight w:val="none"/>
          <w:u w:val="single"/>
          <w:lang w:val="en-US" w:eastAsia="zh-CN"/>
        </w:rPr>
        <w:t xml:space="preserve"> / </w:t>
      </w:r>
      <w:r>
        <w:rPr>
          <w:rFonts w:hint="eastAsia" w:ascii="宋体" w:hAnsi="宋体" w:eastAsia="宋体" w:cs="宋体"/>
          <w:b w:val="0"/>
          <w:bCs/>
          <w:color w:val="auto"/>
          <w:sz w:val="24"/>
          <w:szCs w:val="24"/>
          <w:highlight w:val="none"/>
          <w:lang w:val="en-US" w:eastAsia="zh-CN"/>
        </w:rPr>
        <w:t xml:space="preserve">【根据项目具体情况确定】。接受分包的供应商应当具备相应的资格条件，并不得再次分包。 </w:t>
      </w:r>
    </w:p>
    <w:p w14:paraId="0E84E478">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color w:val="auto"/>
          <w:lang w:val="en-US" w:eastAsia="zh-CN"/>
        </w:rPr>
      </w:pPr>
      <w:r>
        <w:rPr>
          <w:rFonts w:hint="eastAsia" w:ascii="宋体" w:hAnsi="宋体" w:eastAsia="宋体" w:cs="宋体"/>
          <w:b w:val="0"/>
          <w:bCs/>
          <w:color w:val="auto"/>
          <w:sz w:val="24"/>
          <w:szCs w:val="24"/>
          <w:highlight w:val="none"/>
          <w:lang w:val="en-US" w:eastAsia="zh-CN"/>
        </w:rPr>
        <w:t>36.3、采购合同实行分包履行的，</w:t>
      </w:r>
      <w:r>
        <w:rPr>
          <w:rFonts w:hint="eastAsia" w:ascii="宋体" w:hAnsi="宋体" w:cs="宋体"/>
          <w:bCs/>
          <w:color w:val="auto"/>
          <w:sz w:val="24"/>
          <w:szCs w:val="24"/>
          <w:lang w:val="en-US" w:eastAsia="zh-CN"/>
        </w:rPr>
        <w:t>成交</w:t>
      </w:r>
      <w:r>
        <w:rPr>
          <w:rFonts w:hint="eastAsia" w:ascii="宋体" w:hAnsi="宋体" w:eastAsia="宋体" w:cs="宋体"/>
          <w:b w:val="0"/>
          <w:bCs/>
          <w:color w:val="auto"/>
          <w:sz w:val="24"/>
          <w:szCs w:val="24"/>
          <w:highlight w:val="none"/>
          <w:lang w:val="en-US" w:eastAsia="zh-CN"/>
        </w:rPr>
        <w:t>供应商就采购项目和分包项目向采购人负责，分包供应商就分包项目承担责任。</w:t>
      </w:r>
    </w:p>
    <w:p w14:paraId="2D436A8B">
      <w:pPr>
        <w:keepLines w:val="0"/>
        <w:pageBreakBefore w:val="0"/>
        <w:widowControl w:val="0"/>
        <w:shd w:val="clear"/>
        <w:kinsoku/>
        <w:wordWrap/>
        <w:overflowPunct/>
        <w:topLinePunct w:val="0"/>
        <w:autoSpaceDE w:val="0"/>
        <w:autoSpaceDN w:val="0"/>
        <w:bidi w:val="0"/>
        <w:adjustRightInd w:val="0"/>
        <w:snapToGrid w:val="0"/>
        <w:spacing w:line="4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G、</w:t>
      </w:r>
      <w:r>
        <w:rPr>
          <w:rFonts w:hint="eastAsia" w:ascii="宋体" w:hAnsi="宋体" w:eastAsia="宋体" w:cs="宋体"/>
          <w:b/>
          <w:bCs/>
          <w:color w:val="auto"/>
          <w:sz w:val="28"/>
          <w:szCs w:val="28"/>
          <w:highlight w:val="none"/>
          <w:lang w:val="en-US" w:eastAsia="zh-CN"/>
        </w:rPr>
        <w:t>招标代理服务费</w:t>
      </w:r>
    </w:p>
    <w:p w14:paraId="645D5DCE">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37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招标代理服务费</w:t>
      </w:r>
    </w:p>
    <w:p w14:paraId="6C8ACDB5">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37.1、招标代理服务费由成交供应商领取《成交通知书》前，向采购代理机构缴纳招标代理服务费，一次性付清。</w:t>
      </w:r>
    </w:p>
    <w:p w14:paraId="633394A6">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37.2、招标代理服务费依据国家计委计价格[2002]1980号《招标代理服务收费管理暂行办法》和国家发展改革委员会办公厅颁发的《关于招标代理服务收费有关问题的通知》（发改办价格[2003]857号）规定标准收取，招标代理服务费不足5000元的，按5000元收取。</w:t>
      </w:r>
    </w:p>
    <w:p w14:paraId="6D7A6019">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缴费</w:t>
      </w:r>
      <w:r>
        <w:rPr>
          <w:rFonts w:hint="eastAsia" w:ascii="宋体" w:hAnsi="宋体" w:eastAsia="宋体" w:cs="宋体"/>
          <w:color w:val="auto"/>
          <w:sz w:val="24"/>
          <w:szCs w:val="24"/>
          <w:highlight w:val="none"/>
        </w:rPr>
        <w:t>账户</w:t>
      </w:r>
    </w:p>
    <w:p w14:paraId="054E3A89">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陕西盛仕骄阳项目管理有限公司</w:t>
      </w:r>
    </w:p>
    <w:p w14:paraId="308C2CF7">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val="en-US" w:eastAsia="zh-CN"/>
        </w:rPr>
        <w:t>61050175580000000415</w:t>
      </w:r>
    </w:p>
    <w:p w14:paraId="147688F0">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color w:val="auto"/>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lang w:val="en-US" w:eastAsia="zh-CN"/>
        </w:rPr>
        <w:t>中国建设银行股份有限公司西安徐家湾支行</w:t>
      </w:r>
    </w:p>
    <w:p w14:paraId="56F8C600">
      <w:pPr>
        <w:keepLines w:val="0"/>
        <w:pageBreakBefore w:val="0"/>
        <w:widowControl w:val="0"/>
        <w:shd w:val="clear"/>
        <w:kinsoku/>
        <w:wordWrap/>
        <w:overflowPunct/>
        <w:topLinePunct w:val="0"/>
        <w:autoSpaceDE w:val="0"/>
        <w:autoSpaceDN w:val="0"/>
        <w:bidi w:val="0"/>
        <w:adjustRightInd w:val="0"/>
        <w:snapToGrid w:val="0"/>
        <w:spacing w:line="4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H</w:t>
      </w:r>
      <w:r>
        <w:rPr>
          <w:rFonts w:hint="eastAsia" w:ascii="宋体" w:hAnsi="宋体" w:eastAsia="宋体" w:cs="宋体"/>
          <w:b/>
          <w:bCs/>
          <w:color w:val="auto"/>
          <w:sz w:val="28"/>
          <w:szCs w:val="28"/>
          <w:highlight w:val="none"/>
        </w:rPr>
        <w:t>、其它</w:t>
      </w:r>
    </w:p>
    <w:p w14:paraId="5FA497C7">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开始后，出现下列情形之一的，采购代理机构将终止竞争性</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采购活动，发布项目终止公告并说明原因，重新开展采购活动：</w:t>
      </w:r>
    </w:p>
    <w:p w14:paraId="3D9FAE33">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38.1、</w:t>
      </w:r>
      <w:r>
        <w:rPr>
          <w:rFonts w:hint="eastAsia" w:ascii="宋体" w:hAnsi="宋体" w:eastAsia="宋体" w:cs="宋体"/>
          <w:b w:val="0"/>
          <w:bCs/>
          <w:color w:val="auto"/>
          <w:sz w:val="24"/>
          <w:szCs w:val="24"/>
          <w:highlight w:val="none"/>
          <w:lang w:val="zh-CN"/>
        </w:rPr>
        <w:t>因情况变化，不再符合规定的竞争性磋商采购方式适用情形的</w:t>
      </w:r>
      <w:r>
        <w:rPr>
          <w:rFonts w:hint="eastAsia" w:ascii="宋体" w:hAnsi="宋体" w:cs="宋体"/>
          <w:b w:val="0"/>
          <w:bCs/>
          <w:color w:val="auto"/>
          <w:sz w:val="24"/>
          <w:szCs w:val="24"/>
          <w:highlight w:val="none"/>
          <w:lang w:val="zh-CN"/>
        </w:rPr>
        <w:t>；</w:t>
      </w:r>
    </w:p>
    <w:p w14:paraId="1D1E8624">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38.2、</w:t>
      </w:r>
      <w:r>
        <w:rPr>
          <w:rFonts w:hint="eastAsia" w:ascii="宋体" w:hAnsi="宋体" w:eastAsia="宋体" w:cs="宋体"/>
          <w:b w:val="0"/>
          <w:bCs/>
          <w:color w:val="auto"/>
          <w:sz w:val="24"/>
          <w:szCs w:val="24"/>
          <w:highlight w:val="none"/>
          <w:lang w:val="zh-CN"/>
        </w:rPr>
        <w:t>出现影响采购公正的违法、违规行为的；</w:t>
      </w:r>
    </w:p>
    <w:p w14:paraId="58D95910">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38.3、</w:t>
      </w:r>
      <w:r>
        <w:rPr>
          <w:rFonts w:hint="eastAsia" w:ascii="宋体" w:hAnsi="宋体" w:eastAsia="宋体" w:cs="宋体"/>
          <w:b w:val="0"/>
          <w:bCs/>
          <w:color w:val="auto"/>
          <w:sz w:val="24"/>
          <w:szCs w:val="24"/>
          <w:highlight w:val="none"/>
          <w:lang w:val="zh-CN"/>
        </w:rPr>
        <w:t>在采购过程中符合要求的供应商不足3家的</w:t>
      </w:r>
      <w:r>
        <w:rPr>
          <w:rFonts w:hint="eastAsia" w:ascii="宋体" w:hAnsi="宋体" w:cs="宋体"/>
          <w:b w:val="0"/>
          <w:bCs/>
          <w:color w:val="auto"/>
          <w:sz w:val="24"/>
          <w:szCs w:val="24"/>
          <w:highlight w:val="none"/>
          <w:lang w:val="zh-CN"/>
        </w:rPr>
        <w:t>；</w:t>
      </w:r>
    </w:p>
    <w:p w14:paraId="7D2DC735">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38.4、</w:t>
      </w:r>
      <w:r>
        <w:rPr>
          <w:rFonts w:hint="eastAsia" w:ascii="宋体" w:hAnsi="宋体" w:eastAsia="宋体" w:cs="宋体"/>
          <w:b w:val="0"/>
          <w:bCs/>
          <w:color w:val="auto"/>
          <w:sz w:val="24"/>
          <w:szCs w:val="24"/>
          <w:highlight w:val="none"/>
          <w:lang w:val="zh-CN"/>
        </w:rPr>
        <w:t>报价未超过</w:t>
      </w:r>
      <w:r>
        <w:rPr>
          <w:rFonts w:hint="eastAsia" w:ascii="宋体" w:hAnsi="宋体" w:eastAsia="宋体" w:cs="宋体"/>
          <w:b w:val="0"/>
          <w:bCs/>
          <w:color w:val="auto"/>
          <w:sz w:val="24"/>
          <w:szCs w:val="24"/>
          <w:highlight w:val="none"/>
          <w:lang w:val="zh-CN" w:eastAsia="zh-CN"/>
        </w:rPr>
        <w:t>最高限价</w:t>
      </w:r>
      <w:r>
        <w:rPr>
          <w:rFonts w:hint="eastAsia" w:ascii="宋体" w:hAnsi="宋体" w:eastAsia="宋体" w:cs="宋体"/>
          <w:b w:val="0"/>
          <w:bCs/>
          <w:color w:val="auto"/>
          <w:sz w:val="24"/>
          <w:szCs w:val="24"/>
          <w:highlight w:val="none"/>
          <w:lang w:val="zh-CN"/>
        </w:rPr>
        <w:t>的供应商不足3家的。</w:t>
      </w:r>
    </w:p>
    <w:p w14:paraId="2AEA764F">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废标后，采购代理机构应在</w:t>
      </w:r>
      <w:r>
        <w:rPr>
          <w:rFonts w:hint="eastAsia" w:ascii="宋体" w:hAnsi="宋体" w:cs="宋体"/>
          <w:bCs/>
          <w:color w:val="auto"/>
          <w:sz w:val="24"/>
          <w:szCs w:val="24"/>
          <w:highlight w:val="none"/>
        </w:rPr>
        <w:t>财政部门指定的媒体上公告</w:t>
      </w:r>
      <w:r>
        <w:rPr>
          <w:rFonts w:hint="eastAsia" w:ascii="宋体" w:hAnsi="宋体" w:eastAsia="宋体" w:cs="宋体"/>
          <w:b w:val="0"/>
          <w:bCs/>
          <w:color w:val="auto"/>
          <w:sz w:val="24"/>
          <w:szCs w:val="24"/>
          <w:highlight w:val="none"/>
          <w:lang w:val="zh-CN"/>
        </w:rPr>
        <w:t>，并公告废标的详细理由。</w:t>
      </w:r>
    </w:p>
    <w:p w14:paraId="19E0E5B7">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val="0"/>
          <w:color w:val="auto"/>
          <w:sz w:val="24"/>
          <w:szCs w:val="24"/>
          <w:highlight w:val="none"/>
          <w:lang w:val="zh-CN"/>
        </w:rPr>
      </w:pPr>
      <w:r>
        <w:rPr>
          <w:rFonts w:hint="eastAsia" w:ascii="宋体" w:hAnsi="宋体" w:cs="宋体"/>
          <w:b/>
          <w:bCs w:val="0"/>
          <w:color w:val="auto"/>
          <w:sz w:val="24"/>
          <w:szCs w:val="24"/>
          <w:highlight w:val="none"/>
          <w:lang w:val="en-US" w:eastAsia="zh-CN"/>
        </w:rPr>
        <w:t>39、提交最后报价的供应商为2家时，可以继续进行磋商的情形：</w:t>
      </w:r>
    </w:p>
    <w:p w14:paraId="2D2D400A">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39.1、市场竞争不充分的科研项目，以及需要扶持的科技成果转化项目；</w:t>
      </w:r>
    </w:p>
    <w:p w14:paraId="14559FDA">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39.2、根据陕西省财政厅陕财办采资（2016）53号文件第十八条，在采购过程中符合要求的供应商（社会资本）只有2家的。</w:t>
      </w:r>
    </w:p>
    <w:p w14:paraId="4641E7D2">
      <w:pPr>
        <w:keepNext w:val="0"/>
        <w:keepLines w:val="0"/>
        <w:pageBreakBefore w:val="0"/>
        <w:widowControl w:val="0"/>
        <w:tabs>
          <w:tab w:val="left" w:pos="5040"/>
        </w:tabs>
        <w:kinsoku/>
        <w:wordWrap/>
        <w:overflowPunct/>
        <w:topLinePunct w:val="0"/>
        <w:autoSpaceDE w:val="0"/>
        <w:autoSpaceDN w:val="0"/>
        <w:bidi w:val="0"/>
        <w:adjustRightInd w:val="0"/>
        <w:snapToGrid w:val="0"/>
        <w:spacing w:line="420" w:lineRule="exact"/>
        <w:ind w:left="0" w:leftChars="0" w:firstLine="482" w:firstLineChars="200"/>
        <w:textAlignment w:val="auto"/>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40、磋商</w:t>
      </w:r>
      <w:r>
        <w:rPr>
          <w:rFonts w:hint="eastAsia" w:ascii="宋体" w:hAnsi="宋体" w:eastAsia="宋体" w:cs="宋体"/>
          <w:b/>
          <w:bCs w:val="0"/>
          <w:color w:val="auto"/>
          <w:sz w:val="24"/>
          <w:szCs w:val="24"/>
        </w:rPr>
        <w:t>截止后</w:t>
      </w:r>
      <w:r>
        <w:rPr>
          <w:rFonts w:hint="eastAsia" w:ascii="宋体" w:hAnsi="宋体" w:cs="宋体"/>
          <w:b/>
          <w:bCs w:val="0"/>
          <w:color w:val="auto"/>
          <w:sz w:val="24"/>
          <w:szCs w:val="24"/>
          <w:lang w:val="en-US" w:eastAsia="zh-CN"/>
        </w:rPr>
        <w:t>供应商</w:t>
      </w:r>
      <w:r>
        <w:rPr>
          <w:rFonts w:hint="eastAsia" w:ascii="宋体" w:hAnsi="宋体" w:eastAsia="宋体" w:cs="宋体"/>
          <w:b/>
          <w:bCs w:val="0"/>
          <w:color w:val="auto"/>
          <w:sz w:val="24"/>
          <w:szCs w:val="24"/>
        </w:rPr>
        <w:t>不足三家或者通过资格审查或符合性审查的</w:t>
      </w:r>
      <w:r>
        <w:rPr>
          <w:rFonts w:hint="eastAsia" w:ascii="宋体" w:hAnsi="宋体" w:cs="宋体"/>
          <w:b/>
          <w:bCs w:val="0"/>
          <w:color w:val="auto"/>
          <w:sz w:val="24"/>
          <w:szCs w:val="24"/>
          <w:lang w:val="en-US" w:eastAsia="zh-CN"/>
        </w:rPr>
        <w:t>供应商</w:t>
      </w:r>
      <w:r>
        <w:rPr>
          <w:rFonts w:hint="eastAsia" w:ascii="宋体" w:hAnsi="宋体" w:eastAsia="宋体" w:cs="宋体"/>
          <w:b/>
          <w:bCs w:val="0"/>
          <w:color w:val="auto"/>
          <w:sz w:val="24"/>
          <w:szCs w:val="24"/>
        </w:rPr>
        <w:t>不足三家的，除采购任务取消情形外，按照以下方式处理：</w:t>
      </w:r>
    </w:p>
    <w:p w14:paraId="467C1A0E">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40.1、</w:t>
      </w:r>
      <w:r>
        <w:rPr>
          <w:rFonts w:hint="eastAsia" w:ascii="宋体" w:hAnsi="宋体" w:eastAsia="宋体" w:cs="宋体"/>
          <w:bCs/>
          <w:color w:val="auto"/>
          <w:sz w:val="24"/>
          <w:szCs w:val="24"/>
          <w:lang w:val="en-US" w:eastAsia="zh-CN"/>
        </w:rPr>
        <w:t>竞争性磋商文件</w:t>
      </w:r>
      <w:r>
        <w:rPr>
          <w:rFonts w:hint="eastAsia" w:ascii="宋体" w:hAnsi="宋体" w:eastAsia="宋体" w:cs="宋体"/>
          <w:bCs/>
          <w:color w:val="auto"/>
          <w:sz w:val="24"/>
          <w:szCs w:val="24"/>
        </w:rPr>
        <w:t>存在不合理条款或者</w:t>
      </w:r>
      <w:r>
        <w:rPr>
          <w:rFonts w:hint="eastAsia" w:ascii="宋体" w:hAnsi="宋体" w:eastAsia="宋体" w:cs="宋体"/>
          <w:bCs/>
          <w:color w:val="auto"/>
          <w:sz w:val="24"/>
          <w:szCs w:val="24"/>
          <w:lang w:val="en-US" w:eastAsia="zh-CN"/>
        </w:rPr>
        <w:t>采购</w:t>
      </w:r>
      <w:r>
        <w:rPr>
          <w:rFonts w:hint="eastAsia" w:ascii="宋体" w:hAnsi="宋体" w:eastAsia="宋体" w:cs="宋体"/>
          <w:bCs/>
          <w:color w:val="auto"/>
          <w:sz w:val="24"/>
          <w:szCs w:val="24"/>
        </w:rPr>
        <w:t>程序不符合规定的，采购人、采购代理机构改正后依法重新招标；</w:t>
      </w:r>
    </w:p>
    <w:p w14:paraId="462CB88B">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40.2、</w:t>
      </w:r>
      <w:r>
        <w:rPr>
          <w:rFonts w:hint="eastAsia" w:ascii="宋体" w:hAnsi="宋体" w:eastAsia="宋体" w:cs="宋体"/>
          <w:bCs/>
          <w:color w:val="auto"/>
          <w:sz w:val="24"/>
          <w:szCs w:val="24"/>
          <w:lang w:val="en-US" w:eastAsia="zh-CN"/>
        </w:rPr>
        <w:t>竞争性磋商文件</w:t>
      </w:r>
      <w:r>
        <w:rPr>
          <w:rFonts w:hint="eastAsia" w:ascii="宋体" w:hAnsi="宋体" w:eastAsia="宋体" w:cs="宋体"/>
          <w:bCs/>
          <w:color w:val="auto"/>
          <w:sz w:val="24"/>
          <w:szCs w:val="24"/>
        </w:rPr>
        <w:t>没有不合理条款、招标程序符合规定，需要采用其他采购方式采购的，采购人应当依法报财政部门批准。</w:t>
      </w:r>
    </w:p>
    <w:p w14:paraId="2EAF1D98">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Cs/>
          <w:color w:val="auto"/>
          <w:sz w:val="24"/>
          <w:szCs w:val="24"/>
          <w:lang w:val="en-US" w:eastAsia="zh-CN"/>
        </w:rPr>
        <w:t>40.3、</w:t>
      </w:r>
      <w:r>
        <w:rPr>
          <w:rFonts w:hint="eastAsia" w:ascii="宋体" w:hAnsi="宋体" w:eastAsia="宋体" w:cs="宋体"/>
          <w:bCs/>
          <w:color w:val="auto"/>
          <w:sz w:val="24"/>
          <w:szCs w:val="24"/>
          <w:lang w:val="en-US" w:eastAsia="zh-CN"/>
        </w:rPr>
        <w:t>成交供应商</w:t>
      </w:r>
      <w:r>
        <w:rPr>
          <w:rFonts w:hint="eastAsia" w:ascii="宋体" w:hAnsi="宋体" w:eastAsia="宋体" w:cs="宋体"/>
          <w:bCs/>
          <w:color w:val="auto"/>
          <w:sz w:val="24"/>
          <w:szCs w:val="24"/>
        </w:rPr>
        <w:t>拒绝与采购人签订合同的，采购人可以按照</w:t>
      </w:r>
      <w:r>
        <w:rPr>
          <w:rFonts w:hint="eastAsia" w:ascii="宋体" w:hAnsi="宋体" w:cs="宋体"/>
          <w:bCs/>
          <w:color w:val="auto"/>
          <w:sz w:val="24"/>
          <w:szCs w:val="24"/>
          <w:lang w:val="en-US" w:eastAsia="zh-CN"/>
        </w:rPr>
        <w:t>磋商结果</w:t>
      </w:r>
      <w:r>
        <w:rPr>
          <w:rFonts w:hint="eastAsia" w:ascii="宋体" w:hAnsi="宋体" w:eastAsia="宋体" w:cs="宋体"/>
          <w:bCs/>
          <w:color w:val="auto"/>
          <w:sz w:val="24"/>
          <w:szCs w:val="24"/>
        </w:rPr>
        <w:t>报告推荐的</w:t>
      </w:r>
      <w:r>
        <w:rPr>
          <w:rFonts w:hint="eastAsia" w:ascii="宋体" w:hAnsi="宋体" w:eastAsia="宋体" w:cs="宋体"/>
          <w:bCs/>
          <w:color w:val="auto"/>
          <w:sz w:val="24"/>
          <w:szCs w:val="24"/>
          <w:lang w:val="en-US" w:eastAsia="zh-CN"/>
        </w:rPr>
        <w:t>成交</w:t>
      </w:r>
      <w:r>
        <w:rPr>
          <w:rFonts w:hint="eastAsia" w:ascii="宋体" w:hAnsi="宋体" w:eastAsia="宋体" w:cs="宋体"/>
          <w:bCs/>
          <w:color w:val="auto"/>
          <w:sz w:val="24"/>
          <w:szCs w:val="24"/>
        </w:rPr>
        <w:t>候选人名单排序，确定下一候选人为</w:t>
      </w:r>
      <w:r>
        <w:rPr>
          <w:rFonts w:hint="eastAsia" w:ascii="宋体" w:hAnsi="宋体" w:eastAsia="宋体" w:cs="宋体"/>
          <w:bCs/>
          <w:color w:val="auto"/>
          <w:sz w:val="24"/>
          <w:szCs w:val="24"/>
          <w:lang w:val="en-US" w:eastAsia="zh-CN"/>
        </w:rPr>
        <w:t>成交</w:t>
      </w: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rPr>
        <w:t>，也可以重新开展政府采购活动。</w:t>
      </w:r>
    </w:p>
    <w:p w14:paraId="071D4A62">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41、评审现场人员的保密责任</w:t>
      </w:r>
    </w:p>
    <w:p w14:paraId="1C019FA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41.1、在采购结果确定前，采购人、采购代理机构对磋商小组名单负有保密责任。磋商小组成员、采购人和采购代理机构工作人员、相关监督人员等与评审工作有关的人员，对评审情况以及在评审过程中获悉的国家秘密、商业秘密负有保密责任。</w:t>
      </w:r>
    </w:p>
    <w:p w14:paraId="24FF650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41.2、</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zh-CN"/>
        </w:rPr>
        <w:t>开始到</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zh-CN"/>
        </w:rPr>
        <w:t>供应商确定前，</w:t>
      </w:r>
      <w:r>
        <w:rPr>
          <w:rFonts w:hint="eastAsia" w:ascii="宋体" w:hAnsi="宋体" w:cs="宋体"/>
          <w:color w:val="auto"/>
          <w:sz w:val="24"/>
          <w:szCs w:val="24"/>
          <w:highlight w:val="none"/>
          <w:lang w:val="en-US" w:eastAsia="zh-CN"/>
        </w:rPr>
        <w:t>磋商小组</w:t>
      </w:r>
      <w:r>
        <w:rPr>
          <w:rFonts w:hint="eastAsia" w:ascii="宋体" w:hAnsi="宋体" w:cs="宋体"/>
          <w:color w:val="auto"/>
          <w:sz w:val="24"/>
          <w:szCs w:val="24"/>
          <w:highlight w:val="none"/>
          <w:lang w:val="zh-CN"/>
        </w:rPr>
        <w:t>、采购人及有关人员要严格遵循保密原则，任何一方不得向与评审无关的单位和人员透露与</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val="zh-CN"/>
        </w:rPr>
        <w:t>有关的其它供应商的技术资料、价格及其它信息。否则，按《中华人民共和国政府采购法》、《中华人民共和国政府采购法实施条例》及有关法律、法规的法律规定进行相应的处罚。</w:t>
      </w:r>
    </w:p>
    <w:p w14:paraId="01A99629">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color w:val="auto"/>
          <w:sz w:val="24"/>
          <w:szCs w:val="24"/>
          <w:highlight w:val="none"/>
          <w:lang w:val="zh-CN"/>
        </w:rPr>
      </w:pPr>
      <w:r>
        <w:rPr>
          <w:rFonts w:hint="eastAsia" w:ascii="宋体" w:hAnsi="宋体" w:cs="宋体"/>
          <w:b/>
          <w:bCs/>
          <w:color w:val="auto"/>
          <w:sz w:val="24"/>
          <w:szCs w:val="24"/>
          <w:highlight w:val="none"/>
          <w:lang w:val="en-US" w:eastAsia="zh-CN"/>
        </w:rPr>
        <w:t>42</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巨大的，供应商还应当对超过部分予以赔偿，并依法承担相应法律责任。</w:t>
      </w:r>
    </w:p>
    <w:p w14:paraId="5C486CE6">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outlineLvl w:val="1"/>
        <w:rPr>
          <w:rFonts w:hint="eastAsia" w:ascii="宋体" w:hAnsi="宋体" w:cs="宋体"/>
          <w:b/>
          <w:bCs/>
          <w:color w:val="auto"/>
          <w:sz w:val="24"/>
          <w:szCs w:val="24"/>
          <w:lang w:val="en-US" w:eastAsia="zh-CN"/>
        </w:rPr>
      </w:pPr>
      <w:r>
        <w:rPr>
          <w:rFonts w:hint="eastAsia" w:ascii="宋体" w:hAnsi="宋体" w:cs="宋体"/>
          <w:b/>
          <w:bCs/>
          <w:color w:val="auto"/>
          <w:sz w:val="24"/>
          <w:szCs w:val="24"/>
          <w:highlight w:val="none"/>
          <w:lang w:val="en-US" w:eastAsia="zh-CN"/>
        </w:rPr>
        <w:t>43</w:t>
      </w:r>
      <w:r>
        <w:rPr>
          <w:rFonts w:hint="eastAsia" w:ascii="宋体" w:hAnsi="宋体" w:cs="宋体"/>
          <w:b/>
          <w:bCs/>
          <w:color w:val="auto"/>
          <w:sz w:val="24"/>
          <w:szCs w:val="24"/>
          <w:highlight w:val="none"/>
        </w:rPr>
        <w:t>、</w:t>
      </w:r>
      <w:bookmarkStart w:id="30" w:name="_Toc14581"/>
      <w:bookmarkStart w:id="31" w:name="_Toc4577"/>
      <w:r>
        <w:rPr>
          <w:rFonts w:hint="eastAsia" w:ascii="宋体" w:hAnsi="宋体" w:cs="宋体"/>
          <w:b/>
          <w:bCs/>
          <w:color w:val="auto"/>
          <w:sz w:val="24"/>
          <w:szCs w:val="24"/>
          <w:lang w:val="en-US" w:eastAsia="zh-CN"/>
        </w:rPr>
        <w:t>合同履行及验收</w:t>
      </w:r>
      <w:bookmarkEnd w:id="30"/>
      <w:bookmarkEnd w:id="31"/>
    </w:p>
    <w:p w14:paraId="7EAE9AC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.1、政府采购合同的履行、违约责任和解决争议的方法等适用《中华人民共和国民法典》。采购人按照政府采购合同规定的技术、服务、安全标准组织对供应商履约情况进行验收，并出具验收书。</w:t>
      </w:r>
    </w:p>
    <w:p w14:paraId="063392F0">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.2、履约验收的费用及要求详见“竞争性磋商须知”。</w:t>
      </w:r>
    </w:p>
    <w:p w14:paraId="0525033C">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.3、采购人按《关于促进政府采购公平竞争优化营商环境的通知》（财库〔2019〕38号）、《保障中小企业款项支付条例》（国务院令第728号）等规定及采购合同的约定进行支付合同款项。</w:t>
      </w:r>
    </w:p>
    <w:p w14:paraId="339AA9E2">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en-US" w:eastAsia="zh-CN"/>
        </w:rPr>
        <w:t>44</w:t>
      </w:r>
      <w:r>
        <w:rPr>
          <w:rFonts w:hint="eastAsia" w:ascii="宋体" w:hAnsi="宋体" w:cs="宋体"/>
          <w:b/>
          <w:color w:val="auto"/>
          <w:sz w:val="24"/>
          <w:szCs w:val="24"/>
          <w:highlight w:val="none"/>
          <w:lang w:val="zh-CN"/>
        </w:rPr>
        <w:t>、关于询问、质疑和投诉</w:t>
      </w:r>
    </w:p>
    <w:p w14:paraId="2F3A789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44.1、询问</w:t>
      </w:r>
    </w:p>
    <w:p w14:paraId="511C161D">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供应商对政府采购活动事项有疑问的，可以向采购人或采购代理机构提出询问。采购人或采购代理机构将在3个工作日内对供应商依法提出的询问作出答复。</w:t>
      </w:r>
    </w:p>
    <w:p w14:paraId="2C5AFA56">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根据采购人和采购代理机构签订的《政府采购代理合同》，针对采购需求（包括采购内容、技术或服务要求、商务要求、合同条款、供应商资格条件）的询问请向采购人提出。</w:t>
      </w:r>
    </w:p>
    <w:p w14:paraId="7EEF0844">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en-US" w:eastAsia="zh-CN"/>
        </w:rPr>
        <w:t>44.2、</w:t>
      </w:r>
      <w:r>
        <w:rPr>
          <w:rFonts w:hint="eastAsia" w:ascii="宋体" w:hAnsi="宋体" w:cs="宋体"/>
          <w:b/>
          <w:color w:val="auto"/>
          <w:sz w:val="24"/>
          <w:szCs w:val="24"/>
          <w:highlight w:val="none"/>
          <w:lang w:val="zh-CN"/>
        </w:rPr>
        <w:t>质疑</w:t>
      </w:r>
    </w:p>
    <w:p w14:paraId="46B57E66">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供应商认为</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zh-CN"/>
        </w:rPr>
        <w:t>、采购过程、</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zh-CN"/>
        </w:rPr>
        <w:t>或者</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zh-CN"/>
        </w:rPr>
        <w:t>结果使自己的权益受到损害的，可以在知道或者应知其权益受到损害之日起7个工作日内，以书面形式向采购人、采购代理机构提出质疑。</w:t>
      </w:r>
    </w:p>
    <w:p w14:paraId="6E08D7B4">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供应商在法定质疑期内应一次性提出针对同一采购程序环节的质疑。</w:t>
      </w:r>
    </w:p>
    <w:p w14:paraId="1BFC7508">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质疑接受以书面形式送达以下地址：</w:t>
      </w:r>
    </w:p>
    <w:p w14:paraId="5162D424">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rPr>
        <w:t>张工</w:t>
      </w:r>
    </w:p>
    <w:p w14:paraId="37ABFA7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rPr>
        <w:t>029-89871668</w:t>
      </w:r>
    </w:p>
    <w:p w14:paraId="029BDF2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地址</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西安市未央区凤城八路与渭滨路十字西北角水晶新天地6楼11603室</w:t>
      </w:r>
    </w:p>
    <w:p w14:paraId="0A8E4181">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）书面质疑函应按照财政部国库司制定的《政府采购供应商质疑函范本》进行填写，签字、盖章后提交至采购人、采购代理机构。</w:t>
      </w:r>
    </w:p>
    <w:p w14:paraId="07A5C19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质疑函范本地址：</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"http://download.ccgp.gov.cn/2018/zhiyihanfanben.zip"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http://download.ccgp.gov.cn/2018/zhiyihanfanben.zip</w:t>
      </w:r>
      <w:r>
        <w:rPr>
          <w:rFonts w:hint="eastAsia" w:ascii="宋体" w:hAnsi="宋体" w:eastAsia="宋体" w:cs="宋体"/>
          <w:color w:val="auto"/>
          <w:sz w:val="24"/>
          <w:szCs w:val="24"/>
          <w:highlight w:val="none"/>
          <w:lang w:val="zh-CN"/>
        </w:rPr>
        <w:fldChar w:fldCharType="end"/>
      </w:r>
    </w:p>
    <w:p w14:paraId="7433F244">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质疑函应当包括下列内容：</w:t>
      </w:r>
    </w:p>
    <w:p w14:paraId="110EAE57">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供应商的姓名或者名称、地址、邮编、联系人及联系电话；</w:t>
      </w:r>
    </w:p>
    <w:p w14:paraId="234B35AB">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质疑项目的名称、编号；</w:t>
      </w:r>
    </w:p>
    <w:p w14:paraId="638ACBB6">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具体、明确的质疑事项和与质疑事项相关的请求；</w:t>
      </w:r>
    </w:p>
    <w:p w14:paraId="6B0028B3">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事实依据；</w:t>
      </w:r>
    </w:p>
    <w:p w14:paraId="1981A613">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必要的法律依据；</w:t>
      </w:r>
    </w:p>
    <w:p w14:paraId="19EF821D">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提出质疑的日期。</w:t>
      </w:r>
    </w:p>
    <w:p w14:paraId="4A07597F">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76B13C94">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14:paraId="71816B84">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有下列情形之一的，属于无效质疑，代理机构和采购人不予受理：</w:t>
      </w:r>
    </w:p>
    <w:p w14:paraId="11C03BB1">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质疑人不是参与本次政府采购项目的供应商或潜在供应商；</w:t>
      </w:r>
    </w:p>
    <w:p w14:paraId="6E7C551F">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质疑人与质疑事项不存在利害关系的；</w:t>
      </w:r>
    </w:p>
    <w:p w14:paraId="504D4105">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未在法定期限内提出质疑的；</w:t>
      </w:r>
    </w:p>
    <w:p w14:paraId="27E21951">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质疑未以书面形式提出，或质疑函主要内容构成不完整的，或缺乏必要的证明材料及证明材料不完整的；</w:t>
      </w:r>
    </w:p>
    <w:p w14:paraId="53F8D095">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质疑函没有合法有效的签字、盖章或授权的；</w:t>
      </w:r>
    </w:p>
    <w:p w14:paraId="20C13B00">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以非法手段取得证据、材料的；</w:t>
      </w:r>
    </w:p>
    <w:p w14:paraId="0B1CA8AB">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质疑答复后，同一质疑人就同一事项再次提出质疑的；</w:t>
      </w:r>
    </w:p>
    <w:p w14:paraId="2010F751">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不符合法律、法规、规章和监管机构规定的其他条件的。</w:t>
      </w:r>
    </w:p>
    <w:p w14:paraId="3FC627EC">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代理机构或采购人将在收到书面质疑后7个工作日内做出答复，并以书面形式通知质疑人和其他有关供应商。</w:t>
      </w:r>
    </w:p>
    <w:p w14:paraId="7143AD07">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en-US" w:eastAsia="zh-CN"/>
        </w:rPr>
        <w:t>44.3、投诉</w:t>
      </w:r>
    </w:p>
    <w:p w14:paraId="41D8D44B">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zh-CN"/>
        </w:rPr>
        <w:t>质疑人对代理机构或采购人的答复不满意，以及代理机构或采购人未在规定时间内做出答复的，可以在答复期满后15个工作日内向政府采购监管机构提出投诉。</w:t>
      </w:r>
    </w:p>
    <w:p w14:paraId="61D8421E">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zh-CN"/>
        </w:rPr>
        <w:t>供应商投诉的事项不得超出已质疑事项的范围。</w:t>
      </w:r>
      <w:r>
        <w:rPr>
          <w:rFonts w:hint="eastAsia" w:ascii="宋体" w:hAnsi="宋体" w:eastAsia="宋体" w:cs="宋体"/>
          <w:color w:val="auto"/>
          <w:sz w:val="24"/>
          <w:szCs w:val="24"/>
          <w:highlight w:val="none"/>
        </w:rPr>
        <w:t>供应商提出投诉时，应当提交投诉书和必要的证明材料，并按财政部《投诉书范本》给定的格式进行填写。</w:t>
      </w:r>
    </w:p>
    <w:p w14:paraId="0C3BEC80">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投诉书范本地址：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"http://download.ccgp.gov.cn/2018/tousushufanben.zip"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http://download.ccgp.gov.cn/2018/tousushufanben.zip</w:t>
      </w:r>
      <w:r>
        <w:rPr>
          <w:rFonts w:hint="eastAsia" w:ascii="宋体" w:hAnsi="宋体" w:eastAsia="宋体" w:cs="宋体"/>
          <w:color w:val="auto"/>
          <w:sz w:val="24"/>
          <w:szCs w:val="24"/>
          <w:highlight w:val="none"/>
        </w:rPr>
        <w:fldChar w:fldCharType="end"/>
      </w:r>
    </w:p>
    <w:p w14:paraId="1C17B1F5">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、恶意质疑、投诉的法律后果</w:t>
      </w:r>
    </w:p>
    <w:p w14:paraId="74F3F8B5">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对捏造事实、提供虚假材料进行质疑、投诉的行为予以严肃处理：</w:t>
      </w:r>
    </w:p>
    <w:p w14:paraId="40819A83">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39701CDF">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对捏造事实诬告陷害他人、诽谤他人的法律适用：</w:t>
      </w:r>
    </w:p>
    <w:p w14:paraId="3F9CFA63">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《中华人民共和国刑法》第243条【诬告陷害罪】捏造事实诬告陷害他人，意图使他人受刑事追究，情节严重的，处三年以下有期徒刑、拘役或者管制；造成严重后果的，处三年以上十年以下有期徒刑。</w:t>
      </w:r>
    </w:p>
    <w:p w14:paraId="6645193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《中华人民共和国刑法》第246条【侮辱罪、诽谤罪】以暴力或者其他方法公然侮辱他人或者捏造事实诽谤他人，情节严重的，处三年以下有期徒刑、拘役、管制或者剥夺政治权。</w:t>
      </w:r>
    </w:p>
    <w:p w14:paraId="0B6A17E5">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陕西省政府采购信用担保及信用融资政策</w:t>
      </w:r>
    </w:p>
    <w:p w14:paraId="263233DD">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为支持和促进中小企业发展，进一步发挥政府采购政策功能作用，根据《财政部关于开展政府采购信用担保试点工作的通知》（财库（2011）124号）、《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5E62E4BC">
      <w:pPr>
        <w:pStyle w:val="16"/>
        <w:keepNext w:val="0"/>
        <w:keepLines w:val="0"/>
        <w:pageBreakBefore w:val="0"/>
        <w:widowControl w:val="0"/>
        <w:numPr>
          <w:ilvl w:val="0"/>
          <w:numId w:val="0"/>
        </w:numPr>
        <w:shd w:val="clear"/>
        <w:kinsoku/>
        <w:wordWrap/>
        <w:overflowPunct/>
        <w:topLinePunct w:val="0"/>
        <w:bidi w:val="0"/>
        <w:spacing w:line="420" w:lineRule="exact"/>
        <w:ind w:firstLine="480" w:firstLineChars="200"/>
        <w:jc w:val="left"/>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24"/>
          <w:szCs w:val="24"/>
          <w:highlight w:val="none"/>
          <w:lang w:val="zh-CN" w:eastAsia="zh-CN"/>
        </w:rPr>
        <w:t>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443E7DBA">
      <w:pPr>
        <w:pStyle w:val="35"/>
        <w:keepNext w:val="0"/>
        <w:keepLines w:val="0"/>
        <w:pageBreakBefore w:val="0"/>
        <w:widowControl w:val="0"/>
        <w:kinsoku/>
        <w:wordWrap/>
        <w:overflowPunct/>
        <w:topLinePunct w:val="0"/>
        <w:autoSpaceDE w:val="0"/>
        <w:autoSpaceDN w:val="0"/>
        <w:bidi w:val="0"/>
        <w:adjustRightInd w:val="0"/>
        <w:snapToGrid w:val="0"/>
        <w:spacing w:after="0" w:line="420" w:lineRule="exact"/>
        <w:ind w:firstLine="0" w:firstLineChars="0"/>
        <w:jc w:val="center"/>
        <w:textAlignment w:val="bottom"/>
        <w:outlineLvl w:val="9"/>
        <w:rPr>
          <w:rFonts w:hint="eastAsia" w:ascii="宋体" w:hAnsi="宋体" w:eastAsia="宋体" w:cs="宋体"/>
          <w:color w:val="auto"/>
          <w:sz w:val="36"/>
          <w:szCs w:val="36"/>
          <w:highlight w:val="none"/>
        </w:rPr>
        <w:sectPr>
          <w:footerReference r:id="rId16" w:type="first"/>
          <w:headerReference r:id="rId14" w:type="default"/>
          <w:footerReference r:id="rId15" w:type="default"/>
          <w:pgSz w:w="11906" w:h="16838"/>
          <w:pgMar w:top="1440" w:right="1080" w:bottom="1440" w:left="1080" w:header="850" w:footer="1077" w:gutter="0"/>
          <w:pgNumType w:fmt="decimal"/>
          <w:cols w:space="720" w:num="1"/>
          <w:docGrid w:type="lines" w:linePitch="312" w:charSpace="0"/>
        </w:sectPr>
      </w:pPr>
    </w:p>
    <w:p w14:paraId="5B96B13A">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highlight w:val="none"/>
          <w:lang w:val="en-US" w:eastAsia="zh-CN"/>
        </w:rPr>
      </w:pPr>
      <w:bookmarkStart w:id="32" w:name="_Toc23051"/>
      <w:r>
        <w:rPr>
          <w:rFonts w:hint="eastAsia" w:ascii="宋体" w:hAnsi="宋体" w:eastAsia="宋体" w:cs="宋体"/>
          <w:b/>
          <w:bCs/>
          <w:color w:val="auto"/>
          <w:sz w:val="32"/>
          <w:szCs w:val="32"/>
          <w:highlight w:val="none"/>
          <w:lang w:val="en-US" w:eastAsia="zh-CN"/>
        </w:rPr>
        <w:t>第四章 评审办法</w:t>
      </w:r>
      <w:bookmarkEnd w:id="32"/>
    </w:p>
    <w:p w14:paraId="5539B864">
      <w:pPr>
        <w:keepNext w:val="0"/>
        <w:keepLines w:val="0"/>
        <w:pageBreakBefore w:val="0"/>
        <w:widowControl w:val="0"/>
        <w:kinsoku/>
        <w:wordWrap/>
        <w:overflowPunct/>
        <w:topLinePunct w:val="0"/>
        <w:bidi w:val="0"/>
        <w:spacing w:line="42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1、评审方法</w:t>
      </w:r>
    </w:p>
    <w:p w14:paraId="33648103">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pacing w:val="4"/>
          <w:sz w:val="24"/>
          <w:szCs w:val="24"/>
          <w:highlight w:val="none"/>
        </w:rPr>
      </w:pPr>
      <w:r>
        <w:rPr>
          <w:rFonts w:hint="eastAsia" w:ascii="宋体" w:hAnsi="宋体" w:cs="宋体"/>
          <w:color w:val="auto"/>
          <w:sz w:val="24"/>
          <w:szCs w:val="24"/>
          <w:highlight w:val="none"/>
        </w:rPr>
        <w:t>按照《中华人民共和国政府采购法》及实施条例和关于印发《政府采购竞争性磋商采购方式管理暂行办法》的通知（财库〔2014〕214号）</w:t>
      </w:r>
      <w:r>
        <w:rPr>
          <w:rFonts w:hint="eastAsia" w:ascii="宋体" w:hAnsi="宋体" w:cs="宋体"/>
          <w:color w:val="auto"/>
          <w:spacing w:val="4"/>
          <w:sz w:val="24"/>
          <w:szCs w:val="24"/>
          <w:highlight w:val="none"/>
        </w:rPr>
        <w:t>的规定，本次评标采用综合评分法，即在最大限度地满足</w:t>
      </w:r>
      <w:r>
        <w:rPr>
          <w:rFonts w:hint="eastAsia" w:ascii="宋体" w:hAnsi="宋体" w:cs="宋体"/>
          <w:color w:val="auto"/>
          <w:spacing w:val="4"/>
          <w:sz w:val="24"/>
          <w:szCs w:val="24"/>
          <w:highlight w:val="none"/>
          <w:lang w:eastAsia="zh-CN"/>
        </w:rPr>
        <w:t>竞争性磋商文件</w:t>
      </w:r>
      <w:r>
        <w:rPr>
          <w:rFonts w:hint="eastAsia" w:ascii="宋体" w:hAnsi="宋体" w:cs="宋体"/>
          <w:color w:val="auto"/>
          <w:spacing w:val="4"/>
          <w:sz w:val="24"/>
          <w:szCs w:val="24"/>
          <w:highlight w:val="none"/>
        </w:rPr>
        <w:t>实质性要求前提下，按照</w:t>
      </w:r>
      <w:r>
        <w:rPr>
          <w:rFonts w:hint="eastAsia" w:ascii="宋体" w:hAnsi="宋体" w:cs="宋体"/>
          <w:color w:val="auto"/>
          <w:spacing w:val="4"/>
          <w:sz w:val="24"/>
          <w:szCs w:val="24"/>
          <w:highlight w:val="none"/>
          <w:lang w:eastAsia="zh-CN"/>
        </w:rPr>
        <w:t>竞争性磋商文件</w:t>
      </w:r>
      <w:r>
        <w:rPr>
          <w:rFonts w:hint="eastAsia" w:ascii="宋体" w:hAnsi="宋体" w:cs="宋体"/>
          <w:color w:val="auto"/>
          <w:spacing w:val="4"/>
          <w:sz w:val="24"/>
          <w:szCs w:val="24"/>
          <w:highlight w:val="none"/>
        </w:rPr>
        <w:t>中规定的各项因素和相应的权重分值进行综合评审后，以总得分最高的供应商作为成交候选人并依次排序（最低报价不是成交的唯一标准）。</w:t>
      </w:r>
    </w:p>
    <w:p w14:paraId="09176E36">
      <w:pPr>
        <w:keepNext w:val="0"/>
        <w:keepLines w:val="0"/>
        <w:pageBreakBefore w:val="0"/>
        <w:widowControl w:val="0"/>
        <w:kinsoku/>
        <w:wordWrap/>
        <w:overflowPunct/>
        <w:topLinePunct w:val="0"/>
        <w:bidi w:val="0"/>
        <w:spacing w:line="42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2、评审标准</w:t>
      </w:r>
    </w:p>
    <w:p w14:paraId="1821C878">
      <w:pPr>
        <w:keepNext w:val="0"/>
        <w:keepLines w:val="0"/>
        <w:pageBreakBefore w:val="0"/>
        <w:widowControl w:val="0"/>
        <w:tabs>
          <w:tab w:val="left" w:pos="0"/>
        </w:tabs>
        <w:kinsoku/>
        <w:wordWrap/>
        <w:overflowPunct/>
        <w:topLinePunct w:val="0"/>
        <w:bidi w:val="0"/>
        <w:adjustRightInd w:val="0"/>
        <w:snapToGrid w:val="0"/>
        <w:spacing w:line="42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2.1、初步评审标准</w:t>
      </w:r>
    </w:p>
    <w:p w14:paraId="0A54FC02">
      <w:pPr>
        <w:keepNext w:val="0"/>
        <w:keepLines w:val="0"/>
        <w:pageBreakBefore w:val="0"/>
        <w:widowControl w:val="0"/>
        <w:tabs>
          <w:tab w:val="left" w:pos="0"/>
        </w:tabs>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资格性审查标准：见附件1〖资格性审查表〗</w:t>
      </w:r>
    </w:p>
    <w:p w14:paraId="1121277F">
      <w:pPr>
        <w:keepNext w:val="0"/>
        <w:keepLines w:val="0"/>
        <w:pageBreakBefore w:val="0"/>
        <w:widowControl w:val="0"/>
        <w:tabs>
          <w:tab w:val="left" w:pos="0"/>
        </w:tabs>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符合性审查标准：见附件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〖符合性审查表〗</w:t>
      </w:r>
    </w:p>
    <w:p w14:paraId="0CEE1F2B">
      <w:pPr>
        <w:keepNext w:val="0"/>
        <w:keepLines w:val="0"/>
        <w:pageBreakBefore w:val="0"/>
        <w:widowControl w:val="0"/>
        <w:tabs>
          <w:tab w:val="left" w:pos="0"/>
        </w:tabs>
        <w:kinsoku/>
        <w:wordWrap/>
        <w:overflowPunct/>
        <w:topLinePunct w:val="0"/>
        <w:bidi w:val="0"/>
        <w:adjustRightInd w:val="0"/>
        <w:snapToGrid w:val="0"/>
        <w:spacing w:line="42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2.2、分值构成与评分标准</w:t>
      </w:r>
    </w:p>
    <w:p w14:paraId="48F3BC93">
      <w:pPr>
        <w:keepNext w:val="0"/>
        <w:keepLines w:val="0"/>
        <w:pageBreakBefore w:val="0"/>
        <w:widowControl w:val="0"/>
        <w:tabs>
          <w:tab w:val="left" w:pos="0"/>
        </w:tabs>
        <w:kinsoku/>
        <w:wordWrap/>
        <w:overflowPunct/>
        <w:topLinePunct w:val="0"/>
        <w:bidi w:val="0"/>
        <w:adjustRightInd w:val="0"/>
        <w:snapToGrid w:val="0"/>
        <w:spacing w:line="42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磋商</w:t>
      </w:r>
      <w:r>
        <w:rPr>
          <w:rFonts w:hint="eastAsia" w:ascii="宋体" w:hAnsi="宋体" w:cs="宋体"/>
          <w:bCs/>
          <w:color w:val="auto"/>
          <w:sz w:val="24"/>
          <w:szCs w:val="24"/>
          <w:highlight w:val="none"/>
        </w:rPr>
        <w:t>价格：见附件</w:t>
      </w:r>
      <w:r>
        <w:rPr>
          <w:rFonts w:hint="eastAsia" w:ascii="宋体" w:hAnsi="宋体" w:cs="宋体"/>
          <w:bCs/>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bCs/>
          <w:color w:val="auto"/>
          <w:sz w:val="24"/>
          <w:szCs w:val="24"/>
          <w:highlight w:val="none"/>
        </w:rPr>
        <w:t>评标因素及权重分值表</w:t>
      </w:r>
      <w:r>
        <w:rPr>
          <w:rFonts w:hint="eastAsia" w:ascii="宋体" w:hAnsi="宋体" w:eastAsia="宋体" w:cs="宋体"/>
          <w:color w:val="auto"/>
          <w:sz w:val="24"/>
          <w:szCs w:val="24"/>
          <w:highlight w:val="none"/>
        </w:rPr>
        <w:t>〗</w:t>
      </w:r>
    </w:p>
    <w:p w14:paraId="3E2CEFB7">
      <w:pPr>
        <w:keepNext w:val="0"/>
        <w:keepLines w:val="0"/>
        <w:pageBreakBefore w:val="0"/>
        <w:widowControl w:val="0"/>
        <w:tabs>
          <w:tab w:val="left" w:pos="0"/>
        </w:tabs>
        <w:kinsoku/>
        <w:wordWrap/>
        <w:overflowPunct/>
        <w:topLinePunct w:val="0"/>
        <w:bidi w:val="0"/>
        <w:adjustRightInd w:val="0"/>
        <w:snapToGrid w:val="0"/>
        <w:spacing w:line="42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技术</w:t>
      </w:r>
      <w:r>
        <w:rPr>
          <w:rFonts w:hint="eastAsia" w:ascii="宋体" w:hAnsi="宋体" w:eastAsia="宋体" w:cs="宋体"/>
          <w:bCs/>
          <w:color w:val="auto"/>
          <w:sz w:val="24"/>
          <w:szCs w:val="24"/>
          <w:highlight w:val="none"/>
        </w:rPr>
        <w:t>方案</w:t>
      </w:r>
      <w:r>
        <w:rPr>
          <w:rFonts w:hint="eastAsia" w:ascii="宋体" w:hAnsi="宋体" w:cs="宋体"/>
          <w:bCs/>
          <w:color w:val="auto"/>
          <w:sz w:val="24"/>
          <w:szCs w:val="24"/>
          <w:highlight w:val="none"/>
        </w:rPr>
        <w:t>：见附件</w:t>
      </w:r>
      <w:r>
        <w:rPr>
          <w:rFonts w:hint="eastAsia" w:ascii="宋体" w:hAnsi="宋体" w:cs="宋体"/>
          <w:bCs/>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bCs/>
          <w:color w:val="auto"/>
          <w:sz w:val="24"/>
          <w:szCs w:val="24"/>
          <w:highlight w:val="none"/>
        </w:rPr>
        <w:t>评标因素及权重分值表</w:t>
      </w:r>
      <w:r>
        <w:rPr>
          <w:rFonts w:hint="eastAsia" w:ascii="宋体" w:hAnsi="宋体" w:eastAsia="宋体" w:cs="宋体"/>
          <w:color w:val="auto"/>
          <w:sz w:val="24"/>
          <w:szCs w:val="24"/>
          <w:highlight w:val="none"/>
        </w:rPr>
        <w:t>〗</w:t>
      </w:r>
    </w:p>
    <w:p w14:paraId="4BD430C7">
      <w:pPr>
        <w:keepNext w:val="0"/>
        <w:keepLines w:val="0"/>
        <w:pageBreakBefore w:val="0"/>
        <w:widowControl w:val="0"/>
        <w:tabs>
          <w:tab w:val="left" w:pos="0"/>
        </w:tabs>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）业绩</w:t>
      </w:r>
      <w:r>
        <w:rPr>
          <w:rFonts w:hint="eastAsia" w:ascii="宋体" w:hAnsi="宋体" w:cs="宋体"/>
          <w:bCs/>
          <w:color w:val="auto"/>
          <w:sz w:val="24"/>
          <w:szCs w:val="24"/>
          <w:highlight w:val="none"/>
          <w:lang w:val="en-US" w:eastAsia="zh-CN"/>
        </w:rPr>
        <w:t>及履约能力</w:t>
      </w:r>
      <w:r>
        <w:rPr>
          <w:rFonts w:hint="eastAsia" w:ascii="宋体" w:hAnsi="宋体" w:eastAsia="宋体" w:cs="宋体"/>
          <w:bCs/>
          <w:color w:val="auto"/>
          <w:sz w:val="24"/>
          <w:szCs w:val="24"/>
          <w:highlight w:val="none"/>
        </w:rPr>
        <w:t>：见附件</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〖评标因素及权重分值表〗</w:t>
      </w:r>
    </w:p>
    <w:p w14:paraId="2FF05BC3">
      <w:pPr>
        <w:keepNext w:val="0"/>
        <w:keepLines w:val="0"/>
        <w:pageBreakBefore w:val="0"/>
        <w:widowControl w:val="0"/>
        <w:kinsoku/>
        <w:wordWrap/>
        <w:overflowPunct/>
        <w:topLinePunct w:val="0"/>
        <w:bidi w:val="0"/>
        <w:spacing w:line="420" w:lineRule="exact"/>
        <w:ind w:firstLine="498" w:firstLineChars="200"/>
        <w:textAlignment w:val="auto"/>
        <w:rPr>
          <w:rFonts w:ascii="宋体" w:hAnsi="宋体" w:cs="宋体"/>
          <w:b/>
          <w:color w:val="auto"/>
          <w:spacing w:val="4"/>
          <w:sz w:val="24"/>
          <w:szCs w:val="24"/>
          <w:highlight w:val="none"/>
        </w:rPr>
      </w:pPr>
      <w:r>
        <w:rPr>
          <w:rFonts w:hint="eastAsia" w:ascii="宋体" w:hAnsi="宋体" w:cs="宋体"/>
          <w:b/>
          <w:color w:val="auto"/>
          <w:spacing w:val="4"/>
          <w:sz w:val="24"/>
          <w:szCs w:val="24"/>
          <w:highlight w:val="none"/>
        </w:rPr>
        <w:t>3、评审程序</w:t>
      </w:r>
    </w:p>
    <w:p w14:paraId="474B1816">
      <w:pPr>
        <w:pStyle w:val="29"/>
        <w:keepNext w:val="0"/>
        <w:keepLines w:val="0"/>
        <w:pageBreakBefore w:val="0"/>
        <w:widowControl w:val="0"/>
        <w:kinsoku/>
        <w:wordWrap/>
        <w:overflowPunct/>
        <w:topLinePunct w:val="0"/>
        <w:bidi w:val="0"/>
        <w:spacing w:line="42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按照</w:t>
      </w:r>
      <w:r>
        <w:rPr>
          <w:rFonts w:hint="eastAsia" w:hAnsi="宋体" w:cs="宋体"/>
          <w:color w:val="auto"/>
          <w:sz w:val="24"/>
          <w:szCs w:val="24"/>
          <w:highlight w:val="none"/>
          <w:lang w:eastAsia="zh-CN"/>
        </w:rPr>
        <w:t>竞争性磋商响应文件</w:t>
      </w:r>
      <w:r>
        <w:rPr>
          <w:rFonts w:hint="eastAsia" w:hAnsi="宋体" w:cs="宋体"/>
          <w:color w:val="auto"/>
          <w:sz w:val="24"/>
          <w:szCs w:val="24"/>
          <w:highlight w:val="none"/>
        </w:rPr>
        <w:t>初审、澄清有关问题、分别磋商、二次报价、比较与评审、推荐成交候选人名单。在上一步评审中被认定为无效磋商者，不进入下一步的评审。</w:t>
      </w:r>
    </w:p>
    <w:p w14:paraId="7A3562C5">
      <w:pPr>
        <w:keepNext w:val="0"/>
        <w:keepLines w:val="0"/>
        <w:pageBreakBefore w:val="0"/>
        <w:widowControl w:val="0"/>
        <w:kinsoku/>
        <w:wordWrap/>
        <w:overflowPunct/>
        <w:topLinePunct w:val="0"/>
        <w:bidi w:val="0"/>
        <w:spacing w:line="420" w:lineRule="exact"/>
        <w:ind w:firstLine="498" w:firstLineChars="200"/>
        <w:textAlignment w:val="auto"/>
        <w:rPr>
          <w:rFonts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rPr>
        <w:t>3.1、对</w:t>
      </w:r>
      <w:r>
        <w:rPr>
          <w:rFonts w:hint="eastAsia" w:ascii="宋体" w:hAnsi="宋体" w:cs="宋体"/>
          <w:b/>
          <w:bCs/>
          <w:color w:val="auto"/>
          <w:spacing w:val="4"/>
          <w:sz w:val="24"/>
          <w:szCs w:val="24"/>
          <w:highlight w:val="none"/>
          <w:lang w:eastAsia="zh-CN"/>
        </w:rPr>
        <w:t>竞争性磋商响应文件</w:t>
      </w:r>
      <w:r>
        <w:rPr>
          <w:rFonts w:hint="eastAsia" w:ascii="宋体" w:hAnsi="宋体" w:cs="宋体"/>
          <w:b/>
          <w:bCs/>
          <w:color w:val="auto"/>
          <w:spacing w:val="4"/>
          <w:sz w:val="24"/>
          <w:szCs w:val="24"/>
          <w:highlight w:val="none"/>
        </w:rPr>
        <w:t>的初审</w:t>
      </w:r>
    </w:p>
    <w:p w14:paraId="7D81B517">
      <w:pPr>
        <w:keepNext w:val="0"/>
        <w:keepLines w:val="0"/>
        <w:pageBreakBefore w:val="0"/>
        <w:widowControl w:val="0"/>
        <w:tabs>
          <w:tab w:val="left" w:pos="0"/>
        </w:tabs>
        <w:kinsoku/>
        <w:wordWrap/>
        <w:overflowPunct/>
        <w:topLinePunct w:val="0"/>
        <w:bidi w:val="0"/>
        <w:adjustRightInd w:val="0"/>
        <w:snapToGrid w:val="0"/>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资格性审查：采购人将依据本章附件1规定的评审标准对</w:t>
      </w:r>
      <w:r>
        <w:rPr>
          <w:rFonts w:hint="eastAsia" w:ascii="宋体" w:hAnsi="宋体" w:cs="宋体"/>
          <w:color w:val="auto"/>
          <w:sz w:val="24"/>
          <w:szCs w:val="24"/>
          <w:highlight w:val="none"/>
          <w:lang w:eastAsia="zh-CN"/>
        </w:rPr>
        <w:t>竞争性磋商响应文件</w:t>
      </w:r>
      <w:r>
        <w:rPr>
          <w:rFonts w:hint="eastAsia" w:ascii="宋体" w:hAnsi="宋体" w:cs="宋体"/>
          <w:color w:val="auto"/>
          <w:sz w:val="24"/>
          <w:szCs w:val="24"/>
          <w:highlight w:val="none"/>
        </w:rPr>
        <w:t>进行资格性审查。有一项不符合评审标准的，将被视为未实质性响应</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eastAsia="zh-CN"/>
        </w:rPr>
        <w:t>竞争性磋商响应文件</w:t>
      </w:r>
      <w:r>
        <w:rPr>
          <w:rFonts w:hint="eastAsia" w:ascii="宋体" w:hAnsi="宋体" w:cs="宋体"/>
          <w:color w:val="auto"/>
          <w:sz w:val="24"/>
          <w:szCs w:val="24"/>
          <w:highlight w:val="none"/>
        </w:rPr>
        <w:t>将按无效文件处理。</w:t>
      </w:r>
    </w:p>
    <w:p w14:paraId="070624B8">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color w:val="auto"/>
          <w:sz w:val="24"/>
          <w:szCs w:val="24"/>
          <w:highlight w:val="none"/>
        </w:rPr>
        <w:t>符合性审查：磋商小组根据本章附件</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规定的评审标准对</w:t>
      </w:r>
      <w:r>
        <w:rPr>
          <w:rFonts w:hint="eastAsia" w:ascii="宋体" w:hAnsi="宋体" w:cs="宋体"/>
          <w:color w:val="auto"/>
          <w:sz w:val="24"/>
          <w:szCs w:val="24"/>
          <w:highlight w:val="none"/>
          <w:lang w:eastAsia="zh-CN"/>
        </w:rPr>
        <w:t>竞争性磋商响应文件</w:t>
      </w:r>
      <w:r>
        <w:rPr>
          <w:rFonts w:hint="eastAsia" w:ascii="宋体" w:hAnsi="宋体" w:cs="宋体"/>
          <w:color w:val="auto"/>
          <w:sz w:val="24"/>
          <w:szCs w:val="24"/>
          <w:highlight w:val="none"/>
        </w:rPr>
        <w:t>进行符合性评审。有一项不符合评审标准的，将被视为未实质性响应</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eastAsia="zh-CN"/>
        </w:rPr>
        <w:t>竞争性磋商响应文件</w:t>
      </w:r>
      <w:r>
        <w:rPr>
          <w:rFonts w:hint="eastAsia" w:ascii="宋体" w:hAnsi="宋体" w:cs="宋体"/>
          <w:color w:val="auto"/>
          <w:sz w:val="24"/>
          <w:szCs w:val="24"/>
          <w:highlight w:val="none"/>
        </w:rPr>
        <w:t>将按无效文件处理。</w:t>
      </w:r>
    </w:p>
    <w:p w14:paraId="6035EDF2">
      <w:pPr>
        <w:keepNext w:val="0"/>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在资格性审查阶段，不符合</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要求的，不得进入符合性审查，在符合性审查时未通过的，不得进入后续评审环节。</w:t>
      </w:r>
    </w:p>
    <w:p w14:paraId="5FD1D790">
      <w:pPr>
        <w:keepNext w:val="0"/>
        <w:keepLines w:val="0"/>
        <w:pageBreakBefore w:val="0"/>
        <w:widowControl w:val="0"/>
        <w:kinsoku/>
        <w:wordWrap/>
        <w:overflowPunct/>
        <w:topLinePunct w:val="0"/>
        <w:bidi w:val="0"/>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3.2、</w:t>
      </w:r>
      <w:r>
        <w:rPr>
          <w:rFonts w:hint="eastAsia" w:ascii="宋体" w:hAnsi="宋体" w:cs="宋体"/>
          <w:b/>
          <w:bCs/>
          <w:color w:val="auto"/>
          <w:sz w:val="24"/>
          <w:szCs w:val="24"/>
          <w:highlight w:val="none"/>
          <w:lang w:eastAsia="zh-CN"/>
        </w:rPr>
        <w:t>竞争性磋商响应文件</w:t>
      </w:r>
      <w:r>
        <w:rPr>
          <w:rFonts w:hint="eastAsia" w:ascii="宋体" w:hAnsi="宋体" w:cs="宋体"/>
          <w:b/>
          <w:bCs/>
          <w:color w:val="auto"/>
          <w:sz w:val="24"/>
          <w:szCs w:val="24"/>
          <w:highlight w:val="none"/>
        </w:rPr>
        <w:t>的澄清</w:t>
      </w:r>
    </w:p>
    <w:p w14:paraId="4A08AEE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bCs/>
          <w:color w:val="auto"/>
          <w:sz w:val="24"/>
          <w:szCs w:val="24"/>
          <w:highlight w:val="none"/>
        </w:rPr>
        <w:t>（1）</w:t>
      </w:r>
      <w:r>
        <w:rPr>
          <w:rFonts w:hint="eastAsia" w:ascii="宋体" w:hAnsi="宋体" w:cs="宋体"/>
          <w:color w:val="auto"/>
          <w:sz w:val="24"/>
          <w:szCs w:val="24"/>
          <w:highlight w:val="none"/>
          <w:lang w:val="zh-CN"/>
        </w:rPr>
        <w:t>在评审期间,根据磋商小组的需要，要求供应商对其竞争性磋商响应文件进行澄清，有关澄清的要求和答复应以书面形式提交，但不得寻求、提供或允许对磋商价格等实质性内容做任何更改。</w:t>
      </w:r>
    </w:p>
    <w:p w14:paraId="448ED92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bCs/>
          <w:color w:val="auto"/>
          <w:sz w:val="24"/>
          <w:szCs w:val="24"/>
          <w:highlight w:val="none"/>
        </w:rPr>
        <w:t>（2）</w:t>
      </w:r>
      <w:r>
        <w:rPr>
          <w:rFonts w:hint="eastAsia" w:ascii="宋体" w:hAnsi="宋体" w:cs="宋体"/>
          <w:color w:val="auto"/>
          <w:sz w:val="24"/>
          <w:szCs w:val="24"/>
          <w:highlight w:val="none"/>
          <w:lang w:val="zh-CN"/>
        </w:rPr>
        <w:t>供应商应采用书面形式进行澄清或说明，但不得超出竞争性磋商响应文件的范围或改变竞争性磋商响应文件的实质性内容。</w:t>
      </w:r>
    </w:p>
    <w:p w14:paraId="09C18D44">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zh-CN"/>
        </w:rPr>
        <w:t>磋商小组所有成员集中与单一供应商分别进行磋商，并给予参加磋商的供应商平等的磋商机会。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竞争性磋商响应文件，并由其法定代表人或授权代表签字或加盖公章。</w:t>
      </w:r>
    </w:p>
    <w:p w14:paraId="619FE89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3.3</w:t>
      </w:r>
      <w:r>
        <w:rPr>
          <w:rFonts w:hint="eastAsia" w:ascii="宋体" w:hAnsi="宋体" w:eastAsia="宋体" w:cs="宋体"/>
          <w:b/>
          <w:color w:val="auto"/>
          <w:sz w:val="24"/>
        </w:rPr>
        <w:t>、出现下列情况之一者（但不限于），按无效文件处理：</w:t>
      </w:r>
    </w:p>
    <w:p w14:paraId="478212F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供应商没有经过正常渠道</w:t>
      </w:r>
      <w:r>
        <w:rPr>
          <w:rFonts w:hint="eastAsia" w:ascii="宋体" w:hAnsi="宋体" w:eastAsia="宋体" w:cs="宋体"/>
          <w:color w:val="auto"/>
          <w:sz w:val="24"/>
          <w:szCs w:val="24"/>
          <w:highlight w:val="none"/>
          <w:lang w:val="en-US" w:eastAsia="zh-CN"/>
        </w:rPr>
        <w:t>获取采购</w:t>
      </w:r>
      <w:r>
        <w:rPr>
          <w:rFonts w:hint="eastAsia" w:ascii="宋体" w:hAnsi="宋体" w:eastAsia="宋体" w:cs="宋体"/>
          <w:color w:val="auto"/>
          <w:sz w:val="24"/>
          <w:szCs w:val="24"/>
          <w:highlight w:val="none"/>
          <w:lang w:val="zh-CN" w:eastAsia="zh-CN"/>
        </w:rPr>
        <w:t>文件，或供应商的名称与报名</w:t>
      </w:r>
      <w:r>
        <w:rPr>
          <w:rFonts w:hint="eastAsia" w:ascii="宋体" w:hAnsi="宋体" w:eastAsia="宋体" w:cs="宋体"/>
          <w:color w:val="auto"/>
          <w:sz w:val="24"/>
          <w:szCs w:val="24"/>
          <w:highlight w:val="none"/>
          <w:lang w:val="en-US" w:eastAsia="zh-CN"/>
        </w:rPr>
        <w:t>时登记的</w:t>
      </w:r>
      <w:r>
        <w:rPr>
          <w:rFonts w:hint="eastAsia" w:ascii="宋体" w:hAnsi="宋体" w:eastAsia="宋体" w:cs="宋体"/>
          <w:color w:val="auto"/>
          <w:sz w:val="24"/>
          <w:szCs w:val="24"/>
          <w:highlight w:val="none"/>
          <w:lang w:val="zh-CN" w:eastAsia="zh-CN"/>
        </w:rPr>
        <w:t>供应商单位名称不符；</w:t>
      </w:r>
    </w:p>
    <w:p w14:paraId="71C6E4E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w:t>
      </w:r>
      <w:r>
        <w:rPr>
          <w:rFonts w:hint="eastAsia" w:ascii="宋体" w:hAnsi="宋体" w:cs="宋体"/>
          <w:color w:val="auto"/>
          <w:sz w:val="24"/>
          <w:szCs w:val="24"/>
          <w:highlight w:val="none"/>
          <w:lang w:val="en-US" w:eastAsia="zh-CN"/>
        </w:rPr>
        <w:t>磋商响应文件</w:t>
      </w:r>
      <w:r>
        <w:rPr>
          <w:rFonts w:hint="eastAsia" w:ascii="宋体" w:hAnsi="宋体" w:eastAsia="宋体" w:cs="宋体"/>
          <w:color w:val="auto"/>
          <w:sz w:val="24"/>
          <w:szCs w:val="24"/>
          <w:highlight w:val="none"/>
          <w:lang w:val="en-US" w:eastAsia="zh-CN"/>
        </w:rPr>
        <w:t>的有效性和符合性不符合</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要求的；</w:t>
      </w:r>
    </w:p>
    <w:p w14:paraId="3767F03B">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（3）供应商有串通投标、弄虚作假（包括但不限于虚假资质、虚假证明、虚假应答等）、行贿等违法行为的；</w:t>
      </w:r>
    </w:p>
    <w:p w14:paraId="740D97A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（4）响应文件附加了采购人难以接受的条件或条款的；</w:t>
      </w:r>
    </w:p>
    <w:p w14:paraId="1D28C62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（5）在政府采购或其他重大项目履约过程中有不良记录，未能按期履约的；</w:t>
      </w:r>
    </w:p>
    <w:p w14:paraId="00FD77B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报价与市场价格偏离较大、低于成本、形成不正当竞争的；</w:t>
      </w:r>
    </w:p>
    <w:p w14:paraId="0FA76FE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报价子目出现漏项或报价数量与要求不符的；</w:t>
      </w:r>
    </w:p>
    <w:p w14:paraId="1E264748">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（8）提供虚假技术性能指标的。</w:t>
      </w:r>
    </w:p>
    <w:p w14:paraId="305EBAB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lang w:val="en-US" w:eastAsia="zh-CN"/>
        </w:rPr>
        <w:t>3.</w:t>
      </w:r>
      <w:r>
        <w:rPr>
          <w:rFonts w:hint="eastAsia" w:ascii="宋体" w:hAnsi="宋体" w:eastAsia="宋体" w:cs="宋体"/>
          <w:b/>
          <w:color w:val="auto"/>
          <w:sz w:val="24"/>
        </w:rPr>
        <w:t>4、有下列情形之一的，视为</w:t>
      </w:r>
      <w:r>
        <w:rPr>
          <w:rFonts w:hint="eastAsia" w:ascii="宋体" w:hAnsi="宋体" w:cs="宋体"/>
          <w:b/>
          <w:color w:val="auto"/>
          <w:sz w:val="24"/>
          <w:lang w:val="en-US" w:eastAsia="zh-CN"/>
        </w:rPr>
        <w:t>供应商</w:t>
      </w:r>
      <w:r>
        <w:rPr>
          <w:rFonts w:hint="eastAsia" w:ascii="宋体" w:hAnsi="宋体" w:eastAsia="宋体" w:cs="宋体"/>
          <w:b/>
          <w:color w:val="auto"/>
          <w:sz w:val="24"/>
        </w:rPr>
        <w:t>串通投标，</w:t>
      </w:r>
      <w:r>
        <w:rPr>
          <w:rFonts w:hint="eastAsia" w:ascii="宋体" w:hAnsi="宋体" w:eastAsia="宋体" w:cs="宋体"/>
          <w:b/>
          <w:color w:val="auto"/>
          <w:sz w:val="24"/>
          <w:lang w:val="en-US" w:eastAsia="zh-CN"/>
        </w:rPr>
        <w:t>磋商小组</w:t>
      </w:r>
      <w:r>
        <w:rPr>
          <w:rFonts w:hint="eastAsia" w:ascii="宋体" w:hAnsi="宋体" w:eastAsia="宋体" w:cs="宋体"/>
          <w:b/>
          <w:color w:val="auto"/>
          <w:sz w:val="24"/>
        </w:rPr>
        <w:t>应当认定其投标无效：</w:t>
      </w:r>
    </w:p>
    <w:p w14:paraId="0C4A2EA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文件由同一单位或者个人编制；</w:t>
      </w:r>
    </w:p>
    <w:p w14:paraId="11C2AA71">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委托同一单位或者个人办理投标事宜；</w:t>
      </w:r>
    </w:p>
    <w:p w14:paraId="13DD740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文件载明的项目管理成员或者联系人员为同一人；</w:t>
      </w:r>
    </w:p>
    <w:p w14:paraId="1DBD8DA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文件异常一致或者</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报价呈规律性差异；</w:t>
      </w:r>
    </w:p>
    <w:p w14:paraId="6039FDB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文件相互混装。</w:t>
      </w:r>
    </w:p>
    <w:p w14:paraId="099E50CF">
      <w:pPr>
        <w:keepNext w:val="0"/>
        <w:keepLines w:val="0"/>
        <w:pageBreakBefore w:val="0"/>
        <w:widowControl w:val="0"/>
        <w:kinsoku/>
        <w:wordWrap/>
        <w:overflowPunct/>
        <w:topLinePunct w:val="0"/>
        <w:bidi w:val="0"/>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3.5、有下列情形之一的，属于不合格供应商，其投标或成交资格将被取消：</w:t>
      </w:r>
    </w:p>
    <w:p w14:paraId="28321041">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（1）提供虚假材料谋取成交；</w:t>
      </w:r>
    </w:p>
    <w:p w14:paraId="635EC492">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（2）采取不正当手段诋毁、排挤其他</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lang w:val="en-US" w:eastAsia="zh-CN"/>
        </w:rPr>
        <w:t>；</w:t>
      </w:r>
    </w:p>
    <w:p w14:paraId="254C991C">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（3）与采购人、采购代理机构、其他</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lang w:val="en-US" w:eastAsia="zh-CN"/>
        </w:rPr>
        <w:t>恶意串通；</w:t>
      </w:r>
    </w:p>
    <w:p w14:paraId="574815EF">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（4）向采购人、采购代理机构、磋商小组成员行贿或者提供其他不正当利益；</w:t>
      </w:r>
    </w:p>
    <w:p w14:paraId="1DE23E87">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（5）在招标过程中与采购人、采购代理机构进行协商投标；</w:t>
      </w:r>
    </w:p>
    <w:p w14:paraId="2C2E7FC5">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（6）拒绝有关部门的监督检查或者向监督检查部门提供虚假情况。</w:t>
      </w:r>
    </w:p>
    <w:p w14:paraId="7638F61E">
      <w:pPr>
        <w:keepNext w:val="0"/>
        <w:keepLines w:val="0"/>
        <w:pageBreakBefore w:val="0"/>
        <w:widowControl w:val="0"/>
        <w:kinsoku/>
        <w:wordWrap/>
        <w:overflowPunct/>
        <w:topLinePunct w:val="0"/>
        <w:bidi w:val="0"/>
        <w:spacing w:line="420" w:lineRule="exact"/>
        <w:ind w:firstLine="482" w:firstLineChars="200"/>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4、磋商：</w:t>
      </w:r>
      <w:r>
        <w:rPr>
          <w:rFonts w:hint="eastAsia" w:ascii="宋体" w:hAnsi="宋体" w:cs="宋体"/>
          <w:color w:val="auto"/>
          <w:sz w:val="24"/>
          <w:szCs w:val="24"/>
          <w:highlight w:val="none"/>
        </w:rPr>
        <w:t>磋商小组所有成员集中与单一供应商分别进行磋商，并要求供应商在规定的时间内提交最后报价。在磋商过程中，磋商小组可以根据</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和磋商情况实质性变动采购需求中的技术、服务要求以及合同草案条款，但不得变动</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中的其它内容。实质性变动得内容，需经采购人代表确认。</w:t>
      </w:r>
    </w:p>
    <w:p w14:paraId="415EEA1D">
      <w:pPr>
        <w:keepNext w:val="0"/>
        <w:keepLines w:val="0"/>
        <w:pageBreakBefore w:val="0"/>
        <w:widowControl w:val="0"/>
        <w:kinsoku/>
        <w:wordWrap/>
        <w:overflowPunct/>
        <w:topLinePunct w:val="0"/>
        <w:bidi w:val="0"/>
        <w:spacing w:line="420" w:lineRule="exact"/>
        <w:ind w:firstLine="482" w:firstLineChars="200"/>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5、综合评审：</w:t>
      </w:r>
      <w:r>
        <w:rPr>
          <w:rFonts w:hint="eastAsia" w:ascii="宋体" w:hAnsi="宋体" w:cs="宋体"/>
          <w:color w:val="auto"/>
          <w:sz w:val="24"/>
          <w:szCs w:val="24"/>
          <w:highlight w:val="none"/>
        </w:rPr>
        <w:t>对于经初审合格的所有供应商，由磋商小组各成员依据</w:t>
      </w:r>
      <w:r>
        <w:rPr>
          <w:rFonts w:hint="eastAsia" w:ascii="宋体" w:hAnsi="宋体" w:cs="宋体"/>
          <w:color w:val="auto"/>
          <w:sz w:val="24"/>
          <w:szCs w:val="24"/>
          <w:highlight w:val="none"/>
          <w:lang w:eastAsia="zh-CN"/>
        </w:rPr>
        <w:t>竞争性磋商响应文件</w:t>
      </w:r>
      <w:r>
        <w:rPr>
          <w:rFonts w:hint="eastAsia" w:ascii="宋体" w:hAnsi="宋体" w:cs="宋体"/>
          <w:color w:val="auto"/>
          <w:sz w:val="24"/>
          <w:szCs w:val="24"/>
          <w:highlight w:val="none"/>
        </w:rPr>
        <w:t>和最终报价，按照下列《</w:t>
      </w:r>
      <w:r>
        <w:rPr>
          <w:rFonts w:hint="eastAsia" w:ascii="宋体" w:hAnsi="宋体" w:cs="宋体"/>
          <w:bCs/>
          <w:color w:val="auto"/>
          <w:sz w:val="24"/>
          <w:szCs w:val="24"/>
          <w:highlight w:val="none"/>
        </w:rPr>
        <w:t>评标因素及权重分值表</w:t>
      </w:r>
      <w:r>
        <w:rPr>
          <w:rFonts w:hint="eastAsia" w:ascii="宋体" w:hAnsi="宋体" w:cs="宋体"/>
          <w:color w:val="auto"/>
          <w:sz w:val="24"/>
          <w:szCs w:val="24"/>
          <w:highlight w:val="none"/>
        </w:rPr>
        <w:t>》规定的内容独立进行综合评价、比较打分，然后汇总每个供应商的得分，从高到低依次排序，推荐成交候选人。</w:t>
      </w:r>
    </w:p>
    <w:p w14:paraId="278A1C46">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评审内容、原则及标准（满分100分）</w:t>
      </w:r>
    </w:p>
    <w:p w14:paraId="1B66361D">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.1、磋商小组将遵循公开、公平、公正和择优的原则，对所有供应商的竞争性磋商响应文件评审，都采用相同的程序和标准。</w:t>
      </w:r>
    </w:p>
    <w:p w14:paraId="649BED38">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.2、评审过程的保密：在竞争性磋商响应文件的评审、比较、成交候选单位推荐以及授予合同的过程中，供应商向采购人和磋商小组施加影响的任何行为，都将会导致其报价被拒绝。</w:t>
      </w:r>
    </w:p>
    <w:p w14:paraId="45F2231C">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.3、评审原则和办法：</w:t>
      </w:r>
    </w:p>
    <w:p w14:paraId="50DD90E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bCs/>
          <w:color w:val="auto"/>
          <w:sz w:val="24"/>
          <w:szCs w:val="24"/>
          <w:highlight w:val="none"/>
        </w:rPr>
        <w:t>（1）</w:t>
      </w:r>
      <w:r>
        <w:rPr>
          <w:rFonts w:hint="eastAsia" w:ascii="宋体" w:hAnsi="宋体" w:cs="宋体"/>
          <w:color w:val="auto"/>
          <w:sz w:val="24"/>
          <w:szCs w:val="24"/>
          <w:highlight w:val="none"/>
          <w:lang w:val="zh-CN"/>
        </w:rPr>
        <w:t>综合评分法：即在最大限度地满足竞争性磋商文件实质性要求前提下，按照竞争性磋商文件中规定的各项因素进行综合评审后，以评审总得分顺序推荐成交候选单位。</w:t>
      </w:r>
    </w:p>
    <w:p w14:paraId="39F84F3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w:t>
      </w:r>
      <w:r>
        <w:rPr>
          <w:rFonts w:hint="eastAsia" w:ascii="宋体" w:hAnsi="宋体" w:cs="宋体"/>
          <w:color w:val="auto"/>
          <w:sz w:val="24"/>
          <w:szCs w:val="24"/>
          <w:highlight w:val="none"/>
          <w:lang w:val="zh-CN"/>
        </w:rPr>
        <w:t>磋商小组各专家独立评分，按评审后综合得分由高到低顺序排列，推荐成交候选单位。得分相同的，按磋商报价由低到高顺序排列，得分且磋商报价相同的，比较技术指标得分，此技术得分高者排在前。</w:t>
      </w:r>
    </w:p>
    <w:p w14:paraId="03FF9BE8">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ascii="宋体" w:hAnsi="宋体" w:cs="宋体"/>
          <w:color w:val="auto"/>
          <w:sz w:val="24"/>
          <w:szCs w:val="24"/>
          <w:highlight w:val="none"/>
          <w:lang w:val="zh-CN"/>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w:t>
      </w:r>
      <w:r>
        <w:rPr>
          <w:rFonts w:hint="eastAsia" w:ascii="宋体" w:hAnsi="宋体" w:cs="宋体"/>
          <w:color w:val="auto"/>
          <w:sz w:val="24"/>
          <w:szCs w:val="24"/>
          <w:highlight w:val="none"/>
          <w:lang w:val="zh-CN"/>
        </w:rPr>
        <w:t>专家评分超过得分界限或未按照本办法规定时，该专家的该项评分作废，不计入汇总；计算采用插入法，数字均保留二位小数，第三位“四舍五入”；评审过程中，若出现本办法以外的特殊情况时，将暂停评审，有关情况待磋商小组确定后，再行评定。</w:t>
      </w:r>
    </w:p>
    <w:p w14:paraId="3E9663C4">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需要落实的政府采购政策</w:t>
      </w:r>
    </w:p>
    <w:p w14:paraId="4701B05D">
      <w:pPr>
        <w:keepNext w:val="0"/>
        <w:keepLines w:val="0"/>
        <w:pageBreakBefore w:val="0"/>
        <w:widowControl w:val="0"/>
        <w:kinsoku/>
        <w:wordWrap/>
        <w:overflowPunct/>
        <w:topLinePunct w:val="0"/>
        <w:bidi w:val="0"/>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7.1、关于印发《政府采购促进中小企业发展管理办法》的通知--（财库〔2020〕46号）</w:t>
      </w:r>
    </w:p>
    <w:p w14:paraId="455F59F4">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cs="宋体"/>
          <w:color w:val="auto"/>
          <w:sz w:val="24"/>
          <w:szCs w:val="24"/>
          <w:highlight w:val="none"/>
          <w:lang w:val="en-US" w:eastAsia="zh-CN"/>
        </w:rPr>
        <w:t>民法典</w:t>
      </w:r>
      <w:r>
        <w:rPr>
          <w:rFonts w:hint="eastAsia" w:ascii="宋体" w:hAnsi="宋体" w:cs="宋体"/>
          <w:color w:val="auto"/>
          <w:sz w:val="24"/>
          <w:szCs w:val="24"/>
          <w:highlight w:val="none"/>
        </w:rPr>
        <w:t>》订立劳动合同的从业人员。</w:t>
      </w:r>
    </w:p>
    <w:p w14:paraId="265F562F">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在货物采购项目中，供应商提供的货物既有中小企业制造货物，也有大型企业制造货物的，不享受本办法规定的中小企业扶持政策。</w:t>
      </w:r>
    </w:p>
    <w:p w14:paraId="629846B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DD0A5E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参加政府采购活动的中小企业应提供《中小企业声明函》原件。否则不得享受相关中小企业扶持政策。</w:t>
      </w:r>
    </w:p>
    <w:p w14:paraId="124D9B4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7.2、财政部司法部关于政府采购支持监狱企业发展有关问题的通知--（财库〔2014〕68号）</w:t>
      </w:r>
    </w:p>
    <w:p w14:paraId="54E0498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61DA7CD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7.3、《关于促进残疾人就业政府采购政策的通知》（财库〔2017〕141 号）</w:t>
      </w:r>
    </w:p>
    <w:p w14:paraId="036061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财政部、民政部、中国残疾人联合会下发的《关于促进残疾人就业政府采购政策的通知》（财库〔2017〕141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E44015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参加政府采购活动的残疾人单位应提供《残疾人福利性单位声明函》原件。未提供上述声明函原件，不能享受</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规定的价格扣除，但不影响</w:t>
      </w:r>
      <w:r>
        <w:rPr>
          <w:rFonts w:hint="eastAsia" w:ascii="宋体" w:hAnsi="宋体" w:cs="宋体"/>
          <w:color w:val="auto"/>
          <w:sz w:val="24"/>
          <w:szCs w:val="24"/>
          <w:highlight w:val="none"/>
          <w:lang w:eastAsia="zh-CN"/>
        </w:rPr>
        <w:t>竞争性磋商响应文件</w:t>
      </w:r>
      <w:r>
        <w:rPr>
          <w:rFonts w:hint="eastAsia" w:ascii="宋体" w:hAnsi="宋体" w:cs="宋体"/>
          <w:color w:val="auto"/>
          <w:sz w:val="24"/>
          <w:szCs w:val="24"/>
          <w:highlight w:val="none"/>
        </w:rPr>
        <w:t>的有效性。</w:t>
      </w:r>
    </w:p>
    <w:p w14:paraId="132DD59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7.4、《国务院办公厅关于建立政府强制采购节能产品制度的通知》--（国办发〔2007〕51号）</w:t>
      </w:r>
    </w:p>
    <w:p w14:paraId="3D50060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160E79F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7.5、《节能产品政府采购实施意见》--（财库[2004]185号） </w:t>
      </w:r>
    </w:p>
    <w:p w14:paraId="686EB20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根据《节能产品政府采购实施意见》--（财库[2004]185号）规定，采购人采购的产品在品目清单中并具有认证证书的，在技术、服务等指标同等条件下，应当优先采购节能清单所列的节能产品。</w:t>
      </w:r>
    </w:p>
    <w:p w14:paraId="6815C22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403721E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7.6、《环境标志产品政府采购实施的意见》--（财库[2006]90号）</w:t>
      </w:r>
    </w:p>
    <w:p w14:paraId="47D8260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根据《环境标志产品政府采购实施的意见》--</w:t>
      </w:r>
      <w:r>
        <w:rPr>
          <w:rFonts w:hint="eastAsia" w:ascii="宋体" w:hAnsi="宋体" w:cs="宋体"/>
          <w:b w:val="0"/>
          <w:bCs w:val="0"/>
          <w:color w:val="auto"/>
          <w:sz w:val="24"/>
          <w:szCs w:val="24"/>
          <w:highlight w:val="none"/>
        </w:rPr>
        <w:t>（财库[2006]90号）</w:t>
      </w:r>
      <w:r>
        <w:rPr>
          <w:rFonts w:hint="eastAsia" w:ascii="宋体" w:hAnsi="宋体" w:cs="宋体"/>
          <w:color w:val="auto"/>
          <w:sz w:val="24"/>
          <w:szCs w:val="24"/>
          <w:highlight w:val="none"/>
        </w:rPr>
        <w:t>规定，采购人采购的产品在品目清单中并具有认证证书的，在性能、技术、服务等指标同等条件下，应当优先采购清单中的产品。</w:t>
      </w:r>
    </w:p>
    <w:p w14:paraId="2457DC0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22339CD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7.7、《关于调整优化节能产品、环境标志产品政府采购执行机制的通知》（财库〔2019〕9号）</w:t>
      </w:r>
    </w:p>
    <w:p w14:paraId="6C22A0E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2EEDAE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7.8、《关于印发环境标志产品政府采购品目清单的通知》（财库〔2019〕18号）</w:t>
      </w:r>
    </w:p>
    <w:p w14:paraId="0318F1C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7.9、《关于印发节能产品政府采购品目清单的通知》（财库〔2019〕19号）</w:t>
      </w:r>
    </w:p>
    <w:p w14:paraId="2AB8582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7.10、《关于运用政府采购政策支持乡村产业振兴的通知》（财库〔2021〕19号）</w:t>
      </w:r>
    </w:p>
    <w:p w14:paraId="779B161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7.11、《陕西省中小企业政府采购信用融资办法》（陕财办采〔2018〕23号）</w:t>
      </w:r>
    </w:p>
    <w:p w14:paraId="34CB5A9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7.12、《陕西省财政厅关于加快推进我省中小企业政府采购信用融资工作的通知》（陕财办采〔2020〕15号）</w:t>
      </w:r>
    </w:p>
    <w:p w14:paraId="656112B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7.13、《财政部关于在政府采购活动中查询及使用信用记录有关问题的通知》（财库〔2016〕125号）</w:t>
      </w:r>
    </w:p>
    <w:p w14:paraId="12F1ECA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color w:val="auto"/>
          <w:highlight w:val="none"/>
        </w:rPr>
      </w:pPr>
      <w:r>
        <w:rPr>
          <w:rFonts w:hint="eastAsia" w:ascii="宋体" w:hAnsi="宋体" w:cs="宋体"/>
          <w:b/>
          <w:bCs/>
          <w:color w:val="auto"/>
          <w:sz w:val="24"/>
          <w:szCs w:val="24"/>
          <w:highlight w:val="none"/>
          <w:lang w:val="en-US" w:eastAsia="zh-CN"/>
        </w:rPr>
        <w:t>7.14、《财政部关于进一步加大政府采购支持中小企业力度的通知》（财库〔2022〕19号）；</w:t>
      </w:r>
    </w:p>
    <w:p w14:paraId="47445DE3">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8、政策性扣减</w:t>
      </w:r>
    </w:p>
    <w:p w14:paraId="56DEB482">
      <w:pPr>
        <w:keepLines w:val="0"/>
        <w:pageBreakBefore w:val="0"/>
        <w:widowControl w:val="0"/>
        <w:kinsoku/>
        <w:wordWrap/>
        <w:overflowPunct/>
        <w:topLinePunct w:val="0"/>
        <w:bidi w:val="0"/>
        <w:spacing w:line="42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.1、小微企业</w:t>
      </w:r>
    </w:p>
    <w:p w14:paraId="53888BF8">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依照&lt;关于印发《政府采购促进中小企业发展管理办法》（财库〔2020〕46号）</w:t>
      </w:r>
      <w:r>
        <w:rPr>
          <w:rFonts w:hint="eastAsia" w:ascii="宋体" w:hAnsi="宋体" w:cs="宋体"/>
          <w:color w:val="auto"/>
          <w:sz w:val="24"/>
          <w:szCs w:val="24"/>
          <w:lang w:val="en-US" w:eastAsia="zh-CN"/>
        </w:rPr>
        <w:t>&gt;</w:t>
      </w:r>
      <w:r>
        <w:rPr>
          <w:rFonts w:hint="eastAsia" w:ascii="宋体" w:hAnsi="宋体" w:cs="宋体"/>
          <w:color w:val="auto"/>
          <w:sz w:val="24"/>
          <w:szCs w:val="24"/>
        </w:rPr>
        <w:t>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1AE45341">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专门面向中小企业采购项目不享受优惠政策；</w:t>
      </w:r>
    </w:p>
    <w:p w14:paraId="317C619D">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非专门面向中小企业采购项目(价格扣除)：对小型和微型企业的价格给予</w:t>
      </w:r>
      <w:r>
        <w:rPr>
          <w:rFonts w:hint="eastAsia" w:ascii="宋体" w:hAnsi="宋体" w:eastAsia="宋体" w:cs="宋体"/>
          <w:color w:val="auto"/>
          <w:sz w:val="24"/>
          <w:szCs w:val="24"/>
          <w:lang w:val="en-US" w:eastAsia="zh-CN"/>
        </w:rPr>
        <w:t>3%～5%</w:t>
      </w:r>
      <w:r>
        <w:rPr>
          <w:rFonts w:hint="eastAsia" w:ascii="宋体" w:hAnsi="宋体" w:cs="宋体"/>
          <w:color w:val="auto"/>
          <w:sz w:val="24"/>
          <w:szCs w:val="24"/>
        </w:rPr>
        <w:t>的扣除，用扣除后的价格参与</w:t>
      </w:r>
      <w:r>
        <w:rPr>
          <w:rFonts w:hint="eastAsia" w:ascii="宋体" w:hAnsi="宋体" w:cs="宋体"/>
          <w:color w:val="auto"/>
          <w:sz w:val="24"/>
          <w:szCs w:val="24"/>
          <w:lang w:eastAsia="zh-CN"/>
        </w:rPr>
        <w:t>评标</w:t>
      </w:r>
      <w:r>
        <w:rPr>
          <w:rFonts w:hint="eastAsia" w:ascii="宋体" w:hAnsi="宋体" w:cs="宋体"/>
          <w:color w:val="auto"/>
          <w:sz w:val="24"/>
          <w:szCs w:val="24"/>
        </w:rPr>
        <w:t>。本项目的扣除比例为：小型企业扣除</w:t>
      </w:r>
      <w:r>
        <w:rPr>
          <w:rFonts w:hint="eastAsia" w:ascii="宋体" w:hAnsi="宋体" w:cs="宋体"/>
          <w:color w:val="auto"/>
          <w:sz w:val="24"/>
          <w:szCs w:val="24"/>
          <w:u w:val="single"/>
          <w:lang w:val="en-US" w:eastAsia="zh-CN"/>
        </w:rPr>
        <w:t>3</w:t>
      </w:r>
      <w:r>
        <w:rPr>
          <w:rFonts w:hint="eastAsia" w:ascii="宋体" w:hAnsi="宋体" w:cs="宋体"/>
          <w:color w:val="auto"/>
          <w:sz w:val="24"/>
          <w:szCs w:val="24"/>
        </w:rPr>
        <w:t>%，微型企业扣除</w:t>
      </w:r>
      <w:r>
        <w:rPr>
          <w:rFonts w:hint="eastAsia" w:ascii="宋体" w:hAnsi="宋体" w:cs="宋体"/>
          <w:color w:val="auto"/>
          <w:sz w:val="24"/>
          <w:szCs w:val="24"/>
          <w:u w:val="single"/>
          <w:lang w:val="en-US" w:eastAsia="zh-CN"/>
        </w:rPr>
        <w:t>3</w:t>
      </w:r>
      <w:r>
        <w:rPr>
          <w:rFonts w:hint="eastAsia" w:ascii="宋体" w:hAnsi="宋体" w:cs="宋体"/>
          <w:color w:val="auto"/>
          <w:sz w:val="24"/>
          <w:szCs w:val="24"/>
        </w:rPr>
        <w:t>%。</w:t>
      </w:r>
    </w:p>
    <w:p w14:paraId="27C73F61">
      <w:pPr>
        <w:keepLines w:val="0"/>
        <w:pageBreakBefore w:val="0"/>
        <w:widowControl w:val="0"/>
        <w:kinsoku/>
        <w:wordWrap/>
        <w:overflowPunct/>
        <w:topLinePunct w:val="0"/>
        <w:bidi w:val="0"/>
        <w:spacing w:line="420" w:lineRule="exact"/>
        <w:ind w:firstLine="482" w:firstLineChars="200"/>
        <w:textAlignment w:val="auto"/>
        <w:rPr>
          <w:rFonts w:ascii="宋体" w:hAnsi="宋体" w:cs="宋体"/>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.2、支持监狱企业</w:t>
      </w:r>
    </w:p>
    <w:p w14:paraId="38EF22F2">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非专门面向监狱采购项目(价格扣除)：监狱企业可视同小微企业在价格评审时给予</w:t>
      </w:r>
      <w:r>
        <w:rPr>
          <w:rFonts w:hint="eastAsia" w:ascii="宋体" w:hAnsi="宋体" w:cs="宋体"/>
          <w:color w:val="auto"/>
          <w:sz w:val="24"/>
          <w:szCs w:val="24"/>
          <w:lang w:val="en-US" w:eastAsia="zh-CN"/>
        </w:rPr>
        <w:t>3%～5%</w:t>
      </w:r>
      <w:r>
        <w:rPr>
          <w:rFonts w:hint="eastAsia" w:ascii="宋体" w:hAnsi="宋体" w:cs="宋体"/>
          <w:color w:val="auto"/>
          <w:sz w:val="24"/>
          <w:szCs w:val="24"/>
        </w:rPr>
        <w:t>的扣除，用扣除后的价格参与</w:t>
      </w:r>
      <w:r>
        <w:rPr>
          <w:rFonts w:hint="eastAsia" w:ascii="宋体" w:hAnsi="宋体" w:cs="宋体"/>
          <w:color w:val="auto"/>
          <w:sz w:val="24"/>
          <w:szCs w:val="24"/>
          <w:lang w:eastAsia="zh-CN"/>
        </w:rPr>
        <w:t>评标</w:t>
      </w:r>
      <w:r>
        <w:rPr>
          <w:rFonts w:hint="eastAsia" w:ascii="宋体" w:hAnsi="宋体" w:cs="宋体"/>
          <w:color w:val="auto"/>
          <w:sz w:val="24"/>
          <w:szCs w:val="24"/>
        </w:rPr>
        <w:t>。本项目的扣除比例为：扣除</w:t>
      </w:r>
      <w:r>
        <w:rPr>
          <w:rFonts w:hint="eastAsia" w:ascii="宋体" w:hAnsi="宋体" w:cs="宋体"/>
          <w:color w:val="auto"/>
          <w:sz w:val="24"/>
          <w:szCs w:val="24"/>
          <w:u w:val="single"/>
          <w:lang w:val="en-US" w:eastAsia="zh-CN"/>
        </w:rPr>
        <w:t>3</w:t>
      </w:r>
      <w:r>
        <w:rPr>
          <w:rFonts w:hint="eastAsia" w:ascii="宋体" w:hAnsi="宋体" w:cs="宋体"/>
          <w:color w:val="auto"/>
          <w:sz w:val="24"/>
          <w:szCs w:val="24"/>
        </w:rPr>
        <w:t>%。</w:t>
      </w:r>
    </w:p>
    <w:p w14:paraId="7CD9BCDA">
      <w:pPr>
        <w:keepLines w:val="0"/>
        <w:pageBreakBefore w:val="0"/>
        <w:widowControl w:val="0"/>
        <w:kinsoku/>
        <w:wordWrap/>
        <w:overflowPunct/>
        <w:topLinePunct w:val="0"/>
        <w:bidi w:val="0"/>
        <w:spacing w:line="42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.3、其他法律法规强制性规定或扶持政策</w:t>
      </w:r>
    </w:p>
    <w:p w14:paraId="4CB54D82">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的扣除，用扣除后的价格参与评审</w:t>
      </w:r>
      <w:r>
        <w:rPr>
          <w:rFonts w:hint="eastAsia" w:ascii="宋体" w:hAnsi="宋体" w:cs="宋体"/>
          <w:color w:val="auto"/>
          <w:sz w:val="24"/>
          <w:szCs w:val="24"/>
        </w:rPr>
        <w:t>。</w:t>
      </w:r>
    </w:p>
    <w:p w14:paraId="4567F7E9">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本项目的扣除比例为：扣除</w:t>
      </w:r>
      <w:r>
        <w:rPr>
          <w:rFonts w:hint="eastAsia" w:ascii="宋体" w:hAnsi="宋体" w:cs="宋体"/>
          <w:color w:val="auto"/>
          <w:sz w:val="24"/>
          <w:szCs w:val="24"/>
          <w:u w:val="single"/>
          <w:lang w:val="en-US" w:eastAsia="zh-CN"/>
        </w:rPr>
        <w:t>3</w:t>
      </w:r>
      <w:r>
        <w:rPr>
          <w:rFonts w:hint="eastAsia" w:ascii="宋体" w:hAnsi="宋体" w:cs="宋体"/>
          <w:color w:val="auto"/>
          <w:sz w:val="24"/>
          <w:szCs w:val="24"/>
        </w:rPr>
        <w:t>%；但应满足下列条件：</w:t>
      </w:r>
    </w:p>
    <w:p w14:paraId="46C7708D">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rPr>
        <w:t>残疾人福利性单位应符合《财政部、民政部、中国残疾人联合会关于促进残疾人就业政府采购政策的通知》（财库[2017]141号）文件规定，并提供《残疾人福利性单位声明函》，并对声明的真实性负责。</w:t>
      </w:r>
    </w:p>
    <w:p w14:paraId="7E40C43D">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rPr>
        <w:t>残疾人福利性单位属于小型、微型企业的，不重复享受政策。</w:t>
      </w:r>
    </w:p>
    <w:p w14:paraId="5BBF60F6">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default" w:ascii="宋体" w:hAnsi="宋体" w:cs="宋体"/>
          <w:color w:val="auto"/>
          <w:sz w:val="24"/>
          <w:szCs w:val="24"/>
          <w:lang w:val="en-US" w:eastAsia="zh-CN"/>
        </w:rPr>
      </w:pPr>
      <w:r>
        <w:rPr>
          <w:rFonts w:hint="eastAsia" w:ascii="宋体" w:hAnsi="宋体" w:cs="宋体"/>
          <w:b/>
          <w:bCs/>
          <w:color w:val="auto"/>
          <w:sz w:val="24"/>
          <w:szCs w:val="24"/>
          <w:lang w:val="en-US" w:eastAsia="zh-CN"/>
        </w:rPr>
        <w:t>8.4、</w:t>
      </w:r>
      <w:r>
        <w:rPr>
          <w:rFonts w:hint="eastAsia" w:ascii="宋体" w:hAnsi="宋体" w:eastAsia="宋体" w:cs="宋体"/>
          <w:color w:val="auto"/>
          <w:sz w:val="24"/>
          <w:szCs w:val="24"/>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本项目的扣除比例为：扣除1%；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r>
        <w:rPr>
          <w:rFonts w:ascii="宋体" w:hAnsi="宋体" w:eastAsia="宋体" w:cs="宋体"/>
          <w:color w:val="auto"/>
          <w:sz w:val="24"/>
          <w:szCs w:val="24"/>
        </w:rPr>
        <w:t>。</w:t>
      </w:r>
    </w:p>
    <w:p w14:paraId="0CC127D6">
      <w:pPr>
        <w:keepLines w:val="0"/>
        <w:pageBreakBefore w:val="0"/>
        <w:widowControl w:val="0"/>
        <w:kinsoku/>
        <w:wordWrap/>
        <w:overflowPunct/>
        <w:topLinePunct w:val="0"/>
        <w:bidi w:val="0"/>
        <w:spacing w:line="420" w:lineRule="exact"/>
        <w:ind w:firstLine="482" w:firstLineChars="200"/>
        <w:textAlignment w:val="auto"/>
        <w:rPr>
          <w:rFonts w:ascii="宋体" w:hAnsi="宋体" w:cs="宋体"/>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w:t>
      </w:r>
      <w:r>
        <w:rPr>
          <w:rFonts w:hint="eastAsia" w:ascii="宋体" w:hAnsi="宋体" w:cs="宋体"/>
          <w:color w:val="auto"/>
          <w:sz w:val="24"/>
          <w:szCs w:val="24"/>
        </w:rPr>
        <w:t>采购人拟采购产品属于优先采购节能、环境标志产品范围的，应当优先采购节能、环境标志产品；拟采购产品符合政府采购强制采购政策的，实行强制采购。</w:t>
      </w:r>
    </w:p>
    <w:p w14:paraId="263C909E">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（1）采购人依据节能产品、环境标志产品品目清单和节能、环境标志产品认证证书实施政府优先采购和强制采购。</w:t>
      </w:r>
    </w:p>
    <w:p w14:paraId="71B2D1B7">
      <w:pPr>
        <w:keepLines w:val="0"/>
        <w:pageBreakBefore w:val="0"/>
        <w:widowControl w:val="0"/>
        <w:kinsoku/>
        <w:wordWrap/>
        <w:overflowPunct/>
        <w:topLinePunct w:val="0"/>
        <w:bidi w:val="0"/>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981EFB0">
      <w:pPr>
        <w:keepLines w:val="0"/>
        <w:pageBreakBefore w:val="0"/>
        <w:widowControl w:val="0"/>
        <w:kinsoku/>
        <w:wordWrap/>
        <w:overflowPunct/>
        <w:topLinePunct w:val="0"/>
        <w:bidi w:val="0"/>
        <w:spacing w:line="420" w:lineRule="exact"/>
        <w:ind w:firstLine="482" w:firstLineChars="200"/>
        <w:textAlignment w:val="auto"/>
        <w:rPr>
          <w:rFonts w:hint="eastAsia" w:ascii="宋体" w:hAnsi="宋体" w:eastAsia="宋体" w:cs="宋体"/>
          <w:b/>
          <w:bCs/>
          <w:color w:val="auto"/>
          <w:sz w:val="24"/>
          <w:szCs w:val="24"/>
          <w:highlight w:val="yellow"/>
          <w:lang w:eastAsia="zh-CN"/>
        </w:rPr>
        <w:sectPr>
          <w:headerReference r:id="rId17" w:type="default"/>
          <w:footerReference r:id="rId18" w:type="default"/>
          <w:pgSz w:w="11906" w:h="16838"/>
          <w:pgMar w:top="1440" w:right="1080" w:bottom="1440" w:left="1080" w:header="851" w:footer="992" w:gutter="0"/>
          <w:pgNumType w:fmt="decimal"/>
          <w:cols w:space="425" w:num="1"/>
          <w:docGrid w:linePitch="312" w:charSpace="0"/>
        </w:sect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w:t>
      </w:r>
      <w:r>
        <w:rPr>
          <w:rFonts w:hint="eastAsia" w:ascii="宋体" w:hAnsi="宋体" w:cs="宋体"/>
          <w:color w:val="auto"/>
          <w:sz w:val="24"/>
          <w:szCs w:val="24"/>
        </w:rPr>
        <w:t>供应商享受支持中小型企业发展政策优惠的，可以同时享受节能、环境标志产品优先采购政策</w:t>
      </w:r>
      <w:r>
        <w:rPr>
          <w:rFonts w:hint="eastAsia" w:ascii="宋体" w:hAnsi="宋体" w:cs="宋体"/>
          <w:color w:val="auto"/>
          <w:sz w:val="24"/>
          <w:szCs w:val="24"/>
          <w:lang w:eastAsia="zh-CN"/>
        </w:rPr>
        <w:t>。</w:t>
      </w:r>
    </w:p>
    <w:p w14:paraId="1FE5977B">
      <w:pPr>
        <w:pStyle w:val="1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附件1：</w:t>
      </w:r>
    </w:p>
    <w:p w14:paraId="04C15EB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〖资格性审查表〗</w:t>
      </w:r>
    </w:p>
    <w:tbl>
      <w:tblPr>
        <w:tblStyle w:val="37"/>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517"/>
        <w:gridCol w:w="783"/>
        <w:gridCol w:w="8395"/>
      </w:tblGrid>
      <w:tr w14:paraId="4A7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26" w:type="dxa"/>
            <w:gridSpan w:val="2"/>
            <w:vAlign w:val="center"/>
          </w:tcPr>
          <w:p w14:paraId="0980EAB6">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条款号</w:t>
            </w:r>
          </w:p>
        </w:tc>
        <w:tc>
          <w:tcPr>
            <w:tcW w:w="783" w:type="dxa"/>
            <w:vAlign w:val="center"/>
          </w:tcPr>
          <w:p w14:paraId="2EFA8B87">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评标</w:t>
            </w:r>
            <w:r>
              <w:rPr>
                <w:rFonts w:hint="eastAsia" w:ascii="宋体" w:hAnsi="宋体" w:cs="宋体"/>
                <w:bCs/>
                <w:color w:val="auto"/>
                <w:sz w:val="24"/>
                <w:szCs w:val="24"/>
                <w:highlight w:val="none"/>
              </w:rPr>
              <w:t>因素</w:t>
            </w:r>
          </w:p>
        </w:tc>
        <w:tc>
          <w:tcPr>
            <w:tcW w:w="8395" w:type="dxa"/>
            <w:vAlign w:val="center"/>
          </w:tcPr>
          <w:p w14:paraId="72CC2A7B">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评标</w:t>
            </w:r>
            <w:r>
              <w:rPr>
                <w:rFonts w:hint="eastAsia" w:ascii="宋体" w:hAnsi="宋体" w:cs="宋体"/>
                <w:bCs/>
                <w:color w:val="auto"/>
                <w:sz w:val="24"/>
                <w:szCs w:val="24"/>
                <w:highlight w:val="none"/>
              </w:rPr>
              <w:t>标准</w:t>
            </w:r>
          </w:p>
        </w:tc>
      </w:tr>
      <w:tr w14:paraId="063E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restart"/>
            <w:vAlign w:val="center"/>
          </w:tcPr>
          <w:p w14:paraId="0CB5F671">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2.1.1</w:t>
            </w:r>
          </w:p>
        </w:tc>
        <w:tc>
          <w:tcPr>
            <w:tcW w:w="517" w:type="dxa"/>
            <w:vMerge w:val="restart"/>
            <w:vAlign w:val="center"/>
          </w:tcPr>
          <w:p w14:paraId="2492FE2C">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资格</w:t>
            </w:r>
            <w:r>
              <w:rPr>
                <w:rFonts w:hint="eastAsia" w:ascii="宋体" w:hAnsi="宋体" w:cs="宋体"/>
                <w:bCs/>
                <w:color w:val="auto"/>
                <w:sz w:val="24"/>
                <w:szCs w:val="24"/>
                <w:highlight w:val="none"/>
                <w:lang w:eastAsia="zh-CN"/>
              </w:rPr>
              <w:t>评标</w:t>
            </w:r>
          </w:p>
          <w:p w14:paraId="6784CDA0">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标准</w:t>
            </w:r>
          </w:p>
        </w:tc>
        <w:tc>
          <w:tcPr>
            <w:tcW w:w="783" w:type="dxa"/>
            <w:vMerge w:val="restart"/>
            <w:vAlign w:val="center"/>
          </w:tcPr>
          <w:p w14:paraId="214C0F32">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基本资格条件</w:t>
            </w:r>
          </w:p>
        </w:tc>
        <w:tc>
          <w:tcPr>
            <w:tcW w:w="8395" w:type="dxa"/>
            <w:vAlign w:val="center"/>
          </w:tcPr>
          <w:p w14:paraId="0102CE0C">
            <w:pPr>
              <w:keepNext w:val="0"/>
              <w:keepLines w:val="0"/>
              <w:pageBreakBefore w:val="0"/>
              <w:tabs>
                <w:tab w:val="left" w:pos="0"/>
              </w:tabs>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val="zh-CN"/>
              </w:rPr>
              <w:t>具有独立承担民事责任能力的法人、其他组织或自然人，并出具合法有效的营业执照或事业单位法人证书等国家规定的相关证明，自然人参与的提供其身份证明；</w:t>
            </w:r>
          </w:p>
        </w:tc>
      </w:tr>
      <w:tr w14:paraId="3F6C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09" w:type="dxa"/>
            <w:vMerge w:val="continue"/>
            <w:vAlign w:val="center"/>
          </w:tcPr>
          <w:p w14:paraId="03B2692B">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50E1BEEB">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696AC703">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8395" w:type="dxa"/>
            <w:vAlign w:val="center"/>
          </w:tcPr>
          <w:p w14:paraId="6913EFEE">
            <w:pPr>
              <w:keepNext w:val="0"/>
              <w:keepLines w:val="0"/>
              <w:pageBreakBefore w:val="0"/>
              <w:tabs>
                <w:tab w:val="left" w:pos="0"/>
              </w:tabs>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eastAsia="zh-CN"/>
              </w:rPr>
              <w:t>供应商须提供具有财务审计资质单位出具的202</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tc>
      </w:tr>
      <w:tr w14:paraId="2C2C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3CF9DA8">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0C420460">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6FA03EAD">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color w:val="auto"/>
                <w:sz w:val="24"/>
                <w:szCs w:val="24"/>
                <w:highlight w:val="none"/>
                <w:shd w:val="clear" w:color="auto" w:fill="FFFFFF"/>
              </w:rPr>
            </w:pPr>
          </w:p>
        </w:tc>
        <w:tc>
          <w:tcPr>
            <w:tcW w:w="8395" w:type="dxa"/>
            <w:vAlign w:val="center"/>
          </w:tcPr>
          <w:p w14:paraId="0CFB8286">
            <w:pPr>
              <w:pStyle w:val="32"/>
              <w:keepNext w:val="0"/>
              <w:keepLines w:val="0"/>
              <w:pageBreakBefore w:val="0"/>
              <w:kinsoku/>
              <w:wordWrap/>
              <w:overflowPunct/>
              <w:topLinePunct w:val="0"/>
              <w:autoSpaceDE/>
              <w:autoSpaceDN/>
              <w:bidi w:val="0"/>
              <w:spacing w:before="0" w:beforeAutospacing="0" w:after="0" w:afterAutospacing="0" w:line="420" w:lineRule="exact"/>
              <w:textAlignment w:val="auto"/>
              <w:rPr>
                <w:rFonts w:hint="eastAsia" w:eastAsia="宋体"/>
                <w:color w:val="auto"/>
                <w:highlight w:val="none"/>
                <w:lang w:eastAsia="zh-CN"/>
              </w:rPr>
            </w:pPr>
            <w:r>
              <w:rPr>
                <w:rFonts w:hint="eastAsia" w:ascii="宋体" w:hAnsi="宋体" w:cs="宋体"/>
                <w:color w:val="auto"/>
                <w:sz w:val="24"/>
                <w:szCs w:val="24"/>
                <w:highlight w:val="none"/>
                <w:lang w:val="en-US" w:eastAsia="zh-CN"/>
              </w:rPr>
              <w:t>供应商须提供2024年</w:t>
            </w:r>
            <w:r>
              <w:rPr>
                <w:rFonts w:hint="eastAsia" w:cs="宋体"/>
                <w:color w:val="auto"/>
                <w:sz w:val="24"/>
                <w:szCs w:val="24"/>
                <w:highlight w:val="none"/>
                <w:lang w:val="en-US" w:eastAsia="zh-CN"/>
              </w:rPr>
              <w:t>7</w:t>
            </w:r>
            <w:r>
              <w:rPr>
                <w:rFonts w:hint="eastAsia" w:ascii="宋体" w:hAnsi="宋体" w:cs="宋体"/>
                <w:color w:val="auto"/>
                <w:sz w:val="24"/>
                <w:szCs w:val="24"/>
                <w:highlight w:val="none"/>
                <w:lang w:val="en-US" w:eastAsia="zh-CN"/>
              </w:rPr>
              <w:t>月至今任意一个月已缴纳完税凭证或税务机关开具的完税证明，依法免税或无须缴纳税收的供应商应提供相关文件证明；</w:t>
            </w:r>
          </w:p>
        </w:tc>
      </w:tr>
      <w:tr w14:paraId="5578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9" w:type="dxa"/>
            <w:vMerge w:val="continue"/>
            <w:vAlign w:val="center"/>
          </w:tcPr>
          <w:p w14:paraId="137AC14E">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25D82B65">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552E11D1">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8395" w:type="dxa"/>
            <w:vAlign w:val="center"/>
          </w:tcPr>
          <w:p w14:paraId="3F23E2E4">
            <w:pPr>
              <w:keepNext w:val="0"/>
              <w:keepLines w:val="0"/>
              <w:pageBreakBefore w:val="0"/>
              <w:tabs>
                <w:tab w:val="left" w:pos="0"/>
              </w:tabs>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供应商须提供</w:t>
            </w:r>
            <w:r>
              <w:rPr>
                <w:rFonts w:hint="eastAsia" w:ascii="宋体" w:hAnsi="宋体" w:cs="宋体"/>
                <w:color w:val="auto"/>
                <w:sz w:val="24"/>
                <w:szCs w:val="24"/>
                <w:highlight w:val="none"/>
                <w:lang w:val="en-US" w:eastAsia="zh-CN"/>
              </w:rPr>
              <w:t>2024年7月至今</w:t>
            </w:r>
            <w:r>
              <w:rPr>
                <w:rFonts w:hint="eastAsia" w:ascii="宋体" w:hAnsi="宋体" w:eastAsia="宋体" w:cs="宋体"/>
                <w:bCs/>
                <w:color w:val="auto"/>
                <w:sz w:val="24"/>
                <w:szCs w:val="24"/>
                <w:highlight w:val="none"/>
                <w:lang w:val="en-US" w:eastAsia="zh-CN"/>
              </w:rPr>
              <w:t>任意一个月已缴纳的社会保障资金缴存单据或社保机构开具的社会保险参保缴费情况证明，依法不需要缴纳社会保障资金的供应商应提供相关证明；</w:t>
            </w:r>
          </w:p>
        </w:tc>
      </w:tr>
      <w:tr w14:paraId="3CBB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09" w:type="dxa"/>
            <w:vMerge w:val="continue"/>
            <w:vAlign w:val="center"/>
          </w:tcPr>
          <w:p w14:paraId="5243D789">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64E464DB">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556DE280">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8395" w:type="dxa"/>
            <w:vAlign w:val="center"/>
          </w:tcPr>
          <w:p w14:paraId="1E6D5F58">
            <w:pPr>
              <w:pStyle w:val="32"/>
              <w:keepNext w:val="0"/>
              <w:keepLines w:val="0"/>
              <w:pageBreakBefore w:val="0"/>
              <w:kinsoku/>
              <w:wordWrap/>
              <w:overflowPunct/>
              <w:topLinePunct w:val="0"/>
              <w:autoSpaceDE/>
              <w:autoSpaceDN/>
              <w:bidi w:val="0"/>
              <w:spacing w:before="0" w:beforeAutospacing="0" w:after="0" w:afterAutospacing="0" w:line="420" w:lineRule="exact"/>
              <w:textAlignment w:val="auto"/>
              <w:rPr>
                <w:bCs/>
                <w:color w:val="auto"/>
                <w:highlight w:val="none"/>
              </w:rPr>
            </w:pPr>
            <w:r>
              <w:rPr>
                <w:rFonts w:hint="eastAsia" w:ascii="宋体" w:hAnsi="宋体" w:cs="宋体"/>
                <w:color w:val="auto"/>
                <w:sz w:val="24"/>
                <w:szCs w:val="24"/>
                <w:highlight w:val="none"/>
              </w:rPr>
              <w:t>具备履行合同所必需的设备和专业技术能力的证明材料(由供应商根据项目需求提供说明材料或者承诺)；</w:t>
            </w:r>
          </w:p>
        </w:tc>
      </w:tr>
      <w:tr w14:paraId="4344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7C98987C">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60A94BF8">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4FD296E0">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8395" w:type="dxa"/>
            <w:vAlign w:val="center"/>
          </w:tcPr>
          <w:p w14:paraId="523BB730">
            <w:pPr>
              <w:keepNext w:val="0"/>
              <w:keepLines w:val="0"/>
              <w:pageBreakBefore w:val="0"/>
              <w:tabs>
                <w:tab w:val="left" w:pos="0"/>
              </w:tabs>
              <w:kinsoku/>
              <w:wordWrap/>
              <w:overflowPunct/>
              <w:topLinePunct w:val="0"/>
              <w:autoSpaceDE/>
              <w:autoSpaceDN/>
              <w:bidi w:val="0"/>
              <w:adjustRightInd w:val="0"/>
              <w:snapToGrid w:val="0"/>
              <w:spacing w:line="420" w:lineRule="exact"/>
              <w:jc w:val="left"/>
              <w:textAlignment w:val="auto"/>
              <w:rPr>
                <w:rFonts w:ascii="宋体" w:hAnsi="宋体" w:cs="宋体"/>
                <w:bCs/>
                <w:color w:val="auto"/>
                <w:sz w:val="24"/>
                <w:szCs w:val="24"/>
                <w:highlight w:val="none"/>
              </w:rPr>
            </w:pPr>
            <w:r>
              <w:rPr>
                <w:rFonts w:hint="eastAsia" w:ascii="宋体" w:hAnsi="宋体" w:cs="宋体"/>
                <w:color w:val="auto"/>
                <w:sz w:val="24"/>
                <w:szCs w:val="24"/>
                <w:highlight w:val="none"/>
              </w:rPr>
              <w:t>提供参加政府采购活动前三年内在经营活动中没有重大违法记录的书面声明；</w:t>
            </w:r>
          </w:p>
        </w:tc>
      </w:tr>
      <w:tr w14:paraId="3FF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9" w:type="dxa"/>
            <w:vMerge w:val="continue"/>
            <w:vAlign w:val="center"/>
          </w:tcPr>
          <w:p w14:paraId="79BD2CEA">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78119B42">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Align w:val="center"/>
          </w:tcPr>
          <w:p w14:paraId="221DF65D">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lang w:val="en-US" w:eastAsia="zh-CN"/>
              </w:rPr>
              <w:t>政府采购政策</w:t>
            </w:r>
          </w:p>
        </w:tc>
        <w:tc>
          <w:tcPr>
            <w:tcW w:w="8395" w:type="dxa"/>
            <w:vAlign w:val="center"/>
          </w:tcPr>
          <w:p w14:paraId="2FBD3C36">
            <w:pPr>
              <w:keepNext w:val="0"/>
              <w:keepLines w:val="0"/>
              <w:pageBreakBefore w:val="0"/>
              <w:kinsoku/>
              <w:wordWrap/>
              <w:overflowPunct/>
              <w:topLinePunct w:val="0"/>
              <w:autoSpaceDE/>
              <w:autoSpaceDN/>
              <w:bidi w:val="0"/>
              <w:adjustRightInd w:val="0"/>
              <w:spacing w:line="420" w:lineRule="exact"/>
              <w:jc w:val="lef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lang w:val="en-US" w:eastAsia="zh-CN"/>
              </w:rPr>
              <w:t>本项目专门面向中小企业采购。</w:t>
            </w:r>
          </w:p>
        </w:tc>
      </w:tr>
      <w:tr w14:paraId="5D99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3C40B545">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40250580">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restart"/>
            <w:vAlign w:val="center"/>
          </w:tcPr>
          <w:p w14:paraId="36DE13DD">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特定资格条件</w:t>
            </w:r>
          </w:p>
        </w:tc>
        <w:tc>
          <w:tcPr>
            <w:tcW w:w="8395" w:type="dxa"/>
            <w:vAlign w:val="center"/>
          </w:tcPr>
          <w:p w14:paraId="3209B9E9">
            <w:pPr>
              <w:keepNext w:val="0"/>
              <w:keepLines w:val="0"/>
              <w:pageBreakBefore w:val="0"/>
              <w:kinsoku/>
              <w:wordWrap/>
              <w:overflowPunct/>
              <w:topLinePunct w:val="0"/>
              <w:autoSpaceDE/>
              <w:autoSpaceDN/>
              <w:bidi w:val="0"/>
              <w:adjustRightInd w:val="0"/>
              <w:spacing w:line="420" w:lineRule="exact"/>
              <w:jc w:val="left"/>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lang w:val="en-US" w:eastAsia="zh-CN"/>
              </w:rPr>
              <w:t>供应商应授权合法的人员参加磋商全过程，其中法定代表人直接参加磋商的，须出具法定代表人身份证明、法人身份证原件及复印件；法定代表人授权代表参加磋商的，须出具法定代表人授权书、授权代表身份证原件及复印件；</w:t>
            </w:r>
          </w:p>
        </w:tc>
      </w:tr>
      <w:tr w14:paraId="13C2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024E579">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63F02757">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3893FA42">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8395" w:type="dxa"/>
            <w:vAlign w:val="center"/>
          </w:tcPr>
          <w:p w14:paraId="56F5398B">
            <w:pPr>
              <w:keepNext w:val="0"/>
              <w:keepLines w:val="0"/>
              <w:pageBreakBefore w:val="0"/>
              <w:kinsoku/>
              <w:wordWrap/>
              <w:overflowPunct/>
              <w:topLinePunct w:val="0"/>
              <w:autoSpaceDE/>
              <w:autoSpaceDN/>
              <w:bidi w:val="0"/>
              <w:adjustRightInd w:val="0"/>
              <w:spacing w:line="42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供应商须具备建设部门颁发有效的水利水电工程施工总承包叁级（含叁级）以上资质，同时具备有效的安全生产许可证；</w:t>
            </w:r>
          </w:p>
        </w:tc>
      </w:tr>
      <w:tr w14:paraId="59D4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5ADA28DB">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73AD4F81">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2FDAB888">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8395" w:type="dxa"/>
            <w:vAlign w:val="center"/>
          </w:tcPr>
          <w:p w14:paraId="6014C928">
            <w:pPr>
              <w:keepNext w:val="0"/>
              <w:keepLines w:val="0"/>
              <w:pageBreakBefore w:val="0"/>
              <w:kinsoku/>
              <w:wordWrap/>
              <w:overflowPunct/>
              <w:topLinePunct w:val="0"/>
              <w:autoSpaceDE/>
              <w:autoSpaceDN/>
              <w:bidi w:val="0"/>
              <w:adjustRightInd w:val="0"/>
              <w:spacing w:line="42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拟投入的项目经理须具备有效的水利水电工程专业贰级（含贰级）以上注册建造师执业资格和安全生产考核B证，且未担任其他在建工程项目（需提供企业书面承诺等证明材料）。</w:t>
            </w:r>
          </w:p>
        </w:tc>
      </w:tr>
      <w:tr w14:paraId="642D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9" w:type="dxa"/>
            <w:vMerge w:val="continue"/>
            <w:vAlign w:val="center"/>
          </w:tcPr>
          <w:p w14:paraId="7210E8E9">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0C77E678">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5DAE2120">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8395" w:type="dxa"/>
            <w:vAlign w:val="center"/>
          </w:tcPr>
          <w:p w14:paraId="0AB73F7F">
            <w:pPr>
              <w:keepNext w:val="0"/>
              <w:keepLines w:val="0"/>
              <w:pageBreakBefore w:val="0"/>
              <w:kinsoku/>
              <w:wordWrap/>
              <w:overflowPunct/>
              <w:topLinePunct w:val="0"/>
              <w:autoSpaceDE/>
              <w:autoSpaceDN/>
              <w:bidi w:val="0"/>
              <w:adjustRightInd w:val="0"/>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供应商不得为列入信用中国(www.creditchina.gov.cn)</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重大税收违法案件当事人名单记录或中国执行信息公开网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http://zxgk.court.gov.cn/shixin/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的失信被执行人名单记录</w:t>
            </w:r>
            <w:r>
              <w:rPr>
                <w:rFonts w:hint="eastAsia" w:ascii="宋体" w:hAnsi="宋体" w:cs="宋体"/>
                <w:color w:val="auto"/>
                <w:sz w:val="24"/>
                <w:szCs w:val="24"/>
                <w:highlight w:val="none"/>
              </w:rPr>
              <w:t>或中国政府采购网(www.ccgp.gov.cn)的政府采购严重违法失信行为记录名单</w:t>
            </w:r>
            <w:r>
              <w:rPr>
                <w:rFonts w:hint="eastAsia" w:ascii="宋体" w:hAnsi="宋体" w:cs="宋体"/>
                <w:color w:val="auto"/>
                <w:sz w:val="24"/>
                <w:szCs w:val="24"/>
                <w:highlight w:val="none"/>
                <w:lang w:eastAsia="zh-CN"/>
              </w:rPr>
              <w:t>；</w:t>
            </w:r>
          </w:p>
        </w:tc>
      </w:tr>
      <w:tr w14:paraId="4E80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Merge w:val="continue"/>
            <w:vAlign w:val="center"/>
          </w:tcPr>
          <w:p w14:paraId="042FA4BF">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0104A294">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283BB87D">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8395" w:type="dxa"/>
            <w:vAlign w:val="center"/>
          </w:tcPr>
          <w:p w14:paraId="0D50AB65">
            <w:pPr>
              <w:keepNext w:val="0"/>
              <w:keepLines w:val="0"/>
              <w:pageBreakBefore w:val="0"/>
              <w:kinsoku/>
              <w:wordWrap/>
              <w:overflowPunct/>
              <w:topLinePunct w:val="0"/>
              <w:autoSpaceDE/>
              <w:autoSpaceDN/>
              <w:bidi w:val="0"/>
              <w:adjustRightInd w:val="0"/>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存在利害关系可能影响</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公正性的单位，不得参加</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、单位负责人为同一人或存在控股、管理关系的不同单位，不得参加同一标段</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，否则，相关投标均无效</w:t>
            </w:r>
            <w:r>
              <w:rPr>
                <w:rFonts w:hint="eastAsia" w:ascii="宋体" w:hAnsi="宋体" w:eastAsia="宋体" w:cs="宋体"/>
                <w:color w:val="auto"/>
                <w:sz w:val="24"/>
                <w:szCs w:val="24"/>
                <w:highlight w:val="none"/>
                <w:lang w:eastAsia="zh-CN"/>
              </w:rPr>
              <w:t>；</w:t>
            </w:r>
          </w:p>
        </w:tc>
      </w:tr>
      <w:tr w14:paraId="0B8B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9" w:type="dxa"/>
            <w:vMerge w:val="continue"/>
            <w:vAlign w:val="center"/>
          </w:tcPr>
          <w:p w14:paraId="355C04D4">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517" w:type="dxa"/>
            <w:vMerge w:val="continue"/>
            <w:vAlign w:val="center"/>
          </w:tcPr>
          <w:p w14:paraId="06E73346">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783" w:type="dxa"/>
            <w:vMerge w:val="continue"/>
            <w:vAlign w:val="center"/>
          </w:tcPr>
          <w:p w14:paraId="43B9AE49">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ascii="宋体" w:hAnsi="宋体" w:cs="宋体"/>
                <w:bCs/>
                <w:color w:val="auto"/>
                <w:sz w:val="24"/>
                <w:szCs w:val="24"/>
                <w:highlight w:val="none"/>
              </w:rPr>
            </w:pPr>
          </w:p>
        </w:tc>
        <w:tc>
          <w:tcPr>
            <w:tcW w:w="8395" w:type="dxa"/>
            <w:vAlign w:val="center"/>
          </w:tcPr>
          <w:p w14:paraId="0234A9B6">
            <w:pPr>
              <w:keepNext w:val="0"/>
              <w:keepLines w:val="0"/>
              <w:pageBreakBefore w:val="0"/>
              <w:kinsoku/>
              <w:wordWrap/>
              <w:overflowPunct/>
              <w:topLinePunct w:val="0"/>
              <w:autoSpaceDE/>
              <w:autoSpaceDN/>
              <w:bidi w:val="0"/>
              <w:adjustRightInd w:val="0"/>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本项目不接受联合体磋商</w:t>
            </w:r>
            <w:r>
              <w:rPr>
                <w:rFonts w:hint="eastAsia" w:ascii="宋体" w:hAnsi="宋体" w:eastAsia="宋体" w:cs="宋体"/>
                <w:color w:val="auto"/>
                <w:sz w:val="24"/>
                <w:szCs w:val="24"/>
                <w:highlight w:val="none"/>
                <w:lang w:eastAsia="zh-CN"/>
              </w:rPr>
              <w:t>。</w:t>
            </w:r>
          </w:p>
        </w:tc>
      </w:tr>
      <w:tr w14:paraId="01B7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204" w:type="dxa"/>
            <w:gridSpan w:val="4"/>
            <w:vAlign w:val="center"/>
          </w:tcPr>
          <w:p w14:paraId="6F33424E">
            <w:pPr>
              <w:keepNext w:val="0"/>
              <w:keepLines w:val="0"/>
              <w:pageBreakBefore w:val="0"/>
              <w:tabs>
                <w:tab w:val="left" w:pos="0"/>
              </w:tabs>
              <w:kinsoku/>
              <w:wordWrap/>
              <w:overflowPunct/>
              <w:topLinePunct w:val="0"/>
              <w:autoSpaceDE/>
              <w:autoSpaceDN/>
              <w:bidi w:val="0"/>
              <w:adjustRightInd w:val="0"/>
              <w:snapToGrid w:val="0"/>
              <w:spacing w:line="420" w:lineRule="exact"/>
              <w:jc w:val="lef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注：以上为必备资质，缺一项或某项达不到要求，按无效文件处理。资格审查时以</w:t>
            </w:r>
            <w:r>
              <w:rPr>
                <w:rFonts w:hint="eastAsia" w:ascii="宋体" w:hAnsi="宋体" w:cs="宋体"/>
                <w:bCs/>
                <w:color w:val="auto"/>
                <w:sz w:val="24"/>
                <w:szCs w:val="24"/>
                <w:highlight w:val="none"/>
                <w:lang w:val="en-US" w:eastAsia="zh-CN"/>
              </w:rPr>
              <w:t>竞争性磋商响应文件</w:t>
            </w:r>
            <w:r>
              <w:rPr>
                <w:rFonts w:hint="eastAsia" w:ascii="宋体" w:hAnsi="宋体" w:cs="宋体"/>
                <w:bCs/>
                <w:color w:val="auto"/>
                <w:sz w:val="24"/>
                <w:szCs w:val="24"/>
                <w:highlight w:val="none"/>
              </w:rPr>
              <w:t>中所附证明材料为准</w:t>
            </w:r>
            <w:r>
              <w:rPr>
                <w:rFonts w:hint="eastAsia" w:ascii="宋体" w:hAnsi="宋体" w:cs="宋体"/>
                <w:b/>
                <w:bCs w:val="0"/>
                <w:color w:val="auto"/>
                <w:sz w:val="24"/>
                <w:szCs w:val="24"/>
                <w:highlight w:val="none"/>
              </w:rPr>
              <w:t>（信用中国、中国执行信息公开网和中国政府采购网信用记录可不提供，由采购代理机构查询并留存）</w:t>
            </w:r>
            <w:r>
              <w:rPr>
                <w:rFonts w:hint="eastAsia" w:ascii="宋体" w:hAnsi="宋体" w:cs="宋体"/>
                <w:bCs/>
                <w:color w:val="auto"/>
                <w:sz w:val="24"/>
                <w:szCs w:val="24"/>
                <w:highlight w:val="none"/>
              </w:rPr>
              <w:t>，原件备查。如</w:t>
            </w:r>
            <w:r>
              <w:rPr>
                <w:rFonts w:hint="eastAsia" w:ascii="宋体" w:hAnsi="宋体" w:cs="宋体"/>
                <w:bCs/>
                <w:color w:val="auto"/>
                <w:sz w:val="24"/>
                <w:szCs w:val="24"/>
                <w:highlight w:val="none"/>
                <w:lang w:val="en-US" w:eastAsia="zh-CN"/>
              </w:rPr>
              <w:t>竞争性磋商响应文件</w:t>
            </w:r>
            <w:r>
              <w:rPr>
                <w:rFonts w:hint="eastAsia" w:ascii="宋体" w:hAnsi="宋体" w:cs="宋体"/>
                <w:bCs/>
                <w:color w:val="auto"/>
                <w:sz w:val="24"/>
                <w:szCs w:val="24"/>
                <w:highlight w:val="none"/>
              </w:rPr>
              <w:t>中所附证明材料模糊不清，且未在规定时间提供原件，按无效文件处理。</w:t>
            </w:r>
          </w:p>
        </w:tc>
      </w:tr>
    </w:tbl>
    <w:p w14:paraId="640C14DE">
      <w:pPr>
        <w:pStyle w:val="16"/>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rPr>
        <w:sectPr>
          <w:headerReference r:id="rId19" w:type="default"/>
          <w:footerReference r:id="rId2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67F9850">
      <w:pPr>
        <w:pStyle w:val="16"/>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53C98FD7">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〖符合性审查表〗</w:t>
      </w:r>
    </w:p>
    <w:tbl>
      <w:tblPr>
        <w:tblStyle w:val="37"/>
        <w:tblW w:w="989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93"/>
        <w:gridCol w:w="557"/>
        <w:gridCol w:w="2122"/>
        <w:gridCol w:w="6827"/>
      </w:tblGrid>
      <w:tr w14:paraId="27709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950" w:type="dxa"/>
            <w:gridSpan w:val="2"/>
            <w:tcBorders>
              <w:top w:val="single" w:color="auto" w:sz="2" w:space="0"/>
            </w:tcBorders>
            <w:vAlign w:val="center"/>
          </w:tcPr>
          <w:p w14:paraId="1441C43E">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val="0"/>
                <w:bCs/>
                <w:color w:val="auto"/>
                <w:sz w:val="24"/>
                <w:szCs w:val="24"/>
                <w:highlight w:val="none"/>
              </w:rPr>
            </w:pPr>
            <w:r>
              <w:rPr>
                <w:rFonts w:hint="eastAsia" w:ascii="宋体" w:hAnsi="宋体" w:cs="宋体"/>
                <w:bCs/>
                <w:color w:val="auto"/>
                <w:sz w:val="24"/>
                <w:szCs w:val="24"/>
                <w:highlight w:val="none"/>
              </w:rPr>
              <w:t>条款号</w:t>
            </w:r>
          </w:p>
        </w:tc>
        <w:tc>
          <w:tcPr>
            <w:tcW w:w="2122" w:type="dxa"/>
            <w:tcBorders>
              <w:top w:val="single" w:color="auto" w:sz="2" w:space="0"/>
            </w:tcBorders>
            <w:vAlign w:val="center"/>
          </w:tcPr>
          <w:p w14:paraId="15455413">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评标</w:t>
            </w:r>
            <w:r>
              <w:rPr>
                <w:rFonts w:hint="eastAsia" w:ascii="宋体" w:hAnsi="宋体" w:cs="宋体"/>
                <w:bCs/>
                <w:color w:val="auto"/>
                <w:sz w:val="24"/>
                <w:szCs w:val="24"/>
                <w:highlight w:val="none"/>
              </w:rPr>
              <w:t>因素</w:t>
            </w:r>
          </w:p>
        </w:tc>
        <w:tc>
          <w:tcPr>
            <w:tcW w:w="6827" w:type="dxa"/>
            <w:tcBorders>
              <w:top w:val="single" w:color="auto" w:sz="2" w:space="0"/>
            </w:tcBorders>
            <w:vAlign w:val="center"/>
          </w:tcPr>
          <w:p w14:paraId="121E919B">
            <w:pPr>
              <w:keepNext w:val="0"/>
              <w:keepLines w:val="0"/>
              <w:pageBreakBefore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评标</w:t>
            </w:r>
            <w:r>
              <w:rPr>
                <w:rFonts w:hint="eastAsia" w:ascii="宋体" w:hAnsi="宋体" w:cs="宋体"/>
                <w:bCs/>
                <w:color w:val="auto"/>
                <w:sz w:val="24"/>
                <w:szCs w:val="24"/>
                <w:highlight w:val="none"/>
              </w:rPr>
              <w:t>标准</w:t>
            </w:r>
          </w:p>
        </w:tc>
      </w:tr>
      <w:tr w14:paraId="6D88D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393" w:type="dxa"/>
            <w:vMerge w:val="restart"/>
            <w:tcBorders>
              <w:top w:val="single" w:color="auto" w:sz="2" w:space="0"/>
            </w:tcBorders>
            <w:vAlign w:val="center"/>
          </w:tcPr>
          <w:p w14:paraId="4E08D60C">
            <w:pPr>
              <w:pStyle w:val="11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20" w:lineRule="exact"/>
              <w:ind w:right="0" w:rightChars="0"/>
              <w:contextualSpacing w:val="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rPr>
              <w:t>2.1.</w:t>
            </w:r>
            <w:r>
              <w:rPr>
                <w:rFonts w:hint="eastAsia" w:ascii="宋体" w:hAnsi="宋体" w:cs="宋体"/>
                <w:b w:val="0"/>
                <w:bCs/>
                <w:color w:val="auto"/>
                <w:sz w:val="24"/>
                <w:szCs w:val="24"/>
                <w:highlight w:val="none"/>
                <w:lang w:val="en-US" w:eastAsia="zh-CN"/>
              </w:rPr>
              <w:t>2</w:t>
            </w:r>
          </w:p>
        </w:tc>
        <w:tc>
          <w:tcPr>
            <w:tcW w:w="557" w:type="dxa"/>
            <w:vMerge w:val="restart"/>
            <w:tcBorders>
              <w:top w:val="single" w:color="auto" w:sz="2" w:space="0"/>
            </w:tcBorders>
            <w:vAlign w:val="center"/>
          </w:tcPr>
          <w:p w14:paraId="5682AB13">
            <w:pPr>
              <w:keepNext/>
              <w:keepLines w:val="0"/>
              <w:pageBreakBefore w:val="0"/>
              <w:widowControl w:val="0"/>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符合性审查表</w:t>
            </w:r>
          </w:p>
        </w:tc>
        <w:tc>
          <w:tcPr>
            <w:tcW w:w="2122" w:type="dxa"/>
            <w:tcBorders>
              <w:top w:val="single" w:color="auto" w:sz="2" w:space="0"/>
            </w:tcBorders>
            <w:vAlign w:val="center"/>
          </w:tcPr>
          <w:p w14:paraId="458676D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与项目的一致性</w:t>
            </w:r>
          </w:p>
        </w:tc>
        <w:tc>
          <w:tcPr>
            <w:tcW w:w="6827" w:type="dxa"/>
            <w:tcBorders>
              <w:top w:val="single" w:color="auto" w:sz="2" w:space="0"/>
            </w:tcBorders>
            <w:vAlign w:val="center"/>
          </w:tcPr>
          <w:p w14:paraId="286CC5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供应商</w:t>
            </w:r>
            <w:r>
              <w:rPr>
                <w:rFonts w:ascii="宋体" w:hAnsi="宋体" w:eastAsia="宋体" w:cs="宋体"/>
                <w:color w:val="auto"/>
                <w:sz w:val="24"/>
                <w:szCs w:val="24"/>
              </w:rPr>
              <w:t>名称是否与营业执照</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资质证书</w:t>
            </w:r>
            <w:r>
              <w:rPr>
                <w:rFonts w:ascii="宋体" w:hAnsi="宋体" w:eastAsia="宋体" w:cs="宋体"/>
                <w:color w:val="auto"/>
                <w:sz w:val="24"/>
                <w:szCs w:val="24"/>
              </w:rPr>
              <w:t>一致</w:t>
            </w:r>
          </w:p>
        </w:tc>
      </w:tr>
      <w:tr w14:paraId="481C8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9" w:hRule="atLeast"/>
          <w:jc w:val="center"/>
        </w:trPr>
        <w:tc>
          <w:tcPr>
            <w:tcW w:w="393" w:type="dxa"/>
            <w:vMerge w:val="continue"/>
            <w:vAlign w:val="center"/>
          </w:tcPr>
          <w:p w14:paraId="0A54E1EC">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highlight w:val="none"/>
              </w:rPr>
            </w:pPr>
          </w:p>
        </w:tc>
        <w:tc>
          <w:tcPr>
            <w:tcW w:w="557" w:type="dxa"/>
            <w:vMerge w:val="continue"/>
            <w:vAlign w:val="center"/>
          </w:tcPr>
          <w:p w14:paraId="1A0FC32A">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highlight w:val="none"/>
              </w:rPr>
            </w:pPr>
          </w:p>
        </w:tc>
        <w:tc>
          <w:tcPr>
            <w:tcW w:w="2122" w:type="dxa"/>
            <w:vAlign w:val="center"/>
          </w:tcPr>
          <w:p w14:paraId="0CAE55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竞争性磋商响应</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bCs/>
                <w:color w:val="auto"/>
                <w:sz w:val="24"/>
                <w:szCs w:val="24"/>
                <w:highlight w:val="none"/>
              </w:rPr>
              <w:t>组成</w:t>
            </w:r>
          </w:p>
        </w:tc>
        <w:tc>
          <w:tcPr>
            <w:tcW w:w="6827" w:type="dxa"/>
            <w:vAlign w:val="center"/>
          </w:tcPr>
          <w:p w14:paraId="022E7B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竞争性磋商响应文件应包含以下部分：</w:t>
            </w:r>
          </w:p>
          <w:p w14:paraId="634D53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第一部分 磋商响应函</w:t>
            </w:r>
          </w:p>
          <w:p w14:paraId="23DDCE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第二部分 第一次磋商报价表</w:t>
            </w:r>
          </w:p>
          <w:p w14:paraId="108B12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第三部分 已标价工程量清单</w:t>
            </w:r>
          </w:p>
          <w:p w14:paraId="2212B1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第四部分 施工方案</w:t>
            </w:r>
          </w:p>
          <w:p w14:paraId="76B706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第五部分 技术/商务条款偏差表</w:t>
            </w:r>
          </w:p>
          <w:p w14:paraId="4BAEB6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第六部分 供应商承诺书</w:t>
            </w:r>
          </w:p>
          <w:p w14:paraId="2DF5C2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第七部分 供应商资质证明文件</w:t>
            </w:r>
          </w:p>
          <w:p w14:paraId="300BCC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第八部分 其他资料</w:t>
            </w:r>
          </w:p>
        </w:tc>
      </w:tr>
      <w:tr w14:paraId="7039FD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393" w:type="dxa"/>
            <w:vMerge w:val="continue"/>
            <w:vAlign w:val="center"/>
          </w:tcPr>
          <w:p w14:paraId="636FC8B5">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highlight w:val="none"/>
              </w:rPr>
            </w:pPr>
          </w:p>
        </w:tc>
        <w:tc>
          <w:tcPr>
            <w:tcW w:w="557" w:type="dxa"/>
            <w:vMerge w:val="continue"/>
            <w:vAlign w:val="center"/>
          </w:tcPr>
          <w:p w14:paraId="0021AA2E">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highlight w:val="none"/>
              </w:rPr>
            </w:pPr>
          </w:p>
        </w:tc>
        <w:tc>
          <w:tcPr>
            <w:tcW w:w="2122" w:type="dxa"/>
            <w:vAlign w:val="center"/>
          </w:tcPr>
          <w:p w14:paraId="28FD808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文件份数</w:t>
            </w:r>
          </w:p>
        </w:tc>
        <w:tc>
          <w:tcPr>
            <w:tcW w:w="6827" w:type="dxa"/>
            <w:vAlign w:val="center"/>
          </w:tcPr>
          <w:p w14:paraId="21CF80C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应符合“供应商须知前附表”规定的正本、副本、电子文件数量。</w:t>
            </w:r>
          </w:p>
        </w:tc>
      </w:tr>
      <w:tr w14:paraId="0DDAB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393" w:type="dxa"/>
            <w:vMerge w:val="continue"/>
            <w:vAlign w:val="center"/>
          </w:tcPr>
          <w:p w14:paraId="2F0CACD3">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highlight w:val="none"/>
              </w:rPr>
            </w:pPr>
          </w:p>
        </w:tc>
        <w:tc>
          <w:tcPr>
            <w:tcW w:w="557" w:type="dxa"/>
            <w:vMerge w:val="continue"/>
            <w:vAlign w:val="center"/>
          </w:tcPr>
          <w:p w14:paraId="6430B323">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highlight w:val="none"/>
              </w:rPr>
            </w:pPr>
          </w:p>
        </w:tc>
        <w:tc>
          <w:tcPr>
            <w:tcW w:w="2122" w:type="dxa"/>
            <w:vAlign w:val="center"/>
          </w:tcPr>
          <w:p w14:paraId="27484B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签章</w:t>
            </w:r>
          </w:p>
        </w:tc>
        <w:tc>
          <w:tcPr>
            <w:tcW w:w="6827" w:type="dxa"/>
            <w:vAlign w:val="center"/>
          </w:tcPr>
          <w:p w14:paraId="0F33DA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签章均符合</w:t>
            </w:r>
            <w:r>
              <w:rPr>
                <w:rFonts w:hint="eastAsia" w:ascii="宋体" w:hAnsi="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color w:val="auto"/>
                <w:sz w:val="24"/>
                <w:szCs w:val="24"/>
                <w:highlight w:val="none"/>
              </w:rPr>
              <w:t>要求，且无遗漏。</w:t>
            </w:r>
          </w:p>
        </w:tc>
      </w:tr>
      <w:tr w14:paraId="35D472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4D4B9F9A">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highlight w:val="none"/>
              </w:rPr>
            </w:pPr>
          </w:p>
        </w:tc>
        <w:tc>
          <w:tcPr>
            <w:tcW w:w="557" w:type="dxa"/>
            <w:vMerge w:val="continue"/>
            <w:vAlign w:val="center"/>
          </w:tcPr>
          <w:p w14:paraId="4498F7B5">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highlight w:val="none"/>
              </w:rPr>
            </w:pPr>
          </w:p>
        </w:tc>
        <w:tc>
          <w:tcPr>
            <w:tcW w:w="2122" w:type="dxa"/>
            <w:vAlign w:val="center"/>
          </w:tcPr>
          <w:p w14:paraId="394544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语言和计量单位</w:t>
            </w:r>
          </w:p>
        </w:tc>
        <w:tc>
          <w:tcPr>
            <w:tcW w:w="6827" w:type="dxa"/>
            <w:vAlign w:val="center"/>
          </w:tcPr>
          <w:p w14:paraId="7B94C9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p>
        </w:tc>
      </w:tr>
      <w:tr w14:paraId="1E2F4E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3" w:type="dxa"/>
            <w:vMerge w:val="continue"/>
            <w:vAlign w:val="center"/>
          </w:tcPr>
          <w:p w14:paraId="39C828B3">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highlight w:val="none"/>
              </w:rPr>
            </w:pPr>
          </w:p>
        </w:tc>
        <w:tc>
          <w:tcPr>
            <w:tcW w:w="557" w:type="dxa"/>
            <w:vMerge w:val="continue"/>
            <w:vAlign w:val="center"/>
          </w:tcPr>
          <w:p w14:paraId="5A020BD3">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highlight w:val="none"/>
              </w:rPr>
            </w:pPr>
          </w:p>
        </w:tc>
        <w:tc>
          <w:tcPr>
            <w:tcW w:w="2122" w:type="dxa"/>
            <w:vAlign w:val="center"/>
          </w:tcPr>
          <w:p w14:paraId="6DA5A771">
            <w:pPr>
              <w:keepLines w:val="0"/>
              <w:pageBreakBefore w:val="0"/>
              <w:tabs>
                <w:tab w:val="left" w:pos="0"/>
              </w:tabs>
              <w:kinsoku/>
              <w:wordWrap/>
              <w:overflowPunct/>
              <w:topLinePunct w:val="0"/>
              <w:bidi w:val="0"/>
              <w:adjustRightInd w:val="0"/>
              <w:snapToGrid w:val="0"/>
              <w:spacing w:line="42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eastAsia="zh-CN"/>
              </w:rPr>
              <w:t>工期</w:t>
            </w:r>
          </w:p>
        </w:tc>
        <w:tc>
          <w:tcPr>
            <w:tcW w:w="6827" w:type="dxa"/>
            <w:vAlign w:val="center"/>
          </w:tcPr>
          <w:p w14:paraId="326C4B6D">
            <w:pPr>
              <w:keepLines w:val="0"/>
              <w:pageBreakBefore w:val="0"/>
              <w:tabs>
                <w:tab w:val="left" w:pos="0"/>
              </w:tabs>
              <w:kinsoku/>
              <w:wordWrap/>
              <w:overflowPunct/>
              <w:topLinePunct w:val="0"/>
              <w:bidi w:val="0"/>
              <w:adjustRightInd w:val="0"/>
              <w:snapToGrid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应满足</w:t>
            </w:r>
            <w:r>
              <w:rPr>
                <w:rFonts w:hint="eastAsia" w:ascii="宋体" w:hAnsi="宋体" w:eastAsia="宋体" w:cs="宋体"/>
                <w:bCs/>
                <w:color w:val="auto"/>
                <w:sz w:val="24"/>
                <w:szCs w:val="24"/>
                <w:highlight w:val="none"/>
                <w:lang w:eastAsia="zh-CN"/>
              </w:rPr>
              <w:t>竞争性磋商文件</w:t>
            </w:r>
            <w:r>
              <w:rPr>
                <w:rFonts w:hint="eastAsia" w:ascii="宋体" w:hAnsi="宋体" w:eastAsia="宋体" w:cs="宋体"/>
                <w:bCs/>
                <w:color w:val="auto"/>
                <w:sz w:val="24"/>
                <w:szCs w:val="24"/>
                <w:highlight w:val="none"/>
              </w:rPr>
              <w:t>中要求</w:t>
            </w:r>
            <w:r>
              <w:rPr>
                <w:rFonts w:hint="eastAsia" w:ascii="宋体" w:hAnsi="宋体" w:cs="宋体"/>
                <w:bCs/>
                <w:color w:val="auto"/>
                <w:sz w:val="24"/>
                <w:szCs w:val="24"/>
                <w:highlight w:val="none"/>
                <w:lang w:eastAsia="zh-CN"/>
              </w:rPr>
              <w:t>的工期</w:t>
            </w:r>
            <w:r>
              <w:rPr>
                <w:rFonts w:hint="eastAsia" w:ascii="宋体" w:hAnsi="宋体" w:eastAsia="宋体" w:cs="宋体"/>
                <w:bCs/>
                <w:color w:val="auto"/>
                <w:sz w:val="24"/>
                <w:szCs w:val="24"/>
                <w:highlight w:val="none"/>
              </w:rPr>
              <w:t>。</w:t>
            </w:r>
          </w:p>
        </w:tc>
      </w:tr>
      <w:tr w14:paraId="689DC6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3" w:type="dxa"/>
            <w:vMerge w:val="continue"/>
            <w:vAlign w:val="center"/>
          </w:tcPr>
          <w:p w14:paraId="23EFF8CE">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highlight w:val="none"/>
              </w:rPr>
            </w:pPr>
          </w:p>
        </w:tc>
        <w:tc>
          <w:tcPr>
            <w:tcW w:w="557" w:type="dxa"/>
            <w:vMerge w:val="continue"/>
            <w:vAlign w:val="center"/>
          </w:tcPr>
          <w:p w14:paraId="185A834B">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highlight w:val="none"/>
              </w:rPr>
            </w:pPr>
          </w:p>
        </w:tc>
        <w:tc>
          <w:tcPr>
            <w:tcW w:w="2122" w:type="dxa"/>
            <w:vAlign w:val="center"/>
          </w:tcPr>
          <w:p w14:paraId="24CD35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竞争性磋商响应</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bCs/>
                <w:color w:val="auto"/>
                <w:sz w:val="24"/>
                <w:szCs w:val="24"/>
                <w:highlight w:val="none"/>
              </w:rPr>
              <w:t>有效期</w:t>
            </w:r>
          </w:p>
        </w:tc>
        <w:tc>
          <w:tcPr>
            <w:tcW w:w="6827" w:type="dxa"/>
            <w:vAlign w:val="center"/>
          </w:tcPr>
          <w:p w14:paraId="59562B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color w:val="auto"/>
                <w:sz w:val="24"/>
                <w:szCs w:val="24"/>
                <w:highlight w:val="none"/>
              </w:rPr>
              <w:t>的要求</w:t>
            </w:r>
            <w:r>
              <w:rPr>
                <w:rFonts w:hint="eastAsia" w:ascii="宋体" w:hAnsi="宋体" w:cs="宋体"/>
                <w:color w:val="auto"/>
                <w:sz w:val="24"/>
                <w:szCs w:val="24"/>
                <w:highlight w:val="none"/>
                <w:lang w:eastAsia="zh-CN"/>
              </w:rPr>
              <w:t>。</w:t>
            </w:r>
          </w:p>
        </w:tc>
      </w:tr>
      <w:tr w14:paraId="0BA21F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0" w:hRule="atLeast"/>
          <w:jc w:val="center"/>
        </w:trPr>
        <w:tc>
          <w:tcPr>
            <w:tcW w:w="393" w:type="dxa"/>
            <w:vMerge w:val="continue"/>
            <w:vAlign w:val="center"/>
          </w:tcPr>
          <w:p w14:paraId="178A25A2">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highlight w:val="none"/>
              </w:rPr>
            </w:pPr>
          </w:p>
        </w:tc>
        <w:tc>
          <w:tcPr>
            <w:tcW w:w="557" w:type="dxa"/>
            <w:vMerge w:val="continue"/>
            <w:vAlign w:val="center"/>
          </w:tcPr>
          <w:p w14:paraId="02A7605B">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highlight w:val="none"/>
              </w:rPr>
            </w:pPr>
          </w:p>
        </w:tc>
        <w:tc>
          <w:tcPr>
            <w:tcW w:w="2122" w:type="dxa"/>
            <w:vAlign w:val="center"/>
          </w:tcPr>
          <w:p w14:paraId="760530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报价</w:t>
            </w:r>
          </w:p>
        </w:tc>
        <w:tc>
          <w:tcPr>
            <w:tcW w:w="6827" w:type="dxa"/>
            <w:vAlign w:val="center"/>
          </w:tcPr>
          <w:p w14:paraId="42C18B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同时满足以下条款：</w:t>
            </w:r>
          </w:p>
          <w:p w14:paraId="31D9DB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（1）货币单位符合</w:t>
            </w:r>
            <w:r>
              <w:rPr>
                <w:rFonts w:hint="eastAsia" w:ascii="宋体" w:hAnsi="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bCs/>
                <w:color w:val="auto"/>
                <w:sz w:val="24"/>
                <w:szCs w:val="24"/>
                <w:highlight w:val="none"/>
              </w:rPr>
              <w:t>要求</w:t>
            </w:r>
          </w:p>
          <w:p w14:paraId="6F98DC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（2）报价符合唯一性要求</w:t>
            </w:r>
          </w:p>
          <w:p w14:paraId="6EFBE3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（3）未超出</w:t>
            </w:r>
            <w:r>
              <w:rPr>
                <w:rFonts w:hint="eastAsia" w:ascii="宋体" w:hAnsi="宋体" w:eastAsia="宋体" w:cs="宋体"/>
                <w:bCs/>
                <w:color w:val="auto"/>
                <w:sz w:val="24"/>
                <w:szCs w:val="24"/>
                <w:highlight w:val="none"/>
                <w:lang w:val="en-US" w:eastAsia="zh-CN"/>
              </w:rPr>
              <w:t>最高限价</w:t>
            </w:r>
          </w:p>
          <w:p w14:paraId="1FD55B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（4）符合《</w:t>
            </w:r>
            <w:r>
              <w:rPr>
                <w:rFonts w:hint="eastAsia" w:ascii="宋体" w:hAnsi="宋体" w:eastAsia="宋体" w:cs="宋体"/>
                <w:bCs/>
                <w:color w:val="auto"/>
                <w:sz w:val="24"/>
                <w:szCs w:val="24"/>
                <w:highlight w:val="none"/>
                <w:lang w:val="zh-CN"/>
              </w:rPr>
              <w:t>第一次磋商报价表</w:t>
            </w:r>
            <w:r>
              <w:rPr>
                <w:rFonts w:hint="eastAsia" w:ascii="宋体" w:hAnsi="宋体" w:eastAsia="宋体" w:cs="宋体"/>
                <w:bCs/>
                <w:color w:val="auto"/>
                <w:sz w:val="24"/>
                <w:szCs w:val="24"/>
                <w:highlight w:val="none"/>
              </w:rPr>
              <w:t>》的填</w:t>
            </w:r>
            <w:r>
              <w:rPr>
                <w:rFonts w:hint="eastAsia" w:ascii="宋体" w:hAnsi="宋体" w:eastAsia="宋体" w:cs="宋体"/>
                <w:bCs/>
                <w:color w:val="auto"/>
                <w:sz w:val="24"/>
                <w:szCs w:val="24"/>
                <w:highlight w:val="none"/>
                <w:lang w:val="en-US" w:eastAsia="zh-CN"/>
              </w:rPr>
              <w:t>表</w:t>
            </w:r>
            <w:r>
              <w:rPr>
                <w:rFonts w:hint="eastAsia" w:ascii="宋体" w:hAnsi="宋体" w:eastAsia="宋体" w:cs="宋体"/>
                <w:bCs/>
                <w:color w:val="auto"/>
                <w:sz w:val="24"/>
                <w:szCs w:val="24"/>
                <w:highlight w:val="none"/>
              </w:rPr>
              <w:t>要求</w:t>
            </w:r>
          </w:p>
        </w:tc>
      </w:tr>
      <w:tr w14:paraId="2A563B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237FCD31">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highlight w:val="none"/>
              </w:rPr>
            </w:pPr>
          </w:p>
        </w:tc>
        <w:tc>
          <w:tcPr>
            <w:tcW w:w="557" w:type="dxa"/>
            <w:vMerge w:val="continue"/>
            <w:vAlign w:val="center"/>
          </w:tcPr>
          <w:p w14:paraId="22C208C2">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highlight w:val="none"/>
              </w:rPr>
            </w:pPr>
          </w:p>
        </w:tc>
        <w:tc>
          <w:tcPr>
            <w:tcW w:w="2122" w:type="dxa"/>
            <w:vAlign w:val="center"/>
          </w:tcPr>
          <w:p w14:paraId="4AABD4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yellow"/>
                <w:lang w:val="en-US" w:eastAsia="zh-CN"/>
              </w:rPr>
            </w:pPr>
            <w:r>
              <w:rPr>
                <w:rFonts w:hint="eastAsia" w:ascii="宋体" w:hAnsi="宋体" w:cs="宋体"/>
                <w:bCs/>
                <w:color w:val="auto"/>
                <w:sz w:val="24"/>
                <w:szCs w:val="24"/>
                <w:lang w:val="en-US" w:eastAsia="zh-CN"/>
              </w:rPr>
              <w:t>响应程度</w:t>
            </w:r>
          </w:p>
        </w:tc>
        <w:tc>
          <w:tcPr>
            <w:tcW w:w="6827" w:type="dxa"/>
            <w:vAlign w:val="center"/>
          </w:tcPr>
          <w:p w14:paraId="7347EE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《第五章施工内容及技术要求》、实质性条款均不允许负偏离。</w:t>
            </w:r>
          </w:p>
        </w:tc>
      </w:tr>
      <w:tr w14:paraId="6131D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93" w:type="dxa"/>
            <w:vMerge w:val="continue"/>
            <w:vAlign w:val="center"/>
          </w:tcPr>
          <w:p w14:paraId="0640355A">
            <w:pPr>
              <w:pStyle w:val="117"/>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240" w:firstLineChars="100"/>
              <w:contextualSpacing w:val="0"/>
              <w:jc w:val="both"/>
              <w:textAlignment w:val="auto"/>
              <w:rPr>
                <w:rFonts w:hint="eastAsia" w:ascii="宋体" w:hAnsi="宋体" w:eastAsia="宋体" w:cs="宋体"/>
                <w:bCs/>
                <w:color w:val="auto"/>
                <w:sz w:val="24"/>
                <w:szCs w:val="24"/>
                <w:highlight w:val="none"/>
              </w:rPr>
            </w:pPr>
          </w:p>
        </w:tc>
        <w:tc>
          <w:tcPr>
            <w:tcW w:w="557" w:type="dxa"/>
            <w:vMerge w:val="continue"/>
            <w:vAlign w:val="center"/>
          </w:tcPr>
          <w:p w14:paraId="53B05806">
            <w:pPr>
              <w:keepNext/>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jc w:val="center"/>
              <w:textAlignment w:val="auto"/>
              <w:outlineLvl w:val="3"/>
              <w:rPr>
                <w:rFonts w:hint="eastAsia" w:ascii="宋体" w:hAnsi="宋体" w:eastAsia="宋体" w:cs="宋体"/>
                <w:bCs/>
                <w:color w:val="auto"/>
                <w:sz w:val="24"/>
                <w:szCs w:val="24"/>
                <w:highlight w:val="none"/>
              </w:rPr>
            </w:pPr>
          </w:p>
        </w:tc>
        <w:tc>
          <w:tcPr>
            <w:tcW w:w="2122" w:type="dxa"/>
            <w:vAlign w:val="center"/>
          </w:tcPr>
          <w:p w14:paraId="50B582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rPr>
              <w:t>其他</w:t>
            </w:r>
          </w:p>
        </w:tc>
        <w:tc>
          <w:tcPr>
            <w:tcW w:w="6827" w:type="dxa"/>
            <w:vAlign w:val="center"/>
          </w:tcPr>
          <w:p w14:paraId="121D30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完全理解并接受法律法规和</w:t>
            </w:r>
            <w:r>
              <w:rPr>
                <w:rFonts w:hint="eastAsia" w:ascii="宋体" w:hAnsi="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color w:val="auto"/>
                <w:sz w:val="24"/>
                <w:szCs w:val="24"/>
                <w:highlight w:val="none"/>
              </w:rPr>
              <w:t>对供应商合法经营的各类规约和责任义务要求，没有出现法律法规或</w:t>
            </w:r>
            <w:r>
              <w:rPr>
                <w:rFonts w:hint="eastAsia" w:ascii="宋体" w:hAnsi="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color w:val="auto"/>
                <w:sz w:val="24"/>
                <w:szCs w:val="24"/>
                <w:highlight w:val="none"/>
              </w:rPr>
              <w:t>规定的其他无效情形。</w:t>
            </w:r>
          </w:p>
        </w:tc>
      </w:tr>
    </w:tbl>
    <w:p w14:paraId="66889D24">
      <w:pPr>
        <w:pStyle w:val="16"/>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b/>
          <w:bCs/>
          <w:color w:val="auto"/>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02D5447E">
      <w:pPr>
        <w:pStyle w:val="16"/>
        <w:keepNext w:val="0"/>
        <w:keepLines w:val="0"/>
        <w:pageBreakBefore w:val="0"/>
        <w:widowControl w:val="0"/>
        <w:kinsoku/>
        <w:wordWrap/>
        <w:overflowPunct/>
        <w:topLinePunct w:val="0"/>
        <w:bidi w:val="0"/>
        <w:spacing w:line="42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p>
    <w:p w14:paraId="71F4FC56">
      <w:pPr>
        <w:keepNext w:val="0"/>
        <w:keepLines w:val="0"/>
        <w:pageBreakBefore w:val="0"/>
        <w:widowControl w:val="0"/>
        <w:kinsoku/>
        <w:wordWrap/>
        <w:overflowPunct/>
        <w:topLinePunct w:val="0"/>
        <w:autoSpaceDE w:val="0"/>
        <w:autoSpaceDN w:val="0"/>
        <w:bidi w:val="0"/>
        <w:adjustRightInd w:val="0"/>
        <w:snapToGrid w:val="0"/>
        <w:spacing w:line="420" w:lineRule="exact"/>
        <w:ind w:firstLine="63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〖评标因素及权重分值表〗</w:t>
      </w:r>
      <w:bookmarkStart w:id="33" w:name="_Toc492476967"/>
    </w:p>
    <w:p w14:paraId="26C79A75">
      <w:pPr>
        <w:rPr>
          <w:rFonts w:hint="eastAsia"/>
          <w:color w:val="auto"/>
          <w:highlight w:val="none"/>
          <w:lang w:val="zh-CN" w:eastAsia="zh-CN"/>
        </w:rPr>
      </w:pPr>
    </w:p>
    <w:tbl>
      <w:tblPr>
        <w:tblStyle w:val="3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67"/>
        <w:gridCol w:w="8290"/>
      </w:tblGrid>
      <w:tr w14:paraId="6492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DF3C67">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w:t>
            </w:r>
          </w:p>
          <w:p w14:paraId="55DB0F99">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767" w:type="dxa"/>
            <w:tcBorders>
              <w:top w:val="single" w:color="auto" w:sz="4" w:space="0"/>
              <w:left w:val="single" w:color="auto" w:sz="4" w:space="0"/>
              <w:right w:val="single" w:color="auto" w:sz="4" w:space="0"/>
            </w:tcBorders>
            <w:vAlign w:val="center"/>
          </w:tcPr>
          <w:p w14:paraId="39C06B9E">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p w14:paraId="261F2D60">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290" w:type="dxa"/>
            <w:tcBorders>
              <w:top w:val="single" w:color="auto" w:sz="4" w:space="0"/>
              <w:left w:val="single" w:color="auto" w:sz="4" w:space="0"/>
              <w:bottom w:val="single" w:color="auto" w:sz="4" w:space="0"/>
              <w:right w:val="single" w:color="auto" w:sz="4" w:space="0"/>
            </w:tcBorders>
            <w:vAlign w:val="center"/>
          </w:tcPr>
          <w:p w14:paraId="6436D8E7">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623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65BE35">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767" w:type="dxa"/>
            <w:tcBorders>
              <w:top w:val="single" w:color="auto" w:sz="4" w:space="0"/>
              <w:left w:val="single" w:color="auto" w:sz="4" w:space="0"/>
              <w:bottom w:val="single" w:color="auto" w:sz="4" w:space="0"/>
              <w:right w:val="single" w:color="auto" w:sz="4" w:space="0"/>
            </w:tcBorders>
            <w:vAlign w:val="center"/>
          </w:tcPr>
          <w:p w14:paraId="0BB1C152">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8290" w:type="dxa"/>
            <w:tcBorders>
              <w:top w:val="single" w:color="auto" w:sz="4" w:space="0"/>
              <w:left w:val="single" w:color="auto" w:sz="4" w:space="0"/>
              <w:bottom w:val="single" w:color="auto" w:sz="4" w:space="0"/>
              <w:right w:val="single" w:color="auto" w:sz="4" w:space="0"/>
            </w:tcBorders>
            <w:vAlign w:val="center"/>
          </w:tcPr>
          <w:p w14:paraId="196447C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满足磋商文件要求且投标价格最低的磋商报价为磋商基准价，其价格分为满分。其他供应商的价格分统一按照下列公式计算：磋商报价得分=（磋商基准价/最后磋商报价）×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100</w:t>
            </w:r>
            <w:r>
              <w:rPr>
                <w:rFonts w:hint="eastAsia" w:ascii="宋体" w:hAnsi="宋体" w:cs="宋体"/>
                <w:color w:val="auto"/>
                <w:sz w:val="24"/>
                <w:szCs w:val="24"/>
                <w:highlight w:val="none"/>
                <w:lang w:val="en-US" w:eastAsia="zh-CN"/>
              </w:rPr>
              <w:t>。</w:t>
            </w:r>
          </w:p>
          <w:p w14:paraId="54DAC8B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eastAsia="zh-CN"/>
              </w:rPr>
              <w:t>注：本项目专门面向</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lang w:val="zh-CN" w:eastAsia="zh-CN"/>
              </w:rPr>
              <w:t>企业采购，不享受优惠政策。</w:t>
            </w:r>
          </w:p>
        </w:tc>
      </w:tr>
      <w:tr w14:paraId="30ED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4F7EA55">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55519FB1">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p>
        </w:tc>
        <w:tc>
          <w:tcPr>
            <w:tcW w:w="767" w:type="dxa"/>
            <w:tcBorders>
              <w:top w:val="single" w:color="auto" w:sz="4" w:space="0"/>
              <w:left w:val="single" w:color="auto" w:sz="4" w:space="0"/>
              <w:bottom w:val="single" w:color="auto" w:sz="4" w:space="0"/>
              <w:right w:val="single" w:color="auto" w:sz="4" w:space="0"/>
            </w:tcBorders>
            <w:vAlign w:val="center"/>
          </w:tcPr>
          <w:p w14:paraId="2C41B248">
            <w:pPr>
              <w:keepNext w:val="0"/>
              <w:keepLines w:val="0"/>
              <w:pageBreakBefore w:val="0"/>
              <w:widowControl w:val="0"/>
              <w:kinsoku/>
              <w:wordWrap/>
              <w:overflowPunct/>
              <w:topLinePunct w:val="0"/>
              <w:autoSpaceDE/>
              <w:autoSpaceDN/>
              <w:bidi w:val="0"/>
              <w:adjustRightInd w:val="0"/>
              <w:snapToGrid w:val="0"/>
              <w:spacing w:line="420" w:lineRule="exact"/>
              <w:ind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w:t>
            </w:r>
          </w:p>
        </w:tc>
        <w:tc>
          <w:tcPr>
            <w:tcW w:w="8290" w:type="dxa"/>
            <w:tcBorders>
              <w:top w:val="single" w:color="auto" w:sz="4" w:space="0"/>
              <w:left w:val="single" w:color="auto" w:sz="4" w:space="0"/>
              <w:bottom w:val="single" w:color="auto" w:sz="4" w:space="0"/>
              <w:right w:val="single" w:color="auto" w:sz="4" w:space="0"/>
            </w:tcBorders>
            <w:vAlign w:val="center"/>
          </w:tcPr>
          <w:p w14:paraId="3679075B">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确保工程质量的技术组织措施，质量目标明确，满足采购人要求；有质保体系，责任明确；质保措施切合实际，满足质量目标要求。内容完备、科学、合理、针对性强得（5-7]分；内容合理、可行得（3-5]分；内容一般、基本可行得（0-3]分</w:t>
            </w:r>
            <w:r>
              <w:rPr>
                <w:rFonts w:hint="eastAsia" w:ascii="宋体" w:hAnsi="宋体" w:cs="宋体"/>
                <w:color w:val="auto"/>
                <w:sz w:val="24"/>
                <w:szCs w:val="24"/>
                <w:highlight w:val="none"/>
                <w:lang w:val="en-US" w:eastAsia="zh-CN"/>
              </w:rPr>
              <w:t>；未提供不得分。</w:t>
            </w:r>
          </w:p>
          <w:p w14:paraId="4D4B4743">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both"/>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针对项目施工的重点、难点目标及施工环节，提出切实可行的专项施工方案（含主要施工</w:t>
            </w:r>
            <w:r>
              <w:rPr>
                <w:rFonts w:hint="eastAsia" w:ascii="宋体" w:hAnsi="宋体" w:cs="宋体"/>
                <w:color w:val="auto"/>
                <w:sz w:val="24"/>
                <w:szCs w:val="24"/>
                <w:highlight w:val="none"/>
                <w:lang w:val="en-US" w:eastAsia="zh-CN"/>
              </w:rPr>
              <w:t>方</w:t>
            </w:r>
            <w:r>
              <w:rPr>
                <w:rFonts w:hint="eastAsia" w:ascii="宋体" w:hAnsi="宋体" w:eastAsia="宋体" w:cs="宋体"/>
                <w:color w:val="auto"/>
                <w:sz w:val="24"/>
                <w:szCs w:val="24"/>
                <w:highlight w:val="none"/>
                <w:lang w:val="en-US" w:eastAsia="zh-CN"/>
              </w:rPr>
              <w:t>法、组织措施、检验手段等）及应急预案</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内容完备、科学、合理、针对性强得（5-7]分；内容合理、可行得（3-5]分；内容一般、基本可行得（0-3]分</w:t>
            </w:r>
            <w:r>
              <w:rPr>
                <w:rFonts w:hint="eastAsia" w:ascii="宋体" w:hAnsi="宋体" w:cs="宋体"/>
                <w:color w:val="auto"/>
                <w:sz w:val="24"/>
                <w:szCs w:val="24"/>
                <w:highlight w:val="none"/>
                <w:lang w:val="en-US" w:eastAsia="zh-CN"/>
              </w:rPr>
              <w:t>；未提供不得分。</w:t>
            </w:r>
          </w:p>
          <w:p w14:paraId="53AED55B">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确保安全生产的技术组织措施，安全目标明确，满足采购人要求；有安保体系，责任明确；安保措施切合实际，满足安全目标要求；有应对突发事件的应急措施</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内容完备、科学、合理、针对性强得（4-6]分；内容合理、可行得（2-4]分；内容一般、基本可行得（0-2]分</w:t>
            </w:r>
            <w:r>
              <w:rPr>
                <w:rFonts w:hint="eastAsia" w:ascii="宋体" w:hAnsi="宋体" w:cs="宋体"/>
                <w:color w:val="auto"/>
                <w:sz w:val="24"/>
                <w:szCs w:val="24"/>
                <w:highlight w:val="none"/>
                <w:lang w:val="en-US" w:eastAsia="zh-CN"/>
              </w:rPr>
              <w:t>；未提供不得分。</w:t>
            </w:r>
          </w:p>
          <w:p w14:paraId="0CBB60C2">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确保</w:t>
            </w:r>
            <w:r>
              <w:rPr>
                <w:rFonts w:hint="eastAsia" w:ascii="宋体" w:hAnsi="宋体" w:eastAsia="宋体" w:cs="宋体"/>
                <w:color w:val="auto"/>
                <w:sz w:val="24"/>
                <w:szCs w:val="24"/>
                <w:highlight w:val="none"/>
                <w:lang w:val="en-US" w:eastAsia="zh-CN"/>
              </w:rPr>
              <w:t>文明施工、环保施工、防尘降噪等</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保证措施。内容完备、科学、合理、针对性强得（4-6]分；内容合理、可行得（2-4]分；内容一般、基本可行得（0-2]分</w:t>
            </w:r>
            <w:r>
              <w:rPr>
                <w:rFonts w:hint="eastAsia" w:ascii="宋体" w:hAnsi="宋体" w:cs="宋体"/>
                <w:color w:val="auto"/>
                <w:sz w:val="24"/>
                <w:szCs w:val="24"/>
                <w:highlight w:val="none"/>
                <w:lang w:val="en-US" w:eastAsia="zh-CN"/>
              </w:rPr>
              <w:t>；未提供不得分。</w:t>
            </w:r>
          </w:p>
          <w:p w14:paraId="578DC5F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.项目部组成人员，整个项目的实施组织机构、人员配置合理、责任明确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内容完备、科学、合理、针对性强得（5-7]分；内容合理、可行得（3-5]分；内容一般、基本可行得（0-3]分</w:t>
            </w:r>
            <w:r>
              <w:rPr>
                <w:rFonts w:hint="eastAsia" w:ascii="宋体" w:hAnsi="宋体" w:cs="宋体"/>
                <w:color w:val="auto"/>
                <w:sz w:val="24"/>
                <w:szCs w:val="24"/>
                <w:highlight w:val="none"/>
                <w:lang w:val="en-US" w:eastAsia="zh-CN"/>
              </w:rPr>
              <w:t>；未提供不得分。</w:t>
            </w:r>
          </w:p>
          <w:p w14:paraId="02749D31">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确保工期的技术组织措施</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施工进度计划图示清晰、科学、合理；关键工序控制合理；工期保证措施合理，能够保证总工期</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内容完备、科学、合理、针对性强得（5-7]分；内容合理、可行得（3-5]分；内容一般、基本可行得（0-3]分</w:t>
            </w:r>
            <w:r>
              <w:rPr>
                <w:rFonts w:hint="eastAsia" w:ascii="宋体" w:hAnsi="宋体" w:cs="宋体"/>
                <w:color w:val="auto"/>
                <w:sz w:val="24"/>
                <w:szCs w:val="24"/>
                <w:highlight w:val="none"/>
                <w:lang w:val="en-US" w:eastAsia="zh-CN"/>
              </w:rPr>
              <w:t>；未提供不得分。</w:t>
            </w:r>
          </w:p>
          <w:p w14:paraId="62290F1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根据供应商拟用于本项目的主要</w:t>
            </w:r>
            <w:r>
              <w:rPr>
                <w:rFonts w:hint="eastAsia" w:ascii="宋体" w:hAnsi="宋体" w:eastAsia="宋体" w:cs="宋体"/>
                <w:color w:val="auto"/>
                <w:sz w:val="24"/>
                <w:szCs w:val="24"/>
                <w:highlight w:val="none"/>
                <w:lang w:val="en-US" w:eastAsia="zh-CN"/>
              </w:rPr>
              <w:t>施工</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lang w:val="en-US" w:eastAsia="zh-CN"/>
              </w:rPr>
              <w:t>和材料投入计划</w:t>
            </w:r>
            <w:r>
              <w:rPr>
                <w:rFonts w:hint="eastAsia" w:ascii="宋体" w:hAnsi="宋体" w:cs="宋体"/>
                <w:color w:val="auto"/>
                <w:sz w:val="24"/>
                <w:szCs w:val="24"/>
                <w:highlight w:val="none"/>
                <w:lang w:val="en-US" w:eastAsia="zh-CN"/>
              </w:rPr>
              <w:t>，按其响应程度赋分</w:t>
            </w:r>
            <w:r>
              <w:rPr>
                <w:rFonts w:hint="eastAsia" w:ascii="宋体" w:hAnsi="宋体" w:eastAsia="宋体" w:cs="宋体"/>
                <w:color w:val="auto"/>
                <w:sz w:val="24"/>
                <w:szCs w:val="24"/>
                <w:highlight w:val="none"/>
                <w:lang w:val="en-US" w:eastAsia="zh-CN"/>
              </w:rPr>
              <w:t>。内容完备、科学、合理、针对性强得（2-5]分；内容合理、可行得（1-2]分；内容一般、基本可行得（0-1]分</w:t>
            </w:r>
            <w:r>
              <w:rPr>
                <w:rFonts w:hint="eastAsia" w:ascii="宋体" w:hAnsi="宋体" w:cs="宋体"/>
                <w:color w:val="auto"/>
                <w:sz w:val="24"/>
                <w:szCs w:val="24"/>
                <w:highlight w:val="none"/>
                <w:lang w:val="en-US" w:eastAsia="zh-CN"/>
              </w:rPr>
              <w:t>；未提供不得分。</w:t>
            </w:r>
          </w:p>
          <w:p w14:paraId="55A74068">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val="en-US" w:eastAsia="zh-CN"/>
              </w:rPr>
              <w:t>新技术、新产品、新工艺、新材料应用</w:t>
            </w:r>
            <w:r>
              <w:rPr>
                <w:rFonts w:hint="eastAsia" w:ascii="宋体" w:hAnsi="宋体" w:cs="宋体"/>
                <w:color w:val="auto"/>
                <w:sz w:val="24"/>
                <w:szCs w:val="24"/>
                <w:highlight w:val="none"/>
                <w:lang w:val="en-US" w:eastAsia="zh-CN"/>
              </w:rPr>
              <w:t>，按其响应程度赋分</w:t>
            </w:r>
            <w:r>
              <w:rPr>
                <w:rFonts w:hint="eastAsia" w:ascii="宋体" w:hAnsi="宋体" w:eastAsia="宋体" w:cs="宋体"/>
                <w:color w:val="auto"/>
                <w:sz w:val="24"/>
                <w:szCs w:val="24"/>
                <w:highlight w:val="none"/>
                <w:lang w:val="en-US" w:eastAsia="zh-CN"/>
              </w:rPr>
              <w:t>。内容完备、科学、合理、针对性强得（2-5]分；内容合理、可行得（1-2]分；内容一般、基本可行得（0-1]分</w:t>
            </w:r>
            <w:r>
              <w:rPr>
                <w:rFonts w:hint="eastAsia" w:ascii="宋体" w:hAnsi="宋体" w:cs="宋体"/>
                <w:color w:val="auto"/>
                <w:sz w:val="24"/>
                <w:szCs w:val="24"/>
                <w:highlight w:val="none"/>
                <w:lang w:val="en-US" w:eastAsia="zh-CN"/>
              </w:rPr>
              <w:t>；未提供不得分。</w:t>
            </w:r>
          </w:p>
        </w:tc>
      </w:tr>
      <w:tr w14:paraId="2EF0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BAF520">
            <w:pPr>
              <w:keepNext w:val="0"/>
              <w:keepLines w:val="0"/>
              <w:pageBreakBefore w:val="0"/>
              <w:widowControl w:val="0"/>
              <w:kinsoku/>
              <w:wordWrap/>
              <w:overflowPunct/>
              <w:topLinePunct w:val="0"/>
              <w:autoSpaceDE/>
              <w:autoSpaceDN/>
              <w:bidi w:val="0"/>
              <w:snapToGrid w:val="0"/>
              <w:spacing w:line="42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业绩</w:t>
            </w:r>
          </w:p>
        </w:tc>
        <w:tc>
          <w:tcPr>
            <w:tcW w:w="767" w:type="dxa"/>
            <w:tcBorders>
              <w:top w:val="single" w:color="auto" w:sz="4" w:space="0"/>
              <w:left w:val="single" w:color="auto" w:sz="4" w:space="0"/>
              <w:bottom w:val="single" w:color="auto" w:sz="4" w:space="0"/>
              <w:right w:val="single" w:color="auto" w:sz="4" w:space="0"/>
            </w:tcBorders>
            <w:vAlign w:val="center"/>
          </w:tcPr>
          <w:p w14:paraId="2CA0C73A">
            <w:pPr>
              <w:keepNext w:val="0"/>
              <w:keepLines w:val="0"/>
              <w:pageBreakBefore w:val="0"/>
              <w:widowControl w:val="0"/>
              <w:kinsoku/>
              <w:wordWrap/>
              <w:overflowPunct/>
              <w:topLinePunct w:val="0"/>
              <w:autoSpaceDE/>
              <w:autoSpaceDN/>
              <w:bidi w:val="0"/>
              <w:snapToGrid w:val="0"/>
              <w:spacing w:line="42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290" w:type="dxa"/>
            <w:tcBorders>
              <w:top w:val="single" w:color="auto" w:sz="4" w:space="0"/>
              <w:left w:val="single" w:color="auto" w:sz="4" w:space="0"/>
              <w:bottom w:val="single" w:color="auto" w:sz="4" w:space="0"/>
              <w:right w:val="single" w:color="auto" w:sz="4" w:space="0"/>
            </w:tcBorders>
            <w:vAlign w:val="center"/>
          </w:tcPr>
          <w:p w14:paraId="04706B7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rPr>
              <w:t>合同协议书</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中标通知书等相关证明材料</w:t>
            </w:r>
            <w:r>
              <w:rPr>
                <w:rFonts w:hint="eastAsia" w:ascii="宋体" w:hAnsi="宋体" w:eastAsia="宋体" w:cs="宋体"/>
                <w:color w:val="auto"/>
                <w:sz w:val="24"/>
                <w:szCs w:val="24"/>
                <w:highlight w:val="none"/>
                <w:lang w:eastAsia="zh-CN"/>
              </w:rPr>
              <w:t>；已合同签订日期为准</w:t>
            </w:r>
            <w:r>
              <w:rPr>
                <w:rFonts w:hint="eastAsia" w:ascii="宋体" w:hAnsi="宋体" w:eastAsia="宋体" w:cs="宋体"/>
                <w:color w:val="auto"/>
                <w:sz w:val="24"/>
                <w:szCs w:val="24"/>
                <w:highlight w:val="none"/>
              </w:rPr>
              <w:t>）至今</w:t>
            </w: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rPr>
              <w:t>项目业绩，每提供1个得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5530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0F648F4">
            <w:pPr>
              <w:keepNext w:val="0"/>
              <w:keepLines w:val="0"/>
              <w:pageBreakBefore w:val="0"/>
              <w:widowControl w:val="0"/>
              <w:kinsoku/>
              <w:wordWrap/>
              <w:overflowPunct/>
              <w:topLinePunct w:val="0"/>
              <w:autoSpaceDE/>
              <w:autoSpaceDN/>
              <w:bidi w:val="0"/>
              <w:snapToGrid w:val="0"/>
              <w:spacing w:line="42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w:t>
            </w:r>
          </w:p>
          <w:p w14:paraId="7CD69EEE">
            <w:pPr>
              <w:keepNext w:val="0"/>
              <w:keepLines w:val="0"/>
              <w:pageBreakBefore w:val="0"/>
              <w:widowControl w:val="0"/>
              <w:kinsoku/>
              <w:wordWrap/>
              <w:overflowPunct/>
              <w:topLinePunct w:val="0"/>
              <w:autoSpaceDE/>
              <w:autoSpaceDN/>
              <w:bidi w:val="0"/>
              <w:snapToGrid w:val="0"/>
              <w:spacing w:line="42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能力</w:t>
            </w:r>
          </w:p>
        </w:tc>
        <w:tc>
          <w:tcPr>
            <w:tcW w:w="767" w:type="dxa"/>
            <w:tcBorders>
              <w:top w:val="single" w:color="auto" w:sz="4" w:space="0"/>
              <w:left w:val="single" w:color="auto" w:sz="4" w:space="0"/>
              <w:bottom w:val="single" w:color="auto" w:sz="4" w:space="0"/>
              <w:right w:val="single" w:color="auto" w:sz="4" w:space="0"/>
            </w:tcBorders>
            <w:vAlign w:val="center"/>
          </w:tcPr>
          <w:p w14:paraId="3AF318A7">
            <w:pPr>
              <w:keepNext w:val="0"/>
              <w:keepLines w:val="0"/>
              <w:pageBreakBefore w:val="0"/>
              <w:widowControl w:val="0"/>
              <w:kinsoku/>
              <w:wordWrap/>
              <w:overflowPunct/>
              <w:topLinePunct w:val="0"/>
              <w:autoSpaceDE/>
              <w:autoSpaceDN/>
              <w:bidi w:val="0"/>
              <w:snapToGrid w:val="0"/>
              <w:spacing w:line="42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290" w:type="dxa"/>
            <w:tcBorders>
              <w:top w:val="single" w:color="auto" w:sz="4" w:space="0"/>
              <w:left w:val="single" w:color="auto" w:sz="4" w:space="0"/>
              <w:bottom w:val="single" w:color="auto" w:sz="4" w:space="0"/>
              <w:right w:val="single" w:color="auto" w:sz="4" w:space="0"/>
            </w:tcBorders>
            <w:vAlign w:val="center"/>
          </w:tcPr>
          <w:p w14:paraId="7C71738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1.根据本项目实际需求，</w:t>
            </w:r>
            <w:r>
              <w:rPr>
                <w:rFonts w:hint="eastAsia" w:ascii="宋体" w:hAnsi="宋体" w:eastAsia="宋体" w:cs="宋体"/>
                <w:color w:val="auto"/>
                <w:sz w:val="24"/>
                <w:szCs w:val="24"/>
                <w:highlight w:val="none"/>
                <w:lang w:val="zh-CN" w:eastAsia="zh-CN"/>
              </w:rPr>
              <w:t>有详细的</w:t>
            </w:r>
            <w:r>
              <w:rPr>
                <w:rFonts w:hint="eastAsia" w:ascii="宋体" w:hAnsi="宋体" w:eastAsia="宋体" w:cs="宋体"/>
                <w:color w:val="auto"/>
                <w:sz w:val="24"/>
                <w:szCs w:val="24"/>
                <w:highlight w:val="none"/>
                <w:lang w:val="en-US" w:eastAsia="zh-CN"/>
              </w:rPr>
              <w:t>保修</w:t>
            </w:r>
            <w:r>
              <w:rPr>
                <w:rFonts w:hint="eastAsia" w:ascii="宋体" w:hAnsi="宋体" w:eastAsia="宋体" w:cs="宋体"/>
                <w:color w:val="auto"/>
                <w:sz w:val="24"/>
                <w:szCs w:val="24"/>
                <w:highlight w:val="none"/>
                <w:lang w:val="zh-CN" w:eastAsia="zh-CN"/>
              </w:rPr>
              <w:t>服务措施</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val="zh-CN" w:eastAsia="zh-CN"/>
              </w:rPr>
              <w:t>承诺，</w:t>
            </w:r>
            <w:r>
              <w:rPr>
                <w:rFonts w:hint="eastAsia" w:ascii="宋体" w:hAnsi="宋体" w:eastAsia="宋体" w:cs="宋体"/>
                <w:color w:val="auto"/>
                <w:sz w:val="24"/>
                <w:szCs w:val="24"/>
                <w:highlight w:val="none"/>
                <w:lang w:val="en-US" w:eastAsia="zh-CN"/>
              </w:rPr>
              <w:t>保修</w:t>
            </w:r>
            <w:r>
              <w:rPr>
                <w:rFonts w:hint="eastAsia" w:ascii="宋体" w:hAnsi="宋体" w:eastAsia="宋体" w:cs="宋体"/>
                <w:color w:val="auto"/>
                <w:sz w:val="24"/>
                <w:szCs w:val="24"/>
                <w:highlight w:val="none"/>
                <w:lang w:val="zh-CN" w:eastAsia="zh-CN"/>
              </w:rPr>
              <w:t>服务条款具体、可行。</w:t>
            </w:r>
            <w:r>
              <w:rPr>
                <w:rFonts w:hint="eastAsia" w:ascii="宋体" w:hAnsi="宋体" w:eastAsia="宋体" w:cs="宋体"/>
                <w:color w:val="auto"/>
                <w:sz w:val="24"/>
                <w:szCs w:val="24"/>
                <w:highlight w:val="none"/>
                <w:lang w:val="en-US" w:eastAsia="zh-CN"/>
              </w:rPr>
              <w:t>内容完备、科学、合理、针对性强得（5-7]分；内容合理、可行得（3-5]分；内容一般、基本可行得（0-3]分</w:t>
            </w:r>
            <w:r>
              <w:rPr>
                <w:rFonts w:hint="eastAsia" w:ascii="宋体" w:hAnsi="宋体" w:cs="宋体"/>
                <w:color w:val="auto"/>
                <w:sz w:val="24"/>
                <w:szCs w:val="24"/>
                <w:highlight w:val="none"/>
                <w:lang w:val="en-US" w:eastAsia="zh-CN"/>
              </w:rPr>
              <w:t>；未提供不得分。</w:t>
            </w:r>
          </w:p>
          <w:p w14:paraId="1B32411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2.针对本项目实际需求提供合理化建议，确有利于本次磋商</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内容完备、科学、合理、针对性强得（5-7]分；内容合理、可行得（3-5]分；内容一般、基本可行得（0-3]分</w:t>
            </w:r>
            <w:r>
              <w:rPr>
                <w:rFonts w:hint="eastAsia" w:ascii="宋体" w:hAnsi="宋体" w:cs="宋体"/>
                <w:color w:val="auto"/>
                <w:sz w:val="24"/>
                <w:szCs w:val="24"/>
                <w:highlight w:val="none"/>
                <w:lang w:val="en-US" w:eastAsia="zh-CN"/>
              </w:rPr>
              <w:t>；未提供不得分。</w:t>
            </w:r>
          </w:p>
        </w:tc>
      </w:tr>
    </w:tbl>
    <w:p w14:paraId="3F4293FB">
      <w:pPr>
        <w:rPr>
          <w:rFonts w:hint="eastAsia"/>
          <w:color w:val="auto"/>
          <w:highlight w:val="none"/>
          <w:lang w:val="zh-CN"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0F865C33">
      <w:pPr>
        <w:pStyle w:val="2"/>
        <w:keepNext/>
        <w:keepLines w:val="0"/>
        <w:pageBreakBefore w:val="0"/>
        <w:widowControl w:val="0"/>
        <w:numPr>
          <w:ilvl w:val="0"/>
          <w:numId w:val="7"/>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lang w:val="en-US" w:eastAsia="zh-CN"/>
        </w:rPr>
      </w:pPr>
      <w:bookmarkStart w:id="34" w:name="_Toc29956"/>
      <w:r>
        <w:rPr>
          <w:rFonts w:hint="eastAsia" w:ascii="宋体" w:hAnsi="宋体" w:eastAsia="宋体" w:cs="宋体"/>
          <w:b/>
          <w:bCs/>
          <w:color w:val="auto"/>
          <w:sz w:val="32"/>
          <w:szCs w:val="32"/>
          <w:lang w:val="en-US" w:eastAsia="zh-CN"/>
        </w:rPr>
        <w:t>施工内容及技术要求</w:t>
      </w:r>
      <w:bookmarkEnd w:id="34"/>
    </w:p>
    <w:p w14:paraId="0681E8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lang w:val="en-US" w:eastAsia="zh-CN"/>
        </w:rPr>
      </w:pPr>
      <w:bookmarkStart w:id="35" w:name="_Toc507748766"/>
      <w:bookmarkStart w:id="36" w:name="_Toc503276971"/>
      <w:bookmarkStart w:id="37" w:name="_Toc9211"/>
      <w:bookmarkStart w:id="38" w:name="_Toc503181530"/>
      <w:bookmarkStart w:id="39" w:name="_Toc503268284"/>
      <w:bookmarkStart w:id="40" w:name="_Toc2065"/>
      <w:r>
        <w:rPr>
          <w:rFonts w:hint="eastAsia" w:ascii="宋体" w:hAnsi="宋体" w:eastAsia="宋体" w:cs="宋体"/>
          <w:b/>
          <w:bCs/>
          <w:color w:val="auto"/>
          <w:sz w:val="24"/>
          <w:szCs w:val="24"/>
          <w:highlight w:val="none"/>
          <w:lang w:val="en-US" w:eastAsia="zh-CN"/>
        </w:rPr>
        <w:t>一、工程概况</w:t>
      </w:r>
    </w:p>
    <w:p w14:paraId="12CB49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本项目涉及</w:t>
      </w:r>
      <w:r>
        <w:rPr>
          <w:rFonts w:hint="eastAsia" w:ascii="宋体" w:hAnsi="宋体" w:eastAsia="宋体" w:cs="宋体"/>
          <w:b w:val="0"/>
          <w:bCs w:val="0"/>
          <w:color w:val="auto"/>
          <w:sz w:val="24"/>
          <w:szCs w:val="24"/>
          <w:highlight w:val="none"/>
          <w:lang w:val="en-US" w:eastAsia="zh-CN"/>
        </w:rPr>
        <w:t>安装在线计量设施26处</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安装电磁式水表26套，钢制水表箱26套</w:t>
      </w:r>
      <w:r>
        <w:rPr>
          <w:rFonts w:hint="eastAsia" w:ascii="宋体" w:hAnsi="宋体" w:cs="宋体"/>
          <w:b w:val="0"/>
          <w:bCs w:val="0"/>
          <w:color w:val="auto"/>
          <w:sz w:val="24"/>
          <w:szCs w:val="24"/>
          <w:highlight w:val="none"/>
          <w:lang w:val="en-US" w:eastAsia="zh-CN"/>
        </w:rPr>
        <w:t>等工程内容。</w:t>
      </w:r>
    </w:p>
    <w:p w14:paraId="4DAE4C1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二、工程目标和承诺</w:t>
      </w:r>
    </w:p>
    <w:p w14:paraId="5B1505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1、工程质量目标：合格</w:t>
      </w:r>
    </w:p>
    <w:p w14:paraId="1E78653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2、工期：</w:t>
      </w:r>
      <w:r>
        <w:rPr>
          <w:rFonts w:hint="eastAsia" w:ascii="宋体" w:hAnsi="宋体" w:eastAsia="宋体" w:cs="宋体"/>
          <w:b w:val="0"/>
          <w:bCs w:val="0"/>
          <w:color w:val="auto"/>
          <w:sz w:val="24"/>
          <w:szCs w:val="24"/>
          <w:highlight w:val="none"/>
          <w:lang w:val="en-US" w:eastAsia="zh-CN"/>
        </w:rPr>
        <w:t>自合同签订之日起60日历日。</w:t>
      </w:r>
    </w:p>
    <w:p w14:paraId="6135E25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3、质保期：</w:t>
      </w:r>
      <w:r>
        <w:rPr>
          <w:rFonts w:hint="eastAsia" w:ascii="宋体" w:hAnsi="宋体" w:eastAsia="宋体" w:cs="宋体"/>
          <w:b w:val="0"/>
          <w:bCs w:val="0"/>
          <w:color w:val="auto"/>
          <w:sz w:val="24"/>
          <w:szCs w:val="24"/>
          <w:highlight w:val="none"/>
          <w:lang w:val="en-US" w:eastAsia="zh-CN"/>
        </w:rPr>
        <w:t>自工程竣工验收合格之日起</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年</w:t>
      </w:r>
    </w:p>
    <w:p w14:paraId="7545A66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4、安全生产目标：无伤亡事故、无重大机械事故、无扬尘、无噪音扰民。</w:t>
      </w:r>
    </w:p>
    <w:p w14:paraId="654801A1">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sz w:val="24"/>
          <w:szCs w:val="24"/>
          <w:highlight w:val="none"/>
          <w:lang w:val="en-US" w:eastAsia="zh-CN"/>
        </w:rPr>
      </w:pPr>
      <w:bookmarkStart w:id="41" w:name="_Toc23057"/>
      <w:r>
        <w:rPr>
          <w:rFonts w:hint="eastAsia" w:ascii="宋体" w:hAnsi="宋体" w:eastAsia="宋体" w:cs="宋体"/>
          <w:b/>
          <w:bCs/>
          <w:color w:val="auto"/>
          <w:sz w:val="24"/>
          <w:szCs w:val="24"/>
          <w:highlight w:val="none"/>
          <w:lang w:val="en-US" w:eastAsia="zh-CN"/>
        </w:rPr>
        <w:t>三、报价说明</w:t>
      </w:r>
      <w:bookmarkEnd w:id="41"/>
    </w:p>
    <w:p w14:paraId="51E9F64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1、工程量清单为</w:t>
      </w:r>
      <w:r>
        <w:rPr>
          <w:rFonts w:hint="eastAsia" w:ascii="宋体" w:hAnsi="宋体" w:eastAsia="宋体" w:cs="宋体"/>
          <w:bCs/>
          <w:color w:val="auto"/>
          <w:sz w:val="24"/>
          <w:szCs w:val="24"/>
          <w:highlight w:val="none"/>
          <w:lang w:val="en-US" w:eastAsia="zh-CN"/>
        </w:rPr>
        <w:t>竞争性</w:t>
      </w:r>
      <w:r>
        <w:rPr>
          <w:rFonts w:hint="eastAsia" w:ascii="宋体" w:hAnsi="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color w:val="auto"/>
          <w:sz w:val="24"/>
          <w:szCs w:val="24"/>
          <w:highlight w:val="none"/>
          <w:lang w:val="en-US" w:eastAsia="zh-CN"/>
        </w:rPr>
        <w:t>的组成部分，一经成交且签订合同，即成为合同的组成部分。</w:t>
      </w:r>
    </w:p>
    <w:p w14:paraId="5B4E3E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2、工程量清单中各项金额均以人民币（元）结算。</w:t>
      </w:r>
    </w:p>
    <w:p w14:paraId="3B1663B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3、供应商不得随意改动工程量清单内容，评标时均按采购人所发的工程量清单进行检查和评审。</w:t>
      </w:r>
    </w:p>
    <w:p w14:paraId="346F2D5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报价是依据本工程</w:t>
      </w:r>
      <w:r>
        <w:rPr>
          <w:rFonts w:hint="eastAsia" w:ascii="宋体" w:hAnsi="宋体" w:eastAsia="宋体" w:cs="宋体"/>
          <w:bCs/>
          <w:color w:val="auto"/>
          <w:sz w:val="24"/>
          <w:szCs w:val="24"/>
          <w:highlight w:val="none"/>
          <w:lang w:val="en-US" w:eastAsia="zh-CN"/>
        </w:rPr>
        <w:t>竞争性</w:t>
      </w:r>
      <w:r>
        <w:rPr>
          <w:rFonts w:hint="eastAsia" w:ascii="宋体" w:hAnsi="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color w:val="auto"/>
          <w:sz w:val="24"/>
          <w:szCs w:val="24"/>
          <w:highlight w:val="none"/>
          <w:lang w:val="en-US" w:eastAsia="zh-CN"/>
        </w:rPr>
        <w:t>的供应商须知、合同文件、工程建设标准、工程量清单和答疑纪要及其它有关文件进行编制。</w:t>
      </w:r>
    </w:p>
    <w:p w14:paraId="602B7CC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报价为完成本项目所发生的一切费用,包括施工及质量保修期间所有含税费用，如有遗漏，视为已包含在内。</w:t>
      </w:r>
    </w:p>
    <w:p w14:paraId="71B29F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cs="宋体"/>
          <w:color w:val="auto"/>
          <w:sz w:val="24"/>
          <w:szCs w:val="24"/>
          <w:highlight w:val="none"/>
          <w:lang w:val="en-US" w:eastAsia="zh-CN"/>
        </w:rPr>
        <w:t>本项目为固定综合单价招标，采购人最终以供应商实际完成的工程量据实结算。</w:t>
      </w:r>
    </w:p>
    <w:bookmarkEnd w:id="35"/>
    <w:bookmarkEnd w:id="36"/>
    <w:bookmarkEnd w:id="37"/>
    <w:bookmarkEnd w:id="38"/>
    <w:bookmarkEnd w:id="39"/>
    <w:bookmarkEnd w:id="40"/>
    <w:p w14:paraId="0C1F6E2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lang w:val="en-US" w:eastAsia="zh-CN"/>
        </w:rPr>
      </w:pPr>
      <w:bookmarkStart w:id="42" w:name="_Toc778"/>
      <w:r>
        <w:rPr>
          <w:rFonts w:hint="eastAsia" w:ascii="宋体" w:hAnsi="宋体" w:eastAsia="宋体" w:cs="宋体"/>
          <w:b/>
          <w:bCs/>
          <w:color w:val="auto"/>
          <w:sz w:val="24"/>
          <w:szCs w:val="24"/>
          <w:highlight w:val="none"/>
          <w:lang w:val="en-US" w:eastAsia="zh-CN"/>
        </w:rPr>
        <w:t>四、编制依据</w:t>
      </w:r>
    </w:p>
    <w:p w14:paraId="064F6F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编制办法及费率执行陕发改项目[2017]1606号《陕西省水利工程概（估）算编制定》、陕发改投资[2016]1303号文颁发的《陕西省水利水电工程营业税改增值税计价依据调整办法》、办财务函〔2019〕448号《水利部办公厅关于调整水利工程计价依据增值税计算标准的通知》进行编制。</w:t>
      </w:r>
    </w:p>
    <w:p w14:paraId="6AB8267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2、建筑工程：陕西省发改2017年颁发的《陕西省水利建筑工程预算定额》。</w:t>
      </w:r>
    </w:p>
    <w:p w14:paraId="130D3A9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3、安装工程：陕西省发改2017年颁发的《陕西省水利设备安装工程预算定额》。</w:t>
      </w:r>
    </w:p>
    <w:p w14:paraId="431C9D5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4、施工机械台班费定额：陕西省发改2017年颁发的《陕西省水利工程施工机械台班费定额》。</w:t>
      </w:r>
    </w:p>
    <w:p w14:paraId="166C5C1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5、图纸采用《2025 年中央水利发展资金泾阳县人畜集中供水及单村人畜供水安装在线计量监测项目设计方案》及配套设计文件。</w:t>
      </w:r>
    </w:p>
    <w:p w14:paraId="3D668B7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6、常规的施工组织设计及施工方法。</w:t>
      </w:r>
    </w:p>
    <w:p w14:paraId="5382278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人工预算单价：“2017计算办法及标准”规定，技工75元/工日，普工50元/工日。</w:t>
      </w:r>
    </w:p>
    <w:p w14:paraId="23E5421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材料价格：采用《咸阳市工程造价信息》2025年第三期信息价，信息价没有的采用工程所在地市场价格水平，按“陕西省水利水电工程营业税改增值税计价依据调整办法”及办财务函〔2019〕448号的规定，主材以规定价计入单价，预算价与规定价之差以价差形式计取税金后列入“价差”之中。</w:t>
      </w:r>
    </w:p>
    <w:p w14:paraId="1A39718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五、安全要求 </w:t>
      </w:r>
    </w:p>
    <w:p w14:paraId="3714008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遵守工程建设安全生产有关管理规定，严格按安全标准组织施工，采取必要的安全生产措施，消除事故隐患。安全措施不力造成事故责任和发生的费用由成交供应商承担。 </w:t>
      </w:r>
    </w:p>
    <w:p w14:paraId="618B8AB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六、工程施工基本要求 </w:t>
      </w:r>
    </w:p>
    <w:p w14:paraId="6147C86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严格遵循</w:t>
      </w:r>
      <w:r>
        <w:rPr>
          <w:rFonts w:hint="eastAsia" w:ascii="宋体" w:hAnsi="宋体" w:eastAsia="宋体" w:cs="宋体"/>
          <w:color w:val="auto"/>
          <w:sz w:val="24"/>
          <w:szCs w:val="24"/>
          <w:highlight w:val="none"/>
          <w:lang w:val="zh-CN" w:eastAsia="zh-CN"/>
        </w:rPr>
        <w:t>国家</w:t>
      </w:r>
      <w:r>
        <w:rPr>
          <w:rFonts w:hint="eastAsia" w:ascii="宋体" w:hAnsi="宋体" w:eastAsia="宋体" w:cs="宋体"/>
          <w:color w:val="auto"/>
          <w:sz w:val="24"/>
          <w:szCs w:val="24"/>
          <w:highlight w:val="none"/>
          <w:lang w:val="en-US" w:eastAsia="zh-CN"/>
        </w:rPr>
        <w:t>有关规定做到文明施工，规范施工，严格把好各道施工工序的质量，确保工程质量，并按要求如期完成工程建设，编制施工组织设计方案，确保工程按时优质完成，编制总进度计划，合理安排劳动力、物力、财力，尽量做到综合平衡配套施工，确保工程顺利完成。</w:t>
      </w:r>
    </w:p>
    <w:bookmarkEnd w:id="42"/>
    <w:p w14:paraId="19355CB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七、其他说明</w:t>
      </w:r>
    </w:p>
    <w:p w14:paraId="74B1696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1、本项目采用易投软件进行编制。</w:t>
      </w:r>
    </w:p>
    <w:p w14:paraId="4332F13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工程量清单所列工程量数量是设计的预计数量，仅作为投标的共同基础，不作为最终结算和支付的计量方法，应按实际完成工程量，由承包人按技术规范规定的计量方法，以监理工程师和业主认可的尺寸、断面进行计量。</w:t>
      </w:r>
    </w:p>
    <w:p w14:paraId="01C966F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eastAsia="zh-CN"/>
        </w:rPr>
        <w:t>、工程量清单</w:t>
      </w:r>
      <w:r>
        <w:rPr>
          <w:rFonts w:hint="eastAsia" w:ascii="宋体" w:hAnsi="宋体" w:cs="宋体"/>
          <w:b w:val="0"/>
          <w:bCs w:val="0"/>
          <w:color w:val="auto"/>
          <w:sz w:val="24"/>
          <w:szCs w:val="24"/>
          <w:highlight w:val="none"/>
          <w:lang w:val="en-US" w:eastAsia="zh-CN"/>
        </w:rPr>
        <w:t>：</w:t>
      </w:r>
    </w:p>
    <w:tbl>
      <w:tblPr>
        <w:tblStyle w:val="37"/>
        <w:tblW w:w="9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9"/>
        <w:gridCol w:w="5029"/>
        <w:gridCol w:w="1338"/>
        <w:gridCol w:w="1332"/>
      </w:tblGrid>
      <w:tr w14:paraId="3805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A2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0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7E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B5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CC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工程数量</w:t>
            </w:r>
          </w:p>
        </w:tc>
      </w:tr>
      <w:tr w14:paraId="5805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287D">
            <w:pPr>
              <w:jc w:val="center"/>
              <w:rPr>
                <w:rFonts w:hint="eastAsia" w:ascii="宋体" w:hAnsi="宋体" w:eastAsia="宋体" w:cs="宋体"/>
                <w:b/>
                <w:bCs/>
                <w:i w:val="0"/>
                <w:iCs w:val="0"/>
                <w:color w:val="000000"/>
                <w:sz w:val="24"/>
                <w:szCs w:val="24"/>
                <w:u w:val="none"/>
              </w:rPr>
            </w:pPr>
          </w:p>
        </w:tc>
        <w:tc>
          <w:tcPr>
            <w:tcW w:w="50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20CD">
            <w:pPr>
              <w:jc w:val="center"/>
              <w:rPr>
                <w:rFonts w:hint="eastAsia" w:ascii="宋体" w:hAnsi="宋体" w:eastAsia="宋体" w:cs="宋体"/>
                <w:b/>
                <w:bCs/>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49F7">
            <w:pPr>
              <w:jc w:val="center"/>
              <w:rPr>
                <w:rFonts w:hint="eastAsia" w:ascii="宋体" w:hAnsi="宋体" w:eastAsia="宋体" w:cs="宋体"/>
                <w:b/>
                <w:bCs/>
                <w:i w:val="0"/>
                <w:iCs w:val="0"/>
                <w:color w:val="000000"/>
                <w:sz w:val="24"/>
                <w:szCs w:val="24"/>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F186">
            <w:pPr>
              <w:jc w:val="center"/>
              <w:rPr>
                <w:rFonts w:hint="eastAsia" w:ascii="宋体" w:hAnsi="宋体" w:eastAsia="宋体" w:cs="宋体"/>
                <w:b/>
                <w:bCs/>
                <w:i w:val="0"/>
                <w:iCs w:val="0"/>
                <w:color w:val="000000"/>
                <w:sz w:val="24"/>
                <w:szCs w:val="24"/>
                <w:u w:val="none"/>
              </w:rPr>
            </w:pPr>
          </w:p>
        </w:tc>
      </w:tr>
      <w:tr w14:paraId="0B7D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B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21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中张镇</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9732">
            <w:pPr>
              <w:jc w:val="center"/>
              <w:rPr>
                <w:rFonts w:hint="eastAsia" w:ascii="宋体" w:hAnsi="宋体" w:eastAsia="宋体" w:cs="宋体"/>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0432">
            <w:pPr>
              <w:jc w:val="center"/>
              <w:rPr>
                <w:rFonts w:hint="eastAsia" w:ascii="宋体" w:hAnsi="宋体" w:eastAsia="宋体" w:cs="宋体"/>
                <w:i w:val="0"/>
                <w:iCs w:val="0"/>
                <w:color w:val="000000"/>
                <w:sz w:val="24"/>
                <w:szCs w:val="24"/>
                <w:u w:val="none"/>
              </w:rPr>
            </w:pPr>
          </w:p>
        </w:tc>
      </w:tr>
      <w:tr w14:paraId="5D4E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C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EB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金星村人饮机井规格：DN65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D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A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A5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B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B7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2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2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6C6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8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79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C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C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18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7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17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B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9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A1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C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D8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9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2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0E6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9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5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石村人饮井规格：DN65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F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B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52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A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66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B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9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264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8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3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2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2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790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9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26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1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6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D9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1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3E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F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4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7E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D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5A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周家道村人饮井规格：DN60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1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B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8B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0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70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5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B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BE4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0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EF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8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CB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6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42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C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0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28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F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3D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2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9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F0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68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楼子村人饮井规格：DN65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8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F9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3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4B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B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8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1D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9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9C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F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B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B0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3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53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2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5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16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0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86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5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F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91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8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E8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王浩村人饮井规格：DN60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E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1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094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4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31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7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A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4C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9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02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3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B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07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B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82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C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9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2E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5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14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5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8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176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5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17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云阳镇</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B0E9">
            <w:pPr>
              <w:jc w:val="center"/>
              <w:rPr>
                <w:rFonts w:hint="eastAsia" w:ascii="宋体" w:hAnsi="宋体" w:eastAsia="宋体" w:cs="宋体"/>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7C2F">
            <w:pPr>
              <w:jc w:val="center"/>
              <w:rPr>
                <w:rFonts w:hint="eastAsia" w:ascii="宋体" w:hAnsi="宋体" w:eastAsia="宋体" w:cs="宋体"/>
                <w:i w:val="0"/>
                <w:iCs w:val="0"/>
                <w:color w:val="000000"/>
                <w:sz w:val="24"/>
                <w:szCs w:val="24"/>
                <w:u w:val="none"/>
              </w:rPr>
            </w:pPr>
          </w:p>
        </w:tc>
      </w:tr>
      <w:tr w14:paraId="6A6F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8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C3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居智村人饮井规格：DN60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F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0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93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F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46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E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C6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D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30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F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E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EC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B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69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F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9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9884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1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65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7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1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BE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1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C1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火庙村人饮井规格：DN60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6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7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93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B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75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6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4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043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F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C3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F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4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09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F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6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4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A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A25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2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D4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8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7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8B4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4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14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泾北供水东区分站井规格：DN80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E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8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44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D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F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1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0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B1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3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D8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5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2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F17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8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55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4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9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02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6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F7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A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DF3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2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92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滑里村人饮井井规格：DN65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B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9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96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D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45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A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E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E4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B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79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B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C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CD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B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5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C64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3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0E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A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5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CF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0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F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泾北供水云阳一号井规格：DN80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1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6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2E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3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29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1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53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E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E4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2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E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17F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8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38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9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B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5B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3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83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3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8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87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9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17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王桥镇</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6012">
            <w:pPr>
              <w:jc w:val="center"/>
              <w:rPr>
                <w:rFonts w:hint="eastAsia" w:ascii="宋体" w:hAnsi="宋体" w:eastAsia="宋体" w:cs="宋体"/>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7B8A">
            <w:pPr>
              <w:jc w:val="center"/>
              <w:rPr>
                <w:rFonts w:hint="eastAsia" w:ascii="宋体" w:hAnsi="宋体" w:eastAsia="宋体" w:cs="宋体"/>
                <w:i w:val="0"/>
                <w:iCs w:val="0"/>
                <w:color w:val="000000"/>
                <w:sz w:val="24"/>
                <w:szCs w:val="24"/>
                <w:u w:val="none"/>
              </w:rPr>
            </w:pPr>
          </w:p>
        </w:tc>
      </w:tr>
      <w:tr w14:paraId="3A00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8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37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泾北供水筛珠洞2号井规格：DN150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A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2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CFE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E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82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6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2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47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1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C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2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5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9F2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E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7B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B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C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B5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5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3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0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7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56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D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DB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泾北供水筛珠洞1号井规格：DN150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1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2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BD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5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0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F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0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36B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B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85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2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E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E4F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A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CD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F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6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B08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2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76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1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3E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36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社树村人饮井规格：DN80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3D34">
            <w:pPr>
              <w:jc w:val="center"/>
              <w:rPr>
                <w:rFonts w:hint="eastAsia" w:ascii="宋体" w:hAnsi="宋体" w:eastAsia="宋体" w:cs="宋体"/>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26F4">
            <w:pPr>
              <w:jc w:val="center"/>
              <w:rPr>
                <w:rFonts w:hint="eastAsia" w:ascii="宋体" w:hAnsi="宋体" w:eastAsia="宋体" w:cs="宋体"/>
                <w:i w:val="0"/>
                <w:iCs w:val="0"/>
                <w:color w:val="000000"/>
                <w:sz w:val="24"/>
                <w:szCs w:val="24"/>
                <w:u w:val="none"/>
              </w:rPr>
            </w:pPr>
          </w:p>
        </w:tc>
      </w:tr>
      <w:tr w14:paraId="0EBD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1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AF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B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4D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A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9A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9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9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C9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4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C8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6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8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CB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5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F2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D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E2F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A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9D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三渠镇</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1E72">
            <w:pPr>
              <w:jc w:val="center"/>
              <w:rPr>
                <w:rFonts w:hint="eastAsia" w:ascii="宋体" w:hAnsi="宋体" w:eastAsia="宋体" w:cs="宋体"/>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61A3">
            <w:pPr>
              <w:jc w:val="center"/>
              <w:rPr>
                <w:rFonts w:hint="eastAsia" w:ascii="宋体" w:hAnsi="宋体" w:eastAsia="宋体" w:cs="宋体"/>
                <w:i w:val="0"/>
                <w:iCs w:val="0"/>
                <w:color w:val="000000"/>
                <w:sz w:val="24"/>
                <w:szCs w:val="24"/>
                <w:u w:val="none"/>
              </w:rPr>
            </w:pPr>
          </w:p>
        </w:tc>
      </w:tr>
      <w:tr w14:paraId="719B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6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E8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南里村人饮井规格：DN65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9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7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52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C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7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0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3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90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3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6B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6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A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55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3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02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D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8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FF5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7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1A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E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0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4C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2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63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武寨府村人饮井规格：DN65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A2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B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EA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1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0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DE4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9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12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A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F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B27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88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B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F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962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C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55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C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D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D8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A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F5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曹家村人饮井规格：DN80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D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A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A7D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0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06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8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C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8C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8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7C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6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F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1EA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E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5E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A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D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ED2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F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D1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9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4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656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2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2E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泾北供水三渠井规格：DN80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2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E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30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A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87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0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2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97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7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8D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7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D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18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5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22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F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D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27F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B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CC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F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3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6D1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E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56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白杨村人饮井规格：DN80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1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9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10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7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69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4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6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AE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5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26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F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68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76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7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8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81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E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C1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F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F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DD3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7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6E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桥底镇</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52ED">
            <w:pPr>
              <w:jc w:val="center"/>
              <w:rPr>
                <w:rFonts w:hint="eastAsia" w:ascii="宋体" w:hAnsi="宋体" w:eastAsia="宋体" w:cs="宋体"/>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C6C4">
            <w:pPr>
              <w:jc w:val="center"/>
              <w:rPr>
                <w:rFonts w:hint="eastAsia" w:ascii="宋体" w:hAnsi="宋体" w:eastAsia="宋体" w:cs="宋体"/>
                <w:i w:val="0"/>
                <w:iCs w:val="0"/>
                <w:color w:val="000000"/>
                <w:sz w:val="24"/>
                <w:szCs w:val="24"/>
                <w:u w:val="none"/>
              </w:rPr>
            </w:pPr>
          </w:p>
        </w:tc>
      </w:tr>
      <w:tr w14:paraId="1F12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5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45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北赵村人饮机井规格：DN65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A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E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DA8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FC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5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99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8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D5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A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240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5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01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8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5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2FA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6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BF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0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2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6A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9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D8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褚牛村人饮机井规格：DN65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6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1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3C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F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5C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5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8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7E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D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92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C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B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A63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9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0E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3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6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04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F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70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3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A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13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1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5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阴郭村人饮机井规格：DN65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D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A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07C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D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39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5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C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4E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E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B5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9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F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4E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6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18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E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C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0B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D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E8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D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5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A96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9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E5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安吴镇</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D489">
            <w:pPr>
              <w:jc w:val="center"/>
              <w:rPr>
                <w:rFonts w:hint="eastAsia" w:ascii="宋体" w:hAnsi="宋体" w:eastAsia="宋体" w:cs="宋体"/>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78F1">
            <w:pPr>
              <w:jc w:val="center"/>
              <w:rPr>
                <w:rFonts w:hint="eastAsia" w:ascii="宋体" w:hAnsi="宋体" w:eastAsia="宋体" w:cs="宋体"/>
                <w:i w:val="0"/>
                <w:iCs w:val="0"/>
                <w:color w:val="000000"/>
                <w:sz w:val="24"/>
                <w:szCs w:val="24"/>
                <w:u w:val="none"/>
              </w:rPr>
            </w:pPr>
          </w:p>
        </w:tc>
      </w:tr>
      <w:tr w14:paraId="65C4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6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1C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泾北供水薛家一号井规格：DN100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A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B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CE8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7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E4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9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0F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5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3C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0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5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3E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A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7D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0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C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24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0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42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2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3B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2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95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泾北供水周尧井规格：DN100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6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2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99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C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95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D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4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7AC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3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24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B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B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56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F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ED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6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9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F5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A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0D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0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9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D5C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F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DC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泾北供水薛家二号井规格：DN100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7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F7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8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27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3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D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DA1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1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07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0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2A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3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6D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B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A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0F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F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88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B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2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BB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B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83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泾北供水蒋路井规格：DN100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1F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B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7C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9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6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0E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B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00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0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9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E2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2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9A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C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13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F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E4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B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B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5A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5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4B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兴隆镇</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A3B2">
            <w:pPr>
              <w:jc w:val="center"/>
              <w:rPr>
                <w:rFonts w:hint="eastAsia" w:ascii="宋体" w:hAnsi="宋体" w:eastAsia="宋体" w:cs="宋体"/>
                <w:i w:val="0"/>
                <w:iCs w:val="0"/>
                <w:color w:val="000000"/>
                <w:sz w:val="24"/>
                <w:szCs w:val="24"/>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A602">
            <w:pPr>
              <w:jc w:val="center"/>
              <w:rPr>
                <w:rFonts w:hint="eastAsia" w:ascii="宋体" w:hAnsi="宋体" w:eastAsia="宋体" w:cs="宋体"/>
                <w:i w:val="0"/>
                <w:iCs w:val="0"/>
                <w:color w:val="000000"/>
                <w:sz w:val="24"/>
                <w:szCs w:val="24"/>
                <w:u w:val="none"/>
              </w:rPr>
            </w:pPr>
          </w:p>
        </w:tc>
      </w:tr>
      <w:tr w14:paraId="2CAA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3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41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泾北供水张宏井规格：DN100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D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9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D9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EA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1.7.1.1</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6BD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DN100电磁式水表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F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A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66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8D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1.7.1.2</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5F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DN100法兰盘</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B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E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9A6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F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1.7.1.3</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62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DN100闸阀</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6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89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9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1.7.1.4</w:t>
            </w:r>
          </w:p>
        </w:tc>
        <w:tc>
          <w:tcPr>
            <w:tcW w:w="5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F9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30cm×10钢制水表箱</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D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6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1665BE0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highlight w:val="none"/>
          <w:lang w:val="en-US" w:eastAsia="zh-CN"/>
        </w:rPr>
      </w:pPr>
    </w:p>
    <w:p w14:paraId="32F2E8C7">
      <w:pPr>
        <w:rPr>
          <w:color w:val="auto"/>
        </w:rPr>
      </w:pPr>
    </w:p>
    <w:p w14:paraId="06099322">
      <w:pPr>
        <w:keepLines w:val="0"/>
        <w:pageBreakBefore w:val="0"/>
        <w:widowControl w:val="0"/>
        <w:kinsoku/>
        <w:wordWrap/>
        <w:overflowPunct/>
        <w:topLinePunct w:val="0"/>
        <w:autoSpaceDE/>
        <w:autoSpaceDN/>
        <w:bidi w:val="0"/>
        <w:adjustRightInd/>
        <w:snapToGrid/>
        <w:spacing w:line="420" w:lineRule="exact"/>
        <w:ind w:firstLine="723" w:firstLineChars="300"/>
        <w:textAlignment w:val="auto"/>
        <w:rPr>
          <w:rFonts w:hint="eastAsia" w:ascii="宋体" w:hAnsi="宋体" w:cs="宋体"/>
          <w:b/>
          <w:bCs/>
          <w:color w:val="auto"/>
          <w:sz w:val="24"/>
          <w:szCs w:val="24"/>
          <w:lang w:val="en-US" w:eastAsia="zh-CN"/>
        </w:rPr>
      </w:pPr>
    </w:p>
    <w:p w14:paraId="49BB3D4F">
      <w:pPr>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color w:val="auto"/>
          <w:lang w:val="en-US" w:eastAsia="zh-CN"/>
        </w:rPr>
      </w:pPr>
      <w:r>
        <w:rPr>
          <w:rFonts w:hint="eastAsia"/>
          <w:color w:val="auto"/>
          <w:lang w:val="en-US" w:eastAsia="zh-CN"/>
        </w:rPr>
        <w:br w:type="page"/>
      </w:r>
    </w:p>
    <w:bookmarkEnd w:id="33"/>
    <w:p w14:paraId="11BDED03">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highlight w:val="none"/>
          <w:lang w:val="zh-CN" w:eastAsia="zh-CN"/>
        </w:rPr>
      </w:pPr>
      <w:bookmarkStart w:id="43" w:name="_Toc15310"/>
      <w:r>
        <w:rPr>
          <w:rFonts w:hint="eastAsia" w:ascii="宋体" w:hAnsi="宋体" w:eastAsia="宋体" w:cs="宋体"/>
          <w:b/>
          <w:bCs/>
          <w:color w:val="auto"/>
          <w:sz w:val="32"/>
          <w:szCs w:val="32"/>
          <w:highlight w:val="none"/>
          <w:lang w:val="zh-CN" w:eastAsia="zh-CN"/>
        </w:rPr>
        <w:t>第</w:t>
      </w: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val="zh-CN" w:eastAsia="zh-CN"/>
        </w:rPr>
        <w:t>章 合同协议书</w:t>
      </w:r>
      <w:bookmarkEnd w:id="43"/>
      <w:bookmarkStart w:id="44" w:name="_Toc389553742"/>
      <w:bookmarkStart w:id="45" w:name="_Toc8194597"/>
    </w:p>
    <w:p w14:paraId="4C2D2758">
      <w:pPr>
        <w:keepNext w:val="0"/>
        <w:keepLines w:val="0"/>
        <w:pageBreakBefore w:val="0"/>
        <w:widowControl w:val="0"/>
        <w:kinsoku/>
        <w:wordWrap/>
        <w:overflowPunct/>
        <w:topLinePunct w:val="0"/>
        <w:bidi w:val="0"/>
        <w:spacing w:line="420" w:lineRule="exact"/>
        <w:ind w:right="0" w:firstLine="482" w:firstLineChars="200"/>
        <w:jc w:val="center"/>
        <w:textAlignment w:val="auto"/>
        <w:rPr>
          <w:rFonts w:ascii="宋体" w:hAnsi="宋体" w:cs="宋体"/>
          <w:b/>
          <w:color w:val="auto"/>
          <w:sz w:val="24"/>
          <w:szCs w:val="24"/>
        </w:rPr>
      </w:pPr>
      <w:bookmarkStart w:id="46" w:name="_Toc4646"/>
      <w:bookmarkStart w:id="47" w:name="_Toc10446"/>
      <w:r>
        <w:rPr>
          <w:rFonts w:hint="eastAsia" w:ascii="宋体" w:hAnsi="宋体" w:cs="宋体"/>
          <w:b/>
          <w:color w:val="auto"/>
          <w:sz w:val="24"/>
          <w:szCs w:val="24"/>
        </w:rPr>
        <w:t>（合同模板仅供参考，除实质性内容外，其他内容以实际签订为准）</w:t>
      </w:r>
    </w:p>
    <w:bookmarkEnd w:id="46"/>
    <w:bookmarkEnd w:id="47"/>
    <w:p w14:paraId="7DB1335C">
      <w:pPr>
        <w:keepLines w:val="0"/>
        <w:pageBreakBefore w:val="0"/>
        <w:kinsoku/>
        <w:wordWrap/>
        <w:overflowPunct/>
        <w:topLinePunct w:val="0"/>
        <w:bidi w:val="0"/>
        <w:spacing w:line="42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第一节 合同协议书</w:t>
      </w:r>
    </w:p>
    <w:p w14:paraId="1E9597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发包方（甲方）全称： </w:t>
      </w:r>
      <w:r>
        <w:rPr>
          <w:rFonts w:hint="eastAsia" w:ascii="宋体" w:hAnsi="宋体" w:eastAsia="宋体" w:cs="宋体"/>
          <w:color w:val="auto"/>
          <w:sz w:val="24"/>
          <w:szCs w:val="24"/>
          <w:u w:val="single"/>
        </w:rPr>
        <w:t xml:space="preserve">                        </w:t>
      </w:r>
    </w:p>
    <w:p w14:paraId="5B08B6A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承包方（乙方）全称：</w:t>
      </w:r>
      <w:r>
        <w:rPr>
          <w:rFonts w:hint="eastAsia" w:ascii="宋体" w:hAnsi="宋体" w:eastAsia="宋体" w:cs="宋体"/>
          <w:color w:val="auto"/>
          <w:sz w:val="24"/>
          <w:szCs w:val="24"/>
          <w:u w:val="single"/>
        </w:rPr>
        <w:t xml:space="preserve">                        </w:t>
      </w:r>
    </w:p>
    <w:p w14:paraId="7842273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 xml:space="preserve">》、《中华人民共和国建筑法》等相关法律法规及甲方的有关规定，结合本工程的具体情况和特点，为明确甲乙双方在施工中的权利、责任和义务，经双方友好协商，达成如下协议：      </w:t>
      </w:r>
    </w:p>
    <w:p w14:paraId="7383BC0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1．本协议书与下列文件一起构成合同文件：</w:t>
      </w:r>
    </w:p>
    <w:p w14:paraId="12D657A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（l）中标通知书；</w:t>
      </w:r>
    </w:p>
    <w:p w14:paraId="77A41D8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 w:val="0"/>
          <w:bCs w:val="0"/>
          <w:color w:val="auto"/>
          <w:sz w:val="24"/>
          <w:szCs w:val="24"/>
          <w:lang w:val="zh-CN"/>
        </w:rPr>
        <w:t>磋商响应函</w:t>
      </w:r>
      <w:r>
        <w:rPr>
          <w:rFonts w:hint="eastAsia" w:ascii="宋体" w:hAnsi="宋体" w:cs="宋体"/>
          <w:b w:val="0"/>
          <w:bCs w:val="0"/>
          <w:color w:val="auto"/>
          <w:sz w:val="24"/>
          <w:szCs w:val="24"/>
          <w:lang w:val="en-US" w:eastAsia="zh-CN"/>
        </w:rPr>
        <w:t>及响应函附录</w:t>
      </w:r>
      <w:r>
        <w:rPr>
          <w:rFonts w:hint="eastAsia" w:ascii="宋体" w:hAnsi="宋体" w:eastAsia="宋体" w:cs="宋体"/>
          <w:color w:val="auto"/>
          <w:sz w:val="24"/>
          <w:szCs w:val="24"/>
        </w:rPr>
        <w:t>；</w:t>
      </w:r>
    </w:p>
    <w:p w14:paraId="3F4B014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7066D50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43FF53D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18859A7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4AD1E05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w:t>
      </w:r>
    </w:p>
    <w:p w14:paraId="5F61DE0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4C9354C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2．上述文件互相补充和解释，如有不明确或不一致之处，以合同约定次序在先者为准。</w:t>
      </w:r>
    </w:p>
    <w:p w14:paraId="11B96F0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3．签约合同价：人民币（大写）</w:t>
      </w:r>
      <w:bookmarkStart w:id="48" w:name="OLE_LINK1"/>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bookmarkEnd w:id="48"/>
    <w:p w14:paraId="064F388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74F7C7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5．工程质量符合</w:t>
      </w:r>
      <w:r>
        <w:rPr>
          <w:rFonts w:hint="eastAsia" w:ascii="宋体" w:hAnsi="宋体" w:eastAsia="宋体" w:cs="宋体"/>
          <w:color w:val="auto"/>
          <w:sz w:val="24"/>
          <w:szCs w:val="24"/>
          <w:u w:val="single"/>
        </w:rPr>
        <w:t xml:space="preserve">  合格  </w:t>
      </w:r>
      <w:r>
        <w:rPr>
          <w:rFonts w:hint="eastAsia" w:ascii="宋体" w:hAnsi="宋体" w:eastAsia="宋体" w:cs="宋体"/>
          <w:color w:val="auto"/>
          <w:sz w:val="24"/>
          <w:szCs w:val="24"/>
        </w:rPr>
        <w:t>标准。</w:t>
      </w:r>
    </w:p>
    <w:p w14:paraId="28FE2F7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6．承包人承诺按合同约定承担工程的实施、完成及缺陷修复。</w:t>
      </w:r>
    </w:p>
    <w:p w14:paraId="6380E62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7．发包人承诺按合同约定的条件、时间和方式向承包人支付合同价款。</w:t>
      </w:r>
    </w:p>
    <w:p w14:paraId="45855C2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8．承包人承诺执行监理人开工通知，计划工期为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rPr>
        <w:t>。</w:t>
      </w:r>
    </w:p>
    <w:p w14:paraId="2DA8C4E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9．本协议书一式</w:t>
      </w:r>
      <w:r>
        <w:rPr>
          <w:rFonts w:hint="eastAsia" w:ascii="宋体" w:hAnsi="宋体" w:eastAsia="宋体" w:cs="宋体"/>
          <w:color w:val="auto"/>
          <w:sz w:val="24"/>
          <w:szCs w:val="24"/>
          <w:u w:val="single"/>
        </w:rPr>
        <w:t xml:space="preserve"> 陆 </w:t>
      </w:r>
      <w:r>
        <w:rPr>
          <w:rFonts w:hint="eastAsia" w:ascii="宋体" w:hAnsi="宋体" w:eastAsia="宋体" w:cs="宋体"/>
          <w:color w:val="auto"/>
          <w:sz w:val="24"/>
          <w:szCs w:val="24"/>
        </w:rPr>
        <w:t>份。</w:t>
      </w:r>
    </w:p>
    <w:p w14:paraId="31F4382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10．合同未尽事宜，双方另行签订补充协议。补充协议是合同的组成部分。</w:t>
      </w:r>
    </w:p>
    <w:p w14:paraId="0474D62C">
      <w:pPr>
        <w:keepLines w:val="0"/>
        <w:pageBreakBefore w:val="0"/>
        <w:widowControl w:val="0"/>
        <w:kinsoku/>
        <w:wordWrap/>
        <w:overflowPunct/>
        <w:topLinePunct w:val="0"/>
        <w:autoSpaceDE w:val="0"/>
        <w:autoSpaceDN w:val="0"/>
        <w:bidi w:val="0"/>
        <w:adjustRightInd w:val="0"/>
        <w:spacing w:line="420" w:lineRule="exact"/>
        <w:ind w:firstLine="240" w:firstLineChars="100"/>
        <w:rPr>
          <w:rFonts w:hint="eastAsia" w:ascii="宋体" w:hAnsi="宋体" w:eastAsia="宋体" w:cs="宋体"/>
          <w:color w:val="auto"/>
          <w:sz w:val="24"/>
          <w:szCs w:val="24"/>
        </w:rPr>
      </w:pPr>
    </w:p>
    <w:p w14:paraId="2E99714C">
      <w:pPr>
        <w:keepLines w:val="0"/>
        <w:pageBreakBefore w:val="0"/>
        <w:widowControl w:val="0"/>
        <w:kinsoku/>
        <w:wordWrap/>
        <w:overflowPunct/>
        <w:topLinePunct w:val="0"/>
        <w:autoSpaceDE w:val="0"/>
        <w:autoSpaceDN w:val="0"/>
        <w:bidi w:val="0"/>
        <w:adjustRightIn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发  包  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盖单位章）　   承  包  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（盖单位章） </w:t>
      </w:r>
    </w:p>
    <w:p w14:paraId="224FAE0F">
      <w:pPr>
        <w:keepLines w:val="0"/>
        <w:pageBreakBefore w:val="0"/>
        <w:widowControl w:val="0"/>
        <w:kinsoku/>
        <w:wordWrap/>
        <w:overflowPunct/>
        <w:topLinePunct w:val="0"/>
        <w:autoSpaceDE w:val="0"/>
        <w:autoSpaceDN w:val="0"/>
        <w:bidi w:val="0"/>
        <w:adjustRightInd w:val="0"/>
        <w:spacing w:line="420" w:lineRule="exact"/>
        <w:ind w:left="359" w:leftChars="114" w:hanging="120" w:hangingChars="50"/>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47429AAB">
      <w:pPr>
        <w:keepLines w:val="0"/>
        <w:pageBreakBefore w:val="0"/>
        <w:widowControl w:val="0"/>
        <w:kinsoku/>
        <w:wordWrap/>
        <w:overflowPunct/>
        <w:topLinePunct w:val="0"/>
        <w:autoSpaceDE w:val="0"/>
        <w:autoSpaceDN w:val="0"/>
        <w:bidi w:val="0"/>
        <w:adjustRightIn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7D9396A9">
      <w:pPr>
        <w:keepLines w:val="0"/>
        <w:pageBreakBefore w:val="0"/>
        <w:widowControl w:val="0"/>
        <w:kinsoku/>
        <w:wordWrap/>
        <w:overflowPunct/>
        <w:topLinePunct w:val="0"/>
        <w:autoSpaceDE w:val="0"/>
        <w:autoSpaceDN w:val="0"/>
        <w:bidi w:val="0"/>
        <w:adjustRightIn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46E991B">
      <w:pPr>
        <w:keepLines w:val="0"/>
        <w:pageBreakBefore w:val="0"/>
        <w:widowControl w:val="0"/>
        <w:kinsoku/>
        <w:wordWrap/>
        <w:overflowPunct/>
        <w:topLinePunct w:val="0"/>
        <w:autoSpaceDE w:val="0"/>
        <w:autoSpaceDN w:val="0"/>
        <w:bidi w:val="0"/>
        <w:adjustRightInd w:val="0"/>
        <w:spacing w:line="42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开户账号：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开户账号：</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8FFA57C">
      <w:pPr>
        <w:keepLines w:val="0"/>
        <w:pageBreakBefore w:val="0"/>
        <w:widowControl w:val="0"/>
        <w:kinsoku/>
        <w:wordWrap/>
        <w:overflowPunct/>
        <w:topLinePunct w:val="0"/>
        <w:autoSpaceDE w:val="0"/>
        <w:autoSpaceDN w:val="0"/>
        <w:bidi w:val="0"/>
        <w:adjustRightInd w:val="0"/>
        <w:spacing w:line="42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Start w:id="49" w:name="_Toc414268897"/>
      <w:bookmarkStart w:id="50" w:name="_Toc414352121"/>
      <w:bookmarkStart w:id="51" w:name="_Toc434412372"/>
      <w:bookmarkStart w:id="52" w:name="_Toc203759002"/>
      <w:bookmarkStart w:id="53" w:name="_Toc414368593"/>
      <w:bookmarkStart w:id="54" w:name="_Toc453677510"/>
      <w:bookmarkStart w:id="55" w:name="_Toc414275438"/>
      <w:bookmarkStart w:id="56" w:name="_Toc439684358"/>
      <w:bookmarkStart w:id="57" w:name="_Toc453678702"/>
      <w:bookmarkStart w:id="58" w:name="_Toc184635122"/>
    </w:p>
    <w:p w14:paraId="716C63B1">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38B9DB8">
      <w:pPr>
        <w:keepLines w:val="0"/>
        <w:pageBreakBefore w:val="0"/>
        <w:widowControl w:val="0"/>
        <w:kinsoku/>
        <w:wordWrap/>
        <w:overflowPunct/>
        <w:topLinePunct w:val="0"/>
        <w:autoSpaceDE w:val="0"/>
        <w:autoSpaceDN w:val="0"/>
        <w:bidi w:val="0"/>
        <w:adjustRightInd w:val="0"/>
        <w:snapToGrid w:val="0"/>
        <w:spacing w:line="42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第二节 专用合同条款</w:t>
      </w:r>
      <w:bookmarkEnd w:id="49"/>
      <w:bookmarkEnd w:id="50"/>
      <w:bookmarkEnd w:id="51"/>
      <w:bookmarkEnd w:id="52"/>
      <w:bookmarkEnd w:id="53"/>
      <w:bookmarkEnd w:id="54"/>
      <w:bookmarkEnd w:id="55"/>
      <w:bookmarkEnd w:id="56"/>
      <w:bookmarkEnd w:id="57"/>
      <w:bookmarkEnd w:id="58"/>
    </w:p>
    <w:p w14:paraId="7BA0AB10">
      <w:pPr>
        <w:pStyle w:val="3"/>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59" w:name="_Toc453678703"/>
      <w:bookmarkStart w:id="60" w:name="_Toc203759003"/>
      <w:bookmarkStart w:id="61" w:name="_Toc414352122"/>
      <w:bookmarkStart w:id="62" w:name="_Toc453677511"/>
      <w:bookmarkStart w:id="63" w:name="_Toc414368594"/>
      <w:bookmarkStart w:id="64" w:name="_Toc434412373"/>
      <w:bookmarkStart w:id="65" w:name="_Toc439684359"/>
      <w:bookmarkStart w:id="66" w:name="_Toc414268898"/>
      <w:bookmarkStart w:id="67" w:name="_Toc414275439"/>
      <w:r>
        <w:rPr>
          <w:rFonts w:hint="eastAsia" w:ascii="宋体" w:hAnsi="宋体" w:eastAsia="宋体" w:cs="宋体"/>
          <w:color w:val="auto"/>
          <w:sz w:val="24"/>
          <w:szCs w:val="24"/>
        </w:rPr>
        <w:t>1．一般约定</w:t>
      </w:r>
      <w:bookmarkEnd w:id="59"/>
      <w:bookmarkEnd w:id="60"/>
      <w:bookmarkEnd w:id="61"/>
      <w:bookmarkEnd w:id="62"/>
      <w:bookmarkEnd w:id="63"/>
      <w:bookmarkEnd w:id="64"/>
      <w:bookmarkEnd w:id="65"/>
      <w:bookmarkEnd w:id="66"/>
      <w:bookmarkEnd w:id="67"/>
    </w:p>
    <w:p w14:paraId="2C663F37">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68" w:name="_Toc414368595"/>
      <w:bookmarkStart w:id="69" w:name="_Toc434412374"/>
      <w:bookmarkStart w:id="70" w:name="_Toc453677512"/>
      <w:bookmarkStart w:id="71" w:name="_Toc453678704"/>
      <w:bookmarkStart w:id="72" w:name="_Toc414275440"/>
      <w:bookmarkStart w:id="73" w:name="_Toc414352123"/>
      <w:bookmarkStart w:id="74" w:name="_Toc439684360"/>
      <w:r>
        <w:rPr>
          <w:rFonts w:hint="eastAsia" w:ascii="宋体" w:hAnsi="宋体" w:eastAsia="宋体" w:cs="宋体"/>
          <w:color w:val="auto"/>
          <w:sz w:val="24"/>
          <w:szCs w:val="24"/>
        </w:rPr>
        <w:t>1.1 词语定义</w:t>
      </w:r>
      <w:bookmarkEnd w:id="68"/>
      <w:bookmarkEnd w:id="69"/>
      <w:bookmarkEnd w:id="70"/>
      <w:bookmarkEnd w:id="71"/>
      <w:bookmarkEnd w:id="72"/>
      <w:bookmarkEnd w:id="73"/>
      <w:bookmarkEnd w:id="74"/>
    </w:p>
    <w:p w14:paraId="5B82408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合同当事人和人员</w:t>
      </w:r>
    </w:p>
    <w:p w14:paraId="07C2CF6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1.1.2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发包人：</w:t>
      </w:r>
      <w:r>
        <w:rPr>
          <w:rFonts w:hint="eastAsia" w:ascii="宋体" w:hAnsi="宋体" w:eastAsia="宋体" w:cs="宋体"/>
          <w:b/>
          <w:bCs/>
          <w:color w:val="auto"/>
          <w:sz w:val="24"/>
          <w:szCs w:val="24"/>
          <w:u w:val="single"/>
        </w:rPr>
        <w:t xml:space="preserve">                     </w:t>
      </w:r>
    </w:p>
    <w:p w14:paraId="23A21D0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3 承包人：</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u w:val="single"/>
        </w:rPr>
        <w:t xml:space="preserve">   </w:t>
      </w:r>
    </w:p>
    <w:p w14:paraId="1B9C2B6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4 分包人：</w:t>
      </w:r>
      <w:r>
        <w:rPr>
          <w:rFonts w:hint="eastAsia" w:ascii="宋体" w:hAnsi="宋体" w:cs="宋体"/>
          <w:b/>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E765D3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5 监理人：</w:t>
      </w:r>
      <w:r>
        <w:rPr>
          <w:rFonts w:hint="eastAsia" w:ascii="宋体" w:hAnsi="宋体" w:eastAsia="宋体" w:cs="宋体"/>
          <w:b/>
          <w:color w:val="auto"/>
          <w:sz w:val="24"/>
          <w:szCs w:val="24"/>
          <w:u w:val="single"/>
        </w:rPr>
        <w:t xml:space="preserve">                     </w:t>
      </w:r>
    </w:p>
    <w:p w14:paraId="4C5197E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6 日期：</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p>
    <w:p w14:paraId="6EA3A22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7缺陷责任期（工程质量保修期）：</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工程竣工验收合格后</w:t>
      </w:r>
      <w:r>
        <w:rPr>
          <w:rFonts w:hint="eastAsia" w:ascii="宋体" w:hAnsi="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年</w:t>
      </w:r>
      <w:r>
        <w:rPr>
          <w:rFonts w:hint="eastAsia" w:ascii="宋体" w:hAnsi="宋体" w:eastAsia="宋体" w:cs="宋体"/>
          <w:color w:val="auto"/>
          <w:sz w:val="24"/>
          <w:szCs w:val="24"/>
          <w:highlight w:val="none"/>
        </w:rPr>
        <w:t xml:space="preserve"> </w:t>
      </w:r>
    </w:p>
    <w:p w14:paraId="575C22A4">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highlight w:val="none"/>
        </w:rPr>
      </w:pPr>
      <w:bookmarkStart w:id="75" w:name="_Toc414368596"/>
      <w:bookmarkStart w:id="76" w:name="_Toc453677513"/>
      <w:bookmarkStart w:id="77" w:name="_Toc453678705"/>
      <w:bookmarkStart w:id="78" w:name="_Toc439684361"/>
      <w:bookmarkStart w:id="79" w:name="_Toc414275441"/>
      <w:bookmarkStart w:id="80" w:name="_Toc414352124"/>
      <w:bookmarkStart w:id="81" w:name="_Toc434412375"/>
      <w:bookmarkStart w:id="82" w:name="_Toc414268899"/>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合同文件的优先顺序</w:t>
      </w:r>
      <w:bookmarkEnd w:id="75"/>
      <w:bookmarkEnd w:id="76"/>
      <w:bookmarkEnd w:id="77"/>
      <w:bookmarkEnd w:id="78"/>
      <w:bookmarkEnd w:id="79"/>
      <w:bookmarkEnd w:id="80"/>
      <w:bookmarkEnd w:id="81"/>
      <w:bookmarkEnd w:id="82"/>
    </w:p>
    <w:p w14:paraId="62B6050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进入合同文件的各项文件及其优先顺序是：</w:t>
      </w:r>
    </w:p>
    <w:p w14:paraId="072D58BE">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14:paraId="50C4883D">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2D84C670">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磋商响应函</w:t>
      </w:r>
      <w:r>
        <w:rPr>
          <w:rFonts w:hint="eastAsia" w:ascii="宋体" w:hAnsi="宋体" w:eastAsia="宋体" w:cs="宋体"/>
          <w:color w:val="auto"/>
          <w:sz w:val="24"/>
          <w:szCs w:val="24"/>
          <w:lang w:val="en-US" w:eastAsia="zh-CN"/>
        </w:rPr>
        <w:t>及响应函附录</w:t>
      </w:r>
      <w:r>
        <w:rPr>
          <w:rFonts w:hint="eastAsia" w:ascii="宋体" w:hAnsi="宋体" w:eastAsia="宋体" w:cs="宋体"/>
          <w:color w:val="auto"/>
          <w:sz w:val="24"/>
          <w:szCs w:val="24"/>
        </w:rPr>
        <w:t>；</w:t>
      </w:r>
    </w:p>
    <w:p w14:paraId="55B0CD52">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5374F902">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35EFC649">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7552B322">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576AD8CF">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14:paraId="36A21B6B">
      <w:pPr>
        <w:keepLines w:val="0"/>
        <w:pageBreakBefore w:val="0"/>
        <w:widowControl w:val="0"/>
        <w:kinsoku/>
        <w:wordWrap/>
        <w:overflowPunct/>
        <w:topLinePunct w:val="0"/>
        <w:bidi w:val="0"/>
        <w:spacing w:line="4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3EE96BF5">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83" w:name="_Toc453678706"/>
      <w:bookmarkStart w:id="84" w:name="_Toc414368597"/>
      <w:bookmarkStart w:id="85" w:name="_Toc414275442"/>
      <w:bookmarkStart w:id="86" w:name="_Toc414268900"/>
      <w:bookmarkStart w:id="87" w:name="_Toc453677514"/>
      <w:bookmarkStart w:id="88" w:name="_Toc439684362"/>
      <w:bookmarkStart w:id="89" w:name="_Toc434412376"/>
      <w:bookmarkStart w:id="90" w:name="_Toc414352125"/>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联络</w:t>
      </w:r>
      <w:bookmarkEnd w:id="83"/>
      <w:bookmarkEnd w:id="84"/>
      <w:bookmarkEnd w:id="85"/>
      <w:bookmarkEnd w:id="86"/>
      <w:bookmarkEnd w:id="87"/>
      <w:bookmarkEnd w:id="88"/>
      <w:bookmarkEnd w:id="89"/>
      <w:bookmarkEnd w:id="90"/>
    </w:p>
    <w:p w14:paraId="3E6F429F">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b/>
          <w:color w:val="auto"/>
          <w:sz w:val="24"/>
          <w:szCs w:val="24"/>
        </w:rPr>
      </w:pPr>
      <w:r>
        <w:rPr>
          <w:rFonts w:hint="eastAsia" w:ascii="宋体" w:hAnsi="宋体" w:cs="宋体"/>
          <w:color w:val="auto"/>
          <w:sz w:val="24"/>
          <w:szCs w:val="24"/>
          <w:lang w:val="en-US" w:eastAsia="zh-CN"/>
        </w:rPr>
        <w:t>1.7.2</w:t>
      </w:r>
      <w:r>
        <w:rPr>
          <w:rFonts w:hint="eastAsia" w:ascii="宋体" w:hAnsi="宋体" w:eastAsia="宋体" w:cs="宋体"/>
          <w:color w:val="auto"/>
          <w:sz w:val="24"/>
          <w:szCs w:val="24"/>
        </w:rPr>
        <w:t>来往函件均应按技术标准和要求（ 合同技术条款）约定的期限送达</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对发包人送达项目现场管理处；对承包人送达项目经理部</w:t>
      </w:r>
      <w:r>
        <w:rPr>
          <w:rFonts w:hint="eastAsia" w:ascii="宋体" w:hAnsi="宋体" w:eastAsia="宋体" w:cs="宋体"/>
          <w:b/>
          <w:color w:val="auto"/>
          <w:sz w:val="24"/>
          <w:szCs w:val="24"/>
        </w:rPr>
        <w:t>。</w:t>
      </w:r>
    </w:p>
    <w:p w14:paraId="1B2C4F0E">
      <w:pPr>
        <w:pStyle w:val="141"/>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1" w:name="_Toc414268901"/>
      <w:bookmarkStart w:id="92" w:name="_Toc439684363"/>
      <w:bookmarkStart w:id="93" w:name="_Toc453677516"/>
      <w:bookmarkStart w:id="94" w:name="_Toc414368598"/>
      <w:bookmarkStart w:id="95" w:name="_Toc414275443"/>
      <w:bookmarkStart w:id="96" w:name="_Toc203759004"/>
      <w:bookmarkStart w:id="97" w:name="_Toc453678708"/>
      <w:bookmarkStart w:id="98" w:name="_Toc434412377"/>
      <w:bookmarkStart w:id="99" w:name="_Toc414352126"/>
      <w:r>
        <w:rPr>
          <w:rFonts w:hint="eastAsia" w:ascii="宋体" w:hAnsi="宋体" w:eastAsia="宋体" w:cs="宋体"/>
          <w:color w:val="auto"/>
          <w:sz w:val="24"/>
          <w:szCs w:val="24"/>
        </w:rPr>
        <w:t>2．发包人义务</w:t>
      </w:r>
      <w:bookmarkEnd w:id="91"/>
      <w:bookmarkEnd w:id="92"/>
      <w:bookmarkEnd w:id="93"/>
      <w:bookmarkEnd w:id="94"/>
      <w:bookmarkEnd w:id="95"/>
      <w:bookmarkEnd w:id="96"/>
      <w:bookmarkEnd w:id="97"/>
      <w:bookmarkEnd w:id="98"/>
      <w:bookmarkEnd w:id="99"/>
    </w:p>
    <w:p w14:paraId="2F834732">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00" w:name="_Toc414268902"/>
      <w:bookmarkStart w:id="101" w:name="_Toc414368599"/>
      <w:bookmarkStart w:id="102" w:name="_Toc439684364"/>
      <w:bookmarkStart w:id="103" w:name="_Toc414352127"/>
      <w:bookmarkStart w:id="104" w:name="_Toc434412378"/>
      <w:bookmarkStart w:id="105" w:name="_Toc414275444"/>
      <w:bookmarkStart w:id="106" w:name="_Toc453678709"/>
      <w:bookmarkStart w:id="107" w:name="_Toc453677517"/>
      <w:r>
        <w:rPr>
          <w:rFonts w:hint="eastAsia" w:ascii="宋体" w:hAnsi="宋体" w:eastAsia="宋体" w:cs="宋体"/>
          <w:color w:val="auto"/>
          <w:sz w:val="24"/>
          <w:szCs w:val="24"/>
        </w:rPr>
        <w:t>2.3 提供施工场地</w:t>
      </w:r>
      <w:bookmarkEnd w:id="100"/>
      <w:bookmarkEnd w:id="101"/>
      <w:bookmarkEnd w:id="102"/>
      <w:bookmarkEnd w:id="103"/>
      <w:bookmarkEnd w:id="104"/>
      <w:bookmarkEnd w:id="105"/>
      <w:bookmarkEnd w:id="106"/>
      <w:bookmarkEnd w:id="107"/>
    </w:p>
    <w:p w14:paraId="1AC7D264">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2.3.2发包人提供的施工场地范围为</w:t>
      </w:r>
      <w:r>
        <w:rPr>
          <w:rFonts w:hint="eastAsia" w:ascii="宋体" w:hAnsi="宋体" w:eastAsia="宋体" w:cs="宋体"/>
          <w:b/>
          <w:color w:val="auto"/>
          <w:sz w:val="24"/>
          <w:szCs w:val="24"/>
        </w:rPr>
        <w:t>：</w:t>
      </w:r>
      <w:r>
        <w:rPr>
          <w:rFonts w:hint="eastAsia" w:ascii="宋体" w:hAnsi="宋体" w:eastAsia="宋体" w:cs="宋体"/>
          <w:color w:val="auto"/>
          <w:sz w:val="24"/>
          <w:szCs w:val="24"/>
          <w:u w:val="single"/>
        </w:rPr>
        <w:t xml:space="preserve">发包人负责办理工程范围内的永久征地和临时占地，永久占地和临时占地内的征地、移民、拆迁等费用由发包人支付。承包人不得随意扩大用地范围，不得在施工过程中无故引起相邻群众的纠纷，提供用地的范围和期限根据监理工程师确认的施工组织设计及承包人投标工期等确定 </w:t>
      </w:r>
      <w:r>
        <w:rPr>
          <w:rFonts w:hint="eastAsia" w:ascii="宋体" w:hAnsi="宋体" w:eastAsia="宋体" w:cs="宋体"/>
          <w:bCs/>
          <w:color w:val="auto"/>
          <w:sz w:val="24"/>
          <w:szCs w:val="24"/>
        </w:rPr>
        <w:t>。</w:t>
      </w:r>
    </w:p>
    <w:p w14:paraId="276818F3">
      <w:pPr>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发包人向承包人提供施工场地后，施工场地内的一切协调、安全保卫工作，由承包人负责。对提供的施工用地因承包人原因超期限使用，增加的用地费用由承包人承担。</w:t>
      </w:r>
    </w:p>
    <w:p w14:paraId="6DC8C0AB">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2.3.3承包人自行勘察的施工场地范围为</w:t>
      </w:r>
      <w:r>
        <w:rPr>
          <w:rFonts w:hint="eastAsia" w:ascii="宋体" w:hAnsi="宋体" w:eastAsia="宋体" w:cs="宋体"/>
          <w:color w:val="auto"/>
          <w:sz w:val="24"/>
          <w:szCs w:val="24"/>
          <w:u w:val="single"/>
        </w:rPr>
        <w:t>：</w:t>
      </w:r>
      <w:bookmarkStart w:id="108" w:name="_Toc414352128"/>
      <w:bookmarkStart w:id="109" w:name="_Toc414368600"/>
      <w:bookmarkStart w:id="110" w:name="_Toc414275445"/>
      <w:bookmarkStart w:id="111" w:name="_Toc414268903"/>
      <w:r>
        <w:rPr>
          <w:rFonts w:hint="eastAsia" w:ascii="宋体" w:hAnsi="宋体" w:eastAsia="宋体" w:cs="宋体"/>
          <w:b/>
          <w:color w:val="auto"/>
          <w:sz w:val="24"/>
          <w:szCs w:val="24"/>
          <w:u w:val="single"/>
        </w:rPr>
        <w:t>发包人提供的工程永久征地和临时占地以外的由承包人租赁或征用的场地，发包人不另行支付费用。</w:t>
      </w:r>
    </w:p>
    <w:p w14:paraId="19C40439">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12" w:name="_Toc439684365"/>
      <w:bookmarkStart w:id="113" w:name="_Toc453678710"/>
      <w:bookmarkStart w:id="114" w:name="_Toc453677518"/>
      <w:r>
        <w:rPr>
          <w:rFonts w:hint="eastAsia" w:ascii="宋体" w:hAnsi="宋体" w:eastAsia="宋体" w:cs="宋体"/>
          <w:color w:val="auto"/>
          <w:sz w:val="24"/>
          <w:szCs w:val="24"/>
        </w:rPr>
        <w:t>2.8 其他义务</w:t>
      </w:r>
      <w:bookmarkEnd w:id="108"/>
      <w:bookmarkEnd w:id="109"/>
      <w:bookmarkEnd w:id="110"/>
      <w:bookmarkEnd w:id="111"/>
      <w:bookmarkEnd w:id="112"/>
      <w:bookmarkEnd w:id="113"/>
      <w:bookmarkEnd w:id="114"/>
    </w:p>
    <w:p w14:paraId="310EB1CC">
      <w:pPr>
        <w:keepLines w:val="0"/>
        <w:pageBreakBefore w:val="0"/>
        <w:widowControl w:val="0"/>
        <w:kinsoku/>
        <w:wordWrap/>
        <w:overflowPunct/>
        <w:topLinePunct w:val="0"/>
        <w:autoSpaceDE w:val="0"/>
        <w:autoSpaceDN w:val="0"/>
        <w:bidi w:val="0"/>
        <w:adjustRightInd w:val="0"/>
        <w:spacing w:line="420" w:lineRule="exact"/>
        <w:ind w:firstLine="424" w:firstLineChars="200"/>
        <w:rPr>
          <w:rFonts w:hint="eastAsia" w:ascii="宋体" w:hAnsi="宋体" w:eastAsia="宋体" w:cs="宋体"/>
          <w:color w:val="auto"/>
          <w:spacing w:val="-14"/>
          <w:sz w:val="24"/>
          <w:szCs w:val="24"/>
          <w:u w:val="single"/>
        </w:rPr>
      </w:pPr>
      <w:r>
        <w:rPr>
          <w:rFonts w:hint="eastAsia" w:ascii="宋体" w:hAnsi="宋体" w:eastAsia="宋体" w:cs="宋体"/>
          <w:color w:val="auto"/>
          <w:spacing w:val="-14"/>
          <w:sz w:val="24"/>
          <w:szCs w:val="24"/>
          <w:u w:val="single"/>
        </w:rPr>
        <w:t>发包人可协助承包人联系施工电源、施工用水水源，但电费、水费由承包人承担。</w:t>
      </w:r>
    </w:p>
    <w:p w14:paraId="1C8FE61B">
      <w:pPr>
        <w:pStyle w:val="3"/>
        <w:keepLines w:val="0"/>
        <w:pageBreakBefore w:val="0"/>
        <w:widowControl w:val="0"/>
        <w:numPr>
          <w:ilvl w:val="0"/>
          <w:numId w:val="8"/>
        </w:numPr>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15" w:name="_Toc439684366"/>
      <w:bookmarkStart w:id="116" w:name="_Toc203759005"/>
      <w:bookmarkStart w:id="117" w:name="_Toc453678711"/>
      <w:bookmarkStart w:id="118" w:name="_Toc414352129"/>
      <w:bookmarkStart w:id="119" w:name="_Toc414275446"/>
      <w:bookmarkStart w:id="120" w:name="_Toc453677519"/>
      <w:bookmarkStart w:id="121" w:name="_Toc414368601"/>
      <w:bookmarkStart w:id="122" w:name="_Toc434412379"/>
      <w:r>
        <w:rPr>
          <w:rFonts w:hint="eastAsia" w:ascii="宋体" w:hAnsi="宋体" w:eastAsia="宋体" w:cs="宋体"/>
          <w:color w:val="auto"/>
          <w:sz w:val="24"/>
          <w:szCs w:val="24"/>
        </w:rPr>
        <w:t>监理人</w:t>
      </w:r>
      <w:bookmarkEnd w:id="115"/>
      <w:bookmarkEnd w:id="116"/>
      <w:bookmarkEnd w:id="117"/>
      <w:bookmarkEnd w:id="118"/>
      <w:bookmarkEnd w:id="119"/>
      <w:bookmarkEnd w:id="120"/>
      <w:bookmarkEnd w:id="121"/>
      <w:bookmarkEnd w:id="122"/>
      <w:bookmarkStart w:id="123" w:name="_Toc414275447"/>
      <w:bookmarkStart w:id="124" w:name="_Toc434412380"/>
      <w:bookmarkStart w:id="125" w:name="_Toc414352130"/>
      <w:bookmarkStart w:id="126" w:name="_Toc453678712"/>
      <w:bookmarkStart w:id="127" w:name="_Toc453677520"/>
      <w:bookmarkStart w:id="128" w:name="_Toc414368602"/>
      <w:bookmarkStart w:id="129" w:name="_Toc439684367"/>
    </w:p>
    <w:p w14:paraId="016FD249">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 监理人的职责和权力</w:t>
      </w:r>
      <w:bookmarkEnd w:id="123"/>
      <w:bookmarkEnd w:id="124"/>
      <w:bookmarkEnd w:id="125"/>
      <w:bookmarkEnd w:id="126"/>
      <w:bookmarkEnd w:id="127"/>
      <w:bookmarkEnd w:id="128"/>
      <w:bookmarkEnd w:id="129"/>
    </w:p>
    <w:p w14:paraId="51CF20B1">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　监理人须根据发包人事先批准的权力范围行使权力，发包人批准的权力范围：</w:t>
      </w:r>
    </w:p>
    <w:p w14:paraId="7A550EDE">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（填写监理人须经发包人批准才能行使的权力，以下示例在发包人与承包人签订协议时，可另行调整）</w:t>
      </w:r>
    </w:p>
    <w:p w14:paraId="12C26FE1">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（1）按第4.3款约定，批准工程的分包；</w:t>
      </w:r>
    </w:p>
    <w:p w14:paraId="1153B781">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（2）按第11.3款约定，确定延长完工期限；</w:t>
      </w:r>
    </w:p>
    <w:p w14:paraId="7445DCA7">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（3）按第15.6款约定，批准暂列金额的使用；</w:t>
      </w:r>
    </w:p>
    <w:p w14:paraId="5CDAB7B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（4）当变更引起的合同价格增加时做出的变更决定；</w:t>
      </w:r>
    </w:p>
    <w:p w14:paraId="041D699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（5）发布停工令、开工令；</w:t>
      </w:r>
    </w:p>
    <w:p w14:paraId="3BBF81E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（6）调整控制性进度计划；</w:t>
      </w:r>
    </w:p>
    <w:p w14:paraId="014718E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（7）施工中发生，但投标人《工程量清单》中未列单价的工程项目，计量单价的确认；</w:t>
      </w:r>
    </w:p>
    <w:p w14:paraId="79AC090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（8）工程重大质量事故的处理意见；</w:t>
      </w:r>
    </w:p>
    <w:p w14:paraId="1FE33D4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（9）工程的重大设计变更；</w:t>
      </w:r>
    </w:p>
    <w:p w14:paraId="4545DDE2">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（10）撤换项目经理或技术负责人员。</w:t>
      </w:r>
    </w:p>
    <w:p w14:paraId="473B0514">
      <w:pPr>
        <w:pStyle w:val="141"/>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0" w:name="_Toc439684368"/>
      <w:bookmarkStart w:id="131" w:name="_Toc434412381"/>
      <w:bookmarkStart w:id="132" w:name="_Toc414368603"/>
      <w:bookmarkStart w:id="133" w:name="_Toc414268904"/>
      <w:bookmarkStart w:id="134" w:name="_Toc414275448"/>
      <w:bookmarkStart w:id="135" w:name="_Toc414352131"/>
      <w:bookmarkStart w:id="136" w:name="_Toc453677521"/>
      <w:bookmarkStart w:id="137" w:name="_Toc453678713"/>
      <w:r>
        <w:rPr>
          <w:rFonts w:hint="eastAsia" w:ascii="宋体" w:hAnsi="宋体" w:eastAsia="宋体" w:cs="宋体"/>
          <w:color w:val="auto"/>
          <w:sz w:val="24"/>
          <w:szCs w:val="24"/>
        </w:rPr>
        <w:t>4．承包人</w:t>
      </w:r>
      <w:bookmarkEnd w:id="130"/>
      <w:bookmarkEnd w:id="131"/>
      <w:bookmarkEnd w:id="132"/>
      <w:bookmarkEnd w:id="133"/>
      <w:bookmarkEnd w:id="134"/>
      <w:bookmarkEnd w:id="135"/>
      <w:bookmarkEnd w:id="136"/>
      <w:bookmarkEnd w:id="137"/>
    </w:p>
    <w:p w14:paraId="6D892332">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38" w:name="_Toc414275449"/>
      <w:bookmarkStart w:id="139" w:name="_Toc434412382"/>
      <w:bookmarkStart w:id="140" w:name="_Toc439684369"/>
      <w:bookmarkStart w:id="141" w:name="_Toc414268905"/>
      <w:bookmarkStart w:id="142" w:name="_Toc414368604"/>
      <w:bookmarkStart w:id="143" w:name="_Toc414352132"/>
      <w:bookmarkStart w:id="144" w:name="_Toc453677522"/>
      <w:bookmarkStart w:id="145" w:name="_Toc453678714"/>
      <w:r>
        <w:rPr>
          <w:rFonts w:hint="eastAsia" w:ascii="宋体" w:hAnsi="宋体" w:eastAsia="宋体" w:cs="宋体"/>
          <w:color w:val="auto"/>
          <w:sz w:val="24"/>
          <w:szCs w:val="24"/>
        </w:rPr>
        <w:t>4.1 承包人的一般义务：</w:t>
      </w:r>
      <w:bookmarkEnd w:id="138"/>
      <w:bookmarkEnd w:id="139"/>
      <w:bookmarkEnd w:id="140"/>
      <w:bookmarkEnd w:id="141"/>
      <w:bookmarkEnd w:id="142"/>
      <w:bookmarkEnd w:id="143"/>
      <w:bookmarkEnd w:id="144"/>
      <w:bookmarkEnd w:id="145"/>
    </w:p>
    <w:p w14:paraId="411D9BA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4.1.9  工程的维护和照管</w:t>
      </w:r>
    </w:p>
    <w:p w14:paraId="4934A1B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合同工程完工证书颁发以前,工程的维护和管护由承包人负责,费用由承包人承担(该项费用已包含在签约合同价中)。</w:t>
      </w:r>
    </w:p>
    <w:p w14:paraId="054BA140">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bookmarkStart w:id="146" w:name="_Toc414268906"/>
      <w:bookmarkStart w:id="147" w:name="_Toc414275450"/>
      <w:r>
        <w:rPr>
          <w:rFonts w:hint="eastAsia" w:ascii="宋体" w:hAnsi="宋体" w:eastAsia="宋体" w:cs="宋体"/>
          <w:color w:val="auto"/>
          <w:sz w:val="24"/>
          <w:szCs w:val="24"/>
        </w:rPr>
        <w:t>4.1.10其他义务</w:t>
      </w:r>
    </w:p>
    <w:p w14:paraId="4CD0B086">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（1）承包人自己的施工用电、用水等费用由承包人负担；</w:t>
      </w:r>
    </w:p>
    <w:p w14:paraId="418B80C5">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（2）施工中可能发生临时停电，承包人应备有自备电源；</w:t>
      </w:r>
    </w:p>
    <w:p w14:paraId="1D6777CE">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（3）承包人应在合同规定的期限内完成工地清理、临时设施的占地复耕、并按期撤退人员和剩余材料，该项费用由承包人自理。</w:t>
      </w:r>
    </w:p>
    <w:p w14:paraId="79C46890">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（4）承包人应按合同规定负责办理由承包人投保的保险。</w:t>
      </w:r>
    </w:p>
    <w:p w14:paraId="7F7E2151">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48" w:name="_Toc453678715"/>
      <w:bookmarkStart w:id="149" w:name="_Toc439684370"/>
      <w:bookmarkStart w:id="150" w:name="_Toc453677523"/>
      <w:r>
        <w:rPr>
          <w:rFonts w:hint="eastAsia" w:ascii="宋体" w:hAnsi="宋体" w:eastAsia="宋体" w:cs="宋体"/>
          <w:color w:val="auto"/>
          <w:sz w:val="24"/>
          <w:szCs w:val="24"/>
        </w:rPr>
        <w:t>4.3 分包</w:t>
      </w:r>
      <w:bookmarkEnd w:id="148"/>
      <w:bookmarkEnd w:id="149"/>
      <w:bookmarkEnd w:id="150"/>
    </w:p>
    <w:p w14:paraId="66DEDD1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4.3.2允许承包人分包的工程项目、工作内容与分包金额限额为：本工程不得分包</w:t>
      </w:r>
      <w:r>
        <w:rPr>
          <w:rFonts w:hint="eastAsia" w:ascii="宋体" w:hAnsi="宋体" w:eastAsia="宋体" w:cs="宋体"/>
          <w:color w:val="auto"/>
          <w:sz w:val="24"/>
          <w:szCs w:val="24"/>
        </w:rPr>
        <w:t>。</w:t>
      </w:r>
    </w:p>
    <w:bookmarkEnd w:id="146"/>
    <w:bookmarkEnd w:id="147"/>
    <w:p w14:paraId="3589DCDA">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51" w:name="_Toc453677528"/>
      <w:bookmarkStart w:id="152" w:name="_Toc434412387"/>
      <w:bookmarkStart w:id="153" w:name="_Toc203759007"/>
      <w:bookmarkStart w:id="154" w:name="_Toc414275454"/>
      <w:bookmarkStart w:id="155" w:name="_Toc414368609"/>
      <w:bookmarkStart w:id="156" w:name="_Toc414268910"/>
      <w:bookmarkStart w:id="157" w:name="_Toc453678720"/>
      <w:bookmarkStart w:id="158" w:name="_Toc414352137"/>
      <w:bookmarkStart w:id="159" w:name="_Toc439684375"/>
      <w:r>
        <w:rPr>
          <w:rFonts w:hint="eastAsia" w:ascii="宋体" w:hAnsi="宋体" w:eastAsia="宋体" w:cs="宋体"/>
          <w:color w:val="auto"/>
          <w:sz w:val="24"/>
          <w:szCs w:val="24"/>
        </w:rPr>
        <w:t>5．材料和工程设备</w:t>
      </w:r>
      <w:bookmarkEnd w:id="151"/>
      <w:bookmarkEnd w:id="152"/>
      <w:bookmarkEnd w:id="153"/>
      <w:bookmarkEnd w:id="154"/>
      <w:bookmarkEnd w:id="155"/>
      <w:bookmarkEnd w:id="156"/>
      <w:bookmarkEnd w:id="157"/>
      <w:bookmarkEnd w:id="158"/>
      <w:bookmarkEnd w:id="159"/>
    </w:p>
    <w:p w14:paraId="77B2733E">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60" w:name="_Toc414352138"/>
      <w:bookmarkStart w:id="161" w:name="_Toc453677529"/>
      <w:bookmarkStart w:id="162" w:name="_Toc453678721"/>
      <w:bookmarkStart w:id="163" w:name="_Toc434412388"/>
      <w:bookmarkStart w:id="164" w:name="_Toc414368610"/>
      <w:bookmarkStart w:id="165" w:name="_Toc439684376"/>
      <w:bookmarkStart w:id="166" w:name="_Toc414275455"/>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发包人提供的材料和工程设备</w:t>
      </w:r>
      <w:bookmarkEnd w:id="160"/>
      <w:bookmarkEnd w:id="161"/>
      <w:bookmarkEnd w:id="162"/>
      <w:bookmarkEnd w:id="163"/>
      <w:bookmarkEnd w:id="164"/>
      <w:bookmarkEnd w:id="165"/>
      <w:bookmarkEnd w:id="166"/>
      <w:bookmarkStart w:id="167" w:name="_Toc414352139"/>
      <w:bookmarkStart w:id="168" w:name="_Toc203759008"/>
      <w:bookmarkStart w:id="169" w:name="_Toc414275456"/>
      <w:bookmarkStart w:id="170" w:name="_Toc414368611"/>
      <w:bookmarkStart w:id="171" w:name="_Toc414268911"/>
    </w:p>
    <w:p w14:paraId="53924C95">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工程所需的设备、材料均由承包人负责采购。承包人应负责上述材料和工程设备的采购、运输和保管，并承担为完成上述工作所需的全部费用。</w:t>
      </w:r>
    </w:p>
    <w:p w14:paraId="7EF3B1CD">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72" w:name="_Toc453677530"/>
      <w:bookmarkStart w:id="173" w:name="_Toc439684377"/>
      <w:bookmarkStart w:id="174" w:name="_Toc434412389"/>
      <w:bookmarkStart w:id="175" w:name="_Toc453678722"/>
      <w:r>
        <w:rPr>
          <w:rFonts w:hint="eastAsia" w:ascii="宋体" w:hAnsi="宋体" w:eastAsia="宋体" w:cs="宋体"/>
          <w:color w:val="auto"/>
          <w:sz w:val="24"/>
          <w:szCs w:val="24"/>
        </w:rPr>
        <w:t>6．施工设备和临时设施</w:t>
      </w:r>
      <w:bookmarkEnd w:id="167"/>
      <w:bookmarkEnd w:id="168"/>
      <w:bookmarkEnd w:id="169"/>
      <w:bookmarkEnd w:id="170"/>
      <w:bookmarkEnd w:id="171"/>
      <w:bookmarkEnd w:id="172"/>
      <w:bookmarkEnd w:id="173"/>
      <w:bookmarkEnd w:id="174"/>
      <w:bookmarkEnd w:id="175"/>
    </w:p>
    <w:p w14:paraId="2B823E69">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76" w:name="_Toc439684378"/>
      <w:bookmarkStart w:id="177" w:name="_Toc414275457"/>
      <w:bookmarkStart w:id="178" w:name="_Toc434412390"/>
      <w:bookmarkStart w:id="179" w:name="_Toc414368612"/>
      <w:bookmarkStart w:id="180" w:name="_Toc414352140"/>
      <w:bookmarkStart w:id="181" w:name="_Toc453678723"/>
      <w:bookmarkStart w:id="182" w:name="_Toc453677531"/>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发包人提供的施工设备和临时设施</w:t>
      </w:r>
      <w:bookmarkEnd w:id="176"/>
      <w:bookmarkEnd w:id="177"/>
      <w:bookmarkEnd w:id="178"/>
      <w:bookmarkEnd w:id="179"/>
      <w:bookmarkEnd w:id="180"/>
      <w:bookmarkEnd w:id="181"/>
      <w:bookmarkEnd w:id="182"/>
    </w:p>
    <w:p w14:paraId="70EFF65A">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（1）发包人不提供施工设备；</w:t>
      </w:r>
    </w:p>
    <w:p w14:paraId="3477352C">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（2）施工当中临时设施等由承包人负责，临时设施费用按</w:t>
      </w:r>
      <w:r>
        <w:rPr>
          <w:rFonts w:hint="eastAsia" w:ascii="宋体" w:hAnsi="宋体" w:eastAsia="宋体" w:cs="宋体"/>
          <w:color w:val="auto"/>
          <w:sz w:val="24"/>
          <w:szCs w:val="24"/>
          <w:u w:val="single"/>
        </w:rPr>
        <w:t>要求</w:t>
      </w:r>
      <w:r>
        <w:rPr>
          <w:rFonts w:hint="eastAsia" w:ascii="宋体" w:hAnsi="宋体" w:eastAsia="宋体" w:cs="宋体"/>
          <w:color w:val="auto"/>
          <w:sz w:val="24"/>
          <w:szCs w:val="24"/>
        </w:rPr>
        <w:t>列入投标总价，按单项费用详细计列。</w:t>
      </w:r>
    </w:p>
    <w:p w14:paraId="7A987808">
      <w:pPr>
        <w:pStyle w:val="141"/>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3" w:name="_Toc453677532"/>
      <w:bookmarkStart w:id="184" w:name="_Toc414268912"/>
      <w:bookmarkStart w:id="185" w:name="_Toc414275458"/>
      <w:bookmarkStart w:id="186" w:name="_Toc414368613"/>
      <w:bookmarkStart w:id="187" w:name="_Toc439684379"/>
      <w:bookmarkStart w:id="188" w:name="_Toc414352141"/>
      <w:bookmarkStart w:id="189" w:name="_Toc453678724"/>
      <w:bookmarkStart w:id="190" w:name="_Toc434412391"/>
      <w:r>
        <w:rPr>
          <w:rFonts w:hint="eastAsia" w:ascii="宋体" w:hAnsi="宋体" w:eastAsia="宋体" w:cs="宋体"/>
          <w:color w:val="auto"/>
          <w:sz w:val="24"/>
          <w:szCs w:val="24"/>
        </w:rPr>
        <w:t>7．交通运输</w:t>
      </w:r>
      <w:bookmarkEnd w:id="183"/>
      <w:bookmarkEnd w:id="184"/>
      <w:bookmarkEnd w:id="185"/>
      <w:bookmarkEnd w:id="186"/>
      <w:bookmarkEnd w:id="187"/>
      <w:bookmarkEnd w:id="188"/>
      <w:bookmarkEnd w:id="189"/>
      <w:bookmarkEnd w:id="190"/>
    </w:p>
    <w:p w14:paraId="61147A88">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191" w:name="_Toc453677533"/>
      <w:bookmarkStart w:id="192" w:name="_Toc439684380"/>
      <w:bookmarkStart w:id="193" w:name="_Toc414268913"/>
      <w:bookmarkStart w:id="194" w:name="_Toc414275459"/>
      <w:bookmarkStart w:id="195" w:name="_Toc414352142"/>
      <w:bookmarkStart w:id="196" w:name="_Toc453678725"/>
      <w:bookmarkStart w:id="197" w:name="_Toc414368614"/>
      <w:bookmarkStart w:id="198" w:name="_Toc434412392"/>
      <w:r>
        <w:rPr>
          <w:rFonts w:hint="eastAsia" w:ascii="宋体" w:hAnsi="宋体" w:eastAsia="宋体" w:cs="宋体"/>
          <w:color w:val="auto"/>
          <w:sz w:val="24"/>
          <w:szCs w:val="24"/>
        </w:rPr>
        <w:t>7.1 道路通行权和场外设施</w:t>
      </w:r>
      <w:bookmarkEnd w:id="191"/>
      <w:bookmarkEnd w:id="192"/>
      <w:bookmarkEnd w:id="193"/>
      <w:bookmarkEnd w:id="194"/>
      <w:bookmarkEnd w:id="195"/>
      <w:bookmarkEnd w:id="196"/>
      <w:bookmarkEnd w:id="197"/>
      <w:bookmarkEnd w:id="198"/>
    </w:p>
    <w:p w14:paraId="12C23DCE">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道路通行权和场外设施的约定：</w:t>
      </w:r>
      <w:r>
        <w:rPr>
          <w:rFonts w:hint="eastAsia" w:ascii="宋体" w:hAnsi="宋体" w:eastAsia="宋体" w:cs="宋体"/>
          <w:b/>
          <w:color w:val="auto"/>
          <w:sz w:val="24"/>
          <w:szCs w:val="24"/>
          <w:u w:val="single"/>
        </w:rPr>
        <w:t>均由承包人自行解决。</w:t>
      </w:r>
    </w:p>
    <w:p w14:paraId="6A2A1A50">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99" w:name="_Toc414352143"/>
      <w:bookmarkStart w:id="200" w:name="_Toc434412393"/>
      <w:bookmarkStart w:id="201" w:name="_Toc453678726"/>
      <w:bookmarkStart w:id="202" w:name="_Toc409274545"/>
      <w:bookmarkStart w:id="203" w:name="_Toc414368615"/>
      <w:bookmarkStart w:id="204" w:name="_Toc439684381"/>
      <w:bookmarkStart w:id="205" w:name="_Toc453677534"/>
      <w:bookmarkStart w:id="206" w:name="_Toc414275460"/>
      <w:r>
        <w:rPr>
          <w:rFonts w:hint="eastAsia" w:ascii="宋体" w:hAnsi="宋体" w:eastAsia="宋体" w:cs="宋体"/>
          <w:color w:val="auto"/>
          <w:sz w:val="24"/>
          <w:szCs w:val="24"/>
        </w:rPr>
        <w:t>8．测量放线</w:t>
      </w:r>
      <w:bookmarkEnd w:id="199"/>
      <w:bookmarkEnd w:id="200"/>
      <w:bookmarkEnd w:id="201"/>
      <w:bookmarkEnd w:id="202"/>
      <w:bookmarkEnd w:id="203"/>
      <w:bookmarkEnd w:id="204"/>
      <w:bookmarkEnd w:id="205"/>
      <w:bookmarkEnd w:id="206"/>
    </w:p>
    <w:p w14:paraId="30E060FF">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07" w:name="_Toc414352144"/>
      <w:bookmarkStart w:id="208" w:name="_Toc434412394"/>
      <w:bookmarkStart w:id="209" w:name="_Toc453678727"/>
      <w:bookmarkStart w:id="210" w:name="_Toc453677535"/>
      <w:bookmarkStart w:id="211" w:name="_Toc414368616"/>
      <w:bookmarkStart w:id="212" w:name="_Toc414275461"/>
      <w:bookmarkStart w:id="213" w:name="_Toc439684382"/>
      <w:bookmarkStart w:id="214" w:name="_Toc414268914"/>
      <w:r>
        <w:rPr>
          <w:rFonts w:hint="eastAsia" w:ascii="宋体" w:hAnsi="宋体" w:eastAsia="宋体" w:cs="宋体"/>
          <w:color w:val="auto"/>
          <w:sz w:val="24"/>
          <w:szCs w:val="24"/>
        </w:rPr>
        <w:t>8.1 施工控制网</w:t>
      </w:r>
      <w:bookmarkEnd w:id="207"/>
      <w:bookmarkEnd w:id="208"/>
      <w:bookmarkEnd w:id="209"/>
      <w:bookmarkEnd w:id="210"/>
      <w:bookmarkEnd w:id="211"/>
      <w:bookmarkEnd w:id="212"/>
      <w:bookmarkEnd w:id="213"/>
      <w:bookmarkEnd w:id="214"/>
    </w:p>
    <w:p w14:paraId="35B4391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8.1.1  施工控制网的约定</w:t>
      </w:r>
      <w:r>
        <w:rPr>
          <w:rFonts w:hint="eastAsia" w:ascii="宋体" w:hAnsi="宋体" w:eastAsia="宋体" w:cs="宋体"/>
          <w:b/>
          <w:color w:val="auto"/>
          <w:sz w:val="24"/>
          <w:szCs w:val="24"/>
          <w:u w:val="single"/>
        </w:rPr>
        <w:t>:发包人应在工程开工10日前，通过监理人向承包人提供测量基准点、基准线和水准点及其书面资料。承包人在开工5日前，将施工控制网资料报送监理人审批。</w:t>
      </w:r>
    </w:p>
    <w:p w14:paraId="18885A3E">
      <w:pPr>
        <w:pStyle w:val="141"/>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215" w:name="_Toc414368617"/>
      <w:bookmarkStart w:id="216" w:name="_Toc414352145"/>
      <w:bookmarkStart w:id="217" w:name="_Toc414268915"/>
      <w:bookmarkStart w:id="218" w:name="_Toc453677536"/>
      <w:bookmarkStart w:id="219" w:name="_Toc439684383"/>
      <w:bookmarkStart w:id="220" w:name="_Toc434412395"/>
      <w:bookmarkStart w:id="221" w:name="_Toc414275462"/>
      <w:bookmarkStart w:id="222" w:name="_Toc453678728"/>
      <w:r>
        <w:rPr>
          <w:rFonts w:hint="eastAsia" w:ascii="宋体" w:hAnsi="宋体" w:eastAsia="宋体" w:cs="宋体"/>
          <w:color w:val="auto"/>
          <w:sz w:val="24"/>
          <w:szCs w:val="24"/>
        </w:rPr>
        <w:t>9．施工安全、治安保卫和环境保护</w:t>
      </w:r>
      <w:bookmarkEnd w:id="215"/>
      <w:bookmarkEnd w:id="216"/>
      <w:bookmarkEnd w:id="217"/>
      <w:bookmarkEnd w:id="218"/>
      <w:bookmarkEnd w:id="219"/>
      <w:bookmarkEnd w:id="220"/>
      <w:bookmarkEnd w:id="221"/>
      <w:bookmarkEnd w:id="222"/>
    </w:p>
    <w:p w14:paraId="5C03D46D">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23" w:name="_Toc414275463"/>
      <w:bookmarkStart w:id="224" w:name="_Toc453677537"/>
      <w:bookmarkStart w:id="225" w:name="_Toc439684384"/>
      <w:bookmarkStart w:id="226" w:name="_Toc414352146"/>
      <w:bookmarkStart w:id="227" w:name="_Toc414368618"/>
      <w:bookmarkStart w:id="228" w:name="_Toc453678729"/>
      <w:bookmarkStart w:id="229" w:name="_Toc414268916"/>
      <w:bookmarkStart w:id="230" w:name="_Toc434412396"/>
      <w:r>
        <w:rPr>
          <w:rFonts w:hint="eastAsia" w:ascii="宋体" w:hAnsi="宋体" w:eastAsia="宋体" w:cs="宋体"/>
          <w:color w:val="auto"/>
          <w:sz w:val="24"/>
          <w:szCs w:val="24"/>
        </w:rPr>
        <w:t>9.1 发包人的施工安全责任</w:t>
      </w:r>
      <w:bookmarkEnd w:id="223"/>
      <w:bookmarkEnd w:id="224"/>
      <w:bookmarkEnd w:id="225"/>
      <w:bookmarkEnd w:id="226"/>
      <w:bookmarkEnd w:id="227"/>
      <w:bookmarkEnd w:id="228"/>
      <w:bookmarkEnd w:id="229"/>
      <w:bookmarkEnd w:id="230"/>
    </w:p>
    <w:p w14:paraId="0BB4BF6F">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9.1.4发包人提供</w:t>
      </w:r>
      <w:r>
        <w:rPr>
          <w:rFonts w:hint="eastAsia" w:ascii="宋体" w:hAnsi="宋体" w:eastAsia="宋体" w:cs="宋体"/>
          <w:color w:val="auto"/>
          <w:sz w:val="24"/>
          <w:szCs w:val="24"/>
          <w:u w:val="single"/>
        </w:rPr>
        <w:t xml:space="preserve"> 供水、供电、通信工程等</w:t>
      </w:r>
      <w:r>
        <w:rPr>
          <w:rFonts w:hint="eastAsia" w:ascii="宋体" w:hAnsi="宋体" w:eastAsia="宋体" w:cs="宋体"/>
          <w:color w:val="auto"/>
          <w:sz w:val="24"/>
          <w:szCs w:val="24"/>
        </w:rPr>
        <w:t>重要地下管线资料,其余资料由承包人负责收集。</w:t>
      </w:r>
    </w:p>
    <w:p w14:paraId="2C384699">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31" w:name="_Toc414275464"/>
      <w:bookmarkStart w:id="232" w:name="_Toc414368619"/>
      <w:bookmarkStart w:id="233" w:name="_Toc414268917"/>
      <w:bookmarkStart w:id="234" w:name="_Toc453678730"/>
      <w:bookmarkStart w:id="235" w:name="_Toc453677538"/>
      <w:bookmarkStart w:id="236" w:name="_Toc414352147"/>
      <w:bookmarkStart w:id="237" w:name="_Toc434412397"/>
      <w:bookmarkStart w:id="238" w:name="_Toc439684385"/>
      <w:r>
        <w:rPr>
          <w:rFonts w:hint="eastAsia" w:ascii="宋体" w:hAnsi="宋体" w:eastAsia="宋体" w:cs="宋体"/>
          <w:color w:val="auto"/>
          <w:sz w:val="24"/>
          <w:szCs w:val="24"/>
        </w:rPr>
        <w:t>9.2 承包人的施工安全责任</w:t>
      </w:r>
      <w:bookmarkEnd w:id="231"/>
      <w:bookmarkEnd w:id="232"/>
      <w:bookmarkEnd w:id="233"/>
      <w:bookmarkEnd w:id="234"/>
      <w:bookmarkEnd w:id="235"/>
      <w:bookmarkEnd w:id="236"/>
      <w:bookmarkEnd w:id="237"/>
      <w:bookmarkEnd w:id="238"/>
    </w:p>
    <w:p w14:paraId="4B628BC2">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9.2.12下列工程应编制专项施工方案：</w:t>
      </w:r>
      <w:r>
        <w:rPr>
          <w:rFonts w:hint="eastAsia" w:ascii="宋体" w:hAnsi="宋体" w:eastAsia="宋体" w:cs="宋体"/>
          <w:b/>
          <w:bCs/>
          <w:color w:val="auto"/>
          <w:sz w:val="24"/>
          <w:szCs w:val="24"/>
          <w:u w:val="single"/>
        </w:rPr>
        <w:t>水厂</w:t>
      </w:r>
      <w:r>
        <w:rPr>
          <w:rFonts w:hint="eastAsia" w:ascii="宋体" w:hAnsi="宋体" w:eastAsia="宋体" w:cs="宋体"/>
          <w:b/>
          <w:color w:val="auto"/>
          <w:sz w:val="24"/>
          <w:szCs w:val="24"/>
          <w:u w:val="single"/>
        </w:rPr>
        <w:t>及管理房工程、机电设备及安装工程等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。其中对于</w:t>
      </w:r>
      <w:r>
        <w:rPr>
          <w:rFonts w:hint="eastAsia" w:ascii="宋体" w:hAnsi="宋体" w:eastAsia="宋体" w:cs="宋体"/>
          <w:b/>
          <w:color w:val="auto"/>
          <w:sz w:val="24"/>
          <w:szCs w:val="24"/>
          <w:u w:val="single"/>
        </w:rPr>
        <w:t>可能引起安全事故的</w:t>
      </w:r>
      <w:r>
        <w:rPr>
          <w:rFonts w:hint="eastAsia" w:ascii="宋体" w:hAnsi="宋体" w:eastAsia="宋体" w:cs="宋体"/>
          <w:color w:val="auto"/>
          <w:sz w:val="24"/>
          <w:szCs w:val="24"/>
        </w:rPr>
        <w:t>应组织专家论证和审查。</w:t>
      </w:r>
    </w:p>
    <w:p w14:paraId="23BD4416">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39" w:name="_Toc453678731"/>
      <w:bookmarkStart w:id="240" w:name="_Toc414275465"/>
      <w:bookmarkStart w:id="241" w:name="_Toc414368620"/>
      <w:bookmarkStart w:id="242" w:name="_Toc434412398"/>
      <w:bookmarkStart w:id="243" w:name="_Toc453677539"/>
      <w:bookmarkStart w:id="244" w:name="_Toc414352148"/>
      <w:bookmarkStart w:id="245" w:name="_Toc414268918"/>
      <w:bookmarkStart w:id="246" w:name="_Toc439684386"/>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文明工地</w:t>
      </w:r>
      <w:bookmarkEnd w:id="239"/>
      <w:bookmarkEnd w:id="240"/>
      <w:bookmarkEnd w:id="241"/>
      <w:bookmarkEnd w:id="242"/>
      <w:bookmarkEnd w:id="243"/>
      <w:bookmarkEnd w:id="244"/>
      <w:bookmarkEnd w:id="245"/>
      <w:bookmarkEnd w:id="246"/>
    </w:p>
    <w:p w14:paraId="22E149FF">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9.7.1本合同文明工地的约定</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承包人应自觉按文明施工的要求组织施工</w:t>
      </w:r>
      <w:r>
        <w:rPr>
          <w:rFonts w:hint="eastAsia" w:ascii="宋体" w:hAnsi="宋体" w:eastAsia="宋体" w:cs="宋体"/>
          <w:b/>
          <w:color w:val="auto"/>
          <w:sz w:val="24"/>
          <w:szCs w:val="24"/>
        </w:rPr>
        <w:t>。</w:t>
      </w:r>
    </w:p>
    <w:p w14:paraId="454EABCA">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247" w:name="_Toc203759012"/>
      <w:bookmarkStart w:id="248" w:name="_Toc439684390"/>
      <w:bookmarkStart w:id="249" w:name="_Toc453677543"/>
      <w:bookmarkStart w:id="250" w:name="_Toc434412402"/>
      <w:bookmarkStart w:id="251" w:name="_Toc414275469"/>
      <w:bookmarkStart w:id="252" w:name="_Toc414352152"/>
      <w:bookmarkStart w:id="253" w:name="_Toc453678735"/>
      <w:bookmarkStart w:id="254" w:name="_Toc414268920"/>
      <w:bookmarkStart w:id="255" w:name="_Toc414368624"/>
      <w:r>
        <w:rPr>
          <w:rFonts w:hint="eastAsia" w:ascii="宋体" w:hAnsi="宋体" w:eastAsia="宋体" w:cs="宋体"/>
          <w:color w:val="auto"/>
          <w:sz w:val="24"/>
          <w:szCs w:val="24"/>
        </w:rPr>
        <w:t>11．开工和竣工</w:t>
      </w:r>
      <w:bookmarkEnd w:id="247"/>
      <w:r>
        <w:rPr>
          <w:rFonts w:hint="eastAsia" w:ascii="宋体" w:hAnsi="宋体" w:eastAsia="宋体" w:cs="宋体"/>
          <w:color w:val="auto"/>
          <w:sz w:val="24"/>
          <w:szCs w:val="24"/>
        </w:rPr>
        <w:t>（完工）</w:t>
      </w:r>
      <w:bookmarkEnd w:id="248"/>
      <w:bookmarkEnd w:id="249"/>
      <w:bookmarkEnd w:id="250"/>
      <w:bookmarkEnd w:id="251"/>
      <w:bookmarkEnd w:id="252"/>
      <w:bookmarkEnd w:id="253"/>
      <w:bookmarkEnd w:id="254"/>
      <w:bookmarkEnd w:id="255"/>
    </w:p>
    <w:p w14:paraId="65563612">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56" w:name="_Toc439684391"/>
      <w:bookmarkStart w:id="257" w:name="_Toc414368625"/>
      <w:bookmarkStart w:id="258" w:name="_Toc453678736"/>
      <w:bookmarkStart w:id="259" w:name="_Toc453677544"/>
      <w:bookmarkStart w:id="260" w:name="_Toc434412403"/>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异常恶劣的气候条件</w:t>
      </w:r>
      <w:bookmarkEnd w:id="256"/>
      <w:bookmarkEnd w:id="257"/>
      <w:bookmarkEnd w:id="258"/>
      <w:bookmarkEnd w:id="259"/>
      <w:bookmarkEnd w:id="260"/>
    </w:p>
    <w:p w14:paraId="053E6F1C">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261" w:name="_Toc439684392"/>
      <w:bookmarkStart w:id="262" w:name="_Toc31763"/>
      <w:bookmarkStart w:id="263" w:name="_Toc453677545"/>
      <w:bookmarkStart w:id="264" w:name="_Toc434937715"/>
      <w:bookmarkStart w:id="265" w:name="_Toc4157"/>
      <w:bookmarkStart w:id="266" w:name="_Toc453678737"/>
      <w:r>
        <w:rPr>
          <w:rFonts w:hint="eastAsia" w:ascii="宋体" w:hAnsi="宋体" w:eastAsia="宋体" w:cs="宋体"/>
          <w:color w:val="auto"/>
          <w:sz w:val="24"/>
          <w:szCs w:val="24"/>
        </w:rPr>
        <w:t>11.4.3</w:t>
      </w:r>
      <w:r>
        <w:rPr>
          <w:rFonts w:hint="eastAsia" w:ascii="宋体" w:hAnsi="宋体" w:eastAsia="宋体" w:cs="宋体"/>
          <w:bCs/>
          <w:color w:val="auto"/>
          <w:sz w:val="24"/>
          <w:szCs w:val="24"/>
        </w:rPr>
        <w:t xml:space="preserve"> 本合同工程界定异常恶劣气候条件的范围为:</w:t>
      </w:r>
      <w:bookmarkEnd w:id="261"/>
      <w:bookmarkEnd w:id="262"/>
      <w:bookmarkEnd w:id="263"/>
      <w:bookmarkEnd w:id="264"/>
      <w:bookmarkEnd w:id="265"/>
      <w:bookmarkEnd w:id="266"/>
    </w:p>
    <w:p w14:paraId="3B5F3D2F">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（1)日降雨量大于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50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mm的雨日超过</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天； </w:t>
      </w:r>
    </w:p>
    <w:p w14:paraId="41678F43">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（2）风速大于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50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m/s 的</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8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级以上台风灾害；</w:t>
      </w:r>
    </w:p>
    <w:p w14:paraId="26D22C51">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（3）日气温超过 </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39 </w:t>
      </w:r>
      <w:r>
        <w:rPr>
          <w:rFonts w:hint="eastAsia" w:ascii="宋体" w:hAnsi="宋体" w:eastAsia="宋体" w:cs="宋体"/>
          <w:color w:val="auto"/>
          <w:sz w:val="24"/>
          <w:szCs w:val="24"/>
        </w:rPr>
        <w:t>℃的高温大于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w:t>
      </w:r>
    </w:p>
    <w:p w14:paraId="20550F87">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（4）日气温低于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-10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℃的严寒大于</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w:t>
      </w:r>
    </w:p>
    <w:p w14:paraId="56405A2F">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（5）造成工程损坏的冰雹和大雪灾害：</w:t>
      </w:r>
      <w:r>
        <w:rPr>
          <w:rFonts w:hint="eastAsia" w:ascii="宋体" w:hAnsi="宋体" w:eastAsia="宋体" w:cs="宋体"/>
          <w:b/>
          <w:color w:val="auto"/>
          <w:sz w:val="24"/>
          <w:szCs w:val="24"/>
          <w:u w:val="single"/>
        </w:rPr>
        <w:t>一周内无法正常施工</w:t>
      </w:r>
      <w:r>
        <w:rPr>
          <w:rFonts w:hint="eastAsia" w:ascii="宋体" w:hAnsi="宋体" w:eastAsia="宋体" w:cs="宋体"/>
          <w:color w:val="auto"/>
          <w:sz w:val="24"/>
          <w:szCs w:val="24"/>
        </w:rPr>
        <w:t>；</w:t>
      </w:r>
    </w:p>
    <w:p w14:paraId="726BFC35">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（6）其它异常恶劣气候灾害。</w:t>
      </w:r>
    </w:p>
    <w:p w14:paraId="5FF2DAF0">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67" w:name="_Toc453677546"/>
      <w:bookmarkStart w:id="268" w:name="_Toc414275470"/>
      <w:bookmarkStart w:id="269" w:name="_Toc414352153"/>
      <w:bookmarkStart w:id="270" w:name="_Toc439684393"/>
      <w:bookmarkStart w:id="271" w:name="_Toc414368626"/>
      <w:bookmarkStart w:id="272" w:name="_Toc434412404"/>
      <w:bookmarkStart w:id="273" w:name="_Toc453678738"/>
      <w:bookmarkStart w:id="274" w:name="_Toc414268921"/>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承包人的工期延误</w:t>
      </w:r>
      <w:bookmarkEnd w:id="267"/>
      <w:bookmarkEnd w:id="268"/>
      <w:bookmarkEnd w:id="269"/>
      <w:bookmarkEnd w:id="270"/>
      <w:bookmarkEnd w:id="271"/>
      <w:bookmarkEnd w:id="272"/>
      <w:bookmarkEnd w:id="273"/>
      <w:bookmarkEnd w:id="274"/>
    </w:p>
    <w:p w14:paraId="2EBD8F9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（1）逾期完工违约金表</w:t>
      </w:r>
    </w:p>
    <w:tbl>
      <w:tblPr>
        <w:tblStyle w:val="3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60"/>
        <w:gridCol w:w="2340"/>
        <w:gridCol w:w="1980"/>
      </w:tblGrid>
      <w:tr w14:paraId="7BB8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tcPr>
          <w:p w14:paraId="43B909D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60" w:type="dxa"/>
          </w:tcPr>
          <w:p w14:paraId="684B409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项目及其说明</w:t>
            </w:r>
          </w:p>
        </w:tc>
        <w:tc>
          <w:tcPr>
            <w:tcW w:w="2340" w:type="dxa"/>
          </w:tcPr>
          <w:p w14:paraId="5DD9836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要求完工日期</w:t>
            </w:r>
          </w:p>
        </w:tc>
        <w:tc>
          <w:tcPr>
            <w:tcW w:w="1980" w:type="dxa"/>
          </w:tcPr>
          <w:p w14:paraId="17663F00">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违约金（元/天）</w:t>
            </w:r>
          </w:p>
        </w:tc>
      </w:tr>
      <w:tr w14:paraId="111F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tcPr>
          <w:p w14:paraId="5B1173E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2160" w:type="dxa"/>
          </w:tcPr>
          <w:p w14:paraId="4047B269">
            <w:pPr>
              <w:keepLines w:val="0"/>
              <w:pageBreakBefore w:val="0"/>
              <w:widowControl w:val="0"/>
              <w:kinsoku/>
              <w:wordWrap/>
              <w:overflowPunct/>
              <w:topLinePunct w:val="0"/>
              <w:bidi w:val="0"/>
              <w:spacing w:line="420" w:lineRule="exact"/>
              <w:ind w:firstLine="480" w:firstLineChars="200"/>
              <w:jc w:val="center"/>
              <w:rPr>
                <w:rFonts w:hint="eastAsia" w:ascii="宋体" w:hAnsi="宋体" w:eastAsia="宋体" w:cs="宋体"/>
                <w:color w:val="auto"/>
                <w:sz w:val="24"/>
                <w:szCs w:val="24"/>
              </w:rPr>
            </w:pPr>
          </w:p>
        </w:tc>
        <w:tc>
          <w:tcPr>
            <w:tcW w:w="2340" w:type="dxa"/>
          </w:tcPr>
          <w:p w14:paraId="14330F5E">
            <w:pPr>
              <w:keepLines w:val="0"/>
              <w:pageBreakBefore w:val="0"/>
              <w:widowControl w:val="0"/>
              <w:kinsoku/>
              <w:wordWrap/>
              <w:overflowPunct/>
              <w:topLinePunct w:val="0"/>
              <w:bidi w:val="0"/>
              <w:spacing w:line="420" w:lineRule="exact"/>
              <w:ind w:firstLine="480" w:firstLineChars="200"/>
              <w:jc w:val="center"/>
              <w:rPr>
                <w:rFonts w:hint="eastAsia" w:ascii="宋体" w:hAnsi="宋体" w:eastAsia="宋体" w:cs="宋体"/>
                <w:color w:val="auto"/>
                <w:sz w:val="24"/>
                <w:szCs w:val="24"/>
              </w:rPr>
            </w:pPr>
          </w:p>
        </w:tc>
        <w:tc>
          <w:tcPr>
            <w:tcW w:w="1980" w:type="dxa"/>
          </w:tcPr>
          <w:p w14:paraId="74472148">
            <w:pPr>
              <w:keepLines w:val="0"/>
              <w:pageBreakBefore w:val="0"/>
              <w:widowControl w:val="0"/>
              <w:kinsoku/>
              <w:wordWrap/>
              <w:overflowPunct/>
              <w:topLinePunct w:val="0"/>
              <w:bidi w:val="0"/>
              <w:spacing w:line="420" w:lineRule="exact"/>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1000</w:t>
            </w:r>
          </w:p>
        </w:tc>
      </w:tr>
    </w:tbl>
    <w:p w14:paraId="7EA469E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（2）全部逾期完工违约金的总限额为：</w:t>
      </w:r>
      <w:r>
        <w:rPr>
          <w:rFonts w:hint="eastAsia" w:ascii="宋体" w:hAnsi="宋体" w:eastAsia="宋体" w:cs="宋体"/>
          <w:color w:val="auto"/>
          <w:sz w:val="24"/>
          <w:szCs w:val="24"/>
          <w:u w:val="single"/>
        </w:rPr>
        <w:t>不超过签约合同价的10% 。</w:t>
      </w:r>
    </w:p>
    <w:p w14:paraId="5FD70F4C">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275" w:name="_Toc414368627"/>
      <w:bookmarkStart w:id="276" w:name="_Toc439684394"/>
      <w:bookmarkStart w:id="277" w:name="_Toc414352154"/>
      <w:bookmarkStart w:id="278" w:name="_Toc414268922"/>
      <w:bookmarkStart w:id="279" w:name="_Toc434412405"/>
      <w:bookmarkStart w:id="280" w:name="_Toc453677547"/>
      <w:bookmarkStart w:id="281" w:name="_Toc453678739"/>
      <w:bookmarkStart w:id="282" w:name="_Toc414275471"/>
      <w:r>
        <w:rPr>
          <w:rFonts w:hint="eastAsia" w:ascii="宋体" w:hAnsi="宋体" w:eastAsia="宋体" w:cs="宋体"/>
          <w:color w:val="auto"/>
          <w:sz w:val="24"/>
          <w:szCs w:val="24"/>
        </w:rPr>
        <w:t>12．暂停施工</w:t>
      </w:r>
      <w:bookmarkEnd w:id="275"/>
      <w:bookmarkEnd w:id="276"/>
      <w:bookmarkEnd w:id="277"/>
      <w:bookmarkEnd w:id="278"/>
      <w:bookmarkEnd w:id="279"/>
      <w:bookmarkEnd w:id="280"/>
      <w:bookmarkEnd w:id="281"/>
      <w:bookmarkEnd w:id="282"/>
    </w:p>
    <w:p w14:paraId="262EEAFC">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83" w:name="_Toc414352155"/>
      <w:bookmarkStart w:id="284" w:name="_Toc414368628"/>
      <w:bookmarkStart w:id="285" w:name="_Toc414275472"/>
      <w:bookmarkStart w:id="286" w:name="_Toc453678740"/>
      <w:bookmarkStart w:id="287" w:name="_Toc414268923"/>
      <w:bookmarkStart w:id="288" w:name="_Toc434412406"/>
      <w:bookmarkStart w:id="289" w:name="_Toc439684395"/>
      <w:bookmarkStart w:id="290" w:name="_Toc453677548"/>
      <w:r>
        <w:rPr>
          <w:rFonts w:hint="eastAsia" w:ascii="宋体" w:hAnsi="宋体" w:eastAsia="宋体" w:cs="宋体"/>
          <w:color w:val="auto"/>
          <w:sz w:val="24"/>
          <w:szCs w:val="24"/>
        </w:rPr>
        <w:t>12.1 承包人暂停施工的责任</w:t>
      </w:r>
      <w:bookmarkEnd w:id="283"/>
      <w:bookmarkEnd w:id="284"/>
      <w:bookmarkEnd w:id="285"/>
      <w:bookmarkEnd w:id="286"/>
      <w:bookmarkEnd w:id="287"/>
      <w:bookmarkEnd w:id="288"/>
      <w:bookmarkEnd w:id="289"/>
      <w:bookmarkEnd w:id="290"/>
    </w:p>
    <w:p w14:paraId="1A71B503">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承包人承担暂停施工责任的其它情形：</w:t>
      </w:r>
      <w:r>
        <w:rPr>
          <w:rFonts w:hint="eastAsia" w:ascii="宋体" w:hAnsi="宋体" w:eastAsia="宋体" w:cs="宋体"/>
          <w:color w:val="auto"/>
          <w:sz w:val="24"/>
          <w:szCs w:val="24"/>
          <w:u w:val="single"/>
        </w:rPr>
        <w:t>发包人或监理人组织的工程验收或检查引起的暂时停工。</w:t>
      </w:r>
    </w:p>
    <w:p w14:paraId="20A23426">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291" w:name="_Toc414368629"/>
      <w:bookmarkStart w:id="292" w:name="_Toc414275473"/>
      <w:bookmarkStart w:id="293" w:name="_Toc414352156"/>
      <w:bookmarkStart w:id="294" w:name="_Toc453678741"/>
      <w:bookmarkStart w:id="295" w:name="_Toc434412407"/>
      <w:bookmarkStart w:id="296" w:name="_Toc453677549"/>
      <w:bookmarkStart w:id="297" w:name="_Toc439684396"/>
      <w:bookmarkStart w:id="298" w:name="_Toc414268924"/>
      <w:r>
        <w:rPr>
          <w:rFonts w:hint="eastAsia" w:ascii="宋体" w:hAnsi="宋体" w:eastAsia="宋体" w:cs="宋体"/>
          <w:color w:val="auto"/>
          <w:sz w:val="24"/>
          <w:szCs w:val="24"/>
        </w:rPr>
        <w:t>12.2 发包人暂停施工的责任</w:t>
      </w:r>
      <w:bookmarkEnd w:id="291"/>
      <w:bookmarkEnd w:id="292"/>
      <w:bookmarkEnd w:id="293"/>
      <w:bookmarkEnd w:id="294"/>
      <w:bookmarkEnd w:id="295"/>
      <w:bookmarkEnd w:id="296"/>
      <w:bookmarkEnd w:id="297"/>
      <w:bookmarkEnd w:id="298"/>
    </w:p>
    <w:p w14:paraId="0DD8B162">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发包人承担暂停施工责任的其它情形：</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0EDD89E">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299" w:name="_Toc453678742"/>
      <w:bookmarkStart w:id="300" w:name="_Toc414268925"/>
      <w:bookmarkStart w:id="301" w:name="_Toc414352157"/>
      <w:bookmarkStart w:id="302" w:name="_Toc453677550"/>
      <w:bookmarkStart w:id="303" w:name="_Toc414275474"/>
      <w:bookmarkStart w:id="304" w:name="_Toc439684397"/>
      <w:bookmarkStart w:id="305" w:name="_Toc434412408"/>
      <w:bookmarkStart w:id="306" w:name="_Toc414368630"/>
      <w:r>
        <w:rPr>
          <w:rFonts w:hint="eastAsia" w:ascii="宋体" w:hAnsi="宋体" w:eastAsia="宋体" w:cs="宋体"/>
          <w:color w:val="auto"/>
          <w:sz w:val="24"/>
          <w:szCs w:val="24"/>
        </w:rPr>
        <w:t>13．工程质量</w:t>
      </w:r>
      <w:bookmarkEnd w:id="299"/>
      <w:bookmarkEnd w:id="300"/>
      <w:bookmarkEnd w:id="301"/>
      <w:bookmarkEnd w:id="302"/>
      <w:bookmarkEnd w:id="303"/>
      <w:bookmarkEnd w:id="304"/>
      <w:bookmarkEnd w:id="305"/>
      <w:bookmarkEnd w:id="306"/>
    </w:p>
    <w:p w14:paraId="7C8B1869">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07" w:name="_Toc414368631"/>
      <w:bookmarkStart w:id="308" w:name="_Toc414268926"/>
      <w:bookmarkStart w:id="309" w:name="_Toc414352158"/>
      <w:bookmarkStart w:id="310" w:name="_Toc434412409"/>
      <w:bookmarkStart w:id="311" w:name="_Toc414275475"/>
      <w:bookmarkStart w:id="312" w:name="_Toc453678743"/>
      <w:bookmarkStart w:id="313" w:name="_Toc453677551"/>
      <w:bookmarkStart w:id="314" w:name="_Toc439684398"/>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质量评定</w:t>
      </w:r>
      <w:bookmarkEnd w:id="307"/>
      <w:bookmarkEnd w:id="308"/>
      <w:bookmarkEnd w:id="309"/>
      <w:bookmarkEnd w:id="310"/>
      <w:bookmarkEnd w:id="311"/>
      <w:bookmarkEnd w:id="312"/>
      <w:bookmarkEnd w:id="313"/>
      <w:bookmarkEnd w:id="314"/>
    </w:p>
    <w:p w14:paraId="7B68F1FB">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　重要隐蔽单元工程和关键部位单元工程质量评定的约定：</w:t>
      </w:r>
      <w:r>
        <w:rPr>
          <w:rFonts w:hint="eastAsia" w:ascii="宋体" w:hAnsi="宋体" w:eastAsia="宋体" w:cs="宋体"/>
          <w:b/>
          <w:color w:val="auto"/>
          <w:sz w:val="24"/>
          <w:szCs w:val="24"/>
          <w:u w:val="single"/>
        </w:rPr>
        <w:t xml:space="preserve">各责任主体主要负责人必须参加，质量达到合格标准 </w:t>
      </w:r>
      <w:r>
        <w:rPr>
          <w:rFonts w:hint="eastAsia" w:ascii="宋体" w:hAnsi="宋体" w:eastAsia="宋体" w:cs="宋体"/>
          <w:color w:val="auto"/>
          <w:sz w:val="24"/>
          <w:szCs w:val="24"/>
        </w:rPr>
        <w:t>。</w:t>
      </w:r>
    </w:p>
    <w:p w14:paraId="482581A9">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　工程合格标准为：</w:t>
      </w:r>
      <w:r>
        <w:rPr>
          <w:rFonts w:hint="eastAsia" w:ascii="宋体" w:hAnsi="宋体" w:eastAsia="宋体" w:cs="宋体"/>
          <w:b/>
          <w:color w:val="auto"/>
          <w:sz w:val="24"/>
          <w:szCs w:val="24"/>
          <w:u w:val="single"/>
        </w:rPr>
        <w:t>依据相关验收规范</w:t>
      </w:r>
      <w:r>
        <w:rPr>
          <w:rFonts w:hint="eastAsia" w:ascii="宋体" w:hAnsi="宋体" w:eastAsia="宋体" w:cs="宋体"/>
          <w:color w:val="auto"/>
          <w:sz w:val="24"/>
          <w:szCs w:val="24"/>
        </w:rPr>
        <w:t>；优良标准为：</w:t>
      </w:r>
      <w:r>
        <w:rPr>
          <w:rFonts w:hint="eastAsia" w:ascii="宋体" w:hAnsi="宋体" w:eastAsia="宋体" w:cs="宋体"/>
          <w:b/>
          <w:color w:val="auto"/>
          <w:sz w:val="24"/>
          <w:szCs w:val="24"/>
          <w:u w:val="single"/>
        </w:rPr>
        <w:t>依据相关验收规范</w:t>
      </w:r>
      <w:r>
        <w:rPr>
          <w:rFonts w:hint="eastAsia" w:ascii="宋体" w:hAnsi="宋体" w:eastAsia="宋体" w:cs="宋体"/>
          <w:color w:val="auto"/>
          <w:sz w:val="24"/>
          <w:szCs w:val="24"/>
        </w:rPr>
        <w:t>。达到优良的奖金为：</w:t>
      </w:r>
      <w:r>
        <w:rPr>
          <w:rFonts w:hint="eastAsia" w:ascii="宋体" w:hAnsi="宋体" w:eastAsia="宋体" w:cs="宋体"/>
          <w:b/>
          <w:color w:val="auto"/>
          <w:sz w:val="24"/>
          <w:szCs w:val="24"/>
          <w:u w:val="single"/>
        </w:rPr>
        <w:t>双方约定</w:t>
      </w:r>
      <w:r>
        <w:rPr>
          <w:rFonts w:hint="eastAsia" w:ascii="宋体" w:hAnsi="宋体" w:eastAsia="宋体" w:cs="宋体"/>
          <w:color w:val="auto"/>
          <w:sz w:val="24"/>
          <w:szCs w:val="24"/>
        </w:rPr>
        <w:t>。</w:t>
      </w:r>
    </w:p>
    <w:p w14:paraId="77FA75A3">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15" w:name="_Toc414368632"/>
      <w:bookmarkStart w:id="316" w:name="_Toc414352159"/>
      <w:bookmarkStart w:id="317" w:name="_Toc414275476"/>
      <w:bookmarkStart w:id="318" w:name="_Toc414268927"/>
      <w:bookmarkStart w:id="319" w:name="_Toc439684399"/>
      <w:bookmarkStart w:id="320" w:name="_Toc434412410"/>
      <w:bookmarkStart w:id="321" w:name="_Toc453677552"/>
      <w:bookmarkStart w:id="322" w:name="_Toc453678744"/>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 质量事故处理</w:t>
      </w:r>
      <w:bookmarkEnd w:id="315"/>
      <w:bookmarkEnd w:id="316"/>
      <w:bookmarkEnd w:id="317"/>
      <w:bookmarkEnd w:id="318"/>
      <w:bookmarkEnd w:id="319"/>
      <w:bookmarkEnd w:id="320"/>
      <w:bookmarkEnd w:id="321"/>
      <w:bookmarkEnd w:id="322"/>
    </w:p>
    <w:p w14:paraId="16BCE673">
      <w:pPr>
        <w:keepLines w:val="0"/>
        <w:pageBreakBefore w:val="0"/>
        <w:widowControl w:val="0"/>
        <w:kinsoku/>
        <w:wordWrap/>
        <w:overflowPunct/>
        <w:topLinePunct w:val="0"/>
        <w:autoSpaceDE w:val="0"/>
        <w:autoSpaceDN w:val="0"/>
        <w:bidi w:val="0"/>
        <w:adjustRightInd w:val="0"/>
        <w:spacing w:line="420" w:lineRule="exact"/>
        <w:ind w:firstLine="480" w:firstLineChars="200"/>
        <w:outlineLvl w:val="0"/>
        <w:rPr>
          <w:rFonts w:hint="eastAsia" w:ascii="宋体" w:hAnsi="宋体" w:eastAsia="宋体" w:cs="宋体"/>
          <w:color w:val="auto"/>
          <w:sz w:val="24"/>
          <w:szCs w:val="24"/>
        </w:rPr>
      </w:pPr>
      <w:bookmarkStart w:id="323" w:name="_Toc439685578"/>
      <w:bookmarkStart w:id="324" w:name="_Toc9836"/>
      <w:bookmarkStart w:id="325" w:name="_Toc453677553"/>
      <w:bookmarkStart w:id="326" w:name="_Toc15519"/>
      <w:bookmarkStart w:id="327" w:name="_Toc439684400"/>
      <w:bookmarkStart w:id="328" w:name="_Toc434937723"/>
      <w:bookmarkStart w:id="329" w:name="_Toc453678745"/>
      <w:r>
        <w:rPr>
          <w:rFonts w:hint="eastAsia" w:ascii="宋体" w:hAnsi="宋体" w:eastAsia="宋体" w:cs="宋体"/>
          <w:color w:val="auto"/>
          <w:sz w:val="24"/>
          <w:szCs w:val="24"/>
        </w:rPr>
        <w:t>13.</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工程竣工验收时，</w:t>
      </w:r>
      <w:r>
        <w:rPr>
          <w:rFonts w:hint="eastAsia" w:ascii="宋体" w:hAnsi="宋体" w:eastAsia="宋体" w:cs="宋体"/>
          <w:b/>
          <w:color w:val="auto"/>
          <w:sz w:val="24"/>
          <w:szCs w:val="24"/>
          <w:u w:val="single"/>
        </w:rPr>
        <w:t>承包人</w:t>
      </w:r>
      <w:r>
        <w:rPr>
          <w:rFonts w:hint="eastAsia" w:ascii="宋体" w:hAnsi="宋体" w:eastAsia="宋体" w:cs="宋体"/>
          <w:color w:val="auto"/>
          <w:sz w:val="24"/>
          <w:szCs w:val="24"/>
        </w:rPr>
        <w:t>向竣工验收委员会汇报并提交历次质量缺陷处理的备案资料。</w:t>
      </w:r>
      <w:bookmarkEnd w:id="323"/>
      <w:bookmarkEnd w:id="324"/>
      <w:bookmarkEnd w:id="325"/>
      <w:bookmarkEnd w:id="326"/>
      <w:bookmarkEnd w:id="327"/>
      <w:bookmarkEnd w:id="328"/>
      <w:bookmarkEnd w:id="329"/>
    </w:p>
    <w:p w14:paraId="0ED688A9">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330" w:name="_Toc439684401"/>
      <w:bookmarkStart w:id="331" w:name="_Toc453677554"/>
      <w:bookmarkStart w:id="332" w:name="_Toc417898925"/>
      <w:bookmarkStart w:id="333" w:name="_Toc414351563"/>
      <w:bookmarkStart w:id="334" w:name="_Toc419464486"/>
      <w:bookmarkStart w:id="335" w:name="_Toc414439979"/>
      <w:bookmarkStart w:id="336" w:name="_Toc453678746"/>
      <w:bookmarkStart w:id="337" w:name="_Toc417897771"/>
      <w:bookmarkStart w:id="338" w:name="_Toc409275629"/>
      <w:bookmarkStart w:id="339" w:name="_Toc434412411"/>
      <w:bookmarkStart w:id="340" w:name="_Toc417897588"/>
      <w:r>
        <w:rPr>
          <w:rFonts w:hint="eastAsia" w:ascii="宋体" w:hAnsi="宋体" w:eastAsia="宋体" w:cs="宋体"/>
          <w:color w:val="auto"/>
          <w:sz w:val="24"/>
          <w:szCs w:val="24"/>
        </w:rPr>
        <w:t>14．试验和检验</w:t>
      </w:r>
      <w:bookmarkEnd w:id="330"/>
      <w:bookmarkEnd w:id="331"/>
      <w:bookmarkEnd w:id="332"/>
      <w:bookmarkEnd w:id="333"/>
      <w:bookmarkEnd w:id="334"/>
      <w:bookmarkEnd w:id="335"/>
      <w:bookmarkEnd w:id="336"/>
      <w:bookmarkEnd w:id="337"/>
      <w:bookmarkEnd w:id="338"/>
      <w:bookmarkEnd w:id="339"/>
      <w:bookmarkEnd w:id="340"/>
    </w:p>
    <w:p w14:paraId="2A9340D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14.1材料、工程设备和工程的试验和检验</w:t>
      </w:r>
    </w:p>
    <w:p w14:paraId="4219006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b/>
          <w:color w:val="auto"/>
          <w:sz w:val="24"/>
          <w:szCs w:val="24"/>
          <w:u w:val="single"/>
          <w:lang w:eastAsia="zh-CN"/>
        </w:rPr>
      </w:pPr>
      <w:r>
        <w:rPr>
          <w:rFonts w:hint="eastAsia" w:ascii="宋体" w:hAnsi="宋体" w:eastAsia="宋体" w:cs="宋体"/>
          <w:b w:val="0"/>
          <w:bCs/>
          <w:color w:val="auto"/>
          <w:sz w:val="24"/>
          <w:szCs w:val="24"/>
          <w:u w:val="none"/>
        </w:rPr>
        <w:t>14.1.6 本工程实行见证取样的试块、试件及有关材料：</w:t>
      </w:r>
      <w:r>
        <w:rPr>
          <w:rFonts w:hint="eastAsia" w:ascii="宋体" w:hAnsi="宋体" w:eastAsia="宋体" w:cs="宋体"/>
          <w:b/>
          <w:color w:val="auto"/>
          <w:sz w:val="24"/>
          <w:szCs w:val="24"/>
          <w:u w:val="single"/>
        </w:rPr>
        <w:t xml:space="preserve">各类结构材料及压实土拌合料 </w:t>
      </w:r>
      <w:r>
        <w:rPr>
          <w:rFonts w:hint="eastAsia" w:ascii="宋体" w:hAnsi="宋体" w:cs="宋体"/>
          <w:b/>
          <w:color w:val="auto"/>
          <w:sz w:val="24"/>
          <w:szCs w:val="24"/>
          <w:u w:val="single"/>
          <w:lang w:eastAsia="zh-CN"/>
        </w:rPr>
        <w:t>。</w:t>
      </w:r>
    </w:p>
    <w:p w14:paraId="0F99880B">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341" w:name="_Toc414268928"/>
      <w:bookmarkStart w:id="342" w:name="_Toc453677555"/>
      <w:bookmarkStart w:id="343" w:name="_Toc414352160"/>
      <w:bookmarkStart w:id="344" w:name="_Toc414275477"/>
      <w:bookmarkStart w:id="345" w:name="_Toc439684402"/>
      <w:bookmarkStart w:id="346" w:name="_Toc453678747"/>
      <w:bookmarkStart w:id="347" w:name="_Toc434412412"/>
      <w:bookmarkStart w:id="348" w:name="_Toc414368633"/>
      <w:r>
        <w:rPr>
          <w:rFonts w:hint="eastAsia" w:ascii="宋体" w:hAnsi="宋体" w:eastAsia="宋体" w:cs="宋体"/>
          <w:color w:val="auto"/>
          <w:sz w:val="24"/>
          <w:szCs w:val="24"/>
        </w:rPr>
        <w:t>15．变更</w:t>
      </w:r>
      <w:bookmarkEnd w:id="341"/>
      <w:bookmarkEnd w:id="342"/>
      <w:bookmarkEnd w:id="343"/>
      <w:bookmarkEnd w:id="344"/>
      <w:bookmarkEnd w:id="345"/>
      <w:bookmarkEnd w:id="346"/>
      <w:bookmarkEnd w:id="347"/>
      <w:bookmarkEnd w:id="348"/>
    </w:p>
    <w:p w14:paraId="09D19C2C">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49" w:name="_Toc414352161"/>
      <w:bookmarkStart w:id="350" w:name="_Toc453677556"/>
      <w:bookmarkStart w:id="351" w:name="_Toc439684403"/>
      <w:bookmarkStart w:id="352" w:name="_Toc414268929"/>
      <w:bookmarkStart w:id="353" w:name="_Toc434412413"/>
      <w:bookmarkStart w:id="354" w:name="_Toc453678748"/>
      <w:bookmarkStart w:id="355" w:name="_Toc414368634"/>
      <w:bookmarkStart w:id="356" w:name="_Toc414275478"/>
      <w:r>
        <w:rPr>
          <w:rFonts w:hint="eastAsia" w:ascii="宋体" w:hAnsi="宋体" w:eastAsia="宋体" w:cs="宋体"/>
          <w:color w:val="auto"/>
          <w:sz w:val="24"/>
          <w:szCs w:val="24"/>
        </w:rPr>
        <w:t>15.1 变更的范围和内容</w:t>
      </w:r>
      <w:bookmarkEnd w:id="349"/>
      <w:bookmarkEnd w:id="350"/>
      <w:bookmarkEnd w:id="351"/>
      <w:bookmarkEnd w:id="352"/>
      <w:bookmarkEnd w:id="353"/>
      <w:bookmarkEnd w:id="354"/>
      <w:bookmarkEnd w:id="355"/>
      <w:bookmarkEnd w:id="356"/>
    </w:p>
    <w:p w14:paraId="39545F73">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增加或减少合同中关键项目的工程量超过其工程总量的</w:t>
      </w:r>
      <w:r>
        <w:rPr>
          <w:rFonts w:hint="eastAsia" w:ascii="宋体" w:hAnsi="宋体" w:eastAsia="宋体" w:cs="宋体"/>
          <w:b/>
          <w:color w:val="auto"/>
          <w:sz w:val="24"/>
          <w:szCs w:val="24"/>
          <w:u w:val="single"/>
        </w:rPr>
        <w:t>任意百分数</w:t>
      </w:r>
      <w:r>
        <w:rPr>
          <w:rFonts w:hint="eastAsia" w:ascii="宋体" w:hAnsi="宋体" w:eastAsia="宋体" w:cs="宋体"/>
          <w:color w:val="auto"/>
          <w:sz w:val="24"/>
          <w:szCs w:val="24"/>
        </w:rPr>
        <w:t>，单价调整方式：</w:t>
      </w:r>
      <w:r>
        <w:rPr>
          <w:rFonts w:hint="eastAsia" w:ascii="宋体" w:hAnsi="宋体" w:eastAsia="宋体" w:cs="宋体"/>
          <w:b/>
          <w:color w:val="auto"/>
          <w:sz w:val="24"/>
          <w:szCs w:val="24"/>
          <w:u w:val="single"/>
        </w:rPr>
        <w:t>单价不调整</w:t>
      </w:r>
    </w:p>
    <w:p w14:paraId="0F42576E">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57" w:name="_Toc434412414"/>
      <w:bookmarkStart w:id="358" w:name="_Toc453677557"/>
      <w:bookmarkStart w:id="359" w:name="_Toc414368635"/>
      <w:bookmarkStart w:id="360" w:name="_Toc414352162"/>
      <w:bookmarkStart w:id="361" w:name="_Toc453678749"/>
      <w:bookmarkStart w:id="362" w:name="_Toc414268930"/>
      <w:bookmarkStart w:id="363" w:name="_Toc439684404"/>
      <w:bookmarkStart w:id="364" w:name="_Toc414275479"/>
      <w:r>
        <w:rPr>
          <w:rFonts w:hint="eastAsia" w:ascii="宋体" w:hAnsi="宋体" w:eastAsia="宋体" w:cs="宋体"/>
          <w:color w:val="auto"/>
          <w:sz w:val="24"/>
          <w:szCs w:val="24"/>
        </w:rPr>
        <w:t>15.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承包人的合理化建议</w:t>
      </w:r>
      <w:bookmarkEnd w:id="357"/>
      <w:bookmarkEnd w:id="358"/>
      <w:bookmarkEnd w:id="359"/>
      <w:bookmarkEnd w:id="360"/>
      <w:bookmarkEnd w:id="361"/>
      <w:bookmarkEnd w:id="362"/>
      <w:bookmarkEnd w:id="363"/>
      <w:bookmarkEnd w:id="364"/>
    </w:p>
    <w:p w14:paraId="221B491D">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u w:val="single"/>
        </w:rPr>
      </w:pPr>
      <w:r>
        <w:rPr>
          <w:rFonts w:hint="eastAsia" w:ascii="宋体" w:hAnsi="宋体" w:cs="宋体"/>
          <w:color w:val="auto"/>
          <w:sz w:val="24"/>
          <w:szCs w:val="24"/>
          <w:lang w:val="en-US" w:eastAsia="zh-CN"/>
        </w:rPr>
        <w:t>15.5.2</w:t>
      </w:r>
      <w:r>
        <w:rPr>
          <w:rFonts w:hint="eastAsia" w:ascii="宋体" w:hAnsi="宋体" w:eastAsia="宋体" w:cs="宋体"/>
          <w:color w:val="auto"/>
          <w:sz w:val="24"/>
          <w:szCs w:val="24"/>
        </w:rPr>
        <w:t>承包人实现合理化建议的奖为：（</w:t>
      </w:r>
      <w:r>
        <w:rPr>
          <w:rFonts w:hint="eastAsia" w:ascii="宋体" w:hAnsi="宋体" w:eastAsia="宋体" w:cs="宋体"/>
          <w:b/>
          <w:color w:val="auto"/>
          <w:sz w:val="24"/>
          <w:szCs w:val="24"/>
          <w:u w:val="single"/>
        </w:rPr>
        <w:t>依通用合同条款</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5FAF3010">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365" w:name="_Toc453678750"/>
      <w:bookmarkStart w:id="366" w:name="_Toc414352163"/>
      <w:bookmarkStart w:id="367" w:name="_Toc439684405"/>
      <w:bookmarkStart w:id="368" w:name="_Toc414268931"/>
      <w:bookmarkStart w:id="369" w:name="_Toc414368636"/>
      <w:bookmarkStart w:id="370" w:name="_Toc434412415"/>
      <w:bookmarkStart w:id="371" w:name="_Toc453677558"/>
      <w:bookmarkStart w:id="372" w:name="_Toc414275480"/>
      <w:r>
        <w:rPr>
          <w:rFonts w:hint="eastAsia" w:ascii="宋体" w:hAnsi="宋体" w:eastAsia="宋体" w:cs="宋体"/>
          <w:color w:val="auto"/>
          <w:sz w:val="24"/>
          <w:szCs w:val="24"/>
        </w:rPr>
        <w:t>15.6 暂列金额</w:t>
      </w:r>
    </w:p>
    <w:p w14:paraId="422D2B2C">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本工程暂列金额为：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14:paraId="3A5E4D4B">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15.8 暂估价</w:t>
      </w:r>
    </w:p>
    <w:p w14:paraId="7415586C">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15.8.1 （1）发包人和承包人组织招标的暂估价项目：</w:t>
      </w:r>
      <w:r>
        <w:rPr>
          <w:rFonts w:hint="eastAsia" w:ascii="宋体" w:hAnsi="宋体" w:eastAsia="宋体" w:cs="宋体"/>
          <w:color w:val="auto"/>
          <w:sz w:val="24"/>
          <w:szCs w:val="24"/>
          <w:u w:val="single"/>
        </w:rPr>
        <w:t xml:space="preserve">  签约后填入  </w:t>
      </w:r>
      <w:r>
        <w:rPr>
          <w:rFonts w:hint="eastAsia" w:ascii="宋体" w:hAnsi="宋体" w:eastAsia="宋体" w:cs="宋体"/>
          <w:color w:val="auto"/>
          <w:sz w:val="24"/>
          <w:szCs w:val="24"/>
        </w:rPr>
        <w:t>；发包人组织招标的暂估价项目：</w:t>
      </w:r>
      <w:r>
        <w:rPr>
          <w:rFonts w:hint="eastAsia" w:ascii="宋体" w:hAnsi="宋体" w:eastAsia="宋体" w:cs="宋体"/>
          <w:color w:val="auto"/>
          <w:sz w:val="24"/>
          <w:szCs w:val="24"/>
          <w:u w:val="single"/>
        </w:rPr>
        <w:t xml:space="preserve">   签约后填入  </w:t>
      </w:r>
      <w:r>
        <w:rPr>
          <w:rFonts w:hint="eastAsia" w:ascii="宋体" w:hAnsi="宋体" w:eastAsia="宋体" w:cs="宋体"/>
          <w:color w:val="auto"/>
          <w:sz w:val="24"/>
          <w:szCs w:val="24"/>
        </w:rPr>
        <w:t>。</w:t>
      </w:r>
    </w:p>
    <w:p w14:paraId="75901BB9">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（2）发包人和承包人以招标方式选择暂估价项目供应商或分包人时，双方的权利义务关系：</w:t>
      </w:r>
      <w:r>
        <w:rPr>
          <w:rFonts w:hint="eastAsia" w:ascii="宋体" w:hAnsi="宋体" w:eastAsia="宋体" w:cs="宋体"/>
          <w:color w:val="auto"/>
          <w:sz w:val="24"/>
          <w:szCs w:val="24"/>
          <w:u w:val="single"/>
        </w:rPr>
        <w:t xml:space="preserve">  由发包人确定   </w:t>
      </w:r>
      <w:r>
        <w:rPr>
          <w:rFonts w:hint="eastAsia" w:ascii="宋体" w:hAnsi="宋体" w:eastAsia="宋体" w:cs="宋体"/>
          <w:color w:val="auto"/>
          <w:sz w:val="24"/>
          <w:szCs w:val="24"/>
        </w:rPr>
        <w:t>。</w:t>
      </w:r>
    </w:p>
    <w:p w14:paraId="27D1F37D">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16．价格调整</w:t>
      </w:r>
      <w:bookmarkEnd w:id="365"/>
      <w:bookmarkEnd w:id="366"/>
      <w:bookmarkEnd w:id="367"/>
      <w:bookmarkEnd w:id="368"/>
      <w:bookmarkEnd w:id="369"/>
      <w:bookmarkEnd w:id="370"/>
      <w:bookmarkEnd w:id="371"/>
      <w:bookmarkEnd w:id="372"/>
      <w:r>
        <w:rPr>
          <w:rFonts w:hint="eastAsia" w:ascii="宋体" w:hAnsi="宋体" w:eastAsia="宋体" w:cs="宋体"/>
          <w:color w:val="auto"/>
          <w:sz w:val="24"/>
          <w:szCs w:val="24"/>
          <w:lang w:val="en-US" w:eastAsia="zh-CN"/>
        </w:rPr>
        <w:t xml:space="preserve"> </w:t>
      </w:r>
    </w:p>
    <w:p w14:paraId="641BCDAE">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73" w:name="_Toc414352164"/>
      <w:bookmarkStart w:id="374" w:name="_Toc414368637"/>
      <w:bookmarkStart w:id="375" w:name="_Toc439684406"/>
      <w:bookmarkStart w:id="376" w:name="_Toc414275481"/>
      <w:bookmarkStart w:id="377" w:name="_Toc434412416"/>
      <w:bookmarkStart w:id="378" w:name="_Toc414268932"/>
      <w:bookmarkStart w:id="379" w:name="_Toc453677559"/>
      <w:bookmarkStart w:id="380" w:name="_Toc453678751"/>
      <w:r>
        <w:rPr>
          <w:rFonts w:hint="eastAsia" w:ascii="宋体" w:hAnsi="宋体" w:eastAsia="宋体" w:cs="宋体"/>
          <w:color w:val="auto"/>
          <w:sz w:val="24"/>
          <w:szCs w:val="24"/>
        </w:rPr>
        <w:t>16.1 物价波动引起的价格调整</w:t>
      </w:r>
      <w:bookmarkEnd w:id="373"/>
      <w:bookmarkEnd w:id="374"/>
      <w:bookmarkEnd w:id="375"/>
      <w:bookmarkEnd w:id="376"/>
      <w:bookmarkEnd w:id="377"/>
      <w:bookmarkEnd w:id="378"/>
      <w:bookmarkEnd w:id="379"/>
      <w:bookmarkEnd w:id="380"/>
    </w:p>
    <w:p w14:paraId="7F995D16">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物价波动引起的价格调整方式：</w:t>
      </w:r>
      <w:r>
        <w:rPr>
          <w:rFonts w:hint="eastAsia" w:ascii="宋体" w:hAnsi="宋体" w:eastAsia="宋体" w:cs="宋体"/>
          <w:color w:val="auto"/>
          <w:sz w:val="24"/>
          <w:szCs w:val="24"/>
          <w:u w:val="single"/>
        </w:rPr>
        <w:t>不调价</w:t>
      </w:r>
      <w:r>
        <w:rPr>
          <w:rFonts w:hint="eastAsia" w:ascii="宋体" w:hAnsi="宋体" w:eastAsia="宋体" w:cs="宋体"/>
          <w:color w:val="auto"/>
          <w:sz w:val="24"/>
          <w:szCs w:val="24"/>
        </w:rPr>
        <w:t xml:space="preserve"> 。</w:t>
      </w:r>
    </w:p>
    <w:p w14:paraId="181A37DC">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381" w:name="_Toc417897596"/>
      <w:bookmarkStart w:id="382" w:name="_Toc203759013"/>
      <w:bookmarkStart w:id="383" w:name="_Toc419464494"/>
      <w:bookmarkStart w:id="384" w:name="_Toc453678752"/>
      <w:bookmarkStart w:id="385" w:name="_Toc409275636"/>
      <w:bookmarkStart w:id="386" w:name="_Toc453677560"/>
      <w:bookmarkStart w:id="387" w:name="_Toc414351566"/>
      <w:bookmarkStart w:id="388" w:name="_Toc439684407"/>
      <w:bookmarkStart w:id="389" w:name="_Toc417897774"/>
      <w:bookmarkStart w:id="390" w:name="_Toc414439982"/>
      <w:bookmarkStart w:id="391" w:name="_Toc417898933"/>
      <w:bookmarkStart w:id="392" w:name="_Toc434412417"/>
      <w:r>
        <w:rPr>
          <w:rFonts w:hint="eastAsia" w:ascii="宋体" w:hAnsi="宋体" w:eastAsia="宋体" w:cs="宋体"/>
          <w:color w:val="auto"/>
          <w:sz w:val="24"/>
          <w:szCs w:val="24"/>
        </w:rPr>
        <w:t>17．</w:t>
      </w:r>
      <w:bookmarkEnd w:id="381"/>
      <w:bookmarkEnd w:id="382"/>
      <w:bookmarkEnd w:id="383"/>
      <w:bookmarkEnd w:id="384"/>
      <w:bookmarkEnd w:id="385"/>
      <w:bookmarkEnd w:id="386"/>
      <w:bookmarkEnd w:id="387"/>
      <w:bookmarkEnd w:id="388"/>
      <w:bookmarkEnd w:id="389"/>
      <w:bookmarkEnd w:id="390"/>
      <w:bookmarkEnd w:id="391"/>
      <w:bookmarkEnd w:id="392"/>
      <w:r>
        <w:rPr>
          <w:rFonts w:hint="eastAsia" w:ascii="宋体" w:hAnsi="宋体" w:eastAsia="宋体" w:cs="宋体"/>
          <w:color w:val="auto"/>
          <w:sz w:val="24"/>
          <w:szCs w:val="24"/>
        </w:rPr>
        <w:t>合同价格形式、计量与支付</w:t>
      </w:r>
    </w:p>
    <w:p w14:paraId="67570095">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393" w:name="_Toc417897597"/>
      <w:bookmarkStart w:id="394" w:name="_Toc409275637"/>
      <w:bookmarkStart w:id="395" w:name="_Toc417898934"/>
      <w:bookmarkStart w:id="396" w:name="_Toc439684408"/>
      <w:bookmarkStart w:id="397" w:name="_Toc453678753"/>
      <w:bookmarkStart w:id="398" w:name="_Toc419464495"/>
      <w:bookmarkStart w:id="399" w:name="_Toc453677561"/>
      <w:bookmarkStart w:id="400" w:name="_Toc434412418"/>
      <w:bookmarkStart w:id="401" w:name="_Toc414368641"/>
      <w:bookmarkStart w:id="402" w:name="_Toc414275485"/>
      <w:bookmarkStart w:id="403" w:name="_Toc414352168"/>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预付款</w:t>
      </w:r>
      <w:bookmarkEnd w:id="393"/>
      <w:bookmarkEnd w:id="394"/>
      <w:bookmarkEnd w:id="395"/>
      <w:bookmarkEnd w:id="396"/>
      <w:bookmarkEnd w:id="397"/>
      <w:bookmarkEnd w:id="398"/>
      <w:bookmarkEnd w:id="399"/>
      <w:bookmarkEnd w:id="400"/>
    </w:p>
    <w:p w14:paraId="212FD8B9">
      <w:pPr>
        <w:keepLines w:val="0"/>
        <w:pageBreakBefore w:val="0"/>
        <w:widowControl w:val="0"/>
        <w:kinsoku/>
        <w:wordWrap/>
        <w:overflowPunct/>
        <w:topLinePunct w:val="0"/>
        <w:bidi w:val="0"/>
        <w:spacing w:line="420" w:lineRule="exact"/>
        <w:ind w:firstLine="482" w:firstLineChars="200"/>
        <w:rPr>
          <w:rFonts w:hint="eastAsia" w:ascii="宋体" w:hAnsi="宋体" w:eastAsia="宋体" w:cs="宋体"/>
          <w:b/>
          <w:color w:val="auto"/>
          <w:sz w:val="24"/>
          <w:szCs w:val="24"/>
          <w:highlight w:val="none"/>
        </w:rPr>
      </w:pPr>
      <w:bookmarkStart w:id="404" w:name="_Toc417898532"/>
      <w:bookmarkStart w:id="405" w:name="_Toc417897776"/>
      <w:bookmarkStart w:id="406" w:name="_Toc417899341"/>
      <w:bookmarkStart w:id="407" w:name="_Toc417898936"/>
      <w:bookmarkStart w:id="408" w:name="_Toc417897599"/>
      <w:bookmarkStart w:id="409" w:name="_Toc417898125"/>
      <w:r>
        <w:rPr>
          <w:rFonts w:hint="eastAsia" w:ascii="宋体" w:hAnsi="宋体" w:eastAsia="宋体" w:cs="宋体"/>
          <w:b/>
          <w:color w:val="auto"/>
          <w:sz w:val="24"/>
          <w:szCs w:val="24"/>
          <w:highlight w:val="none"/>
        </w:rPr>
        <w:t>本工程预付款</w:t>
      </w:r>
      <w:r>
        <w:rPr>
          <w:rFonts w:hint="eastAsia" w:ascii="宋体" w:hAnsi="宋体" w:cs="宋体"/>
          <w:b/>
          <w:color w:val="auto"/>
          <w:sz w:val="24"/>
          <w:szCs w:val="24"/>
          <w:highlight w:val="none"/>
          <w:u w:val="single"/>
          <w:lang w:val="en-US" w:eastAsia="zh-CN"/>
        </w:rPr>
        <w:t xml:space="preserve">   % </w:t>
      </w:r>
      <w:r>
        <w:rPr>
          <w:rFonts w:hint="eastAsia" w:ascii="宋体" w:hAnsi="宋体" w:cs="宋体"/>
          <w:b/>
          <w:color w:val="auto"/>
          <w:sz w:val="24"/>
          <w:szCs w:val="24"/>
          <w:highlight w:val="none"/>
          <w:u w:val="none"/>
          <w:lang w:val="en-US" w:eastAsia="zh-CN"/>
        </w:rPr>
        <w:t>合同价款。</w:t>
      </w:r>
    </w:p>
    <w:bookmarkEnd w:id="404"/>
    <w:bookmarkEnd w:id="405"/>
    <w:bookmarkEnd w:id="406"/>
    <w:bookmarkEnd w:id="407"/>
    <w:bookmarkEnd w:id="408"/>
    <w:bookmarkEnd w:id="409"/>
    <w:p w14:paraId="2F681C7E">
      <w:pPr>
        <w:keepLines w:val="0"/>
        <w:pageBreakBefore w:val="0"/>
        <w:widowControl w:val="0"/>
        <w:kinsoku/>
        <w:wordWrap/>
        <w:overflowPunct/>
        <w:topLinePunct w:val="0"/>
        <w:bidi w:val="0"/>
        <w:spacing w:line="42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17.</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进度付款</w:t>
      </w:r>
    </w:p>
    <w:bookmarkEnd w:id="401"/>
    <w:bookmarkEnd w:id="402"/>
    <w:bookmarkEnd w:id="403"/>
    <w:p w14:paraId="0417A0F0">
      <w:pPr>
        <w:keepLines w:val="0"/>
        <w:pageBreakBefore w:val="0"/>
        <w:widowControl w:val="0"/>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签订合同，待工程完工且验收合格后不计息一次性付清所有合同价款。</w:t>
      </w:r>
    </w:p>
    <w:p w14:paraId="5C0B7A94">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17.4质量保证金：本项目无质量保证金。</w:t>
      </w:r>
      <w:bookmarkStart w:id="410" w:name="_Toc453677567"/>
      <w:bookmarkStart w:id="411" w:name="_Toc414352172"/>
      <w:bookmarkStart w:id="412" w:name="_Toc453678759"/>
      <w:bookmarkStart w:id="413" w:name="_Toc439684414"/>
      <w:bookmarkStart w:id="414" w:name="_Toc414368645"/>
      <w:bookmarkStart w:id="415" w:name="_Toc414275489"/>
      <w:bookmarkStart w:id="416" w:name="_Toc434412423"/>
    </w:p>
    <w:p w14:paraId="7114CAF2">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17.9</w:t>
      </w:r>
      <w:r>
        <w:rPr>
          <w:rFonts w:hint="eastAsia" w:ascii="宋体" w:hAnsi="宋体" w:cs="宋体"/>
          <w:color w:val="auto"/>
          <w:sz w:val="24"/>
          <w:szCs w:val="24"/>
          <w:lang w:val="en-US" w:eastAsia="zh-CN"/>
        </w:rPr>
        <w:t>单价合同</w:t>
      </w:r>
      <w:r>
        <w:rPr>
          <w:rFonts w:hint="eastAsia" w:ascii="宋体" w:hAnsi="宋体" w:eastAsia="宋体" w:cs="宋体"/>
          <w:color w:val="auto"/>
          <w:sz w:val="24"/>
          <w:szCs w:val="24"/>
        </w:rPr>
        <w:t>。</w:t>
      </w:r>
    </w:p>
    <w:p w14:paraId="0723D1E9">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 本协议书中规定承包范围的所有工作内容；合同执行期间自主报价内容的市场价格变化；人工费、材料费（除约定材料）、机械费的社会价格浮动，除法定不可抗力因素以外的所有风险、责任和义务均视为综合单价的风险；招标工程量清单包含的但由于承包人漏报、未报的项目，招标人视为供应商优惠，招标人不予调整；本合同人工费价格、税金等执行国家政策性文件调整，此风险不包含在综合单价风险中。实际完成工程量与工程量清单表明的工程量变化幅度不得超过10%。</w:t>
      </w:r>
    </w:p>
    <w:p w14:paraId="129542E0">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 应由承包人承担的风险费用已由承包人根据自身经验做了充分估计并已计入合同协议确定的合同价款中。</w:t>
      </w:r>
    </w:p>
    <w:p w14:paraId="484AB725">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1）合同已有适用的综合单价，按合同已有的综合单价结算；（2）合同中只有类似的综合单价，参照类似综合单价进行结算；（3）合同中没有适用或类似的综合单价时，按招标同期控制价的编制原则编制其综合单价，按中标价与控制价的优惠比率下浮后作为结算价；（4）合同中有相同清单项但报价不同时，价款调增以最低综合单价或价格计算；（5）经发包方认质认价的材料，在工程结算时计算材料差价，差价部分计取安全文明施工费、规费和税金，原中标综合单价不变。</w:t>
      </w:r>
    </w:p>
    <w:p w14:paraId="3D55F96D">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18．竣工验收（验收）(注:本条款执行《水利水电建设工程验收规程》(SL223-2008)</w:t>
      </w:r>
      <w:bookmarkEnd w:id="410"/>
      <w:bookmarkEnd w:id="411"/>
      <w:bookmarkEnd w:id="412"/>
      <w:bookmarkEnd w:id="413"/>
      <w:bookmarkEnd w:id="414"/>
      <w:bookmarkEnd w:id="415"/>
      <w:bookmarkEnd w:id="416"/>
      <w:r>
        <w:rPr>
          <w:rFonts w:hint="eastAsia" w:ascii="宋体" w:hAnsi="宋体" w:eastAsia="宋体" w:cs="宋体"/>
          <w:color w:val="auto"/>
          <w:sz w:val="24"/>
          <w:szCs w:val="24"/>
        </w:rPr>
        <w:t xml:space="preserve">  </w:t>
      </w:r>
    </w:p>
    <w:p w14:paraId="5EC06B5F">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417" w:name="_Toc453677568"/>
      <w:bookmarkStart w:id="418" w:name="_Toc414352173"/>
      <w:bookmarkStart w:id="419" w:name="_Toc414368646"/>
      <w:bookmarkStart w:id="420" w:name="_Toc434412424"/>
      <w:bookmarkStart w:id="421" w:name="_Toc453678760"/>
      <w:bookmarkStart w:id="422" w:name="_Toc414275490"/>
      <w:bookmarkStart w:id="423" w:name="_Toc439684415"/>
      <w:r>
        <w:rPr>
          <w:rFonts w:hint="eastAsia" w:ascii="宋体" w:hAnsi="宋体" w:eastAsia="宋体" w:cs="宋体"/>
          <w:color w:val="auto"/>
          <w:sz w:val="24"/>
          <w:szCs w:val="24"/>
        </w:rPr>
        <w:t>18.1 验收工作分类</w:t>
      </w:r>
      <w:bookmarkEnd w:id="417"/>
      <w:bookmarkEnd w:id="418"/>
      <w:bookmarkEnd w:id="419"/>
      <w:bookmarkEnd w:id="420"/>
      <w:bookmarkEnd w:id="421"/>
      <w:bookmarkEnd w:id="422"/>
      <w:bookmarkEnd w:id="423"/>
    </w:p>
    <w:p w14:paraId="348F9683">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本工程法人验收包括：</w:t>
      </w:r>
      <w:r>
        <w:rPr>
          <w:rFonts w:hint="eastAsia" w:ascii="宋体" w:hAnsi="宋体" w:eastAsia="宋体" w:cs="宋体"/>
          <w:b/>
          <w:color w:val="auto"/>
          <w:sz w:val="24"/>
          <w:szCs w:val="24"/>
          <w:u w:val="single"/>
        </w:rPr>
        <w:t>重要隐蔽工程、分部工程验收、单位工程验收、合同完工验收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1E303A0">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政府验收包括：</w:t>
      </w:r>
      <w:r>
        <w:rPr>
          <w:rFonts w:hint="eastAsia" w:ascii="宋体" w:hAnsi="宋体" w:eastAsia="宋体" w:cs="宋体"/>
          <w:b/>
          <w:color w:val="auto"/>
          <w:sz w:val="24"/>
          <w:szCs w:val="24"/>
          <w:u w:val="single"/>
        </w:rPr>
        <w:t>阶段验收、专项验收、竣工验收</w:t>
      </w:r>
      <w:r>
        <w:rPr>
          <w:rFonts w:hint="eastAsia" w:ascii="宋体" w:hAnsi="宋体" w:eastAsia="宋体" w:cs="宋体"/>
          <w:color w:val="auto"/>
          <w:sz w:val="24"/>
          <w:szCs w:val="24"/>
          <w:u w:val="single"/>
        </w:rPr>
        <w:t>；</w:t>
      </w:r>
    </w:p>
    <w:p w14:paraId="491ECEB5">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验收条件为：</w:t>
      </w:r>
      <w:r>
        <w:rPr>
          <w:rFonts w:hint="eastAsia" w:ascii="宋体" w:hAnsi="宋体" w:eastAsia="宋体" w:cs="宋体"/>
          <w:b/>
          <w:color w:val="auto"/>
          <w:sz w:val="24"/>
          <w:szCs w:val="24"/>
          <w:u w:val="single"/>
        </w:rPr>
        <w:t>根据《水利水电建设工程验收规程》SL223-2008执行。</w:t>
      </w:r>
    </w:p>
    <w:p w14:paraId="3A139F7F">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验收程序为：</w:t>
      </w:r>
      <w:r>
        <w:rPr>
          <w:rFonts w:hint="eastAsia" w:ascii="宋体" w:hAnsi="宋体" w:eastAsia="宋体" w:cs="宋体"/>
          <w:b/>
          <w:color w:val="auto"/>
          <w:sz w:val="24"/>
          <w:szCs w:val="24"/>
          <w:u w:val="single"/>
        </w:rPr>
        <w:t>根据《水利水电建设工程验收规程》SL223-2008执行。</w:t>
      </w:r>
      <w:r>
        <w:rPr>
          <w:rFonts w:hint="eastAsia" w:ascii="宋体" w:hAnsi="宋体" w:eastAsia="宋体" w:cs="宋体"/>
          <w:color w:val="auto"/>
          <w:sz w:val="24"/>
          <w:szCs w:val="24"/>
        </w:rPr>
        <w:t xml:space="preserve"> </w:t>
      </w:r>
    </w:p>
    <w:p w14:paraId="3E757727">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424" w:name="_Toc453678761"/>
      <w:bookmarkStart w:id="425" w:name="_Toc439684416"/>
      <w:bookmarkStart w:id="426" w:name="_Toc414368647"/>
      <w:bookmarkStart w:id="427" w:name="_Toc434412425"/>
      <w:bookmarkStart w:id="428" w:name="_Toc414275491"/>
      <w:bookmarkStart w:id="429" w:name="_Toc414352174"/>
      <w:bookmarkStart w:id="430" w:name="_Toc453677569"/>
      <w:r>
        <w:rPr>
          <w:rFonts w:hint="eastAsia" w:ascii="宋体" w:hAnsi="宋体" w:eastAsia="宋体" w:cs="宋体"/>
          <w:color w:val="auto"/>
          <w:sz w:val="24"/>
          <w:szCs w:val="24"/>
        </w:rPr>
        <w:t>18.2 分部工程验收</w:t>
      </w:r>
      <w:bookmarkEnd w:id="424"/>
      <w:bookmarkEnd w:id="425"/>
      <w:bookmarkEnd w:id="426"/>
      <w:bookmarkEnd w:id="427"/>
      <w:bookmarkEnd w:id="428"/>
      <w:bookmarkEnd w:id="429"/>
      <w:bookmarkEnd w:id="430"/>
    </w:p>
    <w:p w14:paraId="0C8D3982">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本工程由发包人主持的工程验收为</w:t>
      </w:r>
      <w:r>
        <w:rPr>
          <w:rFonts w:hint="eastAsia" w:ascii="宋体" w:hAnsi="宋体" w:eastAsia="宋体" w:cs="宋体"/>
          <w:b/>
          <w:color w:val="auto"/>
          <w:sz w:val="24"/>
          <w:szCs w:val="24"/>
          <w:u w:val="single"/>
        </w:rPr>
        <w:t>分部工程验收、单位工程验收、合同完工验收</w:t>
      </w:r>
      <w:r>
        <w:rPr>
          <w:rFonts w:hint="eastAsia" w:ascii="宋体" w:hAnsi="宋体" w:eastAsia="宋体" w:cs="宋体"/>
          <w:color w:val="auto"/>
          <w:sz w:val="24"/>
          <w:szCs w:val="24"/>
        </w:rPr>
        <w:t>，其余由监理人主持。</w:t>
      </w:r>
    </w:p>
    <w:p w14:paraId="1C71D1C7">
      <w:pPr>
        <w:pStyle w:val="4"/>
        <w:keepLines w:val="0"/>
        <w:pageBreakBefore w:val="0"/>
        <w:widowControl w:val="0"/>
        <w:kinsoku/>
        <w:wordWrap/>
        <w:overflowPunct/>
        <w:topLinePunct w:val="0"/>
        <w:bidi w:val="0"/>
        <w:spacing w:line="420" w:lineRule="exact"/>
        <w:ind w:firstLine="480" w:firstLineChars="200"/>
        <w:jc w:val="both"/>
        <w:rPr>
          <w:rFonts w:hint="eastAsia" w:ascii="宋体" w:hAnsi="宋体" w:eastAsia="宋体" w:cs="宋体"/>
          <w:color w:val="auto"/>
          <w:sz w:val="24"/>
          <w:szCs w:val="24"/>
        </w:rPr>
      </w:pPr>
      <w:bookmarkStart w:id="431" w:name="_Toc453677570"/>
      <w:bookmarkStart w:id="432" w:name="_Toc414368648"/>
      <w:bookmarkStart w:id="433" w:name="_Toc434412426"/>
      <w:bookmarkStart w:id="434" w:name="_Toc439684417"/>
      <w:bookmarkStart w:id="435" w:name="_Toc414275492"/>
      <w:bookmarkStart w:id="436" w:name="_Toc453678762"/>
      <w:bookmarkStart w:id="437" w:name="_Toc414352175"/>
      <w:r>
        <w:rPr>
          <w:rFonts w:hint="eastAsia" w:ascii="宋体" w:hAnsi="宋体" w:eastAsia="宋体" w:cs="宋体"/>
          <w:color w:val="auto"/>
          <w:sz w:val="24"/>
          <w:szCs w:val="24"/>
        </w:rPr>
        <w:t>18.3 单位工程验收</w:t>
      </w:r>
      <w:bookmarkEnd w:id="431"/>
      <w:bookmarkEnd w:id="432"/>
      <w:bookmarkEnd w:id="433"/>
      <w:bookmarkEnd w:id="434"/>
      <w:bookmarkEnd w:id="435"/>
      <w:bookmarkEnd w:id="436"/>
      <w:bookmarkEnd w:id="437"/>
    </w:p>
    <w:p w14:paraId="06539200">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提前投入使用的单位工程包括：</w:t>
      </w:r>
      <w:r>
        <w:rPr>
          <w:rFonts w:hint="eastAsia" w:ascii="宋体" w:hAnsi="宋体" w:eastAsia="宋体" w:cs="宋体"/>
          <w:b/>
          <w:color w:val="auto"/>
          <w:sz w:val="24"/>
          <w:szCs w:val="24"/>
          <w:u w:val="single"/>
        </w:rPr>
        <w:t>无</w:t>
      </w:r>
      <w:r>
        <w:rPr>
          <w:rFonts w:hint="eastAsia" w:ascii="宋体" w:hAnsi="宋体" w:eastAsia="宋体" w:cs="宋体"/>
          <w:color w:val="auto"/>
          <w:sz w:val="24"/>
          <w:szCs w:val="24"/>
        </w:rPr>
        <w:t xml:space="preserve"> 。</w:t>
      </w:r>
    </w:p>
    <w:p w14:paraId="7BA20186">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438" w:name="_Toc453678763"/>
      <w:bookmarkStart w:id="439" w:name="_Toc434412427"/>
      <w:bookmarkStart w:id="440" w:name="_Toc414275493"/>
      <w:bookmarkStart w:id="441" w:name="_Toc439684418"/>
      <w:bookmarkStart w:id="442" w:name="_Toc453677571"/>
      <w:bookmarkStart w:id="443" w:name="_Toc414352176"/>
      <w:bookmarkStart w:id="444" w:name="_Toc414368649"/>
      <w:r>
        <w:rPr>
          <w:rFonts w:hint="eastAsia" w:ascii="宋体" w:hAnsi="宋体" w:eastAsia="宋体" w:cs="宋体"/>
          <w:color w:val="auto"/>
          <w:sz w:val="24"/>
          <w:szCs w:val="24"/>
        </w:rPr>
        <w:t>18.5 阶段验收</w:t>
      </w:r>
      <w:bookmarkEnd w:id="438"/>
      <w:bookmarkEnd w:id="439"/>
      <w:bookmarkEnd w:id="440"/>
      <w:bookmarkEnd w:id="441"/>
      <w:bookmarkEnd w:id="442"/>
      <w:bookmarkEnd w:id="443"/>
      <w:bookmarkEnd w:id="444"/>
    </w:p>
    <w:p w14:paraId="00D656EF">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本合同工程阶段验收类别包括：</w:t>
      </w:r>
      <w:r>
        <w:rPr>
          <w:rFonts w:hint="eastAsia" w:ascii="宋体" w:hAnsi="宋体" w:eastAsia="宋体" w:cs="宋体"/>
          <w:b/>
          <w:color w:val="auto"/>
          <w:sz w:val="24"/>
          <w:szCs w:val="24"/>
          <w:u w:val="single"/>
        </w:rPr>
        <w:t>根据《水利水电建设工程验收规程》SL223-2008执行。</w:t>
      </w:r>
    </w:p>
    <w:p w14:paraId="4799D7A1">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445" w:name="_Toc414275494"/>
      <w:bookmarkStart w:id="446" w:name="_Toc414352177"/>
      <w:bookmarkStart w:id="447" w:name="_Toc453677572"/>
      <w:bookmarkStart w:id="448" w:name="_Toc453678764"/>
      <w:bookmarkStart w:id="449" w:name="_Toc439684419"/>
      <w:bookmarkStart w:id="450" w:name="_Toc434412428"/>
      <w:bookmarkStart w:id="451" w:name="_Toc414368650"/>
      <w:r>
        <w:rPr>
          <w:rFonts w:hint="eastAsia" w:ascii="宋体" w:hAnsi="宋体" w:eastAsia="宋体" w:cs="宋体"/>
          <w:color w:val="auto"/>
          <w:sz w:val="24"/>
          <w:szCs w:val="24"/>
        </w:rPr>
        <w:t>18.6 专项验收</w:t>
      </w:r>
      <w:bookmarkEnd w:id="445"/>
      <w:bookmarkEnd w:id="446"/>
      <w:bookmarkEnd w:id="447"/>
      <w:bookmarkEnd w:id="448"/>
      <w:bookmarkEnd w:id="449"/>
      <w:bookmarkEnd w:id="450"/>
      <w:bookmarkEnd w:id="451"/>
    </w:p>
    <w:p w14:paraId="2C6C43BF">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本合同工程专项验收类别包括：</w:t>
      </w:r>
      <w:r>
        <w:rPr>
          <w:rFonts w:hint="eastAsia" w:ascii="宋体" w:hAnsi="宋体" w:eastAsia="宋体" w:cs="宋体"/>
          <w:b/>
          <w:color w:val="auto"/>
          <w:sz w:val="24"/>
          <w:szCs w:val="24"/>
          <w:u w:val="single"/>
        </w:rPr>
        <w:t>根据《水利水电建设工程验收规程》SL223-2008执行。</w:t>
      </w:r>
    </w:p>
    <w:p w14:paraId="17A3DF20">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452" w:name="_Toc414275495"/>
      <w:bookmarkStart w:id="453" w:name="_Toc439684420"/>
      <w:bookmarkStart w:id="454" w:name="_Toc453678765"/>
      <w:bookmarkStart w:id="455" w:name="_Toc414352178"/>
      <w:bookmarkStart w:id="456" w:name="_Toc434412429"/>
      <w:bookmarkStart w:id="457" w:name="_Toc414368651"/>
      <w:bookmarkStart w:id="458" w:name="_Toc453677573"/>
      <w:r>
        <w:rPr>
          <w:rFonts w:hint="eastAsia" w:ascii="宋体" w:hAnsi="宋体" w:eastAsia="宋体" w:cs="宋体"/>
          <w:color w:val="auto"/>
          <w:sz w:val="24"/>
          <w:szCs w:val="24"/>
        </w:rPr>
        <w:t>18.7 竣工验收</w:t>
      </w:r>
      <w:bookmarkEnd w:id="452"/>
      <w:bookmarkEnd w:id="453"/>
      <w:bookmarkEnd w:id="454"/>
      <w:bookmarkEnd w:id="455"/>
      <w:bookmarkEnd w:id="456"/>
      <w:bookmarkEnd w:id="457"/>
      <w:bookmarkEnd w:id="458"/>
    </w:p>
    <w:p w14:paraId="140805BF">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bookmarkStart w:id="459" w:name="_Toc414275496"/>
      <w:bookmarkStart w:id="460" w:name="_Toc414352179"/>
      <w:bookmarkStart w:id="461" w:name="_Toc414368652"/>
      <w:r>
        <w:rPr>
          <w:rFonts w:hint="eastAsia" w:ascii="宋体" w:hAnsi="宋体" w:eastAsia="宋体" w:cs="宋体"/>
          <w:color w:val="auto"/>
          <w:sz w:val="24"/>
          <w:szCs w:val="24"/>
        </w:rPr>
        <w:t>本工程</w:t>
      </w:r>
      <w:r>
        <w:rPr>
          <w:rFonts w:hint="eastAsia" w:ascii="宋体" w:hAnsi="宋体" w:eastAsia="宋体" w:cs="宋体"/>
          <w:b/>
          <w:color w:val="auto"/>
          <w:sz w:val="24"/>
          <w:szCs w:val="24"/>
        </w:rPr>
        <w:t>签约时确定（需要／不需要</w:t>
      </w:r>
      <w:r>
        <w:rPr>
          <w:rFonts w:hint="eastAsia" w:ascii="宋体" w:hAnsi="宋体" w:eastAsia="宋体" w:cs="宋体"/>
          <w:color w:val="auto"/>
          <w:sz w:val="24"/>
          <w:szCs w:val="24"/>
        </w:rPr>
        <w:t>）竣工验收技术鉴定 （ 蓄水安全鉴定）。</w:t>
      </w:r>
    </w:p>
    <w:p w14:paraId="74EBC2BA">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462" w:name="_Toc439684421"/>
      <w:bookmarkStart w:id="463" w:name="_Toc453677574"/>
      <w:bookmarkStart w:id="464" w:name="_Toc434412430"/>
      <w:bookmarkStart w:id="465" w:name="_Toc453678766"/>
      <w:r>
        <w:rPr>
          <w:rFonts w:hint="eastAsia" w:ascii="宋体" w:hAnsi="宋体" w:eastAsia="宋体" w:cs="宋体"/>
          <w:color w:val="auto"/>
          <w:sz w:val="24"/>
          <w:szCs w:val="24"/>
        </w:rPr>
        <w:t>18.8 施工期运行</w:t>
      </w:r>
      <w:bookmarkEnd w:id="459"/>
      <w:bookmarkEnd w:id="460"/>
      <w:bookmarkEnd w:id="461"/>
      <w:bookmarkEnd w:id="462"/>
      <w:bookmarkEnd w:id="463"/>
      <w:bookmarkEnd w:id="464"/>
      <w:bookmarkEnd w:id="465"/>
    </w:p>
    <w:p w14:paraId="4B03FAD4">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需要在施工期运行的单位工程或工程设备为：</w:t>
      </w:r>
      <w:r>
        <w:rPr>
          <w:rFonts w:hint="eastAsia" w:ascii="宋体" w:hAnsi="宋体" w:eastAsia="宋体" w:cs="宋体"/>
          <w:b/>
          <w:color w:val="auto"/>
          <w:sz w:val="24"/>
          <w:szCs w:val="24"/>
          <w:u w:val="single"/>
        </w:rPr>
        <w:t>无</w:t>
      </w:r>
      <w:r>
        <w:rPr>
          <w:rFonts w:hint="eastAsia" w:ascii="宋体" w:hAnsi="宋体" w:eastAsia="宋体" w:cs="宋体"/>
          <w:color w:val="auto"/>
          <w:sz w:val="24"/>
          <w:szCs w:val="24"/>
        </w:rPr>
        <w:t>。　</w:t>
      </w:r>
    </w:p>
    <w:p w14:paraId="7E8167B9">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466" w:name="_Toc414275497"/>
      <w:bookmarkStart w:id="467" w:name="_Toc453677575"/>
      <w:bookmarkStart w:id="468" w:name="_Toc439684422"/>
      <w:bookmarkStart w:id="469" w:name="_Toc434412431"/>
      <w:bookmarkStart w:id="470" w:name="_Toc414368653"/>
      <w:bookmarkStart w:id="471" w:name="_Toc414352180"/>
      <w:bookmarkStart w:id="472" w:name="_Toc453678767"/>
      <w:r>
        <w:rPr>
          <w:rFonts w:hint="eastAsia" w:ascii="宋体" w:hAnsi="宋体" w:eastAsia="宋体" w:cs="宋体"/>
          <w:color w:val="auto"/>
          <w:sz w:val="24"/>
          <w:szCs w:val="24"/>
        </w:rPr>
        <w:t>18.9 试运行</w:t>
      </w:r>
      <w:bookmarkEnd w:id="466"/>
      <w:bookmarkEnd w:id="467"/>
      <w:bookmarkEnd w:id="468"/>
      <w:bookmarkEnd w:id="469"/>
      <w:bookmarkEnd w:id="470"/>
      <w:bookmarkEnd w:id="471"/>
      <w:bookmarkEnd w:id="472"/>
    </w:p>
    <w:p w14:paraId="7952407F">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18.9.1试运行的组织：</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；费用承担：</w:t>
      </w:r>
      <w:r>
        <w:rPr>
          <w:rFonts w:hint="eastAsia" w:ascii="宋体" w:hAnsi="宋体" w:eastAsia="宋体" w:cs="宋体"/>
          <w:color w:val="auto"/>
          <w:sz w:val="24"/>
          <w:szCs w:val="24"/>
          <w:u w:val="single"/>
        </w:rPr>
        <w:t>承包人负责</w:t>
      </w:r>
      <w:r>
        <w:rPr>
          <w:rFonts w:hint="eastAsia" w:ascii="宋体" w:hAnsi="宋体" w:eastAsia="宋体" w:cs="宋体"/>
          <w:color w:val="auto"/>
          <w:sz w:val="24"/>
          <w:szCs w:val="24"/>
        </w:rPr>
        <w:t>。</w:t>
      </w:r>
    </w:p>
    <w:p w14:paraId="767D90BD">
      <w:pPr>
        <w:pStyle w:val="3"/>
        <w:keepLines w:val="0"/>
        <w:pageBreakBefore w:val="0"/>
        <w:widowControl w:val="0"/>
        <w:kinsoku/>
        <w:wordWrap/>
        <w:overflowPunct/>
        <w:topLinePunct w:val="0"/>
        <w:bidi w:val="0"/>
        <w:snapToGrid/>
        <w:spacing w:line="420" w:lineRule="exact"/>
        <w:ind w:left="0" w:firstLine="480" w:firstLineChars="200"/>
        <w:jc w:val="left"/>
        <w:textAlignment w:val="auto"/>
        <w:rPr>
          <w:rFonts w:hint="eastAsia" w:ascii="宋体" w:hAnsi="宋体" w:eastAsia="宋体" w:cs="宋体"/>
          <w:color w:val="auto"/>
          <w:sz w:val="24"/>
          <w:szCs w:val="24"/>
        </w:rPr>
      </w:pPr>
      <w:bookmarkStart w:id="473" w:name="_Toc439684423"/>
      <w:bookmarkStart w:id="474" w:name="_Toc414352181"/>
      <w:bookmarkStart w:id="475" w:name="_Toc453678768"/>
      <w:bookmarkStart w:id="476" w:name="_Toc453677576"/>
      <w:bookmarkStart w:id="477" w:name="_Toc414275498"/>
      <w:bookmarkStart w:id="478" w:name="_Toc434412432"/>
      <w:bookmarkStart w:id="479" w:name="_Toc414368654"/>
      <w:r>
        <w:rPr>
          <w:rFonts w:hint="eastAsia" w:ascii="宋体" w:hAnsi="宋体" w:eastAsia="宋体" w:cs="宋体"/>
          <w:color w:val="auto"/>
          <w:sz w:val="24"/>
          <w:szCs w:val="24"/>
        </w:rPr>
        <w:t>19．缺陷责任与保修责任</w:t>
      </w:r>
      <w:bookmarkEnd w:id="473"/>
      <w:bookmarkEnd w:id="474"/>
      <w:bookmarkEnd w:id="475"/>
      <w:bookmarkEnd w:id="476"/>
      <w:bookmarkEnd w:id="477"/>
      <w:bookmarkEnd w:id="478"/>
      <w:bookmarkEnd w:id="479"/>
    </w:p>
    <w:p w14:paraId="12B1F536">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480" w:name="_Toc414352182"/>
      <w:bookmarkStart w:id="481" w:name="_Toc414275499"/>
      <w:bookmarkStart w:id="482" w:name="_Toc439684424"/>
      <w:bookmarkStart w:id="483" w:name="_Toc453678769"/>
      <w:bookmarkStart w:id="484" w:name="_Toc434412433"/>
      <w:bookmarkStart w:id="485" w:name="_Toc453677577"/>
      <w:bookmarkStart w:id="486" w:name="_Toc414368655"/>
      <w:r>
        <w:rPr>
          <w:rFonts w:hint="eastAsia" w:ascii="宋体" w:hAnsi="宋体" w:eastAsia="宋体" w:cs="宋体"/>
          <w:color w:val="auto"/>
          <w:sz w:val="24"/>
          <w:szCs w:val="24"/>
        </w:rPr>
        <w:t>19.1 缺陷责任期（工程质量保修期）的起算时间</w:t>
      </w:r>
      <w:bookmarkEnd w:id="480"/>
      <w:bookmarkEnd w:id="481"/>
      <w:bookmarkEnd w:id="482"/>
      <w:bookmarkEnd w:id="483"/>
      <w:bookmarkEnd w:id="484"/>
      <w:bookmarkEnd w:id="485"/>
      <w:bookmarkEnd w:id="486"/>
    </w:p>
    <w:p w14:paraId="72E60827">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本工程缺陷责任期（工程质量</w:t>
      </w:r>
      <w:r>
        <w:rPr>
          <w:rFonts w:hint="eastAsia" w:ascii="宋体" w:hAnsi="宋体" w:eastAsia="宋体" w:cs="宋体"/>
          <w:color w:val="auto"/>
          <w:sz w:val="24"/>
          <w:szCs w:val="24"/>
          <w:highlight w:val="none"/>
        </w:rPr>
        <w:t>保修期）计算如下：</w:t>
      </w:r>
      <w:r>
        <w:rPr>
          <w:rFonts w:hint="eastAsia" w:ascii="宋体" w:hAnsi="宋体" w:eastAsia="宋体" w:cs="宋体"/>
          <w:color w:val="auto"/>
          <w:sz w:val="24"/>
          <w:szCs w:val="24"/>
          <w:highlight w:val="none"/>
          <w:u w:val="single"/>
        </w:rPr>
        <w:t>工程竣工之日</w:t>
      </w:r>
      <w:r>
        <w:rPr>
          <w:rFonts w:hint="eastAsia" w:ascii="宋体" w:hAnsi="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p w14:paraId="1DB7C487">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highlight w:val="none"/>
        </w:rPr>
      </w:pPr>
      <w:bookmarkStart w:id="487" w:name="_Toc417897616"/>
      <w:bookmarkStart w:id="488" w:name="_Toc417898953"/>
      <w:bookmarkStart w:id="489" w:name="_Toc453677578"/>
      <w:bookmarkStart w:id="490" w:name="_Toc439684425"/>
      <w:bookmarkStart w:id="491" w:name="_Toc453678770"/>
      <w:bookmarkStart w:id="492" w:name="_Toc419464514"/>
      <w:bookmarkStart w:id="493" w:name="_Toc434412434"/>
      <w:r>
        <w:rPr>
          <w:rFonts w:hint="eastAsia" w:ascii="宋体" w:hAnsi="宋体" w:eastAsia="宋体" w:cs="宋体"/>
          <w:color w:val="auto"/>
          <w:sz w:val="24"/>
          <w:szCs w:val="24"/>
          <w:highlight w:val="none"/>
        </w:rPr>
        <w:t>19.1保修责任</w:t>
      </w:r>
      <w:bookmarkEnd w:id="487"/>
      <w:bookmarkEnd w:id="488"/>
      <w:bookmarkEnd w:id="489"/>
      <w:bookmarkEnd w:id="490"/>
      <w:bookmarkEnd w:id="491"/>
      <w:bookmarkEnd w:id="492"/>
      <w:bookmarkEnd w:id="493"/>
    </w:p>
    <w:p w14:paraId="282472CC">
      <w:pPr>
        <w:keepLines w:val="0"/>
        <w:pageBreakBefore w:val="0"/>
        <w:widowControl w:val="0"/>
        <w:kinsoku/>
        <w:wordWrap/>
        <w:overflowPunct/>
        <w:topLinePunct w:val="0"/>
        <w:autoSpaceDE w:val="0"/>
        <w:autoSpaceDN w:val="0"/>
        <w:bidi w:val="0"/>
        <w:adjustRightInd w:val="0"/>
        <w:snapToGrid/>
        <w:spacing w:line="420" w:lineRule="exact"/>
        <w:ind w:left="0"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工程质量保修范围：</w:t>
      </w:r>
      <w:r>
        <w:rPr>
          <w:rFonts w:hint="eastAsia" w:ascii="宋体" w:hAnsi="宋体" w:eastAsia="宋体" w:cs="宋体"/>
          <w:color w:val="auto"/>
          <w:sz w:val="24"/>
          <w:szCs w:val="24"/>
          <w:highlight w:val="none"/>
          <w:u w:val="single"/>
        </w:rPr>
        <w:t>承包人按照</w:t>
      </w:r>
      <w:r>
        <w:rPr>
          <w:rFonts w:hint="eastAsia" w:ascii="宋体" w:hAnsi="宋体" w:cs="宋体"/>
          <w:color w:val="auto"/>
          <w:sz w:val="24"/>
          <w:szCs w:val="24"/>
          <w:highlight w:val="none"/>
          <w:u w:val="single"/>
          <w:lang w:eastAsia="zh-CN"/>
        </w:rPr>
        <w:t>采购文件</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响应文件</w:t>
      </w:r>
      <w:r>
        <w:rPr>
          <w:rFonts w:hint="eastAsia" w:ascii="宋体" w:hAnsi="宋体" w:eastAsia="宋体" w:cs="宋体"/>
          <w:color w:val="auto"/>
          <w:sz w:val="24"/>
          <w:szCs w:val="24"/>
          <w:highlight w:val="none"/>
          <w:u w:val="single"/>
        </w:rPr>
        <w:t>约定的招标范围；</w:t>
      </w:r>
    </w:p>
    <w:p w14:paraId="3C29EF97">
      <w:pPr>
        <w:keepLines w:val="0"/>
        <w:pageBreakBefore w:val="0"/>
        <w:widowControl w:val="0"/>
        <w:kinsoku/>
        <w:wordWrap/>
        <w:overflowPunct/>
        <w:topLinePunct w:val="0"/>
        <w:autoSpaceDE w:val="0"/>
        <w:autoSpaceDN w:val="0"/>
        <w:bidi w:val="0"/>
        <w:adjustRightInd w:val="0"/>
        <w:snapToGrid/>
        <w:spacing w:line="420" w:lineRule="exact"/>
        <w:ind w:left="0"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工程质量保修期限：</w:t>
      </w:r>
      <w:r>
        <w:rPr>
          <w:rFonts w:hint="eastAsia" w:ascii="宋体" w:hAnsi="宋体" w:eastAsia="宋体" w:cs="宋体"/>
          <w:b/>
          <w:bCs w:val="0"/>
          <w:color w:val="auto"/>
          <w:sz w:val="24"/>
          <w:szCs w:val="24"/>
          <w:highlight w:val="none"/>
          <w:u w:val="single"/>
        </w:rPr>
        <w:t>保修期限为</w:t>
      </w:r>
      <w:r>
        <w:rPr>
          <w:rFonts w:hint="eastAsia" w:ascii="宋体" w:hAnsi="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rPr>
        <w:t xml:space="preserve">年； </w:t>
      </w:r>
    </w:p>
    <w:p w14:paraId="2B5904AA">
      <w:pPr>
        <w:keepLines w:val="0"/>
        <w:pageBreakBefore w:val="0"/>
        <w:widowControl w:val="0"/>
        <w:kinsoku/>
        <w:wordWrap/>
        <w:overflowPunct/>
        <w:topLinePunct w:val="0"/>
        <w:autoSpaceDE w:val="0"/>
        <w:autoSpaceDN w:val="0"/>
        <w:bidi w:val="0"/>
        <w:adjustRightInd w:val="0"/>
        <w:snapToGrid/>
        <w:spacing w:line="420" w:lineRule="exact"/>
        <w:ind w:left="0"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工程质量保修责任：</w:t>
      </w:r>
      <w:r>
        <w:rPr>
          <w:rFonts w:hint="eastAsia" w:ascii="宋体" w:hAnsi="宋体" w:eastAsia="宋体" w:cs="宋体"/>
          <w:color w:val="auto"/>
          <w:sz w:val="24"/>
          <w:szCs w:val="24"/>
          <w:highlight w:val="none"/>
          <w:u w:val="single"/>
        </w:rPr>
        <w:t>承包人负责工程缺陷处理的组织、实施及费用。</w:t>
      </w:r>
    </w:p>
    <w:p w14:paraId="6F9CB3EC">
      <w:pPr>
        <w:pStyle w:val="3"/>
        <w:keepLines w:val="0"/>
        <w:pageBreakBefore w:val="0"/>
        <w:widowControl w:val="0"/>
        <w:kinsoku/>
        <w:wordWrap/>
        <w:overflowPunct/>
        <w:topLinePunct w:val="0"/>
        <w:bidi w:val="0"/>
        <w:snapToGrid/>
        <w:spacing w:line="420" w:lineRule="exact"/>
        <w:ind w:left="0" w:firstLine="480" w:firstLineChars="200"/>
        <w:jc w:val="left"/>
        <w:textAlignment w:val="auto"/>
        <w:rPr>
          <w:rFonts w:hint="eastAsia" w:ascii="宋体" w:hAnsi="宋体" w:eastAsia="宋体" w:cs="宋体"/>
          <w:color w:val="auto"/>
          <w:sz w:val="24"/>
          <w:szCs w:val="24"/>
          <w:highlight w:val="none"/>
        </w:rPr>
      </w:pPr>
      <w:bookmarkStart w:id="494" w:name="_Toc434412435"/>
      <w:bookmarkStart w:id="495" w:name="_Toc414275500"/>
      <w:bookmarkStart w:id="496" w:name="_Toc414368656"/>
      <w:bookmarkStart w:id="497" w:name="_Toc414352183"/>
      <w:bookmarkStart w:id="498" w:name="_Toc453677579"/>
      <w:bookmarkStart w:id="499" w:name="_Toc453678771"/>
      <w:bookmarkStart w:id="500" w:name="_Toc439684426"/>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保险</w:t>
      </w:r>
      <w:bookmarkEnd w:id="494"/>
      <w:bookmarkEnd w:id="495"/>
      <w:bookmarkEnd w:id="496"/>
      <w:bookmarkEnd w:id="497"/>
      <w:bookmarkEnd w:id="498"/>
      <w:bookmarkEnd w:id="499"/>
      <w:bookmarkEnd w:id="500"/>
    </w:p>
    <w:p w14:paraId="25042105">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highlight w:val="none"/>
        </w:rPr>
      </w:pPr>
      <w:bookmarkStart w:id="501" w:name="_Toc439684427"/>
      <w:bookmarkStart w:id="502" w:name="_Toc414368657"/>
      <w:bookmarkStart w:id="503" w:name="_Toc453678772"/>
      <w:bookmarkStart w:id="504" w:name="_Toc414275501"/>
      <w:bookmarkStart w:id="505" w:name="_Toc453677580"/>
      <w:bookmarkStart w:id="506" w:name="_Toc434412436"/>
      <w:bookmarkStart w:id="507" w:name="_Toc414352184"/>
      <w:r>
        <w:rPr>
          <w:rFonts w:hint="eastAsia" w:ascii="宋体" w:hAnsi="宋体" w:eastAsia="宋体" w:cs="宋体"/>
          <w:color w:val="auto"/>
          <w:sz w:val="24"/>
          <w:szCs w:val="24"/>
          <w:highlight w:val="none"/>
        </w:rPr>
        <w:t>20.1 工程保险</w:t>
      </w:r>
      <w:bookmarkEnd w:id="501"/>
      <w:bookmarkEnd w:id="502"/>
      <w:bookmarkEnd w:id="503"/>
      <w:bookmarkEnd w:id="504"/>
      <w:bookmarkEnd w:id="505"/>
      <w:bookmarkEnd w:id="506"/>
      <w:bookmarkEnd w:id="507"/>
    </w:p>
    <w:p w14:paraId="28E2CE91">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建筑工程一切险和（或）安装工程一切险投保人：</w:t>
      </w:r>
      <w:r>
        <w:rPr>
          <w:rFonts w:hint="eastAsia" w:ascii="宋体" w:hAnsi="宋体" w:eastAsia="宋体" w:cs="宋体"/>
          <w:color w:val="auto"/>
          <w:sz w:val="24"/>
          <w:szCs w:val="24"/>
          <w:u w:val="single"/>
        </w:rPr>
        <w:t>以甲乙双方签订的施工合同为准</w:t>
      </w:r>
      <w:r>
        <w:rPr>
          <w:rFonts w:hint="eastAsia" w:ascii="宋体" w:hAnsi="宋体" w:eastAsia="宋体" w:cs="宋体"/>
          <w:color w:val="auto"/>
          <w:sz w:val="24"/>
          <w:szCs w:val="24"/>
        </w:rPr>
        <w:t>；</w:t>
      </w:r>
    </w:p>
    <w:p w14:paraId="64511A20">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投保内容：</w:t>
      </w:r>
      <w:r>
        <w:rPr>
          <w:rFonts w:hint="eastAsia" w:ascii="宋体" w:hAnsi="宋体" w:eastAsia="宋体" w:cs="宋体"/>
          <w:color w:val="auto"/>
          <w:sz w:val="24"/>
          <w:szCs w:val="24"/>
          <w:u w:val="single"/>
        </w:rPr>
        <w:t>以甲乙双方签订的施工合同为准</w:t>
      </w:r>
      <w:r>
        <w:rPr>
          <w:rFonts w:hint="eastAsia" w:ascii="宋体" w:hAnsi="宋体" w:eastAsia="宋体" w:cs="宋体"/>
          <w:color w:val="auto"/>
          <w:sz w:val="24"/>
          <w:szCs w:val="24"/>
        </w:rPr>
        <w:t>；</w:t>
      </w:r>
    </w:p>
    <w:p w14:paraId="22194192">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保险金额、保险费率和保险期限：</w:t>
      </w:r>
      <w:r>
        <w:rPr>
          <w:rFonts w:hint="eastAsia" w:ascii="宋体" w:hAnsi="宋体" w:eastAsia="宋体" w:cs="宋体"/>
          <w:color w:val="auto"/>
          <w:sz w:val="24"/>
          <w:szCs w:val="24"/>
          <w:u w:val="single"/>
        </w:rPr>
        <w:t>以甲乙双方签订的施工合同为准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01BA04">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08" w:name="_Toc453677581"/>
      <w:bookmarkStart w:id="509" w:name="_Toc434412437"/>
      <w:bookmarkStart w:id="510" w:name="_Toc439684428"/>
      <w:bookmarkStart w:id="511" w:name="_Toc414352185"/>
      <w:bookmarkStart w:id="512" w:name="_Toc453678773"/>
      <w:bookmarkStart w:id="513" w:name="_Toc414275502"/>
      <w:bookmarkStart w:id="514" w:name="_Toc414368658"/>
      <w:r>
        <w:rPr>
          <w:rFonts w:hint="eastAsia" w:ascii="宋体" w:hAnsi="宋体" w:eastAsia="宋体" w:cs="宋体"/>
          <w:color w:val="auto"/>
          <w:sz w:val="24"/>
          <w:szCs w:val="24"/>
        </w:rPr>
        <w:t>20.4 第三者责任险</w:t>
      </w:r>
      <w:bookmarkEnd w:id="508"/>
      <w:bookmarkEnd w:id="509"/>
      <w:bookmarkEnd w:id="510"/>
      <w:bookmarkEnd w:id="511"/>
      <w:bookmarkEnd w:id="512"/>
      <w:bookmarkEnd w:id="513"/>
      <w:bookmarkEnd w:id="514"/>
    </w:p>
    <w:p w14:paraId="3910434A">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20.4.2 第三者责任险保险费率及保险金额：</w:t>
      </w:r>
      <w:r>
        <w:rPr>
          <w:rFonts w:hint="eastAsia" w:ascii="宋体" w:hAnsi="宋体" w:eastAsia="宋体" w:cs="宋体"/>
          <w:color w:val="auto"/>
          <w:sz w:val="24"/>
          <w:szCs w:val="24"/>
          <w:u w:val="single"/>
        </w:rPr>
        <w:t xml:space="preserve">  依据保险公司规定        </w:t>
      </w:r>
      <w:r>
        <w:rPr>
          <w:rFonts w:hint="eastAsia" w:ascii="宋体" w:hAnsi="宋体" w:eastAsia="宋体" w:cs="宋体"/>
          <w:color w:val="auto"/>
          <w:sz w:val="24"/>
          <w:szCs w:val="24"/>
        </w:rPr>
        <w:t>；</w:t>
      </w:r>
    </w:p>
    <w:p w14:paraId="30E02778">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15" w:name="_Toc434412438"/>
      <w:bookmarkStart w:id="516" w:name="_Toc414275503"/>
      <w:bookmarkStart w:id="517" w:name="_Toc453677582"/>
      <w:bookmarkStart w:id="518" w:name="_Toc414368659"/>
      <w:bookmarkStart w:id="519" w:name="_Toc453678774"/>
      <w:bookmarkStart w:id="520" w:name="_Toc439684429"/>
      <w:bookmarkStart w:id="521" w:name="_Toc414352186"/>
      <w:r>
        <w:rPr>
          <w:rFonts w:hint="eastAsia" w:ascii="宋体" w:hAnsi="宋体" w:eastAsia="宋体" w:cs="宋体"/>
          <w:color w:val="auto"/>
          <w:sz w:val="24"/>
          <w:szCs w:val="24"/>
        </w:rPr>
        <w:t>20.5 其它保险</w:t>
      </w:r>
      <w:bookmarkEnd w:id="515"/>
      <w:bookmarkEnd w:id="516"/>
      <w:bookmarkEnd w:id="517"/>
      <w:bookmarkEnd w:id="518"/>
      <w:bookmarkEnd w:id="519"/>
      <w:bookmarkEnd w:id="520"/>
      <w:bookmarkEnd w:id="521"/>
    </w:p>
    <w:p w14:paraId="6935C354">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需要投保的其它内容：</w:t>
      </w:r>
      <w:r>
        <w:rPr>
          <w:rFonts w:hint="eastAsia" w:ascii="宋体" w:hAnsi="宋体" w:eastAsia="宋体" w:cs="宋体"/>
          <w:b/>
          <w:color w:val="auto"/>
          <w:sz w:val="24"/>
          <w:szCs w:val="24"/>
          <w:u w:val="single"/>
        </w:rPr>
        <w:t>依通用条款</w:t>
      </w:r>
      <w:r>
        <w:rPr>
          <w:rFonts w:hint="eastAsia" w:ascii="宋体" w:hAnsi="宋体" w:eastAsia="宋体" w:cs="宋体"/>
          <w:color w:val="auto"/>
          <w:sz w:val="24"/>
          <w:szCs w:val="24"/>
        </w:rPr>
        <w:t xml:space="preserve"> ；</w:t>
      </w:r>
    </w:p>
    <w:p w14:paraId="667175F9">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保险金额、保险费率和保险期限：</w:t>
      </w:r>
      <w:r>
        <w:rPr>
          <w:rFonts w:hint="eastAsia" w:ascii="宋体" w:hAnsi="宋体" w:eastAsia="宋体" w:cs="宋体"/>
          <w:b/>
          <w:color w:val="auto"/>
          <w:sz w:val="24"/>
          <w:szCs w:val="24"/>
          <w:u w:val="single"/>
        </w:rPr>
        <w:t>依通用条款</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693382E">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bookmarkStart w:id="522" w:name="_Toc453678775"/>
      <w:bookmarkStart w:id="523" w:name="_Toc453677583"/>
      <w:bookmarkStart w:id="524" w:name="_Toc414368660"/>
      <w:bookmarkStart w:id="525" w:name="_Toc434412439"/>
      <w:bookmarkStart w:id="526" w:name="_Toc414275504"/>
      <w:bookmarkStart w:id="527" w:name="_Toc414352187"/>
      <w:bookmarkStart w:id="528" w:name="_Toc439684430"/>
      <w:r>
        <w:rPr>
          <w:rFonts w:hint="eastAsia" w:ascii="宋体" w:hAnsi="宋体" w:eastAsia="宋体" w:cs="宋体"/>
          <w:color w:val="auto"/>
          <w:sz w:val="24"/>
          <w:szCs w:val="24"/>
        </w:rPr>
        <w:t>20.6 其它保险对各项保险的一般要求</w:t>
      </w:r>
      <w:bookmarkEnd w:id="522"/>
      <w:bookmarkEnd w:id="523"/>
      <w:bookmarkEnd w:id="524"/>
      <w:bookmarkEnd w:id="525"/>
      <w:bookmarkEnd w:id="526"/>
      <w:bookmarkEnd w:id="527"/>
      <w:bookmarkEnd w:id="528"/>
    </w:p>
    <w:p w14:paraId="7ACED6C2">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bookmarkStart w:id="529" w:name="_Toc414352188"/>
      <w:bookmarkStart w:id="530" w:name="_Toc414275505"/>
      <w:r>
        <w:rPr>
          <w:rFonts w:hint="eastAsia" w:ascii="宋体" w:hAnsi="宋体" w:eastAsia="宋体" w:cs="宋体"/>
          <w:color w:val="auto"/>
          <w:sz w:val="24"/>
          <w:szCs w:val="24"/>
        </w:rPr>
        <w:t>20.6.1　保险凭证</w:t>
      </w:r>
      <w:bookmarkEnd w:id="529"/>
      <w:bookmarkEnd w:id="530"/>
    </w:p>
    <w:p w14:paraId="6EACE98C">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承包人提交保险凭证的期限：</w:t>
      </w:r>
      <w:r>
        <w:rPr>
          <w:rFonts w:hint="eastAsia" w:ascii="宋体" w:hAnsi="宋体" w:eastAsia="宋体" w:cs="宋体"/>
          <w:b/>
          <w:color w:val="auto"/>
          <w:sz w:val="24"/>
          <w:szCs w:val="24"/>
          <w:u w:val="single"/>
        </w:rPr>
        <w:t>合同约定的开工之日前</w:t>
      </w:r>
      <w:r>
        <w:rPr>
          <w:rFonts w:hint="eastAsia" w:ascii="宋体" w:hAnsi="宋体" w:eastAsia="宋体" w:cs="宋体"/>
          <w:color w:val="auto"/>
          <w:sz w:val="24"/>
          <w:szCs w:val="24"/>
        </w:rPr>
        <w:t>。</w:t>
      </w:r>
    </w:p>
    <w:p w14:paraId="33711E4E">
      <w:pPr>
        <w:keepLines w:val="0"/>
        <w:pageBreakBefore w:val="0"/>
        <w:widowControl w:val="0"/>
        <w:kinsoku/>
        <w:wordWrap/>
        <w:overflowPunct/>
        <w:topLinePunct w:val="0"/>
        <w:autoSpaceDE w:val="0"/>
        <w:autoSpaceDN w:val="0"/>
        <w:bidi w:val="0"/>
        <w:adjustRightInd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保险条件：</w:t>
      </w:r>
      <w:r>
        <w:rPr>
          <w:rFonts w:hint="eastAsia" w:ascii="宋体" w:hAnsi="宋体" w:eastAsia="宋体" w:cs="宋体"/>
          <w:b/>
          <w:bCs/>
          <w:color w:val="auto"/>
          <w:sz w:val="24"/>
          <w:szCs w:val="24"/>
          <w:u w:val="single"/>
        </w:rPr>
        <w:t>合同签订后</w:t>
      </w:r>
      <w:r>
        <w:rPr>
          <w:rFonts w:hint="eastAsia" w:ascii="宋体" w:hAnsi="宋体" w:eastAsia="宋体" w:cs="宋体"/>
          <w:color w:val="auto"/>
          <w:sz w:val="24"/>
          <w:szCs w:val="24"/>
        </w:rPr>
        <w:t>；</w:t>
      </w:r>
    </w:p>
    <w:p w14:paraId="11B3FEB7">
      <w:pPr>
        <w:pStyle w:val="3"/>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bookmarkStart w:id="531" w:name="_Toc414368661"/>
      <w:bookmarkStart w:id="532" w:name="_Toc434412440"/>
      <w:bookmarkStart w:id="533" w:name="_Toc414352189"/>
      <w:bookmarkStart w:id="534" w:name="_Toc439684431"/>
      <w:bookmarkStart w:id="535" w:name="_Toc453677584"/>
      <w:bookmarkStart w:id="536" w:name="_Toc414275506"/>
      <w:bookmarkStart w:id="537" w:name="_Toc453678776"/>
      <w:r>
        <w:rPr>
          <w:rFonts w:hint="eastAsia" w:ascii="宋体" w:hAnsi="宋体" w:eastAsia="宋体" w:cs="宋体"/>
          <w:color w:val="auto"/>
          <w:sz w:val="24"/>
          <w:szCs w:val="24"/>
        </w:rPr>
        <w:t>24．争议的解决</w:t>
      </w:r>
      <w:bookmarkEnd w:id="531"/>
      <w:bookmarkEnd w:id="532"/>
      <w:bookmarkEnd w:id="533"/>
      <w:bookmarkEnd w:id="534"/>
      <w:bookmarkEnd w:id="535"/>
      <w:bookmarkEnd w:id="536"/>
      <w:bookmarkEnd w:id="537"/>
    </w:p>
    <w:p w14:paraId="6F7E5088">
      <w:pPr>
        <w:pStyle w:val="4"/>
        <w:keepLines w:val="0"/>
        <w:pageBreakBefore w:val="0"/>
        <w:widowControl w:val="0"/>
        <w:kinsoku/>
        <w:wordWrap/>
        <w:overflowPunct/>
        <w:topLinePunct w:val="0"/>
        <w:bidi w:val="0"/>
        <w:snapToGrid/>
        <w:spacing w:line="420" w:lineRule="exact"/>
        <w:ind w:left="0" w:firstLine="480" w:firstLineChars="200"/>
        <w:jc w:val="both"/>
        <w:textAlignment w:val="auto"/>
        <w:rPr>
          <w:rFonts w:hint="eastAsia" w:ascii="宋体" w:hAnsi="宋体" w:eastAsia="宋体" w:cs="宋体"/>
          <w:color w:val="auto"/>
          <w:sz w:val="24"/>
          <w:szCs w:val="24"/>
        </w:rPr>
      </w:pPr>
      <w:bookmarkStart w:id="538" w:name="_Toc434412441"/>
      <w:bookmarkStart w:id="539" w:name="_Toc453678777"/>
      <w:bookmarkStart w:id="540" w:name="_Toc414275507"/>
      <w:bookmarkStart w:id="541" w:name="_Toc439684432"/>
      <w:bookmarkStart w:id="542" w:name="_Toc414368662"/>
      <w:bookmarkStart w:id="543" w:name="_Toc453677585"/>
      <w:bookmarkStart w:id="544" w:name="_Toc414352190"/>
      <w:r>
        <w:rPr>
          <w:rFonts w:hint="eastAsia" w:ascii="宋体" w:hAnsi="宋体" w:eastAsia="宋体" w:cs="宋体"/>
          <w:color w:val="auto"/>
          <w:sz w:val="24"/>
          <w:szCs w:val="24"/>
        </w:rPr>
        <w:t>24.1 争议的解决方式</w:t>
      </w:r>
      <w:bookmarkEnd w:id="538"/>
      <w:bookmarkEnd w:id="539"/>
      <w:bookmarkEnd w:id="540"/>
      <w:bookmarkEnd w:id="541"/>
      <w:bookmarkEnd w:id="542"/>
      <w:bookmarkEnd w:id="543"/>
      <w:bookmarkEnd w:id="544"/>
    </w:p>
    <w:p w14:paraId="3F6E1849">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合同当事人友好协商解决不成、不愿提请争议评审或不接受争议评审组意见的，约定的合同争议解决方式：须</w:t>
      </w:r>
      <w:r>
        <w:rPr>
          <w:rFonts w:hint="eastAsia" w:ascii="宋体" w:hAnsi="宋体" w:eastAsia="宋体" w:cs="宋体"/>
          <w:b/>
          <w:bCs/>
          <w:color w:val="auto"/>
          <w:sz w:val="24"/>
          <w:szCs w:val="24"/>
          <w:u w:val="single"/>
        </w:rPr>
        <w:t>向</w:t>
      </w:r>
      <w:r>
        <w:rPr>
          <w:rFonts w:hint="eastAsia" w:ascii="宋体" w:hAnsi="宋体" w:eastAsia="宋体" w:cs="宋体"/>
          <w:b/>
          <w:bCs/>
          <w:color w:val="auto"/>
          <w:sz w:val="24"/>
          <w:szCs w:val="24"/>
          <w:u w:val="single"/>
          <w:lang w:val="en-US" w:eastAsia="zh-CN"/>
        </w:rPr>
        <w:t>工程所在地</w:t>
      </w:r>
      <w:r>
        <w:rPr>
          <w:rFonts w:hint="eastAsia" w:ascii="宋体" w:hAnsi="宋体" w:eastAsia="宋体" w:cs="宋体"/>
          <w:b/>
          <w:bCs/>
          <w:color w:val="auto"/>
          <w:sz w:val="24"/>
          <w:szCs w:val="24"/>
          <w:u w:val="single"/>
        </w:rPr>
        <w:t>的人民法院提起诉讼</w:t>
      </w:r>
      <w:r>
        <w:rPr>
          <w:rFonts w:hint="eastAsia" w:ascii="宋体" w:hAnsi="宋体" w:eastAsia="宋体" w:cs="宋体"/>
          <w:b/>
          <w:bCs/>
          <w:color w:val="auto"/>
          <w:sz w:val="24"/>
          <w:szCs w:val="24"/>
        </w:rPr>
        <w:t>。</w:t>
      </w:r>
    </w:p>
    <w:p w14:paraId="323F58C2">
      <w:pPr>
        <w:keepLines w:val="0"/>
        <w:pageBreakBefore w:val="0"/>
        <w:widowControl w:val="0"/>
        <w:kinsoku/>
        <w:wordWrap/>
        <w:overflowPunct/>
        <w:topLinePunct w:val="0"/>
        <w:autoSpaceDE w:val="0"/>
        <w:autoSpaceDN w:val="0"/>
        <w:bidi w:val="0"/>
        <w:adjustRightInd w:val="0"/>
        <w:snapToGrid w:val="0"/>
        <w:spacing w:line="420" w:lineRule="exact"/>
        <w:jc w:val="center"/>
        <w:rPr>
          <w:rFonts w:hint="eastAsia" w:ascii="宋体" w:hAnsi="宋体" w:eastAsia="宋体" w:cs="宋体"/>
          <w:b/>
          <w:bCs/>
          <w:color w:val="auto"/>
          <w:sz w:val="24"/>
          <w:szCs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bookmarkStart w:id="545" w:name="_Toc414351941"/>
      <w:bookmarkStart w:id="546" w:name="_Toc414275258"/>
      <w:bookmarkStart w:id="547" w:name="_Toc453678519"/>
      <w:bookmarkStart w:id="548" w:name="_Toc434412201"/>
      <w:bookmarkStart w:id="549" w:name="_Toc453677327"/>
      <w:bookmarkStart w:id="550" w:name="_Toc414368422"/>
      <w:bookmarkStart w:id="551" w:name="_Toc439684177"/>
    </w:p>
    <w:p w14:paraId="69F438B6">
      <w:pPr>
        <w:keepLines w:val="0"/>
        <w:pageBreakBefore w:val="0"/>
        <w:widowControl w:val="0"/>
        <w:kinsoku/>
        <w:wordWrap/>
        <w:overflowPunct/>
        <w:topLinePunct w:val="0"/>
        <w:autoSpaceDE w:val="0"/>
        <w:autoSpaceDN w:val="0"/>
        <w:bidi w:val="0"/>
        <w:adjustRightInd w:val="0"/>
        <w:snapToGrid w:val="0"/>
        <w:spacing w:line="42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通用合同条款</w:t>
      </w:r>
      <w:bookmarkEnd w:id="545"/>
      <w:bookmarkEnd w:id="546"/>
      <w:bookmarkEnd w:id="547"/>
      <w:bookmarkEnd w:id="548"/>
      <w:bookmarkEnd w:id="549"/>
      <w:bookmarkEnd w:id="550"/>
      <w:bookmarkEnd w:id="551"/>
      <w:bookmarkStart w:id="552" w:name="_Toc434412202"/>
      <w:bookmarkStart w:id="553" w:name="_Toc414268846"/>
      <w:bookmarkStart w:id="554" w:name="_Toc439684178"/>
      <w:bookmarkStart w:id="555" w:name="_Toc414368423"/>
      <w:bookmarkStart w:id="556" w:name="_Toc453678520"/>
      <w:bookmarkStart w:id="557" w:name="_Toc203758978"/>
      <w:bookmarkStart w:id="558" w:name="_Toc453677328"/>
      <w:bookmarkStart w:id="559" w:name="_Toc414275259"/>
      <w:bookmarkStart w:id="560" w:name="_Toc414351942"/>
      <w:bookmarkStart w:id="561" w:name="_Toc184635098"/>
    </w:p>
    <w:p w14:paraId="554C8526">
      <w:pPr>
        <w:pStyle w:val="3"/>
        <w:keepLines w:val="0"/>
        <w:pageBreakBefore w:val="0"/>
        <w:widowControl w:val="0"/>
        <w:kinsoku/>
        <w:wordWrap/>
        <w:overflowPunct/>
        <w:topLinePunct w:val="0"/>
        <w:bidi w:val="0"/>
        <w:snapToGrid/>
        <w:spacing w:line="42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1．一般约定</w:t>
      </w:r>
      <w:bookmarkEnd w:id="552"/>
      <w:bookmarkEnd w:id="553"/>
      <w:bookmarkEnd w:id="554"/>
      <w:bookmarkEnd w:id="555"/>
      <w:bookmarkEnd w:id="556"/>
      <w:bookmarkEnd w:id="557"/>
      <w:bookmarkEnd w:id="558"/>
      <w:bookmarkEnd w:id="559"/>
      <w:bookmarkEnd w:id="560"/>
      <w:bookmarkEnd w:id="561"/>
    </w:p>
    <w:p w14:paraId="7BA7A787">
      <w:pPr>
        <w:pStyle w:val="4"/>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bookmarkStart w:id="562" w:name="_Toc414275260"/>
      <w:bookmarkStart w:id="563" w:name="_Toc439684179"/>
      <w:bookmarkStart w:id="564" w:name="_Toc453678521"/>
      <w:bookmarkStart w:id="565" w:name="_Toc453677329"/>
      <w:bookmarkStart w:id="566" w:name="_Toc414351943"/>
      <w:bookmarkStart w:id="567" w:name="_Toc414368424"/>
      <w:bookmarkStart w:id="568" w:name="_Toc414268847"/>
      <w:bookmarkStart w:id="569" w:name="_Toc434412203"/>
      <w:r>
        <w:rPr>
          <w:rFonts w:hint="eastAsia" w:ascii="宋体" w:hAnsi="宋体" w:eastAsia="宋体" w:cs="宋体"/>
          <w:color w:val="auto"/>
          <w:sz w:val="24"/>
          <w:szCs w:val="24"/>
        </w:rPr>
        <w:t>1.1 词语定义</w:t>
      </w:r>
      <w:bookmarkEnd w:id="562"/>
      <w:bookmarkEnd w:id="563"/>
      <w:bookmarkEnd w:id="564"/>
      <w:bookmarkEnd w:id="565"/>
      <w:bookmarkEnd w:id="566"/>
      <w:bookmarkEnd w:id="567"/>
      <w:bookmarkEnd w:id="568"/>
      <w:bookmarkEnd w:id="569"/>
    </w:p>
    <w:p w14:paraId="162D0D0D">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通用合同条款、专用合同条款中的下列词语应具有本款所赋予的含义。</w:t>
      </w:r>
    </w:p>
    <w:p w14:paraId="460A1E61">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合同</w:t>
      </w:r>
    </w:p>
    <w:p w14:paraId="63B7DDFC">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合同文件（或称合同）：指合同协议书、中标通知书、投标函及投标函附录、专用合同条款、通用合同条款、技术标准和要求、图纸、已标价工程量清单，以及其他合同文件。</w:t>
      </w:r>
    </w:p>
    <w:p w14:paraId="59487944">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合同协议书：指第1.5款所指的合同协议书。</w:t>
      </w:r>
    </w:p>
    <w:p w14:paraId="7A62AE1F">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中标通知书：指发包人通知承包人中标的函件。</w:t>
      </w:r>
    </w:p>
    <w:p w14:paraId="0F38114C">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1.1.1.4 投标函：指构成合同文件组成部分的由承包人填写并签署的投标函。</w:t>
      </w:r>
    </w:p>
    <w:p w14:paraId="70412114">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1.1.1.5 投标函附录：指附在投标函后构成合同文件的投标函附录。</w:t>
      </w:r>
    </w:p>
    <w:p w14:paraId="7DDAD51D">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技术标准和要求：指构成合同文件组成部分的名为技术标准和要求（合同技术条款）的文件，包括合同双方当事人约定对其所作的修改或补充。</w:t>
      </w:r>
    </w:p>
    <w:p w14:paraId="3614F381">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1.1.1.7图纸：指列如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0465DC2E">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1.1.1.8 已标价工程量清单：指构成合同文件组成部分的由承包人按照规定的格式和要求填写并标明价格的工程量清单。</w:t>
      </w:r>
    </w:p>
    <w:p w14:paraId="569926A9">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1.1.1.9 其他合同文件：指经合同双方当事人确认构成合同文件的其他文件。</w:t>
      </w:r>
    </w:p>
    <w:p w14:paraId="294974A0">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合同当事人和人员</w:t>
      </w:r>
    </w:p>
    <w:p w14:paraId="7E7D2A3B">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合同当事人：指发包人和（或）承包人。</w:t>
      </w:r>
    </w:p>
    <w:p w14:paraId="1FFCBBAC">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发包人：指专用合同条款中指明并与承包人在合同协议书中签字的当事人。</w:t>
      </w:r>
    </w:p>
    <w:p w14:paraId="168DA1A1">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1.1.2.3 承包人：指专用合同条款中指明并与发包人在合同协议书中签字的当事人。</w:t>
      </w:r>
    </w:p>
    <w:p w14:paraId="5DAFF200">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1.1.2.4 承包人项目经理：指承包人派驻施工场地的全权负责人。</w:t>
      </w:r>
    </w:p>
    <w:p w14:paraId="3FD9F6A0">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 分包人：指专用合同条款中指明的</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，从承包人处分包合同中某一部分工程，并与其签订分包合同的分包人。</w:t>
      </w:r>
    </w:p>
    <w:p w14:paraId="5ED4D7D2">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 监理人：指在专用合同条款中指明的，受发包人委托对合同履行实施管理的法人或其他组织。</w:t>
      </w:r>
    </w:p>
    <w:p w14:paraId="4DFB7D06">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1.1.2.7 总监理工程师（总监）：指由监理人委派常驻施工场地对合同履行实施管理的全权负责人。</w:t>
      </w:r>
    </w:p>
    <w:p w14:paraId="05DAC1AF">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4ACE3767">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 工程：指永久工程和（或）临时工程。</w:t>
      </w:r>
    </w:p>
    <w:p w14:paraId="2CF3DCA8">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 永久工程：指按合同约定建造并移交给发包人的工程，包括工程设备。</w:t>
      </w:r>
    </w:p>
    <w:p w14:paraId="5EC148AB">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 临时工程：指为完成合同约定的永久工程所修建的各类临时性工程，不包括施工设备。</w:t>
      </w:r>
    </w:p>
    <w:p w14:paraId="510A2DA1">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 单位工程：指专用合同条款中指明特定范围的永久工程。</w:t>
      </w:r>
    </w:p>
    <w:p w14:paraId="2B6552C9">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1.1.3.5 工程设备：指构成或计划构成永久工程一部分的机电设备、金属结构设备、仪器装置及其他类似的设备和装置。</w:t>
      </w:r>
    </w:p>
    <w:p w14:paraId="2448440A">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1.1.3.6 施工设备：指为完成合同约定的各项工作所需的设备、器具和其他物品，不包括临时工程和材料。</w:t>
      </w:r>
    </w:p>
    <w:p w14:paraId="2E8CF9D2">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1.1.3.7 临时设施：指为完成合同约定的各项工作所服务的临时性生产和生活设施。</w:t>
      </w:r>
    </w:p>
    <w:p w14:paraId="6A1FD978">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1.1.3.8 承包人设备：指承包人自带的施工设备。</w:t>
      </w:r>
    </w:p>
    <w:p w14:paraId="3FD97ED8">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1.1.3.9 施工场地（或称工地、现场）：指用于合同工程施工的场所，以及在合同中指定作为施工场地组成部分的其他场所，包括永久占地和临时占地。</w:t>
      </w:r>
    </w:p>
    <w:p w14:paraId="19574DB0">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1.1.3.10永久占地：指发包人为建设本合同工程永久征用的场地。</w:t>
      </w:r>
    </w:p>
    <w:p w14:paraId="32FE42A0">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 临时占地：指发包人为建设本合同工程临时征用，承包人在完工后须按合同要求退还场地。</w:t>
      </w:r>
    </w:p>
    <w:p w14:paraId="5AB27B7E">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日期</w:t>
      </w:r>
    </w:p>
    <w:p w14:paraId="4D1E36BA">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1.1.4.1 开工通知：指监理人按第11.1款通知承包人开工的函件。</w:t>
      </w:r>
    </w:p>
    <w:p w14:paraId="3276BA3F">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1.1.4.2 开工日期：指监理人按第11.1款发出的开工通知中写明的开工日期。</w:t>
      </w:r>
    </w:p>
    <w:p w14:paraId="5221513B">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1.1.4.3 工期：指承包人在投标函中承诺的完成合同工程所需的期限，包括按第11.3款、第11.4 款和第11.6 款约定所作的变更。</w:t>
      </w:r>
    </w:p>
    <w:p w14:paraId="42623057">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1.1.4.4 竣工日期：即合同工程完工日期，指第1.1.4.3目 约定工期届满时的日期。实际完工日期以合同工程完工证书中写明的日期为准。</w:t>
      </w:r>
    </w:p>
    <w:p w14:paraId="1E0602BB">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 缺陷责任期：即工程质量保修期，指履行第19.2款约定的缺陷责任的期限，包括根据第19.3款约定所作的延长，具体期限由专用合同条款约定。</w:t>
      </w:r>
    </w:p>
    <w:p w14:paraId="655C1CED">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1.1.4.6 基准日期：指投标截止时间前28天的日期。</w:t>
      </w:r>
    </w:p>
    <w:p w14:paraId="57428513">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天：除特别指明外，指日历天。合同中按天计算时间的，开始当天不计入，从次日开始计算。期限最后一天的截止时间为当天24:00。</w:t>
      </w:r>
    </w:p>
    <w:p w14:paraId="620D2796">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14:paraId="0B6C4C78">
      <w:pPr>
        <w:keepLines w:val="0"/>
        <w:pageBreakBefore w:val="0"/>
        <w:widowControl w:val="0"/>
        <w:kinsoku/>
        <w:wordWrap/>
        <w:overflowPunct/>
        <w:topLinePunct w:val="0"/>
        <w:bidi w:val="0"/>
        <w:snapToGrid/>
        <w:spacing w:line="42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签约合同价：指签订合同时合同协议书中写明的，包括了暂列金额、暂估价的合同总金额。</w:t>
      </w:r>
    </w:p>
    <w:p w14:paraId="0B2469B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1.1.5.2 合同价格：指承包人按合同约定完成了包括缺陷责任期内的全部承包工作后，发包人应付给承包人的金额，包括在履行合同过程中按合同约定进行的变更和调整。</w:t>
      </w:r>
    </w:p>
    <w:p w14:paraId="1C86A61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1.1.5.3 费用：指为履行合同所发生的或将要发生的所有合理开支，包括管理费和应分摊的其他费用，但不包括利润。</w:t>
      </w:r>
    </w:p>
    <w:p w14:paraId="25A2F14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1.1.5.4 暂列金额：指已标价工程量清单中所列的暂列金额，用于在签订协议书时尚未确定或不可预见变更的施工及其所需材料、工程设备、服务等的金额，包括以计日工方式支付的金额。</w:t>
      </w:r>
    </w:p>
    <w:p w14:paraId="1D9B646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1.1.5.5 暂估价：指发包人在工程量清单中给定的用于支付必然发生但暂时不能确定价格的材料、设备以及专业工程的金额。</w:t>
      </w:r>
    </w:p>
    <w:p w14:paraId="4C83B3A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1.1.5.6 计日工：指对零星工作采取的一种计价方式，按合同中的计日工子目及其单价计价付款。</w:t>
      </w:r>
    </w:p>
    <w:p w14:paraId="06C0BBC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1.1.5.7 质量保证金（或称保留金）：指按第17:41项约定用于保证在缺陷责任期内履行缺陷修复义务的金额。</w:t>
      </w:r>
    </w:p>
    <w:p w14:paraId="1D7DC88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14:paraId="782FA81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1.1.6.1 书面形式：指合同文件、信函、电报、传真等可以有形地表现所载内容的形式。</w:t>
      </w:r>
    </w:p>
    <w:p w14:paraId="5DD64326">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570" w:name="_Toc414368425"/>
      <w:bookmarkStart w:id="571" w:name="_Toc414275261"/>
      <w:bookmarkStart w:id="572" w:name="_Toc434412204"/>
      <w:bookmarkStart w:id="573" w:name="_Toc453678522"/>
      <w:bookmarkStart w:id="574" w:name="_Toc439684180"/>
      <w:bookmarkStart w:id="575" w:name="_Toc414268848"/>
      <w:bookmarkStart w:id="576" w:name="_Toc414351944"/>
      <w:bookmarkStart w:id="577" w:name="_Toc453677330"/>
      <w:r>
        <w:rPr>
          <w:rFonts w:hint="eastAsia" w:ascii="宋体" w:hAnsi="宋体" w:eastAsia="宋体" w:cs="宋体"/>
          <w:color w:val="auto"/>
          <w:sz w:val="24"/>
          <w:szCs w:val="24"/>
        </w:rPr>
        <w:t>1.2 语言文字</w:t>
      </w:r>
      <w:bookmarkEnd w:id="570"/>
      <w:bookmarkEnd w:id="571"/>
      <w:bookmarkEnd w:id="572"/>
      <w:bookmarkEnd w:id="573"/>
      <w:bookmarkEnd w:id="574"/>
      <w:bookmarkEnd w:id="575"/>
      <w:bookmarkEnd w:id="576"/>
      <w:bookmarkEnd w:id="577"/>
    </w:p>
    <w:p w14:paraId="5EAD9979">
      <w:pPr>
        <w:keepLines w:val="0"/>
        <w:pageBreakBefore w:val="0"/>
        <w:widowControl w:val="0"/>
        <w:kinsoku/>
        <w:wordWrap/>
        <w:overflowPunct/>
        <w:topLinePunct w:val="0"/>
        <w:bidi w:val="0"/>
        <w:spacing w:line="42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除专用术语外，合同使用的语言文字为中文。必要时专用术语应附有中文注释。</w:t>
      </w:r>
    </w:p>
    <w:p w14:paraId="65EB28EC">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578" w:name="_Toc414275262"/>
      <w:bookmarkStart w:id="579" w:name="_Toc434412205"/>
      <w:bookmarkStart w:id="580" w:name="_Toc439684181"/>
      <w:bookmarkStart w:id="581" w:name="_Toc414368426"/>
      <w:bookmarkStart w:id="582" w:name="_Toc414351945"/>
      <w:bookmarkStart w:id="583" w:name="_Toc453678523"/>
      <w:bookmarkStart w:id="584" w:name="_Toc414268849"/>
      <w:bookmarkStart w:id="585" w:name="_Toc453677331"/>
      <w:r>
        <w:rPr>
          <w:rFonts w:hint="eastAsia" w:ascii="宋体" w:hAnsi="宋体" w:eastAsia="宋体" w:cs="宋体"/>
          <w:color w:val="auto"/>
          <w:sz w:val="24"/>
          <w:szCs w:val="24"/>
        </w:rPr>
        <w:t>1.3 法律</w:t>
      </w:r>
      <w:bookmarkEnd w:id="578"/>
      <w:bookmarkEnd w:id="579"/>
      <w:bookmarkEnd w:id="580"/>
      <w:bookmarkEnd w:id="581"/>
      <w:bookmarkEnd w:id="582"/>
      <w:bookmarkEnd w:id="583"/>
      <w:bookmarkEnd w:id="584"/>
      <w:bookmarkEnd w:id="585"/>
    </w:p>
    <w:p w14:paraId="1F7011A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适用于合同的法律包括中华人民共和国法律、行政法规、部门规章，以及工程所在地的地方法规、自治条例、单行条例和地方政府规章。</w:t>
      </w:r>
    </w:p>
    <w:p w14:paraId="272FDC1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586" w:name="_Toc414351946"/>
      <w:bookmarkStart w:id="587" w:name="_Toc414275263"/>
      <w:bookmarkStart w:id="588" w:name="_Toc414268850"/>
      <w:bookmarkStart w:id="589" w:name="_Toc434412206"/>
      <w:bookmarkStart w:id="590" w:name="_Toc414368427"/>
      <w:bookmarkStart w:id="591" w:name="_Toc453678524"/>
      <w:bookmarkStart w:id="592" w:name="_Toc439684182"/>
      <w:bookmarkStart w:id="593" w:name="_Toc453677332"/>
      <w:r>
        <w:rPr>
          <w:rFonts w:hint="eastAsia" w:ascii="宋体" w:hAnsi="宋体" w:eastAsia="宋体" w:cs="宋体"/>
          <w:color w:val="auto"/>
          <w:sz w:val="24"/>
          <w:szCs w:val="24"/>
        </w:rPr>
        <w:t>1.4 合同文件的优先顺序</w:t>
      </w:r>
      <w:bookmarkEnd w:id="586"/>
      <w:bookmarkEnd w:id="587"/>
      <w:bookmarkEnd w:id="588"/>
      <w:bookmarkEnd w:id="589"/>
      <w:bookmarkEnd w:id="590"/>
      <w:bookmarkEnd w:id="591"/>
      <w:bookmarkEnd w:id="592"/>
      <w:bookmarkEnd w:id="593"/>
    </w:p>
    <w:p w14:paraId="2FC86E0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14:paraId="08EB322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14:paraId="7A5A571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794C290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14:paraId="721DA1D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024B5E5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1E51A8D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166BC5A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3887D5D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14:paraId="4BDBBB0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3A296AE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594" w:name="_Toc453678525"/>
      <w:bookmarkStart w:id="595" w:name="_Toc414268851"/>
      <w:bookmarkStart w:id="596" w:name="_Toc439684183"/>
      <w:bookmarkStart w:id="597" w:name="_Toc414351947"/>
      <w:bookmarkStart w:id="598" w:name="_Toc434412207"/>
      <w:bookmarkStart w:id="599" w:name="_Toc414368428"/>
      <w:bookmarkStart w:id="600" w:name="_Toc414275264"/>
      <w:bookmarkStart w:id="601" w:name="_Toc453677333"/>
      <w:r>
        <w:rPr>
          <w:rFonts w:hint="eastAsia" w:ascii="宋体" w:hAnsi="宋体" w:eastAsia="宋体" w:cs="宋体"/>
          <w:color w:val="auto"/>
          <w:sz w:val="24"/>
          <w:szCs w:val="24"/>
        </w:rPr>
        <w:t>1.5 合同协议书</w:t>
      </w:r>
      <w:bookmarkEnd w:id="594"/>
      <w:bookmarkEnd w:id="595"/>
      <w:bookmarkEnd w:id="596"/>
      <w:bookmarkEnd w:id="597"/>
      <w:bookmarkEnd w:id="598"/>
      <w:bookmarkEnd w:id="599"/>
      <w:bookmarkEnd w:id="600"/>
      <w:bookmarkEnd w:id="601"/>
    </w:p>
    <w:p w14:paraId="1E1713E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5C382F26">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02" w:name="_Toc414268852"/>
      <w:bookmarkStart w:id="603" w:name="_Toc453677334"/>
      <w:bookmarkStart w:id="604" w:name="_Toc439684184"/>
      <w:bookmarkStart w:id="605" w:name="_Toc414368429"/>
      <w:bookmarkStart w:id="606" w:name="_Toc453678526"/>
      <w:bookmarkStart w:id="607" w:name="_Toc434412208"/>
      <w:bookmarkStart w:id="608" w:name="_Toc414275265"/>
      <w:bookmarkStart w:id="609" w:name="_Toc414351948"/>
      <w:r>
        <w:rPr>
          <w:rFonts w:hint="eastAsia" w:ascii="宋体" w:hAnsi="宋体" w:eastAsia="宋体" w:cs="宋体"/>
          <w:color w:val="auto"/>
          <w:sz w:val="24"/>
          <w:szCs w:val="24"/>
        </w:rPr>
        <w:t>1.6 图纸和承包人文件</w:t>
      </w:r>
      <w:bookmarkEnd w:id="602"/>
      <w:bookmarkEnd w:id="603"/>
      <w:bookmarkEnd w:id="604"/>
      <w:bookmarkEnd w:id="605"/>
      <w:bookmarkEnd w:id="606"/>
      <w:bookmarkEnd w:id="607"/>
      <w:bookmarkEnd w:id="608"/>
      <w:bookmarkEnd w:id="609"/>
    </w:p>
    <w:p w14:paraId="08DFE37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6B6CA0D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发包人应按技术标准和要求（合同技术条款）约定的期限和数量将施工图纸以及其它图纸（包括配套说明和有关资料）提供给承包人。由于发包人未按时提供图纸造成工期延误的，按第11.3款的约定办理。</w:t>
      </w:r>
    </w:p>
    <w:p w14:paraId="7FDAC5C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承包人提供的文件</w:t>
      </w:r>
    </w:p>
    <w:p w14:paraId="17B35B4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承包人提供的文件应按技术保准和要求（合同技术条款）约定的期限和数量提供给监理人。监理人应按技术标准和要求（合同技术条款）约定的期限批复承包人。</w:t>
      </w:r>
    </w:p>
    <w:p w14:paraId="5CE8F8F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1.6.3 图纸的修改</w:t>
      </w:r>
    </w:p>
    <w:p w14:paraId="7E52E08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17D15E2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1.6.4 图纸的错误</w:t>
      </w:r>
    </w:p>
    <w:p w14:paraId="2A911F9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承包人发现发包人提供的图纸存在明显错误或疏忽，应及时通知监理人。</w:t>
      </w:r>
    </w:p>
    <w:p w14:paraId="60DD39A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14:paraId="1EF2B18C">
      <w:pPr>
        <w:keepLines w:val="0"/>
        <w:pageBreakBefore w:val="0"/>
        <w:widowControl w:val="0"/>
        <w:kinsoku/>
        <w:wordWrap/>
        <w:overflowPunct/>
        <w:topLinePunct w:val="0"/>
        <w:bidi w:val="0"/>
        <w:spacing w:line="420" w:lineRule="exact"/>
        <w:ind w:left="479" w:leftChars="228"/>
        <w:rPr>
          <w:rFonts w:hint="eastAsia" w:ascii="宋体" w:hAnsi="宋体" w:eastAsia="宋体" w:cs="宋体"/>
          <w:color w:val="auto"/>
          <w:sz w:val="24"/>
          <w:szCs w:val="24"/>
        </w:rPr>
      </w:pPr>
      <w:r>
        <w:rPr>
          <w:rFonts w:hint="eastAsia" w:ascii="宋体" w:hAnsi="宋体" w:eastAsia="宋体" w:cs="宋体"/>
          <w:color w:val="auto"/>
          <w:sz w:val="24"/>
          <w:szCs w:val="24"/>
        </w:rPr>
        <w:t>监理人和承包人均应在施工场地各保存一套完整的包含第1.6.1项、第1.6.2项、第1.6.3项约定内容的图纸和承包人文件。</w:t>
      </w:r>
    </w:p>
    <w:p w14:paraId="4BC5F3DE">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10" w:name="_Toc414268853"/>
      <w:bookmarkStart w:id="611" w:name="_Toc453677335"/>
      <w:bookmarkStart w:id="612" w:name="_Toc414275266"/>
      <w:bookmarkStart w:id="613" w:name="_Toc434412209"/>
      <w:bookmarkStart w:id="614" w:name="_Toc414368430"/>
      <w:bookmarkStart w:id="615" w:name="_Toc453678527"/>
      <w:bookmarkStart w:id="616" w:name="_Toc414351949"/>
      <w:bookmarkStart w:id="617" w:name="_Toc439684185"/>
      <w:r>
        <w:rPr>
          <w:rFonts w:hint="eastAsia" w:ascii="宋体" w:hAnsi="宋体" w:eastAsia="宋体" w:cs="宋体"/>
          <w:color w:val="auto"/>
          <w:sz w:val="24"/>
          <w:szCs w:val="24"/>
        </w:rPr>
        <w:t>1.7 联络</w:t>
      </w:r>
      <w:bookmarkEnd w:id="610"/>
      <w:bookmarkEnd w:id="611"/>
      <w:bookmarkEnd w:id="612"/>
      <w:bookmarkEnd w:id="613"/>
      <w:bookmarkEnd w:id="614"/>
      <w:bookmarkEnd w:id="615"/>
      <w:bookmarkEnd w:id="616"/>
      <w:bookmarkEnd w:id="617"/>
    </w:p>
    <w:p w14:paraId="3570AB8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与合同有关的通知、批准、证明、证书、指示、要求、请求、同意、意见、确定和决定等，均应采用书面形式。</w:t>
      </w:r>
    </w:p>
    <w:p w14:paraId="4F3E3A6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5A1EDE3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 来往函件均应按合同约定的期限即使发出和答复，不得无故扣压和拖延，亦不得拒收。否则，由此造成的后果由责任方负责。</w:t>
      </w:r>
    </w:p>
    <w:p w14:paraId="4A5C351C">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18" w:name="_Toc414368431"/>
      <w:bookmarkStart w:id="619" w:name="_Toc434412210"/>
      <w:bookmarkStart w:id="620" w:name="_Toc439684186"/>
      <w:bookmarkStart w:id="621" w:name="_Toc453677336"/>
      <w:bookmarkStart w:id="622" w:name="_Toc414268854"/>
      <w:bookmarkStart w:id="623" w:name="_Toc414275267"/>
      <w:bookmarkStart w:id="624" w:name="_Toc414351950"/>
      <w:bookmarkStart w:id="625" w:name="_Toc453678528"/>
      <w:r>
        <w:rPr>
          <w:rFonts w:hint="eastAsia" w:ascii="宋体" w:hAnsi="宋体" w:eastAsia="宋体" w:cs="宋体"/>
          <w:color w:val="auto"/>
          <w:sz w:val="24"/>
          <w:szCs w:val="24"/>
        </w:rPr>
        <w:t>1.8 转让</w:t>
      </w:r>
      <w:bookmarkEnd w:id="618"/>
      <w:bookmarkEnd w:id="619"/>
      <w:bookmarkEnd w:id="620"/>
      <w:bookmarkEnd w:id="621"/>
      <w:bookmarkEnd w:id="622"/>
      <w:bookmarkEnd w:id="623"/>
      <w:bookmarkEnd w:id="624"/>
      <w:bookmarkEnd w:id="625"/>
    </w:p>
    <w:p w14:paraId="7318B66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除合同另有约定外，未经对方当事人同意，一方当事人不得将合同权利全部或部分转让给第三人，也不得全部或部分转移合同义务。</w:t>
      </w:r>
    </w:p>
    <w:p w14:paraId="3642BD06">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26" w:name="_Toc453677337"/>
      <w:bookmarkStart w:id="627" w:name="_Toc414351951"/>
      <w:bookmarkStart w:id="628" w:name="_Toc414368432"/>
      <w:bookmarkStart w:id="629" w:name="_Toc414275268"/>
      <w:bookmarkStart w:id="630" w:name="_Toc439684187"/>
      <w:bookmarkStart w:id="631" w:name="_Toc414268855"/>
      <w:bookmarkStart w:id="632" w:name="_Toc453678529"/>
      <w:bookmarkStart w:id="633" w:name="_Toc434412211"/>
      <w:r>
        <w:rPr>
          <w:rFonts w:hint="eastAsia" w:ascii="宋体" w:hAnsi="宋体" w:eastAsia="宋体" w:cs="宋体"/>
          <w:color w:val="auto"/>
          <w:sz w:val="24"/>
          <w:szCs w:val="24"/>
        </w:rPr>
        <w:t>1.9 严禁贿赂</w:t>
      </w:r>
      <w:bookmarkEnd w:id="626"/>
      <w:bookmarkEnd w:id="627"/>
      <w:bookmarkEnd w:id="628"/>
      <w:bookmarkEnd w:id="629"/>
      <w:bookmarkEnd w:id="630"/>
      <w:bookmarkEnd w:id="631"/>
      <w:bookmarkEnd w:id="632"/>
      <w:bookmarkEnd w:id="633"/>
    </w:p>
    <w:p w14:paraId="51E18FE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合同双方当事人不得以贿赂或变相贿赂的方式，谋取不当利益或损害对方权益。因贿赂造成对方损失的，行为人应赔偿损失，并承担相应的法律责任。</w:t>
      </w:r>
    </w:p>
    <w:p w14:paraId="3D68527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34" w:name="_Toc414268856"/>
      <w:bookmarkStart w:id="635" w:name="_Toc453677338"/>
      <w:bookmarkStart w:id="636" w:name="_Toc439684188"/>
      <w:bookmarkStart w:id="637" w:name="_Toc434412212"/>
      <w:bookmarkStart w:id="638" w:name="_Toc453678530"/>
      <w:bookmarkStart w:id="639" w:name="_Toc414351952"/>
      <w:bookmarkStart w:id="640" w:name="_Toc414275269"/>
      <w:bookmarkStart w:id="641" w:name="_Toc414368433"/>
      <w:r>
        <w:rPr>
          <w:rFonts w:hint="eastAsia" w:ascii="宋体" w:hAnsi="宋体" w:eastAsia="宋体" w:cs="宋体"/>
          <w:color w:val="auto"/>
          <w:sz w:val="24"/>
          <w:szCs w:val="24"/>
        </w:rPr>
        <w:t>1.10 化石、文物</w:t>
      </w:r>
      <w:bookmarkEnd w:id="634"/>
      <w:bookmarkEnd w:id="635"/>
      <w:bookmarkEnd w:id="636"/>
      <w:bookmarkEnd w:id="637"/>
      <w:bookmarkEnd w:id="638"/>
      <w:bookmarkEnd w:id="639"/>
      <w:bookmarkEnd w:id="640"/>
      <w:bookmarkEnd w:id="641"/>
    </w:p>
    <w:p w14:paraId="6AE5FDD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365E49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1.10.2 承包人发现文物后不及时报告或隐瞒不报，致使文物丢失或损坏的，应赔偿损失，并承担相应的法律责任。</w:t>
      </w:r>
    </w:p>
    <w:p w14:paraId="3A62949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42" w:name="_Toc434412213"/>
      <w:bookmarkStart w:id="643" w:name="_Toc414275270"/>
      <w:bookmarkStart w:id="644" w:name="_Toc453677339"/>
      <w:bookmarkStart w:id="645" w:name="_Toc453678531"/>
      <w:bookmarkStart w:id="646" w:name="_Toc414368434"/>
      <w:bookmarkStart w:id="647" w:name="_Toc414351953"/>
      <w:bookmarkStart w:id="648" w:name="_Toc439684189"/>
      <w:bookmarkStart w:id="649" w:name="_Toc414268857"/>
      <w:r>
        <w:rPr>
          <w:rFonts w:hint="eastAsia" w:ascii="宋体" w:hAnsi="宋体" w:eastAsia="宋体" w:cs="宋体"/>
          <w:color w:val="auto"/>
          <w:sz w:val="24"/>
          <w:szCs w:val="24"/>
        </w:rPr>
        <w:t>1.11 专利技术</w:t>
      </w:r>
      <w:bookmarkEnd w:id="642"/>
      <w:bookmarkEnd w:id="643"/>
      <w:bookmarkEnd w:id="644"/>
      <w:bookmarkEnd w:id="645"/>
      <w:bookmarkEnd w:id="646"/>
      <w:bookmarkEnd w:id="647"/>
      <w:bookmarkEnd w:id="648"/>
      <w:bookmarkEnd w:id="649"/>
    </w:p>
    <w:p w14:paraId="3FF2F53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008D616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承包人在</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中采用专利技术的，专利技术的使用费包含在投标报价内。</w:t>
      </w:r>
    </w:p>
    <w:p w14:paraId="3E4DC09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1.11.3 承包人的技术秘密和声明需要保密的资料和信息，发包人和监理人不得为合同以外的目的泄露给他人。</w:t>
      </w:r>
    </w:p>
    <w:p w14:paraId="2CCB48F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1.11.4 合同实施过程中，发包人要求承包人采用专利技术，发包人应办理相应的使用手续，承包人应按发包人约定的条件使用，并承担使用专利技术的相关实验工作，所需费用由发包人承担。</w:t>
      </w:r>
    </w:p>
    <w:p w14:paraId="2BDF093F">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50" w:name="_Toc414351954"/>
      <w:bookmarkStart w:id="651" w:name="_Toc453677340"/>
      <w:bookmarkStart w:id="652" w:name="_Toc414275271"/>
      <w:bookmarkStart w:id="653" w:name="_Toc439684190"/>
      <w:bookmarkStart w:id="654" w:name="_Toc453678532"/>
      <w:bookmarkStart w:id="655" w:name="_Toc414368435"/>
      <w:bookmarkStart w:id="656" w:name="_Toc434412214"/>
      <w:r>
        <w:rPr>
          <w:rFonts w:hint="eastAsia" w:ascii="宋体" w:hAnsi="宋体" w:eastAsia="宋体" w:cs="宋体"/>
          <w:color w:val="auto"/>
          <w:sz w:val="24"/>
          <w:szCs w:val="24"/>
        </w:rPr>
        <w:t>1.12 图纸和文件的保密</w:t>
      </w:r>
      <w:bookmarkEnd w:id="650"/>
      <w:bookmarkEnd w:id="651"/>
      <w:bookmarkEnd w:id="652"/>
      <w:bookmarkEnd w:id="653"/>
      <w:bookmarkEnd w:id="654"/>
      <w:bookmarkEnd w:id="655"/>
      <w:bookmarkEnd w:id="656"/>
    </w:p>
    <w:p w14:paraId="0DFA6B1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 发包人提供的图纸和文件，未经发包人同意，承包人不得为合同以外的目的泄露给他人或公开发表与引用。</w:t>
      </w:r>
    </w:p>
    <w:p w14:paraId="05C7A05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 承包人提供的文件，未经承包人同意，发包人和监理人不得为合同以外的目的泄露给他人或公开发表与引用。</w:t>
      </w:r>
    </w:p>
    <w:p w14:paraId="292F93A3">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657" w:name="_Toc439684191"/>
      <w:bookmarkStart w:id="658" w:name="_Toc434412215"/>
      <w:bookmarkStart w:id="659" w:name="_Toc184635099"/>
      <w:bookmarkStart w:id="660" w:name="_Toc414268858"/>
      <w:bookmarkStart w:id="661" w:name="_Toc414351955"/>
      <w:bookmarkStart w:id="662" w:name="_Toc203758979"/>
      <w:bookmarkStart w:id="663" w:name="_Toc453677341"/>
      <w:bookmarkStart w:id="664" w:name="_Toc414275272"/>
      <w:bookmarkStart w:id="665" w:name="_Toc414368436"/>
      <w:bookmarkStart w:id="666" w:name="_Toc453678533"/>
      <w:r>
        <w:rPr>
          <w:rFonts w:hint="eastAsia" w:ascii="宋体" w:hAnsi="宋体" w:eastAsia="宋体" w:cs="宋体"/>
          <w:color w:val="auto"/>
          <w:sz w:val="24"/>
          <w:szCs w:val="24"/>
        </w:rPr>
        <w:t>2．发包人义务</w:t>
      </w:r>
      <w:bookmarkEnd w:id="657"/>
      <w:bookmarkEnd w:id="658"/>
      <w:bookmarkEnd w:id="659"/>
      <w:bookmarkEnd w:id="660"/>
      <w:bookmarkEnd w:id="661"/>
      <w:bookmarkEnd w:id="662"/>
      <w:bookmarkEnd w:id="663"/>
      <w:bookmarkEnd w:id="664"/>
      <w:bookmarkEnd w:id="665"/>
      <w:bookmarkEnd w:id="666"/>
    </w:p>
    <w:p w14:paraId="09BC03B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67" w:name="_Toc453678534"/>
      <w:bookmarkStart w:id="668" w:name="_Toc453677342"/>
      <w:bookmarkStart w:id="669" w:name="_Toc414368437"/>
      <w:bookmarkStart w:id="670" w:name="_Toc414275273"/>
      <w:bookmarkStart w:id="671" w:name="_Toc414351956"/>
      <w:bookmarkStart w:id="672" w:name="_Toc439684192"/>
      <w:bookmarkStart w:id="673" w:name="_Toc414268859"/>
      <w:bookmarkStart w:id="674" w:name="_Toc434412216"/>
      <w:r>
        <w:rPr>
          <w:rFonts w:hint="eastAsia" w:ascii="宋体" w:hAnsi="宋体" w:eastAsia="宋体" w:cs="宋体"/>
          <w:color w:val="auto"/>
          <w:sz w:val="24"/>
          <w:szCs w:val="24"/>
        </w:rPr>
        <w:t>2.1 遵守法律</w:t>
      </w:r>
      <w:bookmarkEnd w:id="667"/>
      <w:bookmarkEnd w:id="668"/>
      <w:bookmarkEnd w:id="669"/>
      <w:bookmarkEnd w:id="670"/>
      <w:bookmarkEnd w:id="671"/>
      <w:bookmarkEnd w:id="672"/>
      <w:bookmarkEnd w:id="673"/>
      <w:bookmarkEnd w:id="674"/>
    </w:p>
    <w:p w14:paraId="736E218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发包人在履行合同过程中应遵守法律，并保证承包人免于承担因发包人违反法律而引起的任何责任。</w:t>
      </w:r>
    </w:p>
    <w:p w14:paraId="25CF989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75" w:name="_Toc414268860"/>
      <w:bookmarkStart w:id="676" w:name="_Toc414351957"/>
      <w:bookmarkStart w:id="677" w:name="_Toc414368438"/>
      <w:bookmarkStart w:id="678" w:name="_Toc434412217"/>
      <w:bookmarkStart w:id="679" w:name="_Toc439684193"/>
      <w:bookmarkStart w:id="680" w:name="_Toc414275274"/>
      <w:bookmarkStart w:id="681" w:name="_Toc453677343"/>
      <w:bookmarkStart w:id="682" w:name="_Toc453678535"/>
      <w:r>
        <w:rPr>
          <w:rFonts w:hint="eastAsia" w:ascii="宋体" w:hAnsi="宋体" w:eastAsia="宋体" w:cs="宋体"/>
          <w:color w:val="auto"/>
          <w:sz w:val="24"/>
          <w:szCs w:val="24"/>
        </w:rPr>
        <w:t>2.2 发出开工通知</w:t>
      </w:r>
      <w:bookmarkEnd w:id="675"/>
      <w:bookmarkEnd w:id="676"/>
      <w:bookmarkEnd w:id="677"/>
      <w:bookmarkEnd w:id="678"/>
      <w:bookmarkEnd w:id="679"/>
      <w:bookmarkEnd w:id="680"/>
      <w:bookmarkEnd w:id="681"/>
      <w:bookmarkEnd w:id="682"/>
    </w:p>
    <w:p w14:paraId="21CC0AD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发包人应委托监理人按第11.1款的约定向承包人发出开工通知。</w:t>
      </w:r>
    </w:p>
    <w:p w14:paraId="74CA4D6E">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83" w:name="_Toc439684194"/>
      <w:bookmarkStart w:id="684" w:name="_Toc414275275"/>
      <w:bookmarkStart w:id="685" w:name="_Toc434412218"/>
      <w:bookmarkStart w:id="686" w:name="_Toc414368439"/>
      <w:bookmarkStart w:id="687" w:name="_Toc453678536"/>
      <w:bookmarkStart w:id="688" w:name="_Toc414351958"/>
      <w:bookmarkStart w:id="689" w:name="_Toc453677344"/>
      <w:bookmarkStart w:id="690" w:name="_Toc414268861"/>
      <w:r>
        <w:rPr>
          <w:rFonts w:hint="eastAsia" w:ascii="宋体" w:hAnsi="宋体" w:eastAsia="宋体" w:cs="宋体"/>
          <w:color w:val="auto"/>
          <w:sz w:val="24"/>
          <w:szCs w:val="24"/>
        </w:rPr>
        <w:t>2.3 提供施工场地</w:t>
      </w:r>
      <w:bookmarkEnd w:id="683"/>
      <w:bookmarkEnd w:id="684"/>
      <w:bookmarkEnd w:id="685"/>
      <w:bookmarkEnd w:id="686"/>
      <w:bookmarkEnd w:id="687"/>
      <w:bookmarkEnd w:id="688"/>
      <w:bookmarkEnd w:id="689"/>
      <w:bookmarkEnd w:id="690"/>
    </w:p>
    <w:p w14:paraId="020EBA9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51A2A56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 发包人提供的施工用地范围在专用合同条款中约定。</w:t>
      </w:r>
    </w:p>
    <w:p w14:paraId="4C3F6B9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 除专用合同条款另有约定外，发包人应按技术标准和要求（合同技术条款）的约定，向承包人提供施工场地内的工程地质图纸和报告，以及地下障碍物图纸等施工场地有关资料，并保证资料的真实、准确、完整。</w:t>
      </w:r>
    </w:p>
    <w:p w14:paraId="41AA95AE">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91" w:name="_Toc439684195"/>
      <w:bookmarkStart w:id="692" w:name="_Toc414268862"/>
      <w:bookmarkStart w:id="693" w:name="_Toc414351959"/>
      <w:bookmarkStart w:id="694" w:name="_Toc434412219"/>
      <w:bookmarkStart w:id="695" w:name="_Toc453677345"/>
      <w:bookmarkStart w:id="696" w:name="_Toc414275276"/>
      <w:bookmarkStart w:id="697" w:name="_Toc453678537"/>
      <w:bookmarkStart w:id="698" w:name="_Toc414368440"/>
      <w:r>
        <w:rPr>
          <w:rFonts w:hint="eastAsia" w:ascii="宋体" w:hAnsi="宋体" w:eastAsia="宋体" w:cs="宋体"/>
          <w:color w:val="auto"/>
          <w:sz w:val="24"/>
          <w:szCs w:val="24"/>
        </w:rPr>
        <w:t>2.4 协助承包人办理证件和批件</w:t>
      </w:r>
      <w:bookmarkEnd w:id="691"/>
      <w:bookmarkEnd w:id="692"/>
      <w:bookmarkEnd w:id="693"/>
      <w:bookmarkEnd w:id="694"/>
      <w:bookmarkEnd w:id="695"/>
      <w:bookmarkEnd w:id="696"/>
      <w:bookmarkEnd w:id="697"/>
      <w:bookmarkEnd w:id="698"/>
    </w:p>
    <w:p w14:paraId="5075CED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发包人应协助承包人办理法律规定的有关施工证件和批件。</w:t>
      </w:r>
    </w:p>
    <w:p w14:paraId="00A86B5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699" w:name="_Toc414275277"/>
      <w:bookmarkStart w:id="700" w:name="_Toc414351960"/>
      <w:bookmarkStart w:id="701" w:name="_Toc439684196"/>
      <w:bookmarkStart w:id="702" w:name="_Toc453678538"/>
      <w:bookmarkStart w:id="703" w:name="_Toc434412220"/>
      <w:bookmarkStart w:id="704" w:name="_Toc453677346"/>
      <w:bookmarkStart w:id="705" w:name="_Toc414368441"/>
      <w:bookmarkStart w:id="706" w:name="_Toc414268863"/>
      <w:r>
        <w:rPr>
          <w:rFonts w:hint="eastAsia" w:ascii="宋体" w:hAnsi="宋体" w:eastAsia="宋体" w:cs="宋体"/>
          <w:color w:val="auto"/>
          <w:sz w:val="24"/>
          <w:szCs w:val="24"/>
        </w:rPr>
        <w:t>2.5 组织设计交底</w:t>
      </w:r>
      <w:bookmarkEnd w:id="699"/>
      <w:bookmarkEnd w:id="700"/>
      <w:bookmarkEnd w:id="701"/>
      <w:bookmarkEnd w:id="702"/>
      <w:bookmarkEnd w:id="703"/>
      <w:bookmarkEnd w:id="704"/>
      <w:bookmarkEnd w:id="705"/>
      <w:bookmarkEnd w:id="706"/>
    </w:p>
    <w:p w14:paraId="39CF931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发包人应根据合同进度计划，组织设计单位向承包人进行设计交底。</w:t>
      </w:r>
    </w:p>
    <w:p w14:paraId="5AC683AF">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07" w:name="_Toc453678539"/>
      <w:bookmarkStart w:id="708" w:name="_Toc453677347"/>
      <w:bookmarkStart w:id="709" w:name="_Toc414351961"/>
      <w:bookmarkStart w:id="710" w:name="_Toc414268864"/>
      <w:bookmarkStart w:id="711" w:name="_Toc414368442"/>
      <w:bookmarkStart w:id="712" w:name="_Toc439684197"/>
      <w:bookmarkStart w:id="713" w:name="_Toc414275278"/>
      <w:bookmarkStart w:id="714" w:name="_Toc434412221"/>
      <w:r>
        <w:rPr>
          <w:rFonts w:hint="eastAsia" w:ascii="宋体" w:hAnsi="宋体" w:eastAsia="宋体" w:cs="宋体"/>
          <w:color w:val="auto"/>
          <w:sz w:val="24"/>
          <w:szCs w:val="24"/>
        </w:rPr>
        <w:t>2.6 支付合同价款</w:t>
      </w:r>
      <w:bookmarkEnd w:id="707"/>
      <w:bookmarkEnd w:id="708"/>
      <w:bookmarkEnd w:id="709"/>
      <w:bookmarkEnd w:id="710"/>
      <w:bookmarkEnd w:id="711"/>
      <w:bookmarkEnd w:id="712"/>
      <w:bookmarkEnd w:id="713"/>
      <w:bookmarkEnd w:id="714"/>
    </w:p>
    <w:p w14:paraId="4303649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14:paraId="4D59254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15" w:name="_Toc414275279"/>
      <w:bookmarkStart w:id="716" w:name="_Toc414368443"/>
      <w:bookmarkStart w:id="717" w:name="_Toc414268865"/>
      <w:bookmarkStart w:id="718" w:name="_Toc439684198"/>
      <w:bookmarkStart w:id="719" w:name="_Toc434412222"/>
      <w:bookmarkStart w:id="720" w:name="_Toc453678540"/>
      <w:bookmarkStart w:id="721" w:name="_Toc453677348"/>
      <w:bookmarkStart w:id="722" w:name="_Toc414351962"/>
      <w:r>
        <w:rPr>
          <w:rFonts w:hint="eastAsia" w:ascii="宋体" w:hAnsi="宋体" w:eastAsia="宋体" w:cs="宋体"/>
          <w:color w:val="auto"/>
          <w:sz w:val="24"/>
          <w:szCs w:val="24"/>
        </w:rPr>
        <w:t>2.7 组织竣工验收</w:t>
      </w:r>
      <w:bookmarkEnd w:id="715"/>
      <w:bookmarkEnd w:id="716"/>
      <w:bookmarkEnd w:id="717"/>
      <w:bookmarkEnd w:id="718"/>
      <w:bookmarkEnd w:id="719"/>
      <w:bookmarkEnd w:id="720"/>
      <w:bookmarkEnd w:id="721"/>
      <w:bookmarkEnd w:id="722"/>
    </w:p>
    <w:p w14:paraId="7E04DA7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14:paraId="79EAF15B">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23" w:name="_Toc414351963"/>
      <w:bookmarkStart w:id="724" w:name="_Toc453678541"/>
      <w:bookmarkStart w:id="725" w:name="_Toc414275280"/>
      <w:bookmarkStart w:id="726" w:name="_Toc414368444"/>
      <w:bookmarkStart w:id="727" w:name="_Toc439684199"/>
      <w:bookmarkStart w:id="728" w:name="_Toc434412223"/>
      <w:bookmarkStart w:id="729" w:name="_Toc414268866"/>
      <w:bookmarkStart w:id="730" w:name="_Toc453677349"/>
      <w:r>
        <w:rPr>
          <w:rFonts w:hint="eastAsia" w:ascii="宋体" w:hAnsi="宋体" w:eastAsia="宋体" w:cs="宋体"/>
          <w:color w:val="auto"/>
          <w:sz w:val="24"/>
          <w:szCs w:val="24"/>
        </w:rPr>
        <w:t>2.8 其他义务</w:t>
      </w:r>
      <w:bookmarkEnd w:id="723"/>
      <w:bookmarkEnd w:id="724"/>
      <w:bookmarkEnd w:id="725"/>
      <w:bookmarkEnd w:id="726"/>
      <w:bookmarkEnd w:id="727"/>
      <w:bookmarkEnd w:id="728"/>
      <w:bookmarkEnd w:id="729"/>
      <w:bookmarkEnd w:id="730"/>
    </w:p>
    <w:p w14:paraId="4E4E1F6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发包人应履行合同约定的其他义务。</w:t>
      </w:r>
    </w:p>
    <w:p w14:paraId="5AE0F177">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731" w:name="_Toc434412224"/>
      <w:bookmarkStart w:id="732" w:name="_Toc184635100"/>
      <w:bookmarkStart w:id="733" w:name="_Toc439684200"/>
      <w:bookmarkStart w:id="734" w:name="_Toc453677350"/>
      <w:bookmarkStart w:id="735" w:name="_Toc203758980"/>
      <w:bookmarkStart w:id="736" w:name="_Toc453678542"/>
      <w:bookmarkStart w:id="737" w:name="_Toc414351964"/>
      <w:bookmarkStart w:id="738" w:name="_Toc414275281"/>
      <w:bookmarkStart w:id="739" w:name="_Toc414368445"/>
      <w:bookmarkStart w:id="740" w:name="_Toc414268867"/>
      <w:r>
        <w:rPr>
          <w:rFonts w:hint="eastAsia" w:ascii="宋体" w:hAnsi="宋体" w:eastAsia="宋体" w:cs="宋体"/>
          <w:color w:val="auto"/>
          <w:sz w:val="24"/>
          <w:szCs w:val="24"/>
        </w:rPr>
        <w:t>3．监理人</w:t>
      </w:r>
      <w:bookmarkEnd w:id="731"/>
      <w:bookmarkEnd w:id="732"/>
      <w:bookmarkEnd w:id="733"/>
      <w:bookmarkEnd w:id="734"/>
      <w:bookmarkEnd w:id="735"/>
      <w:bookmarkEnd w:id="736"/>
      <w:bookmarkEnd w:id="737"/>
      <w:bookmarkEnd w:id="738"/>
      <w:bookmarkEnd w:id="739"/>
      <w:bookmarkEnd w:id="740"/>
    </w:p>
    <w:p w14:paraId="798DCCD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41" w:name="_Toc453678543"/>
      <w:bookmarkStart w:id="742" w:name="_Toc453677351"/>
      <w:bookmarkStart w:id="743" w:name="_Toc439684201"/>
      <w:bookmarkStart w:id="744" w:name="_Toc414351965"/>
      <w:bookmarkStart w:id="745" w:name="_Toc414275282"/>
      <w:bookmarkStart w:id="746" w:name="_Toc414368446"/>
      <w:bookmarkStart w:id="747" w:name="_Toc414268868"/>
      <w:bookmarkStart w:id="748" w:name="_Toc434412225"/>
      <w:r>
        <w:rPr>
          <w:rFonts w:hint="eastAsia" w:ascii="宋体" w:hAnsi="宋体" w:eastAsia="宋体" w:cs="宋体"/>
          <w:color w:val="auto"/>
          <w:sz w:val="24"/>
          <w:szCs w:val="24"/>
        </w:rPr>
        <w:t>3.1 监理人的职责和权力</w:t>
      </w:r>
      <w:bookmarkEnd w:id="741"/>
      <w:bookmarkEnd w:id="742"/>
      <w:bookmarkEnd w:id="743"/>
      <w:bookmarkEnd w:id="744"/>
      <w:bookmarkEnd w:id="745"/>
      <w:bookmarkEnd w:id="746"/>
      <w:bookmarkEnd w:id="747"/>
      <w:bookmarkEnd w:id="748"/>
    </w:p>
    <w:p w14:paraId="4D3CC0D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 监理人受发包人的委托，享有合同约定的权利。监理人的权利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2F0EE0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3.1.2 监理人发出的任何指示应视为已得到发包人的批准，但监理人无权免除或变更合同约定的发包人和承包人的权利、义务和责任。</w:t>
      </w:r>
    </w:p>
    <w:p w14:paraId="2E481A3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3.1.3 合同约定应由承包人承担的义务和责任，不因监理人对承包人提交文件的审查或批准，对工程、材料和设备的检查和检验，以及为实施监理做出的指示等职务行为而减轻或解除。</w:t>
      </w:r>
    </w:p>
    <w:p w14:paraId="550180F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49" w:name="_Toc453677352"/>
      <w:bookmarkStart w:id="750" w:name="_Toc439684202"/>
      <w:bookmarkStart w:id="751" w:name="_Toc453678544"/>
      <w:bookmarkStart w:id="752" w:name="_Toc414268869"/>
      <w:bookmarkStart w:id="753" w:name="_Toc414275283"/>
      <w:bookmarkStart w:id="754" w:name="_Toc414368447"/>
      <w:bookmarkStart w:id="755" w:name="_Toc414351966"/>
      <w:bookmarkStart w:id="756" w:name="_Toc434412226"/>
      <w:r>
        <w:rPr>
          <w:rFonts w:hint="eastAsia" w:ascii="宋体" w:hAnsi="宋体" w:eastAsia="宋体" w:cs="宋体"/>
          <w:color w:val="auto"/>
          <w:sz w:val="24"/>
          <w:szCs w:val="24"/>
        </w:rPr>
        <w:t>3.2 总监理工程师</w:t>
      </w:r>
      <w:bookmarkEnd w:id="749"/>
      <w:bookmarkEnd w:id="750"/>
      <w:bookmarkEnd w:id="751"/>
      <w:bookmarkEnd w:id="752"/>
      <w:bookmarkEnd w:id="753"/>
      <w:bookmarkEnd w:id="754"/>
      <w:bookmarkEnd w:id="755"/>
      <w:bookmarkEnd w:id="756"/>
    </w:p>
    <w:p w14:paraId="2B97533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14:paraId="6E9A1B6C">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57" w:name="_Toc414351967"/>
      <w:bookmarkStart w:id="758" w:name="_Toc453677353"/>
      <w:bookmarkStart w:id="759" w:name="_Toc439684203"/>
      <w:bookmarkStart w:id="760" w:name="_Toc453678545"/>
      <w:bookmarkStart w:id="761" w:name="_Toc434412227"/>
      <w:bookmarkStart w:id="762" w:name="_Toc414368448"/>
      <w:bookmarkStart w:id="763" w:name="_Toc414268870"/>
      <w:bookmarkStart w:id="764" w:name="_Toc414275284"/>
      <w:r>
        <w:rPr>
          <w:rFonts w:hint="eastAsia" w:ascii="宋体" w:hAnsi="宋体" w:eastAsia="宋体" w:cs="宋体"/>
          <w:color w:val="auto"/>
          <w:sz w:val="24"/>
          <w:szCs w:val="24"/>
        </w:rPr>
        <w:t>3.3 监理人员</w:t>
      </w:r>
      <w:bookmarkEnd w:id="757"/>
      <w:bookmarkEnd w:id="758"/>
      <w:bookmarkEnd w:id="759"/>
      <w:bookmarkEnd w:id="760"/>
      <w:bookmarkEnd w:id="761"/>
      <w:bookmarkEnd w:id="762"/>
      <w:bookmarkEnd w:id="763"/>
      <w:bookmarkEnd w:id="764"/>
    </w:p>
    <w:p w14:paraId="688110E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842630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5FF7FA4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3.3.3 承包人对总监理工程师授权的监理人员发出的指示有疑问的，可向总监理工程师提出书面异议，总监理工程师应在48小时内对该指示予以确认、更改或撤销。</w:t>
      </w:r>
    </w:p>
    <w:p w14:paraId="687F5E6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除专用合同条款另有约定外，总监理工程师不应将第3.5款约定应由总监理工程师做出确定的权力授权或委托给其他监理人员。</w:t>
      </w:r>
    </w:p>
    <w:p w14:paraId="2E33F196">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65" w:name="_Toc439684204"/>
      <w:bookmarkStart w:id="766" w:name="_Toc414368449"/>
      <w:bookmarkStart w:id="767" w:name="_Toc414275285"/>
      <w:bookmarkStart w:id="768" w:name="_Toc414351968"/>
      <w:bookmarkStart w:id="769" w:name="_Toc414268871"/>
      <w:bookmarkStart w:id="770" w:name="_Toc453678546"/>
      <w:bookmarkStart w:id="771" w:name="_Toc453677354"/>
      <w:bookmarkStart w:id="772" w:name="_Toc434412228"/>
      <w:r>
        <w:rPr>
          <w:rFonts w:hint="eastAsia" w:ascii="宋体" w:hAnsi="宋体" w:eastAsia="宋体" w:cs="宋体"/>
          <w:color w:val="auto"/>
          <w:sz w:val="24"/>
          <w:szCs w:val="24"/>
        </w:rPr>
        <w:t>3.4 监理人的指示</w:t>
      </w:r>
      <w:bookmarkEnd w:id="765"/>
      <w:bookmarkEnd w:id="766"/>
      <w:bookmarkEnd w:id="767"/>
      <w:bookmarkEnd w:id="768"/>
      <w:bookmarkEnd w:id="769"/>
      <w:bookmarkEnd w:id="770"/>
      <w:bookmarkEnd w:id="771"/>
      <w:bookmarkEnd w:id="772"/>
    </w:p>
    <w:p w14:paraId="6AD6AB2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 监理人应按第3.1 款的约定向承包人发出指示，监理人的指示应盖有监理人授权的施工场地机构章，并由总监理工程师或总监理工程师按第3.3.1项约定授权的监理人员签字。</w:t>
      </w:r>
    </w:p>
    <w:p w14:paraId="1886025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3.4.2 承包人收到监理人按第3.4.1项做出的指示后应遵照执行。指示构成变更的，应按第15条处理。</w:t>
      </w:r>
    </w:p>
    <w:p w14:paraId="34AC11A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0CEEE66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 除合同另有约定外，承包人只从总监理工程师或按第3.3.1项被授权的监理人员处取得指示。</w:t>
      </w:r>
    </w:p>
    <w:p w14:paraId="455BAA2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3.4.5 由于监理人未能按合同约定发出指示、指示延误或指示错误而导致承包人费用增加和（或）工期延误的，由发包人承担赔偿责任。</w:t>
      </w:r>
    </w:p>
    <w:p w14:paraId="7C72F117">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73" w:name="_Toc414275286"/>
      <w:bookmarkStart w:id="774" w:name="_Toc414368450"/>
      <w:bookmarkStart w:id="775" w:name="_Toc453678547"/>
      <w:bookmarkStart w:id="776" w:name="_Toc434412229"/>
      <w:bookmarkStart w:id="777" w:name="_Toc439684205"/>
      <w:bookmarkStart w:id="778" w:name="_Toc414268872"/>
      <w:bookmarkStart w:id="779" w:name="_Toc414351969"/>
      <w:bookmarkStart w:id="780" w:name="_Toc453677355"/>
      <w:r>
        <w:rPr>
          <w:rFonts w:hint="eastAsia" w:ascii="宋体" w:hAnsi="宋体" w:eastAsia="宋体" w:cs="宋体"/>
          <w:color w:val="auto"/>
          <w:sz w:val="24"/>
          <w:szCs w:val="24"/>
        </w:rPr>
        <w:t>3.5 商定或确定</w:t>
      </w:r>
      <w:bookmarkEnd w:id="773"/>
      <w:bookmarkEnd w:id="774"/>
      <w:bookmarkEnd w:id="775"/>
      <w:bookmarkEnd w:id="776"/>
      <w:bookmarkEnd w:id="777"/>
      <w:bookmarkEnd w:id="778"/>
      <w:bookmarkEnd w:id="779"/>
      <w:bookmarkEnd w:id="780"/>
    </w:p>
    <w:p w14:paraId="070D4FA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3.5.1 合同约定总监理工程师应按照本款对任何事项进行商定或确定时，总监理工程师应与合同当事人协商，尽量达成一致。不能达成一致的，总监理工程师应认真研究后审慎确定。</w:t>
      </w:r>
    </w:p>
    <w:p w14:paraId="4A08022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做出修改的，按修改后的结果执行。</w:t>
      </w:r>
    </w:p>
    <w:p w14:paraId="248D39FA">
      <w:pPr>
        <w:pStyle w:val="141"/>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781" w:name="_Toc439684206"/>
      <w:bookmarkStart w:id="782" w:name="_Toc414275287"/>
      <w:bookmarkStart w:id="783" w:name="_Toc453678548"/>
      <w:bookmarkStart w:id="784" w:name="_Toc184635101"/>
      <w:bookmarkStart w:id="785" w:name="_Toc203758981"/>
      <w:bookmarkStart w:id="786" w:name="_Toc414268873"/>
      <w:bookmarkStart w:id="787" w:name="_Toc414368451"/>
      <w:bookmarkStart w:id="788" w:name="_Toc434412230"/>
      <w:bookmarkStart w:id="789" w:name="_Toc453677356"/>
      <w:bookmarkStart w:id="790" w:name="_Toc414351970"/>
      <w:r>
        <w:rPr>
          <w:rFonts w:hint="eastAsia" w:ascii="宋体" w:hAnsi="宋体" w:eastAsia="宋体" w:cs="宋体"/>
          <w:color w:val="auto"/>
          <w:sz w:val="24"/>
          <w:szCs w:val="24"/>
        </w:rPr>
        <w:t>4．承包人</w:t>
      </w:r>
      <w:bookmarkEnd w:id="781"/>
      <w:bookmarkEnd w:id="782"/>
      <w:bookmarkEnd w:id="783"/>
      <w:bookmarkEnd w:id="784"/>
      <w:bookmarkEnd w:id="785"/>
      <w:bookmarkEnd w:id="786"/>
      <w:bookmarkEnd w:id="787"/>
      <w:bookmarkEnd w:id="788"/>
      <w:bookmarkEnd w:id="789"/>
      <w:bookmarkEnd w:id="790"/>
    </w:p>
    <w:p w14:paraId="43495F8B">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791" w:name="_Toc453678549"/>
      <w:bookmarkStart w:id="792" w:name="_Toc453677357"/>
      <w:bookmarkStart w:id="793" w:name="_Toc414368452"/>
      <w:bookmarkStart w:id="794" w:name="_Toc414275288"/>
      <w:bookmarkStart w:id="795" w:name="_Toc439684207"/>
      <w:bookmarkStart w:id="796" w:name="_Toc414351971"/>
      <w:bookmarkStart w:id="797" w:name="_Toc414268874"/>
      <w:bookmarkStart w:id="798" w:name="_Toc434412231"/>
      <w:r>
        <w:rPr>
          <w:rFonts w:hint="eastAsia" w:ascii="宋体" w:hAnsi="宋体" w:eastAsia="宋体" w:cs="宋体"/>
          <w:color w:val="auto"/>
          <w:sz w:val="24"/>
          <w:szCs w:val="24"/>
        </w:rPr>
        <w:t>4.1 承包人的一般义务</w:t>
      </w:r>
      <w:bookmarkEnd w:id="791"/>
      <w:bookmarkEnd w:id="792"/>
      <w:bookmarkEnd w:id="793"/>
      <w:bookmarkEnd w:id="794"/>
      <w:bookmarkEnd w:id="795"/>
      <w:bookmarkEnd w:id="796"/>
      <w:bookmarkEnd w:id="797"/>
      <w:bookmarkEnd w:id="798"/>
    </w:p>
    <w:p w14:paraId="3A3C7DE9">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799" w:name="_Toc439684208"/>
      <w:bookmarkStart w:id="800" w:name="_Toc453678550"/>
      <w:bookmarkStart w:id="801" w:name="_Toc434937532"/>
      <w:bookmarkStart w:id="802" w:name="_Toc439685385"/>
      <w:bookmarkStart w:id="803" w:name="_Toc23379"/>
      <w:bookmarkStart w:id="804" w:name="_Toc414275289"/>
      <w:bookmarkStart w:id="805" w:name="_Toc29047"/>
      <w:bookmarkStart w:id="806" w:name="_Toc414351972"/>
      <w:bookmarkStart w:id="807" w:name="_Toc453677358"/>
      <w:r>
        <w:rPr>
          <w:rFonts w:hint="eastAsia" w:ascii="宋体" w:hAnsi="宋体" w:eastAsia="宋体" w:cs="宋体"/>
          <w:color w:val="auto"/>
          <w:sz w:val="24"/>
          <w:szCs w:val="24"/>
        </w:rPr>
        <w:t>4.1.1 遵守法律</w:t>
      </w:r>
      <w:bookmarkEnd w:id="799"/>
      <w:bookmarkEnd w:id="800"/>
      <w:bookmarkEnd w:id="801"/>
      <w:bookmarkEnd w:id="802"/>
      <w:bookmarkEnd w:id="803"/>
      <w:bookmarkEnd w:id="804"/>
      <w:bookmarkEnd w:id="805"/>
      <w:bookmarkEnd w:id="806"/>
      <w:bookmarkEnd w:id="807"/>
    </w:p>
    <w:p w14:paraId="2E4B046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承包人在履行合同过程中应遵守法律，并保证发包人免于承担因承包人违反法律而引起的任何责任。</w:t>
      </w:r>
    </w:p>
    <w:p w14:paraId="4EA6F55A">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808" w:name="_Toc453678551"/>
      <w:bookmarkStart w:id="809" w:name="_Toc414275290"/>
      <w:bookmarkStart w:id="810" w:name="_Toc434937533"/>
      <w:bookmarkStart w:id="811" w:name="_Toc2245"/>
      <w:bookmarkStart w:id="812" w:name="_Toc414351973"/>
      <w:bookmarkStart w:id="813" w:name="_Toc23275"/>
      <w:bookmarkStart w:id="814" w:name="_Toc439684209"/>
      <w:bookmarkStart w:id="815" w:name="_Toc439685386"/>
      <w:bookmarkStart w:id="816" w:name="_Toc453677359"/>
      <w:r>
        <w:rPr>
          <w:rFonts w:hint="eastAsia" w:ascii="宋体" w:hAnsi="宋体" w:eastAsia="宋体" w:cs="宋体"/>
          <w:color w:val="auto"/>
          <w:sz w:val="24"/>
          <w:szCs w:val="24"/>
        </w:rPr>
        <w:t>4.1.2 依法纳税</w:t>
      </w:r>
      <w:bookmarkEnd w:id="808"/>
      <w:bookmarkEnd w:id="809"/>
      <w:bookmarkEnd w:id="810"/>
      <w:bookmarkEnd w:id="811"/>
      <w:bookmarkEnd w:id="812"/>
      <w:bookmarkEnd w:id="813"/>
      <w:bookmarkEnd w:id="814"/>
      <w:bookmarkEnd w:id="815"/>
      <w:bookmarkEnd w:id="816"/>
    </w:p>
    <w:p w14:paraId="2827846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承包人应按有关法律规定纳税，应缴纳的税金包括在合同价格内。</w:t>
      </w:r>
    </w:p>
    <w:p w14:paraId="3AB3CE08">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817" w:name="_Toc453677360"/>
      <w:bookmarkStart w:id="818" w:name="_Toc439685387"/>
      <w:bookmarkStart w:id="819" w:name="_Toc439684210"/>
      <w:bookmarkStart w:id="820" w:name="_Toc3311"/>
      <w:bookmarkStart w:id="821" w:name="_Toc24988"/>
      <w:bookmarkStart w:id="822" w:name="_Toc434937534"/>
      <w:bookmarkStart w:id="823" w:name="_Toc414275291"/>
      <w:bookmarkStart w:id="824" w:name="_Toc414351974"/>
      <w:bookmarkStart w:id="825" w:name="_Toc453678552"/>
      <w:r>
        <w:rPr>
          <w:rFonts w:hint="eastAsia" w:ascii="宋体" w:hAnsi="宋体" w:eastAsia="宋体" w:cs="宋体"/>
          <w:color w:val="auto"/>
          <w:sz w:val="24"/>
          <w:szCs w:val="24"/>
        </w:rPr>
        <w:t>4.1.3 完成各项承包工作</w:t>
      </w:r>
      <w:bookmarkEnd w:id="817"/>
      <w:bookmarkEnd w:id="818"/>
      <w:bookmarkEnd w:id="819"/>
      <w:bookmarkEnd w:id="820"/>
      <w:bookmarkEnd w:id="821"/>
      <w:bookmarkEnd w:id="822"/>
      <w:bookmarkEnd w:id="823"/>
      <w:bookmarkEnd w:id="824"/>
      <w:bookmarkEnd w:id="825"/>
    </w:p>
    <w:p w14:paraId="0831C03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以及监理人根据第3.4款做出的指示，实施、完成全部工程，并修补工程中的任何缺陷。除第5.2款、第6.2条款另有约定外，承包人应提供为完成合同工作所需的劳务、材料、施工设备、工程设备和其他物品，并按合同约定负责临时设施的设计、建造、运行、维护、管理和拆除。</w:t>
      </w:r>
    </w:p>
    <w:p w14:paraId="3EC4A736">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826" w:name="_Toc453678553"/>
      <w:bookmarkStart w:id="827" w:name="_Toc434937535"/>
      <w:bookmarkStart w:id="828" w:name="_Toc439685388"/>
      <w:bookmarkStart w:id="829" w:name="_Toc19875"/>
      <w:bookmarkStart w:id="830" w:name="_Toc16201"/>
      <w:bookmarkStart w:id="831" w:name="_Toc414275292"/>
      <w:bookmarkStart w:id="832" w:name="_Toc414351975"/>
      <w:bookmarkStart w:id="833" w:name="_Toc453677361"/>
      <w:bookmarkStart w:id="834" w:name="_Toc439684211"/>
      <w:r>
        <w:rPr>
          <w:rFonts w:hint="eastAsia" w:ascii="宋体" w:hAnsi="宋体" w:eastAsia="宋体" w:cs="宋体"/>
          <w:color w:val="auto"/>
          <w:sz w:val="24"/>
          <w:szCs w:val="24"/>
        </w:rPr>
        <w:t>4.1.4 对施工作业和施工方法的完备性负责</w:t>
      </w:r>
      <w:bookmarkEnd w:id="826"/>
      <w:bookmarkEnd w:id="827"/>
      <w:bookmarkEnd w:id="828"/>
      <w:bookmarkEnd w:id="829"/>
      <w:bookmarkEnd w:id="830"/>
      <w:bookmarkEnd w:id="831"/>
      <w:bookmarkEnd w:id="832"/>
      <w:bookmarkEnd w:id="833"/>
      <w:bookmarkEnd w:id="834"/>
    </w:p>
    <w:p w14:paraId="0B0046D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承包人应按合同约定的工作内容和施工进度要求，编制施工组织设计和施工措施计划，并对所有施工作业和施工方法的完备性和安全可靠性负责。</w:t>
      </w:r>
    </w:p>
    <w:p w14:paraId="17D78541">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835" w:name="_Toc414275293"/>
      <w:bookmarkStart w:id="836" w:name="_Toc434937536"/>
      <w:bookmarkStart w:id="837" w:name="_Toc453677362"/>
      <w:bookmarkStart w:id="838" w:name="_Toc414351976"/>
      <w:bookmarkStart w:id="839" w:name="_Toc453678554"/>
      <w:bookmarkStart w:id="840" w:name="_Toc439685389"/>
      <w:bookmarkStart w:id="841" w:name="_Toc439684212"/>
      <w:bookmarkStart w:id="842" w:name="_Toc2675"/>
      <w:bookmarkStart w:id="843" w:name="_Toc10851"/>
      <w:r>
        <w:rPr>
          <w:rFonts w:hint="eastAsia" w:ascii="宋体" w:hAnsi="宋体" w:eastAsia="宋体" w:cs="宋体"/>
          <w:color w:val="auto"/>
          <w:sz w:val="24"/>
          <w:szCs w:val="24"/>
        </w:rPr>
        <w:t>4.1.5 保证工程施工和人员的安全</w:t>
      </w:r>
      <w:bookmarkEnd w:id="835"/>
      <w:bookmarkEnd w:id="836"/>
      <w:bookmarkEnd w:id="837"/>
      <w:bookmarkEnd w:id="838"/>
      <w:bookmarkEnd w:id="839"/>
      <w:bookmarkEnd w:id="840"/>
      <w:bookmarkEnd w:id="841"/>
      <w:bookmarkEnd w:id="842"/>
      <w:bookmarkEnd w:id="843"/>
    </w:p>
    <w:p w14:paraId="4488843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承包人应按第9.2款约定采取施工安全措施，确保工程及其人员、材料、设备和设施的安全，防止因工程施工造成的人身伤害和财产损失。</w:t>
      </w:r>
    </w:p>
    <w:p w14:paraId="6D1D3FC1">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844" w:name="_Toc453678555"/>
      <w:bookmarkStart w:id="845" w:name="_Toc453677363"/>
      <w:bookmarkStart w:id="846" w:name="_Toc27946"/>
      <w:bookmarkStart w:id="847" w:name="_Toc439685390"/>
      <w:bookmarkStart w:id="848" w:name="_Toc414275294"/>
      <w:bookmarkStart w:id="849" w:name="_Toc4114"/>
      <w:bookmarkStart w:id="850" w:name="_Toc434937537"/>
      <w:bookmarkStart w:id="851" w:name="_Toc414351977"/>
      <w:bookmarkStart w:id="852" w:name="_Toc439684213"/>
      <w:r>
        <w:rPr>
          <w:rFonts w:hint="eastAsia" w:ascii="宋体" w:hAnsi="宋体" w:eastAsia="宋体" w:cs="宋体"/>
          <w:color w:val="auto"/>
          <w:sz w:val="24"/>
          <w:szCs w:val="24"/>
        </w:rPr>
        <w:t>4.1.6 负责施工场地及其周边环境与生态的保护工作</w:t>
      </w:r>
      <w:bookmarkEnd w:id="844"/>
      <w:bookmarkEnd w:id="845"/>
      <w:bookmarkEnd w:id="846"/>
      <w:bookmarkEnd w:id="847"/>
      <w:bookmarkEnd w:id="848"/>
      <w:bookmarkEnd w:id="849"/>
      <w:bookmarkEnd w:id="850"/>
      <w:bookmarkEnd w:id="851"/>
      <w:bookmarkEnd w:id="852"/>
    </w:p>
    <w:p w14:paraId="4725FEA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承包人应按照第9.4款约定负责施工场地及其周边环境与生态的保护工作。</w:t>
      </w:r>
    </w:p>
    <w:p w14:paraId="45B466C0">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853" w:name="_Toc439684214"/>
      <w:bookmarkStart w:id="854" w:name="_Toc3056"/>
      <w:bookmarkStart w:id="855" w:name="_Toc434937538"/>
      <w:bookmarkStart w:id="856" w:name="_Toc439685391"/>
      <w:bookmarkStart w:id="857" w:name="_Toc453677364"/>
      <w:bookmarkStart w:id="858" w:name="_Toc453678556"/>
      <w:bookmarkStart w:id="859" w:name="_Toc414351978"/>
      <w:bookmarkStart w:id="860" w:name="_Toc414275295"/>
      <w:bookmarkStart w:id="861" w:name="_Toc20175"/>
      <w:r>
        <w:rPr>
          <w:rFonts w:hint="eastAsia" w:ascii="宋体" w:hAnsi="宋体" w:eastAsia="宋体" w:cs="宋体"/>
          <w:color w:val="auto"/>
          <w:sz w:val="24"/>
          <w:szCs w:val="24"/>
        </w:rPr>
        <w:t>4.1.7 避免施工对公众与他人的利益造成损害</w:t>
      </w:r>
      <w:bookmarkEnd w:id="853"/>
      <w:bookmarkEnd w:id="854"/>
      <w:bookmarkEnd w:id="855"/>
      <w:bookmarkEnd w:id="856"/>
      <w:bookmarkEnd w:id="857"/>
      <w:bookmarkEnd w:id="858"/>
      <w:bookmarkEnd w:id="859"/>
      <w:bookmarkEnd w:id="860"/>
      <w:bookmarkEnd w:id="861"/>
    </w:p>
    <w:p w14:paraId="712E110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C1E45B1">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862" w:name="_Toc32512"/>
      <w:bookmarkStart w:id="863" w:name="_Toc434937539"/>
      <w:bookmarkStart w:id="864" w:name="_Toc21753"/>
      <w:bookmarkStart w:id="865" w:name="_Toc439685392"/>
      <w:bookmarkStart w:id="866" w:name="_Toc414275296"/>
      <w:bookmarkStart w:id="867" w:name="_Toc453678557"/>
      <w:bookmarkStart w:id="868" w:name="_Toc439684215"/>
      <w:bookmarkStart w:id="869" w:name="_Toc453677365"/>
      <w:bookmarkStart w:id="870" w:name="_Toc414351979"/>
      <w:r>
        <w:rPr>
          <w:rFonts w:hint="eastAsia" w:ascii="宋体" w:hAnsi="宋体" w:eastAsia="宋体" w:cs="宋体"/>
          <w:color w:val="auto"/>
          <w:sz w:val="24"/>
          <w:szCs w:val="24"/>
        </w:rPr>
        <w:t>4.1.8 为他人提供方便</w:t>
      </w:r>
      <w:bookmarkEnd w:id="862"/>
      <w:bookmarkEnd w:id="863"/>
      <w:bookmarkEnd w:id="864"/>
      <w:bookmarkEnd w:id="865"/>
      <w:bookmarkEnd w:id="866"/>
      <w:bookmarkEnd w:id="867"/>
      <w:bookmarkEnd w:id="868"/>
      <w:bookmarkEnd w:id="869"/>
      <w:bookmarkEnd w:id="870"/>
    </w:p>
    <w:p w14:paraId="5557739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承包人应按监理人的指示为他人在施工场地或附近实施与工程有关的其他各项工作提供可能的条件。除合同另有约定外，提供有关条件的内容和可能发生的费用，由监理人按第3.5款商定或确定。</w:t>
      </w:r>
    </w:p>
    <w:p w14:paraId="654E2014">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871" w:name="_Toc439685393"/>
      <w:bookmarkStart w:id="872" w:name="_Toc453678558"/>
      <w:bookmarkStart w:id="873" w:name="_Toc10188"/>
      <w:bookmarkStart w:id="874" w:name="_Toc27030"/>
      <w:bookmarkStart w:id="875" w:name="_Toc414351980"/>
      <w:bookmarkStart w:id="876" w:name="_Toc439684216"/>
      <w:bookmarkStart w:id="877" w:name="_Toc453677366"/>
      <w:bookmarkStart w:id="878" w:name="_Toc434937540"/>
      <w:bookmarkStart w:id="879" w:name="_Toc414275297"/>
      <w:r>
        <w:rPr>
          <w:rFonts w:hint="eastAsia" w:ascii="宋体" w:hAnsi="宋体" w:eastAsia="宋体" w:cs="宋体"/>
          <w:color w:val="auto"/>
          <w:sz w:val="24"/>
          <w:szCs w:val="24"/>
        </w:rPr>
        <w:t>4.1.9 工程的维护和照管</w:t>
      </w:r>
      <w:bookmarkEnd w:id="871"/>
      <w:bookmarkEnd w:id="872"/>
      <w:bookmarkEnd w:id="873"/>
      <w:bookmarkEnd w:id="874"/>
      <w:bookmarkEnd w:id="875"/>
      <w:bookmarkEnd w:id="876"/>
      <w:bookmarkEnd w:id="877"/>
      <w:bookmarkEnd w:id="878"/>
      <w:bookmarkEnd w:id="879"/>
    </w:p>
    <w:p w14:paraId="08EEAC2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766D4AD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4.1.10其它义务</w:t>
      </w:r>
    </w:p>
    <w:p w14:paraId="00FD6F7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其它义务在专用合同条款中补充约定。</w:t>
      </w:r>
    </w:p>
    <w:p w14:paraId="1CC0E0B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80" w:name="_Toc414351981"/>
      <w:bookmarkStart w:id="881" w:name="_Toc414275298"/>
      <w:bookmarkStart w:id="882" w:name="_Toc453678559"/>
      <w:bookmarkStart w:id="883" w:name="_Toc453677367"/>
      <w:bookmarkStart w:id="884" w:name="_Toc414368453"/>
      <w:bookmarkStart w:id="885" w:name="_Toc434412232"/>
      <w:bookmarkStart w:id="886" w:name="_Toc439684217"/>
      <w:bookmarkStart w:id="887" w:name="_Toc414268875"/>
      <w:r>
        <w:rPr>
          <w:rFonts w:hint="eastAsia" w:ascii="宋体" w:hAnsi="宋体" w:eastAsia="宋体" w:cs="宋体"/>
          <w:color w:val="auto"/>
          <w:sz w:val="24"/>
          <w:szCs w:val="24"/>
        </w:rPr>
        <w:t>4.2 履约担保</w:t>
      </w:r>
      <w:bookmarkEnd w:id="880"/>
      <w:bookmarkEnd w:id="881"/>
      <w:bookmarkEnd w:id="882"/>
      <w:bookmarkEnd w:id="883"/>
      <w:bookmarkEnd w:id="884"/>
      <w:bookmarkEnd w:id="885"/>
      <w:bookmarkEnd w:id="886"/>
      <w:bookmarkEnd w:id="887"/>
    </w:p>
    <w:p w14:paraId="60E8709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承包人应保证其履约担保在发包人颁发合同工程完工证书前一直有效。发包人应在合同工程完工证书颁发后28天内将履约担保退还给承包人。</w:t>
      </w:r>
    </w:p>
    <w:p w14:paraId="55A6CE82">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88" w:name="_Toc414351982"/>
      <w:bookmarkStart w:id="889" w:name="_Toc414275299"/>
      <w:bookmarkStart w:id="890" w:name="_Toc434412233"/>
      <w:bookmarkStart w:id="891" w:name="_Toc453677368"/>
      <w:bookmarkStart w:id="892" w:name="_Toc414268876"/>
      <w:bookmarkStart w:id="893" w:name="_Toc453678560"/>
      <w:bookmarkStart w:id="894" w:name="_Toc439684218"/>
      <w:bookmarkStart w:id="895" w:name="_Toc414368454"/>
      <w:r>
        <w:rPr>
          <w:rFonts w:hint="eastAsia" w:ascii="宋体" w:hAnsi="宋体" w:eastAsia="宋体" w:cs="宋体"/>
          <w:color w:val="auto"/>
          <w:sz w:val="24"/>
          <w:szCs w:val="24"/>
        </w:rPr>
        <w:t>4.3 分包</w:t>
      </w:r>
      <w:bookmarkEnd w:id="888"/>
      <w:bookmarkEnd w:id="889"/>
      <w:bookmarkEnd w:id="890"/>
      <w:bookmarkEnd w:id="891"/>
      <w:bookmarkEnd w:id="892"/>
      <w:bookmarkEnd w:id="893"/>
      <w:bookmarkEnd w:id="894"/>
      <w:bookmarkEnd w:id="895"/>
    </w:p>
    <w:p w14:paraId="2157FEE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4.3.1 承包人不得将其承包的全部工程转包给第三人，或将其承包的全部工程肢解后以分包的名义转包给第三人。</w:t>
      </w:r>
    </w:p>
    <w:p w14:paraId="3A92E26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 承包人不得将工程主体、关键性工作分包给第三人。除专用合同条款另有约定外，未经发包人同意，承包人不得将工程的其他部分或工作分包给第三人。</w:t>
      </w:r>
    </w:p>
    <w:p w14:paraId="16EE29F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4.3.3 分包人的资格能力应与其分包工程的标准和规模相适应。</w:t>
      </w:r>
    </w:p>
    <w:p w14:paraId="773632E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4.3.4 按投标函附录约定分包工程的，承包人应向发包人和监理人提交分包合同副本。</w:t>
      </w:r>
    </w:p>
    <w:p w14:paraId="059E5C5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4.3.5 承包人应与分包人就分包工程向发包人承担连带责任。</w:t>
      </w:r>
    </w:p>
    <w:p w14:paraId="2843EF9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2ECFFFC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3F0F7C0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由指定分包人造成的与其分包工作有关的一切索赔、诉讼和损失赔偿由指定分包人直接对发包人负责，承包人不对此承担责任</w:t>
      </w:r>
    </w:p>
    <w:p w14:paraId="503CCD2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45C172F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4.3.9 除4.3.7项规定的指定分包外，承包人对其分包项目的实施以及分包人的行为向发包人负全部责任。承包人应对分包项目的工程进度、质量、安全、计量和验收等实施监督和管理。</w:t>
      </w:r>
    </w:p>
    <w:p w14:paraId="1737CB2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4.3.10 分包人应按专用合同条款的约定设立项目管理机构组织管理分包工程的施工活动。</w:t>
      </w:r>
    </w:p>
    <w:p w14:paraId="0E4C863C">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896" w:name="_Toc414268877"/>
      <w:bookmarkStart w:id="897" w:name="_Toc439684219"/>
      <w:bookmarkStart w:id="898" w:name="_Toc453678561"/>
      <w:bookmarkStart w:id="899" w:name="_Toc414351983"/>
      <w:bookmarkStart w:id="900" w:name="_Toc434412234"/>
      <w:bookmarkStart w:id="901" w:name="_Toc453677369"/>
      <w:bookmarkStart w:id="902" w:name="_Toc414368455"/>
      <w:bookmarkStart w:id="903" w:name="_Toc414275300"/>
      <w:r>
        <w:rPr>
          <w:rFonts w:hint="eastAsia" w:ascii="宋体" w:hAnsi="宋体" w:eastAsia="宋体" w:cs="宋体"/>
          <w:color w:val="auto"/>
          <w:sz w:val="24"/>
          <w:szCs w:val="24"/>
        </w:rPr>
        <w:t>4.4 联合体</w:t>
      </w:r>
      <w:bookmarkEnd w:id="896"/>
      <w:bookmarkEnd w:id="897"/>
      <w:bookmarkEnd w:id="898"/>
      <w:bookmarkEnd w:id="899"/>
      <w:bookmarkEnd w:id="900"/>
      <w:bookmarkEnd w:id="901"/>
      <w:bookmarkEnd w:id="902"/>
      <w:bookmarkEnd w:id="903"/>
    </w:p>
    <w:p w14:paraId="0D97B83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4.4.1 联合体各方应共同与发包人签订合同协议书。联合体各方应为履行合同承担连带责任。</w:t>
      </w:r>
    </w:p>
    <w:p w14:paraId="624114F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4.4.2 联合体协议经发包人确认后作为合同附件。在履行合同过程中，未经发包人同意，不得修改联合体协议。</w:t>
      </w:r>
    </w:p>
    <w:p w14:paraId="6192C82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4.4.3 联合体牵头人负责与发包人和监理人联系，并接受指示，负责组织联合体各成员全面履行合同。</w:t>
      </w:r>
    </w:p>
    <w:p w14:paraId="14A65A8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04" w:name="_Toc414351984"/>
      <w:bookmarkStart w:id="905" w:name="_Toc414275301"/>
      <w:bookmarkStart w:id="906" w:name="_Toc453678562"/>
      <w:bookmarkStart w:id="907" w:name="_Toc414368456"/>
      <w:bookmarkStart w:id="908" w:name="_Toc439684220"/>
      <w:bookmarkStart w:id="909" w:name="_Toc453677370"/>
      <w:bookmarkStart w:id="910" w:name="_Toc434412235"/>
      <w:r>
        <w:rPr>
          <w:rFonts w:hint="eastAsia" w:ascii="宋体" w:hAnsi="宋体" w:eastAsia="宋体" w:cs="宋体"/>
          <w:color w:val="auto"/>
          <w:sz w:val="24"/>
          <w:szCs w:val="24"/>
        </w:rPr>
        <w:t>4.5 承包人项目经理</w:t>
      </w:r>
      <w:bookmarkEnd w:id="904"/>
      <w:bookmarkEnd w:id="905"/>
      <w:bookmarkEnd w:id="906"/>
      <w:bookmarkEnd w:id="907"/>
      <w:bookmarkEnd w:id="908"/>
      <w:bookmarkEnd w:id="909"/>
      <w:bookmarkEnd w:id="910"/>
    </w:p>
    <w:p w14:paraId="2DDB6F4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410B22E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4.5.2 承包人项目经理应按合同约定以及监理人按第3.4款做出的指示，负责组织合同工程的实施。在情况紧急且无法与监理人取得联系时，可采取保证工程和人员生命财产安全的紧急措施，并在采取措施后24小时内向监理人提交书面报告。</w:t>
      </w:r>
    </w:p>
    <w:p w14:paraId="3F7730C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4.5.3 承包人为履行合同发出的一切函件均应盖有承包人授权的施工场地管理机构章，并由承包人项目经理或其授权代表签字。</w:t>
      </w:r>
    </w:p>
    <w:p w14:paraId="122E01B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4.5.4 承包人项目经理可以授权其下属人员履行其某项职责，但事先应将这些人员的姓名和授权范围通知监理人。</w:t>
      </w:r>
    </w:p>
    <w:p w14:paraId="4530634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11" w:name="_Toc453678563"/>
      <w:bookmarkStart w:id="912" w:name="_Toc434412236"/>
      <w:bookmarkStart w:id="913" w:name="_Toc453677371"/>
      <w:bookmarkStart w:id="914" w:name="_Toc439684221"/>
      <w:bookmarkStart w:id="915" w:name="_Toc414351985"/>
      <w:bookmarkStart w:id="916" w:name="_Toc414275302"/>
      <w:bookmarkStart w:id="917" w:name="_Toc414368457"/>
      <w:r>
        <w:rPr>
          <w:rFonts w:hint="eastAsia" w:ascii="宋体" w:hAnsi="宋体" w:eastAsia="宋体" w:cs="宋体"/>
          <w:color w:val="auto"/>
          <w:sz w:val="24"/>
          <w:szCs w:val="24"/>
        </w:rPr>
        <w:t>4.6 承包人人员的管理</w:t>
      </w:r>
      <w:bookmarkEnd w:id="911"/>
      <w:bookmarkEnd w:id="912"/>
      <w:bookmarkEnd w:id="913"/>
      <w:bookmarkEnd w:id="914"/>
      <w:bookmarkEnd w:id="915"/>
      <w:bookmarkEnd w:id="916"/>
      <w:bookmarkEnd w:id="917"/>
    </w:p>
    <w:p w14:paraId="41BE66F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ED5E88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4.6.2 为完成合同约定的各项工作，承包人应向施工场地派遣或雇佣足够数量的下列人员：</w:t>
      </w:r>
    </w:p>
    <w:p w14:paraId="03D6365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（1）具有相应资格的专业技工和合格的普工；</w:t>
      </w:r>
    </w:p>
    <w:p w14:paraId="0DD72CD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（2）具有相应施工经验的技术人员；</w:t>
      </w:r>
    </w:p>
    <w:p w14:paraId="3E138D5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（3）具有相应岗位资格的各级管理人员。</w:t>
      </w:r>
    </w:p>
    <w:p w14:paraId="67BF7CE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4.6.3 承包人安排在施工场地的主要管理人员和技术骨干应相对稳定。承包人更换主要管理人员和技术骨干时，应取得监理人的同意。</w:t>
      </w:r>
    </w:p>
    <w:p w14:paraId="180CB7B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4.6.4 特殊岗位的工作人员均应持有相应的资格证明，监理人有权随时检查。监理人认为有必要时，可进行现场考核。</w:t>
      </w:r>
    </w:p>
    <w:p w14:paraId="481D939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18" w:name="_Toc414275303"/>
      <w:bookmarkStart w:id="919" w:name="_Toc439684222"/>
      <w:bookmarkStart w:id="920" w:name="_Toc453678564"/>
      <w:bookmarkStart w:id="921" w:name="_Toc453677372"/>
      <w:bookmarkStart w:id="922" w:name="_Toc414351986"/>
      <w:bookmarkStart w:id="923" w:name="_Toc434412237"/>
      <w:bookmarkStart w:id="924" w:name="_Toc414368458"/>
      <w:r>
        <w:rPr>
          <w:rFonts w:hint="eastAsia" w:ascii="宋体" w:hAnsi="宋体" w:eastAsia="宋体" w:cs="宋体"/>
          <w:color w:val="auto"/>
          <w:sz w:val="24"/>
          <w:szCs w:val="24"/>
        </w:rPr>
        <w:t>4.7 撤换承包人项目经理和其他人员</w:t>
      </w:r>
      <w:bookmarkEnd w:id="918"/>
      <w:bookmarkEnd w:id="919"/>
      <w:bookmarkEnd w:id="920"/>
      <w:bookmarkEnd w:id="921"/>
      <w:bookmarkEnd w:id="922"/>
      <w:bookmarkEnd w:id="923"/>
      <w:bookmarkEnd w:id="924"/>
    </w:p>
    <w:p w14:paraId="5269A3C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承包人应对其项目经理和其他人员进行有效管理。监理人要求撤换不能胜任本职工作、行为不端或玩忽职守的承包人项目经理和其他人员的，承包人应予以撤换。</w:t>
      </w:r>
    </w:p>
    <w:p w14:paraId="04ED8C5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25" w:name="_Toc453678565"/>
      <w:bookmarkStart w:id="926" w:name="_Toc414275304"/>
      <w:bookmarkStart w:id="927" w:name="_Toc414368459"/>
      <w:bookmarkStart w:id="928" w:name="_Toc434412238"/>
      <w:bookmarkStart w:id="929" w:name="_Toc453677373"/>
      <w:bookmarkStart w:id="930" w:name="_Toc439684223"/>
      <w:bookmarkStart w:id="931" w:name="_Toc414351987"/>
      <w:r>
        <w:rPr>
          <w:rFonts w:hint="eastAsia" w:ascii="宋体" w:hAnsi="宋体" w:eastAsia="宋体" w:cs="宋体"/>
          <w:color w:val="auto"/>
          <w:sz w:val="24"/>
          <w:szCs w:val="24"/>
        </w:rPr>
        <w:t>4.8 保障承包人人员的合法权益</w:t>
      </w:r>
      <w:bookmarkEnd w:id="925"/>
      <w:bookmarkEnd w:id="926"/>
      <w:bookmarkEnd w:id="927"/>
      <w:bookmarkEnd w:id="928"/>
      <w:bookmarkEnd w:id="929"/>
      <w:bookmarkEnd w:id="930"/>
      <w:bookmarkEnd w:id="931"/>
    </w:p>
    <w:p w14:paraId="3BE3B6B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4.8.1 承包人应与其雇佣的人员签订劳动合同，并按时发放工资。</w:t>
      </w:r>
    </w:p>
    <w:p w14:paraId="530BB5B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091F207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4.8.3 承包人应为其雇佣人员提供必要的食宿条件，以及符合环境保护和卫生要求的生活环境，在远离城镇的施工场地，还应配备必要的伤病防治和急救的医务人员与医疗设施。</w:t>
      </w:r>
    </w:p>
    <w:p w14:paraId="253A091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66D663D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4.8.5 承包人应按有关法律规定和合同约定，为其雇佣人员办理保险。</w:t>
      </w:r>
    </w:p>
    <w:p w14:paraId="5F2D41D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4.8.6 承包人应负责处理其雇佣人员因工伤亡事故的善后事宜。</w:t>
      </w:r>
    </w:p>
    <w:p w14:paraId="5A7FEE9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32" w:name="_Toc453677374"/>
      <w:bookmarkStart w:id="933" w:name="_Toc414351988"/>
      <w:bookmarkStart w:id="934" w:name="_Toc414368460"/>
      <w:bookmarkStart w:id="935" w:name="_Toc414275305"/>
      <w:bookmarkStart w:id="936" w:name="_Toc434412239"/>
      <w:bookmarkStart w:id="937" w:name="_Toc453678566"/>
      <w:bookmarkStart w:id="938" w:name="_Toc439684224"/>
      <w:r>
        <w:rPr>
          <w:rFonts w:hint="eastAsia" w:ascii="宋体" w:hAnsi="宋体" w:eastAsia="宋体" w:cs="宋体"/>
          <w:color w:val="auto"/>
          <w:sz w:val="24"/>
          <w:szCs w:val="24"/>
        </w:rPr>
        <w:t>4.9 工程价款应专款专用</w:t>
      </w:r>
      <w:bookmarkEnd w:id="932"/>
      <w:bookmarkEnd w:id="933"/>
      <w:bookmarkEnd w:id="934"/>
      <w:bookmarkEnd w:id="935"/>
      <w:bookmarkEnd w:id="936"/>
      <w:bookmarkEnd w:id="937"/>
      <w:bookmarkEnd w:id="938"/>
    </w:p>
    <w:p w14:paraId="163FF25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发包人按合同约定支付给承包人的各项价款应专用于合同工程。</w:t>
      </w:r>
    </w:p>
    <w:p w14:paraId="62CB2F6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39" w:name="_Toc439684225"/>
      <w:bookmarkStart w:id="940" w:name="_Toc414275306"/>
      <w:bookmarkStart w:id="941" w:name="_Toc414368461"/>
      <w:bookmarkStart w:id="942" w:name="_Toc453677375"/>
      <w:bookmarkStart w:id="943" w:name="_Toc434412240"/>
      <w:bookmarkStart w:id="944" w:name="_Toc453678567"/>
      <w:bookmarkStart w:id="945" w:name="_Toc414351989"/>
      <w:r>
        <w:rPr>
          <w:rFonts w:hint="eastAsia" w:ascii="宋体" w:hAnsi="宋体" w:eastAsia="宋体" w:cs="宋体"/>
          <w:color w:val="auto"/>
          <w:sz w:val="24"/>
          <w:szCs w:val="24"/>
        </w:rPr>
        <w:t>4.10 承包人现场查勘</w:t>
      </w:r>
      <w:bookmarkEnd w:id="939"/>
      <w:bookmarkEnd w:id="940"/>
      <w:bookmarkEnd w:id="941"/>
      <w:bookmarkEnd w:id="942"/>
      <w:bookmarkEnd w:id="943"/>
      <w:bookmarkEnd w:id="944"/>
      <w:bookmarkEnd w:id="945"/>
    </w:p>
    <w:p w14:paraId="5AB8743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4.10.1 发包人应将其持有的现场地质勘探资料、水文气象资料提供给承包人，并对其准确胜负责。但承包人应对其阅读上述有关资料后所做出的解释和推断负责。</w:t>
      </w:r>
    </w:p>
    <w:p w14:paraId="4774AD8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73ABD4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46" w:name="_Toc453678568"/>
      <w:bookmarkStart w:id="947" w:name="_Toc434412241"/>
      <w:bookmarkStart w:id="948" w:name="_Toc439684226"/>
      <w:bookmarkStart w:id="949" w:name="_Toc414351990"/>
      <w:bookmarkStart w:id="950" w:name="_Toc414368462"/>
      <w:bookmarkStart w:id="951" w:name="_Toc453677376"/>
      <w:bookmarkStart w:id="952" w:name="_Toc414275307"/>
      <w:r>
        <w:rPr>
          <w:rFonts w:hint="eastAsia" w:ascii="宋体" w:hAnsi="宋体" w:eastAsia="宋体" w:cs="宋体"/>
          <w:color w:val="auto"/>
          <w:sz w:val="24"/>
          <w:szCs w:val="24"/>
        </w:rPr>
        <w:t>4.11 不利物质条件</w:t>
      </w:r>
      <w:bookmarkEnd w:id="946"/>
      <w:bookmarkEnd w:id="947"/>
      <w:bookmarkEnd w:id="948"/>
      <w:bookmarkEnd w:id="949"/>
      <w:bookmarkEnd w:id="950"/>
      <w:bookmarkEnd w:id="951"/>
      <w:bookmarkEnd w:id="952"/>
    </w:p>
    <w:p w14:paraId="319E686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4.11.1 除专用合同条款另有约定外，不利物质条件是指在施工中遭遇不可预见的外界障碍或自然条件造成施工受阻。</w:t>
      </w:r>
    </w:p>
    <w:p w14:paraId="5F542D1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396A93B9">
      <w:pPr>
        <w:pStyle w:val="141"/>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953" w:name="_Toc414275308"/>
      <w:bookmarkStart w:id="954" w:name="_Toc434412242"/>
      <w:bookmarkStart w:id="955" w:name="_Toc184635102"/>
      <w:bookmarkStart w:id="956" w:name="_Toc453678569"/>
      <w:bookmarkStart w:id="957" w:name="_Toc453677377"/>
      <w:bookmarkStart w:id="958" w:name="_Toc439684227"/>
      <w:bookmarkStart w:id="959" w:name="_Toc414268878"/>
      <w:bookmarkStart w:id="960" w:name="_Toc414351991"/>
      <w:bookmarkStart w:id="961" w:name="_Toc414368463"/>
      <w:bookmarkStart w:id="962" w:name="_Toc203758982"/>
      <w:r>
        <w:rPr>
          <w:rFonts w:hint="eastAsia" w:ascii="宋体" w:hAnsi="宋体" w:eastAsia="宋体" w:cs="宋体"/>
          <w:color w:val="auto"/>
          <w:sz w:val="24"/>
          <w:szCs w:val="24"/>
        </w:rPr>
        <w:t>5．材料和工程设备</w:t>
      </w:r>
      <w:bookmarkEnd w:id="953"/>
      <w:bookmarkEnd w:id="954"/>
      <w:bookmarkEnd w:id="955"/>
      <w:bookmarkEnd w:id="956"/>
      <w:bookmarkEnd w:id="957"/>
      <w:bookmarkEnd w:id="958"/>
      <w:bookmarkEnd w:id="959"/>
      <w:bookmarkEnd w:id="960"/>
      <w:bookmarkEnd w:id="961"/>
      <w:bookmarkEnd w:id="962"/>
    </w:p>
    <w:p w14:paraId="4D71640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63" w:name="_Toc434412243"/>
      <w:bookmarkStart w:id="964" w:name="_Toc453677378"/>
      <w:bookmarkStart w:id="965" w:name="_Toc414368464"/>
      <w:bookmarkStart w:id="966" w:name="_Toc439684228"/>
      <w:bookmarkStart w:id="967" w:name="_Toc414351992"/>
      <w:bookmarkStart w:id="968" w:name="_Toc453678570"/>
      <w:bookmarkStart w:id="969" w:name="_Toc414275309"/>
      <w:r>
        <w:rPr>
          <w:rFonts w:hint="eastAsia" w:ascii="宋体" w:hAnsi="宋体" w:eastAsia="宋体" w:cs="宋体"/>
          <w:color w:val="auto"/>
          <w:sz w:val="24"/>
          <w:szCs w:val="24"/>
        </w:rPr>
        <w:t>5.1 承包人提供的材料和工程设备</w:t>
      </w:r>
      <w:bookmarkEnd w:id="963"/>
      <w:bookmarkEnd w:id="964"/>
      <w:bookmarkEnd w:id="965"/>
      <w:bookmarkEnd w:id="966"/>
      <w:bookmarkEnd w:id="967"/>
      <w:bookmarkEnd w:id="968"/>
      <w:bookmarkEnd w:id="969"/>
    </w:p>
    <w:p w14:paraId="623F298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5.1.1除第5.2款约定由发包人提供的材料和工程设备外，承包人负责采购、运输和保管完成本合同工作所需要的材料和工程设备。承包人应对其采购的材料和工程设备负责。</w:t>
      </w:r>
    </w:p>
    <w:p w14:paraId="37E58DC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45384F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5E1225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70" w:name="_Toc414275310"/>
      <w:bookmarkStart w:id="971" w:name="_Toc439684229"/>
      <w:bookmarkStart w:id="972" w:name="_Toc453678571"/>
      <w:bookmarkStart w:id="973" w:name="_Toc434412244"/>
      <w:bookmarkStart w:id="974" w:name="_Toc414368465"/>
      <w:bookmarkStart w:id="975" w:name="_Toc414351993"/>
      <w:bookmarkStart w:id="976" w:name="_Toc453677379"/>
      <w:r>
        <w:rPr>
          <w:rFonts w:hint="eastAsia" w:ascii="宋体" w:hAnsi="宋体" w:eastAsia="宋体" w:cs="宋体"/>
          <w:color w:val="auto"/>
          <w:sz w:val="24"/>
          <w:szCs w:val="24"/>
        </w:rPr>
        <w:t>5.2 发包人提供的材料和工程设备</w:t>
      </w:r>
      <w:bookmarkEnd w:id="970"/>
      <w:bookmarkEnd w:id="971"/>
      <w:bookmarkEnd w:id="972"/>
      <w:bookmarkEnd w:id="973"/>
      <w:bookmarkEnd w:id="974"/>
      <w:bookmarkEnd w:id="975"/>
      <w:bookmarkEnd w:id="976"/>
    </w:p>
    <w:p w14:paraId="1079E44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 发包人提供的材料和工程设备，应在专用合同条款中写明材料和工程设备的名称、规格、数量、价格、交货方式、交货地点和计划交货日期等。</w:t>
      </w:r>
    </w:p>
    <w:p w14:paraId="3E03C7C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5.2.2 承包人应根据合同进度计划的安排，向监理人报送要求发包人交货的日期计划。发包人应按照监理人与合同双方当事人商定的交货日期，向承包人提交材料和工程设备。</w:t>
      </w:r>
    </w:p>
    <w:p w14:paraId="5487E79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7B5784E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5.2.4 发包人要求向承包人提前交货的，承包人不得拒绝，但发包人应承担承包人由此增加的费用。</w:t>
      </w:r>
    </w:p>
    <w:p w14:paraId="0B2C350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5.2.5 承包人要求更改交货日期或地点的，应事先报请监理人批准。由于承包人要求更改交货时间或地点所增加的费用和（或）工期延误由承包人承担。</w:t>
      </w:r>
    </w:p>
    <w:p w14:paraId="1A8E1E1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7773F78">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77" w:name="_Toc453678572"/>
      <w:bookmarkStart w:id="978" w:name="_Toc439684230"/>
      <w:bookmarkStart w:id="979" w:name="_Toc414351994"/>
      <w:bookmarkStart w:id="980" w:name="_Toc453677380"/>
      <w:bookmarkStart w:id="981" w:name="_Toc434412245"/>
      <w:bookmarkStart w:id="982" w:name="_Toc414368466"/>
      <w:bookmarkStart w:id="983" w:name="_Toc414275311"/>
      <w:r>
        <w:rPr>
          <w:rFonts w:hint="eastAsia" w:ascii="宋体" w:hAnsi="宋体" w:eastAsia="宋体" w:cs="宋体"/>
          <w:color w:val="auto"/>
          <w:sz w:val="24"/>
          <w:szCs w:val="24"/>
        </w:rPr>
        <w:t>5.3 材料和工程设备专用于合同工程</w:t>
      </w:r>
      <w:bookmarkEnd w:id="977"/>
      <w:bookmarkEnd w:id="978"/>
      <w:bookmarkEnd w:id="979"/>
      <w:bookmarkEnd w:id="980"/>
      <w:bookmarkEnd w:id="981"/>
      <w:bookmarkEnd w:id="982"/>
      <w:bookmarkEnd w:id="983"/>
    </w:p>
    <w:p w14:paraId="6F91EF9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5.3.1 运入施工场地的材料、工程设备，包括备品备件、安装专用工器具与随机资料，必须专用于合同工程，未经监理人同意，承包人不得运出施工场地或挪作他用。</w:t>
      </w:r>
    </w:p>
    <w:p w14:paraId="706AE1A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AEA765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984" w:name="_Toc414368467"/>
      <w:bookmarkStart w:id="985" w:name="_Toc453677381"/>
      <w:bookmarkStart w:id="986" w:name="_Toc439684231"/>
      <w:bookmarkStart w:id="987" w:name="_Toc453678573"/>
      <w:bookmarkStart w:id="988" w:name="_Toc434412246"/>
      <w:bookmarkStart w:id="989" w:name="_Toc414351995"/>
      <w:bookmarkStart w:id="990" w:name="_Toc414275312"/>
      <w:r>
        <w:rPr>
          <w:rFonts w:hint="eastAsia" w:ascii="宋体" w:hAnsi="宋体" w:eastAsia="宋体" w:cs="宋体"/>
          <w:color w:val="auto"/>
          <w:sz w:val="24"/>
          <w:szCs w:val="24"/>
        </w:rPr>
        <w:t>5.4 禁止使用不合格的材料和工程设备</w:t>
      </w:r>
      <w:bookmarkEnd w:id="984"/>
      <w:bookmarkEnd w:id="985"/>
      <w:bookmarkEnd w:id="986"/>
      <w:bookmarkEnd w:id="987"/>
      <w:bookmarkEnd w:id="988"/>
      <w:bookmarkEnd w:id="989"/>
      <w:bookmarkEnd w:id="990"/>
    </w:p>
    <w:p w14:paraId="34E8649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5.4.1 监理人有权拒绝承包人提供的不合格材料或工程设备，并要求承包人立即进行更换。监理人应在更换后再次进行检查和检验，由此增加的费用和（或）工期延误由承包人承担。</w:t>
      </w:r>
    </w:p>
    <w:p w14:paraId="5FCD946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5.4.2 监理人发现承包人使用了不合格的材料和工程设备，应即时发出指示要求承包人立即改正，并禁止在工程中继续使用不合格的材料和工程设备。</w:t>
      </w:r>
    </w:p>
    <w:p w14:paraId="5AE7CA1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5.4.3 发包人提供的材料或工程设备不符合合同要求的，承包人有权拒绝，并可要求发包人更换，由此增加的费用和（或）工期延误由发包人承担。</w:t>
      </w:r>
    </w:p>
    <w:p w14:paraId="105CB852">
      <w:pPr>
        <w:pStyle w:val="141"/>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991" w:name="_Toc203758983"/>
      <w:bookmarkStart w:id="992" w:name="_Toc414368468"/>
      <w:bookmarkStart w:id="993" w:name="_Toc414268879"/>
      <w:bookmarkStart w:id="994" w:name="_Toc414275313"/>
      <w:bookmarkStart w:id="995" w:name="_Toc434412247"/>
      <w:bookmarkStart w:id="996" w:name="_Toc453678574"/>
      <w:bookmarkStart w:id="997" w:name="_Toc414351996"/>
      <w:bookmarkStart w:id="998" w:name="_Toc453677382"/>
      <w:bookmarkStart w:id="999" w:name="_Toc439684232"/>
      <w:bookmarkStart w:id="1000" w:name="_Toc184635103"/>
      <w:r>
        <w:rPr>
          <w:rFonts w:hint="eastAsia" w:ascii="宋体" w:hAnsi="宋体" w:eastAsia="宋体" w:cs="宋体"/>
          <w:color w:val="auto"/>
          <w:sz w:val="24"/>
          <w:szCs w:val="24"/>
        </w:rPr>
        <w:t>6．施工设备和临时设施</w:t>
      </w:r>
      <w:bookmarkEnd w:id="991"/>
      <w:bookmarkEnd w:id="992"/>
      <w:bookmarkEnd w:id="993"/>
      <w:bookmarkEnd w:id="994"/>
      <w:bookmarkEnd w:id="995"/>
      <w:bookmarkEnd w:id="996"/>
      <w:bookmarkEnd w:id="997"/>
      <w:bookmarkEnd w:id="998"/>
      <w:bookmarkEnd w:id="999"/>
      <w:bookmarkEnd w:id="1000"/>
    </w:p>
    <w:p w14:paraId="5923F3FB">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01" w:name="_Toc453677383"/>
      <w:bookmarkStart w:id="1002" w:name="_Toc414275314"/>
      <w:bookmarkStart w:id="1003" w:name="_Toc453678575"/>
      <w:bookmarkStart w:id="1004" w:name="_Toc414351997"/>
      <w:bookmarkStart w:id="1005" w:name="_Toc414368469"/>
      <w:bookmarkStart w:id="1006" w:name="_Toc439684233"/>
      <w:bookmarkStart w:id="1007" w:name="_Toc434412248"/>
      <w:r>
        <w:rPr>
          <w:rFonts w:hint="eastAsia" w:ascii="宋体" w:hAnsi="宋体" w:eastAsia="宋体" w:cs="宋体"/>
          <w:color w:val="auto"/>
          <w:sz w:val="24"/>
          <w:szCs w:val="24"/>
        </w:rPr>
        <w:t>6.1 承包人提供的施工设备和临时设施</w:t>
      </w:r>
      <w:bookmarkEnd w:id="1001"/>
      <w:bookmarkEnd w:id="1002"/>
      <w:bookmarkEnd w:id="1003"/>
      <w:bookmarkEnd w:id="1004"/>
      <w:bookmarkEnd w:id="1005"/>
      <w:bookmarkEnd w:id="1006"/>
      <w:bookmarkEnd w:id="1007"/>
    </w:p>
    <w:p w14:paraId="3187B27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5706AC9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 除专用合同条款另有约定外，承包人应自行承担修建临时设施的费用，需要临时占地的，应由发包人办理申请手续并承担相应费用。</w:t>
      </w:r>
    </w:p>
    <w:p w14:paraId="102F479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08" w:name="_Toc414368470"/>
      <w:bookmarkStart w:id="1009" w:name="_Toc439684234"/>
      <w:bookmarkStart w:id="1010" w:name="_Toc414351998"/>
      <w:bookmarkStart w:id="1011" w:name="_Toc434412249"/>
      <w:bookmarkStart w:id="1012" w:name="_Toc414275315"/>
      <w:bookmarkStart w:id="1013" w:name="_Toc453678576"/>
      <w:bookmarkStart w:id="1014" w:name="_Toc453677384"/>
      <w:r>
        <w:rPr>
          <w:rFonts w:hint="eastAsia" w:ascii="宋体" w:hAnsi="宋体" w:eastAsia="宋体" w:cs="宋体"/>
          <w:color w:val="auto"/>
          <w:sz w:val="24"/>
          <w:szCs w:val="24"/>
        </w:rPr>
        <w:t>6.2 发包人提供的施工设备和临时设施</w:t>
      </w:r>
      <w:bookmarkEnd w:id="1008"/>
      <w:bookmarkEnd w:id="1009"/>
      <w:bookmarkEnd w:id="1010"/>
      <w:bookmarkEnd w:id="1011"/>
      <w:bookmarkEnd w:id="1012"/>
      <w:bookmarkEnd w:id="1013"/>
      <w:bookmarkEnd w:id="1014"/>
    </w:p>
    <w:p w14:paraId="6A39D42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14:paraId="454AB9E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15" w:name="_Toc434412250"/>
      <w:bookmarkStart w:id="1016" w:name="_Toc414351999"/>
      <w:bookmarkStart w:id="1017" w:name="_Toc453678577"/>
      <w:bookmarkStart w:id="1018" w:name="_Toc414275316"/>
      <w:bookmarkStart w:id="1019" w:name="_Toc439684235"/>
      <w:bookmarkStart w:id="1020" w:name="_Toc414368471"/>
      <w:bookmarkStart w:id="1021" w:name="_Toc453677385"/>
      <w:r>
        <w:rPr>
          <w:rFonts w:hint="eastAsia" w:ascii="宋体" w:hAnsi="宋体" w:eastAsia="宋体" w:cs="宋体"/>
          <w:color w:val="auto"/>
          <w:sz w:val="24"/>
          <w:szCs w:val="24"/>
        </w:rPr>
        <w:t>6.3 要求承包人增加或更换施工设备</w:t>
      </w:r>
      <w:bookmarkEnd w:id="1015"/>
      <w:bookmarkEnd w:id="1016"/>
      <w:bookmarkEnd w:id="1017"/>
      <w:bookmarkEnd w:id="1018"/>
      <w:bookmarkEnd w:id="1019"/>
      <w:bookmarkEnd w:id="1020"/>
      <w:bookmarkEnd w:id="1021"/>
    </w:p>
    <w:p w14:paraId="0E6CCD1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70F8940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22" w:name="_Toc414368472"/>
      <w:bookmarkStart w:id="1023" w:name="_Toc453678578"/>
      <w:bookmarkStart w:id="1024" w:name="_Toc453677386"/>
      <w:bookmarkStart w:id="1025" w:name="_Toc439684236"/>
      <w:bookmarkStart w:id="1026" w:name="_Toc414352000"/>
      <w:bookmarkStart w:id="1027" w:name="_Toc434412251"/>
      <w:bookmarkStart w:id="1028" w:name="_Toc414275317"/>
      <w:r>
        <w:rPr>
          <w:rFonts w:hint="eastAsia" w:ascii="宋体" w:hAnsi="宋体" w:eastAsia="宋体" w:cs="宋体"/>
          <w:color w:val="auto"/>
          <w:sz w:val="24"/>
          <w:szCs w:val="24"/>
        </w:rPr>
        <w:t>6.4 施工设备和临时设施专用于合同工程</w:t>
      </w:r>
      <w:bookmarkEnd w:id="1022"/>
      <w:bookmarkEnd w:id="1023"/>
      <w:bookmarkEnd w:id="1024"/>
      <w:bookmarkEnd w:id="1025"/>
      <w:bookmarkEnd w:id="1026"/>
      <w:bookmarkEnd w:id="1027"/>
      <w:bookmarkEnd w:id="1028"/>
    </w:p>
    <w:p w14:paraId="79FF965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14:paraId="5BB2558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6.4.2 经监理人同意，承包人可根据合同进度计划撤走闲置的施工设备。</w:t>
      </w:r>
    </w:p>
    <w:p w14:paraId="0FDFE862">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029" w:name="_Toc414268880"/>
      <w:bookmarkStart w:id="1030" w:name="_Toc414352001"/>
      <w:bookmarkStart w:id="1031" w:name="_Toc434412252"/>
      <w:bookmarkStart w:id="1032" w:name="_Toc453678579"/>
      <w:bookmarkStart w:id="1033" w:name="_Toc439684237"/>
      <w:bookmarkStart w:id="1034" w:name="_Toc414368473"/>
      <w:bookmarkStart w:id="1035" w:name="_Toc203758984"/>
      <w:bookmarkStart w:id="1036" w:name="_Toc184635104"/>
      <w:bookmarkStart w:id="1037" w:name="_Toc414275318"/>
      <w:bookmarkStart w:id="1038" w:name="_Toc453677387"/>
      <w:r>
        <w:rPr>
          <w:rFonts w:hint="eastAsia" w:ascii="宋体" w:hAnsi="宋体" w:eastAsia="宋体" w:cs="宋体"/>
          <w:color w:val="auto"/>
          <w:sz w:val="24"/>
          <w:szCs w:val="24"/>
        </w:rPr>
        <w:t>7．交通运输</w:t>
      </w:r>
      <w:bookmarkEnd w:id="1029"/>
      <w:bookmarkEnd w:id="1030"/>
      <w:bookmarkEnd w:id="1031"/>
      <w:bookmarkEnd w:id="1032"/>
      <w:bookmarkEnd w:id="1033"/>
      <w:bookmarkEnd w:id="1034"/>
      <w:bookmarkEnd w:id="1035"/>
      <w:bookmarkEnd w:id="1036"/>
      <w:bookmarkEnd w:id="1037"/>
      <w:bookmarkEnd w:id="1038"/>
    </w:p>
    <w:p w14:paraId="3638570B">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39" w:name="_Toc453678580"/>
      <w:bookmarkStart w:id="1040" w:name="_Toc414352002"/>
      <w:bookmarkStart w:id="1041" w:name="_Toc453677388"/>
      <w:bookmarkStart w:id="1042" w:name="_Toc414275319"/>
      <w:bookmarkStart w:id="1043" w:name="_Toc434412253"/>
      <w:bookmarkStart w:id="1044" w:name="_Toc439684238"/>
      <w:bookmarkStart w:id="1045" w:name="_Toc414368474"/>
      <w:r>
        <w:rPr>
          <w:rFonts w:hint="eastAsia" w:ascii="宋体" w:hAnsi="宋体" w:eastAsia="宋体" w:cs="宋体"/>
          <w:color w:val="auto"/>
          <w:sz w:val="24"/>
          <w:szCs w:val="24"/>
        </w:rPr>
        <w:t>7.1 道路通行权和场外设施</w:t>
      </w:r>
      <w:bookmarkEnd w:id="1039"/>
      <w:bookmarkEnd w:id="1040"/>
      <w:bookmarkEnd w:id="1041"/>
      <w:bookmarkEnd w:id="1042"/>
      <w:bookmarkEnd w:id="1043"/>
      <w:bookmarkEnd w:id="1044"/>
      <w:bookmarkEnd w:id="1045"/>
    </w:p>
    <w:p w14:paraId="0E0B929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根据合同工程的施工需求，负责办理取得出入施工场地的专用和临时道路的通行权，以及取得为工程建设所需修建场外设施的权利，并承担相关费用。发包人应协助承包人办理上述手续。</w:t>
      </w:r>
    </w:p>
    <w:p w14:paraId="52C0D8C7">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46" w:name="_Toc453678581"/>
      <w:bookmarkStart w:id="1047" w:name="_Toc414275320"/>
      <w:bookmarkStart w:id="1048" w:name="_Toc453677389"/>
      <w:bookmarkStart w:id="1049" w:name="_Toc414368475"/>
      <w:bookmarkStart w:id="1050" w:name="_Toc434412254"/>
      <w:bookmarkStart w:id="1051" w:name="_Toc414352003"/>
      <w:bookmarkStart w:id="1052" w:name="_Toc439684239"/>
      <w:r>
        <w:rPr>
          <w:rFonts w:hint="eastAsia" w:ascii="宋体" w:hAnsi="宋体" w:eastAsia="宋体" w:cs="宋体"/>
          <w:color w:val="auto"/>
          <w:sz w:val="24"/>
          <w:szCs w:val="24"/>
        </w:rPr>
        <w:t>7.2 场内施工道路</w:t>
      </w:r>
      <w:bookmarkEnd w:id="1046"/>
      <w:bookmarkEnd w:id="1047"/>
      <w:bookmarkEnd w:id="1048"/>
      <w:bookmarkEnd w:id="1049"/>
      <w:bookmarkEnd w:id="1050"/>
      <w:bookmarkEnd w:id="1051"/>
      <w:bookmarkEnd w:id="1052"/>
    </w:p>
    <w:p w14:paraId="3E8B561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07DD837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7.2.2 承包人修建的临时道路和交通设施，应免费提供发包人、监理人以及与本合同有关的其他承包人使用。</w:t>
      </w:r>
    </w:p>
    <w:p w14:paraId="303DD792">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53" w:name="_Toc439684240"/>
      <w:bookmarkStart w:id="1054" w:name="_Toc414352004"/>
      <w:bookmarkStart w:id="1055" w:name="_Toc453678582"/>
      <w:bookmarkStart w:id="1056" w:name="_Toc453677390"/>
      <w:bookmarkStart w:id="1057" w:name="_Toc414275321"/>
      <w:bookmarkStart w:id="1058" w:name="_Toc414368476"/>
      <w:bookmarkStart w:id="1059" w:name="_Toc434412255"/>
      <w:r>
        <w:rPr>
          <w:rFonts w:hint="eastAsia" w:ascii="宋体" w:hAnsi="宋体" w:eastAsia="宋体" w:cs="宋体"/>
          <w:color w:val="auto"/>
          <w:sz w:val="24"/>
          <w:szCs w:val="24"/>
        </w:rPr>
        <w:t>7.3 场外交通</w:t>
      </w:r>
      <w:bookmarkEnd w:id="1053"/>
      <w:bookmarkEnd w:id="1054"/>
      <w:bookmarkEnd w:id="1055"/>
      <w:bookmarkEnd w:id="1056"/>
      <w:bookmarkEnd w:id="1057"/>
      <w:bookmarkEnd w:id="1058"/>
      <w:bookmarkEnd w:id="1059"/>
    </w:p>
    <w:p w14:paraId="4B57187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7.3.1 承包人车辆外出行驶所需的场外公共道路的通行费、养路费和税款等由承包人承担。</w:t>
      </w:r>
    </w:p>
    <w:p w14:paraId="2E5C963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7.3.2 承包人应遵守有关交通法规，严格按照道路和桥梁的限制荷重安全行驶，并服从交通管理部门的检查和监督。</w:t>
      </w:r>
    </w:p>
    <w:p w14:paraId="61DBAE3E">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60" w:name="_Toc414275322"/>
      <w:bookmarkStart w:id="1061" w:name="_Toc434412256"/>
      <w:bookmarkStart w:id="1062" w:name="_Toc414368477"/>
      <w:bookmarkStart w:id="1063" w:name="_Toc453677391"/>
      <w:bookmarkStart w:id="1064" w:name="_Toc439684241"/>
      <w:bookmarkStart w:id="1065" w:name="_Toc414352005"/>
      <w:bookmarkStart w:id="1066" w:name="_Toc453678583"/>
      <w:r>
        <w:rPr>
          <w:rFonts w:hint="eastAsia" w:ascii="宋体" w:hAnsi="宋体" w:eastAsia="宋体" w:cs="宋体"/>
          <w:color w:val="auto"/>
          <w:sz w:val="24"/>
          <w:szCs w:val="24"/>
        </w:rPr>
        <w:t>7.4 超大件和超重件的运输</w:t>
      </w:r>
      <w:bookmarkEnd w:id="1060"/>
      <w:bookmarkEnd w:id="1061"/>
      <w:bookmarkEnd w:id="1062"/>
      <w:bookmarkEnd w:id="1063"/>
      <w:bookmarkEnd w:id="1064"/>
      <w:bookmarkEnd w:id="1065"/>
      <w:bookmarkEnd w:id="1066"/>
    </w:p>
    <w:p w14:paraId="254C18A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1831609">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67" w:name="_Toc414352006"/>
      <w:bookmarkStart w:id="1068" w:name="_Toc414275323"/>
      <w:bookmarkStart w:id="1069" w:name="_Toc453678584"/>
      <w:bookmarkStart w:id="1070" w:name="_Toc439684242"/>
      <w:bookmarkStart w:id="1071" w:name="_Toc453677392"/>
      <w:bookmarkStart w:id="1072" w:name="_Toc414368478"/>
      <w:bookmarkStart w:id="1073" w:name="_Toc434412257"/>
      <w:r>
        <w:rPr>
          <w:rFonts w:hint="eastAsia" w:ascii="宋体" w:hAnsi="宋体" w:eastAsia="宋体" w:cs="宋体"/>
          <w:color w:val="auto"/>
          <w:sz w:val="24"/>
          <w:szCs w:val="24"/>
        </w:rPr>
        <w:t>7.5 道路和桥梁的损坏责任</w:t>
      </w:r>
      <w:bookmarkEnd w:id="1067"/>
      <w:bookmarkEnd w:id="1068"/>
      <w:bookmarkEnd w:id="1069"/>
      <w:bookmarkEnd w:id="1070"/>
      <w:bookmarkEnd w:id="1071"/>
      <w:bookmarkEnd w:id="1072"/>
      <w:bookmarkEnd w:id="1073"/>
    </w:p>
    <w:p w14:paraId="590AA57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14:paraId="3483E14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74" w:name="_Toc414275324"/>
      <w:bookmarkStart w:id="1075" w:name="_Toc439684243"/>
      <w:bookmarkStart w:id="1076" w:name="_Toc414352007"/>
      <w:bookmarkStart w:id="1077" w:name="_Toc453677393"/>
      <w:bookmarkStart w:id="1078" w:name="_Toc414368479"/>
      <w:bookmarkStart w:id="1079" w:name="_Toc434412258"/>
      <w:bookmarkStart w:id="1080" w:name="_Toc453678585"/>
      <w:r>
        <w:rPr>
          <w:rFonts w:hint="eastAsia" w:ascii="宋体" w:hAnsi="宋体" w:eastAsia="宋体" w:cs="宋体"/>
          <w:color w:val="auto"/>
          <w:sz w:val="24"/>
          <w:szCs w:val="24"/>
        </w:rPr>
        <w:t>7.6 水路和航空运输</w:t>
      </w:r>
      <w:bookmarkEnd w:id="1074"/>
      <w:bookmarkEnd w:id="1075"/>
      <w:bookmarkEnd w:id="1076"/>
      <w:bookmarkEnd w:id="1077"/>
      <w:bookmarkEnd w:id="1078"/>
      <w:bookmarkEnd w:id="1079"/>
      <w:bookmarkEnd w:id="1080"/>
    </w:p>
    <w:p w14:paraId="59BD964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本条上述各款的内容适用于水路运输和航空运输，其中“道路”一词的涵义包括河道、航线、船闸、机场、码头、堤防以及水路或航空运输中其他相似结构物；“车辆”一词的涵义包括船舶和飞机等。</w:t>
      </w:r>
    </w:p>
    <w:p w14:paraId="63D3C4ED">
      <w:pPr>
        <w:pStyle w:val="141"/>
        <w:keepLines w:val="0"/>
        <w:pageBreakBefore w:val="0"/>
        <w:widowControl w:val="0"/>
        <w:kinsoku/>
        <w:wordWrap/>
        <w:overflowPunct/>
        <w:topLinePunct w:val="0"/>
        <w:bidi w:val="0"/>
        <w:spacing w:line="420" w:lineRule="exact"/>
        <w:ind w:firstLine="480" w:firstLineChars="200"/>
        <w:jc w:val="left"/>
        <w:outlineLvl w:val="0"/>
        <w:rPr>
          <w:rFonts w:hint="eastAsia" w:ascii="宋体" w:hAnsi="宋体" w:eastAsia="宋体" w:cs="宋体"/>
          <w:color w:val="auto"/>
          <w:sz w:val="24"/>
          <w:szCs w:val="24"/>
        </w:rPr>
      </w:pPr>
      <w:bookmarkStart w:id="1081" w:name="_Toc414268881"/>
      <w:bookmarkStart w:id="1082" w:name="_Toc184635105"/>
      <w:bookmarkStart w:id="1083" w:name="_Toc414275325"/>
      <w:bookmarkStart w:id="1084" w:name="_Toc434412259"/>
      <w:bookmarkStart w:id="1085" w:name="_Toc414368480"/>
      <w:bookmarkStart w:id="1086" w:name="_Toc414352008"/>
      <w:bookmarkStart w:id="1087" w:name="_Toc203758985"/>
      <w:bookmarkStart w:id="1088" w:name="_Toc453678586"/>
      <w:bookmarkStart w:id="1089" w:name="_Toc439684244"/>
      <w:bookmarkStart w:id="1090" w:name="_Toc453677394"/>
      <w:bookmarkStart w:id="1091" w:name="_Toc2230"/>
      <w:bookmarkStart w:id="1092" w:name="_Toc14870"/>
      <w:r>
        <w:rPr>
          <w:rFonts w:hint="eastAsia" w:ascii="宋体" w:hAnsi="宋体" w:eastAsia="宋体" w:cs="宋体"/>
          <w:color w:val="auto"/>
          <w:sz w:val="24"/>
          <w:szCs w:val="24"/>
        </w:rPr>
        <w:t>8．测量放线</w:t>
      </w:r>
      <w:bookmarkEnd w:id="1081"/>
      <w:bookmarkEnd w:id="1082"/>
      <w:bookmarkEnd w:id="1083"/>
      <w:bookmarkEnd w:id="1084"/>
      <w:bookmarkEnd w:id="1085"/>
      <w:bookmarkEnd w:id="1086"/>
      <w:bookmarkEnd w:id="1087"/>
      <w:bookmarkEnd w:id="1088"/>
      <w:bookmarkEnd w:id="1089"/>
      <w:bookmarkEnd w:id="1090"/>
      <w:bookmarkEnd w:id="1091"/>
      <w:bookmarkEnd w:id="1092"/>
    </w:p>
    <w:p w14:paraId="4EEADFF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093" w:name="_Toc453678587"/>
      <w:bookmarkStart w:id="1094" w:name="_Toc439684245"/>
      <w:bookmarkStart w:id="1095" w:name="_Toc414275326"/>
      <w:bookmarkStart w:id="1096" w:name="_Toc453677395"/>
      <w:bookmarkStart w:id="1097" w:name="_Toc414368481"/>
      <w:bookmarkStart w:id="1098" w:name="_Toc414352009"/>
      <w:bookmarkStart w:id="1099" w:name="_Toc434412260"/>
      <w:r>
        <w:rPr>
          <w:rFonts w:hint="eastAsia" w:ascii="宋体" w:hAnsi="宋体" w:eastAsia="宋体" w:cs="宋体"/>
          <w:color w:val="auto"/>
          <w:sz w:val="24"/>
          <w:szCs w:val="24"/>
        </w:rPr>
        <w:t>8.1 施工控制网</w:t>
      </w:r>
      <w:bookmarkEnd w:id="1093"/>
      <w:bookmarkEnd w:id="1094"/>
      <w:bookmarkEnd w:id="1095"/>
      <w:bookmarkEnd w:id="1096"/>
      <w:bookmarkEnd w:id="1097"/>
      <w:bookmarkEnd w:id="1098"/>
      <w:bookmarkEnd w:id="1099"/>
    </w:p>
    <w:p w14:paraId="442C380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6B656E6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8.1.2 承包人应负责管理施工控制网点。施工控制网点丢失或损坏的，承包人应及时修复。承包人应承担施工控制网点的管理与修复费用，并在工程竣工后将施工控制网点移交发包人。</w:t>
      </w:r>
    </w:p>
    <w:p w14:paraId="56FD432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00" w:name="_Toc434412261"/>
      <w:bookmarkStart w:id="1101" w:name="_Toc453677396"/>
      <w:bookmarkStart w:id="1102" w:name="_Toc414352010"/>
      <w:bookmarkStart w:id="1103" w:name="_Toc414275327"/>
      <w:bookmarkStart w:id="1104" w:name="_Toc414368482"/>
      <w:bookmarkStart w:id="1105" w:name="_Toc453678588"/>
      <w:bookmarkStart w:id="1106" w:name="_Toc439684246"/>
      <w:r>
        <w:rPr>
          <w:rFonts w:hint="eastAsia" w:ascii="宋体" w:hAnsi="宋体" w:eastAsia="宋体" w:cs="宋体"/>
          <w:color w:val="auto"/>
          <w:sz w:val="24"/>
          <w:szCs w:val="24"/>
        </w:rPr>
        <w:t>8.2 施工测量</w:t>
      </w:r>
      <w:bookmarkEnd w:id="1100"/>
      <w:bookmarkEnd w:id="1101"/>
      <w:bookmarkEnd w:id="1102"/>
      <w:bookmarkEnd w:id="1103"/>
      <w:bookmarkEnd w:id="1104"/>
      <w:bookmarkEnd w:id="1105"/>
      <w:bookmarkEnd w:id="1106"/>
    </w:p>
    <w:p w14:paraId="730879C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8.2.1 承包人应负责施工过程中的全部施工测量放线工作，并配置合格的人员、仪器、设备和其他物品。</w:t>
      </w:r>
    </w:p>
    <w:p w14:paraId="5518097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8.2.2 监理人可以指示承包人进行抽样复测，当复测中发现错误或出现超过合同约定的误差时，承包人应按监理人指示进行修正或补测，并承担相应的复测费用。</w:t>
      </w:r>
    </w:p>
    <w:p w14:paraId="4FAF4D0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07" w:name="_Toc434412262"/>
      <w:bookmarkStart w:id="1108" w:name="_Toc439684247"/>
      <w:bookmarkStart w:id="1109" w:name="_Toc453677397"/>
      <w:bookmarkStart w:id="1110" w:name="_Toc453678589"/>
      <w:bookmarkStart w:id="1111" w:name="_Toc414352011"/>
      <w:bookmarkStart w:id="1112" w:name="_Toc414368483"/>
      <w:bookmarkStart w:id="1113" w:name="_Toc414275328"/>
      <w:r>
        <w:rPr>
          <w:rFonts w:hint="eastAsia" w:ascii="宋体" w:hAnsi="宋体" w:eastAsia="宋体" w:cs="宋体"/>
          <w:color w:val="auto"/>
          <w:sz w:val="24"/>
          <w:szCs w:val="24"/>
        </w:rPr>
        <w:t>8.3 基准资料错误的责任</w:t>
      </w:r>
      <w:bookmarkEnd w:id="1107"/>
      <w:bookmarkEnd w:id="1108"/>
      <w:bookmarkEnd w:id="1109"/>
      <w:bookmarkEnd w:id="1110"/>
      <w:bookmarkEnd w:id="1111"/>
      <w:bookmarkEnd w:id="1112"/>
      <w:bookmarkEnd w:id="1113"/>
    </w:p>
    <w:p w14:paraId="4BF817B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3DAB56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14" w:name="_Toc414368484"/>
      <w:bookmarkStart w:id="1115" w:name="_Toc414352012"/>
      <w:bookmarkStart w:id="1116" w:name="_Toc453678590"/>
      <w:bookmarkStart w:id="1117" w:name="_Toc414275329"/>
      <w:bookmarkStart w:id="1118" w:name="_Toc439684248"/>
      <w:bookmarkStart w:id="1119" w:name="_Toc434412263"/>
      <w:bookmarkStart w:id="1120" w:name="_Toc453677398"/>
      <w:r>
        <w:rPr>
          <w:rFonts w:hint="eastAsia" w:ascii="宋体" w:hAnsi="宋体" w:eastAsia="宋体" w:cs="宋体"/>
          <w:color w:val="auto"/>
          <w:sz w:val="24"/>
          <w:szCs w:val="24"/>
        </w:rPr>
        <w:t>8.4 监理人使用施工控制网</w:t>
      </w:r>
      <w:bookmarkEnd w:id="1114"/>
      <w:bookmarkEnd w:id="1115"/>
      <w:bookmarkEnd w:id="1116"/>
      <w:bookmarkEnd w:id="1117"/>
      <w:bookmarkEnd w:id="1118"/>
      <w:bookmarkEnd w:id="1119"/>
      <w:bookmarkEnd w:id="1120"/>
    </w:p>
    <w:p w14:paraId="4EB8425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监理人需要使用施工控制网的，承包人应提供必要的协助，发包人不再为此支付费用。</w:t>
      </w:r>
    </w:p>
    <w:p w14:paraId="52E744FC">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21" w:name="_Toc434412264"/>
      <w:bookmarkStart w:id="1122" w:name="_Toc453677399"/>
      <w:bookmarkStart w:id="1123" w:name="_Toc414368485"/>
      <w:bookmarkStart w:id="1124" w:name="_Toc414352013"/>
      <w:bookmarkStart w:id="1125" w:name="_Toc439684249"/>
      <w:bookmarkStart w:id="1126" w:name="_Toc453678591"/>
      <w:bookmarkStart w:id="1127" w:name="_Toc414275330"/>
      <w:r>
        <w:rPr>
          <w:rFonts w:hint="eastAsia" w:ascii="宋体" w:hAnsi="宋体" w:eastAsia="宋体" w:cs="宋体"/>
          <w:color w:val="auto"/>
          <w:sz w:val="24"/>
          <w:szCs w:val="24"/>
        </w:rPr>
        <w:t>8.5 补充地质勘探</w:t>
      </w:r>
      <w:bookmarkEnd w:id="1121"/>
      <w:bookmarkEnd w:id="1122"/>
      <w:bookmarkEnd w:id="1123"/>
      <w:bookmarkEnd w:id="1124"/>
      <w:bookmarkEnd w:id="1125"/>
      <w:bookmarkEnd w:id="1126"/>
      <w:bookmarkEnd w:id="1127"/>
    </w:p>
    <w:p w14:paraId="361A603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实施期间，监理人可以指示承包人进行必要的补充地质勘探并提供有关资料。承包人为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57FA5E00">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128" w:name="_Toc414368486"/>
      <w:bookmarkStart w:id="1129" w:name="_Toc414275331"/>
      <w:bookmarkStart w:id="1130" w:name="_Toc434412265"/>
      <w:bookmarkStart w:id="1131" w:name="_Toc414268882"/>
      <w:bookmarkStart w:id="1132" w:name="_Toc439684250"/>
      <w:bookmarkStart w:id="1133" w:name="_Toc414352014"/>
      <w:bookmarkStart w:id="1134" w:name="_Toc453677400"/>
      <w:bookmarkStart w:id="1135" w:name="_Toc184635106"/>
      <w:bookmarkStart w:id="1136" w:name="_Toc203758986"/>
      <w:bookmarkStart w:id="1137" w:name="_Toc453678592"/>
      <w:r>
        <w:rPr>
          <w:rFonts w:hint="eastAsia" w:ascii="宋体" w:hAnsi="宋体" w:eastAsia="宋体" w:cs="宋体"/>
          <w:color w:val="auto"/>
          <w:sz w:val="24"/>
          <w:szCs w:val="24"/>
        </w:rPr>
        <w:t>9．施工安全、治安保卫和环境保护</w:t>
      </w:r>
      <w:bookmarkEnd w:id="1128"/>
      <w:bookmarkEnd w:id="1129"/>
      <w:bookmarkEnd w:id="1130"/>
      <w:bookmarkEnd w:id="1131"/>
      <w:bookmarkEnd w:id="1132"/>
      <w:bookmarkEnd w:id="1133"/>
      <w:bookmarkEnd w:id="1134"/>
      <w:bookmarkEnd w:id="1135"/>
      <w:bookmarkEnd w:id="1136"/>
      <w:bookmarkEnd w:id="1137"/>
    </w:p>
    <w:p w14:paraId="23336A89">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38" w:name="_Toc453677401"/>
      <w:bookmarkStart w:id="1139" w:name="_Toc414352015"/>
      <w:bookmarkStart w:id="1140" w:name="_Toc434412266"/>
      <w:bookmarkStart w:id="1141" w:name="_Toc414275332"/>
      <w:bookmarkStart w:id="1142" w:name="_Toc414368487"/>
      <w:bookmarkStart w:id="1143" w:name="_Toc439684251"/>
      <w:bookmarkStart w:id="1144" w:name="_Toc453678593"/>
      <w:r>
        <w:rPr>
          <w:rFonts w:hint="eastAsia" w:ascii="宋体" w:hAnsi="宋体" w:eastAsia="宋体" w:cs="宋体"/>
          <w:color w:val="auto"/>
          <w:sz w:val="24"/>
          <w:szCs w:val="24"/>
        </w:rPr>
        <w:t>9.1 发包人的施工安全责任</w:t>
      </w:r>
      <w:bookmarkEnd w:id="1138"/>
      <w:bookmarkEnd w:id="1139"/>
      <w:bookmarkEnd w:id="1140"/>
      <w:bookmarkEnd w:id="1141"/>
      <w:bookmarkEnd w:id="1142"/>
      <w:bookmarkEnd w:id="1143"/>
      <w:bookmarkEnd w:id="1144"/>
    </w:p>
    <w:p w14:paraId="7CE96C5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2B9784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9.1.2 发包人应对其现场机构雇佣的全部人员的工伤事故承担责任，但由于承包人原因造成发包人人员工伤的，应由承包人承担责任。</w:t>
      </w:r>
    </w:p>
    <w:p w14:paraId="3853BD1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9.1.3 发包人应负责赔偿以下各种情况造成的第三者人身伤亡和财产损失：</w:t>
      </w:r>
    </w:p>
    <w:p w14:paraId="0B01EEA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（l）工程或工程的任何部分对土地的占用所造成的第三者财产损失；</w:t>
      </w:r>
    </w:p>
    <w:p w14:paraId="196E53A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14:paraId="6CD780F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9.1.4 除专用合同条款另有预定外，发包人负责向承包人提供施工现场及施工可能影响的毗邻区域内供水、排水、供电、供气、供热、通信、广播电视等地下管线资料，气象和水文观测资料，拟建工程可能影响的相邻建筑地下工程的有关资料，并保证有关资料的真实、准确、完整，满足有关技术规程的要求。</w:t>
      </w:r>
    </w:p>
    <w:p w14:paraId="6FCC92F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9.1.5 发包人按照已标价工程量清单所列金额和合同约定的计量支付规定，支付安全作业环境及安全施工措施所需费用。</w:t>
      </w:r>
    </w:p>
    <w:p w14:paraId="486126D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9.1.6发包人负责组织工程参建单位编制保证安全生产的措施方案。工程开工前，就落实保证安全生产的措施进行全面系统的布置，进一步明确承包人的安全生产责任。</w:t>
      </w:r>
    </w:p>
    <w:p w14:paraId="6907651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9.1.7 发包人负责在拆除工程和爆破工程施工14天前向有关部门或机构报送相关备案资料。</w:t>
      </w:r>
    </w:p>
    <w:p w14:paraId="359B9A2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45" w:name="_Toc439684252"/>
      <w:bookmarkStart w:id="1146" w:name="_Toc453677402"/>
      <w:bookmarkStart w:id="1147" w:name="_Toc414275333"/>
      <w:bookmarkStart w:id="1148" w:name="_Toc434412267"/>
      <w:bookmarkStart w:id="1149" w:name="_Toc414352016"/>
      <w:bookmarkStart w:id="1150" w:name="_Toc453678594"/>
      <w:bookmarkStart w:id="1151" w:name="_Toc414368488"/>
      <w:r>
        <w:rPr>
          <w:rFonts w:hint="eastAsia" w:ascii="宋体" w:hAnsi="宋体" w:eastAsia="宋体" w:cs="宋体"/>
          <w:color w:val="auto"/>
          <w:sz w:val="24"/>
          <w:szCs w:val="24"/>
        </w:rPr>
        <w:t>9.2 承包人的施工安全责任</w:t>
      </w:r>
      <w:bookmarkEnd w:id="1145"/>
      <w:bookmarkEnd w:id="1146"/>
      <w:bookmarkEnd w:id="1147"/>
      <w:bookmarkEnd w:id="1148"/>
      <w:bookmarkEnd w:id="1149"/>
      <w:bookmarkEnd w:id="1150"/>
      <w:bookmarkEnd w:id="1151"/>
    </w:p>
    <w:p w14:paraId="5C8A7FE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27F63D4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9.2.2 承包人应加强施工作业安全管理，特别应加强易燃、易爆材料、火工器材、有毒与腐蚀性材料和其他危险品的管理，以及对爆破作业和地下工程施工等危险作业的管理。</w:t>
      </w:r>
    </w:p>
    <w:p w14:paraId="243E63A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9.2.3 承包人应严格按照国家安全标准制定施工安全操作规程，配备必要的安全生产和劳动保护设施，加强对承包人人员的安全教育，并发放安全工作手册和劳动保护用具。</w:t>
      </w:r>
    </w:p>
    <w:p w14:paraId="683FCD5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9.2.4 承包人应按监理人的指示制定应对灾害的紧急预案，报送监理人审批。承包人还应按预案做好安全检查，配置必要的救助物资和器材，切实保护好有关人员的人身和财产安全。</w:t>
      </w:r>
    </w:p>
    <w:p w14:paraId="1E6A351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2E154EC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9.2.6 承包人应对其履行合同所雇佣的全部人员，包括分包人人员的工伤事故承担责任，但由于发包人原因造成承包人人员工伤事故的，应由发包人承担责任。</w:t>
      </w:r>
    </w:p>
    <w:p w14:paraId="3846C04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9.2.7 由于承包人原因在施工场地内及其毗邻地带造成的第三者人员伤亡和财产损失，由承包人负责赔偿。</w:t>
      </w:r>
    </w:p>
    <w:p w14:paraId="264FF80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9.2.8 承包人已标价工程量清单应包含工程安全作业环境及安全施工措施所需费用。</w:t>
      </w:r>
    </w:p>
    <w:p w14:paraId="3EB1754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9.2.9 承包人应建立健全安全生产责任制度和安全生产教育培训制度，指定安全生产规章制度和操作规程，保证本单位建立和完善安全生产条件所需资金的投入，对本工程进行定期和专项安全检查，并做好安全检查记录。</w:t>
      </w:r>
    </w:p>
    <w:p w14:paraId="4728D91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9.2.10 承包人应设立安全生产管理机构，施工现场应有专职安全生产管理人员。</w:t>
      </w:r>
    </w:p>
    <w:p w14:paraId="7E00223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9.2.11 承包人应负责对特种作业人员进行专门的安全作业培训，并保证特种作业人员持证上岗。</w:t>
      </w:r>
    </w:p>
    <w:p w14:paraId="47A1C2D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5DD2D4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9.2.13 承包人在使用施工起重机械和整体提升脚手架、模板等自升式架设设施前，应组织有关单位进行验收。</w:t>
      </w:r>
    </w:p>
    <w:p w14:paraId="75BB000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52" w:name="_Toc414352017"/>
      <w:bookmarkStart w:id="1153" w:name="_Toc414368489"/>
      <w:bookmarkStart w:id="1154" w:name="_Toc453678595"/>
      <w:bookmarkStart w:id="1155" w:name="_Toc434412268"/>
      <w:bookmarkStart w:id="1156" w:name="_Toc414275334"/>
      <w:bookmarkStart w:id="1157" w:name="_Toc453677403"/>
      <w:bookmarkStart w:id="1158" w:name="_Toc439684253"/>
      <w:r>
        <w:rPr>
          <w:rFonts w:hint="eastAsia" w:ascii="宋体" w:hAnsi="宋体" w:eastAsia="宋体" w:cs="宋体"/>
          <w:color w:val="auto"/>
          <w:sz w:val="24"/>
          <w:szCs w:val="24"/>
        </w:rPr>
        <w:t>9.3 治安保卫</w:t>
      </w:r>
      <w:bookmarkEnd w:id="1152"/>
      <w:bookmarkEnd w:id="1153"/>
      <w:bookmarkEnd w:id="1154"/>
      <w:bookmarkEnd w:id="1155"/>
      <w:bookmarkEnd w:id="1156"/>
      <w:bookmarkEnd w:id="1157"/>
      <w:bookmarkEnd w:id="1158"/>
    </w:p>
    <w:p w14:paraId="6C3B6C0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 除合同另有约定外，发包人应与当地公安部门协商，在现场建立治安管理机构或联防组织，统一管理施工场地的治安保卫事项，履行合同工程的治安保卫职责。</w:t>
      </w:r>
    </w:p>
    <w:p w14:paraId="052EFF3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9.3.2 发包人和承包人除应协助现场治安管理机构或联防组织维护施工场地的社会治安外，还应做好包括生活区在内的各自管辖区的治安保卫工作。</w:t>
      </w:r>
    </w:p>
    <w:p w14:paraId="5263626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1C3770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59" w:name="_Toc453678596"/>
      <w:bookmarkStart w:id="1160" w:name="_Toc414368490"/>
      <w:bookmarkStart w:id="1161" w:name="_Toc434412269"/>
      <w:bookmarkStart w:id="1162" w:name="_Toc453677404"/>
      <w:bookmarkStart w:id="1163" w:name="_Toc414352018"/>
      <w:bookmarkStart w:id="1164" w:name="_Toc439684254"/>
      <w:bookmarkStart w:id="1165" w:name="_Toc414275335"/>
      <w:r>
        <w:rPr>
          <w:rFonts w:hint="eastAsia" w:ascii="宋体" w:hAnsi="宋体" w:eastAsia="宋体" w:cs="宋体"/>
          <w:color w:val="auto"/>
          <w:sz w:val="24"/>
          <w:szCs w:val="24"/>
        </w:rPr>
        <w:t>9.4 环境保护</w:t>
      </w:r>
      <w:bookmarkEnd w:id="1159"/>
      <w:bookmarkEnd w:id="1160"/>
      <w:bookmarkEnd w:id="1161"/>
      <w:bookmarkEnd w:id="1162"/>
      <w:bookmarkEnd w:id="1163"/>
      <w:bookmarkEnd w:id="1164"/>
      <w:bookmarkEnd w:id="1165"/>
    </w:p>
    <w:p w14:paraId="642B85C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9.4.1 承包人在施工过程中，应遵守有关环境保护的法律，履行合同约定的环境保护义务，并对违反法律和合同约定义务所造成的环境破坏、人身伤害和财产损失负责。</w:t>
      </w:r>
    </w:p>
    <w:p w14:paraId="554971F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 承包人应按合同约定的环保工作内容，编制施工环保措施计划，报送监理人审批。</w:t>
      </w:r>
    </w:p>
    <w:p w14:paraId="5D6BFB2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6987CA8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9.4.4 承包人应按合同约定采取有效措施，对施工开挖的边坡及时进行支护，维护排水设施，并进行水土保护，避免因施工造成的地质灾害。</w:t>
      </w:r>
    </w:p>
    <w:p w14:paraId="6EC2EBD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9.4.5 承包人应按国家饮用水管理标准定期对饮用水源进行监测，防止施工活动污染饮用水源。</w:t>
      </w:r>
    </w:p>
    <w:p w14:paraId="64F6A7E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9.4.6 承包人应按合同约定，加强对噪声、粉尘、废气、废水和废油的控制，努力降低噪声，控制粉尘和废气浓度，做好废水和废油的治理和排放。</w:t>
      </w:r>
    </w:p>
    <w:p w14:paraId="37C59B19">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66" w:name="_Toc439684255"/>
      <w:bookmarkStart w:id="1167" w:name="_Toc453678597"/>
      <w:bookmarkStart w:id="1168" w:name="_Toc414368491"/>
      <w:bookmarkStart w:id="1169" w:name="_Toc434412270"/>
      <w:bookmarkStart w:id="1170" w:name="_Toc414275336"/>
      <w:bookmarkStart w:id="1171" w:name="_Toc414352019"/>
      <w:bookmarkStart w:id="1172" w:name="_Toc453677405"/>
      <w:r>
        <w:rPr>
          <w:rFonts w:hint="eastAsia" w:ascii="宋体" w:hAnsi="宋体" w:eastAsia="宋体" w:cs="宋体"/>
          <w:color w:val="auto"/>
          <w:sz w:val="24"/>
          <w:szCs w:val="24"/>
        </w:rPr>
        <w:t>9.5 事故处理</w:t>
      </w:r>
      <w:bookmarkEnd w:id="1166"/>
      <w:bookmarkEnd w:id="1167"/>
      <w:bookmarkEnd w:id="1168"/>
      <w:bookmarkEnd w:id="1169"/>
      <w:bookmarkEnd w:id="1170"/>
      <w:bookmarkEnd w:id="1171"/>
      <w:bookmarkEnd w:id="1172"/>
    </w:p>
    <w:p w14:paraId="19B8F36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9.5.1发包人负责组织参建单位制定本工程的质量与安全事故应急预案，监理质量与安全事故应急处置指挥部。</w:t>
      </w:r>
    </w:p>
    <w:p w14:paraId="6D18077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9.5.2承包人应对施工现场易发生重大事故的部位、环节进行监控，配备救援器材、设备，并定期组织演练。</w:t>
      </w:r>
    </w:p>
    <w:p w14:paraId="7B08075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9.5.3 工程开工前，承包人应根据本工程的特点制定施工现场施工质量与安全事故应急预案，并报发包人备案。</w:t>
      </w:r>
    </w:p>
    <w:p w14:paraId="31FEE8D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9.5.4 施工过程中发生事故时，发包人、承包人应立即启动应急预案。</w:t>
      </w:r>
    </w:p>
    <w:p w14:paraId="17F13C9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9.5.5 事故调查处理由发包人按相关规定履行手续，承包人应配合。</w:t>
      </w:r>
    </w:p>
    <w:p w14:paraId="65D0D9B4">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73" w:name="_Toc414352020"/>
      <w:bookmarkStart w:id="1174" w:name="_Toc453678598"/>
      <w:bookmarkStart w:id="1175" w:name="_Toc414275337"/>
      <w:bookmarkStart w:id="1176" w:name="_Toc414368492"/>
      <w:bookmarkStart w:id="1177" w:name="_Toc439684256"/>
      <w:bookmarkStart w:id="1178" w:name="_Toc453677406"/>
      <w:bookmarkStart w:id="1179" w:name="_Toc434412271"/>
      <w:r>
        <w:rPr>
          <w:rFonts w:hint="eastAsia" w:ascii="宋体" w:hAnsi="宋体" w:eastAsia="宋体" w:cs="宋体"/>
          <w:color w:val="auto"/>
          <w:sz w:val="24"/>
          <w:szCs w:val="24"/>
        </w:rPr>
        <w:t>9.6 水土保持</w:t>
      </w:r>
      <w:bookmarkEnd w:id="1173"/>
      <w:bookmarkEnd w:id="1174"/>
      <w:bookmarkEnd w:id="1175"/>
      <w:bookmarkEnd w:id="1176"/>
      <w:bookmarkEnd w:id="1177"/>
      <w:bookmarkEnd w:id="1178"/>
      <w:bookmarkEnd w:id="1179"/>
    </w:p>
    <w:p w14:paraId="761A5D7F">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9.6.1 发包人应及时向承包人提供水土保持方案。</w:t>
      </w:r>
    </w:p>
    <w:p w14:paraId="2693CD2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9.6.2 承包人在施工过程中，应遵守有关水土保持的法律法规和规章，履行合同约定的水土保持义务，并对其违反法律和合同约定义务所造成的水土流失灾害、人身伤害和财产损失负责。</w:t>
      </w:r>
    </w:p>
    <w:p w14:paraId="58560BE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9.6.3 承包人的水土保持措施计划，应满足技术标准和要求（合同技术条款）约定的要求。</w:t>
      </w:r>
    </w:p>
    <w:p w14:paraId="70202C09">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80" w:name="_Toc453678599"/>
      <w:bookmarkStart w:id="1181" w:name="_Toc453677407"/>
      <w:bookmarkStart w:id="1182" w:name="_Toc414275338"/>
      <w:bookmarkStart w:id="1183" w:name="_Toc439684257"/>
      <w:bookmarkStart w:id="1184" w:name="_Toc414352021"/>
      <w:bookmarkStart w:id="1185" w:name="_Toc434412272"/>
      <w:bookmarkStart w:id="1186" w:name="_Toc414368493"/>
      <w:r>
        <w:rPr>
          <w:rFonts w:hint="eastAsia" w:ascii="宋体" w:hAnsi="宋体" w:eastAsia="宋体" w:cs="宋体"/>
          <w:color w:val="auto"/>
          <w:sz w:val="24"/>
          <w:szCs w:val="24"/>
        </w:rPr>
        <w:t>9.7 文明工地</w:t>
      </w:r>
      <w:bookmarkEnd w:id="1180"/>
      <w:bookmarkEnd w:id="1181"/>
      <w:bookmarkEnd w:id="1182"/>
      <w:bookmarkEnd w:id="1183"/>
      <w:bookmarkEnd w:id="1184"/>
      <w:bookmarkEnd w:id="1185"/>
      <w:bookmarkEnd w:id="1186"/>
    </w:p>
    <w:p w14:paraId="3466092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9.7.1 发包人应按专用合同条款的约定，负责建立创建文明建设工地的组织机构，指定创建文明建设工地的规划和办法。</w:t>
      </w:r>
    </w:p>
    <w:p w14:paraId="620BA67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9.7.2 承包人应按创建文明建设工地的规划和办法，履行职责，承担相应责任。所需费用应含在已标价工程量清单中。</w:t>
      </w:r>
    </w:p>
    <w:p w14:paraId="6D72937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187" w:name="_Toc439684258"/>
      <w:bookmarkStart w:id="1188" w:name="_Toc414275339"/>
      <w:bookmarkStart w:id="1189" w:name="_Toc414368494"/>
      <w:bookmarkStart w:id="1190" w:name="_Toc453678600"/>
      <w:bookmarkStart w:id="1191" w:name="_Toc453677408"/>
      <w:bookmarkStart w:id="1192" w:name="_Toc414352022"/>
      <w:bookmarkStart w:id="1193" w:name="_Toc434412273"/>
      <w:r>
        <w:rPr>
          <w:rFonts w:hint="eastAsia" w:ascii="宋体" w:hAnsi="宋体" w:eastAsia="宋体" w:cs="宋体"/>
          <w:color w:val="auto"/>
          <w:sz w:val="24"/>
          <w:szCs w:val="24"/>
        </w:rPr>
        <w:t>9.8 防汛度汛</w:t>
      </w:r>
      <w:bookmarkEnd w:id="1187"/>
      <w:bookmarkEnd w:id="1188"/>
      <w:bookmarkEnd w:id="1189"/>
      <w:bookmarkEnd w:id="1190"/>
      <w:bookmarkEnd w:id="1191"/>
      <w:bookmarkEnd w:id="1192"/>
      <w:bookmarkEnd w:id="1193"/>
    </w:p>
    <w:p w14:paraId="27DD9BB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9.8.1 发包人负责组织工程参建单位编制工程的度汛方案和措施。</w:t>
      </w:r>
    </w:p>
    <w:p w14:paraId="41E54F4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9.8.2承包人应根据发包人编制的本工程度汛方案和措施，指定相应的度汛方案，报发包人批准后实施。</w:t>
      </w:r>
    </w:p>
    <w:p w14:paraId="4C6728BF">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194" w:name="_Toc414275340"/>
      <w:bookmarkStart w:id="1195" w:name="_Toc203758987"/>
      <w:bookmarkStart w:id="1196" w:name="_Toc414268883"/>
      <w:bookmarkStart w:id="1197" w:name="_Toc439684259"/>
      <w:bookmarkStart w:id="1198" w:name="_Toc414368495"/>
      <w:bookmarkStart w:id="1199" w:name="_Toc434412274"/>
      <w:bookmarkStart w:id="1200" w:name="_Toc453677409"/>
      <w:bookmarkStart w:id="1201" w:name="_Toc414352023"/>
      <w:bookmarkStart w:id="1202" w:name="_Toc453678601"/>
      <w:bookmarkStart w:id="1203" w:name="_Toc184635107"/>
      <w:r>
        <w:rPr>
          <w:rFonts w:hint="eastAsia" w:ascii="宋体" w:hAnsi="宋体" w:eastAsia="宋体" w:cs="宋体"/>
          <w:color w:val="auto"/>
          <w:sz w:val="24"/>
          <w:szCs w:val="24"/>
        </w:rPr>
        <w:t>10．进度计划</w:t>
      </w:r>
      <w:bookmarkEnd w:id="1194"/>
      <w:bookmarkEnd w:id="1195"/>
      <w:bookmarkEnd w:id="1196"/>
      <w:bookmarkEnd w:id="1197"/>
      <w:bookmarkEnd w:id="1198"/>
      <w:bookmarkEnd w:id="1199"/>
      <w:bookmarkEnd w:id="1200"/>
      <w:bookmarkEnd w:id="1201"/>
      <w:bookmarkEnd w:id="1202"/>
      <w:bookmarkEnd w:id="1203"/>
    </w:p>
    <w:p w14:paraId="2C0C0C0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04" w:name="_Toc434412275"/>
      <w:bookmarkStart w:id="1205" w:name="_Toc414275341"/>
      <w:bookmarkStart w:id="1206" w:name="_Toc439684260"/>
      <w:bookmarkStart w:id="1207" w:name="_Toc453677410"/>
      <w:bookmarkStart w:id="1208" w:name="_Toc414352024"/>
      <w:bookmarkStart w:id="1209" w:name="_Toc453678602"/>
      <w:bookmarkStart w:id="1210" w:name="_Toc414368496"/>
      <w:r>
        <w:rPr>
          <w:rFonts w:hint="eastAsia" w:ascii="宋体" w:hAnsi="宋体" w:eastAsia="宋体" w:cs="宋体"/>
          <w:color w:val="auto"/>
          <w:sz w:val="24"/>
          <w:szCs w:val="24"/>
        </w:rPr>
        <w:t>10.1 合同进度计划</w:t>
      </w:r>
      <w:bookmarkEnd w:id="1204"/>
      <w:bookmarkEnd w:id="1205"/>
      <w:bookmarkEnd w:id="1206"/>
      <w:bookmarkEnd w:id="1207"/>
      <w:bookmarkEnd w:id="1208"/>
      <w:bookmarkEnd w:id="1209"/>
      <w:bookmarkEnd w:id="1210"/>
    </w:p>
    <w:p w14:paraId="5822265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技术标准和要求（合同技术条款）约定的内容和期限以及监理人的指示，编制详细的施工总进度计划及其说明提交监理人审批。监理人应在技术标准和要求（合同技术条款）约定的期限内批复承包人，否则进度计划视为已得到批准。经监理人批准的施工进度计划称为合同进度计划，是控制合同工程进度的依据。承包人还应根据合同进度计划，编制更为详细的分阶段或单位工程进度计划，报监理人审批。</w:t>
      </w:r>
    </w:p>
    <w:p w14:paraId="70F2C31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11" w:name="_Toc439684261"/>
      <w:bookmarkStart w:id="1212" w:name="_Toc414275342"/>
      <w:bookmarkStart w:id="1213" w:name="_Toc453678603"/>
      <w:bookmarkStart w:id="1214" w:name="_Toc414368497"/>
      <w:bookmarkStart w:id="1215" w:name="_Toc453677411"/>
      <w:bookmarkStart w:id="1216" w:name="_Toc414352025"/>
      <w:bookmarkStart w:id="1217" w:name="_Toc434412276"/>
      <w:r>
        <w:rPr>
          <w:rFonts w:hint="eastAsia" w:ascii="宋体" w:hAnsi="宋体" w:eastAsia="宋体" w:cs="宋体"/>
          <w:color w:val="auto"/>
          <w:sz w:val="24"/>
          <w:szCs w:val="24"/>
        </w:rPr>
        <w:t>10.2 合同进度计划的修订</w:t>
      </w:r>
      <w:bookmarkEnd w:id="1211"/>
      <w:bookmarkEnd w:id="1212"/>
      <w:bookmarkEnd w:id="1213"/>
      <w:bookmarkEnd w:id="1214"/>
      <w:bookmarkEnd w:id="1215"/>
      <w:bookmarkEnd w:id="1216"/>
      <w:bookmarkEnd w:id="1217"/>
    </w:p>
    <w:p w14:paraId="0343274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指示，在14天内向监理人提交修订的合同计划，并附调整计划的相关资料，提交监理人审批。监理人应在收到进度计划后的14天内批复。</w:t>
      </w:r>
    </w:p>
    <w:p w14:paraId="7EFB4CB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论何种原因造成施工进度延迟，承包人均应按监理人的指示，采取有效措施赶上进度。承包人应在向监理人提交修订合同进度计划的同时，编制一份赶工措施报告提交监理人审批。由发包人原因造成的施工进度延迟，应按第11.3款与诶的那个办理；由承包人原因造成施工进度延迟，应按第11.5款的约定办理。</w:t>
      </w:r>
    </w:p>
    <w:p w14:paraId="6E74FA09">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18" w:name="_Toc414275343"/>
      <w:bookmarkStart w:id="1219" w:name="_Toc414352026"/>
      <w:bookmarkStart w:id="1220" w:name="_Toc439684262"/>
      <w:bookmarkStart w:id="1221" w:name="_Toc453678604"/>
      <w:bookmarkStart w:id="1222" w:name="_Toc414368498"/>
      <w:bookmarkStart w:id="1223" w:name="_Toc434412277"/>
      <w:bookmarkStart w:id="1224" w:name="_Toc453677412"/>
      <w:r>
        <w:rPr>
          <w:rFonts w:hint="eastAsia" w:ascii="宋体" w:hAnsi="宋体" w:eastAsia="宋体" w:cs="宋体"/>
          <w:color w:val="auto"/>
          <w:sz w:val="24"/>
          <w:szCs w:val="24"/>
        </w:rPr>
        <w:t>10.3 单位工程进度计划</w:t>
      </w:r>
      <w:bookmarkEnd w:id="1218"/>
      <w:bookmarkEnd w:id="1219"/>
      <w:bookmarkEnd w:id="1220"/>
      <w:bookmarkEnd w:id="1221"/>
      <w:bookmarkEnd w:id="1222"/>
      <w:bookmarkEnd w:id="1223"/>
      <w:bookmarkEnd w:id="1224"/>
    </w:p>
    <w:p w14:paraId="2B8630F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监理人认为有必要时，承包人应按监理人指示的内容和期限，并根据合同进度计划的进度控制要求，编制单位工程进度计划，提交监理人审批。</w:t>
      </w:r>
    </w:p>
    <w:p w14:paraId="7275F5C8">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25" w:name="_Toc439684263"/>
      <w:bookmarkStart w:id="1226" w:name="_Toc453678605"/>
      <w:bookmarkStart w:id="1227" w:name="_Toc414368499"/>
      <w:bookmarkStart w:id="1228" w:name="_Toc453677413"/>
      <w:bookmarkStart w:id="1229" w:name="_Toc414352027"/>
      <w:bookmarkStart w:id="1230" w:name="_Toc414275344"/>
      <w:bookmarkStart w:id="1231" w:name="_Toc434412278"/>
      <w:r>
        <w:rPr>
          <w:rFonts w:hint="eastAsia" w:ascii="宋体" w:hAnsi="宋体" w:eastAsia="宋体" w:cs="宋体"/>
          <w:color w:val="auto"/>
          <w:sz w:val="24"/>
          <w:szCs w:val="24"/>
        </w:rPr>
        <w:t>10.4 提交资金流估算表</w:t>
      </w:r>
      <w:bookmarkEnd w:id="1225"/>
      <w:bookmarkEnd w:id="1226"/>
      <w:bookmarkEnd w:id="1227"/>
      <w:bookmarkEnd w:id="1228"/>
      <w:bookmarkEnd w:id="1229"/>
      <w:bookmarkEnd w:id="1230"/>
      <w:bookmarkEnd w:id="1231"/>
    </w:p>
    <w:p w14:paraId="0B8BAD7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6F30677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资金流估算表（参考格式）           金额单位</w:t>
      </w:r>
    </w:p>
    <w:tbl>
      <w:tblPr>
        <w:tblStyle w:val="37"/>
        <w:tblW w:w="91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7"/>
        <w:gridCol w:w="450"/>
        <w:gridCol w:w="940"/>
        <w:gridCol w:w="1343"/>
        <w:gridCol w:w="1446"/>
        <w:gridCol w:w="1080"/>
        <w:gridCol w:w="1080"/>
        <w:gridCol w:w="540"/>
        <w:gridCol w:w="714"/>
        <w:gridCol w:w="1080"/>
      </w:tblGrid>
      <w:tr w14:paraId="29F334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507" w:type="dxa"/>
            <w:tcBorders>
              <w:top w:val="single" w:color="auto" w:sz="4" w:space="0"/>
            </w:tcBorders>
            <w:vAlign w:val="center"/>
          </w:tcPr>
          <w:p w14:paraId="436B48DA">
            <w:pPr>
              <w:keepLines w:val="0"/>
              <w:pageBreakBefore w:val="0"/>
              <w:widowControl w:val="0"/>
              <w:kinsoku/>
              <w:wordWrap/>
              <w:overflowPunct/>
              <w:topLinePunct w:val="0"/>
              <w:bidi w:val="0"/>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年</w:t>
            </w:r>
          </w:p>
        </w:tc>
        <w:tc>
          <w:tcPr>
            <w:tcW w:w="450" w:type="dxa"/>
            <w:tcBorders>
              <w:top w:val="single" w:color="auto" w:sz="4" w:space="0"/>
            </w:tcBorders>
            <w:vAlign w:val="center"/>
          </w:tcPr>
          <w:p w14:paraId="6D002C30">
            <w:pPr>
              <w:keepLines w:val="0"/>
              <w:pageBreakBefore w:val="0"/>
              <w:widowControl w:val="0"/>
              <w:kinsoku/>
              <w:wordWrap/>
              <w:overflowPunct/>
              <w:topLinePunct w:val="0"/>
              <w:bidi w:val="0"/>
              <w:spacing w:line="42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月</w:t>
            </w:r>
          </w:p>
        </w:tc>
        <w:tc>
          <w:tcPr>
            <w:tcW w:w="940" w:type="dxa"/>
            <w:tcBorders>
              <w:top w:val="single" w:color="auto" w:sz="4" w:space="0"/>
            </w:tcBorders>
          </w:tcPr>
          <w:p w14:paraId="522F7CD9">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工程预付款</w:t>
            </w:r>
          </w:p>
        </w:tc>
        <w:tc>
          <w:tcPr>
            <w:tcW w:w="1343" w:type="dxa"/>
            <w:tcBorders>
              <w:top w:val="single" w:color="auto" w:sz="4" w:space="0"/>
            </w:tcBorders>
          </w:tcPr>
          <w:p w14:paraId="5621D36C">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完成工作量付款</w:t>
            </w:r>
          </w:p>
        </w:tc>
        <w:tc>
          <w:tcPr>
            <w:tcW w:w="1446" w:type="dxa"/>
            <w:tcBorders>
              <w:top w:val="single" w:color="auto" w:sz="4" w:space="0"/>
            </w:tcBorders>
          </w:tcPr>
          <w:p w14:paraId="77CAF473">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质量保证金扣留</w:t>
            </w:r>
          </w:p>
        </w:tc>
        <w:tc>
          <w:tcPr>
            <w:tcW w:w="1080" w:type="dxa"/>
            <w:tcBorders>
              <w:top w:val="single" w:color="auto" w:sz="4" w:space="0"/>
            </w:tcBorders>
          </w:tcPr>
          <w:p w14:paraId="5178BEB2">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材料款扣除</w:t>
            </w:r>
          </w:p>
        </w:tc>
        <w:tc>
          <w:tcPr>
            <w:tcW w:w="1080" w:type="dxa"/>
            <w:tcBorders>
              <w:top w:val="single" w:color="auto" w:sz="4" w:space="0"/>
            </w:tcBorders>
          </w:tcPr>
          <w:p w14:paraId="78279259">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预付款扣还</w:t>
            </w:r>
          </w:p>
        </w:tc>
        <w:tc>
          <w:tcPr>
            <w:tcW w:w="540" w:type="dxa"/>
            <w:tcBorders>
              <w:top w:val="single" w:color="auto" w:sz="4" w:space="0"/>
            </w:tcBorders>
          </w:tcPr>
          <w:p w14:paraId="15FEE86D">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其它</w:t>
            </w:r>
          </w:p>
        </w:tc>
        <w:tc>
          <w:tcPr>
            <w:tcW w:w="714" w:type="dxa"/>
            <w:tcBorders>
              <w:top w:val="single" w:color="auto" w:sz="4" w:space="0"/>
            </w:tcBorders>
          </w:tcPr>
          <w:p w14:paraId="0D443988">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应收款</w:t>
            </w:r>
          </w:p>
        </w:tc>
        <w:tc>
          <w:tcPr>
            <w:tcW w:w="1080" w:type="dxa"/>
            <w:tcBorders>
              <w:top w:val="single" w:color="auto" w:sz="4" w:space="0"/>
            </w:tcBorders>
          </w:tcPr>
          <w:p w14:paraId="7381E56E">
            <w:pPr>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累计应收款</w:t>
            </w:r>
          </w:p>
        </w:tc>
      </w:tr>
      <w:tr w14:paraId="459AC1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7" w:type="dxa"/>
          </w:tcPr>
          <w:p w14:paraId="2C1CAB6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450" w:type="dxa"/>
          </w:tcPr>
          <w:p w14:paraId="7776D58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940" w:type="dxa"/>
          </w:tcPr>
          <w:p w14:paraId="4E8CEDE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343" w:type="dxa"/>
          </w:tcPr>
          <w:p w14:paraId="4C698A4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446" w:type="dxa"/>
          </w:tcPr>
          <w:p w14:paraId="114C935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14:paraId="1F19E84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14:paraId="2078AE5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540" w:type="dxa"/>
          </w:tcPr>
          <w:p w14:paraId="292E7EA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714" w:type="dxa"/>
          </w:tcPr>
          <w:p w14:paraId="5B7ECEA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14:paraId="754CC18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r>
      <w:tr w14:paraId="77A82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7" w:type="dxa"/>
          </w:tcPr>
          <w:p w14:paraId="0EADAE4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450" w:type="dxa"/>
          </w:tcPr>
          <w:p w14:paraId="5EF4168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940" w:type="dxa"/>
          </w:tcPr>
          <w:p w14:paraId="6DAAF9C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343" w:type="dxa"/>
          </w:tcPr>
          <w:p w14:paraId="1AFE2FD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446" w:type="dxa"/>
          </w:tcPr>
          <w:p w14:paraId="4112B70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14:paraId="0F5AD5D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14:paraId="2674B82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540" w:type="dxa"/>
          </w:tcPr>
          <w:p w14:paraId="2CDD4D9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714" w:type="dxa"/>
          </w:tcPr>
          <w:p w14:paraId="2F2417A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Pr>
          <w:p w14:paraId="1F2F110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r>
      <w:tr w14:paraId="108BA8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07" w:type="dxa"/>
            <w:tcBorders>
              <w:bottom w:val="single" w:color="auto" w:sz="4" w:space="0"/>
            </w:tcBorders>
          </w:tcPr>
          <w:p w14:paraId="5F8E080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450" w:type="dxa"/>
            <w:tcBorders>
              <w:bottom w:val="single" w:color="auto" w:sz="4" w:space="0"/>
            </w:tcBorders>
          </w:tcPr>
          <w:p w14:paraId="4C8EC4C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940" w:type="dxa"/>
            <w:tcBorders>
              <w:bottom w:val="single" w:color="auto" w:sz="4" w:space="0"/>
            </w:tcBorders>
          </w:tcPr>
          <w:p w14:paraId="3D070D5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343" w:type="dxa"/>
            <w:tcBorders>
              <w:bottom w:val="single" w:color="auto" w:sz="4" w:space="0"/>
            </w:tcBorders>
          </w:tcPr>
          <w:p w14:paraId="11FC1F6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446" w:type="dxa"/>
            <w:tcBorders>
              <w:bottom w:val="single" w:color="auto" w:sz="4" w:space="0"/>
            </w:tcBorders>
          </w:tcPr>
          <w:p w14:paraId="2B9827F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Borders>
              <w:bottom w:val="single" w:color="auto" w:sz="4" w:space="0"/>
            </w:tcBorders>
          </w:tcPr>
          <w:p w14:paraId="4C3477F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Borders>
              <w:bottom w:val="single" w:color="auto" w:sz="4" w:space="0"/>
            </w:tcBorders>
          </w:tcPr>
          <w:p w14:paraId="4D0E616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540" w:type="dxa"/>
            <w:tcBorders>
              <w:bottom w:val="single" w:color="auto" w:sz="4" w:space="0"/>
            </w:tcBorders>
          </w:tcPr>
          <w:p w14:paraId="53C689F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714" w:type="dxa"/>
            <w:tcBorders>
              <w:bottom w:val="single" w:color="auto" w:sz="4" w:space="0"/>
            </w:tcBorders>
          </w:tcPr>
          <w:p w14:paraId="27731BA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c>
          <w:tcPr>
            <w:tcW w:w="1080" w:type="dxa"/>
            <w:tcBorders>
              <w:bottom w:val="single" w:color="auto" w:sz="4" w:space="0"/>
            </w:tcBorders>
          </w:tcPr>
          <w:p w14:paraId="7E05E39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p>
        </w:tc>
      </w:tr>
    </w:tbl>
    <w:p w14:paraId="4A71A92A">
      <w:pPr>
        <w:pStyle w:val="141"/>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232" w:name="_Toc203758988"/>
      <w:bookmarkStart w:id="1233" w:name="_Toc184635108"/>
      <w:bookmarkStart w:id="1234" w:name="_Toc453677414"/>
      <w:bookmarkStart w:id="1235" w:name="_Toc414368500"/>
      <w:bookmarkStart w:id="1236" w:name="_Toc453678606"/>
      <w:bookmarkStart w:id="1237" w:name="_Toc439684264"/>
      <w:bookmarkStart w:id="1238" w:name="_Toc414275345"/>
      <w:bookmarkStart w:id="1239" w:name="_Toc414352028"/>
      <w:bookmarkStart w:id="1240" w:name="_Toc434412279"/>
      <w:bookmarkStart w:id="1241" w:name="_Toc414268884"/>
      <w:r>
        <w:rPr>
          <w:rFonts w:hint="eastAsia" w:ascii="宋体" w:hAnsi="宋体" w:eastAsia="宋体" w:cs="宋体"/>
          <w:color w:val="auto"/>
          <w:sz w:val="24"/>
          <w:szCs w:val="24"/>
        </w:rPr>
        <w:t>11．开工和竣工</w:t>
      </w:r>
      <w:bookmarkEnd w:id="1232"/>
      <w:bookmarkEnd w:id="1233"/>
      <w:r>
        <w:rPr>
          <w:rFonts w:hint="eastAsia" w:ascii="宋体" w:hAnsi="宋体" w:eastAsia="宋体" w:cs="宋体"/>
          <w:color w:val="auto"/>
          <w:sz w:val="24"/>
          <w:szCs w:val="24"/>
        </w:rPr>
        <w:t>（完工)</w:t>
      </w:r>
      <w:bookmarkEnd w:id="1234"/>
      <w:bookmarkEnd w:id="1235"/>
      <w:bookmarkEnd w:id="1236"/>
      <w:bookmarkEnd w:id="1237"/>
      <w:bookmarkEnd w:id="1238"/>
      <w:bookmarkEnd w:id="1239"/>
      <w:bookmarkEnd w:id="1240"/>
      <w:bookmarkEnd w:id="1241"/>
    </w:p>
    <w:p w14:paraId="13DCD70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42" w:name="_Toc453677415"/>
      <w:bookmarkStart w:id="1243" w:name="_Toc414368501"/>
      <w:bookmarkStart w:id="1244" w:name="_Toc414275346"/>
      <w:bookmarkStart w:id="1245" w:name="_Toc439684265"/>
      <w:bookmarkStart w:id="1246" w:name="_Toc453678607"/>
      <w:bookmarkStart w:id="1247" w:name="_Toc414352029"/>
      <w:bookmarkStart w:id="1248" w:name="_Toc434412280"/>
      <w:r>
        <w:rPr>
          <w:rFonts w:hint="eastAsia" w:ascii="宋体" w:hAnsi="宋体" w:eastAsia="宋体" w:cs="宋体"/>
          <w:color w:val="auto"/>
          <w:sz w:val="24"/>
          <w:szCs w:val="24"/>
        </w:rPr>
        <w:t>11.1 开工</w:t>
      </w:r>
      <w:bookmarkEnd w:id="1242"/>
      <w:bookmarkEnd w:id="1243"/>
      <w:bookmarkEnd w:id="1244"/>
      <w:bookmarkEnd w:id="1245"/>
      <w:bookmarkEnd w:id="1246"/>
      <w:bookmarkEnd w:id="1247"/>
      <w:bookmarkEnd w:id="1248"/>
    </w:p>
    <w:p w14:paraId="3FA3BB0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 监理人应在开工日期7 天前向承包人发出开工通知。监理人在发出开工通知前应获得发包人同意。工期自监理人发出的开工通知中载明的开工日期起计算。承包人应在开工日期后尽快施工。</w:t>
      </w:r>
    </w:p>
    <w:p w14:paraId="7B21E96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297E3FF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11.1.3 若发包人未能按合同约定向承包人提供开工必要条件，承包人有权要求延长工期。监理人应在收到侧很难过保人的书面要求后，按第3.5款的约定，与合同双方商定或确定增加的费用和延长的工期。</w:t>
      </w:r>
    </w:p>
    <w:p w14:paraId="1FAE553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0D3A48A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49" w:name="_Toc414275347"/>
      <w:bookmarkStart w:id="1250" w:name="_Toc453678608"/>
      <w:bookmarkStart w:id="1251" w:name="_Toc439684266"/>
      <w:bookmarkStart w:id="1252" w:name="_Toc414368502"/>
      <w:bookmarkStart w:id="1253" w:name="_Toc434412281"/>
      <w:bookmarkStart w:id="1254" w:name="_Toc414352030"/>
      <w:bookmarkStart w:id="1255" w:name="_Toc453677416"/>
      <w:r>
        <w:rPr>
          <w:rFonts w:hint="eastAsia" w:ascii="宋体" w:hAnsi="宋体" w:eastAsia="宋体" w:cs="宋体"/>
          <w:color w:val="auto"/>
          <w:sz w:val="24"/>
          <w:szCs w:val="24"/>
        </w:rPr>
        <w:t>11.2 竣工（完工)</w:t>
      </w:r>
      <w:bookmarkEnd w:id="1249"/>
      <w:bookmarkEnd w:id="1250"/>
      <w:bookmarkEnd w:id="1251"/>
      <w:bookmarkEnd w:id="1252"/>
      <w:bookmarkEnd w:id="1253"/>
      <w:bookmarkEnd w:id="1254"/>
      <w:bookmarkEnd w:id="1255"/>
    </w:p>
    <w:p w14:paraId="24705C7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承包人应在第1.1.4.3目约定的期限内完成合同工程。合同工程实际完工日期在合同工程完工证书中明确。</w:t>
      </w:r>
    </w:p>
    <w:p w14:paraId="2EF321E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56" w:name="_Toc453677417"/>
      <w:bookmarkStart w:id="1257" w:name="_Toc439684267"/>
      <w:bookmarkStart w:id="1258" w:name="_Toc414352031"/>
      <w:bookmarkStart w:id="1259" w:name="_Toc453678609"/>
      <w:bookmarkStart w:id="1260" w:name="_Toc434412282"/>
      <w:bookmarkStart w:id="1261" w:name="_Toc414368503"/>
      <w:bookmarkStart w:id="1262" w:name="_Toc414275348"/>
      <w:r>
        <w:rPr>
          <w:rFonts w:hint="eastAsia" w:ascii="宋体" w:hAnsi="宋体" w:eastAsia="宋体" w:cs="宋体"/>
          <w:color w:val="auto"/>
          <w:sz w:val="24"/>
          <w:szCs w:val="24"/>
        </w:rPr>
        <w:t>11.3 发包人的工期延误</w:t>
      </w:r>
      <w:bookmarkEnd w:id="1256"/>
      <w:bookmarkEnd w:id="1257"/>
      <w:bookmarkEnd w:id="1258"/>
      <w:bookmarkEnd w:id="1259"/>
      <w:bookmarkEnd w:id="1260"/>
      <w:bookmarkEnd w:id="1261"/>
      <w:bookmarkEnd w:id="1262"/>
    </w:p>
    <w:p w14:paraId="7075B6B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在履行合同过程中，由于发包人的下列原因造成工期延误的，承包人有权要求发包人延长工期和（或）增加费用，并支付合理利润。需要修订合同进度计划的，按照第10.2款的约定办理。</w:t>
      </w:r>
    </w:p>
    <w:p w14:paraId="697A3B7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（l）增加合同工作内容；</w:t>
      </w:r>
    </w:p>
    <w:p w14:paraId="4CA0F97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（2）改变合同中任何一项工作的质量要求或其他特性；</w:t>
      </w:r>
    </w:p>
    <w:p w14:paraId="210A97A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（3）发包人迟延提供材料、工程设备或变更交货地点的；</w:t>
      </w:r>
    </w:p>
    <w:p w14:paraId="4F6F676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（4）因发包人原因导致的暂停施工；</w:t>
      </w:r>
    </w:p>
    <w:p w14:paraId="16075A0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（5）提供图纸延误；</w:t>
      </w:r>
    </w:p>
    <w:p w14:paraId="314D440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（6）未按合同约定及时支付预付款、进度款；</w:t>
      </w:r>
    </w:p>
    <w:p w14:paraId="0D93FC1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（7）发包人造成工期延误的其他原因。</w:t>
      </w:r>
    </w:p>
    <w:p w14:paraId="0750A1E3">
      <w:pPr>
        <w:pStyle w:val="4"/>
        <w:keepLines w:val="0"/>
        <w:pageBreakBefore w:val="0"/>
        <w:widowControl w:val="0"/>
        <w:kinsoku/>
        <w:wordWrap/>
        <w:overflowPunct/>
        <w:topLinePunct w:val="0"/>
        <w:bidi w:val="0"/>
        <w:spacing w:line="420" w:lineRule="exact"/>
        <w:ind w:firstLine="720" w:firstLineChars="300"/>
        <w:rPr>
          <w:rFonts w:hint="eastAsia" w:ascii="宋体" w:hAnsi="宋体" w:eastAsia="宋体" w:cs="宋体"/>
          <w:color w:val="auto"/>
          <w:sz w:val="24"/>
          <w:szCs w:val="24"/>
        </w:rPr>
      </w:pPr>
      <w:bookmarkStart w:id="1263" w:name="_Toc414368504"/>
      <w:bookmarkStart w:id="1264" w:name="_Toc414275349"/>
      <w:bookmarkStart w:id="1265" w:name="_Toc453677418"/>
      <w:bookmarkStart w:id="1266" w:name="_Toc434412283"/>
      <w:bookmarkStart w:id="1267" w:name="_Toc453678610"/>
      <w:bookmarkStart w:id="1268" w:name="_Toc414352032"/>
      <w:bookmarkStart w:id="1269" w:name="_Toc439684268"/>
      <w:r>
        <w:rPr>
          <w:rFonts w:hint="eastAsia" w:ascii="宋体" w:hAnsi="宋体" w:eastAsia="宋体" w:cs="宋体"/>
          <w:color w:val="auto"/>
          <w:sz w:val="24"/>
          <w:szCs w:val="24"/>
        </w:rPr>
        <w:t>11.4 异常恶劣的气候条件</w:t>
      </w:r>
      <w:bookmarkEnd w:id="1263"/>
      <w:bookmarkEnd w:id="1264"/>
      <w:bookmarkEnd w:id="1265"/>
      <w:bookmarkEnd w:id="1266"/>
      <w:bookmarkEnd w:id="1267"/>
      <w:bookmarkEnd w:id="1268"/>
      <w:bookmarkEnd w:id="1269"/>
    </w:p>
    <w:p w14:paraId="558ACC8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11.4.1 当工期所在地发生危机及施工安全的异常恶劣气候时，发包人和承包人应按本合同通用合同条款第12条的约定，及时采取暂停施工或部分暂停施工措施。异常恶劣气候条件解除后，承包人应及时安排复工。</w:t>
      </w:r>
    </w:p>
    <w:p w14:paraId="4831775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11.4.2 异常恶劣气候条件造成的工期延误和工程损坏，应由发包人与承包人参照本合同通用合同条款第21.3款的约定协商处理。</w:t>
      </w:r>
    </w:p>
    <w:p w14:paraId="2D99BF94">
      <w:pPr>
        <w:keepLines w:val="0"/>
        <w:pageBreakBefore w:val="0"/>
        <w:widowControl w:val="0"/>
        <w:kinsoku/>
        <w:wordWrap/>
        <w:overflowPunct/>
        <w:topLinePunct w:val="0"/>
        <w:bidi w:val="0"/>
        <w:spacing w:line="420" w:lineRule="exact"/>
        <w:ind w:firstLine="480" w:firstLineChars="200"/>
        <w:outlineLvl w:val="0"/>
        <w:rPr>
          <w:rFonts w:hint="eastAsia" w:ascii="宋体" w:hAnsi="宋体" w:eastAsia="宋体" w:cs="宋体"/>
          <w:color w:val="auto"/>
          <w:sz w:val="24"/>
          <w:szCs w:val="24"/>
        </w:rPr>
      </w:pPr>
      <w:bookmarkStart w:id="1270" w:name="_Toc453677419"/>
      <w:bookmarkStart w:id="1271" w:name="_Toc29405"/>
      <w:bookmarkStart w:id="1272" w:name="_Toc20512"/>
      <w:bookmarkStart w:id="1273" w:name="_Toc453678611"/>
      <w:r>
        <w:rPr>
          <w:rFonts w:hint="eastAsia" w:ascii="宋体" w:hAnsi="宋体" w:eastAsia="宋体" w:cs="宋体"/>
          <w:color w:val="auto"/>
          <w:sz w:val="24"/>
          <w:szCs w:val="24"/>
        </w:rPr>
        <w:t>11.4.3 本合同工程界定异常恶劣气候条件的范围在专用合同条款中约定。</w:t>
      </w:r>
      <w:bookmarkEnd w:id="1270"/>
      <w:bookmarkEnd w:id="1271"/>
      <w:bookmarkEnd w:id="1272"/>
      <w:bookmarkEnd w:id="1273"/>
    </w:p>
    <w:p w14:paraId="29B01E3F">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74" w:name="_Toc453677420"/>
      <w:bookmarkStart w:id="1275" w:name="_Toc439684269"/>
      <w:bookmarkStart w:id="1276" w:name="_Toc453678612"/>
      <w:bookmarkStart w:id="1277" w:name="_Toc414352033"/>
      <w:bookmarkStart w:id="1278" w:name="_Toc434412284"/>
      <w:bookmarkStart w:id="1279" w:name="_Toc414275350"/>
      <w:bookmarkStart w:id="1280" w:name="_Toc414368505"/>
      <w:r>
        <w:rPr>
          <w:rFonts w:hint="eastAsia" w:ascii="宋体" w:hAnsi="宋体" w:eastAsia="宋体" w:cs="宋体"/>
          <w:color w:val="auto"/>
          <w:sz w:val="24"/>
          <w:szCs w:val="24"/>
        </w:rPr>
        <w:t>11.5 承包人的工期延误</w:t>
      </w:r>
      <w:bookmarkEnd w:id="1274"/>
      <w:bookmarkEnd w:id="1275"/>
      <w:bookmarkEnd w:id="1276"/>
      <w:bookmarkEnd w:id="1277"/>
      <w:bookmarkEnd w:id="1278"/>
      <w:bookmarkEnd w:id="1279"/>
      <w:bookmarkEnd w:id="1280"/>
    </w:p>
    <w:p w14:paraId="34FB44B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0CF612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81" w:name="_Toc414352034"/>
      <w:bookmarkStart w:id="1282" w:name="_Toc439684270"/>
      <w:bookmarkStart w:id="1283" w:name="_Toc434412285"/>
      <w:bookmarkStart w:id="1284" w:name="_Toc414368506"/>
      <w:bookmarkStart w:id="1285" w:name="_Toc453678613"/>
      <w:bookmarkStart w:id="1286" w:name="_Toc453677421"/>
      <w:bookmarkStart w:id="1287" w:name="_Toc414275351"/>
      <w:r>
        <w:rPr>
          <w:rFonts w:hint="eastAsia" w:ascii="宋体" w:hAnsi="宋体" w:eastAsia="宋体" w:cs="宋体"/>
          <w:color w:val="auto"/>
          <w:sz w:val="24"/>
          <w:szCs w:val="24"/>
        </w:rPr>
        <w:t>11.6 工期提前</w:t>
      </w:r>
      <w:bookmarkEnd w:id="1281"/>
      <w:bookmarkEnd w:id="1282"/>
      <w:bookmarkEnd w:id="1283"/>
      <w:bookmarkEnd w:id="1284"/>
      <w:bookmarkEnd w:id="1285"/>
      <w:bookmarkEnd w:id="1286"/>
      <w:bookmarkEnd w:id="1287"/>
    </w:p>
    <w:p w14:paraId="6E45288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要求承包人提前完工，或承包人提出提前完工的建议能够发包人带来效益的，应由监理人与承包人共同协商采取加快工程进度的措施和修订合同进度计划。发包人应承担承包人由此增加的费用，并向承包人支付专用合同条款约定的相应奖金。</w:t>
      </w:r>
    </w:p>
    <w:p w14:paraId="2819BC3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发包人要求提前完工的，双方协商一致后签订提前完工协议，协议内容包括：</w:t>
      </w:r>
    </w:p>
    <w:p w14:paraId="4B111B6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（1）提前的时间和修订后的进度计划；</w:t>
      </w:r>
    </w:p>
    <w:p w14:paraId="0C99ED7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（2）承包人的赶工措施；</w:t>
      </w:r>
    </w:p>
    <w:p w14:paraId="6C961FB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（3）发包人为赶工提供的条件；</w:t>
      </w:r>
    </w:p>
    <w:p w14:paraId="00644CE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（4）赶工费用（包括利润和奖金）。</w:t>
      </w:r>
    </w:p>
    <w:p w14:paraId="094097FC">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288" w:name="_Toc414268885"/>
      <w:bookmarkStart w:id="1289" w:name="_Toc453677422"/>
      <w:bookmarkStart w:id="1290" w:name="_Toc414352035"/>
      <w:bookmarkStart w:id="1291" w:name="_Toc414368507"/>
      <w:bookmarkStart w:id="1292" w:name="_Toc414275352"/>
      <w:bookmarkStart w:id="1293" w:name="_Toc439684271"/>
      <w:bookmarkStart w:id="1294" w:name="_Toc434412286"/>
      <w:bookmarkStart w:id="1295" w:name="_Toc184635109"/>
      <w:bookmarkStart w:id="1296" w:name="_Toc203758989"/>
      <w:bookmarkStart w:id="1297" w:name="_Toc453678614"/>
      <w:r>
        <w:rPr>
          <w:rFonts w:hint="eastAsia" w:ascii="宋体" w:hAnsi="宋体" w:eastAsia="宋体" w:cs="宋体"/>
          <w:color w:val="auto"/>
          <w:sz w:val="24"/>
          <w:szCs w:val="24"/>
        </w:rPr>
        <w:t>12．暂停施工</w:t>
      </w:r>
      <w:bookmarkEnd w:id="1288"/>
      <w:bookmarkEnd w:id="1289"/>
      <w:bookmarkEnd w:id="1290"/>
      <w:bookmarkEnd w:id="1291"/>
      <w:bookmarkEnd w:id="1292"/>
      <w:bookmarkEnd w:id="1293"/>
      <w:bookmarkEnd w:id="1294"/>
      <w:bookmarkEnd w:id="1295"/>
      <w:bookmarkEnd w:id="1296"/>
      <w:bookmarkEnd w:id="1297"/>
    </w:p>
    <w:p w14:paraId="26C74E9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298" w:name="_Toc434412287"/>
      <w:bookmarkStart w:id="1299" w:name="_Toc414352036"/>
      <w:bookmarkStart w:id="1300" w:name="_Toc414275353"/>
      <w:bookmarkStart w:id="1301" w:name="_Toc414368508"/>
      <w:bookmarkStart w:id="1302" w:name="_Toc453677423"/>
      <w:bookmarkStart w:id="1303" w:name="_Toc439684272"/>
      <w:bookmarkStart w:id="1304" w:name="_Toc453678615"/>
      <w:r>
        <w:rPr>
          <w:rFonts w:hint="eastAsia" w:ascii="宋体" w:hAnsi="宋体" w:eastAsia="宋体" w:cs="宋体"/>
          <w:color w:val="auto"/>
          <w:sz w:val="24"/>
          <w:szCs w:val="24"/>
        </w:rPr>
        <w:t>12.1 承包人暂停施工的责任</w:t>
      </w:r>
      <w:bookmarkEnd w:id="1298"/>
      <w:bookmarkEnd w:id="1299"/>
      <w:bookmarkEnd w:id="1300"/>
      <w:bookmarkEnd w:id="1301"/>
      <w:bookmarkEnd w:id="1302"/>
      <w:bookmarkEnd w:id="1303"/>
      <w:bookmarkEnd w:id="1304"/>
    </w:p>
    <w:p w14:paraId="0911608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因下列暂停施工增加的费用和（或）工期延误由承包人承担：</w:t>
      </w:r>
    </w:p>
    <w:p w14:paraId="5C5908E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（1）承包人违约引起的暂停施工；</w:t>
      </w:r>
    </w:p>
    <w:p w14:paraId="2CBD16C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（2）由于承包人原因为工程合理施工和安全保障所必需的暂停施工；</w:t>
      </w:r>
    </w:p>
    <w:p w14:paraId="7720E2F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（3）承包人擅自暂停施工；</w:t>
      </w:r>
    </w:p>
    <w:p w14:paraId="3B8CB4E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（4）承包人其他原因引起的暂停施工；</w:t>
      </w:r>
    </w:p>
    <w:p w14:paraId="369D9B2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（5）专用合同条款约定由承包人承担的其他暂停施工。</w:t>
      </w:r>
    </w:p>
    <w:p w14:paraId="3BD140A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05" w:name="_Toc439684273"/>
      <w:bookmarkStart w:id="1306" w:name="_Toc414275354"/>
      <w:bookmarkStart w:id="1307" w:name="_Toc414368509"/>
      <w:bookmarkStart w:id="1308" w:name="_Toc414352037"/>
      <w:bookmarkStart w:id="1309" w:name="_Toc434412288"/>
      <w:bookmarkStart w:id="1310" w:name="_Toc453678616"/>
      <w:bookmarkStart w:id="1311" w:name="_Toc453677424"/>
      <w:r>
        <w:rPr>
          <w:rFonts w:hint="eastAsia" w:ascii="宋体" w:hAnsi="宋体" w:eastAsia="宋体" w:cs="宋体"/>
          <w:color w:val="auto"/>
          <w:sz w:val="24"/>
          <w:szCs w:val="24"/>
        </w:rPr>
        <w:t>12.2 发包人暂停施工的责任</w:t>
      </w:r>
      <w:bookmarkEnd w:id="1305"/>
      <w:bookmarkEnd w:id="1306"/>
      <w:bookmarkEnd w:id="1307"/>
      <w:bookmarkEnd w:id="1308"/>
      <w:bookmarkEnd w:id="1309"/>
      <w:bookmarkEnd w:id="1310"/>
      <w:bookmarkEnd w:id="1311"/>
    </w:p>
    <w:p w14:paraId="6437A8A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由于发包人原因引起的暂停施工造成工期延误的，承包人有权要求发包人延长工期和（或）增加费用，并支付合理利润。</w:t>
      </w:r>
    </w:p>
    <w:p w14:paraId="74EB062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属于下列任何一种情况引起的暂停施工，均为发包人的责任：</w:t>
      </w:r>
    </w:p>
    <w:p w14:paraId="4794E5BE">
      <w:pPr>
        <w:keepLines w:val="0"/>
        <w:pageBreakBefore w:val="0"/>
        <w:widowControl w:val="0"/>
        <w:kinsoku/>
        <w:wordWrap/>
        <w:overflowPunct/>
        <w:topLinePunct w:val="0"/>
        <w:bidi w:val="0"/>
        <w:spacing w:line="420" w:lineRule="exact"/>
        <w:ind w:left="420" w:leftChars="200"/>
        <w:outlineLvl w:val="0"/>
        <w:rPr>
          <w:rFonts w:hint="eastAsia" w:ascii="宋体" w:hAnsi="宋体" w:eastAsia="宋体" w:cs="宋体"/>
          <w:color w:val="auto"/>
          <w:sz w:val="24"/>
          <w:szCs w:val="24"/>
        </w:rPr>
      </w:pPr>
      <w:bookmarkStart w:id="1312" w:name="_Toc453678617"/>
      <w:bookmarkStart w:id="1313" w:name="_Toc453677425"/>
      <w:bookmarkStart w:id="1314" w:name="_Toc2500"/>
      <w:bookmarkStart w:id="1315" w:name="_Toc1841"/>
      <w:r>
        <w:rPr>
          <w:rFonts w:hint="eastAsia" w:ascii="宋体" w:hAnsi="宋体" w:eastAsia="宋体" w:cs="宋体"/>
          <w:color w:val="auto"/>
          <w:sz w:val="24"/>
          <w:szCs w:val="24"/>
        </w:rPr>
        <w:t>（1）由于发包人违约引起的暂停施工；</w:t>
      </w:r>
      <w:bookmarkEnd w:id="1312"/>
      <w:bookmarkEnd w:id="1313"/>
      <w:bookmarkEnd w:id="1314"/>
      <w:bookmarkEnd w:id="1315"/>
    </w:p>
    <w:p w14:paraId="7A2312D2">
      <w:pPr>
        <w:keepLines w:val="0"/>
        <w:pageBreakBefore w:val="0"/>
        <w:widowControl w:val="0"/>
        <w:kinsoku/>
        <w:wordWrap/>
        <w:overflowPunct/>
        <w:topLinePunct w:val="0"/>
        <w:bidi w:val="0"/>
        <w:spacing w:line="42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（2）由于不可抗力的自然会社会因素引起的暂停施工；</w:t>
      </w:r>
    </w:p>
    <w:p w14:paraId="29604F99">
      <w:pPr>
        <w:keepLines w:val="0"/>
        <w:pageBreakBefore w:val="0"/>
        <w:widowControl w:val="0"/>
        <w:kinsoku/>
        <w:wordWrap/>
        <w:overflowPunct/>
        <w:topLinePunct w:val="0"/>
        <w:bidi w:val="0"/>
        <w:spacing w:line="42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（3）专用合同条款中约定的其它由于发包人原因引起的暂停施工。</w:t>
      </w:r>
    </w:p>
    <w:p w14:paraId="4E9BF05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16" w:name="_Toc434412289"/>
      <w:bookmarkStart w:id="1317" w:name="_Toc414275355"/>
      <w:bookmarkStart w:id="1318" w:name="_Toc453677426"/>
      <w:bookmarkStart w:id="1319" w:name="_Toc414368510"/>
      <w:bookmarkStart w:id="1320" w:name="_Toc414352038"/>
      <w:bookmarkStart w:id="1321" w:name="_Toc439684274"/>
      <w:bookmarkStart w:id="1322" w:name="_Toc453678618"/>
      <w:r>
        <w:rPr>
          <w:rFonts w:hint="eastAsia" w:ascii="宋体" w:hAnsi="宋体" w:eastAsia="宋体" w:cs="宋体"/>
          <w:color w:val="auto"/>
          <w:sz w:val="24"/>
          <w:szCs w:val="24"/>
        </w:rPr>
        <w:t>12.3 监理人暂停施工指示</w:t>
      </w:r>
      <w:bookmarkEnd w:id="1316"/>
      <w:bookmarkEnd w:id="1317"/>
      <w:bookmarkEnd w:id="1318"/>
      <w:bookmarkEnd w:id="1319"/>
      <w:bookmarkEnd w:id="1320"/>
      <w:bookmarkEnd w:id="1321"/>
      <w:bookmarkEnd w:id="1322"/>
    </w:p>
    <w:p w14:paraId="7873988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12.3.1 监理人认为有必要时，可向承包人做出暂停施工的指示，承包人应按监理人指示暂停施工。不论由于何种原因引起的暂停施工，暂停施工期间承包人应负责妥善保护工程并提供安全保障。</w:t>
      </w:r>
    </w:p>
    <w:p w14:paraId="4E8175A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D9FD1E8">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23" w:name="_Toc439684275"/>
      <w:bookmarkStart w:id="1324" w:name="_Toc414368511"/>
      <w:bookmarkStart w:id="1325" w:name="_Toc434412290"/>
      <w:bookmarkStart w:id="1326" w:name="_Toc414352039"/>
      <w:bookmarkStart w:id="1327" w:name="_Toc414275356"/>
      <w:bookmarkStart w:id="1328" w:name="_Toc453677427"/>
      <w:bookmarkStart w:id="1329" w:name="_Toc453678619"/>
      <w:r>
        <w:rPr>
          <w:rFonts w:hint="eastAsia" w:ascii="宋体" w:hAnsi="宋体" w:eastAsia="宋体" w:cs="宋体"/>
          <w:color w:val="auto"/>
          <w:sz w:val="24"/>
          <w:szCs w:val="24"/>
        </w:rPr>
        <w:t>12.4 暂停施工后的复工</w:t>
      </w:r>
      <w:bookmarkEnd w:id="1323"/>
      <w:bookmarkEnd w:id="1324"/>
      <w:bookmarkEnd w:id="1325"/>
      <w:bookmarkEnd w:id="1326"/>
      <w:bookmarkEnd w:id="1327"/>
      <w:bookmarkEnd w:id="1328"/>
      <w:bookmarkEnd w:id="1329"/>
    </w:p>
    <w:p w14:paraId="47102D6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E06C39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12.4.2 承包人无故拖延和拒绝复工的，由此增加的费用和工期延误由承包人承担；因发包人原因无法按时复工的，承包人有权要求发包人延长工期和（或）增加费用，并支付合理利润。</w:t>
      </w:r>
    </w:p>
    <w:p w14:paraId="33717F6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30" w:name="_Toc453677428"/>
      <w:bookmarkStart w:id="1331" w:name="_Toc453678620"/>
      <w:bookmarkStart w:id="1332" w:name="_Toc439684276"/>
      <w:bookmarkStart w:id="1333" w:name="_Toc414275357"/>
      <w:bookmarkStart w:id="1334" w:name="_Toc414352040"/>
      <w:bookmarkStart w:id="1335" w:name="_Toc434412291"/>
      <w:bookmarkStart w:id="1336" w:name="_Toc414368512"/>
      <w:r>
        <w:rPr>
          <w:rFonts w:hint="eastAsia" w:ascii="宋体" w:hAnsi="宋体" w:eastAsia="宋体" w:cs="宋体"/>
          <w:color w:val="auto"/>
          <w:sz w:val="24"/>
          <w:szCs w:val="24"/>
        </w:rPr>
        <w:t>12.5 暂停施工持续56 天以上</w:t>
      </w:r>
      <w:bookmarkEnd w:id="1330"/>
      <w:bookmarkEnd w:id="1331"/>
      <w:bookmarkEnd w:id="1332"/>
      <w:bookmarkEnd w:id="1333"/>
      <w:bookmarkEnd w:id="1334"/>
      <w:bookmarkEnd w:id="1335"/>
      <w:bookmarkEnd w:id="1336"/>
    </w:p>
    <w:p w14:paraId="69887B1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款的规定办理。</w:t>
      </w:r>
    </w:p>
    <w:p w14:paraId="79C7957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12.5.2 由于承包人责任引起的暂停施工，如承包人在收到监理人暂停施工指示后56天内不认真采取有效的复工措施，造成工期延误，可视为承包人违约，应按第22.1款的规定办理。</w:t>
      </w:r>
    </w:p>
    <w:p w14:paraId="62A93C98">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337" w:name="_Toc184635110"/>
      <w:bookmarkStart w:id="1338" w:name="_Toc414268886"/>
      <w:bookmarkStart w:id="1339" w:name="_Toc203758990"/>
      <w:bookmarkStart w:id="1340" w:name="_Toc414352041"/>
      <w:bookmarkStart w:id="1341" w:name="_Toc453677429"/>
      <w:bookmarkStart w:id="1342" w:name="_Toc439684277"/>
      <w:bookmarkStart w:id="1343" w:name="_Toc414275358"/>
      <w:bookmarkStart w:id="1344" w:name="_Toc414368513"/>
      <w:bookmarkStart w:id="1345" w:name="_Toc434412292"/>
      <w:bookmarkStart w:id="1346" w:name="_Toc453678621"/>
      <w:r>
        <w:rPr>
          <w:rFonts w:hint="eastAsia" w:ascii="宋体" w:hAnsi="宋体" w:eastAsia="宋体" w:cs="宋体"/>
          <w:color w:val="auto"/>
          <w:sz w:val="24"/>
          <w:szCs w:val="24"/>
        </w:rPr>
        <w:t>13．工程质量</w:t>
      </w:r>
      <w:bookmarkEnd w:id="1337"/>
      <w:bookmarkEnd w:id="1338"/>
      <w:bookmarkEnd w:id="1339"/>
      <w:bookmarkEnd w:id="1340"/>
      <w:bookmarkEnd w:id="1341"/>
      <w:bookmarkEnd w:id="1342"/>
      <w:bookmarkEnd w:id="1343"/>
      <w:bookmarkEnd w:id="1344"/>
      <w:bookmarkEnd w:id="1345"/>
      <w:bookmarkEnd w:id="1346"/>
    </w:p>
    <w:p w14:paraId="717FBBE9">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47" w:name="_Toc414352042"/>
      <w:bookmarkStart w:id="1348" w:name="_Toc414368514"/>
      <w:bookmarkStart w:id="1349" w:name="_Toc439684278"/>
      <w:bookmarkStart w:id="1350" w:name="_Toc414275359"/>
      <w:bookmarkStart w:id="1351" w:name="_Toc434412293"/>
      <w:bookmarkStart w:id="1352" w:name="_Toc453677430"/>
      <w:bookmarkStart w:id="1353" w:name="_Toc453678622"/>
      <w:r>
        <w:rPr>
          <w:rFonts w:hint="eastAsia" w:ascii="宋体" w:hAnsi="宋体" w:eastAsia="宋体" w:cs="宋体"/>
          <w:color w:val="auto"/>
          <w:sz w:val="24"/>
          <w:szCs w:val="24"/>
        </w:rPr>
        <w:t>13.1 工程质量要求</w:t>
      </w:r>
      <w:bookmarkEnd w:id="1347"/>
      <w:bookmarkEnd w:id="1348"/>
      <w:bookmarkEnd w:id="1349"/>
      <w:bookmarkEnd w:id="1350"/>
      <w:bookmarkEnd w:id="1351"/>
      <w:bookmarkEnd w:id="1352"/>
      <w:bookmarkEnd w:id="1353"/>
    </w:p>
    <w:p w14:paraId="11A04BB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13.1.1 工程质量验收按合同约定验收标准执行。</w:t>
      </w:r>
    </w:p>
    <w:p w14:paraId="760178C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 因承包人原因造成工程质量达不到合同约定验收标准的，监理人有权要求承包人返工直至符合合同要求为止，由此造成的费用增加和（或）工期延误由承包人承担。</w:t>
      </w:r>
    </w:p>
    <w:p w14:paraId="3CF5E27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13.1.3 因发包人原因造成工程质量达不到合同约定验收标准的，发包人应承担由于承包人返工造成的费用增加和（或）工期延误，并支付承包人合理利润。</w:t>
      </w:r>
    </w:p>
    <w:p w14:paraId="3151B9C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54" w:name="_Toc434412294"/>
      <w:bookmarkStart w:id="1355" w:name="_Toc453678623"/>
      <w:bookmarkStart w:id="1356" w:name="_Toc439684279"/>
      <w:bookmarkStart w:id="1357" w:name="_Toc453677431"/>
      <w:bookmarkStart w:id="1358" w:name="_Toc414352043"/>
      <w:bookmarkStart w:id="1359" w:name="_Toc414275360"/>
      <w:bookmarkStart w:id="1360" w:name="_Toc414368515"/>
      <w:r>
        <w:rPr>
          <w:rFonts w:hint="eastAsia" w:ascii="宋体" w:hAnsi="宋体" w:eastAsia="宋体" w:cs="宋体"/>
          <w:color w:val="auto"/>
          <w:sz w:val="24"/>
          <w:szCs w:val="24"/>
        </w:rPr>
        <w:t>13.2 承包人的质量管理</w:t>
      </w:r>
      <w:bookmarkEnd w:id="1354"/>
      <w:bookmarkEnd w:id="1355"/>
      <w:bookmarkEnd w:id="1356"/>
      <w:bookmarkEnd w:id="1357"/>
      <w:bookmarkEnd w:id="1358"/>
      <w:bookmarkEnd w:id="1359"/>
      <w:bookmarkEnd w:id="1360"/>
    </w:p>
    <w:p w14:paraId="495ABBD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 承包人应在施工现场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E12319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13.2.2 承包人应加强对施工人员的质量教育和技术培训，定期考核施工人员的劳动技能，严格执行规范和操作规程。</w:t>
      </w:r>
    </w:p>
    <w:p w14:paraId="4B9E851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61" w:name="_Toc453677432"/>
      <w:bookmarkStart w:id="1362" w:name="_Toc453678624"/>
      <w:bookmarkStart w:id="1363" w:name="_Toc414352044"/>
      <w:bookmarkStart w:id="1364" w:name="_Toc434412295"/>
      <w:bookmarkStart w:id="1365" w:name="_Toc414368516"/>
      <w:bookmarkStart w:id="1366" w:name="_Toc439684280"/>
      <w:bookmarkStart w:id="1367" w:name="_Toc414275361"/>
      <w:r>
        <w:rPr>
          <w:rFonts w:hint="eastAsia" w:ascii="宋体" w:hAnsi="宋体" w:eastAsia="宋体" w:cs="宋体"/>
          <w:color w:val="auto"/>
          <w:sz w:val="24"/>
          <w:szCs w:val="24"/>
        </w:rPr>
        <w:t>13.3 承包人的质量检查</w:t>
      </w:r>
      <w:bookmarkEnd w:id="1361"/>
      <w:bookmarkEnd w:id="1362"/>
      <w:bookmarkEnd w:id="1363"/>
      <w:bookmarkEnd w:id="1364"/>
      <w:bookmarkEnd w:id="1365"/>
      <w:bookmarkEnd w:id="1366"/>
      <w:bookmarkEnd w:id="1367"/>
    </w:p>
    <w:p w14:paraId="06066C0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承包人应按合同约定对材料、工程设备以及工程的所有部位及其施工工艺进行全过程的质量检查和检验，并作详细记录，编制工程质量报表，报送监理人审查。</w:t>
      </w:r>
    </w:p>
    <w:p w14:paraId="00905D74">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68" w:name="_Toc453678625"/>
      <w:bookmarkStart w:id="1369" w:name="_Toc414368517"/>
      <w:bookmarkStart w:id="1370" w:name="_Toc414352045"/>
      <w:bookmarkStart w:id="1371" w:name="_Toc453677433"/>
      <w:bookmarkStart w:id="1372" w:name="_Toc434412296"/>
      <w:bookmarkStart w:id="1373" w:name="_Toc439684281"/>
      <w:bookmarkStart w:id="1374" w:name="_Toc414275362"/>
      <w:r>
        <w:rPr>
          <w:rFonts w:hint="eastAsia" w:ascii="宋体" w:hAnsi="宋体" w:eastAsia="宋体" w:cs="宋体"/>
          <w:color w:val="auto"/>
          <w:sz w:val="24"/>
          <w:szCs w:val="24"/>
        </w:rPr>
        <w:t>13.4 监理人的质量检查</w:t>
      </w:r>
      <w:bookmarkEnd w:id="1368"/>
      <w:bookmarkEnd w:id="1369"/>
      <w:bookmarkEnd w:id="1370"/>
      <w:bookmarkEnd w:id="1371"/>
      <w:bookmarkEnd w:id="1372"/>
      <w:bookmarkEnd w:id="1373"/>
      <w:bookmarkEnd w:id="1374"/>
    </w:p>
    <w:p w14:paraId="2C3AB2B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703BC07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75" w:name="_Toc453678626"/>
      <w:bookmarkStart w:id="1376" w:name="_Toc434412297"/>
      <w:bookmarkStart w:id="1377" w:name="_Toc414352046"/>
      <w:bookmarkStart w:id="1378" w:name="_Toc453677434"/>
      <w:bookmarkStart w:id="1379" w:name="_Toc414368518"/>
      <w:bookmarkStart w:id="1380" w:name="_Toc439684282"/>
      <w:bookmarkStart w:id="1381" w:name="_Toc414275363"/>
      <w:r>
        <w:rPr>
          <w:rFonts w:hint="eastAsia" w:ascii="宋体" w:hAnsi="宋体" w:eastAsia="宋体" w:cs="宋体"/>
          <w:color w:val="auto"/>
          <w:sz w:val="24"/>
          <w:szCs w:val="24"/>
        </w:rPr>
        <w:t>13.5 工程隐蔽部位覆盖前的检查</w:t>
      </w:r>
      <w:bookmarkEnd w:id="1375"/>
      <w:bookmarkEnd w:id="1376"/>
      <w:bookmarkEnd w:id="1377"/>
      <w:bookmarkEnd w:id="1378"/>
      <w:bookmarkEnd w:id="1379"/>
      <w:bookmarkEnd w:id="1380"/>
      <w:bookmarkEnd w:id="1381"/>
    </w:p>
    <w:p w14:paraId="1FC5833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 通知监理人检查</w:t>
      </w:r>
    </w:p>
    <w:p w14:paraId="39C6050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3F9C54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13.5.2 监理人未到场检查</w:t>
      </w:r>
    </w:p>
    <w:p w14:paraId="75FF7DA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监理人未按第13.5.l 项约定的时间进行检查的，除监理人另有指示外，承包人可自行完成覆盖工作，并作相应记录报送监理人，监理人应签字确认。监理人事后对检查记录有疑问的，可按第13.5.3项的约定重新检查。</w:t>
      </w:r>
    </w:p>
    <w:p w14:paraId="151BDDF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13.5.3 监理人重新检查</w:t>
      </w:r>
    </w:p>
    <w:p w14:paraId="1899646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A859AC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13.5.4 承包人私自覆盖</w:t>
      </w:r>
    </w:p>
    <w:p w14:paraId="20E2154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承包人未通知监理人到场检查，私自将工程隐蔽部位覆盖的，监理人有权指示承包人钻孔探测或揭开检查，由此增加的费用和（或）工期延误由承包人承担。</w:t>
      </w:r>
    </w:p>
    <w:p w14:paraId="2FD78AAE">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82" w:name="_Toc434412298"/>
      <w:bookmarkStart w:id="1383" w:name="_Toc414352047"/>
      <w:bookmarkStart w:id="1384" w:name="_Toc453677435"/>
      <w:bookmarkStart w:id="1385" w:name="_Toc439684283"/>
      <w:bookmarkStart w:id="1386" w:name="_Toc453678627"/>
      <w:bookmarkStart w:id="1387" w:name="_Toc414275364"/>
      <w:bookmarkStart w:id="1388" w:name="_Toc414368519"/>
      <w:r>
        <w:rPr>
          <w:rFonts w:hint="eastAsia" w:ascii="宋体" w:hAnsi="宋体" w:eastAsia="宋体" w:cs="宋体"/>
          <w:color w:val="auto"/>
          <w:sz w:val="24"/>
          <w:szCs w:val="24"/>
        </w:rPr>
        <w:t>13.6 清除不合格工程</w:t>
      </w:r>
      <w:bookmarkEnd w:id="1382"/>
      <w:bookmarkEnd w:id="1383"/>
      <w:bookmarkEnd w:id="1384"/>
      <w:bookmarkEnd w:id="1385"/>
      <w:bookmarkEnd w:id="1386"/>
      <w:bookmarkEnd w:id="1387"/>
      <w:bookmarkEnd w:id="1388"/>
    </w:p>
    <w:p w14:paraId="2E3731B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9BEBDA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13.6.2 由于发包人提供的材料或工程设备不合格造成的工程不合格，需要承包人采取措施补救的，发包人应承担由此增加的费用和（或）工期延误，并支付承包人合理利润。</w:t>
      </w:r>
    </w:p>
    <w:p w14:paraId="0CAA9A68">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89" w:name="_Toc439684284"/>
      <w:bookmarkStart w:id="1390" w:name="_Toc453678628"/>
      <w:bookmarkStart w:id="1391" w:name="_Toc434412299"/>
      <w:bookmarkStart w:id="1392" w:name="_Toc414368520"/>
      <w:bookmarkStart w:id="1393" w:name="_Toc414275365"/>
      <w:bookmarkStart w:id="1394" w:name="_Toc453677436"/>
      <w:bookmarkStart w:id="1395" w:name="_Toc414352048"/>
      <w:r>
        <w:rPr>
          <w:rFonts w:hint="eastAsia" w:ascii="宋体" w:hAnsi="宋体" w:eastAsia="宋体" w:cs="宋体"/>
          <w:color w:val="auto"/>
          <w:sz w:val="24"/>
          <w:szCs w:val="24"/>
        </w:rPr>
        <w:t>13.7 质量评定</w:t>
      </w:r>
      <w:bookmarkEnd w:id="1389"/>
      <w:bookmarkEnd w:id="1390"/>
      <w:bookmarkEnd w:id="1391"/>
      <w:bookmarkEnd w:id="1392"/>
      <w:bookmarkEnd w:id="1393"/>
      <w:bookmarkEnd w:id="1394"/>
      <w:bookmarkEnd w:id="1395"/>
    </w:p>
    <w:p w14:paraId="76FE2EE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13.7.1 发包人应组织承包人进行工程项目划分，并确定单位工程、主要分步工程、重要隐蔽单元工程和关键部位单元工程。</w:t>
      </w:r>
    </w:p>
    <w:p w14:paraId="7C5E5D6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13.7.2 工程实施过程中，单位工程、主要分部工程、重要隐蔽单元工程和关键部位单元工程的项目划分需要调整时，承包人应报发包人确认。</w:t>
      </w:r>
    </w:p>
    <w:p w14:paraId="7218FE4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13.7.3 承包人应在单元（工序）工程质量自评合格后，报监理人核定质量等级并签证认可。</w:t>
      </w:r>
    </w:p>
    <w:p w14:paraId="37C08D9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13.7.4 除专用合同条款另有约定外，承包人应在重要隐蔽单元工程和关键部位单元工程质量自评合格以及监理人抽检后，由监理人组织承包人等单位组成承包人等单位组成的联合小组，共同检查核定其质量等级填写签证表。发包人按有关规定完成质量结论报工程质量监督机构核备手续。</w:t>
      </w:r>
    </w:p>
    <w:p w14:paraId="4D2FF78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13.7.5 承包人在分部工程质量自评合格后，报监理人复核和发包人认定。发包人负责按有关规定完成分部工程质量结论报工程质量监督机构核备（核定）手续。</w:t>
      </w:r>
    </w:p>
    <w:p w14:paraId="4042854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13.7.6 承包人应在单位工程质量自评合格后，报监理人复核和发包人认定。发包人负责按有关规定完成单位工程质量结论报工程质量监督机构核定手续。</w:t>
      </w:r>
    </w:p>
    <w:p w14:paraId="4999AA7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13.7.7 除专用合同条款另有约定外，工程质量等级分为合格和优良，应分别达到约定的标准。</w:t>
      </w:r>
    </w:p>
    <w:p w14:paraId="09228F34">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396" w:name="_Toc439684285"/>
      <w:bookmarkStart w:id="1397" w:name="_Toc453678629"/>
      <w:bookmarkStart w:id="1398" w:name="_Toc453677437"/>
      <w:bookmarkStart w:id="1399" w:name="_Toc414352049"/>
      <w:bookmarkStart w:id="1400" w:name="_Toc434412300"/>
      <w:bookmarkStart w:id="1401" w:name="_Toc414275366"/>
      <w:bookmarkStart w:id="1402" w:name="_Toc414368521"/>
      <w:r>
        <w:rPr>
          <w:rFonts w:hint="eastAsia" w:ascii="宋体" w:hAnsi="宋体" w:eastAsia="宋体" w:cs="宋体"/>
          <w:color w:val="auto"/>
          <w:sz w:val="24"/>
          <w:szCs w:val="24"/>
        </w:rPr>
        <w:t>13.8 质量事故处理</w:t>
      </w:r>
      <w:bookmarkEnd w:id="1396"/>
      <w:bookmarkEnd w:id="1397"/>
      <w:bookmarkEnd w:id="1398"/>
      <w:bookmarkEnd w:id="1399"/>
      <w:bookmarkEnd w:id="1400"/>
      <w:bookmarkEnd w:id="1401"/>
      <w:bookmarkEnd w:id="1402"/>
    </w:p>
    <w:p w14:paraId="37F7524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13.8.1 发生质量事故时，承包人应及时向发包人和监理人报告。</w:t>
      </w:r>
    </w:p>
    <w:p w14:paraId="058106C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13.8.2 质量事故调查处理由法伯人按相关规定履行手续，承包人应配合。</w:t>
      </w:r>
    </w:p>
    <w:p w14:paraId="62AAC22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13.8.3 承包人应对质量缺陷进行备案。发包人委托监理人对质量缺陷备案情况进行监督检查并履行相关手续。</w:t>
      </w:r>
    </w:p>
    <w:p w14:paraId="0C98CC2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13.8.4 除专用合同条款另有约定外，工程竣工验收时，发包人负责向竣工验收委员会汇报并提交历次质量缺陷处理的备案资料。</w:t>
      </w:r>
    </w:p>
    <w:p w14:paraId="6F5CF008">
      <w:pPr>
        <w:pStyle w:val="141"/>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403" w:name="_Toc203758991"/>
      <w:bookmarkStart w:id="1404" w:name="_Toc414275367"/>
      <w:bookmarkStart w:id="1405" w:name="_Toc414352050"/>
      <w:bookmarkStart w:id="1406" w:name="_Toc414268887"/>
      <w:bookmarkStart w:id="1407" w:name="_Toc439684286"/>
      <w:bookmarkStart w:id="1408" w:name="_Toc453677438"/>
      <w:bookmarkStart w:id="1409" w:name="_Toc414368522"/>
      <w:bookmarkStart w:id="1410" w:name="_Toc184635111"/>
      <w:bookmarkStart w:id="1411" w:name="_Toc453678630"/>
      <w:bookmarkStart w:id="1412" w:name="_Toc434412301"/>
      <w:r>
        <w:rPr>
          <w:rFonts w:hint="eastAsia" w:ascii="宋体" w:hAnsi="宋体" w:eastAsia="宋体" w:cs="宋体"/>
          <w:color w:val="auto"/>
          <w:sz w:val="24"/>
          <w:szCs w:val="24"/>
        </w:rPr>
        <w:t>14．试验和检验</w:t>
      </w:r>
      <w:bookmarkEnd w:id="1403"/>
      <w:bookmarkEnd w:id="1404"/>
      <w:bookmarkEnd w:id="1405"/>
      <w:bookmarkEnd w:id="1406"/>
      <w:bookmarkEnd w:id="1407"/>
      <w:bookmarkEnd w:id="1408"/>
      <w:bookmarkEnd w:id="1409"/>
      <w:bookmarkEnd w:id="1410"/>
      <w:bookmarkEnd w:id="1411"/>
      <w:bookmarkEnd w:id="1412"/>
    </w:p>
    <w:p w14:paraId="1011DFA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13" w:name="_Toc453677439"/>
      <w:bookmarkStart w:id="1414" w:name="_Toc439684287"/>
      <w:bookmarkStart w:id="1415" w:name="_Toc414352051"/>
      <w:bookmarkStart w:id="1416" w:name="_Toc414368523"/>
      <w:bookmarkStart w:id="1417" w:name="_Toc453678631"/>
      <w:bookmarkStart w:id="1418" w:name="_Toc414275368"/>
      <w:bookmarkStart w:id="1419" w:name="_Toc434412302"/>
      <w:r>
        <w:rPr>
          <w:rFonts w:hint="eastAsia" w:ascii="宋体" w:hAnsi="宋体" w:eastAsia="宋体" w:cs="宋体"/>
          <w:color w:val="auto"/>
          <w:sz w:val="24"/>
          <w:szCs w:val="24"/>
        </w:rPr>
        <w:t>14.1 材料、工程设备和工程的试验和检验</w:t>
      </w:r>
      <w:bookmarkEnd w:id="1413"/>
      <w:bookmarkEnd w:id="1414"/>
      <w:bookmarkEnd w:id="1415"/>
      <w:bookmarkEnd w:id="1416"/>
      <w:bookmarkEnd w:id="1417"/>
      <w:bookmarkEnd w:id="1418"/>
      <w:bookmarkEnd w:id="1419"/>
    </w:p>
    <w:p w14:paraId="79EC3D1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170B3E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14.1.2 监理人未按合同约定派员参加试验和检验的，除监理人另有指示外，承包人可自行试验和检验，并应立即将试验和检验结果报送监理人，监理人应签字确认。</w:t>
      </w:r>
    </w:p>
    <w:p w14:paraId="254064C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818945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14.1.4 承包人应按相关规定和标准对水泥、钢材等原材料与中间产品质量进行检验，并报监理人复核。</w:t>
      </w:r>
    </w:p>
    <w:p w14:paraId="31B408A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7AF0CC5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14.1.6 对专用合同条款约定的试块、试件及有关材料，监理人实行见证取样。见证取样资料由承包人制备，记录应真实齐全，监理人、承包人等与见证取样人员均应在相关文件上签字。</w:t>
      </w:r>
    </w:p>
    <w:p w14:paraId="6FA5F46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20" w:name="_Toc434412303"/>
      <w:bookmarkStart w:id="1421" w:name="_Toc414352052"/>
      <w:bookmarkStart w:id="1422" w:name="_Toc439684288"/>
      <w:bookmarkStart w:id="1423" w:name="_Toc453677440"/>
      <w:bookmarkStart w:id="1424" w:name="_Toc414275369"/>
      <w:bookmarkStart w:id="1425" w:name="_Toc414368524"/>
      <w:bookmarkStart w:id="1426" w:name="_Toc453678632"/>
      <w:r>
        <w:rPr>
          <w:rFonts w:hint="eastAsia" w:ascii="宋体" w:hAnsi="宋体" w:eastAsia="宋体" w:cs="宋体"/>
          <w:color w:val="auto"/>
          <w:sz w:val="24"/>
          <w:szCs w:val="24"/>
        </w:rPr>
        <w:t>14.2 现场材料试验</w:t>
      </w:r>
      <w:bookmarkEnd w:id="1420"/>
      <w:bookmarkEnd w:id="1421"/>
      <w:bookmarkEnd w:id="1422"/>
      <w:bookmarkEnd w:id="1423"/>
      <w:bookmarkEnd w:id="1424"/>
      <w:bookmarkEnd w:id="1425"/>
      <w:bookmarkEnd w:id="1426"/>
    </w:p>
    <w:p w14:paraId="2B3F48B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14.2.1 承包人根据合同约定或监理人指示进行的现场材料试验，应由承包人提供试验场所、试验人员、试验设备器材以及其他必要的试验条件。</w:t>
      </w:r>
    </w:p>
    <w:p w14:paraId="2D60FD0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14.2.2 监理人在必要时可以使用承包人的试验场所、试验设备器材以及其他试验条件，进行以工程质量检查为目的的复核性材料试验，承包人应予以协助。</w:t>
      </w:r>
    </w:p>
    <w:p w14:paraId="469B36B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27" w:name="_Toc453678633"/>
      <w:bookmarkStart w:id="1428" w:name="_Toc414275370"/>
      <w:bookmarkStart w:id="1429" w:name="_Toc414352053"/>
      <w:bookmarkStart w:id="1430" w:name="_Toc453677441"/>
      <w:bookmarkStart w:id="1431" w:name="_Toc414368525"/>
      <w:bookmarkStart w:id="1432" w:name="_Toc439684289"/>
      <w:bookmarkStart w:id="1433" w:name="_Toc434412304"/>
      <w:r>
        <w:rPr>
          <w:rFonts w:hint="eastAsia" w:ascii="宋体" w:hAnsi="宋体" w:eastAsia="宋体" w:cs="宋体"/>
          <w:color w:val="auto"/>
          <w:sz w:val="24"/>
          <w:szCs w:val="24"/>
        </w:rPr>
        <w:t>14.3 现场工艺试验</w:t>
      </w:r>
      <w:bookmarkEnd w:id="1427"/>
      <w:bookmarkEnd w:id="1428"/>
      <w:bookmarkEnd w:id="1429"/>
      <w:bookmarkEnd w:id="1430"/>
      <w:bookmarkEnd w:id="1431"/>
      <w:bookmarkEnd w:id="1432"/>
      <w:bookmarkEnd w:id="1433"/>
    </w:p>
    <w:p w14:paraId="50EABE1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5B4F4CB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34" w:name="_Toc434412305"/>
      <w:bookmarkStart w:id="1435" w:name="_Toc414268888"/>
      <w:bookmarkStart w:id="1436" w:name="_Toc439684290"/>
      <w:bookmarkStart w:id="1437" w:name="_Toc453678634"/>
      <w:bookmarkStart w:id="1438" w:name="_Toc414275371"/>
      <w:bookmarkStart w:id="1439" w:name="_Toc453677442"/>
      <w:bookmarkStart w:id="1440" w:name="_Toc414368526"/>
      <w:bookmarkStart w:id="1441" w:name="_Toc414352054"/>
      <w:bookmarkStart w:id="1442" w:name="_Toc203758992"/>
      <w:bookmarkStart w:id="1443" w:name="_Toc184635112"/>
      <w:r>
        <w:rPr>
          <w:rFonts w:hint="eastAsia" w:ascii="宋体" w:hAnsi="宋体" w:eastAsia="宋体" w:cs="宋体"/>
          <w:color w:val="auto"/>
          <w:sz w:val="24"/>
          <w:szCs w:val="24"/>
        </w:rPr>
        <w:t>15．变更</w:t>
      </w:r>
      <w:bookmarkEnd w:id="1434"/>
      <w:bookmarkEnd w:id="1435"/>
      <w:bookmarkEnd w:id="1436"/>
      <w:bookmarkEnd w:id="1437"/>
      <w:bookmarkEnd w:id="1438"/>
      <w:bookmarkEnd w:id="1439"/>
      <w:bookmarkEnd w:id="1440"/>
      <w:bookmarkEnd w:id="1441"/>
      <w:bookmarkEnd w:id="1442"/>
      <w:bookmarkEnd w:id="1443"/>
    </w:p>
    <w:p w14:paraId="1867147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44" w:name="_Toc414368527"/>
      <w:bookmarkStart w:id="1445" w:name="_Toc453677443"/>
      <w:bookmarkStart w:id="1446" w:name="_Toc439684291"/>
      <w:bookmarkStart w:id="1447" w:name="_Toc434412306"/>
      <w:bookmarkStart w:id="1448" w:name="_Toc453678635"/>
      <w:bookmarkStart w:id="1449" w:name="_Toc414352055"/>
      <w:bookmarkStart w:id="1450" w:name="_Toc414275372"/>
      <w:r>
        <w:rPr>
          <w:rFonts w:hint="eastAsia" w:ascii="宋体" w:hAnsi="宋体" w:eastAsia="宋体" w:cs="宋体"/>
          <w:color w:val="auto"/>
          <w:sz w:val="24"/>
          <w:szCs w:val="24"/>
        </w:rPr>
        <w:t>15.1 变更的范围和内容</w:t>
      </w:r>
      <w:bookmarkEnd w:id="1444"/>
      <w:bookmarkEnd w:id="1445"/>
      <w:bookmarkEnd w:id="1446"/>
      <w:bookmarkEnd w:id="1447"/>
      <w:bookmarkEnd w:id="1448"/>
      <w:bookmarkEnd w:id="1449"/>
      <w:bookmarkEnd w:id="1450"/>
    </w:p>
    <w:p w14:paraId="2FC2B42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在履行合同中发生以下情形之一，应按照本款规定进行变更。</w:t>
      </w:r>
    </w:p>
    <w:p w14:paraId="7A5C95D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（1）取消合同中任何一项工作，但被取消的工作不能转由发包人或其它人实施；</w:t>
      </w:r>
    </w:p>
    <w:p w14:paraId="7107ADE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（2）改变合同中任何一项工作的质量或其他特性；</w:t>
      </w:r>
    </w:p>
    <w:p w14:paraId="3B7D6C1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（3）改变合同工程的基线、标高、位置或尺寸；</w:t>
      </w:r>
    </w:p>
    <w:p w14:paraId="5B44941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（4）改变合同中任何一项工作的施工时间或改变已批准的施工工艺或顺序；</w:t>
      </w:r>
    </w:p>
    <w:p w14:paraId="342BF56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（5）为完成工程需要追加的额外工作。</w:t>
      </w:r>
    </w:p>
    <w:p w14:paraId="6B098B5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（6）增加或减少专用合同条款中约定的关键项目工程量超过其工程总量的一定数量百分比。</w:t>
      </w:r>
    </w:p>
    <w:p w14:paraId="383ABE1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上述第（1）～（6）目的变更内容引起工程施工组织和进度计划发生实质性变动和影响其原定的价格时，才予调整该项目的单价。第（6）目情形下单价调整方式在专用合同条款中约定。</w:t>
      </w:r>
    </w:p>
    <w:p w14:paraId="2DA7C2E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51" w:name="_Toc453677444"/>
      <w:bookmarkStart w:id="1452" w:name="_Toc414368528"/>
      <w:bookmarkStart w:id="1453" w:name="_Toc414275373"/>
      <w:bookmarkStart w:id="1454" w:name="_Toc453678636"/>
      <w:bookmarkStart w:id="1455" w:name="_Toc434412307"/>
      <w:bookmarkStart w:id="1456" w:name="_Toc414352056"/>
      <w:bookmarkStart w:id="1457" w:name="_Toc439684292"/>
      <w:r>
        <w:rPr>
          <w:rFonts w:hint="eastAsia" w:ascii="宋体" w:hAnsi="宋体" w:eastAsia="宋体" w:cs="宋体"/>
          <w:color w:val="auto"/>
          <w:sz w:val="24"/>
          <w:szCs w:val="24"/>
        </w:rPr>
        <w:t>15.2 变更权</w:t>
      </w:r>
      <w:bookmarkEnd w:id="1451"/>
      <w:bookmarkEnd w:id="1452"/>
      <w:bookmarkEnd w:id="1453"/>
      <w:bookmarkEnd w:id="1454"/>
      <w:bookmarkEnd w:id="1455"/>
      <w:bookmarkEnd w:id="1456"/>
      <w:bookmarkEnd w:id="1457"/>
    </w:p>
    <w:p w14:paraId="1A2EAA0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在履行合同过程中，经发包人同意，监理人可按第15.3款约定的变更程序向承包人做出变更指示，承包人应遵照执行。没有监理人的变更指示，承包人不得擅自变更。</w:t>
      </w:r>
    </w:p>
    <w:p w14:paraId="3659EEAE">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58" w:name="_Toc434412308"/>
      <w:bookmarkStart w:id="1459" w:name="_Toc414368529"/>
      <w:bookmarkStart w:id="1460" w:name="_Toc453677445"/>
      <w:bookmarkStart w:id="1461" w:name="_Toc414275374"/>
      <w:bookmarkStart w:id="1462" w:name="_Toc414352057"/>
      <w:bookmarkStart w:id="1463" w:name="_Toc439684293"/>
      <w:bookmarkStart w:id="1464" w:name="_Toc453678637"/>
      <w:r>
        <w:rPr>
          <w:rFonts w:hint="eastAsia" w:ascii="宋体" w:hAnsi="宋体" w:eastAsia="宋体" w:cs="宋体"/>
          <w:color w:val="auto"/>
          <w:sz w:val="24"/>
          <w:szCs w:val="24"/>
        </w:rPr>
        <w:t>15.3 变更程序</w:t>
      </w:r>
      <w:bookmarkEnd w:id="1458"/>
      <w:bookmarkEnd w:id="1459"/>
      <w:bookmarkEnd w:id="1460"/>
      <w:bookmarkEnd w:id="1461"/>
      <w:bookmarkEnd w:id="1462"/>
      <w:bookmarkEnd w:id="1463"/>
      <w:bookmarkEnd w:id="1464"/>
    </w:p>
    <w:p w14:paraId="2F86634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15.3.1变更的提出</w:t>
      </w:r>
    </w:p>
    <w:p w14:paraId="4353B64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06725701">
      <w:pPr>
        <w:keepLines w:val="0"/>
        <w:pageBreakBefore w:val="0"/>
        <w:widowControl w:val="0"/>
        <w:kinsoku/>
        <w:wordWrap/>
        <w:overflowPunct/>
        <w:topLinePunct w:val="0"/>
        <w:bidi w:val="0"/>
        <w:spacing w:line="420" w:lineRule="exact"/>
        <w:ind w:left="479" w:leftChars="228"/>
        <w:rPr>
          <w:rFonts w:hint="eastAsia" w:ascii="宋体" w:hAnsi="宋体" w:eastAsia="宋体" w:cs="宋体"/>
          <w:color w:val="auto"/>
          <w:sz w:val="24"/>
          <w:szCs w:val="24"/>
        </w:rPr>
      </w:pPr>
      <w:r>
        <w:rPr>
          <w:rFonts w:hint="eastAsia" w:ascii="宋体" w:hAnsi="宋体" w:eastAsia="宋体" w:cs="宋体"/>
          <w:color w:val="auto"/>
          <w:sz w:val="24"/>
          <w:szCs w:val="24"/>
        </w:rPr>
        <w:t>（2）在合同履行过程中，发生第15.1 款约定情形的，监理人应按照第15.3.3项约定向承包人发出变更指示。</w:t>
      </w:r>
    </w:p>
    <w:p w14:paraId="6F295BB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做出变更指示。经研究后不同意作为变更的，应由监理人书面答复承包人。</w:t>
      </w:r>
    </w:p>
    <w:p w14:paraId="47A0FD7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14:paraId="518C95B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15.3.2 变更估价</w:t>
      </w:r>
    </w:p>
    <w:p w14:paraId="4D93673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3EF69FE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（2）变更工作影响工期的，承包人应提出调整工期的具体细节。监理人认为有必要时，可要求承包人提交要求提前或延长工期的施工进度计划及相应施工措施等详细资料。</w:t>
      </w:r>
    </w:p>
    <w:p w14:paraId="05F091E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（3）除专用合同条款对期限另有约定外，监理人收到承包人变更报价书后的14天内，根据第15.4款约定的估价原则，按照第3.5款商定或确定变更价格。</w:t>
      </w:r>
    </w:p>
    <w:p w14:paraId="2D154D7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15.3.3 变更指示</w:t>
      </w:r>
    </w:p>
    <w:p w14:paraId="4079243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（l）变更指示只能由监理人发出。</w:t>
      </w:r>
    </w:p>
    <w:p w14:paraId="7030BE7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（2）变更指示应说明变更的目的、范围、变更内容以及变更的工程量及其进度和技术要求，并附有关图纸和文件。承包人收到变更指示后，应按变更指示进行变更工作。</w:t>
      </w:r>
    </w:p>
    <w:p w14:paraId="13FD364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65" w:name="_Toc453678638"/>
      <w:bookmarkStart w:id="1466" w:name="_Toc414368530"/>
      <w:bookmarkStart w:id="1467" w:name="_Toc434412309"/>
      <w:bookmarkStart w:id="1468" w:name="_Toc414352058"/>
      <w:bookmarkStart w:id="1469" w:name="_Toc453677446"/>
      <w:bookmarkStart w:id="1470" w:name="_Toc414275375"/>
      <w:bookmarkStart w:id="1471" w:name="_Toc439684294"/>
      <w:r>
        <w:rPr>
          <w:rFonts w:hint="eastAsia" w:ascii="宋体" w:hAnsi="宋体" w:eastAsia="宋体" w:cs="宋体"/>
          <w:color w:val="auto"/>
          <w:sz w:val="24"/>
          <w:szCs w:val="24"/>
        </w:rPr>
        <w:t>15.4 变更的估价原则</w:t>
      </w:r>
      <w:bookmarkEnd w:id="1465"/>
      <w:bookmarkEnd w:id="1466"/>
      <w:bookmarkEnd w:id="1467"/>
      <w:bookmarkEnd w:id="1468"/>
      <w:bookmarkEnd w:id="1469"/>
      <w:bookmarkEnd w:id="1470"/>
      <w:bookmarkEnd w:id="1471"/>
    </w:p>
    <w:p w14:paraId="23DCE4E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除专用合同条款另有约定外，因变更引起的价格调整按照本款约定处理。</w:t>
      </w:r>
    </w:p>
    <w:p w14:paraId="08FD757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15.4.1已标价工程量清单中有适用于变更工作的子目的，采用该子目的单价。</w:t>
      </w:r>
    </w:p>
    <w:p w14:paraId="2633179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15.4.2 已标价工程量清单中无适用于变更工作的子目，但有类似子目的，可在合理范围内参照类似子目的单价，由监理人按第3.5款商定或确定变更工作的单价。</w:t>
      </w:r>
    </w:p>
    <w:p w14:paraId="1199E31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15.4.3 已标价工程量清单中无适用或类似子目的单价，可按照成本加利润的原则，由监理人按第3.5款商定或确定变更工作的单价。</w:t>
      </w:r>
    </w:p>
    <w:p w14:paraId="6EFF154F">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72" w:name="_Toc414368531"/>
      <w:bookmarkStart w:id="1473" w:name="_Toc414352059"/>
      <w:bookmarkStart w:id="1474" w:name="_Toc453677447"/>
      <w:bookmarkStart w:id="1475" w:name="_Toc414275376"/>
      <w:bookmarkStart w:id="1476" w:name="_Toc434412310"/>
      <w:bookmarkStart w:id="1477" w:name="_Toc439684295"/>
      <w:bookmarkStart w:id="1478" w:name="_Toc453678639"/>
      <w:r>
        <w:rPr>
          <w:rFonts w:hint="eastAsia" w:ascii="宋体" w:hAnsi="宋体" w:eastAsia="宋体" w:cs="宋体"/>
          <w:color w:val="auto"/>
          <w:sz w:val="24"/>
          <w:szCs w:val="24"/>
        </w:rPr>
        <w:t>15.5 承包人的合理化建议</w:t>
      </w:r>
      <w:bookmarkEnd w:id="1472"/>
      <w:bookmarkEnd w:id="1473"/>
      <w:bookmarkEnd w:id="1474"/>
      <w:bookmarkEnd w:id="1475"/>
      <w:bookmarkEnd w:id="1476"/>
      <w:bookmarkEnd w:id="1477"/>
      <w:bookmarkEnd w:id="1478"/>
    </w:p>
    <w:p w14:paraId="37F221C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3D3B15B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15.5.2 承包人提出的合理化建议降低了合同价格、缩短了工期或者提高了工程经济效益的，发包人可按国家有关规定在专用合同条款中约定给予奖励。</w:t>
      </w:r>
    </w:p>
    <w:p w14:paraId="759C35C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79" w:name="_Toc439684296"/>
      <w:bookmarkStart w:id="1480" w:name="_Toc414352060"/>
      <w:bookmarkStart w:id="1481" w:name="_Toc414275377"/>
      <w:bookmarkStart w:id="1482" w:name="_Toc453678640"/>
      <w:bookmarkStart w:id="1483" w:name="_Toc434412311"/>
      <w:bookmarkStart w:id="1484" w:name="_Toc453677448"/>
      <w:bookmarkStart w:id="1485" w:name="_Toc414368532"/>
      <w:r>
        <w:rPr>
          <w:rFonts w:hint="eastAsia" w:ascii="宋体" w:hAnsi="宋体" w:eastAsia="宋体" w:cs="宋体"/>
          <w:color w:val="auto"/>
          <w:sz w:val="24"/>
          <w:szCs w:val="24"/>
        </w:rPr>
        <w:t>15.6 暂列金额</w:t>
      </w:r>
      <w:bookmarkEnd w:id="1479"/>
      <w:bookmarkEnd w:id="1480"/>
      <w:bookmarkEnd w:id="1481"/>
      <w:bookmarkEnd w:id="1482"/>
      <w:bookmarkEnd w:id="1483"/>
      <w:bookmarkEnd w:id="1484"/>
      <w:bookmarkEnd w:id="1485"/>
    </w:p>
    <w:p w14:paraId="6EA97E8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暂列金额只能按照监理人的指示使用，并对合同价格进行相应调整。</w:t>
      </w:r>
    </w:p>
    <w:p w14:paraId="2BE54736">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86" w:name="_Toc414352061"/>
      <w:bookmarkStart w:id="1487" w:name="_Toc453678641"/>
      <w:bookmarkStart w:id="1488" w:name="_Toc414368533"/>
      <w:bookmarkStart w:id="1489" w:name="_Toc439684297"/>
      <w:bookmarkStart w:id="1490" w:name="_Toc414275378"/>
      <w:bookmarkStart w:id="1491" w:name="_Toc434412312"/>
      <w:bookmarkStart w:id="1492" w:name="_Toc453677449"/>
      <w:r>
        <w:rPr>
          <w:rFonts w:hint="eastAsia" w:ascii="宋体" w:hAnsi="宋体" w:eastAsia="宋体" w:cs="宋体"/>
          <w:color w:val="auto"/>
          <w:sz w:val="24"/>
          <w:szCs w:val="24"/>
        </w:rPr>
        <w:t>15.7 计日工</w:t>
      </w:r>
      <w:bookmarkEnd w:id="1486"/>
      <w:bookmarkEnd w:id="1487"/>
      <w:bookmarkEnd w:id="1488"/>
      <w:bookmarkEnd w:id="1489"/>
      <w:bookmarkEnd w:id="1490"/>
      <w:bookmarkEnd w:id="1491"/>
      <w:bookmarkEnd w:id="1492"/>
    </w:p>
    <w:p w14:paraId="7F9F89D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15.7.1 发包人认为有必要时，由监理人通知承包人以计日工方式实施变更的零星工作。其价款按列入已标价工程量清单中的计日工计价子目及其单价进行计算。</w:t>
      </w:r>
    </w:p>
    <w:p w14:paraId="24C47E4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15.7.2 采用计日工计价的任何一项变更工作，应从暂列金额中支付，承包人应在该项变更的实施过程中，每天提交以下报表和有关凭证报送监理人审批：</w:t>
      </w:r>
    </w:p>
    <w:p w14:paraId="2AD6050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（l）工作名称、内容和数量；</w:t>
      </w:r>
    </w:p>
    <w:p w14:paraId="42163EB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（2）投入该工作所有人员的姓名、工种、级别和耗用工时；</w:t>
      </w:r>
    </w:p>
    <w:p w14:paraId="6ACF45A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（3）投入该工作的材料类别和数量；</w:t>
      </w:r>
    </w:p>
    <w:p w14:paraId="3E09CF4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（4）投入该工作的施工设备型号、台数和耗用台时；</w:t>
      </w:r>
    </w:p>
    <w:p w14:paraId="680B790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（5）监理人要求提交的其他资料和凭证。</w:t>
      </w:r>
    </w:p>
    <w:p w14:paraId="7400005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15.7.3 计日工由承包人汇总后，按第17.3 .2项的约定列入进度付款申请单，由监理人复核并经发包人同意后列入进度付款。</w:t>
      </w:r>
    </w:p>
    <w:p w14:paraId="377767B7">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493" w:name="_Toc414368534"/>
      <w:bookmarkStart w:id="1494" w:name="_Toc453677450"/>
      <w:bookmarkStart w:id="1495" w:name="_Toc453678642"/>
      <w:bookmarkStart w:id="1496" w:name="_Toc439684298"/>
      <w:bookmarkStart w:id="1497" w:name="_Toc414352062"/>
      <w:bookmarkStart w:id="1498" w:name="_Toc434412313"/>
      <w:bookmarkStart w:id="1499" w:name="_Toc414275379"/>
      <w:r>
        <w:rPr>
          <w:rFonts w:hint="eastAsia" w:ascii="宋体" w:hAnsi="宋体" w:eastAsia="宋体" w:cs="宋体"/>
          <w:color w:val="auto"/>
          <w:sz w:val="24"/>
          <w:szCs w:val="24"/>
        </w:rPr>
        <w:t>15.8 暂估价</w:t>
      </w:r>
      <w:bookmarkEnd w:id="1493"/>
      <w:bookmarkEnd w:id="1494"/>
      <w:bookmarkEnd w:id="1495"/>
      <w:bookmarkEnd w:id="1496"/>
      <w:bookmarkEnd w:id="1497"/>
      <w:bookmarkEnd w:id="1498"/>
      <w:bookmarkEnd w:id="1499"/>
    </w:p>
    <w:p w14:paraId="1152936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15.8.1  发包人在工程量清单中给定暂估价的材料、工程设备和专业工程量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5CFDE0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0B56AF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bookmarkStart w:id="1500" w:name="_Toc203758993"/>
      <w:bookmarkStart w:id="1501" w:name="_Toc184635113"/>
    </w:p>
    <w:p w14:paraId="32FDB3B2">
      <w:pPr>
        <w:pStyle w:val="141"/>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502" w:name="_Toc453677451"/>
      <w:bookmarkStart w:id="1503" w:name="_Toc439684299"/>
      <w:bookmarkStart w:id="1504" w:name="_Toc414275380"/>
      <w:bookmarkStart w:id="1505" w:name="_Toc453678643"/>
      <w:bookmarkStart w:id="1506" w:name="_Toc434412314"/>
      <w:bookmarkStart w:id="1507" w:name="_Toc414352063"/>
      <w:bookmarkStart w:id="1508" w:name="_Toc414368535"/>
      <w:r>
        <w:rPr>
          <w:rFonts w:hint="eastAsia" w:ascii="宋体" w:hAnsi="宋体" w:eastAsia="宋体" w:cs="宋体"/>
          <w:color w:val="auto"/>
          <w:sz w:val="24"/>
          <w:szCs w:val="24"/>
        </w:rPr>
        <w:t>16．价格调整</w:t>
      </w:r>
      <w:bookmarkEnd w:id="1500"/>
      <w:bookmarkEnd w:id="1501"/>
      <w:bookmarkEnd w:id="1502"/>
      <w:bookmarkEnd w:id="1503"/>
      <w:bookmarkEnd w:id="1504"/>
      <w:bookmarkEnd w:id="1505"/>
      <w:bookmarkEnd w:id="1506"/>
      <w:bookmarkEnd w:id="1507"/>
      <w:bookmarkEnd w:id="1508"/>
    </w:p>
    <w:p w14:paraId="5587D48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09" w:name="_Toc414368536"/>
      <w:bookmarkStart w:id="1510" w:name="_Toc453677452"/>
      <w:bookmarkStart w:id="1511" w:name="_Toc453678644"/>
      <w:bookmarkStart w:id="1512" w:name="_Toc414352064"/>
      <w:bookmarkStart w:id="1513" w:name="_Toc434412315"/>
      <w:bookmarkStart w:id="1514" w:name="_Toc439684300"/>
      <w:bookmarkStart w:id="1515" w:name="_Toc414275381"/>
      <w:r>
        <w:rPr>
          <w:rFonts w:hint="eastAsia" w:ascii="宋体" w:hAnsi="宋体" w:eastAsia="宋体" w:cs="宋体"/>
          <w:color w:val="auto"/>
          <w:sz w:val="24"/>
          <w:szCs w:val="24"/>
        </w:rPr>
        <w:t>16.1 物价波动引起的价格调整</w:t>
      </w:r>
      <w:bookmarkEnd w:id="1509"/>
      <w:bookmarkEnd w:id="1510"/>
      <w:bookmarkEnd w:id="1511"/>
      <w:bookmarkEnd w:id="1512"/>
      <w:bookmarkEnd w:id="1513"/>
      <w:bookmarkEnd w:id="1514"/>
      <w:bookmarkEnd w:id="1515"/>
    </w:p>
    <w:p w14:paraId="3414560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除专用合同条款另有约定外，因物价波动引起的价格调整按照本款约定处理。</w:t>
      </w:r>
    </w:p>
    <w:p w14:paraId="75F3D2D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 采用价格指数调整价格差额</w:t>
      </w:r>
    </w:p>
    <w:p w14:paraId="32F22A7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16.1.1.1 价格调整公式</w:t>
      </w:r>
    </w:p>
    <w:p w14:paraId="391CB15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因人工、材料和设备等价格波动影响合同价格时，根据投标函附录中的价格指数和权重表约定的数据，按以下公式计算差额并调整合同价格。</w:t>
      </w:r>
    </w:p>
    <w:p w14:paraId="3118772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pict>
          <v:shape id="Picture 22" o:spid="_x0000_s2050" o:spt="75" type="#_x0000_t75" style="position:absolute;left:0pt;margin-top:-0.05pt;height:17.2pt;width:9.15pt;mso-position-horizontal:lef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24" o:title=""/>
            <o:lock v:ext="edit" aspectratio="t"/>
            <w10:wrap type="square" side="right"/>
          </v:shape>
          <o:OLEObject Type="Embed" ProgID="Equation.3" ShapeID="Picture 22" DrawAspect="Content" ObjectID="_1468075725" r:id="rId23">
            <o:LockedField>false</o:LockedField>
          </o:OLEObject>
        </w:pict>
      </w:r>
      <w:r>
        <w:rPr>
          <w:rFonts w:hint="eastAsia" w:ascii="宋体" w:hAnsi="宋体" w:eastAsia="宋体" w:cs="宋体"/>
          <w:color w:val="auto"/>
          <w:sz w:val="24"/>
          <w:szCs w:val="24"/>
        </w:rPr>
        <w:t>△P=P</w:t>
      </w:r>
      <w:r>
        <w:rPr>
          <w:rFonts w:hint="eastAsia" w:ascii="宋体" w:hAnsi="宋体" w:eastAsia="宋体" w:cs="宋体"/>
          <w:color w:val="auto"/>
          <w:position w:val="-12"/>
          <w:sz w:val="24"/>
          <w:szCs w:val="24"/>
        </w:rPr>
        <w:object>
          <v:shape id="_x0000_i1025" o:spt="75" type="#_x0000_t75" style="height:18pt;width:6.75pt;" o:ole="t" filled="f" o:preferrelative="t" stroked="f" coordsize="21600,21600">
            <v:path/>
            <v:fill on="f" focussize="0,0"/>
            <v:stroke on="f" joinstyle="miter"/>
            <v:imagedata r:id="rId26" o:title=""/>
            <o:lock v:ext="edit" aspectratio="t"/>
            <w10:wrap type="none"/>
            <w10:anchorlock/>
          </v:shape>
          <o:OLEObject Type="Embed" ProgID="Equation.3" ShapeID="_x0000_i1025" DrawAspect="Content" ObjectID="_1468075726" r:id="rId25">
            <o:LockedField>false</o:LockedField>
          </o:OLEObject>
        </w:object>
      </w:r>
      <w:r>
        <w:rPr>
          <w:rFonts w:hint="eastAsia" w:ascii="宋体" w:hAnsi="宋体" w:eastAsia="宋体" w:cs="宋体"/>
          <w:color w:val="auto"/>
          <w:sz w:val="24"/>
          <w:szCs w:val="24"/>
        </w:rPr>
        <w:t>〔A+（B</w:t>
      </w:r>
      <w:r>
        <w:rPr>
          <w:rFonts w:hint="eastAsia" w:ascii="宋体" w:hAnsi="宋体" w:eastAsia="宋体" w:cs="宋体"/>
          <w:color w:val="auto"/>
          <w:position w:val="-10"/>
          <w:sz w:val="24"/>
          <w:szCs w:val="24"/>
        </w:rPr>
        <w:object>
          <v:shape id="_x0000_i1026" o:spt="75" type="#_x0000_t75" style="height:17.25pt;width:6pt;" o:ole="t" filled="f" o:preferrelative="t" stroked="f" coordsize="21600,21600">
            <v:path/>
            <v:fill on="f" focussize="0,0"/>
            <v:stroke on="f" joinstyle="miter"/>
            <v:imagedata r:id="rId28" o:title=""/>
            <o:lock v:ext="edit" aspectratio="t"/>
            <w10:wrap type="none"/>
            <w10:anchorlock/>
          </v:shape>
          <o:OLEObject Type="Embed" ProgID="Equation.3" ShapeID="_x0000_i1026" DrawAspect="Content" ObjectID="_1468075727" r:id="rId27">
            <o:LockedField>false</o:LockedField>
          </o:OLEObject>
        </w:object>
      </w:r>
      <w:r>
        <w:rPr>
          <w:rFonts w:hint="eastAsia" w:ascii="宋体" w:hAnsi="宋体" w:eastAsia="宋体" w:cs="宋体"/>
          <w:color w:val="auto"/>
          <w:sz w:val="24"/>
          <w:szCs w:val="24"/>
        </w:rPr>
        <w:t>×</w:t>
      </w:r>
      <w:r>
        <w:rPr>
          <w:rFonts w:hint="eastAsia" w:ascii="宋体" w:hAnsi="宋体" w:eastAsia="宋体" w:cs="宋体"/>
          <w:color w:val="auto"/>
          <w:position w:val="-28"/>
          <w:sz w:val="24"/>
          <w:szCs w:val="24"/>
        </w:rPr>
        <w:object>
          <v:shape id="_x0000_i1027" o:spt="75" type="#_x0000_t75" style="height:33.75pt;width:19.5pt;" o:ole="t" filled="f" o:preferrelative="t" stroked="f" coordsize="21600,21600">
            <v:path/>
            <v:fill on="f" focussize="0,0"/>
            <v:stroke on="f" joinstyle="miter"/>
            <v:imagedata r:id="rId30" o:title=""/>
            <o:lock v:ext="edit" aspectratio="t"/>
            <w10:wrap type="none"/>
            <w10:anchorlock/>
          </v:shape>
          <o:OLEObject Type="Embed" ProgID="Equation.3" ShapeID="_x0000_i1027" DrawAspect="Content" ObjectID="_1468075728" r:id="rId29">
            <o:LockedField>false</o:LockedField>
          </o:OLEObject>
        </w:object>
      </w:r>
      <w:r>
        <w:rPr>
          <w:rFonts w:hint="eastAsia" w:ascii="宋体" w:hAnsi="宋体" w:eastAsia="宋体" w:cs="宋体"/>
          <w:color w:val="auto"/>
          <w:sz w:val="24"/>
          <w:szCs w:val="24"/>
        </w:rPr>
        <w:t>+B</w:t>
      </w:r>
      <w:r>
        <w:rPr>
          <w:rFonts w:hint="eastAsia" w:ascii="宋体" w:hAnsi="宋体" w:eastAsia="宋体" w:cs="宋体"/>
          <w:color w:val="auto"/>
          <w:position w:val="-10"/>
          <w:sz w:val="24"/>
          <w:szCs w:val="24"/>
        </w:rPr>
        <w:object>
          <v:shape id="_x0000_i1028" o:spt="75" type="#_x0000_t75" style="height:17.25pt;width:8.25pt;" o:ole="t" filled="f" o:preferrelative="t" stroked="f" coordsize="21600,21600">
            <v:path/>
            <v:fill on="f" focussize="0,0"/>
            <v:stroke on="f" joinstyle="miter"/>
            <v:imagedata r:id="rId32" o:title=""/>
            <o:lock v:ext="edit" aspectratio="t"/>
            <w10:wrap type="none"/>
            <w10:anchorlock/>
          </v:shape>
          <o:OLEObject Type="Embed" ProgID="Equation.3" ShapeID="_x0000_i1028" DrawAspect="Content" ObjectID="_1468075729" r:id="rId31">
            <o:LockedField>false</o:LockedField>
          </o:OLEObject>
        </w:object>
      </w:r>
      <w:r>
        <w:rPr>
          <w:rFonts w:hint="eastAsia" w:ascii="宋体" w:hAnsi="宋体" w:eastAsia="宋体" w:cs="宋体"/>
          <w:color w:val="auto"/>
          <w:sz w:val="24"/>
          <w:szCs w:val="24"/>
        </w:rPr>
        <w:t>×</w:t>
      </w:r>
      <w:r>
        <w:rPr>
          <w:rFonts w:hint="eastAsia" w:ascii="宋体" w:hAnsi="宋体" w:eastAsia="宋体" w:cs="宋体"/>
          <w:color w:val="auto"/>
          <w:position w:val="-28"/>
          <w:sz w:val="24"/>
          <w:szCs w:val="24"/>
        </w:rPr>
        <w:object>
          <v:shape id="_x0000_i1029" o:spt="75" type="#_x0000_t75" style="height:33.75pt;width:21pt;" o:ole="t" filled="f" o:preferrelative="t" stroked="f" coordsize="21600,21600">
            <v:path/>
            <v:fill on="f" focussize="0,0"/>
            <v:stroke on="f" joinstyle="miter"/>
            <v:imagedata r:id="rId34" o:title=""/>
            <o:lock v:ext="edit" aspectratio="t"/>
            <w10:wrap type="none"/>
            <w10:anchorlock/>
          </v:shape>
          <o:OLEObject Type="Embed" ProgID="Equation.3" ShapeID="_x0000_i1029" DrawAspect="Content" ObjectID="_1468075730" r:id="rId33">
            <o:LockedField>false</o:LockedField>
          </o:OLEObject>
        </w:object>
      </w:r>
      <w:r>
        <w:rPr>
          <w:rFonts w:hint="eastAsia" w:ascii="宋体" w:hAnsi="宋体" w:eastAsia="宋体" w:cs="宋体"/>
          <w:color w:val="auto"/>
          <w:sz w:val="24"/>
          <w:szCs w:val="24"/>
        </w:rPr>
        <w:t>+B</w:t>
      </w:r>
      <w:r>
        <w:rPr>
          <w:rFonts w:hint="eastAsia" w:ascii="宋体" w:hAnsi="宋体" w:eastAsia="宋体" w:cs="宋体"/>
          <w:color w:val="auto"/>
          <w:position w:val="-12"/>
          <w:sz w:val="24"/>
          <w:szCs w:val="24"/>
        </w:rPr>
        <w:object>
          <v:shape id="_x0000_i1030" o:spt="75" type="#_x0000_t75" style="height:18pt;width:6.75pt;" o:ole="t" filled="f" o:preferrelative="t" stroked="f" coordsize="21600,21600">
            <v:path/>
            <v:fill on="f" focussize="0,0"/>
            <v:stroke on="f" joinstyle="miter"/>
            <v:imagedata r:id="rId36" o:title=""/>
            <o:lock v:ext="edit" aspectratio="t"/>
            <w10:wrap type="none"/>
            <w10:anchorlock/>
          </v:shape>
          <o:OLEObject Type="Embed" ProgID="Equation.3" ShapeID="_x0000_i1030" DrawAspect="Content" ObjectID="_1468075731" r:id="rId35">
            <o:LockedField>false</o:LockedField>
          </o:OLEObject>
        </w:object>
      </w:r>
      <w:r>
        <w:rPr>
          <w:rFonts w:hint="eastAsia" w:ascii="宋体" w:hAnsi="宋体" w:eastAsia="宋体" w:cs="宋体"/>
          <w:color w:val="auto"/>
          <w:sz w:val="24"/>
          <w:szCs w:val="24"/>
        </w:rPr>
        <w:t>×</w:t>
      </w:r>
      <w:r>
        <w:rPr>
          <w:rFonts w:hint="eastAsia" w:ascii="宋体" w:hAnsi="宋体" w:eastAsia="宋体" w:cs="宋体"/>
          <w:color w:val="auto"/>
          <w:position w:val="-28"/>
          <w:sz w:val="24"/>
          <w:szCs w:val="24"/>
        </w:rPr>
        <w:object>
          <v:shape id="_x0000_i1031" o:spt="75" type="#_x0000_t75" style="height:33.75pt;width:21pt;" o:ole="t" filled="f" o:preferrelative="t" stroked="f" coordsize="21600,21600">
            <v:path/>
            <v:fill on="f" focussize="0,0"/>
            <v:stroke on="f" joinstyle="miter"/>
            <v:imagedata r:id="rId38" o:title=""/>
            <o:lock v:ext="edit" aspectratio="t"/>
            <w10:wrap type="none"/>
            <w10:anchorlock/>
          </v:shape>
          <o:OLEObject Type="Embed" ProgID="Equation.3" ShapeID="_x0000_i1031" DrawAspect="Content" ObjectID="_1468075732" r:id="rId37">
            <o:LockedField>false</o:LockedField>
          </o:OLEObject>
        </w:object>
      </w:r>
      <w:r>
        <w:rPr>
          <w:rFonts w:hint="eastAsia" w:ascii="宋体" w:hAnsi="宋体" w:eastAsia="宋体" w:cs="宋体"/>
          <w:color w:val="auto"/>
          <w:sz w:val="24"/>
          <w:szCs w:val="24"/>
        </w:rPr>
        <w:t>+…+B</w:t>
      </w:r>
      <w:r>
        <w:rPr>
          <w:rFonts w:hint="eastAsia" w:ascii="宋体" w:hAnsi="宋体" w:eastAsia="宋体" w:cs="宋体"/>
          <w:color w:val="auto"/>
          <w:position w:val="-12"/>
          <w:sz w:val="24"/>
          <w:szCs w:val="24"/>
        </w:rPr>
        <w:object>
          <v:shape id="_x0000_i1032" o:spt="75" type="#_x0000_t75" style="height:18pt;width:8.25pt;" o:ole="t" filled="f" o:preferrelative="t" stroked="f" coordsize="21600,21600">
            <v:path/>
            <v:fill on="f" focussize="0,0"/>
            <v:stroke on="f" joinstyle="miter"/>
            <v:imagedata r:id="rId40" o:title=""/>
            <o:lock v:ext="edit" aspectratio="t"/>
            <w10:wrap type="none"/>
            <w10:anchorlock/>
          </v:shape>
          <o:OLEObject Type="Embed" ProgID="Equation.3" ShapeID="_x0000_i1032" DrawAspect="Content" ObjectID="_1468075733" r:id="rId39">
            <o:LockedField>false</o:LockedField>
          </o:OLEObject>
        </w:object>
      </w:r>
      <w:r>
        <w:rPr>
          <w:rFonts w:hint="eastAsia" w:ascii="宋体" w:hAnsi="宋体" w:eastAsia="宋体" w:cs="宋体"/>
          <w:color w:val="auto"/>
          <w:sz w:val="24"/>
          <w:szCs w:val="24"/>
        </w:rPr>
        <w:t>×</w:t>
      </w:r>
      <w:r>
        <w:rPr>
          <w:rFonts w:hint="eastAsia" w:ascii="宋体" w:hAnsi="宋体" w:eastAsia="宋体" w:cs="宋体"/>
          <w:color w:val="auto"/>
          <w:position w:val="-28"/>
          <w:sz w:val="24"/>
          <w:szCs w:val="24"/>
        </w:rPr>
        <w:object>
          <v:shape id="_x0000_i1033" o:spt="75" type="#_x0000_t75" style="height:33.75pt;width:21.75pt;" o:ole="t" filled="f" o:preferrelative="t" stroked="f" coordsize="21600,21600">
            <v:path/>
            <v:fill on="f" focussize="0,0"/>
            <v:stroke on="f" joinstyle="miter"/>
            <v:imagedata r:id="rId42" o:title=""/>
            <o:lock v:ext="edit" aspectratio="t"/>
            <w10:wrap type="none"/>
            <w10:anchorlock/>
          </v:shape>
          <o:OLEObject Type="Embed" ProgID="Equation.3" ShapeID="_x0000_i1033" DrawAspect="Content" ObjectID="_1468075734" r:id="rId41">
            <o:LockedField>false</o:LockedField>
          </o:OLEObject>
        </w:object>
      </w:r>
      <w:r>
        <w:rPr>
          <w:rFonts w:hint="eastAsia" w:ascii="宋体" w:hAnsi="宋体" w:eastAsia="宋体" w:cs="宋体"/>
          <w:color w:val="auto"/>
          <w:sz w:val="24"/>
          <w:szCs w:val="24"/>
        </w:rPr>
        <w:t>）-1〕</w:t>
      </w:r>
    </w:p>
    <w:p w14:paraId="6DBE202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式中：△P---需调整的价格差额；</w:t>
      </w:r>
    </w:p>
    <w:p w14:paraId="08C3CEE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P</w:t>
      </w:r>
      <w:r>
        <w:rPr>
          <w:rFonts w:hint="eastAsia" w:ascii="宋体" w:hAnsi="宋体" w:eastAsia="宋体" w:cs="宋体"/>
          <w:color w:val="auto"/>
          <w:sz w:val="24"/>
          <w:szCs w:val="24"/>
          <w:vertAlign w:val="subscript"/>
        </w:rPr>
        <w:t>O</w:t>
      </w:r>
      <w:r>
        <w:rPr>
          <w:rFonts w:hint="eastAsia" w:ascii="宋体" w:hAnsi="宋体" w:eastAsia="宋体" w:cs="宋体"/>
          <w:color w:val="auto"/>
          <w:sz w:val="24"/>
          <w:szCs w:val="24"/>
        </w:rPr>
        <w:t>---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6380A1F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A---定值权重（即不调部分的权重）； </w:t>
      </w:r>
    </w:p>
    <w:p w14:paraId="1B1C19B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3</w:t>
      </w: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n</w:t>
      </w:r>
      <w:r>
        <w:rPr>
          <w:rFonts w:hint="eastAsia" w:ascii="宋体" w:hAnsi="宋体" w:eastAsia="宋体" w:cs="宋体"/>
          <w:color w:val="auto"/>
          <w:sz w:val="24"/>
          <w:szCs w:val="24"/>
        </w:rPr>
        <w:t xml:space="preserve"> ---各可调因子的变值权重（即可调部分的权重）为各可调因子在投标函投标总报价中所占的比例；</w:t>
      </w:r>
    </w:p>
    <w:p w14:paraId="5E96923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t1</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t2</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t3</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tn</w:t>
      </w:r>
      <w:r>
        <w:rPr>
          <w:rFonts w:hint="eastAsia" w:ascii="宋体" w:hAnsi="宋体" w:eastAsia="宋体" w:cs="宋体"/>
          <w:color w:val="auto"/>
          <w:sz w:val="24"/>
          <w:szCs w:val="24"/>
        </w:rPr>
        <w:t xml:space="preserve"> ---各可调因子的现行价格指数，指第17.3.3项、第17.5.2项和第17.6.2项约定的付款证书相关周期最后一天的前42天的各可调因子的价格指数；</w:t>
      </w:r>
    </w:p>
    <w:p w14:paraId="5BE9C48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01</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02</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03</w:t>
      </w:r>
      <w:r>
        <w:rPr>
          <w:rFonts w:hint="eastAsia" w:ascii="宋体" w:hAnsi="宋体" w:eastAsia="宋体" w:cs="宋体"/>
          <w:color w:val="auto"/>
          <w:sz w:val="24"/>
          <w:szCs w:val="24"/>
        </w:rPr>
        <w:t>；……F</w:t>
      </w:r>
      <w:r>
        <w:rPr>
          <w:rFonts w:hint="eastAsia" w:ascii="宋体" w:hAnsi="宋体" w:eastAsia="宋体" w:cs="宋体"/>
          <w:color w:val="auto"/>
          <w:sz w:val="24"/>
          <w:szCs w:val="24"/>
          <w:vertAlign w:val="subscript"/>
        </w:rPr>
        <w:t>0n</w:t>
      </w:r>
      <w:r>
        <w:rPr>
          <w:rFonts w:hint="eastAsia" w:ascii="宋体" w:hAnsi="宋体" w:eastAsia="宋体" w:cs="宋体"/>
          <w:color w:val="auto"/>
          <w:sz w:val="24"/>
          <w:szCs w:val="24"/>
        </w:rPr>
        <w:t xml:space="preserve"> ---各可调因子的基本价格指数，指基准日期的各可调因子的价格指数。</w:t>
      </w:r>
    </w:p>
    <w:p w14:paraId="131D319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5378CD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16.1.1.2 暂时确定调整差额</w:t>
      </w:r>
    </w:p>
    <w:p w14:paraId="33C2123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在计算调整差额时得不到现行价格指数的，可暂用上一次价格指数计算，并在以后的付款中再按实际价格指数进行调整。</w:t>
      </w:r>
    </w:p>
    <w:p w14:paraId="51E6478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16.1.1.3 权重的调整</w:t>
      </w:r>
    </w:p>
    <w:p w14:paraId="0C2657A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按第15.1 款约定的变更导致原定合同中的权重不合理时，由监理人与承包人和发包人协商后进行调整。</w:t>
      </w:r>
    </w:p>
    <w:p w14:paraId="380DE8D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16.1.1.4 承包人工期延误后的价格调整</w:t>
      </w:r>
    </w:p>
    <w:p w14:paraId="599DA68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7FC2DB6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16.1.2 采用造价信息调整价格差额</w:t>
      </w:r>
    </w:p>
    <w:p w14:paraId="7E64745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价格调整的材料，其单价和采购数应由监理人复核，监理人确认需调整的材料单价及数量，作为调整工程合同价格差额的依据。</w:t>
      </w:r>
    </w:p>
    <w:p w14:paraId="23208D6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工程造价信息的来源以及价格调整的项目和系数在专用合同条款中约定。</w:t>
      </w:r>
    </w:p>
    <w:p w14:paraId="55F411F6">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16" w:name="_Toc453678645"/>
      <w:bookmarkStart w:id="1517" w:name="_Toc453677453"/>
      <w:bookmarkStart w:id="1518" w:name="_Toc434412316"/>
      <w:bookmarkStart w:id="1519" w:name="_Toc414275382"/>
      <w:bookmarkStart w:id="1520" w:name="_Toc414368537"/>
      <w:bookmarkStart w:id="1521" w:name="_Toc439684301"/>
      <w:bookmarkStart w:id="1522" w:name="_Toc414352065"/>
      <w:r>
        <w:rPr>
          <w:rFonts w:hint="eastAsia" w:ascii="宋体" w:hAnsi="宋体" w:eastAsia="宋体" w:cs="宋体"/>
          <w:color w:val="auto"/>
          <w:sz w:val="24"/>
          <w:szCs w:val="24"/>
        </w:rPr>
        <w:t>16.2 法律变化引起的价格调整</w:t>
      </w:r>
      <w:bookmarkEnd w:id="1516"/>
      <w:bookmarkEnd w:id="1517"/>
      <w:bookmarkEnd w:id="1518"/>
      <w:bookmarkEnd w:id="1519"/>
      <w:bookmarkEnd w:id="1520"/>
      <w:bookmarkEnd w:id="1521"/>
      <w:bookmarkEnd w:id="1522"/>
    </w:p>
    <w:p w14:paraId="73709E1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0ED5C461">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523" w:name="_Toc439684302"/>
      <w:bookmarkStart w:id="1524" w:name="_Toc414368538"/>
      <w:bookmarkStart w:id="1525" w:name="_Toc414352066"/>
      <w:bookmarkStart w:id="1526" w:name="_Toc453678646"/>
      <w:bookmarkStart w:id="1527" w:name="_Toc184635114"/>
      <w:bookmarkStart w:id="1528" w:name="_Toc414268889"/>
      <w:bookmarkStart w:id="1529" w:name="_Toc414275383"/>
      <w:bookmarkStart w:id="1530" w:name="_Toc453677454"/>
      <w:bookmarkStart w:id="1531" w:name="_Toc434412317"/>
      <w:bookmarkStart w:id="1532" w:name="_Toc203758994"/>
      <w:r>
        <w:rPr>
          <w:rFonts w:hint="eastAsia" w:ascii="宋体" w:hAnsi="宋体" w:eastAsia="宋体" w:cs="宋体"/>
          <w:color w:val="auto"/>
          <w:sz w:val="24"/>
          <w:szCs w:val="24"/>
        </w:rPr>
        <w:t>17．计量与支付</w:t>
      </w:r>
      <w:bookmarkEnd w:id="1523"/>
      <w:bookmarkEnd w:id="1524"/>
      <w:bookmarkEnd w:id="1525"/>
      <w:bookmarkEnd w:id="1526"/>
      <w:bookmarkEnd w:id="1527"/>
      <w:bookmarkEnd w:id="1528"/>
      <w:bookmarkEnd w:id="1529"/>
      <w:bookmarkEnd w:id="1530"/>
      <w:bookmarkEnd w:id="1531"/>
      <w:bookmarkEnd w:id="1532"/>
    </w:p>
    <w:p w14:paraId="4683DB88">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33" w:name="_Toc414275384"/>
      <w:bookmarkStart w:id="1534" w:name="_Toc439684303"/>
      <w:bookmarkStart w:id="1535" w:name="_Toc414368539"/>
      <w:bookmarkStart w:id="1536" w:name="_Toc453677455"/>
      <w:bookmarkStart w:id="1537" w:name="_Toc414352067"/>
      <w:bookmarkStart w:id="1538" w:name="_Toc453678647"/>
      <w:bookmarkStart w:id="1539" w:name="_Toc434412318"/>
      <w:r>
        <w:rPr>
          <w:rFonts w:hint="eastAsia" w:ascii="宋体" w:hAnsi="宋体" w:eastAsia="宋体" w:cs="宋体"/>
          <w:color w:val="auto"/>
          <w:sz w:val="24"/>
          <w:szCs w:val="24"/>
        </w:rPr>
        <w:t>17.1 计量</w:t>
      </w:r>
      <w:bookmarkEnd w:id="1533"/>
      <w:bookmarkEnd w:id="1534"/>
      <w:bookmarkEnd w:id="1535"/>
      <w:bookmarkEnd w:id="1536"/>
      <w:bookmarkEnd w:id="1537"/>
      <w:bookmarkEnd w:id="1538"/>
      <w:bookmarkEnd w:id="1539"/>
    </w:p>
    <w:p w14:paraId="0ADDF8C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17.1.1 计量单位</w:t>
      </w:r>
    </w:p>
    <w:p w14:paraId="681E085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计量采用国家法定的计量单位。</w:t>
      </w:r>
    </w:p>
    <w:p w14:paraId="51D8AA5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 计量方法</w:t>
      </w:r>
    </w:p>
    <w:p w14:paraId="631D21C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结算工程量应按工程量清单约定的方法计量。</w:t>
      </w:r>
    </w:p>
    <w:p w14:paraId="7D25A93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 计量周期</w:t>
      </w:r>
    </w:p>
    <w:p w14:paraId="5AF8AFC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除专用合同条款另有约定外，单价子目已完成工程量按月计量，总价子目的计量周期按批准的支付分解报告确定。</w:t>
      </w:r>
    </w:p>
    <w:p w14:paraId="741A8D1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17.1.4 单价子目的计量</w:t>
      </w:r>
    </w:p>
    <w:p w14:paraId="5DF909B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（l）已标价工程量清单中的单价子目工程量为估算工程量。结算工程量是承包人实际完成的，并按合同约定的计量方法进行计量的工程量。</w:t>
      </w:r>
    </w:p>
    <w:p w14:paraId="243C439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（2）承包人对已完成的工程进行计量，向监理人提交进度付款申请单、已完成工程量报表和有关计量资料。</w:t>
      </w:r>
    </w:p>
    <w:p w14:paraId="379C54F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A19925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（4）监理人认为有必要时，可通知承包人共同进行联合测量、计量，承包人应遵照执行。</w:t>
      </w:r>
    </w:p>
    <w:p w14:paraId="705FF0A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14:paraId="7B1CAD0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（6）监理人应在收到承包人提交的工程量报表后的7天内进行复核，监理人未在约定时间内复核的，承包人提交的工程量报表中的工程量视为承包人实际完成的工程量，据此计算工程价款。</w:t>
      </w:r>
    </w:p>
    <w:p w14:paraId="0FF5E24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 总价子目的计量</w:t>
      </w:r>
    </w:p>
    <w:p w14:paraId="5DFCAE8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总价子目的分解和计量按照下述约定进行。</w:t>
      </w:r>
    </w:p>
    <w:p w14:paraId="15F9127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（1）总价子目的计量和支付应以总价为基础，不因第16.1款中的因素而进行调整。承包人实际完成的工程量，是进行工程目标管理和控制进度支付的依据。</w:t>
      </w:r>
    </w:p>
    <w:p w14:paraId="46A52B1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要完成的工程量和有关计量资料。</w:t>
      </w:r>
    </w:p>
    <w:p w14:paraId="13ADBE2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（3）监理人对承包人提交的上述资料进行复核，以确定分阶段实际完成的工程量和工程形象目标。对其有异议的，可要求承包人按第8.2款约定进行共同复核和抽样复测。</w:t>
      </w:r>
    </w:p>
    <w:p w14:paraId="65776F3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（4）除按照第15条约定的变更外，总价子目的工程量是承包人用于结算的最终工程量。</w:t>
      </w:r>
    </w:p>
    <w:p w14:paraId="4ED81E4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40" w:name="_Toc414352068"/>
      <w:bookmarkStart w:id="1541" w:name="_Toc414275385"/>
      <w:bookmarkStart w:id="1542" w:name="_Toc439684304"/>
      <w:bookmarkStart w:id="1543" w:name="_Toc453677456"/>
      <w:bookmarkStart w:id="1544" w:name="_Toc414368540"/>
      <w:bookmarkStart w:id="1545" w:name="_Toc434412319"/>
      <w:bookmarkStart w:id="1546" w:name="_Toc453678648"/>
      <w:r>
        <w:rPr>
          <w:rFonts w:hint="eastAsia" w:ascii="宋体" w:hAnsi="宋体" w:eastAsia="宋体" w:cs="宋体"/>
          <w:color w:val="auto"/>
          <w:sz w:val="24"/>
          <w:szCs w:val="24"/>
        </w:rPr>
        <w:t>17.2 预付款</w:t>
      </w:r>
      <w:bookmarkEnd w:id="1540"/>
      <w:bookmarkEnd w:id="1541"/>
      <w:bookmarkEnd w:id="1542"/>
      <w:bookmarkEnd w:id="1543"/>
      <w:bookmarkEnd w:id="1544"/>
      <w:bookmarkEnd w:id="1545"/>
      <w:bookmarkEnd w:id="1546"/>
    </w:p>
    <w:p w14:paraId="4EBB59A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17.2.1 预付款</w:t>
      </w:r>
    </w:p>
    <w:p w14:paraId="346CF17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付款用于承包人为合同工程购置材料、工程设备、修工设备、修建临时设施以及组织施工队伍进场等，分为工程预付款和工程材料预付款。预付款必须专用于合同工程。预付款的额度和预付办法在专用合同条款中约定。</w:t>
      </w:r>
    </w:p>
    <w:p w14:paraId="0DD5831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17.2.2 预付款保函（担保）</w:t>
      </w:r>
    </w:p>
    <w:p w14:paraId="3F0FBE9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（1）承包人应在收到第一次工程预付款的同时向发包人提交预付款担保，担保金额应与第一次工程预付款金额相同，工程预付款担保在第一次工程预付款被发包人扣回前一直有效。</w:t>
      </w:r>
    </w:p>
    <w:p w14:paraId="614BDAA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（2）工程材料预付款的担保在专用合同条款中约定。</w:t>
      </w:r>
    </w:p>
    <w:p w14:paraId="318CD68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（3）预付款担保的担保金额可根据预付款扣回的金额相应递减。</w:t>
      </w:r>
    </w:p>
    <w:p w14:paraId="0E82636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17.2.3 预付款的扣回与还清</w:t>
      </w:r>
    </w:p>
    <w:p w14:paraId="120CDE4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106E9AB9">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47" w:name="_Toc439684305"/>
      <w:bookmarkStart w:id="1548" w:name="_Toc434412320"/>
      <w:bookmarkStart w:id="1549" w:name="_Toc453677457"/>
      <w:bookmarkStart w:id="1550" w:name="_Toc414352069"/>
      <w:bookmarkStart w:id="1551" w:name="_Toc414368541"/>
      <w:bookmarkStart w:id="1552" w:name="_Toc453678649"/>
      <w:bookmarkStart w:id="1553" w:name="_Toc414275386"/>
      <w:r>
        <w:rPr>
          <w:rFonts w:hint="eastAsia" w:ascii="宋体" w:hAnsi="宋体" w:eastAsia="宋体" w:cs="宋体"/>
          <w:color w:val="auto"/>
          <w:sz w:val="24"/>
          <w:szCs w:val="24"/>
        </w:rPr>
        <w:t>17.3 工程进度付款</w:t>
      </w:r>
      <w:bookmarkEnd w:id="1547"/>
      <w:bookmarkEnd w:id="1548"/>
      <w:bookmarkEnd w:id="1549"/>
      <w:bookmarkEnd w:id="1550"/>
      <w:bookmarkEnd w:id="1551"/>
      <w:bookmarkEnd w:id="1552"/>
      <w:bookmarkEnd w:id="1553"/>
    </w:p>
    <w:p w14:paraId="7C75A97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17.3.1 付款周期</w:t>
      </w:r>
    </w:p>
    <w:p w14:paraId="140A156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付款周期同计量周期。</w:t>
      </w:r>
    </w:p>
    <w:p w14:paraId="4490E16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 进度付款申请单</w:t>
      </w:r>
    </w:p>
    <w:p w14:paraId="687E2E3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8BE39C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（l）截至本次付款周期末已实施工程的价款；</w:t>
      </w:r>
    </w:p>
    <w:p w14:paraId="4ABC0DC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（2）根据第15条应增加和扣减的变更金额；</w:t>
      </w:r>
    </w:p>
    <w:p w14:paraId="2FF6297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（3）根据第23条应增加和扣减的索赔金额；</w:t>
      </w:r>
    </w:p>
    <w:p w14:paraId="31FC2BA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（4）根据第17.2款约定应支付的预付款和扣减的返还预付款；</w:t>
      </w:r>
    </w:p>
    <w:p w14:paraId="5538E45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（5）根据第17.4.1项约定应扣减的质量保证金；</w:t>
      </w:r>
    </w:p>
    <w:p w14:paraId="0F34010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（6）根据合同应增加和扣减的其他金额。</w:t>
      </w:r>
    </w:p>
    <w:p w14:paraId="24D8CB2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 进度付款证书和支付时间</w:t>
      </w:r>
    </w:p>
    <w:p w14:paraId="3A2CC18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3720BA7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（2）发包人应在监理人收到进度付款中请单后的28天内，将进度应付款支付给承包人。发包人不按期支付的，按专用合同条款的约定支付逾期付款违约金。</w:t>
      </w:r>
    </w:p>
    <w:p w14:paraId="487F8A5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（3）监理人出具进度付款证书，不应视为监理人已同意、批准或接受了承包人完成的该部分工作。</w:t>
      </w:r>
    </w:p>
    <w:p w14:paraId="0FA1EAF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（4）进度付款涉及政府投资资金的，按照国库集中支付等国家相关规定和专用合同条款的约定办理。</w:t>
      </w:r>
    </w:p>
    <w:p w14:paraId="1C6DFD0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17.3.4 工程进度付款的修正</w:t>
      </w:r>
    </w:p>
    <w:p w14:paraId="07D5967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0EAA31DE">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54" w:name="_Toc439684306"/>
      <w:bookmarkStart w:id="1555" w:name="_Toc414368542"/>
      <w:bookmarkStart w:id="1556" w:name="_Toc453677458"/>
      <w:bookmarkStart w:id="1557" w:name="_Toc453678650"/>
      <w:bookmarkStart w:id="1558" w:name="_Toc414275387"/>
      <w:bookmarkStart w:id="1559" w:name="_Toc414352070"/>
      <w:bookmarkStart w:id="1560" w:name="_Toc434412321"/>
      <w:r>
        <w:rPr>
          <w:rFonts w:hint="eastAsia" w:ascii="宋体" w:hAnsi="宋体" w:eastAsia="宋体" w:cs="宋体"/>
          <w:color w:val="auto"/>
          <w:sz w:val="24"/>
          <w:szCs w:val="24"/>
        </w:rPr>
        <w:t>17.4 质量保证金</w:t>
      </w:r>
      <w:bookmarkEnd w:id="1554"/>
      <w:bookmarkEnd w:id="1555"/>
      <w:bookmarkEnd w:id="1556"/>
      <w:bookmarkEnd w:id="1557"/>
      <w:bookmarkEnd w:id="1558"/>
      <w:bookmarkEnd w:id="1559"/>
      <w:bookmarkEnd w:id="1560"/>
    </w:p>
    <w:p w14:paraId="44A3AAB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卫与扣回金额。</w:t>
      </w:r>
    </w:p>
    <w:p w14:paraId="423D7DF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17.4.2合同工程完工证书颁发后14天内，发包人将质量保证金总额的一半支付给承包人。 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492F341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17.4.3 在第1.1.4.5 目约定的缺陷责任期满时，承包人没有完成缺陷责任的，发包人有权扣留与未履行责任剩余工作所需金额相应的质量保证金余额，并有权根据第19.3款约定</w:t>
      </w:r>
    </w:p>
    <w:p w14:paraId="020F18DC">
      <w:pPr>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要求延长缺陷责任期，直至完成剩余工作为止。</w:t>
      </w:r>
    </w:p>
    <w:p w14:paraId="16EE7D15">
      <w:pPr>
        <w:pStyle w:val="4"/>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rPr>
      </w:pPr>
      <w:bookmarkStart w:id="1561" w:name="_Toc414352071"/>
      <w:bookmarkStart w:id="1562" w:name="_Toc434412322"/>
      <w:bookmarkStart w:id="1563" w:name="_Toc414275388"/>
      <w:bookmarkStart w:id="1564" w:name="_Toc453678651"/>
      <w:bookmarkStart w:id="1565" w:name="_Toc453677459"/>
      <w:bookmarkStart w:id="1566" w:name="_Toc439684307"/>
      <w:bookmarkStart w:id="1567" w:name="_Toc414368543"/>
      <w:r>
        <w:rPr>
          <w:rFonts w:hint="eastAsia" w:ascii="宋体" w:hAnsi="宋体" w:eastAsia="宋体" w:cs="宋体"/>
          <w:color w:val="auto"/>
          <w:sz w:val="24"/>
          <w:szCs w:val="24"/>
        </w:rPr>
        <w:t>17.5 竣工结算（完工结算)</w:t>
      </w:r>
      <w:bookmarkEnd w:id="1561"/>
      <w:bookmarkEnd w:id="1562"/>
      <w:bookmarkEnd w:id="1563"/>
      <w:bookmarkEnd w:id="1564"/>
      <w:bookmarkEnd w:id="1565"/>
      <w:bookmarkEnd w:id="1566"/>
      <w:bookmarkEnd w:id="1567"/>
    </w:p>
    <w:p w14:paraId="70AB783D">
      <w:pPr>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17.5.1 竣工付款申请单</w:t>
      </w:r>
    </w:p>
    <w:p w14:paraId="6830060F">
      <w:pPr>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款。</w:t>
      </w:r>
    </w:p>
    <w:p w14:paraId="62659606">
      <w:pPr>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（2）监理人对完工付款申请单有异议的，有权要求承包人进行修正和提供补充资料。经监理人和承包人协商后，由承包人向监理人提交修正后的完工付款申请单。</w:t>
      </w:r>
    </w:p>
    <w:p w14:paraId="05BB7D8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17.5.2 竣工（完工)付款证书及支付时间</w:t>
      </w:r>
    </w:p>
    <w:p w14:paraId="5DD1ABD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付给承包人的价款视为已经发包人同意。</w:t>
      </w:r>
    </w:p>
    <w:p w14:paraId="4A0B530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（2）发包人应在监理人出具完工付款证书后的14天内,将应支付款支付给承包人。发包人不按期支付的,按第17.3.3（2)目的约定,将逾期付款违约金支付给承包人.</w:t>
      </w:r>
    </w:p>
    <w:p w14:paraId="1C61CA3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（3）承包人对发包人签认的完工付款证书有异议的,发包人可出具完工付款申请单中承包人已同意部分的临时付款证书。存在争议的部分,按第24条的约定办理。</w:t>
      </w:r>
    </w:p>
    <w:p w14:paraId="5455FA0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（4）完工付款涉及政府投资资金的，按第17.3.3（4)目的约定办理。</w:t>
      </w:r>
    </w:p>
    <w:p w14:paraId="5D0CFB37">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68" w:name="_Toc414275389"/>
      <w:bookmarkStart w:id="1569" w:name="_Toc453678652"/>
      <w:bookmarkStart w:id="1570" w:name="_Toc414352072"/>
      <w:bookmarkStart w:id="1571" w:name="_Toc434412323"/>
      <w:bookmarkStart w:id="1572" w:name="_Toc414368544"/>
      <w:bookmarkStart w:id="1573" w:name="_Toc439684308"/>
      <w:bookmarkStart w:id="1574" w:name="_Toc453677460"/>
      <w:r>
        <w:rPr>
          <w:rFonts w:hint="eastAsia" w:ascii="宋体" w:hAnsi="宋体" w:eastAsia="宋体" w:cs="宋体"/>
          <w:color w:val="auto"/>
          <w:sz w:val="24"/>
          <w:szCs w:val="24"/>
        </w:rPr>
        <w:t>17.6 最终结清</w:t>
      </w:r>
      <w:bookmarkEnd w:id="1568"/>
      <w:bookmarkEnd w:id="1569"/>
      <w:bookmarkEnd w:id="1570"/>
      <w:bookmarkEnd w:id="1571"/>
      <w:bookmarkEnd w:id="1572"/>
      <w:bookmarkEnd w:id="1573"/>
      <w:bookmarkEnd w:id="1574"/>
    </w:p>
    <w:p w14:paraId="5B2078C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 最终结清申请单</w:t>
      </w:r>
    </w:p>
    <w:p w14:paraId="00345E59">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（1）工程质量保修责任终止证书签发后,承包人应按监理人批准的格工提交最终结清申请单。提交最终结清申请单的份数在专用合同条款中约定。</w:t>
      </w:r>
    </w:p>
    <w:p w14:paraId="199CC198">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 有权要求承包人进行修正和提供补充资料,由承包人向监理人提交修正后的最终结清申请单。</w:t>
      </w:r>
    </w:p>
    <w:p w14:paraId="4C1E0E8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17.6.2 最终结清证书和支付时间</w:t>
      </w:r>
    </w:p>
    <w:p w14:paraId="067459A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6A2D23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（2）发包人应在监理人出具最终结清证书后的14天内，将应支付款支付给承包人。</w:t>
      </w:r>
    </w:p>
    <w:p w14:paraId="7F16EB5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发包人不按期支付的，按第17.3.3（2）目的约定，将逾期付款违约金支付给承包人。</w:t>
      </w:r>
    </w:p>
    <w:p w14:paraId="28AB5E2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（3）承包人对发包人签认的最终结清证书有异议的，按第24条的约定办理。</w:t>
      </w:r>
    </w:p>
    <w:p w14:paraId="1F9FBB3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（4）最终结清付款涉及政府投资资金的，按第17.3.3（4）目的约定办理。</w:t>
      </w:r>
    </w:p>
    <w:p w14:paraId="133092C6">
      <w:pPr>
        <w:keepLines w:val="0"/>
        <w:pageBreakBefore w:val="0"/>
        <w:widowControl w:val="0"/>
        <w:kinsoku/>
        <w:wordWrap/>
        <w:overflowPunct/>
        <w:topLinePunct w:val="0"/>
        <w:bidi w:val="0"/>
        <w:spacing w:line="420" w:lineRule="exact"/>
        <w:ind w:left="216" w:leftChars="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17.6.3最终结清申请单</w:t>
      </w:r>
    </w:p>
    <w:p w14:paraId="1585E5A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（1)工程质量保修责任终止证书签发后,承包人应按监理人批准的格工提交最终结清申请单.提交最终结清申请单的份数在专用合同条款中约定.</w:t>
      </w:r>
    </w:p>
    <w:p w14:paraId="59BD2BA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 有权要求承包人进行修正和提供补充资料,由承包人向监理人提交修正后的最终结清申请单.</w:t>
      </w:r>
    </w:p>
    <w:p w14:paraId="144BD8B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75" w:name="_Toc414275390"/>
      <w:bookmarkStart w:id="1576" w:name="_Toc439684309"/>
      <w:bookmarkStart w:id="1577" w:name="_Toc453678653"/>
      <w:bookmarkStart w:id="1578" w:name="_Toc414352073"/>
      <w:bookmarkStart w:id="1579" w:name="_Toc434412324"/>
      <w:bookmarkStart w:id="1580" w:name="_Toc414368545"/>
      <w:bookmarkStart w:id="1581" w:name="_Toc453677461"/>
      <w:r>
        <w:rPr>
          <w:rFonts w:hint="eastAsia" w:ascii="宋体" w:hAnsi="宋体" w:eastAsia="宋体" w:cs="宋体"/>
          <w:color w:val="auto"/>
          <w:sz w:val="24"/>
          <w:szCs w:val="24"/>
        </w:rPr>
        <w:t>17.7 竣工财务决算</w:t>
      </w:r>
      <w:bookmarkEnd w:id="1575"/>
      <w:bookmarkEnd w:id="1576"/>
      <w:bookmarkEnd w:id="1577"/>
      <w:bookmarkEnd w:id="1578"/>
      <w:bookmarkEnd w:id="1579"/>
      <w:bookmarkEnd w:id="1580"/>
      <w:bookmarkEnd w:id="1581"/>
    </w:p>
    <w:p w14:paraId="7AAE367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发包人负责编制本工程项目竣工财务决算,承包人应按专用合同条款的约定提供竣工财务决算编制所需的相关材料。</w:t>
      </w:r>
    </w:p>
    <w:p w14:paraId="32F3D2C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82" w:name="_Toc453677462"/>
      <w:bookmarkStart w:id="1583" w:name="_Toc439684310"/>
      <w:bookmarkStart w:id="1584" w:name="_Toc453678654"/>
      <w:bookmarkStart w:id="1585" w:name="_Toc434412325"/>
      <w:bookmarkStart w:id="1586" w:name="_Toc414352074"/>
      <w:bookmarkStart w:id="1587" w:name="_Toc414368546"/>
      <w:bookmarkStart w:id="1588" w:name="_Toc414275391"/>
      <w:r>
        <w:rPr>
          <w:rFonts w:hint="eastAsia" w:ascii="宋体" w:hAnsi="宋体" w:eastAsia="宋体" w:cs="宋体"/>
          <w:color w:val="auto"/>
          <w:sz w:val="24"/>
          <w:szCs w:val="24"/>
        </w:rPr>
        <w:t>17.8 竣工审计</w:t>
      </w:r>
      <w:bookmarkEnd w:id="1582"/>
      <w:bookmarkEnd w:id="1583"/>
      <w:bookmarkEnd w:id="1584"/>
      <w:bookmarkEnd w:id="1585"/>
      <w:bookmarkEnd w:id="1586"/>
      <w:bookmarkEnd w:id="1587"/>
      <w:bookmarkEnd w:id="1588"/>
    </w:p>
    <w:p w14:paraId="05D28B0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发包人负责完成本工程竣工审计手续，承包人应完成相关配合工作。</w:t>
      </w:r>
    </w:p>
    <w:p w14:paraId="105505CA">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589" w:name="_Toc203758995"/>
      <w:bookmarkStart w:id="1590" w:name="_Toc184635115"/>
      <w:bookmarkStart w:id="1591" w:name="_Toc414352075"/>
      <w:bookmarkStart w:id="1592" w:name="_Toc453678655"/>
      <w:bookmarkStart w:id="1593" w:name="_Toc414268890"/>
      <w:bookmarkStart w:id="1594" w:name="_Toc453677463"/>
      <w:bookmarkStart w:id="1595" w:name="_Toc414275392"/>
      <w:bookmarkStart w:id="1596" w:name="_Toc414368547"/>
      <w:bookmarkStart w:id="1597" w:name="_Toc439684311"/>
      <w:bookmarkStart w:id="1598" w:name="_Toc434412326"/>
      <w:r>
        <w:rPr>
          <w:rFonts w:hint="eastAsia" w:ascii="宋体" w:hAnsi="宋体" w:eastAsia="宋体" w:cs="宋体"/>
          <w:color w:val="auto"/>
          <w:sz w:val="24"/>
          <w:szCs w:val="24"/>
        </w:rPr>
        <w:t>18．竣工验收</w:t>
      </w:r>
      <w:bookmarkEnd w:id="1589"/>
      <w:bookmarkEnd w:id="1590"/>
      <w:r>
        <w:rPr>
          <w:rFonts w:hint="eastAsia" w:ascii="宋体" w:hAnsi="宋体" w:eastAsia="宋体" w:cs="宋体"/>
          <w:color w:val="auto"/>
          <w:sz w:val="24"/>
          <w:szCs w:val="24"/>
        </w:rPr>
        <w:t>（验收）</w:t>
      </w:r>
      <w:bookmarkEnd w:id="1591"/>
      <w:bookmarkEnd w:id="1592"/>
      <w:bookmarkEnd w:id="1593"/>
      <w:bookmarkEnd w:id="1594"/>
      <w:bookmarkEnd w:id="1595"/>
      <w:bookmarkEnd w:id="1596"/>
      <w:bookmarkEnd w:id="1597"/>
      <w:bookmarkEnd w:id="1598"/>
    </w:p>
    <w:p w14:paraId="0D4135A9">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599" w:name="_Toc414275393"/>
      <w:bookmarkStart w:id="1600" w:name="_Toc414352076"/>
      <w:bookmarkStart w:id="1601" w:name="_Toc414368548"/>
      <w:bookmarkStart w:id="1602" w:name="_Toc439684312"/>
      <w:bookmarkStart w:id="1603" w:name="_Toc453677464"/>
      <w:bookmarkStart w:id="1604" w:name="_Toc453678656"/>
      <w:bookmarkStart w:id="1605" w:name="_Toc434412327"/>
      <w:r>
        <w:rPr>
          <w:rFonts w:hint="eastAsia" w:ascii="宋体" w:hAnsi="宋体" w:eastAsia="宋体" w:cs="宋体"/>
          <w:color w:val="auto"/>
          <w:sz w:val="24"/>
          <w:szCs w:val="24"/>
        </w:rPr>
        <w:t>18.1 竣工验收的含义</w:t>
      </w:r>
      <w:bookmarkEnd w:id="1599"/>
      <w:bookmarkEnd w:id="1600"/>
      <w:bookmarkEnd w:id="1601"/>
      <w:bookmarkEnd w:id="1602"/>
      <w:bookmarkEnd w:id="1603"/>
      <w:bookmarkEnd w:id="1604"/>
      <w:bookmarkEnd w:id="1605"/>
    </w:p>
    <w:p w14:paraId="1667AE0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的工程量清单中。</w:t>
      </w:r>
    </w:p>
    <w:p w14:paraId="52199D1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06" w:name="_Toc414352077"/>
      <w:bookmarkStart w:id="1607" w:name="_Toc434412328"/>
      <w:bookmarkStart w:id="1608" w:name="_Toc439684313"/>
      <w:bookmarkStart w:id="1609" w:name="_Toc453678657"/>
      <w:bookmarkStart w:id="1610" w:name="_Toc414368549"/>
      <w:bookmarkStart w:id="1611" w:name="_Toc414275394"/>
      <w:bookmarkStart w:id="1612" w:name="_Toc453677465"/>
      <w:r>
        <w:rPr>
          <w:rFonts w:hint="eastAsia" w:ascii="宋体" w:hAnsi="宋体" w:eastAsia="宋体" w:cs="宋体"/>
          <w:color w:val="auto"/>
          <w:sz w:val="24"/>
          <w:szCs w:val="24"/>
        </w:rPr>
        <w:t>18.2 分包工程验收</w:t>
      </w:r>
      <w:bookmarkEnd w:id="1606"/>
      <w:bookmarkEnd w:id="1607"/>
      <w:bookmarkEnd w:id="1608"/>
      <w:bookmarkEnd w:id="1609"/>
      <w:bookmarkEnd w:id="1610"/>
      <w:bookmarkEnd w:id="1611"/>
      <w:bookmarkEnd w:id="1612"/>
    </w:p>
    <w:p w14:paraId="15B746A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18.2.1分部工程具备验收条件时，承包人应向发包人提交验收申请报告,发包人应在收到验收申请报告之日起10个工作日内决定是否同意进行验收。</w:t>
      </w:r>
    </w:p>
    <w:p w14:paraId="4789754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18.2.2  除专用合同条款另有约定外，监理人主持分部工程验收，承包人应派符合条件的代表参加验收工作组。</w:t>
      </w:r>
    </w:p>
    <w:p w14:paraId="7B187CB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18.2.3  分部工程验收通过后，发包人向承包人发送分部工程验收鉴定书。承包人应及时完成分部工程验收鉴定书载明应由承包人处理的遗留问题。</w:t>
      </w:r>
    </w:p>
    <w:p w14:paraId="3C0DFB0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13" w:name="_Toc453677466"/>
      <w:bookmarkStart w:id="1614" w:name="_Toc414368550"/>
      <w:bookmarkStart w:id="1615" w:name="_Toc434412329"/>
      <w:bookmarkStart w:id="1616" w:name="_Toc453678658"/>
      <w:bookmarkStart w:id="1617" w:name="_Toc414275395"/>
      <w:bookmarkStart w:id="1618" w:name="_Toc414352078"/>
      <w:bookmarkStart w:id="1619" w:name="_Toc439684314"/>
      <w:r>
        <w:rPr>
          <w:rFonts w:hint="eastAsia" w:ascii="宋体" w:hAnsi="宋体" w:eastAsia="宋体" w:cs="宋体"/>
          <w:color w:val="auto"/>
          <w:sz w:val="24"/>
          <w:szCs w:val="24"/>
        </w:rPr>
        <w:t>18.3 单位工程验收</w:t>
      </w:r>
      <w:bookmarkEnd w:id="1613"/>
      <w:bookmarkEnd w:id="1614"/>
      <w:bookmarkEnd w:id="1615"/>
      <w:bookmarkEnd w:id="1616"/>
      <w:bookmarkEnd w:id="1617"/>
      <w:bookmarkEnd w:id="1618"/>
      <w:bookmarkEnd w:id="1619"/>
    </w:p>
    <w:p w14:paraId="7D628EB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监理人收到承包人按第18.2款约定提交的竣工验收申请报告后，应审查中请报告的各项内容，并按以下不同情况进行处理。</w:t>
      </w:r>
    </w:p>
    <w:p w14:paraId="47E0D38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18.3.1 单位工程具备验收条件时,承包人应向发包人提交验收申请报告,发包人应在收到验收申请报告之是起10个工作日内决定是否同意进行验收。</w:t>
      </w:r>
    </w:p>
    <w:p w14:paraId="7D2EFCC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18.3.2 发包人主持单位工程验收，承包人应派符条件的代表参加验收工作组。</w:t>
      </w:r>
    </w:p>
    <w:p w14:paraId="710F04A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18.3.3 单位工程验收通过后,发包人向承包人发送单位工程验收鉴定书。承包人应及时完成单位工程验收鉴定书载明应由承包人处理的遗留问题。</w:t>
      </w:r>
    </w:p>
    <w:p w14:paraId="6A28AF6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18.3.4  需提前投入使用的单位工程专用合同条款中明确。</w:t>
      </w:r>
    </w:p>
    <w:p w14:paraId="0AD26A1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 除专用合同条款另有约定外，经验收合格工程的实际竣工日期，以提交竣工验收申请报告的日期为准，并在工程接收证书中写明。</w:t>
      </w:r>
    </w:p>
    <w:p w14:paraId="144D61A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18.3.6 发包人在收到承包人竣工验收申请报告56天后未进行验收的，视为验收合格，实际竣工日期以提交竣工验收申请报告的日期为准，但发包人由于不可抗力不能进行验收的除外。</w:t>
      </w:r>
    </w:p>
    <w:p w14:paraId="2C27B21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20" w:name="_Toc439684315"/>
      <w:bookmarkStart w:id="1621" w:name="_Toc453678659"/>
      <w:bookmarkStart w:id="1622" w:name="_Toc414368551"/>
      <w:bookmarkStart w:id="1623" w:name="_Toc434412330"/>
      <w:bookmarkStart w:id="1624" w:name="_Toc453677467"/>
      <w:bookmarkStart w:id="1625" w:name="_Toc414352079"/>
      <w:bookmarkStart w:id="1626" w:name="_Toc414275396"/>
      <w:r>
        <w:rPr>
          <w:rFonts w:hint="eastAsia" w:ascii="宋体" w:hAnsi="宋体" w:eastAsia="宋体" w:cs="宋体"/>
          <w:color w:val="auto"/>
          <w:sz w:val="24"/>
          <w:szCs w:val="24"/>
        </w:rPr>
        <w:t>18.4 合同工程完工验收</w:t>
      </w:r>
      <w:bookmarkEnd w:id="1620"/>
      <w:bookmarkEnd w:id="1621"/>
      <w:bookmarkEnd w:id="1622"/>
      <w:bookmarkEnd w:id="1623"/>
      <w:bookmarkEnd w:id="1624"/>
      <w:bookmarkEnd w:id="1625"/>
      <w:bookmarkEnd w:id="1626"/>
    </w:p>
    <w:p w14:paraId="743294E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18.4.1  合同工程具备验收条件时,承包人应向发包人提交验收申请报告,发包人应在收到验收申请报告之日起20个工作日决定是否同意进行验收。</w:t>
      </w:r>
    </w:p>
    <w:p w14:paraId="3D33811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18.4.2  发包人主持合同工程完工验收,承包人应派代表参加验收工作组。</w:t>
      </w:r>
    </w:p>
    <w:p w14:paraId="27A5107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18.4.3 合同工程完工验收通过后，发包人向承包人发送合同工程完工验收鉴定书。承包人应及时完成合同工程完工验收鉴定书载明应由承包人处理的遗留问题。</w:t>
      </w:r>
    </w:p>
    <w:p w14:paraId="2F2FAA9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18.4.4 合同工程完工验收通过后,发包人与承包人应在30个工作日内组织专人负责工程交接,双方交接负责人应在交接记录上鉴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21B6842B">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27" w:name="_Toc414275397"/>
      <w:bookmarkStart w:id="1628" w:name="_Toc414368552"/>
      <w:bookmarkStart w:id="1629" w:name="_Toc434412331"/>
      <w:bookmarkStart w:id="1630" w:name="_Toc439684316"/>
      <w:bookmarkStart w:id="1631" w:name="_Toc453677468"/>
      <w:bookmarkStart w:id="1632" w:name="_Toc414352080"/>
      <w:bookmarkStart w:id="1633" w:name="_Toc453678660"/>
      <w:r>
        <w:rPr>
          <w:rFonts w:hint="eastAsia" w:ascii="宋体" w:hAnsi="宋体" w:eastAsia="宋体" w:cs="宋体"/>
          <w:color w:val="auto"/>
          <w:sz w:val="24"/>
          <w:szCs w:val="24"/>
        </w:rPr>
        <w:t>18.5 阶段验收</w:t>
      </w:r>
      <w:bookmarkEnd w:id="1627"/>
      <w:bookmarkEnd w:id="1628"/>
      <w:bookmarkEnd w:id="1629"/>
      <w:bookmarkEnd w:id="1630"/>
      <w:bookmarkEnd w:id="1631"/>
      <w:bookmarkEnd w:id="1632"/>
      <w:bookmarkEnd w:id="1633"/>
    </w:p>
    <w:p w14:paraId="5271917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 工程建设具备阶段验收条件时，发包人负责提出阶段验收申请报告。承包人应派代表参加阶段验收，并作为被验收单位鉴定书上签字。阶段验收的具体类别在专用合同条款中约定。</w:t>
      </w:r>
    </w:p>
    <w:p w14:paraId="32557AF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18.5.2 承包人应及时完成阶段验收鉴定书载明应由承包人处理的遗留问题。</w:t>
      </w:r>
    </w:p>
    <w:p w14:paraId="49FD73F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34" w:name="_Toc453678661"/>
      <w:bookmarkStart w:id="1635" w:name="_Toc439684317"/>
      <w:bookmarkStart w:id="1636" w:name="_Toc414368553"/>
      <w:bookmarkStart w:id="1637" w:name="_Toc414275398"/>
      <w:bookmarkStart w:id="1638" w:name="_Toc453677469"/>
      <w:bookmarkStart w:id="1639" w:name="_Toc414352081"/>
      <w:bookmarkStart w:id="1640" w:name="_Toc434412332"/>
      <w:r>
        <w:rPr>
          <w:rFonts w:hint="eastAsia" w:ascii="宋体" w:hAnsi="宋体" w:eastAsia="宋体" w:cs="宋体"/>
          <w:color w:val="auto"/>
          <w:sz w:val="24"/>
          <w:szCs w:val="24"/>
        </w:rPr>
        <w:t>18.6 专项验收</w:t>
      </w:r>
      <w:bookmarkEnd w:id="1634"/>
      <w:bookmarkEnd w:id="1635"/>
      <w:bookmarkEnd w:id="1636"/>
      <w:bookmarkEnd w:id="1637"/>
      <w:bookmarkEnd w:id="1638"/>
      <w:bookmarkEnd w:id="1639"/>
      <w:bookmarkEnd w:id="1640"/>
    </w:p>
    <w:p w14:paraId="30AF001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 发包人负责提出专项验收申请报告。承包人应按专项验收的相关规定参加专项验收。专项验收的具体类别在专用合同条款中约定。</w:t>
      </w:r>
    </w:p>
    <w:p w14:paraId="6D87FF8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18.6.2 承包人应及时完成专项验收成果性文件载明应由承包人处理的遗留问题目。</w:t>
      </w:r>
    </w:p>
    <w:p w14:paraId="4171CD8B">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41" w:name="_Toc414352082"/>
      <w:bookmarkStart w:id="1642" w:name="_Toc453678662"/>
      <w:bookmarkStart w:id="1643" w:name="_Toc414368554"/>
      <w:bookmarkStart w:id="1644" w:name="_Toc414275399"/>
      <w:bookmarkStart w:id="1645" w:name="_Toc434412333"/>
      <w:bookmarkStart w:id="1646" w:name="_Toc439684318"/>
      <w:bookmarkStart w:id="1647" w:name="_Toc453677470"/>
      <w:r>
        <w:rPr>
          <w:rFonts w:hint="eastAsia" w:ascii="宋体" w:hAnsi="宋体" w:eastAsia="宋体" w:cs="宋体"/>
          <w:color w:val="auto"/>
          <w:sz w:val="24"/>
          <w:szCs w:val="24"/>
        </w:rPr>
        <w:t>18.7 竣工验收</w:t>
      </w:r>
      <w:bookmarkEnd w:id="1641"/>
      <w:bookmarkEnd w:id="1642"/>
      <w:bookmarkEnd w:id="1643"/>
      <w:bookmarkEnd w:id="1644"/>
      <w:bookmarkEnd w:id="1645"/>
      <w:bookmarkEnd w:id="1646"/>
      <w:bookmarkEnd w:id="1647"/>
    </w:p>
    <w:p w14:paraId="4C625F1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 申请竣工验收前，发包人组织竣工验收自查，承包人应派代表参加。</w:t>
      </w:r>
    </w:p>
    <w:p w14:paraId="381DD45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18.7.2 竣工验收分为竣工技术预验收和竣工验收两个阶段。发包人应通知承包人派代表参加技术预验收和竣工验收。</w:t>
      </w:r>
    </w:p>
    <w:p w14:paraId="67A7EAC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18.7.3 专用合同条款约定工程需要进行技术鉴定的，承包人应提交有关资料并完成配合工作。</w:t>
      </w:r>
    </w:p>
    <w:p w14:paraId="47C80BD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18.7.4 竣工验收需要进行质量检测的，所需费用由发包人承担，但因承包人原因造成质量不合格的除外。</w:t>
      </w:r>
    </w:p>
    <w:p w14:paraId="3C6DD01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18.7.5 工程质量保修期满以及竣工验收遗留问题和尾工处理完成并通过验收的，发包人负责将处理情况和验收成果报送竣工验收主持单位，申请领取工程竣工证书，并发送承包人。</w:t>
      </w:r>
    </w:p>
    <w:p w14:paraId="252F441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48" w:name="_Toc434412334"/>
      <w:bookmarkStart w:id="1649" w:name="_Toc414368555"/>
      <w:bookmarkStart w:id="1650" w:name="_Toc414275400"/>
      <w:bookmarkStart w:id="1651" w:name="_Toc439684319"/>
      <w:bookmarkStart w:id="1652" w:name="_Toc453678663"/>
      <w:bookmarkStart w:id="1653" w:name="_Toc453677471"/>
      <w:bookmarkStart w:id="1654" w:name="_Toc414352083"/>
      <w:r>
        <w:rPr>
          <w:rFonts w:hint="eastAsia" w:ascii="宋体" w:hAnsi="宋体" w:eastAsia="宋体" w:cs="宋体"/>
          <w:color w:val="auto"/>
          <w:sz w:val="24"/>
          <w:szCs w:val="24"/>
        </w:rPr>
        <w:t>18.8 施工期运行</w:t>
      </w:r>
      <w:bookmarkEnd w:id="1648"/>
      <w:bookmarkEnd w:id="1649"/>
      <w:bookmarkEnd w:id="1650"/>
      <w:bookmarkEnd w:id="1651"/>
      <w:bookmarkEnd w:id="1652"/>
      <w:bookmarkEnd w:id="1653"/>
      <w:bookmarkEnd w:id="1654"/>
    </w:p>
    <w:p w14:paraId="4C2F15FB">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bookmarkStart w:id="1655" w:name="_Toc203758996"/>
      <w:bookmarkStart w:id="1656" w:name="_Toc184635116"/>
      <w:r>
        <w:rPr>
          <w:rFonts w:hint="eastAsia" w:ascii="宋体" w:hAnsi="宋体" w:eastAsia="宋体" w:cs="宋体"/>
          <w:color w:val="auto"/>
          <w:sz w:val="24"/>
          <w:szCs w:val="24"/>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6C6A2856">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18.8.2　在施工期运行中发现工程或工程设备损坏或存在缺陷的，由承包人按第19.2款约定进行修复。</w:t>
      </w:r>
    </w:p>
    <w:p w14:paraId="7875E019">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57" w:name="_Toc434412335"/>
      <w:bookmarkStart w:id="1658" w:name="_Toc414352084"/>
      <w:bookmarkStart w:id="1659" w:name="_Toc414368556"/>
      <w:bookmarkStart w:id="1660" w:name="_Toc453677472"/>
      <w:bookmarkStart w:id="1661" w:name="_Toc453678664"/>
      <w:bookmarkStart w:id="1662" w:name="_Toc439684320"/>
      <w:bookmarkStart w:id="1663" w:name="_Toc414275401"/>
      <w:r>
        <w:rPr>
          <w:rFonts w:hint="eastAsia" w:ascii="宋体" w:hAnsi="宋体" w:eastAsia="宋体" w:cs="宋体"/>
          <w:color w:val="auto"/>
          <w:sz w:val="24"/>
          <w:szCs w:val="24"/>
        </w:rPr>
        <w:t>18.9 试运行</w:t>
      </w:r>
      <w:bookmarkEnd w:id="1657"/>
      <w:bookmarkEnd w:id="1658"/>
      <w:bookmarkEnd w:id="1659"/>
      <w:bookmarkEnd w:id="1660"/>
      <w:bookmarkEnd w:id="1661"/>
      <w:bookmarkEnd w:id="1662"/>
      <w:bookmarkEnd w:id="1663"/>
    </w:p>
    <w:p w14:paraId="076D7BE0">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18.9.1 除专用合同条款另有约定外，承包人应按规定进行工程及工程设备试运行，负责提供试运行所需的人员、器材和必要的条件，并承担全部试运行费用。</w:t>
      </w:r>
    </w:p>
    <w:p w14:paraId="043829BF">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065AE8A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64" w:name="_Toc414352085"/>
      <w:bookmarkStart w:id="1665" w:name="_Toc414368557"/>
      <w:bookmarkStart w:id="1666" w:name="_Toc414275402"/>
      <w:bookmarkStart w:id="1667" w:name="_Toc439684321"/>
      <w:bookmarkStart w:id="1668" w:name="_Toc434412336"/>
      <w:bookmarkStart w:id="1669" w:name="_Toc453678665"/>
      <w:bookmarkStart w:id="1670" w:name="_Toc453677473"/>
      <w:r>
        <w:rPr>
          <w:rFonts w:hint="eastAsia" w:ascii="宋体" w:hAnsi="宋体" w:eastAsia="宋体" w:cs="宋体"/>
          <w:color w:val="auto"/>
          <w:sz w:val="24"/>
          <w:szCs w:val="24"/>
        </w:rPr>
        <w:t>18.10 竣工（完工）清场</w:t>
      </w:r>
      <w:bookmarkEnd w:id="1664"/>
      <w:bookmarkEnd w:id="1665"/>
      <w:bookmarkEnd w:id="1666"/>
      <w:bookmarkEnd w:id="1667"/>
      <w:bookmarkEnd w:id="1668"/>
      <w:bookmarkEnd w:id="1669"/>
      <w:bookmarkEnd w:id="1670"/>
    </w:p>
    <w:p w14:paraId="2E4BC916">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18.10.1　工程项目竣工 （ 完工）清场的工作范围和内容在技术标准和要求 （ 合同技术条款）中约定。</w:t>
      </w:r>
    </w:p>
    <w:p w14:paraId="3C907C78">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18.10.2　承包人未按监理人的要求恢复临时占地，或者场地清理未达到合同约定的，发包人有权委托其它人恢复或清理，所发生的金额从拟支付给承包人的款项中扣除。</w:t>
      </w:r>
    </w:p>
    <w:p w14:paraId="3AAB1BEB">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71" w:name="_Toc414275403"/>
      <w:bookmarkStart w:id="1672" w:name="_Toc439684322"/>
      <w:bookmarkStart w:id="1673" w:name="_Toc453677474"/>
      <w:bookmarkStart w:id="1674" w:name="_Toc414368558"/>
      <w:bookmarkStart w:id="1675" w:name="_Toc434412337"/>
      <w:bookmarkStart w:id="1676" w:name="_Toc453678666"/>
      <w:bookmarkStart w:id="1677" w:name="_Toc414352086"/>
      <w:r>
        <w:rPr>
          <w:rFonts w:hint="eastAsia" w:ascii="宋体" w:hAnsi="宋体" w:eastAsia="宋体" w:cs="宋体"/>
          <w:color w:val="auto"/>
          <w:sz w:val="24"/>
          <w:szCs w:val="24"/>
        </w:rPr>
        <w:t>18.11 施工队伍的撤离</w:t>
      </w:r>
      <w:bookmarkEnd w:id="1671"/>
      <w:bookmarkEnd w:id="1672"/>
      <w:bookmarkEnd w:id="1673"/>
      <w:bookmarkEnd w:id="1674"/>
      <w:bookmarkEnd w:id="1675"/>
      <w:bookmarkEnd w:id="1676"/>
      <w:bookmarkEnd w:id="1677"/>
    </w:p>
    <w:p w14:paraId="1D3BCC58">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合同工程完工证书颁发后的56天内，除了经监理人同意需在缺陷责任期 （ 工程质量保修期）内继续工作和使用的人员、施工设备和临时工程外，其余的人员、施工设备和临时工程均应撤离施工场地或拆除。除合同另有约定外，缺陷责任期 （ 工程质量保修期）满时，承包人的人员和施工设备应全部撤离施工场地。        </w:t>
      </w:r>
    </w:p>
    <w:p w14:paraId="1FF6D72A">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678" w:name="_Toc414275404"/>
      <w:bookmarkStart w:id="1679" w:name="_Toc453678667"/>
      <w:bookmarkStart w:id="1680" w:name="_Toc414268891"/>
      <w:bookmarkStart w:id="1681" w:name="_Toc414352087"/>
      <w:bookmarkStart w:id="1682" w:name="_Toc439684323"/>
      <w:bookmarkStart w:id="1683" w:name="_Toc453677475"/>
      <w:bookmarkStart w:id="1684" w:name="_Toc414368559"/>
      <w:bookmarkStart w:id="1685" w:name="_Toc434412338"/>
      <w:r>
        <w:rPr>
          <w:rFonts w:hint="eastAsia" w:ascii="宋体" w:hAnsi="宋体" w:eastAsia="宋体" w:cs="宋体"/>
          <w:color w:val="auto"/>
          <w:sz w:val="24"/>
          <w:szCs w:val="24"/>
        </w:rPr>
        <w:t>19．缺陷责任与保修责任</w:t>
      </w:r>
      <w:bookmarkEnd w:id="1655"/>
      <w:bookmarkEnd w:id="1656"/>
      <w:bookmarkEnd w:id="1678"/>
      <w:bookmarkEnd w:id="1679"/>
      <w:bookmarkEnd w:id="1680"/>
      <w:bookmarkEnd w:id="1681"/>
      <w:bookmarkEnd w:id="1682"/>
      <w:bookmarkEnd w:id="1683"/>
      <w:bookmarkEnd w:id="1684"/>
      <w:bookmarkEnd w:id="1685"/>
    </w:p>
    <w:p w14:paraId="43A746B7">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86" w:name="_Toc414368560"/>
      <w:bookmarkStart w:id="1687" w:name="_Toc439684324"/>
      <w:bookmarkStart w:id="1688" w:name="_Toc414352088"/>
      <w:bookmarkStart w:id="1689" w:name="_Toc453678668"/>
      <w:bookmarkStart w:id="1690" w:name="_Toc453677476"/>
      <w:bookmarkStart w:id="1691" w:name="_Toc434412339"/>
      <w:bookmarkStart w:id="1692" w:name="_Toc414275405"/>
      <w:r>
        <w:rPr>
          <w:rFonts w:hint="eastAsia" w:ascii="宋体" w:hAnsi="宋体" w:eastAsia="宋体" w:cs="宋体"/>
          <w:color w:val="auto"/>
          <w:sz w:val="24"/>
          <w:szCs w:val="24"/>
        </w:rPr>
        <w:t>19.1 缺陷责任期（工程质量保修期）的起算时间</w:t>
      </w:r>
      <w:bookmarkEnd w:id="1686"/>
      <w:bookmarkEnd w:id="1687"/>
      <w:bookmarkEnd w:id="1688"/>
      <w:bookmarkEnd w:id="1689"/>
      <w:bookmarkEnd w:id="1690"/>
      <w:bookmarkEnd w:id="1691"/>
      <w:bookmarkEnd w:id="1692"/>
    </w:p>
    <w:p w14:paraId="33512FA8">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除专用合同条款另有约定外，缺陷责任期（ 工程质量保修期）从工程通过合同工程完工验收后开始计算。在合同工程完工验收前，已经发包人提前验收的单位工程或部分工程，若未投入使用，其缺陷责任期 （ 工程质量保修期）亦从工程通过合同工程完工验收后开始计算；若已投入使用，其缺陷责任期 （ 工程质量保修期）从通过单位工程或部分工程投入使用验收后开始计算。缺陷责任期 （ 工程质量保修期）的期限在专用合同条款中约定。</w:t>
      </w:r>
    </w:p>
    <w:p w14:paraId="008CD40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693" w:name="_Toc453677477"/>
      <w:bookmarkStart w:id="1694" w:name="_Toc414352089"/>
      <w:bookmarkStart w:id="1695" w:name="_Toc414368561"/>
      <w:bookmarkStart w:id="1696" w:name="_Toc414275406"/>
      <w:bookmarkStart w:id="1697" w:name="_Toc453678669"/>
      <w:bookmarkStart w:id="1698" w:name="_Toc434412340"/>
      <w:bookmarkStart w:id="1699" w:name="_Toc439684325"/>
      <w:r>
        <w:rPr>
          <w:rFonts w:hint="eastAsia" w:ascii="宋体" w:hAnsi="宋体" w:eastAsia="宋体" w:cs="宋体"/>
          <w:color w:val="auto"/>
          <w:sz w:val="24"/>
          <w:szCs w:val="24"/>
        </w:rPr>
        <w:t>19.2 缺陷责任</w:t>
      </w:r>
      <w:bookmarkEnd w:id="1693"/>
      <w:bookmarkEnd w:id="1694"/>
      <w:bookmarkEnd w:id="1695"/>
      <w:bookmarkEnd w:id="1696"/>
      <w:bookmarkEnd w:id="1697"/>
      <w:bookmarkEnd w:id="1698"/>
      <w:bookmarkEnd w:id="1699"/>
    </w:p>
    <w:p w14:paraId="1261DDA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19.2.1 承包人应在缺陷责任期内对已交付使用的工程承担缺陷责任。</w:t>
      </w:r>
    </w:p>
    <w:p w14:paraId="51394B9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4C1A7C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885295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19.2.4 承包人不能在合理时间内修复缺陷的，发包人可自行修复或委托其他人修复，所需费用和利润的承担，按第19.2.3项约定办理。</w:t>
      </w:r>
    </w:p>
    <w:p w14:paraId="2B4CED2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00" w:name="_Toc414275407"/>
      <w:bookmarkStart w:id="1701" w:name="_Toc414368562"/>
      <w:bookmarkStart w:id="1702" w:name="_Toc453677478"/>
      <w:bookmarkStart w:id="1703" w:name="_Toc453678670"/>
      <w:bookmarkStart w:id="1704" w:name="_Toc414352090"/>
      <w:bookmarkStart w:id="1705" w:name="_Toc434412341"/>
      <w:bookmarkStart w:id="1706" w:name="_Toc439684326"/>
      <w:r>
        <w:rPr>
          <w:rFonts w:hint="eastAsia" w:ascii="宋体" w:hAnsi="宋体" w:eastAsia="宋体" w:cs="宋体"/>
          <w:color w:val="auto"/>
          <w:sz w:val="24"/>
          <w:szCs w:val="24"/>
        </w:rPr>
        <w:t>19.3 缺陷责任期的延长</w:t>
      </w:r>
      <w:bookmarkEnd w:id="1700"/>
      <w:bookmarkEnd w:id="1701"/>
      <w:bookmarkEnd w:id="1702"/>
      <w:bookmarkEnd w:id="1703"/>
      <w:bookmarkEnd w:id="1704"/>
      <w:bookmarkEnd w:id="1705"/>
      <w:bookmarkEnd w:id="1706"/>
    </w:p>
    <w:p w14:paraId="2DE9A4B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2C451A76">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07" w:name="_Toc453677479"/>
      <w:bookmarkStart w:id="1708" w:name="_Toc453678671"/>
      <w:bookmarkStart w:id="1709" w:name="_Toc439684327"/>
      <w:bookmarkStart w:id="1710" w:name="_Toc414275408"/>
      <w:bookmarkStart w:id="1711" w:name="_Toc414352091"/>
      <w:bookmarkStart w:id="1712" w:name="_Toc414368563"/>
      <w:bookmarkStart w:id="1713" w:name="_Toc434412342"/>
      <w:r>
        <w:rPr>
          <w:rFonts w:hint="eastAsia" w:ascii="宋体" w:hAnsi="宋体" w:eastAsia="宋体" w:cs="宋体"/>
          <w:color w:val="auto"/>
          <w:sz w:val="24"/>
          <w:szCs w:val="24"/>
        </w:rPr>
        <w:t>19.4 进一步试验和试运行</w:t>
      </w:r>
      <w:bookmarkEnd w:id="1707"/>
      <w:bookmarkEnd w:id="1708"/>
      <w:bookmarkEnd w:id="1709"/>
      <w:bookmarkEnd w:id="1710"/>
      <w:bookmarkEnd w:id="1711"/>
      <w:bookmarkEnd w:id="1712"/>
      <w:bookmarkEnd w:id="1713"/>
    </w:p>
    <w:p w14:paraId="33897E9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任何一项缺陷或损坏修复后，经检查证明其影响了工程或工程设备的使用性能，承包人应重新进行合同约定的试验和试运行，试验和试运行的全部费用应由责任方承担。</w:t>
      </w:r>
    </w:p>
    <w:p w14:paraId="5DF5D2C2">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14" w:name="_Toc453678672"/>
      <w:bookmarkStart w:id="1715" w:name="_Toc434412343"/>
      <w:bookmarkStart w:id="1716" w:name="_Toc414275409"/>
      <w:bookmarkStart w:id="1717" w:name="_Toc439684328"/>
      <w:bookmarkStart w:id="1718" w:name="_Toc414368564"/>
      <w:bookmarkStart w:id="1719" w:name="_Toc414352092"/>
      <w:bookmarkStart w:id="1720" w:name="_Toc453677480"/>
      <w:r>
        <w:rPr>
          <w:rFonts w:hint="eastAsia" w:ascii="宋体" w:hAnsi="宋体" w:eastAsia="宋体" w:cs="宋体"/>
          <w:color w:val="auto"/>
          <w:sz w:val="24"/>
          <w:szCs w:val="24"/>
        </w:rPr>
        <w:t>19.5 承包人的进入权</w:t>
      </w:r>
      <w:bookmarkEnd w:id="1714"/>
      <w:bookmarkEnd w:id="1715"/>
      <w:bookmarkEnd w:id="1716"/>
      <w:bookmarkEnd w:id="1717"/>
      <w:bookmarkEnd w:id="1718"/>
      <w:bookmarkEnd w:id="1719"/>
      <w:bookmarkEnd w:id="1720"/>
    </w:p>
    <w:p w14:paraId="2B44E2A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缺陷责任期内承包人为缺陷修复工作需要，有权进入工程现场，但应遵守发包人的保安和保密规定。</w:t>
      </w:r>
    </w:p>
    <w:p w14:paraId="63A0B716">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21" w:name="_Toc434412344"/>
      <w:bookmarkStart w:id="1722" w:name="_Toc414368565"/>
      <w:bookmarkStart w:id="1723" w:name="_Toc453677481"/>
      <w:bookmarkStart w:id="1724" w:name="_Toc453678673"/>
      <w:bookmarkStart w:id="1725" w:name="_Toc414275410"/>
      <w:bookmarkStart w:id="1726" w:name="_Toc439684329"/>
      <w:bookmarkStart w:id="1727" w:name="_Toc414352093"/>
      <w:r>
        <w:rPr>
          <w:rFonts w:hint="eastAsia" w:ascii="宋体" w:hAnsi="宋体" w:eastAsia="宋体" w:cs="宋体"/>
          <w:color w:val="auto"/>
          <w:sz w:val="24"/>
          <w:szCs w:val="24"/>
        </w:rPr>
        <w:t>19.6 缺陷责任期终止证书（工程质量保修责任终止证书)</w:t>
      </w:r>
      <w:bookmarkEnd w:id="1721"/>
      <w:bookmarkEnd w:id="1722"/>
      <w:bookmarkEnd w:id="1723"/>
      <w:bookmarkEnd w:id="1724"/>
      <w:bookmarkEnd w:id="1725"/>
      <w:bookmarkEnd w:id="1726"/>
      <w:bookmarkEnd w:id="1727"/>
    </w:p>
    <w:p w14:paraId="7AEE2586">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合同工程完工验收或投入使用验收后，发包人与承包人应办理工程交接手续，承包人应向发包人递交工程质量保修书。</w:t>
      </w:r>
    </w:p>
    <w:p w14:paraId="63A124F0">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 （ 工程质量保修期）满后30个工作日内，发包人应向承包人颁发工程质量保修责任终止证书，并退还剩余的质量保证金，但保修责任范围内的质量缺陷未处理完成的应除外。</w:t>
      </w:r>
    </w:p>
    <w:p w14:paraId="4E032B90">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28" w:name="_Toc434412345"/>
      <w:bookmarkStart w:id="1729" w:name="_Toc453677482"/>
      <w:bookmarkStart w:id="1730" w:name="_Toc439684330"/>
      <w:bookmarkStart w:id="1731" w:name="_Toc414275411"/>
      <w:bookmarkStart w:id="1732" w:name="_Toc453678674"/>
      <w:bookmarkStart w:id="1733" w:name="_Toc414352094"/>
      <w:bookmarkStart w:id="1734" w:name="_Toc414368566"/>
      <w:r>
        <w:rPr>
          <w:rFonts w:hint="eastAsia" w:ascii="宋体" w:hAnsi="宋体" w:eastAsia="宋体" w:cs="宋体"/>
          <w:color w:val="auto"/>
          <w:sz w:val="24"/>
          <w:szCs w:val="24"/>
        </w:rPr>
        <w:t>19.7 保修责任</w:t>
      </w:r>
      <w:bookmarkEnd w:id="1728"/>
      <w:bookmarkEnd w:id="1729"/>
      <w:bookmarkEnd w:id="1730"/>
      <w:bookmarkEnd w:id="1731"/>
      <w:bookmarkEnd w:id="1732"/>
      <w:bookmarkEnd w:id="1733"/>
      <w:bookmarkEnd w:id="1734"/>
    </w:p>
    <w:p w14:paraId="4014DE5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45163C9F">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735" w:name="_Toc439684331"/>
      <w:bookmarkStart w:id="1736" w:name="_Toc184635117"/>
      <w:bookmarkStart w:id="1737" w:name="_Toc203758997"/>
      <w:bookmarkStart w:id="1738" w:name="_Toc453677483"/>
      <w:bookmarkStart w:id="1739" w:name="_Toc453678675"/>
      <w:bookmarkStart w:id="1740" w:name="_Toc414352095"/>
      <w:bookmarkStart w:id="1741" w:name="_Toc414268892"/>
      <w:bookmarkStart w:id="1742" w:name="_Toc414368567"/>
      <w:bookmarkStart w:id="1743" w:name="_Toc434412346"/>
      <w:bookmarkStart w:id="1744" w:name="_Toc414275412"/>
      <w:r>
        <w:rPr>
          <w:rFonts w:hint="eastAsia" w:ascii="宋体" w:hAnsi="宋体" w:eastAsia="宋体" w:cs="宋体"/>
          <w:color w:val="auto"/>
          <w:sz w:val="24"/>
          <w:szCs w:val="24"/>
        </w:rPr>
        <w:t>20．保险</w:t>
      </w:r>
      <w:bookmarkEnd w:id="1735"/>
      <w:bookmarkEnd w:id="1736"/>
      <w:bookmarkEnd w:id="1737"/>
      <w:bookmarkEnd w:id="1738"/>
      <w:bookmarkEnd w:id="1739"/>
      <w:bookmarkEnd w:id="1740"/>
      <w:bookmarkEnd w:id="1741"/>
      <w:bookmarkEnd w:id="1742"/>
      <w:bookmarkEnd w:id="1743"/>
      <w:bookmarkEnd w:id="1744"/>
    </w:p>
    <w:p w14:paraId="4C538007">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45" w:name="_Toc414368568"/>
      <w:bookmarkStart w:id="1746" w:name="_Toc414352096"/>
      <w:bookmarkStart w:id="1747" w:name="_Toc439684332"/>
      <w:bookmarkStart w:id="1748" w:name="_Toc453678676"/>
      <w:bookmarkStart w:id="1749" w:name="_Toc414275413"/>
      <w:bookmarkStart w:id="1750" w:name="_Toc453677484"/>
      <w:bookmarkStart w:id="1751" w:name="_Toc434412347"/>
      <w:r>
        <w:rPr>
          <w:rFonts w:hint="eastAsia" w:ascii="宋体" w:hAnsi="宋体" w:eastAsia="宋体" w:cs="宋体"/>
          <w:color w:val="auto"/>
          <w:sz w:val="24"/>
          <w:szCs w:val="24"/>
        </w:rPr>
        <w:t>20.1 工程保险</w:t>
      </w:r>
      <w:bookmarkEnd w:id="1745"/>
      <w:bookmarkEnd w:id="1746"/>
      <w:bookmarkEnd w:id="1747"/>
      <w:bookmarkEnd w:id="1748"/>
      <w:bookmarkEnd w:id="1749"/>
      <w:bookmarkEnd w:id="1750"/>
      <w:bookmarkEnd w:id="1751"/>
    </w:p>
    <w:p w14:paraId="5A25352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8A47F06">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52" w:name="_Toc414275414"/>
      <w:bookmarkStart w:id="1753" w:name="_Toc453678677"/>
      <w:bookmarkStart w:id="1754" w:name="_Toc453677485"/>
      <w:bookmarkStart w:id="1755" w:name="_Toc414352097"/>
      <w:bookmarkStart w:id="1756" w:name="_Toc414368569"/>
      <w:bookmarkStart w:id="1757" w:name="_Toc439684333"/>
      <w:bookmarkStart w:id="1758" w:name="_Toc434412348"/>
      <w:r>
        <w:rPr>
          <w:rFonts w:hint="eastAsia" w:ascii="宋体" w:hAnsi="宋体" w:eastAsia="宋体" w:cs="宋体"/>
          <w:color w:val="auto"/>
          <w:sz w:val="24"/>
          <w:szCs w:val="24"/>
        </w:rPr>
        <w:t>20.2 人员工伤事故的保险</w:t>
      </w:r>
      <w:bookmarkEnd w:id="1752"/>
      <w:bookmarkEnd w:id="1753"/>
      <w:bookmarkEnd w:id="1754"/>
      <w:bookmarkEnd w:id="1755"/>
      <w:bookmarkEnd w:id="1756"/>
      <w:bookmarkEnd w:id="1757"/>
      <w:bookmarkEnd w:id="1758"/>
    </w:p>
    <w:p w14:paraId="773BA5E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20.2.1 承包人员工伤事故的保险</w:t>
      </w:r>
    </w:p>
    <w:p w14:paraId="02C8BC7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承包人应依照有关法律规定参加工伤保险，为其履行合同所雇佣的全部人员，缴纳工伤保险费，并要求其分包人也进行此项保险。</w:t>
      </w:r>
    </w:p>
    <w:p w14:paraId="32C5150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20.2.2 发包人员工伤事故的保险</w:t>
      </w:r>
    </w:p>
    <w:p w14:paraId="0AC2268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发包人应依照有关法律规定参加工伤保险，为其现场机构雇佣的全部人员，缴纳工伤保险费，并要求其监理人也进行此项保险。</w:t>
      </w:r>
    </w:p>
    <w:p w14:paraId="4082F85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59" w:name="_Toc439684334"/>
      <w:bookmarkStart w:id="1760" w:name="_Toc414352098"/>
      <w:bookmarkStart w:id="1761" w:name="_Toc453677486"/>
      <w:bookmarkStart w:id="1762" w:name="_Toc414368570"/>
      <w:bookmarkStart w:id="1763" w:name="_Toc453678678"/>
      <w:bookmarkStart w:id="1764" w:name="_Toc414275415"/>
      <w:bookmarkStart w:id="1765" w:name="_Toc434412349"/>
      <w:r>
        <w:rPr>
          <w:rFonts w:hint="eastAsia" w:ascii="宋体" w:hAnsi="宋体" w:eastAsia="宋体" w:cs="宋体"/>
          <w:color w:val="auto"/>
          <w:sz w:val="24"/>
          <w:szCs w:val="24"/>
        </w:rPr>
        <w:t>20.3 人身意外伤害险</w:t>
      </w:r>
      <w:bookmarkEnd w:id="1759"/>
      <w:bookmarkEnd w:id="1760"/>
      <w:bookmarkEnd w:id="1761"/>
      <w:bookmarkEnd w:id="1762"/>
      <w:bookmarkEnd w:id="1763"/>
      <w:bookmarkEnd w:id="1764"/>
      <w:bookmarkEnd w:id="1765"/>
    </w:p>
    <w:p w14:paraId="51109F8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20.3.1 发包人应在整个施工期间为其现场机构雇用的全部人员，投保人身意外伤害险，缴纳保险费，并要求其监理人也进行此项保险。</w:t>
      </w:r>
    </w:p>
    <w:p w14:paraId="66DAA9D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20.3.2 承包人应在整个施工期间为其现场机构雇用的全部人员，投保人身意外伤害险，缴纳保险费，并要求其分包人也进行此项保险。</w:t>
      </w:r>
    </w:p>
    <w:p w14:paraId="459E9DFC">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66" w:name="_Toc414275416"/>
      <w:bookmarkStart w:id="1767" w:name="_Toc434412350"/>
      <w:bookmarkStart w:id="1768" w:name="_Toc414368571"/>
      <w:bookmarkStart w:id="1769" w:name="_Toc453677487"/>
      <w:bookmarkStart w:id="1770" w:name="_Toc439684335"/>
      <w:bookmarkStart w:id="1771" w:name="_Toc453678679"/>
      <w:bookmarkStart w:id="1772" w:name="_Toc414352099"/>
      <w:r>
        <w:rPr>
          <w:rFonts w:hint="eastAsia" w:ascii="宋体" w:hAnsi="宋体" w:eastAsia="宋体" w:cs="宋体"/>
          <w:color w:val="auto"/>
          <w:sz w:val="24"/>
          <w:szCs w:val="24"/>
        </w:rPr>
        <w:t>20.4 第三者责任险</w:t>
      </w:r>
      <w:bookmarkEnd w:id="1766"/>
      <w:bookmarkEnd w:id="1767"/>
      <w:bookmarkEnd w:id="1768"/>
      <w:bookmarkEnd w:id="1769"/>
      <w:bookmarkEnd w:id="1770"/>
      <w:bookmarkEnd w:id="1771"/>
      <w:bookmarkEnd w:id="1772"/>
    </w:p>
    <w:p w14:paraId="6B4B34C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A00C78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 在缺陷责任期终止证书颁发前，承包人应以承包人和发包人的共同名义，投保第20.4.1项约定的第三者责任险，其保险费率、保险金额等有关内容在专用合同条款中约定。</w:t>
      </w:r>
    </w:p>
    <w:p w14:paraId="6263C3D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73" w:name="_Toc453678680"/>
      <w:bookmarkStart w:id="1774" w:name="_Toc453677488"/>
      <w:bookmarkStart w:id="1775" w:name="_Toc439684336"/>
      <w:bookmarkStart w:id="1776" w:name="_Toc414368572"/>
      <w:bookmarkStart w:id="1777" w:name="_Toc414352100"/>
      <w:bookmarkStart w:id="1778" w:name="_Toc414275417"/>
      <w:bookmarkStart w:id="1779" w:name="_Toc434412351"/>
      <w:r>
        <w:rPr>
          <w:rFonts w:hint="eastAsia" w:ascii="宋体" w:hAnsi="宋体" w:eastAsia="宋体" w:cs="宋体"/>
          <w:color w:val="auto"/>
          <w:sz w:val="24"/>
          <w:szCs w:val="24"/>
        </w:rPr>
        <w:t>20.5 其他保险</w:t>
      </w:r>
      <w:bookmarkEnd w:id="1773"/>
      <w:bookmarkEnd w:id="1774"/>
      <w:bookmarkEnd w:id="1775"/>
      <w:bookmarkEnd w:id="1776"/>
      <w:bookmarkEnd w:id="1777"/>
      <w:bookmarkEnd w:id="1778"/>
      <w:bookmarkEnd w:id="1779"/>
    </w:p>
    <w:p w14:paraId="016BFDA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除专用合同条款另有约定外，承包人应为其施工设备、进场的材料和工程设备等办理保险。</w:t>
      </w:r>
    </w:p>
    <w:p w14:paraId="215AF40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80" w:name="_Toc453677489"/>
      <w:bookmarkStart w:id="1781" w:name="_Toc434412352"/>
      <w:bookmarkStart w:id="1782" w:name="_Toc414368573"/>
      <w:bookmarkStart w:id="1783" w:name="_Toc439684337"/>
      <w:bookmarkStart w:id="1784" w:name="_Toc414352101"/>
      <w:bookmarkStart w:id="1785" w:name="_Toc453678681"/>
      <w:bookmarkStart w:id="1786" w:name="_Toc414275418"/>
      <w:r>
        <w:rPr>
          <w:rFonts w:hint="eastAsia" w:ascii="宋体" w:hAnsi="宋体" w:eastAsia="宋体" w:cs="宋体"/>
          <w:color w:val="auto"/>
          <w:sz w:val="24"/>
          <w:szCs w:val="24"/>
        </w:rPr>
        <w:t>20.6 对各项保险的一般要求</w:t>
      </w:r>
      <w:bookmarkEnd w:id="1780"/>
      <w:bookmarkEnd w:id="1781"/>
      <w:bookmarkEnd w:id="1782"/>
      <w:bookmarkEnd w:id="1783"/>
      <w:bookmarkEnd w:id="1784"/>
      <w:bookmarkEnd w:id="1785"/>
      <w:bookmarkEnd w:id="1786"/>
    </w:p>
    <w:p w14:paraId="6E3CE6C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20.6.1 保险凭证</w:t>
      </w:r>
    </w:p>
    <w:p w14:paraId="2BE723D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承包人应在专用合同条款约定的期限内向发包人提交各项保险生效的证据和保险单副本，保险单必须与专用合同条款约定的条件保持一致。</w:t>
      </w:r>
    </w:p>
    <w:p w14:paraId="0BFA5AE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20.6.2 保险合同条款的变动</w:t>
      </w:r>
    </w:p>
    <w:p w14:paraId="00B708A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承包人需要变动保险合同条款时，应事先征得发包人同意，并通知监理人。保险人做出变动的，承包人应在收到保险人通知后立即通知发包人和监理人。</w:t>
      </w:r>
    </w:p>
    <w:p w14:paraId="5C84B9A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20.6.3 持续保险</w:t>
      </w:r>
    </w:p>
    <w:p w14:paraId="60D6284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承包人应与保险人保持联系，使保险人能够随时了解工程实施中的变动，并确保按保险合同条款要求持续保险。</w:t>
      </w:r>
    </w:p>
    <w:p w14:paraId="28F0206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20.6.4 保险金不足的补偿</w:t>
      </w:r>
    </w:p>
    <w:p w14:paraId="24806F0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保险金不足以补偿损失的，应由承包人和发包人各自负责补偿的范围和金额在专用合同条款中约定。</w:t>
      </w:r>
    </w:p>
    <w:p w14:paraId="6800019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20.6.5 未按约定投保的补救</w:t>
      </w:r>
    </w:p>
    <w:p w14:paraId="1F9CF6D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（l）由于负有投保义务的一方当事人未按合同约定办理保险，或未能使保险持续有效的，另一方当事人可代为办理，所需费用由对方当事人承担。</w:t>
      </w:r>
    </w:p>
    <w:p w14:paraId="5DE19C6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（2）由于负有投保义务的一方当事人未按合同约定办理某项保险，导致受益人未能得到保险人的赔偿，原应从该项保险得到的保险金应由负有投保义务的一方当事人支付。</w:t>
      </w:r>
    </w:p>
    <w:p w14:paraId="4123CA6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20.6.6 报告义务</w:t>
      </w:r>
    </w:p>
    <w:p w14:paraId="58E37B0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当保险事故发生时，投保人应按照保险单规定的条件和期限及时向保险人报告。</w:t>
      </w:r>
    </w:p>
    <w:p w14:paraId="7E075BD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787" w:name="_Toc453677490"/>
      <w:bookmarkStart w:id="1788" w:name="_Toc439684338"/>
      <w:bookmarkStart w:id="1789" w:name="_Toc414275419"/>
      <w:bookmarkStart w:id="1790" w:name="_Toc453678682"/>
      <w:bookmarkStart w:id="1791" w:name="_Toc414368574"/>
      <w:bookmarkStart w:id="1792" w:name="_Toc414352102"/>
      <w:bookmarkStart w:id="1793" w:name="_Toc434412353"/>
      <w:r>
        <w:rPr>
          <w:rFonts w:hint="eastAsia" w:ascii="宋体" w:hAnsi="宋体" w:eastAsia="宋体" w:cs="宋体"/>
          <w:color w:val="auto"/>
          <w:sz w:val="24"/>
          <w:szCs w:val="24"/>
        </w:rPr>
        <w:t>20.7 风险责任的转移</w:t>
      </w:r>
      <w:bookmarkEnd w:id="1787"/>
      <w:bookmarkEnd w:id="1788"/>
      <w:bookmarkEnd w:id="1789"/>
      <w:bookmarkEnd w:id="1790"/>
      <w:bookmarkEnd w:id="1791"/>
      <w:bookmarkEnd w:id="1792"/>
      <w:bookmarkEnd w:id="1793"/>
    </w:p>
    <w:p w14:paraId="1866D668">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工程通过合同工程完工验收并移交给发包人后，原由承包人应承担的风险责任，以及保险的责任、权利和义务同时转移给发包人，但承包人在缺陷责任期 （ 工程质量保修期）前造成损失和损坏情形除外。</w:t>
      </w:r>
    </w:p>
    <w:p w14:paraId="192CAE49">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794" w:name="_Toc439684339"/>
      <w:bookmarkStart w:id="1795" w:name="_Toc414275420"/>
      <w:bookmarkStart w:id="1796" w:name="_Toc434412354"/>
      <w:bookmarkStart w:id="1797" w:name="_Toc414268893"/>
      <w:bookmarkStart w:id="1798" w:name="_Toc414368575"/>
      <w:bookmarkStart w:id="1799" w:name="_Toc414352103"/>
      <w:bookmarkStart w:id="1800" w:name="_Toc453678683"/>
      <w:bookmarkStart w:id="1801" w:name="_Toc453677491"/>
      <w:bookmarkStart w:id="1802" w:name="_Toc184635118"/>
      <w:bookmarkStart w:id="1803" w:name="_Toc203758998"/>
      <w:r>
        <w:rPr>
          <w:rFonts w:hint="eastAsia" w:ascii="宋体" w:hAnsi="宋体" w:eastAsia="宋体" w:cs="宋体"/>
          <w:color w:val="auto"/>
          <w:sz w:val="24"/>
          <w:szCs w:val="24"/>
        </w:rPr>
        <w:t>21．不可抗力</w:t>
      </w:r>
      <w:bookmarkEnd w:id="1794"/>
      <w:bookmarkEnd w:id="1795"/>
      <w:bookmarkEnd w:id="1796"/>
      <w:bookmarkEnd w:id="1797"/>
      <w:bookmarkEnd w:id="1798"/>
      <w:bookmarkEnd w:id="1799"/>
      <w:bookmarkEnd w:id="1800"/>
      <w:bookmarkEnd w:id="1801"/>
      <w:bookmarkEnd w:id="1802"/>
      <w:bookmarkEnd w:id="1803"/>
    </w:p>
    <w:p w14:paraId="3B3E994B">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04" w:name="_Toc414368576"/>
      <w:bookmarkStart w:id="1805" w:name="_Toc434412355"/>
      <w:bookmarkStart w:id="1806" w:name="_Toc453678684"/>
      <w:bookmarkStart w:id="1807" w:name="_Toc439684340"/>
      <w:bookmarkStart w:id="1808" w:name="_Toc453677492"/>
      <w:bookmarkStart w:id="1809" w:name="_Toc414275421"/>
      <w:bookmarkStart w:id="1810" w:name="_Toc414352104"/>
      <w:r>
        <w:rPr>
          <w:rFonts w:hint="eastAsia" w:ascii="宋体" w:hAnsi="宋体" w:eastAsia="宋体" w:cs="宋体"/>
          <w:color w:val="auto"/>
          <w:sz w:val="24"/>
          <w:szCs w:val="24"/>
        </w:rPr>
        <w:t>21.1 不可抗力的确认</w:t>
      </w:r>
      <w:bookmarkEnd w:id="1804"/>
      <w:bookmarkEnd w:id="1805"/>
      <w:bookmarkEnd w:id="1806"/>
      <w:bookmarkEnd w:id="1807"/>
      <w:bookmarkEnd w:id="1808"/>
      <w:bookmarkEnd w:id="1809"/>
      <w:bookmarkEnd w:id="1810"/>
    </w:p>
    <w:p w14:paraId="71013DC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BE9FED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2AE9FD51">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11" w:name="_Toc439684341"/>
      <w:bookmarkStart w:id="1812" w:name="_Toc434412356"/>
      <w:bookmarkStart w:id="1813" w:name="_Toc453677493"/>
      <w:bookmarkStart w:id="1814" w:name="_Toc414352105"/>
      <w:bookmarkStart w:id="1815" w:name="_Toc414275422"/>
      <w:bookmarkStart w:id="1816" w:name="_Toc453678685"/>
      <w:bookmarkStart w:id="1817" w:name="_Toc414368577"/>
      <w:r>
        <w:rPr>
          <w:rFonts w:hint="eastAsia" w:ascii="宋体" w:hAnsi="宋体" w:eastAsia="宋体" w:cs="宋体"/>
          <w:color w:val="auto"/>
          <w:sz w:val="24"/>
          <w:szCs w:val="24"/>
        </w:rPr>
        <w:t>21.2 不可抗力的通知</w:t>
      </w:r>
      <w:bookmarkEnd w:id="1811"/>
      <w:bookmarkEnd w:id="1812"/>
      <w:bookmarkEnd w:id="1813"/>
      <w:bookmarkEnd w:id="1814"/>
      <w:bookmarkEnd w:id="1815"/>
      <w:bookmarkEnd w:id="1816"/>
      <w:bookmarkEnd w:id="1817"/>
    </w:p>
    <w:p w14:paraId="252A854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21.2.1 合同一方当事人遇到不可抗力事件，使其履行合同义务受到阻碍时，应立即通知合同另一方当事人和监理人，书面说明不可抗力和受阻碍的详细情况，并提供必要的证明。</w:t>
      </w:r>
    </w:p>
    <w:p w14:paraId="0DB878CC">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7F7342D8">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18" w:name="_Toc434412357"/>
      <w:bookmarkStart w:id="1819" w:name="_Toc453677494"/>
      <w:bookmarkStart w:id="1820" w:name="_Toc414368578"/>
      <w:bookmarkStart w:id="1821" w:name="_Toc414352106"/>
      <w:bookmarkStart w:id="1822" w:name="_Toc439684342"/>
      <w:bookmarkStart w:id="1823" w:name="_Toc453678686"/>
      <w:bookmarkStart w:id="1824" w:name="_Toc414275423"/>
      <w:r>
        <w:rPr>
          <w:rFonts w:hint="eastAsia" w:ascii="宋体" w:hAnsi="宋体" w:eastAsia="宋体" w:cs="宋体"/>
          <w:color w:val="auto"/>
          <w:sz w:val="24"/>
          <w:szCs w:val="24"/>
        </w:rPr>
        <w:t>21.3 不可抗力后果及其处理</w:t>
      </w:r>
      <w:bookmarkEnd w:id="1818"/>
      <w:bookmarkEnd w:id="1819"/>
      <w:bookmarkEnd w:id="1820"/>
      <w:bookmarkEnd w:id="1821"/>
      <w:bookmarkEnd w:id="1822"/>
      <w:bookmarkEnd w:id="1823"/>
      <w:bookmarkEnd w:id="1824"/>
    </w:p>
    <w:p w14:paraId="623B3F0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21.3.1 不可抗力造成损害的责任</w:t>
      </w:r>
    </w:p>
    <w:p w14:paraId="67262E9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除专用合同条款另有约定外，不可抗力导致的人员伤亡、财产损失、费用增加和（或）工期延误等后果，由合同双方按以下原则承担：</w:t>
      </w:r>
    </w:p>
    <w:p w14:paraId="796AA62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（1）永久工程，包括已运至施工场地的材料和工程设备的损害，以及因工程损害造成的第三者人员伤亡和财产损失由发包人承担；</w:t>
      </w:r>
    </w:p>
    <w:p w14:paraId="3A3FC5C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（2）承包人设备的损坏由承包人承担；</w:t>
      </w:r>
    </w:p>
    <w:p w14:paraId="46F1446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（3）发包人和承包人各自承担其人员伤亡和其他财产损失及其相关费用；</w:t>
      </w:r>
    </w:p>
    <w:p w14:paraId="79D7D52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（4）承包人的停工损失由承包人承担，但停工期间应监理人要求照管工程和清理、修复工程的金额由发包人承担；</w:t>
      </w:r>
    </w:p>
    <w:p w14:paraId="5191F1E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（5）不能按期竣工的，应合理延长工期，承包人不需支付逾期竣工违约金。发包人要求赶工的，承包人应采取赶工措施，赶工费用由发包人承担。</w:t>
      </w:r>
    </w:p>
    <w:p w14:paraId="0233202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21.3.2 延迟履行期间发生的不可抗力</w:t>
      </w:r>
    </w:p>
    <w:p w14:paraId="2DB4A72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合同一方当事人延迟履行，在延迟履行期间发生不可抗力的，不免除其责任。</w:t>
      </w:r>
    </w:p>
    <w:p w14:paraId="0887F6A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21.3.3 避免和减少不可抗力损失</w:t>
      </w:r>
    </w:p>
    <w:p w14:paraId="6532253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不可抗力发生后，发包人和承包人均应采取措施尽量避免和减少损失的扩大，任何一方没有采取有效措施导致损失扩大的，应对扩大的损失承担责任。</w:t>
      </w:r>
    </w:p>
    <w:p w14:paraId="55CDE63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21.3.4 因不可抗力解除合同</w:t>
      </w:r>
    </w:p>
    <w:p w14:paraId="4BA671D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0507A7D">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825" w:name="_Toc414352107"/>
      <w:bookmarkStart w:id="1826" w:name="_Toc414368579"/>
      <w:bookmarkStart w:id="1827" w:name="_Toc434412358"/>
      <w:bookmarkStart w:id="1828" w:name="_Toc439684343"/>
      <w:bookmarkStart w:id="1829" w:name="_Toc414268894"/>
      <w:bookmarkStart w:id="1830" w:name="_Toc203758999"/>
      <w:bookmarkStart w:id="1831" w:name="_Toc414275424"/>
      <w:bookmarkStart w:id="1832" w:name="_Toc453677495"/>
      <w:bookmarkStart w:id="1833" w:name="_Toc453678687"/>
      <w:bookmarkStart w:id="1834" w:name="_Toc184635119"/>
      <w:r>
        <w:rPr>
          <w:rFonts w:hint="eastAsia" w:ascii="宋体" w:hAnsi="宋体" w:eastAsia="宋体" w:cs="宋体"/>
          <w:color w:val="auto"/>
          <w:sz w:val="24"/>
          <w:szCs w:val="24"/>
        </w:rPr>
        <w:t>22．违约</w:t>
      </w:r>
      <w:bookmarkEnd w:id="1825"/>
      <w:bookmarkEnd w:id="1826"/>
      <w:bookmarkEnd w:id="1827"/>
      <w:bookmarkEnd w:id="1828"/>
      <w:bookmarkEnd w:id="1829"/>
      <w:bookmarkEnd w:id="1830"/>
      <w:bookmarkEnd w:id="1831"/>
      <w:bookmarkEnd w:id="1832"/>
      <w:bookmarkEnd w:id="1833"/>
      <w:bookmarkEnd w:id="1834"/>
    </w:p>
    <w:p w14:paraId="55AADD1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35" w:name="_Toc414275425"/>
      <w:bookmarkStart w:id="1836" w:name="_Toc414352108"/>
      <w:bookmarkStart w:id="1837" w:name="_Toc414368580"/>
      <w:bookmarkStart w:id="1838" w:name="_Toc439684344"/>
      <w:bookmarkStart w:id="1839" w:name="_Toc453677496"/>
      <w:bookmarkStart w:id="1840" w:name="_Toc434412359"/>
      <w:bookmarkStart w:id="1841" w:name="_Toc453678688"/>
      <w:r>
        <w:rPr>
          <w:rFonts w:hint="eastAsia" w:ascii="宋体" w:hAnsi="宋体" w:eastAsia="宋体" w:cs="宋体"/>
          <w:color w:val="auto"/>
          <w:sz w:val="24"/>
          <w:szCs w:val="24"/>
        </w:rPr>
        <w:t>22.1 承包人违约</w:t>
      </w:r>
      <w:bookmarkEnd w:id="1835"/>
      <w:bookmarkEnd w:id="1836"/>
      <w:bookmarkEnd w:id="1837"/>
      <w:bookmarkEnd w:id="1838"/>
      <w:bookmarkEnd w:id="1839"/>
      <w:bookmarkEnd w:id="1840"/>
      <w:bookmarkEnd w:id="1841"/>
    </w:p>
    <w:p w14:paraId="6F4B86D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22.1.1 承包人违约的情形</w:t>
      </w:r>
    </w:p>
    <w:p w14:paraId="4CAD17D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在履行合同过程中发生的下列情况属承包人违约：</w:t>
      </w:r>
    </w:p>
    <w:p w14:paraId="2E978566">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（1）承包人违反第1.8款或第4.3款的约定，私自将合同的全部或部分权利转让给其他人，或私自将合同的全部或部分义务转移给其他人；</w:t>
      </w:r>
    </w:p>
    <w:p w14:paraId="002CF985">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（2）承包人违反第5.3款或第6.4款的约定，未经监理人批准，私自将已按合同约定进入施工场地的施工设备、临时设施或材料撤离施工场地；</w:t>
      </w:r>
    </w:p>
    <w:p w14:paraId="1AEDE0ED">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（3）承包人违反第5.4款的约定使用了不合格材料或工程设备，工程质量达不到标准要求，又拒绝清除不合格工程；</w:t>
      </w:r>
    </w:p>
    <w:p w14:paraId="6E308B48">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（4）承包人未能按合同进度计划及时完成合同约定的工作，已造成或预期造成工期延误；</w:t>
      </w:r>
    </w:p>
    <w:p w14:paraId="3B179071">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（5）承包人在缺陷责任期 （ 工程质量保修期）内，未能对合同工程完工验收鉴定书所列的缺陷清单的内容或缺陷责任期 （ 工程质量保修期）内发生的缺陷进行修复，而又拒绝按监理人指示再进行修补；</w:t>
      </w:r>
    </w:p>
    <w:p w14:paraId="0AAA7BC5">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（6）承包人无法继续履行或明确表示不履行或实质上已停止履行合同；</w:t>
      </w:r>
    </w:p>
    <w:p w14:paraId="71FFA1A9">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（7）承包人不按合同约定履行义务的其它情况。</w:t>
      </w:r>
    </w:p>
    <w:p w14:paraId="6A50DC4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22.1.2 对承包人违约的处理</w:t>
      </w:r>
    </w:p>
    <w:p w14:paraId="52945D5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（l）承包人发生第22.1.1（6）目约定的违约情况时，发包人可通知承包人立即解除合同，并按有关法律处理。</w:t>
      </w:r>
    </w:p>
    <w:p w14:paraId="507DD53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（2）承包人发生除第22.1.1（6）目约定以外的其他违约情况时，监理人可向承包人发出整改通知，要求其在指定的期限内改正。承包人应承担其违约所引起的费用增加和（或）工期延误。</w:t>
      </w:r>
    </w:p>
    <w:p w14:paraId="305DF92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（3）经检查证明承包人已采取了有效措施纠正违约行为，具备复工条件的，可由监理人签发复工通知复工。</w:t>
      </w:r>
    </w:p>
    <w:p w14:paraId="2865720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22.1.3 承包人违约解除合同</w:t>
      </w:r>
    </w:p>
    <w:p w14:paraId="71D04D76">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1A382B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22.1.4 合同解除后的估价、付款和结清</w:t>
      </w:r>
    </w:p>
    <w:p w14:paraId="4F98739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（1）合同解除后，监理人按第3.5款商定或确定承包人实际完成工作的价值，以及承包人已提供的材料、施工设备、工程设备和临时工程等的价值。</w:t>
      </w:r>
    </w:p>
    <w:p w14:paraId="6AA5394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（2）合同解除后，发包人应暂停对承包人的一切付款，查清各项付款和已扣款金额，包括承包人应支付的违约金。</w:t>
      </w:r>
    </w:p>
    <w:p w14:paraId="4FD4FF9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（3）合同解除后，发包人应按第23.4款的约定向承包人索赔由于解除合同给发包人造成的损失。</w:t>
      </w:r>
    </w:p>
    <w:p w14:paraId="43DA553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（4）合同双方确认上述往来款项后，出具最终结清付款证书，结清全部合同款项。</w:t>
      </w:r>
    </w:p>
    <w:p w14:paraId="4153AD6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（5）发包人和承包人未能就解除合同后的结清达成一致而形成争议的，按第24条的约定办理。</w:t>
      </w:r>
    </w:p>
    <w:p w14:paraId="784846E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22.1.5 协议利益的转让</w:t>
      </w:r>
    </w:p>
    <w:p w14:paraId="1CBE135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因承包人违约解除合同的，发包人有权要求承包人将其为实施合同而签订的材料和设备的订货协议或任何服务协议利益转让给发包人，并在解除合同后的14天内，依法办理转让手续。</w:t>
      </w:r>
    </w:p>
    <w:p w14:paraId="5B2FB45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22.1.6 紧急情况下无能力或不愿进行抢救</w:t>
      </w:r>
    </w:p>
    <w:p w14:paraId="493AFD7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A0473EA">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42" w:name="_Toc453677497"/>
      <w:bookmarkStart w:id="1843" w:name="_Toc414352109"/>
      <w:bookmarkStart w:id="1844" w:name="_Toc439684345"/>
      <w:bookmarkStart w:id="1845" w:name="_Toc414275426"/>
      <w:bookmarkStart w:id="1846" w:name="_Toc453678689"/>
      <w:bookmarkStart w:id="1847" w:name="_Toc434412360"/>
      <w:bookmarkStart w:id="1848" w:name="_Toc414368581"/>
      <w:r>
        <w:rPr>
          <w:rFonts w:hint="eastAsia" w:ascii="宋体" w:hAnsi="宋体" w:eastAsia="宋体" w:cs="宋体"/>
          <w:color w:val="auto"/>
          <w:sz w:val="24"/>
          <w:szCs w:val="24"/>
        </w:rPr>
        <w:t>22.2 发包人违约</w:t>
      </w:r>
      <w:bookmarkEnd w:id="1842"/>
      <w:bookmarkEnd w:id="1843"/>
      <w:bookmarkEnd w:id="1844"/>
      <w:bookmarkEnd w:id="1845"/>
      <w:bookmarkEnd w:id="1846"/>
      <w:bookmarkEnd w:id="1847"/>
      <w:bookmarkEnd w:id="1848"/>
    </w:p>
    <w:p w14:paraId="1365587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22.2.1 发包人违约的情形</w:t>
      </w:r>
    </w:p>
    <w:p w14:paraId="7085945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在履行合同过程中发生的下列情形，属发包人违约：</w:t>
      </w:r>
    </w:p>
    <w:p w14:paraId="15A15CE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（l）发包人未能按合同约定支付预付款或合同价款，或拖延、拒绝批准付款申请和支付凭证，导致付款延误的；</w:t>
      </w:r>
    </w:p>
    <w:p w14:paraId="763B841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（2）发包人原因造成停工的；</w:t>
      </w:r>
    </w:p>
    <w:p w14:paraId="0FA7265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（3）监理人无正当理由没有在约定期限内发出复工指示，导致承包人无法复工的；</w:t>
      </w:r>
    </w:p>
    <w:p w14:paraId="34AF18D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（4）发包人无法继续履行或明确表示不履行或实质上已停止履行合同的；</w:t>
      </w:r>
    </w:p>
    <w:p w14:paraId="09522CF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（5）发包人不履行合同约定其他义务的。</w:t>
      </w:r>
    </w:p>
    <w:p w14:paraId="253F4243">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22.2.2 承包人有权暂停施工</w:t>
      </w:r>
    </w:p>
    <w:p w14:paraId="35D2292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4C57AE8D">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22.2.3 发包人违约解除合同</w:t>
      </w:r>
    </w:p>
    <w:p w14:paraId="1496378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（1）发生第22.2.1（4）目的违约情况时，承包人可书面通知发包人解除合同。</w:t>
      </w:r>
    </w:p>
    <w:p w14:paraId="674A26D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421B1DC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22.2.4 解除合同后的付款</w:t>
      </w:r>
    </w:p>
    <w:p w14:paraId="0249DE5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因发包人违约解除合同的，发包人应在解除合同后28天内向承包人支付下列金额，承包人应在此期限内及时向发包人提交要求支付下列金额的有关资料和凭证：</w:t>
      </w:r>
    </w:p>
    <w:p w14:paraId="6D1DE6E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（l）合同解除日以前所完成工作的价款；</w:t>
      </w:r>
    </w:p>
    <w:p w14:paraId="2872DC8F">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（2）承包人为该工程施工订购并已付款的材料、工程设备和其他物品的金额。发包人付还后，该材料、工程设备和其他物品归发包人所有；</w:t>
      </w:r>
    </w:p>
    <w:p w14:paraId="45F83DC9">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（3）承包人为完成工程所发生的，而发包人未支付的金额；</w:t>
      </w:r>
    </w:p>
    <w:p w14:paraId="08E13B4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（4）承包人撤离施工场地以及遣散承包人人员的金额；</w:t>
      </w:r>
    </w:p>
    <w:p w14:paraId="7ED8216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（5）由于解除合同应赔偿的承包人损失；</w:t>
      </w:r>
    </w:p>
    <w:p w14:paraId="4EE82BC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（6）按合同约定在合同解除日前应支付给承包人的其他金额。</w:t>
      </w:r>
    </w:p>
    <w:p w14:paraId="663FE504">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发包人应按本项约定支付上述金额并退还质量保证金和履约担保，但有权要求承包人支付应偿还给发包人的各项金额。</w:t>
      </w:r>
    </w:p>
    <w:p w14:paraId="266D0E0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22.2.5 解除合同后的承包人撤离</w:t>
      </w:r>
    </w:p>
    <w:p w14:paraId="198D47E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因发包人违约而解除合同后，承包人应妥善做好已竣工工程和已购材料、设备的保护和移交工作，按发包人要求将承包人设备和人员撤出施工场地。承包人撤出施工场地应遵守第</w:t>
      </w:r>
    </w:p>
    <w:p w14:paraId="2D15A4B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22.2.6 项的约定，发包人应为承包人撤出提供必要条件。</w:t>
      </w:r>
    </w:p>
    <w:p w14:paraId="24388F05">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49" w:name="_Toc414368582"/>
      <w:bookmarkStart w:id="1850" w:name="_Toc414275427"/>
      <w:bookmarkStart w:id="1851" w:name="_Toc453678690"/>
      <w:bookmarkStart w:id="1852" w:name="_Toc439684346"/>
      <w:bookmarkStart w:id="1853" w:name="_Toc414352110"/>
      <w:bookmarkStart w:id="1854" w:name="_Toc453677498"/>
      <w:bookmarkStart w:id="1855" w:name="_Toc434412361"/>
      <w:r>
        <w:rPr>
          <w:rFonts w:hint="eastAsia" w:ascii="宋体" w:hAnsi="宋体" w:eastAsia="宋体" w:cs="宋体"/>
          <w:color w:val="auto"/>
          <w:sz w:val="24"/>
          <w:szCs w:val="24"/>
        </w:rPr>
        <w:t>22.3 第三人造成的违约</w:t>
      </w:r>
      <w:bookmarkEnd w:id="1849"/>
      <w:bookmarkEnd w:id="1850"/>
      <w:bookmarkEnd w:id="1851"/>
      <w:bookmarkEnd w:id="1852"/>
      <w:bookmarkEnd w:id="1853"/>
      <w:bookmarkEnd w:id="1854"/>
      <w:bookmarkEnd w:id="1855"/>
    </w:p>
    <w:p w14:paraId="0F242A9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14:paraId="23F58085">
      <w:pPr>
        <w:pStyle w:val="3"/>
        <w:keepLines w:val="0"/>
        <w:pageBreakBefore w:val="0"/>
        <w:widowControl w:val="0"/>
        <w:kinsoku/>
        <w:wordWrap/>
        <w:overflowPunct/>
        <w:topLinePunct w:val="0"/>
        <w:bidi w:val="0"/>
        <w:spacing w:line="420" w:lineRule="exact"/>
        <w:ind w:firstLine="480" w:firstLineChars="200"/>
        <w:jc w:val="left"/>
        <w:rPr>
          <w:rFonts w:hint="eastAsia" w:ascii="宋体" w:hAnsi="宋体" w:eastAsia="宋体" w:cs="宋体"/>
          <w:color w:val="auto"/>
          <w:sz w:val="24"/>
          <w:szCs w:val="24"/>
        </w:rPr>
      </w:pPr>
      <w:bookmarkStart w:id="1856" w:name="_Toc184635120"/>
      <w:bookmarkStart w:id="1857" w:name="_Toc434412362"/>
      <w:bookmarkStart w:id="1858" w:name="_Toc453678691"/>
      <w:bookmarkStart w:id="1859" w:name="_Toc414268895"/>
      <w:bookmarkStart w:id="1860" w:name="_Toc414368583"/>
      <w:bookmarkStart w:id="1861" w:name="_Toc439684347"/>
      <w:bookmarkStart w:id="1862" w:name="_Toc203759000"/>
      <w:bookmarkStart w:id="1863" w:name="_Toc414275428"/>
      <w:bookmarkStart w:id="1864" w:name="_Toc414352111"/>
      <w:bookmarkStart w:id="1865" w:name="_Toc453677499"/>
      <w:r>
        <w:rPr>
          <w:rFonts w:hint="eastAsia" w:ascii="宋体" w:hAnsi="宋体" w:eastAsia="宋体" w:cs="宋体"/>
          <w:color w:val="auto"/>
          <w:sz w:val="24"/>
          <w:szCs w:val="24"/>
        </w:rPr>
        <w:t>23．索赔</w:t>
      </w:r>
      <w:bookmarkEnd w:id="1856"/>
      <w:bookmarkEnd w:id="1857"/>
      <w:bookmarkEnd w:id="1858"/>
      <w:bookmarkEnd w:id="1859"/>
      <w:bookmarkEnd w:id="1860"/>
      <w:bookmarkEnd w:id="1861"/>
      <w:bookmarkEnd w:id="1862"/>
      <w:bookmarkEnd w:id="1863"/>
      <w:bookmarkEnd w:id="1864"/>
      <w:bookmarkEnd w:id="1865"/>
    </w:p>
    <w:p w14:paraId="6AE9D14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66" w:name="_Toc453677500"/>
      <w:bookmarkStart w:id="1867" w:name="_Toc414368584"/>
      <w:bookmarkStart w:id="1868" w:name="_Toc439684348"/>
      <w:bookmarkStart w:id="1869" w:name="_Toc414352112"/>
      <w:bookmarkStart w:id="1870" w:name="_Toc414275429"/>
      <w:bookmarkStart w:id="1871" w:name="_Toc453678692"/>
      <w:bookmarkStart w:id="1872" w:name="_Toc434412363"/>
      <w:r>
        <w:rPr>
          <w:rFonts w:hint="eastAsia" w:ascii="宋体" w:hAnsi="宋体" w:eastAsia="宋体" w:cs="宋体"/>
          <w:color w:val="auto"/>
          <w:sz w:val="24"/>
          <w:szCs w:val="24"/>
        </w:rPr>
        <w:t>23.1 承包人索赔的提出</w:t>
      </w:r>
      <w:bookmarkEnd w:id="1866"/>
      <w:bookmarkEnd w:id="1867"/>
      <w:bookmarkEnd w:id="1868"/>
      <w:bookmarkEnd w:id="1869"/>
      <w:bookmarkEnd w:id="1870"/>
      <w:bookmarkEnd w:id="1871"/>
      <w:bookmarkEnd w:id="1872"/>
    </w:p>
    <w:p w14:paraId="1472981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14:paraId="51FAB338">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（l）承包人应在知道或应当知道索赔事件发生后28天内，向监理人递交索赔意向通知书，并说明发生索赔事件的事由。承包人未在前述28天内发出索赔意向通知书的，丧失要求追加付款和（或）延长工期的权利：</w:t>
      </w:r>
    </w:p>
    <w:p w14:paraId="695A42F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（2）承包人应在发出索赔意向通知书后28天内，向监理人正式递交索赔通知书。索赔通知书应详细说明索赔理由以及要求追加的付款金额和（或）延长的工期，并附必要的记录和证明材料；</w:t>
      </w:r>
    </w:p>
    <w:p w14:paraId="26BBFC1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（3）索赔事件具有连续影响的，承包人应按合理时间间隔继续递交延续索赔通知，说明连续影响的实际情况和记录，列出累计的追加付款金额和（或）工期延长天数；</w:t>
      </w:r>
    </w:p>
    <w:p w14:paraId="6E2446B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（4）在索赔事件影响结束后的28天内，承包人应向监理人递交最终索赔通知书，说明最终要求索赔的追加付款金额和延长的工期，并附必要的记录和证明材料。</w:t>
      </w:r>
    </w:p>
    <w:p w14:paraId="0EFD2FFF">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73" w:name="_Toc439684349"/>
      <w:bookmarkStart w:id="1874" w:name="_Toc414368585"/>
      <w:bookmarkStart w:id="1875" w:name="_Toc434412364"/>
      <w:bookmarkStart w:id="1876" w:name="_Toc414275430"/>
      <w:bookmarkStart w:id="1877" w:name="_Toc414352113"/>
      <w:bookmarkStart w:id="1878" w:name="_Toc453678693"/>
      <w:bookmarkStart w:id="1879" w:name="_Toc453677501"/>
      <w:r>
        <w:rPr>
          <w:rFonts w:hint="eastAsia" w:ascii="宋体" w:hAnsi="宋体" w:eastAsia="宋体" w:cs="宋体"/>
          <w:color w:val="auto"/>
          <w:sz w:val="24"/>
          <w:szCs w:val="24"/>
        </w:rPr>
        <w:t>23.2 承包人索赔处理程序</w:t>
      </w:r>
      <w:bookmarkEnd w:id="1873"/>
      <w:bookmarkEnd w:id="1874"/>
      <w:bookmarkEnd w:id="1875"/>
      <w:bookmarkEnd w:id="1876"/>
      <w:bookmarkEnd w:id="1877"/>
      <w:bookmarkEnd w:id="1878"/>
      <w:bookmarkEnd w:id="1879"/>
    </w:p>
    <w:p w14:paraId="285DAEE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（1）监理人收到承包人提交的索赔通知书后，应及时审查索赔通知书的内容、查验承包人的记录和证明材料，必要时监理人可要求承包人提交全部原始记录副本。</w:t>
      </w:r>
    </w:p>
    <w:p w14:paraId="45634D77">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（2）监理人应按第3.5款商定或确定追加的付款和（或）延长的工期，并在收到上述索赔通知书或有关索赔的进一步证明材料后的42天内，将索赔处理结果答复承包人。</w:t>
      </w:r>
    </w:p>
    <w:p w14:paraId="1B29D0E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（3）承包人接受索赔处理结果的，发包人应在做出索赔处理结果答复后28天内完成赔付。承包人不接受索赔处理结果的，按第24条的约定办理。</w:t>
      </w:r>
    </w:p>
    <w:p w14:paraId="12D0289C">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80" w:name="_Toc414368586"/>
      <w:bookmarkStart w:id="1881" w:name="_Toc434412365"/>
      <w:bookmarkStart w:id="1882" w:name="_Toc439684350"/>
      <w:bookmarkStart w:id="1883" w:name="_Toc453677502"/>
      <w:bookmarkStart w:id="1884" w:name="_Toc453678694"/>
      <w:bookmarkStart w:id="1885" w:name="_Toc414275431"/>
      <w:bookmarkStart w:id="1886" w:name="_Toc414352114"/>
      <w:r>
        <w:rPr>
          <w:rFonts w:hint="eastAsia" w:ascii="宋体" w:hAnsi="宋体" w:eastAsia="宋体" w:cs="宋体"/>
          <w:color w:val="auto"/>
          <w:sz w:val="24"/>
          <w:szCs w:val="24"/>
        </w:rPr>
        <w:t>23.3 承包人提出索赔的期限</w:t>
      </w:r>
      <w:bookmarkEnd w:id="1880"/>
      <w:bookmarkEnd w:id="1881"/>
      <w:bookmarkEnd w:id="1882"/>
      <w:bookmarkEnd w:id="1883"/>
      <w:bookmarkEnd w:id="1884"/>
      <w:bookmarkEnd w:id="1885"/>
      <w:bookmarkEnd w:id="1886"/>
    </w:p>
    <w:p w14:paraId="1C43C00D">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23.3.1　承包人按第17.5款的约定接受了完工付款证书后，应被认为已无权再提出在合同工程完工证书颁发前所发生的任何索赔。</w:t>
      </w:r>
    </w:p>
    <w:p w14:paraId="21AC5D53">
      <w:pPr>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23.3.2　承包人按第17.6款的约定提交的最终结清申请单中，只限于提出合同工程完工证书颁发后发生的索赔。提出索赔的期限自接受最终结清证书时终止。</w:t>
      </w:r>
    </w:p>
    <w:p w14:paraId="3D548743">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887" w:name="_Toc453677503"/>
      <w:bookmarkStart w:id="1888" w:name="_Toc439684351"/>
      <w:bookmarkStart w:id="1889" w:name="_Toc434412366"/>
      <w:bookmarkStart w:id="1890" w:name="_Toc414368587"/>
      <w:bookmarkStart w:id="1891" w:name="_Toc414275432"/>
      <w:bookmarkStart w:id="1892" w:name="_Toc453678695"/>
      <w:bookmarkStart w:id="1893" w:name="_Toc414352115"/>
      <w:r>
        <w:rPr>
          <w:rFonts w:hint="eastAsia" w:ascii="宋体" w:hAnsi="宋体" w:eastAsia="宋体" w:cs="宋体"/>
          <w:color w:val="auto"/>
          <w:sz w:val="24"/>
          <w:szCs w:val="24"/>
        </w:rPr>
        <w:t>23.4 发包人的索赔</w:t>
      </w:r>
      <w:bookmarkEnd w:id="1887"/>
      <w:bookmarkEnd w:id="1888"/>
      <w:bookmarkEnd w:id="1889"/>
      <w:bookmarkEnd w:id="1890"/>
      <w:bookmarkEnd w:id="1891"/>
      <w:bookmarkEnd w:id="1892"/>
      <w:bookmarkEnd w:id="1893"/>
    </w:p>
    <w:p w14:paraId="17D8DEB1">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0E9D97AB">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06C639D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w:t>
      </w:r>
      <w:r>
        <w:rPr>
          <w:rFonts w:hint="eastAsia" w:ascii="宋体" w:hAnsi="宋体" w:eastAsia="宋体" w:cs="宋体"/>
          <w:color w:val="auto"/>
          <w:sz w:val="24"/>
          <w:szCs w:val="24"/>
          <w:highlight w:val="none"/>
        </w:rPr>
        <w:t>若承包人不接受监理人的索赔处理意见，可按本合同第24条的规定办理。</w:t>
      </w:r>
    </w:p>
    <w:p w14:paraId="610E13BD">
      <w:pPr>
        <w:pStyle w:val="141"/>
        <w:keepLines w:val="0"/>
        <w:pageBreakBefore w:val="0"/>
        <w:widowControl w:val="0"/>
        <w:kinsoku/>
        <w:wordWrap/>
        <w:overflowPunct/>
        <w:topLinePunct w:val="0"/>
        <w:bidi w:val="0"/>
        <w:spacing w:line="420" w:lineRule="exact"/>
        <w:ind w:firstLine="482" w:firstLineChars="200"/>
        <w:jc w:val="left"/>
        <w:rPr>
          <w:rFonts w:hint="eastAsia" w:ascii="宋体" w:hAnsi="宋体" w:eastAsia="宋体" w:cs="宋体"/>
          <w:b/>
          <w:bCs/>
          <w:color w:val="auto"/>
          <w:sz w:val="24"/>
          <w:szCs w:val="24"/>
          <w:highlight w:val="none"/>
        </w:rPr>
      </w:pPr>
      <w:bookmarkStart w:id="1894" w:name="_Toc414352116"/>
      <w:bookmarkStart w:id="1895" w:name="_Toc414275433"/>
      <w:bookmarkStart w:id="1896" w:name="_Toc414268896"/>
      <w:bookmarkStart w:id="1897" w:name="_Toc414368588"/>
      <w:bookmarkStart w:id="1898" w:name="_Toc439684352"/>
      <w:bookmarkStart w:id="1899" w:name="_Toc453677504"/>
      <w:bookmarkStart w:id="1900" w:name="_Toc453678696"/>
      <w:bookmarkStart w:id="1901" w:name="_Toc434412367"/>
      <w:bookmarkStart w:id="1902" w:name="_Toc184635121"/>
      <w:bookmarkStart w:id="1903" w:name="_Toc203759001"/>
      <w:r>
        <w:rPr>
          <w:rFonts w:hint="eastAsia" w:ascii="宋体" w:hAnsi="宋体" w:eastAsia="宋体" w:cs="宋体"/>
          <w:b/>
          <w:bCs/>
          <w:color w:val="auto"/>
          <w:sz w:val="24"/>
          <w:szCs w:val="24"/>
          <w:highlight w:val="none"/>
        </w:rPr>
        <w:t>24．争议的解决</w:t>
      </w:r>
      <w:bookmarkEnd w:id="1894"/>
      <w:bookmarkEnd w:id="1895"/>
      <w:bookmarkEnd w:id="1896"/>
      <w:bookmarkEnd w:id="1897"/>
      <w:bookmarkEnd w:id="1898"/>
      <w:bookmarkEnd w:id="1899"/>
      <w:bookmarkEnd w:id="1900"/>
      <w:bookmarkEnd w:id="1901"/>
      <w:bookmarkEnd w:id="1902"/>
      <w:bookmarkEnd w:id="1903"/>
    </w:p>
    <w:p w14:paraId="403423A9">
      <w:pPr>
        <w:pStyle w:val="4"/>
        <w:keepLines w:val="0"/>
        <w:pageBreakBefore w:val="0"/>
        <w:widowControl w:val="0"/>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rPr>
      </w:pPr>
      <w:bookmarkStart w:id="1904" w:name="_Toc453677505"/>
      <w:bookmarkStart w:id="1905" w:name="_Toc414368589"/>
      <w:bookmarkStart w:id="1906" w:name="_Toc453678697"/>
      <w:bookmarkStart w:id="1907" w:name="_Toc434412368"/>
      <w:bookmarkStart w:id="1908" w:name="_Toc414275434"/>
      <w:bookmarkStart w:id="1909" w:name="_Toc414352117"/>
      <w:bookmarkStart w:id="1910" w:name="_Toc439684353"/>
      <w:r>
        <w:rPr>
          <w:rFonts w:hint="eastAsia" w:ascii="宋体" w:hAnsi="宋体" w:eastAsia="宋体" w:cs="宋体"/>
          <w:b/>
          <w:bCs/>
          <w:color w:val="auto"/>
          <w:sz w:val="24"/>
          <w:szCs w:val="24"/>
          <w:highlight w:val="none"/>
        </w:rPr>
        <w:t>24.1 争议的解决方式</w:t>
      </w:r>
      <w:bookmarkEnd w:id="1904"/>
      <w:bookmarkEnd w:id="1905"/>
      <w:bookmarkEnd w:id="1906"/>
      <w:bookmarkEnd w:id="1907"/>
      <w:bookmarkEnd w:id="1908"/>
      <w:bookmarkEnd w:id="1909"/>
      <w:bookmarkEnd w:id="1910"/>
    </w:p>
    <w:p w14:paraId="714965BC">
      <w:pPr>
        <w:keepLines w:val="0"/>
        <w:pageBreakBefore w:val="0"/>
        <w:widowControl w:val="0"/>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7F5D7011">
      <w:pPr>
        <w:keepLines w:val="0"/>
        <w:pageBreakBefore w:val="0"/>
        <w:widowControl w:val="0"/>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（l）向</w:t>
      </w:r>
      <w:r>
        <w:rPr>
          <w:rFonts w:hint="eastAsia" w:ascii="宋体" w:hAnsi="宋体" w:cs="宋体"/>
          <w:b/>
          <w:bCs/>
          <w:color w:val="auto"/>
          <w:sz w:val="24"/>
          <w:szCs w:val="24"/>
          <w:highlight w:val="none"/>
          <w:u w:val="single"/>
          <w:lang w:val="en-US" w:eastAsia="zh-CN"/>
        </w:rPr>
        <w:t>咸阳</w:t>
      </w:r>
      <w:r>
        <w:rPr>
          <w:rFonts w:hint="eastAsia" w:ascii="宋体" w:hAnsi="宋体" w:eastAsia="宋体" w:cs="宋体"/>
          <w:b/>
          <w:bCs/>
          <w:color w:val="auto"/>
          <w:sz w:val="24"/>
          <w:szCs w:val="24"/>
          <w:highlight w:val="none"/>
          <w:u w:val="single"/>
        </w:rPr>
        <w:t>仲裁委员会</w:t>
      </w:r>
      <w:r>
        <w:rPr>
          <w:rFonts w:hint="eastAsia" w:ascii="宋体" w:hAnsi="宋体" w:eastAsia="宋体" w:cs="宋体"/>
          <w:b/>
          <w:bCs/>
          <w:color w:val="auto"/>
          <w:sz w:val="24"/>
          <w:szCs w:val="24"/>
          <w:highlight w:val="none"/>
        </w:rPr>
        <w:t>申请仲裁；</w:t>
      </w:r>
    </w:p>
    <w:p w14:paraId="2F3E76F1">
      <w:pPr>
        <w:keepLines w:val="0"/>
        <w:pageBreakBefore w:val="0"/>
        <w:widowControl w:val="0"/>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（2）向</w:t>
      </w:r>
      <w:r>
        <w:rPr>
          <w:rFonts w:hint="eastAsia" w:ascii="宋体" w:hAnsi="宋体" w:cs="宋体"/>
          <w:b/>
          <w:bCs/>
          <w:color w:val="auto"/>
          <w:sz w:val="24"/>
          <w:szCs w:val="24"/>
          <w:highlight w:val="none"/>
          <w:u w:val="single"/>
          <w:lang w:val="en-US" w:eastAsia="zh-CN"/>
        </w:rPr>
        <w:t>工程所在地</w:t>
      </w:r>
      <w:r>
        <w:rPr>
          <w:rFonts w:hint="eastAsia" w:ascii="宋体" w:hAnsi="宋体" w:eastAsia="宋体" w:cs="宋体"/>
          <w:b/>
          <w:bCs/>
          <w:color w:val="auto"/>
          <w:sz w:val="24"/>
          <w:szCs w:val="24"/>
          <w:highlight w:val="none"/>
          <w:u w:val="single"/>
        </w:rPr>
        <w:t>的人民法院</w:t>
      </w:r>
      <w:r>
        <w:rPr>
          <w:rFonts w:hint="eastAsia" w:ascii="宋体" w:hAnsi="宋体" w:eastAsia="宋体" w:cs="宋体"/>
          <w:b/>
          <w:bCs/>
          <w:color w:val="auto"/>
          <w:sz w:val="24"/>
          <w:szCs w:val="24"/>
          <w:highlight w:val="none"/>
        </w:rPr>
        <w:t>提起诉讼。</w:t>
      </w:r>
    </w:p>
    <w:p w14:paraId="54E25D4D">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highlight w:val="none"/>
        </w:rPr>
      </w:pPr>
      <w:bookmarkStart w:id="1911" w:name="_Toc414368590"/>
      <w:bookmarkStart w:id="1912" w:name="_Toc439684354"/>
      <w:bookmarkStart w:id="1913" w:name="_Toc453678698"/>
      <w:bookmarkStart w:id="1914" w:name="_Toc434412369"/>
      <w:bookmarkStart w:id="1915" w:name="_Toc453677506"/>
      <w:bookmarkStart w:id="1916" w:name="_Toc414275435"/>
      <w:bookmarkStart w:id="1917" w:name="_Toc414352118"/>
      <w:r>
        <w:rPr>
          <w:rFonts w:hint="eastAsia" w:ascii="宋体" w:hAnsi="宋体" w:eastAsia="宋体" w:cs="宋体"/>
          <w:color w:val="auto"/>
          <w:sz w:val="24"/>
          <w:szCs w:val="24"/>
          <w:highlight w:val="none"/>
        </w:rPr>
        <w:t>24.2 友好解决</w:t>
      </w:r>
      <w:bookmarkEnd w:id="1911"/>
      <w:bookmarkEnd w:id="1912"/>
      <w:bookmarkEnd w:id="1913"/>
      <w:bookmarkEnd w:id="1914"/>
      <w:bookmarkEnd w:id="1915"/>
      <w:bookmarkEnd w:id="1916"/>
      <w:bookmarkEnd w:id="1917"/>
    </w:p>
    <w:p w14:paraId="31A1FCA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在提请争议评审、仲裁或者诉讼前，以及在争议评审、仲裁或诉讼过程中，发包人和承包人均可共同努力友好协商解决争议。</w:t>
      </w:r>
    </w:p>
    <w:p w14:paraId="5CE28472">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18" w:name="_Toc453678699"/>
      <w:bookmarkStart w:id="1919" w:name="_Toc453677507"/>
      <w:bookmarkStart w:id="1920" w:name="_Toc434412370"/>
      <w:bookmarkStart w:id="1921" w:name="_Toc414368591"/>
      <w:bookmarkStart w:id="1922" w:name="_Toc414352119"/>
      <w:bookmarkStart w:id="1923" w:name="_Toc439684355"/>
      <w:bookmarkStart w:id="1924" w:name="_Toc414275436"/>
      <w:r>
        <w:rPr>
          <w:rFonts w:hint="eastAsia" w:ascii="宋体" w:hAnsi="宋体" w:eastAsia="宋体" w:cs="宋体"/>
          <w:color w:val="auto"/>
          <w:sz w:val="24"/>
          <w:szCs w:val="24"/>
        </w:rPr>
        <w:t>24.3 争议评审</w:t>
      </w:r>
      <w:bookmarkEnd w:id="1918"/>
      <w:bookmarkEnd w:id="1919"/>
      <w:bookmarkEnd w:id="1920"/>
      <w:bookmarkEnd w:id="1921"/>
      <w:bookmarkEnd w:id="1922"/>
      <w:bookmarkEnd w:id="1923"/>
      <w:bookmarkEnd w:id="1924"/>
    </w:p>
    <w:p w14:paraId="72CA0FC0">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24.3.1 采用争议评审的，发包人和承包人应在开工日后的28天内或在争议发生后，协商成立争议评审组。争议评审组由有合同管理和工程实践经验的专家组成。</w:t>
      </w:r>
    </w:p>
    <w:p w14:paraId="489B179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24.3.2 合同双方的争议，应首先由申请人向争议评审组提交一份详细的评审申请报告，并附必要的文件、图纸和证明材料，申请人还应将上述报告的副本同时提交给被申请人和监理人。</w:t>
      </w:r>
    </w:p>
    <w:p w14:paraId="54911132">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24.3.3 被申请人在收到申请人评审申请报告副本后的28天内，向争议评审组提交一份答辩报告，并附证明材料。被申请人应将答辩报告的副本同时提交给申请人和监理人。</w:t>
      </w:r>
    </w:p>
    <w:p w14:paraId="0E49056C">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14:paraId="24D3A8FA">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455D915">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24.3.6 发包人和承包人接受评审意见的，由监理人根据评审意见拟定执行协议，经争议双方签字后作为合同的补充文件，并遵照执行。</w:t>
      </w:r>
    </w:p>
    <w:p w14:paraId="3880A76E">
      <w:pPr>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2E151DF4">
      <w:pPr>
        <w:pStyle w:val="4"/>
        <w:keepLines w:val="0"/>
        <w:pageBreakBefore w:val="0"/>
        <w:widowControl w:val="0"/>
        <w:kinsoku/>
        <w:wordWrap/>
        <w:overflowPunct/>
        <w:topLinePunct w:val="0"/>
        <w:bidi w:val="0"/>
        <w:spacing w:line="420" w:lineRule="exact"/>
        <w:ind w:firstLine="480" w:firstLineChars="200"/>
        <w:rPr>
          <w:rFonts w:hint="eastAsia" w:ascii="宋体" w:hAnsi="宋体" w:eastAsia="宋体" w:cs="宋体"/>
          <w:color w:val="auto"/>
          <w:sz w:val="24"/>
          <w:szCs w:val="24"/>
        </w:rPr>
      </w:pPr>
      <w:bookmarkStart w:id="1925" w:name="_Toc453677508"/>
      <w:bookmarkStart w:id="1926" w:name="_Toc434412371"/>
      <w:bookmarkStart w:id="1927" w:name="_Toc414368592"/>
      <w:bookmarkStart w:id="1928" w:name="_Toc414352120"/>
      <w:bookmarkStart w:id="1929" w:name="_Toc414275437"/>
      <w:bookmarkStart w:id="1930" w:name="_Toc439684356"/>
      <w:bookmarkStart w:id="1931" w:name="_Toc453678700"/>
      <w:r>
        <w:rPr>
          <w:rFonts w:hint="eastAsia" w:ascii="宋体" w:hAnsi="宋体" w:eastAsia="宋体" w:cs="宋体"/>
          <w:color w:val="auto"/>
          <w:sz w:val="24"/>
          <w:szCs w:val="24"/>
        </w:rPr>
        <w:t>24.4 仲裁</w:t>
      </w:r>
      <w:bookmarkEnd w:id="1925"/>
      <w:bookmarkEnd w:id="1926"/>
      <w:bookmarkEnd w:id="1927"/>
      <w:bookmarkEnd w:id="1928"/>
      <w:bookmarkEnd w:id="1929"/>
      <w:bookmarkEnd w:id="1930"/>
      <w:bookmarkEnd w:id="1931"/>
    </w:p>
    <w:p w14:paraId="574A42C7">
      <w:pPr>
        <w:keepLines w:val="0"/>
        <w:pageBreakBefore w:val="0"/>
        <w:widowControl w:val="0"/>
        <w:kinsoku/>
        <w:wordWrap/>
        <w:overflowPunct/>
        <w:topLinePunct w:val="0"/>
        <w:autoSpaceDE w:val="0"/>
        <w:autoSpaceDN w:val="0"/>
        <w:bidi w:val="0"/>
        <w:adjustRightInd w:val="0"/>
        <w:spacing w:line="420" w:lineRule="exact"/>
        <w:ind w:firstLine="480" w:firstLineChars="200"/>
        <w:outlineLvl w:val="0"/>
        <w:rPr>
          <w:rFonts w:hint="eastAsia" w:ascii="宋体" w:hAnsi="宋体" w:eastAsia="宋体" w:cs="宋体"/>
          <w:color w:val="auto"/>
          <w:sz w:val="24"/>
          <w:szCs w:val="24"/>
        </w:rPr>
      </w:pPr>
      <w:bookmarkStart w:id="1932" w:name="_Toc1793"/>
      <w:bookmarkStart w:id="1933" w:name="_Toc453678701"/>
      <w:bookmarkStart w:id="1934" w:name="_Toc4297"/>
      <w:bookmarkStart w:id="1935" w:name="_Toc434937681"/>
      <w:bookmarkStart w:id="1936" w:name="_Toc439684357"/>
      <w:bookmarkStart w:id="1937" w:name="_Toc439685534"/>
      <w:bookmarkStart w:id="1938" w:name="_Toc453677509"/>
      <w:r>
        <w:rPr>
          <w:rFonts w:hint="eastAsia" w:ascii="宋体" w:hAnsi="宋体" w:eastAsia="宋体" w:cs="宋体"/>
          <w:color w:val="auto"/>
          <w:sz w:val="24"/>
          <w:szCs w:val="24"/>
        </w:rPr>
        <w:t>24.4.1　若合同双方商定直接向仲裁机构申请仲裁，应签订仲裁协议并约定仲裁机构。</w:t>
      </w:r>
      <w:bookmarkEnd w:id="1932"/>
      <w:bookmarkEnd w:id="1933"/>
      <w:bookmarkEnd w:id="1934"/>
      <w:bookmarkEnd w:id="1935"/>
      <w:bookmarkEnd w:id="1936"/>
      <w:bookmarkEnd w:id="1937"/>
      <w:bookmarkEnd w:id="1938"/>
    </w:p>
    <w:p w14:paraId="37B782AF">
      <w:pPr>
        <w:pStyle w:val="35"/>
        <w:keepLines w:val="0"/>
        <w:pageBreakBefore w:val="0"/>
        <w:widowControl w:val="0"/>
        <w:kinsoku/>
        <w:wordWrap/>
        <w:overflowPunct/>
        <w:topLinePunct w:val="0"/>
        <w:bidi w:val="0"/>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24.4.2若合同双方未能达成仲裁协议，则本合同的仲裁条款无效，任一方均有权向人民法院提起诉讼。</w:t>
      </w:r>
    </w:p>
    <w:p w14:paraId="743C7E06">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56F66E92">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3DAB95F5">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503FD078">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310F9DD0">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07FDF4EA">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5664A586">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541FE80B">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6604302E">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5C09C7B2">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2F3781BE">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09C61A33">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4C47FE4B">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1FFA1DAB">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pPr>
    </w:p>
    <w:p w14:paraId="38666CCE">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2E989AFF">
      <w:pPr>
        <w:keepLines w:val="0"/>
        <w:pageBreakBefore w:val="0"/>
        <w:widowControl/>
        <w:kinsoku/>
        <w:wordWrap/>
        <w:overflowPunct/>
        <w:topLinePunct w:val="0"/>
        <w:bidi w:val="0"/>
        <w:spacing w:line="420" w:lineRule="exact"/>
        <w:rPr>
          <w:rFonts w:hint="eastAsia" w:ascii="宋体" w:hAnsi="宋体" w:cs="宋体"/>
          <w:color w:val="auto"/>
          <w:sz w:val="24"/>
          <w:szCs w:val="24"/>
        </w:rPr>
      </w:pPr>
      <w:r>
        <w:rPr>
          <w:rFonts w:hint="eastAsia" w:ascii="宋体" w:hAnsi="宋体" w:cs="宋体"/>
          <w:color w:val="auto"/>
          <w:kern w:val="0"/>
          <w:sz w:val="24"/>
          <w:szCs w:val="24"/>
        </w:rPr>
        <w:t>附件</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w:t>
      </w:r>
    </w:p>
    <w:p w14:paraId="22FB423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工程质量保修书</w:t>
      </w:r>
    </w:p>
    <w:p w14:paraId="303211F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p>
    <w:p w14:paraId="642C8449">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14:paraId="50ECBF0F">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14:paraId="2747F461">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发包人、承包人根据《中华人民共和国建筑法》和《建设工程质量管理条例》，经协商一致就</w:t>
      </w:r>
      <w:r>
        <w:rPr>
          <w:rFonts w:hint="eastAsia" w:ascii="宋体" w:hAnsi="宋体" w:eastAsia="宋体" w:cs="宋体"/>
          <w:color w:val="auto"/>
          <w:sz w:val="24"/>
          <w:szCs w:val="24"/>
          <w:highlight w:val="none"/>
          <w:u w:val="single"/>
          <w:lang w:eastAsia="zh-CN"/>
        </w:rPr>
        <w:t>2025年中央水利发展资金泾阳县人畜集中供水及单村人畜供水安装在线计量监测项目（一期）</w:t>
      </w:r>
      <w:r>
        <w:rPr>
          <w:rFonts w:hint="eastAsia" w:ascii="宋体" w:hAnsi="宋体" w:eastAsia="宋体" w:cs="宋体"/>
          <w:color w:val="auto"/>
          <w:sz w:val="24"/>
          <w:szCs w:val="24"/>
          <w:highlight w:val="none"/>
        </w:rPr>
        <w:t>签订工程质量保修书。</w:t>
      </w:r>
    </w:p>
    <w:p w14:paraId="094CA531">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一、工程质量保修范围和内容</w:t>
      </w:r>
    </w:p>
    <w:p w14:paraId="2F57E256">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14:paraId="01340B3E">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BC84897">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14:paraId="69734632">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根据《建设工程质量管理条例》及有关规定，工程的质量保修期如下：</w:t>
      </w:r>
    </w:p>
    <w:p w14:paraId="0BBD8D0F">
      <w:pPr>
        <w:keepNext w:val="0"/>
        <w:keepLines w:val="0"/>
        <w:pageBreakBefore w:val="0"/>
        <w:widowControl/>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基础设施工程、房屋建筑的地基基础工程和主体结构工程，为设计文件规定的该工程的合理使用年限；</w:t>
      </w:r>
    </w:p>
    <w:p w14:paraId="01614F34">
      <w:pPr>
        <w:keepNext w:val="0"/>
        <w:keepLines w:val="0"/>
        <w:pageBreakBefore w:val="0"/>
        <w:widowControl/>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屋面防水工程、有防水要求的卫生间、房间和外墙面的防渗漏，为</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rPr>
        <w:t>年；</w:t>
      </w:r>
    </w:p>
    <w:p w14:paraId="064E2423">
      <w:pPr>
        <w:keepNext w:val="0"/>
        <w:keepLines w:val="0"/>
        <w:pageBreakBefore w:val="0"/>
        <w:widowControl/>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供热与供冷系统，为</w:t>
      </w:r>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rPr>
        <w:t>个采暖期、供冷期；</w:t>
      </w:r>
    </w:p>
    <w:p w14:paraId="519F9CC9">
      <w:pPr>
        <w:keepNext w:val="0"/>
        <w:keepLines w:val="0"/>
        <w:pageBreakBefore w:val="0"/>
        <w:widowControl/>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电气管线、给排水管道、设备安装和装修工程，为</w:t>
      </w:r>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rPr>
        <w:t>年。</w:t>
      </w:r>
    </w:p>
    <w:p w14:paraId="5F1B62C6">
      <w:pPr>
        <w:keepNext w:val="0"/>
        <w:keepLines w:val="0"/>
        <w:pageBreakBefore w:val="0"/>
        <w:widowControl/>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其他项目保修期限约定如下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本项目质量保修期为</w:t>
      </w:r>
      <w:r>
        <w:rPr>
          <w:rFonts w:hint="eastAsia" w:ascii="宋体" w:hAnsi="宋体" w:cs="宋体"/>
          <w:color w:val="auto"/>
          <w:kern w:val="0"/>
          <w:sz w:val="24"/>
          <w:szCs w:val="24"/>
          <w:highlight w:val="none"/>
          <w:u w:val="single"/>
          <w:lang w:val="en-US" w:eastAsia="zh-CN"/>
        </w:rPr>
        <w:t>3</w:t>
      </w:r>
      <w:bookmarkStart w:id="1982" w:name="_GoBack"/>
      <w:bookmarkEnd w:id="1982"/>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none"/>
        </w:rPr>
        <w:t>。</w:t>
      </w:r>
    </w:p>
    <w:p w14:paraId="0EB3721E">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质量保修期自工程竣工验收合格之日起计算。</w:t>
      </w:r>
    </w:p>
    <w:p w14:paraId="6776AE7A">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三、缺陷责任期</w:t>
      </w:r>
      <w:r>
        <w:rPr>
          <w:rFonts w:hint="eastAsia" w:ascii="宋体" w:hAnsi="宋体" w:cs="宋体"/>
          <w:b/>
          <w:color w:val="auto"/>
          <w:kern w:val="0"/>
          <w:sz w:val="24"/>
          <w:szCs w:val="24"/>
          <w:highlight w:val="none"/>
          <w:u w:val="single"/>
          <w:lang w:val="en-US" w:eastAsia="zh-CN"/>
        </w:rPr>
        <w:t>24</w:t>
      </w:r>
      <w:r>
        <w:rPr>
          <w:rFonts w:hint="eastAsia" w:ascii="宋体" w:hAnsi="宋体" w:eastAsia="宋体" w:cs="宋体"/>
          <w:b/>
          <w:bCs/>
          <w:color w:val="auto"/>
          <w:kern w:val="0"/>
          <w:sz w:val="24"/>
          <w:szCs w:val="24"/>
          <w:highlight w:val="none"/>
        </w:rPr>
        <w:t>个月，</w:t>
      </w:r>
      <w:r>
        <w:rPr>
          <w:rFonts w:hint="eastAsia" w:ascii="宋体" w:hAnsi="宋体" w:eastAsia="宋体" w:cs="宋体"/>
          <w:color w:val="auto"/>
          <w:kern w:val="0"/>
          <w:sz w:val="24"/>
          <w:szCs w:val="24"/>
          <w:highlight w:val="none"/>
        </w:rPr>
        <w:t>缺陷责任期自工程通过竣工验收之日起计算。单位工程先于全部工程进行验收，单位工程缺陷责任期自单位工程验收合格之日起算。</w:t>
      </w:r>
    </w:p>
    <w:p w14:paraId="4AC92039">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缺陷责任期终止后，发包人应退还剩余的质量保证金。</w:t>
      </w:r>
    </w:p>
    <w:p w14:paraId="3EFC336E">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四、质量保修责任</w:t>
      </w:r>
    </w:p>
    <w:p w14:paraId="3DE6D6E0">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1.保修费用由造成质量缺陷的责任方承担。</w:t>
      </w:r>
    </w:p>
    <w:p w14:paraId="16E503DF">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2.保修金为工程竣工结算审定总价的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%，在工程竣工结算时预留。质保期间无质量问题则于质保期后支付至保修金总额的</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%（无息）。</w:t>
      </w:r>
    </w:p>
    <w:p w14:paraId="5F16E7F6">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3.属于保修范围、内容的项目，承包人应当在接到保修通知之日起1天内派人保修。承包人不在约定期限内派人保修的，发包人可以委托他人修理，</w:t>
      </w:r>
      <w:r>
        <w:rPr>
          <w:rFonts w:hint="eastAsia" w:ascii="宋体" w:hAnsi="宋体" w:eastAsia="宋体" w:cs="宋体"/>
          <w:color w:val="auto"/>
          <w:sz w:val="24"/>
          <w:szCs w:val="24"/>
          <w:highlight w:val="none"/>
        </w:rPr>
        <w:t>由此产生的费用从保修金中扣除。</w:t>
      </w:r>
    </w:p>
    <w:p w14:paraId="21EC07B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4.发生紧急抢修事故的，承包人在接到事故通知后，应当立即到达事故现场抢修。</w:t>
      </w:r>
    </w:p>
    <w:p w14:paraId="469F59FC">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0C5E0B6">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6.质量保修完成后，由发包人组织验收。</w:t>
      </w:r>
    </w:p>
    <w:p w14:paraId="4F3230D5">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rPr>
        <w:t>缺陷责任期从工程通过竣工验收之日起计。由于承包人原因导致工程无法按规定期限进行竣（交）工验收的，缺陷责任期从实际通过竣（交）工验收之日起计。由于发包人原因导致工程无法按规定期限进行竣（交）工验收的，在承包人提交竣（交）工验收报告90天后，工程自动进入缺陷责任期。</w:t>
      </w:r>
    </w:p>
    <w:p w14:paraId="10F212C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由他人原因造成的缺陷，发包人负责组织维修，承包人不承担费用，且发包人不得从保证金中扣除费用。</w:t>
      </w:r>
    </w:p>
    <w:p w14:paraId="4CBD349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9.缺陷责任期内，承包人认真履行合同约定的责任，到期后，承包人向发包人申请返还保证金。</w:t>
      </w:r>
    </w:p>
    <w:p w14:paraId="69C0E90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接到承包人返还保证金申请后，应于14日内会同承包人按照合同约定的内容进行核实。如无异议，发包人应当在核实后14日内将保证金返还给承包人，逾期支付的，从逾期之日起，按照同期银行贷款利率计付利息，并承担违约责任。发包人在接到承包人返还保证金申请后14日内不予答复，经催告后14日内仍不予答复，视同认可承包人的返还保证金申请。</w:t>
      </w:r>
    </w:p>
    <w:p w14:paraId="34946FB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发包人和承包人对保证金预留、返还以及工程维修质量、费用有争议，按承包合同约定的争议和纠纷解决程序处理</w:t>
      </w:r>
    </w:p>
    <w:p w14:paraId="75F4AB26">
      <w:pPr>
        <w:keepNext w:val="0"/>
        <w:keepLines w:val="0"/>
        <w:pageBreakBefore w:val="0"/>
        <w:numPr>
          <w:ilvl w:val="0"/>
          <w:numId w:val="10"/>
        </w:numPr>
        <w:kinsoku/>
        <w:wordWrap/>
        <w:overflowPunct/>
        <w:topLinePunct w:val="0"/>
        <w:autoSpaceDE/>
        <w:autoSpaceDN/>
        <w:bidi w:val="0"/>
        <w:spacing w:line="420" w:lineRule="exact"/>
        <w:ind w:left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保修费用</w:t>
      </w:r>
    </w:p>
    <w:p w14:paraId="5FAC45BE">
      <w:pPr>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p>
    <w:p w14:paraId="3E29AD92">
      <w:pPr>
        <w:keepNext w:val="0"/>
        <w:keepLines w:val="0"/>
        <w:pageBreakBefore w:val="0"/>
        <w:kinsoku/>
        <w:wordWrap/>
        <w:overflowPunct/>
        <w:topLinePunct w:val="0"/>
        <w:autoSpaceDE/>
        <w:autoSpaceDN/>
        <w:bidi w:val="0"/>
        <w:spacing w:line="420" w:lineRule="exact"/>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1C4993F9">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3E0A9B48">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color w:val="auto"/>
          <w:sz w:val="24"/>
          <w:szCs w:val="24"/>
          <w:highlight w:val="none"/>
        </w:rPr>
      </w:pPr>
    </w:p>
    <w:p w14:paraId="1E54861B">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承包人(公章)：</w:t>
      </w:r>
      <w:r>
        <w:rPr>
          <w:rFonts w:hint="eastAsia" w:ascii="宋体" w:hAnsi="宋体" w:eastAsia="宋体" w:cs="宋体"/>
          <w:color w:val="auto"/>
          <w:sz w:val="24"/>
          <w:szCs w:val="24"/>
          <w:highlight w:val="none"/>
          <w:u w:val="single"/>
        </w:rPr>
        <w:t xml:space="preserve">              </w:t>
      </w:r>
    </w:p>
    <w:p w14:paraId="417A9751">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p>
    <w:p w14:paraId="574DD08A">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法定代表人(签章)：</w:t>
      </w:r>
      <w:r>
        <w:rPr>
          <w:rFonts w:hint="eastAsia" w:ascii="宋体" w:hAnsi="宋体" w:eastAsia="宋体" w:cs="宋体"/>
          <w:color w:val="auto"/>
          <w:sz w:val="24"/>
          <w:szCs w:val="24"/>
          <w:highlight w:val="none"/>
          <w:u w:val="single"/>
        </w:rPr>
        <w:t xml:space="preserve">            </w:t>
      </w:r>
    </w:p>
    <w:p w14:paraId="7B559954">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委托代理人(签章)：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rPr>
        <w:t xml:space="preserve">    </w:t>
      </w:r>
    </w:p>
    <w:p w14:paraId="18DD15A8">
      <w:pPr>
        <w:pStyle w:val="35"/>
        <w:keepLines w:val="0"/>
        <w:pageBreakBefore w:val="0"/>
        <w:kinsoku/>
        <w:wordWrap/>
        <w:overflowPunct/>
        <w:topLinePunct w:val="0"/>
        <w:bidi w:val="0"/>
        <w:spacing w:line="420" w:lineRule="exact"/>
        <w:ind w:left="0" w:leftChars="0" w:firstLine="0" w:firstLineChars="0"/>
        <w:rPr>
          <w:rFonts w:hint="eastAsia" w:ascii="宋体" w:hAnsi="宋体" w:eastAsia="宋体" w:cs="宋体"/>
          <w:color w:val="auto"/>
          <w:sz w:val="24"/>
          <w:szCs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539EFCFD">
      <w:pPr>
        <w:keepLines w:val="0"/>
        <w:pageBreakBefore w:val="0"/>
        <w:kinsoku/>
        <w:wordWrap/>
        <w:overflowPunct/>
        <w:topLinePunct w:val="0"/>
        <w:bidi w:val="0"/>
        <w:adjustRightInd w:val="0"/>
        <w:snapToGrid w:val="0"/>
        <w:spacing w:line="420" w:lineRule="exact"/>
        <w:rPr>
          <w:rFonts w:hint="eastAsia" w:ascii="宋体" w:hAnsi="宋体" w:cs="宋体"/>
          <w:b/>
          <w:color w:val="auto"/>
          <w:kern w:val="0"/>
          <w:sz w:val="24"/>
          <w:szCs w:val="24"/>
        </w:rPr>
      </w:pPr>
      <w:r>
        <w:rPr>
          <w:rFonts w:hint="eastAsia" w:ascii="宋体" w:hAnsi="宋体" w:cs="宋体"/>
          <w:color w:val="auto"/>
          <w:sz w:val="24"/>
          <w:szCs w:val="24"/>
        </w:rPr>
        <w:t>附件</w:t>
      </w:r>
      <w:r>
        <w:rPr>
          <w:rFonts w:hint="eastAsia" w:ascii="宋体" w:hAnsi="宋体" w:cs="宋体"/>
          <w:color w:val="auto"/>
          <w:sz w:val="24"/>
          <w:szCs w:val="24"/>
          <w:lang w:val="en-US" w:eastAsia="zh-CN"/>
        </w:rPr>
        <w:t>2:</w:t>
      </w:r>
      <w:r>
        <w:rPr>
          <w:rFonts w:hint="eastAsia" w:ascii="宋体" w:hAnsi="宋体" w:cs="宋体"/>
          <w:color w:val="auto"/>
          <w:sz w:val="24"/>
          <w:szCs w:val="24"/>
        </w:rPr>
        <w:t>施工安全生产协议格式</w:t>
      </w:r>
    </w:p>
    <w:p w14:paraId="3F7A95B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b/>
          <w:color w:val="auto"/>
          <w:sz w:val="24"/>
          <w:szCs w:val="24"/>
        </w:rPr>
      </w:pPr>
      <w:r>
        <w:rPr>
          <w:rFonts w:hint="eastAsia" w:ascii="宋体" w:hAnsi="宋体" w:cs="宋体"/>
          <w:b/>
          <w:color w:val="auto"/>
          <w:sz w:val="24"/>
          <w:szCs w:val="24"/>
        </w:rPr>
        <w:t>安全生产协议</w:t>
      </w:r>
    </w:p>
    <w:p w14:paraId="738C056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发包人（甲方）：</w:t>
      </w:r>
      <w:r>
        <w:rPr>
          <w:rFonts w:hint="eastAsia" w:ascii="宋体" w:hAnsi="宋体" w:cs="宋体"/>
          <w:color w:val="auto"/>
          <w:sz w:val="24"/>
          <w:szCs w:val="24"/>
          <w:u w:val="single"/>
        </w:rPr>
        <w:t xml:space="preserve">                              </w:t>
      </w:r>
    </w:p>
    <w:p w14:paraId="5FACEBB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承包人（乙方）：</w:t>
      </w:r>
      <w:r>
        <w:rPr>
          <w:rFonts w:hint="eastAsia" w:ascii="宋体" w:hAnsi="宋体" w:cs="宋体"/>
          <w:color w:val="auto"/>
          <w:sz w:val="24"/>
          <w:szCs w:val="24"/>
          <w:u w:val="single"/>
        </w:rPr>
        <w:t xml:space="preserve">                              </w:t>
      </w:r>
    </w:p>
    <w:p w14:paraId="0CD3B6A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为加强建设工程安全生产管理，落实安全生产责任，防止和减少生产安全事故，经甲乙双方在平等、自愿的基础上协商一致，根据《中华人民共和国安全生产法》、《建设工程安全生产管理条例》及相关法律、法规的规定，达成《安全生产协议》如下： </w:t>
      </w:r>
    </w:p>
    <w:p w14:paraId="3C58071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一、承包工程项目：</w:t>
      </w:r>
    </w:p>
    <w:p w14:paraId="70AF386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u w:val="single"/>
        </w:rPr>
      </w:pPr>
      <w:r>
        <w:rPr>
          <w:rFonts w:hint="eastAsia" w:ascii="宋体" w:hAnsi="宋体" w:cs="宋体"/>
          <w:color w:val="auto"/>
          <w:sz w:val="24"/>
          <w:szCs w:val="24"/>
        </w:rPr>
        <w:t>1、工程项目名称：</w:t>
      </w:r>
      <w:r>
        <w:rPr>
          <w:rFonts w:hint="eastAsia" w:ascii="宋体" w:hAnsi="宋体" w:cs="宋体"/>
          <w:color w:val="auto"/>
          <w:kern w:val="0"/>
          <w:sz w:val="24"/>
          <w:szCs w:val="24"/>
          <w:u w:val="single"/>
        </w:rPr>
        <w:t xml:space="preserve">                                           </w:t>
      </w:r>
    </w:p>
    <w:p w14:paraId="4879651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2、工 程 地 址： </w:t>
      </w:r>
      <w:r>
        <w:rPr>
          <w:rFonts w:hint="eastAsia" w:ascii="宋体" w:hAnsi="宋体" w:cs="宋体"/>
          <w:color w:val="auto"/>
          <w:sz w:val="24"/>
          <w:szCs w:val="24"/>
          <w:u w:val="single"/>
        </w:rPr>
        <w:t xml:space="preserve">                                           </w:t>
      </w:r>
    </w:p>
    <w:p w14:paraId="14E90F5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3、承 包 范 围：</w:t>
      </w:r>
      <w:r>
        <w:rPr>
          <w:rFonts w:hint="eastAsia" w:ascii="宋体" w:hAnsi="宋体" w:cs="宋体"/>
          <w:color w:val="auto"/>
          <w:sz w:val="24"/>
          <w:szCs w:val="24"/>
          <w:u w:val="single"/>
        </w:rPr>
        <w:t>见协议书</w:t>
      </w:r>
      <w:r>
        <w:rPr>
          <w:rFonts w:hint="eastAsia" w:ascii="宋体" w:hAnsi="宋体" w:cs="宋体"/>
          <w:color w:val="auto"/>
          <w:sz w:val="24"/>
          <w:szCs w:val="24"/>
        </w:rPr>
        <w:t xml:space="preserve">                       </w:t>
      </w:r>
    </w:p>
    <w:p w14:paraId="5282D98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4、承 包 方 式：</w:t>
      </w:r>
      <w:r>
        <w:rPr>
          <w:rFonts w:hint="eastAsia" w:ascii="宋体" w:hAnsi="宋体" w:cs="宋体"/>
          <w:color w:val="auto"/>
          <w:sz w:val="24"/>
          <w:szCs w:val="24"/>
          <w:u w:val="single"/>
        </w:rPr>
        <w:t>见协议书</w:t>
      </w:r>
      <w:r>
        <w:rPr>
          <w:rFonts w:hint="eastAsia" w:ascii="宋体" w:hAnsi="宋体" w:cs="宋体"/>
          <w:color w:val="auto"/>
          <w:sz w:val="24"/>
          <w:szCs w:val="24"/>
        </w:rPr>
        <w:t xml:space="preserve">        </w:t>
      </w:r>
    </w:p>
    <w:p w14:paraId="5B0C379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二、建设工程安全生产管理目标及必须达到安全事故控制指标</w:t>
      </w:r>
    </w:p>
    <w:p w14:paraId="640CE77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遵守《建设工程安全生产管理条例》的规定，实现安全生产管理目标：无重伤、无死亡、无施工坍塌、无高处坠落、无滑坡、无火灾、无用电事故、无重大机械事故等各类安全生产事故。即：</w:t>
      </w:r>
    </w:p>
    <w:p w14:paraId="7D513E6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1、因工死亡率为零；</w:t>
      </w:r>
    </w:p>
    <w:p w14:paraId="0C30604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2、因工重伤率为零；</w:t>
      </w:r>
    </w:p>
    <w:p w14:paraId="71C31A4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3、因工轻伤事故频率不高于15%；</w:t>
      </w:r>
    </w:p>
    <w:p w14:paraId="44BF092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4、不发生2万元以上的机械、设备、交通和火灾事故。</w:t>
      </w:r>
    </w:p>
    <w:p w14:paraId="35A8944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三、本协议有效期限</w:t>
      </w:r>
    </w:p>
    <w:p w14:paraId="3E16B10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自承包人入驻施工场地之日起，至工程竣工验收合格交付发包人使用时止（同施工合同期限）。</w:t>
      </w:r>
    </w:p>
    <w:p w14:paraId="536C4C0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四、甲方的安全生产管理权利</w:t>
      </w:r>
    </w:p>
    <w:p w14:paraId="70F8665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1、监督检查乙方的各项安全生产工作，对建筑工地现场实施日常检查和定期、不定期的巡查。</w:t>
      </w:r>
    </w:p>
    <w:p w14:paraId="4C036A9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2、在实施检查、巡查过程中，发现建设工程存在安全事故隐患的，有权要求乙方暂时停止施工进行整改，直至消除安全事故隐患。</w:t>
      </w:r>
    </w:p>
    <w:p w14:paraId="5447851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3、根据本协议约定，甲方享有对乙方违反安全生产约定的经济处罚权。</w:t>
      </w:r>
    </w:p>
    <w:p w14:paraId="7360F7B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4、查阅与检查、巡查事项有关的文件、资料。并可根据实际情况，对施工现场进行检测、拍照、录音、摄像等。</w:t>
      </w:r>
    </w:p>
    <w:p w14:paraId="3AC36E9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五、甲方的安全生产管理义务</w:t>
      </w:r>
    </w:p>
    <w:p w14:paraId="55F856D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1、甲方不得对乙方提出不符合建设工程安全生产法律、法规和强制性标准的要求。</w:t>
      </w:r>
    </w:p>
    <w:p w14:paraId="23975BC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2、甲方不得明示或暗示乙方购买、租赁、使用不符合安全施工要求的安全防护用具、机械设备、施工机具及配件、消防设施和器材。</w:t>
      </w:r>
    </w:p>
    <w:p w14:paraId="5C83980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3、对乙方施工现场采取的安全施工技术措施，根据乙方的请求，提供必要的协助。</w:t>
      </w:r>
    </w:p>
    <w:p w14:paraId="1B44D33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六、乙方的安全生产责任与义务</w:t>
      </w:r>
    </w:p>
    <w:p w14:paraId="2826C26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1、乙方应当在其资质等级许可范围内，并具备安全生产许可证的条件下承揽工程。</w:t>
      </w:r>
    </w:p>
    <w:p w14:paraId="7E5C7AC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乙方应当严格按照建设工程安全生产的法律、法规、规章及安全生产的标准、规程的有关规定，组织工程施工，并对工程建设施工的安全生产工作全面负责。因乙方安全生产措施不力造成事故的责任和因此而发生的费用由乙方承担。</w:t>
      </w:r>
    </w:p>
    <w:p w14:paraId="06400F6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3、建立、健全与落实安全生产责任制度、安全生产教育培训制度、安全生产规章制度和操作规程。</w:t>
      </w:r>
    </w:p>
    <w:p w14:paraId="3336036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4、设立安全生产管理机构，配备专职安全生产管理人员。</w:t>
      </w:r>
    </w:p>
    <w:p w14:paraId="4516469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5、根据工程特点组织制定安全施工措施，消除安全事故隐患。强化对基坑开挖、起重吊装、模板工程等危险性较大的工程施工的监控和安全防护措施的落实，严防高空坠落、施工坍塌等安全事故的发生。</w:t>
      </w:r>
    </w:p>
    <w:p w14:paraId="362A802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6、随时接受甲方实施的安全检查、巡查、并按照甲方的要求进行整改，消除安全事故隐患，确保安全生产。</w:t>
      </w:r>
    </w:p>
    <w:p w14:paraId="50A3463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7、乙方应当在施工现场入口处、施工起重机械、临时用电设施、脚手架、出入通道口、基坑边沿等危险部位，设置明显的安全警示标志，安全警示标志必须符合国家标准。</w:t>
      </w:r>
    </w:p>
    <w:p w14:paraId="02AB015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8、乙方应根据不同施工阶段和周围环境及季节、气候气象的变化，在施工现场采取相应的安全施工措施。确保雨季等特殊气候气象情况下的施工安全。</w:t>
      </w:r>
    </w:p>
    <w:p w14:paraId="1E488D1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9、对建设工程施工进行定期和专项安全自检，并做好安全检查记录，及时发现并消除安全生产事故隐患。</w:t>
      </w:r>
    </w:p>
    <w:p w14:paraId="2CEB2F4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10、在施工现场建立消防安全责任制度，确定消防安全责任人，制定用火、用电等各项消防安全管理制度和操作规程。</w:t>
      </w:r>
    </w:p>
    <w:p w14:paraId="364C047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11、制定实施工程现场生产安全事故应急救援预案，并定期组织演练。</w:t>
      </w:r>
    </w:p>
    <w:p w14:paraId="7667393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12、根据安全生产法律、法规规章，标准、规程的规定，乙方应承担的其它责任与义务。</w:t>
      </w:r>
    </w:p>
    <w:p w14:paraId="1F123E9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七、现场停工整改约定</w:t>
      </w:r>
    </w:p>
    <w:p w14:paraId="67C5643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甲方在乙方施工现场检查、巡查过程中，发现存在安全事故隐患，认为必须暂停施工的，应以书面形式下达停工整改通知。乙方对甲方的停工整改通知应予以执行，并按照甲方要求停止施工进行整改，妥善保护已完工程。</w:t>
      </w:r>
    </w:p>
    <w:p w14:paraId="4EE42B9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2、乙方进行整改后，经甲方检查已消除安全事故隐患的，可以进行复工。</w:t>
      </w:r>
    </w:p>
    <w:p w14:paraId="07E290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3、若在一个月内由于乙方出现安全事故隐患，被甲方下达停工整改通知累计两次的，则乙方同意甲方暂停支付其当月的工程进度款，该扣款延期至工程竣工验收合格后再行支付。</w:t>
      </w:r>
    </w:p>
    <w:p w14:paraId="3A27314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八、安全生产奖励约定</w:t>
      </w:r>
    </w:p>
    <w:p w14:paraId="03072A8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若乙方在本安全生产期间，全面实现建设工程安全生产管理目标，无安全生产事故发生，并且未违反本协议约定，未被甲方发出停工整改通知单与经济处罚的，甲方应当给予乙方安全生产奖励。奖励标准为：无。奖励金额为：无。</w:t>
      </w:r>
    </w:p>
    <w:p w14:paraId="5035018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九、安全生产处罚约定</w:t>
      </w:r>
    </w:p>
    <w:p w14:paraId="0B351CC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1、若乙方未能实现本协议约定的安全生产管理目标，发生安全生产事故的，乙方同意，甲方将其缴纳的安全生产保证金予以扣除，扣除金额不再向乙方返还。具体扣除办法由下款约定。乙方对此不持异议。</w:t>
      </w:r>
    </w:p>
    <w:p w14:paraId="0EDFE79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甲方在进行安全生产检查与巡查过程中，若乙方违反本协议约定，甲方有权要求乙方支付违约金。甲方可根据乙方违约的事实、性质、情节，就安全生产的危害程度要求支付违约金。违约金金额一次性最高不超过5000元。</w:t>
      </w:r>
    </w:p>
    <w:p w14:paraId="7F044B6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3、甲方要求乙方支付违约金，应当以书面形式通知乙方。其中：</w:t>
      </w:r>
    </w:p>
    <w:p w14:paraId="54CD149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（1）乙方有下列行为之一的，违约金金额为50000元。</w:t>
      </w:r>
    </w:p>
    <w:p w14:paraId="7E1B038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①发生人员死亡的生产安全事故；</w:t>
      </w:r>
    </w:p>
    <w:p w14:paraId="5DE82BB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②发生人员重伤的生产安全事故。</w:t>
      </w:r>
    </w:p>
    <w:p w14:paraId="1A3A9FC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（2）乙方有下列行为之一的，违约金金额为3000元。</w:t>
      </w:r>
    </w:p>
    <w:p w14:paraId="3F0A56F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①发生人员轻伤的生产安全事故超过三次或一个月内连续发生两次；</w:t>
      </w:r>
    </w:p>
    <w:p w14:paraId="072A68C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②发生2万元以上的机械、设备、交通和火灾生产安全事故一次的。</w:t>
      </w:r>
    </w:p>
    <w:p w14:paraId="1DDDE88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4、甲方按本协议约定要求乙方支付违约金，并不能免除乙方应承担的有关国家机关行政处罚与民事赔偿责任，以及应负的其他法律责任。</w:t>
      </w:r>
    </w:p>
    <w:p w14:paraId="5F45F07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十、附则</w:t>
      </w:r>
    </w:p>
    <w:p w14:paraId="1723815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1、本协议与双方签订的《合同》具有同等法律效力。《合同合同》中没有约定或约定与本协议冲突的，均以本协议约定为准。</w:t>
      </w:r>
    </w:p>
    <w:p w14:paraId="7C1FEFD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2、本协议自双方签字盖章后生效。</w:t>
      </w:r>
    </w:p>
    <w:p w14:paraId="10A0B2C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3、本协议一式拾份，甲方执伍份，乙方执伍份，具有同等法律效力。</w:t>
      </w:r>
    </w:p>
    <w:p w14:paraId="154005E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color w:val="auto"/>
          <w:sz w:val="24"/>
          <w:szCs w:val="24"/>
        </w:rPr>
      </w:pPr>
    </w:p>
    <w:p w14:paraId="32F9B7A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甲方：                                        乙 方：</w:t>
      </w:r>
    </w:p>
    <w:p w14:paraId="656CAC1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法定代表人（或授权代表人）：                  法定代表人（或授权代表人）</w:t>
      </w:r>
    </w:p>
    <w:p w14:paraId="4F4ED0F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签订日期：   年   月   日                     签订日期：   年   月   日</w:t>
      </w:r>
    </w:p>
    <w:p w14:paraId="47C2C1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rPr>
      </w:pPr>
    </w:p>
    <w:p w14:paraId="1FA29D89">
      <w:pPr>
        <w:rPr>
          <w:color w:val="auto"/>
        </w:rPr>
      </w:pPr>
    </w:p>
    <w:p w14:paraId="43562C12">
      <w:pPr>
        <w:pStyle w:val="16"/>
        <w:rPr>
          <w:rFonts w:hint="eastAsia" w:ascii="宋体" w:hAnsi="宋体" w:eastAsia="宋体" w:cs="宋体"/>
          <w:b/>
          <w:bCs w:val="0"/>
          <w:color w:val="auto"/>
          <w:kern w:val="0"/>
          <w:sz w:val="28"/>
          <w:szCs w:val="28"/>
          <w:highlight w:val="none"/>
          <w:lang w:val="en-US" w:eastAsia="zh-CN"/>
        </w:rPr>
      </w:pPr>
    </w:p>
    <w:p w14:paraId="0E54FCDE">
      <w:pPr>
        <w:rPr>
          <w:rFonts w:hint="eastAsia"/>
          <w:color w:val="auto"/>
          <w:lang w:val="en-US" w:eastAsia="zh-CN"/>
        </w:rPr>
      </w:pPr>
    </w:p>
    <w:bookmarkEnd w:id="44"/>
    <w:bookmarkEnd w:id="45"/>
    <w:p w14:paraId="1D34CFFE">
      <w:pPr>
        <w:rPr>
          <w:rFonts w:hint="eastAsia" w:ascii="宋体" w:hAnsi="宋体" w:eastAsia="宋体" w:cs="宋体"/>
          <w:b/>
          <w:bCs/>
          <w:color w:val="auto"/>
          <w:sz w:val="32"/>
          <w:szCs w:val="32"/>
          <w:highlight w:val="none"/>
          <w:lang w:val="zh-CN" w:eastAsia="zh-CN"/>
        </w:rPr>
      </w:pPr>
      <w:r>
        <w:rPr>
          <w:rFonts w:hint="eastAsia" w:ascii="宋体" w:hAnsi="宋体" w:eastAsia="宋体" w:cs="宋体"/>
          <w:b/>
          <w:bCs/>
          <w:color w:val="auto"/>
          <w:sz w:val="32"/>
          <w:szCs w:val="32"/>
          <w:highlight w:val="none"/>
          <w:lang w:val="zh-CN" w:eastAsia="zh-CN"/>
        </w:rPr>
        <w:br w:type="page"/>
      </w:r>
    </w:p>
    <w:p w14:paraId="7BBB72F3">
      <w:pPr>
        <w:pStyle w:val="2"/>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highlight w:val="none"/>
          <w:lang w:val="zh-CN" w:eastAsia="zh-CN"/>
        </w:rPr>
      </w:pPr>
      <w:bookmarkStart w:id="1939" w:name="_Toc735"/>
      <w:r>
        <w:rPr>
          <w:rFonts w:hint="eastAsia" w:ascii="宋体" w:hAnsi="宋体" w:eastAsia="宋体" w:cs="宋体"/>
          <w:b/>
          <w:bCs/>
          <w:color w:val="auto"/>
          <w:sz w:val="32"/>
          <w:szCs w:val="32"/>
          <w:highlight w:val="none"/>
          <w:lang w:val="zh-CN" w:eastAsia="zh-CN"/>
        </w:rPr>
        <w:t>第</w:t>
      </w: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lang w:val="zh-CN" w:eastAsia="zh-CN"/>
        </w:rPr>
        <w:t>章 竞争性磋商响应文件格式</w:t>
      </w:r>
      <w:bookmarkEnd w:id="1939"/>
    </w:p>
    <w:p w14:paraId="71038BE2">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0B205E8D">
      <w:pPr>
        <w:keepNext w:val="0"/>
        <w:keepLines w:val="0"/>
        <w:pageBreakBefore w:val="0"/>
        <w:widowControl w:val="0"/>
        <w:kinsoku/>
        <w:wordWrap/>
        <w:overflowPunct/>
        <w:topLinePunct w:val="0"/>
        <w:bidi w:val="0"/>
        <w:spacing w:line="42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格式是磋商供应商的部分</w:t>
      </w:r>
      <w:r>
        <w:rPr>
          <w:rFonts w:hint="eastAsia" w:ascii="宋体" w:hAnsi="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格式，磋商供应商应按照这些格式编制</w:t>
      </w:r>
      <w:r>
        <w:rPr>
          <w:rFonts w:hint="eastAsia" w:ascii="宋体" w:hAnsi="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前，请详细阅读</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，理解文件中的每一项要求，逐一做出实质性响应，认为有必要，可做补充说明。</w:t>
      </w:r>
    </w:p>
    <w:p w14:paraId="551DCB71">
      <w:pPr>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sz w:val="24"/>
          <w:szCs w:val="24"/>
          <w:highlight w:val="none"/>
          <w:lang w:val="zh-CN"/>
        </w:rPr>
      </w:pPr>
    </w:p>
    <w:p w14:paraId="05675346">
      <w:pPr>
        <w:keepNext w:val="0"/>
        <w:keepLines w:val="0"/>
        <w:pageBreakBefore w:val="0"/>
        <w:widowControl w:val="0"/>
        <w:kinsoku/>
        <w:wordWrap/>
        <w:overflowPunct/>
        <w:topLinePunct w:val="0"/>
        <w:autoSpaceDE w:val="0"/>
        <w:autoSpaceDN w:val="0"/>
        <w:bidi w:val="0"/>
        <w:adjustRightInd w:val="0"/>
        <w:snapToGrid w:val="0"/>
        <w:spacing w:line="420" w:lineRule="exact"/>
        <w:jc w:val="right"/>
        <w:textAlignment w:val="auto"/>
        <w:rPr>
          <w:rFonts w:hint="eastAsia" w:ascii="宋体" w:hAnsi="宋体" w:eastAsia="宋体" w:cs="宋体"/>
          <w:b/>
          <w:bCs/>
          <w:color w:val="auto"/>
          <w:sz w:val="28"/>
          <w:szCs w:val="28"/>
          <w:highlight w:val="none"/>
          <w:lang w:val="zh-CN"/>
        </w:rPr>
      </w:pPr>
    </w:p>
    <w:p w14:paraId="6654A4DB">
      <w:pPr>
        <w:keepNext w:val="0"/>
        <w:keepLines w:val="0"/>
        <w:pageBreakBefore w:val="0"/>
        <w:widowControl w:val="0"/>
        <w:kinsoku/>
        <w:wordWrap/>
        <w:overflowPunct/>
        <w:topLinePunct w:val="0"/>
        <w:bidi w:val="0"/>
        <w:spacing w:line="420" w:lineRule="exact"/>
        <w:ind w:firstLine="472" w:firstLineChars="196"/>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注:非独立企业法人参与本次磋商的，</w:t>
      </w:r>
      <w:r>
        <w:rPr>
          <w:rFonts w:hint="eastAsia" w:ascii="宋体" w:hAnsi="宋体" w:cs="宋体"/>
          <w:b/>
          <w:bCs/>
          <w:color w:val="auto"/>
          <w:sz w:val="24"/>
          <w:szCs w:val="24"/>
          <w:highlight w:val="none"/>
          <w:lang w:val="zh-CN"/>
        </w:rPr>
        <w:t>竞争性磋商响应文件</w:t>
      </w:r>
      <w:r>
        <w:rPr>
          <w:rFonts w:hint="eastAsia" w:ascii="宋体" w:hAnsi="宋体" w:eastAsia="宋体" w:cs="宋体"/>
          <w:b/>
          <w:bCs/>
          <w:color w:val="auto"/>
          <w:sz w:val="24"/>
          <w:szCs w:val="24"/>
          <w:highlight w:val="none"/>
          <w:lang w:val="zh-CN"/>
        </w:rPr>
        <w:t>内涉及到法人签字盖章的部分均可由负责人签字盖章，授权书格式参照法人代表授权书。</w:t>
      </w:r>
    </w:p>
    <w:p w14:paraId="7D8FD33A">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5C1EE758">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3E254222">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2F00C898">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3A4E09FD">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3E25AA97">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2AF90D69">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5C2F68A1">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4864B0CC">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64ABE667">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176872D2">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54614DB2">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4D4F27DF">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0EC98391">
      <w:pPr>
        <w:pStyle w:val="16"/>
        <w:rPr>
          <w:rFonts w:hint="eastAsia" w:ascii="宋体" w:hAnsi="宋体" w:eastAsia="宋体" w:cs="宋体"/>
          <w:b/>
          <w:bCs/>
          <w:color w:val="auto"/>
          <w:sz w:val="28"/>
          <w:szCs w:val="28"/>
          <w:highlight w:val="none"/>
          <w:lang w:val="zh-CN"/>
        </w:rPr>
      </w:pPr>
    </w:p>
    <w:p w14:paraId="49C26095">
      <w:pPr>
        <w:rPr>
          <w:rFonts w:hint="eastAsia" w:ascii="宋体" w:hAnsi="宋体" w:eastAsia="宋体" w:cs="宋体"/>
          <w:b/>
          <w:bCs/>
          <w:color w:val="auto"/>
          <w:sz w:val="28"/>
          <w:szCs w:val="28"/>
          <w:highlight w:val="none"/>
          <w:lang w:val="zh-CN"/>
        </w:rPr>
      </w:pPr>
    </w:p>
    <w:p w14:paraId="63907407">
      <w:pPr>
        <w:pStyle w:val="16"/>
        <w:rPr>
          <w:rFonts w:hint="eastAsia" w:ascii="宋体" w:hAnsi="宋体" w:eastAsia="宋体" w:cs="宋体"/>
          <w:b/>
          <w:bCs/>
          <w:color w:val="auto"/>
          <w:sz w:val="28"/>
          <w:szCs w:val="28"/>
          <w:highlight w:val="none"/>
          <w:lang w:val="zh-CN"/>
        </w:rPr>
      </w:pPr>
    </w:p>
    <w:p w14:paraId="3DCB9C2A">
      <w:pPr>
        <w:rPr>
          <w:rFonts w:hint="eastAsia" w:ascii="宋体" w:hAnsi="宋体" w:eastAsia="宋体" w:cs="宋体"/>
          <w:b/>
          <w:bCs/>
          <w:color w:val="auto"/>
          <w:sz w:val="28"/>
          <w:szCs w:val="28"/>
          <w:highlight w:val="none"/>
          <w:lang w:val="zh-CN"/>
        </w:rPr>
      </w:pPr>
    </w:p>
    <w:p w14:paraId="4759620F">
      <w:pPr>
        <w:pStyle w:val="16"/>
        <w:rPr>
          <w:rFonts w:hint="eastAsia" w:ascii="宋体" w:hAnsi="宋体" w:eastAsia="宋体" w:cs="宋体"/>
          <w:b/>
          <w:bCs/>
          <w:color w:val="auto"/>
          <w:sz w:val="28"/>
          <w:szCs w:val="28"/>
          <w:highlight w:val="none"/>
          <w:lang w:val="zh-CN"/>
        </w:rPr>
      </w:pPr>
    </w:p>
    <w:p w14:paraId="3905CAA5">
      <w:pPr>
        <w:rPr>
          <w:rFonts w:hint="eastAsia" w:ascii="宋体" w:hAnsi="宋体" w:eastAsia="宋体" w:cs="宋体"/>
          <w:b/>
          <w:bCs/>
          <w:color w:val="auto"/>
          <w:sz w:val="28"/>
          <w:szCs w:val="28"/>
          <w:highlight w:val="none"/>
          <w:lang w:val="zh-CN"/>
        </w:rPr>
      </w:pPr>
    </w:p>
    <w:p w14:paraId="7C49644F">
      <w:pPr>
        <w:pStyle w:val="16"/>
        <w:rPr>
          <w:rFonts w:hint="eastAsia"/>
          <w:color w:val="auto"/>
          <w:highlight w:val="none"/>
          <w:lang w:val="zh-CN"/>
        </w:rPr>
      </w:pPr>
    </w:p>
    <w:p w14:paraId="7FB91325">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1115EF75">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7F63505A">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28"/>
          <w:szCs w:val="28"/>
          <w:highlight w:val="none"/>
          <w:lang w:val="zh-CN"/>
        </w:rPr>
      </w:pPr>
    </w:p>
    <w:p w14:paraId="24FB9925">
      <w:pPr>
        <w:keepLines w:val="0"/>
        <w:kinsoku/>
        <w:autoSpaceDE w:val="0"/>
        <w:autoSpaceDN w:val="0"/>
        <w:bidi w:val="0"/>
        <w:adjustRightInd w:val="0"/>
        <w:snapToGrid w:val="0"/>
        <w:spacing w:line="420" w:lineRule="exact"/>
        <w:jc w:val="both"/>
        <w:rPr>
          <w:rFonts w:hint="eastAsia" w:ascii="宋体" w:hAnsi="宋体" w:eastAsia="宋体" w:cs="宋体"/>
          <w:b/>
          <w:bCs/>
          <w:color w:val="auto"/>
          <w:sz w:val="28"/>
          <w:szCs w:val="28"/>
          <w:highlight w:val="none"/>
          <w:lang w:val="zh-CN"/>
        </w:rPr>
      </w:pPr>
    </w:p>
    <w:p w14:paraId="76C527CF">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36"/>
          <w:szCs w:val="36"/>
          <w:highlight w:val="none"/>
          <w:lang w:val="zh-CN"/>
        </w:rPr>
      </w:pPr>
    </w:p>
    <w:p w14:paraId="64DAC2E2">
      <w:pPr>
        <w:keepLines w:val="0"/>
        <w:kinsoku/>
        <w:autoSpaceDE w:val="0"/>
        <w:autoSpaceDN w:val="0"/>
        <w:bidi w:val="0"/>
        <w:adjustRightInd w:val="0"/>
        <w:snapToGrid w:val="0"/>
        <w:spacing w:line="420" w:lineRule="exact"/>
        <w:jc w:val="both"/>
        <w:rPr>
          <w:rFonts w:hint="eastAsia" w:ascii="宋体" w:hAnsi="宋体" w:cs="宋体"/>
          <w:b/>
          <w:bCs/>
          <w:color w:val="auto"/>
          <w:sz w:val="32"/>
          <w:szCs w:val="32"/>
          <w:highlight w:val="none"/>
          <w:lang w:val="en-US" w:eastAsia="zh-CN"/>
        </w:rPr>
      </w:pPr>
    </w:p>
    <w:p w14:paraId="725E8A0B">
      <w:pPr>
        <w:keepLines w:val="0"/>
        <w:kinsoku/>
        <w:autoSpaceDE w:val="0"/>
        <w:autoSpaceDN w:val="0"/>
        <w:bidi w:val="0"/>
        <w:adjustRightInd w:val="0"/>
        <w:snapToGrid w:val="0"/>
        <w:spacing w:line="420" w:lineRule="exact"/>
        <w:jc w:val="both"/>
        <w:rPr>
          <w:rFonts w:hint="eastAsia" w:ascii="宋体" w:hAnsi="宋体" w:cs="宋体"/>
          <w:b/>
          <w:bCs/>
          <w:color w:val="auto"/>
          <w:sz w:val="32"/>
          <w:szCs w:val="32"/>
          <w:highlight w:val="none"/>
          <w:lang w:val="en-US" w:eastAsia="zh-CN"/>
        </w:rPr>
      </w:pPr>
    </w:p>
    <w:p w14:paraId="61B88CDD">
      <w:pPr>
        <w:keepLines w:val="0"/>
        <w:kinsoku/>
        <w:autoSpaceDE w:val="0"/>
        <w:autoSpaceDN w:val="0"/>
        <w:bidi w:val="0"/>
        <w:adjustRightInd w:val="0"/>
        <w:snapToGrid w:val="0"/>
        <w:spacing w:line="420" w:lineRule="exact"/>
        <w:jc w:val="both"/>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政府采购项目</w:t>
      </w:r>
    </w:p>
    <w:p w14:paraId="030674A3">
      <w:pPr>
        <w:keepLines w:val="0"/>
        <w:kinsoku/>
        <w:autoSpaceDE w:val="0"/>
        <w:autoSpaceDN w:val="0"/>
        <w:bidi w:val="0"/>
        <w:adjustRightInd w:val="0"/>
        <w:snapToGrid w:val="0"/>
        <w:spacing w:line="420" w:lineRule="exact"/>
        <w:jc w:val="right"/>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正本/副本</w:t>
      </w:r>
    </w:p>
    <w:p w14:paraId="7F3E9A10">
      <w:pPr>
        <w:pStyle w:val="16"/>
        <w:keepLines w:val="0"/>
        <w:kinsoku/>
        <w:bidi w:val="0"/>
        <w:spacing w:line="420" w:lineRule="exact"/>
        <w:rPr>
          <w:rFonts w:hint="eastAsia"/>
          <w:color w:val="auto"/>
          <w:highlight w:val="none"/>
          <w:lang w:val="zh-CN"/>
        </w:rPr>
      </w:pPr>
    </w:p>
    <w:p w14:paraId="3308A8EF">
      <w:pPr>
        <w:pStyle w:val="35"/>
        <w:rPr>
          <w:rFonts w:hint="eastAsia"/>
          <w:color w:val="auto"/>
          <w:highlight w:val="none"/>
        </w:rPr>
      </w:pPr>
    </w:p>
    <w:p w14:paraId="60160DA3">
      <w:pPr>
        <w:keepLines w:val="0"/>
        <w:kinsoku/>
        <w:bidi w:val="0"/>
        <w:spacing w:line="420" w:lineRule="exact"/>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SSJY-CG（G）-2025020</w:t>
      </w:r>
    </w:p>
    <w:p w14:paraId="4C10F9AE">
      <w:pPr>
        <w:keepLines w:val="0"/>
        <w:kinsoku/>
        <w:bidi w:val="0"/>
        <w:spacing w:line="420" w:lineRule="exact"/>
        <w:rPr>
          <w:rFonts w:hint="eastAsia" w:ascii="宋体" w:hAnsi="宋体" w:eastAsia="宋体" w:cs="宋体"/>
          <w:b/>
          <w:color w:val="auto"/>
          <w:sz w:val="28"/>
          <w:szCs w:val="28"/>
          <w:highlight w:val="none"/>
          <w:u w:val="single"/>
        </w:rPr>
      </w:pPr>
    </w:p>
    <w:p w14:paraId="40B4253A">
      <w:pPr>
        <w:keepLines w:val="0"/>
        <w:kinsoku/>
        <w:bidi w:val="0"/>
        <w:spacing w:line="420" w:lineRule="exact"/>
        <w:rPr>
          <w:rFonts w:hint="eastAsia" w:ascii="宋体" w:hAnsi="宋体" w:eastAsia="宋体" w:cs="宋体"/>
          <w:color w:val="auto"/>
          <w:highlight w:val="none"/>
        </w:rPr>
      </w:pPr>
    </w:p>
    <w:p w14:paraId="380C6C81">
      <w:pPr>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rPr>
      </w:pPr>
    </w:p>
    <w:p w14:paraId="0D710448">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48"/>
          <w:szCs w:val="48"/>
          <w:highlight w:val="none"/>
          <w:lang w:val="zh-CN"/>
        </w:rPr>
      </w:pPr>
      <w:r>
        <w:rPr>
          <w:rFonts w:hint="eastAsia" w:ascii="宋体" w:hAnsi="宋体" w:cs="宋体"/>
          <w:b/>
          <w:bCs/>
          <w:color w:val="auto"/>
          <w:sz w:val="48"/>
          <w:szCs w:val="48"/>
          <w:highlight w:val="none"/>
          <w:lang w:val="zh-CN" w:eastAsia="zh-CN"/>
        </w:rPr>
        <w:t>2025年中央水利发展资金泾阳县人畜集中供水及单村人畜供水安装在线计量监测项目（一期）</w:t>
      </w:r>
    </w:p>
    <w:p w14:paraId="610F8F49">
      <w:pPr>
        <w:pStyle w:val="16"/>
        <w:rPr>
          <w:rFonts w:hint="eastAsia"/>
          <w:color w:val="auto"/>
          <w:highlight w:val="none"/>
        </w:rPr>
      </w:pPr>
    </w:p>
    <w:p w14:paraId="74E662E4">
      <w:pPr>
        <w:rPr>
          <w:rFonts w:hint="eastAsia"/>
        </w:rPr>
      </w:pPr>
    </w:p>
    <w:p w14:paraId="63BB6BD9">
      <w:pPr>
        <w:rPr>
          <w:rFonts w:hint="eastAsia"/>
          <w:color w:val="auto"/>
          <w:highlight w:val="none"/>
        </w:rPr>
      </w:pPr>
    </w:p>
    <w:p w14:paraId="16B812C8">
      <w:pPr>
        <w:pStyle w:val="16"/>
        <w:rPr>
          <w:rFonts w:hint="eastAsia"/>
          <w:color w:val="auto"/>
        </w:rPr>
      </w:pPr>
    </w:p>
    <w:p w14:paraId="0E690966">
      <w:pPr>
        <w:pStyle w:val="16"/>
        <w:rPr>
          <w:rFonts w:hint="eastAsia"/>
          <w:color w:val="auto"/>
          <w:highlight w:val="none"/>
        </w:rPr>
      </w:pPr>
    </w:p>
    <w:p w14:paraId="5CD8BDDA">
      <w:pPr>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56"/>
          <w:szCs w:val="56"/>
          <w:highlight w:val="none"/>
          <w:lang w:val="zh-CN"/>
        </w:rPr>
      </w:pPr>
      <w:r>
        <w:rPr>
          <w:rFonts w:hint="eastAsia" w:ascii="宋体" w:hAnsi="宋体" w:cs="宋体"/>
          <w:b/>
          <w:bCs/>
          <w:color w:val="auto"/>
          <w:sz w:val="56"/>
          <w:szCs w:val="56"/>
          <w:highlight w:val="none"/>
          <w:lang w:val="zh-CN"/>
        </w:rPr>
        <w:t>竞争性磋商响应文件</w:t>
      </w:r>
    </w:p>
    <w:p w14:paraId="130B9134">
      <w:pPr>
        <w:keepLines w:val="0"/>
        <w:tabs>
          <w:tab w:val="left" w:pos="5670"/>
        </w:tabs>
        <w:kinsoku/>
        <w:autoSpaceDE w:val="0"/>
        <w:autoSpaceDN w:val="0"/>
        <w:bidi w:val="0"/>
        <w:adjustRightInd w:val="0"/>
        <w:snapToGrid w:val="0"/>
        <w:spacing w:line="420" w:lineRule="exact"/>
        <w:rPr>
          <w:rFonts w:hint="eastAsia" w:ascii="宋体" w:hAnsi="宋体" w:eastAsia="宋体" w:cs="宋体"/>
          <w:color w:val="auto"/>
          <w:sz w:val="28"/>
          <w:szCs w:val="28"/>
          <w:highlight w:val="none"/>
        </w:rPr>
      </w:pPr>
    </w:p>
    <w:p w14:paraId="6394CBBD">
      <w:pPr>
        <w:pStyle w:val="16"/>
        <w:keepLines w:val="0"/>
        <w:kinsoku/>
        <w:bidi w:val="0"/>
        <w:spacing w:line="420" w:lineRule="exact"/>
        <w:rPr>
          <w:rFonts w:hint="eastAsia"/>
          <w:color w:val="auto"/>
          <w:highlight w:val="none"/>
        </w:rPr>
      </w:pPr>
    </w:p>
    <w:p w14:paraId="7577C998">
      <w:pPr>
        <w:rPr>
          <w:rFonts w:hint="eastAsia"/>
          <w:color w:val="auto"/>
          <w:highlight w:val="none"/>
        </w:rPr>
      </w:pPr>
    </w:p>
    <w:p w14:paraId="69ED5FF7">
      <w:pPr>
        <w:pStyle w:val="16"/>
        <w:rPr>
          <w:rFonts w:hint="eastAsia"/>
          <w:color w:val="auto"/>
        </w:rPr>
      </w:pPr>
    </w:p>
    <w:p w14:paraId="1F111505">
      <w:pPr>
        <w:rPr>
          <w:rFonts w:hint="eastAsia"/>
          <w:color w:val="auto"/>
        </w:rPr>
      </w:pPr>
    </w:p>
    <w:p w14:paraId="20B76373">
      <w:pPr>
        <w:pStyle w:val="16"/>
        <w:keepNext w:val="0"/>
        <w:keepLines w:val="0"/>
        <w:pageBreakBefore w:val="0"/>
        <w:widowControl w:val="0"/>
        <w:kinsoku/>
        <w:wordWrap/>
        <w:overflowPunct/>
        <w:topLinePunct w:val="0"/>
        <w:bidi w:val="0"/>
        <w:spacing w:line="360" w:lineRule="auto"/>
        <w:textAlignment w:val="auto"/>
        <w:rPr>
          <w:rFonts w:hint="eastAsia"/>
          <w:color w:val="auto"/>
        </w:rPr>
      </w:pPr>
    </w:p>
    <w:p w14:paraId="42C0202A">
      <w:pPr>
        <w:keepNext w:val="0"/>
        <w:keepLines w:val="0"/>
        <w:pageBreakBefore w:val="0"/>
        <w:widowControl w:val="0"/>
        <w:kinsoku/>
        <w:wordWrap/>
        <w:overflowPunct/>
        <w:topLinePunct w:val="0"/>
        <w:autoSpaceDE w:val="0"/>
        <w:autoSpaceDN w:val="0"/>
        <w:bidi w:val="0"/>
        <w:adjustRightInd w:val="0"/>
        <w:snapToGrid w:val="0"/>
        <w:spacing w:line="360" w:lineRule="auto"/>
        <w:ind w:firstLine="964" w:firstLineChars="300"/>
        <w:textAlignment w:val="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lang w:val="zh-CN"/>
        </w:rPr>
        <w:t>磋商供应商：</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（单位盖章）</w:t>
      </w:r>
    </w:p>
    <w:p w14:paraId="47F74CDB">
      <w:pPr>
        <w:keepNext w:val="0"/>
        <w:keepLines w:val="0"/>
        <w:pageBreakBefore w:val="0"/>
        <w:widowControl w:val="0"/>
        <w:kinsoku/>
        <w:wordWrap/>
        <w:overflowPunct/>
        <w:topLinePunct w:val="0"/>
        <w:autoSpaceDE w:val="0"/>
        <w:autoSpaceDN w:val="0"/>
        <w:bidi w:val="0"/>
        <w:adjustRightInd w:val="0"/>
        <w:snapToGrid w:val="0"/>
        <w:spacing w:line="360" w:lineRule="auto"/>
        <w:ind w:firstLine="964" w:firstLineChars="300"/>
        <w:jc w:val="left"/>
        <w:textAlignment w:val="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法定代表人或</w:t>
      </w:r>
      <w:r>
        <w:rPr>
          <w:rFonts w:hint="eastAsia" w:ascii="宋体" w:hAnsi="宋体" w:eastAsia="宋体" w:cs="宋体"/>
          <w:b/>
          <w:bCs/>
          <w:color w:val="auto"/>
          <w:sz w:val="32"/>
          <w:szCs w:val="32"/>
          <w:highlight w:val="none"/>
          <w:lang w:val="zh-CN"/>
        </w:rPr>
        <w:t>被授权人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（签字或盖章）</w:t>
      </w:r>
    </w:p>
    <w:p w14:paraId="1C3ED51E">
      <w:pPr>
        <w:keepNext w:val="0"/>
        <w:keepLines w:val="0"/>
        <w:pageBreakBefore w:val="0"/>
        <w:widowControl w:val="0"/>
        <w:kinsoku/>
        <w:wordWrap/>
        <w:overflowPunct/>
        <w:topLinePunct w:val="0"/>
        <w:autoSpaceDE w:val="0"/>
        <w:autoSpaceDN w:val="0"/>
        <w:bidi w:val="0"/>
        <w:adjustRightInd w:val="0"/>
        <w:snapToGrid w:val="0"/>
        <w:spacing w:line="360" w:lineRule="auto"/>
        <w:ind w:firstLine="964" w:firstLineChars="300"/>
        <w:textAlignment w:val="auto"/>
        <w:rPr>
          <w:rFonts w:hint="eastAsia" w:ascii="宋体" w:hAnsi="宋体" w:eastAsia="宋体" w:cs="宋体"/>
          <w:b/>
          <w:bCs/>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b/>
          <w:bCs/>
          <w:color w:val="auto"/>
          <w:sz w:val="32"/>
          <w:szCs w:val="32"/>
          <w:highlight w:val="none"/>
          <w:lang w:val="zh-CN"/>
        </w:rPr>
        <w:t>时  间：</w:t>
      </w:r>
      <w:r>
        <w:rPr>
          <w:rFonts w:hint="eastAsia" w:ascii="宋体" w:hAnsi="宋体" w:eastAsia="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p>
    <w:p w14:paraId="4B63400D">
      <w:pPr>
        <w:keepLines w:val="0"/>
        <w:kinsoku/>
        <w:autoSpaceDE w:val="0"/>
        <w:autoSpaceDN w:val="0"/>
        <w:bidi w:val="0"/>
        <w:adjustRightInd w:val="0"/>
        <w:snapToGrid w:val="0"/>
        <w:spacing w:line="420" w:lineRule="exact"/>
        <w:jc w:val="center"/>
        <w:rPr>
          <w:rFonts w:hint="eastAsia" w:ascii="宋体" w:hAnsi="宋体" w:eastAsia="宋体" w:cs="宋体"/>
          <w:b/>
          <w:bCs/>
          <w:color w:val="auto"/>
          <w:sz w:val="28"/>
          <w:szCs w:val="28"/>
          <w:highlight w:val="none"/>
          <w:lang w:val="zh-CN"/>
        </w:rPr>
      </w:pPr>
    </w:p>
    <w:p w14:paraId="0AC1A110">
      <w:pPr>
        <w:keepLines w:val="0"/>
        <w:kinsoku/>
        <w:autoSpaceDE w:val="0"/>
        <w:autoSpaceDN w:val="0"/>
        <w:bidi w:val="0"/>
        <w:adjustRightInd w:val="0"/>
        <w:snapToGrid w:val="0"/>
        <w:spacing w:line="42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   录</w:t>
      </w:r>
    </w:p>
    <w:p w14:paraId="20606B06">
      <w:pPr>
        <w:keepLines w:val="0"/>
        <w:kinsoku/>
        <w:autoSpaceDE w:val="0"/>
        <w:autoSpaceDN w:val="0"/>
        <w:bidi w:val="0"/>
        <w:adjustRightInd w:val="0"/>
        <w:snapToGrid w:val="0"/>
        <w:spacing w:line="420" w:lineRule="exact"/>
        <w:jc w:val="center"/>
        <w:rPr>
          <w:rFonts w:hint="eastAsia" w:ascii="宋体" w:hAnsi="宋体" w:eastAsia="宋体" w:cs="宋体"/>
          <w:b/>
          <w:bCs/>
          <w:color w:val="auto"/>
          <w:sz w:val="28"/>
          <w:szCs w:val="28"/>
          <w:highlight w:val="none"/>
          <w:lang w:val="zh-CN"/>
        </w:rPr>
      </w:pPr>
    </w:p>
    <w:p w14:paraId="4569B6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第一部分 磋商响应函</w:t>
      </w:r>
    </w:p>
    <w:p w14:paraId="46FC43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第二部分 第一次磋商报价表</w:t>
      </w:r>
    </w:p>
    <w:p w14:paraId="2AC909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第三部分 已标价工程量清单</w:t>
      </w:r>
    </w:p>
    <w:p w14:paraId="43874D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 xml:space="preserve">第四部分 </w:t>
      </w:r>
      <w:r>
        <w:rPr>
          <w:rFonts w:hint="eastAsia" w:ascii="宋体" w:hAnsi="宋体" w:cs="宋体"/>
          <w:bCs/>
          <w:color w:val="auto"/>
          <w:sz w:val="24"/>
          <w:szCs w:val="24"/>
          <w:highlight w:val="none"/>
          <w:lang w:val="en-US" w:eastAsia="zh-CN"/>
        </w:rPr>
        <w:t>施工</w:t>
      </w:r>
      <w:r>
        <w:rPr>
          <w:rFonts w:hint="eastAsia" w:ascii="宋体" w:hAnsi="宋体" w:eastAsia="宋体" w:cs="宋体"/>
          <w:bCs/>
          <w:color w:val="auto"/>
          <w:sz w:val="24"/>
          <w:szCs w:val="24"/>
          <w:highlight w:val="none"/>
          <w:lang w:val="zh-CN" w:eastAsia="zh-CN"/>
        </w:rPr>
        <w:t>方案</w:t>
      </w:r>
    </w:p>
    <w:p w14:paraId="1F3822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第五部分 技术/商务条款偏差表</w:t>
      </w:r>
    </w:p>
    <w:p w14:paraId="65D1C1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第</w:t>
      </w:r>
      <w:r>
        <w:rPr>
          <w:rFonts w:hint="eastAsia" w:ascii="宋体" w:hAnsi="宋体" w:eastAsia="宋体" w:cs="宋体"/>
          <w:bCs/>
          <w:color w:val="auto"/>
          <w:sz w:val="24"/>
          <w:szCs w:val="24"/>
          <w:highlight w:val="none"/>
          <w:lang w:val="en-US" w:eastAsia="zh-CN"/>
        </w:rPr>
        <w:t>六</w:t>
      </w:r>
      <w:r>
        <w:rPr>
          <w:rFonts w:hint="eastAsia" w:ascii="宋体" w:hAnsi="宋体" w:eastAsia="宋体" w:cs="宋体"/>
          <w:bCs/>
          <w:color w:val="auto"/>
          <w:sz w:val="24"/>
          <w:szCs w:val="24"/>
          <w:highlight w:val="none"/>
          <w:lang w:val="zh-CN"/>
        </w:rPr>
        <w:t xml:space="preserve">部分 </w:t>
      </w:r>
      <w:r>
        <w:rPr>
          <w:rFonts w:hint="eastAsia" w:ascii="宋体" w:hAnsi="宋体" w:eastAsia="宋体" w:cs="宋体"/>
          <w:bCs/>
          <w:color w:val="auto"/>
          <w:sz w:val="24"/>
          <w:szCs w:val="24"/>
          <w:highlight w:val="none"/>
          <w:lang w:val="en-US" w:eastAsia="zh-CN"/>
        </w:rPr>
        <w:t>供应商承诺书</w:t>
      </w:r>
    </w:p>
    <w:p w14:paraId="0B0F06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第</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lang w:val="zh-CN"/>
        </w:rPr>
        <w:t>部分 供应商资质证明文件</w:t>
      </w:r>
    </w:p>
    <w:p w14:paraId="41EC5D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第八部分 其他资料</w:t>
      </w:r>
    </w:p>
    <w:p w14:paraId="6A7FE73C">
      <w:pPr>
        <w:keepLines w:val="0"/>
        <w:kinsoku/>
        <w:autoSpaceDE w:val="0"/>
        <w:autoSpaceDN w:val="0"/>
        <w:bidi w:val="0"/>
        <w:adjustRightInd w:val="0"/>
        <w:spacing w:line="420" w:lineRule="exact"/>
        <w:jc w:val="left"/>
        <w:rPr>
          <w:rFonts w:hint="eastAsia" w:ascii="宋体" w:hAnsi="宋体" w:eastAsia="宋体" w:cs="宋体"/>
          <w:b/>
          <w:bCs/>
          <w:color w:val="auto"/>
          <w:sz w:val="28"/>
          <w:szCs w:val="28"/>
          <w:highlight w:val="none"/>
          <w:lang w:val="zh-CN"/>
        </w:rPr>
      </w:pPr>
    </w:p>
    <w:p w14:paraId="67A5EECF">
      <w:pPr>
        <w:keepLines w:val="0"/>
        <w:kinsoku/>
        <w:autoSpaceDE w:val="0"/>
        <w:autoSpaceDN w:val="0"/>
        <w:bidi w:val="0"/>
        <w:adjustRightInd w:val="0"/>
        <w:spacing w:line="420" w:lineRule="exact"/>
        <w:jc w:val="left"/>
        <w:rPr>
          <w:rFonts w:hint="eastAsia" w:ascii="宋体" w:hAnsi="宋体" w:eastAsia="宋体" w:cs="宋体"/>
          <w:b/>
          <w:bCs/>
          <w:color w:val="auto"/>
          <w:sz w:val="28"/>
          <w:szCs w:val="28"/>
          <w:highlight w:val="none"/>
          <w:lang w:val="zh-CN"/>
        </w:rPr>
      </w:pPr>
    </w:p>
    <w:p w14:paraId="45D011C6">
      <w:pPr>
        <w:keepLines w:val="0"/>
        <w:kinsoku/>
        <w:autoSpaceDE w:val="0"/>
        <w:autoSpaceDN w:val="0"/>
        <w:bidi w:val="0"/>
        <w:adjustRightInd w:val="0"/>
        <w:spacing w:line="420" w:lineRule="exact"/>
        <w:jc w:val="left"/>
        <w:rPr>
          <w:rFonts w:hint="eastAsia" w:ascii="宋体" w:hAnsi="宋体" w:eastAsia="宋体" w:cs="宋体"/>
          <w:b/>
          <w:bCs/>
          <w:color w:val="auto"/>
          <w:sz w:val="28"/>
          <w:szCs w:val="28"/>
          <w:highlight w:val="none"/>
          <w:lang w:val="zh-CN"/>
        </w:rPr>
      </w:pPr>
    </w:p>
    <w:p w14:paraId="67DCF997">
      <w:pPr>
        <w:keepLines w:val="0"/>
        <w:kinsoku/>
        <w:autoSpaceDE w:val="0"/>
        <w:autoSpaceDN w:val="0"/>
        <w:bidi w:val="0"/>
        <w:adjustRightInd w:val="0"/>
        <w:spacing w:line="420" w:lineRule="exact"/>
        <w:jc w:val="left"/>
        <w:rPr>
          <w:rFonts w:hint="eastAsia" w:ascii="宋体" w:hAnsi="宋体" w:eastAsia="宋体" w:cs="宋体"/>
          <w:b/>
          <w:bCs/>
          <w:color w:val="auto"/>
          <w:sz w:val="28"/>
          <w:szCs w:val="28"/>
          <w:highlight w:val="none"/>
          <w:lang w:val="zh-CN"/>
        </w:rPr>
      </w:pPr>
    </w:p>
    <w:p w14:paraId="14943CEB">
      <w:pPr>
        <w:keepLines w:val="0"/>
        <w:kinsoku/>
        <w:autoSpaceDE w:val="0"/>
        <w:autoSpaceDN w:val="0"/>
        <w:bidi w:val="0"/>
        <w:adjustRightInd w:val="0"/>
        <w:spacing w:line="420" w:lineRule="exact"/>
        <w:jc w:val="left"/>
        <w:rPr>
          <w:rFonts w:hint="eastAsia" w:ascii="宋体" w:hAnsi="宋体" w:eastAsia="宋体" w:cs="宋体"/>
          <w:b/>
          <w:bCs/>
          <w:color w:val="auto"/>
          <w:sz w:val="28"/>
          <w:szCs w:val="28"/>
          <w:highlight w:val="none"/>
          <w:lang w:val="zh-CN"/>
        </w:rPr>
      </w:pPr>
    </w:p>
    <w:p w14:paraId="329815E6">
      <w:pPr>
        <w:keepLines w:val="0"/>
        <w:kinsoku/>
        <w:autoSpaceDE w:val="0"/>
        <w:autoSpaceDN w:val="0"/>
        <w:bidi w:val="0"/>
        <w:adjustRightInd w:val="0"/>
        <w:spacing w:line="420" w:lineRule="exact"/>
        <w:jc w:val="center"/>
        <w:rPr>
          <w:rFonts w:hint="eastAsia" w:ascii="宋体" w:hAnsi="宋体" w:eastAsia="宋体" w:cs="宋体"/>
          <w:b/>
          <w:bCs/>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7EC665E8">
      <w:pPr>
        <w:keepNext w:val="0"/>
        <w:keepLines w:val="0"/>
        <w:pageBreakBefore w:val="0"/>
        <w:widowControl w:val="0"/>
        <w:kinsoku/>
        <w:wordWrap/>
        <w:autoSpaceDE w:val="0"/>
        <w:autoSpaceDN w:val="0"/>
        <w:bidi w:val="0"/>
        <w:adjustRightInd w:val="0"/>
        <w:snapToGrid w:val="0"/>
        <w:spacing w:line="360" w:lineRule="auto"/>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第一部分 磋商响应函</w:t>
      </w:r>
    </w:p>
    <w:p w14:paraId="1B65A6A3">
      <w:pPr>
        <w:keepNext w:val="0"/>
        <w:keepLines w:val="0"/>
        <w:pageBreakBefore w:val="0"/>
        <w:widowControl w:val="0"/>
        <w:tabs>
          <w:tab w:val="left" w:pos="1155"/>
        </w:tabs>
        <w:kinsoku/>
        <w:wordWrap/>
        <w:overflowPunct w:val="0"/>
        <w:topLinePunct/>
        <w:autoSpaceDE/>
        <w:autoSpaceDN/>
        <w:bidi w:val="0"/>
        <w:adjustRightInd/>
        <w:spacing w:line="500" w:lineRule="exact"/>
        <w:ind w:firstLine="460" w:firstLineChars="192"/>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（采购人名称）： </w:t>
      </w:r>
    </w:p>
    <w:p w14:paraId="066B4996">
      <w:pPr>
        <w:keepNext w:val="0"/>
        <w:keepLines w:val="0"/>
        <w:pageBreakBefore w:val="0"/>
        <w:widowControl w:val="0"/>
        <w:kinsoku/>
        <w:wordWrap/>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1、我方已仔细研究了</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（项目名称</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项目编号</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磋商文件的全部内容，愿意以</w:t>
      </w:r>
      <w:r>
        <w:rPr>
          <w:rFonts w:hint="eastAsia" w:ascii="宋体" w:hAnsi="宋体" w:eastAsia="宋体" w:cs="宋体"/>
          <w:bCs/>
          <w:color w:val="auto"/>
          <w:sz w:val="24"/>
          <w:szCs w:val="24"/>
          <w:highlight w:val="none"/>
          <w:lang w:val="en-US" w:eastAsia="zh-CN"/>
        </w:rPr>
        <w:t>第一次磋商</w:t>
      </w:r>
      <w:r>
        <w:rPr>
          <w:rFonts w:hint="eastAsia" w:ascii="宋体" w:hAnsi="宋体" w:eastAsia="宋体" w:cs="宋体"/>
          <w:bCs/>
          <w:color w:val="auto"/>
          <w:sz w:val="24"/>
          <w:szCs w:val="24"/>
          <w:highlight w:val="none"/>
        </w:rPr>
        <w:t>报价为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（大写金额）</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（小写金额）</w:t>
      </w:r>
      <w:r>
        <w:rPr>
          <w:rFonts w:hint="eastAsia" w:ascii="宋体" w:hAnsi="宋体" w:eastAsia="宋体" w:cs="宋体"/>
          <w:color w:val="auto"/>
          <w:sz w:val="24"/>
          <w:szCs w:val="24"/>
          <w:highlight w:val="none"/>
          <w:u w:val="none"/>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none"/>
        </w:rPr>
        <w:t>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，质量目标：</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，并按合同约定的工期及质量实施和完成全部项目。</w:t>
      </w:r>
    </w:p>
    <w:p w14:paraId="66A96B69">
      <w:pPr>
        <w:keepNext w:val="0"/>
        <w:keepLines w:val="0"/>
        <w:pageBreakBefore w:val="0"/>
        <w:widowControl w:val="0"/>
        <w:tabs>
          <w:tab w:val="left" w:pos="1155"/>
        </w:tabs>
        <w:kinsoku/>
        <w:wordWrap/>
        <w:overflowPunct w:val="0"/>
        <w:topLinePunct/>
        <w:autoSpaceDE/>
        <w:autoSpaceDN/>
        <w:bidi w:val="0"/>
        <w:adjustRightInd/>
        <w:spacing w:line="500" w:lineRule="exact"/>
        <w:ind w:firstLine="460" w:firstLineChars="192"/>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2、我方承诺自响应截止之日起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日历天（同响应文件有效期）不补充、修改、替代或者撤回本响应性文件。</w:t>
      </w:r>
    </w:p>
    <w:p w14:paraId="2C9848CF">
      <w:pPr>
        <w:keepNext w:val="0"/>
        <w:keepLines w:val="0"/>
        <w:pageBreakBefore w:val="0"/>
        <w:widowControl w:val="0"/>
        <w:tabs>
          <w:tab w:val="left" w:pos="1155"/>
        </w:tabs>
        <w:kinsoku/>
        <w:wordWrap/>
        <w:overflowPunct w:val="0"/>
        <w:topLinePunct/>
        <w:autoSpaceDE/>
        <w:autoSpaceDN/>
        <w:bidi w:val="0"/>
        <w:adjustRightInd/>
        <w:spacing w:line="500" w:lineRule="exact"/>
        <w:ind w:firstLine="460" w:firstLineChars="192"/>
        <w:jc w:val="both"/>
        <w:textAlignment w:val="auto"/>
        <w:outlineLvl w:val="1"/>
        <w:rPr>
          <w:rFonts w:hint="eastAsia" w:ascii="宋体" w:hAnsi="宋体" w:eastAsia="宋体" w:cs="宋体"/>
          <w:bCs/>
          <w:color w:val="auto"/>
          <w:sz w:val="24"/>
          <w:szCs w:val="24"/>
          <w:highlight w:val="none"/>
        </w:rPr>
      </w:pPr>
      <w:bookmarkStart w:id="1940" w:name="_Toc31360"/>
      <w:bookmarkStart w:id="1941" w:name="_Toc29059"/>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、如我方成交：</w:t>
      </w:r>
      <w:bookmarkEnd w:id="1940"/>
      <w:bookmarkEnd w:id="1941"/>
      <w:r>
        <w:rPr>
          <w:rFonts w:hint="eastAsia" w:ascii="宋体" w:hAnsi="宋体" w:eastAsia="宋体" w:cs="宋体"/>
          <w:bCs/>
          <w:color w:val="auto"/>
          <w:sz w:val="24"/>
          <w:szCs w:val="24"/>
          <w:highlight w:val="none"/>
        </w:rPr>
        <w:t xml:space="preserve"> </w:t>
      </w:r>
    </w:p>
    <w:p w14:paraId="1CE03684">
      <w:pPr>
        <w:keepNext w:val="0"/>
        <w:keepLines w:val="0"/>
        <w:pageBreakBefore w:val="0"/>
        <w:widowControl w:val="0"/>
        <w:tabs>
          <w:tab w:val="left" w:pos="1155"/>
        </w:tabs>
        <w:kinsoku/>
        <w:wordWrap/>
        <w:overflowPunct w:val="0"/>
        <w:topLinePunct/>
        <w:autoSpaceDE/>
        <w:autoSpaceDN/>
        <w:bidi w:val="0"/>
        <w:adjustRightInd/>
        <w:spacing w:line="500" w:lineRule="exact"/>
        <w:ind w:firstLine="460" w:firstLineChars="192"/>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（1）我方承诺在收到成交通知书后，在规定的期限内与采购人签订合同。</w:t>
      </w:r>
    </w:p>
    <w:p w14:paraId="327B1CD5">
      <w:pPr>
        <w:keepNext w:val="0"/>
        <w:keepLines w:val="0"/>
        <w:pageBreakBefore w:val="0"/>
        <w:widowControl w:val="0"/>
        <w:tabs>
          <w:tab w:val="left" w:pos="1155"/>
        </w:tabs>
        <w:kinsoku/>
        <w:wordWrap/>
        <w:overflowPunct w:val="0"/>
        <w:topLinePunct/>
        <w:autoSpaceDE/>
        <w:autoSpaceDN/>
        <w:bidi w:val="0"/>
        <w:adjustRightInd/>
        <w:spacing w:line="500" w:lineRule="exact"/>
        <w:ind w:firstLine="460" w:firstLineChars="192"/>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（2）本磋商函属于合同文件的组成部分。 </w:t>
      </w:r>
    </w:p>
    <w:p w14:paraId="1FF026DA">
      <w:pPr>
        <w:keepNext w:val="0"/>
        <w:keepLines w:val="0"/>
        <w:pageBreakBefore w:val="0"/>
        <w:widowControl w:val="0"/>
        <w:tabs>
          <w:tab w:val="left" w:pos="1155"/>
        </w:tabs>
        <w:kinsoku/>
        <w:wordWrap/>
        <w:overflowPunct w:val="0"/>
        <w:topLinePunct/>
        <w:autoSpaceDE/>
        <w:autoSpaceDN/>
        <w:bidi w:val="0"/>
        <w:adjustRightInd/>
        <w:spacing w:line="500" w:lineRule="exact"/>
        <w:ind w:firstLine="460" w:firstLineChars="192"/>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（3）我方承诺按照磋商文件规定向你方提供要求的任何证据、资料。 </w:t>
      </w:r>
    </w:p>
    <w:p w14:paraId="6E2793EE">
      <w:pPr>
        <w:keepNext w:val="0"/>
        <w:keepLines w:val="0"/>
        <w:pageBreakBefore w:val="0"/>
        <w:widowControl w:val="0"/>
        <w:tabs>
          <w:tab w:val="left" w:pos="1155"/>
        </w:tabs>
        <w:kinsoku/>
        <w:wordWrap/>
        <w:overflowPunct w:val="0"/>
        <w:topLinePunct/>
        <w:autoSpaceDE/>
        <w:autoSpaceDN/>
        <w:bidi w:val="0"/>
        <w:adjustRightInd/>
        <w:spacing w:line="500" w:lineRule="exact"/>
        <w:ind w:firstLine="460" w:firstLineChars="192"/>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（4）我方承诺在合同约定的期限内完成并移交全部合同项目。 </w:t>
      </w:r>
    </w:p>
    <w:p w14:paraId="0B04D8EC">
      <w:pPr>
        <w:keepNext w:val="0"/>
        <w:keepLines w:val="0"/>
        <w:pageBreakBefore w:val="0"/>
        <w:widowControl w:val="0"/>
        <w:tabs>
          <w:tab w:val="left" w:pos="1155"/>
        </w:tabs>
        <w:kinsoku/>
        <w:wordWrap/>
        <w:overflowPunct w:val="0"/>
        <w:topLinePunct/>
        <w:autoSpaceDE/>
        <w:autoSpaceDN/>
        <w:bidi w:val="0"/>
        <w:adjustRightInd/>
        <w:spacing w:line="500" w:lineRule="exact"/>
        <w:ind w:firstLine="460" w:firstLineChars="192"/>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、我方在此声明，所递交的磋商响应文件及有关资料内容完整、真实和准确，并愿承担法律责任。 </w:t>
      </w:r>
    </w:p>
    <w:p w14:paraId="2953B0A9">
      <w:pPr>
        <w:keepNext w:val="0"/>
        <w:keepLines w:val="0"/>
        <w:pageBreakBefore w:val="0"/>
        <w:widowControl w:val="0"/>
        <w:tabs>
          <w:tab w:val="left" w:pos="1155"/>
        </w:tabs>
        <w:kinsoku/>
        <w:wordWrap/>
        <w:overflowPunct w:val="0"/>
        <w:topLinePunct/>
        <w:autoSpaceDE/>
        <w:autoSpaceDN/>
        <w:bidi w:val="0"/>
        <w:adjustRightInd/>
        <w:spacing w:line="500" w:lineRule="exact"/>
        <w:ind w:firstLine="460" w:firstLineChars="192"/>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、（其他承诺事项）：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50EAADF">
      <w:pPr>
        <w:keepNext w:val="0"/>
        <w:keepLines w:val="0"/>
        <w:pageBreakBefore w:val="0"/>
        <w:widowControl w:val="0"/>
        <w:kinsoku/>
        <w:wordWrap/>
        <w:overflowPunct w:val="0"/>
        <w:topLinePunct/>
        <w:autoSpaceDE/>
        <w:autoSpaceDN/>
        <w:bidi w:val="0"/>
        <w:adjustRightInd/>
        <w:spacing w:line="500" w:lineRule="exact"/>
        <w:ind w:firstLine="3360" w:firstLineChars="14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A2114C">
      <w:pPr>
        <w:keepNext w:val="0"/>
        <w:keepLines w:val="0"/>
        <w:pageBreakBefore w:val="0"/>
        <w:widowControl w:val="0"/>
        <w:kinsoku/>
        <w:wordWrap/>
        <w:overflowPunct w:val="0"/>
        <w:topLinePunct/>
        <w:autoSpaceDE/>
        <w:autoSpaceDN/>
        <w:bidi w:val="0"/>
        <w:adjustRightInd/>
        <w:snapToGrid w:val="0"/>
        <w:spacing w:line="500" w:lineRule="exact"/>
        <w:ind w:firstLine="3360" w:firstLineChars="14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（盖单位章） </w:t>
      </w:r>
    </w:p>
    <w:p w14:paraId="3F646074">
      <w:pPr>
        <w:keepNext w:val="0"/>
        <w:keepLines w:val="0"/>
        <w:pageBreakBefore w:val="0"/>
        <w:widowControl w:val="0"/>
        <w:kinsoku/>
        <w:wordWrap/>
        <w:overflowPunct w:val="0"/>
        <w:topLinePunct/>
        <w:autoSpaceDE/>
        <w:autoSpaceDN/>
        <w:bidi w:val="0"/>
        <w:adjustRightInd/>
        <w:snapToGrid w:val="0"/>
        <w:spacing w:line="500" w:lineRule="exact"/>
        <w:ind w:firstLine="3360" w:firstLineChars="14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宋体" w:hAnsi="宋体" w:eastAsia="宋体" w:cs="宋体"/>
          <w:b w:val="0"/>
          <w:bCs w:val="0"/>
          <w:color w:val="auto"/>
          <w:sz w:val="24"/>
          <w:szCs w:val="24"/>
          <w:highlight w:val="none"/>
          <w:lang w:val="en-US" w:eastAsia="zh-CN"/>
        </w:rPr>
        <w:t>被授权人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（签字或签章）</w:t>
      </w:r>
      <w:r>
        <w:rPr>
          <w:rFonts w:hint="eastAsia" w:ascii="宋体" w:hAnsi="宋体" w:eastAsia="宋体" w:cs="宋体"/>
          <w:b/>
          <w:color w:val="auto"/>
          <w:sz w:val="24"/>
          <w:szCs w:val="24"/>
          <w:highlight w:val="none"/>
        </w:rPr>
        <w:t xml:space="preserve"> </w:t>
      </w:r>
    </w:p>
    <w:p w14:paraId="43A2FF46">
      <w:pPr>
        <w:keepNext w:val="0"/>
        <w:keepLines w:val="0"/>
        <w:pageBreakBefore w:val="0"/>
        <w:widowControl w:val="0"/>
        <w:kinsoku/>
        <w:wordWrap/>
        <w:overflowPunct w:val="0"/>
        <w:topLinePunct/>
        <w:autoSpaceDE/>
        <w:autoSpaceDN/>
        <w:bidi w:val="0"/>
        <w:adjustRightInd/>
        <w:snapToGrid w:val="0"/>
        <w:spacing w:line="500" w:lineRule="exact"/>
        <w:ind w:firstLine="3360" w:firstLineChars="14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1E7120D">
      <w:pPr>
        <w:keepNext w:val="0"/>
        <w:keepLines w:val="0"/>
        <w:pageBreakBefore w:val="0"/>
        <w:widowControl w:val="0"/>
        <w:kinsoku/>
        <w:wordWrap/>
        <w:overflowPunct w:val="0"/>
        <w:topLinePunct/>
        <w:autoSpaceDE/>
        <w:autoSpaceDN/>
        <w:bidi w:val="0"/>
        <w:adjustRightInd/>
        <w:snapToGrid w:val="0"/>
        <w:spacing w:line="500" w:lineRule="exact"/>
        <w:ind w:firstLine="3360" w:firstLineChars="14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72A852F7">
      <w:pPr>
        <w:keepNext w:val="0"/>
        <w:keepLines w:val="0"/>
        <w:pageBreakBefore w:val="0"/>
        <w:widowControl w:val="0"/>
        <w:kinsoku/>
        <w:wordWrap/>
        <w:overflowPunct w:val="0"/>
        <w:topLinePunct/>
        <w:autoSpaceDE/>
        <w:autoSpaceDN/>
        <w:bidi w:val="0"/>
        <w:adjustRightInd/>
        <w:snapToGrid w:val="0"/>
        <w:spacing w:line="500" w:lineRule="exact"/>
        <w:ind w:firstLine="3360" w:firstLineChars="14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240AF7FA">
      <w:pPr>
        <w:keepNext w:val="0"/>
        <w:keepLines w:val="0"/>
        <w:pageBreakBefore w:val="0"/>
        <w:widowControl/>
        <w:kinsoku/>
        <w:wordWrap/>
        <w:autoSpaceDE/>
        <w:autoSpaceDN/>
        <w:bidi w:val="0"/>
        <w:adjustRightInd/>
        <w:spacing w:line="42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p>
    <w:p w14:paraId="2AF0D56E">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auto"/>
          <w:kern w:val="0"/>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_____</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_____</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___</w:t>
      </w:r>
      <w:r>
        <w:rPr>
          <w:rFonts w:hint="eastAsia" w:ascii="宋体" w:hAnsi="宋体" w:eastAsia="宋体" w:cs="宋体"/>
          <w:color w:val="auto"/>
          <w:kern w:val="0"/>
          <w:sz w:val="24"/>
          <w:szCs w:val="24"/>
          <w:highlight w:val="none"/>
          <w:lang w:val="en-US" w:eastAsia="zh-CN"/>
        </w:rPr>
        <w:t>日</w:t>
      </w:r>
    </w:p>
    <w:p w14:paraId="6C121C28">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第二部分 第一次磋商报价表</w:t>
      </w:r>
    </w:p>
    <w:p w14:paraId="63DDDE01">
      <w:pPr>
        <w:keepNext w:val="0"/>
        <w:keepLines w:val="0"/>
        <w:pageBreakBefore w:val="0"/>
        <w:widowControl w:val="0"/>
        <w:kinsoku/>
        <w:wordWrap/>
        <w:overflowPunct/>
        <w:topLinePunct w:val="0"/>
        <w:autoSpaceDE w:val="0"/>
        <w:autoSpaceDN w:val="0"/>
        <w:bidi w:val="0"/>
        <w:adjustRightInd w:val="0"/>
        <w:spacing w:line="420" w:lineRule="exact"/>
        <w:jc w:val="both"/>
        <w:textAlignment w:val="auto"/>
        <w:rPr>
          <w:rFonts w:hint="eastAsia" w:ascii="宋体" w:hAnsi="宋体" w:eastAsia="宋体" w:cs="宋体"/>
          <w:b/>
          <w:bCs/>
          <w:color w:val="auto"/>
          <w:sz w:val="28"/>
          <w:szCs w:val="28"/>
          <w:highlight w:val="none"/>
          <w:lang w:val="zh-CN"/>
        </w:rPr>
      </w:pPr>
    </w:p>
    <w:p w14:paraId="4244FAF4">
      <w:pPr>
        <w:keepNext w:val="0"/>
        <w:keepLines w:val="0"/>
        <w:pageBreakBefore w:val="0"/>
        <w:widowControl w:val="0"/>
        <w:kinsoku/>
        <w:wordWrap/>
        <w:overflowPunct/>
        <w:topLinePunct w:val="0"/>
        <w:autoSpaceDE w:val="0"/>
        <w:autoSpaceDN w:val="0"/>
        <w:bidi w:val="0"/>
        <w:adjustRightInd w:val="0"/>
        <w:snapToGrid w:val="0"/>
        <w:spacing w:line="420" w:lineRule="exact"/>
        <w:ind w:right="0" w:firstLine="480" w:firstLineChars="200"/>
        <w:textAlignment w:val="auto"/>
        <w:rPr>
          <w:rFonts w:hint="eastAsia"/>
          <w:color w:val="auto"/>
          <w:sz w:val="24"/>
          <w:szCs w:val="24"/>
          <w:lang w:val="zh-CN"/>
        </w:rPr>
      </w:pPr>
      <w:r>
        <w:rPr>
          <w:rFonts w:hint="eastAsia" w:ascii="宋体" w:hAnsi="宋体" w:eastAsia="宋体" w:cs="宋体"/>
          <w:bCs/>
          <w:color w:val="auto"/>
          <w:kern w:val="0"/>
          <w:sz w:val="24"/>
          <w:szCs w:val="24"/>
          <w:highlight w:val="none"/>
        </w:rPr>
        <w:t>磋商项目编号：</w:t>
      </w: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bl>
      <w:tblPr>
        <w:tblStyle w:val="3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2316"/>
        <w:gridCol w:w="6717"/>
      </w:tblGrid>
      <w:tr w14:paraId="6655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37" w:type="dxa"/>
            <w:vAlign w:val="center"/>
          </w:tcPr>
          <w:p w14:paraId="30A39B6B">
            <w:pPr>
              <w:keepLines w:val="0"/>
              <w:pageBreakBefore w:val="0"/>
              <w:kinsoku/>
              <w:bidi w:val="0"/>
              <w:spacing w:line="360" w:lineRule="auto"/>
              <w:jc w:val="center"/>
              <w:rPr>
                <w:rFonts w:hint="eastAsia" w:ascii="宋体" w:hAnsi="宋体" w:eastAsia="宋体" w:cs="宋体"/>
                <w:b/>
                <w:bCs/>
                <w:color w:val="auto"/>
                <w:sz w:val="24"/>
                <w:szCs w:val="24"/>
                <w:highlight w:val="none"/>
              </w:rPr>
            </w:pPr>
            <w:bookmarkStart w:id="1942" w:name="_Toc443639914"/>
            <w:bookmarkStart w:id="1943" w:name="_Toc443640468"/>
            <w:bookmarkStart w:id="1944" w:name="_Toc375125038"/>
            <w:bookmarkStart w:id="1945" w:name="_Toc363558512"/>
            <w:bookmarkStart w:id="1946" w:name="_Toc443640378"/>
            <w:r>
              <w:rPr>
                <w:rFonts w:hint="eastAsia" w:ascii="宋体" w:hAnsi="宋体" w:eastAsia="宋体" w:cs="宋体"/>
                <w:b/>
                <w:bCs/>
                <w:color w:val="auto"/>
                <w:sz w:val="24"/>
                <w:szCs w:val="24"/>
                <w:highlight w:val="none"/>
              </w:rPr>
              <w:t>序号</w:t>
            </w:r>
            <w:bookmarkEnd w:id="1942"/>
            <w:bookmarkEnd w:id="1943"/>
            <w:bookmarkEnd w:id="1944"/>
            <w:bookmarkEnd w:id="1945"/>
            <w:bookmarkEnd w:id="1946"/>
          </w:p>
        </w:tc>
        <w:tc>
          <w:tcPr>
            <w:tcW w:w="2316" w:type="dxa"/>
            <w:vAlign w:val="center"/>
          </w:tcPr>
          <w:p w14:paraId="73908836">
            <w:pPr>
              <w:keepLines w:val="0"/>
              <w:pageBreakBefore w:val="0"/>
              <w:kinsoku/>
              <w:bidi w:val="0"/>
              <w:spacing w:line="360" w:lineRule="auto"/>
              <w:jc w:val="center"/>
              <w:rPr>
                <w:rFonts w:hint="eastAsia" w:ascii="宋体" w:hAnsi="宋体" w:eastAsia="宋体" w:cs="宋体"/>
                <w:b/>
                <w:bCs/>
                <w:color w:val="auto"/>
                <w:sz w:val="24"/>
                <w:szCs w:val="24"/>
                <w:highlight w:val="none"/>
              </w:rPr>
            </w:pPr>
            <w:bookmarkStart w:id="1947" w:name="_Toc363558513"/>
            <w:bookmarkStart w:id="1948" w:name="_Toc375125039"/>
            <w:bookmarkStart w:id="1949" w:name="_Toc443640379"/>
            <w:bookmarkStart w:id="1950" w:name="_Toc443640469"/>
            <w:bookmarkStart w:id="1951" w:name="_Toc443639915"/>
            <w:r>
              <w:rPr>
                <w:rFonts w:hint="eastAsia" w:ascii="宋体" w:hAnsi="宋体" w:eastAsia="宋体" w:cs="宋体"/>
                <w:b/>
                <w:bCs/>
                <w:color w:val="auto"/>
                <w:sz w:val="24"/>
                <w:szCs w:val="24"/>
                <w:highlight w:val="none"/>
              </w:rPr>
              <w:t>名   称</w:t>
            </w:r>
            <w:bookmarkEnd w:id="1947"/>
            <w:bookmarkEnd w:id="1948"/>
            <w:bookmarkEnd w:id="1949"/>
            <w:bookmarkEnd w:id="1950"/>
            <w:bookmarkEnd w:id="1951"/>
          </w:p>
        </w:tc>
        <w:tc>
          <w:tcPr>
            <w:tcW w:w="6717" w:type="dxa"/>
            <w:vAlign w:val="center"/>
          </w:tcPr>
          <w:p w14:paraId="1F5746D7">
            <w:pPr>
              <w:keepLines w:val="0"/>
              <w:pageBreakBefore w:val="0"/>
              <w:kinsoku/>
              <w:bidi w:val="0"/>
              <w:spacing w:line="360" w:lineRule="auto"/>
              <w:jc w:val="center"/>
              <w:rPr>
                <w:rFonts w:hint="eastAsia" w:ascii="宋体" w:hAnsi="宋体" w:eastAsia="宋体" w:cs="宋体"/>
                <w:b/>
                <w:bCs/>
                <w:color w:val="auto"/>
                <w:sz w:val="24"/>
                <w:szCs w:val="24"/>
                <w:highlight w:val="none"/>
              </w:rPr>
            </w:pPr>
            <w:bookmarkStart w:id="1952" w:name="_Toc443640380"/>
            <w:bookmarkStart w:id="1953" w:name="_Toc443639916"/>
            <w:bookmarkStart w:id="1954" w:name="_Toc363558514"/>
            <w:bookmarkStart w:id="1955" w:name="_Toc375125040"/>
            <w:bookmarkStart w:id="1956" w:name="_Toc443640470"/>
            <w:r>
              <w:rPr>
                <w:rFonts w:hint="eastAsia" w:ascii="宋体" w:hAnsi="宋体" w:eastAsia="宋体" w:cs="宋体"/>
                <w:b/>
                <w:bCs/>
                <w:color w:val="auto"/>
                <w:sz w:val="24"/>
                <w:szCs w:val="24"/>
                <w:highlight w:val="none"/>
              </w:rPr>
              <w:t>内    容</w:t>
            </w:r>
            <w:bookmarkEnd w:id="1952"/>
            <w:bookmarkEnd w:id="1953"/>
            <w:bookmarkEnd w:id="1954"/>
            <w:bookmarkEnd w:id="1955"/>
            <w:bookmarkEnd w:id="1956"/>
          </w:p>
        </w:tc>
      </w:tr>
      <w:tr w14:paraId="20CD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37" w:type="dxa"/>
            <w:vAlign w:val="center"/>
          </w:tcPr>
          <w:p w14:paraId="524408CD">
            <w:pPr>
              <w:keepLines w:val="0"/>
              <w:pageBreakBefore w:val="0"/>
              <w:kinsoku/>
              <w:bidi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p>
        </w:tc>
        <w:tc>
          <w:tcPr>
            <w:tcW w:w="2316" w:type="dxa"/>
            <w:vAlign w:val="center"/>
          </w:tcPr>
          <w:p w14:paraId="0AA212B1">
            <w:pPr>
              <w:keepLines w:val="0"/>
              <w:pageBreakBefore w:val="0"/>
              <w:kinsoku/>
              <w:bidi w:val="0"/>
              <w:spacing w:line="360" w:lineRule="auto"/>
              <w:jc w:val="center"/>
              <w:rPr>
                <w:rFonts w:hint="eastAsia" w:ascii="宋体" w:hAnsi="宋体" w:eastAsia="宋体" w:cs="宋体"/>
                <w:b/>
                <w:bCs/>
                <w:color w:val="auto"/>
                <w:sz w:val="24"/>
                <w:szCs w:val="24"/>
                <w:highlight w:val="none"/>
              </w:rPr>
            </w:pPr>
            <w:bookmarkStart w:id="1957" w:name="_Toc363558520"/>
            <w:bookmarkStart w:id="1958" w:name="_Toc443639922"/>
            <w:bookmarkStart w:id="1959" w:name="_Toc375125046"/>
            <w:bookmarkStart w:id="1960" w:name="_Toc443640386"/>
            <w:bookmarkStart w:id="1961" w:name="_Toc443640476"/>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报价</w:t>
            </w:r>
            <w:bookmarkEnd w:id="1957"/>
            <w:bookmarkEnd w:id="1958"/>
            <w:bookmarkEnd w:id="1959"/>
            <w:bookmarkEnd w:id="1960"/>
            <w:bookmarkEnd w:id="1961"/>
          </w:p>
        </w:tc>
        <w:tc>
          <w:tcPr>
            <w:tcW w:w="6717" w:type="dxa"/>
            <w:vAlign w:val="center"/>
          </w:tcPr>
          <w:p w14:paraId="19180205">
            <w:pPr>
              <w:keepLines w:val="0"/>
              <w:pageBreakBefore w:val="0"/>
              <w:kinsoku/>
              <w:bidi w:val="0"/>
              <w:spacing w:line="360" w:lineRule="auto"/>
              <w:jc w:val="both"/>
              <w:rPr>
                <w:rFonts w:hint="eastAsia" w:ascii="宋体" w:hAnsi="宋体" w:eastAsia="宋体" w:cs="宋体"/>
                <w:i w:val="0"/>
                <w:color w:val="auto"/>
                <w:sz w:val="24"/>
                <w:szCs w:val="24"/>
                <w:highlight w:val="none"/>
                <w:u w:val="none"/>
                <w:lang w:val="en-US" w:eastAsia="zh-CN"/>
              </w:rPr>
            </w:pPr>
          </w:p>
          <w:p w14:paraId="0C1A3EC2">
            <w:pPr>
              <w:keepLines w:val="0"/>
              <w:pageBreakBefore w:val="0"/>
              <w:kinsoku/>
              <w:bidi w:val="0"/>
              <w:spacing w:line="360" w:lineRule="auto"/>
              <w:jc w:val="both"/>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大写：</w:t>
            </w:r>
            <w:r>
              <w:rPr>
                <w:rFonts w:hint="eastAsia" w:ascii="宋体" w:hAnsi="宋体" w:eastAsia="宋体" w:cs="宋体"/>
                <w:i w:val="0"/>
                <w:color w:val="auto"/>
                <w:sz w:val="24"/>
                <w:szCs w:val="24"/>
                <w:highlight w:val="none"/>
                <w:u w:val="single"/>
                <w:lang w:val="en-US" w:eastAsia="zh-CN"/>
              </w:rPr>
              <w:t xml:space="preserve">                      </w:t>
            </w:r>
            <w:r>
              <w:rPr>
                <w:rFonts w:hint="eastAsia" w:ascii="宋体" w:hAnsi="宋体" w:eastAsia="宋体" w:cs="宋体"/>
                <w:i w:val="0"/>
                <w:color w:val="auto"/>
                <w:sz w:val="24"/>
                <w:szCs w:val="24"/>
                <w:highlight w:val="none"/>
                <w:u w:val="none"/>
                <w:lang w:val="en-US" w:eastAsia="zh-CN"/>
              </w:rPr>
              <w:t xml:space="preserve"> </w:t>
            </w:r>
          </w:p>
          <w:p w14:paraId="76C1FB6E">
            <w:pPr>
              <w:keepLines w:val="0"/>
              <w:pageBreakBefore w:val="0"/>
              <w:kinsoku/>
              <w:bidi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sz w:val="24"/>
                <w:szCs w:val="24"/>
                <w:highlight w:val="none"/>
                <w:u w:val="none"/>
                <w:lang w:val="en-US" w:eastAsia="zh-CN"/>
              </w:rPr>
              <w:t>小写：</w:t>
            </w:r>
            <w:r>
              <w:rPr>
                <w:rFonts w:hint="eastAsia" w:ascii="宋体" w:hAnsi="宋体" w:eastAsia="宋体" w:cs="宋体"/>
                <w:i w:val="0"/>
                <w:color w:val="auto"/>
                <w:sz w:val="24"/>
                <w:szCs w:val="24"/>
                <w:highlight w:val="none"/>
                <w:u w:val="single"/>
                <w:lang w:val="en-US" w:eastAsia="zh-CN"/>
              </w:rPr>
              <w:t xml:space="preserve">                       </w:t>
            </w:r>
            <w:r>
              <w:rPr>
                <w:rFonts w:hint="eastAsia" w:ascii="宋体" w:hAnsi="宋体" w:eastAsia="宋体" w:cs="宋体"/>
                <w:i w:val="0"/>
                <w:color w:val="auto"/>
                <w:sz w:val="24"/>
                <w:szCs w:val="24"/>
                <w:highlight w:val="none"/>
                <w:u w:val="none"/>
                <w:lang w:val="en-US" w:eastAsia="zh-CN"/>
              </w:rPr>
              <w:t xml:space="preserve"> </w:t>
            </w:r>
          </w:p>
        </w:tc>
      </w:tr>
      <w:tr w14:paraId="0230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37" w:type="dxa"/>
            <w:vAlign w:val="center"/>
          </w:tcPr>
          <w:p w14:paraId="4DFACBC2">
            <w:pPr>
              <w:keepLines w:val="0"/>
              <w:pageBreakBefore w:val="0"/>
              <w:kinsoku/>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2316" w:type="dxa"/>
            <w:vAlign w:val="center"/>
          </w:tcPr>
          <w:p w14:paraId="1A1438CC">
            <w:pPr>
              <w:keepLines w:val="0"/>
              <w:kinsoku/>
              <w:bidi w:val="0"/>
              <w:spacing w:line="42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工期</w:t>
            </w:r>
          </w:p>
        </w:tc>
        <w:tc>
          <w:tcPr>
            <w:tcW w:w="6717" w:type="dxa"/>
            <w:vAlign w:val="center"/>
          </w:tcPr>
          <w:p w14:paraId="751BF91B">
            <w:pPr>
              <w:keepLines w:val="0"/>
              <w:pageBreakBefore w:val="0"/>
              <w:kinsoku/>
              <w:bidi w:val="0"/>
              <w:spacing w:line="360" w:lineRule="auto"/>
              <w:jc w:val="center"/>
              <w:rPr>
                <w:rFonts w:hint="eastAsia" w:ascii="宋体" w:hAnsi="宋体" w:eastAsia="宋体" w:cs="宋体"/>
                <w:b/>
                <w:bCs/>
                <w:color w:val="auto"/>
                <w:sz w:val="24"/>
                <w:szCs w:val="24"/>
                <w:highlight w:val="none"/>
              </w:rPr>
            </w:pPr>
          </w:p>
        </w:tc>
      </w:tr>
      <w:tr w14:paraId="2BDF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37" w:type="dxa"/>
            <w:vAlign w:val="center"/>
          </w:tcPr>
          <w:p w14:paraId="58A0F311">
            <w:pPr>
              <w:keepLines w:val="0"/>
              <w:pageBreakBefore w:val="0"/>
              <w:kinsoku/>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2316" w:type="dxa"/>
            <w:vAlign w:val="center"/>
          </w:tcPr>
          <w:p w14:paraId="04D56D95">
            <w:pPr>
              <w:keepLines w:val="0"/>
              <w:pageBreakBefore w:val="0"/>
              <w:kinsoku/>
              <w:wordWrap/>
              <w:bidi w:val="0"/>
              <w:spacing w:line="4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项目经理</w:t>
            </w:r>
          </w:p>
        </w:tc>
        <w:tc>
          <w:tcPr>
            <w:tcW w:w="6717" w:type="dxa"/>
            <w:vAlign w:val="center"/>
          </w:tcPr>
          <w:p w14:paraId="5CB4AF79">
            <w:pPr>
              <w:keepLines w:val="0"/>
              <w:pageBreakBefore w:val="0"/>
              <w:kinsoku/>
              <w:bidi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姓名：</w:t>
            </w:r>
            <w:r>
              <w:rPr>
                <w:rFonts w:hint="eastAsia" w:ascii="宋体" w:hAnsi="宋体" w:eastAsia="宋体" w:cs="宋体"/>
                <w:i w:val="0"/>
                <w:color w:val="auto"/>
                <w:sz w:val="24"/>
                <w:szCs w:val="24"/>
                <w:highlight w:val="none"/>
                <w:u w:val="single"/>
                <w:lang w:val="en-US" w:eastAsia="zh-CN"/>
              </w:rPr>
              <w:t xml:space="preserve">                      </w:t>
            </w:r>
            <w:r>
              <w:rPr>
                <w:rFonts w:hint="eastAsia" w:ascii="宋体" w:hAnsi="宋体" w:eastAsia="宋体" w:cs="宋体"/>
                <w:i w:val="0"/>
                <w:color w:val="auto"/>
                <w:sz w:val="24"/>
                <w:szCs w:val="24"/>
                <w:highlight w:val="none"/>
                <w:u w:val="none"/>
                <w:lang w:val="en-US" w:eastAsia="zh-CN"/>
              </w:rPr>
              <w:t xml:space="preserve"> </w:t>
            </w:r>
          </w:p>
          <w:p w14:paraId="14B76DD8">
            <w:pPr>
              <w:keepLines w:val="0"/>
              <w:pageBreakBefore w:val="0"/>
              <w:kinsoku/>
              <w:bidi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专业：</w:t>
            </w:r>
            <w:r>
              <w:rPr>
                <w:rFonts w:hint="eastAsia" w:ascii="宋体" w:hAnsi="宋体" w:eastAsia="宋体" w:cs="宋体"/>
                <w:i w:val="0"/>
                <w:color w:val="auto"/>
                <w:sz w:val="24"/>
                <w:szCs w:val="24"/>
                <w:highlight w:val="none"/>
                <w:u w:val="single"/>
                <w:lang w:val="en-US" w:eastAsia="zh-CN"/>
              </w:rPr>
              <w:t xml:space="preserve">                      </w:t>
            </w:r>
            <w:r>
              <w:rPr>
                <w:rFonts w:hint="eastAsia" w:ascii="宋体" w:hAnsi="宋体" w:eastAsia="宋体" w:cs="宋体"/>
                <w:i w:val="0"/>
                <w:color w:val="auto"/>
                <w:sz w:val="24"/>
                <w:szCs w:val="24"/>
                <w:highlight w:val="none"/>
                <w:u w:val="none"/>
                <w:lang w:val="en-US" w:eastAsia="zh-CN"/>
              </w:rPr>
              <w:t xml:space="preserve"> </w:t>
            </w:r>
          </w:p>
          <w:p w14:paraId="5AC6B969">
            <w:pPr>
              <w:keepLines w:val="0"/>
              <w:pageBreakBefore w:val="0"/>
              <w:kinsoku/>
              <w:bidi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证号</w:t>
            </w:r>
            <w:r>
              <w:rPr>
                <w:rFonts w:hint="eastAsia" w:ascii="宋体" w:hAnsi="宋体" w:cs="宋体"/>
                <w:b w:val="0"/>
                <w:bCs w:val="0"/>
                <w:color w:val="auto"/>
                <w:sz w:val="24"/>
                <w:szCs w:val="24"/>
                <w:highlight w:val="none"/>
                <w:lang w:eastAsia="zh-CN"/>
              </w:rPr>
              <w:t>：</w:t>
            </w:r>
            <w:r>
              <w:rPr>
                <w:rFonts w:hint="eastAsia" w:ascii="宋体" w:hAnsi="宋体" w:eastAsia="宋体" w:cs="宋体"/>
                <w:i w:val="0"/>
                <w:color w:val="auto"/>
                <w:sz w:val="24"/>
                <w:szCs w:val="24"/>
                <w:highlight w:val="none"/>
                <w:u w:val="single"/>
                <w:lang w:val="en-US" w:eastAsia="zh-CN"/>
              </w:rPr>
              <w:t xml:space="preserve">                      </w:t>
            </w:r>
            <w:r>
              <w:rPr>
                <w:rFonts w:hint="eastAsia" w:ascii="宋体" w:hAnsi="宋体" w:eastAsia="宋体" w:cs="宋体"/>
                <w:i w:val="0"/>
                <w:color w:val="auto"/>
                <w:sz w:val="24"/>
                <w:szCs w:val="24"/>
                <w:highlight w:val="none"/>
                <w:u w:val="none"/>
                <w:lang w:val="en-US" w:eastAsia="zh-CN"/>
              </w:rPr>
              <w:t xml:space="preserve"> </w:t>
            </w:r>
          </w:p>
        </w:tc>
      </w:tr>
      <w:tr w14:paraId="44DE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37" w:type="dxa"/>
            <w:vAlign w:val="center"/>
          </w:tcPr>
          <w:p w14:paraId="5B370650">
            <w:pPr>
              <w:keepLines w:val="0"/>
              <w:pageBreakBefore w:val="0"/>
              <w:kinsoku/>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2316" w:type="dxa"/>
            <w:vAlign w:val="center"/>
          </w:tcPr>
          <w:p w14:paraId="55458179">
            <w:pPr>
              <w:keepLines w:val="0"/>
              <w:kinsoku/>
              <w:bidi w:val="0"/>
              <w:spacing w:line="42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工程质</w:t>
            </w:r>
            <w:r>
              <w:rPr>
                <w:rFonts w:hint="eastAsia" w:ascii="宋体" w:hAnsi="宋体" w:eastAsia="宋体" w:cs="宋体"/>
                <w:b/>
                <w:bCs/>
                <w:color w:val="auto"/>
                <w:sz w:val="24"/>
                <w:szCs w:val="24"/>
                <w:highlight w:val="none"/>
                <w:lang w:val="en-US" w:eastAsia="zh-CN"/>
              </w:rPr>
              <w:t>保</w:t>
            </w:r>
            <w:r>
              <w:rPr>
                <w:rFonts w:hint="eastAsia" w:ascii="宋体" w:hAnsi="宋体" w:eastAsia="宋体" w:cs="宋体"/>
                <w:b/>
                <w:bCs/>
                <w:color w:val="auto"/>
                <w:sz w:val="24"/>
                <w:szCs w:val="24"/>
                <w:highlight w:val="none"/>
              </w:rPr>
              <w:t>期</w:t>
            </w:r>
          </w:p>
        </w:tc>
        <w:tc>
          <w:tcPr>
            <w:tcW w:w="6717" w:type="dxa"/>
            <w:vAlign w:val="center"/>
          </w:tcPr>
          <w:p w14:paraId="2C0FB7AC">
            <w:pPr>
              <w:keepLines w:val="0"/>
              <w:pageBreakBefore w:val="0"/>
              <w:kinsoku/>
              <w:bidi w:val="0"/>
              <w:spacing w:line="360" w:lineRule="auto"/>
              <w:jc w:val="center"/>
              <w:rPr>
                <w:rFonts w:hint="eastAsia" w:ascii="宋体" w:hAnsi="宋体" w:eastAsia="宋体" w:cs="宋体"/>
                <w:b/>
                <w:bCs/>
                <w:color w:val="auto"/>
                <w:sz w:val="24"/>
                <w:szCs w:val="24"/>
                <w:highlight w:val="none"/>
              </w:rPr>
            </w:pPr>
          </w:p>
        </w:tc>
      </w:tr>
      <w:tr w14:paraId="0289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537" w:type="dxa"/>
            <w:vAlign w:val="center"/>
          </w:tcPr>
          <w:p w14:paraId="69751F2B">
            <w:pPr>
              <w:keepLines w:val="0"/>
              <w:pageBreakBefore w:val="0"/>
              <w:kinsoku/>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2316" w:type="dxa"/>
            <w:vAlign w:val="center"/>
          </w:tcPr>
          <w:p w14:paraId="300C079A">
            <w:pPr>
              <w:keepLines w:val="0"/>
              <w:kinsoku/>
              <w:bidi w:val="0"/>
              <w:spacing w:line="4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质量标准</w:t>
            </w:r>
          </w:p>
        </w:tc>
        <w:tc>
          <w:tcPr>
            <w:tcW w:w="6717" w:type="dxa"/>
            <w:vAlign w:val="center"/>
          </w:tcPr>
          <w:p w14:paraId="043DF712">
            <w:pPr>
              <w:keepLines w:val="0"/>
              <w:pageBreakBefore w:val="0"/>
              <w:kinsoku/>
              <w:bidi w:val="0"/>
              <w:spacing w:line="360" w:lineRule="auto"/>
              <w:jc w:val="center"/>
              <w:rPr>
                <w:rFonts w:hint="eastAsia" w:ascii="宋体" w:hAnsi="宋体" w:eastAsia="宋体" w:cs="宋体"/>
                <w:b/>
                <w:bCs/>
                <w:color w:val="auto"/>
                <w:sz w:val="24"/>
                <w:szCs w:val="24"/>
                <w:highlight w:val="none"/>
              </w:rPr>
            </w:pPr>
          </w:p>
        </w:tc>
      </w:tr>
      <w:tr w14:paraId="1E6A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853" w:type="dxa"/>
            <w:gridSpan w:val="2"/>
            <w:vAlign w:val="center"/>
          </w:tcPr>
          <w:p w14:paraId="5AA19E0E">
            <w:pPr>
              <w:keepLines w:val="0"/>
              <w:pageBreakBefore w:val="0"/>
              <w:kinsoku/>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6717" w:type="dxa"/>
            <w:vAlign w:val="center"/>
          </w:tcPr>
          <w:p w14:paraId="67306561">
            <w:pPr>
              <w:keepLines w:val="0"/>
              <w:pageBreakBefore w:val="0"/>
              <w:kinsoku/>
              <w:bidi w:val="0"/>
              <w:spacing w:line="360" w:lineRule="auto"/>
              <w:jc w:val="center"/>
              <w:rPr>
                <w:rFonts w:hint="eastAsia" w:ascii="宋体" w:hAnsi="宋体" w:eastAsia="宋体" w:cs="宋体"/>
                <w:b/>
                <w:bCs/>
                <w:color w:val="auto"/>
                <w:sz w:val="24"/>
                <w:szCs w:val="24"/>
                <w:highlight w:val="none"/>
              </w:rPr>
            </w:pPr>
          </w:p>
        </w:tc>
      </w:tr>
    </w:tbl>
    <w:p w14:paraId="4C7E6CD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lang w:eastAsia="zh-CN"/>
        </w:rPr>
      </w:pPr>
    </w:p>
    <w:p w14:paraId="79B02F2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注：</w:t>
      </w:r>
    </w:p>
    <w:p w14:paraId="15ACFA16">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报价应按磋商总价填写，最多保留小数点后两位，大小写不一致时，以大写为准</w:t>
      </w:r>
      <w:r>
        <w:rPr>
          <w:rFonts w:hint="eastAsia" w:ascii="宋体" w:hAnsi="宋体" w:eastAsia="宋体" w:cs="宋体"/>
          <w:b w:val="0"/>
          <w:bCs w:val="0"/>
          <w:color w:val="auto"/>
          <w:sz w:val="21"/>
          <w:szCs w:val="21"/>
          <w:highlight w:val="none"/>
          <w:lang w:eastAsia="zh-CN"/>
        </w:rPr>
        <w:t>。</w:t>
      </w:r>
    </w:p>
    <w:p w14:paraId="371F9B6B">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各供应商必须严格按照上表要求填写。</w:t>
      </w:r>
    </w:p>
    <w:p w14:paraId="2C7D67E4">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eastAsia="宋体" w:cs="宋体"/>
          <w:b/>
          <w:bCs/>
          <w:color w:val="auto"/>
          <w:sz w:val="24"/>
          <w:szCs w:val="24"/>
          <w:highlight w:val="none"/>
        </w:rPr>
      </w:pPr>
    </w:p>
    <w:p w14:paraId="491B694A">
      <w:pPr>
        <w:pStyle w:val="16"/>
        <w:keepNext w:val="0"/>
        <w:keepLines w:val="0"/>
        <w:pageBreakBefore w:val="0"/>
        <w:widowControl w:val="0"/>
        <w:kinsoku/>
        <w:wordWrap/>
        <w:overflowPunct/>
        <w:topLinePunct w:val="0"/>
        <w:bidi w:val="0"/>
        <w:spacing w:line="420" w:lineRule="exact"/>
        <w:textAlignment w:val="auto"/>
        <w:rPr>
          <w:rFonts w:hint="eastAsia"/>
          <w:color w:val="auto"/>
          <w:sz w:val="24"/>
          <w:szCs w:val="24"/>
          <w:highlight w:val="none"/>
        </w:rPr>
      </w:pPr>
    </w:p>
    <w:p w14:paraId="4E606DCF">
      <w:pPr>
        <w:keepNext w:val="0"/>
        <w:keepLines w:val="0"/>
        <w:pageBreakBefore w:val="0"/>
        <w:widowControl w:val="0"/>
        <w:kinsoku/>
        <w:wordWrap/>
        <w:overflowPunct/>
        <w:topLinePunct w:val="0"/>
        <w:autoSpaceDE w:val="0"/>
        <w:autoSpaceDN w:val="0"/>
        <w:bidi w:val="0"/>
        <w:adjustRightInd w:val="0"/>
        <w:snapToGrid w:val="0"/>
        <w:spacing w:line="420" w:lineRule="exact"/>
        <w:ind w:firstLine="241" w:firstLineChars="100"/>
        <w:textAlignment w:val="auto"/>
        <w:rPr>
          <w:rFonts w:hint="eastAsia" w:ascii="宋体" w:hAnsi="宋体" w:eastAsia="宋体" w:cs="宋体"/>
          <w:b/>
          <w:color w:val="auto"/>
          <w:sz w:val="24"/>
          <w:szCs w:val="24"/>
          <w:highlight w:val="none"/>
          <w:lang w:val="zh-CN"/>
        </w:rPr>
      </w:pPr>
    </w:p>
    <w:p w14:paraId="471E2411">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供应商名称（单位公章）：</w:t>
      </w:r>
      <w:r>
        <w:rPr>
          <w:rFonts w:hint="eastAsia" w:ascii="宋体" w:hAnsi="宋体" w:eastAsia="宋体" w:cs="宋体"/>
          <w:color w:val="auto"/>
          <w:sz w:val="24"/>
          <w:szCs w:val="24"/>
          <w:highlight w:val="none"/>
        </w:rPr>
        <w:t xml:space="preserve">                  </w:t>
      </w:r>
    </w:p>
    <w:p w14:paraId="710764D7">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zh-CN"/>
        </w:rPr>
        <w:t>法定代表人或被授权人</w:t>
      </w:r>
      <w:r>
        <w:rPr>
          <w:rFonts w:hint="eastAsia" w:ascii="宋体" w:hAnsi="宋体" w:cs="宋体"/>
          <w:color w:val="auto"/>
          <w:sz w:val="24"/>
          <w:szCs w:val="24"/>
          <w:lang w:val="zh-CN"/>
        </w:rPr>
        <w:t>（签</w:t>
      </w:r>
      <w:r>
        <w:rPr>
          <w:rFonts w:hint="eastAsia" w:ascii="宋体" w:hAnsi="宋体" w:cs="宋体"/>
          <w:color w:val="auto"/>
          <w:sz w:val="24"/>
          <w:szCs w:val="24"/>
          <w:lang w:val="en-US" w:eastAsia="zh-CN"/>
        </w:rPr>
        <w:t>字</w:t>
      </w:r>
      <w:r>
        <w:rPr>
          <w:rFonts w:hint="eastAsia" w:ascii="宋体" w:hAnsi="宋体" w:cs="宋体"/>
          <w:color w:val="auto"/>
          <w:sz w:val="24"/>
          <w:szCs w:val="24"/>
          <w:lang w:val="zh-CN"/>
        </w:rPr>
        <w:t>或盖章）</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日期：</w:t>
      </w:r>
    </w:p>
    <w:p w14:paraId="11AB95C0">
      <w:pPr>
        <w:rPr>
          <w:rFonts w:hint="eastAsia"/>
          <w:color w:val="auto"/>
          <w:highlight w:val="none"/>
          <w:lang w:val="zh-CN"/>
        </w:rPr>
      </w:pPr>
    </w:p>
    <w:p w14:paraId="523B3880">
      <w:pPr>
        <w:pStyle w:val="16"/>
        <w:rPr>
          <w:rFonts w:hint="eastAsia"/>
          <w:color w:val="auto"/>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5D237ADB">
      <w:pPr>
        <w:keepLines w:val="0"/>
        <w:pageBreakBefore w:val="0"/>
        <w:widowControl w:val="0"/>
        <w:numPr>
          <w:ilvl w:val="0"/>
          <w:numId w:val="0"/>
        </w:numPr>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b/>
          <w:bCs/>
          <w:color w:val="auto"/>
          <w:sz w:val="28"/>
          <w:szCs w:val="28"/>
          <w:highlight w:val="none"/>
          <w:lang w:val="en-US" w:eastAsia="zh-CN"/>
        </w:rPr>
      </w:pPr>
      <w:bookmarkStart w:id="1962" w:name="_Toc65937618"/>
      <w:bookmarkStart w:id="1963" w:name="_Toc46500226"/>
      <w:r>
        <w:rPr>
          <w:rFonts w:hint="eastAsia" w:ascii="宋体" w:hAnsi="宋体" w:cs="宋体"/>
          <w:b/>
          <w:bCs/>
          <w:color w:val="auto"/>
          <w:sz w:val="28"/>
          <w:szCs w:val="28"/>
          <w:highlight w:val="none"/>
          <w:lang w:val="en-US" w:eastAsia="zh-CN"/>
        </w:rPr>
        <w:t>第三部分 已标价工程量清单</w:t>
      </w:r>
    </w:p>
    <w:p w14:paraId="6E8C1715">
      <w:pPr>
        <w:keepLines w:val="0"/>
        <w:pageBreakBefore w:val="0"/>
        <w:widowControl w:val="0"/>
        <w:numPr>
          <w:ilvl w:val="0"/>
          <w:numId w:val="0"/>
        </w:numPr>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b/>
          <w:bCs/>
          <w:color w:val="auto"/>
          <w:sz w:val="28"/>
          <w:szCs w:val="28"/>
          <w:highlight w:val="none"/>
          <w:lang w:val="en-US" w:eastAsia="zh-CN"/>
        </w:rPr>
      </w:pPr>
    </w:p>
    <w:p w14:paraId="6653F127">
      <w:pPr>
        <w:keepLines w:val="0"/>
        <w:pageBreakBefore w:val="0"/>
        <w:widowControl w:val="0"/>
        <w:numPr>
          <w:ilvl w:val="0"/>
          <w:numId w:val="0"/>
        </w:numPr>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b/>
          <w:bCs/>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28CF1C62">
      <w:pPr>
        <w:keepLines w:val="0"/>
        <w:pageBreakBefore w:val="0"/>
        <w:widowControl w:val="0"/>
        <w:numPr>
          <w:ilvl w:val="0"/>
          <w:numId w:val="0"/>
        </w:numPr>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 xml:space="preserve">第四部分 </w:t>
      </w:r>
      <w:r>
        <w:rPr>
          <w:rFonts w:hint="eastAsia" w:ascii="宋体" w:hAnsi="宋体" w:cs="宋体"/>
          <w:b/>
          <w:bCs/>
          <w:color w:val="auto"/>
          <w:sz w:val="28"/>
          <w:szCs w:val="28"/>
          <w:highlight w:val="none"/>
          <w:lang w:val="en-US" w:eastAsia="zh-CN"/>
        </w:rPr>
        <w:t>施工</w:t>
      </w:r>
      <w:r>
        <w:rPr>
          <w:rFonts w:hint="eastAsia" w:ascii="宋体" w:hAnsi="宋体" w:eastAsia="宋体" w:cs="宋体"/>
          <w:b/>
          <w:bCs/>
          <w:color w:val="auto"/>
          <w:sz w:val="28"/>
          <w:szCs w:val="28"/>
          <w:highlight w:val="none"/>
          <w:lang w:val="zh-CN" w:eastAsia="zh-CN"/>
        </w:rPr>
        <w:t>方案</w:t>
      </w:r>
    </w:p>
    <w:p w14:paraId="4AD47721">
      <w:pPr>
        <w:keepNext w:val="0"/>
        <w:keepLines w:val="0"/>
        <w:pageBreakBefore w:val="0"/>
        <w:widowControl w:val="0"/>
        <w:kinsoku/>
        <w:wordWrap/>
        <w:overflowPunct/>
        <w:topLinePunct w:val="0"/>
        <w:autoSpaceDE w:val="0"/>
        <w:autoSpaceDN w:val="0"/>
        <w:bidi w:val="0"/>
        <w:adjustRightInd w:val="0"/>
        <w:snapToGrid/>
        <w:spacing w:line="360" w:lineRule="auto"/>
        <w:ind w:firstLine="561"/>
        <w:jc w:val="left"/>
        <w:textAlignment w:val="auto"/>
        <w:rPr>
          <w:rFonts w:hint="eastAsia" w:ascii="宋体" w:hAnsi="宋体" w:eastAsia="宋体" w:cs="宋体"/>
          <w:b/>
          <w:bCs/>
          <w:color w:val="auto"/>
          <w:sz w:val="24"/>
          <w:szCs w:val="24"/>
          <w:highlight w:val="none"/>
          <w:lang w:val="en-US" w:eastAsia="zh-CN"/>
        </w:rPr>
      </w:pPr>
    </w:p>
    <w:p w14:paraId="12625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en-US" w:eastAsia="zh-CN"/>
        </w:rPr>
        <w:t>供应商自行编制，格式自定，包括但不限于以下项目：</w:t>
      </w:r>
    </w:p>
    <w:p w14:paraId="04DFC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1.确保工程质量的技术组织措施</w:t>
      </w:r>
    </w:p>
    <w:p w14:paraId="3CBB40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2.施工的重点、难点目标及施工环节</w:t>
      </w:r>
    </w:p>
    <w:p w14:paraId="579AFE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3.确保安全生产的技术组织措施</w:t>
      </w:r>
    </w:p>
    <w:p w14:paraId="0DBEB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4.确保文明施工、环保施工、防尘降噪等技术保证措施</w:t>
      </w:r>
    </w:p>
    <w:p w14:paraId="485A10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5.项目部组成人员</w:t>
      </w:r>
    </w:p>
    <w:p w14:paraId="449D5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6.确保工期的技术组织措施</w:t>
      </w:r>
    </w:p>
    <w:p w14:paraId="62605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7.施工设备和材料投入计划</w:t>
      </w:r>
    </w:p>
    <w:p w14:paraId="174ED8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8.新技术、新产品、新工艺、新材料应用</w:t>
      </w:r>
    </w:p>
    <w:p w14:paraId="37852D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9.保修服务措施及承诺</w:t>
      </w:r>
    </w:p>
    <w:p w14:paraId="73639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10.合理化建议</w:t>
      </w:r>
    </w:p>
    <w:p w14:paraId="20E0B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rPr>
      </w:pPr>
    </w:p>
    <w:p w14:paraId="3B8918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注意：磋商方案是磋商小组对磋商响应文件进行评分的重要依据，请结合本项目竞争性磋商文件中关于采购项目要求及磋商办法进行认真编制。</w:t>
      </w:r>
    </w:p>
    <w:p w14:paraId="227B6D45">
      <w:pPr>
        <w:pStyle w:val="3"/>
        <w:keepNext/>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kern w:val="0"/>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F148BB2">
      <w:pPr>
        <w:pStyle w:val="3"/>
        <w:keepNext/>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附表：</w:t>
      </w:r>
    </w:p>
    <w:p w14:paraId="46EDBD33">
      <w:pPr>
        <w:pStyle w:val="16"/>
        <w:jc w:val="center"/>
        <w:rPr>
          <w:rFonts w:hint="eastAsia" w:ascii="宋体" w:hAnsi="宋体" w:eastAsia="宋体" w:cs="宋体"/>
          <w:b/>
          <w:bCs/>
          <w:color w:val="auto"/>
          <w:sz w:val="24"/>
          <w:szCs w:val="24"/>
          <w:lang w:val="en-US" w:eastAsia="zh-CN"/>
        </w:rPr>
      </w:pPr>
      <w:bookmarkStart w:id="1964" w:name="_Toc20603"/>
      <w:bookmarkStart w:id="1965" w:name="_Toc3506"/>
      <w:r>
        <w:rPr>
          <w:rFonts w:hint="eastAsia" w:ascii="宋体" w:hAnsi="宋体" w:eastAsia="宋体" w:cs="宋体"/>
          <w:b/>
          <w:bCs/>
          <w:color w:val="auto"/>
          <w:sz w:val="24"/>
          <w:szCs w:val="24"/>
          <w:lang w:val="en-US" w:eastAsia="zh-CN"/>
        </w:rPr>
        <w:t>（一）近三年完成的同类项目表</w:t>
      </w:r>
      <w:bookmarkEnd w:id="1964"/>
      <w:bookmarkEnd w:id="1965"/>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6457"/>
      </w:tblGrid>
      <w:tr w14:paraId="10D6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1614B11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457" w:type="dxa"/>
            <w:vAlign w:val="center"/>
          </w:tcPr>
          <w:p w14:paraId="368BD34B">
            <w:pPr>
              <w:jc w:val="center"/>
              <w:rPr>
                <w:rFonts w:hint="eastAsia" w:ascii="宋体" w:hAnsi="宋体" w:eastAsia="宋体" w:cs="宋体"/>
                <w:color w:val="auto"/>
                <w:sz w:val="24"/>
                <w:szCs w:val="24"/>
              </w:rPr>
            </w:pPr>
          </w:p>
        </w:tc>
      </w:tr>
      <w:tr w14:paraId="32F6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6BD9D13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6457" w:type="dxa"/>
            <w:vAlign w:val="center"/>
          </w:tcPr>
          <w:p w14:paraId="7B17F011">
            <w:pPr>
              <w:jc w:val="center"/>
              <w:rPr>
                <w:rFonts w:hint="eastAsia" w:ascii="宋体" w:hAnsi="宋体" w:eastAsia="宋体" w:cs="宋体"/>
                <w:color w:val="auto"/>
                <w:sz w:val="24"/>
                <w:szCs w:val="24"/>
              </w:rPr>
            </w:pPr>
          </w:p>
        </w:tc>
      </w:tr>
      <w:tr w14:paraId="53E5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49F857B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发包人名称</w:t>
            </w:r>
          </w:p>
        </w:tc>
        <w:tc>
          <w:tcPr>
            <w:tcW w:w="6457" w:type="dxa"/>
            <w:vAlign w:val="center"/>
          </w:tcPr>
          <w:p w14:paraId="6DB07B9A">
            <w:pPr>
              <w:jc w:val="center"/>
              <w:rPr>
                <w:rFonts w:hint="eastAsia" w:ascii="宋体" w:hAnsi="宋体" w:eastAsia="宋体" w:cs="宋体"/>
                <w:color w:val="auto"/>
                <w:sz w:val="24"/>
                <w:szCs w:val="24"/>
              </w:rPr>
            </w:pPr>
          </w:p>
        </w:tc>
      </w:tr>
      <w:tr w14:paraId="6171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12D4583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发包人地址</w:t>
            </w:r>
          </w:p>
        </w:tc>
        <w:tc>
          <w:tcPr>
            <w:tcW w:w="6457" w:type="dxa"/>
            <w:vAlign w:val="center"/>
          </w:tcPr>
          <w:p w14:paraId="09E7E40C">
            <w:pPr>
              <w:jc w:val="center"/>
              <w:rPr>
                <w:rFonts w:hint="eastAsia" w:ascii="宋体" w:hAnsi="宋体" w:eastAsia="宋体" w:cs="宋体"/>
                <w:color w:val="auto"/>
                <w:sz w:val="24"/>
                <w:szCs w:val="24"/>
              </w:rPr>
            </w:pPr>
          </w:p>
        </w:tc>
      </w:tr>
      <w:tr w14:paraId="028B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6DAAFA4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发包人联系人及电话</w:t>
            </w:r>
          </w:p>
        </w:tc>
        <w:tc>
          <w:tcPr>
            <w:tcW w:w="6457" w:type="dxa"/>
            <w:vAlign w:val="center"/>
          </w:tcPr>
          <w:p w14:paraId="5103D768">
            <w:pPr>
              <w:jc w:val="center"/>
              <w:rPr>
                <w:rFonts w:hint="eastAsia" w:ascii="宋体" w:hAnsi="宋体" w:eastAsia="宋体" w:cs="宋体"/>
                <w:color w:val="auto"/>
                <w:sz w:val="24"/>
                <w:szCs w:val="24"/>
              </w:rPr>
            </w:pPr>
          </w:p>
        </w:tc>
      </w:tr>
      <w:tr w14:paraId="4B2D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4D09565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合同价格</w:t>
            </w:r>
          </w:p>
        </w:tc>
        <w:tc>
          <w:tcPr>
            <w:tcW w:w="6457" w:type="dxa"/>
            <w:vAlign w:val="center"/>
          </w:tcPr>
          <w:p w14:paraId="0FFF568A">
            <w:pPr>
              <w:jc w:val="center"/>
              <w:rPr>
                <w:rFonts w:hint="eastAsia" w:ascii="宋体" w:hAnsi="宋体" w:eastAsia="宋体" w:cs="宋体"/>
                <w:color w:val="auto"/>
                <w:sz w:val="24"/>
                <w:szCs w:val="24"/>
              </w:rPr>
            </w:pPr>
          </w:p>
        </w:tc>
      </w:tr>
      <w:tr w14:paraId="1859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1CEDD2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开工日期</w:t>
            </w:r>
          </w:p>
        </w:tc>
        <w:tc>
          <w:tcPr>
            <w:tcW w:w="6457" w:type="dxa"/>
            <w:vAlign w:val="center"/>
          </w:tcPr>
          <w:p w14:paraId="4356678B">
            <w:pPr>
              <w:jc w:val="center"/>
              <w:rPr>
                <w:rFonts w:hint="eastAsia" w:ascii="宋体" w:hAnsi="宋体" w:eastAsia="宋体" w:cs="宋体"/>
                <w:color w:val="auto"/>
                <w:sz w:val="24"/>
                <w:szCs w:val="24"/>
              </w:rPr>
            </w:pPr>
          </w:p>
        </w:tc>
      </w:tr>
      <w:tr w14:paraId="5975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3CDD03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竣工日期</w:t>
            </w:r>
          </w:p>
        </w:tc>
        <w:tc>
          <w:tcPr>
            <w:tcW w:w="6457" w:type="dxa"/>
            <w:vAlign w:val="center"/>
          </w:tcPr>
          <w:p w14:paraId="6630AB0D">
            <w:pPr>
              <w:jc w:val="center"/>
              <w:rPr>
                <w:rFonts w:hint="eastAsia" w:ascii="宋体" w:hAnsi="宋体" w:eastAsia="宋体" w:cs="宋体"/>
                <w:color w:val="auto"/>
                <w:sz w:val="24"/>
                <w:szCs w:val="24"/>
              </w:rPr>
            </w:pPr>
          </w:p>
        </w:tc>
      </w:tr>
      <w:tr w14:paraId="35DA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391305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承担的工作</w:t>
            </w:r>
          </w:p>
        </w:tc>
        <w:tc>
          <w:tcPr>
            <w:tcW w:w="6457" w:type="dxa"/>
            <w:vAlign w:val="center"/>
          </w:tcPr>
          <w:p w14:paraId="6B8107A3">
            <w:pPr>
              <w:jc w:val="center"/>
              <w:rPr>
                <w:rFonts w:hint="eastAsia" w:ascii="宋体" w:hAnsi="宋体" w:eastAsia="宋体" w:cs="宋体"/>
                <w:color w:val="auto"/>
                <w:sz w:val="24"/>
                <w:szCs w:val="24"/>
              </w:rPr>
            </w:pPr>
          </w:p>
        </w:tc>
      </w:tr>
      <w:tr w14:paraId="4CDD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6074A6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w:t>
            </w:r>
          </w:p>
        </w:tc>
        <w:tc>
          <w:tcPr>
            <w:tcW w:w="6457" w:type="dxa"/>
            <w:vAlign w:val="center"/>
          </w:tcPr>
          <w:p w14:paraId="61D04514">
            <w:pPr>
              <w:jc w:val="center"/>
              <w:rPr>
                <w:rFonts w:hint="eastAsia" w:ascii="宋体" w:hAnsi="宋体" w:eastAsia="宋体" w:cs="宋体"/>
                <w:color w:val="auto"/>
                <w:sz w:val="24"/>
                <w:szCs w:val="24"/>
              </w:rPr>
            </w:pPr>
          </w:p>
        </w:tc>
      </w:tr>
      <w:tr w14:paraId="6416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58CF71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6457" w:type="dxa"/>
            <w:vAlign w:val="center"/>
          </w:tcPr>
          <w:p w14:paraId="446549E8">
            <w:pPr>
              <w:jc w:val="center"/>
              <w:rPr>
                <w:rFonts w:hint="eastAsia" w:ascii="宋体" w:hAnsi="宋体" w:eastAsia="宋体" w:cs="宋体"/>
                <w:color w:val="auto"/>
                <w:sz w:val="24"/>
                <w:szCs w:val="24"/>
              </w:rPr>
            </w:pPr>
          </w:p>
        </w:tc>
      </w:tr>
      <w:tr w14:paraId="2425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2C840E8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6457" w:type="dxa"/>
            <w:vAlign w:val="center"/>
          </w:tcPr>
          <w:p w14:paraId="63C9E0BA">
            <w:pPr>
              <w:jc w:val="center"/>
              <w:rPr>
                <w:rFonts w:hint="eastAsia" w:ascii="宋体" w:hAnsi="宋体" w:eastAsia="宋体" w:cs="宋体"/>
                <w:color w:val="auto"/>
                <w:sz w:val="24"/>
                <w:szCs w:val="24"/>
              </w:rPr>
            </w:pPr>
          </w:p>
        </w:tc>
      </w:tr>
      <w:tr w14:paraId="1F04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482" w:type="dxa"/>
            <w:vAlign w:val="center"/>
          </w:tcPr>
          <w:p w14:paraId="153C56A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总监理工程师及电话</w:t>
            </w:r>
          </w:p>
        </w:tc>
        <w:tc>
          <w:tcPr>
            <w:tcW w:w="6457" w:type="dxa"/>
            <w:vAlign w:val="center"/>
          </w:tcPr>
          <w:p w14:paraId="2A9A7E6B">
            <w:pPr>
              <w:jc w:val="center"/>
              <w:rPr>
                <w:rFonts w:hint="eastAsia" w:ascii="宋体" w:hAnsi="宋体" w:eastAsia="宋体" w:cs="宋体"/>
                <w:color w:val="auto"/>
                <w:sz w:val="24"/>
                <w:szCs w:val="24"/>
              </w:rPr>
            </w:pPr>
          </w:p>
        </w:tc>
      </w:tr>
      <w:tr w14:paraId="6CDD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482" w:type="dxa"/>
            <w:vAlign w:val="center"/>
          </w:tcPr>
          <w:p w14:paraId="1CB517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6457" w:type="dxa"/>
            <w:vAlign w:val="center"/>
          </w:tcPr>
          <w:p w14:paraId="4A5C7554">
            <w:pPr>
              <w:jc w:val="center"/>
              <w:rPr>
                <w:rFonts w:hint="eastAsia" w:ascii="宋体" w:hAnsi="宋体" w:eastAsia="宋体" w:cs="宋体"/>
                <w:color w:val="auto"/>
                <w:sz w:val="24"/>
                <w:szCs w:val="24"/>
              </w:rPr>
            </w:pPr>
          </w:p>
        </w:tc>
      </w:tr>
      <w:tr w14:paraId="5AE2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82" w:type="dxa"/>
            <w:vAlign w:val="center"/>
          </w:tcPr>
          <w:p w14:paraId="3528987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457" w:type="dxa"/>
            <w:vAlign w:val="center"/>
          </w:tcPr>
          <w:p w14:paraId="11BDB52D">
            <w:pPr>
              <w:jc w:val="center"/>
              <w:rPr>
                <w:rFonts w:hint="eastAsia" w:ascii="宋体" w:hAnsi="宋体" w:eastAsia="宋体" w:cs="宋体"/>
                <w:color w:val="auto"/>
                <w:sz w:val="24"/>
                <w:szCs w:val="24"/>
              </w:rPr>
            </w:pPr>
          </w:p>
        </w:tc>
      </w:tr>
    </w:tbl>
    <w:p w14:paraId="1F8E413F">
      <w:pPr>
        <w:spacing w:line="4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供应商按以上表格填写相关信息，响应性文件中附合同协议书等相关证明材料。</w:t>
      </w:r>
      <w:r>
        <w:rPr>
          <w:rFonts w:hint="eastAsia" w:ascii="宋体" w:hAnsi="宋体" w:eastAsia="宋体" w:cs="宋体"/>
          <w:color w:val="auto"/>
          <w:sz w:val="21"/>
          <w:szCs w:val="21"/>
          <w:lang w:val="en-US" w:eastAsia="zh-CN"/>
        </w:rPr>
        <w:t>合同有效时间以合同签订日期为准。2.每个业绩填一张表。</w:t>
      </w:r>
    </w:p>
    <w:p w14:paraId="7CD78EED">
      <w:pPr>
        <w:spacing w:line="500" w:lineRule="exact"/>
        <w:ind w:left="360"/>
        <w:jc w:val="center"/>
        <w:rPr>
          <w:rFonts w:hint="eastAsia" w:ascii="宋体" w:hAnsi="宋体" w:eastAsia="宋体" w:cs="宋体"/>
          <w:color w:val="auto"/>
          <w:sz w:val="24"/>
          <w:szCs w:val="20"/>
          <w:highlight w:val="none"/>
        </w:rPr>
      </w:pPr>
    </w:p>
    <w:p w14:paraId="323B5FC9">
      <w:pPr>
        <w:spacing w:line="500" w:lineRule="exact"/>
        <w:ind w:left="360"/>
        <w:jc w:val="center"/>
        <w:rPr>
          <w:rFonts w:hint="eastAsia" w:ascii="宋体" w:hAnsi="宋体" w:eastAsia="宋体" w:cs="宋体"/>
          <w:color w:val="auto"/>
          <w:sz w:val="24"/>
          <w:szCs w:val="20"/>
          <w:highlight w:val="none"/>
        </w:rPr>
      </w:pPr>
    </w:p>
    <w:p w14:paraId="02EC0462">
      <w:pPr>
        <w:adjustRightInd w:val="0"/>
        <w:spacing w:line="500" w:lineRule="exact"/>
        <w:ind w:firstLine="240" w:firstLineChars="1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供应商名称：         （盖章）</w:t>
      </w:r>
    </w:p>
    <w:p w14:paraId="1810CF2D">
      <w:pPr>
        <w:autoSpaceDE w:val="0"/>
        <w:autoSpaceDN w:val="0"/>
        <w:adjustRightInd w:val="0"/>
        <w:spacing w:line="500" w:lineRule="exact"/>
        <w:ind w:firstLine="240" w:firstLineChars="100"/>
        <w:rPr>
          <w:rFonts w:hint="eastAsia" w:ascii="宋体" w:hAnsi="宋体" w:eastAsia="宋体" w:cs="宋体"/>
          <w:bCs/>
          <w:color w:val="auto"/>
          <w:sz w:val="24"/>
          <w:szCs w:val="20"/>
          <w:highlight w:val="none"/>
        </w:rPr>
      </w:pPr>
      <w:r>
        <w:rPr>
          <w:rFonts w:hint="eastAsia" w:ascii="宋体" w:hAnsi="宋体" w:eastAsia="宋体" w:cs="宋体"/>
          <w:color w:val="auto"/>
          <w:kern w:val="0"/>
          <w:sz w:val="24"/>
          <w:szCs w:val="24"/>
          <w:highlight w:val="none"/>
          <w:lang w:val="zh-CN"/>
        </w:rPr>
        <w:t>法定代表人或被授权人</w:t>
      </w:r>
      <w:r>
        <w:rPr>
          <w:rFonts w:hint="eastAsia" w:ascii="宋体" w:hAnsi="宋体" w:cs="宋体"/>
          <w:color w:val="auto"/>
          <w:sz w:val="24"/>
          <w:szCs w:val="24"/>
          <w:lang w:val="zh-CN"/>
        </w:rPr>
        <w:t>（签</w:t>
      </w:r>
      <w:r>
        <w:rPr>
          <w:rFonts w:hint="eastAsia" w:ascii="宋体" w:hAnsi="宋体" w:cs="宋体"/>
          <w:color w:val="auto"/>
          <w:sz w:val="24"/>
          <w:szCs w:val="24"/>
          <w:lang w:val="en-US" w:eastAsia="zh-CN"/>
        </w:rPr>
        <w:t>字</w:t>
      </w:r>
      <w:r>
        <w:rPr>
          <w:rFonts w:hint="eastAsia" w:ascii="宋体" w:hAnsi="宋体" w:cs="宋体"/>
          <w:color w:val="auto"/>
          <w:sz w:val="24"/>
          <w:szCs w:val="24"/>
          <w:lang w:val="zh-CN"/>
        </w:rPr>
        <w:t>或盖章）</w:t>
      </w:r>
      <w:r>
        <w:rPr>
          <w:rFonts w:hint="eastAsia" w:ascii="宋体" w:hAnsi="宋体" w:eastAsia="宋体" w:cs="宋体"/>
          <w:bCs/>
          <w:color w:val="auto"/>
          <w:sz w:val="24"/>
          <w:szCs w:val="20"/>
          <w:highlight w:val="none"/>
        </w:rPr>
        <w:t>：               日期</w:t>
      </w:r>
      <w:r>
        <w:rPr>
          <w:rFonts w:hint="eastAsia" w:ascii="宋体" w:hAnsi="宋体" w:cs="宋体"/>
          <w:color w:val="auto"/>
          <w:sz w:val="24"/>
          <w:szCs w:val="24"/>
          <w:highlight w:val="none"/>
          <w:lang w:val="zh-CN"/>
        </w:rPr>
        <w:t>：</w:t>
      </w:r>
      <w:r>
        <w:rPr>
          <w:rFonts w:hint="eastAsia" w:ascii="宋体" w:hAnsi="宋体" w:eastAsia="宋体" w:cs="宋体"/>
          <w:bCs/>
          <w:color w:val="auto"/>
          <w:sz w:val="24"/>
          <w:szCs w:val="20"/>
          <w:highlight w:val="none"/>
        </w:rPr>
        <w:t xml:space="preserve"> </w:t>
      </w:r>
    </w:p>
    <w:p w14:paraId="2888E4A3">
      <w:pPr>
        <w:pStyle w:val="16"/>
        <w:rPr>
          <w:rFonts w:hint="eastAsia" w:ascii="宋体" w:hAnsi="宋体" w:eastAsia="宋体" w:cs="宋体"/>
          <w:bCs/>
          <w:color w:val="auto"/>
          <w:sz w:val="24"/>
          <w:szCs w:val="20"/>
          <w:highlight w:val="none"/>
        </w:rPr>
      </w:pPr>
    </w:p>
    <w:p w14:paraId="2FA0A55F">
      <w:pPr>
        <w:pStyle w:val="16"/>
        <w:numPr>
          <w:ilvl w:val="0"/>
          <w:numId w:val="12"/>
        </w:numPr>
        <w:jc w:val="center"/>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项目管理机构</w:t>
      </w:r>
    </w:p>
    <w:p w14:paraId="729A1DBB">
      <w:pPr>
        <w:numPr>
          <w:ilvl w:val="0"/>
          <w:numId w:val="0"/>
        </w:numPr>
        <w:rPr>
          <w:rFonts w:hint="eastAsia"/>
          <w:color w:val="auto"/>
          <w:lang w:val="zh-CN" w:eastAsia="zh-CN"/>
        </w:rPr>
      </w:pPr>
    </w:p>
    <w:p w14:paraId="443EEC3B">
      <w:pPr>
        <w:pStyle w:val="139"/>
        <w:spacing w:line="360" w:lineRule="auto"/>
        <w:jc w:val="center"/>
        <w:rPr>
          <w:rFonts w:hint="eastAsia" w:ascii="宋体" w:hAnsi="宋体" w:eastAsia="宋体" w:cs="宋体"/>
          <w:b/>
          <w:bCs/>
          <w:color w:val="auto"/>
          <w:sz w:val="24"/>
          <w:szCs w:val="24"/>
        </w:rPr>
      </w:pPr>
      <w:bookmarkStart w:id="1966" w:name="_Toc44955253"/>
      <w:r>
        <w:rPr>
          <w:rFonts w:hint="eastAsia" w:ascii="宋体" w:hAnsi="宋体" w:eastAsia="宋体" w:cs="宋体"/>
          <w:b/>
          <w:bCs/>
          <w:color w:val="auto"/>
          <w:sz w:val="24"/>
          <w:szCs w:val="24"/>
        </w:rPr>
        <w:t>项目管理机构组成表</w:t>
      </w:r>
      <w:bookmarkEnd w:id="1966"/>
    </w:p>
    <w:tbl>
      <w:tblPr>
        <w:tblStyle w:val="37"/>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26"/>
        <w:gridCol w:w="889"/>
        <w:gridCol w:w="1451"/>
        <w:gridCol w:w="1442"/>
        <w:gridCol w:w="1205"/>
        <w:gridCol w:w="1714"/>
        <w:gridCol w:w="1268"/>
      </w:tblGrid>
      <w:tr w14:paraId="6A72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Merge w:val="restart"/>
            <w:noWrap w:val="0"/>
            <w:vAlign w:val="center"/>
          </w:tcPr>
          <w:p w14:paraId="51DDF4AC">
            <w:pPr>
              <w:keepLines w:val="0"/>
              <w:pageBreakBefore w:val="0"/>
              <w:widowControl w:val="0"/>
              <w:kinsoku/>
              <w:wordWrap/>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26" w:type="dxa"/>
            <w:vMerge w:val="restart"/>
            <w:noWrap w:val="0"/>
            <w:vAlign w:val="center"/>
          </w:tcPr>
          <w:p w14:paraId="43802220">
            <w:pPr>
              <w:keepLines w:val="0"/>
              <w:pageBreakBefore w:val="0"/>
              <w:widowControl w:val="0"/>
              <w:kinsoku/>
              <w:wordWrap/>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89" w:type="dxa"/>
            <w:vMerge w:val="restart"/>
            <w:noWrap w:val="0"/>
            <w:vAlign w:val="center"/>
          </w:tcPr>
          <w:p w14:paraId="14623C67">
            <w:pPr>
              <w:keepLines w:val="0"/>
              <w:pageBreakBefore w:val="0"/>
              <w:widowControl w:val="0"/>
              <w:kinsoku/>
              <w:wordWrap/>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812" w:type="dxa"/>
            <w:gridSpan w:val="4"/>
            <w:noWrap w:val="0"/>
            <w:vAlign w:val="center"/>
          </w:tcPr>
          <w:p w14:paraId="7A9D3686">
            <w:pPr>
              <w:keepLines w:val="0"/>
              <w:pageBreakBefore w:val="0"/>
              <w:widowControl w:val="0"/>
              <w:kinsoku/>
              <w:wordWrap/>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1268" w:type="dxa"/>
            <w:vMerge w:val="restart"/>
            <w:noWrap w:val="0"/>
            <w:vAlign w:val="center"/>
          </w:tcPr>
          <w:p w14:paraId="1BE6851F">
            <w:pPr>
              <w:keepLines w:val="0"/>
              <w:pageBreakBefore w:val="0"/>
              <w:widowControl w:val="0"/>
              <w:kinsoku/>
              <w:wordWrap/>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03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4" w:type="dxa"/>
            <w:vMerge w:val="continue"/>
            <w:noWrap w:val="0"/>
            <w:vAlign w:val="top"/>
          </w:tcPr>
          <w:p w14:paraId="218F4D25">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vMerge w:val="continue"/>
            <w:noWrap w:val="0"/>
            <w:vAlign w:val="top"/>
          </w:tcPr>
          <w:p w14:paraId="46D1949B">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vMerge w:val="continue"/>
            <w:noWrap w:val="0"/>
            <w:vAlign w:val="top"/>
          </w:tcPr>
          <w:p w14:paraId="15F1F324">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center"/>
          </w:tcPr>
          <w:p w14:paraId="6A6B321F">
            <w:pPr>
              <w:keepLines w:val="0"/>
              <w:pageBreakBefore w:val="0"/>
              <w:widowControl w:val="0"/>
              <w:kinsoku/>
              <w:wordWrap/>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442" w:type="dxa"/>
            <w:noWrap w:val="0"/>
            <w:vAlign w:val="center"/>
          </w:tcPr>
          <w:p w14:paraId="783B55A2">
            <w:pPr>
              <w:keepLines w:val="0"/>
              <w:pageBreakBefore w:val="0"/>
              <w:widowControl w:val="0"/>
              <w:kinsoku/>
              <w:wordWrap/>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205" w:type="dxa"/>
            <w:noWrap w:val="0"/>
            <w:vAlign w:val="center"/>
          </w:tcPr>
          <w:p w14:paraId="2177DBEE">
            <w:pPr>
              <w:keepLines w:val="0"/>
              <w:pageBreakBefore w:val="0"/>
              <w:widowControl w:val="0"/>
              <w:kinsoku/>
              <w:wordWrap/>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714" w:type="dxa"/>
            <w:noWrap w:val="0"/>
            <w:vAlign w:val="center"/>
          </w:tcPr>
          <w:p w14:paraId="6D44FA9F">
            <w:pPr>
              <w:keepLines w:val="0"/>
              <w:pageBreakBefore w:val="0"/>
              <w:widowControl w:val="0"/>
              <w:kinsoku/>
              <w:wordWrap/>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268" w:type="dxa"/>
            <w:vMerge w:val="continue"/>
            <w:noWrap w:val="0"/>
            <w:vAlign w:val="top"/>
          </w:tcPr>
          <w:p w14:paraId="4CABCF82">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209F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77110CB3">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21642F1C">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47F8337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13913ACB">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1B09A56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7608D10D">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7D786DB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1EF443D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4A42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588B749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4759F40A">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4BC7E9EC">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24B7FE9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795CB456">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2D8740BA">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5D9C31CD">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4FDDD43F">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4DAA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0E9DA6EC">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7057BDE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18581C32">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2F81F698">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4E908DA7">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7E5ABA02">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66BD266D">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5D652857">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0F8A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0153150D">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7498FC2A">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2EE39CE7">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375E910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62FCD427">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56A5F07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6FBE248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5BF0E63C">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3D82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20B154D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4B815168">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69BD99D6">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4F5A52AD">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28E23B54">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41B5C6CA">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5B279AC8">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1E9CDC3B">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034E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11234600">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390D1407">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175A49A4">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53C6BA8C">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2CA51CD8">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3BB58148">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425025D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76478F96">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2917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1672BF3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2AC36117">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759DC930">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4AAB4088">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78CE71C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0F774E7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3A257F3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7E883B88">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15F8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7F23AA60">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044F2898">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6F1EA5AB">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4C8DC273">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3E2EDADC">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2937EF3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0CB36FE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30371030">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5CF2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4302B56D">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61B966A7">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6D42CEF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5F86456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49E5F284">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1E81982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737FAEA0">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74F337E6">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24DC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7660EF2F">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4C800B6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584BFCAD">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799622D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286A2C3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697FAA76">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7248B663">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70E8C61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78F9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7C5E587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5D7F79A5">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13884410">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09FE267B">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3DF2ED9F">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66EAD28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068AB1B1">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095EC73C">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009D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34611758">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3A6FA1D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0332FFB4">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2E4704AB">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04FFA5AB">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7413F224">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6B9D381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70AE3EA4">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r w14:paraId="3D00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noWrap w:val="0"/>
            <w:vAlign w:val="top"/>
          </w:tcPr>
          <w:p w14:paraId="4FF75854">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726" w:type="dxa"/>
            <w:noWrap w:val="0"/>
            <w:vAlign w:val="top"/>
          </w:tcPr>
          <w:p w14:paraId="5A86228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889" w:type="dxa"/>
            <w:noWrap w:val="0"/>
            <w:vAlign w:val="top"/>
          </w:tcPr>
          <w:p w14:paraId="55980920">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51" w:type="dxa"/>
            <w:noWrap w:val="0"/>
            <w:vAlign w:val="top"/>
          </w:tcPr>
          <w:p w14:paraId="1D607083">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442" w:type="dxa"/>
            <w:noWrap w:val="0"/>
            <w:vAlign w:val="top"/>
          </w:tcPr>
          <w:p w14:paraId="4470AE86">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05" w:type="dxa"/>
            <w:noWrap w:val="0"/>
            <w:vAlign w:val="top"/>
          </w:tcPr>
          <w:p w14:paraId="4ACDC90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714" w:type="dxa"/>
            <w:noWrap w:val="0"/>
            <w:vAlign w:val="top"/>
          </w:tcPr>
          <w:p w14:paraId="247AFE8E">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c>
          <w:tcPr>
            <w:tcW w:w="1268" w:type="dxa"/>
            <w:noWrap w:val="0"/>
            <w:vAlign w:val="top"/>
          </w:tcPr>
          <w:p w14:paraId="27075E69">
            <w:pPr>
              <w:keepLines w:val="0"/>
              <w:pageBreakBefore w:val="0"/>
              <w:widowControl w:val="0"/>
              <w:kinsoku/>
              <w:wordWrap/>
              <w:bidi w:val="0"/>
              <w:spacing w:line="420" w:lineRule="exact"/>
              <w:textAlignment w:val="auto"/>
              <w:rPr>
                <w:rFonts w:hint="eastAsia" w:ascii="宋体" w:hAnsi="宋体" w:eastAsia="宋体" w:cs="宋体"/>
                <w:color w:val="auto"/>
                <w:sz w:val="24"/>
                <w:szCs w:val="24"/>
                <w:highlight w:val="none"/>
              </w:rPr>
            </w:pPr>
          </w:p>
        </w:tc>
      </w:tr>
    </w:tbl>
    <w:p w14:paraId="1CCFD5AB">
      <w:pPr>
        <w:rPr>
          <w:rFonts w:hint="eastAsia" w:ascii="宋体" w:hAnsi="宋体" w:eastAsia="宋体" w:cs="宋体"/>
          <w:color w:val="auto"/>
          <w:sz w:val="24"/>
          <w:szCs w:val="24"/>
        </w:rPr>
      </w:pPr>
    </w:p>
    <w:p w14:paraId="356B269E">
      <w:pPr>
        <w:keepLines w:val="0"/>
        <w:kinsoku/>
        <w:bidi w:val="0"/>
        <w:spacing w:line="420" w:lineRule="exact"/>
        <w:ind w:firstLine="420" w:firstLineChars="200"/>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注：供应商可适当调整该表格式，但不得减少信息内容。</w:t>
      </w:r>
    </w:p>
    <w:p w14:paraId="2467397C">
      <w:pPr>
        <w:pStyle w:val="16"/>
        <w:rPr>
          <w:rFonts w:hint="eastAsia" w:ascii="宋体" w:hAnsi="宋体" w:eastAsia="宋体" w:cs="宋体"/>
          <w:color w:val="auto"/>
          <w:sz w:val="24"/>
          <w:szCs w:val="24"/>
        </w:rPr>
      </w:pPr>
    </w:p>
    <w:p w14:paraId="13E7D226">
      <w:pPr>
        <w:rPr>
          <w:rFonts w:hint="eastAsia" w:ascii="宋体" w:hAnsi="宋体" w:eastAsia="宋体" w:cs="宋体"/>
          <w:color w:val="auto"/>
          <w:sz w:val="24"/>
          <w:szCs w:val="24"/>
        </w:rPr>
      </w:pPr>
    </w:p>
    <w:p w14:paraId="26B78AE3">
      <w:pPr>
        <w:pStyle w:val="16"/>
        <w:rPr>
          <w:rFonts w:hint="eastAsia" w:ascii="宋体" w:hAnsi="宋体" w:eastAsia="宋体" w:cs="宋体"/>
          <w:color w:val="auto"/>
          <w:sz w:val="24"/>
          <w:szCs w:val="24"/>
        </w:rPr>
      </w:pPr>
    </w:p>
    <w:p w14:paraId="78F89DE3">
      <w:pPr>
        <w:rPr>
          <w:rFonts w:hint="eastAsia" w:ascii="宋体" w:hAnsi="宋体" w:eastAsia="宋体" w:cs="宋体"/>
          <w:color w:val="auto"/>
          <w:sz w:val="24"/>
          <w:szCs w:val="24"/>
        </w:rPr>
      </w:pPr>
    </w:p>
    <w:p w14:paraId="3D81855E">
      <w:pPr>
        <w:pStyle w:val="16"/>
        <w:rPr>
          <w:rFonts w:hint="eastAsia" w:ascii="宋体" w:hAnsi="宋体" w:eastAsia="宋体" w:cs="宋体"/>
          <w:color w:val="auto"/>
          <w:sz w:val="24"/>
          <w:szCs w:val="24"/>
        </w:rPr>
      </w:pPr>
    </w:p>
    <w:p w14:paraId="1303DF63">
      <w:pPr>
        <w:rPr>
          <w:rFonts w:hint="eastAsia" w:ascii="宋体" w:hAnsi="宋体" w:eastAsia="宋体" w:cs="宋体"/>
          <w:color w:val="auto"/>
          <w:sz w:val="24"/>
          <w:szCs w:val="24"/>
        </w:rPr>
      </w:pPr>
    </w:p>
    <w:p w14:paraId="31D07285">
      <w:pPr>
        <w:rPr>
          <w:rFonts w:hint="eastAsia" w:ascii="宋体" w:hAnsi="宋体" w:eastAsia="宋体" w:cs="宋体"/>
          <w:color w:val="auto"/>
          <w:sz w:val="24"/>
          <w:szCs w:val="24"/>
        </w:rPr>
      </w:pPr>
    </w:p>
    <w:p w14:paraId="46B59D35">
      <w:pPr>
        <w:pStyle w:val="16"/>
        <w:rPr>
          <w:rFonts w:hint="eastAsia" w:ascii="宋体" w:hAnsi="宋体" w:eastAsia="宋体" w:cs="宋体"/>
          <w:color w:val="auto"/>
          <w:sz w:val="24"/>
          <w:szCs w:val="24"/>
        </w:rPr>
      </w:pPr>
    </w:p>
    <w:p w14:paraId="3E95C761">
      <w:pPr>
        <w:rPr>
          <w:rFonts w:hint="eastAsia" w:ascii="宋体" w:hAnsi="宋体" w:eastAsia="宋体" w:cs="宋体"/>
          <w:color w:val="auto"/>
          <w:sz w:val="24"/>
          <w:szCs w:val="24"/>
        </w:rPr>
      </w:pPr>
    </w:p>
    <w:p w14:paraId="7BAF777C">
      <w:pPr>
        <w:pStyle w:val="139"/>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rPr>
      </w:pPr>
      <w:bookmarkStart w:id="1967" w:name="_Toc152042594"/>
      <w:bookmarkStart w:id="1968" w:name="_Toc42008310"/>
      <w:bookmarkStart w:id="1969" w:name="_Toc44955254"/>
      <w:bookmarkStart w:id="1970" w:name="_Toc144974873"/>
      <w:bookmarkStart w:id="1971" w:name="_Toc152045805"/>
      <w:bookmarkStart w:id="1972" w:name="_Toc44245300"/>
      <w:bookmarkStart w:id="1973" w:name="_Toc1116"/>
      <w:r>
        <w:rPr>
          <w:rFonts w:hint="eastAsia" w:ascii="宋体" w:hAnsi="宋体" w:eastAsia="宋体" w:cs="宋体"/>
          <w:b/>
          <w:bCs/>
          <w:color w:val="auto"/>
          <w:sz w:val="24"/>
          <w:szCs w:val="24"/>
        </w:rPr>
        <w:t>主要人员简历表</w:t>
      </w:r>
      <w:bookmarkEnd w:id="1967"/>
      <w:bookmarkEnd w:id="1968"/>
      <w:bookmarkEnd w:id="1969"/>
      <w:bookmarkEnd w:id="1970"/>
      <w:bookmarkEnd w:id="1971"/>
      <w:bookmarkEnd w:id="1972"/>
      <w:bookmarkEnd w:id="1973"/>
    </w:p>
    <w:p w14:paraId="0632EBD4">
      <w:pPr>
        <w:keepLines w:val="0"/>
        <w:pageBreakBefore w:val="0"/>
        <w:widowControl w:val="0"/>
        <w:kinsoku/>
        <w:wordWrap/>
        <w:bidi w:val="0"/>
        <w:spacing w:line="420" w:lineRule="exact"/>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“主要人员简历表”中应附人员相关证书及资料。</w:t>
      </w:r>
    </w:p>
    <w:tbl>
      <w:tblPr>
        <w:tblStyle w:val="3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04"/>
        <w:gridCol w:w="811"/>
        <w:gridCol w:w="1044"/>
        <w:gridCol w:w="1199"/>
        <w:gridCol w:w="2399"/>
        <w:gridCol w:w="2404"/>
      </w:tblGrid>
      <w:tr w14:paraId="7AA8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36" w:type="dxa"/>
            <w:vAlign w:val="center"/>
          </w:tcPr>
          <w:p w14:paraId="45BA17CD">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215" w:type="dxa"/>
            <w:gridSpan w:val="2"/>
            <w:vAlign w:val="center"/>
          </w:tcPr>
          <w:p w14:paraId="4FDA3C0F">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p>
        </w:tc>
        <w:tc>
          <w:tcPr>
            <w:tcW w:w="1044" w:type="dxa"/>
            <w:vAlign w:val="center"/>
          </w:tcPr>
          <w:p w14:paraId="2D009225">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1199" w:type="dxa"/>
            <w:vAlign w:val="center"/>
          </w:tcPr>
          <w:p w14:paraId="18C5D3D0">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p>
        </w:tc>
        <w:tc>
          <w:tcPr>
            <w:tcW w:w="2399" w:type="dxa"/>
            <w:vAlign w:val="center"/>
          </w:tcPr>
          <w:p w14:paraId="0B5F0817">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2404" w:type="dxa"/>
            <w:vAlign w:val="center"/>
          </w:tcPr>
          <w:p w14:paraId="0358E265">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p>
        </w:tc>
      </w:tr>
      <w:tr w14:paraId="3420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36" w:type="dxa"/>
            <w:vAlign w:val="center"/>
          </w:tcPr>
          <w:p w14:paraId="7FBC3107">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215" w:type="dxa"/>
            <w:gridSpan w:val="2"/>
            <w:vAlign w:val="center"/>
          </w:tcPr>
          <w:p w14:paraId="75589698">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p>
        </w:tc>
        <w:tc>
          <w:tcPr>
            <w:tcW w:w="1044" w:type="dxa"/>
            <w:vAlign w:val="center"/>
          </w:tcPr>
          <w:p w14:paraId="15E3F3BE">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199" w:type="dxa"/>
            <w:vAlign w:val="center"/>
          </w:tcPr>
          <w:p w14:paraId="38645837">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p>
        </w:tc>
        <w:tc>
          <w:tcPr>
            <w:tcW w:w="2399" w:type="dxa"/>
            <w:vAlign w:val="center"/>
          </w:tcPr>
          <w:p w14:paraId="343D8369">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拟在本合同任职</w:t>
            </w:r>
          </w:p>
        </w:tc>
        <w:tc>
          <w:tcPr>
            <w:tcW w:w="2404" w:type="dxa"/>
            <w:vAlign w:val="center"/>
          </w:tcPr>
          <w:p w14:paraId="743CA040">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p>
        </w:tc>
      </w:tr>
      <w:tr w14:paraId="3E9C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36" w:type="dxa"/>
            <w:vAlign w:val="center"/>
          </w:tcPr>
          <w:p w14:paraId="1D8D1F60">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8261" w:type="dxa"/>
            <w:gridSpan w:val="6"/>
          </w:tcPr>
          <w:p w14:paraId="75AAF37A">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年毕业于            学校        专业</w:t>
            </w:r>
          </w:p>
        </w:tc>
      </w:tr>
      <w:tr w14:paraId="36EE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97" w:type="dxa"/>
            <w:gridSpan w:val="7"/>
            <w:vAlign w:val="center"/>
          </w:tcPr>
          <w:p w14:paraId="7C04624F">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主要工作经历</w:t>
            </w:r>
          </w:p>
        </w:tc>
      </w:tr>
      <w:tr w14:paraId="708B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40" w:type="dxa"/>
            <w:gridSpan w:val="2"/>
            <w:vAlign w:val="center"/>
          </w:tcPr>
          <w:p w14:paraId="7E08410C">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  间</w:t>
            </w:r>
          </w:p>
        </w:tc>
        <w:tc>
          <w:tcPr>
            <w:tcW w:w="3054" w:type="dxa"/>
            <w:gridSpan w:val="3"/>
            <w:vAlign w:val="center"/>
          </w:tcPr>
          <w:p w14:paraId="18AA4546">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参加过的类似项目</w:t>
            </w:r>
          </w:p>
        </w:tc>
        <w:tc>
          <w:tcPr>
            <w:tcW w:w="2399" w:type="dxa"/>
            <w:vAlign w:val="center"/>
          </w:tcPr>
          <w:p w14:paraId="1E0F8E61">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担任职务</w:t>
            </w:r>
          </w:p>
        </w:tc>
        <w:tc>
          <w:tcPr>
            <w:tcW w:w="2404" w:type="dxa"/>
            <w:vAlign w:val="center"/>
          </w:tcPr>
          <w:p w14:paraId="0CE475D2">
            <w:pPr>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发包人及联系电话</w:t>
            </w:r>
          </w:p>
        </w:tc>
      </w:tr>
      <w:tr w14:paraId="67AA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tcPr>
          <w:p w14:paraId="4E02924A">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tcPr>
          <w:p w14:paraId="69FF1324">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tcPr>
          <w:p w14:paraId="65BCF5B2">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tcPr>
          <w:p w14:paraId="6D9E5B7C">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565C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tcPr>
          <w:p w14:paraId="372FBB91">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tcPr>
          <w:p w14:paraId="6ADF8C11">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tcPr>
          <w:p w14:paraId="69331544">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tcPr>
          <w:p w14:paraId="541BF87E">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4D28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tcPr>
          <w:p w14:paraId="53A4CD74">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tcPr>
          <w:p w14:paraId="3E90FFE8">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tcPr>
          <w:p w14:paraId="1817E682">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tcPr>
          <w:p w14:paraId="3E46B4F3">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121B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vAlign w:val="center"/>
          </w:tcPr>
          <w:p w14:paraId="223B98D1">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vAlign w:val="center"/>
          </w:tcPr>
          <w:p w14:paraId="048911CE">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vAlign w:val="center"/>
          </w:tcPr>
          <w:p w14:paraId="1DE03A3E">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vAlign w:val="center"/>
          </w:tcPr>
          <w:p w14:paraId="26676648">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0D02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vAlign w:val="center"/>
          </w:tcPr>
          <w:p w14:paraId="242E56B3">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vAlign w:val="center"/>
          </w:tcPr>
          <w:p w14:paraId="29DB9627">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vAlign w:val="center"/>
          </w:tcPr>
          <w:p w14:paraId="2FFB008D">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vAlign w:val="center"/>
          </w:tcPr>
          <w:p w14:paraId="1AA894DF">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6545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vAlign w:val="center"/>
          </w:tcPr>
          <w:p w14:paraId="29513317">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vAlign w:val="center"/>
          </w:tcPr>
          <w:p w14:paraId="608DF4F9">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vAlign w:val="center"/>
          </w:tcPr>
          <w:p w14:paraId="016FA652">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vAlign w:val="center"/>
          </w:tcPr>
          <w:p w14:paraId="17638B5B">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01DF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vAlign w:val="center"/>
          </w:tcPr>
          <w:p w14:paraId="266841F9">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vAlign w:val="center"/>
          </w:tcPr>
          <w:p w14:paraId="414D29CA">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vAlign w:val="center"/>
          </w:tcPr>
          <w:p w14:paraId="0EF97C15">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vAlign w:val="center"/>
          </w:tcPr>
          <w:p w14:paraId="0D637C01">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3142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vAlign w:val="center"/>
          </w:tcPr>
          <w:p w14:paraId="2F67C935">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vAlign w:val="center"/>
          </w:tcPr>
          <w:p w14:paraId="30EBE1A6">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vAlign w:val="center"/>
          </w:tcPr>
          <w:p w14:paraId="1B67E586">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vAlign w:val="center"/>
          </w:tcPr>
          <w:p w14:paraId="093BFFC8">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3A01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vAlign w:val="center"/>
          </w:tcPr>
          <w:p w14:paraId="2950C29D">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vAlign w:val="center"/>
          </w:tcPr>
          <w:p w14:paraId="43C57C3E">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vAlign w:val="center"/>
          </w:tcPr>
          <w:p w14:paraId="144C1DDE">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vAlign w:val="center"/>
          </w:tcPr>
          <w:p w14:paraId="7B39B73A">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7A61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40" w:type="dxa"/>
            <w:gridSpan w:val="2"/>
            <w:vAlign w:val="center"/>
          </w:tcPr>
          <w:p w14:paraId="232D985E">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vAlign w:val="center"/>
          </w:tcPr>
          <w:p w14:paraId="1203DFFC">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vAlign w:val="center"/>
          </w:tcPr>
          <w:p w14:paraId="40BCAF3B">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vAlign w:val="center"/>
          </w:tcPr>
          <w:p w14:paraId="7868C059">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r w14:paraId="014D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40" w:type="dxa"/>
            <w:gridSpan w:val="2"/>
            <w:vAlign w:val="center"/>
          </w:tcPr>
          <w:p w14:paraId="14E1F2A9">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3054" w:type="dxa"/>
            <w:gridSpan w:val="3"/>
            <w:vAlign w:val="center"/>
          </w:tcPr>
          <w:p w14:paraId="72719188">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399" w:type="dxa"/>
            <w:vAlign w:val="center"/>
          </w:tcPr>
          <w:p w14:paraId="52403EDB">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c>
          <w:tcPr>
            <w:tcW w:w="2404" w:type="dxa"/>
            <w:vAlign w:val="center"/>
          </w:tcPr>
          <w:p w14:paraId="6A155191">
            <w:pPr>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tc>
      </w:tr>
    </w:tbl>
    <w:p w14:paraId="57378C56">
      <w:pPr>
        <w:pStyle w:val="31"/>
        <w:rPr>
          <w:rFonts w:hint="eastAsia" w:ascii="宋体" w:hAnsi="宋体" w:eastAsia="宋体" w:cs="宋体"/>
          <w:color w:val="auto"/>
          <w:sz w:val="24"/>
          <w:szCs w:val="24"/>
        </w:rPr>
      </w:pPr>
    </w:p>
    <w:p w14:paraId="40B58530">
      <w:pPr>
        <w:pStyle w:val="31"/>
        <w:rPr>
          <w:rFonts w:hint="eastAsia" w:ascii="宋体" w:hAnsi="宋体" w:eastAsia="宋体" w:cs="宋体"/>
          <w:color w:val="auto"/>
          <w:sz w:val="24"/>
          <w:szCs w:val="24"/>
        </w:rPr>
      </w:pPr>
    </w:p>
    <w:p w14:paraId="3CA29D5C">
      <w:pPr>
        <w:pStyle w:val="31"/>
        <w:rPr>
          <w:rFonts w:hint="eastAsia" w:ascii="宋体" w:hAnsi="宋体" w:eastAsia="宋体" w:cs="宋体"/>
          <w:color w:val="auto"/>
          <w:sz w:val="24"/>
          <w:szCs w:val="24"/>
        </w:rPr>
      </w:pPr>
    </w:p>
    <w:p w14:paraId="5A37CAFD">
      <w:pPr>
        <w:pStyle w:val="31"/>
        <w:rPr>
          <w:rFonts w:hint="eastAsia" w:ascii="宋体" w:hAnsi="宋体" w:eastAsia="宋体" w:cs="宋体"/>
          <w:color w:val="auto"/>
          <w:sz w:val="24"/>
          <w:szCs w:val="24"/>
        </w:rPr>
      </w:pPr>
    </w:p>
    <w:p w14:paraId="157879F6">
      <w:pPr>
        <w:spacing w:before="240" w:beforeLines="100" w:after="240" w:afterLines="10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项目经理无在建</w:t>
      </w:r>
      <w:r>
        <w:rPr>
          <w:rFonts w:hint="eastAsia" w:ascii="宋体" w:hAnsi="宋体" w:eastAsia="宋体" w:cs="宋体"/>
          <w:b/>
          <w:color w:val="auto"/>
          <w:sz w:val="24"/>
          <w:szCs w:val="24"/>
        </w:rPr>
        <w:t>承诺书</w:t>
      </w:r>
    </w:p>
    <w:p w14:paraId="13B8AD89">
      <w:pPr>
        <w:spacing w:after="240" w:afterLines="100" w:line="44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人名称）：</w:t>
      </w:r>
    </w:p>
    <w:p w14:paraId="65B72F2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我方在此声明，我方拟派往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（项目名称）（以下简称“本工程”）的项目经理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（项目经理姓名）现阶段没有担任任何在施建设工程项目的项目经理。</w:t>
      </w:r>
    </w:p>
    <w:p w14:paraId="761FD8F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我方保证上述信息的真实和准确，并愿意承担因我方就此弄虚作假所引起的一切法律后果。</w:t>
      </w:r>
    </w:p>
    <w:p w14:paraId="5E4FB764">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特此承诺</w:t>
      </w:r>
      <w:r>
        <w:rPr>
          <w:rFonts w:hint="eastAsia" w:ascii="宋体" w:hAnsi="宋体" w:eastAsia="宋体" w:cs="宋体"/>
          <w:color w:val="auto"/>
          <w:sz w:val="24"/>
          <w:szCs w:val="24"/>
          <w:lang w:eastAsia="zh-CN"/>
        </w:rPr>
        <w:t>！</w:t>
      </w:r>
    </w:p>
    <w:p w14:paraId="00A46704">
      <w:pPr>
        <w:spacing w:line="440" w:lineRule="exact"/>
        <w:ind w:firstLine="480" w:firstLineChars="200"/>
        <w:rPr>
          <w:rFonts w:hint="eastAsia" w:ascii="宋体" w:hAnsi="宋体" w:eastAsia="宋体" w:cs="宋体"/>
          <w:color w:val="auto"/>
          <w:sz w:val="24"/>
          <w:szCs w:val="24"/>
        </w:rPr>
      </w:pPr>
    </w:p>
    <w:p w14:paraId="52EF6FBF">
      <w:pPr>
        <w:spacing w:line="440" w:lineRule="exact"/>
        <w:ind w:firstLine="480" w:firstLineChars="200"/>
        <w:rPr>
          <w:rFonts w:hint="eastAsia" w:ascii="宋体" w:hAnsi="宋体" w:eastAsia="宋体" w:cs="宋体"/>
          <w:color w:val="auto"/>
          <w:sz w:val="24"/>
          <w:szCs w:val="24"/>
        </w:rPr>
      </w:pPr>
    </w:p>
    <w:p w14:paraId="4B90ECD3">
      <w:pPr>
        <w:spacing w:line="440" w:lineRule="exact"/>
        <w:rPr>
          <w:rFonts w:hint="eastAsia" w:ascii="宋体" w:hAnsi="宋体" w:eastAsia="宋体" w:cs="宋体"/>
          <w:color w:val="auto"/>
          <w:sz w:val="24"/>
          <w:szCs w:val="24"/>
        </w:rPr>
      </w:pPr>
    </w:p>
    <w:p w14:paraId="77CA5AF4">
      <w:pPr>
        <w:spacing w:line="480" w:lineRule="exact"/>
        <w:ind w:firstLine="3840" w:firstLineChars="1600"/>
        <w:rPr>
          <w:rFonts w:hint="eastAsia" w:ascii="宋体" w:hAnsi="宋体" w:eastAsia="宋体" w:cs="宋体"/>
          <w:bCs/>
          <w:color w:val="auto"/>
          <w:sz w:val="24"/>
          <w:szCs w:val="24"/>
          <w:u w:val="single"/>
        </w:rPr>
      </w:pPr>
      <w:r>
        <w:rPr>
          <w:rFonts w:hint="eastAsia" w:ascii="宋体" w:hAnsi="宋体" w:eastAsia="宋体" w:cs="宋体"/>
          <w:color w:val="auto"/>
          <w:sz w:val="24"/>
          <w:szCs w:val="20"/>
          <w:highlight w:val="none"/>
        </w:rPr>
        <w:t>供应商名称</w:t>
      </w:r>
      <w:r>
        <w:rPr>
          <w:rFonts w:hint="eastAsia" w:ascii="宋体" w:hAnsi="宋体" w:eastAsia="宋体" w:cs="宋体"/>
          <w:bCs/>
          <w:color w:val="auto"/>
          <w:sz w:val="24"/>
          <w:szCs w:val="24"/>
        </w:rPr>
        <w:t>（盖章）：</w:t>
      </w:r>
      <w:r>
        <w:rPr>
          <w:rFonts w:hint="eastAsia" w:ascii="宋体" w:hAnsi="宋体" w:eastAsia="宋体" w:cs="宋体"/>
          <w:bCs/>
          <w:color w:val="auto"/>
          <w:sz w:val="24"/>
          <w:szCs w:val="24"/>
          <w:u w:val="single"/>
        </w:rPr>
        <w:t xml:space="preserve">                               </w:t>
      </w:r>
    </w:p>
    <w:p w14:paraId="6F30C253">
      <w:pPr>
        <w:spacing w:line="480" w:lineRule="exact"/>
        <w:ind w:firstLine="3840" w:firstLineChars="16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法人代表或</w:t>
      </w:r>
      <w:r>
        <w:rPr>
          <w:rFonts w:hint="eastAsia" w:ascii="宋体" w:hAnsi="宋体" w:eastAsia="宋体" w:cs="宋体"/>
          <w:b w:val="0"/>
          <w:bCs w:val="0"/>
          <w:color w:val="auto"/>
          <w:sz w:val="24"/>
          <w:szCs w:val="24"/>
          <w:highlight w:val="none"/>
          <w:lang w:val="en-US" w:eastAsia="zh-CN"/>
        </w:rPr>
        <w:t>被授权人</w:t>
      </w:r>
      <w:r>
        <w:rPr>
          <w:rFonts w:hint="eastAsia" w:ascii="宋体" w:hAnsi="宋体" w:eastAsia="宋体" w:cs="宋体"/>
          <w:bCs/>
          <w:color w:val="auto"/>
          <w:sz w:val="24"/>
          <w:szCs w:val="24"/>
        </w:rPr>
        <w:t>（签字或盖章）：</w:t>
      </w:r>
      <w:r>
        <w:rPr>
          <w:rFonts w:hint="eastAsia" w:ascii="宋体" w:hAnsi="宋体" w:eastAsia="宋体" w:cs="宋体"/>
          <w:bCs/>
          <w:color w:val="auto"/>
          <w:sz w:val="24"/>
          <w:szCs w:val="24"/>
          <w:u w:val="single"/>
        </w:rPr>
        <w:t xml:space="preserve">           </w:t>
      </w:r>
    </w:p>
    <w:p w14:paraId="0C13FBE2">
      <w:pPr>
        <w:spacing w:line="480" w:lineRule="exact"/>
        <w:ind w:firstLine="3840" w:firstLineChars="1600"/>
        <w:rPr>
          <w:rFonts w:hint="eastAsia" w:ascii="宋体" w:hAnsi="宋体" w:eastAsia="宋体" w:cs="宋体"/>
          <w:bCs/>
          <w:color w:val="auto"/>
          <w:sz w:val="24"/>
          <w:szCs w:val="24"/>
        </w:rPr>
      </w:pPr>
      <w:r>
        <w:rPr>
          <w:rFonts w:hint="eastAsia" w:ascii="宋体" w:hAnsi="宋体" w:eastAsia="宋体" w:cs="宋体"/>
          <w:bCs/>
          <w:color w:val="auto"/>
          <w:sz w:val="24"/>
          <w:szCs w:val="24"/>
        </w:rPr>
        <w:t>日        期：</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p>
    <w:p w14:paraId="5ABB9BFE">
      <w:pPr>
        <w:pStyle w:val="16"/>
        <w:rPr>
          <w:rFonts w:hint="eastAsia"/>
          <w:color w:val="auto"/>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bookmarkEnd w:id="1962"/>
    <w:bookmarkEnd w:id="1963"/>
    <w:p w14:paraId="401FB59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8"/>
          <w:szCs w:val="28"/>
          <w:lang w:val="en-US" w:eastAsia="zh-CN"/>
        </w:rPr>
      </w:pPr>
      <w:bookmarkStart w:id="1974" w:name="_Toc11411"/>
      <w:r>
        <w:rPr>
          <w:rFonts w:hint="eastAsia" w:ascii="宋体" w:hAnsi="宋体" w:cs="宋体"/>
          <w:b/>
          <w:bCs/>
          <w:color w:val="auto"/>
          <w:sz w:val="28"/>
          <w:szCs w:val="28"/>
          <w:lang w:val="en-US" w:eastAsia="zh-CN"/>
        </w:rPr>
        <w:t xml:space="preserve">第五部分 </w:t>
      </w:r>
      <w:bookmarkEnd w:id="1974"/>
      <w:r>
        <w:rPr>
          <w:rFonts w:hint="eastAsia" w:ascii="宋体" w:hAnsi="宋体" w:cs="宋体"/>
          <w:b/>
          <w:bCs/>
          <w:color w:val="auto"/>
          <w:sz w:val="28"/>
          <w:szCs w:val="28"/>
          <w:highlight w:val="none"/>
          <w:lang w:val="en-US" w:eastAsia="zh-CN"/>
        </w:rPr>
        <w:t>技术</w:t>
      </w:r>
      <w:r>
        <w:rPr>
          <w:rFonts w:hint="eastAsia" w:ascii="宋体" w:hAnsi="宋体" w:eastAsia="宋体" w:cs="宋体"/>
          <w:b/>
          <w:bCs/>
          <w:color w:val="auto"/>
          <w:sz w:val="28"/>
          <w:szCs w:val="28"/>
          <w:highlight w:val="none"/>
          <w:lang w:val="zh-CN" w:eastAsia="zh-CN"/>
        </w:rPr>
        <w:t>/商务条款偏差表</w:t>
      </w:r>
    </w:p>
    <w:tbl>
      <w:tblPr>
        <w:tblStyle w:val="37"/>
        <w:tblW w:w="9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6"/>
        <w:gridCol w:w="3232"/>
        <w:gridCol w:w="3266"/>
        <w:gridCol w:w="1226"/>
        <w:gridCol w:w="1167"/>
      </w:tblGrid>
      <w:tr w14:paraId="359F2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84" w:hRule="atLeast"/>
          <w:jc w:val="center"/>
        </w:trPr>
        <w:tc>
          <w:tcPr>
            <w:tcW w:w="766" w:type="dxa"/>
            <w:tcBorders>
              <w:top w:val="single" w:color="auto" w:sz="4" w:space="0"/>
              <w:left w:val="single" w:color="auto" w:sz="4" w:space="0"/>
              <w:bottom w:val="single" w:color="auto" w:sz="4" w:space="0"/>
            </w:tcBorders>
            <w:noWrap w:val="0"/>
            <w:vAlign w:val="center"/>
          </w:tcPr>
          <w:p w14:paraId="18EE850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32" w:type="dxa"/>
            <w:noWrap w:val="0"/>
            <w:vAlign w:val="center"/>
          </w:tcPr>
          <w:p w14:paraId="41E909B2">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磋商文件条款明细</w:t>
            </w:r>
          </w:p>
        </w:tc>
        <w:tc>
          <w:tcPr>
            <w:tcW w:w="3266" w:type="dxa"/>
            <w:noWrap w:val="0"/>
            <w:vAlign w:val="center"/>
          </w:tcPr>
          <w:p w14:paraId="7B9E882A">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响应文件实际响应</w:t>
            </w:r>
          </w:p>
        </w:tc>
        <w:tc>
          <w:tcPr>
            <w:tcW w:w="1226" w:type="dxa"/>
            <w:noWrap w:val="0"/>
            <w:vAlign w:val="center"/>
          </w:tcPr>
          <w:p w14:paraId="221763E1">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p w14:paraId="5B354BF1">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1167" w:type="dxa"/>
            <w:noWrap w:val="0"/>
            <w:vAlign w:val="center"/>
          </w:tcPr>
          <w:p w14:paraId="138A51C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14:paraId="68B06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7" w:hRule="atLeast"/>
          <w:jc w:val="center"/>
        </w:trPr>
        <w:tc>
          <w:tcPr>
            <w:tcW w:w="9657" w:type="dxa"/>
            <w:gridSpan w:val="5"/>
            <w:tcBorders>
              <w:top w:val="single" w:color="auto" w:sz="4" w:space="0"/>
              <w:left w:val="single" w:color="auto" w:sz="4" w:space="0"/>
              <w:bottom w:val="single" w:color="auto" w:sz="4" w:space="0"/>
            </w:tcBorders>
            <w:noWrap w:val="0"/>
            <w:vAlign w:val="center"/>
          </w:tcPr>
          <w:p w14:paraId="2C053E52">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要求偏差</w:t>
            </w:r>
          </w:p>
        </w:tc>
      </w:tr>
      <w:tr w14:paraId="5E0CA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2" w:hRule="atLeast"/>
          <w:jc w:val="center"/>
        </w:trPr>
        <w:tc>
          <w:tcPr>
            <w:tcW w:w="766" w:type="dxa"/>
            <w:tcBorders>
              <w:top w:val="single" w:color="auto" w:sz="4" w:space="0"/>
              <w:left w:val="single" w:color="auto" w:sz="4" w:space="0"/>
              <w:bottom w:val="single" w:color="auto" w:sz="4" w:space="0"/>
            </w:tcBorders>
            <w:noWrap w:val="0"/>
            <w:vAlign w:val="center"/>
          </w:tcPr>
          <w:p w14:paraId="456550BD">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3232" w:type="dxa"/>
            <w:noWrap w:val="0"/>
            <w:vAlign w:val="top"/>
          </w:tcPr>
          <w:p w14:paraId="4CBC946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3266" w:type="dxa"/>
            <w:noWrap w:val="0"/>
            <w:vAlign w:val="top"/>
          </w:tcPr>
          <w:p w14:paraId="0AD5F9C9">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1226" w:type="dxa"/>
            <w:noWrap w:val="0"/>
            <w:vAlign w:val="top"/>
          </w:tcPr>
          <w:p w14:paraId="4FCEFB33">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1167" w:type="dxa"/>
            <w:noWrap w:val="0"/>
            <w:vAlign w:val="top"/>
          </w:tcPr>
          <w:p w14:paraId="528AB59A">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r>
      <w:tr w14:paraId="487BA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766" w:type="dxa"/>
            <w:tcBorders>
              <w:top w:val="single" w:color="auto" w:sz="4" w:space="0"/>
              <w:left w:val="single" w:color="auto" w:sz="4" w:space="0"/>
              <w:bottom w:val="single" w:color="auto" w:sz="4" w:space="0"/>
            </w:tcBorders>
            <w:noWrap w:val="0"/>
            <w:vAlign w:val="center"/>
          </w:tcPr>
          <w:p w14:paraId="7B8D166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3232" w:type="dxa"/>
            <w:noWrap w:val="0"/>
            <w:vAlign w:val="top"/>
          </w:tcPr>
          <w:p w14:paraId="6A559878">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3266" w:type="dxa"/>
            <w:noWrap w:val="0"/>
            <w:vAlign w:val="top"/>
          </w:tcPr>
          <w:p w14:paraId="3F6ECD2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1226" w:type="dxa"/>
            <w:noWrap w:val="0"/>
            <w:vAlign w:val="top"/>
          </w:tcPr>
          <w:p w14:paraId="71A52B9B">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1167" w:type="dxa"/>
            <w:noWrap w:val="0"/>
            <w:vAlign w:val="top"/>
          </w:tcPr>
          <w:p w14:paraId="22C5D28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r>
      <w:tr w14:paraId="7EBE4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9657" w:type="dxa"/>
            <w:gridSpan w:val="5"/>
            <w:tcBorders>
              <w:top w:val="single" w:color="auto" w:sz="4" w:space="0"/>
              <w:left w:val="single" w:color="auto" w:sz="4" w:space="0"/>
              <w:bottom w:val="single" w:color="auto" w:sz="4" w:space="0"/>
            </w:tcBorders>
            <w:noWrap w:val="0"/>
            <w:vAlign w:val="center"/>
          </w:tcPr>
          <w:p w14:paraId="007C0D01">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、商务要求偏差</w:t>
            </w:r>
          </w:p>
        </w:tc>
      </w:tr>
      <w:tr w14:paraId="1E950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7" w:hRule="atLeast"/>
          <w:jc w:val="center"/>
        </w:trPr>
        <w:tc>
          <w:tcPr>
            <w:tcW w:w="766" w:type="dxa"/>
            <w:tcBorders>
              <w:top w:val="single" w:color="auto" w:sz="4" w:space="0"/>
              <w:left w:val="single" w:color="auto" w:sz="4" w:space="0"/>
              <w:bottom w:val="single" w:color="auto" w:sz="4" w:space="0"/>
            </w:tcBorders>
            <w:noWrap w:val="0"/>
            <w:vAlign w:val="center"/>
          </w:tcPr>
          <w:p w14:paraId="59D8013A">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3232" w:type="dxa"/>
            <w:noWrap w:val="0"/>
            <w:vAlign w:val="top"/>
          </w:tcPr>
          <w:p w14:paraId="0926DAD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3266" w:type="dxa"/>
            <w:noWrap w:val="0"/>
            <w:vAlign w:val="top"/>
          </w:tcPr>
          <w:p w14:paraId="432206D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1226" w:type="dxa"/>
            <w:noWrap w:val="0"/>
            <w:vAlign w:val="top"/>
          </w:tcPr>
          <w:p w14:paraId="0654B104">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1167" w:type="dxa"/>
            <w:noWrap w:val="0"/>
            <w:vAlign w:val="top"/>
          </w:tcPr>
          <w:p w14:paraId="5B3B88A6">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r>
      <w:tr w14:paraId="6AC3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1" w:hRule="atLeast"/>
          <w:jc w:val="center"/>
        </w:trPr>
        <w:tc>
          <w:tcPr>
            <w:tcW w:w="766" w:type="dxa"/>
            <w:tcBorders>
              <w:top w:val="single" w:color="auto" w:sz="4" w:space="0"/>
              <w:left w:val="single" w:color="auto" w:sz="4" w:space="0"/>
              <w:bottom w:val="single" w:color="auto" w:sz="4" w:space="0"/>
            </w:tcBorders>
            <w:noWrap w:val="0"/>
            <w:vAlign w:val="center"/>
          </w:tcPr>
          <w:p w14:paraId="420B1F34">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3232" w:type="dxa"/>
            <w:noWrap w:val="0"/>
            <w:vAlign w:val="top"/>
          </w:tcPr>
          <w:p w14:paraId="1992F213">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3266" w:type="dxa"/>
            <w:noWrap w:val="0"/>
            <w:vAlign w:val="top"/>
          </w:tcPr>
          <w:p w14:paraId="00E9EACD">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1226" w:type="dxa"/>
            <w:noWrap w:val="0"/>
            <w:vAlign w:val="top"/>
          </w:tcPr>
          <w:p w14:paraId="32CCEB21">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c>
          <w:tcPr>
            <w:tcW w:w="1167" w:type="dxa"/>
            <w:noWrap w:val="0"/>
            <w:vAlign w:val="top"/>
          </w:tcPr>
          <w:p w14:paraId="1B14DD1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rPr>
            </w:pPr>
          </w:p>
        </w:tc>
      </w:tr>
      <w:tr w14:paraId="4BA96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575" w:hRule="atLeast"/>
          <w:jc w:val="center"/>
        </w:trPr>
        <w:tc>
          <w:tcPr>
            <w:tcW w:w="766" w:type="dxa"/>
            <w:tcBorders>
              <w:top w:val="single" w:color="auto" w:sz="4" w:space="0"/>
              <w:left w:val="single" w:color="auto" w:sz="4" w:space="0"/>
              <w:bottom w:val="single" w:color="auto" w:sz="4" w:space="0"/>
            </w:tcBorders>
            <w:noWrap w:val="0"/>
            <w:vAlign w:val="center"/>
          </w:tcPr>
          <w:p w14:paraId="337C6D29">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8891" w:type="dxa"/>
            <w:gridSpan w:val="4"/>
            <w:tcBorders>
              <w:top w:val="single" w:color="auto" w:sz="4" w:space="0"/>
              <w:left w:val="single" w:color="auto" w:sz="4" w:space="0"/>
              <w:bottom w:val="single" w:color="auto" w:sz="4" w:space="0"/>
            </w:tcBorders>
            <w:noWrap w:val="0"/>
            <w:vAlign w:val="center"/>
          </w:tcPr>
          <w:p w14:paraId="17531721">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1、对“第五章施工内容及技术要求、第六章合同协议书”中的技术要求/</w:t>
            </w:r>
            <w:r>
              <w:rPr>
                <w:rFonts w:hint="eastAsia" w:ascii="宋体" w:hAnsi="宋体" w:eastAsia="宋体" w:cs="宋体"/>
                <w:color w:val="auto"/>
                <w:sz w:val="24"/>
                <w:szCs w:val="24"/>
                <w:highlight w:val="none"/>
              </w:rPr>
              <w:t>商务要求</w:t>
            </w:r>
            <w:r>
              <w:rPr>
                <w:rFonts w:hint="eastAsia" w:ascii="宋体" w:hAnsi="宋体" w:cs="宋体"/>
                <w:color w:val="auto"/>
                <w:sz w:val="24"/>
                <w:szCs w:val="24"/>
                <w:highlight w:val="none"/>
                <w:lang w:val="en-US" w:eastAsia="zh-CN"/>
              </w:rPr>
              <w:t>进行响应。</w:t>
            </w:r>
          </w:p>
          <w:p w14:paraId="0F5A88B8">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2、响应说明按实际响应情况填写“优于”、“响应”、“不响应”。当且仅当某项条款响应说明为“响应”时，该项条款及其响应可省略不填，按表格下方声明处理。</w:t>
            </w:r>
          </w:p>
          <w:p w14:paraId="4864FE2E">
            <w:pPr>
              <w:keepNext w:val="0"/>
              <w:keepLines w:val="0"/>
              <w:pageBreakBefore w:val="0"/>
              <w:widowControl w:val="0"/>
              <w:kinsoku/>
              <w:wordWrap/>
              <w:overflowPunct/>
              <w:topLinePunct w:val="0"/>
              <w:bidi w:val="0"/>
              <w:spacing w:line="4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3、表格空间不足以容纳响应内容时可自行扩展，也可在单元格中注明引用位置，如“见响应文件第×页××位置”。</w:t>
            </w:r>
          </w:p>
        </w:tc>
      </w:tr>
    </w:tbl>
    <w:p w14:paraId="0F1B7933">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声明：除本偏差表所列的各项条款外，响应文件均完全响应磋商文件中的要求。</w:t>
      </w:r>
    </w:p>
    <w:p w14:paraId="69BDA6DB">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rFonts w:hint="eastAsia" w:ascii="宋体" w:hAnsi="宋体" w:eastAsia="宋体" w:cs="宋体"/>
          <w:color w:val="auto"/>
          <w:sz w:val="24"/>
          <w:szCs w:val="24"/>
          <w:highlight w:val="none"/>
        </w:rPr>
      </w:pPr>
    </w:p>
    <w:p w14:paraId="25646160">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rFonts w:hint="eastAsia" w:ascii="宋体" w:hAnsi="宋体" w:eastAsia="宋体" w:cs="宋体"/>
          <w:color w:val="auto"/>
          <w:sz w:val="24"/>
          <w:szCs w:val="24"/>
          <w:highlight w:val="none"/>
        </w:rPr>
      </w:pPr>
    </w:p>
    <w:p w14:paraId="60097202">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rFonts w:hint="eastAsia" w:ascii="宋体" w:hAnsi="宋体" w:eastAsia="宋体" w:cs="宋体"/>
          <w:color w:val="auto"/>
          <w:sz w:val="24"/>
          <w:szCs w:val="24"/>
          <w:highlight w:val="none"/>
        </w:rPr>
      </w:pPr>
    </w:p>
    <w:p w14:paraId="44734210">
      <w:pPr>
        <w:adjustRightInd w:val="0"/>
        <w:spacing w:line="500" w:lineRule="exact"/>
        <w:ind w:firstLine="240" w:firstLineChars="1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供应商名称：         （盖章）</w:t>
      </w:r>
    </w:p>
    <w:p w14:paraId="4A26184C">
      <w:pPr>
        <w:autoSpaceDE w:val="0"/>
        <w:autoSpaceDN w:val="0"/>
        <w:adjustRightInd w:val="0"/>
        <w:spacing w:line="500" w:lineRule="exact"/>
        <w:ind w:firstLine="240" w:firstLineChars="100"/>
        <w:rPr>
          <w:rFonts w:hint="eastAsia" w:ascii="宋体" w:hAnsi="宋体" w:eastAsia="宋体" w:cs="宋体"/>
          <w:bCs/>
          <w:color w:val="auto"/>
          <w:sz w:val="24"/>
          <w:szCs w:val="20"/>
          <w:highlight w:val="none"/>
        </w:rPr>
      </w:pPr>
      <w:r>
        <w:rPr>
          <w:rFonts w:hint="eastAsia" w:ascii="宋体" w:hAnsi="宋体" w:eastAsia="宋体" w:cs="宋体"/>
          <w:color w:val="auto"/>
          <w:kern w:val="0"/>
          <w:sz w:val="24"/>
          <w:szCs w:val="24"/>
          <w:highlight w:val="none"/>
          <w:lang w:val="zh-CN"/>
        </w:rPr>
        <w:t>法定代表人或被授权人</w:t>
      </w:r>
      <w:r>
        <w:rPr>
          <w:rFonts w:hint="eastAsia" w:ascii="宋体" w:hAnsi="宋体" w:cs="宋体"/>
          <w:color w:val="auto"/>
          <w:sz w:val="24"/>
          <w:szCs w:val="24"/>
          <w:lang w:val="zh-CN"/>
        </w:rPr>
        <w:t>（签</w:t>
      </w:r>
      <w:r>
        <w:rPr>
          <w:rFonts w:hint="eastAsia" w:ascii="宋体" w:hAnsi="宋体" w:cs="宋体"/>
          <w:color w:val="auto"/>
          <w:sz w:val="24"/>
          <w:szCs w:val="24"/>
          <w:lang w:val="en-US" w:eastAsia="zh-CN"/>
        </w:rPr>
        <w:t>字</w:t>
      </w:r>
      <w:r>
        <w:rPr>
          <w:rFonts w:hint="eastAsia" w:ascii="宋体" w:hAnsi="宋体" w:cs="宋体"/>
          <w:color w:val="auto"/>
          <w:sz w:val="24"/>
          <w:szCs w:val="24"/>
          <w:lang w:val="zh-CN"/>
        </w:rPr>
        <w:t>或盖章）</w:t>
      </w:r>
      <w:r>
        <w:rPr>
          <w:rFonts w:hint="eastAsia" w:ascii="宋体" w:hAnsi="宋体" w:eastAsia="宋体" w:cs="宋体"/>
          <w:bCs/>
          <w:color w:val="auto"/>
          <w:sz w:val="24"/>
          <w:szCs w:val="20"/>
          <w:highlight w:val="none"/>
        </w:rPr>
        <w:t>：               日期</w:t>
      </w:r>
      <w:r>
        <w:rPr>
          <w:rFonts w:hint="eastAsia" w:ascii="宋体" w:hAnsi="宋体" w:cs="宋体"/>
          <w:color w:val="auto"/>
          <w:sz w:val="24"/>
          <w:szCs w:val="24"/>
          <w:highlight w:val="none"/>
          <w:lang w:val="zh-CN"/>
        </w:rPr>
        <w:t>：</w:t>
      </w:r>
      <w:r>
        <w:rPr>
          <w:rFonts w:hint="eastAsia" w:ascii="宋体" w:hAnsi="宋体" w:eastAsia="宋体" w:cs="宋体"/>
          <w:bCs/>
          <w:color w:val="auto"/>
          <w:sz w:val="24"/>
          <w:szCs w:val="20"/>
          <w:highlight w:val="none"/>
        </w:rPr>
        <w:t xml:space="preserve"> </w:t>
      </w:r>
    </w:p>
    <w:p w14:paraId="4BB4A1D8">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rFonts w:hint="eastAsia" w:ascii="宋体" w:hAnsi="宋体" w:eastAsia="宋体" w:cs="宋体"/>
          <w:color w:val="auto"/>
          <w:sz w:val="24"/>
          <w:szCs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75090DD9">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第</w:t>
      </w: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zh-CN"/>
        </w:rPr>
        <w:t xml:space="preserve">部分 </w:t>
      </w:r>
      <w:r>
        <w:rPr>
          <w:rFonts w:hint="eastAsia" w:ascii="宋体" w:hAnsi="宋体" w:eastAsia="宋体" w:cs="宋体"/>
          <w:b/>
          <w:bCs/>
          <w:color w:val="auto"/>
          <w:sz w:val="28"/>
          <w:szCs w:val="28"/>
          <w:highlight w:val="none"/>
          <w:lang w:val="en-US" w:eastAsia="zh-CN"/>
        </w:rPr>
        <w:t>供应商承诺书</w:t>
      </w:r>
    </w:p>
    <w:p w14:paraId="7896E672">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政府采购供应商拒绝政府采购</w:t>
      </w:r>
      <w:bookmarkStart w:id="1975" w:name="_Toc437247481"/>
      <w:bookmarkStart w:id="1976" w:name="_Toc28167"/>
      <w:bookmarkStart w:id="1977" w:name="_Toc438541326"/>
      <w:bookmarkStart w:id="1978" w:name="_Toc437425973"/>
      <w:bookmarkStart w:id="1979" w:name="_Toc435777821"/>
      <w:r>
        <w:rPr>
          <w:rFonts w:hint="eastAsia" w:ascii="宋体" w:hAnsi="宋体" w:eastAsia="宋体" w:cs="宋体"/>
          <w:b/>
          <w:bCs/>
          <w:color w:val="auto"/>
          <w:sz w:val="24"/>
          <w:szCs w:val="24"/>
          <w:highlight w:val="none"/>
          <w:lang w:val="zh-CN"/>
        </w:rPr>
        <w:t>领域</w:t>
      </w:r>
      <w:bookmarkStart w:id="1980" w:name="_Toc435777721"/>
      <w:bookmarkStart w:id="1981" w:name="_Toc435776434"/>
      <w:r>
        <w:rPr>
          <w:rFonts w:hint="eastAsia" w:ascii="宋体" w:hAnsi="宋体" w:eastAsia="宋体" w:cs="宋体"/>
          <w:b/>
          <w:bCs/>
          <w:color w:val="auto"/>
          <w:sz w:val="24"/>
          <w:szCs w:val="24"/>
          <w:highlight w:val="none"/>
          <w:lang w:val="zh-CN"/>
        </w:rPr>
        <w:t>商业</w:t>
      </w:r>
      <w:bookmarkEnd w:id="1975"/>
      <w:bookmarkEnd w:id="1976"/>
      <w:bookmarkEnd w:id="1977"/>
      <w:bookmarkEnd w:id="1978"/>
      <w:bookmarkEnd w:id="1979"/>
      <w:bookmarkEnd w:id="1980"/>
      <w:bookmarkEnd w:id="1981"/>
      <w:r>
        <w:rPr>
          <w:rFonts w:hint="eastAsia" w:ascii="宋体" w:hAnsi="宋体" w:eastAsia="宋体" w:cs="宋体"/>
          <w:b/>
          <w:bCs/>
          <w:color w:val="auto"/>
          <w:sz w:val="24"/>
          <w:szCs w:val="24"/>
          <w:highlight w:val="none"/>
          <w:lang w:val="zh-CN"/>
        </w:rPr>
        <w:t>贿赂承诺书</w:t>
      </w:r>
    </w:p>
    <w:p w14:paraId="5A2815D9">
      <w:pPr>
        <w:keepNext w:val="0"/>
        <w:keepLines w:val="0"/>
        <w:pageBreakBefore w:val="0"/>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为响应党中央、国务院关于治理政府采购领域商业贿赂行为的号召，我单位在此庄严承诺：</w:t>
      </w:r>
    </w:p>
    <w:p w14:paraId="0560E61D">
      <w:pPr>
        <w:keepNext w:val="0"/>
        <w:keepLines w:val="0"/>
        <w:pageBreakBefore w:val="0"/>
        <w:numPr>
          <w:ilvl w:val="0"/>
          <w:numId w:val="13"/>
        </w:numP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在参与政府采购活动中遵纪守法、诚信经营、公平竞标。</w:t>
      </w:r>
    </w:p>
    <w:p w14:paraId="7C83C0D7">
      <w:pPr>
        <w:keepNext w:val="0"/>
        <w:keepLines w:val="0"/>
        <w:pageBreakBefore w:val="0"/>
        <w:numPr>
          <w:ilvl w:val="0"/>
          <w:numId w:val="13"/>
        </w:numP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不向采购人、采购代理机构和政府采购评审专家进行任何形式的商业贿赂以谋取交易机会。</w:t>
      </w:r>
    </w:p>
    <w:p w14:paraId="713953CF">
      <w:pPr>
        <w:keepNext w:val="0"/>
        <w:keepLines w:val="0"/>
        <w:pageBreakBefore w:val="0"/>
        <w:numPr>
          <w:ilvl w:val="0"/>
          <w:numId w:val="13"/>
        </w:numP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不向采购代理机构和采购人提供虚假资质文件或采用虚假应标方式参与政府采购市场竞争并谋取</w:t>
      </w:r>
      <w:r>
        <w:rPr>
          <w:rFonts w:hint="eastAsia" w:ascii="宋体" w:hAnsi="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、成交。</w:t>
      </w:r>
    </w:p>
    <w:p w14:paraId="0112FBC2">
      <w:pPr>
        <w:keepNext w:val="0"/>
        <w:keepLines w:val="0"/>
        <w:pageBreakBefore w:val="0"/>
        <w:numPr>
          <w:ilvl w:val="0"/>
          <w:numId w:val="13"/>
        </w:numP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单。</w:t>
      </w:r>
    </w:p>
    <w:p w14:paraId="43CE3880">
      <w:pPr>
        <w:keepNext w:val="0"/>
        <w:keepLines w:val="0"/>
        <w:pageBreakBefore w:val="0"/>
        <w:numPr>
          <w:ilvl w:val="0"/>
          <w:numId w:val="13"/>
        </w:numP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不采取不正当手段诋毁、排挤其他供应商。</w:t>
      </w:r>
      <w:r>
        <w:rPr>
          <w:rFonts w:hint="eastAsia" w:ascii="宋体" w:hAnsi="宋体" w:cs="宋体"/>
          <w:color w:val="auto"/>
          <w:kern w:val="0"/>
          <w:sz w:val="24"/>
          <w:szCs w:val="24"/>
          <w:highlight w:val="none"/>
          <w:lang w:val="en-US" w:eastAsia="zh-CN"/>
        </w:rPr>
        <w:t xml:space="preserve"> </w:t>
      </w:r>
    </w:p>
    <w:p w14:paraId="51BB4516">
      <w:pPr>
        <w:keepNext w:val="0"/>
        <w:keepLines w:val="0"/>
        <w:pageBreakBefore w:val="0"/>
        <w:numPr>
          <w:ilvl w:val="0"/>
          <w:numId w:val="13"/>
        </w:numP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不在提供商品和服务时“偷梁换柱、以次充好”损害采购人的合法权益。</w:t>
      </w:r>
    </w:p>
    <w:p w14:paraId="686362DA">
      <w:pPr>
        <w:keepNext w:val="0"/>
        <w:keepLines w:val="0"/>
        <w:pageBreakBefore w:val="0"/>
        <w:numPr>
          <w:ilvl w:val="0"/>
          <w:numId w:val="13"/>
        </w:numP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不与采购人、采购代理机构、政府采购评审专家或其它供应商恶意串通，进行质疑和投诉，维护政府采购市场秩序。</w:t>
      </w:r>
    </w:p>
    <w:p w14:paraId="7E10F50B">
      <w:pPr>
        <w:keepNext w:val="0"/>
        <w:keepLines w:val="0"/>
        <w:pageBreakBefore w:val="0"/>
        <w:numPr>
          <w:ilvl w:val="0"/>
          <w:numId w:val="13"/>
        </w:numPr>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尊重和接受政府采购监督管理部门的监督和采购代理机构的招标要求，承担因违约行为给采购人造成的损失。</w:t>
      </w:r>
    </w:p>
    <w:p w14:paraId="3BDEC1A9">
      <w:pPr>
        <w:keepNext w:val="0"/>
        <w:keepLines w:val="0"/>
        <w:pageBreakBefore w:val="0"/>
        <w:kinsoku/>
        <w:wordWrap/>
        <w:overflowPunct/>
        <w:topLinePunct w:val="0"/>
        <w:bidi w:val="0"/>
        <w:snapToGrid/>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9、不发生其他有悖于政府采购公开、公平、公正和诚信原则的行为。</w:t>
      </w:r>
    </w:p>
    <w:p w14:paraId="78AF3751">
      <w:pPr>
        <w:pStyle w:val="117"/>
        <w:keepNext w:val="0"/>
        <w:keepLines w:val="0"/>
        <w:pageBreakBefore w:val="0"/>
        <w:kinsoku/>
        <w:wordWrap/>
        <w:overflowPunct/>
        <w:topLinePunct w:val="0"/>
        <w:bidi w:val="0"/>
        <w:snapToGrid/>
        <w:spacing w:line="420" w:lineRule="exact"/>
        <w:ind w:left="200" w:firstLine="0" w:firstLineChars="0"/>
        <w:textAlignment w:val="auto"/>
        <w:rPr>
          <w:rFonts w:hint="eastAsia" w:ascii="宋体" w:hAnsi="宋体" w:eastAsia="宋体" w:cs="宋体"/>
          <w:color w:val="auto"/>
          <w:sz w:val="24"/>
          <w:szCs w:val="24"/>
          <w:highlight w:val="none"/>
        </w:rPr>
      </w:pPr>
    </w:p>
    <w:p w14:paraId="39F18D3B">
      <w:pPr>
        <w:keepNext w:val="0"/>
        <w:keepLines w:val="0"/>
        <w:pageBreakBefore w:val="0"/>
        <w:widowControl/>
        <w:tabs>
          <w:tab w:val="left" w:pos="2394"/>
        </w:tabs>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承诺单位：                  （公      章）</w:t>
      </w:r>
    </w:p>
    <w:p w14:paraId="6D2201F3">
      <w:pPr>
        <w:keepNext w:val="0"/>
        <w:keepLines w:val="0"/>
        <w:pageBreakBefore w:val="0"/>
        <w:widowControl/>
        <w:tabs>
          <w:tab w:val="left" w:pos="2394"/>
        </w:tabs>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法定代表人或被授权人</w:t>
      </w:r>
      <w:r>
        <w:rPr>
          <w:rFonts w:hint="eastAsia" w:ascii="宋体" w:hAnsi="宋体" w:cs="宋体"/>
          <w:color w:val="auto"/>
          <w:sz w:val="24"/>
          <w:szCs w:val="24"/>
          <w:lang w:val="zh-CN"/>
        </w:rPr>
        <w:t>（签</w:t>
      </w:r>
      <w:r>
        <w:rPr>
          <w:rFonts w:hint="eastAsia" w:ascii="宋体" w:hAnsi="宋体" w:cs="宋体"/>
          <w:color w:val="auto"/>
          <w:sz w:val="24"/>
          <w:szCs w:val="24"/>
          <w:lang w:val="en-US" w:eastAsia="zh-CN"/>
        </w:rPr>
        <w:t>字</w:t>
      </w:r>
      <w:r>
        <w:rPr>
          <w:rFonts w:hint="eastAsia" w:ascii="宋体" w:hAnsi="宋体" w:cs="宋体"/>
          <w:color w:val="auto"/>
          <w:sz w:val="24"/>
          <w:szCs w:val="24"/>
          <w:lang w:val="zh-CN"/>
        </w:rPr>
        <w:t>或盖章）</w:t>
      </w:r>
      <w:r>
        <w:rPr>
          <w:rFonts w:hint="eastAsia" w:ascii="宋体" w:hAnsi="宋体" w:eastAsia="宋体" w:cs="宋体"/>
          <w:color w:val="auto"/>
          <w:kern w:val="0"/>
          <w:sz w:val="24"/>
          <w:szCs w:val="24"/>
          <w:highlight w:val="none"/>
        </w:rPr>
        <w:t xml:space="preserve">：  </w:t>
      </w:r>
    </w:p>
    <w:p w14:paraId="11CB636B">
      <w:pPr>
        <w:keepNext w:val="0"/>
        <w:keepLines w:val="0"/>
        <w:pageBreakBefore w:val="0"/>
        <w:widowControl/>
        <w:tabs>
          <w:tab w:val="left" w:pos="2394"/>
        </w:tabs>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                               </w:t>
      </w:r>
    </w:p>
    <w:p w14:paraId="35D2B0CD">
      <w:pPr>
        <w:keepNext w:val="0"/>
        <w:keepLines w:val="0"/>
        <w:pageBreakBefore w:val="0"/>
        <w:widowControl/>
        <w:tabs>
          <w:tab w:val="left" w:pos="2394"/>
        </w:tabs>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    编：                               </w:t>
      </w:r>
    </w:p>
    <w:p w14:paraId="61193281">
      <w:pPr>
        <w:keepNext w:val="0"/>
        <w:keepLines w:val="0"/>
        <w:pageBreakBefore w:val="0"/>
        <w:tabs>
          <w:tab w:val="left" w:pos="5580"/>
        </w:tabs>
        <w:kinsoku/>
        <w:wordWrap/>
        <w:overflowPunct/>
        <w:topLinePunct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p>
    <w:p w14:paraId="38C6F5D2">
      <w:pPr>
        <w:pStyle w:val="16"/>
        <w:keepNext w:val="0"/>
        <w:keepLines w:val="0"/>
        <w:pageBreakBefore w:val="0"/>
        <w:kinsoku/>
        <w:wordWrap/>
        <w:overflowPunct/>
        <w:topLinePunct w:val="0"/>
        <w:bidi w:val="0"/>
        <w:snapToGrid/>
        <w:spacing w:line="420" w:lineRule="exact"/>
        <w:textAlignment w:val="auto"/>
        <w:rPr>
          <w:rFonts w:hint="default"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 xml:space="preserve">    日    期：</w:t>
      </w:r>
    </w:p>
    <w:p w14:paraId="55F96EE6">
      <w:pPr>
        <w:pStyle w:val="49"/>
        <w:keepNext w:val="0"/>
        <w:keepLines w:val="0"/>
        <w:pageBreakBefore w:val="0"/>
        <w:kinsoku/>
        <w:wordWrap/>
        <w:overflowPunct/>
        <w:topLinePunct w:val="0"/>
        <w:bidi w:val="0"/>
        <w:spacing w:line="420" w:lineRule="exact"/>
        <w:textAlignment w:val="auto"/>
        <w:rPr>
          <w:rFonts w:hint="eastAsia" w:ascii="宋体" w:hAnsi="宋体" w:eastAsia="宋体" w:cs="宋体"/>
          <w:b/>
          <w:bCs/>
          <w:color w:val="auto"/>
          <w:sz w:val="28"/>
          <w:szCs w:val="28"/>
          <w:highlight w:val="none"/>
          <w:lang w:val="zh-CN"/>
        </w:rPr>
      </w:pPr>
    </w:p>
    <w:p w14:paraId="79A1D47D">
      <w:pPr>
        <w:pStyle w:val="49"/>
        <w:keepNext w:val="0"/>
        <w:keepLines w:val="0"/>
        <w:pageBreakBefore w:val="0"/>
        <w:kinsoku/>
        <w:wordWrap/>
        <w:overflowPunct/>
        <w:topLinePunct w:val="0"/>
        <w:bidi w:val="0"/>
        <w:spacing w:line="420" w:lineRule="exact"/>
        <w:textAlignment w:val="auto"/>
        <w:rPr>
          <w:rFonts w:hint="eastAsia" w:ascii="宋体" w:hAnsi="宋体" w:eastAsia="宋体" w:cs="宋体"/>
          <w:b/>
          <w:bCs/>
          <w:color w:val="auto"/>
          <w:sz w:val="28"/>
          <w:szCs w:val="28"/>
          <w:highlight w:val="none"/>
          <w:lang w:val="zh-CN"/>
        </w:rPr>
      </w:pPr>
    </w:p>
    <w:p w14:paraId="5BCD0D05">
      <w:pPr>
        <w:pStyle w:val="49"/>
        <w:keepNext w:val="0"/>
        <w:keepLines w:val="0"/>
        <w:pageBreakBefore w:val="0"/>
        <w:kinsoku/>
        <w:wordWrap/>
        <w:overflowPunct/>
        <w:topLinePunct w:val="0"/>
        <w:bidi w:val="0"/>
        <w:spacing w:line="420" w:lineRule="exact"/>
        <w:textAlignment w:val="auto"/>
        <w:rPr>
          <w:rFonts w:hint="eastAsia" w:ascii="宋体" w:hAnsi="宋体" w:eastAsia="宋体" w:cs="宋体"/>
          <w:b/>
          <w:bCs/>
          <w:color w:val="auto"/>
          <w:sz w:val="28"/>
          <w:szCs w:val="28"/>
          <w:highlight w:val="none"/>
          <w:lang w:val="zh-CN"/>
        </w:rPr>
      </w:pPr>
    </w:p>
    <w:p w14:paraId="2D43DC19">
      <w:pPr>
        <w:pStyle w:val="49"/>
        <w:keepNext w:val="0"/>
        <w:keepLines w:val="0"/>
        <w:pageBreakBefore w:val="0"/>
        <w:kinsoku/>
        <w:wordWrap/>
        <w:overflowPunct/>
        <w:topLinePunct w:val="0"/>
        <w:bidi w:val="0"/>
        <w:spacing w:line="420" w:lineRule="exact"/>
        <w:textAlignment w:val="auto"/>
        <w:rPr>
          <w:rFonts w:hint="eastAsia" w:ascii="宋体" w:hAnsi="宋体" w:eastAsia="宋体" w:cs="宋体"/>
          <w:b/>
          <w:bCs/>
          <w:color w:val="auto"/>
          <w:sz w:val="28"/>
          <w:szCs w:val="28"/>
          <w:highlight w:val="none"/>
          <w:lang w:val="zh-CN"/>
        </w:rPr>
      </w:pPr>
    </w:p>
    <w:p w14:paraId="518C88D2">
      <w:pPr>
        <w:pStyle w:val="49"/>
        <w:keepNext w:val="0"/>
        <w:keepLines w:val="0"/>
        <w:pageBreakBefore w:val="0"/>
        <w:kinsoku/>
        <w:wordWrap/>
        <w:overflowPunct/>
        <w:topLinePunct w:val="0"/>
        <w:bidi w:val="0"/>
        <w:spacing w:line="420" w:lineRule="exact"/>
        <w:textAlignment w:val="auto"/>
        <w:rPr>
          <w:rFonts w:hint="eastAsia" w:ascii="宋体" w:hAnsi="宋体" w:eastAsia="宋体" w:cs="宋体"/>
          <w:b/>
          <w:bCs/>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907519A">
      <w:pPr>
        <w:keepNext w:val="0"/>
        <w:keepLines w:val="0"/>
        <w:pageBreakBefore w:val="0"/>
        <w:kinsoku/>
        <w:wordWrap/>
        <w:overflowPunct/>
        <w:topLinePunct w:val="0"/>
        <w:autoSpaceDE w:val="0"/>
        <w:autoSpaceDN w:val="0"/>
        <w:bidi w:val="0"/>
        <w:adjustRightInd w:val="0"/>
        <w:spacing w:line="420" w:lineRule="exact"/>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eastAsia="zh-CN"/>
        </w:rPr>
        <w:t>供应商书面声明</w:t>
      </w:r>
    </w:p>
    <w:p w14:paraId="42BDB967">
      <w:pPr>
        <w:keepNext w:val="0"/>
        <w:keepLines w:val="0"/>
        <w:pageBreakBefore w:val="0"/>
        <w:kinsoku/>
        <w:wordWrap/>
        <w:overflowPunct/>
        <w:topLinePunct w:val="0"/>
        <w:autoSpaceDE w:val="0"/>
        <w:autoSpaceDN w:val="0"/>
        <w:bidi w:val="0"/>
        <w:adjustRightInd w:val="0"/>
        <w:spacing w:line="420" w:lineRule="exact"/>
        <w:jc w:val="center"/>
        <w:textAlignment w:val="auto"/>
        <w:rPr>
          <w:rFonts w:hint="eastAsia" w:ascii="宋体" w:hAnsi="宋体" w:eastAsia="宋体" w:cs="宋体"/>
          <w:b/>
          <w:bCs/>
          <w:color w:val="auto"/>
          <w:sz w:val="28"/>
          <w:szCs w:val="28"/>
          <w:highlight w:val="none"/>
          <w:lang w:val="zh-CN"/>
        </w:rPr>
      </w:pPr>
    </w:p>
    <w:p w14:paraId="470C0E4A">
      <w:pPr>
        <w:pStyle w:val="16"/>
        <w:keepNext w:val="0"/>
        <w:keepLines w:val="0"/>
        <w:pageBreakBefore w:val="0"/>
        <w:kinsoku/>
        <w:wordWrap/>
        <w:overflowPunct/>
        <w:topLinePunct w:val="0"/>
        <w:bidi w:val="0"/>
        <w:spacing w:line="420" w:lineRule="exact"/>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陕西盛仕骄阳项目管理有限公司</w:t>
      </w:r>
      <w:r>
        <w:rPr>
          <w:rFonts w:hint="eastAsia" w:ascii="宋体" w:hAnsi="宋体" w:eastAsia="宋体" w:cs="宋体"/>
          <w:color w:val="auto"/>
          <w:sz w:val="24"/>
          <w:szCs w:val="24"/>
          <w:highlight w:val="none"/>
        </w:rPr>
        <w:t>：</w:t>
      </w:r>
    </w:p>
    <w:p w14:paraId="1AF83E80">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作为参加贵单位组织的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的供应商，本公司郑重承诺：</w:t>
      </w:r>
    </w:p>
    <w:p w14:paraId="11D2C699">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1、在参加本项目磋商之前不存在被依法禁止经营行为、财产被接管或冻结的情况，如有隐瞒实情，愿承担一切责任及后果。</w:t>
      </w:r>
    </w:p>
    <w:p w14:paraId="72EEBEA1">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2、近三年受到有关行政主管部门的行政处理、不良行为记录为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次（没有填零），如有隐瞒实情，愿承担一切责任及后果。</w:t>
      </w:r>
    </w:p>
    <w:p w14:paraId="038DBD96">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3、参加本次磋商提交的所有资质证明文件及业绩证明文件是真实的、有效的，如有隐瞒实情，愿承担一切责任及后果。</w:t>
      </w:r>
    </w:p>
    <w:p w14:paraId="571D2ACA">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hint="eastAsia" w:ascii="宋体" w:hAnsi="宋体" w:eastAsia="宋体" w:cs="宋体"/>
          <w:b/>
          <w:color w:val="auto"/>
          <w:sz w:val="24"/>
          <w:szCs w:val="24"/>
          <w:highlight w:val="none"/>
        </w:rPr>
      </w:pPr>
    </w:p>
    <w:p w14:paraId="064226D9">
      <w:pPr>
        <w:keepNext w:val="0"/>
        <w:keepLines w:val="0"/>
        <w:pageBreakBefore w:val="0"/>
        <w:widowControl w:val="0"/>
        <w:kinsoku/>
        <w:wordWrap/>
        <w:overflowPunct/>
        <w:topLinePunct w:val="0"/>
        <w:autoSpaceDE w:val="0"/>
        <w:autoSpaceDN w:val="0"/>
        <w:bidi w:val="0"/>
        <w:adjustRightInd w:val="0"/>
        <w:spacing w:line="420" w:lineRule="exact"/>
        <w:jc w:val="center"/>
        <w:textAlignment w:val="auto"/>
        <w:rPr>
          <w:rFonts w:hint="eastAsia" w:ascii="宋体" w:hAnsi="宋体" w:eastAsia="宋体" w:cs="宋体"/>
          <w:b/>
          <w:color w:val="auto"/>
          <w:sz w:val="24"/>
          <w:szCs w:val="24"/>
          <w:highlight w:val="none"/>
        </w:rPr>
      </w:pPr>
    </w:p>
    <w:p w14:paraId="1AAC1F18">
      <w:pPr>
        <w:keepLines w:val="0"/>
        <w:pageBreakBefore w:val="0"/>
        <w:kinsoku/>
        <w:wordWrap/>
        <w:overflowPunct/>
        <w:topLinePunct w:val="0"/>
        <w:bidi w:val="0"/>
        <w:adjustRightInd w:val="0"/>
        <w:snapToGrid w:val="0"/>
        <w:spacing w:line="5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14:paraId="55216125">
      <w:pPr>
        <w:keepNext w:val="0"/>
        <w:keepLines w:val="0"/>
        <w:pageBreakBefore w:val="0"/>
        <w:widowControl w:val="0"/>
        <w:kinsoku/>
        <w:wordWrap/>
        <w:overflowPunct/>
        <w:topLinePunct w:val="0"/>
        <w:bidi w:val="0"/>
        <w:adjustRightInd w:val="0"/>
        <w:snapToGrid w:val="0"/>
        <w:spacing w:line="42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 xml:space="preserve">被授权人（签字或盖章）： </w:t>
      </w:r>
    </w:p>
    <w:p w14:paraId="5304221C">
      <w:pPr>
        <w:keepNext w:val="0"/>
        <w:keepLines w:val="0"/>
        <w:pageBreakBefore w:val="0"/>
        <w:widowControl w:val="0"/>
        <w:kinsoku/>
        <w:wordWrap/>
        <w:overflowPunct/>
        <w:topLinePunct w:val="0"/>
        <w:bidi w:val="0"/>
        <w:adjustRightInd w:val="0"/>
        <w:snapToGrid w:val="0"/>
        <w:spacing w:line="420" w:lineRule="exact"/>
        <w:ind w:firstLine="4920" w:firstLineChars="205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val="en-US" w:eastAsia="zh-CN"/>
        </w:rPr>
        <w:t>日</w:t>
      </w:r>
    </w:p>
    <w:p w14:paraId="3AF8B6E4">
      <w:pPr>
        <w:pStyle w:val="16"/>
        <w:keepLines w:val="0"/>
        <w:kinsoku/>
        <w:bidi w:val="0"/>
        <w:spacing w:line="420" w:lineRule="exact"/>
        <w:rPr>
          <w:rFonts w:hint="eastAsia" w:ascii="宋体" w:hAnsi="宋体" w:eastAsia="宋体" w:cs="宋体"/>
          <w:color w:val="auto"/>
          <w:sz w:val="24"/>
          <w:szCs w:val="24"/>
          <w:highlight w:val="none"/>
          <w:u w:val="single"/>
        </w:rPr>
      </w:pPr>
    </w:p>
    <w:p w14:paraId="0C59F78A">
      <w:pPr>
        <w:keepLines w:val="0"/>
        <w:kinsoku/>
        <w:bidi w:val="0"/>
        <w:spacing w:line="420" w:lineRule="exact"/>
        <w:rPr>
          <w:rFonts w:hint="eastAsia" w:ascii="宋体" w:hAnsi="宋体" w:eastAsia="宋体" w:cs="宋体"/>
          <w:color w:val="auto"/>
          <w:sz w:val="24"/>
          <w:szCs w:val="24"/>
          <w:highlight w:val="none"/>
          <w:u w:val="single"/>
        </w:rPr>
      </w:pPr>
    </w:p>
    <w:p w14:paraId="1FF10250">
      <w:pPr>
        <w:pStyle w:val="16"/>
        <w:keepLines w:val="0"/>
        <w:kinsoku/>
        <w:bidi w:val="0"/>
        <w:spacing w:line="420" w:lineRule="exact"/>
        <w:rPr>
          <w:rFonts w:hint="eastAsia" w:ascii="宋体" w:hAnsi="宋体" w:eastAsia="宋体" w:cs="宋体"/>
          <w:color w:val="auto"/>
          <w:sz w:val="24"/>
          <w:szCs w:val="24"/>
          <w:highlight w:val="none"/>
          <w:u w:val="single"/>
        </w:rPr>
      </w:pPr>
    </w:p>
    <w:p w14:paraId="734E93C5">
      <w:pPr>
        <w:keepLines w:val="0"/>
        <w:kinsoku/>
        <w:bidi w:val="0"/>
        <w:spacing w:line="420" w:lineRule="exact"/>
        <w:rPr>
          <w:rFonts w:hint="default" w:eastAsia="宋体"/>
          <w:color w:val="auto"/>
          <w:highlight w:val="none"/>
          <w:u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32334223">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第</w:t>
      </w: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zh-CN"/>
        </w:rPr>
        <w:t>部分</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zh-CN"/>
        </w:rPr>
        <w:t>供应商资质证明文件</w:t>
      </w:r>
    </w:p>
    <w:p w14:paraId="4238DCB6">
      <w:pPr>
        <w:pStyle w:val="86"/>
        <w:keepNext w:val="0"/>
        <w:keepLines w:val="0"/>
        <w:pageBreakBefore w:val="0"/>
        <w:widowControl w:val="0"/>
        <w:kinsoku/>
        <w:wordWrap/>
        <w:overflowPunct/>
        <w:topLinePunct w:val="0"/>
        <w:bidi w:val="0"/>
        <w:snapToGrid/>
        <w:spacing w:line="420" w:lineRule="exact"/>
        <w:textAlignment w:val="auto"/>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1、磋商供应商基本情况表；（详见附件1）</w:t>
      </w:r>
    </w:p>
    <w:p w14:paraId="104CB97A">
      <w:pPr>
        <w:pStyle w:val="86"/>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、基本资格条件：符合《中华人民共和国政府采购法》第二十二条的规定：</w:t>
      </w:r>
    </w:p>
    <w:p w14:paraId="6471FDC9">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w:t>
      </w:r>
      <w:r>
        <w:rPr>
          <w:rFonts w:hint="eastAsia" w:ascii="宋体" w:hAnsi="宋体" w:cs="宋体"/>
          <w:color w:val="auto"/>
          <w:sz w:val="24"/>
          <w:szCs w:val="24"/>
          <w:highlight w:val="none"/>
          <w:lang w:val="en-US" w:eastAsia="zh-CN"/>
        </w:rPr>
        <w:t>具有独立承担民事责任能力的法人、其他组织或自然人，并出具合法有效的营业执照或事业单位法人证书等国家规定的相关证明，自然人参与的提供其身份证明；</w:t>
      </w:r>
    </w:p>
    <w:p w14:paraId="38943DE0">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cs="宋体"/>
          <w:color w:val="auto"/>
          <w:sz w:val="24"/>
          <w:szCs w:val="24"/>
          <w:highlight w:val="none"/>
          <w:lang w:val="zh-CN" w:eastAsia="zh-CN"/>
        </w:rPr>
        <w:t>供应商须提供具有财务审计资质单位出具的202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年任意一年年度财务报告（包括资产负债表、利润表、现金流量表及会计报表附注，成立时间至开标时间不足一年的可提供成立后任意时段的资产负债表）或开标前六个月内其基本账户银行出具的资信证明（附开户许可证或基本存款账户信息）或政府采购信用担保机构出具的投标担保函；</w:t>
      </w:r>
    </w:p>
    <w:p w14:paraId="13BD61A4">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(3)</w:t>
      </w:r>
      <w:r>
        <w:rPr>
          <w:rFonts w:hint="eastAsia" w:ascii="宋体" w:hAnsi="宋体" w:cs="宋体"/>
          <w:color w:val="auto"/>
          <w:sz w:val="24"/>
          <w:szCs w:val="24"/>
          <w:highlight w:val="none"/>
          <w:lang w:val="en-US" w:eastAsia="zh-CN"/>
        </w:rPr>
        <w:t>供应商须提供2024年7月至今任意一个月已缴纳完税凭证或税务机关开具的完税证明，依法免税或无须缴纳税收的供应商应提供相关文件证明；</w:t>
      </w:r>
    </w:p>
    <w:p w14:paraId="11E79639">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(4)供应商须提供</w:t>
      </w:r>
      <w:r>
        <w:rPr>
          <w:rFonts w:hint="eastAsia" w:ascii="宋体" w:hAnsi="宋体" w:cs="宋体"/>
          <w:color w:val="auto"/>
          <w:sz w:val="24"/>
          <w:szCs w:val="24"/>
          <w:highlight w:val="none"/>
          <w:lang w:val="en-US" w:eastAsia="zh-CN"/>
        </w:rPr>
        <w:t>2024年7月至今</w:t>
      </w:r>
      <w:r>
        <w:rPr>
          <w:rFonts w:hint="default" w:ascii="宋体" w:hAnsi="宋体" w:eastAsia="宋体" w:cs="宋体"/>
          <w:color w:val="auto"/>
          <w:kern w:val="2"/>
          <w:sz w:val="24"/>
          <w:szCs w:val="24"/>
          <w:lang w:val="en-US" w:eastAsia="zh-CN" w:bidi="ar-SA"/>
        </w:rPr>
        <w:t>任意一个月已缴纳的社会保障资金缴存单据或社保机构开具的社会保险参保缴费情况证明，依法不需要缴纳社会保障资金的供应商应提供相关证明；</w:t>
      </w:r>
    </w:p>
    <w:p w14:paraId="469A98E0">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(5)</w:t>
      </w:r>
      <w:r>
        <w:rPr>
          <w:rFonts w:hint="eastAsia" w:ascii="宋体" w:hAnsi="宋体" w:cs="宋体"/>
          <w:color w:val="auto"/>
          <w:sz w:val="24"/>
          <w:szCs w:val="24"/>
          <w:highlight w:val="none"/>
          <w:lang w:val="en-US" w:eastAsia="zh-CN"/>
        </w:rPr>
        <w:t>具备履行合同所必需的设备和专业技术能力的证明材料(由供应商根据项目需求提供说明材料或者承诺)；</w:t>
      </w:r>
      <w:r>
        <w:rPr>
          <w:rFonts w:hint="eastAsia" w:cs="宋体"/>
          <w:b/>
          <w:bCs w:val="0"/>
          <w:color w:val="auto"/>
          <w:sz w:val="24"/>
          <w:szCs w:val="24"/>
          <w:highlight w:val="none"/>
          <w:lang w:val="en-US" w:eastAsia="zh-CN"/>
        </w:rPr>
        <w:t>（格式自拟）</w:t>
      </w:r>
    </w:p>
    <w:p w14:paraId="09DC7F4F">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(6)</w:t>
      </w:r>
      <w:r>
        <w:rPr>
          <w:rFonts w:hint="eastAsia" w:ascii="宋体" w:hAnsi="宋体" w:cs="宋体"/>
          <w:color w:val="auto"/>
          <w:sz w:val="24"/>
          <w:szCs w:val="24"/>
          <w:highlight w:val="none"/>
          <w:lang w:val="en-US" w:eastAsia="zh-CN"/>
        </w:rPr>
        <w:t>提供参加政府采购活动前三年内在经营活动中没有重大违法记录的书面声明；</w:t>
      </w:r>
      <w:r>
        <w:rPr>
          <w:rFonts w:hint="eastAsia" w:cs="宋体"/>
          <w:b/>
          <w:bCs w:val="0"/>
          <w:color w:val="auto"/>
          <w:sz w:val="24"/>
          <w:szCs w:val="24"/>
          <w:highlight w:val="none"/>
          <w:lang w:val="en-US" w:eastAsia="zh-CN"/>
        </w:rPr>
        <w:t>（格式自拟）</w:t>
      </w:r>
    </w:p>
    <w:p w14:paraId="36C1C4D2">
      <w:pPr>
        <w:pStyle w:val="86"/>
        <w:keepNext w:val="0"/>
        <w:keepLines w:val="0"/>
        <w:pageBreakBefore w:val="0"/>
        <w:widowControl w:val="0"/>
        <w:kinsoku/>
        <w:wordWrap/>
        <w:overflowPunct/>
        <w:topLinePunct w:val="0"/>
        <w:bidi w:val="0"/>
        <w:snapToGrid/>
        <w:spacing w:line="420" w:lineRule="exact"/>
        <w:textAlignment w:val="auto"/>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3、落实政府采购政策需满足的资格要求：</w:t>
      </w:r>
      <w:r>
        <w:rPr>
          <w:rFonts w:hint="eastAsia" w:ascii="宋体" w:hAnsi="宋体" w:eastAsia="宋体" w:cs="宋体"/>
          <w:b w:val="0"/>
          <w:bCs/>
          <w:color w:val="auto"/>
          <w:sz w:val="24"/>
          <w:szCs w:val="24"/>
          <w:highlight w:val="none"/>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r>
        <w:rPr>
          <w:rFonts w:hint="eastAsia" w:ascii="宋体" w:hAnsi="宋体" w:eastAsia="宋体" w:cs="宋体"/>
          <w:b/>
          <w:bCs w:val="0"/>
          <w:color w:val="auto"/>
          <w:sz w:val="24"/>
          <w:szCs w:val="24"/>
          <w:highlight w:val="none"/>
          <w:lang w:val="en-US" w:eastAsia="zh-CN"/>
        </w:rPr>
        <w:t>（详见附件5）</w:t>
      </w:r>
    </w:p>
    <w:p w14:paraId="349E711A">
      <w:pPr>
        <w:pStyle w:val="86"/>
        <w:keepNext w:val="0"/>
        <w:keepLines w:val="0"/>
        <w:pageBreakBefore w:val="0"/>
        <w:widowControl w:val="0"/>
        <w:kinsoku/>
        <w:wordWrap/>
        <w:overflowPunct/>
        <w:topLinePunct w:val="0"/>
        <w:bidi w:val="0"/>
        <w:snapToGrid/>
        <w:spacing w:line="420" w:lineRule="exact"/>
        <w:textAlignment w:val="auto"/>
        <w:rPr>
          <w:rFonts w:hint="eastAsia" w:ascii="宋体" w:hAnsi="宋体" w:cs="宋体"/>
          <w:color w:val="auto"/>
          <w:sz w:val="24"/>
          <w:szCs w:val="24"/>
          <w:highlight w:val="none"/>
          <w:lang w:val="en-US" w:eastAsia="zh-CN"/>
        </w:rPr>
      </w:pPr>
      <w:r>
        <w:rPr>
          <w:rFonts w:hint="eastAsia" w:ascii="宋体" w:hAnsi="宋体" w:cs="宋体"/>
          <w:b/>
          <w:color w:val="auto"/>
          <w:sz w:val="24"/>
          <w:szCs w:val="24"/>
          <w:highlight w:val="none"/>
          <w:lang w:val="en-US" w:eastAsia="zh-CN"/>
        </w:rPr>
        <w:t>4、特定资格条件：</w:t>
      </w:r>
    </w:p>
    <w:p w14:paraId="5940E697">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w:t>
      </w:r>
      <w:r>
        <w:rPr>
          <w:rFonts w:hint="eastAsia" w:cs="宋体"/>
          <w:color w:val="auto"/>
          <w:sz w:val="24"/>
          <w:szCs w:val="24"/>
          <w:highlight w:val="none"/>
          <w:lang w:val="en-US" w:eastAsia="zh-CN"/>
        </w:rPr>
        <w:t>供应商应授权合法的人员参加磋商全过程，其中法定代表人直接参加磋商的，须出具法定代表人身份证明、法人身份证原件及复印件；法定代表人授权代表参加磋商的，须出具法定代表人授权书、授权代表身份证原件及复印件；</w:t>
      </w:r>
      <w:r>
        <w:rPr>
          <w:rFonts w:hint="eastAsia" w:ascii="宋体" w:hAnsi="宋体" w:eastAsia="宋体" w:cs="宋体"/>
          <w:b/>
          <w:bCs/>
          <w:color w:val="auto"/>
          <w:sz w:val="24"/>
          <w:szCs w:val="24"/>
          <w:highlight w:val="none"/>
          <w:lang w:val="en-US" w:eastAsia="zh-CN"/>
        </w:rPr>
        <w:t>（详见附件2）</w:t>
      </w:r>
    </w:p>
    <w:p w14:paraId="11C8758B">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(2)供应商须具备建设部门颁发有效的水利水电工程施工总承包叁级（含叁级）以上资质，同时具备有效的安全生产许可证；</w:t>
      </w:r>
    </w:p>
    <w:p w14:paraId="4464F289">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default" w:ascii="宋体" w:hAnsi="宋体" w:eastAsia="宋体" w:cs="宋体"/>
          <w:color w:val="auto"/>
          <w:kern w:val="2"/>
          <w:sz w:val="24"/>
          <w:szCs w:val="24"/>
          <w:lang w:val="en-US" w:eastAsia="zh-CN" w:bidi="ar-SA"/>
        </w:rPr>
        <w:t>拟投入的项目经理须具备有效的水利水电工程专业贰级（含贰级）以上注册建造师执业资格和安全生产考核B证，且未担任其他在建工程项目（需提供企业书面承诺等证明材料）；</w:t>
      </w:r>
    </w:p>
    <w:p w14:paraId="7F372DA8">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4</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供应商不得为列入信用中国(www.creditchina.gov.cn)的重大税收违法案件当事人名单记录或中国执行信息公开网（http://zxgk.court.gov.cn/shixin/）的失信被执行人名单记录或中国政府采购网(www.ccgp.gov.cn)的政府采购严重违法失信行为记录名单；</w:t>
      </w:r>
    </w:p>
    <w:p w14:paraId="35D5BF40">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5</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lang w:val="en-US" w:eastAsia="zh-CN"/>
        </w:rPr>
        <w:t>与采购人存在利害关系可能影响采购公正性的单位，不得参加磋商、单位负责人为同一人或存在控股、管理关系的不同单位，不得参加同一标段磋商，否则，相关投标均无效；</w:t>
      </w:r>
      <w:r>
        <w:rPr>
          <w:rFonts w:hint="eastAsia" w:ascii="宋体" w:hAnsi="宋体" w:eastAsia="宋体" w:cs="宋体"/>
          <w:b/>
          <w:bCs/>
          <w:color w:val="auto"/>
          <w:sz w:val="24"/>
          <w:szCs w:val="24"/>
          <w:highlight w:val="none"/>
          <w:lang w:val="en-US" w:eastAsia="zh-CN"/>
        </w:rPr>
        <w:t>（详见附件3）</w:t>
      </w:r>
    </w:p>
    <w:p w14:paraId="0856CD25">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6</w:t>
      </w:r>
      <w:r>
        <w:rPr>
          <w:rFonts w:hint="default" w:ascii="宋体" w:hAnsi="宋体" w:eastAsia="宋体" w:cs="宋体"/>
          <w:color w:val="auto"/>
          <w:kern w:val="2"/>
          <w:sz w:val="24"/>
          <w:szCs w:val="24"/>
          <w:lang w:val="en-US" w:eastAsia="zh-CN" w:bidi="ar-SA"/>
        </w:rPr>
        <w:t>)</w:t>
      </w:r>
      <w:r>
        <w:rPr>
          <w:rFonts w:hint="eastAsia" w:ascii="宋体" w:hAnsi="宋体" w:cs="宋体"/>
          <w:color w:val="auto"/>
          <w:sz w:val="24"/>
          <w:szCs w:val="24"/>
          <w:highlight w:val="none"/>
          <w:lang w:val="en-US" w:eastAsia="zh-CN"/>
        </w:rPr>
        <w:t>本项目不接受联合体磋商。</w:t>
      </w:r>
      <w:r>
        <w:rPr>
          <w:rFonts w:hint="eastAsia" w:ascii="宋体" w:hAnsi="宋体" w:eastAsia="宋体" w:cs="宋体"/>
          <w:b/>
          <w:bCs/>
          <w:color w:val="auto"/>
          <w:sz w:val="24"/>
          <w:szCs w:val="24"/>
          <w:highlight w:val="none"/>
          <w:lang w:val="en-US" w:eastAsia="zh-CN"/>
        </w:rPr>
        <w:t>（详见附件</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p>
    <w:p w14:paraId="38849B6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注：供应商按以上序号顺序提供相关资格证明文件的复印件或扫描件，并逐页加盖单位公章（信用中国、中国执行信息公开网和中国政府采购网信用记录可不提供，由采购代理机构查询并留存为准）。</w:t>
      </w:r>
    </w:p>
    <w:p w14:paraId="5240B3B5">
      <w:pPr>
        <w:pStyle w:val="16"/>
        <w:rPr>
          <w:rFonts w:hint="eastAsia"/>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168AAC7">
      <w:pPr>
        <w:pStyle w:val="3"/>
        <w:keepNext/>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附件1：</w:t>
      </w:r>
    </w:p>
    <w:p w14:paraId="269FA6A3">
      <w:pPr>
        <w:pStyle w:val="3"/>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磋商供应商基本情况表</w:t>
      </w:r>
    </w:p>
    <w:tbl>
      <w:tblPr>
        <w:tblStyle w:val="37"/>
        <w:tblW w:w="96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74"/>
        <w:gridCol w:w="1029"/>
        <w:gridCol w:w="1338"/>
        <w:gridCol w:w="1490"/>
        <w:gridCol w:w="1376"/>
        <w:gridCol w:w="1071"/>
        <w:gridCol w:w="1341"/>
      </w:tblGrid>
      <w:tr w14:paraId="1EC5B3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974" w:type="dxa"/>
            <w:tcBorders>
              <w:top w:val="single" w:color="auto" w:sz="12" w:space="0"/>
              <w:left w:val="single" w:color="auto" w:sz="12" w:space="0"/>
              <w:bottom w:val="single" w:color="auto" w:sz="6" w:space="0"/>
              <w:right w:val="single" w:color="auto" w:sz="6" w:space="0"/>
            </w:tcBorders>
            <w:noWrap w:val="0"/>
            <w:vAlign w:val="center"/>
          </w:tcPr>
          <w:p w14:paraId="4C465CB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磋商供应商名称</w:t>
            </w:r>
          </w:p>
        </w:tc>
        <w:tc>
          <w:tcPr>
            <w:tcW w:w="7645" w:type="dxa"/>
            <w:gridSpan w:val="6"/>
            <w:tcBorders>
              <w:top w:val="single" w:color="auto" w:sz="12" w:space="0"/>
              <w:left w:val="single" w:color="auto" w:sz="6" w:space="0"/>
              <w:bottom w:val="single" w:color="auto" w:sz="6" w:space="0"/>
              <w:right w:val="single" w:color="auto" w:sz="12" w:space="0"/>
            </w:tcBorders>
            <w:noWrap w:val="0"/>
            <w:vAlign w:val="center"/>
          </w:tcPr>
          <w:p w14:paraId="00652AC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614155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974" w:type="dxa"/>
            <w:tcBorders>
              <w:top w:val="single" w:color="auto" w:sz="6" w:space="0"/>
              <w:left w:val="single" w:color="auto" w:sz="12" w:space="0"/>
              <w:bottom w:val="single" w:color="auto" w:sz="6" w:space="0"/>
              <w:right w:val="single" w:color="auto" w:sz="6" w:space="0"/>
            </w:tcBorders>
            <w:noWrap w:val="0"/>
            <w:vAlign w:val="center"/>
          </w:tcPr>
          <w:p w14:paraId="44CECF9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857" w:type="dxa"/>
            <w:gridSpan w:val="3"/>
            <w:tcBorders>
              <w:top w:val="single" w:color="auto" w:sz="6" w:space="0"/>
              <w:left w:val="single" w:color="auto" w:sz="6" w:space="0"/>
              <w:bottom w:val="single" w:color="auto" w:sz="6" w:space="0"/>
              <w:right w:val="single" w:color="auto" w:sz="6" w:space="0"/>
            </w:tcBorders>
            <w:noWrap w:val="0"/>
            <w:vAlign w:val="center"/>
          </w:tcPr>
          <w:p w14:paraId="46CFE29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376" w:type="dxa"/>
            <w:tcBorders>
              <w:top w:val="single" w:color="auto" w:sz="6" w:space="0"/>
              <w:left w:val="single" w:color="auto" w:sz="6" w:space="0"/>
              <w:bottom w:val="single" w:color="auto" w:sz="6" w:space="0"/>
              <w:right w:val="single" w:color="auto" w:sz="6" w:space="0"/>
            </w:tcBorders>
            <w:noWrap w:val="0"/>
            <w:vAlign w:val="center"/>
          </w:tcPr>
          <w:p w14:paraId="2EC5EB7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412" w:type="dxa"/>
            <w:gridSpan w:val="2"/>
            <w:tcBorders>
              <w:top w:val="single" w:color="auto" w:sz="6" w:space="0"/>
              <w:left w:val="single" w:color="auto" w:sz="6" w:space="0"/>
              <w:bottom w:val="single" w:color="auto" w:sz="6" w:space="0"/>
              <w:right w:val="single" w:color="auto" w:sz="12" w:space="0"/>
            </w:tcBorders>
            <w:noWrap w:val="0"/>
            <w:vAlign w:val="center"/>
          </w:tcPr>
          <w:p w14:paraId="0364F1FC">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380358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974" w:type="dxa"/>
            <w:vMerge w:val="restart"/>
            <w:tcBorders>
              <w:top w:val="single" w:color="auto" w:sz="6" w:space="0"/>
              <w:left w:val="single" w:color="auto" w:sz="12" w:space="0"/>
              <w:bottom w:val="single" w:color="auto" w:sz="6" w:space="0"/>
              <w:right w:val="single" w:color="auto" w:sz="6" w:space="0"/>
            </w:tcBorders>
            <w:noWrap w:val="0"/>
            <w:vAlign w:val="center"/>
          </w:tcPr>
          <w:p w14:paraId="6695643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029" w:type="dxa"/>
            <w:tcBorders>
              <w:top w:val="single" w:color="auto" w:sz="6" w:space="0"/>
              <w:left w:val="single" w:color="auto" w:sz="6" w:space="0"/>
              <w:bottom w:val="single" w:color="auto" w:sz="6" w:space="0"/>
              <w:right w:val="single" w:color="auto" w:sz="6" w:space="0"/>
            </w:tcBorders>
            <w:noWrap w:val="0"/>
            <w:vAlign w:val="center"/>
          </w:tcPr>
          <w:p w14:paraId="7BC9576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828" w:type="dxa"/>
            <w:gridSpan w:val="2"/>
            <w:tcBorders>
              <w:top w:val="single" w:color="auto" w:sz="6" w:space="0"/>
              <w:left w:val="single" w:color="auto" w:sz="6" w:space="0"/>
              <w:bottom w:val="single" w:color="auto" w:sz="6" w:space="0"/>
              <w:right w:val="single" w:color="auto" w:sz="6" w:space="0"/>
            </w:tcBorders>
            <w:noWrap w:val="0"/>
            <w:vAlign w:val="center"/>
          </w:tcPr>
          <w:p w14:paraId="3B2B553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376" w:type="dxa"/>
            <w:tcBorders>
              <w:top w:val="single" w:color="auto" w:sz="6" w:space="0"/>
              <w:left w:val="single" w:color="auto" w:sz="6" w:space="0"/>
              <w:bottom w:val="single" w:color="auto" w:sz="6" w:space="0"/>
              <w:right w:val="single" w:color="auto" w:sz="6" w:space="0"/>
            </w:tcBorders>
            <w:noWrap w:val="0"/>
            <w:vAlign w:val="center"/>
          </w:tcPr>
          <w:p w14:paraId="7DB4419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412" w:type="dxa"/>
            <w:gridSpan w:val="2"/>
            <w:tcBorders>
              <w:top w:val="single" w:color="auto" w:sz="6" w:space="0"/>
              <w:left w:val="single" w:color="auto" w:sz="6" w:space="0"/>
              <w:bottom w:val="single" w:color="auto" w:sz="6" w:space="0"/>
              <w:right w:val="single" w:color="auto" w:sz="12" w:space="0"/>
            </w:tcBorders>
            <w:noWrap w:val="0"/>
            <w:vAlign w:val="center"/>
          </w:tcPr>
          <w:p w14:paraId="1532C64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6F26E3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974" w:type="dxa"/>
            <w:vMerge w:val="continue"/>
            <w:tcBorders>
              <w:top w:val="single" w:color="auto" w:sz="6" w:space="0"/>
              <w:left w:val="single" w:color="auto" w:sz="12" w:space="0"/>
              <w:bottom w:val="single" w:color="auto" w:sz="6" w:space="0"/>
              <w:right w:val="single" w:color="auto" w:sz="6" w:space="0"/>
            </w:tcBorders>
            <w:noWrap w:val="0"/>
            <w:vAlign w:val="center"/>
          </w:tcPr>
          <w:p w14:paraId="255EF674">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14:paraId="3F24299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828" w:type="dxa"/>
            <w:gridSpan w:val="2"/>
            <w:tcBorders>
              <w:top w:val="single" w:color="auto" w:sz="6" w:space="0"/>
              <w:left w:val="single" w:color="auto" w:sz="6" w:space="0"/>
              <w:bottom w:val="single" w:color="auto" w:sz="6" w:space="0"/>
              <w:right w:val="single" w:color="auto" w:sz="6" w:space="0"/>
            </w:tcBorders>
            <w:noWrap w:val="0"/>
            <w:vAlign w:val="center"/>
          </w:tcPr>
          <w:p w14:paraId="13D6B9E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376" w:type="dxa"/>
            <w:tcBorders>
              <w:top w:val="single" w:color="auto" w:sz="6" w:space="0"/>
              <w:left w:val="single" w:color="auto" w:sz="6" w:space="0"/>
              <w:bottom w:val="single" w:color="auto" w:sz="6" w:space="0"/>
              <w:right w:val="single" w:color="auto" w:sz="6" w:space="0"/>
            </w:tcBorders>
            <w:noWrap w:val="0"/>
            <w:vAlign w:val="center"/>
          </w:tcPr>
          <w:p w14:paraId="32372DC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412" w:type="dxa"/>
            <w:gridSpan w:val="2"/>
            <w:tcBorders>
              <w:top w:val="single" w:color="auto" w:sz="6" w:space="0"/>
              <w:left w:val="single" w:color="auto" w:sz="6" w:space="0"/>
              <w:bottom w:val="single" w:color="auto" w:sz="6" w:space="0"/>
              <w:right w:val="single" w:color="auto" w:sz="12" w:space="0"/>
            </w:tcBorders>
            <w:noWrap w:val="0"/>
            <w:vAlign w:val="center"/>
          </w:tcPr>
          <w:p w14:paraId="24C1EB4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53935F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974" w:type="dxa"/>
            <w:tcBorders>
              <w:top w:val="single" w:color="auto" w:sz="6" w:space="0"/>
              <w:left w:val="single" w:color="auto" w:sz="12" w:space="0"/>
              <w:bottom w:val="single" w:color="auto" w:sz="6" w:space="0"/>
              <w:right w:val="single" w:color="auto" w:sz="6" w:space="0"/>
            </w:tcBorders>
            <w:noWrap w:val="0"/>
            <w:vAlign w:val="center"/>
          </w:tcPr>
          <w:p w14:paraId="404B863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645" w:type="dxa"/>
            <w:gridSpan w:val="6"/>
            <w:tcBorders>
              <w:top w:val="single" w:color="auto" w:sz="6" w:space="0"/>
              <w:left w:val="single" w:color="auto" w:sz="6" w:space="0"/>
              <w:bottom w:val="single" w:color="auto" w:sz="6" w:space="0"/>
              <w:right w:val="single" w:color="auto" w:sz="12" w:space="0"/>
            </w:tcBorders>
            <w:noWrap w:val="0"/>
            <w:vAlign w:val="center"/>
          </w:tcPr>
          <w:p w14:paraId="3CF1289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76F4F9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974" w:type="dxa"/>
            <w:tcBorders>
              <w:top w:val="single" w:color="auto" w:sz="6" w:space="0"/>
              <w:left w:val="single" w:color="auto" w:sz="12" w:space="0"/>
              <w:bottom w:val="single" w:color="auto" w:sz="6" w:space="0"/>
              <w:right w:val="single" w:color="auto" w:sz="6" w:space="0"/>
            </w:tcBorders>
            <w:noWrap w:val="0"/>
            <w:vAlign w:val="center"/>
          </w:tcPr>
          <w:p w14:paraId="6B12214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029" w:type="dxa"/>
            <w:tcBorders>
              <w:top w:val="single" w:color="auto" w:sz="6" w:space="0"/>
              <w:left w:val="single" w:color="auto" w:sz="6" w:space="0"/>
              <w:bottom w:val="single" w:color="auto" w:sz="6" w:space="0"/>
              <w:right w:val="single" w:color="auto" w:sz="6" w:space="0"/>
            </w:tcBorders>
            <w:noWrap w:val="0"/>
            <w:vAlign w:val="center"/>
          </w:tcPr>
          <w:p w14:paraId="3B7B9FB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8" w:type="dxa"/>
            <w:tcBorders>
              <w:top w:val="single" w:color="auto" w:sz="6" w:space="0"/>
              <w:left w:val="single" w:color="auto" w:sz="6" w:space="0"/>
              <w:bottom w:val="single" w:color="auto" w:sz="6" w:space="0"/>
              <w:right w:val="single" w:color="auto" w:sz="6" w:space="0"/>
            </w:tcBorders>
            <w:noWrap w:val="0"/>
            <w:vAlign w:val="center"/>
          </w:tcPr>
          <w:p w14:paraId="2B8FFCA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90" w:type="dxa"/>
            <w:tcBorders>
              <w:top w:val="single" w:color="auto" w:sz="6" w:space="0"/>
              <w:left w:val="single" w:color="auto" w:sz="6" w:space="0"/>
              <w:bottom w:val="single" w:color="auto" w:sz="6" w:space="0"/>
              <w:right w:val="single" w:color="auto" w:sz="6" w:space="0"/>
            </w:tcBorders>
            <w:noWrap w:val="0"/>
            <w:vAlign w:val="center"/>
          </w:tcPr>
          <w:p w14:paraId="0F168E1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376" w:type="dxa"/>
            <w:tcBorders>
              <w:top w:val="single" w:color="auto" w:sz="6" w:space="0"/>
              <w:left w:val="single" w:color="auto" w:sz="6" w:space="0"/>
              <w:bottom w:val="single" w:color="auto" w:sz="6" w:space="0"/>
              <w:right w:val="single" w:color="auto" w:sz="6" w:space="0"/>
            </w:tcBorders>
            <w:noWrap w:val="0"/>
            <w:vAlign w:val="center"/>
          </w:tcPr>
          <w:p w14:paraId="3CBA353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71" w:type="dxa"/>
            <w:tcBorders>
              <w:top w:val="single" w:color="auto" w:sz="6" w:space="0"/>
              <w:left w:val="single" w:color="auto" w:sz="6" w:space="0"/>
              <w:bottom w:val="single" w:color="auto" w:sz="6" w:space="0"/>
              <w:right w:val="single" w:color="auto" w:sz="6" w:space="0"/>
            </w:tcBorders>
            <w:noWrap w:val="0"/>
            <w:vAlign w:val="center"/>
          </w:tcPr>
          <w:p w14:paraId="3475CEF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341" w:type="dxa"/>
            <w:tcBorders>
              <w:top w:val="single" w:color="auto" w:sz="6" w:space="0"/>
              <w:left w:val="single" w:color="auto" w:sz="6" w:space="0"/>
              <w:bottom w:val="single" w:color="auto" w:sz="6" w:space="0"/>
              <w:right w:val="single" w:color="auto" w:sz="12" w:space="0"/>
            </w:tcBorders>
            <w:noWrap w:val="0"/>
            <w:vAlign w:val="center"/>
          </w:tcPr>
          <w:p w14:paraId="6D9A8459">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7C84E7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974" w:type="dxa"/>
            <w:tcBorders>
              <w:top w:val="single" w:color="auto" w:sz="6" w:space="0"/>
              <w:left w:val="single" w:color="auto" w:sz="12" w:space="0"/>
              <w:bottom w:val="single" w:color="auto" w:sz="6" w:space="0"/>
              <w:right w:val="single" w:color="auto" w:sz="6" w:space="0"/>
            </w:tcBorders>
            <w:noWrap w:val="0"/>
            <w:vAlign w:val="center"/>
          </w:tcPr>
          <w:p w14:paraId="0293FD5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029" w:type="dxa"/>
            <w:tcBorders>
              <w:top w:val="single" w:color="auto" w:sz="6" w:space="0"/>
              <w:left w:val="single" w:color="auto" w:sz="6" w:space="0"/>
              <w:bottom w:val="single" w:color="auto" w:sz="4" w:space="0"/>
              <w:right w:val="single" w:color="auto" w:sz="6" w:space="0"/>
            </w:tcBorders>
            <w:noWrap w:val="0"/>
            <w:vAlign w:val="center"/>
          </w:tcPr>
          <w:p w14:paraId="6748E91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8" w:type="dxa"/>
            <w:tcBorders>
              <w:top w:val="single" w:color="auto" w:sz="6" w:space="0"/>
              <w:left w:val="single" w:color="auto" w:sz="6" w:space="0"/>
              <w:bottom w:val="single" w:color="auto" w:sz="4" w:space="0"/>
              <w:right w:val="single" w:color="auto" w:sz="6" w:space="0"/>
            </w:tcBorders>
            <w:noWrap w:val="0"/>
            <w:vAlign w:val="center"/>
          </w:tcPr>
          <w:p w14:paraId="0635A24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90" w:type="dxa"/>
            <w:tcBorders>
              <w:top w:val="single" w:color="auto" w:sz="6" w:space="0"/>
              <w:left w:val="single" w:color="auto" w:sz="6" w:space="0"/>
              <w:bottom w:val="single" w:color="auto" w:sz="4" w:space="0"/>
              <w:right w:val="single" w:color="auto" w:sz="6" w:space="0"/>
            </w:tcBorders>
            <w:noWrap w:val="0"/>
            <w:vAlign w:val="center"/>
          </w:tcPr>
          <w:p w14:paraId="1617AAB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376" w:type="dxa"/>
            <w:tcBorders>
              <w:top w:val="single" w:color="auto" w:sz="6" w:space="0"/>
              <w:left w:val="single" w:color="auto" w:sz="6" w:space="0"/>
              <w:bottom w:val="single" w:color="auto" w:sz="6" w:space="0"/>
              <w:right w:val="single" w:color="auto" w:sz="6" w:space="0"/>
            </w:tcBorders>
            <w:noWrap w:val="0"/>
            <w:vAlign w:val="center"/>
          </w:tcPr>
          <w:p w14:paraId="5635CA4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71" w:type="dxa"/>
            <w:tcBorders>
              <w:top w:val="single" w:color="auto" w:sz="6" w:space="0"/>
              <w:left w:val="single" w:color="auto" w:sz="6" w:space="0"/>
              <w:bottom w:val="single" w:color="auto" w:sz="6" w:space="0"/>
              <w:right w:val="single" w:color="auto" w:sz="6" w:space="0"/>
            </w:tcBorders>
            <w:noWrap w:val="0"/>
            <w:vAlign w:val="center"/>
          </w:tcPr>
          <w:p w14:paraId="12AAD8C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341" w:type="dxa"/>
            <w:tcBorders>
              <w:top w:val="single" w:color="auto" w:sz="6" w:space="0"/>
              <w:left w:val="single" w:color="auto" w:sz="6" w:space="0"/>
              <w:bottom w:val="single" w:color="auto" w:sz="6" w:space="0"/>
              <w:right w:val="single" w:color="auto" w:sz="12" w:space="0"/>
            </w:tcBorders>
            <w:noWrap w:val="0"/>
            <w:vAlign w:val="center"/>
          </w:tcPr>
          <w:p w14:paraId="3A3AC3A2">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1CDD3A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974" w:type="dxa"/>
            <w:tcBorders>
              <w:top w:val="single" w:color="auto" w:sz="6" w:space="0"/>
              <w:left w:val="single" w:color="auto" w:sz="12" w:space="0"/>
              <w:bottom w:val="single" w:color="auto" w:sz="6" w:space="0"/>
              <w:right w:val="single" w:color="auto" w:sz="4" w:space="0"/>
            </w:tcBorders>
            <w:noWrap w:val="0"/>
            <w:vAlign w:val="center"/>
          </w:tcPr>
          <w:p w14:paraId="54746F5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企业资质等级</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14:paraId="46B0A894">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236A079">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3788" w:type="dxa"/>
            <w:gridSpan w:val="3"/>
            <w:tcBorders>
              <w:top w:val="single" w:color="auto" w:sz="6" w:space="0"/>
              <w:left w:val="single" w:color="auto" w:sz="4" w:space="0"/>
              <w:right w:val="single" w:color="auto" w:sz="12" w:space="0"/>
            </w:tcBorders>
            <w:noWrap w:val="0"/>
            <w:vAlign w:val="center"/>
          </w:tcPr>
          <w:p w14:paraId="09769D6A">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r>
      <w:tr w14:paraId="13DB2E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974" w:type="dxa"/>
            <w:tcBorders>
              <w:top w:val="single" w:color="auto" w:sz="6" w:space="0"/>
              <w:left w:val="single" w:color="auto" w:sz="12" w:space="0"/>
              <w:bottom w:val="single" w:color="auto" w:sz="6" w:space="0"/>
              <w:right w:val="single" w:color="auto" w:sz="6" w:space="0"/>
            </w:tcBorders>
            <w:noWrap w:val="0"/>
            <w:vAlign w:val="center"/>
          </w:tcPr>
          <w:p w14:paraId="2841FEF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367" w:type="dxa"/>
            <w:gridSpan w:val="2"/>
            <w:tcBorders>
              <w:top w:val="single" w:color="auto" w:sz="4" w:space="0"/>
              <w:left w:val="single" w:color="auto" w:sz="6" w:space="0"/>
              <w:bottom w:val="single" w:color="auto" w:sz="6" w:space="0"/>
              <w:right w:val="single" w:color="auto" w:sz="6" w:space="0"/>
            </w:tcBorders>
            <w:noWrap w:val="0"/>
            <w:vAlign w:val="center"/>
          </w:tcPr>
          <w:p w14:paraId="6878ED9F">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490" w:type="dxa"/>
            <w:vMerge w:val="restart"/>
            <w:tcBorders>
              <w:top w:val="single" w:color="auto" w:sz="4" w:space="0"/>
              <w:left w:val="single" w:color="auto" w:sz="6" w:space="0"/>
              <w:right w:val="single" w:color="auto" w:sz="6" w:space="0"/>
            </w:tcBorders>
            <w:noWrap w:val="0"/>
            <w:vAlign w:val="center"/>
          </w:tcPr>
          <w:p w14:paraId="4A330BCE">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固定资产</w:t>
            </w:r>
          </w:p>
        </w:tc>
        <w:tc>
          <w:tcPr>
            <w:tcW w:w="1376" w:type="dxa"/>
            <w:tcBorders>
              <w:top w:val="single" w:color="auto" w:sz="6" w:space="0"/>
              <w:left w:val="single" w:color="auto" w:sz="6" w:space="0"/>
              <w:bottom w:val="single" w:color="auto" w:sz="6" w:space="0"/>
              <w:right w:val="single" w:color="auto" w:sz="6" w:space="0"/>
            </w:tcBorders>
            <w:noWrap w:val="0"/>
            <w:vAlign w:val="center"/>
          </w:tcPr>
          <w:p w14:paraId="10DB822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原值</w:t>
            </w:r>
          </w:p>
        </w:tc>
        <w:tc>
          <w:tcPr>
            <w:tcW w:w="2412" w:type="dxa"/>
            <w:gridSpan w:val="2"/>
            <w:tcBorders>
              <w:top w:val="single" w:color="auto" w:sz="6" w:space="0"/>
              <w:left w:val="single" w:color="auto" w:sz="6" w:space="0"/>
              <w:bottom w:val="single" w:color="auto" w:sz="6" w:space="0"/>
              <w:right w:val="single" w:color="auto" w:sz="12" w:space="0"/>
            </w:tcBorders>
            <w:noWrap w:val="0"/>
            <w:vAlign w:val="center"/>
          </w:tcPr>
          <w:p w14:paraId="455D1A38">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514DCC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974" w:type="dxa"/>
            <w:tcBorders>
              <w:top w:val="single" w:color="auto" w:sz="6" w:space="0"/>
              <w:left w:val="single" w:color="auto" w:sz="12" w:space="0"/>
              <w:bottom w:val="single" w:color="auto" w:sz="6" w:space="0"/>
              <w:right w:val="single" w:color="auto" w:sz="6" w:space="0"/>
            </w:tcBorders>
            <w:noWrap w:val="0"/>
            <w:vAlign w:val="center"/>
          </w:tcPr>
          <w:p w14:paraId="028AA42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流动资金</w:t>
            </w:r>
          </w:p>
        </w:tc>
        <w:tc>
          <w:tcPr>
            <w:tcW w:w="2367" w:type="dxa"/>
            <w:gridSpan w:val="2"/>
            <w:tcBorders>
              <w:top w:val="single" w:color="auto" w:sz="6" w:space="0"/>
              <w:left w:val="single" w:color="auto" w:sz="6" w:space="0"/>
              <w:bottom w:val="single" w:color="auto" w:sz="6" w:space="0"/>
              <w:right w:val="single" w:color="auto" w:sz="6" w:space="0"/>
            </w:tcBorders>
            <w:noWrap w:val="0"/>
            <w:vAlign w:val="center"/>
          </w:tcPr>
          <w:p w14:paraId="2D888579">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万元</w:t>
            </w:r>
          </w:p>
        </w:tc>
        <w:tc>
          <w:tcPr>
            <w:tcW w:w="1490" w:type="dxa"/>
            <w:vMerge w:val="continue"/>
            <w:tcBorders>
              <w:left w:val="single" w:color="auto" w:sz="6" w:space="0"/>
              <w:bottom w:val="single" w:color="auto" w:sz="6" w:space="0"/>
              <w:right w:val="single" w:color="auto" w:sz="6" w:space="0"/>
            </w:tcBorders>
            <w:noWrap w:val="0"/>
            <w:vAlign w:val="center"/>
          </w:tcPr>
          <w:p w14:paraId="357D3996">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376" w:type="dxa"/>
            <w:tcBorders>
              <w:top w:val="single" w:color="auto" w:sz="6" w:space="0"/>
              <w:left w:val="single" w:color="auto" w:sz="6" w:space="0"/>
              <w:bottom w:val="single" w:color="auto" w:sz="6" w:space="0"/>
              <w:right w:val="single" w:color="auto" w:sz="6" w:space="0"/>
            </w:tcBorders>
            <w:noWrap w:val="0"/>
            <w:vAlign w:val="center"/>
          </w:tcPr>
          <w:p w14:paraId="58C9FA3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净值</w:t>
            </w:r>
          </w:p>
        </w:tc>
        <w:tc>
          <w:tcPr>
            <w:tcW w:w="2412" w:type="dxa"/>
            <w:gridSpan w:val="2"/>
            <w:tcBorders>
              <w:top w:val="single" w:color="auto" w:sz="6" w:space="0"/>
              <w:left w:val="single" w:color="auto" w:sz="6" w:space="0"/>
              <w:bottom w:val="single" w:color="auto" w:sz="6" w:space="0"/>
              <w:right w:val="single" w:color="auto" w:sz="12" w:space="0"/>
            </w:tcBorders>
            <w:noWrap w:val="0"/>
            <w:vAlign w:val="center"/>
          </w:tcPr>
          <w:p w14:paraId="22EDAFBD">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1D1024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974" w:type="dxa"/>
            <w:tcBorders>
              <w:top w:val="single" w:color="auto" w:sz="6" w:space="0"/>
              <w:left w:val="single" w:color="auto" w:sz="12" w:space="0"/>
              <w:bottom w:val="single" w:color="auto" w:sz="6" w:space="0"/>
              <w:right w:val="single" w:color="auto" w:sz="6" w:space="0"/>
            </w:tcBorders>
            <w:noWrap w:val="0"/>
            <w:vAlign w:val="center"/>
          </w:tcPr>
          <w:p w14:paraId="613A479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367" w:type="dxa"/>
            <w:gridSpan w:val="2"/>
            <w:tcBorders>
              <w:top w:val="single" w:color="auto" w:sz="6" w:space="0"/>
              <w:left w:val="single" w:color="auto" w:sz="6" w:space="0"/>
              <w:bottom w:val="single" w:color="auto" w:sz="6" w:space="0"/>
              <w:right w:val="single" w:color="auto" w:sz="6" w:space="0"/>
            </w:tcBorders>
            <w:noWrap w:val="0"/>
            <w:vAlign w:val="center"/>
          </w:tcPr>
          <w:p w14:paraId="12089F2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90" w:type="dxa"/>
            <w:vMerge w:val="restart"/>
            <w:tcBorders>
              <w:top w:val="single" w:color="auto" w:sz="6" w:space="0"/>
              <w:left w:val="single" w:color="auto" w:sz="6" w:space="0"/>
              <w:right w:val="single" w:color="auto" w:sz="6" w:space="0"/>
            </w:tcBorders>
            <w:noWrap w:val="0"/>
            <w:vAlign w:val="center"/>
          </w:tcPr>
          <w:p w14:paraId="3A4287C7">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376" w:type="dxa"/>
            <w:tcBorders>
              <w:top w:val="single" w:color="auto" w:sz="6" w:space="0"/>
              <w:left w:val="single" w:color="auto" w:sz="6" w:space="0"/>
              <w:bottom w:val="single" w:color="auto" w:sz="6" w:space="0"/>
              <w:right w:val="single" w:color="auto" w:sz="6" w:space="0"/>
            </w:tcBorders>
            <w:noWrap w:val="0"/>
            <w:vAlign w:val="center"/>
          </w:tcPr>
          <w:p w14:paraId="566AAE2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412" w:type="dxa"/>
            <w:gridSpan w:val="2"/>
            <w:tcBorders>
              <w:top w:val="single" w:color="auto" w:sz="6" w:space="0"/>
              <w:left w:val="single" w:color="auto" w:sz="6" w:space="0"/>
              <w:bottom w:val="single" w:color="auto" w:sz="6" w:space="0"/>
              <w:right w:val="single" w:color="auto" w:sz="12" w:space="0"/>
            </w:tcBorders>
            <w:noWrap w:val="0"/>
            <w:vAlign w:val="center"/>
          </w:tcPr>
          <w:p w14:paraId="60E90FF3">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1C6B63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974" w:type="dxa"/>
            <w:tcBorders>
              <w:top w:val="single" w:color="auto" w:sz="6" w:space="0"/>
              <w:left w:val="single" w:color="auto" w:sz="12" w:space="0"/>
              <w:bottom w:val="single" w:color="auto" w:sz="6" w:space="0"/>
              <w:right w:val="single" w:color="auto" w:sz="6" w:space="0"/>
            </w:tcBorders>
            <w:noWrap w:val="0"/>
            <w:vAlign w:val="center"/>
          </w:tcPr>
          <w:p w14:paraId="63F3BF7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367" w:type="dxa"/>
            <w:gridSpan w:val="2"/>
            <w:tcBorders>
              <w:top w:val="single" w:color="auto" w:sz="6" w:space="0"/>
              <w:left w:val="single" w:color="auto" w:sz="6" w:space="0"/>
              <w:bottom w:val="single" w:color="auto" w:sz="6" w:space="0"/>
              <w:right w:val="single" w:color="auto" w:sz="6" w:space="0"/>
            </w:tcBorders>
            <w:noWrap w:val="0"/>
            <w:vAlign w:val="center"/>
          </w:tcPr>
          <w:p w14:paraId="0BC4706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90" w:type="dxa"/>
            <w:vMerge w:val="continue"/>
            <w:tcBorders>
              <w:left w:val="single" w:color="auto" w:sz="6" w:space="0"/>
              <w:bottom w:val="single" w:color="auto" w:sz="6" w:space="0"/>
              <w:right w:val="single" w:color="auto" w:sz="6" w:space="0"/>
            </w:tcBorders>
            <w:noWrap w:val="0"/>
            <w:vAlign w:val="center"/>
          </w:tcPr>
          <w:p w14:paraId="6B72D424">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376" w:type="dxa"/>
            <w:tcBorders>
              <w:top w:val="single" w:color="auto" w:sz="6" w:space="0"/>
              <w:left w:val="single" w:color="auto" w:sz="6" w:space="0"/>
              <w:bottom w:val="single" w:color="auto" w:sz="6" w:space="0"/>
              <w:right w:val="single" w:color="auto" w:sz="6" w:space="0"/>
            </w:tcBorders>
            <w:noWrap w:val="0"/>
            <w:vAlign w:val="center"/>
          </w:tcPr>
          <w:p w14:paraId="50FC7B2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412" w:type="dxa"/>
            <w:gridSpan w:val="2"/>
            <w:tcBorders>
              <w:top w:val="single" w:color="auto" w:sz="6" w:space="0"/>
              <w:left w:val="single" w:color="auto" w:sz="6" w:space="0"/>
              <w:bottom w:val="single" w:color="auto" w:sz="6" w:space="0"/>
              <w:right w:val="single" w:color="auto" w:sz="12" w:space="0"/>
            </w:tcBorders>
            <w:noWrap w:val="0"/>
            <w:vAlign w:val="center"/>
          </w:tcPr>
          <w:p w14:paraId="46A19652">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12FDE4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57" w:hRule="atLeast"/>
          <w:jc w:val="center"/>
        </w:trPr>
        <w:tc>
          <w:tcPr>
            <w:tcW w:w="1974" w:type="dxa"/>
            <w:tcBorders>
              <w:top w:val="single" w:color="auto" w:sz="6" w:space="0"/>
              <w:left w:val="single" w:color="auto" w:sz="12" w:space="0"/>
              <w:bottom w:val="single" w:color="auto" w:sz="6" w:space="0"/>
              <w:right w:val="single" w:color="auto" w:sz="4" w:space="0"/>
            </w:tcBorders>
            <w:noWrap w:val="0"/>
            <w:vAlign w:val="center"/>
          </w:tcPr>
          <w:p w14:paraId="5FE0CB8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645" w:type="dxa"/>
            <w:gridSpan w:val="6"/>
            <w:tcBorders>
              <w:top w:val="single" w:color="auto" w:sz="4" w:space="0"/>
              <w:left w:val="single" w:color="auto" w:sz="4" w:space="0"/>
              <w:bottom w:val="single" w:color="auto" w:sz="4" w:space="0"/>
              <w:right w:val="single" w:color="auto" w:sz="12" w:space="0"/>
            </w:tcBorders>
            <w:noWrap w:val="0"/>
            <w:vAlign w:val="center"/>
          </w:tcPr>
          <w:p w14:paraId="7F50BA83">
            <w:pPr>
              <w:kinsoku/>
              <w:wordWrap/>
              <w:overflowPunct/>
              <w:topLinePunct w:val="0"/>
              <w:autoSpaceDE w:val="0"/>
              <w:autoSpaceDN w:val="0"/>
              <w:bidi w:val="0"/>
              <w:adjustRightInd w:val="0"/>
              <w:spacing w:line="360" w:lineRule="auto"/>
              <w:rPr>
                <w:rFonts w:hint="eastAsia" w:ascii="宋体" w:hAnsi="宋体" w:eastAsia="宋体" w:cs="宋体"/>
                <w:b/>
                <w:bCs/>
                <w:color w:val="auto"/>
                <w:kern w:val="0"/>
                <w:sz w:val="24"/>
                <w:szCs w:val="24"/>
                <w:highlight w:val="none"/>
              </w:rPr>
            </w:pPr>
          </w:p>
        </w:tc>
      </w:tr>
      <w:tr w14:paraId="2CF187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387" w:hRule="atLeast"/>
          <w:jc w:val="center"/>
        </w:trPr>
        <w:tc>
          <w:tcPr>
            <w:tcW w:w="1974" w:type="dxa"/>
            <w:tcBorders>
              <w:top w:val="single" w:color="auto" w:sz="6" w:space="0"/>
              <w:left w:val="single" w:color="auto" w:sz="12" w:space="0"/>
              <w:bottom w:val="single" w:color="auto" w:sz="12" w:space="0"/>
              <w:right w:val="single" w:color="auto" w:sz="6" w:space="0"/>
            </w:tcBorders>
            <w:noWrap w:val="0"/>
            <w:vAlign w:val="center"/>
          </w:tcPr>
          <w:p w14:paraId="634545C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645" w:type="dxa"/>
            <w:gridSpan w:val="6"/>
            <w:tcBorders>
              <w:top w:val="single" w:color="auto" w:sz="6" w:space="0"/>
              <w:left w:val="single" w:color="auto" w:sz="6" w:space="0"/>
              <w:bottom w:val="single" w:color="auto" w:sz="12" w:space="0"/>
              <w:right w:val="single" w:color="auto" w:sz="12" w:space="0"/>
            </w:tcBorders>
            <w:noWrap w:val="0"/>
            <w:vAlign w:val="top"/>
          </w:tcPr>
          <w:p w14:paraId="68BFFB35">
            <w:pPr>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24"/>
                <w:szCs w:val="24"/>
                <w:highlight w:val="none"/>
              </w:rPr>
            </w:pPr>
          </w:p>
        </w:tc>
      </w:tr>
    </w:tbl>
    <w:p w14:paraId="2CCD53DF">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color w:val="auto"/>
          <w:sz w:val="24"/>
          <w:highlight w:val="none"/>
        </w:rPr>
      </w:pPr>
    </w:p>
    <w:p w14:paraId="2C514F82">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         （盖章）</w:t>
      </w:r>
    </w:p>
    <w:p w14:paraId="318F7B9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color w:val="auto"/>
          <w:kern w:val="0"/>
          <w:sz w:val="24"/>
          <w:szCs w:val="24"/>
          <w:highlight w:val="none"/>
          <w:lang w:val="zh-CN"/>
        </w:rPr>
        <w:t>法定代表人或被授权人</w:t>
      </w:r>
      <w:r>
        <w:rPr>
          <w:rFonts w:hint="eastAsia" w:ascii="宋体" w:hAnsi="宋体" w:cs="宋体"/>
          <w:color w:val="auto"/>
          <w:sz w:val="24"/>
          <w:szCs w:val="24"/>
          <w:lang w:val="zh-CN"/>
        </w:rPr>
        <w:t>（签</w:t>
      </w:r>
      <w:r>
        <w:rPr>
          <w:rFonts w:hint="eastAsia" w:ascii="宋体" w:hAnsi="宋体" w:cs="宋体"/>
          <w:color w:val="auto"/>
          <w:sz w:val="24"/>
          <w:szCs w:val="24"/>
          <w:lang w:val="en-US" w:eastAsia="zh-CN"/>
        </w:rPr>
        <w:t>字</w:t>
      </w:r>
      <w:r>
        <w:rPr>
          <w:rFonts w:hint="eastAsia" w:ascii="宋体" w:hAnsi="宋体" w:cs="宋体"/>
          <w:color w:val="auto"/>
          <w:sz w:val="24"/>
          <w:szCs w:val="24"/>
          <w:lang w:val="zh-CN"/>
        </w:rPr>
        <w:t>或盖章）</w:t>
      </w:r>
      <w:r>
        <w:rPr>
          <w:rFonts w:hint="eastAsia" w:ascii="宋体" w:hAnsi="宋体" w:eastAsia="宋体" w:cs="宋体"/>
          <w:bCs/>
          <w:color w:val="auto"/>
          <w:sz w:val="24"/>
          <w:highlight w:val="none"/>
        </w:rPr>
        <w:t>：               日期</w:t>
      </w:r>
      <w:r>
        <w:rPr>
          <w:rFonts w:hint="eastAsia" w:ascii="宋体" w:hAnsi="宋体" w:cs="宋体"/>
          <w:color w:val="auto"/>
          <w:kern w:val="0"/>
          <w:sz w:val="24"/>
          <w:szCs w:val="24"/>
          <w:highlight w:val="none"/>
          <w:lang w:val="en-US" w:eastAsia="zh-CN"/>
        </w:rPr>
        <w:t>：</w:t>
      </w:r>
    </w:p>
    <w:p w14:paraId="160A66FC">
      <w:pPr>
        <w:keepLines w:val="0"/>
        <w:kinsoku/>
        <w:wordWrap/>
        <w:overflowPunct/>
        <w:topLinePunct w:val="0"/>
        <w:bidi w:val="0"/>
        <w:spacing w:line="420" w:lineRule="exact"/>
        <w:rPr>
          <w:rFonts w:hint="eastAsia"/>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E26A5C">
      <w:pPr>
        <w:pStyle w:val="3"/>
        <w:keepNext/>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附件2：</w:t>
      </w:r>
    </w:p>
    <w:p w14:paraId="2EBCB14A">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供应商应授权合法的人员参加磋商全过程，其中法定代表人直接参加磋商的，须出具法定代表人身份证明</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法人身份证原件及复印件，法定代表人授权代表参加磋商的，须出具法定代表人授权书</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授权代表身份证原件及复印件；</w:t>
      </w:r>
    </w:p>
    <w:p w14:paraId="53130F03">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法定代表人证明书</w:t>
      </w:r>
    </w:p>
    <w:tbl>
      <w:tblPr>
        <w:tblStyle w:val="3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51"/>
        <w:gridCol w:w="1971"/>
        <w:gridCol w:w="1340"/>
        <w:gridCol w:w="2385"/>
      </w:tblGrid>
      <w:tr w14:paraId="143B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060" w:type="dxa"/>
            <w:gridSpan w:val="5"/>
          </w:tcPr>
          <w:p w14:paraId="5F7011BF">
            <w:pPr>
              <w:keepLines w:val="0"/>
              <w:kinsoku/>
              <w:wordWrap/>
              <w:overflowPunct/>
              <w:topLinePunct w:val="0"/>
              <w:autoSpaceDE w:val="0"/>
              <w:autoSpaceDN w:val="0"/>
              <w:bidi w:val="0"/>
              <w:adjustRightInd w:val="0"/>
              <w:spacing w:line="4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致：陕西盛仕骄阳项目管理有限公司</w:t>
            </w:r>
          </w:p>
        </w:tc>
      </w:tr>
      <w:tr w14:paraId="478D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3" w:type="dxa"/>
            <w:vMerge w:val="restart"/>
            <w:vAlign w:val="center"/>
          </w:tcPr>
          <w:p w14:paraId="796E9D84">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w:t>
            </w:r>
          </w:p>
          <w:p w14:paraId="26AD3C92">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w:t>
            </w:r>
          </w:p>
          <w:p w14:paraId="17B08BD4">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208729DD">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51" w:type="dxa"/>
            <w:vAlign w:val="center"/>
          </w:tcPr>
          <w:p w14:paraId="3B7CCFC9">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企 业 名 称 </w:t>
            </w:r>
          </w:p>
        </w:tc>
        <w:tc>
          <w:tcPr>
            <w:tcW w:w="5696" w:type="dxa"/>
            <w:gridSpan w:val="3"/>
            <w:vAlign w:val="center"/>
          </w:tcPr>
          <w:p w14:paraId="1013451D">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r>
      <w:tr w14:paraId="022C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3" w:type="dxa"/>
            <w:vMerge w:val="continue"/>
            <w:vAlign w:val="center"/>
          </w:tcPr>
          <w:p w14:paraId="6D7131FE">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951" w:type="dxa"/>
            <w:vAlign w:val="center"/>
          </w:tcPr>
          <w:p w14:paraId="2AF34551">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 定 地 址</w:t>
            </w:r>
          </w:p>
        </w:tc>
        <w:tc>
          <w:tcPr>
            <w:tcW w:w="5696" w:type="dxa"/>
            <w:gridSpan w:val="3"/>
            <w:vAlign w:val="center"/>
          </w:tcPr>
          <w:p w14:paraId="23E83EEB">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r>
      <w:tr w14:paraId="2861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3" w:type="dxa"/>
            <w:vMerge w:val="continue"/>
            <w:vAlign w:val="center"/>
          </w:tcPr>
          <w:p w14:paraId="5C7F148E">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951" w:type="dxa"/>
            <w:vAlign w:val="center"/>
          </w:tcPr>
          <w:p w14:paraId="68273A35">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政 编 码</w:t>
            </w:r>
          </w:p>
        </w:tc>
        <w:tc>
          <w:tcPr>
            <w:tcW w:w="5696" w:type="dxa"/>
            <w:gridSpan w:val="3"/>
            <w:vAlign w:val="center"/>
          </w:tcPr>
          <w:p w14:paraId="48FF4418">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r>
      <w:tr w14:paraId="3259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3" w:type="dxa"/>
            <w:vMerge w:val="continue"/>
            <w:vAlign w:val="center"/>
          </w:tcPr>
          <w:p w14:paraId="3C3C6CAB">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951" w:type="dxa"/>
            <w:vAlign w:val="center"/>
          </w:tcPr>
          <w:p w14:paraId="35A7D6F7">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       址</w:t>
            </w:r>
          </w:p>
        </w:tc>
        <w:tc>
          <w:tcPr>
            <w:tcW w:w="5696" w:type="dxa"/>
            <w:gridSpan w:val="3"/>
            <w:vAlign w:val="center"/>
          </w:tcPr>
          <w:p w14:paraId="2146EA0B">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r>
      <w:tr w14:paraId="6BDA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3" w:type="dxa"/>
            <w:vMerge w:val="continue"/>
            <w:vAlign w:val="center"/>
          </w:tcPr>
          <w:p w14:paraId="1C51F25D">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951" w:type="dxa"/>
            <w:vAlign w:val="center"/>
          </w:tcPr>
          <w:p w14:paraId="5C167D58">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工商登记机关</w:t>
            </w:r>
          </w:p>
        </w:tc>
        <w:tc>
          <w:tcPr>
            <w:tcW w:w="5696" w:type="dxa"/>
            <w:gridSpan w:val="3"/>
            <w:vAlign w:val="center"/>
          </w:tcPr>
          <w:p w14:paraId="3D815327">
            <w:pPr>
              <w:keepLines w:val="0"/>
              <w:kinsoku/>
              <w:wordWrap/>
              <w:overflowPunct/>
              <w:topLinePunct w:val="0"/>
              <w:autoSpaceDE w:val="0"/>
              <w:autoSpaceDN w:val="0"/>
              <w:bidi w:val="0"/>
              <w:adjustRightInd w:val="0"/>
              <w:spacing w:line="420" w:lineRule="exact"/>
              <w:ind w:firstLine="2400" w:firstLineChars="1000"/>
              <w:jc w:val="center"/>
              <w:rPr>
                <w:rFonts w:hint="eastAsia" w:ascii="宋体" w:hAnsi="宋体" w:eastAsia="宋体" w:cs="宋体"/>
                <w:color w:val="auto"/>
                <w:kern w:val="0"/>
                <w:sz w:val="24"/>
                <w:szCs w:val="24"/>
                <w:highlight w:val="none"/>
              </w:rPr>
            </w:pPr>
          </w:p>
        </w:tc>
      </w:tr>
      <w:tr w14:paraId="6C52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3" w:type="dxa"/>
            <w:vMerge w:val="continue"/>
            <w:vAlign w:val="center"/>
          </w:tcPr>
          <w:p w14:paraId="6B02F066">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951" w:type="dxa"/>
            <w:vMerge w:val="restart"/>
            <w:vAlign w:val="center"/>
          </w:tcPr>
          <w:p w14:paraId="0D8739F2">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税务登记机关</w:t>
            </w:r>
          </w:p>
        </w:tc>
        <w:tc>
          <w:tcPr>
            <w:tcW w:w="5696" w:type="dxa"/>
            <w:gridSpan w:val="3"/>
            <w:vAlign w:val="center"/>
          </w:tcPr>
          <w:p w14:paraId="5D98796E">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（国税）</w:t>
            </w:r>
          </w:p>
        </w:tc>
      </w:tr>
      <w:tr w14:paraId="6F6B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3" w:type="dxa"/>
            <w:vMerge w:val="continue"/>
            <w:vAlign w:val="center"/>
          </w:tcPr>
          <w:p w14:paraId="63D8DB62">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951" w:type="dxa"/>
            <w:vMerge w:val="continue"/>
            <w:vAlign w:val="center"/>
          </w:tcPr>
          <w:p w14:paraId="5E7F2AFA">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5696" w:type="dxa"/>
            <w:gridSpan w:val="3"/>
            <w:vAlign w:val="center"/>
          </w:tcPr>
          <w:p w14:paraId="23A28F50">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（地税）</w:t>
            </w:r>
          </w:p>
        </w:tc>
      </w:tr>
      <w:tr w14:paraId="4174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13" w:type="dxa"/>
            <w:vMerge w:val="restart"/>
            <w:vAlign w:val="center"/>
          </w:tcPr>
          <w:p w14:paraId="4356A69F">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w:t>
            </w:r>
          </w:p>
          <w:p w14:paraId="4A732750">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w:t>
            </w:r>
          </w:p>
          <w:p w14:paraId="678D22F3">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w:t>
            </w:r>
          </w:p>
          <w:p w14:paraId="6F9CA33E">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w:t>
            </w:r>
          </w:p>
          <w:p w14:paraId="1CF90009">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51" w:type="dxa"/>
            <w:vAlign w:val="center"/>
          </w:tcPr>
          <w:p w14:paraId="196CA0A2">
            <w:pPr>
              <w:keepLines w:val="0"/>
              <w:kinsoku/>
              <w:wordWrap/>
              <w:overflowPunct/>
              <w:topLinePunct w:val="0"/>
              <w:autoSpaceDE w:val="0"/>
              <w:autoSpaceDN w:val="0"/>
              <w:bidi w:val="0"/>
              <w:adjustRightInd w:val="0"/>
              <w:spacing w:line="420" w:lineRule="exact"/>
              <w:ind w:firstLine="240" w:firstLineChars="1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    名</w:t>
            </w:r>
          </w:p>
        </w:tc>
        <w:tc>
          <w:tcPr>
            <w:tcW w:w="1971" w:type="dxa"/>
            <w:vAlign w:val="center"/>
          </w:tcPr>
          <w:p w14:paraId="3955961B">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340" w:type="dxa"/>
            <w:vAlign w:val="center"/>
          </w:tcPr>
          <w:p w14:paraId="64C55C79">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    别</w:t>
            </w:r>
          </w:p>
        </w:tc>
        <w:tc>
          <w:tcPr>
            <w:tcW w:w="2385" w:type="dxa"/>
            <w:vAlign w:val="center"/>
          </w:tcPr>
          <w:p w14:paraId="1B33C297">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r>
      <w:tr w14:paraId="69EF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3" w:type="dxa"/>
            <w:vMerge w:val="continue"/>
            <w:vAlign w:val="center"/>
          </w:tcPr>
          <w:p w14:paraId="3D004149">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951" w:type="dxa"/>
            <w:vAlign w:val="center"/>
          </w:tcPr>
          <w:p w14:paraId="7A9B1402">
            <w:pPr>
              <w:keepLines w:val="0"/>
              <w:kinsoku/>
              <w:wordWrap/>
              <w:overflowPunct/>
              <w:topLinePunct w:val="0"/>
              <w:autoSpaceDE w:val="0"/>
              <w:autoSpaceDN w:val="0"/>
              <w:bidi w:val="0"/>
              <w:adjustRightInd w:val="0"/>
              <w:spacing w:line="420" w:lineRule="exact"/>
              <w:ind w:firstLine="240" w:firstLineChars="1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    务</w:t>
            </w:r>
          </w:p>
        </w:tc>
        <w:tc>
          <w:tcPr>
            <w:tcW w:w="1971" w:type="dxa"/>
            <w:vAlign w:val="center"/>
          </w:tcPr>
          <w:p w14:paraId="219D019A">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340" w:type="dxa"/>
            <w:vAlign w:val="center"/>
          </w:tcPr>
          <w:p w14:paraId="33697D4C">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385" w:type="dxa"/>
            <w:vAlign w:val="center"/>
          </w:tcPr>
          <w:p w14:paraId="15345BE9">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r>
      <w:tr w14:paraId="5A04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13" w:type="dxa"/>
            <w:vMerge w:val="continue"/>
            <w:vAlign w:val="center"/>
          </w:tcPr>
          <w:p w14:paraId="6009E37D">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1951" w:type="dxa"/>
            <w:vAlign w:val="center"/>
          </w:tcPr>
          <w:p w14:paraId="1352666F">
            <w:pPr>
              <w:keepLines w:val="0"/>
              <w:kinsoku/>
              <w:wordWrap/>
              <w:overflowPunct/>
              <w:topLinePunct w:val="0"/>
              <w:autoSpaceDE w:val="0"/>
              <w:autoSpaceDN w:val="0"/>
              <w:bidi w:val="0"/>
              <w:adjustRightInd w:val="0"/>
              <w:spacing w:line="420" w:lineRule="exact"/>
              <w:ind w:firstLine="240" w:firstLineChars="1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p>
        </w:tc>
        <w:tc>
          <w:tcPr>
            <w:tcW w:w="5696" w:type="dxa"/>
            <w:gridSpan w:val="3"/>
            <w:vAlign w:val="center"/>
          </w:tcPr>
          <w:p w14:paraId="24A70EF6">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r>
      <w:tr w14:paraId="44AA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413" w:type="dxa"/>
            <w:vMerge w:val="restart"/>
            <w:vAlign w:val="center"/>
          </w:tcPr>
          <w:p w14:paraId="7EA69608">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法定代表人身份证复印件（正反面）</w:t>
            </w:r>
          </w:p>
        </w:tc>
        <w:tc>
          <w:tcPr>
            <w:tcW w:w="3922" w:type="dxa"/>
            <w:gridSpan w:val="2"/>
            <w:vMerge w:val="restart"/>
            <w:vAlign w:val="center"/>
          </w:tcPr>
          <w:p w14:paraId="274AC474">
            <w:pPr>
              <w:keepLines w:val="0"/>
              <w:kinsoku/>
              <w:wordWrap/>
              <w:overflowPunct/>
              <w:topLinePunct w:val="0"/>
              <w:autoSpaceDE w:val="0"/>
              <w:autoSpaceDN w:val="0"/>
              <w:bidi w:val="0"/>
              <w:adjustRightIn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二代身份证正、反两面都需复印</w:t>
            </w:r>
          </w:p>
        </w:tc>
        <w:tc>
          <w:tcPr>
            <w:tcW w:w="3725" w:type="dxa"/>
            <w:gridSpan w:val="2"/>
            <w:vAlign w:val="center"/>
          </w:tcPr>
          <w:p w14:paraId="60F45B74">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p w14:paraId="4813EFEF">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1E499526">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（法定代表人签字）</w:t>
            </w:r>
          </w:p>
        </w:tc>
      </w:tr>
      <w:tr w14:paraId="5EB3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413" w:type="dxa"/>
            <w:vMerge w:val="continue"/>
            <w:vAlign w:val="center"/>
          </w:tcPr>
          <w:p w14:paraId="756C4362">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3922" w:type="dxa"/>
            <w:gridSpan w:val="2"/>
            <w:vMerge w:val="continue"/>
            <w:vAlign w:val="center"/>
          </w:tcPr>
          <w:p w14:paraId="7A54918C">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tc>
        <w:tc>
          <w:tcPr>
            <w:tcW w:w="3725" w:type="dxa"/>
            <w:gridSpan w:val="2"/>
            <w:vAlign w:val="center"/>
          </w:tcPr>
          <w:p w14:paraId="48BA17C7">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p>
          <w:p w14:paraId="0FDB13E4">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（企业公章）</w:t>
            </w:r>
          </w:p>
          <w:p w14:paraId="52E9A297">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AD17AFC">
            <w:pPr>
              <w:keepLines w:val="0"/>
              <w:kinsoku/>
              <w:wordWrap/>
              <w:overflowPunct/>
              <w:topLinePunct w:val="0"/>
              <w:autoSpaceDE w:val="0"/>
              <w:autoSpaceDN w:val="0"/>
              <w:bidi w:val="0"/>
              <w:adjustRightInd w:val="0"/>
              <w:spacing w:line="420" w:lineRule="exact"/>
              <w:ind w:firstLine="1440" w:firstLineChars="6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tc>
      </w:tr>
    </w:tbl>
    <w:p w14:paraId="7B925B00">
      <w:pPr>
        <w:keepNext w:val="0"/>
        <w:keepLines w:val="0"/>
        <w:pageBreakBefore w:val="0"/>
        <w:widowControl w:val="0"/>
        <w:numPr>
          <w:ilvl w:val="0"/>
          <w:numId w:val="0"/>
        </w:numPr>
        <w:kinsoku/>
        <w:wordWrap/>
        <w:overflowPunct/>
        <w:topLinePunct w:val="0"/>
        <w:bidi w:val="0"/>
        <w:spacing w:line="420" w:lineRule="exact"/>
        <w:ind w:left="420" w:leftChars="0"/>
        <w:jc w:val="both"/>
        <w:textAlignment w:val="auto"/>
        <w:outlineLvl w:val="9"/>
        <w:rPr>
          <w:rFonts w:hint="eastAsia" w:ascii="宋体" w:hAnsi="宋体" w:eastAsia="宋体" w:cs="宋体"/>
          <w:color w:val="auto"/>
          <w:sz w:val="24"/>
          <w:szCs w:val="24"/>
          <w:highlight w:val="none"/>
        </w:rPr>
      </w:pPr>
    </w:p>
    <w:p w14:paraId="2BA285FF">
      <w:pPr>
        <w:keepLines w:val="0"/>
        <w:pageBreakBefore/>
        <w:tabs>
          <w:tab w:val="left" w:pos="210"/>
        </w:tabs>
        <w:kinsoku/>
        <w:wordWrap/>
        <w:overflowPunct/>
        <w:topLinePunct w:val="0"/>
        <w:bidi w:val="0"/>
        <w:spacing w:line="420" w:lineRule="exact"/>
        <w:ind w:firstLine="482" w:firstLineChars="20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法定代表人授权委托书</w:t>
      </w:r>
    </w:p>
    <w:p w14:paraId="32670D24">
      <w:pPr>
        <w:keepLines w:val="0"/>
        <w:kinsoku/>
        <w:wordWrap/>
        <w:overflowPunct/>
        <w:topLinePunct w:val="0"/>
        <w:autoSpaceDE w:val="0"/>
        <w:autoSpaceDN w:val="0"/>
        <w:bidi w:val="0"/>
        <w:adjustRightIn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陕西盛仕骄阳项目管理有限公司：</w:t>
      </w:r>
    </w:p>
    <w:p w14:paraId="238A8399">
      <w:pPr>
        <w:keepLines w:val="0"/>
        <w:kinsoku/>
        <w:wordWrap/>
        <w:overflowPunct/>
        <w:topLinePunct w:val="0"/>
        <w:autoSpaceDE w:val="0"/>
        <w:autoSpaceDN w:val="0"/>
        <w:bidi w:val="0"/>
        <w:adjustRightInd w:val="0"/>
        <w:spacing w:line="42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（供应商全称）</w:t>
      </w:r>
      <w:r>
        <w:rPr>
          <w:rFonts w:hint="eastAsia" w:ascii="宋体" w:hAnsi="宋体" w:eastAsia="宋体" w:cs="宋体"/>
          <w:color w:val="auto"/>
          <w:sz w:val="24"/>
          <w:szCs w:val="24"/>
          <w:highlight w:val="none"/>
          <w:lang w:val="zh-CN"/>
        </w:rPr>
        <w:t>法人代表</w:t>
      </w:r>
      <w:r>
        <w:rPr>
          <w:rFonts w:hint="eastAsia" w:ascii="宋体" w:hAnsi="宋体" w:eastAsia="宋体" w:cs="宋体"/>
          <w:color w:val="auto"/>
          <w:sz w:val="24"/>
          <w:szCs w:val="24"/>
          <w:highlight w:val="none"/>
          <w:u w:val="single"/>
          <w:lang w:val="zh-CN"/>
        </w:rPr>
        <w:t>（姓名、职务）</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（被授权人姓名、职务）</w:t>
      </w:r>
      <w:r>
        <w:rPr>
          <w:rFonts w:hint="eastAsia" w:ascii="宋体" w:hAnsi="宋体" w:eastAsia="宋体" w:cs="宋体"/>
          <w:color w:val="auto"/>
          <w:sz w:val="24"/>
          <w:szCs w:val="24"/>
          <w:highlight w:val="none"/>
          <w:lang w:val="zh-CN"/>
        </w:rPr>
        <w:t>为本公司的合法代理人，就</w:t>
      </w:r>
      <w:r>
        <w:rPr>
          <w:rFonts w:hint="eastAsia" w:ascii="宋体" w:hAnsi="宋体" w:eastAsia="宋体" w:cs="宋体"/>
          <w:color w:val="auto"/>
          <w:sz w:val="24"/>
          <w:szCs w:val="24"/>
          <w:highlight w:val="none"/>
          <w:u w:val="single"/>
          <w:lang w:val="zh-CN"/>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lang w:val="en-US" w:eastAsia="zh-CN"/>
        </w:rPr>
        <w:t>竞争性磋商响应文件</w:t>
      </w:r>
      <w:r>
        <w:rPr>
          <w:rFonts w:hint="eastAsia" w:ascii="宋体" w:hAnsi="宋体" w:eastAsia="宋体" w:cs="宋体"/>
          <w:color w:val="auto"/>
          <w:sz w:val="24"/>
          <w:szCs w:val="24"/>
          <w:highlight w:val="none"/>
          <w:lang w:val="zh-CN"/>
        </w:rPr>
        <w:t>及合同的执行和完成，以本公司的名义处理一切与之有关的事宜。</w:t>
      </w:r>
    </w:p>
    <w:p w14:paraId="27533C0D">
      <w:pPr>
        <w:keepLines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委托期限：</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47B7A98C">
      <w:pPr>
        <w:keepLines w:val="0"/>
        <w:kinsoku/>
        <w:wordWrap/>
        <w:overflowPunct/>
        <w:topLinePunct w:val="0"/>
        <w:autoSpaceDE w:val="0"/>
        <w:autoSpaceDN w:val="0"/>
        <w:bidi w:val="0"/>
        <w:adjustRightInd w:val="0"/>
        <w:spacing w:line="42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代理人无转委托权。</w:t>
      </w:r>
    </w:p>
    <w:p w14:paraId="53F1BC50">
      <w:pPr>
        <w:keepLines w:val="0"/>
        <w:kinsoku/>
        <w:wordWrap/>
        <w:overflowPunct/>
        <w:topLinePunct w:val="0"/>
        <w:bidi w:val="0"/>
        <w:spacing w:line="420" w:lineRule="exact"/>
        <w:ind w:firstLine="585"/>
        <w:rPr>
          <w:rFonts w:hint="eastAsia" w:ascii="宋体" w:hAnsi="宋体" w:eastAsia="宋体" w:cs="宋体"/>
          <w:color w:val="auto"/>
          <w:sz w:val="13"/>
          <w:szCs w:val="4"/>
          <w:highlight w:val="none"/>
          <w:lang w:val="zh-CN"/>
        </w:rPr>
      </w:pPr>
    </w:p>
    <w:p w14:paraId="36FD906E">
      <w:pPr>
        <w:keepLines w:val="0"/>
        <w:kinsoku/>
        <w:wordWrap/>
        <w:overflowPunct/>
        <w:topLinePunct w:val="0"/>
        <w:autoSpaceDE w:val="0"/>
        <w:autoSpaceDN w:val="0"/>
        <w:bidi w:val="0"/>
        <w:adjustRightInd w:val="0"/>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附：全权代表姓名：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年龄：</w:t>
      </w:r>
      <w:r>
        <w:rPr>
          <w:rFonts w:hint="eastAsia" w:ascii="宋体" w:hAnsi="宋体" w:eastAsia="宋体" w:cs="宋体"/>
          <w:color w:val="auto"/>
          <w:sz w:val="24"/>
          <w:szCs w:val="24"/>
          <w:highlight w:val="none"/>
          <w:u w:val="single"/>
        </w:rPr>
        <w:t xml:space="preserve">        </w:t>
      </w:r>
    </w:p>
    <w:p w14:paraId="23C9A034">
      <w:pPr>
        <w:keepLines w:val="0"/>
        <w:kinsoku/>
        <w:wordWrap/>
        <w:overflowPunct/>
        <w:topLinePunct w:val="0"/>
        <w:autoSpaceDE w:val="0"/>
        <w:autoSpaceDN w:val="0"/>
        <w:bidi w:val="0"/>
        <w:adjustRightInd w:val="0"/>
        <w:spacing w:line="420" w:lineRule="exact"/>
        <w:ind w:firstLine="6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务：</w:t>
      </w:r>
      <w:r>
        <w:rPr>
          <w:rFonts w:hint="eastAsia" w:ascii="宋体" w:hAnsi="宋体" w:eastAsia="宋体" w:cs="宋体"/>
          <w:color w:val="auto"/>
          <w:sz w:val="24"/>
          <w:szCs w:val="24"/>
          <w:highlight w:val="none"/>
          <w:u w:val="single"/>
        </w:rPr>
        <w:t xml:space="preserve">                                       </w:t>
      </w:r>
    </w:p>
    <w:p w14:paraId="616BF7C6">
      <w:pPr>
        <w:keepLines w:val="0"/>
        <w:kinsoku/>
        <w:wordWrap/>
        <w:overflowPunct/>
        <w:topLinePunct w:val="0"/>
        <w:autoSpaceDE w:val="0"/>
        <w:autoSpaceDN w:val="0"/>
        <w:bidi w:val="0"/>
        <w:adjustRightInd w:val="0"/>
        <w:spacing w:line="42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身份证号码：</w:t>
      </w:r>
      <w:r>
        <w:rPr>
          <w:rFonts w:hint="eastAsia" w:ascii="宋体" w:hAnsi="宋体" w:eastAsia="宋体" w:cs="宋体"/>
          <w:color w:val="auto"/>
          <w:sz w:val="24"/>
          <w:szCs w:val="24"/>
          <w:highlight w:val="none"/>
          <w:u w:val="single"/>
        </w:rPr>
        <w:t xml:space="preserve">                                     </w:t>
      </w:r>
    </w:p>
    <w:p w14:paraId="5E942C50">
      <w:pPr>
        <w:keepLines w:val="0"/>
        <w:kinsoku/>
        <w:wordWrap/>
        <w:overflowPunct/>
        <w:topLinePunct w:val="0"/>
        <w:autoSpaceDE w:val="0"/>
        <w:autoSpaceDN w:val="0"/>
        <w:bidi w:val="0"/>
        <w:adjustRightInd w:val="0"/>
        <w:spacing w:line="420" w:lineRule="exact"/>
        <w:ind w:firstLine="6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通讯地址：</w:t>
      </w:r>
      <w:r>
        <w:rPr>
          <w:rFonts w:hint="eastAsia" w:ascii="宋体" w:hAnsi="宋体" w:eastAsia="宋体" w:cs="宋体"/>
          <w:color w:val="auto"/>
          <w:sz w:val="24"/>
          <w:szCs w:val="24"/>
          <w:highlight w:val="none"/>
          <w:u w:val="single"/>
        </w:rPr>
        <w:t xml:space="preserve">                                       </w:t>
      </w:r>
    </w:p>
    <w:p w14:paraId="45948A75">
      <w:pPr>
        <w:keepLines w:val="0"/>
        <w:kinsoku/>
        <w:wordWrap/>
        <w:overflowPunct/>
        <w:topLinePunct w:val="0"/>
        <w:autoSpaceDE w:val="0"/>
        <w:autoSpaceDN w:val="0"/>
        <w:bidi w:val="0"/>
        <w:adjustRightInd w:val="0"/>
        <w:spacing w:line="420" w:lineRule="exact"/>
        <w:ind w:firstLine="6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rPr>
        <w:t xml:space="preserve">                                       </w:t>
      </w:r>
    </w:p>
    <w:p w14:paraId="3E0773CB">
      <w:pPr>
        <w:keepLines w:val="0"/>
        <w:kinsoku/>
        <w:wordWrap/>
        <w:overflowPunct/>
        <w:topLinePunct w:val="0"/>
        <w:autoSpaceDE w:val="0"/>
        <w:autoSpaceDN w:val="0"/>
        <w:bidi w:val="0"/>
        <w:adjustRightInd w:val="0"/>
        <w:spacing w:line="420" w:lineRule="exact"/>
        <w:ind w:firstLine="6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u w:val="single"/>
        </w:rPr>
        <w:t xml:space="preserve">                                       </w:t>
      </w:r>
    </w:p>
    <w:p w14:paraId="573F55B2">
      <w:pPr>
        <w:pStyle w:val="16"/>
        <w:rPr>
          <w:rFonts w:hint="eastAsia"/>
          <w:color w:val="auto"/>
        </w:rPr>
      </w:pPr>
    </w:p>
    <w:tbl>
      <w:tblPr>
        <w:tblStyle w:val="37"/>
        <w:tblW w:w="8221" w:type="dxa"/>
        <w:jc w:val="center"/>
        <w:tblLayout w:type="fixed"/>
        <w:tblCellMar>
          <w:top w:w="0" w:type="dxa"/>
          <w:left w:w="108" w:type="dxa"/>
          <w:bottom w:w="0" w:type="dxa"/>
          <w:right w:w="108" w:type="dxa"/>
        </w:tblCellMar>
      </w:tblPr>
      <w:tblGrid>
        <w:gridCol w:w="4110"/>
        <w:gridCol w:w="4111"/>
      </w:tblGrid>
      <w:tr w14:paraId="7DCE6248">
        <w:tblPrEx>
          <w:tblCellMar>
            <w:top w:w="0" w:type="dxa"/>
            <w:left w:w="108" w:type="dxa"/>
            <w:bottom w:w="0" w:type="dxa"/>
            <w:right w:w="108" w:type="dxa"/>
          </w:tblCellMar>
        </w:tblPrEx>
        <w:trPr>
          <w:trHeight w:val="2801" w:hRule="atLeast"/>
          <w:jc w:val="center"/>
        </w:trPr>
        <w:tc>
          <w:tcPr>
            <w:tcW w:w="4110" w:type="dxa"/>
            <w:tcBorders>
              <w:top w:val="single" w:color="auto" w:sz="4" w:space="0"/>
              <w:left w:val="single" w:color="auto" w:sz="4" w:space="0"/>
              <w:bottom w:val="single" w:color="auto" w:sz="4" w:space="0"/>
              <w:right w:val="single" w:color="auto" w:sz="4" w:space="0"/>
            </w:tcBorders>
            <w:vAlign w:val="center"/>
          </w:tcPr>
          <w:p w14:paraId="0EDC491E">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法定代表人身份证复印件（正反面）</w:t>
            </w:r>
          </w:p>
        </w:tc>
        <w:tc>
          <w:tcPr>
            <w:tcW w:w="4111" w:type="dxa"/>
            <w:tcBorders>
              <w:top w:val="single" w:color="auto" w:sz="6" w:space="0"/>
              <w:left w:val="single" w:color="auto" w:sz="4" w:space="0"/>
              <w:bottom w:val="single" w:color="auto" w:sz="6" w:space="0"/>
              <w:right w:val="single" w:color="auto" w:sz="6" w:space="0"/>
            </w:tcBorders>
            <w:vAlign w:val="center"/>
          </w:tcPr>
          <w:p w14:paraId="1D197E4A">
            <w:pPr>
              <w:keepLines w:val="0"/>
              <w:kinsoku/>
              <w:wordWrap/>
              <w:overflowPunct/>
              <w:topLinePunct w:val="0"/>
              <w:autoSpaceDE w:val="0"/>
              <w:autoSpaceDN w:val="0"/>
              <w:bidi w:val="0"/>
              <w:adjustRightInd w:val="0"/>
              <w:spacing w:line="42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被</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zh-CN"/>
              </w:rPr>
              <w:t>身份证复印件（正反面）</w:t>
            </w:r>
          </w:p>
        </w:tc>
      </w:tr>
    </w:tbl>
    <w:p w14:paraId="40B94EE0">
      <w:pPr>
        <w:keepLines w:val="0"/>
        <w:kinsoku/>
        <w:wordWrap/>
        <w:overflowPunct/>
        <w:topLinePunct w:val="0"/>
        <w:autoSpaceDE w:val="0"/>
        <w:autoSpaceDN w:val="0"/>
        <w:bidi w:val="0"/>
        <w:adjustRightInd w:val="0"/>
        <w:spacing w:line="420" w:lineRule="exact"/>
        <w:ind w:firstLine="720" w:firstLineChars="300"/>
        <w:rPr>
          <w:rFonts w:hint="eastAsia" w:ascii="宋体" w:hAnsi="宋体" w:eastAsia="宋体" w:cs="宋体"/>
          <w:color w:val="auto"/>
          <w:sz w:val="24"/>
          <w:szCs w:val="24"/>
          <w:highlight w:val="none"/>
          <w:lang w:val="zh-CN"/>
        </w:rPr>
      </w:pPr>
    </w:p>
    <w:p w14:paraId="5525686F">
      <w:pPr>
        <w:keepLines w:val="0"/>
        <w:kinsoku/>
        <w:wordWrap/>
        <w:overflowPunct/>
        <w:topLinePunct w:val="0"/>
        <w:autoSpaceDE w:val="0"/>
        <w:autoSpaceDN w:val="0"/>
        <w:bidi w:val="0"/>
        <w:adjustRightInd w:val="0"/>
        <w:spacing w:line="42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供应商名称（公章）：           法定代表人（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 xml:space="preserve"> </w:t>
      </w:r>
    </w:p>
    <w:p w14:paraId="5954003B">
      <w:pPr>
        <w:keepLines w:val="0"/>
        <w:kinsoku/>
        <w:wordWrap/>
        <w:overflowPunct/>
        <w:topLinePunct w:val="0"/>
        <w:autoSpaceDE w:val="0"/>
        <w:autoSpaceDN w:val="0"/>
        <w:bidi w:val="0"/>
        <w:adjustRightInd w:val="0"/>
        <w:spacing w:line="42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被授权人（签字）：             授权日期： </w:t>
      </w:r>
      <w:r>
        <w:rPr>
          <w:rFonts w:hint="eastAsia" w:ascii="宋体" w:hAnsi="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年   月    日</w:t>
      </w:r>
    </w:p>
    <w:p w14:paraId="7340DAFF">
      <w:pPr>
        <w:keepLines w:val="0"/>
        <w:kinsoku/>
        <w:wordWrap/>
        <w:overflowPunct/>
        <w:topLinePunct w:val="0"/>
        <w:autoSpaceDE w:val="0"/>
        <w:autoSpaceDN w:val="0"/>
        <w:bidi w:val="0"/>
        <w:adjustRightInd w:val="0"/>
        <w:spacing w:line="420" w:lineRule="exact"/>
        <w:ind w:firstLine="720" w:firstLineChars="300"/>
        <w:rPr>
          <w:rFonts w:hint="eastAsia" w:ascii="宋体" w:hAnsi="宋体" w:eastAsia="宋体" w:cs="宋体"/>
          <w:b/>
          <w:bCs/>
          <w:color w:val="auto"/>
          <w:sz w:val="22"/>
          <w:szCs w:val="18"/>
          <w:highlight w:val="none"/>
          <w:lang w:val="zh-CN"/>
        </w:rPr>
      </w:pPr>
      <w:r>
        <w:rPr>
          <w:rFonts w:hint="eastAsia" w:ascii="宋体" w:hAnsi="宋体" w:eastAsia="宋体" w:cs="宋体"/>
          <w:color w:val="auto"/>
          <w:sz w:val="24"/>
          <w:szCs w:val="24"/>
          <w:highlight w:val="none"/>
          <w:lang w:val="zh-CN"/>
        </w:rPr>
        <w:t>本授权有效期：</w:t>
      </w:r>
      <w:r>
        <w:rPr>
          <w:rFonts w:hint="eastAsia" w:ascii="宋体" w:hAnsi="宋体" w:eastAsia="宋体" w:cs="宋体"/>
          <w:color w:val="auto"/>
          <w:sz w:val="24"/>
          <w:szCs w:val="24"/>
          <w:highlight w:val="none"/>
        </w:rPr>
        <w:t>自本委托书签署之日起至</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有效期满。</w:t>
      </w:r>
    </w:p>
    <w:p w14:paraId="70EC9A36">
      <w:pPr>
        <w:keepLines w:val="0"/>
        <w:kinsoku/>
        <w:wordWrap/>
        <w:overflowPunct/>
        <w:topLinePunct w:val="0"/>
        <w:bidi w:val="0"/>
        <w:snapToGrid w:val="0"/>
        <w:spacing w:line="420" w:lineRule="exact"/>
        <w:rPr>
          <w:rFonts w:hint="eastAsia" w:ascii="宋体" w:hAnsi="宋体" w:eastAsia="宋体" w:cs="宋体"/>
          <w:b/>
          <w:bCs/>
          <w:color w:val="auto"/>
          <w:sz w:val="22"/>
          <w:szCs w:val="18"/>
          <w:highlight w:val="none"/>
          <w:lang w:val="zh-CN"/>
        </w:rPr>
      </w:pPr>
    </w:p>
    <w:p w14:paraId="6775E526">
      <w:pPr>
        <w:keepLines w:val="0"/>
        <w:kinsoku/>
        <w:wordWrap/>
        <w:overflowPunct/>
        <w:topLinePunct w:val="0"/>
        <w:bidi w:val="0"/>
        <w:snapToGrid w:val="0"/>
        <w:spacing w:line="420" w:lineRule="exact"/>
        <w:ind w:firstLine="883" w:firstLineChars="400"/>
        <w:rPr>
          <w:rFonts w:hint="eastAsia" w:ascii="宋体" w:hAnsi="宋体" w:eastAsia="宋体" w:cs="宋体"/>
          <w:b/>
          <w:color w:val="auto"/>
          <w:sz w:val="22"/>
          <w:szCs w:val="18"/>
          <w:highlight w:val="none"/>
          <w:lang w:val="zh-CN"/>
        </w:rPr>
      </w:pPr>
      <w:r>
        <w:rPr>
          <w:rFonts w:hint="eastAsia" w:ascii="宋体" w:hAnsi="宋体" w:eastAsia="宋体" w:cs="宋体"/>
          <w:b/>
          <w:bCs/>
          <w:color w:val="auto"/>
          <w:sz w:val="22"/>
          <w:szCs w:val="18"/>
          <w:highlight w:val="none"/>
          <w:lang w:val="zh-CN"/>
        </w:rPr>
        <w:t>注：</w:t>
      </w:r>
      <w:r>
        <w:rPr>
          <w:rFonts w:hint="eastAsia" w:ascii="宋体" w:hAnsi="宋体" w:eastAsia="宋体" w:cs="宋体"/>
          <w:b/>
          <w:color w:val="auto"/>
          <w:sz w:val="22"/>
          <w:szCs w:val="18"/>
          <w:highlight w:val="none"/>
        </w:rPr>
        <w:t>法定代表人直接参与，可不填</w:t>
      </w:r>
      <w:r>
        <w:rPr>
          <w:rFonts w:hint="eastAsia" w:ascii="宋体" w:hAnsi="宋体" w:eastAsia="宋体" w:cs="宋体"/>
          <w:b/>
          <w:color w:val="auto"/>
          <w:sz w:val="22"/>
          <w:szCs w:val="18"/>
          <w:highlight w:val="none"/>
          <w:lang w:val="zh-CN"/>
        </w:rPr>
        <w:t>法定代表人授权委托书。</w:t>
      </w:r>
    </w:p>
    <w:p w14:paraId="19174C5D">
      <w:pPr>
        <w:keepLines w:val="0"/>
        <w:kinsoku/>
        <w:wordWrap/>
        <w:overflowPunct/>
        <w:topLinePunct w:val="0"/>
        <w:bidi w:val="0"/>
        <w:spacing w:line="420" w:lineRule="exact"/>
        <w:ind w:firstLine="5280" w:firstLineChars="2200"/>
        <w:outlineLvl w:val="9"/>
        <w:rPr>
          <w:rFonts w:hint="eastAsia" w:ascii="宋体" w:hAnsi="宋体" w:eastAsia="宋体" w:cs="宋体"/>
          <w:color w:val="auto"/>
          <w:sz w:val="24"/>
          <w:szCs w:val="24"/>
          <w:highlight w:val="none"/>
        </w:rPr>
      </w:pPr>
    </w:p>
    <w:p w14:paraId="6AFC27F6">
      <w:pPr>
        <w:pStyle w:val="16"/>
        <w:rPr>
          <w:rFonts w:hint="eastAsia" w:ascii="宋体" w:hAnsi="宋体" w:eastAsia="宋体" w:cs="宋体"/>
          <w:color w:val="auto"/>
          <w:sz w:val="24"/>
          <w:szCs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781D736">
      <w:pPr>
        <w:keepLines w:val="0"/>
        <w:kinsoku/>
        <w:wordWrap/>
        <w:overflowPunct/>
        <w:topLinePunct w:val="0"/>
        <w:bidi w:val="0"/>
        <w:spacing w:line="420" w:lineRule="exact"/>
        <w:jc w:val="both"/>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附件3：</w:t>
      </w:r>
    </w:p>
    <w:p w14:paraId="2B66B016">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color w:val="auto"/>
          <w:sz w:val="24"/>
          <w:szCs w:val="24"/>
          <w:highlight w:val="none"/>
          <w:lang w:val="zh-CN" w:eastAsia="zh-CN"/>
        </w:rPr>
      </w:pPr>
      <w:r>
        <w:rPr>
          <w:rFonts w:hint="eastAsia" w:ascii="宋体" w:hAnsi="宋体" w:cs="宋体"/>
          <w:b/>
          <w:bCs/>
          <w:color w:val="auto"/>
          <w:sz w:val="24"/>
          <w:szCs w:val="24"/>
          <w:highlight w:val="none"/>
          <w:lang w:val="zh-CN" w:eastAsia="zh-CN"/>
        </w:rPr>
        <w:t>供应商企业关系关联承诺书</w:t>
      </w:r>
    </w:p>
    <w:p w14:paraId="2FD87D5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供应商在本项目投标中，不存在与其它供应商负责人为同一人，有控股、管理等关联关系承诺：</w:t>
      </w:r>
    </w:p>
    <w:p w14:paraId="44BCA1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.1管理关系说明：</w:t>
      </w:r>
    </w:p>
    <w:p w14:paraId="2FA7FCF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我单位管理的具有独立法人的下属单位有</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6D0F05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我单位的上级管理单位有</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53F5B64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.2股权关系说明：</w:t>
      </w:r>
    </w:p>
    <w:p w14:paraId="327DB5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我单位控股的单位有</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75EED6E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我单位被</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单位控股。</w:t>
      </w:r>
    </w:p>
    <w:p w14:paraId="47916B0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u w:val="singl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.3单位负责人：</w:t>
      </w:r>
      <w:r>
        <w:rPr>
          <w:rFonts w:hint="eastAsia" w:ascii="宋体" w:hAnsi="宋体" w:eastAsia="宋体" w:cs="宋体"/>
          <w:b w:val="0"/>
          <w:bCs w:val="0"/>
          <w:color w:val="auto"/>
          <w:sz w:val="24"/>
          <w:szCs w:val="24"/>
          <w:highlight w:val="none"/>
          <w:u w:val="single"/>
          <w:lang w:val="en-US" w:eastAsia="zh-CN"/>
        </w:rPr>
        <w:t xml:space="preserve">                </w:t>
      </w:r>
    </w:p>
    <w:p w14:paraId="7DE110B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（是或否，没有填否） 为采购项目提供整体设计、规范编制或者项目管理、监理、检测等服务的供应商。</w:t>
      </w:r>
    </w:p>
    <w:p w14:paraId="10D7A7A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u w:val="singl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、其他与本项目有关的利害关系说明：</w:t>
      </w:r>
      <w:r>
        <w:rPr>
          <w:rFonts w:hint="eastAsia" w:ascii="宋体" w:hAnsi="宋体" w:eastAsia="宋体" w:cs="宋体"/>
          <w:b w:val="0"/>
          <w:bCs w:val="0"/>
          <w:color w:val="auto"/>
          <w:sz w:val="24"/>
          <w:szCs w:val="24"/>
          <w:highlight w:val="none"/>
          <w:u w:val="single"/>
          <w:lang w:val="en-US" w:eastAsia="zh-CN"/>
        </w:rPr>
        <w:t xml:space="preserve">                               </w:t>
      </w:r>
    </w:p>
    <w:p w14:paraId="7CA8FA12">
      <w:pPr>
        <w:pStyle w:val="1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p>
    <w:p w14:paraId="4C54154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我单位承诺以上说明真实有效，无虚假内容或隐瞒。</w:t>
      </w:r>
    </w:p>
    <w:p w14:paraId="28A793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p>
    <w:p w14:paraId="773238B6">
      <w:pPr>
        <w:pStyle w:val="1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p>
    <w:p w14:paraId="5CE0E68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（盖单位公章）</w:t>
      </w:r>
    </w:p>
    <w:p w14:paraId="675BAD3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zh-CN"/>
        </w:rPr>
        <w:t>法定代表人或被授权人</w:t>
      </w:r>
      <w:r>
        <w:rPr>
          <w:rFonts w:hint="eastAsia" w:ascii="宋体" w:hAnsi="宋体" w:cs="宋体"/>
          <w:color w:val="auto"/>
          <w:sz w:val="24"/>
          <w:szCs w:val="24"/>
          <w:lang w:val="zh-CN"/>
        </w:rPr>
        <w:t>（签</w:t>
      </w:r>
      <w:r>
        <w:rPr>
          <w:rFonts w:hint="eastAsia" w:ascii="宋体" w:hAnsi="宋体" w:cs="宋体"/>
          <w:color w:val="auto"/>
          <w:sz w:val="24"/>
          <w:szCs w:val="24"/>
          <w:lang w:val="en-US" w:eastAsia="zh-CN"/>
        </w:rPr>
        <w:t>字</w:t>
      </w:r>
      <w:r>
        <w:rPr>
          <w:rFonts w:hint="eastAsia" w:ascii="宋体" w:hAnsi="宋体" w:cs="宋体"/>
          <w:color w:val="auto"/>
          <w:sz w:val="24"/>
          <w:szCs w:val="24"/>
          <w:lang w:val="zh-CN"/>
        </w:rPr>
        <w:t>或盖章）</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（签字或盖章）</w:t>
      </w:r>
    </w:p>
    <w:p w14:paraId="32A5ECA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日      期：      年   月    日</w:t>
      </w:r>
    </w:p>
    <w:p w14:paraId="67764063">
      <w:pPr>
        <w:keepLines w:val="0"/>
        <w:kinsoku/>
        <w:wordWrap/>
        <w:overflowPunct/>
        <w:topLinePunct w:val="0"/>
        <w:bidi w:val="0"/>
        <w:spacing w:line="420" w:lineRule="exact"/>
        <w:jc w:val="center"/>
        <w:outlineLvl w:val="1"/>
        <w:rPr>
          <w:rFonts w:hint="eastAsia" w:ascii="宋体" w:hAnsi="宋体" w:cs="宋体"/>
          <w:b/>
          <w:bCs/>
          <w:color w:val="auto"/>
          <w:sz w:val="30"/>
          <w:szCs w:val="30"/>
          <w:highlight w:val="none"/>
          <w:lang w:val="en-US" w:eastAsia="zh-CN"/>
        </w:rPr>
      </w:pPr>
    </w:p>
    <w:p w14:paraId="36A6BBBE">
      <w:pPr>
        <w:pStyle w:val="36"/>
        <w:keepLines w:val="0"/>
        <w:kinsoku/>
        <w:wordWrap/>
        <w:overflowPunct/>
        <w:topLinePunct w:val="0"/>
        <w:bidi w:val="0"/>
        <w:spacing w:line="420" w:lineRule="exact"/>
        <w:rPr>
          <w:rFonts w:hint="eastAsia" w:ascii="宋体" w:hAnsi="宋体" w:cs="宋体"/>
          <w:b/>
          <w:bCs/>
          <w:color w:val="auto"/>
          <w:sz w:val="30"/>
          <w:szCs w:val="30"/>
          <w:highlight w:val="none"/>
          <w:lang w:val="en-US" w:eastAsia="zh-CN"/>
        </w:rPr>
      </w:pPr>
    </w:p>
    <w:p w14:paraId="7F97D2F1">
      <w:pPr>
        <w:pStyle w:val="36"/>
        <w:keepLines w:val="0"/>
        <w:kinsoku/>
        <w:wordWrap/>
        <w:overflowPunct/>
        <w:topLinePunct w:val="0"/>
        <w:bidi w:val="0"/>
        <w:spacing w:line="420" w:lineRule="exact"/>
        <w:rPr>
          <w:rFonts w:hint="eastAsia" w:ascii="宋体" w:hAnsi="宋体" w:cs="宋体"/>
          <w:b/>
          <w:bCs/>
          <w:color w:val="auto"/>
          <w:sz w:val="30"/>
          <w:szCs w:val="30"/>
          <w:highlight w:val="none"/>
          <w:lang w:val="en-US" w:eastAsia="zh-CN"/>
        </w:rPr>
      </w:pPr>
    </w:p>
    <w:p w14:paraId="7468E489">
      <w:pPr>
        <w:pStyle w:val="36"/>
        <w:keepLines w:val="0"/>
        <w:kinsoku/>
        <w:wordWrap/>
        <w:overflowPunct/>
        <w:topLinePunct w:val="0"/>
        <w:bidi w:val="0"/>
        <w:spacing w:line="420" w:lineRule="exact"/>
        <w:rPr>
          <w:rFonts w:hint="eastAsia" w:ascii="宋体" w:hAnsi="宋体" w:cs="宋体"/>
          <w:b/>
          <w:bCs/>
          <w:color w:val="auto"/>
          <w:sz w:val="30"/>
          <w:szCs w:val="30"/>
          <w:highlight w:val="none"/>
          <w:lang w:val="en-US" w:eastAsia="zh-CN"/>
        </w:rPr>
      </w:pPr>
    </w:p>
    <w:p w14:paraId="35A0A540">
      <w:pPr>
        <w:pStyle w:val="36"/>
        <w:keepLines w:val="0"/>
        <w:kinsoku/>
        <w:wordWrap/>
        <w:overflowPunct/>
        <w:topLinePunct w:val="0"/>
        <w:bidi w:val="0"/>
        <w:spacing w:line="420" w:lineRule="exact"/>
        <w:rPr>
          <w:rFonts w:hint="eastAsia" w:ascii="宋体" w:hAnsi="宋体" w:cs="宋体"/>
          <w:b/>
          <w:bCs/>
          <w:color w:val="auto"/>
          <w:sz w:val="30"/>
          <w:szCs w:val="30"/>
          <w:highlight w:val="none"/>
          <w:lang w:val="en-US" w:eastAsia="zh-CN"/>
        </w:rPr>
      </w:pPr>
    </w:p>
    <w:p w14:paraId="0A80D581">
      <w:pPr>
        <w:pStyle w:val="36"/>
        <w:keepLines w:val="0"/>
        <w:kinsoku/>
        <w:wordWrap/>
        <w:overflowPunct/>
        <w:topLinePunct w:val="0"/>
        <w:bidi w:val="0"/>
        <w:spacing w:line="420" w:lineRule="exact"/>
        <w:rPr>
          <w:rFonts w:hint="eastAsia" w:ascii="宋体" w:hAnsi="宋体" w:cs="宋体"/>
          <w:b/>
          <w:bCs/>
          <w:color w:val="auto"/>
          <w:sz w:val="30"/>
          <w:szCs w:val="30"/>
          <w:highlight w:val="none"/>
          <w:lang w:val="en-US" w:eastAsia="zh-CN"/>
        </w:rPr>
      </w:pPr>
    </w:p>
    <w:p w14:paraId="6392578A">
      <w:pPr>
        <w:pStyle w:val="36"/>
        <w:keepLines w:val="0"/>
        <w:kinsoku/>
        <w:wordWrap/>
        <w:overflowPunct/>
        <w:topLinePunct w:val="0"/>
        <w:bidi w:val="0"/>
        <w:spacing w:line="420" w:lineRule="exact"/>
        <w:rPr>
          <w:rFonts w:hint="eastAsia" w:ascii="宋体" w:hAnsi="宋体" w:cs="宋体"/>
          <w:b/>
          <w:bCs/>
          <w:color w:val="auto"/>
          <w:sz w:val="30"/>
          <w:szCs w:val="30"/>
          <w:highlight w:val="none"/>
          <w:lang w:val="en-US" w:eastAsia="zh-CN"/>
        </w:rPr>
      </w:pPr>
    </w:p>
    <w:p w14:paraId="755D826E">
      <w:pPr>
        <w:pStyle w:val="36"/>
        <w:keepLines w:val="0"/>
        <w:kinsoku/>
        <w:wordWrap/>
        <w:overflowPunct/>
        <w:topLinePunct w:val="0"/>
        <w:bidi w:val="0"/>
        <w:spacing w:line="420" w:lineRule="exact"/>
        <w:rPr>
          <w:rFonts w:hint="eastAsia" w:ascii="宋体" w:hAnsi="宋体" w:cs="宋体"/>
          <w:b/>
          <w:bCs/>
          <w:color w:val="auto"/>
          <w:sz w:val="30"/>
          <w:szCs w:val="30"/>
          <w:highlight w:val="none"/>
          <w:lang w:val="en-US" w:eastAsia="zh-CN"/>
        </w:rPr>
      </w:pPr>
    </w:p>
    <w:p w14:paraId="1222D2F8">
      <w:pPr>
        <w:pStyle w:val="16"/>
        <w:rPr>
          <w:rFonts w:hint="eastAsia"/>
          <w:color w:val="auto"/>
          <w:highlight w:val="none"/>
          <w:lang w:val="en-US" w:eastAsia="zh-CN"/>
        </w:rPr>
      </w:pPr>
    </w:p>
    <w:p w14:paraId="20692758">
      <w:pPr>
        <w:pStyle w:val="16"/>
        <w:rPr>
          <w:rFonts w:hint="default"/>
          <w:color w:val="auto"/>
          <w:highlight w:val="none"/>
          <w:lang w:val="en-US" w:eastAsia="zh-CN"/>
        </w:rPr>
      </w:pPr>
    </w:p>
    <w:p w14:paraId="640851DD">
      <w:pPr>
        <w:rPr>
          <w:rFonts w:hint="default"/>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9D35801">
      <w:pPr>
        <w:keepLines w:val="0"/>
        <w:kinsoku/>
        <w:wordWrap/>
        <w:overflowPunct/>
        <w:topLinePunct w:val="0"/>
        <w:bidi w:val="0"/>
        <w:spacing w:line="420" w:lineRule="exact"/>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4"/>
          <w:szCs w:val="24"/>
          <w:highlight w:val="none"/>
          <w:lang w:val="en-US" w:eastAsia="zh-CN"/>
        </w:rPr>
        <w:t>附件4：</w:t>
      </w:r>
    </w:p>
    <w:p w14:paraId="6D7C45CD">
      <w:pPr>
        <w:pStyle w:val="11"/>
        <w:keepNext w:val="0"/>
        <w:keepLines w:val="0"/>
        <w:pageBreakBefore w:val="0"/>
        <w:kinsoku/>
        <w:wordWrap/>
        <w:overflowPunct/>
        <w:topLinePunct w:val="0"/>
        <w:autoSpaceDE/>
        <w:autoSpaceDN/>
        <w:bidi w:val="0"/>
        <w:adjustRightInd/>
        <w:snapToGrid/>
        <w:spacing w:line="420" w:lineRule="exact"/>
        <w:ind w:firstLine="0"/>
        <w:jc w:val="center"/>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非联合体</w:t>
      </w:r>
      <w:r>
        <w:rPr>
          <w:rFonts w:hint="eastAsia" w:ascii="宋体" w:hAnsi="宋体" w:cs="宋体"/>
          <w:b/>
          <w:color w:val="auto"/>
          <w:sz w:val="24"/>
          <w:szCs w:val="24"/>
          <w:highlight w:val="none"/>
          <w:lang w:val="en-US" w:eastAsia="zh-CN"/>
        </w:rPr>
        <w:t>磋商</w:t>
      </w:r>
      <w:r>
        <w:rPr>
          <w:rFonts w:hint="eastAsia" w:ascii="宋体" w:hAnsi="宋体" w:cs="宋体"/>
          <w:b/>
          <w:color w:val="auto"/>
          <w:sz w:val="24"/>
          <w:szCs w:val="24"/>
          <w:highlight w:val="none"/>
        </w:rPr>
        <w:t>声明</w:t>
      </w:r>
    </w:p>
    <w:p w14:paraId="0D169EDD">
      <w:pPr>
        <w:pStyle w:val="142"/>
        <w:keepNext w:val="0"/>
        <w:keepLines w:val="0"/>
        <w:pageBreakBefore w:val="0"/>
        <w:kinsoku/>
        <w:wordWrap/>
        <w:overflowPunct/>
        <w:topLinePunct w:val="0"/>
        <w:autoSpaceDE/>
        <w:autoSpaceDN/>
        <w:bidi w:val="0"/>
        <w:adjustRightInd/>
        <w:snapToGrid/>
        <w:spacing w:before="0" w:beforeAutospacing="0" w:after="0" w:afterAutospacing="0" w:line="420" w:lineRule="exact"/>
        <w:textAlignment w:val="auto"/>
        <w:rPr>
          <w:rFonts w:hAnsi="宋体"/>
          <w:color w:val="auto"/>
          <w:sz w:val="24"/>
          <w:szCs w:val="24"/>
          <w:highlight w:val="none"/>
        </w:rPr>
      </w:pPr>
      <w:r>
        <w:rPr>
          <w:rFonts w:hint="eastAsia" w:hAnsi="宋体"/>
          <w:color w:val="auto"/>
          <w:sz w:val="24"/>
          <w:szCs w:val="24"/>
          <w:highlight w:val="none"/>
          <w:u w:val="single"/>
        </w:rPr>
        <w:t xml:space="preserve">           (采购人)</w:t>
      </w:r>
      <w:r>
        <w:rPr>
          <w:rFonts w:hint="eastAsia" w:hAnsi="宋体"/>
          <w:b/>
          <w:color w:val="auto"/>
          <w:sz w:val="24"/>
          <w:szCs w:val="24"/>
          <w:highlight w:val="none"/>
        </w:rPr>
        <w:t>：</w:t>
      </w:r>
    </w:p>
    <w:p w14:paraId="57DA8C09">
      <w:pPr>
        <w:pStyle w:val="1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本公司就参加</w:t>
      </w:r>
      <w:r>
        <w:rPr>
          <w:rFonts w:hint="eastAsia" w:hAnsi="宋体"/>
          <w:color w:val="auto"/>
          <w:sz w:val="24"/>
          <w:szCs w:val="24"/>
          <w:highlight w:val="none"/>
          <w:u w:val="single"/>
        </w:rPr>
        <w:t xml:space="preserve">             </w:t>
      </w:r>
      <w:r>
        <w:rPr>
          <w:rFonts w:hint="eastAsia" w:hAnsi="宋体"/>
          <w:color w:val="auto"/>
          <w:sz w:val="24"/>
          <w:szCs w:val="24"/>
          <w:highlight w:val="none"/>
          <w:u w:val="none"/>
          <w:lang w:val="en-US" w:eastAsia="zh-CN"/>
        </w:rPr>
        <w:t>磋商</w:t>
      </w:r>
      <w:r>
        <w:rPr>
          <w:rFonts w:hint="eastAsia" w:hAnsi="宋体"/>
          <w:color w:val="auto"/>
          <w:sz w:val="24"/>
          <w:szCs w:val="24"/>
          <w:highlight w:val="none"/>
        </w:rPr>
        <w:t>工作，作出郑重声明：</w:t>
      </w:r>
    </w:p>
    <w:p w14:paraId="15D55D00">
      <w:pPr>
        <w:pStyle w:val="1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1</w:t>
      </w:r>
      <w:r>
        <w:rPr>
          <w:rFonts w:hint="eastAsia" w:hAnsi="宋体"/>
          <w:color w:val="auto"/>
          <w:sz w:val="24"/>
          <w:szCs w:val="24"/>
          <w:highlight w:val="none"/>
        </w:rPr>
        <w:t>、本公司保证</w:t>
      </w:r>
      <w:r>
        <w:rPr>
          <w:rFonts w:hint="eastAsia" w:hAnsi="宋体"/>
          <w:color w:val="auto"/>
          <w:sz w:val="24"/>
          <w:szCs w:val="24"/>
          <w:highlight w:val="none"/>
          <w:lang w:val="en-US" w:eastAsia="zh-CN"/>
        </w:rPr>
        <w:t>投标</w:t>
      </w:r>
      <w:r>
        <w:rPr>
          <w:rFonts w:hint="eastAsia" w:hAnsi="宋体"/>
          <w:color w:val="auto"/>
          <w:sz w:val="24"/>
          <w:szCs w:val="24"/>
          <w:highlight w:val="none"/>
        </w:rPr>
        <w:t>报名材料及其后提供的一切材料都是真实的。</w:t>
      </w:r>
    </w:p>
    <w:p w14:paraId="49193AD9">
      <w:pPr>
        <w:pStyle w:val="1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、本公司保证在本项目</w:t>
      </w:r>
      <w:r>
        <w:rPr>
          <w:rFonts w:hint="eastAsia" w:hAnsi="宋体"/>
          <w:color w:val="auto"/>
          <w:sz w:val="24"/>
          <w:szCs w:val="24"/>
          <w:highlight w:val="none"/>
          <w:lang w:val="en-US" w:eastAsia="zh-CN"/>
        </w:rPr>
        <w:t>投标</w:t>
      </w:r>
      <w:r>
        <w:rPr>
          <w:rFonts w:hint="eastAsia" w:hAnsi="宋体"/>
          <w:color w:val="auto"/>
          <w:sz w:val="24"/>
          <w:szCs w:val="24"/>
          <w:highlight w:val="none"/>
        </w:rPr>
        <w:t>中不与其他单位围标、串标，不出让</w:t>
      </w:r>
      <w:r>
        <w:rPr>
          <w:rFonts w:hint="eastAsia" w:hAnsi="宋体"/>
          <w:color w:val="auto"/>
          <w:sz w:val="24"/>
          <w:szCs w:val="24"/>
          <w:highlight w:val="none"/>
          <w:lang w:val="en-US" w:eastAsia="zh-CN"/>
        </w:rPr>
        <w:t>投标</w:t>
      </w:r>
      <w:r>
        <w:rPr>
          <w:rFonts w:hint="eastAsia" w:hAnsi="宋体"/>
          <w:color w:val="auto"/>
          <w:sz w:val="24"/>
          <w:szCs w:val="24"/>
          <w:highlight w:val="none"/>
        </w:rPr>
        <w:t>资格，不向</w:t>
      </w:r>
      <w:r>
        <w:rPr>
          <w:rFonts w:hint="eastAsia"/>
          <w:color w:val="auto"/>
          <w:sz w:val="24"/>
          <w:szCs w:val="24"/>
          <w:highlight w:val="none"/>
        </w:rPr>
        <w:t>采购人</w:t>
      </w:r>
      <w:r>
        <w:rPr>
          <w:rFonts w:hint="eastAsia" w:hAnsi="宋体"/>
          <w:color w:val="auto"/>
          <w:sz w:val="24"/>
          <w:szCs w:val="24"/>
          <w:highlight w:val="none"/>
        </w:rPr>
        <w:t>或</w:t>
      </w:r>
      <w:r>
        <w:rPr>
          <w:rFonts w:hint="eastAsia" w:hAnsi="宋体"/>
          <w:color w:val="auto"/>
          <w:sz w:val="24"/>
          <w:szCs w:val="24"/>
          <w:highlight w:val="none"/>
          <w:lang w:val="en-US" w:eastAsia="zh-CN"/>
        </w:rPr>
        <w:t>评标委员会</w:t>
      </w:r>
      <w:r>
        <w:rPr>
          <w:rFonts w:hint="eastAsia" w:hAnsi="宋体"/>
          <w:color w:val="auto"/>
          <w:sz w:val="24"/>
          <w:szCs w:val="24"/>
          <w:highlight w:val="none"/>
        </w:rPr>
        <w:t>成员行贿。</w:t>
      </w:r>
    </w:p>
    <w:p w14:paraId="7D869755">
      <w:pPr>
        <w:pStyle w:val="1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、本公司没有处于被责令停业的状态；没有处于被建设行政主管部门取消投标资格的处罚期内；没有处于财产被接管、冻结、破产的状态；本公司没有在</w:t>
      </w:r>
      <w:r>
        <w:rPr>
          <w:rFonts w:hint="eastAsia" w:hAnsi="宋体"/>
          <w:color w:val="auto"/>
          <w:sz w:val="24"/>
          <w:szCs w:val="24"/>
          <w:highlight w:val="none"/>
          <w:lang w:val="en-US" w:eastAsia="zh-CN"/>
        </w:rPr>
        <w:t>投标</w:t>
      </w:r>
      <w:r>
        <w:rPr>
          <w:rFonts w:hint="eastAsia" w:hAnsi="宋体"/>
          <w:color w:val="auto"/>
          <w:sz w:val="24"/>
          <w:szCs w:val="24"/>
          <w:highlight w:val="none"/>
        </w:rPr>
        <w:t>报名截止时间前三年内被人民法院判决犯有行贿罪的记录。</w:t>
      </w:r>
    </w:p>
    <w:p w14:paraId="483A3A42">
      <w:pPr>
        <w:pStyle w:val="1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4</w:t>
      </w:r>
      <w:r>
        <w:rPr>
          <w:rFonts w:hint="eastAsia" w:hAnsi="宋体"/>
          <w:color w:val="auto"/>
          <w:sz w:val="24"/>
          <w:szCs w:val="24"/>
          <w:highlight w:val="none"/>
        </w:rPr>
        <w:t>、本公司保证本项目并非联合体</w:t>
      </w:r>
      <w:r>
        <w:rPr>
          <w:rFonts w:hint="eastAsia" w:hAnsi="宋体"/>
          <w:color w:val="auto"/>
          <w:sz w:val="24"/>
          <w:szCs w:val="24"/>
          <w:highlight w:val="none"/>
          <w:lang w:val="en-US" w:eastAsia="zh-CN"/>
        </w:rPr>
        <w:t>投标</w:t>
      </w:r>
      <w:r>
        <w:rPr>
          <w:rFonts w:hint="eastAsia" w:hAnsi="宋体"/>
          <w:color w:val="auto"/>
          <w:sz w:val="24"/>
          <w:szCs w:val="24"/>
          <w:highlight w:val="none"/>
        </w:rPr>
        <w:t>，本项目由本公司独立承担。本公司违反上述保证，或本声明陈述与事实不符，经查实，本公司愿意接受公开通报，承担由此带来的法律后果。</w:t>
      </w:r>
    </w:p>
    <w:p w14:paraId="6D665093">
      <w:pPr>
        <w:pStyle w:val="1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特此声明！</w:t>
      </w:r>
    </w:p>
    <w:p w14:paraId="42BEC83D">
      <w:pPr>
        <w:pStyle w:val="143"/>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2160" w:firstLineChars="900"/>
        <w:textAlignment w:val="auto"/>
        <w:rPr>
          <w:rFonts w:hAnsi="宋体"/>
          <w:color w:val="auto"/>
          <w:sz w:val="24"/>
          <w:szCs w:val="24"/>
          <w:highlight w:val="none"/>
        </w:rPr>
      </w:pPr>
    </w:p>
    <w:p w14:paraId="3C9183C9">
      <w:pPr>
        <w:pStyle w:val="143"/>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2160" w:firstLineChars="900"/>
        <w:textAlignment w:val="auto"/>
        <w:rPr>
          <w:rFonts w:hAnsi="宋体"/>
          <w:color w:val="auto"/>
          <w:sz w:val="24"/>
          <w:szCs w:val="24"/>
          <w:highlight w:val="none"/>
        </w:rPr>
      </w:pPr>
    </w:p>
    <w:p w14:paraId="6D156EFF">
      <w:pPr>
        <w:pStyle w:val="143"/>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textAlignment w:val="auto"/>
        <w:rPr>
          <w:rFonts w:hAnsi="宋体"/>
          <w:b/>
          <w:bCs/>
          <w:color w:val="auto"/>
          <w:sz w:val="24"/>
          <w:szCs w:val="24"/>
          <w:highlight w:val="none"/>
        </w:rPr>
      </w:pPr>
    </w:p>
    <w:p w14:paraId="336E1532">
      <w:pPr>
        <w:pStyle w:val="143"/>
        <w:keepNext w:val="0"/>
        <w:keepLines w:val="0"/>
        <w:pageBreakBefore w:val="0"/>
        <w:kinsoku/>
        <w:wordWrap/>
        <w:overflowPunct/>
        <w:topLinePunct w:val="0"/>
        <w:autoSpaceDE/>
        <w:autoSpaceDN/>
        <w:bidi w:val="0"/>
        <w:adjustRightInd/>
        <w:snapToGrid/>
        <w:spacing w:before="0" w:beforeAutospacing="0" w:after="0" w:afterAutospacing="0" w:line="420" w:lineRule="exact"/>
        <w:ind w:right="87" w:firstLine="3360" w:firstLineChars="1400"/>
        <w:jc w:val="right"/>
        <w:textAlignment w:val="auto"/>
        <w:rPr>
          <w:rFonts w:hAnsi="宋体"/>
          <w:b w:val="0"/>
          <w:bCs w:val="0"/>
          <w:color w:val="auto"/>
          <w:sz w:val="24"/>
          <w:szCs w:val="24"/>
          <w:highlight w:val="none"/>
        </w:rPr>
      </w:pPr>
      <w:r>
        <w:rPr>
          <w:rFonts w:hint="eastAsia" w:hAnsi="宋体"/>
          <w:b w:val="0"/>
          <w:bCs w:val="0"/>
          <w:color w:val="auto"/>
          <w:sz w:val="24"/>
          <w:szCs w:val="24"/>
          <w:highlight w:val="none"/>
        </w:rPr>
        <w:t>声明企业：</w:t>
      </w:r>
      <w:r>
        <w:rPr>
          <w:rFonts w:hint="eastAsia"/>
          <w:b w:val="0"/>
          <w:bCs w:val="0"/>
          <w:color w:val="auto"/>
          <w:sz w:val="24"/>
          <w:szCs w:val="24"/>
          <w:highlight w:val="none"/>
          <w:u w:val="single"/>
        </w:rPr>
        <w:t xml:space="preserve">                   </w:t>
      </w:r>
      <w:r>
        <w:rPr>
          <w:rFonts w:hint="eastAsia" w:hAnsi="宋体"/>
          <w:b w:val="0"/>
          <w:bCs w:val="0"/>
          <w:color w:val="auto"/>
          <w:sz w:val="24"/>
          <w:szCs w:val="24"/>
          <w:highlight w:val="none"/>
        </w:rPr>
        <w:t>(企业公章)</w:t>
      </w:r>
    </w:p>
    <w:p w14:paraId="485F4F57">
      <w:pPr>
        <w:pStyle w:val="143"/>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420" w:lineRule="exact"/>
        <w:ind w:right="-113" w:firstLine="3600" w:firstLineChars="1500"/>
        <w:textAlignment w:val="auto"/>
        <w:rPr>
          <w:rFonts w:hAnsi="宋体"/>
          <w:b w:val="0"/>
          <w:bCs w:val="0"/>
          <w:color w:val="auto"/>
          <w:sz w:val="24"/>
          <w:szCs w:val="24"/>
          <w:highlight w:val="none"/>
        </w:rPr>
      </w:pPr>
      <w:r>
        <w:rPr>
          <w:rFonts w:hint="eastAsia" w:ascii="宋体" w:hAnsi="宋体" w:eastAsia="宋体" w:cs="宋体"/>
          <w:color w:val="auto"/>
          <w:kern w:val="0"/>
          <w:sz w:val="24"/>
          <w:szCs w:val="24"/>
          <w:highlight w:val="none"/>
          <w:lang w:val="zh-CN"/>
        </w:rPr>
        <w:t>法定代表人或被授权人</w:t>
      </w:r>
      <w:r>
        <w:rPr>
          <w:rFonts w:hint="eastAsia" w:ascii="宋体" w:hAnsi="宋体" w:cs="宋体"/>
          <w:color w:val="auto"/>
          <w:sz w:val="24"/>
          <w:szCs w:val="24"/>
          <w:lang w:val="zh-CN"/>
        </w:rPr>
        <w:t>（签</w:t>
      </w:r>
      <w:r>
        <w:rPr>
          <w:rFonts w:hint="eastAsia" w:ascii="宋体" w:hAnsi="宋体" w:cs="宋体"/>
          <w:color w:val="auto"/>
          <w:sz w:val="24"/>
          <w:szCs w:val="24"/>
          <w:lang w:val="en-US" w:eastAsia="zh-CN"/>
        </w:rPr>
        <w:t>字</w:t>
      </w:r>
      <w:r>
        <w:rPr>
          <w:rFonts w:hint="eastAsia" w:ascii="宋体" w:hAnsi="宋体" w:cs="宋体"/>
          <w:color w:val="auto"/>
          <w:sz w:val="24"/>
          <w:szCs w:val="24"/>
          <w:lang w:val="zh-CN"/>
        </w:rPr>
        <w:t>或盖章）</w:t>
      </w:r>
      <w:r>
        <w:rPr>
          <w:rFonts w:hint="eastAsia" w:hAnsi="宋体"/>
          <w:b w:val="0"/>
          <w:bCs w:val="0"/>
          <w:color w:val="auto"/>
          <w:sz w:val="24"/>
          <w:szCs w:val="24"/>
          <w:highlight w:val="none"/>
        </w:rPr>
        <w:t>：</w:t>
      </w:r>
      <w:r>
        <w:rPr>
          <w:rFonts w:hint="eastAsia"/>
          <w:b w:val="0"/>
          <w:bCs w:val="0"/>
          <w:color w:val="auto"/>
          <w:sz w:val="24"/>
          <w:szCs w:val="24"/>
          <w:highlight w:val="none"/>
          <w:u w:val="single"/>
        </w:rPr>
        <w:t xml:space="preserve">           </w:t>
      </w:r>
    </w:p>
    <w:p w14:paraId="089DA100">
      <w:pPr>
        <w:pStyle w:val="16"/>
        <w:keepNext w:val="0"/>
        <w:keepLines w:val="0"/>
        <w:pageBreakBefore w:val="0"/>
        <w:kinsoku/>
        <w:wordWrap/>
        <w:overflowPunct/>
        <w:topLinePunct w:val="0"/>
        <w:autoSpaceDE/>
        <w:autoSpaceDN/>
        <w:bidi w:val="0"/>
        <w:adjustRightInd/>
        <w:snapToGrid/>
        <w:spacing w:line="420" w:lineRule="exact"/>
        <w:ind w:firstLine="5040" w:firstLineChars="2100"/>
        <w:textAlignment w:val="auto"/>
        <w:rPr>
          <w:b w:val="0"/>
          <w:bCs w:val="0"/>
          <w:color w:val="auto"/>
          <w:sz w:val="24"/>
          <w:szCs w:val="24"/>
          <w:highlight w:val="none"/>
          <w:lang w:val="zh-CN"/>
        </w:rPr>
      </w:pPr>
      <w:r>
        <w:rPr>
          <w:rFonts w:hint="eastAsia" w:ascii="宋体" w:hAnsi="宋体" w:cs="宋体"/>
          <w:b w:val="0"/>
          <w:bCs w:val="0"/>
          <w:color w:val="auto"/>
          <w:sz w:val="24"/>
          <w:szCs w:val="24"/>
          <w:highlight w:val="none"/>
        </w:rPr>
        <w:t xml:space="preserve">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期：</w:t>
      </w:r>
      <w:r>
        <w:rPr>
          <w:rFonts w:hint="eastAsia" w:cs="宋体"/>
          <w:b w:val="0"/>
          <w:bCs w:val="0"/>
          <w:color w:val="auto"/>
          <w:sz w:val="24"/>
          <w:szCs w:val="24"/>
          <w:highlight w:val="none"/>
        </w:rPr>
        <w:t xml:space="preserve">   </w:t>
      </w:r>
      <w:r>
        <w:rPr>
          <w:rFonts w:hint="eastAsia" w:ascii="宋体" w:hAnsi="宋体" w:cs="宋体"/>
          <w:b w:val="0"/>
          <w:bCs w:val="0"/>
          <w:color w:val="auto"/>
          <w:sz w:val="24"/>
          <w:szCs w:val="24"/>
          <w:highlight w:val="none"/>
        </w:rPr>
        <w:t xml:space="preserve">  年   月 </w:t>
      </w:r>
      <w:r>
        <w:rPr>
          <w:rFonts w:hint="eastAsia" w:cs="宋体"/>
          <w:b w:val="0"/>
          <w:bCs w:val="0"/>
          <w:color w:val="auto"/>
          <w:sz w:val="24"/>
          <w:szCs w:val="24"/>
          <w:highlight w:val="none"/>
        </w:rPr>
        <w:t xml:space="preserve">   </w:t>
      </w:r>
      <w:r>
        <w:rPr>
          <w:rFonts w:hint="eastAsia" w:ascii="宋体" w:hAnsi="宋体" w:cs="宋体"/>
          <w:b w:val="0"/>
          <w:bCs w:val="0"/>
          <w:color w:val="auto"/>
          <w:sz w:val="24"/>
          <w:szCs w:val="24"/>
          <w:highlight w:val="none"/>
        </w:rPr>
        <w:t>日</w:t>
      </w:r>
    </w:p>
    <w:p w14:paraId="2738E481">
      <w:pPr>
        <w:pStyle w:val="34"/>
        <w:rPr>
          <w:rFonts w:hint="eastAsia" w:ascii="宋体" w:hAnsi="宋体" w:eastAsia="宋体" w:cs="宋体"/>
          <w:b/>
          <w:bCs/>
          <w:color w:val="auto"/>
          <w:sz w:val="28"/>
          <w:szCs w:val="28"/>
          <w:highlight w:val="none"/>
          <w:lang w:val="en-US" w:eastAsia="zh-CN"/>
        </w:rPr>
      </w:pPr>
    </w:p>
    <w:p w14:paraId="538BEECB">
      <w:pPr>
        <w:pStyle w:val="34"/>
        <w:rPr>
          <w:rFonts w:hint="eastAsia" w:ascii="宋体" w:hAnsi="宋体" w:eastAsia="宋体" w:cs="宋体"/>
          <w:b/>
          <w:bCs/>
          <w:color w:val="auto"/>
          <w:sz w:val="28"/>
          <w:szCs w:val="28"/>
          <w:highlight w:val="none"/>
          <w:lang w:val="en-US" w:eastAsia="zh-CN"/>
        </w:rPr>
      </w:pPr>
    </w:p>
    <w:p w14:paraId="4E8F4B5C">
      <w:pPr>
        <w:pStyle w:val="34"/>
        <w:rPr>
          <w:rFonts w:hint="eastAsia" w:ascii="宋体" w:hAnsi="宋体" w:eastAsia="宋体" w:cs="宋体"/>
          <w:b/>
          <w:bCs/>
          <w:color w:val="auto"/>
          <w:sz w:val="28"/>
          <w:szCs w:val="28"/>
          <w:highlight w:val="none"/>
          <w:lang w:val="en-US" w:eastAsia="zh-CN"/>
        </w:rPr>
      </w:pPr>
    </w:p>
    <w:p w14:paraId="2D930AEF">
      <w:pPr>
        <w:pStyle w:val="34"/>
        <w:rPr>
          <w:rFonts w:hint="eastAsia" w:ascii="宋体" w:hAnsi="宋体" w:eastAsia="宋体" w:cs="宋体"/>
          <w:b/>
          <w:bCs/>
          <w:color w:val="auto"/>
          <w:sz w:val="28"/>
          <w:szCs w:val="28"/>
          <w:highlight w:val="none"/>
          <w:lang w:val="en-US" w:eastAsia="zh-CN"/>
        </w:rPr>
      </w:pPr>
    </w:p>
    <w:p w14:paraId="7BC46D36">
      <w:pPr>
        <w:pStyle w:val="34"/>
        <w:rPr>
          <w:rFonts w:hint="eastAsia" w:ascii="宋体" w:hAnsi="宋体" w:eastAsia="宋体" w:cs="宋体"/>
          <w:b/>
          <w:bCs/>
          <w:color w:val="auto"/>
          <w:sz w:val="28"/>
          <w:szCs w:val="28"/>
          <w:highlight w:val="none"/>
          <w:lang w:val="en-US" w:eastAsia="zh-CN"/>
        </w:rPr>
      </w:pPr>
    </w:p>
    <w:p w14:paraId="0F46CC0E">
      <w:pPr>
        <w:pStyle w:val="34"/>
        <w:rPr>
          <w:rFonts w:hint="eastAsia" w:ascii="宋体" w:hAnsi="宋体" w:eastAsia="宋体" w:cs="宋体"/>
          <w:b/>
          <w:bCs/>
          <w:color w:val="auto"/>
          <w:sz w:val="28"/>
          <w:szCs w:val="28"/>
          <w:highlight w:val="none"/>
          <w:lang w:val="en-US" w:eastAsia="zh-CN"/>
        </w:rPr>
      </w:pPr>
    </w:p>
    <w:p w14:paraId="3D8171CB">
      <w:pPr>
        <w:pStyle w:val="34"/>
        <w:rPr>
          <w:rFonts w:hint="eastAsia" w:ascii="宋体" w:hAnsi="宋体" w:eastAsia="宋体" w:cs="宋体"/>
          <w:b/>
          <w:bCs/>
          <w:color w:val="auto"/>
          <w:sz w:val="28"/>
          <w:szCs w:val="28"/>
          <w:highlight w:val="none"/>
          <w:lang w:val="en-US" w:eastAsia="zh-CN"/>
        </w:rPr>
      </w:pPr>
    </w:p>
    <w:p w14:paraId="0A2C9890">
      <w:pPr>
        <w:keepLines w:val="0"/>
        <w:kinsoku/>
        <w:wordWrap/>
        <w:overflowPunct/>
        <w:topLinePunct w:val="0"/>
        <w:bidi w:val="0"/>
        <w:spacing w:line="420" w:lineRule="exact"/>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附件5：</w:t>
      </w:r>
    </w:p>
    <w:p w14:paraId="451E874A">
      <w:pPr>
        <w:pStyle w:val="3"/>
        <w:keepNext/>
        <w:keepLines w:val="0"/>
        <w:pageBreakBefore w:val="0"/>
        <w:widowControl w:val="0"/>
        <w:numPr>
          <w:ilvl w:val="0"/>
          <w:numId w:val="14"/>
        </w:numPr>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中小企业声明函（若有）</w:t>
      </w:r>
    </w:p>
    <w:p w14:paraId="55622002">
      <w:pPr>
        <w:numPr>
          <w:ilvl w:val="0"/>
          <w:numId w:val="0"/>
        </w:numPr>
        <w:rPr>
          <w:color w:val="auto"/>
          <w:sz w:val="24"/>
          <w:szCs w:val="24"/>
          <w:highlight w:val="none"/>
        </w:rPr>
      </w:pPr>
    </w:p>
    <w:p w14:paraId="423ABC23">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（项目名称</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w:t>
      </w:r>
      <w:r>
        <w:rPr>
          <w:rFonts w:hint="eastAsia" w:ascii="宋体" w:hAnsi="宋体" w:eastAsia="宋体" w:cs="宋体"/>
          <w:i w:val="0"/>
          <w:iCs w:val="0"/>
          <w:color w:val="auto"/>
          <w:sz w:val="24"/>
          <w:szCs w:val="24"/>
          <w:highlight w:val="none"/>
        </w:rPr>
        <w:t>采购活动，工程的施工单位全部为符合政策要求的中小企业（或者：服务全部由符合政策要求的中小企业承接）。 相关企业（ 含联合体中的中小企业、 签订分包意向协议的中小企业）的具体情况如下：</w:t>
      </w:r>
    </w:p>
    <w:p w14:paraId="3D6ADF3B">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1. </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w:t>
      </w:r>
      <w:r>
        <w:rPr>
          <w:rFonts w:hint="eastAsia" w:ascii="宋体" w:hAnsi="宋体" w:cs="宋体"/>
          <w:i w:val="0"/>
          <w:iCs w:val="0"/>
          <w:color w:val="auto"/>
          <w:sz w:val="24"/>
          <w:szCs w:val="24"/>
          <w:highlight w:val="none"/>
          <w:u w:val="single"/>
          <w:lang w:val="en-US" w:eastAsia="zh-CN"/>
        </w:rPr>
        <w:t>采购文件</w:t>
      </w:r>
      <w:r>
        <w:rPr>
          <w:rFonts w:hint="eastAsia" w:ascii="宋体" w:hAnsi="宋体" w:eastAsia="宋体" w:cs="宋体"/>
          <w:i w:val="0"/>
          <w:iCs w:val="0"/>
          <w:color w:val="auto"/>
          <w:sz w:val="24"/>
          <w:szCs w:val="24"/>
          <w:highlight w:val="none"/>
          <w:u w:val="single"/>
        </w:rPr>
        <w:t>中明确的所属行业）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w:t>
      </w:r>
      <w:r>
        <w:rPr>
          <w:rFonts w:hint="eastAsia" w:ascii="宋体" w:hAnsi="宋体" w:eastAsia="宋体" w:cs="宋体"/>
          <w:i w:val="0"/>
          <w:iCs w:val="0"/>
          <w:color w:val="auto"/>
          <w:sz w:val="24"/>
          <w:szCs w:val="24"/>
          <w:highlight w:val="none"/>
          <w:vertAlign w:val="superscript"/>
        </w:rPr>
        <w:t>1</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14:paraId="7B9065CE">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 </w:t>
      </w:r>
      <w:r>
        <w:rPr>
          <w:rFonts w:hint="eastAsia" w:ascii="宋体" w:hAnsi="宋体" w:eastAsia="宋体" w:cs="宋体"/>
          <w:i w:val="0"/>
          <w:iCs w:val="0"/>
          <w:color w:val="auto"/>
          <w:sz w:val="24"/>
          <w:szCs w:val="24"/>
          <w:highlight w:val="none"/>
          <w:u w:val="single"/>
        </w:rPr>
        <w:t xml:space="preserve">（标的名称） </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w:t>
      </w:r>
      <w:r>
        <w:rPr>
          <w:rFonts w:hint="eastAsia" w:ascii="宋体" w:hAnsi="宋体" w:cs="宋体"/>
          <w:i w:val="0"/>
          <w:iCs w:val="0"/>
          <w:color w:val="auto"/>
          <w:sz w:val="24"/>
          <w:szCs w:val="24"/>
          <w:highlight w:val="none"/>
          <w:u w:val="single"/>
          <w:lang w:val="en-US" w:eastAsia="zh-CN"/>
        </w:rPr>
        <w:t>采购文件</w:t>
      </w:r>
      <w:r>
        <w:rPr>
          <w:rFonts w:hint="eastAsia" w:ascii="宋体" w:hAnsi="宋体" w:eastAsia="宋体" w:cs="宋体"/>
          <w:i w:val="0"/>
          <w:iCs w:val="0"/>
          <w:color w:val="auto"/>
          <w:sz w:val="24"/>
          <w:szCs w:val="24"/>
          <w:highlight w:val="none"/>
          <w:u w:val="single"/>
        </w:rPr>
        <w:t>中明确的所属行业）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14:paraId="4C5591C1">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p>
    <w:p w14:paraId="797363CB">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以上企业，不属于大企业的分支机构，不存在控股股东为大企业的情形，也不存在与大企业的负责人为同一人的情形。</w:t>
      </w:r>
    </w:p>
    <w:p w14:paraId="22B2BB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本企业对上述声明内容的真实性负责。如有虚假，将依法承担相应责任。</w:t>
      </w:r>
    </w:p>
    <w:p w14:paraId="7D0EE0EA">
      <w:pPr>
        <w:pStyle w:val="16"/>
        <w:keepNext w:val="0"/>
        <w:keepLines w:val="0"/>
        <w:pageBreakBefore w:val="0"/>
        <w:widowControl w:val="0"/>
        <w:kinsoku/>
        <w:wordWrap/>
        <w:overflowPunct/>
        <w:topLinePunct w:val="0"/>
        <w:autoSpaceDE/>
        <w:autoSpaceDN/>
        <w:bidi w:val="0"/>
        <w:spacing w:line="420" w:lineRule="exact"/>
        <w:jc w:val="both"/>
        <w:textAlignment w:val="auto"/>
        <w:rPr>
          <w:rFonts w:hint="eastAsia" w:ascii="宋体" w:hAnsi="宋体"/>
          <w:i w:val="0"/>
          <w:iCs w:val="0"/>
          <w:color w:val="auto"/>
          <w:sz w:val="24"/>
          <w:szCs w:val="24"/>
          <w:highlight w:val="none"/>
        </w:rPr>
      </w:pPr>
    </w:p>
    <w:p w14:paraId="1AFE35AC">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企业名称（盖章）：</w:t>
      </w:r>
    </w:p>
    <w:p w14:paraId="02632E2E">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日期：</w:t>
      </w:r>
    </w:p>
    <w:p w14:paraId="3895ED91">
      <w:pPr>
        <w:pStyle w:val="22"/>
        <w:keepLines w:val="0"/>
        <w:kinsoku/>
        <w:wordWrap/>
        <w:overflowPunct/>
        <w:topLinePunct w:val="0"/>
        <w:bidi w:val="0"/>
        <w:spacing w:line="420" w:lineRule="exact"/>
        <w:ind w:firstLine="482" w:firstLineChars="200"/>
        <w:jc w:val="both"/>
        <w:rPr>
          <w:rFonts w:hint="eastAsia" w:ascii="宋体" w:hAnsi="宋体" w:eastAsia="宋体" w:cs="宋体"/>
          <w:b/>
          <w:bCs/>
          <w:color w:val="auto"/>
          <w:sz w:val="24"/>
          <w:szCs w:val="24"/>
          <w:highlight w:val="none"/>
        </w:rPr>
      </w:pPr>
    </w:p>
    <w:p w14:paraId="7244DFC6">
      <w:pPr>
        <w:pStyle w:val="22"/>
        <w:keepLines w:val="0"/>
        <w:kinsoku/>
        <w:wordWrap/>
        <w:overflowPunct/>
        <w:topLinePunct w:val="0"/>
        <w:bidi w:val="0"/>
        <w:spacing w:line="42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2800F233">
      <w:pPr>
        <w:pStyle w:val="22"/>
        <w:keepLines w:val="0"/>
        <w:kinsoku/>
        <w:wordWrap/>
        <w:overflowPunct/>
        <w:topLinePunct w:val="0"/>
        <w:bidi w:val="0"/>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工业和信息化部关于印发〈政府</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办法〉的通知》(财库〔20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号)相关规定。</w:t>
      </w:r>
    </w:p>
    <w:p w14:paraId="4256D7AB">
      <w:pPr>
        <w:pStyle w:val="22"/>
        <w:keepLines w:val="0"/>
        <w:kinsoku/>
        <w:wordWrap/>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22C42478">
      <w:pPr>
        <w:keepLines w:val="0"/>
        <w:kinsoku/>
        <w:wordWrap/>
        <w:overflowPunct/>
        <w:topLinePunct w:val="0"/>
        <w:bidi w:val="0"/>
        <w:spacing w:line="420" w:lineRule="exact"/>
        <w:rPr>
          <w:rFonts w:hint="eastAsia"/>
          <w:color w:val="auto"/>
          <w:sz w:val="24"/>
          <w:szCs w:val="24"/>
          <w:highlight w:val="none"/>
        </w:rPr>
      </w:pPr>
    </w:p>
    <w:p w14:paraId="442FB880">
      <w:pPr>
        <w:pStyle w:val="35"/>
        <w:keepLines w:val="0"/>
        <w:kinsoku/>
        <w:wordWrap/>
        <w:overflowPunct/>
        <w:topLinePunct w:val="0"/>
        <w:bidi w:val="0"/>
        <w:spacing w:after="0" w:line="420" w:lineRule="exact"/>
        <w:rPr>
          <w:rFonts w:hint="eastAsia"/>
          <w:color w:val="auto"/>
          <w:sz w:val="24"/>
          <w:szCs w:val="24"/>
          <w:highlight w:val="none"/>
        </w:rPr>
      </w:pPr>
    </w:p>
    <w:p w14:paraId="264E4986">
      <w:pPr>
        <w:pStyle w:val="36"/>
        <w:rPr>
          <w:rFonts w:hint="eastAsia"/>
          <w:color w:val="auto"/>
        </w:rPr>
      </w:pPr>
    </w:p>
    <w:p w14:paraId="688A2BA3">
      <w:pPr>
        <w:pStyle w:val="3"/>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lang w:val="zh-CN" w:eastAsia="zh-CN"/>
        </w:rPr>
        <w:t>监狱企业证明文件（若有）</w:t>
      </w:r>
    </w:p>
    <w:p w14:paraId="497F9F7B">
      <w:pPr>
        <w:keepLines w:val="0"/>
        <w:kinsoku/>
        <w:wordWrap/>
        <w:overflowPunct/>
        <w:topLinePunct w:val="0"/>
        <w:bidi w:val="0"/>
        <w:spacing w:line="420" w:lineRule="exact"/>
        <w:jc w:val="center"/>
        <w:rPr>
          <w:rFonts w:hint="eastAsia" w:ascii="宋体" w:hAnsi="宋体" w:eastAsia="宋体" w:cs="宋体"/>
          <w:color w:val="auto"/>
          <w:sz w:val="24"/>
          <w:szCs w:val="24"/>
          <w:highlight w:val="none"/>
        </w:rPr>
      </w:pPr>
    </w:p>
    <w:p w14:paraId="64E692AA">
      <w:pPr>
        <w:keepLines w:val="0"/>
        <w:kinsoku/>
        <w:wordWrap/>
        <w:overflowPunct/>
        <w:topLinePunct w:val="0"/>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DFDF32D">
      <w:pPr>
        <w:keepLines w:val="0"/>
        <w:kinsoku/>
        <w:wordWrap/>
        <w:overflowPunct/>
        <w:topLinePunct w:val="0"/>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6152C6B2">
      <w:pPr>
        <w:keepLines w:val="0"/>
        <w:kinsoku/>
        <w:wordWrap/>
        <w:overflowPunct/>
        <w:topLinePunct w:val="0"/>
        <w:bidi w:val="0"/>
        <w:spacing w:line="420" w:lineRule="exact"/>
        <w:jc w:val="center"/>
        <w:outlineLvl w:val="1"/>
        <w:rPr>
          <w:rFonts w:hint="eastAsia" w:ascii="宋体" w:hAnsi="宋体" w:eastAsia="宋体" w:cs="宋体"/>
          <w:b/>
          <w:color w:val="auto"/>
          <w:sz w:val="24"/>
          <w:szCs w:val="24"/>
          <w:highlight w:val="none"/>
        </w:rPr>
      </w:pPr>
    </w:p>
    <w:p w14:paraId="784D74C3">
      <w:pPr>
        <w:pStyle w:val="16"/>
        <w:keepLines w:val="0"/>
        <w:kinsoku/>
        <w:wordWrap/>
        <w:overflowPunct/>
        <w:topLinePunct w:val="0"/>
        <w:bidi w:val="0"/>
        <w:spacing w:line="420" w:lineRule="exact"/>
        <w:rPr>
          <w:rFonts w:hint="eastAsia"/>
          <w:color w:val="auto"/>
          <w:sz w:val="24"/>
          <w:szCs w:val="24"/>
          <w:highlight w:val="none"/>
        </w:rPr>
      </w:pPr>
    </w:p>
    <w:p w14:paraId="74194E56">
      <w:pPr>
        <w:pStyle w:val="3"/>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val="zh-CN" w:eastAsia="zh-CN"/>
        </w:rPr>
        <w:t>残疾人福利性单位证明文件（若有）</w:t>
      </w:r>
    </w:p>
    <w:p w14:paraId="6871EEC6">
      <w:pPr>
        <w:pStyle w:val="16"/>
        <w:keepLines w:val="0"/>
        <w:shd w:val="clear"/>
        <w:kinsoku/>
        <w:wordWrap/>
        <w:overflowPunct/>
        <w:topLinePunct w:val="0"/>
        <w:bidi w:val="0"/>
        <w:spacing w:line="420" w:lineRule="exact"/>
        <w:rPr>
          <w:rFonts w:hint="eastAsia" w:ascii="宋体" w:hAnsi="宋体" w:eastAsia="宋体" w:cs="宋体"/>
          <w:color w:val="auto"/>
          <w:sz w:val="24"/>
          <w:szCs w:val="24"/>
          <w:highlight w:val="none"/>
          <w:lang w:val="zh-CN"/>
        </w:rPr>
      </w:pPr>
    </w:p>
    <w:p w14:paraId="3102A637">
      <w:pPr>
        <w:keepLines w:val="0"/>
        <w:widowControl/>
        <w:shd w:val="clear" w:color="auto"/>
        <w:kinsoku/>
        <w:wordWrap/>
        <w:overflowPunct/>
        <w:topLinePunct w:val="0"/>
        <w:bidi w:val="0"/>
        <w:spacing w:line="420" w:lineRule="exact"/>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cs="宋体"/>
          <w:b/>
          <w:color w:val="auto"/>
          <w:sz w:val="24"/>
          <w:szCs w:val="24"/>
          <w:highlight w:val="none"/>
          <w:lang w:val="en-US" w:eastAsia="zh-CN"/>
        </w:rPr>
        <w:t>陕西盛仕骄阳项目管理有限公司</w:t>
      </w:r>
      <w:r>
        <w:rPr>
          <w:rFonts w:hint="eastAsia" w:ascii="宋体" w:hAnsi="宋体" w:eastAsia="宋体" w:cs="宋体"/>
          <w:b/>
          <w:color w:val="auto"/>
          <w:sz w:val="24"/>
          <w:szCs w:val="24"/>
          <w:highlight w:val="none"/>
        </w:rPr>
        <w:t>：</w:t>
      </w:r>
    </w:p>
    <w:p w14:paraId="27330B4F">
      <w:pPr>
        <w:keepLines w:val="0"/>
        <w:kinsoku/>
        <w:wordWrap/>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D90DCB">
      <w:pPr>
        <w:keepLines w:val="0"/>
        <w:kinsoku/>
        <w:wordWrap/>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E77FDF7">
      <w:pPr>
        <w:keepLines w:val="0"/>
        <w:kinsoku/>
        <w:wordWrap/>
        <w:overflowPunct/>
        <w:topLinePunct w:val="0"/>
        <w:bidi w:val="0"/>
        <w:spacing w:line="420" w:lineRule="exact"/>
        <w:ind w:firstLine="480" w:firstLineChars="200"/>
        <w:rPr>
          <w:rFonts w:hint="eastAsia" w:ascii="宋体" w:hAnsi="宋体" w:eastAsia="宋体" w:cs="宋体"/>
          <w:color w:val="auto"/>
          <w:sz w:val="24"/>
          <w:szCs w:val="24"/>
          <w:highlight w:val="none"/>
        </w:rPr>
      </w:pPr>
    </w:p>
    <w:p w14:paraId="49052FAD">
      <w:pPr>
        <w:keepLines w:val="0"/>
        <w:kinsoku/>
        <w:wordWrap/>
        <w:overflowPunct/>
        <w:topLinePunct w:val="0"/>
        <w:bidi w:val="0"/>
        <w:spacing w:line="420" w:lineRule="exact"/>
        <w:ind w:firstLine="480" w:firstLineChars="200"/>
        <w:rPr>
          <w:rFonts w:hint="eastAsia" w:ascii="宋体" w:hAnsi="宋体" w:eastAsia="宋体" w:cs="宋体"/>
          <w:color w:val="auto"/>
          <w:sz w:val="24"/>
          <w:szCs w:val="24"/>
          <w:highlight w:val="none"/>
        </w:rPr>
      </w:pPr>
    </w:p>
    <w:p w14:paraId="650EF490">
      <w:pPr>
        <w:keepLines w:val="0"/>
        <w:tabs>
          <w:tab w:val="left" w:pos="4860"/>
        </w:tabs>
        <w:kinsoku/>
        <w:wordWrap/>
        <w:overflowPunct/>
        <w:topLinePunct w:val="0"/>
        <w:bidi w:val="0"/>
        <w:spacing w:line="42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4436D4B8">
      <w:pPr>
        <w:keepLines w:val="0"/>
        <w:tabs>
          <w:tab w:val="left" w:pos="4860"/>
        </w:tabs>
        <w:kinsoku/>
        <w:wordWrap/>
        <w:overflowPunct/>
        <w:topLinePunct w:val="0"/>
        <w:bidi w:val="0"/>
        <w:spacing w:line="42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4EF669C5">
      <w:pPr>
        <w:keepLines w:val="0"/>
        <w:tabs>
          <w:tab w:val="left" w:pos="4860"/>
        </w:tabs>
        <w:kinsoku/>
        <w:wordWrap/>
        <w:overflowPunct/>
        <w:topLinePunct w:val="0"/>
        <w:bidi w:val="0"/>
        <w:spacing w:line="420" w:lineRule="exact"/>
        <w:ind w:right="1560" w:firstLine="480" w:firstLineChars="200"/>
        <w:jc w:val="center"/>
        <w:rPr>
          <w:rFonts w:hint="eastAsia" w:ascii="宋体" w:hAnsi="宋体" w:eastAsia="宋体" w:cs="宋体"/>
          <w:color w:val="auto"/>
          <w:sz w:val="24"/>
          <w:szCs w:val="24"/>
          <w:highlight w:val="none"/>
        </w:rPr>
      </w:pPr>
    </w:p>
    <w:p w14:paraId="743A231A">
      <w:pPr>
        <w:keepLines w:val="0"/>
        <w:kinsoku/>
        <w:wordWrap/>
        <w:overflowPunct/>
        <w:topLinePunct w:val="0"/>
        <w:bidi w:val="0"/>
        <w:spacing w:line="420" w:lineRule="exact"/>
        <w:ind w:firstLine="482" w:firstLineChars="200"/>
        <w:rPr>
          <w:rFonts w:hint="eastAsia"/>
          <w:color w:val="auto"/>
          <w:lang w:val="en-US" w:eastAsia="zh-CN"/>
        </w:rPr>
      </w:pPr>
      <w:r>
        <w:rPr>
          <w:rFonts w:hint="eastAsia" w:ascii="宋体" w:hAnsi="宋体" w:eastAsia="宋体" w:cs="宋体"/>
          <w:b/>
          <w:color w:val="auto"/>
          <w:sz w:val="24"/>
          <w:szCs w:val="24"/>
          <w:highlight w:val="none"/>
        </w:rPr>
        <w:t>注：残疾人福利性单位的应填写</w:t>
      </w:r>
      <w:r>
        <w:rPr>
          <w:rFonts w:hint="eastAsia" w:ascii="宋体" w:hAnsi="宋体" w:eastAsia="宋体" w:cs="宋体"/>
          <w:b/>
          <w:color w:val="auto"/>
          <w:sz w:val="24"/>
          <w:szCs w:val="24"/>
          <w:highlight w:val="none"/>
          <w:lang w:eastAsia="zh-CN"/>
        </w:rPr>
        <w:t>。</w:t>
      </w:r>
    </w:p>
    <w:p w14:paraId="5F25160B">
      <w:pPr>
        <w:pStyle w:val="34"/>
        <w:rPr>
          <w:rFonts w:hint="eastAsia" w:ascii="宋体" w:hAnsi="宋体" w:eastAsia="宋体" w:cs="宋体"/>
          <w:b/>
          <w:bCs/>
          <w:color w:val="auto"/>
          <w:sz w:val="28"/>
          <w:szCs w:val="28"/>
          <w:highlight w:val="none"/>
          <w:lang w:val="en-US" w:eastAsia="zh-CN"/>
        </w:rPr>
      </w:pPr>
    </w:p>
    <w:p w14:paraId="408DC534">
      <w:pPr>
        <w:pStyle w:val="34"/>
        <w:rPr>
          <w:rFonts w:hint="eastAsia" w:ascii="宋体" w:hAnsi="宋体" w:eastAsia="宋体" w:cs="宋体"/>
          <w:b/>
          <w:bCs/>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D5843B2">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 xml:space="preserve">第八部分 </w:t>
      </w:r>
      <w:r>
        <w:rPr>
          <w:rFonts w:hint="eastAsia" w:ascii="宋体" w:hAnsi="宋体" w:eastAsia="宋体" w:cs="宋体"/>
          <w:b/>
          <w:bCs/>
          <w:color w:val="auto"/>
          <w:sz w:val="28"/>
          <w:szCs w:val="28"/>
          <w:highlight w:val="none"/>
          <w:lang w:val="en-US" w:eastAsia="zh-CN"/>
        </w:rPr>
        <w:t>其他资料</w:t>
      </w:r>
    </w:p>
    <w:p w14:paraId="4A097345">
      <w:pPr>
        <w:pStyle w:val="16"/>
        <w:keepLines w:val="0"/>
        <w:pageBreakBefore w:val="0"/>
        <w:widowControl w:val="0"/>
        <w:kinsoku/>
        <w:wordWrap/>
        <w:overflowPunct/>
        <w:topLinePunct w:val="0"/>
        <w:bidi w:val="0"/>
        <w:snapToGrid/>
        <w:spacing w:line="420" w:lineRule="exact"/>
        <w:rPr>
          <w:rFonts w:hint="eastAsia"/>
          <w:color w:val="auto"/>
          <w:highlight w:val="none"/>
          <w:lang w:val="en-US" w:eastAsia="zh-CN"/>
        </w:rPr>
      </w:pPr>
    </w:p>
    <w:p w14:paraId="301014EF">
      <w:pPr>
        <w:pStyle w:val="16"/>
        <w:keepLines w:val="0"/>
        <w:pageBreakBefore w:val="0"/>
        <w:widowControl w:val="0"/>
        <w:numPr>
          <w:ilvl w:val="0"/>
          <w:numId w:val="15"/>
        </w:numPr>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eastAsia="zh-CN"/>
        </w:rPr>
        <w:t>开户许可证或基本存款账户信息</w:t>
      </w:r>
      <w:r>
        <w:rPr>
          <w:rFonts w:hint="eastAsia" w:ascii="宋体" w:hAnsi="宋体" w:cs="宋体"/>
          <w:bCs/>
          <w:color w:val="auto"/>
          <w:sz w:val="24"/>
          <w:szCs w:val="24"/>
          <w:highlight w:val="none"/>
        </w:rPr>
        <w:t>。</w:t>
      </w:r>
    </w:p>
    <w:p w14:paraId="10BC0B5D">
      <w:pPr>
        <w:pStyle w:val="16"/>
        <w:keepNext w:val="0"/>
        <w:keepLines w:val="0"/>
        <w:pageBreakBefore w:val="0"/>
        <w:widowControl w:val="0"/>
        <w:numPr>
          <w:ilvl w:val="0"/>
          <w:numId w:val="15"/>
        </w:numPr>
        <w:kinsoku/>
        <w:wordWrap/>
        <w:overflowPunct/>
        <w:topLinePunct w:val="0"/>
        <w:autoSpaceDE/>
        <w:autoSpaceDN/>
        <w:bidi w:val="0"/>
        <w:adjustRightInd/>
        <w:snapToGrid/>
        <w:spacing w:line="42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依据</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要求，供应商认为有必要说明的其他内容。</w:t>
      </w:r>
    </w:p>
    <w:p w14:paraId="0B07D9FE">
      <w:pPr>
        <w:keepNext w:val="0"/>
        <w:keepLines w:val="0"/>
        <w:pageBreakBefore w:val="0"/>
        <w:widowControl w:val="0"/>
        <w:numPr>
          <w:ilvl w:val="0"/>
          <w:numId w:val="15"/>
        </w:numPr>
        <w:kinsoku/>
        <w:wordWrap/>
        <w:overflowPunct/>
        <w:topLinePunct w:val="0"/>
        <w:autoSpaceDE w:val="0"/>
        <w:autoSpaceDN w:val="0"/>
        <w:bidi w:val="0"/>
        <w:adjustRightInd w:val="0"/>
        <w:snapToGrid/>
        <w:spacing w:line="420" w:lineRule="exact"/>
        <w:ind w:left="0" w:leftChars="0" w:firstLine="0" w:firstLineChars="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其他可以证明供应商实力的文件</w:t>
      </w:r>
      <w:r>
        <w:rPr>
          <w:rFonts w:hint="eastAsia" w:ascii="宋体" w:hAnsi="宋体" w:cs="宋体"/>
          <w:color w:val="auto"/>
          <w:sz w:val="24"/>
          <w:szCs w:val="24"/>
          <w:highlight w:val="none"/>
          <w:lang w:eastAsia="zh-CN"/>
        </w:rPr>
        <w:t>。</w:t>
      </w:r>
    </w:p>
    <w:p w14:paraId="6023A4EC">
      <w:pPr>
        <w:pStyle w:val="16"/>
        <w:widowControl w:val="0"/>
        <w:numPr>
          <w:ilvl w:val="0"/>
          <w:numId w:val="0"/>
        </w:numPr>
        <w:jc w:val="left"/>
        <w:rPr>
          <w:rFonts w:hint="eastAsia"/>
          <w:color w:val="auto"/>
          <w:lang w:val="en-US" w:eastAsia="zh-CN"/>
        </w:rPr>
      </w:pPr>
    </w:p>
    <w:p w14:paraId="4C70B032">
      <w:pPr>
        <w:rPr>
          <w:rFonts w:hint="eastAsia"/>
          <w:color w:val="auto"/>
          <w:lang w:val="en-US" w:eastAsia="zh-CN"/>
        </w:rPr>
      </w:pPr>
    </w:p>
    <w:p w14:paraId="53A4F93E">
      <w:pPr>
        <w:pStyle w:val="16"/>
        <w:rPr>
          <w:rFonts w:hint="eastAsia"/>
          <w:color w:val="auto"/>
          <w:lang w:val="en-US" w:eastAsia="zh-CN"/>
        </w:rPr>
      </w:pPr>
    </w:p>
    <w:p w14:paraId="52426912">
      <w:pPr>
        <w:rPr>
          <w:rFonts w:hint="eastAsia"/>
          <w:color w:val="auto"/>
          <w:lang w:val="en-US" w:eastAsia="zh-CN"/>
        </w:rPr>
      </w:pPr>
    </w:p>
    <w:p w14:paraId="50E1A4EA">
      <w:pPr>
        <w:pStyle w:val="16"/>
        <w:rPr>
          <w:rFonts w:hint="eastAsia"/>
          <w:color w:val="auto"/>
          <w:lang w:val="en-US" w:eastAsia="zh-CN"/>
        </w:rPr>
      </w:pPr>
    </w:p>
    <w:p w14:paraId="5B647DC5">
      <w:pPr>
        <w:rPr>
          <w:rFonts w:hint="eastAsia"/>
          <w:color w:val="auto"/>
          <w:lang w:val="en-US" w:eastAsia="zh-CN"/>
        </w:rPr>
      </w:pPr>
    </w:p>
    <w:p w14:paraId="63376C20">
      <w:pPr>
        <w:pStyle w:val="16"/>
        <w:rPr>
          <w:rFonts w:hint="eastAsia"/>
          <w:color w:val="auto"/>
          <w:lang w:val="en-US" w:eastAsia="zh-CN"/>
        </w:rPr>
      </w:pPr>
    </w:p>
    <w:p w14:paraId="12A251AD">
      <w:pPr>
        <w:rPr>
          <w:rFonts w:hint="eastAsia"/>
          <w:color w:val="auto"/>
          <w:lang w:val="en-US" w:eastAsia="zh-CN"/>
        </w:rPr>
      </w:pPr>
    </w:p>
    <w:p w14:paraId="318368C3">
      <w:pPr>
        <w:pStyle w:val="16"/>
        <w:rPr>
          <w:rFonts w:hint="eastAsia"/>
          <w:color w:val="auto"/>
          <w:lang w:val="en-US" w:eastAsia="zh-CN"/>
        </w:rPr>
      </w:pPr>
    </w:p>
    <w:p w14:paraId="5E23F9C4">
      <w:pPr>
        <w:rPr>
          <w:rFonts w:hint="eastAsia"/>
          <w:color w:val="auto"/>
          <w:lang w:val="en-US" w:eastAsia="zh-CN"/>
        </w:rPr>
      </w:pPr>
    </w:p>
    <w:p w14:paraId="00160C97">
      <w:pPr>
        <w:pStyle w:val="16"/>
        <w:rPr>
          <w:rFonts w:hint="eastAsia"/>
          <w:color w:val="auto"/>
          <w:lang w:val="en-US" w:eastAsia="zh-CN"/>
        </w:rPr>
      </w:pPr>
    </w:p>
    <w:p w14:paraId="2D243B05">
      <w:pPr>
        <w:rPr>
          <w:rFonts w:hint="eastAsia"/>
          <w:color w:val="auto"/>
          <w:lang w:val="en-US" w:eastAsia="zh-CN"/>
        </w:rPr>
      </w:pPr>
    </w:p>
    <w:p w14:paraId="67660181">
      <w:pPr>
        <w:pStyle w:val="16"/>
        <w:rPr>
          <w:rFonts w:hint="eastAsia"/>
          <w:color w:val="auto"/>
          <w:lang w:val="en-US" w:eastAsia="zh-CN"/>
        </w:rPr>
      </w:pPr>
    </w:p>
    <w:p w14:paraId="2E6483BE">
      <w:pPr>
        <w:rPr>
          <w:rFonts w:hint="eastAsia"/>
          <w:color w:val="auto"/>
          <w:lang w:val="en-US" w:eastAsia="zh-CN"/>
        </w:rPr>
      </w:pPr>
    </w:p>
    <w:p w14:paraId="352B1EFC">
      <w:pPr>
        <w:pStyle w:val="16"/>
        <w:rPr>
          <w:rFonts w:hint="eastAsia"/>
          <w:color w:val="auto"/>
          <w:lang w:val="en-US" w:eastAsia="zh-CN"/>
        </w:rPr>
      </w:pPr>
    </w:p>
    <w:p w14:paraId="3BE9563C">
      <w:pPr>
        <w:rPr>
          <w:rFonts w:hint="eastAsia"/>
          <w:color w:val="auto"/>
          <w:lang w:val="en-US" w:eastAsia="zh-CN"/>
        </w:rPr>
      </w:pPr>
    </w:p>
    <w:p w14:paraId="2B2E3C8E">
      <w:pPr>
        <w:pStyle w:val="16"/>
        <w:rPr>
          <w:rFonts w:hint="eastAsia"/>
          <w:color w:val="auto"/>
          <w:lang w:val="en-US" w:eastAsia="zh-CN"/>
        </w:rPr>
      </w:pPr>
    </w:p>
    <w:p w14:paraId="6FCC625A">
      <w:pPr>
        <w:rPr>
          <w:rFonts w:hint="eastAsia"/>
          <w:color w:val="auto"/>
          <w:lang w:val="en-US" w:eastAsia="zh-CN"/>
        </w:rPr>
      </w:pPr>
    </w:p>
    <w:p w14:paraId="069A8B93">
      <w:pPr>
        <w:pStyle w:val="16"/>
        <w:rPr>
          <w:rFonts w:hint="eastAsia"/>
          <w:color w:val="auto"/>
          <w:lang w:val="en-US" w:eastAsia="zh-CN"/>
        </w:rPr>
      </w:pPr>
    </w:p>
    <w:p w14:paraId="4A75AE8C">
      <w:pPr>
        <w:rPr>
          <w:rFonts w:hint="eastAsia"/>
          <w:color w:val="auto"/>
          <w:lang w:val="en-US" w:eastAsia="zh-CN"/>
        </w:rPr>
      </w:pPr>
    </w:p>
    <w:p w14:paraId="193695CB">
      <w:pPr>
        <w:pStyle w:val="16"/>
        <w:rPr>
          <w:rFonts w:hint="eastAsia"/>
          <w:color w:val="auto"/>
          <w:lang w:val="en-US" w:eastAsia="zh-CN"/>
        </w:rPr>
      </w:pPr>
    </w:p>
    <w:p w14:paraId="58E23B01">
      <w:pPr>
        <w:rPr>
          <w:rFonts w:hint="eastAsia"/>
          <w:color w:val="auto"/>
          <w:lang w:val="en-US" w:eastAsia="zh-CN"/>
        </w:rPr>
      </w:pPr>
    </w:p>
    <w:p w14:paraId="725DCEC2">
      <w:pPr>
        <w:pStyle w:val="16"/>
        <w:rPr>
          <w:rFonts w:hint="eastAsia"/>
          <w:color w:val="auto"/>
          <w:lang w:val="en-US" w:eastAsia="zh-CN"/>
        </w:rPr>
      </w:pPr>
    </w:p>
    <w:p w14:paraId="2D0F5952">
      <w:pPr>
        <w:rPr>
          <w:rFonts w:hint="eastAsia"/>
          <w:color w:val="auto"/>
          <w:lang w:val="en-US" w:eastAsia="zh-CN"/>
        </w:rPr>
      </w:pPr>
    </w:p>
    <w:p w14:paraId="55E8408D">
      <w:pPr>
        <w:pStyle w:val="16"/>
        <w:rPr>
          <w:rFonts w:hint="eastAsia"/>
          <w:color w:val="auto"/>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CDE8"/>
  <w:p w14:paraId="10B634C8">
    <w:pPr>
      <w:pStyle w:val="26"/>
      <w:tabs>
        <w:tab w:val="right" w:pos="9135"/>
        <w:tab w:val="clear" w:pos="8306"/>
      </w:tabs>
      <w:ind w:right="-6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14C">
    <w:pPr>
      <w:pStyle w:val="2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EF355">
                          <w:pPr>
                            <w:pStyle w:val="26"/>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EEF355">
                    <w:pPr>
                      <w:pStyle w:val="26"/>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EE65">
    <w:pPr>
      <w:pStyle w:val="26"/>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E4D6F">
                          <w:pPr>
                            <w:pStyle w:val="26"/>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4E4D6F">
                    <w:pPr>
                      <w:pStyle w:val="26"/>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95FB">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887B">
    <w:pPr>
      <w:pStyle w:val="26"/>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AF91"/>
  <w:p w14:paraId="0EE05505">
    <w:pPr>
      <w:pStyle w:val="26"/>
      <w:tabs>
        <w:tab w:val="right" w:pos="9135"/>
        <w:tab w:val="clear" w:pos="8306"/>
      </w:tabs>
      <w:ind w:right="-6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CC04">
    <w:pPr>
      <w:pStyle w:val="26"/>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184C">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B6240">
                          <w:pPr>
                            <w:pStyle w:val="2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CB6240">
                    <w:pPr>
                      <w:pStyle w:val="2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7CB6601">
    <w:pPr>
      <w:pStyle w:val="26"/>
      <w:tabs>
        <w:tab w:val="right" w:pos="9135"/>
        <w:tab w:val="clear" w:pos="8306"/>
      </w:tabs>
      <w:ind w:right="-6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14F53">
    <w:pPr>
      <w:pStyle w:val="26"/>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610C4">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B610C4">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F643">
    <w:pPr>
      <w:pStyle w:val="26"/>
      <w:tabs>
        <w:tab w:val="left" w:pos="6480"/>
        <w:tab w:val="clear" w:pos="8306"/>
      </w:tabs>
      <w:jc w:val="both"/>
      <w:rPr>
        <w:rFonts w:hint="default"/>
        <w:lang w:val="en-US"/>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F9E92">
                          <w:pPr>
                            <w:pStyle w:val="26"/>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BF9E92">
                    <w:pPr>
                      <w:pStyle w:val="26"/>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4B956E">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CnM+XtzQEAAKkDAAAOAAAAAAAAAAEAIAAAACMBAABk&#10;cnMvZTJvRG9jLnhtbFBLBQYAAAAABgAGAFkBAABiBQAAAAA=&#10;">
              <v:fill on="f" focussize="0,0"/>
              <v:stroke on="f"/>
              <v:imagedata o:title=""/>
              <o:lock v:ext="edit" aspectratio="f"/>
              <v:textbox inset="0mm,0mm,0mm,0mm" style="mso-fit-shape-to-text:t;">
                <w:txbxContent>
                  <w:p w14:paraId="654B956E">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D49B7E">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BAlEQlzQEAAKkDAAAOAAAAAAAAAAEAIAAAACMBAABk&#10;cnMvZTJvRG9jLnhtbFBLBQYAAAAABgAGAFkBAABiBQAAAAA=&#10;">
              <v:fill on="f" focussize="0,0"/>
              <v:stroke on="f"/>
              <v:imagedata o:title=""/>
              <o:lock v:ext="edit" aspectratio="f"/>
              <v:textbox inset="0mm,0mm,0mm,0mm" style="mso-fit-shape-to-text:t;">
                <w:txbxContent>
                  <w:p w14:paraId="44D49B7E">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E2975C">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C4YnUAAAACAEAAA8AAAAAAAAAAQAgAAAAIgAAAGRycy9k&#10;b3ducmV2LnhtbFBLAQIUABQAAAAIAIdO4kAoetenzQEAAKkDAAAOAAAAAAAAAAEAIAAAACMBAABk&#10;cnMvZTJvRG9jLnhtbFBLBQYAAAAABgAGAFkBAABiBQAAAAA=&#10;">
              <v:fill on="f" focussize="0,0"/>
              <v:stroke on="f"/>
              <v:imagedata o:title=""/>
              <o:lock v:ext="edit" aspectratio="f"/>
              <v:textbox inset="0mm,0mm,0mm,0mm" style="mso-fit-shape-to-text:t;">
                <w:txbxContent>
                  <w:p w14:paraId="66E2975C">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B3A421">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60288;mso-width-relative:page;mso-height-relative:page;" filled="f" stroked="f" coordsize="21600,21600" o:gfxdata="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jwXT7UAAAACAEAAA8AAAAAAAAAAQAgAAAAIgAAAGRycy9k&#10;b3ducmV2LnhtbFBLAQIUABQAAAAIAIdO4kDP3XZvzQEAAKkDAAAOAAAAAAAAAAEAIAAAACMBAABk&#10;cnMvZTJvRG9jLnhtbFBLBQYAAAAABgAGAFkBAABiBQAAAAA=&#10;">
              <v:fill on="f" focussize="0,0"/>
              <v:stroke on="f"/>
              <v:imagedata o:title=""/>
              <o:lock v:ext="edit" aspectratio="f"/>
              <v:textbox inset="0mm,0mm,0mm,0mm" style="mso-fit-shape-to-text:t;">
                <w:txbxContent>
                  <w:p w14:paraId="34B3A421">
                    <w:pPr>
                      <w:snapToGrid w:val="0"/>
                      <w:rPr>
                        <w:sz w:val="18"/>
                      </w:rPr>
                    </w:pPr>
                  </w:p>
                </w:txbxContent>
              </v:textbox>
            </v:shape>
          </w:pict>
        </mc:Fallback>
      </mc:AlternateContent>
    </w:r>
    <w:r>
      <w:rPr>
        <w:rFonts w:hint="eastAsia"/>
        <w:sz w:val="18"/>
        <w:szCs w:val="18"/>
        <w:lang w:eastAsia="zh-CN"/>
      </w:rPr>
      <w:tab/>
    </w:r>
    <w:r>
      <w:rPr>
        <w:rFonts w:hint="eastAsia"/>
        <w:sz w:val="18"/>
        <w:szCs w:val="18"/>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6339">
    <w:pPr>
      <w:pStyle w:val="26"/>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6D42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3396D42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70FBB">
    <w:pPr>
      <w:pStyle w:val="27"/>
      <w:jc w:val="right"/>
      <w:rPr>
        <w:rFonts w:hint="eastAsia"/>
        <w:lang w:eastAsia="zh-CN"/>
      </w:rPr>
    </w:pPr>
    <w:r>
      <w:rPr>
        <w:rFonts w:hint="eastAsia" w:ascii="宋体" w:hAnsi="宋体" w:eastAsia="宋体" w:cs="宋体"/>
        <w:color w:val="auto"/>
      </w:rPr>
      <w:t>项目编号：</w:t>
    </w:r>
    <w:r>
      <w:rPr>
        <w:rFonts w:hint="eastAsia" w:ascii="宋体" w:hAnsi="宋体" w:cs="宋体"/>
        <w:color w:val="auto"/>
        <w:lang w:val="en-US" w:eastAsia="zh-CN"/>
      </w:rPr>
      <w:t>SSJY-CG（G）-2025020</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cs="宋体"/>
        <w:lang w:eastAsia="zh-CN"/>
      </w:rPr>
      <w:t>2025年中央水利发展资金泾阳县人畜集中供水及单村人畜供水安装在线计量监测项目（一期）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3B5E">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1FB4">
    <w:pPr>
      <w:pStyle w:val="27"/>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7268">
    <w:pPr>
      <w:pStyle w:val="27"/>
      <w:jc w:val="right"/>
      <w:rPr>
        <w:rFonts w:hint="eastAsia" w:ascii="宋体" w:hAnsi="宋体" w:eastAsia="宋体" w:cs="宋体"/>
        <w:b/>
        <w:bCs/>
        <w:iCs/>
        <w:lang w:eastAsia="zh-CN"/>
      </w:rPr>
    </w:pPr>
    <w:r>
      <w:rPr>
        <w:rFonts w:hint="eastAsia" w:ascii="宋体" w:hAnsi="宋体" w:eastAsia="宋体" w:cs="宋体"/>
        <w:color w:val="auto"/>
      </w:rPr>
      <w:t>项目编号：</w:t>
    </w:r>
    <w:r>
      <w:rPr>
        <w:rFonts w:hint="eastAsia" w:ascii="宋体" w:hAnsi="宋体" w:cs="宋体"/>
        <w:color w:val="auto"/>
        <w:lang w:val="en-US" w:eastAsia="zh-CN"/>
      </w:rPr>
      <w:t xml:space="preserve">SSJY-CG（G）-2025020   </w:t>
    </w:r>
    <w:r>
      <w:rPr>
        <w:rFonts w:hint="eastAsia" w:ascii="宋体" w:hAnsi="宋体" w:cs="宋体"/>
        <w:lang w:eastAsia="zh-CN"/>
      </w:rPr>
      <w:t>2025年中央水利发展资金泾阳县人畜集中供水及单村人畜供水安装在线计量监测项目（一期）</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C6EA">
    <w:pPr>
      <w:pStyle w:val="27"/>
      <w:jc w:val="right"/>
    </w:pPr>
    <w:r>
      <w:rPr>
        <w:rFonts w:hint="eastAsia" w:ascii="宋体" w:hAnsi="宋体" w:eastAsia="宋体" w:cs="宋体"/>
        <w:color w:val="auto"/>
      </w:rPr>
      <w:t>项目编号：</w:t>
    </w:r>
    <w:r>
      <w:rPr>
        <w:rFonts w:hint="eastAsia" w:ascii="宋体" w:hAnsi="宋体" w:cs="宋体"/>
        <w:color w:val="auto"/>
        <w:lang w:val="en-US" w:eastAsia="zh-CN"/>
      </w:rPr>
      <w:t>SSJY-CG（G）-2025020</w:t>
    </w:r>
    <w:r>
      <w:rPr>
        <w:rFonts w:hint="eastAsia" w:ascii="宋体" w:hAnsi="宋体" w:eastAsia="宋体" w:cs="宋体"/>
        <w:lang w:val="en-US" w:eastAsia="zh-CN"/>
      </w:rPr>
      <w:t xml:space="preserve">   </w:t>
    </w:r>
    <w:r>
      <w:rPr>
        <w:rFonts w:hint="eastAsia" w:ascii="宋体" w:hAnsi="宋体" w:cs="宋体"/>
        <w:lang w:eastAsia="zh-CN"/>
      </w:rPr>
      <w:t>2025年中央水利发展资金泾阳县人畜集中供水及单村人畜供水安装在线计量监测项目（一期）</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F85C">
    <w:pPr>
      <w:pStyle w:val="27"/>
      <w:ind w:firstLine="180" w:firstLineChars="100"/>
      <w:jc w:val="right"/>
    </w:pPr>
    <w:r>
      <w:rPr>
        <w:rFonts w:hint="eastAsia" w:ascii="宋体" w:hAnsi="宋体" w:eastAsia="宋体" w:cs="宋体"/>
        <w:color w:val="auto"/>
      </w:rPr>
      <w:t>项目编号：</w:t>
    </w:r>
    <w:r>
      <w:rPr>
        <w:rFonts w:hint="eastAsia" w:ascii="宋体" w:hAnsi="宋体" w:cs="宋体"/>
        <w:color w:val="auto"/>
        <w:lang w:val="en-US" w:eastAsia="zh-CN"/>
      </w:rPr>
      <w:t>SSJY-CG（G）-2025020</w:t>
    </w:r>
    <w:r>
      <w:rPr>
        <w:rFonts w:hint="eastAsia" w:ascii="宋体" w:hAnsi="宋体" w:eastAsia="宋体" w:cs="宋体"/>
        <w:lang w:val="en-US" w:eastAsia="zh-CN"/>
      </w:rPr>
      <w:t xml:space="preserve">  </w:t>
    </w:r>
    <w:r>
      <w:rPr>
        <w:rFonts w:hint="eastAsia" w:ascii="宋体" w:hAnsi="宋体" w:cs="宋体"/>
        <w:lang w:eastAsia="zh-CN"/>
      </w:rPr>
      <w:t>2025年中央水利发展资金泾阳县人畜集中供水及单村人畜供水安装在线计量监测项目（一期）</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245">
    <w:pPr>
      <w:pStyle w:val="27"/>
      <w:jc w:val="right"/>
    </w:pPr>
    <w:r>
      <w:rPr>
        <w:rFonts w:hint="eastAsia" w:ascii="宋体" w:hAnsi="宋体" w:eastAsia="宋体" w:cs="宋体"/>
        <w:color w:val="auto"/>
      </w:rPr>
      <w:t>项目编号：</w:t>
    </w:r>
    <w:r>
      <w:rPr>
        <w:rFonts w:hint="eastAsia" w:ascii="宋体" w:hAnsi="宋体" w:cs="宋体"/>
        <w:color w:val="auto"/>
        <w:lang w:val="en-US" w:eastAsia="zh-CN"/>
      </w:rPr>
      <w:t>SSJY-CG（G）-2025020</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cs="宋体"/>
        <w:lang w:eastAsia="zh-CN"/>
      </w:rPr>
      <w:t>2025年中央水利发展资金泾阳县人畜集中供水及单村人畜供水安装在线计量监测项目（一期）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EE997"/>
    <w:multiLevelType w:val="singleLevel"/>
    <w:tmpl w:val="829EE997"/>
    <w:lvl w:ilvl="0" w:tentative="0">
      <w:start w:val="1"/>
      <w:numFmt w:val="decimal"/>
      <w:suff w:val="nothing"/>
      <w:lvlText w:val="(%1)"/>
      <w:lvlJc w:val="left"/>
      <w:pPr>
        <w:ind w:left="425" w:hanging="425"/>
      </w:pPr>
      <w:rPr>
        <w:rFonts w:hint="default" w:ascii="宋体" w:hAnsi="宋体" w:eastAsia="宋体" w:cs="宋体"/>
        <w:sz w:val="24"/>
        <w:szCs w:val="24"/>
      </w:rPr>
    </w:lvl>
  </w:abstractNum>
  <w:abstractNum w:abstractNumId="1">
    <w:nsid w:val="B34B3CFF"/>
    <w:multiLevelType w:val="singleLevel"/>
    <w:tmpl w:val="B34B3CFF"/>
    <w:lvl w:ilvl="0" w:tentative="0">
      <w:start w:val="2"/>
      <w:numFmt w:val="chineseCounting"/>
      <w:suff w:val="nothing"/>
      <w:lvlText w:val="（%1）"/>
      <w:lvlJc w:val="left"/>
      <w:rPr>
        <w:rFonts w:hint="eastAsia"/>
      </w:rPr>
    </w:lvl>
  </w:abstractNum>
  <w:abstractNum w:abstractNumId="2">
    <w:nsid w:val="C399E743"/>
    <w:multiLevelType w:val="singleLevel"/>
    <w:tmpl w:val="C399E743"/>
    <w:lvl w:ilvl="0" w:tentative="0">
      <w:start w:val="5"/>
      <w:numFmt w:val="chineseCounting"/>
      <w:suff w:val="space"/>
      <w:lvlText w:val="第%1章"/>
      <w:lvlJc w:val="left"/>
      <w:rPr>
        <w:rFonts w:hint="eastAsia"/>
      </w:rPr>
    </w:lvl>
  </w:abstractNum>
  <w:abstractNum w:abstractNumId="3">
    <w:nsid w:val="CDDEA99A"/>
    <w:multiLevelType w:val="singleLevel"/>
    <w:tmpl w:val="CDDEA99A"/>
    <w:lvl w:ilvl="0" w:tentative="0">
      <w:start w:val="1"/>
      <w:numFmt w:val="decimal"/>
      <w:suff w:val="nothing"/>
      <w:lvlText w:val="(%1)"/>
      <w:lvlJc w:val="left"/>
      <w:pPr>
        <w:ind w:left="425" w:hanging="425"/>
      </w:pPr>
      <w:rPr>
        <w:rFonts w:hint="default"/>
      </w:rPr>
    </w:lvl>
  </w:abstractNum>
  <w:abstractNum w:abstractNumId="4">
    <w:nsid w:val="06D65369"/>
    <w:multiLevelType w:val="singleLevel"/>
    <w:tmpl w:val="06D65369"/>
    <w:lvl w:ilvl="0" w:tentative="0">
      <w:start w:val="2"/>
      <w:numFmt w:val="chineseCounting"/>
      <w:suff w:val="space"/>
      <w:lvlText w:val="第%1章"/>
      <w:lvlJc w:val="left"/>
      <w:rPr>
        <w:rFonts w:hint="eastAsia"/>
      </w:rPr>
    </w:lvl>
  </w:abstractNum>
  <w:abstractNum w:abstractNumId="5">
    <w:nsid w:val="170C5BEA"/>
    <w:multiLevelType w:val="singleLevel"/>
    <w:tmpl w:val="170C5BEA"/>
    <w:lvl w:ilvl="0" w:tentative="0">
      <w:start w:val="1"/>
      <w:numFmt w:val="decimal"/>
      <w:lvlText w:val="%1."/>
      <w:lvlJc w:val="left"/>
      <w:pPr>
        <w:tabs>
          <w:tab w:val="left" w:pos="312"/>
        </w:tabs>
      </w:pPr>
    </w:lvl>
  </w:abstractNum>
  <w:abstractNum w:abstractNumId="6">
    <w:nsid w:val="24AD2B19"/>
    <w:multiLevelType w:val="singleLevel"/>
    <w:tmpl w:val="24AD2B19"/>
    <w:lvl w:ilvl="0" w:tentative="0">
      <w:start w:val="1"/>
      <w:numFmt w:val="decimal"/>
      <w:lvlText w:val="%1."/>
      <w:lvlJc w:val="left"/>
      <w:pPr>
        <w:tabs>
          <w:tab w:val="left" w:pos="312"/>
        </w:tabs>
      </w:pPr>
    </w:lvl>
  </w:abstractNum>
  <w:abstractNum w:abstractNumId="7">
    <w:nsid w:val="31AA65A1"/>
    <w:multiLevelType w:val="singleLevel"/>
    <w:tmpl w:val="31AA65A1"/>
    <w:lvl w:ilvl="0" w:tentative="0">
      <w:start w:val="1"/>
      <w:numFmt w:val="decimal"/>
      <w:suff w:val="nothing"/>
      <w:lvlText w:val="%1、"/>
      <w:lvlJc w:val="left"/>
    </w:lvl>
  </w:abstractNum>
  <w:abstractNum w:abstractNumId="8">
    <w:nsid w:val="3728461B"/>
    <w:multiLevelType w:val="singleLevel"/>
    <w:tmpl w:val="3728461B"/>
    <w:lvl w:ilvl="0" w:tentative="0">
      <w:start w:val="1"/>
      <w:numFmt w:val="chineseCounting"/>
      <w:suff w:val="nothing"/>
      <w:lvlText w:val="（%1）"/>
      <w:lvlJc w:val="left"/>
      <w:rPr>
        <w:rFonts w:hint="eastAsia"/>
      </w:rPr>
    </w:lvl>
  </w:abstractNum>
  <w:abstractNum w:abstractNumId="9">
    <w:nsid w:val="3F64CA43"/>
    <w:multiLevelType w:val="singleLevel"/>
    <w:tmpl w:val="3F64CA43"/>
    <w:lvl w:ilvl="0" w:tentative="0">
      <w:start w:val="1"/>
      <w:numFmt w:val="decimal"/>
      <w:suff w:val="nothing"/>
      <w:lvlText w:val="(%1)"/>
      <w:lvlJc w:val="left"/>
      <w:pPr>
        <w:ind w:left="425" w:hanging="425"/>
      </w:pPr>
      <w:rPr>
        <w:rFonts w:hint="default" w:ascii="宋体" w:hAnsi="宋体" w:eastAsia="宋体" w:cs="宋体"/>
        <w:sz w:val="24"/>
        <w:szCs w:val="24"/>
      </w:rPr>
    </w:lvl>
  </w:abstractNum>
  <w:abstractNum w:abstractNumId="10">
    <w:nsid w:val="56650600"/>
    <w:multiLevelType w:val="singleLevel"/>
    <w:tmpl w:val="56650600"/>
    <w:lvl w:ilvl="0" w:tentative="0">
      <w:start w:val="1"/>
      <w:numFmt w:val="decimal"/>
      <w:suff w:val="nothing"/>
      <w:lvlText w:val="%1、"/>
      <w:lvlJc w:val="left"/>
    </w:lvl>
  </w:abstractNum>
  <w:abstractNum w:abstractNumId="11">
    <w:nsid w:val="597FFAFF"/>
    <w:multiLevelType w:val="singleLevel"/>
    <w:tmpl w:val="597FFAFF"/>
    <w:lvl w:ilvl="0" w:tentative="0">
      <w:start w:val="3"/>
      <w:numFmt w:val="decimal"/>
      <w:suff w:val="nothing"/>
      <w:lvlText w:val="%1．"/>
      <w:lvlJc w:val="left"/>
      <w:rPr>
        <w:rFonts w:cs="Times New Roman"/>
      </w:rPr>
    </w:lvl>
  </w:abstractNum>
  <w:abstractNum w:abstractNumId="12">
    <w:nsid w:val="7CFCA796"/>
    <w:multiLevelType w:val="singleLevel"/>
    <w:tmpl w:val="7CFCA796"/>
    <w:lvl w:ilvl="0" w:tentative="0">
      <w:start w:val="1"/>
      <w:numFmt w:val="decimal"/>
      <w:suff w:val="nothing"/>
      <w:lvlText w:val="(%1)"/>
      <w:lvlJc w:val="left"/>
      <w:pPr>
        <w:ind w:left="425" w:hanging="425"/>
      </w:pPr>
      <w:rPr>
        <w:rFonts w:hint="default"/>
      </w:rPr>
    </w:lvl>
  </w:abstractNum>
  <w:abstractNum w:abstractNumId="13">
    <w:nsid w:val="7D1EC287"/>
    <w:multiLevelType w:val="singleLevel"/>
    <w:tmpl w:val="7D1EC287"/>
    <w:lvl w:ilvl="0" w:tentative="0">
      <w:start w:val="5"/>
      <w:numFmt w:val="chineseCounting"/>
      <w:suff w:val="nothing"/>
      <w:lvlText w:val="%1、"/>
      <w:lvlJc w:val="left"/>
      <w:rPr>
        <w:rFonts w:hint="eastAsia"/>
      </w:rPr>
    </w:lvl>
  </w:abstractNum>
  <w:abstractNum w:abstractNumId="14">
    <w:nsid w:val="7FF2DDFA"/>
    <w:multiLevelType w:val="singleLevel"/>
    <w:tmpl w:val="7FF2DDFA"/>
    <w:lvl w:ilvl="0" w:tentative="0">
      <w:start w:val="1"/>
      <w:numFmt w:val="decimal"/>
      <w:suff w:val="nothing"/>
      <w:lvlText w:val="%1."/>
      <w:lvlJc w:val="left"/>
      <w:pPr>
        <w:ind w:left="425" w:hanging="425"/>
      </w:pPr>
      <w:rPr>
        <w:rFonts w:hint="default"/>
      </w:rPr>
    </w:lvl>
  </w:abstractNum>
  <w:num w:numId="1">
    <w:abstractNumId w:val="3"/>
  </w:num>
  <w:num w:numId="2">
    <w:abstractNumId w:val="4"/>
  </w:num>
  <w:num w:numId="3">
    <w:abstractNumId w:val="0"/>
  </w:num>
  <w:num w:numId="4">
    <w:abstractNumId w:val="9"/>
  </w:num>
  <w:num w:numId="5">
    <w:abstractNumId w:val="12"/>
  </w:num>
  <w:num w:numId="6">
    <w:abstractNumId w:val="5"/>
  </w:num>
  <w:num w:numId="7">
    <w:abstractNumId w:val="2"/>
  </w:num>
  <w:num w:numId="8">
    <w:abstractNumId w:val="11"/>
  </w:num>
  <w:num w:numId="9">
    <w:abstractNumId w:val="6"/>
  </w:num>
  <w:num w:numId="10">
    <w:abstractNumId w:val="13"/>
  </w:num>
  <w:num w:numId="11">
    <w:abstractNumId w:val="14"/>
  </w:num>
  <w:num w:numId="12">
    <w:abstractNumId w:val="1"/>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ZlNGMxNDdmMzUwYTk4ZTU2MjJjNTA2OTI2ZWE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5F6"/>
    <w:rsid w:val="00726AAC"/>
    <w:rsid w:val="0073125C"/>
    <w:rsid w:val="0073360F"/>
    <w:rsid w:val="00736051"/>
    <w:rsid w:val="0074085C"/>
    <w:rsid w:val="00741C13"/>
    <w:rsid w:val="0074366B"/>
    <w:rsid w:val="007437D2"/>
    <w:rsid w:val="00744CFA"/>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B43F9"/>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57ED"/>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5E53"/>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607A6"/>
    <w:rsid w:val="00C60B40"/>
    <w:rsid w:val="00C612D3"/>
    <w:rsid w:val="00C630EC"/>
    <w:rsid w:val="00C657B2"/>
    <w:rsid w:val="00C65D48"/>
    <w:rsid w:val="00C7073C"/>
    <w:rsid w:val="00C71AE3"/>
    <w:rsid w:val="00C71D2B"/>
    <w:rsid w:val="00C726BD"/>
    <w:rsid w:val="00C730B0"/>
    <w:rsid w:val="00C73800"/>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57FD"/>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68ED"/>
    <w:rsid w:val="00F970E4"/>
    <w:rsid w:val="00FA30E7"/>
    <w:rsid w:val="00FA36E9"/>
    <w:rsid w:val="00FA4277"/>
    <w:rsid w:val="00FA557A"/>
    <w:rsid w:val="00FA5DC5"/>
    <w:rsid w:val="00FA5DDA"/>
    <w:rsid w:val="00FA6A19"/>
    <w:rsid w:val="00FA731C"/>
    <w:rsid w:val="00FB1B8D"/>
    <w:rsid w:val="00FB6C63"/>
    <w:rsid w:val="00FC05C6"/>
    <w:rsid w:val="00FC24DE"/>
    <w:rsid w:val="00FC257F"/>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652E97"/>
    <w:rsid w:val="01745EE6"/>
    <w:rsid w:val="0176597C"/>
    <w:rsid w:val="01A93D84"/>
    <w:rsid w:val="01D2177B"/>
    <w:rsid w:val="01FE4437"/>
    <w:rsid w:val="020A790B"/>
    <w:rsid w:val="020C7AD2"/>
    <w:rsid w:val="023276E5"/>
    <w:rsid w:val="02354DA0"/>
    <w:rsid w:val="02514AFB"/>
    <w:rsid w:val="025374F9"/>
    <w:rsid w:val="026A319E"/>
    <w:rsid w:val="02755CDE"/>
    <w:rsid w:val="02804ED0"/>
    <w:rsid w:val="028641F6"/>
    <w:rsid w:val="02A91B01"/>
    <w:rsid w:val="02F06B77"/>
    <w:rsid w:val="02F646C8"/>
    <w:rsid w:val="02F706B3"/>
    <w:rsid w:val="03061A2D"/>
    <w:rsid w:val="0329344A"/>
    <w:rsid w:val="035801BD"/>
    <w:rsid w:val="03580D66"/>
    <w:rsid w:val="03A0316B"/>
    <w:rsid w:val="03A27A77"/>
    <w:rsid w:val="03A47CB6"/>
    <w:rsid w:val="03C50687"/>
    <w:rsid w:val="03CA1F30"/>
    <w:rsid w:val="03CC3F79"/>
    <w:rsid w:val="04012BC1"/>
    <w:rsid w:val="0417467E"/>
    <w:rsid w:val="041A0962"/>
    <w:rsid w:val="041B6087"/>
    <w:rsid w:val="041F4312"/>
    <w:rsid w:val="04275BAC"/>
    <w:rsid w:val="04292278"/>
    <w:rsid w:val="042D79C2"/>
    <w:rsid w:val="04352B98"/>
    <w:rsid w:val="04386483"/>
    <w:rsid w:val="0444340A"/>
    <w:rsid w:val="0453618A"/>
    <w:rsid w:val="0468428E"/>
    <w:rsid w:val="046F3151"/>
    <w:rsid w:val="04747F69"/>
    <w:rsid w:val="04A52162"/>
    <w:rsid w:val="04BF17A7"/>
    <w:rsid w:val="04CA1EF5"/>
    <w:rsid w:val="04E8184B"/>
    <w:rsid w:val="051270D7"/>
    <w:rsid w:val="051C2AE0"/>
    <w:rsid w:val="052229DC"/>
    <w:rsid w:val="05244BC4"/>
    <w:rsid w:val="054C10FD"/>
    <w:rsid w:val="05600B83"/>
    <w:rsid w:val="05635CBB"/>
    <w:rsid w:val="05894266"/>
    <w:rsid w:val="05896E53"/>
    <w:rsid w:val="05B84F4E"/>
    <w:rsid w:val="05C5666D"/>
    <w:rsid w:val="06035C4C"/>
    <w:rsid w:val="06241648"/>
    <w:rsid w:val="062446D5"/>
    <w:rsid w:val="064B3BE4"/>
    <w:rsid w:val="06734B80"/>
    <w:rsid w:val="06760139"/>
    <w:rsid w:val="067754BE"/>
    <w:rsid w:val="068A76C7"/>
    <w:rsid w:val="06907253"/>
    <w:rsid w:val="06B258F2"/>
    <w:rsid w:val="06BD5DFB"/>
    <w:rsid w:val="06C32025"/>
    <w:rsid w:val="06C85C22"/>
    <w:rsid w:val="06E14F8A"/>
    <w:rsid w:val="06E92286"/>
    <w:rsid w:val="06F10BAA"/>
    <w:rsid w:val="06F31B7D"/>
    <w:rsid w:val="07355DC1"/>
    <w:rsid w:val="079006E8"/>
    <w:rsid w:val="07A4303C"/>
    <w:rsid w:val="07B65868"/>
    <w:rsid w:val="07C83718"/>
    <w:rsid w:val="07CA08DA"/>
    <w:rsid w:val="07F0583B"/>
    <w:rsid w:val="08376C04"/>
    <w:rsid w:val="083A760C"/>
    <w:rsid w:val="086106FE"/>
    <w:rsid w:val="086B023F"/>
    <w:rsid w:val="08803584"/>
    <w:rsid w:val="08891BEC"/>
    <w:rsid w:val="089D2EA5"/>
    <w:rsid w:val="08C87118"/>
    <w:rsid w:val="090148AB"/>
    <w:rsid w:val="090E3E2E"/>
    <w:rsid w:val="094401F6"/>
    <w:rsid w:val="0955056D"/>
    <w:rsid w:val="09594663"/>
    <w:rsid w:val="09842C00"/>
    <w:rsid w:val="09BA5F50"/>
    <w:rsid w:val="09C23FE3"/>
    <w:rsid w:val="09C328FE"/>
    <w:rsid w:val="09CA0F5B"/>
    <w:rsid w:val="09E555E9"/>
    <w:rsid w:val="09E9185F"/>
    <w:rsid w:val="09F47D86"/>
    <w:rsid w:val="0A196EAA"/>
    <w:rsid w:val="0A242FFF"/>
    <w:rsid w:val="0A590887"/>
    <w:rsid w:val="0A8B7EF8"/>
    <w:rsid w:val="0AC47253"/>
    <w:rsid w:val="0ACF19BE"/>
    <w:rsid w:val="0ADC1D1C"/>
    <w:rsid w:val="0AF14F38"/>
    <w:rsid w:val="0B1B457B"/>
    <w:rsid w:val="0B3A2110"/>
    <w:rsid w:val="0B535673"/>
    <w:rsid w:val="0B6D6DD0"/>
    <w:rsid w:val="0B776EC0"/>
    <w:rsid w:val="0B85701D"/>
    <w:rsid w:val="0B8C1D04"/>
    <w:rsid w:val="0BAF665A"/>
    <w:rsid w:val="0BB40DF1"/>
    <w:rsid w:val="0BFF7110"/>
    <w:rsid w:val="0C6D4B34"/>
    <w:rsid w:val="0CAE31CC"/>
    <w:rsid w:val="0CD95B04"/>
    <w:rsid w:val="0CE467B9"/>
    <w:rsid w:val="0D0A3F72"/>
    <w:rsid w:val="0D19707A"/>
    <w:rsid w:val="0D31702C"/>
    <w:rsid w:val="0D5079C9"/>
    <w:rsid w:val="0D673663"/>
    <w:rsid w:val="0D766D04"/>
    <w:rsid w:val="0D927F49"/>
    <w:rsid w:val="0D962214"/>
    <w:rsid w:val="0D965E14"/>
    <w:rsid w:val="0D971FFF"/>
    <w:rsid w:val="0D985588"/>
    <w:rsid w:val="0DAC4DE7"/>
    <w:rsid w:val="0DD64195"/>
    <w:rsid w:val="0DD93C67"/>
    <w:rsid w:val="0E15476E"/>
    <w:rsid w:val="0E1C7748"/>
    <w:rsid w:val="0E691717"/>
    <w:rsid w:val="0E76349F"/>
    <w:rsid w:val="0E9B5CB3"/>
    <w:rsid w:val="0EB463A0"/>
    <w:rsid w:val="0EBE00C4"/>
    <w:rsid w:val="0ED566E0"/>
    <w:rsid w:val="0EE11B9F"/>
    <w:rsid w:val="0EE50FCF"/>
    <w:rsid w:val="0F127DBC"/>
    <w:rsid w:val="0F473373"/>
    <w:rsid w:val="0F576D2F"/>
    <w:rsid w:val="0F6C6610"/>
    <w:rsid w:val="0F713A66"/>
    <w:rsid w:val="0F871B2E"/>
    <w:rsid w:val="0FA47B58"/>
    <w:rsid w:val="0FB3499A"/>
    <w:rsid w:val="100E3CDE"/>
    <w:rsid w:val="102862AB"/>
    <w:rsid w:val="10582A82"/>
    <w:rsid w:val="109857B8"/>
    <w:rsid w:val="10E4430A"/>
    <w:rsid w:val="11000F55"/>
    <w:rsid w:val="11285AF8"/>
    <w:rsid w:val="112B06EC"/>
    <w:rsid w:val="11CD7202"/>
    <w:rsid w:val="11DB0B88"/>
    <w:rsid w:val="11FF21E6"/>
    <w:rsid w:val="124D09DB"/>
    <w:rsid w:val="127277BA"/>
    <w:rsid w:val="12783A86"/>
    <w:rsid w:val="129A23DB"/>
    <w:rsid w:val="12D6753F"/>
    <w:rsid w:val="12E144B4"/>
    <w:rsid w:val="12F5411C"/>
    <w:rsid w:val="13093F0C"/>
    <w:rsid w:val="13127550"/>
    <w:rsid w:val="13301275"/>
    <w:rsid w:val="133239E5"/>
    <w:rsid w:val="1360023A"/>
    <w:rsid w:val="1368598B"/>
    <w:rsid w:val="139F6AD3"/>
    <w:rsid w:val="13A035BA"/>
    <w:rsid w:val="13AB5BB7"/>
    <w:rsid w:val="13D0075C"/>
    <w:rsid w:val="13F82B68"/>
    <w:rsid w:val="1402609A"/>
    <w:rsid w:val="14101BF8"/>
    <w:rsid w:val="14380558"/>
    <w:rsid w:val="143B43D9"/>
    <w:rsid w:val="14644194"/>
    <w:rsid w:val="14720225"/>
    <w:rsid w:val="148556DC"/>
    <w:rsid w:val="14A24168"/>
    <w:rsid w:val="14BA7E1E"/>
    <w:rsid w:val="15025589"/>
    <w:rsid w:val="150726A0"/>
    <w:rsid w:val="151949F5"/>
    <w:rsid w:val="15522798"/>
    <w:rsid w:val="156C3C11"/>
    <w:rsid w:val="157B5D5D"/>
    <w:rsid w:val="15A00DC2"/>
    <w:rsid w:val="15C56CC8"/>
    <w:rsid w:val="15C96614"/>
    <w:rsid w:val="15D062EC"/>
    <w:rsid w:val="15D848FF"/>
    <w:rsid w:val="15E66D0A"/>
    <w:rsid w:val="15E935EF"/>
    <w:rsid w:val="15F72E61"/>
    <w:rsid w:val="15FE492A"/>
    <w:rsid w:val="16184405"/>
    <w:rsid w:val="1657518C"/>
    <w:rsid w:val="1684207E"/>
    <w:rsid w:val="16A55688"/>
    <w:rsid w:val="16C66BE6"/>
    <w:rsid w:val="16EC74B0"/>
    <w:rsid w:val="170E6F2D"/>
    <w:rsid w:val="17271EE3"/>
    <w:rsid w:val="1754248F"/>
    <w:rsid w:val="175A7C27"/>
    <w:rsid w:val="175F5CA8"/>
    <w:rsid w:val="1768728A"/>
    <w:rsid w:val="176B4C9A"/>
    <w:rsid w:val="177146FF"/>
    <w:rsid w:val="177932EE"/>
    <w:rsid w:val="17936064"/>
    <w:rsid w:val="17A52E49"/>
    <w:rsid w:val="17DB0FF7"/>
    <w:rsid w:val="17FA6C58"/>
    <w:rsid w:val="181E4E3A"/>
    <w:rsid w:val="1846122D"/>
    <w:rsid w:val="184D115B"/>
    <w:rsid w:val="186216FF"/>
    <w:rsid w:val="186A7F80"/>
    <w:rsid w:val="1875139D"/>
    <w:rsid w:val="18C119AD"/>
    <w:rsid w:val="18CE20EA"/>
    <w:rsid w:val="18E41055"/>
    <w:rsid w:val="190A501E"/>
    <w:rsid w:val="1914161A"/>
    <w:rsid w:val="195F11A5"/>
    <w:rsid w:val="19915AE8"/>
    <w:rsid w:val="19D10370"/>
    <w:rsid w:val="19E42C57"/>
    <w:rsid w:val="19E44197"/>
    <w:rsid w:val="19EF3DBB"/>
    <w:rsid w:val="1A2E7A8E"/>
    <w:rsid w:val="1A307DEB"/>
    <w:rsid w:val="1A5B5C9F"/>
    <w:rsid w:val="1A72414B"/>
    <w:rsid w:val="1A7A062D"/>
    <w:rsid w:val="1A8B57AB"/>
    <w:rsid w:val="1A932A5A"/>
    <w:rsid w:val="1AAA4B36"/>
    <w:rsid w:val="1AC90C79"/>
    <w:rsid w:val="1B0045F8"/>
    <w:rsid w:val="1B0D2108"/>
    <w:rsid w:val="1B1438B4"/>
    <w:rsid w:val="1B293C37"/>
    <w:rsid w:val="1B2E6909"/>
    <w:rsid w:val="1B761AE2"/>
    <w:rsid w:val="1B7C0B0B"/>
    <w:rsid w:val="1B7D063A"/>
    <w:rsid w:val="1B936A4D"/>
    <w:rsid w:val="1B9437DB"/>
    <w:rsid w:val="1BB2064E"/>
    <w:rsid w:val="1C204FC6"/>
    <w:rsid w:val="1C43429F"/>
    <w:rsid w:val="1C7A3233"/>
    <w:rsid w:val="1C7B33C6"/>
    <w:rsid w:val="1C80396E"/>
    <w:rsid w:val="1C897D37"/>
    <w:rsid w:val="1C9A0D8C"/>
    <w:rsid w:val="1CA61FB7"/>
    <w:rsid w:val="1CC77D9A"/>
    <w:rsid w:val="1D3544E5"/>
    <w:rsid w:val="1D4D7E90"/>
    <w:rsid w:val="1D9A06B0"/>
    <w:rsid w:val="1DBB7F40"/>
    <w:rsid w:val="1DC73CE8"/>
    <w:rsid w:val="1DCB4728"/>
    <w:rsid w:val="1DCE6D07"/>
    <w:rsid w:val="1DD04BEC"/>
    <w:rsid w:val="1DD942EA"/>
    <w:rsid w:val="1DEF41BF"/>
    <w:rsid w:val="1E005594"/>
    <w:rsid w:val="1E346ED8"/>
    <w:rsid w:val="1E467C0C"/>
    <w:rsid w:val="1E694CF2"/>
    <w:rsid w:val="1E82375A"/>
    <w:rsid w:val="1EA747EE"/>
    <w:rsid w:val="1EC870D9"/>
    <w:rsid w:val="1EDC0F97"/>
    <w:rsid w:val="1EE44415"/>
    <w:rsid w:val="1F26778D"/>
    <w:rsid w:val="1F2A160D"/>
    <w:rsid w:val="1F8D4419"/>
    <w:rsid w:val="1F9B0BF8"/>
    <w:rsid w:val="1FBC40DB"/>
    <w:rsid w:val="1FD90A6B"/>
    <w:rsid w:val="1FFD05C5"/>
    <w:rsid w:val="200F1344"/>
    <w:rsid w:val="20146634"/>
    <w:rsid w:val="20181E20"/>
    <w:rsid w:val="20275819"/>
    <w:rsid w:val="2075136C"/>
    <w:rsid w:val="20934A1D"/>
    <w:rsid w:val="20A80DDA"/>
    <w:rsid w:val="20CD5313"/>
    <w:rsid w:val="20CE3C59"/>
    <w:rsid w:val="21034689"/>
    <w:rsid w:val="21176D6E"/>
    <w:rsid w:val="211F1734"/>
    <w:rsid w:val="212705E9"/>
    <w:rsid w:val="2139100C"/>
    <w:rsid w:val="215F7D83"/>
    <w:rsid w:val="218C384B"/>
    <w:rsid w:val="21A6582E"/>
    <w:rsid w:val="21D70261"/>
    <w:rsid w:val="21DC0B95"/>
    <w:rsid w:val="21EE6CFA"/>
    <w:rsid w:val="2210278E"/>
    <w:rsid w:val="221133E1"/>
    <w:rsid w:val="221E2881"/>
    <w:rsid w:val="224F1BA5"/>
    <w:rsid w:val="22682ED4"/>
    <w:rsid w:val="226F3182"/>
    <w:rsid w:val="228A5274"/>
    <w:rsid w:val="22C23764"/>
    <w:rsid w:val="22D402FC"/>
    <w:rsid w:val="22E74D36"/>
    <w:rsid w:val="22FD3C85"/>
    <w:rsid w:val="23122FE5"/>
    <w:rsid w:val="232146DF"/>
    <w:rsid w:val="232C3785"/>
    <w:rsid w:val="23300BC5"/>
    <w:rsid w:val="233347BB"/>
    <w:rsid w:val="23390502"/>
    <w:rsid w:val="238F70F2"/>
    <w:rsid w:val="23924B55"/>
    <w:rsid w:val="23952182"/>
    <w:rsid w:val="23F70258"/>
    <w:rsid w:val="24013E21"/>
    <w:rsid w:val="24031CA8"/>
    <w:rsid w:val="24404796"/>
    <w:rsid w:val="2448055A"/>
    <w:rsid w:val="24605FFA"/>
    <w:rsid w:val="247244BC"/>
    <w:rsid w:val="2497354F"/>
    <w:rsid w:val="2499026F"/>
    <w:rsid w:val="24EF51DA"/>
    <w:rsid w:val="24F91B97"/>
    <w:rsid w:val="2555261E"/>
    <w:rsid w:val="255F1C12"/>
    <w:rsid w:val="255F20BD"/>
    <w:rsid w:val="25764B3E"/>
    <w:rsid w:val="259A6176"/>
    <w:rsid w:val="25B0458D"/>
    <w:rsid w:val="25DD483B"/>
    <w:rsid w:val="2644477A"/>
    <w:rsid w:val="267E7C5A"/>
    <w:rsid w:val="268A6B16"/>
    <w:rsid w:val="26A01287"/>
    <w:rsid w:val="26B3099F"/>
    <w:rsid w:val="26B93B86"/>
    <w:rsid w:val="26CB06DA"/>
    <w:rsid w:val="26D56956"/>
    <w:rsid w:val="26E46149"/>
    <w:rsid w:val="26F572E3"/>
    <w:rsid w:val="27220C9E"/>
    <w:rsid w:val="27303A23"/>
    <w:rsid w:val="27431ED9"/>
    <w:rsid w:val="275D2C3D"/>
    <w:rsid w:val="27A71ADA"/>
    <w:rsid w:val="27B8643F"/>
    <w:rsid w:val="27BF720F"/>
    <w:rsid w:val="27C71297"/>
    <w:rsid w:val="27D838A4"/>
    <w:rsid w:val="27DE5EE3"/>
    <w:rsid w:val="28193872"/>
    <w:rsid w:val="283C650B"/>
    <w:rsid w:val="284202E2"/>
    <w:rsid w:val="285D5757"/>
    <w:rsid w:val="287B4337"/>
    <w:rsid w:val="287F7A45"/>
    <w:rsid w:val="288E7FFE"/>
    <w:rsid w:val="289128C5"/>
    <w:rsid w:val="28A30007"/>
    <w:rsid w:val="28C07B01"/>
    <w:rsid w:val="28D80539"/>
    <w:rsid w:val="28E21F0E"/>
    <w:rsid w:val="2962650F"/>
    <w:rsid w:val="2965244F"/>
    <w:rsid w:val="296C51FC"/>
    <w:rsid w:val="297211E0"/>
    <w:rsid w:val="299860DD"/>
    <w:rsid w:val="29A9038D"/>
    <w:rsid w:val="29B62B63"/>
    <w:rsid w:val="29BD29EF"/>
    <w:rsid w:val="29E225F8"/>
    <w:rsid w:val="29F3493D"/>
    <w:rsid w:val="29F86345"/>
    <w:rsid w:val="2A097F2C"/>
    <w:rsid w:val="2A23324B"/>
    <w:rsid w:val="2A2D2BA8"/>
    <w:rsid w:val="2A440C1C"/>
    <w:rsid w:val="2A520E5E"/>
    <w:rsid w:val="2A6130F9"/>
    <w:rsid w:val="2A6579A4"/>
    <w:rsid w:val="2A680504"/>
    <w:rsid w:val="2A8A5477"/>
    <w:rsid w:val="2A983960"/>
    <w:rsid w:val="2AAA56A9"/>
    <w:rsid w:val="2AC86999"/>
    <w:rsid w:val="2ACC2259"/>
    <w:rsid w:val="2ADA42E3"/>
    <w:rsid w:val="2ADF3890"/>
    <w:rsid w:val="2B350891"/>
    <w:rsid w:val="2B3F1AB3"/>
    <w:rsid w:val="2B7134CD"/>
    <w:rsid w:val="2B7729A9"/>
    <w:rsid w:val="2B894ABF"/>
    <w:rsid w:val="2BC77281"/>
    <w:rsid w:val="2BCA41BC"/>
    <w:rsid w:val="2BD521D1"/>
    <w:rsid w:val="2BDA5B96"/>
    <w:rsid w:val="2C2C3005"/>
    <w:rsid w:val="2C351CEA"/>
    <w:rsid w:val="2C462006"/>
    <w:rsid w:val="2C8B0774"/>
    <w:rsid w:val="2CA04604"/>
    <w:rsid w:val="2CA8465B"/>
    <w:rsid w:val="2CCB09C2"/>
    <w:rsid w:val="2CD1219B"/>
    <w:rsid w:val="2CD773E1"/>
    <w:rsid w:val="2D022628"/>
    <w:rsid w:val="2D042827"/>
    <w:rsid w:val="2D2623A9"/>
    <w:rsid w:val="2D3F3425"/>
    <w:rsid w:val="2D480265"/>
    <w:rsid w:val="2D532E64"/>
    <w:rsid w:val="2D650452"/>
    <w:rsid w:val="2D6579FD"/>
    <w:rsid w:val="2D727090"/>
    <w:rsid w:val="2D8F7B63"/>
    <w:rsid w:val="2DEE10E0"/>
    <w:rsid w:val="2DFD5AD3"/>
    <w:rsid w:val="2DFD6B18"/>
    <w:rsid w:val="2E05430D"/>
    <w:rsid w:val="2E1859E5"/>
    <w:rsid w:val="2E1C11C2"/>
    <w:rsid w:val="2E2F2F41"/>
    <w:rsid w:val="2E3C1B78"/>
    <w:rsid w:val="2E430131"/>
    <w:rsid w:val="2E5210EC"/>
    <w:rsid w:val="2E5B07AB"/>
    <w:rsid w:val="2E6743B8"/>
    <w:rsid w:val="2E6A2DC2"/>
    <w:rsid w:val="2E8D3A1F"/>
    <w:rsid w:val="2E91363D"/>
    <w:rsid w:val="2EAF5833"/>
    <w:rsid w:val="2EE3501E"/>
    <w:rsid w:val="2EE76D59"/>
    <w:rsid w:val="2F1A61BB"/>
    <w:rsid w:val="2F281C50"/>
    <w:rsid w:val="2F296D3D"/>
    <w:rsid w:val="2F3204AF"/>
    <w:rsid w:val="2F4C28B1"/>
    <w:rsid w:val="2F525012"/>
    <w:rsid w:val="2F71406F"/>
    <w:rsid w:val="2F9A050E"/>
    <w:rsid w:val="2F9E22F9"/>
    <w:rsid w:val="2FA53AD6"/>
    <w:rsid w:val="2FB7577A"/>
    <w:rsid w:val="2FD602BF"/>
    <w:rsid w:val="2FFE2E5D"/>
    <w:rsid w:val="30117F8B"/>
    <w:rsid w:val="306264E2"/>
    <w:rsid w:val="306327B6"/>
    <w:rsid w:val="30706506"/>
    <w:rsid w:val="30880C87"/>
    <w:rsid w:val="30A272E9"/>
    <w:rsid w:val="30B51AE8"/>
    <w:rsid w:val="30C908D4"/>
    <w:rsid w:val="30CC3179"/>
    <w:rsid w:val="30F32945"/>
    <w:rsid w:val="31181CFC"/>
    <w:rsid w:val="312569BD"/>
    <w:rsid w:val="314A00C6"/>
    <w:rsid w:val="31515B6E"/>
    <w:rsid w:val="317232BB"/>
    <w:rsid w:val="31870AE7"/>
    <w:rsid w:val="318A4342"/>
    <w:rsid w:val="31BF03CC"/>
    <w:rsid w:val="31CA6DFB"/>
    <w:rsid w:val="31D16A7B"/>
    <w:rsid w:val="31EC1D7E"/>
    <w:rsid w:val="31F444E9"/>
    <w:rsid w:val="32092223"/>
    <w:rsid w:val="324A7F75"/>
    <w:rsid w:val="325454D5"/>
    <w:rsid w:val="32A50578"/>
    <w:rsid w:val="32A65C3C"/>
    <w:rsid w:val="32AD7D50"/>
    <w:rsid w:val="32C037DA"/>
    <w:rsid w:val="32DF6ACE"/>
    <w:rsid w:val="331105F0"/>
    <w:rsid w:val="3316226B"/>
    <w:rsid w:val="33224F67"/>
    <w:rsid w:val="33242C79"/>
    <w:rsid w:val="332D76F4"/>
    <w:rsid w:val="333A348C"/>
    <w:rsid w:val="33823918"/>
    <w:rsid w:val="3386006F"/>
    <w:rsid w:val="338813BB"/>
    <w:rsid w:val="338927C5"/>
    <w:rsid w:val="33913825"/>
    <w:rsid w:val="33B6668E"/>
    <w:rsid w:val="33C00F0E"/>
    <w:rsid w:val="33C148CD"/>
    <w:rsid w:val="33C349E0"/>
    <w:rsid w:val="33EE0D47"/>
    <w:rsid w:val="3431735D"/>
    <w:rsid w:val="34391304"/>
    <w:rsid w:val="34480488"/>
    <w:rsid w:val="34792B99"/>
    <w:rsid w:val="347D7F03"/>
    <w:rsid w:val="34AB2151"/>
    <w:rsid w:val="34BD5094"/>
    <w:rsid w:val="34C26000"/>
    <w:rsid w:val="34F9796B"/>
    <w:rsid w:val="351D6BD2"/>
    <w:rsid w:val="35817E56"/>
    <w:rsid w:val="358276DA"/>
    <w:rsid w:val="35886FC0"/>
    <w:rsid w:val="35AD4B87"/>
    <w:rsid w:val="35C546B2"/>
    <w:rsid w:val="35DF14F3"/>
    <w:rsid w:val="35F94460"/>
    <w:rsid w:val="36196EE3"/>
    <w:rsid w:val="362A3254"/>
    <w:rsid w:val="36523CF4"/>
    <w:rsid w:val="36540977"/>
    <w:rsid w:val="36555758"/>
    <w:rsid w:val="36BB1EE1"/>
    <w:rsid w:val="36E16E5C"/>
    <w:rsid w:val="36F67C9D"/>
    <w:rsid w:val="36FC7E86"/>
    <w:rsid w:val="370A577C"/>
    <w:rsid w:val="37102679"/>
    <w:rsid w:val="372E157F"/>
    <w:rsid w:val="37350A5D"/>
    <w:rsid w:val="375A4E1C"/>
    <w:rsid w:val="37CC7A14"/>
    <w:rsid w:val="37DC3A78"/>
    <w:rsid w:val="37F708BD"/>
    <w:rsid w:val="37F7529C"/>
    <w:rsid w:val="381F568B"/>
    <w:rsid w:val="38376F0C"/>
    <w:rsid w:val="383B3057"/>
    <w:rsid w:val="384B7570"/>
    <w:rsid w:val="384E469C"/>
    <w:rsid w:val="384F7AFB"/>
    <w:rsid w:val="385E196C"/>
    <w:rsid w:val="38820E10"/>
    <w:rsid w:val="38A94E31"/>
    <w:rsid w:val="38B37F59"/>
    <w:rsid w:val="38D62BC9"/>
    <w:rsid w:val="38DE55D9"/>
    <w:rsid w:val="38F530FA"/>
    <w:rsid w:val="392E1283"/>
    <w:rsid w:val="392E439F"/>
    <w:rsid w:val="393E343F"/>
    <w:rsid w:val="39553CAF"/>
    <w:rsid w:val="397A1D7B"/>
    <w:rsid w:val="398850DE"/>
    <w:rsid w:val="39FE64EF"/>
    <w:rsid w:val="3A314013"/>
    <w:rsid w:val="3A5B7ED6"/>
    <w:rsid w:val="3A66485D"/>
    <w:rsid w:val="3A782AD9"/>
    <w:rsid w:val="3A9A6E16"/>
    <w:rsid w:val="3A9B2E8A"/>
    <w:rsid w:val="3ABC49A5"/>
    <w:rsid w:val="3AD86C55"/>
    <w:rsid w:val="3B1D301A"/>
    <w:rsid w:val="3B727993"/>
    <w:rsid w:val="3B755F69"/>
    <w:rsid w:val="3B916CB3"/>
    <w:rsid w:val="3BA00C14"/>
    <w:rsid w:val="3BA013B7"/>
    <w:rsid w:val="3BD16E0A"/>
    <w:rsid w:val="3BDD32E9"/>
    <w:rsid w:val="3BEF4AD8"/>
    <w:rsid w:val="3C0226A1"/>
    <w:rsid w:val="3C131844"/>
    <w:rsid w:val="3C131855"/>
    <w:rsid w:val="3C2623B2"/>
    <w:rsid w:val="3C4271E5"/>
    <w:rsid w:val="3C641104"/>
    <w:rsid w:val="3C830040"/>
    <w:rsid w:val="3CB07B7D"/>
    <w:rsid w:val="3CD07E3A"/>
    <w:rsid w:val="3CE12F69"/>
    <w:rsid w:val="3CE9473C"/>
    <w:rsid w:val="3D08460A"/>
    <w:rsid w:val="3D1F3A14"/>
    <w:rsid w:val="3D397EAE"/>
    <w:rsid w:val="3D5D2671"/>
    <w:rsid w:val="3D771560"/>
    <w:rsid w:val="3D9214CE"/>
    <w:rsid w:val="3D925E51"/>
    <w:rsid w:val="3DD130B5"/>
    <w:rsid w:val="3DDF3E65"/>
    <w:rsid w:val="3DE336BF"/>
    <w:rsid w:val="3DFE2084"/>
    <w:rsid w:val="3E3357BB"/>
    <w:rsid w:val="3E37656F"/>
    <w:rsid w:val="3E3A1535"/>
    <w:rsid w:val="3E522FB6"/>
    <w:rsid w:val="3E6B07CA"/>
    <w:rsid w:val="3EB55C3E"/>
    <w:rsid w:val="3EC05ABF"/>
    <w:rsid w:val="3EC961E7"/>
    <w:rsid w:val="3EE17366"/>
    <w:rsid w:val="3EEC23F5"/>
    <w:rsid w:val="3F173D91"/>
    <w:rsid w:val="3F1A02E0"/>
    <w:rsid w:val="3F1A13DA"/>
    <w:rsid w:val="3F231F4B"/>
    <w:rsid w:val="3F3B3B13"/>
    <w:rsid w:val="3F4F4D81"/>
    <w:rsid w:val="3F5E40F8"/>
    <w:rsid w:val="3F5F5F83"/>
    <w:rsid w:val="3F824A71"/>
    <w:rsid w:val="3F87605B"/>
    <w:rsid w:val="3FC63BD0"/>
    <w:rsid w:val="3FC714BD"/>
    <w:rsid w:val="3FCF563B"/>
    <w:rsid w:val="3FE8403A"/>
    <w:rsid w:val="401E4995"/>
    <w:rsid w:val="402F7FEA"/>
    <w:rsid w:val="403B5ABD"/>
    <w:rsid w:val="408D2FBE"/>
    <w:rsid w:val="40D45C40"/>
    <w:rsid w:val="40F16909"/>
    <w:rsid w:val="40FC528A"/>
    <w:rsid w:val="415A4692"/>
    <w:rsid w:val="416574A8"/>
    <w:rsid w:val="41741A1C"/>
    <w:rsid w:val="41BB110A"/>
    <w:rsid w:val="41C37CE9"/>
    <w:rsid w:val="41C95079"/>
    <w:rsid w:val="41CD3CC6"/>
    <w:rsid w:val="41D91034"/>
    <w:rsid w:val="41DD19CA"/>
    <w:rsid w:val="41EF2D17"/>
    <w:rsid w:val="41F12259"/>
    <w:rsid w:val="42277F9A"/>
    <w:rsid w:val="422E63CA"/>
    <w:rsid w:val="427E6455"/>
    <w:rsid w:val="4283791D"/>
    <w:rsid w:val="429B0BD7"/>
    <w:rsid w:val="42C228C8"/>
    <w:rsid w:val="42E0061C"/>
    <w:rsid w:val="42EF410D"/>
    <w:rsid w:val="42F36E1E"/>
    <w:rsid w:val="430E1F69"/>
    <w:rsid w:val="43121F6B"/>
    <w:rsid w:val="432640E3"/>
    <w:rsid w:val="435823F0"/>
    <w:rsid w:val="435A7E53"/>
    <w:rsid w:val="435B7631"/>
    <w:rsid w:val="435E39B1"/>
    <w:rsid w:val="436C01B2"/>
    <w:rsid w:val="438306F7"/>
    <w:rsid w:val="43994F1E"/>
    <w:rsid w:val="43C077A8"/>
    <w:rsid w:val="43C13A38"/>
    <w:rsid w:val="43D835B7"/>
    <w:rsid w:val="43E22F2B"/>
    <w:rsid w:val="43E66DEA"/>
    <w:rsid w:val="43EE1010"/>
    <w:rsid w:val="43F204A6"/>
    <w:rsid w:val="440967A1"/>
    <w:rsid w:val="444D25E9"/>
    <w:rsid w:val="445D4CDC"/>
    <w:rsid w:val="44711472"/>
    <w:rsid w:val="44820235"/>
    <w:rsid w:val="448B0D0B"/>
    <w:rsid w:val="44BF5D48"/>
    <w:rsid w:val="44C77FFF"/>
    <w:rsid w:val="450B4C3A"/>
    <w:rsid w:val="451F1453"/>
    <w:rsid w:val="452D466E"/>
    <w:rsid w:val="454331D6"/>
    <w:rsid w:val="456B22FF"/>
    <w:rsid w:val="457D7169"/>
    <w:rsid w:val="459B05E0"/>
    <w:rsid w:val="45B12031"/>
    <w:rsid w:val="45B933A3"/>
    <w:rsid w:val="45CF5744"/>
    <w:rsid w:val="45E828DA"/>
    <w:rsid w:val="46342CDD"/>
    <w:rsid w:val="46362591"/>
    <w:rsid w:val="463A697F"/>
    <w:rsid w:val="463B5AD7"/>
    <w:rsid w:val="46495E1F"/>
    <w:rsid w:val="46B05FBF"/>
    <w:rsid w:val="46C9590C"/>
    <w:rsid w:val="46DD2FE6"/>
    <w:rsid w:val="46EF4B3E"/>
    <w:rsid w:val="47122BD2"/>
    <w:rsid w:val="471C2F67"/>
    <w:rsid w:val="47460F11"/>
    <w:rsid w:val="476D0782"/>
    <w:rsid w:val="478248DA"/>
    <w:rsid w:val="479357BC"/>
    <w:rsid w:val="47B52DEE"/>
    <w:rsid w:val="47BF3689"/>
    <w:rsid w:val="47DB2840"/>
    <w:rsid w:val="47E63F50"/>
    <w:rsid w:val="47EC561B"/>
    <w:rsid w:val="47FC0652"/>
    <w:rsid w:val="48186526"/>
    <w:rsid w:val="48281A4F"/>
    <w:rsid w:val="48297546"/>
    <w:rsid w:val="482F46DF"/>
    <w:rsid w:val="483570D6"/>
    <w:rsid w:val="48517B76"/>
    <w:rsid w:val="4887279E"/>
    <w:rsid w:val="48AF5FCC"/>
    <w:rsid w:val="48D2728D"/>
    <w:rsid w:val="4922704D"/>
    <w:rsid w:val="492331F4"/>
    <w:rsid w:val="49391DE8"/>
    <w:rsid w:val="49506411"/>
    <w:rsid w:val="496E5FA9"/>
    <w:rsid w:val="4A3335E5"/>
    <w:rsid w:val="4A454C9E"/>
    <w:rsid w:val="4A6854DF"/>
    <w:rsid w:val="4A6A1B72"/>
    <w:rsid w:val="4A6E794B"/>
    <w:rsid w:val="4A952924"/>
    <w:rsid w:val="4AB7670F"/>
    <w:rsid w:val="4ADF332E"/>
    <w:rsid w:val="4B035D90"/>
    <w:rsid w:val="4B0C605A"/>
    <w:rsid w:val="4B1F0217"/>
    <w:rsid w:val="4B303B25"/>
    <w:rsid w:val="4B350194"/>
    <w:rsid w:val="4B4B298F"/>
    <w:rsid w:val="4B764485"/>
    <w:rsid w:val="4B9E7462"/>
    <w:rsid w:val="4BCA67C3"/>
    <w:rsid w:val="4BCD2CFE"/>
    <w:rsid w:val="4BD1169E"/>
    <w:rsid w:val="4C005FC6"/>
    <w:rsid w:val="4C2A1BB3"/>
    <w:rsid w:val="4C442F00"/>
    <w:rsid w:val="4CB60D82"/>
    <w:rsid w:val="4CC4190A"/>
    <w:rsid w:val="4CCB6D2C"/>
    <w:rsid w:val="4CDD059F"/>
    <w:rsid w:val="4CE61348"/>
    <w:rsid w:val="4CFD02CC"/>
    <w:rsid w:val="4CFD65B7"/>
    <w:rsid w:val="4D466378"/>
    <w:rsid w:val="4D572235"/>
    <w:rsid w:val="4D7026BD"/>
    <w:rsid w:val="4D777D7B"/>
    <w:rsid w:val="4D7D140D"/>
    <w:rsid w:val="4D893A63"/>
    <w:rsid w:val="4D8C3E86"/>
    <w:rsid w:val="4DB53E2F"/>
    <w:rsid w:val="4DD23507"/>
    <w:rsid w:val="4DD54DA5"/>
    <w:rsid w:val="4DE65500"/>
    <w:rsid w:val="4DE66FB2"/>
    <w:rsid w:val="4DEE76E4"/>
    <w:rsid w:val="4DF8215D"/>
    <w:rsid w:val="4DFC0E9E"/>
    <w:rsid w:val="4E1E499E"/>
    <w:rsid w:val="4E52662D"/>
    <w:rsid w:val="4E8878F9"/>
    <w:rsid w:val="4E9F3B77"/>
    <w:rsid w:val="4EDA0A91"/>
    <w:rsid w:val="4EF43D32"/>
    <w:rsid w:val="4F0B1D64"/>
    <w:rsid w:val="4F0D2BAF"/>
    <w:rsid w:val="4F366252"/>
    <w:rsid w:val="4F3810D9"/>
    <w:rsid w:val="4F6803EE"/>
    <w:rsid w:val="4F756689"/>
    <w:rsid w:val="4F7F55B7"/>
    <w:rsid w:val="4FC8015F"/>
    <w:rsid w:val="4FCE62C5"/>
    <w:rsid w:val="4FD23C92"/>
    <w:rsid w:val="4FE43BE8"/>
    <w:rsid w:val="4FF9569C"/>
    <w:rsid w:val="502533DF"/>
    <w:rsid w:val="50326318"/>
    <w:rsid w:val="50413025"/>
    <w:rsid w:val="50B02188"/>
    <w:rsid w:val="50F8155F"/>
    <w:rsid w:val="51190B1A"/>
    <w:rsid w:val="511C34CD"/>
    <w:rsid w:val="512064B6"/>
    <w:rsid w:val="513715F4"/>
    <w:rsid w:val="51683911"/>
    <w:rsid w:val="5176689F"/>
    <w:rsid w:val="51A92B9C"/>
    <w:rsid w:val="51AE06A2"/>
    <w:rsid w:val="51B272DD"/>
    <w:rsid w:val="51CA538C"/>
    <w:rsid w:val="51D11B69"/>
    <w:rsid w:val="51D76710"/>
    <w:rsid w:val="52062768"/>
    <w:rsid w:val="52067E1F"/>
    <w:rsid w:val="52231F40"/>
    <w:rsid w:val="526E379C"/>
    <w:rsid w:val="528F4AE6"/>
    <w:rsid w:val="52943684"/>
    <w:rsid w:val="529A26B1"/>
    <w:rsid w:val="52AA6F11"/>
    <w:rsid w:val="52CD7259"/>
    <w:rsid w:val="52CF6267"/>
    <w:rsid w:val="52DF7CE2"/>
    <w:rsid w:val="52E44E05"/>
    <w:rsid w:val="52E63CD6"/>
    <w:rsid w:val="52F65EE9"/>
    <w:rsid w:val="53056701"/>
    <w:rsid w:val="53095C1D"/>
    <w:rsid w:val="530D18C9"/>
    <w:rsid w:val="53206167"/>
    <w:rsid w:val="533D7A97"/>
    <w:rsid w:val="5348776C"/>
    <w:rsid w:val="536A40FE"/>
    <w:rsid w:val="537132FC"/>
    <w:rsid w:val="53744C69"/>
    <w:rsid w:val="53902320"/>
    <w:rsid w:val="53A10A02"/>
    <w:rsid w:val="53AE72B4"/>
    <w:rsid w:val="53C016DD"/>
    <w:rsid w:val="53C82EE3"/>
    <w:rsid w:val="53D751A4"/>
    <w:rsid w:val="53DC05B3"/>
    <w:rsid w:val="53DF3426"/>
    <w:rsid w:val="53E94F5A"/>
    <w:rsid w:val="540B46D3"/>
    <w:rsid w:val="541B796F"/>
    <w:rsid w:val="5442222C"/>
    <w:rsid w:val="54450635"/>
    <w:rsid w:val="5451618B"/>
    <w:rsid w:val="54664C1D"/>
    <w:rsid w:val="546F6837"/>
    <w:rsid w:val="547E5DA7"/>
    <w:rsid w:val="54B37426"/>
    <w:rsid w:val="54B74DC1"/>
    <w:rsid w:val="54BC4ACF"/>
    <w:rsid w:val="54C0055D"/>
    <w:rsid w:val="54E16D4C"/>
    <w:rsid w:val="55074BE9"/>
    <w:rsid w:val="551B5245"/>
    <w:rsid w:val="5527542F"/>
    <w:rsid w:val="55741347"/>
    <w:rsid w:val="558D7048"/>
    <w:rsid w:val="559A1340"/>
    <w:rsid w:val="559C3737"/>
    <w:rsid w:val="55A24610"/>
    <w:rsid w:val="55A52650"/>
    <w:rsid w:val="55B20B19"/>
    <w:rsid w:val="55C112CB"/>
    <w:rsid w:val="55C53DB0"/>
    <w:rsid w:val="55DD22CB"/>
    <w:rsid w:val="55F160F6"/>
    <w:rsid w:val="561B5DD3"/>
    <w:rsid w:val="56352885"/>
    <w:rsid w:val="564B6B67"/>
    <w:rsid w:val="56CE6A63"/>
    <w:rsid w:val="56DE38FB"/>
    <w:rsid w:val="56EA4F6C"/>
    <w:rsid w:val="571B5979"/>
    <w:rsid w:val="57202A3C"/>
    <w:rsid w:val="5780295A"/>
    <w:rsid w:val="57925895"/>
    <w:rsid w:val="57B63EA4"/>
    <w:rsid w:val="57B80578"/>
    <w:rsid w:val="57CC3E33"/>
    <w:rsid w:val="57D50709"/>
    <w:rsid w:val="57D575DA"/>
    <w:rsid w:val="57DF0168"/>
    <w:rsid w:val="57EB7BED"/>
    <w:rsid w:val="583D2AAA"/>
    <w:rsid w:val="58562E0E"/>
    <w:rsid w:val="585F7AFF"/>
    <w:rsid w:val="587B40D7"/>
    <w:rsid w:val="58964B93"/>
    <w:rsid w:val="58F20F01"/>
    <w:rsid w:val="591019CD"/>
    <w:rsid w:val="591B6943"/>
    <w:rsid w:val="59355F4D"/>
    <w:rsid w:val="59690389"/>
    <w:rsid w:val="59691617"/>
    <w:rsid w:val="598259A4"/>
    <w:rsid w:val="5A2860FD"/>
    <w:rsid w:val="5A4D198C"/>
    <w:rsid w:val="5A753013"/>
    <w:rsid w:val="5A976E4F"/>
    <w:rsid w:val="5AB63EAB"/>
    <w:rsid w:val="5ACC1FD7"/>
    <w:rsid w:val="5AE10810"/>
    <w:rsid w:val="5AE37432"/>
    <w:rsid w:val="5B97255D"/>
    <w:rsid w:val="5B987B49"/>
    <w:rsid w:val="5BA43DF3"/>
    <w:rsid w:val="5C431C5F"/>
    <w:rsid w:val="5C5B5435"/>
    <w:rsid w:val="5C6651FA"/>
    <w:rsid w:val="5C7D77C9"/>
    <w:rsid w:val="5C86273B"/>
    <w:rsid w:val="5C890820"/>
    <w:rsid w:val="5C901728"/>
    <w:rsid w:val="5C930FFE"/>
    <w:rsid w:val="5CAE55F7"/>
    <w:rsid w:val="5CB545BF"/>
    <w:rsid w:val="5CCD07FA"/>
    <w:rsid w:val="5CD34759"/>
    <w:rsid w:val="5CDA37D7"/>
    <w:rsid w:val="5CEA6D6B"/>
    <w:rsid w:val="5D03647F"/>
    <w:rsid w:val="5D0A0E22"/>
    <w:rsid w:val="5D4A2A18"/>
    <w:rsid w:val="5D55019E"/>
    <w:rsid w:val="5D715623"/>
    <w:rsid w:val="5D770953"/>
    <w:rsid w:val="5DCF023F"/>
    <w:rsid w:val="5DE27FAD"/>
    <w:rsid w:val="5DEB3926"/>
    <w:rsid w:val="5E3B1B45"/>
    <w:rsid w:val="5E516B36"/>
    <w:rsid w:val="5E53044A"/>
    <w:rsid w:val="5E851E71"/>
    <w:rsid w:val="5E88503D"/>
    <w:rsid w:val="5EB558FD"/>
    <w:rsid w:val="5EC93D19"/>
    <w:rsid w:val="5ECD7B7A"/>
    <w:rsid w:val="5ED2780B"/>
    <w:rsid w:val="5F1A6ABC"/>
    <w:rsid w:val="5F427C62"/>
    <w:rsid w:val="5F456E5F"/>
    <w:rsid w:val="5F4B37D6"/>
    <w:rsid w:val="5F546472"/>
    <w:rsid w:val="5F5E66CD"/>
    <w:rsid w:val="5F6915A6"/>
    <w:rsid w:val="5F750405"/>
    <w:rsid w:val="5F763CB9"/>
    <w:rsid w:val="5F86342C"/>
    <w:rsid w:val="5F8F6780"/>
    <w:rsid w:val="5FB32A6C"/>
    <w:rsid w:val="5FBF482F"/>
    <w:rsid w:val="5FC5782B"/>
    <w:rsid w:val="5FF55B43"/>
    <w:rsid w:val="5FF71630"/>
    <w:rsid w:val="602B1C29"/>
    <w:rsid w:val="6030146E"/>
    <w:rsid w:val="605E39DF"/>
    <w:rsid w:val="60822E4F"/>
    <w:rsid w:val="6096626C"/>
    <w:rsid w:val="60DF22ED"/>
    <w:rsid w:val="60ED6FEA"/>
    <w:rsid w:val="611B3D12"/>
    <w:rsid w:val="614E73FF"/>
    <w:rsid w:val="6159177B"/>
    <w:rsid w:val="6161661E"/>
    <w:rsid w:val="617D69D7"/>
    <w:rsid w:val="618C19C7"/>
    <w:rsid w:val="61BA574D"/>
    <w:rsid w:val="61D23C27"/>
    <w:rsid w:val="61DC44FC"/>
    <w:rsid w:val="61DD03B3"/>
    <w:rsid w:val="61F70D99"/>
    <w:rsid w:val="62062B62"/>
    <w:rsid w:val="62250155"/>
    <w:rsid w:val="62285994"/>
    <w:rsid w:val="622F287E"/>
    <w:rsid w:val="62335D39"/>
    <w:rsid w:val="626B200B"/>
    <w:rsid w:val="626F0325"/>
    <w:rsid w:val="629F05DE"/>
    <w:rsid w:val="63427C35"/>
    <w:rsid w:val="634C5C33"/>
    <w:rsid w:val="63527926"/>
    <w:rsid w:val="635A34E1"/>
    <w:rsid w:val="63BD394B"/>
    <w:rsid w:val="63D63F11"/>
    <w:rsid w:val="63E63410"/>
    <w:rsid w:val="63EB6EEA"/>
    <w:rsid w:val="63F20007"/>
    <w:rsid w:val="640B1130"/>
    <w:rsid w:val="640F32B4"/>
    <w:rsid w:val="64533922"/>
    <w:rsid w:val="64745988"/>
    <w:rsid w:val="647D7E39"/>
    <w:rsid w:val="6488096B"/>
    <w:rsid w:val="648C045C"/>
    <w:rsid w:val="64B74DAD"/>
    <w:rsid w:val="64BD76AF"/>
    <w:rsid w:val="653D681B"/>
    <w:rsid w:val="653F727C"/>
    <w:rsid w:val="65477BB5"/>
    <w:rsid w:val="656774CE"/>
    <w:rsid w:val="659F1981"/>
    <w:rsid w:val="65A0151B"/>
    <w:rsid w:val="65BD4645"/>
    <w:rsid w:val="65D87056"/>
    <w:rsid w:val="65DB26B4"/>
    <w:rsid w:val="661C6631"/>
    <w:rsid w:val="662B04CA"/>
    <w:rsid w:val="663F36CE"/>
    <w:rsid w:val="66451270"/>
    <w:rsid w:val="6691341A"/>
    <w:rsid w:val="66C22666"/>
    <w:rsid w:val="66DA2B1D"/>
    <w:rsid w:val="66E0683D"/>
    <w:rsid w:val="67254B39"/>
    <w:rsid w:val="67341F17"/>
    <w:rsid w:val="6742082E"/>
    <w:rsid w:val="67572DD8"/>
    <w:rsid w:val="675D3FEF"/>
    <w:rsid w:val="67614281"/>
    <w:rsid w:val="67770271"/>
    <w:rsid w:val="679F4C2F"/>
    <w:rsid w:val="67A46177"/>
    <w:rsid w:val="67B37AAD"/>
    <w:rsid w:val="67B83316"/>
    <w:rsid w:val="67BA634C"/>
    <w:rsid w:val="67C02098"/>
    <w:rsid w:val="67ED12B9"/>
    <w:rsid w:val="680932C1"/>
    <w:rsid w:val="680B350F"/>
    <w:rsid w:val="682C57A5"/>
    <w:rsid w:val="6832167E"/>
    <w:rsid w:val="68440469"/>
    <w:rsid w:val="684D4516"/>
    <w:rsid w:val="68700039"/>
    <w:rsid w:val="687230EA"/>
    <w:rsid w:val="68A01D1C"/>
    <w:rsid w:val="68A234DF"/>
    <w:rsid w:val="68C6322C"/>
    <w:rsid w:val="68EA48EC"/>
    <w:rsid w:val="6901408C"/>
    <w:rsid w:val="690206B6"/>
    <w:rsid w:val="69442AB5"/>
    <w:rsid w:val="6949752B"/>
    <w:rsid w:val="696C085C"/>
    <w:rsid w:val="697B4DF8"/>
    <w:rsid w:val="698372D6"/>
    <w:rsid w:val="69A64D30"/>
    <w:rsid w:val="69DD21B0"/>
    <w:rsid w:val="69EF1F65"/>
    <w:rsid w:val="6A0D63C4"/>
    <w:rsid w:val="6A1768D6"/>
    <w:rsid w:val="6A1A6E5F"/>
    <w:rsid w:val="6A3F387A"/>
    <w:rsid w:val="6A47013E"/>
    <w:rsid w:val="6A4C4FE7"/>
    <w:rsid w:val="6A5207A3"/>
    <w:rsid w:val="6A523CDC"/>
    <w:rsid w:val="6A661574"/>
    <w:rsid w:val="6A7B6997"/>
    <w:rsid w:val="6A806889"/>
    <w:rsid w:val="6AA42500"/>
    <w:rsid w:val="6ACA1D64"/>
    <w:rsid w:val="6B677937"/>
    <w:rsid w:val="6B884BD1"/>
    <w:rsid w:val="6B9B64A5"/>
    <w:rsid w:val="6BA222EA"/>
    <w:rsid w:val="6BC96E53"/>
    <w:rsid w:val="6BF069E7"/>
    <w:rsid w:val="6C3C58D4"/>
    <w:rsid w:val="6C413425"/>
    <w:rsid w:val="6C417CF9"/>
    <w:rsid w:val="6C4312E7"/>
    <w:rsid w:val="6C4B3239"/>
    <w:rsid w:val="6C79281F"/>
    <w:rsid w:val="6CA53DFF"/>
    <w:rsid w:val="6CD94028"/>
    <w:rsid w:val="6CDE6C1F"/>
    <w:rsid w:val="6CF90430"/>
    <w:rsid w:val="6D2656CC"/>
    <w:rsid w:val="6D2671C4"/>
    <w:rsid w:val="6D5C0A56"/>
    <w:rsid w:val="6D6F7B61"/>
    <w:rsid w:val="6D74572C"/>
    <w:rsid w:val="6D96027F"/>
    <w:rsid w:val="6DAC440C"/>
    <w:rsid w:val="6DAE1F47"/>
    <w:rsid w:val="6DBF6490"/>
    <w:rsid w:val="6DD440B1"/>
    <w:rsid w:val="6DE3154C"/>
    <w:rsid w:val="6DED2E55"/>
    <w:rsid w:val="6E3A2CD6"/>
    <w:rsid w:val="6E3C74D5"/>
    <w:rsid w:val="6E3E57E7"/>
    <w:rsid w:val="6E41376D"/>
    <w:rsid w:val="6E6829CA"/>
    <w:rsid w:val="6EA0573A"/>
    <w:rsid w:val="6EE724C4"/>
    <w:rsid w:val="6F233D5B"/>
    <w:rsid w:val="6F4153BB"/>
    <w:rsid w:val="6F765580"/>
    <w:rsid w:val="6F8541A6"/>
    <w:rsid w:val="6F8B3670"/>
    <w:rsid w:val="6FA01D37"/>
    <w:rsid w:val="6FA35752"/>
    <w:rsid w:val="6FF675F6"/>
    <w:rsid w:val="70070C48"/>
    <w:rsid w:val="7079350C"/>
    <w:rsid w:val="70862203"/>
    <w:rsid w:val="70CA394F"/>
    <w:rsid w:val="70D8700F"/>
    <w:rsid w:val="70ED09E1"/>
    <w:rsid w:val="71000C9C"/>
    <w:rsid w:val="71240691"/>
    <w:rsid w:val="715220E5"/>
    <w:rsid w:val="7189296F"/>
    <w:rsid w:val="719808DD"/>
    <w:rsid w:val="721F1602"/>
    <w:rsid w:val="723018C4"/>
    <w:rsid w:val="723D66DF"/>
    <w:rsid w:val="72407F7E"/>
    <w:rsid w:val="728064B8"/>
    <w:rsid w:val="72AD2034"/>
    <w:rsid w:val="72BF41FF"/>
    <w:rsid w:val="72C7472E"/>
    <w:rsid w:val="730E4F4C"/>
    <w:rsid w:val="732450B3"/>
    <w:rsid w:val="732A020B"/>
    <w:rsid w:val="737A7695"/>
    <w:rsid w:val="73E90234"/>
    <w:rsid w:val="73ED106B"/>
    <w:rsid w:val="740A5BE8"/>
    <w:rsid w:val="741B341F"/>
    <w:rsid w:val="7422512A"/>
    <w:rsid w:val="742B5941"/>
    <w:rsid w:val="74341F76"/>
    <w:rsid w:val="74576977"/>
    <w:rsid w:val="746464FE"/>
    <w:rsid w:val="746E05AD"/>
    <w:rsid w:val="747C4E62"/>
    <w:rsid w:val="74854658"/>
    <w:rsid w:val="748E206D"/>
    <w:rsid w:val="7491269B"/>
    <w:rsid w:val="74977F33"/>
    <w:rsid w:val="74B05252"/>
    <w:rsid w:val="74F055BB"/>
    <w:rsid w:val="74F82FA3"/>
    <w:rsid w:val="753638E6"/>
    <w:rsid w:val="756403DE"/>
    <w:rsid w:val="757F0090"/>
    <w:rsid w:val="75C35153"/>
    <w:rsid w:val="75E910F9"/>
    <w:rsid w:val="75F06371"/>
    <w:rsid w:val="75F22C6F"/>
    <w:rsid w:val="75FE7091"/>
    <w:rsid w:val="763E6BA6"/>
    <w:rsid w:val="769F161C"/>
    <w:rsid w:val="76D45A3A"/>
    <w:rsid w:val="76D76923"/>
    <w:rsid w:val="774C3C09"/>
    <w:rsid w:val="776155EB"/>
    <w:rsid w:val="77BC650A"/>
    <w:rsid w:val="77D92DB0"/>
    <w:rsid w:val="77E10702"/>
    <w:rsid w:val="783A4F8D"/>
    <w:rsid w:val="78442EF8"/>
    <w:rsid w:val="78511348"/>
    <w:rsid w:val="786605DE"/>
    <w:rsid w:val="788214B7"/>
    <w:rsid w:val="78946E88"/>
    <w:rsid w:val="78BE7535"/>
    <w:rsid w:val="78CE0BEB"/>
    <w:rsid w:val="78DD1431"/>
    <w:rsid w:val="79237F98"/>
    <w:rsid w:val="79297266"/>
    <w:rsid w:val="79384252"/>
    <w:rsid w:val="797B0D29"/>
    <w:rsid w:val="79886914"/>
    <w:rsid w:val="79A202F8"/>
    <w:rsid w:val="79B7342D"/>
    <w:rsid w:val="79C618C2"/>
    <w:rsid w:val="7A1216AE"/>
    <w:rsid w:val="7A156E07"/>
    <w:rsid w:val="7A56251D"/>
    <w:rsid w:val="7A5F528B"/>
    <w:rsid w:val="7A6B663C"/>
    <w:rsid w:val="7A6C49DC"/>
    <w:rsid w:val="7A8141C6"/>
    <w:rsid w:val="7A8D2523"/>
    <w:rsid w:val="7A977F80"/>
    <w:rsid w:val="7AA80EC3"/>
    <w:rsid w:val="7AD41939"/>
    <w:rsid w:val="7B0D1BCA"/>
    <w:rsid w:val="7B101549"/>
    <w:rsid w:val="7B2800CA"/>
    <w:rsid w:val="7B312A5B"/>
    <w:rsid w:val="7B7B7DFB"/>
    <w:rsid w:val="7B8A6A1E"/>
    <w:rsid w:val="7B942659"/>
    <w:rsid w:val="7BC62CCF"/>
    <w:rsid w:val="7BDF4EBD"/>
    <w:rsid w:val="7BEA510C"/>
    <w:rsid w:val="7BEE3F9C"/>
    <w:rsid w:val="7C212D9B"/>
    <w:rsid w:val="7C244A7D"/>
    <w:rsid w:val="7C2F6CBD"/>
    <w:rsid w:val="7C9F63DA"/>
    <w:rsid w:val="7CA800BE"/>
    <w:rsid w:val="7CD35D60"/>
    <w:rsid w:val="7CEA57AB"/>
    <w:rsid w:val="7CF115A9"/>
    <w:rsid w:val="7D034595"/>
    <w:rsid w:val="7D1B3DE1"/>
    <w:rsid w:val="7D20578D"/>
    <w:rsid w:val="7D374B5B"/>
    <w:rsid w:val="7D405CBE"/>
    <w:rsid w:val="7D5C7281"/>
    <w:rsid w:val="7D637428"/>
    <w:rsid w:val="7D6734F0"/>
    <w:rsid w:val="7D6F2AA3"/>
    <w:rsid w:val="7D703933"/>
    <w:rsid w:val="7D932B97"/>
    <w:rsid w:val="7DD57618"/>
    <w:rsid w:val="7DDB1943"/>
    <w:rsid w:val="7DDC6163"/>
    <w:rsid w:val="7E264AF7"/>
    <w:rsid w:val="7E3E65BA"/>
    <w:rsid w:val="7E507A3F"/>
    <w:rsid w:val="7E6D2F66"/>
    <w:rsid w:val="7E9E696A"/>
    <w:rsid w:val="7EB6755E"/>
    <w:rsid w:val="7ED22CBB"/>
    <w:rsid w:val="7EF16182"/>
    <w:rsid w:val="7EF509B9"/>
    <w:rsid w:val="7EFC5AA6"/>
    <w:rsid w:val="7F085EB2"/>
    <w:rsid w:val="7F75661B"/>
    <w:rsid w:val="7F7B7036"/>
    <w:rsid w:val="7F97608A"/>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uiPriority="39" w:name="toc 4" w:locked="1"/>
    <w:lsdException w:qFormat="1" w:unhideWhenUsed="0" w:uiPriority="0" w:semiHidden="0"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autoRedefine/>
    <w:qFormat/>
    <w:uiPriority w:val="0"/>
    <w:pPr>
      <w:keepNext/>
      <w:jc w:val="center"/>
      <w:outlineLvl w:val="0"/>
    </w:pPr>
    <w:rPr>
      <w:rFonts w:ascii="黑体" w:eastAsia="黑体"/>
      <w:sz w:val="28"/>
    </w:rPr>
  </w:style>
  <w:style w:type="paragraph" w:styleId="3">
    <w:name w:val="heading 2"/>
    <w:basedOn w:val="1"/>
    <w:next w:val="1"/>
    <w:link w:val="53"/>
    <w:autoRedefine/>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link w:val="54"/>
    <w:autoRedefine/>
    <w:qFormat/>
    <w:uiPriority w:val="0"/>
    <w:pPr>
      <w:keepNext/>
      <w:spacing w:line="320" w:lineRule="exact"/>
      <w:outlineLvl w:val="2"/>
    </w:pPr>
    <w:rPr>
      <w:rFonts w:ascii="楷体_GB2312" w:eastAsia="楷体_GB2312"/>
      <w:sz w:val="32"/>
    </w:rPr>
  </w:style>
  <w:style w:type="paragraph" w:styleId="5">
    <w:name w:val="heading 4"/>
    <w:basedOn w:val="1"/>
    <w:next w:val="1"/>
    <w:link w:val="55"/>
    <w:autoRedefine/>
    <w:qFormat/>
    <w:uiPriority w:val="99"/>
    <w:pPr>
      <w:keepNext/>
      <w:spacing w:line="600" w:lineRule="exact"/>
      <w:jc w:val="center"/>
      <w:outlineLvl w:val="3"/>
    </w:pPr>
    <w:rPr>
      <w:rFonts w:ascii="楷体_GB2312" w:eastAsia="楷体_GB2312"/>
      <w:sz w:val="32"/>
    </w:rPr>
  </w:style>
  <w:style w:type="paragraph" w:styleId="6">
    <w:name w:val="heading 5"/>
    <w:basedOn w:val="1"/>
    <w:next w:val="1"/>
    <w:link w:val="56"/>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57"/>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58"/>
    <w:autoRedefine/>
    <w:qFormat/>
    <w:uiPriority w:val="99"/>
    <w:pPr>
      <w:keepNext/>
      <w:keepLines/>
      <w:widowControl/>
      <w:spacing w:before="240" w:after="64" w:line="320" w:lineRule="auto"/>
      <w:jc w:val="left"/>
      <w:outlineLvl w:val="6"/>
    </w:pPr>
    <w:rPr>
      <w:b/>
      <w:bCs/>
      <w:kern w:val="0"/>
      <w:sz w:val="24"/>
      <w:szCs w:val="24"/>
    </w:rPr>
  </w:style>
  <w:style w:type="paragraph" w:styleId="9">
    <w:name w:val="heading 8"/>
    <w:basedOn w:val="1"/>
    <w:next w:val="1"/>
    <w:link w:val="59"/>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60"/>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96"/>
    <w:autoRedefine/>
    <w:qFormat/>
    <w:uiPriority w:val="0"/>
    <w:pPr>
      <w:ind w:firstLine="420"/>
    </w:pPr>
  </w:style>
  <w:style w:type="paragraph" w:styleId="12">
    <w:name w:val="Document Map"/>
    <w:basedOn w:val="1"/>
    <w:link w:val="61"/>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2"/>
    <w:autoRedefine/>
    <w:qFormat/>
    <w:uiPriority w:val="99"/>
    <w:pPr>
      <w:jc w:val="left"/>
    </w:pPr>
  </w:style>
  <w:style w:type="paragraph" w:styleId="15">
    <w:name w:val="Body Text 3"/>
    <w:basedOn w:val="1"/>
    <w:link w:val="63"/>
    <w:autoRedefine/>
    <w:qFormat/>
    <w:uiPriority w:val="99"/>
    <w:pPr>
      <w:jc w:val="center"/>
    </w:pPr>
    <w:rPr>
      <w:b/>
      <w:spacing w:val="-20"/>
      <w:w w:val="110"/>
      <w:sz w:val="52"/>
    </w:rPr>
  </w:style>
  <w:style w:type="paragraph" w:styleId="16">
    <w:name w:val="Body Text"/>
    <w:basedOn w:val="1"/>
    <w:next w:val="1"/>
    <w:link w:val="64"/>
    <w:autoRedefine/>
    <w:qFormat/>
    <w:uiPriority w:val="99"/>
    <w:pPr>
      <w:jc w:val="left"/>
    </w:pPr>
    <w:rPr>
      <w:rFonts w:ascii="Copperplate Gothic Bold" w:hAnsi="Copperplate Gothic Bold"/>
      <w:sz w:val="28"/>
    </w:rPr>
  </w:style>
  <w:style w:type="paragraph" w:styleId="17">
    <w:name w:val="Body Text Indent"/>
    <w:basedOn w:val="1"/>
    <w:next w:val="1"/>
    <w:link w:val="65"/>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index 4"/>
    <w:basedOn w:val="1"/>
    <w:next w:val="1"/>
    <w:qFormat/>
    <w:locked/>
    <w:uiPriority w:val="0"/>
    <w:pPr>
      <w:ind w:left="600" w:leftChars="600"/>
    </w:pPr>
    <w:rPr>
      <w:szCs w:val="24"/>
    </w:rPr>
  </w:style>
  <w:style w:type="paragraph" w:styleId="20">
    <w:name w:val="toc 5"/>
    <w:basedOn w:val="1"/>
    <w:next w:val="1"/>
    <w:autoRedefine/>
    <w:qFormat/>
    <w:locked/>
    <w:uiPriority w:val="0"/>
    <w:pPr>
      <w:ind w:left="1680" w:leftChars="800"/>
    </w:pPr>
    <w:rPr>
      <w:rFonts w:ascii="Calibri" w:hAnsi="Calibri" w:cs="Times New Roman"/>
    </w:rPr>
  </w:style>
  <w:style w:type="paragraph" w:styleId="21">
    <w:name w:val="toc 3"/>
    <w:basedOn w:val="1"/>
    <w:next w:val="1"/>
    <w:autoRedefine/>
    <w:qFormat/>
    <w:uiPriority w:val="99"/>
    <w:pPr>
      <w:ind w:left="840" w:leftChars="400"/>
    </w:pPr>
    <w:rPr>
      <w:szCs w:val="24"/>
    </w:rPr>
  </w:style>
  <w:style w:type="paragraph" w:styleId="22">
    <w:name w:val="Plain Text"/>
    <w:basedOn w:val="1"/>
    <w:link w:val="66"/>
    <w:autoRedefine/>
    <w:qFormat/>
    <w:uiPriority w:val="99"/>
    <w:rPr>
      <w:rFonts w:ascii="宋体" w:hAnsi="Courier New"/>
    </w:rPr>
  </w:style>
  <w:style w:type="paragraph" w:styleId="23">
    <w:name w:val="Date"/>
    <w:basedOn w:val="1"/>
    <w:next w:val="1"/>
    <w:link w:val="67"/>
    <w:autoRedefine/>
    <w:qFormat/>
    <w:uiPriority w:val="99"/>
    <w:rPr>
      <w:rFonts w:ascii="Copperplate Gothic Bold" w:hAnsi="Copperplate Gothic Bold"/>
      <w:sz w:val="32"/>
    </w:rPr>
  </w:style>
  <w:style w:type="paragraph" w:styleId="24">
    <w:name w:val="Body Text Indent 2"/>
    <w:basedOn w:val="1"/>
    <w:link w:val="68"/>
    <w:autoRedefine/>
    <w:qFormat/>
    <w:uiPriority w:val="99"/>
    <w:pPr>
      <w:spacing w:line="640" w:lineRule="exact"/>
      <w:ind w:firstLine="645"/>
    </w:pPr>
    <w:rPr>
      <w:rFonts w:ascii="楷体_GB2312" w:eastAsia="楷体_GB2312"/>
      <w:sz w:val="32"/>
    </w:rPr>
  </w:style>
  <w:style w:type="paragraph" w:styleId="25">
    <w:name w:val="Balloon Text"/>
    <w:basedOn w:val="1"/>
    <w:link w:val="69"/>
    <w:autoRedefine/>
    <w:qFormat/>
    <w:uiPriority w:val="99"/>
    <w:rPr>
      <w:sz w:val="18"/>
      <w:szCs w:val="18"/>
    </w:rPr>
  </w:style>
  <w:style w:type="paragraph" w:styleId="26">
    <w:name w:val="footer"/>
    <w:basedOn w:val="1"/>
    <w:next w:val="16"/>
    <w:link w:val="70"/>
    <w:autoRedefine/>
    <w:qFormat/>
    <w:uiPriority w:val="99"/>
    <w:pPr>
      <w:tabs>
        <w:tab w:val="center" w:pos="4153"/>
        <w:tab w:val="right" w:pos="8306"/>
      </w:tabs>
      <w:snapToGrid w:val="0"/>
      <w:jc w:val="left"/>
    </w:pPr>
    <w:rPr>
      <w:sz w:val="18"/>
      <w:szCs w:val="18"/>
    </w:rPr>
  </w:style>
  <w:style w:type="paragraph" w:styleId="27">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9060"/>
      </w:tabs>
      <w:spacing w:line="720" w:lineRule="auto"/>
    </w:pPr>
    <w:rPr>
      <w:szCs w:val="24"/>
    </w:rPr>
  </w:style>
  <w:style w:type="paragraph" w:styleId="29">
    <w:name w:val="Body Text Indent 3"/>
    <w:basedOn w:val="1"/>
    <w:link w:val="72"/>
    <w:autoRedefine/>
    <w:qFormat/>
    <w:uiPriority w:val="99"/>
    <w:pPr>
      <w:ind w:firstLine="645"/>
    </w:pPr>
    <w:rPr>
      <w:rFonts w:ascii="宋体" w:hAnsi="Copperplate Gothic Bold"/>
      <w:sz w:val="28"/>
    </w:rPr>
  </w:style>
  <w:style w:type="paragraph" w:styleId="30">
    <w:name w:val="toc 2"/>
    <w:basedOn w:val="1"/>
    <w:next w:val="1"/>
    <w:autoRedefine/>
    <w:qFormat/>
    <w:uiPriority w:val="99"/>
    <w:pPr>
      <w:ind w:left="420" w:leftChars="200"/>
    </w:pPr>
    <w:rPr>
      <w:szCs w:val="24"/>
    </w:rPr>
  </w:style>
  <w:style w:type="paragraph" w:styleId="31">
    <w:name w:val="Body Text 2"/>
    <w:basedOn w:val="1"/>
    <w:link w:val="73"/>
    <w:autoRedefine/>
    <w:qFormat/>
    <w:uiPriority w:val="99"/>
    <w:rPr>
      <w:rFonts w:ascii="楷体_GB2312" w:hAnsi="Copperplate Gothic Bold" w:eastAsia="楷体_GB2312"/>
      <w:sz w:val="28"/>
    </w:rPr>
  </w:style>
  <w:style w:type="paragraph" w:styleId="3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autoRedefine/>
    <w:qFormat/>
    <w:locked/>
    <w:uiPriority w:val="0"/>
  </w:style>
  <w:style w:type="paragraph" w:styleId="34">
    <w:name w:val="Title"/>
    <w:basedOn w:val="1"/>
    <w:link w:val="74"/>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5">
    <w:name w:val="Body Text First Indent"/>
    <w:basedOn w:val="16"/>
    <w:next w:val="36"/>
    <w:autoRedefine/>
    <w:qFormat/>
    <w:locked/>
    <w:uiPriority w:val="0"/>
    <w:pPr>
      <w:adjustRightInd w:val="0"/>
      <w:spacing w:after="0"/>
      <w:ind w:firstLine="420"/>
      <w:jc w:val="left"/>
      <w:textAlignment w:val="baseline"/>
    </w:pPr>
    <w:rPr>
      <w:kern w:val="0"/>
    </w:rPr>
  </w:style>
  <w:style w:type="paragraph" w:styleId="36">
    <w:name w:val="Body Text First Indent 2"/>
    <w:basedOn w:val="17"/>
    <w:next w:val="16"/>
    <w:autoRedefine/>
    <w:qFormat/>
    <w:locked/>
    <w:uiPriority w:val="99"/>
  </w:style>
  <w:style w:type="table" w:styleId="38">
    <w:name w:val="Table Grid"/>
    <w:basedOn w:val="3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cs="Times New Roman"/>
      <w:b/>
    </w:rPr>
  </w:style>
  <w:style w:type="character" w:styleId="41">
    <w:name w:val="page number"/>
    <w:basedOn w:val="39"/>
    <w:autoRedefine/>
    <w:qFormat/>
    <w:uiPriority w:val="99"/>
    <w:rPr>
      <w:rFonts w:cs="Times New Roman"/>
    </w:rPr>
  </w:style>
  <w:style w:type="character" w:styleId="42">
    <w:name w:val="FollowedHyperlink"/>
    <w:basedOn w:val="39"/>
    <w:autoRedefine/>
    <w:qFormat/>
    <w:uiPriority w:val="99"/>
    <w:rPr>
      <w:rFonts w:cs="Times New Roman"/>
      <w:color w:val="800080"/>
      <w:u w:val="single"/>
    </w:rPr>
  </w:style>
  <w:style w:type="character" w:styleId="43">
    <w:name w:val="Emphasis"/>
    <w:basedOn w:val="39"/>
    <w:autoRedefine/>
    <w:qFormat/>
    <w:uiPriority w:val="99"/>
    <w:rPr>
      <w:rFonts w:cs="Times New Roman"/>
      <w:i/>
      <w:iCs/>
    </w:rPr>
  </w:style>
  <w:style w:type="character" w:styleId="44">
    <w:name w:val="Hyperlink"/>
    <w:basedOn w:val="39"/>
    <w:autoRedefine/>
    <w:qFormat/>
    <w:uiPriority w:val="99"/>
    <w:rPr>
      <w:rFonts w:cs="Times New Roman"/>
      <w:color w:val="0000FF"/>
      <w:u w:val="single"/>
    </w:rPr>
  </w:style>
  <w:style w:type="character" w:styleId="45">
    <w:name w:val="annotation reference"/>
    <w:basedOn w:val="39"/>
    <w:autoRedefine/>
    <w:qFormat/>
    <w:uiPriority w:val="99"/>
    <w:rPr>
      <w:rFonts w:cs="Times New Roman"/>
      <w:sz w:val="21"/>
    </w:rPr>
  </w:style>
  <w:style w:type="paragraph" w:customStyle="1" w:styleId="46">
    <w:name w:val="font5"/>
    <w:basedOn w:val="1"/>
    <w:autoRedefine/>
    <w:qFormat/>
    <w:uiPriority w:val="0"/>
    <w:pPr>
      <w:widowControl/>
      <w:spacing w:before="100" w:beforeAutospacing="1" w:after="100" w:afterAutospacing="1"/>
      <w:jc w:val="left"/>
    </w:pPr>
    <w:rPr>
      <w:rFonts w:ascii="宋体"/>
      <w:kern w:val="0"/>
      <w:sz w:val="24"/>
      <w:szCs w:val="24"/>
    </w:rPr>
  </w:style>
  <w:style w:type="paragraph" w:customStyle="1" w:styleId="47">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BodyText"/>
    <w:basedOn w:val="1"/>
    <w:next w:val="1"/>
    <w:autoRedefine/>
    <w:qFormat/>
    <w:uiPriority w:val="0"/>
    <w:pPr>
      <w:spacing w:after="120"/>
    </w:pPr>
    <w:rPr>
      <w:rFonts w:ascii="Calibri" w:hAnsi="Calibri"/>
    </w:rPr>
  </w:style>
  <w:style w:type="paragraph" w:styleId="49">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1">
    <w:name w:val="列出段落1"/>
    <w:basedOn w:val="1"/>
    <w:autoRedefine/>
    <w:qFormat/>
    <w:uiPriority w:val="99"/>
    <w:pPr>
      <w:ind w:firstLine="420" w:firstLineChars="200"/>
    </w:pPr>
  </w:style>
  <w:style w:type="character" w:customStyle="1" w:styleId="52">
    <w:name w:val="标题 1 Char"/>
    <w:basedOn w:val="39"/>
    <w:link w:val="2"/>
    <w:autoRedefine/>
    <w:qFormat/>
    <w:locked/>
    <w:uiPriority w:val="0"/>
    <w:rPr>
      <w:rFonts w:ascii="黑体" w:hAnsi="Times New Roman" w:eastAsia="黑体" w:cs="Times New Roman"/>
      <w:sz w:val="20"/>
      <w:szCs w:val="20"/>
    </w:rPr>
  </w:style>
  <w:style w:type="character" w:customStyle="1" w:styleId="53">
    <w:name w:val="标题 2 Char"/>
    <w:basedOn w:val="39"/>
    <w:link w:val="3"/>
    <w:autoRedefine/>
    <w:qFormat/>
    <w:locked/>
    <w:uiPriority w:val="0"/>
    <w:rPr>
      <w:rFonts w:ascii="黑体" w:hAnsi="Copperplate Gothic Bold" w:eastAsia="楷体_GB2312" w:cs="Times New Roman"/>
      <w:sz w:val="20"/>
      <w:szCs w:val="20"/>
    </w:rPr>
  </w:style>
  <w:style w:type="character" w:customStyle="1" w:styleId="54">
    <w:name w:val="标题 3 Char"/>
    <w:basedOn w:val="39"/>
    <w:link w:val="4"/>
    <w:autoRedefine/>
    <w:qFormat/>
    <w:locked/>
    <w:uiPriority w:val="0"/>
    <w:rPr>
      <w:rFonts w:ascii="楷体_GB2312" w:hAnsi="Times New Roman" w:eastAsia="楷体_GB2312" w:cs="Times New Roman"/>
      <w:sz w:val="20"/>
      <w:szCs w:val="20"/>
    </w:rPr>
  </w:style>
  <w:style w:type="character" w:customStyle="1" w:styleId="55">
    <w:name w:val="标题 4 Char"/>
    <w:basedOn w:val="39"/>
    <w:link w:val="5"/>
    <w:autoRedefine/>
    <w:qFormat/>
    <w:locked/>
    <w:uiPriority w:val="99"/>
    <w:rPr>
      <w:rFonts w:ascii="楷体_GB2312" w:hAnsi="Times New Roman" w:eastAsia="楷体_GB2312" w:cs="Times New Roman"/>
      <w:sz w:val="20"/>
      <w:szCs w:val="20"/>
    </w:rPr>
  </w:style>
  <w:style w:type="character" w:customStyle="1" w:styleId="56">
    <w:name w:val="标题 5 Char"/>
    <w:basedOn w:val="39"/>
    <w:link w:val="6"/>
    <w:autoRedefine/>
    <w:qFormat/>
    <w:locked/>
    <w:uiPriority w:val="99"/>
    <w:rPr>
      <w:rFonts w:cs="Times New Roman"/>
      <w:b/>
      <w:bCs/>
      <w:kern w:val="2"/>
      <w:sz w:val="28"/>
      <w:szCs w:val="28"/>
    </w:rPr>
  </w:style>
  <w:style w:type="character" w:customStyle="1" w:styleId="57">
    <w:name w:val="标题 6 Char"/>
    <w:basedOn w:val="39"/>
    <w:link w:val="7"/>
    <w:autoRedefine/>
    <w:qFormat/>
    <w:locked/>
    <w:uiPriority w:val="99"/>
    <w:rPr>
      <w:rFonts w:ascii="Arial" w:hAnsi="Arial" w:eastAsia="黑体" w:cs="Times New Roman"/>
      <w:b/>
      <w:bCs/>
      <w:sz w:val="24"/>
      <w:szCs w:val="24"/>
    </w:rPr>
  </w:style>
  <w:style w:type="character" w:customStyle="1" w:styleId="58">
    <w:name w:val="标题 7 Char"/>
    <w:basedOn w:val="39"/>
    <w:link w:val="8"/>
    <w:autoRedefine/>
    <w:qFormat/>
    <w:locked/>
    <w:uiPriority w:val="99"/>
    <w:rPr>
      <w:rFonts w:cs="Times New Roman"/>
      <w:b/>
      <w:bCs/>
      <w:sz w:val="24"/>
      <w:szCs w:val="24"/>
    </w:rPr>
  </w:style>
  <w:style w:type="character" w:customStyle="1" w:styleId="59">
    <w:name w:val="标题 8 Char"/>
    <w:basedOn w:val="39"/>
    <w:link w:val="9"/>
    <w:autoRedefine/>
    <w:qFormat/>
    <w:locked/>
    <w:uiPriority w:val="99"/>
    <w:rPr>
      <w:rFonts w:ascii="Arial" w:hAnsi="Arial" w:eastAsia="黑体" w:cs="Times New Roman"/>
      <w:sz w:val="24"/>
      <w:szCs w:val="24"/>
    </w:rPr>
  </w:style>
  <w:style w:type="character" w:customStyle="1" w:styleId="60">
    <w:name w:val="标题 9 Char"/>
    <w:basedOn w:val="39"/>
    <w:link w:val="10"/>
    <w:autoRedefine/>
    <w:qFormat/>
    <w:locked/>
    <w:uiPriority w:val="99"/>
    <w:rPr>
      <w:rFonts w:ascii="Arial" w:hAnsi="Arial" w:eastAsia="黑体" w:cs="Times New Roman"/>
      <w:sz w:val="21"/>
      <w:szCs w:val="21"/>
    </w:rPr>
  </w:style>
  <w:style w:type="character" w:customStyle="1" w:styleId="61">
    <w:name w:val="文档结构图 Char"/>
    <w:basedOn w:val="39"/>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2">
    <w:name w:val="批注文字 Char"/>
    <w:basedOn w:val="39"/>
    <w:link w:val="14"/>
    <w:autoRedefine/>
    <w:semiHidden/>
    <w:qFormat/>
    <w:locked/>
    <w:uiPriority w:val="99"/>
    <w:rPr>
      <w:rFonts w:ascii="Times New Roman" w:hAnsi="Times New Roman" w:eastAsia="宋体" w:cs="Times New Roman"/>
      <w:sz w:val="20"/>
      <w:szCs w:val="20"/>
    </w:rPr>
  </w:style>
  <w:style w:type="character" w:customStyle="1" w:styleId="63">
    <w:name w:val="正文文本 3 Char"/>
    <w:basedOn w:val="39"/>
    <w:link w:val="15"/>
    <w:autoRedefine/>
    <w:qFormat/>
    <w:locked/>
    <w:uiPriority w:val="99"/>
    <w:rPr>
      <w:rFonts w:ascii="Times New Roman" w:hAnsi="Times New Roman" w:eastAsia="宋体" w:cs="Times New Roman"/>
      <w:b/>
      <w:spacing w:val="-20"/>
      <w:w w:val="110"/>
      <w:sz w:val="20"/>
      <w:szCs w:val="20"/>
    </w:rPr>
  </w:style>
  <w:style w:type="character" w:customStyle="1" w:styleId="64">
    <w:name w:val="正文文本 Char"/>
    <w:basedOn w:val="39"/>
    <w:link w:val="16"/>
    <w:autoRedefine/>
    <w:qFormat/>
    <w:locked/>
    <w:uiPriority w:val="99"/>
    <w:rPr>
      <w:rFonts w:ascii="Copperplate Gothic Bold" w:hAnsi="Copperplate Gothic Bold" w:eastAsia="宋体" w:cs="Times New Roman"/>
      <w:sz w:val="20"/>
      <w:szCs w:val="20"/>
    </w:rPr>
  </w:style>
  <w:style w:type="character" w:customStyle="1" w:styleId="65">
    <w:name w:val="正文文本缩进 Char"/>
    <w:basedOn w:val="39"/>
    <w:link w:val="17"/>
    <w:autoRedefine/>
    <w:qFormat/>
    <w:locked/>
    <w:uiPriority w:val="99"/>
    <w:rPr>
      <w:rFonts w:ascii="楷体_GB2312" w:hAnsi="Times New Roman" w:eastAsia="楷体_GB2312" w:cs="Times New Roman"/>
      <w:sz w:val="20"/>
      <w:szCs w:val="20"/>
    </w:rPr>
  </w:style>
  <w:style w:type="character" w:customStyle="1" w:styleId="66">
    <w:name w:val="纯文本 Char"/>
    <w:basedOn w:val="39"/>
    <w:link w:val="22"/>
    <w:autoRedefine/>
    <w:qFormat/>
    <w:locked/>
    <w:uiPriority w:val="99"/>
    <w:rPr>
      <w:rFonts w:ascii="宋体" w:hAnsi="Courier New" w:eastAsia="宋体" w:cs="Times New Roman"/>
      <w:sz w:val="20"/>
      <w:szCs w:val="20"/>
    </w:rPr>
  </w:style>
  <w:style w:type="character" w:customStyle="1" w:styleId="67">
    <w:name w:val="日期 Char"/>
    <w:basedOn w:val="39"/>
    <w:link w:val="23"/>
    <w:autoRedefine/>
    <w:qFormat/>
    <w:locked/>
    <w:uiPriority w:val="99"/>
    <w:rPr>
      <w:rFonts w:ascii="Copperplate Gothic Bold" w:hAnsi="Copperplate Gothic Bold" w:eastAsia="宋体" w:cs="Times New Roman"/>
      <w:sz w:val="20"/>
      <w:szCs w:val="20"/>
    </w:rPr>
  </w:style>
  <w:style w:type="character" w:customStyle="1" w:styleId="68">
    <w:name w:val="正文文本缩进 2 Char"/>
    <w:basedOn w:val="39"/>
    <w:link w:val="24"/>
    <w:autoRedefine/>
    <w:qFormat/>
    <w:locked/>
    <w:uiPriority w:val="99"/>
    <w:rPr>
      <w:rFonts w:ascii="楷体_GB2312" w:hAnsi="Times New Roman" w:eastAsia="楷体_GB2312" w:cs="Times New Roman"/>
      <w:sz w:val="20"/>
      <w:szCs w:val="20"/>
    </w:rPr>
  </w:style>
  <w:style w:type="character" w:customStyle="1" w:styleId="69">
    <w:name w:val="批注框文本 Char"/>
    <w:basedOn w:val="39"/>
    <w:link w:val="25"/>
    <w:autoRedefine/>
    <w:semiHidden/>
    <w:qFormat/>
    <w:locked/>
    <w:uiPriority w:val="99"/>
    <w:rPr>
      <w:rFonts w:ascii="Times New Roman" w:hAnsi="Times New Roman" w:eastAsia="宋体" w:cs="Times New Roman"/>
      <w:sz w:val="18"/>
      <w:szCs w:val="18"/>
    </w:rPr>
  </w:style>
  <w:style w:type="character" w:customStyle="1" w:styleId="70">
    <w:name w:val="页脚 Char"/>
    <w:basedOn w:val="39"/>
    <w:link w:val="26"/>
    <w:autoRedefine/>
    <w:qFormat/>
    <w:locked/>
    <w:uiPriority w:val="99"/>
    <w:rPr>
      <w:rFonts w:cs="Times New Roman"/>
      <w:sz w:val="18"/>
      <w:szCs w:val="18"/>
    </w:rPr>
  </w:style>
  <w:style w:type="character" w:customStyle="1" w:styleId="71">
    <w:name w:val="页眉 Char"/>
    <w:basedOn w:val="39"/>
    <w:link w:val="27"/>
    <w:autoRedefine/>
    <w:qFormat/>
    <w:locked/>
    <w:uiPriority w:val="99"/>
    <w:rPr>
      <w:rFonts w:cs="Times New Roman"/>
      <w:sz w:val="18"/>
      <w:szCs w:val="18"/>
    </w:rPr>
  </w:style>
  <w:style w:type="character" w:customStyle="1" w:styleId="72">
    <w:name w:val="正文文本缩进 3 Char"/>
    <w:basedOn w:val="39"/>
    <w:link w:val="29"/>
    <w:autoRedefine/>
    <w:qFormat/>
    <w:locked/>
    <w:uiPriority w:val="99"/>
    <w:rPr>
      <w:rFonts w:ascii="宋体" w:hAnsi="Copperplate Gothic Bold" w:eastAsia="宋体" w:cs="Times New Roman"/>
      <w:sz w:val="20"/>
      <w:szCs w:val="20"/>
    </w:rPr>
  </w:style>
  <w:style w:type="character" w:customStyle="1" w:styleId="73">
    <w:name w:val="正文文本 2 Char"/>
    <w:basedOn w:val="39"/>
    <w:link w:val="31"/>
    <w:autoRedefine/>
    <w:qFormat/>
    <w:locked/>
    <w:uiPriority w:val="99"/>
    <w:rPr>
      <w:rFonts w:ascii="楷体_GB2312" w:hAnsi="Copperplate Gothic Bold" w:eastAsia="楷体_GB2312" w:cs="Times New Roman"/>
      <w:sz w:val="20"/>
      <w:szCs w:val="20"/>
    </w:rPr>
  </w:style>
  <w:style w:type="character" w:customStyle="1" w:styleId="74">
    <w:name w:val="标题 Char"/>
    <w:basedOn w:val="39"/>
    <w:link w:val="34"/>
    <w:autoRedefine/>
    <w:qFormat/>
    <w:locked/>
    <w:uiPriority w:val="99"/>
    <w:rPr>
      <w:rFonts w:ascii="Arial" w:hAnsi="Arial" w:eastAsia="楷体_GB2312" w:cs="Arial"/>
      <w:b/>
      <w:sz w:val="32"/>
      <w:szCs w:val="32"/>
    </w:rPr>
  </w:style>
  <w:style w:type="paragraph" w:customStyle="1" w:styleId="75">
    <w:name w:val="缺省文本"/>
    <w:basedOn w:val="1"/>
    <w:autoRedefine/>
    <w:qFormat/>
    <w:uiPriority w:val="99"/>
    <w:pPr>
      <w:autoSpaceDE w:val="0"/>
      <w:autoSpaceDN w:val="0"/>
      <w:adjustRightInd w:val="0"/>
      <w:jc w:val="left"/>
    </w:pPr>
    <w:rPr>
      <w:kern w:val="0"/>
      <w:sz w:val="24"/>
    </w:rPr>
  </w:style>
  <w:style w:type="paragraph" w:customStyle="1" w:styleId="76">
    <w:name w:val="??¨???¨????ì?¨¨??¨?o??????ì?¨¨?"/>
    <w:basedOn w:val="1"/>
    <w:autoRedefine/>
    <w:qFormat/>
    <w:uiPriority w:val="99"/>
    <w:pPr>
      <w:autoSpaceDE w:val="0"/>
      <w:autoSpaceDN w:val="0"/>
      <w:adjustRightInd w:val="0"/>
      <w:jc w:val="left"/>
    </w:pPr>
    <w:rPr>
      <w:kern w:val="0"/>
      <w:sz w:val="24"/>
    </w:rPr>
  </w:style>
  <w:style w:type="paragraph" w:customStyle="1" w:styleId="77">
    <w:name w:val="?§?§?¨¤?§o????¨¤?"/>
    <w:basedOn w:val="1"/>
    <w:autoRedefine/>
    <w:qFormat/>
    <w:uiPriority w:val="99"/>
    <w:pPr>
      <w:autoSpaceDE w:val="0"/>
      <w:autoSpaceDN w:val="0"/>
      <w:adjustRightInd w:val="0"/>
      <w:jc w:val="left"/>
    </w:pPr>
    <w:rPr>
      <w:kern w:val="0"/>
      <w:sz w:val="24"/>
    </w:rPr>
  </w:style>
  <w:style w:type="paragraph" w:customStyle="1" w:styleId="78">
    <w:name w:val="正文段"/>
    <w:basedOn w:val="1"/>
    <w:autoRedefine/>
    <w:qFormat/>
    <w:uiPriority w:val="99"/>
    <w:pPr>
      <w:adjustRightInd w:val="0"/>
      <w:snapToGrid w:val="0"/>
      <w:spacing w:line="360" w:lineRule="auto"/>
    </w:pPr>
    <w:rPr>
      <w:rFonts w:eastAsia="仿宋_GB2312"/>
      <w:spacing w:val="-8"/>
      <w:sz w:val="24"/>
    </w:rPr>
  </w:style>
  <w:style w:type="paragraph" w:customStyle="1" w:styleId="79">
    <w:name w:val="Char"/>
    <w:basedOn w:val="1"/>
    <w:autoRedefine/>
    <w:qFormat/>
    <w:uiPriority w:val="99"/>
    <w:rPr>
      <w:rFonts w:ascii="Tahoma" w:hAnsi="Tahoma"/>
      <w:sz w:val="24"/>
    </w:rPr>
  </w:style>
  <w:style w:type="paragraph" w:customStyle="1" w:styleId="80">
    <w:name w:val="Char Char Char"/>
    <w:basedOn w:val="1"/>
    <w:autoRedefine/>
    <w:qFormat/>
    <w:uiPriority w:val="99"/>
  </w:style>
  <w:style w:type="paragraph" w:customStyle="1" w:styleId="81">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2">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3">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5">
    <w:name w:val="图"/>
    <w:basedOn w:val="1"/>
    <w:next w:val="83"/>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6">
    <w:name w:val="Char1"/>
    <w:basedOn w:val="1"/>
    <w:autoRedefine/>
    <w:qFormat/>
    <w:uiPriority w:val="0"/>
    <w:pPr>
      <w:tabs>
        <w:tab w:val="left" w:pos="360"/>
      </w:tabs>
    </w:pPr>
    <w:rPr>
      <w:sz w:val="24"/>
      <w:szCs w:val="24"/>
    </w:rPr>
  </w:style>
  <w:style w:type="paragraph" w:customStyle="1" w:styleId="87">
    <w:name w:val="Char1 Char Char Char"/>
    <w:basedOn w:val="1"/>
    <w:autoRedefine/>
    <w:qFormat/>
    <w:uiPriority w:val="99"/>
    <w:rPr>
      <w:rFonts w:ascii="Tahoma" w:hAnsi="Tahoma"/>
      <w:szCs w:val="24"/>
    </w:rPr>
  </w:style>
  <w:style w:type="paragraph" w:customStyle="1" w:styleId="88">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9">
    <w:name w:val="Char Char Char Char1"/>
    <w:basedOn w:val="1"/>
    <w:autoRedefine/>
    <w:qFormat/>
    <w:uiPriority w:val="99"/>
    <w:pPr>
      <w:tabs>
        <w:tab w:val="left" w:pos="360"/>
      </w:tabs>
    </w:pPr>
    <w:rPr>
      <w:sz w:val="24"/>
      <w:szCs w:val="24"/>
    </w:rPr>
  </w:style>
  <w:style w:type="paragraph" w:customStyle="1" w:styleId="90">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91">
    <w:name w:val="正文基本样式"/>
    <w:basedOn w:val="1"/>
    <w:autoRedefine/>
    <w:qFormat/>
    <w:uiPriority w:val="99"/>
    <w:pPr>
      <w:spacing w:line="336" w:lineRule="auto"/>
      <w:ind w:firstLine="580"/>
    </w:pPr>
    <w:rPr>
      <w:rFonts w:eastAsia="仿宋_GB2312" w:cs="宋体"/>
      <w:sz w:val="28"/>
    </w:rPr>
  </w:style>
  <w:style w:type="character" w:customStyle="1" w:styleId="92">
    <w:name w:val="base"/>
    <w:basedOn w:val="39"/>
    <w:autoRedefine/>
    <w:qFormat/>
    <w:uiPriority w:val="99"/>
    <w:rPr>
      <w:rFonts w:cs="Times New Roman"/>
    </w:rPr>
  </w:style>
  <w:style w:type="character" w:customStyle="1" w:styleId="93">
    <w:name w:val="unnamed11"/>
    <w:basedOn w:val="39"/>
    <w:autoRedefine/>
    <w:qFormat/>
    <w:uiPriority w:val="99"/>
    <w:rPr>
      <w:rFonts w:cs="Times New Roman"/>
    </w:rPr>
  </w:style>
  <w:style w:type="character" w:customStyle="1" w:styleId="94">
    <w:name w:val="style4"/>
    <w:basedOn w:val="39"/>
    <w:autoRedefine/>
    <w:qFormat/>
    <w:uiPriority w:val="99"/>
    <w:rPr>
      <w:rFonts w:ascii="Arial" w:hAnsi="Arial" w:cs="Arial"/>
      <w:sz w:val="20"/>
      <w:szCs w:val="20"/>
    </w:rPr>
  </w:style>
  <w:style w:type="character" w:customStyle="1" w:styleId="95">
    <w:name w:val="Char Char3"/>
    <w:basedOn w:val="39"/>
    <w:autoRedefine/>
    <w:qFormat/>
    <w:uiPriority w:val="99"/>
    <w:rPr>
      <w:rFonts w:eastAsia="宋体" w:cs="Times New Roman"/>
      <w:kern w:val="2"/>
      <w:sz w:val="18"/>
      <w:lang w:val="en-US" w:eastAsia="zh-CN" w:bidi="ar-SA"/>
    </w:rPr>
  </w:style>
  <w:style w:type="character" w:customStyle="1" w:styleId="96">
    <w:name w:val="正文缩进 Char"/>
    <w:basedOn w:val="39"/>
    <w:link w:val="11"/>
    <w:autoRedefine/>
    <w:qFormat/>
    <w:locked/>
    <w:uiPriority w:val="0"/>
    <w:rPr>
      <w:rFonts w:ascii="Times New Roman" w:hAnsi="Times New Roman" w:eastAsia="宋体" w:cs="Times New Roman"/>
      <w:sz w:val="20"/>
      <w:szCs w:val="20"/>
    </w:rPr>
  </w:style>
  <w:style w:type="character" w:customStyle="1" w:styleId="97">
    <w:name w:val="hui3"/>
    <w:basedOn w:val="39"/>
    <w:autoRedefine/>
    <w:qFormat/>
    <w:uiPriority w:val="99"/>
    <w:rPr>
      <w:rFonts w:cs="Times New Roman"/>
      <w:color w:val="333333"/>
    </w:rPr>
  </w:style>
  <w:style w:type="paragraph" w:customStyle="1" w:styleId="98">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9">
    <w:name w:val="Blockquote Char Char"/>
    <w:link w:val="100"/>
    <w:autoRedefine/>
    <w:qFormat/>
    <w:locked/>
    <w:uiPriority w:val="99"/>
    <w:rPr>
      <w:sz w:val="24"/>
    </w:rPr>
  </w:style>
  <w:style w:type="paragraph" w:customStyle="1" w:styleId="100">
    <w:name w:val="Blockquote"/>
    <w:basedOn w:val="1"/>
    <w:link w:val="99"/>
    <w:autoRedefine/>
    <w:qFormat/>
    <w:uiPriority w:val="99"/>
    <w:pPr>
      <w:autoSpaceDE w:val="0"/>
      <w:autoSpaceDN w:val="0"/>
      <w:adjustRightInd w:val="0"/>
      <w:spacing w:before="100" w:after="100"/>
      <w:ind w:left="360" w:right="360"/>
      <w:jc w:val="left"/>
    </w:pPr>
    <w:rPr>
      <w:kern w:val="0"/>
      <w:sz w:val="24"/>
    </w:rPr>
  </w:style>
  <w:style w:type="character" w:customStyle="1" w:styleId="101">
    <w:name w:val="rili11"/>
    <w:autoRedefine/>
    <w:qFormat/>
    <w:uiPriority w:val="99"/>
    <w:rPr>
      <w:sz w:val="21"/>
    </w:rPr>
  </w:style>
  <w:style w:type="character" w:customStyle="1" w:styleId="102">
    <w:name w:val="Char Char Char Char Char Char Char Char Char"/>
    <w:autoRedefine/>
    <w:qFormat/>
    <w:uiPriority w:val="99"/>
    <w:rPr>
      <w:sz w:val="18"/>
    </w:rPr>
  </w:style>
  <w:style w:type="paragraph" w:customStyle="1" w:styleId="103">
    <w:name w:val="Char2"/>
    <w:basedOn w:val="1"/>
    <w:autoRedefine/>
    <w:qFormat/>
    <w:uiPriority w:val="99"/>
    <w:pPr>
      <w:widowControl/>
      <w:spacing w:after="160" w:line="240" w:lineRule="exact"/>
      <w:jc w:val="left"/>
    </w:pPr>
    <w:rPr>
      <w:szCs w:val="24"/>
    </w:rPr>
  </w:style>
  <w:style w:type="paragraph" w:customStyle="1" w:styleId="104">
    <w:name w:val="表格文字"/>
    <w:basedOn w:val="1"/>
    <w:autoRedefine/>
    <w:qFormat/>
    <w:uiPriority w:val="99"/>
    <w:pPr>
      <w:adjustRightInd w:val="0"/>
      <w:spacing w:line="420" w:lineRule="atLeast"/>
      <w:jc w:val="left"/>
      <w:textAlignment w:val="baseline"/>
    </w:pPr>
    <w:rPr>
      <w:kern w:val="0"/>
    </w:rPr>
  </w:style>
  <w:style w:type="paragraph" w:customStyle="1" w:styleId="10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6">
    <w:name w:val="Char Char1"/>
    <w:basedOn w:val="1"/>
    <w:autoRedefine/>
    <w:qFormat/>
    <w:uiPriority w:val="99"/>
    <w:pPr>
      <w:adjustRightInd w:val="0"/>
      <w:spacing w:line="440" w:lineRule="exact"/>
    </w:pPr>
    <w:rPr>
      <w:rFonts w:ascii="宋体"/>
      <w:kern w:val="0"/>
      <w:sz w:val="28"/>
      <w:szCs w:val="27"/>
    </w:rPr>
  </w:style>
  <w:style w:type="paragraph" w:customStyle="1" w:styleId="107">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9">
    <w:name w:val="Char Char Char1"/>
    <w:basedOn w:val="1"/>
    <w:autoRedefine/>
    <w:qFormat/>
    <w:uiPriority w:val="99"/>
    <w:pPr>
      <w:widowControl/>
      <w:spacing w:after="160" w:line="240" w:lineRule="exact"/>
      <w:jc w:val="left"/>
    </w:pPr>
    <w:rPr>
      <w:szCs w:val="24"/>
    </w:rPr>
  </w:style>
  <w:style w:type="paragraph" w:customStyle="1" w:styleId="110">
    <w:name w:val="Char Char Char Char Char Char Char"/>
    <w:basedOn w:val="1"/>
    <w:autoRedefine/>
    <w:qFormat/>
    <w:uiPriority w:val="99"/>
    <w:rPr>
      <w:rFonts w:ascii="Tahoma" w:hAnsi="Tahoma"/>
      <w:sz w:val="24"/>
    </w:rPr>
  </w:style>
  <w:style w:type="paragraph" w:customStyle="1" w:styleId="111">
    <w:name w:val="Char Char Char Char Char Char Char1"/>
    <w:basedOn w:val="1"/>
    <w:autoRedefine/>
    <w:qFormat/>
    <w:uiPriority w:val="99"/>
    <w:rPr>
      <w:rFonts w:ascii="Tahoma" w:hAnsi="Tahoma"/>
      <w:sz w:val="24"/>
      <w:szCs w:val="24"/>
    </w:rPr>
  </w:style>
  <w:style w:type="paragraph" w:customStyle="1" w:styleId="112">
    <w:name w:val="目录"/>
    <w:basedOn w:val="1"/>
    <w:autoRedefine/>
    <w:qFormat/>
    <w:uiPriority w:val="99"/>
    <w:pPr>
      <w:widowControl/>
      <w:jc w:val="center"/>
    </w:pPr>
    <w:rPr>
      <w:rFonts w:ascii="宋体"/>
      <w:b/>
      <w:kern w:val="0"/>
      <w:sz w:val="36"/>
    </w:rPr>
  </w:style>
  <w:style w:type="paragraph" w:customStyle="1" w:styleId="113">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Char Char Char Char2"/>
    <w:basedOn w:val="1"/>
    <w:autoRedefine/>
    <w:qFormat/>
    <w:uiPriority w:val="99"/>
    <w:pPr>
      <w:widowControl/>
      <w:spacing w:after="160" w:line="240" w:lineRule="exact"/>
      <w:jc w:val="left"/>
    </w:pPr>
    <w:rPr>
      <w:szCs w:val="24"/>
    </w:rPr>
  </w:style>
  <w:style w:type="paragraph" w:customStyle="1" w:styleId="1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6">
    <w:name w:val="列出段落 Char"/>
    <w:link w:val="117"/>
    <w:autoRedefine/>
    <w:qFormat/>
    <w:uiPriority w:val="0"/>
    <w:rPr>
      <w:szCs w:val="24"/>
    </w:rPr>
  </w:style>
  <w:style w:type="paragraph" w:styleId="117">
    <w:name w:val="List Paragraph"/>
    <w:basedOn w:val="1"/>
    <w:link w:val="116"/>
    <w:autoRedefine/>
    <w:qFormat/>
    <w:uiPriority w:val="0"/>
    <w:pPr>
      <w:ind w:firstLine="420" w:firstLineChars="200"/>
    </w:pPr>
    <w:rPr>
      <w:szCs w:val="24"/>
    </w:rPr>
  </w:style>
  <w:style w:type="paragraph" w:customStyle="1" w:styleId="118">
    <w:name w:val="表格"/>
    <w:basedOn w:val="1"/>
    <w:autoRedefine/>
    <w:qFormat/>
    <w:uiPriority w:val="0"/>
    <w:pPr>
      <w:spacing w:line="400" w:lineRule="exact"/>
    </w:pPr>
    <w:rPr>
      <w:sz w:val="24"/>
      <w:szCs w:val="24"/>
    </w:rPr>
  </w:style>
  <w:style w:type="character" w:customStyle="1" w:styleId="119">
    <w:name w:val="font51"/>
    <w:basedOn w:val="39"/>
    <w:autoRedefine/>
    <w:qFormat/>
    <w:uiPriority w:val="0"/>
    <w:rPr>
      <w:rFonts w:hint="eastAsia" w:ascii="宋体" w:hAnsi="宋体" w:eastAsia="宋体" w:cs="宋体"/>
      <w:color w:val="000000"/>
      <w:sz w:val="24"/>
      <w:szCs w:val="24"/>
    </w:rPr>
  </w:style>
  <w:style w:type="paragraph" w:customStyle="1" w:styleId="12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1">
    <w:name w:val="font11"/>
    <w:basedOn w:val="39"/>
    <w:autoRedefine/>
    <w:qFormat/>
    <w:uiPriority w:val="0"/>
    <w:rPr>
      <w:rFonts w:hint="eastAsia" w:ascii="宋体" w:hAnsi="宋体" w:eastAsia="宋体" w:cs="宋体"/>
      <w:b/>
      <w:color w:val="FF0000"/>
      <w:sz w:val="20"/>
      <w:szCs w:val="20"/>
      <w:u w:val="none"/>
    </w:rPr>
  </w:style>
  <w:style w:type="character" w:customStyle="1" w:styleId="122">
    <w:name w:val="font21"/>
    <w:basedOn w:val="39"/>
    <w:autoRedefine/>
    <w:qFormat/>
    <w:uiPriority w:val="0"/>
    <w:rPr>
      <w:rFonts w:hint="eastAsia" w:ascii="宋体" w:hAnsi="宋体" w:eastAsia="宋体" w:cs="宋体"/>
      <w:color w:val="000000"/>
      <w:sz w:val="20"/>
      <w:szCs w:val="20"/>
      <w:u w:val="none"/>
    </w:rPr>
  </w:style>
  <w:style w:type="character" w:customStyle="1" w:styleId="123">
    <w:name w:val="font01"/>
    <w:basedOn w:val="39"/>
    <w:autoRedefine/>
    <w:qFormat/>
    <w:uiPriority w:val="0"/>
    <w:rPr>
      <w:rFonts w:hint="eastAsia" w:ascii="宋体" w:hAnsi="宋体" w:eastAsia="宋体" w:cs="宋体"/>
      <w:b/>
      <w:color w:val="000000"/>
      <w:sz w:val="20"/>
      <w:szCs w:val="20"/>
      <w:u w:val="none"/>
    </w:rPr>
  </w:style>
  <w:style w:type="paragraph" w:customStyle="1" w:styleId="124">
    <w:name w:val="样式 首行缩进:  2 字符"/>
    <w:basedOn w:val="1"/>
    <w:autoRedefine/>
    <w:qFormat/>
    <w:uiPriority w:val="0"/>
    <w:pPr>
      <w:spacing w:line="400" w:lineRule="exact"/>
      <w:ind w:firstLine="200" w:firstLineChars="200"/>
    </w:pPr>
    <w:rPr>
      <w:rFonts w:cs="宋体"/>
      <w:sz w:val="24"/>
    </w:rPr>
  </w:style>
  <w:style w:type="character" w:customStyle="1" w:styleId="125">
    <w:name w:val="font41"/>
    <w:basedOn w:val="39"/>
    <w:autoRedefine/>
    <w:qFormat/>
    <w:uiPriority w:val="0"/>
    <w:rPr>
      <w:rFonts w:hint="default" w:ascii="等线" w:hAnsi="等线" w:eastAsia="等线" w:cs="等线"/>
      <w:color w:val="000000"/>
      <w:sz w:val="22"/>
      <w:szCs w:val="22"/>
      <w:u w:val="none"/>
    </w:rPr>
  </w:style>
  <w:style w:type="paragraph" w:customStyle="1" w:styleId="126">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p15"/>
    <w:basedOn w:val="1"/>
    <w:autoRedefine/>
    <w:qFormat/>
    <w:uiPriority w:val="0"/>
    <w:pPr>
      <w:widowControl/>
      <w:spacing w:line="360" w:lineRule="auto"/>
      <w:jc w:val="left"/>
    </w:pPr>
    <w:rPr>
      <w:kern w:val="0"/>
      <w:sz w:val="24"/>
    </w:rPr>
  </w:style>
  <w:style w:type="character" w:customStyle="1" w:styleId="128">
    <w:name w:val="NormalCharacter"/>
    <w:link w:val="129"/>
    <w:autoRedefine/>
    <w:semiHidden/>
    <w:qFormat/>
    <w:locked/>
    <w:uiPriority w:val="99"/>
    <w:rPr>
      <w:kern w:val="0"/>
      <w:sz w:val="24"/>
      <w:szCs w:val="20"/>
    </w:rPr>
  </w:style>
  <w:style w:type="paragraph" w:customStyle="1" w:styleId="129">
    <w:name w:val="UserStyle_85"/>
    <w:basedOn w:val="1"/>
    <w:link w:val="128"/>
    <w:autoRedefine/>
    <w:qFormat/>
    <w:uiPriority w:val="99"/>
    <w:pPr>
      <w:spacing w:after="160" w:line="240" w:lineRule="exact"/>
    </w:pPr>
    <w:rPr>
      <w:kern w:val="0"/>
      <w:sz w:val="24"/>
      <w:szCs w:val="20"/>
    </w:rPr>
  </w:style>
  <w:style w:type="paragraph" w:customStyle="1" w:styleId="130">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1">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2">
    <w:name w:val="标书正文"/>
    <w:basedOn w:val="1"/>
    <w:autoRedefine/>
    <w:qFormat/>
    <w:uiPriority w:val="0"/>
    <w:pPr>
      <w:tabs>
        <w:tab w:val="left" w:pos="600"/>
      </w:tabs>
      <w:snapToGrid w:val="0"/>
      <w:spacing w:line="480" w:lineRule="atLeast"/>
      <w:jc w:val="center"/>
    </w:pPr>
    <w:rPr>
      <w:rFonts w:eastAsia="黑体"/>
      <w:b/>
      <w:sz w:val="30"/>
      <w:szCs w:val="20"/>
    </w:rPr>
  </w:style>
  <w:style w:type="paragraph" w:customStyle="1" w:styleId="133">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134">
    <w:name w:val="phone"/>
    <w:basedOn w:val="39"/>
    <w:autoRedefine/>
    <w:qFormat/>
    <w:uiPriority w:val="0"/>
    <w:rPr>
      <w:color w:val="FF8833"/>
      <w:sz w:val="18"/>
      <w:szCs w:val="18"/>
    </w:rPr>
  </w:style>
  <w:style w:type="character" w:customStyle="1" w:styleId="135">
    <w:name w:val="proollist"/>
    <w:basedOn w:val="39"/>
    <w:autoRedefine/>
    <w:qFormat/>
    <w:uiPriority w:val="0"/>
  </w:style>
  <w:style w:type="character" w:customStyle="1" w:styleId="136">
    <w:name w:val="number"/>
    <w:basedOn w:val="39"/>
    <w:autoRedefine/>
    <w:qFormat/>
    <w:uiPriority w:val="0"/>
    <w:rPr>
      <w:color w:val="FF8833"/>
      <w:sz w:val="18"/>
      <w:szCs w:val="18"/>
    </w:rPr>
  </w:style>
  <w:style w:type="character" w:customStyle="1" w:styleId="137">
    <w:name w:val="stclosebtn"/>
    <w:basedOn w:val="39"/>
    <w:autoRedefine/>
    <w:qFormat/>
    <w:uiPriority w:val="0"/>
  </w:style>
  <w:style w:type="character" w:customStyle="1" w:styleId="138">
    <w:name w:val="beforeinfotext"/>
    <w:basedOn w:val="39"/>
    <w:autoRedefine/>
    <w:qFormat/>
    <w:uiPriority w:val="0"/>
    <w:rPr>
      <w:color w:val="666666"/>
    </w:rPr>
  </w:style>
  <w:style w:type="paragraph" w:customStyle="1" w:styleId="139">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14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样式 标题 2 + 两端对齐"/>
    <w:basedOn w:val="3"/>
    <w:autoRedefine/>
    <w:qFormat/>
    <w:uiPriority w:val="99"/>
    <w:pPr>
      <w:widowControl w:val="0"/>
      <w:spacing w:line="520" w:lineRule="exact"/>
      <w:jc w:val="both"/>
    </w:pPr>
    <w:rPr>
      <w:rFonts w:ascii="Arial" w:hAnsi="Arial" w:eastAsia="Microsoft JhengHei"/>
      <w:color w:val="000000"/>
      <w:kern w:val="1"/>
      <w:szCs w:val="28"/>
    </w:rPr>
  </w:style>
  <w:style w:type="paragraph" w:customStyle="1" w:styleId="142">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3">
    <w:name w:val="a0"/>
    <w:basedOn w:val="1"/>
    <w:autoRedefine/>
    <w:qFormat/>
    <w:uiPriority w:val="0"/>
    <w:pPr>
      <w:widowControl/>
      <w:spacing w:before="100" w:beforeAutospacing="1" w:after="100" w:afterAutospacing="1"/>
      <w:jc w:val="left"/>
    </w:pPr>
    <w:rPr>
      <w:rFonts w:ascii="宋体" w:cs="宋体"/>
      <w:kern w:val="0"/>
    </w:rPr>
  </w:style>
  <w:style w:type="character" w:customStyle="1" w:styleId="144">
    <w:name w:val="font31"/>
    <w:basedOn w:val="39"/>
    <w:autoRedefine/>
    <w:qFormat/>
    <w:uiPriority w:val="0"/>
    <w:rPr>
      <w:rFonts w:hint="eastAsia" w:ascii="宋体" w:hAnsi="宋体" w:eastAsia="宋体" w:cs="宋体"/>
      <w:color w:val="000000"/>
      <w:sz w:val="24"/>
      <w:szCs w:val="24"/>
      <w:u w:val="none"/>
    </w:rPr>
  </w:style>
  <w:style w:type="paragraph" w:customStyle="1" w:styleId="145">
    <w:name w:val="@正文"/>
    <w:basedOn w:val="146"/>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46">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147">
    <w:name w:val="正文 1"/>
    <w:basedOn w:val="1"/>
    <w:autoRedefine/>
    <w:qFormat/>
    <w:uiPriority w:val="0"/>
    <w:pPr>
      <w:spacing w:before="30" w:after="30" w:line="300" w:lineRule="auto"/>
      <w:ind w:left="680"/>
    </w:pPr>
    <w:rPr>
      <w:sz w:val="18"/>
    </w:rPr>
  </w:style>
  <w:style w:type="paragraph" w:customStyle="1" w:styleId="148">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 w:type="paragraph" w:customStyle="1" w:styleId="14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6" Type="http://schemas.openxmlformats.org/officeDocument/2006/relationships/fontTable" Target="fontTable.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1.wmf"/><Relationship Id="rId41" Type="http://schemas.openxmlformats.org/officeDocument/2006/relationships/oleObject" Target="embeddings/oleObject10.bin"/><Relationship Id="rId40" Type="http://schemas.openxmlformats.org/officeDocument/2006/relationships/image" Target="media/image10.wmf"/><Relationship Id="rId4" Type="http://schemas.openxmlformats.org/officeDocument/2006/relationships/header" Target="header2.xml"/><Relationship Id="rId39" Type="http://schemas.openxmlformats.org/officeDocument/2006/relationships/oleObject" Target="embeddings/oleObject9.bin"/><Relationship Id="rId38" Type="http://schemas.openxmlformats.org/officeDocument/2006/relationships/image" Target="media/image9.wmf"/><Relationship Id="rId37" Type="http://schemas.openxmlformats.org/officeDocument/2006/relationships/oleObject" Target="embeddings/oleObject8.bin"/><Relationship Id="rId36" Type="http://schemas.openxmlformats.org/officeDocument/2006/relationships/image" Target="media/image8.wmf"/><Relationship Id="rId35" Type="http://schemas.openxmlformats.org/officeDocument/2006/relationships/oleObject" Target="embeddings/oleObject7.bin"/><Relationship Id="rId34" Type="http://schemas.openxmlformats.org/officeDocument/2006/relationships/image" Target="media/image7.wmf"/><Relationship Id="rId33" Type="http://schemas.openxmlformats.org/officeDocument/2006/relationships/oleObject" Target="embeddings/oleObject6.bin"/><Relationship Id="rId32" Type="http://schemas.openxmlformats.org/officeDocument/2006/relationships/image" Target="media/image6.wmf"/><Relationship Id="rId31" Type="http://schemas.openxmlformats.org/officeDocument/2006/relationships/oleObject" Target="embeddings/oleObject5.bin"/><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4.wmf"/><Relationship Id="rId27" Type="http://schemas.openxmlformats.org/officeDocument/2006/relationships/oleObject" Target="embeddings/oleObject3.bin"/><Relationship Id="rId26" Type="http://schemas.openxmlformats.org/officeDocument/2006/relationships/image" Target="media/image3.wmf"/><Relationship Id="rId25" Type="http://schemas.openxmlformats.org/officeDocument/2006/relationships/oleObject" Target="embeddings/oleObject2.bin"/><Relationship Id="rId24" Type="http://schemas.openxmlformats.org/officeDocument/2006/relationships/image" Target="media/image2.wmf"/><Relationship Id="rId23" Type="http://schemas.openxmlformats.org/officeDocument/2006/relationships/oleObject" Target="embeddings/oleObject1.bin"/><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123</Pages>
  <Words>3017</Words>
  <Characters>3477</Characters>
  <Lines>257</Lines>
  <Paragraphs>72</Paragraphs>
  <TotalTime>15</TotalTime>
  <ScaleCrop>false</ScaleCrop>
  <LinksUpToDate>false</LinksUpToDate>
  <CharactersWithSpaces>3576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Administrator</cp:lastModifiedBy>
  <cp:lastPrinted>2024-04-23T03:19:00Z</cp:lastPrinted>
  <dcterms:modified xsi:type="dcterms:W3CDTF">2025-06-19T09:35:10Z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93ABFFE9342E49DEAD4F900AB4AF5C2E_13</vt:lpwstr>
  </property>
  <property fmtid="{D5CDD505-2E9C-101B-9397-08002B2CF9AE}" pid="4" name="KSOTemplateDocerSaveRecord">
    <vt:lpwstr>eyJoZGlkIjoiMzVhNjZlNGMxNDdmMzUwYTk4ZTU2MjJjNTA2OTI2ZWEifQ==</vt:lpwstr>
  </property>
</Properties>
</file>