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83E6">
      <w:pPr>
        <w:pStyle w:val="4"/>
        <w:spacing w:line="360" w:lineRule="auto"/>
        <w:jc w:val="center"/>
        <w:rPr>
          <w:rFonts w:hint="eastAsia" w:ascii="宋体" w:hAnsi="宋体" w:eastAsia="宋体" w:cs="宋体"/>
          <w:sz w:val="32"/>
          <w:szCs w:val="32"/>
        </w:rPr>
      </w:pPr>
      <w:r>
        <w:rPr>
          <w:rFonts w:hint="eastAsia" w:ascii="宋体" w:hAnsi="宋体" w:eastAsia="宋体" w:cs="宋体"/>
          <w:b/>
          <w:sz w:val="32"/>
          <w:szCs w:val="32"/>
        </w:rPr>
        <w:t>丹凤县下湾社区排洪渠建设工程竞争性磋商公告</w:t>
      </w:r>
    </w:p>
    <w:p w14:paraId="55AC6C0B">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E134580">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下湾社区排洪渠建设工程采购项目的潜在供应商应在陕西省商洛市商州区江滨北路公园天下商铺11栋2层综合办公室获取采购文件，并于 2025年07月16日 09时30分 （北京时间）前提交响应文件。</w:t>
      </w:r>
    </w:p>
    <w:p w14:paraId="2932FB9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F7FA0D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项目编号：SXJB-DF-2025023</w:t>
      </w:r>
    </w:p>
    <w:p w14:paraId="5393E8B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项目名称：下湾社区排洪渠建设工程</w:t>
      </w:r>
    </w:p>
    <w:p w14:paraId="7E0C227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采购方式：竞争性磋商</w:t>
      </w:r>
    </w:p>
    <w:p w14:paraId="4B479752">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预算金额：2,048,793.03元</w:t>
      </w:r>
    </w:p>
    <w:p w14:paraId="7E5B7F16">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采购需求：</w:t>
      </w:r>
    </w:p>
    <w:p w14:paraId="57DFBBD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合同包1(丹凤县下湾社区排洪渠建设工程):</w:t>
      </w:r>
    </w:p>
    <w:p w14:paraId="61F4CEF8">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合同包预算金额：2,048,793.03元</w:t>
      </w:r>
    </w:p>
    <w:p w14:paraId="052BD0C2">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合同包最高限价：2,048,793.03元</w:t>
      </w:r>
    </w:p>
    <w:tbl>
      <w:tblPr>
        <w:tblStyle w:val="2"/>
        <w:tblW w:w="101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8"/>
        <w:gridCol w:w="1638"/>
        <w:gridCol w:w="1283"/>
        <w:gridCol w:w="1395"/>
        <w:gridCol w:w="1367"/>
        <w:gridCol w:w="1633"/>
        <w:gridCol w:w="1950"/>
      </w:tblGrid>
      <w:tr w14:paraId="6CED7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 w:hRule="atLeast"/>
        </w:trPr>
        <w:tc>
          <w:tcPr>
            <w:tcW w:w="928" w:type="dxa"/>
            <w:vAlign w:val="center"/>
          </w:tcPr>
          <w:p w14:paraId="59B066D9">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638" w:type="dxa"/>
            <w:vAlign w:val="center"/>
          </w:tcPr>
          <w:p w14:paraId="4287948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283" w:type="dxa"/>
            <w:vAlign w:val="center"/>
          </w:tcPr>
          <w:p w14:paraId="484FE7C8">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395" w:type="dxa"/>
            <w:vAlign w:val="center"/>
          </w:tcPr>
          <w:p w14:paraId="43378182">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数量（单位）</w:t>
            </w:r>
          </w:p>
        </w:tc>
        <w:tc>
          <w:tcPr>
            <w:tcW w:w="1367" w:type="dxa"/>
            <w:vAlign w:val="center"/>
          </w:tcPr>
          <w:p w14:paraId="7637F26F">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633" w:type="dxa"/>
            <w:vAlign w:val="center"/>
          </w:tcPr>
          <w:p w14:paraId="518D6234">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950" w:type="dxa"/>
            <w:vAlign w:val="center"/>
          </w:tcPr>
          <w:p w14:paraId="4357EF30">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02726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9" w:hRule="atLeast"/>
        </w:trPr>
        <w:tc>
          <w:tcPr>
            <w:tcW w:w="928" w:type="dxa"/>
            <w:vAlign w:val="center"/>
          </w:tcPr>
          <w:p w14:paraId="0CDEE12E">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638" w:type="dxa"/>
            <w:vAlign w:val="center"/>
          </w:tcPr>
          <w:p w14:paraId="3712DC69">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其他市政公用设施施工</w:t>
            </w:r>
          </w:p>
        </w:tc>
        <w:tc>
          <w:tcPr>
            <w:tcW w:w="1283" w:type="dxa"/>
            <w:vAlign w:val="center"/>
          </w:tcPr>
          <w:p w14:paraId="4EADB96A">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下湾社区排洪渠建设工程</w:t>
            </w:r>
          </w:p>
        </w:tc>
        <w:tc>
          <w:tcPr>
            <w:tcW w:w="1395" w:type="dxa"/>
            <w:vAlign w:val="center"/>
          </w:tcPr>
          <w:p w14:paraId="3CACC9C5">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1(家)</w:t>
            </w:r>
          </w:p>
        </w:tc>
        <w:tc>
          <w:tcPr>
            <w:tcW w:w="1367" w:type="dxa"/>
            <w:vAlign w:val="center"/>
          </w:tcPr>
          <w:p w14:paraId="5929E380">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633" w:type="dxa"/>
            <w:vAlign w:val="center"/>
          </w:tcPr>
          <w:p w14:paraId="476A142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2,048,793.03</w:t>
            </w:r>
          </w:p>
        </w:tc>
        <w:tc>
          <w:tcPr>
            <w:tcW w:w="1950" w:type="dxa"/>
            <w:vAlign w:val="center"/>
          </w:tcPr>
          <w:p w14:paraId="7A014405">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2,048,793.03</w:t>
            </w:r>
          </w:p>
        </w:tc>
      </w:tr>
    </w:tbl>
    <w:p w14:paraId="008B6B4B">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47D6932">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合同履行期限：自合同签订之日起60日历天</w:t>
      </w:r>
    </w:p>
    <w:p w14:paraId="5F1E918C">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0466596">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01CDB80">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9488F3D">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合同包1(丹凤县下湾社区排洪渠建设工程)落实政府采购政策需满足的资格要求如下:</w:t>
      </w:r>
    </w:p>
    <w:p w14:paraId="0D73CE1E">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①《政府采购促进中小企业发展管理办法》（财库〔2020〕46号）；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②《陕西省财政厅关于进一步加大政府采购支持中小企业力度的通知》（财库〔2022〕19号）；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③《财政部司法部关于政府采购支持监狱企业发展有关问题的通知》（财库〔2014〕68号）；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④《财政部发展改革委生态环境部市场监管总局关于调整优化节能产品、环境标志产品政府采购执行机制的通知》（财库〔2019〕9号）；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⑤《三部门联合发布关于促进残疾人就业政府采购政策的通知》（财库〔2017〕141号）；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⑥《陕西省中小企业政府采购信用融资办法》（陕财办采〔2018〕23号）；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⑦《财政部农业农村部国家乡村振兴局关于运用政府采购政策支持乡村产业振兴的通知》（财库〔2021〕19号）；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⑧《陕西省财政厅关于进一步加强政府绿色采购有关问题的通知》陕财办采〔2021〕29号；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⑨《商品包装政府采购需求标准（试行）》和《快递包装政府采购需求标准（试行）》（财办库〔2020〕123号）；</w:t>
      </w:r>
      <w:r>
        <w:rPr>
          <w:rFonts w:hint="eastAsia" w:ascii="宋体" w:hAnsi="宋体" w:eastAsia="宋体" w:cs="宋体"/>
          <w:sz w:val="24"/>
          <w:szCs w:val="24"/>
        </w:rPr>
        <w:br w:type="textWrapping"/>
      </w:r>
      <w:r>
        <w:rPr>
          <w:rFonts w:hint="eastAsia" w:ascii="宋体" w:hAnsi="宋体" w:eastAsia="宋体" w:cs="宋体"/>
          <w:sz w:val="24"/>
          <w:szCs w:val="24"/>
        </w:rPr>
        <w:t>⑩《政府采购支持绿色建材促进建筑品质提升政策项目实施指南》的通知（财库〔2023〕52号）及《关于扩大政府采购支持绿色建材促进建筑品质提升政策实施范围的通知》（财库〔2022〕35号）；</w:t>
      </w:r>
      <w:r>
        <w:rPr>
          <w:rFonts w:hint="eastAsia" w:ascii="宋体" w:hAnsi="宋体" w:eastAsia="宋体" w:cs="宋体"/>
          <w:sz w:val="24"/>
          <w:szCs w:val="24"/>
        </w:rPr>
        <w:br w:type="textWrapping"/>
      </w:r>
      <w:r>
        <w:rPr>
          <w:rFonts w:hint="eastAsia" w:ascii="宋体" w:hAnsi="宋体" w:eastAsia="宋体" w:cs="宋体"/>
          <w:sz w:val="24"/>
          <w:szCs w:val="24"/>
        </w:rPr>
        <w:t>⑪如有最新颁布的政府采购政策，按最新的文件执行；</w:t>
      </w:r>
    </w:p>
    <w:p w14:paraId="2FD4C321">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06C434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合同包1(丹凤县下湾社区排洪渠建设工程)特定资格要求如下:</w:t>
      </w:r>
    </w:p>
    <w:p w14:paraId="01B6A56E">
      <w:pPr>
        <w:pStyle w:val="4"/>
        <w:spacing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 xml:space="preserve">（1）供应商应具有独立承担民事责任能力的企事业法人、其他组织或者自然人，企业法人应提供营业执照；事业法人应提供事业单位法人证书；其他组织应提供合法证明文件，自然人提供有效的身份证明文件；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（2）提供2024 年度经审计的财务报告或开标前六个月内其基本账户银行出具的资信证明（成立时间至提交投标文件截止时间不足一年的可提供成立后任意时段的资产负债表）； </w:t>
      </w:r>
      <w:r>
        <w:rPr>
          <w:rFonts w:hint="eastAsia" w:ascii="宋体" w:hAnsi="宋体" w:eastAsia="宋体" w:cs="宋体"/>
          <w:sz w:val="24"/>
          <w:szCs w:val="24"/>
        </w:rPr>
        <w:br w:type="textWrapping"/>
      </w:r>
      <w:r>
        <w:rPr>
          <w:rFonts w:hint="eastAsia" w:ascii="宋体" w:hAnsi="宋体" w:eastAsia="宋体" w:cs="宋体"/>
          <w:sz w:val="24"/>
          <w:szCs w:val="24"/>
        </w:rPr>
        <w:t xml:space="preserve">（3）提供具有履行合同所必需的设备和专业技术能力的承诺； </w:t>
      </w:r>
      <w:r>
        <w:rPr>
          <w:rFonts w:hint="eastAsia" w:ascii="宋体" w:hAnsi="宋体" w:eastAsia="宋体" w:cs="宋体"/>
          <w:sz w:val="24"/>
          <w:szCs w:val="24"/>
        </w:rPr>
        <w:br w:type="textWrapping"/>
      </w:r>
      <w:r>
        <w:rPr>
          <w:rFonts w:hint="eastAsia" w:ascii="宋体" w:hAnsi="宋体" w:eastAsia="宋体" w:cs="宋体"/>
          <w:sz w:val="24"/>
          <w:szCs w:val="24"/>
        </w:rPr>
        <w:t xml:space="preserve">（4）提供 2024年1月以来任意 3 个月依法缴纳税收和社会保障资金证明材料，依法免税或不需要缴纳社会保障资金证明的供应商提供相关部门出具的证明文件；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（5）提供参加政府采购活动前3年内在经营活动中没有重大违法记录的书面声明；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法定代表人授权代表参加磋商的须出示法定代表人授权委托书（附法定代表人及被委托人身份证复印件）被授权委托人身份证原件，法定代表人参加磋商的须提供法定代表人身份证明书及身份证原件； </w:t>
      </w:r>
      <w:r>
        <w:rPr>
          <w:rFonts w:hint="eastAsia" w:ascii="宋体" w:hAnsi="宋体" w:eastAsia="宋体" w:cs="宋体"/>
          <w:sz w:val="24"/>
          <w:szCs w:val="24"/>
        </w:rPr>
        <w:br w:type="textWrapping"/>
      </w:r>
      <w:r>
        <w:rPr>
          <w:rFonts w:hint="eastAsia" w:ascii="宋体" w:hAnsi="宋体" w:eastAsia="宋体" w:cs="宋体"/>
          <w:sz w:val="24"/>
          <w:szCs w:val="24"/>
        </w:rPr>
        <w:t>（7）供应商须具备市政公用工程施工总承包三级及以上资质同时具备合法有效的安全生产许可证，并在人员、设备、资金等方面具备相应的施工能力；</w:t>
      </w:r>
      <w:r>
        <w:rPr>
          <w:rFonts w:hint="eastAsia" w:ascii="宋体" w:hAnsi="宋体" w:eastAsia="宋体" w:cs="宋体"/>
          <w:sz w:val="24"/>
          <w:szCs w:val="24"/>
        </w:rPr>
        <w:br w:type="textWrapping"/>
      </w:r>
      <w:r>
        <w:rPr>
          <w:rFonts w:hint="eastAsia" w:ascii="宋体" w:hAnsi="宋体" w:eastAsia="宋体" w:cs="宋体"/>
          <w:sz w:val="24"/>
          <w:szCs w:val="24"/>
        </w:rPr>
        <w:t>（8）拟派项目经理须具备市政公用工程专业二级及以上注册建造师资格，且具备有效的安全生产考核合格证（B证），未担任其他在建工程项目的项目经理；</w:t>
      </w:r>
      <w:r>
        <w:rPr>
          <w:rFonts w:hint="eastAsia" w:ascii="宋体" w:hAnsi="宋体" w:eastAsia="宋体" w:cs="宋体"/>
          <w:sz w:val="24"/>
          <w:szCs w:val="24"/>
        </w:rPr>
        <w:br w:type="textWrapping"/>
      </w:r>
      <w:r>
        <w:rPr>
          <w:rFonts w:hint="eastAsia" w:ascii="宋体" w:hAnsi="宋体" w:eastAsia="宋体" w:cs="宋体"/>
          <w:sz w:val="24"/>
          <w:szCs w:val="24"/>
        </w:rPr>
        <w:t xml:space="preserve">（9）供应商的信用记录须符合财库[2016]125 号文《财政部关于在政府采购活动中查询及使用信用记录有关问题的通知》的规定。供应商被“信用中国”网站列入失信被执行人和重大税收违法失信主体名单的，被“中国政府采购网”网站列入政府采购严重违法失信名单的，不得参加本项目的磋商； </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（10）本项目不接受联合体磋商，不允许分包，供应商须提供《非联合体不分包投标声明》，视为独立磋商不分包。</w:t>
      </w:r>
    </w:p>
    <w:bookmarkEnd w:id="0"/>
    <w:p w14:paraId="262C1CA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66AABCD">
      <w:pPr>
        <w:pStyle w:val="4"/>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时间： 2025年07月04日 至 2025年07月10日 ，每天上午 08:00:00 至 12:00:00 ，下午 14:00:00 至 18:00:00 （北京时间）</w:t>
      </w:r>
    </w:p>
    <w:p w14:paraId="35E1CABA">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途径：陕西省商洛市商州区江滨北路公园天下商铺11栋2层综合办公室</w:t>
      </w:r>
    </w:p>
    <w:p w14:paraId="7D7FC102">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方式：现场获取</w:t>
      </w:r>
    </w:p>
    <w:p w14:paraId="04A9EB93">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 0元</w:t>
      </w:r>
    </w:p>
    <w:p w14:paraId="664355CD">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A1EB411">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 2025年07月16日 09时30分00秒 （北京时间）</w:t>
      </w:r>
    </w:p>
    <w:p w14:paraId="70EF71D3">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地点：陕西省商洛市商州区江滨北路公园天下商铺11栋2层会议室</w:t>
      </w:r>
    </w:p>
    <w:p w14:paraId="001235B5">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72687B9">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时间：2025年07月16日 09时30分00秒 （北京时间）</w:t>
      </w:r>
    </w:p>
    <w:p w14:paraId="45146A31">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地点：陕西省商洛市商州区江滨北路公园天下商铺11栋2层</w:t>
      </w:r>
    </w:p>
    <w:p w14:paraId="1CD72E9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804C77D">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2F98067">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D1D9854">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凡有意向的供应商，请携带单位介绍信、法人授权委托书（附法人及被委托人身份证复印件），被委托人身份证原件及本单位为其缴纳的近三个月内的社保证明、法人领取文件须携带法人证明及身份证原件，营业执照扫描件，以上资料加盖公章的清晰原件一套至陕西省商洛市商州区江滨北路公园天下商铺11栋2楼综合办公室获取竞争性磋商文件，竞争性磋商文件一旦售出概不退还；         </w:t>
      </w:r>
    </w:p>
    <w:p w14:paraId="6D23436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2.各供应商须按照《陕西省财政厅关于政府采购供应商注册登记有关事项的通知》的要求，通过陕西省政府采购网（http://www.ccgp-shaanxi.gov.cn/）注册登记加入陕西省政府采购供应商库；</w:t>
      </w:r>
    </w:p>
    <w:p w14:paraId="2BBA53D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3.与采购人存在利害关系可能影响采购公正性的供应商，不得参加磋商。单位负责人为同一人或存在控股、管理关系的不同单位，不得同时参加本项目同一合同包的磋商，否则，相关投标均无效；</w:t>
      </w:r>
    </w:p>
    <w:p w14:paraId="1BC3BD0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34108A8">
      <w:pPr>
        <w:pStyle w:val="4"/>
        <w:spacing w:line="360" w:lineRule="auto"/>
        <w:ind w:firstLine="241" w:firstLineChars="1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17402DE">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名称：丹凤县住房和城乡建设局</w:t>
      </w:r>
    </w:p>
    <w:p w14:paraId="6C05BC2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地址：陕西省商洛市丹凤县中心街27号</w:t>
      </w:r>
    </w:p>
    <w:p w14:paraId="34C1EF74">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0914-</w:t>
      </w:r>
      <w:r>
        <w:rPr>
          <w:rFonts w:hint="eastAsia" w:ascii="宋体" w:hAnsi="宋体" w:eastAsia="宋体" w:cs="宋体"/>
          <w:sz w:val="24"/>
          <w:szCs w:val="24"/>
        </w:rPr>
        <w:t>3322060</w:t>
      </w:r>
    </w:p>
    <w:p w14:paraId="77D1508A">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9731864">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名称：陕西省九标项目管理有限责任公司</w:t>
      </w:r>
    </w:p>
    <w:p w14:paraId="0370C97E">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地址：陕西省商洛市商州区江滨北路公园天下商铺11栋2层</w:t>
      </w:r>
    </w:p>
    <w:p w14:paraId="32EC9DC2">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联系方式：0914-2335089</w:t>
      </w:r>
    </w:p>
    <w:p w14:paraId="051B01CF">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46362E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项目联系人：陈利娜</w:t>
      </w:r>
    </w:p>
    <w:p w14:paraId="41A53F4C">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电话：0914-2335089</w:t>
      </w:r>
    </w:p>
    <w:p w14:paraId="493E0A57">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陕西省九标项目管理有限责任公司</w:t>
      </w:r>
      <w:r>
        <w:rPr>
          <w:rFonts w:hint="eastAsia" w:ascii="宋体" w:hAnsi="宋体" w:eastAsia="宋体" w:cs="宋体"/>
          <w:sz w:val="24"/>
          <w:szCs w:val="24"/>
        </w:rPr>
        <w:br w:type="textWrapping"/>
      </w:r>
    </w:p>
    <w:p w14:paraId="0FD1DB70">
      <w:pPr>
        <w:pStyle w:val="4"/>
        <w:spacing w:line="360" w:lineRule="auto"/>
        <w:rPr>
          <w:rFonts w:hint="eastAsia" w:ascii="宋体" w:hAnsi="宋体" w:eastAsia="宋体" w:cs="宋体"/>
          <w:sz w:val="24"/>
          <w:szCs w:val="24"/>
          <w:lang w:val="en-US" w:eastAsia="zh-Hans"/>
        </w:rPr>
      </w:pP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E5310C7"/>
    <w:rsid w:val="3EFD0EAF"/>
    <w:rsid w:val="44B42DAF"/>
    <w:rsid w:val="506F11F5"/>
    <w:rsid w:val="53B52B8D"/>
    <w:rsid w:val="5CEE14D6"/>
    <w:rsid w:val="6AD424D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2382</Words>
  <Characters>2659</Characters>
  <Lines>0</Lines>
  <Paragraphs>0</Paragraphs>
  <TotalTime>16</TotalTime>
  <ScaleCrop>false</ScaleCrop>
  <LinksUpToDate>false</LinksUpToDate>
  <CharactersWithSpaces>2704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止</cp:lastModifiedBy>
  <dcterms:modified xsi:type="dcterms:W3CDTF">2025-07-03T04:06:57Z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67B954A46AC74050AAC54E50F920540D_12</vt:lpwstr>
  </property>
</Properties>
</file>