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A154">
      <w:pPr>
        <w:jc w:val="center"/>
        <w:rPr>
          <w:rFonts w:hint="eastAsia" w:ascii="仿宋" w:hAnsi="仿宋" w:eastAsia="仿宋" w:cs="仿宋"/>
          <w:sz w:val="36"/>
          <w:szCs w:val="44"/>
          <w:lang w:val="en-US" w:eastAsia="zh-CN"/>
        </w:rPr>
      </w:pPr>
      <w:r>
        <w:rPr>
          <w:rFonts w:hint="eastAsia" w:ascii="仿宋" w:hAnsi="仿宋" w:eastAsia="仿宋" w:cs="仿宋"/>
          <w:sz w:val="36"/>
          <w:szCs w:val="44"/>
          <w:lang w:val="en-US" w:eastAsia="zh-CN"/>
        </w:rPr>
        <w:t>采购需求</w:t>
      </w:r>
    </w:p>
    <w:p w14:paraId="2797409D">
      <w:pPr>
        <w:pStyle w:val="4"/>
        <w:adjustRightInd w:val="0"/>
        <w:snapToGrid w:val="0"/>
        <w:spacing w:line="360" w:lineRule="auto"/>
        <w:ind w:firstLine="482"/>
        <w:jc w:val="left"/>
        <w:rPr>
          <w:rFonts w:ascii="仿宋" w:hAnsi="仿宋" w:eastAsia="仿宋" w:cs="仿宋"/>
          <w:b/>
          <w:bCs/>
          <w:sz w:val="24"/>
          <w:highlight w:val="none"/>
        </w:rPr>
      </w:pPr>
      <w:r>
        <w:rPr>
          <w:rFonts w:hint="eastAsia" w:ascii="仿宋" w:hAnsi="仿宋" w:eastAsia="仿宋" w:cs="仿宋"/>
          <w:b/>
          <w:bCs/>
          <w:sz w:val="24"/>
          <w:highlight w:val="none"/>
        </w:rPr>
        <w:t>一、采购项目概述</w:t>
      </w:r>
    </w:p>
    <w:p w14:paraId="40636CF3">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为保障医院信息系统数据安全与稳定运行，满足患者通过专线办理预约挂号、线上支付、报告查询等业务需求，确保各信息化平台正常运转，现拟采购3 年期 2 条互联网专线服务，用于患者平台服务、数据传输及应用系统网络运行。本项目要求供应商满足国家（行业）强制性标准及采购人专项需求。</w:t>
      </w:r>
    </w:p>
    <w:p w14:paraId="5826026A">
      <w:pPr>
        <w:pStyle w:val="4"/>
        <w:adjustRightInd w:val="0"/>
        <w:snapToGrid w:val="0"/>
        <w:spacing w:line="360" w:lineRule="auto"/>
        <w:ind w:firstLine="482"/>
        <w:jc w:val="left"/>
        <w:rPr>
          <w:rFonts w:ascii="仿宋" w:hAnsi="仿宋" w:eastAsia="仿宋" w:cs="仿宋"/>
          <w:sz w:val="24"/>
          <w:highlight w:val="none"/>
        </w:rPr>
      </w:pPr>
      <w:r>
        <w:rPr>
          <w:rFonts w:hint="eastAsia" w:ascii="仿宋" w:hAnsi="仿宋" w:eastAsia="仿宋" w:cs="仿宋"/>
          <w:b/>
          <w:bCs/>
          <w:sz w:val="24"/>
          <w:highlight w:val="none"/>
        </w:rPr>
        <w:t>二、服务要求</w:t>
      </w:r>
    </w:p>
    <w:p w14:paraId="45378E53">
      <w:pPr>
        <w:adjustRightInd w:val="0"/>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1.网络稳定性</w:t>
      </w:r>
    </w:p>
    <w:p w14:paraId="7F5BDC9E">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 通信专线全年网络可用率不低于 99.9%，确保业务连续性。</w:t>
      </w:r>
    </w:p>
    <w:p w14:paraId="022B8AC5">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 具备完善的网络监控与故障预警机制，故障发生前需及时通知采购人负责人，并同步提供解决方案。</w:t>
      </w:r>
    </w:p>
    <w:p w14:paraId="5B77544C">
      <w:pPr>
        <w:adjustRightInd w:val="0"/>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2.带宽与速度</w:t>
      </w:r>
    </w:p>
    <w:p w14:paraId="0BE9D250">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2.1带宽需求：提供足够的带宽，满足医院日常医疗数据传输、远程医疗、影像传输等业务的需求。</w:t>
      </w:r>
    </w:p>
    <w:p w14:paraId="2436045B">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2.2具体技术指标：</w:t>
      </w:r>
    </w:p>
    <w:p w14:paraId="4751E0DD">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●互联网专线：2 条，每条带宽≥100M。</w:t>
      </w:r>
    </w:p>
    <w:p w14:paraId="2B2C54E7">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●光纤接口符合 IEEE 802.3z Ethernet 标准，实测接口速率≥理论速率的 90%，上行速率≥下行速率的 99%。</w:t>
      </w:r>
    </w:p>
    <w:p w14:paraId="5EC1FADB">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●每条专线提供公网 IPv4 与 IPv6 地址（各≥1 个），地址全开放无限制，保障网站及信息系统可被互联网用户正常访问。</w:t>
      </w:r>
    </w:p>
    <w:p w14:paraId="52C194B3">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●采用独占带宽接入模式，采购人独享网络通道，带宽不受使用高峰期影响，确保网速稳定。</w:t>
      </w:r>
    </w:p>
    <w:p w14:paraId="67727B81">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●故障响应时间：电话响应≤30 分钟，本地现场服务≤2 小时，故障解决≤4 小时。</w:t>
      </w:r>
    </w:p>
    <w:p w14:paraId="2DF8F3F5">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●上下行速度对称，实际传输速度不低于标称速度的 90%。</w:t>
      </w:r>
    </w:p>
    <w:p w14:paraId="42B3CDA7">
      <w:pPr>
        <w:adjustRightInd w:val="0"/>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3.安全性</w:t>
      </w:r>
    </w:p>
    <w:p w14:paraId="06E55CBC">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服务商应采取多重安全防护措施，确保医院数据的安全传输和存储，各条专线需具备安全功能，具体要求如下：</w:t>
      </w:r>
    </w:p>
    <w:p w14:paraId="28233C57">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●入侵检测与防御：须具备漏洞攻击防护、WEB安全防护、恶意代码防护等功能。</w:t>
      </w:r>
    </w:p>
    <w:p w14:paraId="6ACE973E">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●防病毒：能够匹配病毒特征库，支持阻断/告警；病毒库实时升级，覆盖最新流行病毒，提升未知威胁检出率。</w:t>
      </w:r>
    </w:p>
    <w:p w14:paraId="128D03DC">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●阻断恶意外联：切断攻击者对恶意程序的控制，防止横向渗透、数据外泄，降低攻击影响。</w:t>
      </w:r>
    </w:p>
    <w:p w14:paraId="46D9DCC6">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●网络特征匹配技术：能够基于流量行为特征检测入侵、病毒传播、漏洞攻击等，有效检测并阻断网络恶意行为。</w:t>
      </w:r>
    </w:p>
    <w:p w14:paraId="2EF76735">
      <w:pPr>
        <w:adjustRightInd w:val="0"/>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4.售后服务</w:t>
      </w:r>
    </w:p>
    <w:p w14:paraId="356BDD3B">
      <w:pPr>
        <w:widowControl/>
        <w:numPr>
          <w:ilvl w:val="0"/>
          <w:numId w:val="0"/>
        </w:numPr>
        <w:shd w:val="clear" w:color="auto"/>
        <w:tabs>
          <w:tab w:val="left" w:pos="720"/>
        </w:tabs>
        <w:spacing w:line="360" w:lineRule="auto"/>
        <w:ind w:left="480" w:firstLine="0" w:firstLineChars="0"/>
        <w:jc w:val="left"/>
        <w:rPr>
          <w:rFonts w:ascii="仿宋" w:hAnsi="仿宋" w:eastAsia="仿宋" w:cs="仿宋"/>
          <w:sz w:val="24"/>
          <w:highlight w:val="none"/>
        </w:rPr>
      </w:pPr>
      <w:r>
        <w:rPr>
          <w:rFonts w:hint="eastAsia" w:ascii="仿宋" w:hAnsi="仿宋" w:eastAsia="仿宋" w:cs="仿宋"/>
          <w:sz w:val="24"/>
          <w:highlight w:val="none"/>
        </w:rPr>
        <w:t>4.1专线网络日常监测</w:t>
      </w:r>
    </w:p>
    <w:p w14:paraId="0612F0D6">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●服务商需对采购人互联网专线进行</w:t>
      </w:r>
      <w:r>
        <w:rPr>
          <w:rFonts w:ascii="仿宋" w:hAnsi="仿宋" w:eastAsia="仿宋" w:cs="仿宋"/>
          <w:sz w:val="24"/>
          <w:highlight w:val="none"/>
        </w:rPr>
        <w:t xml:space="preserve"> 7×24 </w:t>
      </w:r>
      <w:r>
        <w:rPr>
          <w:rFonts w:hint="eastAsia" w:ascii="仿宋" w:hAnsi="仿宋" w:eastAsia="仿宋" w:cs="仿宋"/>
          <w:sz w:val="24"/>
          <w:highlight w:val="none"/>
        </w:rPr>
        <w:t>小时实时监测，监测内容包括但不限于网络带宽使用情况、网络延迟、丢包率、网络设备运行状态等，并形成详细监测日志。​</w:t>
      </w:r>
    </w:p>
    <w:p w14:paraId="1FADF166">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●定期向采购人提交网络运行报告，内容涵盖当日网络运行状态、异常情况及处理结果；每季提交网络运行季报，对网络运行情况进行全面分析和总结。​</w:t>
      </w:r>
    </w:p>
    <w:p w14:paraId="6F129D9C">
      <w:pPr>
        <w:widowControl/>
        <w:numPr>
          <w:ilvl w:val="0"/>
          <w:numId w:val="0"/>
        </w:numPr>
        <w:shd w:val="clear" w:color="auto"/>
        <w:tabs>
          <w:tab w:val="left" w:pos="720"/>
        </w:tabs>
        <w:spacing w:line="360" w:lineRule="auto"/>
        <w:ind w:left="480" w:firstLine="0" w:firstLineChars="0"/>
        <w:jc w:val="left"/>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.2</w:t>
      </w:r>
      <w:r>
        <w:rPr>
          <w:rFonts w:hint="eastAsia" w:ascii="仿宋" w:hAnsi="仿宋" w:eastAsia="仿宋" w:cs="仿宋"/>
          <w:sz w:val="24"/>
          <w:highlight w:val="none"/>
        </w:rPr>
        <w:t>故障处理​</w:t>
      </w:r>
    </w:p>
    <w:p w14:paraId="3835556B">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●当采购人互联网专线出现故障时，服务商需在接到采购人通知后</w:t>
      </w:r>
      <w:r>
        <w:rPr>
          <w:rFonts w:ascii="仿宋" w:hAnsi="仿宋" w:eastAsia="仿宋" w:cs="仿宋"/>
          <w:sz w:val="24"/>
          <w:highlight w:val="none"/>
        </w:rPr>
        <w:t xml:space="preserve"> [10] </w:t>
      </w:r>
      <w:r>
        <w:rPr>
          <w:rFonts w:hint="eastAsia" w:ascii="仿宋" w:hAnsi="仿宋" w:eastAsia="仿宋" w:cs="仿宋"/>
          <w:sz w:val="24"/>
          <w:highlight w:val="none"/>
        </w:rPr>
        <w:t>分钟内响应，并在</w:t>
      </w:r>
      <w:r>
        <w:rPr>
          <w:rFonts w:ascii="仿宋" w:hAnsi="仿宋" w:eastAsia="仿宋" w:cs="仿宋"/>
          <w:sz w:val="24"/>
          <w:highlight w:val="none"/>
        </w:rPr>
        <w:t xml:space="preserve"> [2] </w:t>
      </w:r>
      <w:r>
        <w:rPr>
          <w:rFonts w:hint="eastAsia" w:ascii="仿宋" w:hAnsi="仿宋" w:eastAsia="仿宋" w:cs="仿宋"/>
          <w:sz w:val="24"/>
          <w:highlight w:val="none"/>
        </w:rPr>
        <w:t>小时内到达现场（同城范围内）。对于非紧急故障，服务商应在</w:t>
      </w:r>
      <w:r>
        <w:rPr>
          <w:rFonts w:ascii="仿宋" w:hAnsi="仿宋" w:eastAsia="仿宋" w:cs="仿宋"/>
          <w:sz w:val="24"/>
          <w:highlight w:val="none"/>
        </w:rPr>
        <w:t xml:space="preserve"> [2] </w:t>
      </w:r>
      <w:r>
        <w:rPr>
          <w:rFonts w:hint="eastAsia" w:ascii="仿宋" w:hAnsi="仿宋" w:eastAsia="仿宋" w:cs="仿宋"/>
          <w:sz w:val="24"/>
          <w:highlight w:val="none"/>
        </w:rPr>
        <w:t>小时内制定解决方案并实施修复；对于紧急故障（如导致医院核心业务系统无法正常运行的故障），服务商应在</w:t>
      </w:r>
      <w:r>
        <w:rPr>
          <w:rFonts w:ascii="仿宋" w:hAnsi="仿宋" w:eastAsia="仿宋" w:cs="仿宋"/>
          <w:sz w:val="24"/>
          <w:highlight w:val="none"/>
        </w:rPr>
        <w:t xml:space="preserve"> [4] </w:t>
      </w:r>
      <w:r>
        <w:rPr>
          <w:rFonts w:hint="eastAsia" w:ascii="仿宋" w:hAnsi="仿宋" w:eastAsia="仿宋" w:cs="仿宋"/>
          <w:sz w:val="24"/>
          <w:highlight w:val="none"/>
        </w:rPr>
        <w:t>小时内恢复网络基本通信功能，</w:t>
      </w:r>
      <w:r>
        <w:rPr>
          <w:rFonts w:ascii="仿宋" w:hAnsi="仿宋" w:eastAsia="仿宋" w:cs="仿宋"/>
          <w:sz w:val="24"/>
          <w:highlight w:val="none"/>
        </w:rPr>
        <w:t xml:space="preserve">[8] </w:t>
      </w:r>
      <w:r>
        <w:rPr>
          <w:rFonts w:hint="eastAsia" w:ascii="仿宋" w:hAnsi="仿宋" w:eastAsia="仿宋" w:cs="仿宋"/>
          <w:sz w:val="24"/>
          <w:highlight w:val="none"/>
        </w:rPr>
        <w:t>小时内完成全面修复。​</w:t>
      </w:r>
    </w:p>
    <w:p w14:paraId="711ACB80">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●故障处理完成后，服务商需向采购人提交故障处理报告，详细说明故障原因、处理过程及预防措施。​</w:t>
      </w:r>
    </w:p>
    <w:p w14:paraId="2BFDE157">
      <w:pPr>
        <w:widowControl/>
        <w:numPr>
          <w:ilvl w:val="0"/>
          <w:numId w:val="0"/>
        </w:numPr>
        <w:shd w:val="clear" w:color="auto"/>
        <w:tabs>
          <w:tab w:val="left" w:pos="720"/>
        </w:tabs>
        <w:spacing w:line="360" w:lineRule="auto"/>
        <w:ind w:left="480" w:firstLine="0" w:firstLineChars="0"/>
        <w:jc w:val="left"/>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.3</w:t>
      </w:r>
      <w:r>
        <w:rPr>
          <w:rFonts w:hint="eastAsia" w:ascii="仿宋" w:hAnsi="仿宋" w:eastAsia="仿宋" w:cs="仿宋"/>
          <w:sz w:val="24"/>
          <w:highlight w:val="none"/>
        </w:rPr>
        <w:t>网络优化​</w:t>
      </w:r>
    </w:p>
    <w:p w14:paraId="45BA998D">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●服务商定期（每季度一次）对采购人互联网专线网络进行性能评估，根据评估结果提出网络优化方案，经采购人确认后实施。优化方案应包括但不限于网络带宽调整、网络拓扑优化、网络设备配置优化等。​</w:t>
      </w:r>
    </w:p>
    <w:p w14:paraId="22A192FC">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●当采购人业务发展或网络使用需求发生变化时，服务商应及时响应采购人需求，提供合理的网络优化建议和解决方案。​</w:t>
      </w:r>
    </w:p>
    <w:p w14:paraId="2B90A271">
      <w:pPr>
        <w:widowControl/>
        <w:numPr>
          <w:ilvl w:val="0"/>
          <w:numId w:val="0"/>
        </w:numPr>
        <w:shd w:val="clear" w:color="auto"/>
        <w:tabs>
          <w:tab w:val="left" w:pos="720"/>
        </w:tabs>
        <w:spacing w:line="360" w:lineRule="auto"/>
        <w:ind w:left="480" w:firstLine="0" w:firstLineChars="0"/>
        <w:jc w:val="left"/>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.4</w:t>
      </w:r>
      <w:r>
        <w:rPr>
          <w:rFonts w:hint="eastAsia" w:ascii="仿宋" w:hAnsi="仿宋" w:eastAsia="仿宋" w:cs="仿宋"/>
          <w:sz w:val="24"/>
          <w:highlight w:val="none"/>
        </w:rPr>
        <w:t>网络安全防护​</w:t>
      </w:r>
    </w:p>
    <w:p w14:paraId="66B49B2C">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●服务商负责为采购人互联网专线提供网络安全防护服务，包括但不限于防火墙策略配置、入侵检测与防御、病毒查杀、漏洞扫描与修复等。​</w:t>
      </w:r>
    </w:p>
    <w:p w14:paraId="39B1C3D2">
      <w:pPr>
        <w:widowControl/>
        <w:numPr>
          <w:ilvl w:val="0"/>
          <w:numId w:val="0"/>
        </w:numPr>
        <w:shd w:val="clear" w:color="auto"/>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●定期（每月一次）对采购人网络进行安全评估，发现安全隐患及时向采购人报告，并制定相应的安全加固方案，经采购人确认后实施。​</w:t>
      </w:r>
    </w:p>
    <w:p w14:paraId="73B22B26">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协助采购人处理网络安全事件，如遭受网络攻击、数据泄露等，及时采取应急响应措施，将损失降至最低。</w:t>
      </w:r>
    </w:p>
    <w:p w14:paraId="7BDE0C12">
      <w:pPr>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5</w:t>
      </w:r>
      <w:r>
        <w:rPr>
          <w:rFonts w:hint="eastAsia" w:ascii="仿宋" w:hAnsi="仿宋" w:eastAsia="仿宋" w:cs="仿宋"/>
          <w:sz w:val="24"/>
          <w:highlight w:val="none"/>
        </w:rPr>
        <w:t xml:space="preserve"> 技术培训：</w:t>
      </w:r>
    </w:p>
    <w:p w14:paraId="423B2FDC">
      <w:pPr>
        <w:widowControl/>
        <w:numPr>
          <w:ilvl w:val="0"/>
          <w:numId w:val="0"/>
        </w:numPr>
        <w:shd w:val="clear" w:color="auto"/>
        <w:adjustRightInd/>
        <w:snapToGrid/>
        <w:spacing w:line="360" w:lineRule="auto"/>
        <w:ind w:left="0" w:firstLine="480" w:firstLineChars="200"/>
        <w:jc w:val="left"/>
        <w:rPr>
          <w:rFonts w:ascii="仿宋" w:hAnsi="仿宋" w:eastAsia="仿宋" w:cs="仿宋"/>
          <w:sz w:val="24"/>
          <w:highlight w:val="none"/>
        </w:rPr>
      </w:pPr>
      <w:r>
        <w:rPr>
          <w:rFonts w:hint="eastAsia" w:ascii="仿宋" w:hAnsi="仿宋" w:eastAsia="仿宋" w:cs="仿宋"/>
          <w:sz w:val="24"/>
          <w:highlight w:val="none"/>
        </w:rPr>
        <w:t>●根据采购人实际需求，需免费提供边界安全防护和安全运营服务培训。培训实施方式包括但不限于现场集中培训、在线授课、一对一上门指导等。</w:t>
      </w:r>
    </w:p>
    <w:p w14:paraId="73A7D480">
      <w:pPr>
        <w:adjustRightInd w:val="0"/>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二、商务要求</w:t>
      </w:r>
    </w:p>
    <w:p w14:paraId="08901A94">
      <w:pPr>
        <w:pStyle w:val="4"/>
        <w:adjustRightInd w:val="0"/>
        <w:snapToGrid w:val="0"/>
        <w:spacing w:line="360" w:lineRule="auto"/>
        <w:ind w:firstLine="482"/>
        <w:jc w:val="left"/>
        <w:rPr>
          <w:rFonts w:ascii="仿宋" w:hAnsi="仿宋" w:eastAsia="仿宋" w:cs="仿宋"/>
          <w:b/>
          <w:bCs/>
          <w:sz w:val="24"/>
          <w:highlight w:val="none"/>
        </w:rPr>
      </w:pPr>
      <w:r>
        <w:rPr>
          <w:rFonts w:hint="eastAsia" w:ascii="仿宋" w:hAnsi="仿宋" w:eastAsia="仿宋" w:cs="仿宋"/>
          <w:b/>
          <w:bCs/>
          <w:sz w:val="24"/>
          <w:highlight w:val="none"/>
        </w:rPr>
        <w:t>1.服务期限及地点</w:t>
      </w:r>
    </w:p>
    <w:p w14:paraId="1B585EC8">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1.1.服务期限：采用 “1+1+1” 合同模式，合同有效期 1 年。每年服务期满后，采购人对供应商进行考核，考核合格则续签次年合同，不合格则终止服务并重新采购。</w:t>
      </w:r>
    </w:p>
    <w:p w14:paraId="2838EF48">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1.2.服务地：由采购人指定。</w:t>
      </w:r>
    </w:p>
    <w:p w14:paraId="2B4061B8">
      <w:pPr>
        <w:pStyle w:val="4"/>
        <w:adjustRightInd w:val="0"/>
        <w:snapToGrid w:val="0"/>
        <w:spacing w:line="360" w:lineRule="auto"/>
        <w:ind w:firstLine="482"/>
        <w:jc w:val="left"/>
        <w:rPr>
          <w:rFonts w:ascii="仿宋" w:hAnsi="仿宋" w:eastAsia="仿宋" w:cs="仿宋"/>
          <w:sz w:val="24"/>
          <w:highlight w:val="none"/>
        </w:rPr>
      </w:pPr>
      <w:r>
        <w:rPr>
          <w:rFonts w:hint="eastAsia" w:ascii="仿宋" w:hAnsi="仿宋" w:eastAsia="仿宋" w:cs="仿宋"/>
          <w:b/>
          <w:bCs/>
          <w:sz w:val="24"/>
          <w:highlight w:val="none"/>
        </w:rPr>
        <w:t>2.付款方式</w:t>
      </w:r>
    </w:p>
    <w:p w14:paraId="5FF18B09">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2.1服务费用应包含线路租赁、设备维护、技术支持等所有相关费用，报价应明确、清晰。</w:t>
      </w:r>
    </w:p>
    <w:p w14:paraId="506FC524">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2.2付款方式：</w:t>
      </w:r>
    </w:p>
    <w:p w14:paraId="6AEACCFE">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双方合同签订且采购人收到全额发票后 ，达到付款条件起 10 日内，支付合同总金额的100.00%。合同总金额包含2.1条款费用与履行本合同有关的一切费用。</w:t>
      </w:r>
    </w:p>
    <w:p w14:paraId="4CC72116">
      <w:pPr>
        <w:pStyle w:val="4"/>
        <w:adjustRightInd w:val="0"/>
        <w:snapToGrid w:val="0"/>
        <w:spacing w:line="360" w:lineRule="auto"/>
        <w:ind w:firstLine="482"/>
        <w:jc w:val="left"/>
        <w:rPr>
          <w:rFonts w:ascii="仿宋" w:hAnsi="仿宋" w:eastAsia="仿宋" w:cs="仿宋"/>
          <w:sz w:val="24"/>
          <w:highlight w:val="none"/>
        </w:rPr>
      </w:pPr>
      <w:r>
        <w:rPr>
          <w:rFonts w:hint="eastAsia" w:ascii="仿宋" w:hAnsi="仿宋" w:eastAsia="仿宋" w:cs="仿宋"/>
          <w:b/>
          <w:bCs/>
          <w:sz w:val="24"/>
          <w:highlight w:val="none"/>
        </w:rPr>
        <w:t>3.违约责任</w:t>
      </w:r>
    </w:p>
    <w:p w14:paraId="0E4D29BA">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3.1按《中华人民共和国民法典》中的相关条款执行。</w:t>
      </w:r>
    </w:p>
    <w:p w14:paraId="41468B27">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3.2服务商未按合同要求提供货物与服务或货物与服务质量不能满足合同要求，且在规定时间内未使采购人满意的，采购人有权在对其支付的货物款项中进行违约扣除，必要时可以终止采购合同并上报同级监管部门。</w:t>
      </w:r>
    </w:p>
    <w:p w14:paraId="4A55350E">
      <w:pPr>
        <w:pStyle w:val="4"/>
        <w:adjustRightInd w:val="0"/>
        <w:snapToGrid w:val="0"/>
        <w:spacing w:line="360" w:lineRule="auto"/>
        <w:ind w:firstLine="482"/>
        <w:jc w:val="left"/>
        <w:rPr>
          <w:rFonts w:ascii="仿宋" w:hAnsi="仿宋" w:eastAsia="仿宋" w:cs="仿宋"/>
          <w:b/>
          <w:bCs/>
          <w:sz w:val="24"/>
          <w:highlight w:val="none"/>
        </w:rPr>
      </w:pPr>
      <w:r>
        <w:rPr>
          <w:rFonts w:hint="eastAsia" w:ascii="仿宋" w:hAnsi="仿宋" w:eastAsia="仿宋" w:cs="仿宋"/>
          <w:b/>
          <w:bCs/>
          <w:sz w:val="24"/>
          <w:highlight w:val="none"/>
        </w:rPr>
        <w:t>4.知识产权与保密</w:t>
      </w:r>
    </w:p>
    <w:p w14:paraId="41E1246A">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4.1 服务商应保证所提供的服务不侵犯第三方知识产权，因此引发法律或经济纠纷，服务商承担全部责任。任何被服务商用于未经授权的商业目的行为所造成的违约或侵权责任由服务商承但。</w:t>
      </w:r>
    </w:p>
    <w:p w14:paraId="753ED789">
      <w:pPr>
        <w:pStyle w:val="4"/>
        <w:adjustRightInd w:val="0"/>
        <w:snapToGrid w:val="0"/>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4.2 双方应对在合作过程中涉及采购人的数据和患者信息严格保密，未经采购人书面同意，不得向第三方披露。</w:t>
      </w:r>
    </w:p>
    <w:p w14:paraId="06DFAB98">
      <w:pPr>
        <w:pStyle w:val="4"/>
        <w:adjustRightInd w:val="0"/>
        <w:snapToGrid w:val="0"/>
        <w:spacing w:line="360" w:lineRule="auto"/>
        <w:ind w:firstLine="482"/>
        <w:jc w:val="left"/>
        <w:rPr>
          <w:rFonts w:ascii="仿宋" w:hAnsi="仿宋" w:eastAsia="仿宋" w:cs="仿宋"/>
          <w:b/>
          <w:bCs/>
          <w:sz w:val="24"/>
          <w:highlight w:val="none"/>
        </w:rPr>
      </w:pPr>
      <w:r>
        <w:rPr>
          <w:rFonts w:hint="eastAsia" w:ascii="仿宋" w:hAnsi="仿宋" w:eastAsia="仿宋" w:cs="仿宋"/>
          <w:b/>
          <w:bCs/>
          <w:sz w:val="24"/>
          <w:highlight w:val="none"/>
        </w:rPr>
        <w:t>注：本项目技术要求及商务要求不允许负偏离</w:t>
      </w:r>
    </w:p>
    <w:p w14:paraId="41B02862">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bookmarkStart w:id="0" w:name="_GoBack"/>
      <w:bookmarkEnd w:id="0"/>
    </w:p>
    <w:p w14:paraId="11B5B0C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34E5"/>
    <w:rsid w:val="0DBD34E5"/>
    <w:rsid w:val="2808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Words>
  <Characters>149</Characters>
  <Lines>0</Lines>
  <Paragraphs>0</Paragraphs>
  <TotalTime>0</TotalTime>
  <ScaleCrop>false</ScaleCrop>
  <LinksUpToDate>false</LinksUpToDate>
  <CharactersWithSpaces>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2025-07-03T09:54:00Z</dcterms:created>
  <dc:creator>To  encounter</dc:creator>
  <cp:lastModifiedBy>To  encounter</cp:lastModifiedBy>
  <dcterms:modified xsi:type="dcterms:W3CDTF">2025-07-03T10:42:08Z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9B319B7B1A4E457A8D41222FF029CF3E_11</vt:lpwstr>
  </property>
  <property fmtid="{D5CDD505-2E9C-101B-9397-08002B2CF9AE}" pid="4" name="KSOTemplateDocerSaveRecord">
    <vt:lpwstr>eyJoZGlkIjoiNmJkNmEwODUxZTlhY2U2ZTM0OTI0ZDY1ZmQzYTAyZjYiLCJ1c2VySWQiOiIxMTk3NzI3MDgzIn0=</vt:lpwstr>
  </property>
</Properties>
</file>