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94F1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采购需求</w:t>
      </w:r>
    </w:p>
    <w:p w14:paraId="6AACBDA2">
      <w:pPr>
        <w:numPr>
          <w:ilvl w:val="0"/>
          <w:numId w:val="1"/>
        </w:numPr>
        <w:spacing w:line="360" w:lineRule="auto"/>
        <w:ind w:firstLine="442" w:firstLineChars="200"/>
        <w:rPr>
          <w:rFonts w:hint="eastAsia" w:ascii="宋体" w:hAnsi="宋体" w:eastAsia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项目概况</w:t>
      </w:r>
    </w:p>
    <w:p w14:paraId="658C1FC6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为保证全院各病区医用瓶装气体及管道压力的正常使用，需对医用气体进行招标采购，以确保医用气体正常供给。</w:t>
      </w:r>
    </w:p>
    <w:p w14:paraId="54BDEC9B">
      <w:pPr>
        <w:numPr>
          <w:ilvl w:val="0"/>
          <w:numId w:val="1"/>
        </w:numPr>
        <w:spacing w:line="360" w:lineRule="auto"/>
        <w:ind w:firstLine="442" w:firstLineChars="200"/>
        <w:rPr>
          <w:rFonts w:hint="eastAsia" w:ascii="宋体" w:hAnsi="宋体" w:eastAsia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采购内容</w:t>
      </w:r>
    </w:p>
    <w:p w14:paraId="57FCB010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全院各病区钢瓶氧气、二氧化碳、液氮、混合气、液态氧气的配送灌装，</w:t>
      </w:r>
    </w:p>
    <w:p w14:paraId="2144F58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如医院出现紧急情况时，应配合医院情况配送相应数量的应急气体。</w:t>
      </w:r>
    </w:p>
    <w:tbl>
      <w:tblPr>
        <w:tblStyle w:val="4"/>
        <w:tblpPr w:leftFromText="180" w:rightFromText="180" w:vertAnchor="text" w:horzAnchor="page" w:tblpXSpec="center" w:tblpY="329"/>
        <w:tblOverlap w:val="never"/>
        <w:tblW w:w="7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25"/>
        <w:gridCol w:w="1503"/>
        <w:gridCol w:w="724"/>
        <w:gridCol w:w="1814"/>
        <w:gridCol w:w="1328"/>
      </w:tblGrid>
      <w:tr w14:paraId="5A97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83" w:type="dxa"/>
            <w:vAlign w:val="center"/>
          </w:tcPr>
          <w:p w14:paraId="1BC7A575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25" w:type="dxa"/>
            <w:vAlign w:val="center"/>
          </w:tcPr>
          <w:p w14:paraId="5879148B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503" w:type="dxa"/>
            <w:vAlign w:val="center"/>
          </w:tcPr>
          <w:p w14:paraId="00C2D5F1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规格/型号</w:t>
            </w:r>
          </w:p>
        </w:tc>
        <w:tc>
          <w:tcPr>
            <w:tcW w:w="724" w:type="dxa"/>
            <w:vAlign w:val="center"/>
          </w:tcPr>
          <w:p w14:paraId="22FE7784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814" w:type="dxa"/>
            <w:vAlign w:val="center"/>
          </w:tcPr>
          <w:p w14:paraId="58B740FE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最高限价（元/单位）</w:t>
            </w:r>
          </w:p>
        </w:tc>
        <w:tc>
          <w:tcPr>
            <w:tcW w:w="1328" w:type="dxa"/>
            <w:vAlign w:val="center"/>
          </w:tcPr>
          <w:p w14:paraId="747432D8">
            <w:pPr>
              <w:pStyle w:val="8"/>
              <w:spacing w:line="2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2879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3" w:type="dxa"/>
            <w:vAlign w:val="center"/>
          </w:tcPr>
          <w:p w14:paraId="4E42288D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25" w:type="dxa"/>
            <w:vAlign w:val="center"/>
          </w:tcPr>
          <w:p w14:paraId="776E1433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氧气</w:t>
            </w:r>
          </w:p>
        </w:tc>
        <w:tc>
          <w:tcPr>
            <w:tcW w:w="1503" w:type="dxa"/>
            <w:vAlign w:val="center"/>
          </w:tcPr>
          <w:p w14:paraId="54255ADA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40L</w:t>
            </w:r>
          </w:p>
        </w:tc>
        <w:tc>
          <w:tcPr>
            <w:tcW w:w="724" w:type="dxa"/>
            <w:vAlign w:val="center"/>
          </w:tcPr>
          <w:p w14:paraId="718D5269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瓶</w:t>
            </w:r>
          </w:p>
        </w:tc>
        <w:tc>
          <w:tcPr>
            <w:tcW w:w="1814" w:type="dxa"/>
            <w:vAlign w:val="center"/>
          </w:tcPr>
          <w:p w14:paraId="6F04037A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40元</w:t>
            </w:r>
          </w:p>
        </w:tc>
        <w:tc>
          <w:tcPr>
            <w:tcW w:w="1328" w:type="dxa"/>
            <w:vAlign w:val="center"/>
          </w:tcPr>
          <w:p w14:paraId="51E3D0DF">
            <w:pPr>
              <w:pStyle w:val="8"/>
              <w:spacing w:line="2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412D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83" w:type="dxa"/>
            <w:vAlign w:val="center"/>
          </w:tcPr>
          <w:p w14:paraId="06520799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125" w:type="dxa"/>
            <w:vAlign w:val="center"/>
          </w:tcPr>
          <w:p w14:paraId="114B8E3F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二氧化碳</w:t>
            </w:r>
          </w:p>
        </w:tc>
        <w:tc>
          <w:tcPr>
            <w:tcW w:w="1503" w:type="dxa"/>
            <w:vAlign w:val="center"/>
          </w:tcPr>
          <w:p w14:paraId="1A0B0D27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40L</w:t>
            </w:r>
          </w:p>
        </w:tc>
        <w:tc>
          <w:tcPr>
            <w:tcW w:w="724" w:type="dxa"/>
            <w:vAlign w:val="center"/>
          </w:tcPr>
          <w:p w14:paraId="21C68C58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瓶</w:t>
            </w:r>
          </w:p>
        </w:tc>
        <w:tc>
          <w:tcPr>
            <w:tcW w:w="1814" w:type="dxa"/>
            <w:vAlign w:val="center"/>
          </w:tcPr>
          <w:p w14:paraId="5748D89C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60元</w:t>
            </w:r>
          </w:p>
        </w:tc>
        <w:tc>
          <w:tcPr>
            <w:tcW w:w="1328" w:type="dxa"/>
            <w:vAlign w:val="center"/>
          </w:tcPr>
          <w:p w14:paraId="4B5DE220">
            <w:pPr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37AD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3" w:type="dxa"/>
            <w:vAlign w:val="center"/>
          </w:tcPr>
          <w:p w14:paraId="5ED3A76E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125" w:type="dxa"/>
            <w:vAlign w:val="center"/>
          </w:tcPr>
          <w:p w14:paraId="586D56B0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液氮</w:t>
            </w:r>
          </w:p>
        </w:tc>
        <w:tc>
          <w:tcPr>
            <w:tcW w:w="1503" w:type="dxa"/>
            <w:vAlign w:val="center"/>
          </w:tcPr>
          <w:p w14:paraId="7C77FAAF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1L</w:t>
            </w:r>
          </w:p>
        </w:tc>
        <w:tc>
          <w:tcPr>
            <w:tcW w:w="724" w:type="dxa"/>
            <w:vAlign w:val="center"/>
          </w:tcPr>
          <w:p w14:paraId="298239F1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升</w:t>
            </w:r>
          </w:p>
        </w:tc>
        <w:tc>
          <w:tcPr>
            <w:tcW w:w="1814" w:type="dxa"/>
            <w:vAlign w:val="center"/>
          </w:tcPr>
          <w:p w14:paraId="000C7834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10元</w:t>
            </w:r>
          </w:p>
        </w:tc>
        <w:tc>
          <w:tcPr>
            <w:tcW w:w="1328" w:type="dxa"/>
            <w:vAlign w:val="center"/>
          </w:tcPr>
          <w:p w14:paraId="1EC200A3">
            <w:pPr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3B36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3" w:type="dxa"/>
            <w:vAlign w:val="center"/>
          </w:tcPr>
          <w:p w14:paraId="11226744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125" w:type="dxa"/>
            <w:vAlign w:val="center"/>
          </w:tcPr>
          <w:p w14:paraId="15F0F62D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混合气/标准气</w:t>
            </w:r>
          </w:p>
        </w:tc>
        <w:tc>
          <w:tcPr>
            <w:tcW w:w="1503" w:type="dxa"/>
            <w:vAlign w:val="center"/>
          </w:tcPr>
          <w:p w14:paraId="2C2E1013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8L</w:t>
            </w:r>
          </w:p>
        </w:tc>
        <w:tc>
          <w:tcPr>
            <w:tcW w:w="724" w:type="dxa"/>
            <w:vAlign w:val="center"/>
          </w:tcPr>
          <w:p w14:paraId="4A10ECD4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瓶</w:t>
            </w:r>
          </w:p>
        </w:tc>
        <w:tc>
          <w:tcPr>
            <w:tcW w:w="1814" w:type="dxa"/>
            <w:vAlign w:val="center"/>
          </w:tcPr>
          <w:p w14:paraId="4C794A9F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  <w:tc>
          <w:tcPr>
            <w:tcW w:w="1328" w:type="dxa"/>
            <w:vAlign w:val="center"/>
          </w:tcPr>
          <w:p w14:paraId="6A060DB1">
            <w:pPr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4BEF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3" w:type="dxa"/>
            <w:vAlign w:val="center"/>
          </w:tcPr>
          <w:p w14:paraId="46014DBA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125" w:type="dxa"/>
            <w:vAlign w:val="center"/>
          </w:tcPr>
          <w:p w14:paraId="639EEF54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钢瓶</w:t>
            </w:r>
          </w:p>
        </w:tc>
        <w:tc>
          <w:tcPr>
            <w:tcW w:w="1503" w:type="dxa"/>
            <w:vAlign w:val="center"/>
          </w:tcPr>
          <w:p w14:paraId="551767AF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40L</w:t>
            </w:r>
          </w:p>
        </w:tc>
        <w:tc>
          <w:tcPr>
            <w:tcW w:w="724" w:type="dxa"/>
            <w:vAlign w:val="center"/>
          </w:tcPr>
          <w:p w14:paraId="2BA4CA31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支</w:t>
            </w:r>
          </w:p>
        </w:tc>
        <w:tc>
          <w:tcPr>
            <w:tcW w:w="1814" w:type="dxa"/>
            <w:vAlign w:val="center"/>
          </w:tcPr>
          <w:p w14:paraId="4E01D088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750元</w:t>
            </w:r>
          </w:p>
        </w:tc>
        <w:tc>
          <w:tcPr>
            <w:tcW w:w="1328" w:type="dxa"/>
            <w:vAlign w:val="center"/>
          </w:tcPr>
          <w:p w14:paraId="5B1C5BDB">
            <w:pPr>
              <w:pStyle w:val="8"/>
              <w:spacing w:line="2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核心产品</w:t>
            </w:r>
          </w:p>
        </w:tc>
      </w:tr>
      <w:tr w14:paraId="1B56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83" w:type="dxa"/>
            <w:vAlign w:val="center"/>
          </w:tcPr>
          <w:p w14:paraId="1CF4614B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125" w:type="dxa"/>
            <w:vAlign w:val="center"/>
          </w:tcPr>
          <w:p w14:paraId="318821AE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液态氧气</w:t>
            </w:r>
          </w:p>
        </w:tc>
        <w:tc>
          <w:tcPr>
            <w:tcW w:w="1503" w:type="dxa"/>
            <w:vAlign w:val="center"/>
          </w:tcPr>
          <w:p w14:paraId="7917976C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1t</w:t>
            </w:r>
          </w:p>
          <w:p w14:paraId="2CDF727A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（氧含量≥99.5％）</w:t>
            </w:r>
          </w:p>
        </w:tc>
        <w:tc>
          <w:tcPr>
            <w:tcW w:w="724" w:type="dxa"/>
            <w:vAlign w:val="center"/>
          </w:tcPr>
          <w:p w14:paraId="379A7406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吨</w:t>
            </w:r>
          </w:p>
        </w:tc>
        <w:tc>
          <w:tcPr>
            <w:tcW w:w="1814" w:type="dxa"/>
            <w:vAlign w:val="center"/>
          </w:tcPr>
          <w:p w14:paraId="0AD81EBE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0元</w:t>
            </w:r>
          </w:p>
        </w:tc>
        <w:tc>
          <w:tcPr>
            <w:tcW w:w="1328" w:type="dxa"/>
            <w:vAlign w:val="center"/>
          </w:tcPr>
          <w:p w14:paraId="6B324AD9">
            <w:pPr>
              <w:pStyle w:val="8"/>
              <w:spacing w:line="2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 w14:paraId="72C09633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763A759F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247DAB4A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4E0D500C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46DC4A1F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06BAF7EF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32E19C1A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1A81B1D6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381D039B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19FF5021">
      <w:pPr>
        <w:numPr>
          <w:ilvl w:val="0"/>
          <w:numId w:val="0"/>
        </w:numPr>
        <w:spacing w:line="360" w:lineRule="auto"/>
        <w:ind w:firstLine="442" w:firstLineChars="200"/>
        <w:rPr>
          <w:rFonts w:hint="default" w:ascii="宋体" w:hAnsi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注：1.本项目的核心产品为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钢瓶</w:t>
      </w:r>
    </w:p>
    <w:p w14:paraId="1003F1C9">
      <w:pPr>
        <w:numPr>
          <w:ilvl w:val="0"/>
          <w:numId w:val="0"/>
        </w:numPr>
        <w:spacing w:line="360" w:lineRule="auto"/>
        <w:ind w:firstLine="442" w:firstLineChars="200"/>
        <w:rPr>
          <w:rFonts w:hint="default" w:ascii="宋体" w:hAnsi="宋体" w:eastAsia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2.此表的价格为单价的最高限价</w:t>
      </w:r>
    </w:p>
    <w:p w14:paraId="57213390">
      <w:pPr>
        <w:numPr>
          <w:ilvl w:val="0"/>
          <w:numId w:val="0"/>
        </w:numPr>
        <w:spacing w:line="360" w:lineRule="auto"/>
        <w:ind w:firstLine="442" w:firstLineChars="200"/>
        <w:rPr>
          <w:rFonts w:hint="eastAsia" w:ascii="宋体" w:hAnsi="宋体" w:eastAsia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三、技术要求</w:t>
      </w:r>
    </w:p>
    <w:p w14:paraId="1C7E97AA"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每瓶40L氧气充装量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10—12MPa之间；</w:t>
      </w:r>
      <w:bookmarkStart w:id="0" w:name="_GoBack"/>
      <w:bookmarkEnd w:id="0"/>
    </w:p>
    <w:p w14:paraId="1C936934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每瓶40L二氧化碳充装量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4—5MPa之间；</w:t>
      </w:r>
    </w:p>
    <w:p w14:paraId="4E1E01A4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医用液氧指标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液态氧气氧含量≥99.5%，一氧化碳、二氧化碳、水分</w:t>
      </w:r>
    </w:p>
    <w:p w14:paraId="22FAB9A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等指标符合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药典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标准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；</w:t>
      </w:r>
    </w:p>
    <w:p w14:paraId="2AC169C5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氧气密度和液氧比重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在标准状况[0℃，1个大气压(0.1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MPa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）]下，</w:t>
      </w:r>
    </w:p>
    <w:p w14:paraId="0C271748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液氧密度为1.14吨/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m³；</w:t>
      </w:r>
    </w:p>
    <w:p w14:paraId="74292111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液氧汽化比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在标准状况[0℃，1个大气压(0.1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MPa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）]下，1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医用液氧可汽化成≥804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Hans"/>
        </w:rPr>
        <w:t>的氧气。</w:t>
      </w:r>
    </w:p>
    <w:p w14:paraId="6C16E533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850D2"/>
    <w:multiLevelType w:val="singleLevel"/>
    <w:tmpl w:val="3FD850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207B"/>
    <w:rsid w:val="185B7540"/>
    <w:rsid w:val="213E2F0F"/>
    <w:rsid w:val="26841133"/>
    <w:rsid w:val="33BC7D4B"/>
    <w:rsid w:val="4EB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  <w:style w:type="paragraph" w:customStyle="1" w:styleId="7">
    <w:name w:val="表格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ascii="宋体" w:hAnsi="宋体" w:eastAsia="宋体" w:cs="宋体"/>
      <w:sz w:val="24"/>
      <w:szCs w:val="24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2025-07-10T08:07:17Z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