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陕西太白山国家级自然保护区管理局陕西太白山国家级自然保护区2025年中央财政林业草原生态保护恢复资金项目招标公告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陕西太白山国家级自然保护区2025年中央财政林业草原生态保护恢复资金项目</w:t>
      </w:r>
      <w:r>
        <w:rPr>
          <w:rFonts w:ascii="仿宋_GB2312" w:hAnsi="仿宋_GB2312" w:cs="仿宋_GB2312" w:eastAsia="仿宋_GB2312"/>
        </w:rPr>
        <w:t>的潜在投标人应在陕西省政府采购综合管理平台项目电子化交易系统（以下简称“项目电子化交易系统”）获取招标文件，并于</w:t>
      </w:r>
      <w:r>
        <w:rPr>
          <w:rFonts w:ascii="仿宋_GB2312" w:hAnsi="仿宋_GB2312" w:cs="仿宋_GB2312" w:eastAsia="仿宋_GB2312"/>
        </w:rPr>
        <w:t xml:space="preserve"> 2025年08月05日 09时30分 </w:t>
      </w:r>
      <w:r>
        <w:rPr>
          <w:rFonts w:ascii="仿宋_GB2312" w:hAnsi="仿宋_GB2312" w:cs="仿宋_GB2312" w:eastAsia="仿宋_GB2312"/>
        </w:rPr>
        <w:t>（北京时间）前递交投标文件。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项目编号：XAHQWL2025-111</w:t>
      </w:r>
    </w:p>
    <w:p>
      <w:pPr>
        <w:pStyle w:val="null3"/>
      </w:pPr>
      <w:r>
        <w:rPr>
          <w:rFonts w:ascii="仿宋_GB2312" w:hAnsi="仿宋_GB2312" w:cs="仿宋_GB2312" w:eastAsia="仿宋_GB2312"/>
        </w:rPr>
        <w:t>项目名称：陕西太白山国家级自然保护区2025年中央财政林业草原生态保护恢复资金项目</w:t>
      </w:r>
    </w:p>
    <w:p>
      <w:pPr>
        <w:pStyle w:val="null3"/>
      </w:pPr>
      <w:r>
        <w:rPr>
          <w:rFonts w:ascii="仿宋_GB2312" w:hAnsi="仿宋_GB2312" w:cs="仿宋_GB2312" w:eastAsia="仿宋_GB2312"/>
        </w:rPr>
        <w:t>采购方式：公开招标</w:t>
      </w:r>
    </w:p>
    <w:p>
      <w:pPr>
        <w:pStyle w:val="null3"/>
      </w:pPr>
      <w:r>
        <w:rPr>
          <w:rFonts w:ascii="仿宋_GB2312" w:hAnsi="仿宋_GB2312" w:cs="仿宋_GB2312" w:eastAsia="仿宋_GB2312"/>
        </w:rPr>
        <w:t>预算金额：5,230,000.00元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采购包1：自合同签订之日起365日</w:t>
      </w:r>
    </w:p>
    <w:p>
      <w:pPr>
        <w:pStyle w:val="null3"/>
      </w:pPr>
      <w:r>
        <w:rPr>
          <w:rFonts w:ascii="仿宋_GB2312" w:hAnsi="仿宋_GB2312" w:cs="仿宋_GB2312" w:eastAsia="仿宋_GB2312"/>
        </w:rPr>
        <w:t>采购包2：自合同签订之日起90日</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pPr>
      <w:r>
        <w:rPr>
          <w:rFonts w:ascii="仿宋_GB2312" w:hAnsi="仿宋_GB2312" w:cs="仿宋_GB2312" w:eastAsia="仿宋_GB2312"/>
        </w:rPr>
        <w:t>采购包2：不接受联合体投标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合同包1(国家重点野生动植物保护与监测、大熊猫栖息地生态修复、高山区管护点功能提升、应急供电系统及视频监控点检修)落实政府采购政策需满足的资格要求如下:</w:t>
      </w:r>
    </w:p>
    <w:p>
      <w:pPr>
        <w:pStyle w:val="null3"/>
        <w:ind w:left="480"/>
      </w:pPr>
      <w:r>
        <w:rPr>
          <w:rFonts w:ascii="仿宋_GB2312" w:hAnsi="仿宋_GB2312" w:cs="仿宋_GB2312" w:eastAsia="仿宋_GB2312"/>
        </w:rPr>
        <w:t>参与的供应商（联合体）服务全部由符合政策要求的中小企业承接。</w:t>
      </w:r>
    </w:p>
    <w:p>
      <w:pPr>
        <w:pStyle w:val="null3"/>
      </w:pPr>
      <w:r>
        <w:rPr>
          <w:rFonts w:ascii="仿宋_GB2312" w:hAnsi="仿宋_GB2312" w:cs="仿宋_GB2312" w:eastAsia="仿宋_GB2312"/>
        </w:rPr>
        <w:t>合同包2(应急救援及物资储备)落实政府采购政策需满足的资格要求如下:</w:t>
      </w:r>
    </w:p>
    <w:p>
      <w:pPr>
        <w:pStyle w:val="null3"/>
        <w:ind w:left="480"/>
      </w:pPr>
      <w:r>
        <w:rPr>
          <w:rFonts w:ascii="仿宋_GB2312" w:hAnsi="仿宋_GB2312" w:cs="仿宋_GB2312" w:eastAsia="仿宋_GB2312"/>
        </w:rPr>
        <w:t>参与的供应商（联合体）服务全部由符合政策要求的中小企业承接。</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合同包1(国家重点野生动植物保护与监测、大熊猫栖息地生态修复、高山区管护点功能提升、应急供电系统及视频监控点检修)特定资格要求如下:</w:t>
      </w:r>
    </w:p>
    <w:p>
      <w:pPr>
        <w:pStyle w:val="null3"/>
      </w:pPr>
      <w:r>
        <w:rPr>
          <w:rFonts w:ascii="仿宋_GB2312" w:hAnsi="仿宋_GB2312" w:cs="仿宋_GB2312" w:eastAsia="仿宋_GB2312"/>
        </w:rPr>
        <w:t>(1)具有独立承担民事责任能力的法人、其他组织或自然人，并出具合法有效的营业执照或事业单位法人证书等国家规定的相关证明，自然人参与的提供其身份证明；</w:t>
      </w:r>
    </w:p>
    <w:p>
      <w:pPr>
        <w:pStyle w:val="null3"/>
      </w:pPr>
      <w:r>
        <w:rPr>
          <w:rFonts w:ascii="仿宋_GB2312" w:hAnsi="仿宋_GB2312" w:cs="仿宋_GB2312" w:eastAsia="仿宋_GB2312"/>
        </w:rPr>
        <w:t>(2)提供2024年度财务审计报告（至少包含利润表、资产负债表、现金流量表、所有者权益变动表、会计报表附注），成立时间至提交响应文件截止时间不足一年的提供其基本账户开户银行出具的资信证明及基本账户开户许可证或开户证明；</w:t>
      </w:r>
    </w:p>
    <w:p>
      <w:pPr>
        <w:pStyle w:val="null3"/>
      </w:pPr>
      <w:r>
        <w:rPr>
          <w:rFonts w:ascii="仿宋_GB2312" w:hAnsi="仿宋_GB2312" w:cs="仿宋_GB2312" w:eastAsia="仿宋_GB2312"/>
        </w:rPr>
        <w:t>(3)提供投标截止日前6个月内任一月份的纳税证明或完税证明，依法免税的单位应提供相关证明材料（任意税种）；</w:t>
      </w:r>
    </w:p>
    <w:p>
      <w:pPr>
        <w:pStyle w:val="null3"/>
      </w:pPr>
      <w:r>
        <w:rPr>
          <w:rFonts w:ascii="仿宋_GB2312" w:hAnsi="仿宋_GB2312" w:cs="仿宋_GB2312" w:eastAsia="仿宋_GB2312"/>
        </w:rPr>
        <w:t>(4)提供投标截止日前6个月内任一月份的社会保障资金缴存单据，依法不需要缴纳社会保障资金的单位应提供相关证明材料；</w:t>
      </w:r>
    </w:p>
    <w:p>
      <w:pPr>
        <w:pStyle w:val="null3"/>
      </w:pPr>
      <w:r>
        <w:rPr>
          <w:rFonts w:ascii="仿宋_GB2312" w:hAnsi="仿宋_GB2312" w:cs="仿宋_GB2312" w:eastAsia="仿宋_GB2312"/>
        </w:rPr>
        <w:t>(5)参加政府采购活动前三年内，在经营活动中没有重大违法记录的书面声明、具有履行合同所必需的设备和专业技术能力书面声明函；</w:t>
      </w:r>
    </w:p>
    <w:p>
      <w:pPr>
        <w:pStyle w:val="null3"/>
      </w:pPr>
      <w:r>
        <w:rPr>
          <w:rFonts w:ascii="仿宋_GB2312" w:hAnsi="仿宋_GB2312" w:cs="仿宋_GB2312" w:eastAsia="仿宋_GB2312"/>
        </w:rPr>
        <w:t>(6)不得为“信用中国”网站（http://www.creditchina.gov.cn/）中列入失信被执行人和重大税收违法失信主体的供应商，不得为“中国政府采购网”（www.ccgp.gov.cn）政府采购严重违法失信行为记录名单中被财政部门禁止参加政府采购活动的供应商；</w:t>
      </w:r>
    </w:p>
    <w:p>
      <w:pPr>
        <w:pStyle w:val="null3"/>
      </w:pPr>
      <w:r>
        <w:rPr>
          <w:rFonts w:ascii="仿宋_GB2312" w:hAnsi="仿宋_GB2312" w:cs="仿宋_GB2312" w:eastAsia="仿宋_GB2312"/>
        </w:rPr>
        <w:t>合同包2(应急救援及物资储备)特定资格要求如下:</w:t>
      </w:r>
    </w:p>
    <w:p>
      <w:pPr>
        <w:pStyle w:val="null3"/>
      </w:pPr>
      <w:r>
        <w:rPr>
          <w:rFonts w:ascii="仿宋_GB2312" w:hAnsi="仿宋_GB2312" w:cs="仿宋_GB2312" w:eastAsia="仿宋_GB2312"/>
        </w:rPr>
        <w:t>(1)具有独立承担民事责任能力的法人、其他组织或自然人，并出具合法有效的营业执照或事业单位法人证书等国家规定的相关证明，自然人参与的提供其身份证明；</w:t>
      </w:r>
    </w:p>
    <w:p>
      <w:pPr>
        <w:pStyle w:val="null3"/>
      </w:pPr>
      <w:r>
        <w:rPr>
          <w:rFonts w:ascii="仿宋_GB2312" w:hAnsi="仿宋_GB2312" w:cs="仿宋_GB2312" w:eastAsia="仿宋_GB2312"/>
        </w:rPr>
        <w:t>(2)提供2024年度财务审计报告（至少包含利润表、资产负债表、现金流量表、所有者权益变动表、会计报表附注），成立时间至提交响应文件截止时间不足一年的提供其基本账户开户银行出具的资信证明及基本账户开户许可证或开户证明；</w:t>
      </w:r>
    </w:p>
    <w:p>
      <w:pPr>
        <w:pStyle w:val="null3"/>
      </w:pPr>
      <w:r>
        <w:rPr>
          <w:rFonts w:ascii="仿宋_GB2312" w:hAnsi="仿宋_GB2312" w:cs="仿宋_GB2312" w:eastAsia="仿宋_GB2312"/>
        </w:rPr>
        <w:t>(3)提供投标截止日前6个月内任一月份的纳税证明或完税证明，依法免税的单位应提供相关证明材料（任意税种）；</w:t>
      </w:r>
    </w:p>
    <w:p>
      <w:pPr>
        <w:pStyle w:val="null3"/>
      </w:pPr>
      <w:r>
        <w:rPr>
          <w:rFonts w:ascii="仿宋_GB2312" w:hAnsi="仿宋_GB2312" w:cs="仿宋_GB2312" w:eastAsia="仿宋_GB2312"/>
        </w:rPr>
        <w:t>(4)提供投标截止日前6个月内任一月份的社会保障资金缴存单据，依法不需要缴纳社会保障资金的单位应提供相关证明材料；</w:t>
      </w:r>
    </w:p>
    <w:p>
      <w:pPr>
        <w:pStyle w:val="null3"/>
      </w:pPr>
      <w:r>
        <w:rPr>
          <w:rFonts w:ascii="仿宋_GB2312" w:hAnsi="仿宋_GB2312" w:cs="仿宋_GB2312" w:eastAsia="仿宋_GB2312"/>
        </w:rPr>
        <w:t>(5)参加政府采购活动前三年内，在经营活动中没有重大违法记录的书面声明、具有履行合同所必需的设备和专业技术能力书面声明函；</w:t>
      </w:r>
    </w:p>
    <w:p>
      <w:pPr>
        <w:pStyle w:val="null3"/>
      </w:pPr>
      <w:r>
        <w:rPr>
          <w:rFonts w:ascii="仿宋_GB2312" w:hAnsi="仿宋_GB2312" w:cs="仿宋_GB2312" w:eastAsia="仿宋_GB2312"/>
        </w:rPr>
        <w:t>(6)不得为“信用中国”网站（http://www.creditchina.gov.cn/）中列入失信被执行人和重大税收违法失信主体的供应商，不得为“中国政府采购网”（www.ccgp.gov.cn）政府采购严重违法失信行为记录名单中被财政部门禁止参加政府采购活动的供应商；</w:t>
      </w:r>
    </w:p>
    <w:p>
      <w:pPr>
        <w:pStyle w:val="null3"/>
        <w:outlineLvl w:val="3"/>
      </w:pPr>
      <w:r>
        <w:rPr>
          <w:rFonts w:ascii="仿宋_GB2312" w:hAnsi="仿宋_GB2312" w:cs="仿宋_GB2312" w:eastAsia="仿宋_GB2312"/>
          <w:sz w:val="24"/>
          <w:b/>
        </w:rPr>
        <w:t>三、获取招标文件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2025年07月11日 </w:t>
      </w:r>
      <w:r>
        <w:rPr>
          <w:rFonts w:ascii="仿宋_GB2312" w:hAnsi="仿宋_GB2312" w:cs="仿宋_GB2312" w:eastAsia="仿宋_GB2312"/>
        </w:rPr>
        <w:t>至</w:t>
      </w:r>
      <w:r>
        <w:rPr>
          <w:rFonts w:ascii="仿宋_GB2312" w:hAnsi="仿宋_GB2312" w:cs="仿宋_GB2312" w:eastAsia="仿宋_GB2312"/>
        </w:rPr>
        <w:t xml:space="preserve"> 2025年07月18日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四、提交投标文件截止时间、开标时间和地点</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2025年08月05日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提交投标文件地点：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pPr>
      <w:r>
        <w:rPr>
          <w:rFonts w:ascii="仿宋_GB2312" w:hAnsi="仿宋_GB2312" w:cs="仿宋_GB2312" w:eastAsia="仿宋_GB2312"/>
        </w:rPr>
        <w:t>开标地点：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五、公告期限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5</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六、其他补充事宜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sz w:val="21"/>
        </w:rPr>
        <w:t>（六）需要落实的政府采购政策：（</w:t>
      </w:r>
      <w:r>
        <w:rPr>
          <w:rFonts w:ascii="仿宋_GB2312" w:hAnsi="仿宋_GB2312" w:cs="仿宋_GB2312" w:eastAsia="仿宋_GB2312"/>
          <w:sz w:val="21"/>
        </w:rPr>
        <w:t>1）《国务院办公厅关于建立政府强制采购节能产品制度的通知》（国办发〔2007〕51号）；（2）《财政部 司法部关于政府采购支持监狱企业发展有关问题的通知》（财库〔2014〕68号）；（3）《三部门联合发布关于促进残疾人就业政府采购政策的通知》（财库〔2017〕141号）；（4）《财政部 发展改革委 生态环境部 市场监管总局关于调整优化节能产品、环境标志产品政府采购执行机制的通知》（财库〔2019〕9号）；（5）《关于运用政府采购政策支持乡村产业振兴的通知》（财库〔2021〕19号）；（6）《政府采购促进中小企业发展管理办法》（财库〔2020〕46号）；（7）陕西省财政厅关于印发《陕西省中小企业政府采购信用融资办法》（陕财办采〔2018〕23号）；（8）《关于进一步加大政府采购支持中小企业力度的通知》（财库〔2022〕19号）；（9）《关于扩大政府采购支持绿色建材促进建筑品质提升政策实施范围的通知》（财库〔2022〕35号）。</w:t>
      </w:r>
    </w:p>
    <w:p>
      <w:pPr>
        <w:pStyle w:val="null3"/>
        <w:outlineLvl w:val="3"/>
      </w:pPr>
      <w:r>
        <w:rPr>
          <w:rFonts w:ascii="仿宋_GB2312" w:hAnsi="仿宋_GB2312" w:cs="仿宋_GB2312" w:eastAsia="仿宋_GB2312"/>
          <w:sz w:val="24"/>
          <w:b/>
        </w:rPr>
        <w:t>七、对本次招标提出询问，请按以下方式联系。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陕西太白山国家级自然保护区管理局</w:t>
      </w:r>
    </w:p>
    <w:p>
      <w:pPr>
        <w:pStyle w:val="null3"/>
      </w:pPr>
      <w:r>
        <w:rPr>
          <w:rFonts w:ascii="仿宋_GB2312" w:hAnsi="仿宋_GB2312" w:cs="仿宋_GB2312" w:eastAsia="仿宋_GB2312"/>
        </w:rPr>
        <w:t>地址：</w:t>
      </w:r>
      <w:r>
        <w:rPr>
          <w:rFonts w:ascii="仿宋_GB2312" w:hAnsi="仿宋_GB2312" w:cs="仿宋_GB2312" w:eastAsia="仿宋_GB2312"/>
        </w:rPr>
        <w:t>杨凌示范区五湖路16号</w:t>
      </w:r>
    </w:p>
    <w:p>
      <w:pPr>
        <w:pStyle w:val="null3"/>
      </w:pPr>
      <w:r>
        <w:rPr>
          <w:rFonts w:ascii="仿宋_GB2312" w:hAnsi="仿宋_GB2312" w:cs="仿宋_GB2312" w:eastAsia="仿宋_GB2312"/>
        </w:rPr>
        <w:t>联系方式：</w:t>
      </w:r>
      <w:r>
        <w:rPr>
          <w:rFonts w:ascii="仿宋_GB2312" w:hAnsi="仿宋_GB2312" w:cs="仿宋_GB2312" w:eastAsia="仿宋_GB2312"/>
        </w:rPr>
        <w:t>13572459661</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西安华秦未来项目管理咨询有限公司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陕西省西安市市本级陕西省西安市莲湖区北关正街35号方兴大厦1栋1单元10402-4-025</w:t>
      </w:r>
    </w:p>
    <w:p>
      <w:pPr>
        <w:pStyle w:val="null3"/>
      </w:pPr>
      <w:r>
        <w:rPr>
          <w:rFonts w:ascii="仿宋_GB2312" w:hAnsi="仿宋_GB2312" w:cs="仿宋_GB2312" w:eastAsia="仿宋_GB2312"/>
        </w:rPr>
        <w:t>联系方式：</w:t>
      </w:r>
      <w:r>
        <w:rPr>
          <w:rFonts w:ascii="仿宋_GB2312" w:hAnsi="仿宋_GB2312" w:cs="仿宋_GB2312" w:eastAsia="仿宋_GB2312"/>
        </w:rPr>
        <w:t>029-85518893</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姚杰远</w:t>
      </w:r>
    </w:p>
    <w:p>
      <w:pPr>
        <w:pStyle w:val="null3"/>
      </w:pPr>
      <w:r>
        <w:rPr>
          <w:rFonts w:ascii="仿宋_GB2312" w:hAnsi="仿宋_GB2312" w:cs="仿宋_GB2312" w:eastAsia="仿宋_GB2312"/>
        </w:rPr>
        <w:t>电话：</w:t>
      </w:r>
      <w:r>
        <w:rPr>
          <w:rFonts w:ascii="仿宋_GB2312" w:hAnsi="仿宋_GB2312" w:cs="仿宋_GB2312" w:eastAsia="仿宋_GB2312"/>
        </w:rPr>
        <w:t>029-85518893</w:t>
      </w:r>
    </w:p>
    <w:p>
      <w:pPr>
        <w:pStyle w:val="null3"/>
        <w:jc w:val="right"/>
      </w:pPr>
      <w:r>
        <w:rPr>
          <w:rFonts w:ascii="仿宋_GB2312" w:hAnsi="仿宋_GB2312" w:cs="仿宋_GB2312" w:eastAsia="仿宋_GB2312"/>
        </w:rPr>
        <w:t>西安华秦未来项目管理咨询有限公司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