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96A34">
      <w:pPr>
        <w:pStyle w:val="3"/>
        <w:pageBreakBefore w:val="0"/>
        <w:numPr>
          <w:numId w:val="0"/>
        </w:numPr>
        <w:kinsoku/>
        <w:wordWrap/>
        <w:topLinePunct w:val="0"/>
        <w:bidi w:val="0"/>
        <w:spacing w:line="520" w:lineRule="exact"/>
        <w:ind w:right="0" w:rightChars="0"/>
        <w:jc w:val="center"/>
        <w:rPr>
          <w:rFonts w:hint="eastAsia" w:ascii="宋体" w:hAnsi="宋体" w:eastAsia="宋体" w:cs="宋体"/>
          <w:b/>
          <w:bCs/>
          <w:highlight w:val="none"/>
        </w:rPr>
      </w:pPr>
      <w:r>
        <w:rPr>
          <w:rFonts w:hint="eastAsia" w:ascii="宋体" w:hAnsi="宋体" w:eastAsia="宋体" w:cs="宋体"/>
          <w:b/>
          <w:bCs/>
          <w:color w:val="auto"/>
          <w:sz w:val="28"/>
          <w:szCs w:val="28"/>
          <w:highlight w:val="none"/>
        </w:rPr>
        <w:t>采购内容及要求</w:t>
      </w:r>
    </w:p>
    <w:tbl>
      <w:tblPr>
        <w:tblStyle w:val="4"/>
        <w:tblW w:w="93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900"/>
        <w:gridCol w:w="1125"/>
        <w:gridCol w:w="806"/>
        <w:gridCol w:w="919"/>
        <w:gridCol w:w="3731"/>
        <w:gridCol w:w="1406"/>
      </w:tblGrid>
      <w:tr w14:paraId="6CA7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63" w:type="dxa"/>
            <w:noWrap w:val="0"/>
            <w:vAlign w:val="center"/>
          </w:tcPr>
          <w:p w14:paraId="206B7B60">
            <w:pPr>
              <w:pageBreakBefore w:val="0"/>
              <w:kinsoku/>
              <w:wordWrap/>
              <w:topLinePunct w:val="0"/>
              <w:bidi w:val="0"/>
              <w:snapToGrid w:val="0"/>
              <w:spacing w:line="520" w:lineRule="exact"/>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序号</w:t>
            </w:r>
          </w:p>
        </w:tc>
        <w:tc>
          <w:tcPr>
            <w:tcW w:w="900" w:type="dxa"/>
            <w:noWrap w:val="0"/>
            <w:vAlign w:val="center"/>
          </w:tcPr>
          <w:p w14:paraId="1017D1B6">
            <w:pPr>
              <w:pageBreakBefore w:val="0"/>
              <w:kinsoku/>
              <w:wordWrap/>
              <w:topLinePunct w:val="0"/>
              <w:bidi w:val="0"/>
              <w:snapToGrid w:val="0"/>
              <w:spacing w:line="520" w:lineRule="exact"/>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品名</w:t>
            </w:r>
          </w:p>
        </w:tc>
        <w:tc>
          <w:tcPr>
            <w:tcW w:w="1125" w:type="dxa"/>
            <w:noWrap w:val="0"/>
            <w:vAlign w:val="center"/>
          </w:tcPr>
          <w:p w14:paraId="38AE50E9">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规格</w:t>
            </w:r>
          </w:p>
        </w:tc>
        <w:tc>
          <w:tcPr>
            <w:tcW w:w="806" w:type="dxa"/>
            <w:noWrap w:val="0"/>
            <w:vAlign w:val="center"/>
          </w:tcPr>
          <w:p w14:paraId="1370BAB7">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单位</w:t>
            </w:r>
          </w:p>
        </w:tc>
        <w:tc>
          <w:tcPr>
            <w:tcW w:w="919" w:type="dxa"/>
            <w:noWrap w:val="0"/>
            <w:vAlign w:val="center"/>
          </w:tcPr>
          <w:p w14:paraId="599E86E5">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数</w:t>
            </w:r>
            <w:bookmarkStart w:id="0" w:name="_GoBack"/>
            <w:bookmarkEnd w:id="0"/>
            <w:r>
              <w:rPr>
                <w:rFonts w:hint="eastAsia" w:ascii="宋体" w:hAnsi="宋体" w:eastAsia="宋体" w:cs="宋体"/>
                <w:b w:val="0"/>
                <w:bCs w:val="0"/>
                <w:color w:val="auto"/>
                <w:sz w:val="24"/>
                <w:szCs w:val="24"/>
                <w:lang w:val="en-US" w:eastAsia="zh-CN"/>
              </w:rPr>
              <w:t>量</w:t>
            </w:r>
          </w:p>
        </w:tc>
        <w:tc>
          <w:tcPr>
            <w:tcW w:w="3731" w:type="dxa"/>
            <w:noWrap w:val="0"/>
            <w:vAlign w:val="center"/>
          </w:tcPr>
          <w:p w14:paraId="46C3D1BE">
            <w:pPr>
              <w:pageBreakBefore w:val="0"/>
              <w:kinsoku/>
              <w:wordWrap/>
              <w:topLinePunct w:val="0"/>
              <w:bidi w:val="0"/>
              <w:snapToGrid w:val="0"/>
              <w:spacing w:line="520" w:lineRule="exact"/>
              <w:ind w:left="2"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材质说明</w:t>
            </w:r>
          </w:p>
        </w:tc>
        <w:tc>
          <w:tcPr>
            <w:tcW w:w="1406" w:type="dxa"/>
            <w:noWrap w:val="0"/>
            <w:vAlign w:val="center"/>
          </w:tcPr>
          <w:p w14:paraId="2AA25259">
            <w:pPr>
              <w:pageBreakBefore w:val="0"/>
              <w:kinsoku/>
              <w:wordWrap/>
              <w:topLinePunct w:val="0"/>
              <w:bidi w:val="0"/>
              <w:snapToGrid w:val="0"/>
              <w:spacing w:line="520" w:lineRule="exact"/>
              <w:ind w:left="2"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图片</w:t>
            </w:r>
          </w:p>
        </w:tc>
      </w:tr>
      <w:tr w14:paraId="73E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463" w:type="dxa"/>
            <w:noWrap w:val="0"/>
            <w:vAlign w:val="center"/>
          </w:tcPr>
          <w:p w14:paraId="5E4F31F8">
            <w:pPr>
              <w:pageBreakBefore w:val="0"/>
              <w:kinsoku/>
              <w:wordWrap/>
              <w:topLinePunct w:val="0"/>
              <w:bidi w:val="0"/>
              <w:snapToGrid w:val="0"/>
              <w:spacing w:line="520" w:lineRule="exact"/>
              <w:ind w:left="2"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p>
        </w:tc>
        <w:tc>
          <w:tcPr>
            <w:tcW w:w="900" w:type="dxa"/>
            <w:noWrap w:val="0"/>
            <w:vAlign w:val="center"/>
          </w:tcPr>
          <w:p w14:paraId="53BE116D">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★单人高柜办公桌（不带玻璃屏风）</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WL</w:t>
            </w:r>
          </w:p>
        </w:tc>
        <w:tc>
          <w:tcPr>
            <w:tcW w:w="1125" w:type="dxa"/>
            <w:noWrap/>
            <w:vAlign w:val="center"/>
          </w:tcPr>
          <w:p w14:paraId="7AAEB439">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约1500*1400*1100</w:t>
            </w:r>
          </w:p>
        </w:tc>
        <w:tc>
          <w:tcPr>
            <w:tcW w:w="806" w:type="dxa"/>
            <w:noWrap/>
            <w:vAlign w:val="center"/>
          </w:tcPr>
          <w:p w14:paraId="0BC67261">
            <w:pPr>
              <w:pageBreakBefore w:val="0"/>
              <w:kinsoku/>
              <w:wordWrap/>
              <w:topLinePunct w:val="0"/>
              <w:bidi w:val="0"/>
              <w:snapToGrid w:val="0"/>
              <w:spacing w:line="520" w:lineRule="exact"/>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张</w:t>
            </w:r>
          </w:p>
        </w:tc>
        <w:tc>
          <w:tcPr>
            <w:tcW w:w="919" w:type="dxa"/>
            <w:noWrap/>
            <w:vAlign w:val="center"/>
          </w:tcPr>
          <w:p w14:paraId="1C9F08B3">
            <w:pPr>
              <w:pageBreakBefore w:val="0"/>
              <w:kinsoku/>
              <w:wordWrap/>
              <w:topLinePunct w:val="0"/>
              <w:bidi w:val="0"/>
              <w:snapToGrid w:val="0"/>
              <w:spacing w:line="520" w:lineRule="exact"/>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180</w:t>
            </w:r>
          </w:p>
        </w:tc>
        <w:tc>
          <w:tcPr>
            <w:tcW w:w="3731" w:type="dxa"/>
            <w:noWrap w:val="0"/>
            <w:vAlign w:val="center"/>
          </w:tcPr>
          <w:p w14:paraId="3D590ECE">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①面板侧脚：采用25厘国标E0级净味环保板，配套2厘PUR封边</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②副柜：采用16厘国标E0级净味环保板，四周封边，配套1厘PUR封边，抽面/顶板/门板2厘PUR封边</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③配件：</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1.加厚37加宽静音三节导轨</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2.静音液压缓冲铰链（终身质保)</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3.蛋形密码锁 板件四周封边（防尘、环保、美观）</w:t>
            </w:r>
          </w:p>
        </w:tc>
        <w:tc>
          <w:tcPr>
            <w:tcW w:w="1406" w:type="dxa"/>
            <w:noWrap w:val="0"/>
            <w:vAlign w:val="center"/>
          </w:tcPr>
          <w:p w14:paraId="4C5B21A5">
            <w:pPr>
              <w:pageBreakBefore w:val="0"/>
              <w:kinsoku/>
              <w:wordWrap/>
              <w:topLinePunct w:val="0"/>
              <w:bidi w:val="0"/>
              <w:snapToGrid w:val="0"/>
              <w:spacing w:line="520" w:lineRule="exact"/>
              <w:ind w:left="2"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1201420</wp:posOffset>
                  </wp:positionV>
                  <wp:extent cx="725805" cy="1440815"/>
                  <wp:effectExtent l="0" t="0" r="17145" b="698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4"/>
                          <a:stretch>
                            <a:fillRect/>
                          </a:stretch>
                        </pic:blipFill>
                        <pic:spPr>
                          <a:xfrm>
                            <a:off x="0" y="0"/>
                            <a:ext cx="725805" cy="1440815"/>
                          </a:xfrm>
                          <a:prstGeom prst="rect">
                            <a:avLst/>
                          </a:prstGeom>
                          <a:noFill/>
                          <a:ln>
                            <a:noFill/>
                          </a:ln>
                        </pic:spPr>
                      </pic:pic>
                    </a:graphicData>
                  </a:graphic>
                </wp:anchor>
              </w:drawing>
            </w:r>
          </w:p>
        </w:tc>
      </w:tr>
      <w:tr w14:paraId="7C92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463" w:type="dxa"/>
            <w:noWrap w:val="0"/>
            <w:vAlign w:val="center"/>
          </w:tcPr>
          <w:p w14:paraId="4D1A53D1">
            <w:pPr>
              <w:pageBreakBefore w:val="0"/>
              <w:kinsoku/>
              <w:wordWrap/>
              <w:topLinePunct w:val="0"/>
              <w:bidi w:val="0"/>
              <w:snapToGrid w:val="0"/>
              <w:spacing w:line="520" w:lineRule="exact"/>
              <w:ind w:left="2"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22</w:t>
            </w:r>
          </w:p>
        </w:tc>
        <w:tc>
          <w:tcPr>
            <w:tcW w:w="900" w:type="dxa"/>
            <w:noWrap w:val="0"/>
            <w:vAlign w:val="center"/>
          </w:tcPr>
          <w:p w14:paraId="79190A93">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网面弓形椅</w:t>
            </w:r>
          </w:p>
        </w:tc>
        <w:tc>
          <w:tcPr>
            <w:tcW w:w="1125" w:type="dxa"/>
            <w:noWrap/>
            <w:vAlign w:val="center"/>
          </w:tcPr>
          <w:p w14:paraId="0CFD2F01">
            <w:pPr>
              <w:pageBreakBefore w:val="0"/>
              <w:kinsoku/>
              <w:wordWrap/>
              <w:topLinePunct w:val="0"/>
              <w:bidi w:val="0"/>
              <w:snapToGrid w:val="0"/>
              <w:spacing w:line="520" w:lineRule="exac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约590*610*910</w:t>
            </w:r>
          </w:p>
        </w:tc>
        <w:tc>
          <w:tcPr>
            <w:tcW w:w="806" w:type="dxa"/>
            <w:noWrap/>
            <w:vAlign w:val="center"/>
          </w:tcPr>
          <w:p w14:paraId="14E40C3E">
            <w:pPr>
              <w:pageBreakBefore w:val="0"/>
              <w:kinsoku/>
              <w:wordWrap/>
              <w:topLinePunct w:val="0"/>
              <w:bidi w:val="0"/>
              <w:snapToGrid w:val="0"/>
              <w:spacing w:line="520" w:lineRule="exact"/>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把</w:t>
            </w:r>
          </w:p>
        </w:tc>
        <w:tc>
          <w:tcPr>
            <w:tcW w:w="919" w:type="dxa"/>
            <w:noWrap/>
            <w:vAlign w:val="center"/>
          </w:tcPr>
          <w:p w14:paraId="1199F97E">
            <w:pPr>
              <w:pageBreakBefore w:val="0"/>
              <w:kinsoku/>
              <w:wordWrap/>
              <w:topLinePunct w:val="0"/>
              <w:bidi w:val="0"/>
              <w:snapToGrid w:val="0"/>
              <w:spacing w:line="520" w:lineRule="exact"/>
              <w:ind w:firstLine="240" w:firstLineChars="1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180</w:t>
            </w:r>
          </w:p>
        </w:tc>
        <w:tc>
          <w:tcPr>
            <w:tcW w:w="3731" w:type="dxa"/>
            <w:noWrap w:val="0"/>
            <w:vAlign w:val="center"/>
          </w:tcPr>
          <w:p w14:paraId="18493516">
            <w:pPr>
              <w:pageBreakBefore w:val="0"/>
              <w:kinsoku/>
              <w:wordWrap/>
              <w:topLinePunct w:val="0"/>
              <w:bidi w:val="0"/>
              <w:snapToGrid w:val="0"/>
              <w:spacing w:line="520" w:lineRule="exact"/>
              <w:ind w:left="2"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1.黑色全新料加纤背框，透气网布；</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2.黑色PP固定腰靠；</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3.黑色PP连体连体扶手；</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4.45高密度纯绵坐垫，透气网布；</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5.1.8mm厚度的优质钢材喷黑弓形架.</w:t>
            </w:r>
          </w:p>
        </w:tc>
        <w:tc>
          <w:tcPr>
            <w:tcW w:w="1406" w:type="dxa"/>
            <w:noWrap w:val="0"/>
            <w:vAlign w:val="center"/>
          </w:tcPr>
          <w:p w14:paraId="2FA6A47A">
            <w:pPr>
              <w:pageBreakBefore w:val="0"/>
              <w:kinsoku/>
              <w:wordWrap/>
              <w:topLinePunct w:val="0"/>
              <w:bidi w:val="0"/>
              <w:snapToGrid w:val="0"/>
              <w:spacing w:line="520" w:lineRule="exact"/>
              <w:ind w:left="2" w:leftChars="0"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drawing>
                <wp:anchor distT="0" distB="0" distL="114300" distR="114300" simplePos="0" relativeHeight="251660288" behindDoc="0" locked="0" layoutInCell="1" allowOverlap="1">
                  <wp:simplePos x="0" y="0"/>
                  <wp:positionH relativeFrom="column">
                    <wp:posOffset>-27940</wp:posOffset>
                  </wp:positionH>
                  <wp:positionV relativeFrom="paragraph">
                    <wp:posOffset>613410</wp:posOffset>
                  </wp:positionV>
                  <wp:extent cx="767715" cy="1552575"/>
                  <wp:effectExtent l="0" t="0" r="13335" b="952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767715" cy="1552575"/>
                          </a:xfrm>
                          <a:prstGeom prst="rect">
                            <a:avLst/>
                          </a:prstGeom>
                          <a:noFill/>
                          <a:ln>
                            <a:noFill/>
                          </a:ln>
                        </pic:spPr>
                      </pic:pic>
                    </a:graphicData>
                  </a:graphic>
                </wp:anchor>
              </w:drawing>
            </w:r>
          </w:p>
        </w:tc>
      </w:tr>
      <w:tr w14:paraId="6F92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350" w:type="dxa"/>
            <w:gridSpan w:val="7"/>
            <w:noWrap w:val="0"/>
            <w:vAlign w:val="center"/>
          </w:tcPr>
          <w:p w14:paraId="63923CED">
            <w:pPr>
              <w:pageBreakBefore w:val="0"/>
              <w:kinsoku/>
              <w:wordWrap/>
              <w:topLinePunct w:val="0"/>
              <w:bidi w:val="0"/>
              <w:snapToGrid w:val="0"/>
              <w:spacing w:line="520" w:lineRule="exact"/>
              <w:ind w:left="2"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所有售出产品三年内“实行三包”（包修、包换、包退），并承担保修、更换、退货的实际产生费用，保修期内，如因设计上的缺陷或材料不合格及安装调试不达标而造成设备发生故障，我方免费维护并更换零件。</w:t>
            </w:r>
          </w:p>
        </w:tc>
      </w:tr>
    </w:tbl>
    <w:p w14:paraId="213A71FC">
      <w:pPr>
        <w:pageBreakBefore w:val="0"/>
        <w:numPr>
          <w:ilvl w:val="0"/>
          <w:numId w:val="0"/>
        </w:numPr>
        <w:kinsoku/>
        <w:wordWrap/>
        <w:topLinePunct w:val="0"/>
        <w:bidi w:val="0"/>
        <w:snapToGrid w:val="0"/>
        <w:spacing w:line="520" w:lineRule="exact"/>
        <w:ind w:left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注：1、标“★”为核心产品，必须完全响应提供证明材料，若未提供，则</w:t>
      </w:r>
    </w:p>
    <w:p w14:paraId="78B19338">
      <w:pPr>
        <w:pageBreakBefore w:val="0"/>
        <w:numPr>
          <w:ilvl w:val="0"/>
          <w:numId w:val="0"/>
        </w:numPr>
        <w:kinsoku/>
        <w:wordWrap/>
        <w:topLinePunct w:val="0"/>
        <w:bidi w:val="0"/>
        <w:snapToGrid w:val="0"/>
        <w:spacing w:line="52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视为重大负偏离。</w:t>
      </w:r>
    </w:p>
    <w:p w14:paraId="7DACF756">
      <w:pPr>
        <w:pageBreakBefore w:val="0"/>
        <w:numPr>
          <w:ilvl w:val="0"/>
          <w:numId w:val="0"/>
        </w:numPr>
        <w:kinsoku/>
        <w:wordWrap/>
        <w:topLinePunct w:val="0"/>
        <w:bidi w:val="0"/>
        <w:snapToGrid w:val="0"/>
        <w:spacing w:line="520" w:lineRule="exact"/>
        <w:ind w:firstLine="482" w:firstLineChars="200"/>
      </w:pPr>
      <w:r>
        <w:rPr>
          <w:rFonts w:hint="eastAsia" w:ascii="宋体" w:hAnsi="宋体" w:eastAsia="宋体" w:cs="宋体"/>
          <w:b/>
          <w:bCs/>
          <w:color w:val="auto"/>
          <w:sz w:val="24"/>
          <w:szCs w:val="24"/>
          <w:highlight w:val="none"/>
          <w:lang w:val="en-US" w:eastAsia="zh-CN"/>
        </w:rPr>
        <w:t>2.非标“★”参数为一般技术参数，必须提供证明材料（包括但不限于检测报告、宣传彩页、官网截图），负偏离超过1项视为重大负偏离。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451CA"/>
    <w:rsid w:val="78E3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500" w:lineRule="atLeast"/>
      <w:ind w:left="0" w:right="0"/>
      <w:jc w:val="both"/>
      <w:outlineLvl w:val="1"/>
    </w:pPr>
    <w:rPr>
      <w:rFonts w:ascii="Arial" w:hAnsi="Arial" w:eastAsia="黑体" w:cs="Times New Roman"/>
      <w:b/>
      <w:bCs/>
      <w:kern w:val="2"/>
      <w:sz w:val="28"/>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rPr>
      <w:rFonts w:ascii="Courier New" w:hAnsi="Courier New" w:cs="Courier New"/>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2025-07-14T10:23:05Z</dcterms:created>
  <dc:creator>Administrator</dc:creator>
  <cp:lastModifiedBy>招标代理公司-宋璟雯</cp:lastModifiedBy>
  <dcterms:modified xsi:type="dcterms:W3CDTF">2025-07-14T10:23:49Z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eyJoZGlkIjoiNjMzZmQ0ZDk5YzU0YjllNTdjMTBiZDMxYTg3ZmM2YmYiLCJ1c2VySWQiOiIxMzU4MjU4NDA5In0=</vt:lpwstr>
  </property>
  <property fmtid="{D5CDD505-2E9C-101B-9397-08002B2CF9AE}" pid="4" name="ICV">
    <vt:lpwstr>508C53F71E4C42798BD21A0BCCF67DD3_12</vt:lpwstr>
  </property>
</Properties>
</file>