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4"/>
        <w:tblW w:w="85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40"/>
      </w:tblGrid>
      <w:tr w14:paraId="76EABF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89" w:hRule="atLeast"/>
        </w:trPr>
        <w:tc>
          <w:tcPr>
            <w:tcW w:w="8540" w:type="dxa"/>
          </w:tcPr>
          <w:p w14:paraId="79B58F74">
            <w:pPr>
              <w:rPr>
                <w:rFonts w:ascii="仿宋" w:hAnsi="仿宋" w:eastAsia="仿宋" w:cs="仿宋"/>
                <w:b/>
                <w:bCs/>
                <w:color w:val="auto"/>
              </w:rPr>
            </w:pPr>
            <w:bookmarkStart w:id="0" w:name="_GoBack"/>
            <w:r>
              <w:rPr>
                <w:rFonts w:hint="eastAsia" w:ascii="仿宋" w:hAnsi="仿宋" w:eastAsia="仿宋" w:cs="仿宋"/>
                <w:b/>
                <w:bCs/>
                <w:color w:val="auto"/>
              </w:rPr>
              <w:t>一、采购清单</w:t>
            </w:r>
          </w:p>
          <w:tbl>
            <w:tblPr>
              <w:tblStyle w:val="25"/>
              <w:tblW w:w="6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1984"/>
              <w:gridCol w:w="1276"/>
              <w:gridCol w:w="2347"/>
            </w:tblGrid>
            <w:tr w14:paraId="4FA2C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1DDC8607">
                  <w:pPr>
                    <w:jc w:val="center"/>
                    <w:rPr>
                      <w:rFonts w:ascii="仿宋" w:hAnsi="仿宋" w:eastAsia="仿宋" w:cs="仿宋"/>
                      <w:color w:val="auto"/>
                    </w:rPr>
                  </w:pPr>
                  <w:r>
                    <w:rPr>
                      <w:rFonts w:hint="eastAsia" w:ascii="仿宋" w:hAnsi="仿宋" w:eastAsia="仿宋" w:cs="仿宋"/>
                      <w:color w:val="auto"/>
                    </w:rPr>
                    <w:t>序号</w:t>
                  </w:r>
                </w:p>
              </w:tc>
              <w:tc>
                <w:tcPr>
                  <w:tcW w:w="1984" w:type="dxa"/>
                  <w:vAlign w:val="center"/>
                </w:tcPr>
                <w:p w14:paraId="1784EF55">
                  <w:pPr>
                    <w:jc w:val="center"/>
                    <w:rPr>
                      <w:rFonts w:ascii="仿宋" w:hAnsi="仿宋" w:eastAsia="仿宋" w:cs="仿宋"/>
                      <w:color w:val="auto"/>
                    </w:rPr>
                  </w:pPr>
                  <w:r>
                    <w:rPr>
                      <w:rFonts w:hint="eastAsia" w:ascii="仿宋" w:hAnsi="仿宋" w:eastAsia="仿宋" w:cs="仿宋"/>
                      <w:color w:val="auto"/>
                    </w:rPr>
                    <w:t>产品名称</w:t>
                  </w:r>
                </w:p>
              </w:tc>
              <w:tc>
                <w:tcPr>
                  <w:tcW w:w="1276" w:type="dxa"/>
                  <w:vAlign w:val="center"/>
                </w:tcPr>
                <w:p w14:paraId="4D065625">
                  <w:pPr>
                    <w:jc w:val="center"/>
                    <w:rPr>
                      <w:rFonts w:ascii="仿宋" w:hAnsi="仿宋" w:eastAsia="仿宋" w:cs="仿宋"/>
                      <w:color w:val="auto"/>
                    </w:rPr>
                  </w:pPr>
                  <w:r>
                    <w:rPr>
                      <w:rFonts w:hint="eastAsia" w:ascii="仿宋" w:hAnsi="仿宋" w:eastAsia="仿宋" w:cs="仿宋"/>
                      <w:color w:val="auto"/>
                    </w:rPr>
                    <w:t>数量</w:t>
                  </w:r>
                </w:p>
              </w:tc>
              <w:tc>
                <w:tcPr>
                  <w:tcW w:w="2347" w:type="dxa"/>
                  <w:vAlign w:val="center"/>
                </w:tcPr>
                <w:p w14:paraId="6F41643E">
                  <w:pPr>
                    <w:jc w:val="center"/>
                    <w:rPr>
                      <w:rFonts w:ascii="仿宋" w:hAnsi="仿宋" w:eastAsia="仿宋" w:cs="仿宋"/>
                      <w:color w:val="auto"/>
                    </w:rPr>
                  </w:pPr>
                  <w:r>
                    <w:rPr>
                      <w:rFonts w:hint="eastAsia" w:ascii="仿宋" w:hAnsi="仿宋" w:eastAsia="仿宋" w:cs="仿宋"/>
                      <w:color w:val="auto"/>
                    </w:rPr>
                    <w:t>单位</w:t>
                  </w:r>
                </w:p>
              </w:tc>
            </w:tr>
            <w:tr w14:paraId="1A80A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65607208">
                  <w:pPr>
                    <w:numPr>
                      <w:ilvl w:val="0"/>
                      <w:numId w:val="2"/>
                    </w:numPr>
                    <w:jc w:val="center"/>
                    <w:rPr>
                      <w:rFonts w:ascii="仿宋" w:hAnsi="仿宋" w:eastAsia="仿宋" w:cs="仿宋"/>
                      <w:color w:val="auto"/>
                    </w:rPr>
                  </w:pPr>
                </w:p>
              </w:tc>
              <w:tc>
                <w:tcPr>
                  <w:tcW w:w="1984" w:type="dxa"/>
                  <w:vAlign w:val="center"/>
                </w:tcPr>
                <w:p w14:paraId="212EE73C">
                  <w:pPr>
                    <w:jc w:val="center"/>
                    <w:rPr>
                      <w:rFonts w:ascii="仿宋" w:hAnsi="仿宋" w:eastAsia="仿宋" w:cs="仿宋"/>
                      <w:color w:val="auto"/>
                    </w:rPr>
                  </w:pPr>
                  <w:r>
                    <w:rPr>
                      <w:rFonts w:hint="eastAsia" w:ascii="仿宋" w:hAnsi="仿宋" w:eastAsia="仿宋" w:cs="仿宋"/>
                      <w:color w:val="auto"/>
                    </w:rPr>
                    <w:t>下一代防火墙</w:t>
                  </w:r>
                </w:p>
              </w:tc>
              <w:tc>
                <w:tcPr>
                  <w:tcW w:w="1276" w:type="dxa"/>
                  <w:vAlign w:val="center"/>
                </w:tcPr>
                <w:p w14:paraId="69D8987D">
                  <w:pPr>
                    <w:jc w:val="center"/>
                    <w:rPr>
                      <w:rFonts w:ascii="仿宋" w:hAnsi="仿宋" w:eastAsia="仿宋" w:cs="仿宋"/>
                      <w:color w:val="auto"/>
                    </w:rPr>
                  </w:pPr>
                  <w:r>
                    <w:rPr>
                      <w:rFonts w:hint="eastAsia" w:ascii="仿宋" w:hAnsi="仿宋" w:eastAsia="仿宋" w:cs="仿宋"/>
                      <w:color w:val="auto"/>
                    </w:rPr>
                    <w:t>1</w:t>
                  </w:r>
                </w:p>
              </w:tc>
              <w:tc>
                <w:tcPr>
                  <w:tcW w:w="2347" w:type="dxa"/>
                  <w:vAlign w:val="center"/>
                </w:tcPr>
                <w:p w14:paraId="7187F044">
                  <w:pPr>
                    <w:jc w:val="center"/>
                    <w:rPr>
                      <w:rFonts w:ascii="仿宋" w:hAnsi="仿宋" w:eastAsia="仿宋" w:cs="仿宋"/>
                      <w:color w:val="auto"/>
                    </w:rPr>
                  </w:pPr>
                  <w:r>
                    <w:rPr>
                      <w:rFonts w:hint="eastAsia" w:ascii="仿宋" w:hAnsi="仿宋" w:eastAsia="仿宋" w:cs="仿宋"/>
                      <w:color w:val="auto"/>
                    </w:rPr>
                    <w:t>台</w:t>
                  </w:r>
                </w:p>
              </w:tc>
            </w:tr>
            <w:tr w14:paraId="6697D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165E206E">
                  <w:pPr>
                    <w:numPr>
                      <w:ilvl w:val="0"/>
                      <w:numId w:val="2"/>
                    </w:numPr>
                    <w:jc w:val="center"/>
                    <w:rPr>
                      <w:rFonts w:ascii="仿宋" w:hAnsi="仿宋" w:eastAsia="仿宋" w:cs="仿宋"/>
                      <w:color w:val="auto"/>
                    </w:rPr>
                  </w:pPr>
                </w:p>
              </w:tc>
              <w:tc>
                <w:tcPr>
                  <w:tcW w:w="1984" w:type="dxa"/>
                  <w:vAlign w:val="center"/>
                </w:tcPr>
                <w:p w14:paraId="7FC9CBF2">
                  <w:pPr>
                    <w:jc w:val="center"/>
                    <w:rPr>
                      <w:rFonts w:ascii="仿宋" w:hAnsi="仿宋" w:eastAsia="仿宋" w:cs="仿宋"/>
                      <w:color w:val="auto"/>
                    </w:rPr>
                  </w:pPr>
                  <w:r>
                    <w:rPr>
                      <w:rFonts w:hint="eastAsia" w:ascii="仿宋" w:hAnsi="仿宋" w:eastAsia="仿宋" w:cs="仿宋"/>
                      <w:color w:val="auto"/>
                    </w:rPr>
                    <w:t>上网行为管理</w:t>
                  </w:r>
                </w:p>
              </w:tc>
              <w:tc>
                <w:tcPr>
                  <w:tcW w:w="1276" w:type="dxa"/>
                  <w:vAlign w:val="center"/>
                </w:tcPr>
                <w:p w14:paraId="092A1495">
                  <w:pPr>
                    <w:jc w:val="center"/>
                    <w:rPr>
                      <w:rFonts w:ascii="仿宋" w:hAnsi="仿宋" w:eastAsia="仿宋" w:cs="仿宋"/>
                      <w:color w:val="auto"/>
                    </w:rPr>
                  </w:pPr>
                  <w:r>
                    <w:rPr>
                      <w:rFonts w:hint="eastAsia" w:ascii="仿宋" w:hAnsi="仿宋" w:eastAsia="仿宋" w:cs="仿宋"/>
                      <w:color w:val="auto"/>
                    </w:rPr>
                    <w:t>1</w:t>
                  </w:r>
                </w:p>
              </w:tc>
              <w:tc>
                <w:tcPr>
                  <w:tcW w:w="2347" w:type="dxa"/>
                  <w:vAlign w:val="center"/>
                </w:tcPr>
                <w:p w14:paraId="0C149948">
                  <w:pPr>
                    <w:jc w:val="center"/>
                    <w:rPr>
                      <w:rFonts w:ascii="仿宋" w:hAnsi="仿宋" w:eastAsia="仿宋" w:cs="仿宋"/>
                      <w:color w:val="auto"/>
                    </w:rPr>
                  </w:pPr>
                  <w:r>
                    <w:rPr>
                      <w:rFonts w:hint="eastAsia" w:ascii="仿宋" w:hAnsi="仿宋" w:eastAsia="仿宋" w:cs="仿宋"/>
                      <w:color w:val="auto"/>
                    </w:rPr>
                    <w:t>台</w:t>
                  </w:r>
                </w:p>
              </w:tc>
            </w:tr>
            <w:tr w14:paraId="49538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65C9E55D">
                  <w:pPr>
                    <w:numPr>
                      <w:ilvl w:val="0"/>
                      <w:numId w:val="2"/>
                    </w:numPr>
                    <w:jc w:val="center"/>
                    <w:rPr>
                      <w:rFonts w:ascii="仿宋" w:hAnsi="仿宋" w:eastAsia="仿宋" w:cs="仿宋"/>
                      <w:color w:val="auto"/>
                    </w:rPr>
                  </w:pPr>
                </w:p>
              </w:tc>
              <w:tc>
                <w:tcPr>
                  <w:tcW w:w="1984" w:type="dxa"/>
                  <w:vAlign w:val="center"/>
                </w:tcPr>
                <w:p w14:paraId="2433C197">
                  <w:pPr>
                    <w:jc w:val="center"/>
                    <w:rPr>
                      <w:rFonts w:ascii="仿宋" w:hAnsi="仿宋" w:eastAsia="仿宋" w:cs="仿宋"/>
                      <w:color w:val="auto"/>
                    </w:rPr>
                  </w:pPr>
                  <w:r>
                    <w:rPr>
                      <w:rFonts w:hint="eastAsia" w:ascii="仿宋" w:hAnsi="仿宋" w:eastAsia="仿宋" w:cs="仿宋"/>
                      <w:color w:val="auto"/>
                    </w:rPr>
                    <w:t>安全托管服务</w:t>
                  </w:r>
                </w:p>
              </w:tc>
              <w:tc>
                <w:tcPr>
                  <w:tcW w:w="1276" w:type="dxa"/>
                  <w:vAlign w:val="center"/>
                </w:tcPr>
                <w:p w14:paraId="034BDAE3">
                  <w:pPr>
                    <w:jc w:val="center"/>
                    <w:rPr>
                      <w:rFonts w:ascii="仿宋" w:hAnsi="仿宋" w:eastAsia="仿宋" w:cs="仿宋"/>
                      <w:color w:val="auto"/>
                    </w:rPr>
                  </w:pPr>
                  <w:r>
                    <w:rPr>
                      <w:rFonts w:hint="eastAsia" w:ascii="仿宋" w:hAnsi="仿宋" w:eastAsia="仿宋" w:cs="仿宋"/>
                      <w:color w:val="auto"/>
                    </w:rPr>
                    <w:t>5</w:t>
                  </w:r>
                </w:p>
              </w:tc>
              <w:tc>
                <w:tcPr>
                  <w:tcW w:w="2347" w:type="dxa"/>
                  <w:vAlign w:val="center"/>
                </w:tcPr>
                <w:p w14:paraId="08B160FE">
                  <w:pPr>
                    <w:jc w:val="center"/>
                    <w:rPr>
                      <w:rFonts w:ascii="仿宋" w:hAnsi="仿宋" w:eastAsia="仿宋" w:cs="仿宋"/>
                      <w:color w:val="auto"/>
                    </w:rPr>
                  </w:pPr>
                  <w:r>
                    <w:rPr>
                      <w:rFonts w:hint="eastAsia" w:ascii="仿宋" w:hAnsi="仿宋" w:eastAsia="仿宋" w:cs="仿宋"/>
                      <w:color w:val="auto"/>
                    </w:rPr>
                    <w:t>年</w:t>
                  </w:r>
                </w:p>
              </w:tc>
            </w:tr>
          </w:tbl>
          <w:p w14:paraId="12C520C9">
            <w:pPr>
              <w:rPr>
                <w:rFonts w:ascii="仿宋" w:hAnsi="仿宋" w:eastAsia="仿宋" w:cs="仿宋"/>
                <w:color w:val="auto"/>
              </w:rPr>
            </w:pPr>
          </w:p>
        </w:tc>
      </w:tr>
      <w:tr w14:paraId="2CCC0C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372" w:hRule="atLeast"/>
        </w:trPr>
        <w:tc>
          <w:tcPr>
            <w:tcW w:w="8540" w:type="dxa"/>
            <w:shd w:val="clear" w:color="auto" w:fill="auto"/>
            <w:vAlign w:val="center"/>
          </w:tcPr>
          <w:p w14:paraId="09DCCC04">
            <w:pPr>
              <w:rPr>
                <w:rFonts w:ascii="仿宋" w:hAnsi="仿宋" w:eastAsia="仿宋" w:cs="仿宋"/>
                <w:b/>
                <w:bCs/>
                <w:color w:val="auto"/>
                <w:sz w:val="20"/>
                <w:szCs w:val="20"/>
              </w:rPr>
            </w:pPr>
            <w:r>
              <w:rPr>
                <w:rFonts w:hint="eastAsia" w:ascii="仿宋" w:hAnsi="仿宋" w:eastAsia="仿宋" w:cs="仿宋"/>
                <w:b/>
                <w:bCs/>
                <w:color w:val="auto"/>
              </w:rPr>
              <w:t>二、下一代防火墙</w:t>
            </w:r>
          </w:p>
          <w:p w14:paraId="639FD404">
            <w:pPr>
              <w:pStyle w:val="41"/>
              <w:numPr>
                <w:ilvl w:val="0"/>
                <w:numId w:val="0"/>
              </w:numPr>
              <w:ind w:left="425" w:leftChars="0" w:hanging="425" w:firstLineChars="0"/>
              <w:contextualSpacing/>
              <w:jc w:val="left"/>
              <w:rPr>
                <w:rFonts w:ascii="仿宋" w:hAnsi="仿宋" w:eastAsia="仿宋" w:cs="仿宋"/>
                <w:color w:val="auto"/>
                <w:sz w:val="20"/>
                <w:szCs w:val="20"/>
              </w:rPr>
            </w:pPr>
            <w:r>
              <w:rPr>
                <w:rFonts w:hint="default" w:ascii="仿宋" w:hAnsi="仿宋" w:eastAsia="仿宋" w:cs="仿宋"/>
                <w:color w:val="auto"/>
                <w:kern w:val="2"/>
                <w:sz w:val="20"/>
                <w:szCs w:val="20"/>
                <w:lang w:val="en-US" w:eastAsia="zh-CN" w:bidi="ar-SA"/>
              </w:rPr>
              <w:t>1.</w:t>
            </w:r>
            <w:r>
              <w:rPr>
                <w:rFonts w:hint="eastAsia" w:ascii="仿宋" w:hAnsi="仿宋" w:eastAsia="仿宋" w:cs="仿宋"/>
                <w:color w:val="auto"/>
                <w:sz w:val="20"/>
                <w:szCs w:val="20"/>
              </w:rPr>
              <w:t>性能参数：网络层吞吐量≥100G，应用层吞吐量≥40G，防病毒吞吐量≥19G，IPS吞吐量≥24G，全威胁吞吐量≥16G，并发连接数≥2000万，HTTP新建连接数≥80万。提供但不限于：产品彩页、官网截图、检测报告等相关证明材料。</w:t>
            </w:r>
          </w:p>
          <w:p w14:paraId="2E11202D">
            <w:pPr>
              <w:pStyle w:val="41"/>
              <w:numPr>
                <w:ilvl w:val="0"/>
                <w:numId w:val="0"/>
              </w:numPr>
              <w:ind w:left="425" w:leftChars="0" w:hanging="425" w:firstLineChars="0"/>
              <w:contextualSpacing/>
              <w:jc w:val="left"/>
              <w:rPr>
                <w:rFonts w:ascii="仿宋" w:hAnsi="仿宋" w:eastAsia="仿宋" w:cs="仿宋"/>
                <w:color w:val="auto"/>
                <w:sz w:val="20"/>
                <w:szCs w:val="20"/>
              </w:rPr>
            </w:pPr>
            <w:r>
              <w:rPr>
                <w:rFonts w:hint="default" w:ascii="仿宋" w:hAnsi="仿宋" w:eastAsia="仿宋" w:cs="仿宋"/>
                <w:color w:val="auto"/>
                <w:kern w:val="2"/>
                <w:sz w:val="20"/>
                <w:szCs w:val="20"/>
                <w:lang w:val="en-US" w:eastAsia="zh-CN" w:bidi="ar-SA"/>
              </w:rPr>
              <w:t>2.</w:t>
            </w:r>
            <w:r>
              <w:rPr>
                <w:rFonts w:hint="eastAsia" w:ascii="仿宋" w:hAnsi="仿宋" w:eastAsia="仿宋" w:cs="仿宋"/>
                <w:color w:val="auto"/>
                <w:sz w:val="20"/>
                <w:szCs w:val="20"/>
              </w:rPr>
              <w:t>硬件参数：规格：2U，内存大小≥96G，硬盘容量≥480G SSD+960G SSD，接口≥4千兆电口，≥4千兆光口SFP，≥8万兆光口SFP+。提供但不限于：产品彩页、官网截图、检测报告等相关证明材料。</w:t>
            </w:r>
          </w:p>
          <w:p w14:paraId="0D3D2293">
            <w:pPr>
              <w:pStyle w:val="41"/>
              <w:numPr>
                <w:ilvl w:val="0"/>
                <w:numId w:val="0"/>
              </w:numPr>
              <w:ind w:left="425" w:leftChars="0" w:hanging="425" w:firstLineChars="0"/>
              <w:contextualSpacing/>
              <w:jc w:val="left"/>
              <w:rPr>
                <w:rFonts w:ascii="仿宋" w:hAnsi="仿宋" w:eastAsia="仿宋" w:cs="仿宋"/>
                <w:color w:val="auto"/>
                <w:sz w:val="20"/>
                <w:szCs w:val="20"/>
              </w:rPr>
            </w:pPr>
            <w:r>
              <w:rPr>
                <w:rFonts w:hint="default" w:ascii="仿宋" w:hAnsi="仿宋" w:eastAsia="仿宋" w:cs="仿宋"/>
                <w:color w:val="auto"/>
                <w:kern w:val="2"/>
                <w:sz w:val="20"/>
                <w:szCs w:val="20"/>
                <w:lang w:val="en-US" w:eastAsia="zh-CN" w:bidi="ar-SA"/>
              </w:rPr>
              <w:t>3.</w:t>
            </w:r>
            <w:r>
              <w:rPr>
                <w:rFonts w:hint="eastAsia" w:ascii="仿宋" w:hAnsi="仿宋" w:eastAsia="仿宋" w:cs="仿宋"/>
                <w:color w:val="auto"/>
                <w:sz w:val="20"/>
                <w:szCs w:val="20"/>
              </w:rPr>
              <w:t>提供基于网络区域、网络对象、MAC地址、服务、应用、域名等维度进行访问控制策略设置。</w:t>
            </w:r>
          </w:p>
          <w:p w14:paraId="6F6CAE54">
            <w:pPr>
              <w:pStyle w:val="41"/>
              <w:numPr>
                <w:ilvl w:val="0"/>
                <w:numId w:val="0"/>
              </w:numPr>
              <w:ind w:left="425" w:leftChars="0" w:hanging="425" w:firstLineChars="0"/>
              <w:contextualSpacing/>
              <w:jc w:val="left"/>
              <w:rPr>
                <w:rFonts w:ascii="仿宋" w:hAnsi="仿宋" w:eastAsia="仿宋" w:cs="仿宋"/>
                <w:color w:val="auto"/>
                <w:sz w:val="20"/>
                <w:szCs w:val="20"/>
              </w:rPr>
            </w:pPr>
            <w:r>
              <w:rPr>
                <w:rFonts w:hint="default" w:ascii="仿宋" w:hAnsi="仿宋" w:eastAsia="仿宋" w:cs="仿宋"/>
                <w:color w:val="auto"/>
                <w:kern w:val="2"/>
                <w:sz w:val="20"/>
                <w:szCs w:val="20"/>
                <w:lang w:val="en-US" w:eastAsia="zh-CN" w:bidi="ar-SA"/>
              </w:rPr>
              <w:t>4.</w:t>
            </w:r>
            <w:r>
              <w:rPr>
                <w:rFonts w:hint="eastAsia" w:ascii="仿宋" w:hAnsi="仿宋" w:eastAsia="仿宋" w:cs="仿宋"/>
                <w:color w:val="auto"/>
                <w:sz w:val="20"/>
                <w:szCs w:val="20"/>
              </w:rPr>
              <w:t>提供应用识别和控制功能，可以对不少于9000种应用进行检测与控制。</w:t>
            </w:r>
          </w:p>
          <w:p w14:paraId="08B4C61D">
            <w:pPr>
              <w:pStyle w:val="41"/>
              <w:numPr>
                <w:ilvl w:val="0"/>
                <w:numId w:val="0"/>
              </w:numPr>
              <w:ind w:left="425" w:leftChars="0" w:hanging="425" w:firstLineChars="0"/>
              <w:contextualSpacing/>
              <w:jc w:val="left"/>
              <w:rPr>
                <w:rFonts w:ascii="仿宋" w:hAnsi="仿宋" w:eastAsia="仿宋" w:cs="仿宋"/>
                <w:color w:val="auto"/>
                <w:sz w:val="20"/>
                <w:szCs w:val="20"/>
              </w:rPr>
            </w:pPr>
            <w:r>
              <w:rPr>
                <w:rFonts w:hint="default" w:ascii="仿宋" w:hAnsi="仿宋" w:eastAsia="仿宋" w:cs="仿宋"/>
                <w:color w:val="auto"/>
                <w:kern w:val="2"/>
                <w:sz w:val="20"/>
                <w:szCs w:val="20"/>
                <w:lang w:val="en-US" w:eastAsia="zh-CN" w:bidi="ar-SA"/>
              </w:rPr>
              <w:t>5.</w:t>
            </w:r>
            <w:r>
              <w:rPr>
                <w:rFonts w:hint="eastAsia" w:ascii="仿宋" w:hAnsi="仿宋" w:eastAsia="仿宋" w:cs="仿宋"/>
                <w:color w:val="auto"/>
                <w:sz w:val="20"/>
                <w:szCs w:val="20"/>
              </w:rPr>
              <w:t>提供DDoS防护功能，对ICMP、UDP、DNS、SYN等协议进行DDOS防护。</w:t>
            </w:r>
          </w:p>
          <w:p w14:paraId="28571C57">
            <w:pPr>
              <w:pStyle w:val="41"/>
              <w:numPr>
                <w:ilvl w:val="0"/>
                <w:numId w:val="0"/>
              </w:numPr>
              <w:ind w:left="425" w:leftChars="0" w:hanging="425" w:firstLineChars="0"/>
              <w:contextualSpacing/>
              <w:jc w:val="left"/>
              <w:rPr>
                <w:rFonts w:ascii="仿宋" w:hAnsi="仿宋" w:eastAsia="仿宋" w:cs="仿宋"/>
                <w:color w:val="auto"/>
                <w:sz w:val="20"/>
                <w:szCs w:val="20"/>
              </w:rPr>
            </w:pPr>
            <w:r>
              <w:rPr>
                <w:rFonts w:hint="default" w:ascii="仿宋" w:hAnsi="仿宋" w:eastAsia="仿宋" w:cs="仿宋"/>
                <w:color w:val="auto"/>
                <w:kern w:val="2"/>
                <w:sz w:val="20"/>
                <w:szCs w:val="20"/>
                <w:lang w:val="en-US" w:eastAsia="zh-CN" w:bidi="ar-SA"/>
              </w:rPr>
              <w:t>6.</w:t>
            </w:r>
            <w:r>
              <w:rPr>
                <w:rFonts w:hint="eastAsia" w:ascii="仿宋" w:hAnsi="仿宋" w:eastAsia="仿宋" w:cs="仿宋"/>
                <w:color w:val="auto"/>
                <w:sz w:val="20"/>
                <w:szCs w:val="20"/>
              </w:rPr>
              <w:t>提供防病毒功能，对压缩病毒文件进行检测和拦截，具备独立的勒索病毒防护模块界面。提供但不限于：产品彩页、官网截图、检测报告等相关证明材料。</w:t>
            </w:r>
          </w:p>
          <w:p w14:paraId="6F58222E">
            <w:pPr>
              <w:pStyle w:val="41"/>
              <w:numPr>
                <w:ilvl w:val="0"/>
                <w:numId w:val="0"/>
              </w:numPr>
              <w:ind w:left="425" w:leftChars="0" w:hanging="425" w:firstLineChars="0"/>
              <w:contextualSpacing/>
              <w:jc w:val="left"/>
              <w:rPr>
                <w:rFonts w:ascii="仿宋" w:hAnsi="仿宋" w:eastAsia="仿宋" w:cs="仿宋"/>
                <w:color w:val="auto"/>
                <w:sz w:val="20"/>
                <w:szCs w:val="20"/>
              </w:rPr>
            </w:pPr>
            <w:r>
              <w:rPr>
                <w:rFonts w:hint="default" w:ascii="仿宋" w:hAnsi="仿宋" w:eastAsia="仿宋" w:cs="仿宋"/>
                <w:color w:val="auto"/>
                <w:kern w:val="2"/>
                <w:sz w:val="20"/>
                <w:szCs w:val="20"/>
                <w:lang w:val="en-US" w:eastAsia="zh-CN" w:bidi="ar-SA"/>
              </w:rPr>
              <w:t>7.</w:t>
            </w:r>
            <w:r>
              <w:rPr>
                <w:rFonts w:hint="eastAsia" w:ascii="仿宋" w:hAnsi="仿宋" w:eastAsia="仿宋" w:cs="仿宋"/>
                <w:color w:val="auto"/>
                <w:sz w:val="20"/>
                <w:szCs w:val="20"/>
              </w:rPr>
              <w:t>提供入侵攻击防御功能，内置不低于16000种漏洞规则，</w:t>
            </w:r>
          </w:p>
          <w:p w14:paraId="3E8E6B06">
            <w:pPr>
              <w:pStyle w:val="41"/>
              <w:numPr>
                <w:ilvl w:val="0"/>
                <w:numId w:val="0"/>
              </w:numPr>
              <w:ind w:left="425" w:leftChars="0" w:hanging="425" w:firstLineChars="0"/>
              <w:contextualSpacing/>
              <w:jc w:val="left"/>
              <w:rPr>
                <w:rFonts w:ascii="仿宋" w:hAnsi="仿宋" w:eastAsia="仿宋" w:cs="仿宋"/>
                <w:color w:val="auto"/>
                <w:sz w:val="20"/>
                <w:szCs w:val="20"/>
              </w:rPr>
            </w:pPr>
            <w:r>
              <w:rPr>
                <w:rFonts w:hint="default" w:ascii="仿宋" w:hAnsi="仿宋" w:eastAsia="仿宋" w:cs="仿宋"/>
                <w:color w:val="auto"/>
                <w:kern w:val="2"/>
                <w:sz w:val="20"/>
                <w:szCs w:val="20"/>
                <w:lang w:val="en-US" w:eastAsia="zh-CN" w:bidi="ar-SA"/>
              </w:rPr>
              <w:t>8.</w:t>
            </w:r>
            <w:r>
              <w:rPr>
                <w:rFonts w:hint="eastAsia" w:ascii="仿宋" w:hAnsi="仿宋" w:eastAsia="仿宋" w:cs="仿宋"/>
                <w:color w:val="auto"/>
                <w:sz w:val="20"/>
                <w:szCs w:val="20"/>
              </w:rPr>
              <w:t>提供僵尸主机检测功能，内置僵尸网络特征库超过128万种，可识别主机的异常外联行为。</w:t>
            </w:r>
          </w:p>
          <w:p w14:paraId="1E682C23">
            <w:pPr>
              <w:pStyle w:val="41"/>
              <w:numPr>
                <w:ilvl w:val="0"/>
                <w:numId w:val="0"/>
              </w:numPr>
              <w:ind w:left="425" w:leftChars="0" w:hanging="425" w:firstLineChars="0"/>
              <w:contextualSpacing/>
              <w:jc w:val="left"/>
              <w:rPr>
                <w:rFonts w:ascii="仿宋" w:hAnsi="仿宋" w:eastAsia="仿宋" w:cs="仿宋"/>
                <w:color w:val="auto"/>
                <w:sz w:val="20"/>
                <w:szCs w:val="20"/>
              </w:rPr>
            </w:pPr>
            <w:r>
              <w:rPr>
                <w:rFonts w:hint="default" w:ascii="仿宋" w:hAnsi="仿宋" w:eastAsia="仿宋" w:cs="仿宋"/>
                <w:color w:val="auto"/>
                <w:kern w:val="2"/>
                <w:sz w:val="20"/>
                <w:szCs w:val="20"/>
                <w:lang w:val="en-US" w:eastAsia="zh-CN" w:bidi="ar-SA"/>
              </w:rPr>
              <w:t>9.</w:t>
            </w:r>
            <w:r>
              <w:rPr>
                <w:rFonts w:hint="eastAsia" w:ascii="仿宋" w:hAnsi="仿宋" w:eastAsia="仿宋" w:cs="仿宋"/>
                <w:color w:val="auto"/>
                <w:sz w:val="20"/>
                <w:szCs w:val="20"/>
              </w:rPr>
              <w:t>提供Web应用防御功能，内置超过4000种WEB应用攻击特征。</w:t>
            </w:r>
          </w:p>
          <w:p w14:paraId="19AE0E30">
            <w:pPr>
              <w:pStyle w:val="41"/>
              <w:numPr>
                <w:ilvl w:val="0"/>
                <w:numId w:val="0"/>
              </w:numPr>
              <w:ind w:left="425" w:leftChars="0" w:hanging="425" w:firstLineChars="0"/>
              <w:contextualSpacing/>
              <w:jc w:val="left"/>
              <w:rPr>
                <w:rFonts w:ascii="仿宋" w:hAnsi="仿宋" w:eastAsia="仿宋" w:cs="仿宋"/>
                <w:color w:val="auto"/>
                <w:sz w:val="20"/>
                <w:szCs w:val="20"/>
              </w:rPr>
            </w:pPr>
            <w:r>
              <w:rPr>
                <w:rFonts w:hint="default" w:ascii="仿宋" w:hAnsi="仿宋" w:eastAsia="仿宋" w:cs="仿宋"/>
                <w:color w:val="auto"/>
                <w:kern w:val="2"/>
                <w:sz w:val="20"/>
                <w:szCs w:val="20"/>
                <w:lang w:val="en-US" w:eastAsia="zh-CN" w:bidi="ar-SA"/>
              </w:rPr>
              <w:t>10.</w:t>
            </w:r>
            <w:r>
              <w:rPr>
                <w:rFonts w:hint="eastAsia" w:ascii="仿宋" w:hAnsi="仿宋" w:eastAsia="仿宋" w:cs="仿宋"/>
                <w:color w:val="auto"/>
                <w:sz w:val="20"/>
                <w:szCs w:val="20"/>
              </w:rPr>
              <w:t>提供服务器漏洞防扫描功能，并对扫描源IP进行日志记录和联动封锁。</w:t>
            </w:r>
          </w:p>
          <w:p w14:paraId="64654029">
            <w:pPr>
              <w:pStyle w:val="41"/>
              <w:numPr>
                <w:ilvl w:val="0"/>
                <w:numId w:val="0"/>
              </w:numPr>
              <w:ind w:left="425" w:leftChars="0" w:hanging="425" w:firstLineChars="0"/>
              <w:contextualSpacing/>
              <w:jc w:val="left"/>
              <w:rPr>
                <w:rFonts w:ascii="仿宋" w:hAnsi="仿宋" w:eastAsia="仿宋" w:cs="仿宋"/>
                <w:color w:val="auto"/>
                <w:sz w:val="20"/>
                <w:szCs w:val="20"/>
              </w:rPr>
            </w:pPr>
            <w:r>
              <w:rPr>
                <w:rFonts w:hint="default" w:ascii="仿宋" w:hAnsi="仿宋" w:eastAsia="仿宋" w:cs="仿宋"/>
                <w:color w:val="auto"/>
                <w:kern w:val="2"/>
                <w:sz w:val="20"/>
                <w:szCs w:val="20"/>
                <w:lang w:val="en-US" w:eastAsia="zh-CN" w:bidi="ar-SA"/>
              </w:rPr>
              <w:t>11.</w:t>
            </w:r>
            <w:r>
              <w:rPr>
                <w:rFonts w:hint="eastAsia" w:ascii="仿宋" w:hAnsi="仿宋" w:eastAsia="仿宋" w:cs="仿宋"/>
                <w:color w:val="auto"/>
                <w:sz w:val="20"/>
                <w:szCs w:val="20"/>
              </w:rPr>
              <w:t>提供Cookie攻击防护功能，并通过日志记录Cookie被篡改。</w:t>
            </w:r>
          </w:p>
          <w:p w14:paraId="75DF3FA1">
            <w:pPr>
              <w:pStyle w:val="41"/>
              <w:numPr>
                <w:ilvl w:val="0"/>
                <w:numId w:val="0"/>
              </w:numPr>
              <w:ind w:left="425" w:leftChars="0" w:hanging="425" w:firstLineChars="0"/>
              <w:contextualSpacing/>
              <w:jc w:val="left"/>
              <w:rPr>
                <w:rFonts w:ascii="仿宋" w:hAnsi="仿宋" w:eastAsia="仿宋" w:cs="仿宋"/>
                <w:color w:val="auto"/>
                <w:sz w:val="20"/>
                <w:szCs w:val="20"/>
              </w:rPr>
            </w:pPr>
            <w:r>
              <w:rPr>
                <w:rFonts w:hint="default" w:ascii="仿宋" w:hAnsi="仿宋" w:eastAsia="仿宋" w:cs="仿宋"/>
                <w:color w:val="auto"/>
                <w:kern w:val="2"/>
                <w:sz w:val="20"/>
                <w:szCs w:val="20"/>
                <w:lang w:val="en-US" w:eastAsia="zh-CN" w:bidi="ar-SA"/>
              </w:rPr>
              <w:t>12.</w:t>
            </w:r>
            <w:r>
              <w:rPr>
                <w:rFonts w:hint="eastAsia" w:ascii="仿宋" w:hAnsi="仿宋" w:eastAsia="仿宋" w:cs="仿宋"/>
                <w:color w:val="auto"/>
                <w:sz w:val="20"/>
                <w:szCs w:val="20"/>
              </w:rPr>
              <w:t>提供独立的账号安全防护功能，可以展示账号安全相关信息，包括风险业务、风险等级、存在账号入口、存在弱口令、遭受口令爆破、异常登录账号等。</w:t>
            </w:r>
          </w:p>
          <w:p w14:paraId="55C23291">
            <w:pPr>
              <w:pStyle w:val="41"/>
              <w:numPr>
                <w:ilvl w:val="0"/>
                <w:numId w:val="0"/>
              </w:numPr>
              <w:ind w:left="425" w:leftChars="0" w:hanging="425" w:firstLineChars="0"/>
              <w:contextualSpacing/>
              <w:jc w:val="left"/>
              <w:rPr>
                <w:rFonts w:ascii="仿宋" w:hAnsi="仿宋" w:eastAsia="仿宋" w:cs="仿宋"/>
                <w:color w:val="auto"/>
                <w:sz w:val="20"/>
                <w:szCs w:val="20"/>
              </w:rPr>
            </w:pPr>
            <w:r>
              <w:rPr>
                <w:rFonts w:hint="default" w:ascii="仿宋" w:hAnsi="仿宋" w:eastAsia="仿宋" w:cs="仿宋"/>
                <w:color w:val="auto"/>
                <w:kern w:val="2"/>
                <w:sz w:val="20"/>
                <w:szCs w:val="20"/>
                <w:lang w:val="en-US" w:eastAsia="zh-CN" w:bidi="ar-SA"/>
              </w:rPr>
              <w:t>13.</w:t>
            </w:r>
            <w:r>
              <w:rPr>
                <w:rFonts w:hint="eastAsia" w:ascii="仿宋" w:hAnsi="仿宋" w:eastAsia="仿宋" w:cs="仿宋"/>
                <w:color w:val="auto"/>
                <w:sz w:val="20"/>
                <w:szCs w:val="20"/>
              </w:rPr>
              <w:t>提供威胁情报功能，采用云端威胁情报实时同步，对威胁流量就近进行实时检测&amp;拦截，实现失陷外联实时阻断，对未知威胁情报实现分钟级全网设备下发。</w:t>
            </w:r>
          </w:p>
          <w:p w14:paraId="1892C6D8">
            <w:pPr>
              <w:pStyle w:val="41"/>
              <w:numPr>
                <w:ilvl w:val="0"/>
                <w:numId w:val="0"/>
              </w:numPr>
              <w:ind w:left="425" w:leftChars="0" w:hanging="425" w:firstLineChars="0"/>
              <w:contextualSpacing/>
              <w:jc w:val="left"/>
              <w:rPr>
                <w:rFonts w:ascii="仿宋" w:hAnsi="仿宋" w:eastAsia="仿宋" w:cs="仿宋"/>
                <w:color w:val="auto"/>
                <w:sz w:val="20"/>
                <w:szCs w:val="20"/>
              </w:rPr>
            </w:pPr>
            <w:r>
              <w:rPr>
                <w:rFonts w:hint="default" w:ascii="仿宋" w:hAnsi="仿宋" w:eastAsia="仿宋" w:cs="仿宋"/>
                <w:color w:val="auto"/>
                <w:kern w:val="2"/>
                <w:sz w:val="20"/>
                <w:szCs w:val="20"/>
                <w:lang w:val="en-US" w:eastAsia="zh-CN" w:bidi="ar-SA"/>
              </w:rPr>
              <w:t>14.</w:t>
            </w:r>
            <w:r>
              <w:rPr>
                <w:rFonts w:hint="eastAsia" w:ascii="仿宋" w:hAnsi="仿宋" w:eastAsia="仿宋" w:cs="仿宋"/>
                <w:color w:val="auto"/>
                <w:sz w:val="20"/>
                <w:szCs w:val="20"/>
              </w:rPr>
              <w:t>提供蜜罐功能，内置伪装业务诱饵，诱捕内外网的攻击行为，并联合云端分析技术溯源和反制。</w:t>
            </w:r>
          </w:p>
          <w:p w14:paraId="517E5CE8">
            <w:pPr>
              <w:pStyle w:val="41"/>
              <w:numPr>
                <w:ilvl w:val="0"/>
                <w:numId w:val="0"/>
              </w:numPr>
              <w:ind w:left="425" w:leftChars="0" w:hanging="425" w:firstLineChars="0"/>
              <w:contextualSpacing/>
              <w:jc w:val="left"/>
              <w:rPr>
                <w:rFonts w:ascii="仿宋" w:hAnsi="仿宋" w:eastAsia="仿宋" w:cs="仿宋"/>
                <w:color w:val="auto"/>
                <w:sz w:val="20"/>
                <w:szCs w:val="20"/>
              </w:rPr>
            </w:pPr>
            <w:r>
              <w:rPr>
                <w:rFonts w:hint="default" w:ascii="仿宋" w:hAnsi="仿宋" w:eastAsia="仿宋" w:cs="仿宋"/>
                <w:color w:val="auto"/>
                <w:kern w:val="2"/>
                <w:sz w:val="20"/>
                <w:szCs w:val="20"/>
                <w:lang w:val="en-US" w:eastAsia="zh-CN" w:bidi="ar-SA"/>
              </w:rPr>
              <w:t>15.</w:t>
            </w:r>
            <w:r>
              <w:rPr>
                <w:rFonts w:hint="eastAsia" w:ascii="仿宋" w:hAnsi="仿宋" w:eastAsia="仿宋" w:cs="仿宋"/>
                <w:color w:val="auto"/>
                <w:sz w:val="20"/>
                <w:szCs w:val="20"/>
              </w:rPr>
              <w:t>提供和现网（现网深信服安全态势感知产品）联动功能，将本地防火墙产品产生的安全日志等数据上报至态势感知平台，并在态势感知平台进行威胁展示。提供供应商承诺函。</w:t>
            </w:r>
          </w:p>
          <w:p w14:paraId="0A8718D6">
            <w:pPr>
              <w:pStyle w:val="41"/>
              <w:numPr>
                <w:ilvl w:val="0"/>
                <w:numId w:val="0"/>
              </w:numPr>
              <w:ind w:left="425" w:leftChars="0" w:hanging="425" w:firstLineChars="0"/>
              <w:contextualSpacing/>
              <w:jc w:val="left"/>
              <w:rPr>
                <w:rFonts w:ascii="仿宋" w:hAnsi="仿宋" w:eastAsia="仿宋" w:cs="仿宋"/>
                <w:color w:val="auto"/>
                <w:sz w:val="20"/>
                <w:szCs w:val="20"/>
              </w:rPr>
            </w:pPr>
            <w:r>
              <w:rPr>
                <w:rFonts w:hint="default" w:ascii="仿宋" w:hAnsi="仿宋" w:eastAsia="仿宋" w:cs="仿宋"/>
                <w:color w:val="auto"/>
                <w:kern w:val="2"/>
                <w:sz w:val="20"/>
                <w:szCs w:val="20"/>
                <w:lang w:val="en-US" w:eastAsia="zh-CN" w:bidi="ar-SA"/>
              </w:rPr>
              <w:t>16.</w:t>
            </w:r>
            <w:r>
              <w:rPr>
                <w:rFonts w:hint="eastAsia" w:ascii="仿宋" w:hAnsi="仿宋" w:eastAsia="仿宋" w:cs="仿宋"/>
                <w:color w:val="auto"/>
                <w:sz w:val="20"/>
                <w:szCs w:val="20"/>
              </w:rPr>
              <w:t>配备一名在线服务专家，对防火墙设备进行策略检查，并给出策略优化方案，确保设备处于最佳防护状态。</w:t>
            </w:r>
          </w:p>
          <w:p w14:paraId="054B80FF">
            <w:pPr>
              <w:pStyle w:val="41"/>
              <w:numPr>
                <w:ilvl w:val="0"/>
                <w:numId w:val="0"/>
              </w:numPr>
              <w:ind w:left="425" w:leftChars="0" w:hanging="425" w:firstLineChars="0"/>
              <w:contextualSpacing/>
              <w:jc w:val="left"/>
              <w:rPr>
                <w:rFonts w:ascii="仿宋" w:hAnsi="仿宋" w:eastAsia="仿宋" w:cs="仿宋"/>
                <w:color w:val="auto"/>
                <w:sz w:val="20"/>
                <w:szCs w:val="20"/>
              </w:rPr>
            </w:pPr>
            <w:r>
              <w:rPr>
                <w:rFonts w:hint="default" w:ascii="仿宋" w:hAnsi="仿宋" w:eastAsia="仿宋" w:cs="仿宋"/>
                <w:color w:val="auto"/>
                <w:kern w:val="2"/>
                <w:sz w:val="20"/>
                <w:szCs w:val="20"/>
                <w:lang w:val="en-US" w:eastAsia="zh-CN" w:bidi="ar-SA"/>
              </w:rPr>
              <w:t>17.</w:t>
            </w:r>
            <w:r>
              <w:rPr>
                <w:rFonts w:hint="eastAsia" w:ascii="仿宋" w:hAnsi="仿宋" w:eastAsia="仿宋" w:cs="仿宋"/>
                <w:color w:val="auto"/>
                <w:sz w:val="20"/>
                <w:szCs w:val="20"/>
              </w:rPr>
              <w:t>提供微信小程序处置功能，支持在微信端对流量日志分析、事件聚合、云端专家研判。</w:t>
            </w:r>
          </w:p>
          <w:p w14:paraId="336D23ED">
            <w:pPr>
              <w:pStyle w:val="41"/>
              <w:numPr>
                <w:ilvl w:val="0"/>
                <w:numId w:val="0"/>
              </w:numPr>
              <w:ind w:left="425" w:leftChars="0" w:hanging="425" w:firstLineChars="0"/>
              <w:contextualSpacing/>
              <w:jc w:val="left"/>
              <w:rPr>
                <w:rFonts w:ascii="仿宋" w:hAnsi="仿宋" w:eastAsia="仿宋" w:cs="仿宋"/>
                <w:color w:val="auto"/>
                <w:sz w:val="20"/>
                <w:szCs w:val="20"/>
              </w:rPr>
            </w:pPr>
            <w:r>
              <w:rPr>
                <w:rFonts w:hint="default" w:ascii="仿宋" w:hAnsi="仿宋" w:eastAsia="仿宋" w:cs="仿宋"/>
                <w:color w:val="auto"/>
                <w:kern w:val="2"/>
                <w:sz w:val="20"/>
                <w:szCs w:val="20"/>
                <w:lang w:val="en-US" w:eastAsia="zh-CN" w:bidi="ar-SA"/>
              </w:rPr>
              <w:t>18.</w:t>
            </w:r>
            <w:r>
              <w:rPr>
                <w:rFonts w:hint="eastAsia" w:ascii="仿宋" w:hAnsi="仿宋" w:eastAsia="仿宋" w:cs="仿宋"/>
                <w:color w:val="auto"/>
                <w:sz w:val="20"/>
                <w:szCs w:val="20"/>
              </w:rPr>
              <w:t>具备网络安全应急服务支撑单位甲级资质。提供但不限于：产品彩页、官网截图、检测报告等相关证明材料。</w:t>
            </w:r>
          </w:p>
          <w:p w14:paraId="5E931B19">
            <w:pPr>
              <w:pStyle w:val="41"/>
              <w:numPr>
                <w:ilvl w:val="0"/>
                <w:numId w:val="0"/>
              </w:numPr>
              <w:ind w:left="425" w:leftChars="0" w:hanging="425" w:firstLineChars="0"/>
              <w:contextualSpacing/>
              <w:jc w:val="left"/>
              <w:rPr>
                <w:rFonts w:ascii="宋体" w:hAnsi="宋体" w:eastAsia="宋体" w:cs="宋体"/>
                <w:color w:val="auto"/>
                <w:kern w:val="0"/>
                <w:sz w:val="18"/>
                <w:szCs w:val="18"/>
              </w:rPr>
            </w:pPr>
            <w:r>
              <w:rPr>
                <w:rFonts w:hint="default" w:ascii="宋体" w:hAnsi="宋体" w:eastAsia="宋体" w:cs="宋体"/>
                <w:color w:val="auto"/>
                <w:kern w:val="0"/>
                <w:sz w:val="18"/>
                <w:szCs w:val="18"/>
                <w:lang w:val="en-US" w:eastAsia="zh-CN" w:bidi="ar-SA"/>
              </w:rPr>
              <w:t>19.</w:t>
            </w:r>
            <w:r>
              <w:rPr>
                <w:rFonts w:hint="eastAsia" w:ascii="仿宋" w:hAnsi="仿宋" w:eastAsia="仿宋" w:cs="仿宋"/>
                <w:color w:val="auto"/>
                <w:sz w:val="20"/>
                <w:szCs w:val="20"/>
              </w:rPr>
              <w:t>提供5年原厂产品质保+软件升级</w:t>
            </w:r>
          </w:p>
        </w:tc>
      </w:tr>
      <w:tr w14:paraId="37901F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466" w:hRule="atLeast"/>
        </w:trPr>
        <w:tc>
          <w:tcPr>
            <w:tcW w:w="8540" w:type="dxa"/>
            <w:shd w:val="clear" w:color="auto" w:fill="auto"/>
            <w:vAlign w:val="center"/>
          </w:tcPr>
          <w:p w14:paraId="7AFF0EB0">
            <w:pPr>
              <w:numPr>
                <w:ilvl w:val="0"/>
                <w:numId w:val="0"/>
              </w:numPr>
              <w:rPr>
                <w:rFonts w:ascii="仿宋" w:hAnsi="仿宋" w:eastAsia="仿宋" w:cs="仿宋"/>
                <w:b/>
                <w:bCs/>
                <w:color w:val="auto"/>
                <w:sz w:val="20"/>
                <w:szCs w:val="20"/>
              </w:rPr>
            </w:pPr>
            <w:r>
              <w:rPr>
                <w:rFonts w:hint="eastAsia" w:ascii="仿宋" w:hAnsi="仿宋" w:eastAsia="仿宋" w:cs="仿宋"/>
                <w:b/>
                <w:bCs/>
                <w:color w:val="auto"/>
                <w:kern w:val="2"/>
                <w:sz w:val="20"/>
                <w:szCs w:val="20"/>
                <w:lang w:val="en-US" w:eastAsia="zh-CN" w:bidi="ar-SA"/>
              </w:rPr>
              <w:t>三、</w:t>
            </w:r>
            <w:r>
              <w:rPr>
                <w:rFonts w:hint="eastAsia" w:ascii="仿宋" w:hAnsi="仿宋" w:eastAsia="仿宋" w:cs="仿宋"/>
                <w:b/>
                <w:bCs/>
                <w:color w:val="auto"/>
              </w:rPr>
              <w:t>上网行为管理</w:t>
            </w:r>
          </w:p>
          <w:p w14:paraId="36A13B4D">
            <w:pPr>
              <w:pStyle w:val="41"/>
              <w:numPr>
                <w:ilvl w:val="0"/>
                <w:numId w:val="0"/>
              </w:numPr>
              <w:ind w:left="425" w:leftChars="0" w:hanging="425" w:firstLineChars="0"/>
              <w:contextualSpacing/>
              <w:jc w:val="left"/>
              <w:rPr>
                <w:rFonts w:ascii="仿宋" w:hAnsi="仿宋" w:eastAsia="仿宋" w:cs="仿宋"/>
                <w:color w:val="auto"/>
                <w:sz w:val="20"/>
                <w:szCs w:val="20"/>
              </w:rPr>
            </w:pPr>
            <w:r>
              <w:rPr>
                <w:rFonts w:hint="default" w:ascii="仿宋" w:hAnsi="仿宋" w:eastAsia="仿宋" w:cs="仿宋"/>
                <w:color w:val="auto"/>
                <w:kern w:val="2"/>
                <w:sz w:val="20"/>
                <w:szCs w:val="20"/>
                <w:lang w:val="en-US" w:eastAsia="zh-CN" w:bidi="ar-SA"/>
              </w:rPr>
              <w:t>1.</w:t>
            </w:r>
            <w:r>
              <w:rPr>
                <w:rFonts w:hint="eastAsia" w:ascii="仿宋" w:hAnsi="仿宋" w:eastAsia="仿宋" w:cs="仿宋"/>
                <w:color w:val="auto"/>
                <w:sz w:val="20"/>
                <w:szCs w:val="20"/>
              </w:rPr>
              <w:t>性能参数：网络层吞吐量≥30Gb;应用层吞吐量≥15Gb;上下行带宽性能≥15Gb;秒新建连接数≥200000;最大并发连接数≥8000000。提供但不限于：产品彩页、官网截图、检测报告等相关证明材料。</w:t>
            </w:r>
          </w:p>
          <w:p w14:paraId="4831D89E">
            <w:pPr>
              <w:pStyle w:val="41"/>
              <w:numPr>
                <w:ilvl w:val="0"/>
                <w:numId w:val="0"/>
              </w:numPr>
              <w:ind w:left="425" w:leftChars="0" w:hanging="425" w:firstLineChars="0"/>
              <w:contextualSpacing/>
              <w:jc w:val="left"/>
              <w:rPr>
                <w:rFonts w:ascii="仿宋" w:hAnsi="仿宋" w:eastAsia="仿宋" w:cs="仿宋"/>
                <w:color w:val="auto"/>
                <w:sz w:val="20"/>
                <w:szCs w:val="20"/>
              </w:rPr>
            </w:pPr>
            <w:r>
              <w:rPr>
                <w:rFonts w:hint="default" w:ascii="仿宋" w:hAnsi="仿宋" w:eastAsia="仿宋" w:cs="仿宋"/>
                <w:color w:val="auto"/>
                <w:kern w:val="2"/>
                <w:sz w:val="20"/>
                <w:szCs w:val="20"/>
                <w:lang w:val="en-US" w:eastAsia="zh-CN" w:bidi="ar-SA"/>
              </w:rPr>
              <w:t>2.</w:t>
            </w:r>
            <w:r>
              <w:rPr>
                <w:rFonts w:hint="eastAsia" w:ascii="仿宋" w:hAnsi="仿宋" w:eastAsia="仿宋" w:cs="仿宋"/>
                <w:color w:val="auto"/>
                <w:sz w:val="20"/>
                <w:szCs w:val="20"/>
              </w:rPr>
              <w:t>硬件参数：规格:2U;接口≥4千兆电口，≥4千兆光口SFP，≥4万兆光口SFP+。提供但不限于：产品彩页、官网截图、检测报告等相关证明材料。</w:t>
            </w:r>
          </w:p>
          <w:p w14:paraId="780A9C04">
            <w:pPr>
              <w:pStyle w:val="41"/>
              <w:numPr>
                <w:ilvl w:val="0"/>
                <w:numId w:val="0"/>
              </w:numPr>
              <w:ind w:left="425" w:leftChars="0" w:hanging="425" w:firstLineChars="0"/>
              <w:contextualSpacing/>
              <w:jc w:val="left"/>
              <w:rPr>
                <w:rFonts w:ascii="仿宋" w:hAnsi="仿宋" w:eastAsia="仿宋" w:cs="仿宋"/>
                <w:color w:val="auto"/>
                <w:sz w:val="20"/>
                <w:szCs w:val="20"/>
              </w:rPr>
            </w:pPr>
            <w:r>
              <w:rPr>
                <w:rFonts w:hint="default" w:ascii="仿宋" w:hAnsi="仿宋" w:eastAsia="仿宋" w:cs="仿宋"/>
                <w:color w:val="auto"/>
                <w:kern w:val="2"/>
                <w:sz w:val="20"/>
                <w:szCs w:val="20"/>
                <w:lang w:val="en-US" w:eastAsia="zh-CN" w:bidi="ar-SA"/>
              </w:rPr>
              <w:t>3.</w:t>
            </w:r>
            <w:r>
              <w:rPr>
                <w:rFonts w:hint="eastAsia" w:ascii="仿宋" w:hAnsi="仿宋" w:eastAsia="仿宋" w:cs="仿宋"/>
                <w:color w:val="auto"/>
                <w:sz w:val="20"/>
                <w:szCs w:val="20"/>
              </w:rPr>
              <w:t>提供终端资产管理功能，自动发现接入校园网的终端，包括PC、手机、摄像头、打印机等，并获取IP、Mac、厂商、操作系统等信息，同时支持图形化查看当前内网IP使用情况。</w:t>
            </w:r>
          </w:p>
          <w:p w14:paraId="6EA5E855">
            <w:pPr>
              <w:pStyle w:val="41"/>
              <w:numPr>
                <w:ilvl w:val="0"/>
                <w:numId w:val="0"/>
              </w:numPr>
              <w:ind w:left="425" w:leftChars="0" w:hanging="425" w:firstLineChars="0"/>
              <w:contextualSpacing/>
              <w:jc w:val="left"/>
              <w:rPr>
                <w:rFonts w:ascii="仿宋" w:hAnsi="仿宋" w:eastAsia="仿宋" w:cs="仿宋"/>
                <w:color w:val="auto"/>
                <w:sz w:val="20"/>
                <w:szCs w:val="20"/>
              </w:rPr>
            </w:pPr>
            <w:r>
              <w:rPr>
                <w:rFonts w:hint="default" w:ascii="仿宋" w:hAnsi="仿宋" w:eastAsia="仿宋" w:cs="仿宋"/>
                <w:color w:val="auto"/>
                <w:kern w:val="2"/>
                <w:sz w:val="20"/>
                <w:szCs w:val="20"/>
                <w:lang w:val="en-US" w:eastAsia="zh-CN" w:bidi="ar-SA"/>
              </w:rPr>
              <w:t>4.</w:t>
            </w:r>
            <w:r>
              <w:rPr>
                <w:rFonts w:hint="eastAsia" w:ascii="仿宋" w:hAnsi="仿宋" w:eastAsia="仿宋" w:cs="仿宋"/>
                <w:color w:val="auto"/>
                <w:sz w:val="20"/>
                <w:szCs w:val="20"/>
              </w:rPr>
              <w:t>提供实时接入状态功能，首页分析显示接入用户人数、终端类型；带宽质量分析、实时流量排名；资产类型分布、新设备发现趋势、终端违规检查项排行、终端违规用户排行。</w:t>
            </w:r>
          </w:p>
          <w:p w14:paraId="57087A6B">
            <w:pPr>
              <w:pStyle w:val="41"/>
              <w:numPr>
                <w:ilvl w:val="0"/>
                <w:numId w:val="0"/>
              </w:numPr>
              <w:ind w:left="425" w:leftChars="0" w:hanging="425" w:firstLineChars="0"/>
              <w:contextualSpacing/>
              <w:jc w:val="left"/>
              <w:rPr>
                <w:rFonts w:ascii="仿宋" w:hAnsi="仿宋" w:eastAsia="仿宋" w:cs="仿宋"/>
                <w:color w:val="auto"/>
                <w:sz w:val="20"/>
                <w:szCs w:val="20"/>
              </w:rPr>
            </w:pPr>
            <w:r>
              <w:rPr>
                <w:rFonts w:hint="default" w:ascii="仿宋" w:hAnsi="仿宋" w:eastAsia="仿宋" w:cs="仿宋"/>
                <w:color w:val="auto"/>
                <w:kern w:val="2"/>
                <w:sz w:val="20"/>
                <w:szCs w:val="20"/>
                <w:lang w:val="en-US" w:eastAsia="zh-CN" w:bidi="ar-SA"/>
              </w:rPr>
              <w:t>5.</w:t>
            </w:r>
            <w:r>
              <w:rPr>
                <w:rFonts w:hint="eastAsia" w:ascii="仿宋" w:hAnsi="仿宋" w:eastAsia="仿宋" w:cs="仿宋"/>
                <w:color w:val="auto"/>
                <w:sz w:val="20"/>
                <w:szCs w:val="20"/>
              </w:rPr>
              <w:t>提供用户管理功能，支持为师生添加属性（角色、学院、接入位置等），根据师生属性配置上网权限策略、流控策略，审计策略等。</w:t>
            </w:r>
          </w:p>
          <w:p w14:paraId="215215AB">
            <w:pPr>
              <w:pStyle w:val="41"/>
              <w:numPr>
                <w:ilvl w:val="0"/>
                <w:numId w:val="0"/>
              </w:numPr>
              <w:ind w:left="425" w:leftChars="0" w:hanging="425" w:firstLineChars="0"/>
              <w:contextualSpacing/>
              <w:jc w:val="left"/>
              <w:rPr>
                <w:rFonts w:ascii="仿宋" w:hAnsi="仿宋" w:eastAsia="仿宋" w:cs="仿宋"/>
                <w:color w:val="auto"/>
                <w:sz w:val="20"/>
                <w:szCs w:val="20"/>
              </w:rPr>
            </w:pPr>
            <w:r>
              <w:rPr>
                <w:rFonts w:hint="default" w:ascii="仿宋" w:hAnsi="仿宋" w:eastAsia="仿宋" w:cs="仿宋"/>
                <w:color w:val="auto"/>
                <w:kern w:val="2"/>
                <w:sz w:val="20"/>
                <w:szCs w:val="20"/>
                <w:lang w:val="en-US" w:eastAsia="zh-CN" w:bidi="ar-SA"/>
              </w:rPr>
              <w:t>6.</w:t>
            </w:r>
            <w:r>
              <w:rPr>
                <w:rFonts w:hint="eastAsia" w:ascii="仿宋" w:hAnsi="仿宋" w:eastAsia="仿宋" w:cs="仿宋"/>
                <w:color w:val="auto"/>
                <w:sz w:val="20"/>
                <w:szCs w:val="20"/>
              </w:rPr>
              <w:t>提供弱密码防护功能，可设置密码最小长度、复杂度，可设置密码不能与用户名相同、新密码不能与旧密码相同。</w:t>
            </w:r>
          </w:p>
          <w:p w14:paraId="414DF340">
            <w:pPr>
              <w:pStyle w:val="41"/>
              <w:numPr>
                <w:ilvl w:val="0"/>
                <w:numId w:val="0"/>
              </w:numPr>
              <w:ind w:left="425" w:leftChars="0" w:hanging="425" w:firstLineChars="0"/>
              <w:contextualSpacing/>
              <w:jc w:val="left"/>
              <w:rPr>
                <w:rFonts w:ascii="仿宋" w:hAnsi="仿宋" w:eastAsia="仿宋" w:cs="仿宋"/>
                <w:color w:val="auto"/>
                <w:sz w:val="20"/>
                <w:szCs w:val="20"/>
              </w:rPr>
            </w:pPr>
            <w:r>
              <w:rPr>
                <w:rFonts w:hint="default" w:ascii="仿宋" w:hAnsi="仿宋" w:eastAsia="仿宋" w:cs="仿宋"/>
                <w:color w:val="auto"/>
                <w:kern w:val="2"/>
                <w:sz w:val="20"/>
                <w:szCs w:val="20"/>
                <w:lang w:val="en-US" w:eastAsia="zh-CN" w:bidi="ar-SA"/>
              </w:rPr>
              <w:t>7.</w:t>
            </w:r>
            <w:r>
              <w:rPr>
                <w:rFonts w:hint="eastAsia" w:ascii="仿宋" w:hAnsi="仿宋" w:eastAsia="仿宋" w:cs="仿宋"/>
                <w:color w:val="auto"/>
                <w:sz w:val="20"/>
                <w:szCs w:val="20"/>
              </w:rPr>
              <w:t>提供认证管理功能，802.1x认证可对接本地和AD域用户源进行用户名密码认证，师生账号绑定手机号码和微信号实现上网快捷登录认证。</w:t>
            </w:r>
          </w:p>
          <w:p w14:paraId="07EA7B7C">
            <w:pPr>
              <w:pStyle w:val="41"/>
              <w:numPr>
                <w:ilvl w:val="0"/>
                <w:numId w:val="0"/>
              </w:numPr>
              <w:ind w:left="425" w:leftChars="0" w:hanging="425" w:firstLineChars="0"/>
              <w:contextualSpacing/>
              <w:jc w:val="left"/>
              <w:rPr>
                <w:rFonts w:ascii="仿宋" w:hAnsi="仿宋" w:eastAsia="仿宋" w:cs="仿宋"/>
                <w:color w:val="auto"/>
                <w:sz w:val="20"/>
                <w:szCs w:val="20"/>
              </w:rPr>
            </w:pPr>
            <w:r>
              <w:rPr>
                <w:rFonts w:hint="default" w:ascii="仿宋" w:hAnsi="仿宋" w:eastAsia="仿宋" w:cs="仿宋"/>
                <w:color w:val="auto"/>
                <w:kern w:val="2"/>
                <w:sz w:val="20"/>
                <w:szCs w:val="20"/>
                <w:lang w:val="en-US" w:eastAsia="zh-CN" w:bidi="ar-SA"/>
              </w:rPr>
              <w:t>8.</w:t>
            </w:r>
            <w:r>
              <w:rPr>
                <w:rFonts w:hint="eastAsia" w:ascii="仿宋" w:hAnsi="仿宋" w:eastAsia="仿宋" w:cs="仿宋"/>
                <w:color w:val="auto"/>
                <w:sz w:val="20"/>
                <w:szCs w:val="20"/>
              </w:rPr>
              <w:t>提供流量动态调整功能，根据校园网线路的空闲情况，自动启用和停止使用流量控制策略，以提升带宽的高使用率；其中空闲阈值可自定义。</w:t>
            </w:r>
          </w:p>
          <w:p w14:paraId="2CF3EB4C">
            <w:pPr>
              <w:pStyle w:val="41"/>
              <w:numPr>
                <w:ilvl w:val="0"/>
                <w:numId w:val="0"/>
              </w:numPr>
              <w:ind w:left="425" w:leftChars="0" w:hanging="425" w:firstLineChars="0"/>
              <w:contextualSpacing/>
              <w:jc w:val="left"/>
              <w:rPr>
                <w:rFonts w:ascii="仿宋" w:hAnsi="仿宋" w:eastAsia="仿宋" w:cs="仿宋"/>
                <w:color w:val="auto"/>
                <w:sz w:val="20"/>
                <w:szCs w:val="20"/>
              </w:rPr>
            </w:pPr>
            <w:r>
              <w:rPr>
                <w:rFonts w:hint="default" w:ascii="仿宋" w:hAnsi="仿宋" w:eastAsia="仿宋" w:cs="仿宋"/>
                <w:color w:val="auto"/>
                <w:kern w:val="2"/>
                <w:sz w:val="20"/>
                <w:szCs w:val="20"/>
                <w:lang w:val="en-US" w:eastAsia="zh-CN" w:bidi="ar-SA"/>
              </w:rPr>
              <w:t>9.</w:t>
            </w:r>
            <w:r>
              <w:rPr>
                <w:rFonts w:hint="eastAsia" w:ascii="仿宋" w:hAnsi="仿宋" w:eastAsia="仿宋" w:cs="仿宋"/>
                <w:color w:val="auto"/>
                <w:sz w:val="20"/>
                <w:szCs w:val="20"/>
              </w:rPr>
              <w:t>提供加密网页管理功能，支持SSL加密网页的内容检查，针对加密后的钓鱼网站、非法网站，可对师生进行重定向告警。</w:t>
            </w:r>
          </w:p>
          <w:p w14:paraId="580135C7">
            <w:pPr>
              <w:pStyle w:val="41"/>
              <w:numPr>
                <w:ilvl w:val="0"/>
                <w:numId w:val="0"/>
              </w:numPr>
              <w:ind w:left="425" w:leftChars="0" w:hanging="425" w:firstLineChars="0"/>
              <w:contextualSpacing/>
              <w:jc w:val="left"/>
              <w:rPr>
                <w:rFonts w:ascii="仿宋" w:hAnsi="仿宋" w:eastAsia="仿宋" w:cs="仿宋"/>
                <w:color w:val="auto"/>
                <w:sz w:val="20"/>
                <w:szCs w:val="20"/>
              </w:rPr>
            </w:pPr>
            <w:r>
              <w:rPr>
                <w:rFonts w:hint="default" w:ascii="仿宋" w:hAnsi="仿宋" w:eastAsia="仿宋" w:cs="仿宋"/>
                <w:color w:val="auto"/>
                <w:kern w:val="2"/>
                <w:sz w:val="20"/>
                <w:szCs w:val="20"/>
                <w:lang w:val="en-US" w:eastAsia="zh-CN" w:bidi="ar-SA"/>
              </w:rPr>
              <w:t>10.</w:t>
            </w:r>
            <w:r>
              <w:rPr>
                <w:rFonts w:hint="eastAsia" w:ascii="仿宋" w:hAnsi="仿宋" w:eastAsia="仿宋" w:cs="仿宋"/>
                <w:color w:val="auto"/>
                <w:sz w:val="20"/>
                <w:szCs w:val="20"/>
              </w:rPr>
              <w:t>提供网络代理管理功能，实现HTTP、SOCKS4/5上网代理及二级代理；支持代理控制功能，不允许使用外部HTTP代理，不允许使用外部SOCKS4/5代理，不允许在HTTP，SSL一些的标准端口上使用其他协议。</w:t>
            </w:r>
          </w:p>
          <w:p w14:paraId="74B73C6D">
            <w:pPr>
              <w:pStyle w:val="41"/>
              <w:numPr>
                <w:ilvl w:val="0"/>
                <w:numId w:val="0"/>
              </w:numPr>
              <w:ind w:left="425" w:leftChars="0" w:hanging="425" w:firstLineChars="0"/>
              <w:contextualSpacing/>
              <w:jc w:val="left"/>
              <w:rPr>
                <w:rFonts w:ascii="仿宋" w:hAnsi="仿宋" w:eastAsia="仿宋" w:cs="仿宋"/>
                <w:color w:val="auto"/>
                <w:sz w:val="20"/>
                <w:szCs w:val="20"/>
              </w:rPr>
            </w:pPr>
            <w:r>
              <w:rPr>
                <w:rFonts w:hint="default" w:ascii="仿宋" w:hAnsi="仿宋" w:eastAsia="仿宋" w:cs="仿宋"/>
                <w:color w:val="auto"/>
                <w:kern w:val="2"/>
                <w:sz w:val="20"/>
                <w:szCs w:val="20"/>
                <w:lang w:val="en-US" w:eastAsia="zh-CN" w:bidi="ar-SA"/>
              </w:rPr>
              <w:t>11.</w:t>
            </w:r>
            <w:r>
              <w:rPr>
                <w:rFonts w:hint="eastAsia" w:ascii="仿宋" w:hAnsi="仿宋" w:eastAsia="仿宋" w:cs="仿宋"/>
                <w:color w:val="auto"/>
                <w:sz w:val="20"/>
                <w:szCs w:val="20"/>
              </w:rPr>
              <w:t>提供业务访问审计功能，支持WEB/FTP/SMB类型业务的行为和内容审计；支持服务器外联行为及流量审计。</w:t>
            </w:r>
          </w:p>
          <w:p w14:paraId="58B2D11B">
            <w:pPr>
              <w:pStyle w:val="41"/>
              <w:numPr>
                <w:ilvl w:val="0"/>
                <w:numId w:val="0"/>
              </w:numPr>
              <w:ind w:left="425" w:leftChars="0" w:hanging="425" w:firstLineChars="0"/>
              <w:contextualSpacing/>
              <w:jc w:val="left"/>
              <w:rPr>
                <w:rFonts w:ascii="仿宋" w:hAnsi="仿宋" w:eastAsia="仿宋" w:cs="仿宋"/>
                <w:color w:val="auto"/>
                <w:sz w:val="20"/>
                <w:szCs w:val="20"/>
              </w:rPr>
            </w:pPr>
            <w:r>
              <w:rPr>
                <w:rFonts w:hint="default" w:ascii="仿宋" w:hAnsi="仿宋" w:eastAsia="仿宋" w:cs="仿宋"/>
                <w:color w:val="auto"/>
                <w:kern w:val="2"/>
                <w:sz w:val="20"/>
                <w:szCs w:val="20"/>
                <w:lang w:val="en-US" w:eastAsia="zh-CN" w:bidi="ar-SA"/>
              </w:rPr>
              <w:t>12.</w:t>
            </w:r>
            <w:r>
              <w:rPr>
                <w:rFonts w:hint="eastAsia" w:ascii="仿宋" w:hAnsi="仿宋" w:eastAsia="仿宋" w:cs="仿宋"/>
                <w:color w:val="auto"/>
                <w:sz w:val="20"/>
                <w:szCs w:val="20"/>
              </w:rPr>
              <w:t>提供多产品联动功能，支持与防火墙系统实现认证联动，实现单点登录；支持与现网深信服安全态势感知产品实现联动，实现资产信息上报。提供供应商承诺函。</w:t>
            </w:r>
          </w:p>
          <w:p w14:paraId="1D123E5D">
            <w:pPr>
              <w:pStyle w:val="41"/>
              <w:numPr>
                <w:ilvl w:val="0"/>
                <w:numId w:val="0"/>
              </w:numPr>
              <w:ind w:left="425" w:leftChars="0" w:hanging="425" w:firstLineChars="0"/>
              <w:contextualSpacing/>
              <w:jc w:val="left"/>
              <w:rPr>
                <w:rFonts w:ascii="仿宋" w:hAnsi="仿宋" w:eastAsia="仿宋" w:cs="仿宋"/>
                <w:color w:val="auto"/>
                <w:sz w:val="20"/>
                <w:szCs w:val="20"/>
              </w:rPr>
            </w:pPr>
            <w:r>
              <w:rPr>
                <w:rFonts w:hint="default" w:ascii="仿宋" w:hAnsi="仿宋" w:eastAsia="仿宋" w:cs="仿宋"/>
                <w:color w:val="auto"/>
                <w:kern w:val="2"/>
                <w:sz w:val="20"/>
                <w:szCs w:val="20"/>
                <w:lang w:val="en-US" w:eastAsia="zh-CN" w:bidi="ar-SA"/>
              </w:rPr>
              <w:t>13.</w:t>
            </w:r>
            <w:r>
              <w:rPr>
                <w:rFonts w:hint="eastAsia" w:ascii="仿宋" w:hAnsi="仿宋" w:eastAsia="仿宋" w:cs="仿宋"/>
                <w:color w:val="auto"/>
                <w:sz w:val="20"/>
                <w:szCs w:val="20"/>
              </w:rPr>
              <w:t>提供用户认证故障排查功能，针对师生认证的故障进行分析，给出错误详情以及排查建议</w:t>
            </w:r>
          </w:p>
          <w:p w14:paraId="630597B6">
            <w:pPr>
              <w:pStyle w:val="41"/>
              <w:numPr>
                <w:ilvl w:val="0"/>
                <w:numId w:val="0"/>
              </w:numPr>
              <w:ind w:left="425" w:leftChars="0" w:hanging="425" w:firstLineChars="0"/>
              <w:contextualSpacing/>
              <w:jc w:val="left"/>
              <w:rPr>
                <w:rFonts w:ascii="仿宋" w:hAnsi="仿宋" w:eastAsia="仿宋" w:cs="仿宋"/>
                <w:color w:val="auto"/>
                <w:sz w:val="20"/>
                <w:szCs w:val="20"/>
              </w:rPr>
            </w:pPr>
            <w:r>
              <w:rPr>
                <w:rFonts w:hint="default" w:ascii="仿宋" w:hAnsi="仿宋" w:eastAsia="仿宋" w:cs="仿宋"/>
                <w:color w:val="auto"/>
                <w:kern w:val="2"/>
                <w:sz w:val="20"/>
                <w:szCs w:val="20"/>
                <w:lang w:val="en-US" w:eastAsia="zh-CN" w:bidi="ar-SA"/>
              </w:rPr>
              <w:t>14.</w:t>
            </w:r>
            <w:r>
              <w:rPr>
                <w:rFonts w:hint="eastAsia" w:ascii="仿宋" w:hAnsi="仿宋" w:eastAsia="仿宋" w:cs="仿宋"/>
                <w:color w:val="auto"/>
                <w:sz w:val="20"/>
                <w:szCs w:val="20"/>
              </w:rPr>
              <w:t>提供校园网访问质量检测功能，针对校园网用户的web访问质量进行检测，对整体网络提供清晰的整体网络质量评级。</w:t>
            </w:r>
          </w:p>
          <w:p w14:paraId="2B42A246">
            <w:pPr>
              <w:pStyle w:val="41"/>
              <w:numPr>
                <w:ilvl w:val="0"/>
                <w:numId w:val="0"/>
              </w:numPr>
              <w:ind w:left="425" w:leftChars="0" w:hanging="425" w:firstLineChars="0"/>
              <w:contextualSpacing/>
              <w:jc w:val="left"/>
              <w:rPr>
                <w:rFonts w:ascii="仿宋" w:hAnsi="仿宋" w:eastAsia="仿宋" w:cs="仿宋"/>
                <w:color w:val="auto"/>
                <w:sz w:val="20"/>
                <w:szCs w:val="20"/>
              </w:rPr>
            </w:pPr>
            <w:r>
              <w:rPr>
                <w:rFonts w:hint="default" w:ascii="仿宋" w:hAnsi="仿宋" w:eastAsia="仿宋" w:cs="仿宋"/>
                <w:color w:val="auto"/>
                <w:kern w:val="2"/>
                <w:sz w:val="20"/>
                <w:szCs w:val="20"/>
                <w:lang w:val="en-US" w:eastAsia="zh-CN" w:bidi="ar-SA"/>
              </w:rPr>
              <w:t>15.</w:t>
            </w:r>
            <w:r>
              <w:rPr>
                <w:rFonts w:hint="eastAsia" w:ascii="仿宋" w:hAnsi="仿宋" w:eastAsia="仿宋" w:cs="仿宋"/>
                <w:color w:val="auto"/>
                <w:sz w:val="20"/>
                <w:szCs w:val="20"/>
              </w:rPr>
              <w:t>具备中国信息安全测评中心颁发的信息安全服务资质（安全开发类二级）。提供证明材料并加盖公章。</w:t>
            </w:r>
          </w:p>
          <w:p w14:paraId="4369D66A">
            <w:pPr>
              <w:pStyle w:val="41"/>
              <w:numPr>
                <w:ilvl w:val="0"/>
                <w:numId w:val="0"/>
              </w:numPr>
              <w:ind w:left="425" w:leftChars="0" w:hanging="425" w:firstLineChars="0"/>
              <w:contextualSpacing/>
              <w:jc w:val="left"/>
              <w:rPr>
                <w:rFonts w:ascii="仿宋" w:hAnsi="仿宋" w:eastAsia="仿宋" w:cs="仿宋"/>
                <w:b/>
                <w:bCs/>
                <w:color w:val="auto"/>
              </w:rPr>
            </w:pPr>
            <w:r>
              <w:rPr>
                <w:rFonts w:hint="default" w:ascii="仿宋" w:hAnsi="仿宋" w:eastAsia="仿宋" w:cs="仿宋"/>
                <w:b/>
                <w:bCs/>
                <w:color w:val="auto"/>
                <w:kern w:val="2"/>
                <w:sz w:val="21"/>
                <w:szCs w:val="24"/>
                <w:lang w:val="en-US" w:eastAsia="zh-CN" w:bidi="ar-SA"/>
              </w:rPr>
              <w:t>16.</w:t>
            </w:r>
            <w:r>
              <w:rPr>
                <w:rFonts w:hint="eastAsia" w:ascii="仿宋" w:hAnsi="仿宋" w:eastAsia="仿宋" w:cs="仿宋"/>
                <w:color w:val="auto"/>
                <w:sz w:val="20"/>
                <w:szCs w:val="20"/>
              </w:rPr>
              <w:t>提供5年原厂产品质保+软件升级。</w:t>
            </w:r>
          </w:p>
        </w:tc>
      </w:tr>
      <w:tr w14:paraId="3767B8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290" w:hRule="atLeast"/>
        </w:trPr>
        <w:tc>
          <w:tcPr>
            <w:tcW w:w="8540" w:type="dxa"/>
            <w:shd w:val="clear" w:color="auto" w:fill="auto"/>
            <w:vAlign w:val="center"/>
          </w:tcPr>
          <w:p w14:paraId="223DA2B3">
            <w:pPr>
              <w:rPr>
                <w:rFonts w:ascii="仿宋" w:hAnsi="仿宋" w:eastAsia="仿宋" w:cs="仿宋"/>
                <w:b/>
                <w:bCs/>
                <w:color w:val="auto"/>
                <w:sz w:val="20"/>
                <w:szCs w:val="20"/>
              </w:rPr>
            </w:pPr>
            <w:r>
              <w:rPr>
                <w:rFonts w:hint="eastAsia" w:ascii="仿宋" w:hAnsi="仿宋" w:eastAsia="仿宋" w:cs="仿宋"/>
                <w:b/>
                <w:bCs/>
                <w:color w:val="auto"/>
              </w:rPr>
              <w:t>四、安全托管服务</w:t>
            </w:r>
          </w:p>
          <w:p w14:paraId="396BFDB1">
            <w:pPr>
              <w:pStyle w:val="41"/>
              <w:numPr>
                <w:ilvl w:val="0"/>
                <w:numId w:val="0"/>
              </w:numPr>
              <w:ind w:left="425" w:leftChars="0" w:hanging="425" w:firstLineChars="0"/>
              <w:contextualSpacing/>
              <w:jc w:val="left"/>
              <w:rPr>
                <w:rFonts w:ascii="仿宋" w:hAnsi="仿宋" w:eastAsia="仿宋" w:cs="仿宋"/>
                <w:color w:val="auto"/>
                <w:sz w:val="20"/>
                <w:szCs w:val="20"/>
              </w:rPr>
            </w:pPr>
            <w:r>
              <w:rPr>
                <w:rFonts w:hint="default" w:ascii="仿宋" w:hAnsi="仿宋" w:eastAsia="仿宋" w:cs="仿宋"/>
                <w:color w:val="auto"/>
                <w:kern w:val="2"/>
                <w:sz w:val="20"/>
                <w:szCs w:val="20"/>
                <w:lang w:val="en-US" w:eastAsia="zh-CN" w:bidi="ar-SA"/>
              </w:rPr>
              <w:t>1.</w:t>
            </w:r>
            <w:r>
              <w:rPr>
                <w:rFonts w:hint="eastAsia" w:ascii="仿宋" w:hAnsi="仿宋" w:eastAsia="仿宋" w:cs="仿宋"/>
                <w:color w:val="auto"/>
                <w:sz w:val="20"/>
                <w:szCs w:val="20"/>
              </w:rPr>
              <w:t>为学校不少于20个核心资产（数据中心资产IP数量）提供7*24小时连续性的安全保障，一次性提供五年服务。不论是白天、黑夜、节假日供应商都应该能做到7*24H在线服务，配置一名经验丰富的安全专家作为专属服务经理，并组建专属微信服务群，实时响应学校咨询的网络安全相关问题。</w:t>
            </w:r>
          </w:p>
          <w:p w14:paraId="25893A00">
            <w:pPr>
              <w:pStyle w:val="41"/>
              <w:numPr>
                <w:ilvl w:val="0"/>
                <w:numId w:val="0"/>
              </w:numPr>
              <w:ind w:left="425" w:leftChars="0" w:hanging="425" w:firstLineChars="0"/>
              <w:contextualSpacing/>
              <w:jc w:val="left"/>
              <w:rPr>
                <w:rFonts w:ascii="仿宋" w:hAnsi="仿宋" w:eastAsia="仿宋" w:cs="仿宋"/>
                <w:color w:val="auto"/>
                <w:sz w:val="20"/>
                <w:szCs w:val="20"/>
              </w:rPr>
            </w:pPr>
            <w:r>
              <w:rPr>
                <w:rFonts w:hint="default" w:ascii="仿宋" w:hAnsi="仿宋" w:eastAsia="仿宋" w:cs="仿宋"/>
                <w:color w:val="auto"/>
                <w:kern w:val="2"/>
                <w:sz w:val="20"/>
                <w:szCs w:val="20"/>
                <w:lang w:val="en-US" w:eastAsia="zh-CN" w:bidi="ar-SA"/>
              </w:rPr>
              <w:t>2.</w:t>
            </w:r>
            <w:r>
              <w:rPr>
                <w:rFonts w:hint="eastAsia" w:ascii="仿宋" w:hAnsi="仿宋" w:eastAsia="仿宋" w:cs="仿宋"/>
                <w:color w:val="auto"/>
                <w:sz w:val="20"/>
                <w:szCs w:val="20"/>
              </w:rPr>
              <w:t>供应商提供不低于以下服务效果的SLA承诺，提供服务承诺函：（1）一般事件：从安全日志产生到通告&lt;1Hour、遏制影响时间&lt;4H、经供应商确认后，准确率达99%、事件闭环率100%；（2）一般威胁：从安全日志产生到通告&lt;2Hour、遏制影响时间&lt;4H、经供应商确认后，准确率达99%、威胁闭环率100%；（3）重大事件：从安全日志产生到通告(MTTD)&lt;30min、遏制影响时间&lt;1H、经供应商确认后，准确率达99%、事件闭环率100%；（4）重大威胁：从安全日志产生到通告(MTTD )&lt;1Hour、响应处置时间(MTTR)&lt;1H、经供应商确认后，准确率达99%、威胁闭环率100%；（5）应急响应：供应商应当满足重大事故应启动应急响应机制，工作时间15分钟之内云端专家进行响应，非工作时间30分钟之内云端专家进行响应，2小时上门处置。</w:t>
            </w:r>
          </w:p>
          <w:p w14:paraId="2BE3DEF5">
            <w:pPr>
              <w:pStyle w:val="41"/>
              <w:numPr>
                <w:ilvl w:val="0"/>
                <w:numId w:val="0"/>
              </w:numPr>
              <w:ind w:left="425" w:leftChars="0" w:hanging="425" w:firstLineChars="0"/>
              <w:contextualSpacing/>
              <w:jc w:val="left"/>
              <w:rPr>
                <w:rFonts w:ascii="仿宋" w:hAnsi="仿宋" w:eastAsia="仿宋" w:cs="仿宋"/>
                <w:color w:val="auto"/>
                <w:sz w:val="20"/>
                <w:szCs w:val="20"/>
              </w:rPr>
            </w:pPr>
            <w:r>
              <w:rPr>
                <w:rFonts w:hint="default" w:ascii="仿宋" w:hAnsi="仿宋" w:eastAsia="仿宋" w:cs="仿宋"/>
                <w:color w:val="auto"/>
                <w:kern w:val="2"/>
                <w:sz w:val="20"/>
                <w:szCs w:val="20"/>
                <w:lang w:val="en-US" w:eastAsia="zh-CN" w:bidi="ar-SA"/>
              </w:rPr>
              <w:t>3.</w:t>
            </w:r>
            <w:r>
              <w:rPr>
                <w:rFonts w:hint="eastAsia" w:ascii="仿宋" w:hAnsi="仿宋" w:eastAsia="仿宋" w:cs="仿宋"/>
                <w:color w:val="auto"/>
                <w:sz w:val="20"/>
                <w:szCs w:val="20"/>
              </w:rPr>
              <w:t>安全现状评估：系统与Web漏洞扫描：对操作系统、数据库、常见应用/协议、Web通用漏洞与常规漏洞进行漏洞扫描。弱口令扫描：实现信息化资产不同应用弱口令猜解检测，如：SMB、Mssql、Mysql、Oracle、smtp、VNC、ftp、telnet、ssh、mysql、tomcat等。</w:t>
            </w:r>
          </w:p>
          <w:p w14:paraId="4AA3C135">
            <w:pPr>
              <w:pStyle w:val="41"/>
              <w:numPr>
                <w:ilvl w:val="0"/>
                <w:numId w:val="0"/>
              </w:numPr>
              <w:ind w:left="425" w:leftChars="0" w:hanging="425" w:firstLineChars="0"/>
              <w:contextualSpacing/>
              <w:jc w:val="left"/>
              <w:rPr>
                <w:rFonts w:ascii="仿宋" w:hAnsi="仿宋" w:eastAsia="仿宋" w:cs="仿宋"/>
                <w:color w:val="auto"/>
                <w:sz w:val="20"/>
                <w:szCs w:val="20"/>
              </w:rPr>
            </w:pPr>
            <w:r>
              <w:rPr>
                <w:rFonts w:hint="default" w:ascii="仿宋" w:hAnsi="仿宋" w:eastAsia="仿宋" w:cs="仿宋"/>
                <w:color w:val="auto"/>
                <w:kern w:val="2"/>
                <w:sz w:val="20"/>
                <w:szCs w:val="20"/>
                <w:lang w:val="en-US" w:eastAsia="zh-CN" w:bidi="ar-SA"/>
              </w:rPr>
              <w:t>4.</w:t>
            </w:r>
            <w:r>
              <w:rPr>
                <w:rFonts w:hint="eastAsia" w:ascii="仿宋" w:hAnsi="仿宋" w:eastAsia="仿宋" w:cs="仿宋"/>
                <w:color w:val="auto"/>
                <w:sz w:val="20"/>
                <w:szCs w:val="20"/>
              </w:rPr>
              <w:t>脆弱性管理：针对服务资产的系统漏洞和Web漏洞进行全量扫描，并针对发现的Web漏洞进行验证，验证漏洞的真实性及分析发生后可造成的危害；对漏洞进行分析并输出可落地的修复方案，通过工单系统跟踪修复情况。要求供应商可以对服务范围内发现的每一个高危可利用漏洞提供防护规则，并且承诺防护率达到99%，提供承诺函。</w:t>
            </w:r>
          </w:p>
          <w:p w14:paraId="4123BB45">
            <w:pPr>
              <w:pStyle w:val="41"/>
              <w:numPr>
                <w:ilvl w:val="0"/>
                <w:numId w:val="0"/>
              </w:numPr>
              <w:ind w:left="425" w:leftChars="0" w:hanging="425" w:firstLineChars="0"/>
              <w:contextualSpacing/>
              <w:jc w:val="left"/>
              <w:rPr>
                <w:rFonts w:ascii="仿宋" w:hAnsi="仿宋" w:eastAsia="仿宋" w:cs="仿宋"/>
                <w:color w:val="auto"/>
                <w:sz w:val="20"/>
                <w:szCs w:val="20"/>
              </w:rPr>
            </w:pPr>
            <w:r>
              <w:rPr>
                <w:rFonts w:hint="default" w:ascii="仿宋" w:hAnsi="仿宋" w:eastAsia="仿宋" w:cs="仿宋"/>
                <w:color w:val="auto"/>
                <w:kern w:val="2"/>
                <w:sz w:val="20"/>
                <w:szCs w:val="20"/>
                <w:lang w:val="en-US" w:eastAsia="zh-CN" w:bidi="ar-SA"/>
              </w:rPr>
              <w:t>5.</w:t>
            </w:r>
            <w:r>
              <w:rPr>
                <w:rFonts w:hint="eastAsia" w:ascii="仿宋" w:hAnsi="仿宋" w:eastAsia="仿宋" w:cs="仿宋"/>
                <w:color w:val="auto"/>
                <w:sz w:val="20"/>
                <w:szCs w:val="20"/>
              </w:rPr>
              <w:t>安全问题处置：提供7*24小时威胁分析和鉴定服务，安全告警上传至服务云端平台依托于平台的大数据分析和威胁检测能力实时监测用户网络安全状态，对平台监测到的安全威胁进行分析鉴定，自动生成服务工单，识别到真正的安全威胁。</w:t>
            </w:r>
          </w:p>
          <w:p w14:paraId="45069EE9">
            <w:pPr>
              <w:pStyle w:val="41"/>
              <w:numPr>
                <w:ilvl w:val="0"/>
                <w:numId w:val="0"/>
              </w:numPr>
              <w:ind w:left="425" w:leftChars="0" w:hanging="425" w:firstLineChars="0"/>
              <w:contextualSpacing/>
              <w:jc w:val="left"/>
              <w:rPr>
                <w:rFonts w:ascii="仿宋" w:hAnsi="仿宋" w:eastAsia="仿宋" w:cs="仿宋"/>
                <w:color w:val="auto"/>
                <w:sz w:val="20"/>
                <w:szCs w:val="20"/>
              </w:rPr>
            </w:pPr>
            <w:r>
              <w:rPr>
                <w:rFonts w:hint="default" w:ascii="仿宋" w:hAnsi="仿宋" w:eastAsia="仿宋" w:cs="仿宋"/>
                <w:color w:val="auto"/>
                <w:kern w:val="2"/>
                <w:sz w:val="20"/>
                <w:szCs w:val="20"/>
                <w:lang w:val="en-US" w:eastAsia="zh-CN" w:bidi="ar-SA"/>
              </w:rPr>
              <w:t>6.</w:t>
            </w:r>
            <w:r>
              <w:rPr>
                <w:rFonts w:hint="eastAsia" w:ascii="仿宋" w:hAnsi="仿宋" w:eastAsia="仿宋" w:cs="仿宋"/>
                <w:color w:val="auto"/>
                <w:sz w:val="20"/>
                <w:szCs w:val="20"/>
              </w:rPr>
              <w:t>服务要求：提供的服务成果展示门户；具备服务质量可视化展示，供应商能通过可视化的数据，清晰的了解供应商的服务水平，至少包括脆弱性闭环率、脆弱性平均响应时长、脆弱性平均闭环时长、威胁闭环率、威胁平均响应时长、威胁平均闭环时长、事件闭环率、事件平均闭环时长，以验证供应商所承诺的服务指标（或称为服务SLA）。</w:t>
            </w:r>
          </w:p>
          <w:p w14:paraId="194871E9">
            <w:pPr>
              <w:pStyle w:val="41"/>
              <w:numPr>
                <w:ilvl w:val="0"/>
                <w:numId w:val="0"/>
              </w:numPr>
              <w:ind w:left="425" w:leftChars="0" w:hanging="425" w:firstLineChars="0"/>
              <w:contextualSpacing/>
              <w:jc w:val="left"/>
              <w:rPr>
                <w:rFonts w:ascii="仿宋" w:hAnsi="仿宋" w:eastAsia="仿宋" w:cs="仿宋"/>
                <w:color w:val="auto"/>
                <w:sz w:val="20"/>
                <w:szCs w:val="20"/>
              </w:rPr>
            </w:pPr>
            <w:r>
              <w:rPr>
                <w:rFonts w:hint="default" w:ascii="仿宋" w:hAnsi="仿宋" w:eastAsia="仿宋" w:cs="仿宋"/>
                <w:color w:val="auto"/>
                <w:kern w:val="2"/>
                <w:sz w:val="20"/>
                <w:szCs w:val="20"/>
                <w:lang w:val="en-US" w:eastAsia="zh-CN" w:bidi="ar-SA"/>
              </w:rPr>
              <w:t>7.</w:t>
            </w:r>
            <w:r>
              <w:rPr>
                <w:rFonts w:hint="eastAsia" w:ascii="仿宋" w:hAnsi="仿宋" w:eastAsia="仿宋" w:cs="仿宋"/>
                <w:color w:val="auto"/>
                <w:sz w:val="20"/>
                <w:szCs w:val="20"/>
              </w:rPr>
              <w:t>安全设备对接与数据采集：供应商安全托管服务云端平台应当支持对接学校网络中已部署的主要安全设备，支持实时接收安全设备检测到的安全事件信息、安全日志数据提供7*24小时的安全托管服务。提供的安全托管服务云端平台支持对接主要安全设备的能力证明承诺函或者第三方兼容性测试报告。</w:t>
            </w:r>
          </w:p>
          <w:p w14:paraId="3A5DF288">
            <w:pPr>
              <w:pStyle w:val="41"/>
              <w:numPr>
                <w:ilvl w:val="0"/>
                <w:numId w:val="0"/>
              </w:numPr>
              <w:ind w:left="425" w:leftChars="0" w:hanging="425" w:firstLineChars="0"/>
              <w:contextualSpacing/>
              <w:jc w:val="left"/>
              <w:rPr>
                <w:rFonts w:ascii="仿宋" w:hAnsi="仿宋" w:eastAsia="仿宋" w:cs="仿宋"/>
                <w:color w:val="auto"/>
                <w:sz w:val="20"/>
                <w:szCs w:val="20"/>
              </w:rPr>
            </w:pPr>
            <w:r>
              <w:rPr>
                <w:rFonts w:hint="default" w:ascii="仿宋" w:hAnsi="仿宋" w:eastAsia="仿宋" w:cs="仿宋"/>
                <w:color w:val="auto"/>
                <w:kern w:val="2"/>
                <w:sz w:val="20"/>
                <w:szCs w:val="20"/>
                <w:lang w:val="en-US" w:eastAsia="zh-CN" w:bidi="ar-SA"/>
              </w:rPr>
              <w:t>8.</w:t>
            </w:r>
            <w:r>
              <w:rPr>
                <w:rFonts w:hint="eastAsia" w:ascii="仿宋" w:hAnsi="仿宋" w:eastAsia="仿宋" w:cs="仿宋"/>
                <w:color w:val="auto"/>
                <w:sz w:val="20"/>
                <w:szCs w:val="20"/>
              </w:rPr>
              <w:t>安全合规性要求：供应商云端平台应当做好严格的安全防护，并严格按照《信息安全技术—网络安全等级保护基本要求》完成等级保护测评工作，服务云端平台至少通过等级保护三级测评。</w:t>
            </w:r>
          </w:p>
          <w:p w14:paraId="2B087879">
            <w:pPr>
              <w:pStyle w:val="41"/>
              <w:numPr>
                <w:ilvl w:val="0"/>
                <w:numId w:val="0"/>
              </w:numPr>
              <w:ind w:left="425" w:leftChars="0" w:hanging="425" w:firstLineChars="0"/>
              <w:contextualSpacing/>
              <w:jc w:val="left"/>
              <w:rPr>
                <w:rFonts w:ascii="宋体" w:hAnsi="宋体" w:eastAsia="宋体" w:cs="宋体"/>
                <w:color w:val="auto"/>
                <w:kern w:val="0"/>
                <w:sz w:val="18"/>
                <w:szCs w:val="18"/>
              </w:rPr>
            </w:pPr>
            <w:r>
              <w:rPr>
                <w:rFonts w:hint="default" w:ascii="宋体" w:hAnsi="宋体" w:eastAsia="宋体" w:cs="宋体"/>
                <w:color w:val="auto"/>
                <w:kern w:val="0"/>
                <w:sz w:val="18"/>
                <w:szCs w:val="18"/>
                <w:lang w:val="en-US" w:eastAsia="zh-CN" w:bidi="ar-SA"/>
              </w:rPr>
              <w:t>9.</w:t>
            </w:r>
            <w:r>
              <w:rPr>
                <w:rFonts w:hint="eastAsia" w:ascii="仿宋" w:hAnsi="仿宋" w:eastAsia="仿宋" w:cs="仿宋"/>
                <w:color w:val="auto"/>
                <w:sz w:val="20"/>
                <w:szCs w:val="20"/>
              </w:rPr>
              <w:t>服务交付物：服务期间内，提供包括但不限于以下汇报材料和内容：《项目启动会PPT》、《首次分析与处置报告》、《漏洞管理举证报告》、《漏洞清单》、《服务资产表》、《安全服务运营报告》、《应急响应报告》、《事件分析与处置报告》、《安全运营报告》、《安全通告》、《综合分析报告》、《季度汇报PPT》、《年度汇报PPT》。</w:t>
            </w:r>
          </w:p>
        </w:tc>
      </w:tr>
      <w:tr w14:paraId="28BB01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9" w:hRule="atLeast"/>
        </w:trPr>
        <w:tc>
          <w:tcPr>
            <w:tcW w:w="8540" w:type="dxa"/>
            <w:shd w:val="clear" w:color="auto" w:fill="auto"/>
            <w:vAlign w:val="center"/>
          </w:tcPr>
          <w:p w14:paraId="73C08A76">
            <w:pPr>
              <w:pStyle w:val="41"/>
              <w:ind w:firstLine="0" w:firstLineChars="0"/>
              <w:contextualSpacing/>
              <w:jc w:val="left"/>
              <w:rPr>
                <w:rFonts w:ascii="仿宋" w:hAnsi="仿宋" w:eastAsia="仿宋" w:cs="仿宋"/>
                <w:b/>
                <w:bCs/>
                <w:color w:val="auto"/>
                <w:sz w:val="24"/>
              </w:rPr>
            </w:pPr>
            <w:r>
              <w:rPr>
                <w:rFonts w:hint="eastAsia" w:ascii="仿宋" w:hAnsi="仿宋" w:eastAsia="仿宋" w:cs="仿宋"/>
                <w:b/>
                <w:bCs/>
                <w:color w:val="auto"/>
                <w:sz w:val="24"/>
              </w:rPr>
              <w:t>五、其他要求</w:t>
            </w:r>
          </w:p>
          <w:p w14:paraId="17AB547A">
            <w:pPr>
              <w:pStyle w:val="41"/>
              <w:numPr>
                <w:ilvl w:val="0"/>
                <w:numId w:val="0"/>
              </w:numPr>
              <w:ind w:left="425" w:leftChars="0" w:hanging="425" w:firstLineChars="0"/>
              <w:contextualSpacing/>
              <w:jc w:val="left"/>
              <w:rPr>
                <w:rFonts w:ascii="仿宋" w:hAnsi="仿宋" w:eastAsia="仿宋" w:cs="仿宋"/>
                <w:color w:val="auto"/>
                <w:sz w:val="20"/>
                <w:szCs w:val="20"/>
              </w:rPr>
            </w:pPr>
            <w:r>
              <w:rPr>
                <w:rFonts w:hint="default" w:ascii="仿宋" w:hAnsi="仿宋" w:eastAsia="仿宋" w:cs="仿宋"/>
                <w:b/>
                <w:bCs/>
                <w:color w:val="auto"/>
                <w:kern w:val="2"/>
                <w:sz w:val="20"/>
                <w:szCs w:val="20"/>
                <w:lang w:val="en-US" w:eastAsia="zh-CN" w:bidi="ar-SA"/>
              </w:rPr>
              <w:t>1.</w:t>
            </w:r>
            <w:r>
              <w:rPr>
                <w:rFonts w:hint="eastAsia" w:ascii="仿宋" w:hAnsi="仿宋" w:eastAsia="仿宋" w:cs="仿宋"/>
                <w:color w:val="auto"/>
                <w:sz w:val="20"/>
                <w:szCs w:val="20"/>
              </w:rPr>
              <w:t>本项目谈判总报价包括设备及安全托管服务等所有费用。</w:t>
            </w:r>
          </w:p>
          <w:p w14:paraId="0B167817">
            <w:pPr>
              <w:pStyle w:val="42"/>
              <w:numPr>
                <w:ilvl w:val="0"/>
                <w:numId w:val="0"/>
              </w:numPr>
              <w:ind w:left="425" w:leftChars="0" w:hanging="425" w:firstLineChars="0"/>
              <w:jc w:val="both"/>
              <w:rPr>
                <w:rFonts w:hint="default" w:ascii="仿宋" w:hAnsi="仿宋" w:eastAsia="仿宋" w:cs="仿宋"/>
                <w:color w:val="auto"/>
                <w:kern w:val="2"/>
                <w:lang w:eastAsia="zh-CN"/>
              </w:rPr>
            </w:pPr>
            <w:r>
              <w:rPr>
                <w:rFonts w:hint="default" w:ascii="仿宋" w:hAnsi="仿宋" w:eastAsia="仿宋" w:cs="仿宋"/>
                <w:b/>
                <w:bCs/>
                <w:color w:val="auto"/>
                <w:kern w:val="2"/>
                <w:lang w:val="en-US" w:eastAsia="zh-CN" w:bidi="ar-SA"/>
              </w:rPr>
              <w:t>2.</w:t>
            </w:r>
            <w:r>
              <w:rPr>
                <w:rFonts w:ascii="仿宋" w:hAnsi="仿宋" w:eastAsia="仿宋" w:cs="仿宋"/>
                <w:color w:val="auto"/>
                <w:kern w:val="2"/>
                <w:lang w:eastAsia="zh-CN"/>
              </w:rPr>
              <w:t>为保证设备的兼容和方便管理，所投设备、服务均应为同一品牌设备且能相互兼容。</w:t>
            </w:r>
          </w:p>
          <w:p w14:paraId="4AFA8951">
            <w:pPr>
              <w:pStyle w:val="42"/>
              <w:numPr>
                <w:ilvl w:val="0"/>
                <w:numId w:val="0"/>
              </w:numPr>
              <w:ind w:left="425" w:leftChars="0" w:hanging="425" w:firstLineChars="0"/>
              <w:jc w:val="both"/>
              <w:rPr>
                <w:rFonts w:hint="default" w:ascii="仿宋" w:hAnsi="仿宋" w:eastAsia="仿宋" w:cs="仿宋"/>
                <w:color w:val="auto"/>
              </w:rPr>
            </w:pPr>
            <w:r>
              <w:rPr>
                <w:rFonts w:hint="default" w:ascii="仿宋" w:hAnsi="仿宋" w:eastAsia="仿宋" w:cs="仿宋"/>
                <w:b/>
                <w:bCs/>
                <w:color w:val="auto"/>
                <w:lang w:val="en-US" w:eastAsia="zh-CN" w:bidi="ar-SA"/>
              </w:rPr>
              <w:t>3.</w:t>
            </w:r>
            <w:r>
              <w:rPr>
                <w:rFonts w:ascii="仿宋" w:hAnsi="仿宋" w:eastAsia="仿宋" w:cs="仿宋"/>
                <w:color w:val="auto"/>
              </w:rPr>
              <w:t>产品必须是按厂家标准配置的整套全新产品，提供人员培训，培训后采购人可熟悉基本操作；</w:t>
            </w:r>
          </w:p>
          <w:p w14:paraId="1A835AC7">
            <w:pPr>
              <w:pStyle w:val="42"/>
              <w:numPr>
                <w:ilvl w:val="0"/>
                <w:numId w:val="0"/>
              </w:numPr>
              <w:ind w:left="425" w:leftChars="0" w:hanging="425" w:firstLineChars="0"/>
              <w:jc w:val="both"/>
              <w:rPr>
                <w:rFonts w:hint="default" w:ascii="仿宋" w:hAnsi="仿宋" w:eastAsia="仿宋" w:cs="仿宋"/>
                <w:color w:val="auto"/>
              </w:rPr>
            </w:pPr>
            <w:r>
              <w:rPr>
                <w:rFonts w:hint="default" w:ascii="仿宋" w:hAnsi="仿宋" w:eastAsia="仿宋" w:cs="仿宋"/>
                <w:b/>
                <w:bCs/>
                <w:color w:val="auto"/>
                <w:lang w:val="en-US" w:eastAsia="zh-CN" w:bidi="ar-SA"/>
              </w:rPr>
              <w:t>4.</w:t>
            </w:r>
            <w:r>
              <w:rPr>
                <w:rFonts w:ascii="仿宋" w:hAnsi="仿宋" w:eastAsia="仿宋" w:cs="仿宋"/>
                <w:color w:val="auto"/>
              </w:rPr>
              <w:t>质量保证期内免费提供维修服务（含人工费、配件费、差旅费等各项费用），所更换的所有零配件全部使用原厂配件；保修期以外一律按</w:t>
            </w:r>
            <w:r>
              <w:rPr>
                <w:rFonts w:ascii="仿宋" w:hAnsi="仿宋" w:eastAsia="仿宋" w:cs="仿宋"/>
                <w:color w:val="auto"/>
                <w:lang w:eastAsia="zh-CN"/>
              </w:rPr>
              <w:t>响应文件</w:t>
            </w:r>
            <w:r>
              <w:rPr>
                <w:rFonts w:ascii="仿宋" w:hAnsi="仿宋" w:eastAsia="仿宋" w:cs="仿宋"/>
                <w:color w:val="auto"/>
              </w:rPr>
              <w:t>承诺的优惠价收费，提供终身上门维修服务；</w:t>
            </w:r>
          </w:p>
          <w:p w14:paraId="019DEE19">
            <w:pPr>
              <w:pStyle w:val="42"/>
              <w:numPr>
                <w:ilvl w:val="0"/>
                <w:numId w:val="0"/>
              </w:numPr>
              <w:ind w:left="425" w:leftChars="0" w:hanging="425" w:firstLineChars="0"/>
              <w:jc w:val="both"/>
              <w:rPr>
                <w:rFonts w:hint="default" w:ascii="仿宋" w:hAnsi="仿宋" w:eastAsia="仿宋" w:cs="仿宋"/>
                <w:color w:val="auto"/>
              </w:rPr>
            </w:pPr>
            <w:r>
              <w:rPr>
                <w:rFonts w:hint="default" w:ascii="仿宋" w:hAnsi="仿宋" w:eastAsia="仿宋" w:cs="仿宋"/>
                <w:b/>
                <w:bCs/>
                <w:color w:val="auto"/>
                <w:lang w:val="en-US" w:eastAsia="zh-CN" w:bidi="ar-SA"/>
              </w:rPr>
              <w:t>5.</w:t>
            </w:r>
            <w:r>
              <w:rPr>
                <w:rFonts w:ascii="仿宋" w:hAnsi="仿宋" w:eastAsia="仿宋" w:cs="仿宋"/>
                <w:color w:val="auto"/>
              </w:rPr>
              <w:t>质保期内设备内置软件均免费升级，</w:t>
            </w:r>
            <w:r>
              <w:rPr>
                <w:rFonts w:ascii="仿宋" w:hAnsi="仿宋" w:eastAsia="仿宋" w:cs="仿宋"/>
                <w:color w:val="auto"/>
                <w:lang w:eastAsia="zh-CN"/>
              </w:rPr>
              <w:t>成交供应商</w:t>
            </w:r>
            <w:r>
              <w:rPr>
                <w:rFonts w:ascii="仿宋" w:hAnsi="仿宋" w:eastAsia="仿宋" w:cs="仿宋"/>
                <w:color w:val="auto"/>
              </w:rPr>
              <w:t>负责所有因系统质量问题而产生的费用。</w:t>
            </w:r>
          </w:p>
          <w:p w14:paraId="520E29F8">
            <w:pPr>
              <w:pStyle w:val="41"/>
              <w:numPr>
                <w:ilvl w:val="0"/>
                <w:numId w:val="0"/>
              </w:numPr>
              <w:ind w:left="425" w:leftChars="0" w:hanging="425" w:firstLineChars="0"/>
              <w:contextualSpacing/>
              <w:jc w:val="left"/>
              <w:rPr>
                <w:rFonts w:ascii="宋体" w:hAnsi="宋体" w:eastAsia="宋体" w:cs="宋体"/>
                <w:color w:val="auto"/>
                <w:sz w:val="24"/>
              </w:rPr>
            </w:pPr>
            <w:r>
              <w:rPr>
                <w:rFonts w:hint="default" w:ascii="宋体" w:hAnsi="宋体" w:eastAsia="宋体" w:cs="宋体"/>
                <w:b/>
                <w:bCs/>
                <w:color w:val="auto"/>
                <w:kern w:val="2"/>
                <w:sz w:val="24"/>
                <w:szCs w:val="24"/>
                <w:lang w:val="en-US" w:eastAsia="zh-CN" w:bidi="ar-SA"/>
              </w:rPr>
              <w:t>6.</w:t>
            </w:r>
            <w:r>
              <w:rPr>
                <w:rFonts w:hint="eastAsia" w:ascii="仿宋" w:hAnsi="仿宋" w:eastAsia="仿宋" w:cs="仿宋"/>
                <w:color w:val="auto"/>
                <w:sz w:val="20"/>
                <w:szCs w:val="20"/>
              </w:rPr>
              <w:t>必须提供售后服务方案承诺书，售后服务方案包括但不限于：（1）定期回访维护方案；（2）售后服务技术支持（包括售后服务机构、技术人员等）；（3）维修应急预案；（4）零配件储备供应；（5）保修期外维修方案；（6）技术培训等售后服务。</w:t>
            </w:r>
          </w:p>
        </w:tc>
      </w:tr>
      <w:bookmarkEnd w:id="0"/>
    </w:tbl>
    <w:p w14:paraId="4EC581B8"/>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52332">
    <w:pPr>
      <w:pStyle w:val="18"/>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DCF5BEC">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DCF5BEC">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8F2B8"/>
    <w:multiLevelType w:val="singleLevel"/>
    <w:tmpl w:val="9898F2B8"/>
    <w:lvl w:ilvl="0" w:tentative="0">
      <w:start w:val="1"/>
      <w:numFmt w:val="decimal"/>
      <w:lvlText w:val="%1."/>
      <w:lvlJc w:val="left"/>
      <w:pPr>
        <w:ind w:left="425" w:hanging="425"/>
      </w:pPr>
      <w:rPr>
        <w:rFonts w:hint="default"/>
      </w:rPr>
    </w:lvl>
  </w:abstractNum>
  <w:abstractNum w:abstractNumId="1">
    <w:nsid w:val="2E4C4A9A"/>
    <w:multiLevelType w:val="multilevel"/>
    <w:tmpl w:val="2E4C4A9A"/>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pStyle w:val="6"/>
      <w:suff w:val="nothing"/>
      <w:lvlText w:val=""/>
      <w:lvlJc w:val="left"/>
      <w:pPr>
        <w:tabs>
          <w:tab w:val="left" w:pos="0"/>
        </w:tabs>
        <w:ind w:left="0" w:firstLine="0"/>
      </w:pPr>
    </w:lvl>
    <w:lvl w:ilvl="5" w:tentative="0">
      <w:start w:val="1"/>
      <w:numFmt w:val="none"/>
      <w:pStyle w:val="7"/>
      <w:suff w:val="nothing"/>
      <w:lvlText w:val=""/>
      <w:lvlJc w:val="left"/>
      <w:pPr>
        <w:tabs>
          <w:tab w:val="left" w:pos="0"/>
        </w:tabs>
        <w:ind w:left="0" w:firstLine="0"/>
      </w:pPr>
    </w:lvl>
    <w:lvl w:ilvl="6" w:tentative="0">
      <w:start w:val="1"/>
      <w:numFmt w:val="none"/>
      <w:pStyle w:val="8"/>
      <w:suff w:val="nothing"/>
      <w:lvlText w:val=""/>
      <w:lvlJc w:val="left"/>
      <w:pPr>
        <w:tabs>
          <w:tab w:val="left" w:pos="0"/>
        </w:tabs>
        <w:ind w:left="0" w:firstLine="0"/>
      </w:pPr>
    </w:lvl>
    <w:lvl w:ilvl="7" w:tentative="0">
      <w:start w:val="1"/>
      <w:numFmt w:val="none"/>
      <w:pStyle w:val="9"/>
      <w:suff w:val="nothing"/>
      <w:lvlText w:val=""/>
      <w:lvlJc w:val="left"/>
      <w:pPr>
        <w:tabs>
          <w:tab w:val="left" w:pos="0"/>
        </w:tabs>
        <w:ind w:left="0" w:firstLine="0"/>
      </w:pPr>
    </w:lvl>
    <w:lvl w:ilvl="8" w:tentative="0">
      <w:start w:val="1"/>
      <w:numFmt w:val="none"/>
      <w:pStyle w:val="10"/>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8560DD"/>
    <w:rsid w:val="0030091A"/>
    <w:rsid w:val="008B2575"/>
    <w:rsid w:val="00DB32E3"/>
    <w:rsid w:val="0122477A"/>
    <w:rsid w:val="01642471"/>
    <w:rsid w:val="01895924"/>
    <w:rsid w:val="01901310"/>
    <w:rsid w:val="02935D81"/>
    <w:rsid w:val="04983E33"/>
    <w:rsid w:val="05E4328A"/>
    <w:rsid w:val="06A64813"/>
    <w:rsid w:val="06B06A0F"/>
    <w:rsid w:val="06C61DD8"/>
    <w:rsid w:val="07356D81"/>
    <w:rsid w:val="084E2544"/>
    <w:rsid w:val="08A27D3E"/>
    <w:rsid w:val="08CA027A"/>
    <w:rsid w:val="08E60174"/>
    <w:rsid w:val="099E7555"/>
    <w:rsid w:val="0AAB74A3"/>
    <w:rsid w:val="0B544018"/>
    <w:rsid w:val="0C497634"/>
    <w:rsid w:val="0C526E46"/>
    <w:rsid w:val="0CD932CC"/>
    <w:rsid w:val="0CFC3EA7"/>
    <w:rsid w:val="0D2F4AA3"/>
    <w:rsid w:val="0D8D4779"/>
    <w:rsid w:val="0E0E18EA"/>
    <w:rsid w:val="0ED778A8"/>
    <w:rsid w:val="0FB9496E"/>
    <w:rsid w:val="10042EA3"/>
    <w:rsid w:val="10727FC8"/>
    <w:rsid w:val="10772722"/>
    <w:rsid w:val="10BA5E5F"/>
    <w:rsid w:val="11C120F7"/>
    <w:rsid w:val="1257460D"/>
    <w:rsid w:val="1266351F"/>
    <w:rsid w:val="12D772CA"/>
    <w:rsid w:val="12FC2C80"/>
    <w:rsid w:val="14125CD7"/>
    <w:rsid w:val="145041F2"/>
    <w:rsid w:val="147B5520"/>
    <w:rsid w:val="14A517BF"/>
    <w:rsid w:val="154752AC"/>
    <w:rsid w:val="15AA2B03"/>
    <w:rsid w:val="15E63261"/>
    <w:rsid w:val="16F54EDB"/>
    <w:rsid w:val="174370C9"/>
    <w:rsid w:val="17D252BA"/>
    <w:rsid w:val="17F17BA2"/>
    <w:rsid w:val="185F6706"/>
    <w:rsid w:val="188E3A9B"/>
    <w:rsid w:val="18A223F2"/>
    <w:rsid w:val="18C86714"/>
    <w:rsid w:val="18CD4B53"/>
    <w:rsid w:val="18DE63DD"/>
    <w:rsid w:val="18FE30F6"/>
    <w:rsid w:val="19042933"/>
    <w:rsid w:val="193B2D26"/>
    <w:rsid w:val="19DD0836"/>
    <w:rsid w:val="19E8711D"/>
    <w:rsid w:val="1A614BC8"/>
    <w:rsid w:val="1A880F5D"/>
    <w:rsid w:val="1B44340C"/>
    <w:rsid w:val="1BB204B7"/>
    <w:rsid w:val="1BDC4741"/>
    <w:rsid w:val="1C1414EC"/>
    <w:rsid w:val="1C225F9F"/>
    <w:rsid w:val="1D181F30"/>
    <w:rsid w:val="1D3344B9"/>
    <w:rsid w:val="1E663172"/>
    <w:rsid w:val="1F0E2B86"/>
    <w:rsid w:val="1F3642C6"/>
    <w:rsid w:val="1F601FBE"/>
    <w:rsid w:val="206A183A"/>
    <w:rsid w:val="20720677"/>
    <w:rsid w:val="23622162"/>
    <w:rsid w:val="238245F2"/>
    <w:rsid w:val="23A45F21"/>
    <w:rsid w:val="24B03759"/>
    <w:rsid w:val="25BC70EA"/>
    <w:rsid w:val="25CA10DB"/>
    <w:rsid w:val="269E3F9C"/>
    <w:rsid w:val="26A81D32"/>
    <w:rsid w:val="26B3022A"/>
    <w:rsid w:val="26E74871"/>
    <w:rsid w:val="270C4509"/>
    <w:rsid w:val="27756A38"/>
    <w:rsid w:val="27B05B28"/>
    <w:rsid w:val="281D66F4"/>
    <w:rsid w:val="28611463"/>
    <w:rsid w:val="28914C16"/>
    <w:rsid w:val="2910443B"/>
    <w:rsid w:val="299023C6"/>
    <w:rsid w:val="29CE3CF8"/>
    <w:rsid w:val="2A526E4B"/>
    <w:rsid w:val="2B5621F6"/>
    <w:rsid w:val="2B696B30"/>
    <w:rsid w:val="2C267465"/>
    <w:rsid w:val="2D002460"/>
    <w:rsid w:val="2D393894"/>
    <w:rsid w:val="2D4927C2"/>
    <w:rsid w:val="2E5363CC"/>
    <w:rsid w:val="2E5D3029"/>
    <w:rsid w:val="2EC92CDF"/>
    <w:rsid w:val="2F9D0391"/>
    <w:rsid w:val="30624432"/>
    <w:rsid w:val="30FD598A"/>
    <w:rsid w:val="312F01A6"/>
    <w:rsid w:val="31AA6943"/>
    <w:rsid w:val="31E079BB"/>
    <w:rsid w:val="31F5271A"/>
    <w:rsid w:val="32034FD9"/>
    <w:rsid w:val="32056A2F"/>
    <w:rsid w:val="321253A2"/>
    <w:rsid w:val="324029C4"/>
    <w:rsid w:val="3255145A"/>
    <w:rsid w:val="325D7875"/>
    <w:rsid w:val="32B8068C"/>
    <w:rsid w:val="332532F7"/>
    <w:rsid w:val="33922D90"/>
    <w:rsid w:val="33A35879"/>
    <w:rsid w:val="34060359"/>
    <w:rsid w:val="34435D28"/>
    <w:rsid w:val="34763666"/>
    <w:rsid w:val="354F77D2"/>
    <w:rsid w:val="375955DE"/>
    <w:rsid w:val="38137AD8"/>
    <w:rsid w:val="39073866"/>
    <w:rsid w:val="39340367"/>
    <w:rsid w:val="39C04C69"/>
    <w:rsid w:val="39F7221A"/>
    <w:rsid w:val="3A282FB0"/>
    <w:rsid w:val="3A3E57B0"/>
    <w:rsid w:val="3A4F0BDB"/>
    <w:rsid w:val="3A5405D4"/>
    <w:rsid w:val="3AF9432F"/>
    <w:rsid w:val="3B543581"/>
    <w:rsid w:val="3B576B35"/>
    <w:rsid w:val="3BC64B80"/>
    <w:rsid w:val="3BDD58AD"/>
    <w:rsid w:val="3C17210D"/>
    <w:rsid w:val="3C327268"/>
    <w:rsid w:val="3C460C02"/>
    <w:rsid w:val="3E047890"/>
    <w:rsid w:val="3E864749"/>
    <w:rsid w:val="3EB7436F"/>
    <w:rsid w:val="3F685FD2"/>
    <w:rsid w:val="40005FC9"/>
    <w:rsid w:val="4000691C"/>
    <w:rsid w:val="40092EF8"/>
    <w:rsid w:val="40156C88"/>
    <w:rsid w:val="404550CF"/>
    <w:rsid w:val="405C5BEA"/>
    <w:rsid w:val="40AE755B"/>
    <w:rsid w:val="415A4DDA"/>
    <w:rsid w:val="415D5C35"/>
    <w:rsid w:val="423A3A2D"/>
    <w:rsid w:val="43035753"/>
    <w:rsid w:val="430C542B"/>
    <w:rsid w:val="43F00E3D"/>
    <w:rsid w:val="44D747CE"/>
    <w:rsid w:val="44F53A6B"/>
    <w:rsid w:val="4503393E"/>
    <w:rsid w:val="45083D9F"/>
    <w:rsid w:val="46166F98"/>
    <w:rsid w:val="46505A6B"/>
    <w:rsid w:val="469C3BBF"/>
    <w:rsid w:val="46A739FD"/>
    <w:rsid w:val="46EB5340"/>
    <w:rsid w:val="471D1659"/>
    <w:rsid w:val="474C6A6A"/>
    <w:rsid w:val="47A766FD"/>
    <w:rsid w:val="48205870"/>
    <w:rsid w:val="4882187E"/>
    <w:rsid w:val="48D4782C"/>
    <w:rsid w:val="49A63177"/>
    <w:rsid w:val="4A210D1B"/>
    <w:rsid w:val="4AA20AFD"/>
    <w:rsid w:val="4ABB78AB"/>
    <w:rsid w:val="4C5D3125"/>
    <w:rsid w:val="4C9B6E85"/>
    <w:rsid w:val="4CC02446"/>
    <w:rsid w:val="4CCC4F2F"/>
    <w:rsid w:val="4CE2515B"/>
    <w:rsid w:val="4D16789A"/>
    <w:rsid w:val="4D8A271A"/>
    <w:rsid w:val="4DFF437E"/>
    <w:rsid w:val="4E78161D"/>
    <w:rsid w:val="4EA2774B"/>
    <w:rsid w:val="4ECD77C8"/>
    <w:rsid w:val="4FAA79A4"/>
    <w:rsid w:val="4FED5402"/>
    <w:rsid w:val="50084D18"/>
    <w:rsid w:val="5032295C"/>
    <w:rsid w:val="50517375"/>
    <w:rsid w:val="506444A8"/>
    <w:rsid w:val="50A51E7D"/>
    <w:rsid w:val="50F0666F"/>
    <w:rsid w:val="51006C1D"/>
    <w:rsid w:val="51266EDF"/>
    <w:rsid w:val="51627BA7"/>
    <w:rsid w:val="51800044"/>
    <w:rsid w:val="51990283"/>
    <w:rsid w:val="53475632"/>
    <w:rsid w:val="53D654FE"/>
    <w:rsid w:val="53DC2107"/>
    <w:rsid w:val="53FA4D3E"/>
    <w:rsid w:val="558B1687"/>
    <w:rsid w:val="55F1274B"/>
    <w:rsid w:val="560A265D"/>
    <w:rsid w:val="5756053D"/>
    <w:rsid w:val="57777269"/>
    <w:rsid w:val="578B5227"/>
    <w:rsid w:val="57A51F6A"/>
    <w:rsid w:val="57B13673"/>
    <w:rsid w:val="585B5A56"/>
    <w:rsid w:val="59501B08"/>
    <w:rsid w:val="59A368EF"/>
    <w:rsid w:val="5A1F7CD2"/>
    <w:rsid w:val="5A7557DC"/>
    <w:rsid w:val="5A9000B3"/>
    <w:rsid w:val="5A913ADF"/>
    <w:rsid w:val="5ABA67C2"/>
    <w:rsid w:val="5AC5124E"/>
    <w:rsid w:val="5B2607D7"/>
    <w:rsid w:val="5BB04BC5"/>
    <w:rsid w:val="5BB53B97"/>
    <w:rsid w:val="5D8549BB"/>
    <w:rsid w:val="5D9739FA"/>
    <w:rsid w:val="5D9F23D4"/>
    <w:rsid w:val="5E771155"/>
    <w:rsid w:val="5E7C361A"/>
    <w:rsid w:val="5E8D2615"/>
    <w:rsid w:val="5FAA6618"/>
    <w:rsid w:val="5FC86CD6"/>
    <w:rsid w:val="5FDA4E80"/>
    <w:rsid w:val="600E24AE"/>
    <w:rsid w:val="60182901"/>
    <w:rsid w:val="60854409"/>
    <w:rsid w:val="609B3995"/>
    <w:rsid w:val="60B90E7D"/>
    <w:rsid w:val="614B7F89"/>
    <w:rsid w:val="61DF6FF8"/>
    <w:rsid w:val="62290EAB"/>
    <w:rsid w:val="627672C0"/>
    <w:rsid w:val="62B123F2"/>
    <w:rsid w:val="62B27782"/>
    <w:rsid w:val="62F4491D"/>
    <w:rsid w:val="63815B89"/>
    <w:rsid w:val="6396195F"/>
    <w:rsid w:val="64002BAD"/>
    <w:rsid w:val="651A62B7"/>
    <w:rsid w:val="65817FA6"/>
    <w:rsid w:val="658A49F1"/>
    <w:rsid w:val="65DD37E3"/>
    <w:rsid w:val="661A68E8"/>
    <w:rsid w:val="667B6071"/>
    <w:rsid w:val="67092226"/>
    <w:rsid w:val="67965E53"/>
    <w:rsid w:val="68D71481"/>
    <w:rsid w:val="68DF0229"/>
    <w:rsid w:val="69D201BA"/>
    <w:rsid w:val="6B2D064E"/>
    <w:rsid w:val="6B62607F"/>
    <w:rsid w:val="6BCF4328"/>
    <w:rsid w:val="6C381592"/>
    <w:rsid w:val="6CD56CA7"/>
    <w:rsid w:val="6D880B82"/>
    <w:rsid w:val="6DA9506F"/>
    <w:rsid w:val="6DB6013B"/>
    <w:rsid w:val="6E366146"/>
    <w:rsid w:val="6F460498"/>
    <w:rsid w:val="6F4A6F49"/>
    <w:rsid w:val="6F5C460C"/>
    <w:rsid w:val="70071703"/>
    <w:rsid w:val="70171875"/>
    <w:rsid w:val="709F4370"/>
    <w:rsid w:val="7127647D"/>
    <w:rsid w:val="714E2BAB"/>
    <w:rsid w:val="722A508C"/>
    <w:rsid w:val="728D286D"/>
    <w:rsid w:val="72944BF7"/>
    <w:rsid w:val="72EF3A9D"/>
    <w:rsid w:val="748560DD"/>
    <w:rsid w:val="74EB2F57"/>
    <w:rsid w:val="752E254E"/>
    <w:rsid w:val="753A65E0"/>
    <w:rsid w:val="75EE47DA"/>
    <w:rsid w:val="761D2CBF"/>
    <w:rsid w:val="763B4AE8"/>
    <w:rsid w:val="77925931"/>
    <w:rsid w:val="78B23F20"/>
    <w:rsid w:val="791F5DD1"/>
    <w:rsid w:val="797D25F3"/>
    <w:rsid w:val="7A1A1907"/>
    <w:rsid w:val="7A5D5752"/>
    <w:rsid w:val="7BBA2A07"/>
    <w:rsid w:val="7BDA54A6"/>
    <w:rsid w:val="7D2B742D"/>
    <w:rsid w:val="7DAC6B74"/>
    <w:rsid w:val="7E3C0DBE"/>
    <w:rsid w:val="7E8402B2"/>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0"/>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0"/>
    <w:autoRedefine/>
    <w:qFormat/>
    <w:uiPriority w:val="0"/>
    <w:pPr>
      <w:numPr>
        <w:ilvl w:val="0"/>
        <w:numId w:val="1"/>
      </w:numPr>
      <w:jc w:val="center"/>
      <w:outlineLvl w:val="0"/>
    </w:pPr>
    <w:rPr>
      <w:rFonts w:eastAsia="宋体" w:cstheme="minorBidi"/>
      <w:b/>
      <w:sz w:val="30"/>
    </w:rPr>
  </w:style>
  <w:style w:type="paragraph" w:styleId="3">
    <w:name w:val="heading 2"/>
    <w:basedOn w:val="1"/>
    <w:next w:val="1"/>
    <w:link w:val="27"/>
    <w:semiHidden/>
    <w:unhideWhenUsed/>
    <w:qFormat/>
    <w:uiPriority w:val="0"/>
    <w:pPr>
      <w:keepNext/>
      <w:keepLines/>
      <w:autoSpaceDE w:val="0"/>
      <w:autoSpaceDN w:val="0"/>
      <w:adjustRightInd w:val="0"/>
      <w:spacing w:before="120" w:line="360" w:lineRule="auto"/>
      <w:ind w:left="567" w:hanging="567"/>
      <w:jc w:val="left"/>
      <w:outlineLvl w:val="1"/>
    </w:pPr>
    <w:rPr>
      <w:rFonts w:ascii="宋体" w:hAnsi="宋体" w:eastAsia="宋体" w:cs="Times New Roman"/>
      <w:b/>
      <w:bCs/>
      <w:kern w:val="0"/>
      <w:szCs w:val="20"/>
    </w:rPr>
  </w:style>
  <w:style w:type="paragraph" w:styleId="4">
    <w:name w:val="heading 3"/>
    <w:basedOn w:val="3"/>
    <w:next w:val="1"/>
    <w:link w:val="29"/>
    <w:autoRedefine/>
    <w:semiHidden/>
    <w:unhideWhenUsed/>
    <w:qFormat/>
    <w:uiPriority w:val="0"/>
    <w:pPr>
      <w:keepNext/>
      <w:keepLines/>
      <w:autoSpaceDE w:val="0"/>
      <w:autoSpaceDN w:val="0"/>
      <w:adjustRightInd w:val="0"/>
      <w:spacing w:line="360" w:lineRule="auto"/>
      <w:ind w:left="0" w:firstLine="0"/>
      <w:jc w:val="left"/>
      <w:outlineLvl w:val="2"/>
    </w:pPr>
    <w:rPr>
      <w:rFonts w:ascii="宋体" w:hAnsi="宋体" w:eastAsia="宋体"/>
      <w:bCs w:val="0"/>
      <w:sz w:val="24"/>
      <w:szCs w:val="28"/>
    </w:rPr>
  </w:style>
  <w:style w:type="paragraph" w:styleId="5">
    <w:name w:val="heading 4"/>
    <w:basedOn w:val="1"/>
    <w:next w:val="1"/>
    <w:link w:val="28"/>
    <w:autoRedefine/>
    <w:semiHidden/>
    <w:unhideWhenUsed/>
    <w:qFormat/>
    <w:uiPriority w:val="0"/>
    <w:pPr>
      <w:keepNext/>
      <w:keepLines/>
      <w:spacing w:line="360" w:lineRule="auto"/>
      <w:outlineLvl w:val="3"/>
    </w:pPr>
    <w:rPr>
      <w:rFonts w:ascii="Cambria" w:hAnsi="Cambria" w:eastAsia="宋体"/>
      <w:b/>
      <w:bCs/>
      <w:sz w:val="24"/>
      <w:szCs w:val="28"/>
    </w:rPr>
  </w:style>
  <w:style w:type="paragraph" w:styleId="6">
    <w:name w:val="heading 5"/>
    <w:basedOn w:val="1"/>
    <w:next w:val="1"/>
    <w:link w:val="31"/>
    <w:semiHidden/>
    <w:unhideWhenUsed/>
    <w:qFormat/>
    <w:uiPriority w:val="0"/>
    <w:pPr>
      <w:keepNext/>
      <w:keepLines/>
      <w:pageBreakBefore/>
      <w:numPr>
        <w:ilvl w:val="4"/>
        <w:numId w:val="1"/>
      </w:numPr>
      <w:tabs>
        <w:tab w:val="left" w:pos="992"/>
      </w:tabs>
      <w:spacing w:before="100" w:after="100" w:line="360" w:lineRule="auto"/>
      <w:ind w:left="0" w:right="0" w:firstLine="0"/>
      <w:outlineLvl w:val="4"/>
    </w:pPr>
    <w:rPr>
      <w:rFonts w:ascii="Times New Roman" w:hAnsi="Times New Roman" w:eastAsia="宋体"/>
      <w:b/>
      <w:bCs/>
      <w:sz w:val="28"/>
      <w:szCs w:val="28"/>
    </w:rPr>
  </w:style>
  <w:style w:type="paragraph" w:styleId="7">
    <w:name w:val="heading 6"/>
    <w:basedOn w:val="1"/>
    <w:next w:val="1"/>
    <w:link w:val="33"/>
    <w:semiHidden/>
    <w:unhideWhenUsed/>
    <w:qFormat/>
    <w:uiPriority w:val="0"/>
    <w:pPr>
      <w:keepNext/>
      <w:keepLines/>
      <w:widowControl/>
      <w:numPr>
        <w:ilvl w:val="5"/>
        <w:numId w:val="1"/>
      </w:numPr>
      <w:tabs>
        <w:tab w:val="left" w:pos="1440"/>
      </w:tabs>
      <w:spacing w:before="100" w:after="100" w:line="360" w:lineRule="auto"/>
      <w:ind w:left="0" w:right="0" w:firstLine="0"/>
      <w:jc w:val="left"/>
      <w:outlineLvl w:val="5"/>
    </w:pPr>
    <w:rPr>
      <w:rFonts w:ascii="Arial" w:hAnsi="Arial" w:eastAsia="宋体" w:cs="Arial"/>
      <w:b/>
      <w:kern w:val="0"/>
      <w:szCs w:val="20"/>
    </w:rPr>
  </w:style>
  <w:style w:type="paragraph" w:styleId="8">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0" w:firstLine="0"/>
      <w:outlineLvl w:val="6"/>
    </w:pPr>
    <w:rPr>
      <w:rFonts w:ascii="Times New Roman" w:hAnsi="Times New Roman" w:eastAsia="宋体" w:cs="Times New Roman"/>
      <w:b/>
    </w:rPr>
  </w:style>
  <w:style w:type="paragraph" w:styleId="9">
    <w:name w:val="heading 8"/>
    <w:basedOn w:val="1"/>
    <w:next w:val="1"/>
    <w:autoRedefine/>
    <w:semiHidden/>
    <w:unhideWhenUsed/>
    <w:qFormat/>
    <w:uiPriority w:val="0"/>
    <w:pPr>
      <w:keepNext/>
      <w:keepLines/>
      <w:numPr>
        <w:ilvl w:val="7"/>
        <w:numId w:val="1"/>
      </w:numPr>
      <w:tabs>
        <w:tab w:val="left" w:pos="1418"/>
        <w:tab w:val="clear" w:pos="0"/>
      </w:tabs>
      <w:spacing w:before="240" w:beforeLines="0" w:beforeAutospacing="0" w:after="64" w:afterLines="0" w:afterAutospacing="0" w:line="317" w:lineRule="auto"/>
      <w:ind w:left="0" w:firstLine="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tabs>
        <w:tab w:val="left" w:pos="1559"/>
        <w:tab w:val="clear" w:pos="0"/>
      </w:tabs>
      <w:spacing w:before="240" w:beforeLines="0" w:beforeAutospacing="0" w:after="64" w:afterLines="0" w:afterAutospacing="0" w:line="317" w:lineRule="auto"/>
      <w:ind w:left="0" w:firstLine="0"/>
      <w:outlineLvl w:val="8"/>
    </w:pPr>
    <w:rPr>
      <w:rFonts w:ascii="Arial" w:hAnsi="Arial" w:eastAsia="黑体"/>
      <w:sz w:val="21"/>
    </w:rPr>
  </w:style>
  <w:style w:type="character" w:default="1" w:styleId="26">
    <w:name w:val="Default Paragraph Font"/>
    <w:unhideWhenUsed/>
    <w:qFormat/>
    <w:uiPriority w:val="1"/>
  </w:style>
  <w:style w:type="table" w:default="1" w:styleId="24">
    <w:name w:val="Normal Table"/>
    <w:semiHidden/>
    <w:qFormat/>
    <w:uiPriority w:val="0"/>
    <w:tblPr>
      <w:tblCellMar>
        <w:top w:w="0" w:type="dxa"/>
        <w:left w:w="108" w:type="dxa"/>
        <w:bottom w:w="0" w:type="dxa"/>
        <w:right w:w="108" w:type="dxa"/>
      </w:tblCellMar>
    </w:tblPr>
  </w:style>
  <w:style w:type="paragraph" w:styleId="11">
    <w:name w:val="table of authorities"/>
    <w:basedOn w:val="1"/>
    <w:next w:val="1"/>
    <w:qFormat/>
    <w:uiPriority w:val="0"/>
    <w:pPr>
      <w:ind w:left="420" w:leftChars="200"/>
    </w:pPr>
  </w:style>
  <w:style w:type="paragraph" w:styleId="12">
    <w:name w:val="Normal Indent"/>
    <w:basedOn w:val="1"/>
    <w:link w:val="32"/>
    <w:autoRedefine/>
    <w:qFormat/>
    <w:uiPriority w:val="0"/>
    <w:pPr>
      <w:autoSpaceDE w:val="0"/>
      <w:autoSpaceDN w:val="0"/>
      <w:adjustRightInd w:val="0"/>
      <w:spacing w:line="360" w:lineRule="auto"/>
      <w:ind w:firstLine="585"/>
    </w:pPr>
    <w:rPr>
      <w:rFonts w:ascii="楷体_GB2312" w:hAnsi="楷体_GB2312" w:eastAsia="宋体"/>
      <w:sz w:val="24"/>
      <w:szCs w:val="32"/>
    </w:rPr>
  </w:style>
  <w:style w:type="paragraph" w:styleId="13">
    <w:name w:val="Body Text"/>
    <w:basedOn w:val="1"/>
    <w:next w:val="1"/>
    <w:link w:val="38"/>
    <w:unhideWhenUsed/>
    <w:qFormat/>
    <w:uiPriority w:val="99"/>
    <w:pPr>
      <w:suppressAutoHyphens w:val="0"/>
      <w:adjustRightInd w:val="0"/>
      <w:spacing w:line="360" w:lineRule="auto"/>
      <w:ind w:firstLine="0" w:firstLineChars="0"/>
      <w:textAlignment w:val="baseline"/>
    </w:pPr>
    <w:rPr>
      <w:rFonts w:eastAsia="宋体" w:asciiTheme="minorAscii" w:hAnsiTheme="minorAscii"/>
      <w:szCs w:val="20"/>
    </w:rPr>
  </w:style>
  <w:style w:type="paragraph" w:styleId="14">
    <w:name w:val="Body Text Indent"/>
    <w:basedOn w:val="1"/>
    <w:qFormat/>
    <w:uiPriority w:val="0"/>
    <w:pPr>
      <w:spacing w:after="120" w:afterLines="0" w:afterAutospacing="0"/>
      <w:ind w:left="420" w:leftChars="200"/>
    </w:pPr>
  </w:style>
  <w:style w:type="paragraph" w:styleId="15">
    <w:name w:val="Block Text"/>
    <w:basedOn w:val="1"/>
    <w:qFormat/>
    <w:uiPriority w:val="0"/>
    <w:pPr>
      <w:spacing w:after="120" w:afterLines="0" w:afterAutospacing="0"/>
      <w:ind w:left="1440" w:leftChars="700" w:rightChars="700"/>
    </w:pPr>
  </w:style>
  <w:style w:type="paragraph" w:styleId="16">
    <w:name w:val="Plain Text"/>
    <w:basedOn w:val="1"/>
    <w:link w:val="39"/>
    <w:qFormat/>
    <w:uiPriority w:val="0"/>
    <w:pPr>
      <w:spacing w:line="360" w:lineRule="auto"/>
      <w:ind w:firstLine="0" w:firstLineChars="0"/>
    </w:pPr>
    <w:rPr>
      <w:rFonts w:ascii="宋体" w:hAnsi="宋体" w:eastAsia="宋体" w:cs="宋体"/>
      <w:b/>
      <w:bCs/>
      <w:sz w:val="24"/>
      <w:highlight w:val="none"/>
    </w:rPr>
  </w:style>
  <w:style w:type="paragraph" w:styleId="17">
    <w:name w:val="Body Text Indent 2"/>
    <w:basedOn w:val="1"/>
    <w:qFormat/>
    <w:uiPriority w:val="0"/>
    <w:pPr>
      <w:ind w:firstLine="480" w:firstLineChars="200"/>
    </w:pPr>
    <w:rPr>
      <w:rFonts w:ascii="仿宋_GB2312" w:hAnsi="仿宋_GB2312" w:eastAsia="宋体"/>
    </w:rPr>
  </w:style>
  <w:style w:type="paragraph" w:styleId="18">
    <w:name w:val="footer"/>
    <w:basedOn w:val="1"/>
    <w:link w:val="34"/>
    <w:qFormat/>
    <w:uiPriority w:val="0"/>
    <w:pPr>
      <w:tabs>
        <w:tab w:val="center" w:pos="4153"/>
        <w:tab w:val="right" w:pos="8306"/>
      </w:tabs>
      <w:snapToGrid w:val="0"/>
      <w:jc w:val="left"/>
    </w:pPr>
    <w:rPr>
      <w:rFonts w:eastAsia="宋体"/>
      <w:sz w:val="24"/>
      <w:szCs w:val="18"/>
    </w:rPr>
  </w:style>
  <w:style w:type="paragraph" w:styleId="1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Normal (Web)"/>
    <w:basedOn w:val="1"/>
    <w:qFormat/>
    <w:uiPriority w:val="0"/>
    <w:pPr>
      <w:widowControl/>
      <w:spacing w:beforeLines="0" w:beforeAutospacing="0" w:afterLines="0" w:afterAutospacing="0"/>
      <w:jc w:val="left"/>
    </w:pPr>
    <w:rPr>
      <w:rFonts w:ascii="宋体" w:hAnsi="宋体" w:eastAsia="宋体" w:cs="宋体"/>
      <w:color w:val="000000"/>
      <w:kern w:val="0"/>
      <w:szCs w:val="24"/>
    </w:rPr>
  </w:style>
  <w:style w:type="paragraph" w:styleId="21">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22">
    <w:name w:val="Body Text First Indent"/>
    <w:basedOn w:val="13"/>
    <w:next w:val="1"/>
    <w:link w:val="36"/>
    <w:autoRedefine/>
    <w:qFormat/>
    <w:uiPriority w:val="0"/>
    <w:pPr>
      <w:tabs>
        <w:tab w:val="left" w:pos="567"/>
      </w:tabs>
      <w:spacing w:after="0"/>
      <w:ind w:firstLine="0" w:firstLineChars="0"/>
      <w:jc w:val="left"/>
    </w:pPr>
    <w:rPr>
      <w:rFonts w:ascii="宋体" w:hAnsi="宋体" w:eastAsia="宋体" w:cs="宋体"/>
      <w:color w:val="000000" w:themeColor="text1"/>
      <w:kern w:val="0"/>
      <w:szCs w:val="32"/>
      <w14:shadow w14:blurRad="38100" w14:dist="19050" w14:dir="2700000" w14:sx="100000" w14:sy="100000" w14:kx="0" w14:ky="0" w14:algn="tl">
        <w14:schemeClr w14:val="dk1">
          <w14:alpha w14:val="60000"/>
        </w14:schemeClr>
      </w14:shadow>
      <w14:textFill>
        <w14:solidFill>
          <w14:schemeClr w14:val="tx1"/>
        </w14:solidFill>
      </w14:textFill>
    </w:rPr>
  </w:style>
  <w:style w:type="paragraph" w:styleId="23">
    <w:name w:val="Body Text First Indent 2"/>
    <w:basedOn w:val="14"/>
    <w:qFormat/>
    <w:uiPriority w:val="0"/>
    <w:pPr>
      <w:spacing w:line="360" w:lineRule="auto"/>
      <w:ind w:left="0" w:leftChars="0" w:firstLine="0" w:firstLineChars="0"/>
    </w:pPr>
    <w:rPr>
      <w:rFonts w:ascii="Times New Roman" w:hAnsi="Times New Roman" w:eastAsia="宋体"/>
      <w:sz w:val="24"/>
      <w:szCs w:val="20"/>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7">
    <w:name w:val="标题 2 Char"/>
    <w:basedOn w:val="26"/>
    <w:link w:val="3"/>
    <w:autoRedefine/>
    <w:qFormat/>
    <w:uiPriority w:val="0"/>
    <w:rPr>
      <w:rFonts w:ascii="宋体" w:hAnsi="宋体" w:eastAsia="宋体" w:cs="Times New Roman"/>
      <w:b/>
      <w:bCs/>
      <w:kern w:val="0"/>
      <w:sz w:val="24"/>
      <w:szCs w:val="20"/>
    </w:rPr>
  </w:style>
  <w:style w:type="character" w:customStyle="1" w:styleId="28">
    <w:name w:val="标题 4 Char1"/>
    <w:link w:val="5"/>
    <w:qFormat/>
    <w:uiPriority w:val="0"/>
    <w:rPr>
      <w:rFonts w:ascii="Cambria" w:hAnsi="Cambria" w:eastAsia="宋体" w:cs="Arial"/>
      <w:b/>
      <w:kern w:val="2"/>
      <w:sz w:val="24"/>
    </w:rPr>
  </w:style>
  <w:style w:type="character" w:customStyle="1" w:styleId="29">
    <w:name w:val="标题 3 Char"/>
    <w:link w:val="4"/>
    <w:qFormat/>
    <w:uiPriority w:val="0"/>
    <w:rPr>
      <w:rFonts w:ascii="宋体" w:hAnsi="宋体" w:eastAsia="宋体"/>
      <w:b/>
      <w:bCs/>
      <w:sz w:val="24"/>
      <w:szCs w:val="28"/>
    </w:rPr>
  </w:style>
  <w:style w:type="character" w:customStyle="1" w:styleId="30">
    <w:name w:val="标题 1 Char"/>
    <w:basedOn w:val="26"/>
    <w:link w:val="2"/>
    <w:autoRedefine/>
    <w:qFormat/>
    <w:uiPriority w:val="0"/>
    <w:rPr>
      <w:rFonts w:ascii="宋体" w:hAnsi="宋体" w:eastAsia="宋体" w:cstheme="minorBidi"/>
      <w:b/>
      <w:color w:val="000000" w:themeColor="text1"/>
      <w:sz w:val="30"/>
      <w:szCs w:val="40"/>
      <w14:textFill>
        <w14:solidFill>
          <w14:schemeClr w14:val="tx1"/>
        </w14:solidFill>
      </w14:textFill>
    </w:rPr>
  </w:style>
  <w:style w:type="character" w:customStyle="1" w:styleId="31">
    <w:name w:val="标题 5 Char"/>
    <w:basedOn w:val="26"/>
    <w:link w:val="6"/>
    <w:qFormat/>
    <w:uiPriority w:val="9"/>
    <w:rPr>
      <w:rFonts w:ascii="Times New Roman" w:hAnsi="Times New Roman" w:eastAsia="宋体" w:cs="Tahoma"/>
      <w:b/>
      <w:sz w:val="24"/>
      <w:szCs w:val="22"/>
    </w:rPr>
  </w:style>
  <w:style w:type="character" w:customStyle="1" w:styleId="32">
    <w:name w:val="正文缩进 Char"/>
    <w:link w:val="12"/>
    <w:qFormat/>
    <w:uiPriority w:val="0"/>
    <w:rPr>
      <w:rFonts w:ascii="楷体_GB2312" w:hAnsi="楷体_GB2312" w:eastAsia="宋体"/>
      <w:sz w:val="24"/>
    </w:rPr>
  </w:style>
  <w:style w:type="character" w:customStyle="1" w:styleId="33">
    <w:name w:val="标题 6 Char"/>
    <w:link w:val="7"/>
    <w:autoRedefine/>
    <w:qFormat/>
    <w:uiPriority w:val="0"/>
    <w:rPr>
      <w:rFonts w:ascii="Arial" w:hAnsi="Arial" w:eastAsia="宋体" w:cs="Arial"/>
      <w:b/>
      <w:color w:val="000000"/>
      <w:kern w:val="0"/>
      <w:sz w:val="24"/>
      <w:szCs w:val="24"/>
      <w:lang w:val="zh-CN" w:eastAsia="zh-CN" w:bidi="ar-SA"/>
    </w:rPr>
  </w:style>
  <w:style w:type="character" w:customStyle="1" w:styleId="34">
    <w:name w:val="页脚 Char"/>
    <w:basedOn w:val="26"/>
    <w:link w:val="18"/>
    <w:semiHidden/>
    <w:qFormat/>
    <w:uiPriority w:val="99"/>
    <w:rPr>
      <w:rFonts w:eastAsia="宋体"/>
      <w:sz w:val="24"/>
      <w:szCs w:val="18"/>
    </w:rPr>
  </w:style>
  <w:style w:type="character" w:customStyle="1" w:styleId="35">
    <w:name w:val="正文文本 Char"/>
    <w:basedOn w:val="26"/>
    <w:link w:val="13"/>
    <w:qFormat/>
    <w:uiPriority w:val="0"/>
    <w:rPr>
      <w:rFonts w:ascii="宋体" w:hAnsi="宋体" w:eastAsia="宋体" w:cs="Times New Roman"/>
      <w:sz w:val="24"/>
      <w:szCs w:val="24"/>
    </w:rPr>
  </w:style>
  <w:style w:type="character" w:customStyle="1" w:styleId="36">
    <w:name w:val="正文首行缩进 字符"/>
    <w:basedOn w:val="37"/>
    <w:link w:val="22"/>
    <w:qFormat/>
    <w:uiPriority w:val="0"/>
    <w:rPr>
      <w:rFonts w:ascii="宋体" w:hAnsi="宋体" w:eastAsia="宋体" w:cs="宋体"/>
      <w:color w:val="000000" w:themeColor="text1"/>
      <w:kern w:val="0"/>
      <w:sz w:val="24"/>
      <w:szCs w:val="32"/>
      <w14:shadow w14:blurRad="38100" w14:dist="19050" w14:dir="2700000" w14:sx="100000" w14:sy="100000" w14:kx="0" w14:ky="0" w14:algn="tl">
        <w14:schemeClr w14:val="dk1">
          <w14:alpha w14:val="60000"/>
        </w14:schemeClr>
      </w14:shadow>
      <w14:textFill>
        <w14:solidFill>
          <w14:schemeClr w14:val="tx1"/>
        </w14:solidFill>
      </w14:textFill>
    </w:rPr>
  </w:style>
  <w:style w:type="character" w:customStyle="1" w:styleId="37">
    <w:name w:val="正文文本 字符"/>
    <w:basedOn w:val="26"/>
    <w:link w:val="13"/>
    <w:semiHidden/>
    <w:qFormat/>
    <w:uiPriority w:val="99"/>
    <w:rPr>
      <w:rFonts w:ascii="宋体" w:hAnsi="宋体" w:eastAsia="宋体" w:cs="宋体"/>
      <w:sz w:val="24"/>
      <w:szCs w:val="24"/>
    </w:rPr>
  </w:style>
  <w:style w:type="character" w:customStyle="1" w:styleId="38">
    <w:name w:val="正文文本 字符1"/>
    <w:basedOn w:val="26"/>
    <w:link w:val="13"/>
    <w:semiHidden/>
    <w:qFormat/>
    <w:uiPriority w:val="99"/>
    <w:rPr>
      <w:rFonts w:ascii="宋体" w:hAnsi="宋体" w:eastAsia="宋体" w:cstheme="minorBidi"/>
      <w:sz w:val="24"/>
      <w:szCs w:val="24"/>
    </w:rPr>
  </w:style>
  <w:style w:type="character" w:customStyle="1" w:styleId="39">
    <w:name w:val="纯文本 Char"/>
    <w:link w:val="16"/>
    <w:qFormat/>
    <w:uiPriority w:val="0"/>
    <w:rPr>
      <w:rFonts w:ascii="宋体" w:hAnsi="宋体" w:eastAsia="宋体" w:cs="宋体"/>
      <w:b/>
      <w:bCs/>
      <w:kern w:val="2"/>
      <w:sz w:val="24"/>
      <w:szCs w:val="24"/>
      <w:highlight w:val="none"/>
      <w:lang w:val="en-US" w:eastAsia="zh-CN" w:bidi="ar-SA"/>
    </w:rPr>
  </w:style>
  <w:style w:type="character" w:customStyle="1" w:styleId="40">
    <w:name w:val="NormalCharacter"/>
    <w:link w:val="1"/>
    <w:semiHidden/>
    <w:qFormat/>
    <w:uiPriority w:val="0"/>
    <w:rPr>
      <w:rFonts w:ascii="Times New Roman" w:hAnsi="Times New Roman" w:eastAsia="宋体" w:cs="Times New Roman"/>
      <w:kern w:val="2"/>
      <w:sz w:val="24"/>
      <w:szCs w:val="24"/>
      <w:lang w:val="en-US" w:eastAsia="zh-CN" w:bidi="ar-SA"/>
    </w:rPr>
  </w:style>
  <w:style w:type="paragraph" w:customStyle="1" w:styleId="41">
    <w:name w:val="列出段落1"/>
    <w:basedOn w:val="1"/>
    <w:qFormat/>
    <w:uiPriority w:val="34"/>
    <w:pPr>
      <w:ind w:firstLine="420" w:firstLineChars="200"/>
    </w:pPr>
  </w:style>
  <w:style w:type="paragraph" w:customStyle="1" w:styleId="42">
    <w:name w:val="null3"/>
    <w:hidden/>
    <w:qFormat/>
    <w:uiPriority w:val="0"/>
    <w:rPr>
      <w:rFonts w:hint="eastAsia"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2025-07-15T09:51:00Z</dcterms:created>
  <dc:creator>中经招标</dc:creator>
  <cp:lastModifiedBy>中经招标</cp:lastModifiedBy>
  <dcterms:modified xsi:type="dcterms:W3CDTF">2025-07-15T09:52:28Z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CD41B6A74CBC4484B459731968611630_11</vt:lpwstr>
  </property>
  <property fmtid="{D5CDD505-2E9C-101B-9397-08002B2CF9AE}" pid="4" name="KSOTemplateDocerSaveRecord">
    <vt:lpwstr>eyJoZGlkIjoiOWJlNDY3NTNiN2U3N2MxMDhiMGU5MzkyYmQzNThmMzYifQ==</vt:lpwstr>
  </property>
</Properties>
</file>