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1C947">
      <w:pPr>
        <w:pStyle w:val="19"/>
        <w:ind w:right="-313" w:rightChars="-149" w:firstLine="3570" w:firstLineChars="1700"/>
        <w:jc w:val="right"/>
        <w:rPr>
          <w:rFonts w:ascii="楷体" w:hAnsi="楷体" w:eastAsia="楷体" w:cs="楷体"/>
          <w:b/>
          <w:bCs/>
          <w:color w:val="000000" w:themeColor="text1"/>
          <w:sz w:val="36"/>
          <w:szCs w:val="36"/>
          <w14:textFill>
            <w14:solidFill>
              <w14:schemeClr w14:val="tx1"/>
            </w14:solidFill>
          </w14:textFill>
        </w:rPr>
      </w:pPr>
      <w:r>
        <w:rPr>
          <w:rFonts w:ascii="黑体" w:hAnsi="黑体" w:eastAsia="黑体" w:cs="黑体"/>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-1154430</wp:posOffset>
            </wp:positionH>
            <wp:positionV relativeFrom="paragraph">
              <wp:posOffset>-374015</wp:posOffset>
            </wp:positionV>
            <wp:extent cx="7522845" cy="10618470"/>
            <wp:effectExtent l="0" t="0" r="1905" b="0"/>
            <wp:wrapNone/>
            <wp:docPr id="511321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21348"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522907" cy="10618470"/>
                    </a:xfrm>
                    <a:prstGeom prst="rect">
                      <a:avLst/>
                    </a:prstGeom>
                    <a:noFill/>
                    <a:ln>
                      <a:noFill/>
                    </a:ln>
                  </pic:spPr>
                </pic:pic>
              </a:graphicData>
            </a:graphic>
          </wp:anchor>
        </w:drawing>
      </w:r>
      <w:r>
        <w:rPr>
          <w:rFonts w:hint="eastAsia" w:ascii="黑体" w:hAnsi="黑体" w:eastAsia="黑体" w:cs="黑体"/>
          <w:b/>
          <w:color w:val="000000" w:themeColor="text1"/>
          <w:sz w:val="40"/>
          <w:szCs w:val="40"/>
          <w:bdr w:val="single" w:color="auto" w:sz="4" w:space="0"/>
          <w:shd w:val="pct10" w:color="auto" w:fill="FFFFFF"/>
          <w14:textFill>
            <w14:solidFill>
              <w14:schemeClr w14:val="tx1"/>
            </w14:solidFill>
          </w14:textFill>
        </w:rPr>
        <w:t>政府采购</w:t>
      </w:r>
    </w:p>
    <w:p w14:paraId="0DF87B64">
      <w:pPr>
        <w:jc w:val="center"/>
        <w:rPr>
          <w:rFonts w:hint="eastAsia" w:ascii="黑体" w:hAnsi="黑体" w:eastAsia="黑体" w:cs="黑体"/>
          <w:b/>
          <w:bCs/>
          <w:color w:val="000000" w:themeColor="text1"/>
          <w:sz w:val="48"/>
          <w:szCs w:val="48"/>
          <w:lang w:val="en-US" w:eastAsia="zh-CN"/>
          <w14:textFill>
            <w14:solidFill>
              <w14:schemeClr w14:val="tx1"/>
            </w14:solidFill>
          </w14:textFill>
        </w:rPr>
      </w:pPr>
      <w:r>
        <w:rPr>
          <w:rFonts w:hint="eastAsia" w:ascii="黑体" w:hAnsi="黑体" w:eastAsia="黑体" w:cs="黑体"/>
          <w:b/>
          <w:bCs/>
          <w:color w:val="000000" w:themeColor="text1"/>
          <w:sz w:val="48"/>
          <w:szCs w:val="48"/>
          <w:lang w:val="en-US" w:eastAsia="zh-CN"/>
          <w14:textFill>
            <w14:solidFill>
              <w14:schemeClr w14:val="tx1"/>
            </w14:solidFill>
          </w14:textFill>
        </w:rPr>
        <w:t>南郑区学校蔬菜、辅料等食材配送服务</w:t>
      </w:r>
    </w:p>
    <w:p w14:paraId="0B06703A">
      <w:pPr>
        <w:jc w:val="center"/>
        <w:rPr>
          <w:rFonts w:hint="eastAsia" w:ascii="黑体" w:hAnsi="黑体" w:eastAsia="黑体" w:cs="黑体"/>
          <w:b/>
          <w:bCs/>
          <w:color w:val="000000" w:themeColor="text1"/>
          <w:sz w:val="48"/>
          <w:szCs w:val="48"/>
          <w:lang w:val="en-US" w:eastAsia="zh-CN"/>
          <w14:textFill>
            <w14:solidFill>
              <w14:schemeClr w14:val="tx1"/>
            </w14:solidFill>
          </w14:textFill>
        </w:rPr>
      </w:pPr>
      <w:r>
        <w:rPr>
          <w:rFonts w:hint="eastAsia" w:ascii="黑体" w:hAnsi="黑体" w:eastAsia="黑体" w:cs="黑体"/>
          <w:b/>
          <w:bCs/>
          <w:color w:val="000000" w:themeColor="text1"/>
          <w:sz w:val="48"/>
          <w:szCs w:val="48"/>
          <w:lang w:val="en-US" w:eastAsia="zh-CN"/>
          <w14:textFill>
            <w14:solidFill>
              <w14:schemeClr w14:val="tx1"/>
            </w14:solidFill>
          </w14:textFill>
        </w:rPr>
        <w:t>采购项目（三次）</w:t>
      </w:r>
    </w:p>
    <w:p w14:paraId="45C41E0C">
      <w:pPr>
        <w:jc w:val="center"/>
        <w:rPr>
          <w:rFonts w:hint="eastAsia" w:ascii="黑体" w:hAnsi="黑体" w:eastAsia="黑体" w:cs="黑体"/>
          <w:b/>
          <w:bCs/>
          <w:color w:val="000000" w:themeColor="text1"/>
          <w:sz w:val="48"/>
          <w:szCs w:val="48"/>
          <w:lang w:val="en-US" w:eastAsia="zh-CN"/>
          <w14:textFill>
            <w14:solidFill>
              <w14:schemeClr w14:val="tx1"/>
            </w14:solidFill>
          </w14:textFill>
        </w:rPr>
      </w:pPr>
      <w:r>
        <w:rPr>
          <w:rFonts w:hint="eastAsia" w:ascii="黑体" w:hAnsi="黑体" w:eastAsia="黑体" w:cs="黑体"/>
          <w:b/>
          <w:bCs/>
          <w:color w:val="000000" w:themeColor="text1"/>
          <w:sz w:val="48"/>
          <w:szCs w:val="48"/>
          <w:lang w:val="en-US" w:eastAsia="zh-CN"/>
          <w14:textFill>
            <w14:solidFill>
              <w14:schemeClr w14:val="tx1"/>
            </w14:solidFill>
          </w14:textFill>
        </w:rPr>
        <w:t>合同包1</w:t>
      </w:r>
    </w:p>
    <w:p w14:paraId="5926C14F">
      <w:pPr>
        <w:pStyle w:val="19"/>
        <w:rPr>
          <w:rFonts w:hint="eastAsia" w:ascii="黑体" w:hAnsi="黑体" w:eastAsia="黑体" w:cs="黑体"/>
          <w:color w:val="000000" w:themeColor="text1"/>
          <w:sz w:val="22"/>
          <w:szCs w:val="21"/>
          <w14:textFill>
            <w14:solidFill>
              <w14:schemeClr w14:val="tx1"/>
            </w14:solidFill>
          </w14:textFill>
        </w:rPr>
      </w:pPr>
    </w:p>
    <w:p w14:paraId="35DDF870">
      <w:pPr>
        <w:pStyle w:val="19"/>
        <w:rPr>
          <w:rFonts w:hint="eastAsia" w:ascii="黑体" w:hAnsi="黑体" w:eastAsia="黑体" w:cs="黑体"/>
          <w:color w:val="000000" w:themeColor="text1"/>
          <w:sz w:val="22"/>
          <w:szCs w:val="21"/>
          <w14:textFill>
            <w14:solidFill>
              <w14:schemeClr w14:val="tx1"/>
            </w14:solidFill>
          </w14:textFill>
        </w:rPr>
      </w:pPr>
    </w:p>
    <w:p w14:paraId="03117D1D">
      <w:pPr>
        <w:pStyle w:val="19"/>
        <w:jc w:val="both"/>
        <w:rPr>
          <w:rFonts w:hint="eastAsia" w:ascii="黑体" w:hAnsi="黑体" w:eastAsia="黑体" w:cs="黑体"/>
          <w:color w:val="000000" w:themeColor="text1"/>
          <w:sz w:val="22"/>
          <w:szCs w:val="21"/>
          <w14:textFill>
            <w14:solidFill>
              <w14:schemeClr w14:val="tx1"/>
            </w14:solidFill>
          </w14:textFill>
        </w:rPr>
      </w:pPr>
    </w:p>
    <w:p w14:paraId="75AE38D7">
      <w:pPr>
        <w:pStyle w:val="19"/>
        <w:rPr>
          <w:rFonts w:hint="eastAsia" w:ascii="黑体" w:hAnsi="黑体" w:eastAsia="黑体" w:cs="黑体"/>
          <w:color w:val="000000" w:themeColor="text1"/>
          <w:sz w:val="22"/>
          <w:szCs w:val="21"/>
          <w14:textFill>
            <w14:solidFill>
              <w14:schemeClr w14:val="tx1"/>
            </w14:solidFill>
          </w14:textFill>
        </w:rPr>
      </w:pPr>
    </w:p>
    <w:p w14:paraId="4D33DD8E">
      <w:pPr>
        <w:ind w:firstLine="3132" w:firstLineChars="600"/>
        <w:jc w:val="both"/>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招标文件</w:t>
      </w:r>
    </w:p>
    <w:p w14:paraId="19F743CB">
      <w:pPr>
        <w:jc w:val="center"/>
        <w:rPr>
          <w:rFonts w:hint="eastAsia" w:ascii="黑体" w:hAnsi="黑体" w:eastAsia="黑体" w:cs="黑体"/>
          <w:b/>
          <w:bCs/>
          <w:color w:val="000000" w:themeColor="text1"/>
          <w:sz w:val="24"/>
          <w:szCs w:val="24"/>
          <w14:textFill>
            <w14:solidFill>
              <w14:schemeClr w14:val="tx1"/>
            </w14:solidFill>
          </w14:textFill>
        </w:rPr>
      </w:pPr>
    </w:p>
    <w:p w14:paraId="78DC79A9">
      <w:pPr>
        <w:pStyle w:val="19"/>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drawing>
          <wp:inline distT="0" distB="0" distL="0" distR="0">
            <wp:extent cx="1560830" cy="1446530"/>
            <wp:effectExtent l="0" t="0" r="1270" b="1270"/>
            <wp:docPr id="1" name="图片 10" descr="b86a286d4814efb58eaea584a9cc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86a286d4814efb58eaea584a9ccf5d"/>
                    <pic:cNvPicPr>
                      <a:picLocks noChangeAspect="1" noChangeArrowheads="1"/>
                    </pic:cNvPicPr>
                  </pic:nvPicPr>
                  <pic:blipFill>
                    <a:blip r:embed="rId9"/>
                    <a:srcRect/>
                    <a:stretch>
                      <a:fillRect/>
                    </a:stretch>
                  </pic:blipFill>
                  <pic:spPr>
                    <a:xfrm>
                      <a:off x="0" y="0"/>
                      <a:ext cx="1560830" cy="1446530"/>
                    </a:xfrm>
                    <a:prstGeom prst="rect">
                      <a:avLst/>
                    </a:prstGeom>
                    <a:noFill/>
                    <a:ln w="9525">
                      <a:noFill/>
                      <a:miter lim="800000"/>
                      <a:headEnd/>
                      <a:tailEnd/>
                    </a:ln>
                  </pic:spPr>
                </pic:pic>
              </a:graphicData>
            </a:graphic>
          </wp:inline>
        </w:drawing>
      </w:r>
    </w:p>
    <w:p w14:paraId="1E854202">
      <w:pPr>
        <w:rPr>
          <w:rFonts w:hint="eastAsia" w:ascii="黑体" w:hAnsi="黑体" w:eastAsia="黑体" w:cs="黑体"/>
          <w:color w:val="000000" w:themeColor="text1"/>
          <w14:textFill>
            <w14:solidFill>
              <w14:schemeClr w14:val="tx1"/>
            </w14:solidFill>
          </w14:textFill>
        </w:rPr>
      </w:pPr>
    </w:p>
    <w:p w14:paraId="5AA53EDD">
      <w:pPr>
        <w:pStyle w:val="57"/>
        <w:rPr>
          <w:rFonts w:hint="eastAsia" w:ascii="黑体" w:hAnsi="黑体" w:eastAsia="黑体" w:cs="黑体"/>
          <w:color w:val="000000" w:themeColor="text1"/>
          <w14:textFill>
            <w14:solidFill>
              <w14:schemeClr w14:val="tx1"/>
            </w14:solidFill>
          </w14:textFill>
        </w:rPr>
      </w:pPr>
    </w:p>
    <w:p w14:paraId="727F9A8B">
      <w:pPr>
        <w:spacing w:line="720" w:lineRule="auto"/>
        <w:ind w:right="105" w:firstLine="803" w:firstLineChars="200"/>
        <w:rPr>
          <w:rFonts w:hint="eastAsia" w:ascii="黑体" w:hAnsi="黑体" w:eastAsia="黑体" w:cs="黑体"/>
          <w:b/>
          <w:color w:val="000000" w:themeColor="text1"/>
          <w:sz w:val="40"/>
          <w:szCs w:val="44"/>
          <w14:textFill>
            <w14:solidFill>
              <w14:schemeClr w14:val="tx1"/>
            </w14:solidFill>
          </w14:textFill>
        </w:rPr>
      </w:pPr>
    </w:p>
    <w:p w14:paraId="28028647">
      <w:pPr>
        <w:spacing w:line="720" w:lineRule="auto"/>
        <w:ind w:right="105" w:firstLine="803" w:firstLineChars="200"/>
        <w:rPr>
          <w:rFonts w:hint="eastAsia" w:ascii="黑体" w:hAnsi="黑体" w:eastAsia="黑体" w:cs="黑体"/>
          <w:b/>
          <w:color w:val="000000" w:themeColor="text1"/>
          <w:sz w:val="40"/>
          <w:szCs w:val="44"/>
          <w:lang w:eastAsia="zh-CN"/>
          <w14:textFill>
            <w14:solidFill>
              <w14:schemeClr w14:val="tx1"/>
            </w14:solidFill>
          </w14:textFill>
        </w:rPr>
      </w:pPr>
      <w:r>
        <w:rPr>
          <w:rFonts w:hint="eastAsia" w:ascii="黑体" w:hAnsi="黑体" w:eastAsia="黑体" w:cs="黑体"/>
          <w:b/>
          <w:color w:val="000000" w:themeColor="text1"/>
          <w:sz w:val="40"/>
          <w:szCs w:val="44"/>
          <w14:textFill>
            <w14:solidFill>
              <w14:schemeClr w14:val="tx1"/>
            </w14:solidFill>
          </w14:textFill>
        </w:rPr>
        <w:t>项目编号：</w:t>
      </w:r>
      <w:r>
        <w:rPr>
          <w:rFonts w:hint="eastAsia" w:ascii="黑体" w:hAnsi="黑体" w:eastAsia="黑体" w:cs="黑体"/>
          <w:b/>
          <w:color w:val="000000" w:themeColor="text1"/>
          <w:sz w:val="40"/>
          <w:szCs w:val="44"/>
          <w:lang w:eastAsia="zh-CN"/>
          <w14:textFill>
            <w14:solidFill>
              <w14:schemeClr w14:val="tx1"/>
            </w14:solidFill>
          </w14:textFill>
        </w:rPr>
        <w:t>TZZB-HZ-2025078C-3</w:t>
      </w:r>
    </w:p>
    <w:p w14:paraId="74940884">
      <w:pPr>
        <w:pStyle w:val="178"/>
        <w:widowControl/>
        <w:spacing w:before="0"/>
        <w:ind w:firstLine="803" w:firstLineChars="200"/>
        <w:rPr>
          <w:rFonts w:hint="eastAsia" w:ascii="黑体" w:hAnsi="黑体" w:eastAsia="黑体" w:cs="黑体"/>
          <w:color w:val="000000" w:themeColor="text1"/>
          <w:kern w:val="2"/>
          <w:sz w:val="40"/>
          <w:szCs w:val="44"/>
          <w:lang w:eastAsia="zh-CN"/>
          <w14:textFill>
            <w14:solidFill>
              <w14:schemeClr w14:val="tx1"/>
            </w14:solidFill>
          </w14:textFill>
        </w:rPr>
      </w:pPr>
      <w:r>
        <w:rPr>
          <w:rFonts w:hint="eastAsia" w:ascii="黑体" w:hAnsi="黑体" w:eastAsia="黑体" w:cs="黑体"/>
          <w:color w:val="000000" w:themeColor="text1"/>
          <w:kern w:val="2"/>
          <w:sz w:val="40"/>
          <w:szCs w:val="44"/>
          <w14:textFill>
            <w14:solidFill>
              <w14:schemeClr w14:val="tx1"/>
            </w14:solidFill>
          </w14:textFill>
        </w:rPr>
        <w:t>采购人：</w:t>
      </w:r>
      <w:r>
        <w:rPr>
          <w:rFonts w:hint="eastAsia" w:ascii="黑体" w:hAnsi="黑体" w:eastAsia="黑体" w:cs="黑体"/>
          <w:color w:val="000000" w:themeColor="text1"/>
          <w:kern w:val="2"/>
          <w:sz w:val="40"/>
          <w:szCs w:val="44"/>
          <w:lang w:eastAsia="zh-CN"/>
          <w14:textFill>
            <w14:solidFill>
              <w14:schemeClr w14:val="tx1"/>
            </w14:solidFill>
          </w14:textFill>
        </w:rPr>
        <w:t>汉中市南郑区教育体育局</w:t>
      </w:r>
    </w:p>
    <w:p w14:paraId="513DE918">
      <w:pPr>
        <w:spacing w:line="720" w:lineRule="auto"/>
        <w:ind w:right="105" w:firstLine="803" w:firstLineChars="200"/>
        <w:rPr>
          <w:rFonts w:hint="eastAsia" w:ascii="黑体" w:hAnsi="黑体" w:eastAsia="黑体" w:cs="黑体"/>
          <w:b/>
          <w:color w:val="000000" w:themeColor="text1"/>
          <w:sz w:val="40"/>
          <w:szCs w:val="44"/>
          <w14:textFill>
            <w14:solidFill>
              <w14:schemeClr w14:val="tx1"/>
            </w14:solidFill>
          </w14:textFill>
        </w:rPr>
      </w:pPr>
      <w:r>
        <w:rPr>
          <w:rFonts w:hint="eastAsia" w:ascii="黑体" w:hAnsi="黑体" w:eastAsia="黑体" w:cs="黑体"/>
          <w:b/>
          <w:color w:val="000000" w:themeColor="text1"/>
          <w:sz w:val="40"/>
          <w:szCs w:val="44"/>
          <w14:textFill>
            <w14:solidFill>
              <w14:schemeClr w14:val="tx1"/>
            </w14:solidFill>
          </w14:textFill>
        </w:rPr>
        <w:t>采购代理机构：同正项目管理有限公司</w:t>
      </w:r>
    </w:p>
    <w:p w14:paraId="2DBAADBD">
      <w:pPr>
        <w:spacing w:line="720" w:lineRule="auto"/>
        <w:ind w:right="105"/>
        <w:rPr>
          <w:rFonts w:hint="eastAsia" w:ascii="黑体" w:hAnsi="黑体" w:eastAsia="黑体" w:cs="黑体"/>
          <w:bCs/>
          <w:color w:val="000000" w:themeColor="text1"/>
          <w:sz w:val="44"/>
          <w:szCs w:val="48"/>
          <w14:textFill>
            <w14:solidFill>
              <w14:schemeClr w14:val="tx1"/>
            </w14:solidFill>
          </w14:textFill>
        </w:rPr>
      </w:pPr>
      <w:r>
        <w:rPr>
          <w:rFonts w:hint="eastAsia" w:ascii="黑体" w:hAnsi="黑体" w:eastAsia="黑体" w:cs="黑体"/>
          <w:b/>
          <w:color w:val="000000" w:themeColor="text1"/>
          <w:sz w:val="40"/>
          <w:szCs w:val="44"/>
          <w14:textFill>
            <w14:solidFill>
              <w14:schemeClr w14:val="tx1"/>
            </w14:solidFill>
          </w14:textFill>
        </w:rPr>
        <w:t xml:space="preserve">              二〇二</w:t>
      </w:r>
      <w:r>
        <w:rPr>
          <w:rFonts w:hint="eastAsia" w:ascii="黑体" w:hAnsi="黑体" w:eastAsia="黑体" w:cs="黑体"/>
          <w:b/>
          <w:color w:val="000000" w:themeColor="text1"/>
          <w:sz w:val="40"/>
          <w:szCs w:val="44"/>
          <w:lang w:val="en-US" w:eastAsia="zh-CN"/>
          <w14:textFill>
            <w14:solidFill>
              <w14:schemeClr w14:val="tx1"/>
            </w14:solidFill>
          </w14:textFill>
        </w:rPr>
        <w:t>五</w:t>
      </w:r>
      <w:r>
        <w:rPr>
          <w:rFonts w:hint="eastAsia" w:ascii="黑体" w:hAnsi="黑体" w:eastAsia="黑体" w:cs="黑体"/>
          <w:b/>
          <w:color w:val="000000" w:themeColor="text1"/>
          <w:sz w:val="40"/>
          <w:szCs w:val="44"/>
          <w14:textFill>
            <w14:solidFill>
              <w14:schemeClr w14:val="tx1"/>
            </w14:solidFill>
          </w14:textFill>
        </w:rPr>
        <w:t>年</w:t>
      </w:r>
      <w:r>
        <w:rPr>
          <w:rFonts w:hint="eastAsia" w:ascii="黑体" w:hAnsi="黑体" w:eastAsia="黑体" w:cs="黑体"/>
          <w:b/>
          <w:color w:val="000000" w:themeColor="text1"/>
          <w:sz w:val="40"/>
          <w:szCs w:val="44"/>
          <w:lang w:val="en-US" w:eastAsia="zh-CN"/>
          <w14:textFill>
            <w14:solidFill>
              <w14:schemeClr w14:val="tx1"/>
            </w14:solidFill>
          </w14:textFill>
        </w:rPr>
        <w:t>六</w:t>
      </w:r>
      <w:r>
        <w:rPr>
          <w:rFonts w:hint="eastAsia" w:ascii="黑体" w:hAnsi="黑体" w:eastAsia="黑体" w:cs="黑体"/>
          <w:b/>
          <w:color w:val="000000" w:themeColor="text1"/>
          <w:sz w:val="40"/>
          <w:szCs w:val="44"/>
          <w14:textFill>
            <w14:solidFill>
              <w14:schemeClr w14:val="tx1"/>
            </w14:solidFill>
          </w14:textFill>
        </w:rPr>
        <w:t>月</w:t>
      </w:r>
    </w:p>
    <w:p w14:paraId="1E0F70BA">
      <w:pPr>
        <w:spacing w:line="720" w:lineRule="auto"/>
        <w:jc w:val="left"/>
        <w:rPr>
          <w:rFonts w:hint="eastAsia" w:ascii="黑体" w:hAnsi="黑体" w:eastAsia="黑体" w:cs="黑体"/>
          <w:b/>
          <w:bCs/>
          <w:color w:val="000000" w:themeColor="text1"/>
          <w:sz w:val="56"/>
          <w:szCs w:val="56"/>
          <w14:textFill>
            <w14:solidFill>
              <w14:schemeClr w14:val="tx1"/>
            </w14:solidFill>
          </w14:textFill>
        </w:rPr>
        <w:sectPr>
          <w:headerReference r:id="rId3" w:type="default"/>
          <w:footerReference r:id="rId4" w:type="default"/>
          <w:pgSz w:w="11906" w:h="16838"/>
          <w:pgMar w:top="1440" w:right="1486" w:bottom="1440" w:left="1800" w:header="720" w:footer="720" w:gutter="0"/>
          <w:pgNumType w:start="1"/>
          <w:cols w:space="720" w:num="1"/>
          <w:docGrid w:type="lines" w:linePitch="312" w:charSpace="0"/>
        </w:sectPr>
      </w:pPr>
    </w:p>
    <w:p w14:paraId="67AFA9D0">
      <w:pPr>
        <w:jc w:val="center"/>
        <w:rPr>
          <w:rFonts w:ascii="楷体" w:hAnsi="楷体" w:eastAsia="楷体" w:cs="楷体"/>
          <w:b/>
          <w:bCs/>
          <w:color w:val="000000" w:themeColor="text1"/>
          <w:sz w:val="40"/>
          <w:szCs w:val="36"/>
          <w14:textFill>
            <w14:solidFill>
              <w14:schemeClr w14:val="tx1"/>
            </w14:solidFill>
          </w14:textFill>
        </w:rPr>
      </w:pPr>
      <w:bookmarkStart w:id="0" w:name="_Toc175973395"/>
    </w:p>
    <w:p w14:paraId="4A747E81">
      <w:pPr>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目     录</w:t>
      </w:r>
    </w:p>
    <w:p w14:paraId="129D2DB9">
      <w:pPr>
        <w:pStyle w:val="73"/>
        <w:tabs>
          <w:tab w:val="right" w:leader="dot" w:pos="8310"/>
        </w:tabs>
        <w:spacing w:line="360" w:lineRule="auto"/>
        <w:rPr>
          <w:rFonts w:ascii="仿宋" w:hAnsi="仿宋" w:eastAsia="仿宋" w:cs="仿宋"/>
          <w:b/>
          <w:bCs/>
          <w:color w:val="000000" w:themeColor="text1"/>
          <w:kern w:val="2"/>
          <w:sz w:val="40"/>
          <w:szCs w:val="36"/>
          <w14:textFill>
            <w14:solidFill>
              <w14:schemeClr w14:val="tx1"/>
            </w14:solidFill>
          </w14:textFill>
        </w:rPr>
      </w:pPr>
    </w:p>
    <w:p w14:paraId="015D5EA3">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招标公告</w:t>
      </w:r>
    </w:p>
    <w:p w14:paraId="7D3AD3A5">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投标人须知</w:t>
      </w:r>
    </w:p>
    <w:p w14:paraId="05B3C0E2">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评标办法</w:t>
      </w:r>
    </w:p>
    <w:p w14:paraId="66C27ECA">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采购内容及具体要求</w:t>
      </w:r>
    </w:p>
    <w:p w14:paraId="1457FFF7">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拟签订的合同文本</w:t>
      </w:r>
    </w:p>
    <w:p w14:paraId="395F39DF">
      <w:pPr>
        <w:pStyle w:val="73"/>
        <w:tabs>
          <w:tab w:val="right" w:leader="dot" w:pos="8310"/>
        </w:tabs>
        <w:snapToGrid w:val="0"/>
        <w:spacing w:line="480" w:lineRule="auto"/>
        <w:ind w:firstLine="643"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第六章    投标文件格式及构成</w:t>
      </w:r>
      <w:r>
        <w:rPr>
          <w:rFonts w:hint="eastAsia" w:ascii="仿宋" w:hAnsi="仿宋" w:eastAsia="仿宋" w:cs="仿宋"/>
          <w:b/>
          <w:bCs/>
          <w:color w:val="000000" w:themeColor="text1"/>
          <w:sz w:val="56"/>
          <w:szCs w:val="52"/>
          <w14:textFill>
            <w14:solidFill>
              <w14:schemeClr w14:val="tx1"/>
            </w14:solidFill>
          </w14:textFill>
        </w:rPr>
        <w:fldChar w:fldCharType="begin"/>
      </w:r>
      <w:r>
        <w:rPr>
          <w:rFonts w:hint="eastAsia" w:ascii="仿宋" w:hAnsi="仿宋" w:eastAsia="仿宋" w:cs="仿宋"/>
          <w:b/>
          <w:bCs/>
          <w:color w:val="000000" w:themeColor="text1"/>
          <w:sz w:val="56"/>
          <w:szCs w:val="52"/>
          <w14:textFill>
            <w14:solidFill>
              <w14:schemeClr w14:val="tx1"/>
            </w14:solidFill>
          </w14:textFill>
        </w:rPr>
        <w:instrText xml:space="preserve">TOC \o "1-1" \h \u </w:instrText>
      </w:r>
      <w:r>
        <w:rPr>
          <w:rFonts w:hint="eastAsia" w:ascii="仿宋" w:hAnsi="仿宋" w:eastAsia="仿宋" w:cs="仿宋"/>
          <w:b/>
          <w:bCs/>
          <w:color w:val="000000" w:themeColor="text1"/>
          <w:sz w:val="56"/>
          <w:szCs w:val="52"/>
          <w14:textFill>
            <w14:solidFill>
              <w14:schemeClr w14:val="tx1"/>
            </w14:solidFill>
          </w14:textFill>
        </w:rPr>
        <w:fldChar w:fldCharType="separate"/>
      </w:r>
    </w:p>
    <w:p w14:paraId="054B3234">
      <w:pPr>
        <w:pStyle w:val="73"/>
        <w:tabs>
          <w:tab w:val="right" w:leader="dot" w:pos="8310"/>
        </w:tabs>
        <w:snapToGrid w:val="0"/>
        <w:spacing w:line="480" w:lineRule="auto"/>
        <w:rPr>
          <w:rFonts w:ascii="仿宋" w:hAnsi="仿宋" w:eastAsia="仿宋" w:cs="仿宋"/>
          <w:color w:val="000000" w:themeColor="text1"/>
          <w:sz w:val="21"/>
          <w:szCs w:val="21"/>
          <w14:textFill>
            <w14:solidFill>
              <w14:schemeClr w14:val="tx1"/>
            </w14:solidFill>
          </w14:textFill>
        </w:rPr>
      </w:pPr>
    </w:p>
    <w:p w14:paraId="378E2238">
      <w:pPr>
        <w:pStyle w:val="73"/>
        <w:tabs>
          <w:tab w:val="right" w:leader="dot" w:pos="8310"/>
        </w:tabs>
        <w:snapToGrid w:val="0"/>
        <w:spacing w:line="480" w:lineRule="auto"/>
        <w:rPr>
          <w:rFonts w:ascii="仿宋" w:hAnsi="仿宋" w:eastAsia="仿宋" w:cs="仿宋"/>
          <w:color w:val="000000" w:themeColor="text1"/>
          <w:sz w:val="21"/>
          <w:szCs w:val="21"/>
          <w14:textFill>
            <w14:solidFill>
              <w14:schemeClr w14:val="tx1"/>
            </w14:solidFill>
          </w14:textFill>
        </w:rPr>
      </w:pPr>
    </w:p>
    <w:p w14:paraId="1731E6D5">
      <w:pPr>
        <w:pStyle w:val="73"/>
        <w:tabs>
          <w:tab w:val="right" w:leader="dot" w:pos="8310"/>
        </w:tabs>
        <w:snapToGrid w:val="0"/>
        <w:spacing w:line="480" w:lineRule="auto"/>
        <w:rPr>
          <w:rFonts w:ascii="仿宋" w:hAnsi="仿宋" w:eastAsia="仿宋" w:cs="仿宋"/>
          <w:color w:val="000000" w:themeColor="text1"/>
          <w:sz w:val="21"/>
          <w:szCs w:val="21"/>
          <w14:textFill>
            <w14:solidFill>
              <w14:schemeClr w14:val="tx1"/>
            </w14:solidFill>
          </w14:textFill>
        </w:rPr>
      </w:pPr>
    </w:p>
    <w:p w14:paraId="579546B9">
      <w:pPr>
        <w:snapToGrid w:val="0"/>
        <w:spacing w:line="480" w:lineRule="auto"/>
        <w:rPr>
          <w:rFonts w:ascii="楷体" w:hAnsi="楷体" w:eastAsia="楷体" w:cs="楷体"/>
          <w:b/>
          <w:bCs/>
          <w:color w:val="000000" w:themeColor="text1"/>
          <w:sz w:val="52"/>
          <w:szCs w:val="48"/>
          <w14:textFill>
            <w14:solidFill>
              <w14:schemeClr w14:val="tx1"/>
            </w14:solidFill>
          </w14:textFill>
        </w:rPr>
      </w:pPr>
      <w:r>
        <w:rPr>
          <w:rFonts w:hint="eastAsia" w:ascii="仿宋" w:hAnsi="仿宋" w:eastAsia="仿宋" w:cs="仿宋"/>
          <w:bCs/>
          <w:color w:val="000000" w:themeColor="text1"/>
          <w:sz w:val="22"/>
          <w:szCs w:val="52"/>
          <w14:textFill>
            <w14:solidFill>
              <w14:schemeClr w14:val="tx1"/>
            </w14:solidFill>
          </w14:textFill>
        </w:rPr>
        <w:fldChar w:fldCharType="end"/>
      </w:r>
    </w:p>
    <w:p w14:paraId="3D8259F0">
      <w:pPr>
        <w:spacing w:line="480" w:lineRule="auto"/>
        <w:rPr>
          <w:rFonts w:ascii="楷体" w:hAnsi="楷体" w:eastAsia="楷体" w:cs="楷体"/>
          <w:color w:val="000000" w:themeColor="text1"/>
          <w14:textFill>
            <w14:solidFill>
              <w14:schemeClr w14:val="tx1"/>
            </w14:solidFill>
          </w14:textFill>
        </w:rPr>
      </w:pPr>
    </w:p>
    <w:p w14:paraId="6BDB27CA">
      <w:pPr>
        <w:pStyle w:val="56"/>
        <w:rPr>
          <w:rFonts w:ascii="楷体" w:hAnsi="楷体" w:eastAsia="楷体" w:cs="楷体"/>
          <w:color w:val="000000" w:themeColor="text1"/>
          <w14:textFill>
            <w14:solidFill>
              <w14:schemeClr w14:val="tx1"/>
            </w14:solidFill>
          </w14:textFill>
        </w:rPr>
      </w:pPr>
    </w:p>
    <w:p w14:paraId="0667A44E">
      <w:pPr>
        <w:pStyle w:val="56"/>
        <w:rPr>
          <w:rFonts w:ascii="楷体" w:hAnsi="楷体" w:eastAsia="楷体" w:cs="楷体"/>
          <w:color w:val="000000" w:themeColor="text1"/>
          <w14:textFill>
            <w14:solidFill>
              <w14:schemeClr w14:val="tx1"/>
            </w14:solidFill>
          </w14:textFill>
        </w:rPr>
      </w:pPr>
    </w:p>
    <w:p w14:paraId="17A7730D">
      <w:pPr>
        <w:pStyle w:val="56"/>
        <w:rPr>
          <w:rFonts w:ascii="楷体" w:hAnsi="楷体" w:eastAsia="楷体" w:cs="楷体"/>
          <w:color w:val="000000" w:themeColor="text1"/>
          <w14:textFill>
            <w14:solidFill>
              <w14:schemeClr w14:val="tx1"/>
            </w14:solidFill>
          </w14:textFill>
        </w:rPr>
      </w:pPr>
    </w:p>
    <w:p w14:paraId="5EB92FED">
      <w:pPr>
        <w:pStyle w:val="56"/>
        <w:rPr>
          <w:rFonts w:ascii="楷体" w:hAnsi="楷体" w:eastAsia="楷体" w:cs="楷体"/>
          <w:color w:val="000000" w:themeColor="text1"/>
          <w14:textFill>
            <w14:solidFill>
              <w14:schemeClr w14:val="tx1"/>
            </w14:solidFill>
          </w14:textFill>
        </w:rPr>
      </w:pPr>
    </w:p>
    <w:p w14:paraId="329BE449">
      <w:pPr>
        <w:pStyle w:val="56"/>
        <w:rPr>
          <w:rFonts w:ascii="楷体" w:hAnsi="楷体" w:eastAsia="楷体" w:cs="楷体"/>
          <w:color w:val="000000" w:themeColor="text1"/>
          <w14:textFill>
            <w14:solidFill>
              <w14:schemeClr w14:val="tx1"/>
            </w14:solidFill>
          </w14:textFill>
        </w:rPr>
      </w:pPr>
    </w:p>
    <w:p w14:paraId="2443D89F">
      <w:pPr>
        <w:pStyle w:val="56"/>
        <w:rPr>
          <w:rFonts w:ascii="楷体" w:hAnsi="楷体" w:eastAsia="楷体" w:cs="楷体"/>
          <w:color w:val="000000" w:themeColor="text1"/>
          <w14:textFill>
            <w14:solidFill>
              <w14:schemeClr w14:val="tx1"/>
            </w14:solidFill>
          </w14:textFill>
        </w:rPr>
      </w:pPr>
    </w:p>
    <w:p w14:paraId="0648C893">
      <w:pPr>
        <w:pStyle w:val="57"/>
        <w:rPr>
          <w:rFonts w:ascii="楷体" w:hAnsi="楷体" w:eastAsia="楷体" w:cs="楷体"/>
          <w:color w:val="000000" w:themeColor="text1"/>
          <w14:textFill>
            <w14:solidFill>
              <w14:schemeClr w14:val="tx1"/>
            </w14:solidFill>
          </w14:textFill>
        </w:rPr>
      </w:pPr>
    </w:p>
    <w:p w14:paraId="4CD8A96C">
      <w:pPr>
        <w:rPr>
          <w:rFonts w:ascii="楷体" w:hAnsi="楷体" w:eastAsia="楷体" w:cs="楷体"/>
          <w:color w:val="000000" w:themeColor="text1"/>
          <w14:textFill>
            <w14:solidFill>
              <w14:schemeClr w14:val="tx1"/>
            </w14:solidFill>
          </w14:textFill>
        </w:rPr>
      </w:pPr>
      <w:bookmarkStart w:id="1" w:name="_Toc30925"/>
      <w:bookmarkStart w:id="2" w:name="_Toc531189833"/>
      <w:bookmarkStart w:id="3" w:name="_Toc27661"/>
      <w:bookmarkStart w:id="4" w:name="_Toc2153_WPSOffice_Level1"/>
      <w:bookmarkStart w:id="5" w:name="_Toc9573"/>
      <w:bookmarkStart w:id="6" w:name="_Toc16585"/>
      <w:bookmarkStart w:id="7" w:name="_Toc13452"/>
      <w:bookmarkStart w:id="8" w:name="_Toc27110"/>
      <w:bookmarkStart w:id="9" w:name="_Toc13604"/>
      <w:bookmarkStart w:id="10" w:name="_Toc15714"/>
      <w:bookmarkStart w:id="11" w:name="_Toc16422"/>
      <w:bookmarkStart w:id="12" w:name="_Toc26281"/>
      <w:bookmarkStart w:id="13" w:name="_Toc5491"/>
      <w:bookmarkStart w:id="14" w:name="_Toc22701"/>
      <w:bookmarkStart w:id="15" w:name="_Toc22132_WPSOffice_Level1"/>
      <w:bookmarkStart w:id="16" w:name="_Toc16757"/>
      <w:bookmarkStart w:id="17" w:name="_Toc3934_WPSOffice_Level1"/>
    </w:p>
    <w:p w14:paraId="71F110C9">
      <w:pPr>
        <w:pStyle w:val="2"/>
        <w:spacing w:line="360" w:lineRule="auto"/>
        <w:ind w:firstLine="2891" w:firstLineChars="8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Cs w:val="36"/>
          <w14:textFill>
            <w14:solidFill>
              <w14:schemeClr w14:val="tx1"/>
            </w14:solidFill>
          </w14:textFill>
        </w:rPr>
        <w:t>第一章</w:t>
      </w:r>
      <w:bookmarkEnd w:id="0"/>
      <w:r>
        <w:rPr>
          <w:rFonts w:hint="eastAsia" w:ascii="黑体" w:hAnsi="黑体" w:eastAsia="黑体" w:cs="黑体"/>
          <w:color w:val="000000" w:themeColor="text1"/>
          <w:szCs w:val="36"/>
          <w14:textFill>
            <w14:solidFill>
              <w14:schemeClr w14:val="tx1"/>
            </w14:solidFill>
          </w14:textFill>
        </w:rPr>
        <w:t xml:space="preserve">  招标公告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A2171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40" w:afterAutospacing="0" w:line="360" w:lineRule="auto"/>
        <w:ind w:left="0" w:right="0" w:firstLine="0"/>
        <w:textAlignment w:val="baseline"/>
        <w:rPr>
          <w:rFonts w:hint="eastAsia" w:ascii="仿宋" w:hAnsi="仿宋" w:eastAsia="仿宋" w:cs="仿宋"/>
          <w:b/>
          <w:bCs/>
          <w:i w:val="0"/>
          <w:iCs w:val="0"/>
          <w:caps w:val="0"/>
          <w:color w:val="333333"/>
          <w:spacing w:val="0"/>
          <w:sz w:val="21"/>
          <w:szCs w:val="21"/>
        </w:rPr>
      </w:pPr>
      <w:bookmarkStart w:id="18" w:name="_Toc9804_WPSOffice_Level1"/>
      <w:bookmarkStart w:id="19" w:name="_Toc2094"/>
      <w:bookmarkStart w:id="20" w:name="_Toc347817552"/>
      <w:bookmarkStart w:id="21" w:name="_Toc4952"/>
      <w:bookmarkStart w:id="22" w:name="_Toc7478"/>
      <w:bookmarkStart w:id="23" w:name="_Toc21535"/>
      <w:bookmarkStart w:id="24" w:name="_Toc31804"/>
      <w:bookmarkStart w:id="25" w:name="_Toc531189834"/>
      <w:bookmarkStart w:id="26" w:name="_Toc21028"/>
      <w:bookmarkStart w:id="27" w:name="_Toc29730"/>
      <w:bookmarkStart w:id="28" w:name="_Toc8088_WPSOffice_Level1"/>
      <w:bookmarkStart w:id="29" w:name="_Toc19596"/>
      <w:bookmarkStart w:id="30" w:name="_Toc31326"/>
      <w:bookmarkStart w:id="31" w:name="_Toc175973396"/>
      <w:bookmarkStart w:id="32" w:name="_Toc30242"/>
      <w:bookmarkStart w:id="33" w:name="_Toc17777"/>
      <w:bookmarkStart w:id="34" w:name="_Toc28736_WPSOffice_Level1"/>
      <w:bookmarkStart w:id="35" w:name="_Toc25920"/>
      <w:bookmarkStart w:id="36" w:name="_Toc12255"/>
      <w:r>
        <w:rPr>
          <w:rFonts w:hint="eastAsia" w:ascii="仿宋" w:hAnsi="仿宋" w:eastAsia="仿宋" w:cs="仿宋"/>
          <w:b/>
          <w:bCs/>
          <w:i w:val="0"/>
          <w:iCs w:val="0"/>
          <w:caps w:val="0"/>
          <w:color w:val="000000" w:themeColor="text1"/>
          <w:spacing w:val="0"/>
          <w:sz w:val="21"/>
          <w:szCs w:val="21"/>
          <w:shd w:val="clear" w:fill="FFFFFF"/>
          <w:vertAlign w:val="baseline"/>
          <w14:textFill>
            <w14:solidFill>
              <w14:schemeClr w14:val="tx1"/>
            </w14:solidFill>
          </w14:textFill>
        </w:rPr>
        <w:t>南郑区学校蔬菜、辅料等食材配送服务采购项目(三次</w:t>
      </w:r>
      <w:r>
        <w:rPr>
          <w:rFonts w:hint="eastAsia" w:ascii="仿宋" w:hAnsi="仿宋" w:eastAsia="仿宋" w:cs="仿宋"/>
          <w:b/>
          <w:bCs/>
          <w:i w:val="0"/>
          <w:iCs w:val="0"/>
          <w:caps w:val="0"/>
          <w:color w:val="333333"/>
          <w:spacing w:val="0"/>
          <w:sz w:val="21"/>
          <w:szCs w:val="21"/>
          <w:shd w:val="clear" w:fill="FFFFFF"/>
          <w:vertAlign w:val="baseline"/>
        </w:rPr>
        <w:t>)招标公告</w:t>
      </w:r>
    </w:p>
    <w:p w14:paraId="61DE74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362"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项目概况</w:t>
      </w:r>
    </w:p>
    <w:p w14:paraId="78822E5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362"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南郑区学校蔬菜、辅料等食材配送服务采购项目(三次)招标项目的潜在投标人应在汉中市汉台区西一环路蓝天御苑小区商铺二层门面房南侧获取招标文件，并于 2025年07月15日 09时00分 （北京时间）前递交投标文件。</w:t>
      </w:r>
    </w:p>
    <w:p w14:paraId="0BEAFE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一、项目基本情况</w:t>
      </w:r>
    </w:p>
    <w:p w14:paraId="4A75FE8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项目编号：TZZB-HZ-2025078C-3</w:t>
      </w:r>
    </w:p>
    <w:p w14:paraId="6EB8224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项目名称：南郑区学校蔬菜、辅料等食材配送服务采购项目(三次)</w:t>
      </w:r>
    </w:p>
    <w:p w14:paraId="7477154F">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采购方式：公开招标</w:t>
      </w:r>
    </w:p>
    <w:p w14:paraId="118835B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预算金额：654,800.00元</w:t>
      </w:r>
    </w:p>
    <w:p w14:paraId="20A97710">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采购需求：</w:t>
      </w:r>
    </w:p>
    <w:p w14:paraId="6116332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合同包1(蔬菜、辅料等食材配送):</w:t>
      </w:r>
    </w:p>
    <w:p w14:paraId="3FE8243C">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合同包预算金额：262,400.00元</w:t>
      </w:r>
    </w:p>
    <w:p w14:paraId="69A7858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合同包最高限价：262,400.00元</w:t>
      </w:r>
    </w:p>
    <w:tbl>
      <w:tblPr>
        <w:tblStyle w:val="41"/>
        <w:tblW w:w="11001" w:type="dxa"/>
        <w:tblInd w:w="-1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9"/>
        <w:gridCol w:w="1483"/>
        <w:gridCol w:w="2950"/>
        <w:gridCol w:w="1515"/>
        <w:gridCol w:w="1440"/>
        <w:gridCol w:w="1242"/>
        <w:gridCol w:w="1242"/>
      </w:tblGrid>
      <w:tr w14:paraId="7525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blHeader/>
        </w:trPr>
        <w:tc>
          <w:tcPr>
            <w:tcW w:w="112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82C20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品目号</w:t>
            </w:r>
          </w:p>
        </w:tc>
        <w:tc>
          <w:tcPr>
            <w:tcW w:w="14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AC42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品目名称</w:t>
            </w:r>
          </w:p>
        </w:tc>
        <w:tc>
          <w:tcPr>
            <w:tcW w:w="29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A695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采购标的</w:t>
            </w:r>
          </w:p>
        </w:tc>
        <w:tc>
          <w:tcPr>
            <w:tcW w:w="15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47ECD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数量（单位）</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08A20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技术规格、参数及要求</w:t>
            </w:r>
          </w:p>
        </w:tc>
        <w:tc>
          <w:tcPr>
            <w:tcW w:w="1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B0BE0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品目预算(元)</w:t>
            </w:r>
          </w:p>
        </w:tc>
        <w:tc>
          <w:tcPr>
            <w:tcW w:w="1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6FAD6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最高限价(元)</w:t>
            </w:r>
          </w:p>
        </w:tc>
      </w:tr>
      <w:tr w14:paraId="051C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trPr>
        <w:tc>
          <w:tcPr>
            <w:tcW w:w="112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A5C6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1-1</w:t>
            </w:r>
          </w:p>
        </w:tc>
        <w:tc>
          <w:tcPr>
            <w:tcW w:w="14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A4203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餐饮服务</w:t>
            </w:r>
          </w:p>
        </w:tc>
        <w:tc>
          <w:tcPr>
            <w:tcW w:w="29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8BC0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蔬菜、辅料等食材配送服务</w:t>
            </w:r>
          </w:p>
        </w:tc>
        <w:tc>
          <w:tcPr>
            <w:tcW w:w="15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8E4D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1(项)</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135C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详见采购文件</w:t>
            </w:r>
          </w:p>
        </w:tc>
        <w:tc>
          <w:tcPr>
            <w:tcW w:w="1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27E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仿宋" w:hAnsi="仿宋" w:eastAsia="仿宋" w:cs="仿宋"/>
                <w:sz w:val="21"/>
                <w:szCs w:val="21"/>
              </w:rPr>
            </w:pPr>
            <w:r>
              <w:rPr>
                <w:rFonts w:hint="eastAsia" w:ascii="仿宋" w:hAnsi="仿宋" w:eastAsia="仿宋" w:cs="仿宋"/>
                <w:kern w:val="0"/>
                <w:sz w:val="21"/>
                <w:szCs w:val="21"/>
                <w:vertAlign w:val="baseline"/>
                <w:lang w:val="en-US" w:eastAsia="zh-CN" w:bidi="ar"/>
              </w:rPr>
              <w:t>262,400.00</w:t>
            </w:r>
          </w:p>
        </w:tc>
        <w:tc>
          <w:tcPr>
            <w:tcW w:w="1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A8A2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仿宋" w:hAnsi="仿宋" w:eastAsia="仿宋" w:cs="仿宋"/>
                <w:sz w:val="21"/>
                <w:szCs w:val="21"/>
              </w:rPr>
            </w:pPr>
            <w:r>
              <w:rPr>
                <w:rFonts w:hint="eastAsia" w:ascii="仿宋" w:hAnsi="仿宋" w:eastAsia="仿宋" w:cs="仿宋"/>
                <w:kern w:val="0"/>
                <w:sz w:val="21"/>
                <w:szCs w:val="21"/>
                <w:vertAlign w:val="baseline"/>
                <w:lang w:val="en-US" w:eastAsia="zh-CN" w:bidi="ar"/>
              </w:rPr>
              <w:t>262,400.00</w:t>
            </w:r>
          </w:p>
        </w:tc>
      </w:tr>
    </w:tbl>
    <w:p w14:paraId="24EB43B4">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本合同包不接受联合体投标</w:t>
      </w:r>
    </w:p>
    <w:p w14:paraId="5821C48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合同履行期限：详见招标文件</w:t>
      </w:r>
    </w:p>
    <w:p w14:paraId="7072AB5D">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合同包2(蔬菜、辅料等食材配送):</w:t>
      </w:r>
    </w:p>
    <w:p w14:paraId="3BB95FC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合同包预算金额：392,400.00元</w:t>
      </w:r>
    </w:p>
    <w:p w14:paraId="356830CC">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合同包最高限价：392,400.00元</w:t>
      </w:r>
    </w:p>
    <w:tbl>
      <w:tblPr>
        <w:tblStyle w:val="41"/>
        <w:tblW w:w="10588" w:type="dxa"/>
        <w:tblInd w:w="-10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73"/>
        <w:gridCol w:w="1553"/>
        <w:gridCol w:w="2117"/>
        <w:gridCol w:w="1565"/>
        <w:gridCol w:w="1275"/>
        <w:gridCol w:w="1424"/>
        <w:gridCol w:w="1581"/>
      </w:tblGrid>
      <w:tr w14:paraId="467A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7" w:hRule="atLeast"/>
          <w:tblHeader/>
        </w:trPr>
        <w:tc>
          <w:tcPr>
            <w:tcW w:w="107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30D50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55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7A80F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2117"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2F184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565"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91AAA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数量（单位）</w:t>
            </w:r>
          </w:p>
        </w:tc>
        <w:tc>
          <w:tcPr>
            <w:tcW w:w="1275"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5DAC6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424"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3323C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581"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066F9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14:paraId="7FDB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07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0F556D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2-1</w:t>
            </w:r>
          </w:p>
        </w:tc>
        <w:tc>
          <w:tcPr>
            <w:tcW w:w="155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046CC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餐饮服务</w:t>
            </w:r>
          </w:p>
        </w:tc>
        <w:tc>
          <w:tcPr>
            <w:tcW w:w="2117"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4D443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蔬菜、辅料等食材配送服务</w:t>
            </w:r>
          </w:p>
        </w:tc>
        <w:tc>
          <w:tcPr>
            <w:tcW w:w="1565"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CD0363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1(项)</w:t>
            </w:r>
          </w:p>
        </w:tc>
        <w:tc>
          <w:tcPr>
            <w:tcW w:w="1275"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0BB465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详见采购文件</w:t>
            </w:r>
          </w:p>
        </w:tc>
        <w:tc>
          <w:tcPr>
            <w:tcW w:w="1424"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8E15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vertAlign w:val="baseline"/>
                <w:lang w:val="en-US" w:eastAsia="zh-CN" w:bidi="ar"/>
              </w:rPr>
              <w:t>392,400.00</w:t>
            </w:r>
          </w:p>
        </w:tc>
        <w:tc>
          <w:tcPr>
            <w:tcW w:w="1581"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EAD7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vertAlign w:val="baseline"/>
                <w:lang w:val="en-US" w:eastAsia="zh-CN" w:bidi="ar"/>
              </w:rPr>
              <w:t>392,400.00</w:t>
            </w:r>
          </w:p>
        </w:tc>
      </w:tr>
    </w:tbl>
    <w:p w14:paraId="6D9E7330">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仿宋" w:hAnsi="仿宋" w:eastAsia="仿宋" w:cs="仿宋"/>
          <w:i w:val="0"/>
          <w:iCs w:val="0"/>
          <w:caps w:val="0"/>
          <w:color w:val="333333"/>
          <w:spacing w:val="0"/>
          <w:sz w:val="21"/>
          <w:szCs w:val="21"/>
          <w:shd w:val="clear" w:fill="FFFFFF"/>
          <w:vertAlign w:val="baseline"/>
        </w:rPr>
      </w:pPr>
    </w:p>
    <w:p w14:paraId="6A1374FD">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本合同包不接受联合体投标</w:t>
      </w:r>
    </w:p>
    <w:p w14:paraId="1E01F7C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合同履行期限：详见招标文件</w:t>
      </w:r>
    </w:p>
    <w:p w14:paraId="72F546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二、申请人的资格要求：</w:t>
      </w:r>
    </w:p>
    <w:p w14:paraId="65EA5FFF">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1.满足《中华人民共和国政府采购法》第二十二条规定;</w:t>
      </w:r>
    </w:p>
    <w:p w14:paraId="380B0508">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2.落实政府采购政策需满足的资格要求：</w:t>
      </w:r>
    </w:p>
    <w:p w14:paraId="7CF0F3D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合同包1(蔬菜、辅料等食材配送)落实政府采购政策需满足的资格要求如下:</w:t>
      </w:r>
    </w:p>
    <w:p w14:paraId="73627BBA">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专门面向中小企业采购，提供服务的投标人应为中型、小型、微型企业或监狱企业或残疾人福利性单位。投标人为中型、小型、微型企业的提供《中小企业声明函》，投标人为监狱企业的，应提供监狱企业的证明文件；投标人为残疾人福利性单位的，应提供《残疾人福利性单位声明函》(监狱企业或残疾人福利性单位视同中型、小型、微型企业)。</w:t>
      </w:r>
    </w:p>
    <w:p w14:paraId="68B9D676">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合同包2(蔬菜、辅料等食材配送)落实政府采购政策需满足的资格要求如下:</w:t>
      </w:r>
    </w:p>
    <w:p w14:paraId="04B19F20">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专门面向中小企业采购，提供服务的投标人应为中型、小型、微型企业或监狱企业或残疾人福利性单位。投标人为中型、小型、微型企业的提供《中小企业声明函》，投标人为监狱企业的，应提供监狱企业的证明文件；投标人为残疾人福利性单位的，应提供《残疾人福利性单位声明函》(监狱企业或残疾人福利性单位视同中型、小型、微型企业)。</w:t>
      </w:r>
    </w:p>
    <w:p w14:paraId="7C888784">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3.本项目的特定资格要求：</w:t>
      </w:r>
    </w:p>
    <w:p w14:paraId="664333B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合同包1(蔬菜、辅料等食材配送)特定资格要求如下:</w:t>
      </w:r>
    </w:p>
    <w:p w14:paraId="7003D0D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（1）满足《中华人民共和国政府采购法》第二十二条的规定,提供下列资格证明文件：</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①投标人须为具有独立承担民事责任能力的法人、其他组织或自然人;出具合法有效的营业执照或事业单位法人证书等国家规定的相关证明，自然人参与的提供其身份证明；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②投标人须提供《汉中市政府采购投标人资格承诺函》。</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（2）本项目特定资格要求：</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①法定代表人直接参加投标的，须出具法人身份证；法定代表人授权代表参加投标的，须出具法定代表人授权书及授权代表身份证；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②投标人为生产厂家的须提供《食品生产许可证》及《食品经营许可证》；投标人为代理商的须提供《食品经营许可证》或食品经营备案证明。</w:t>
      </w:r>
    </w:p>
    <w:p w14:paraId="75EC9386">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合同包2(蔬菜、辅料等食材配送)特定资格要求如下:</w:t>
      </w:r>
    </w:p>
    <w:p w14:paraId="6C293FE5">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（1）满足《中华人民共和国政府采购法》第二十二条的规定,提供下列资格证明文件：</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①投标人须为具有独立承担民事责任能力的法人、其他组织或自然人;出具合法有效的营业执照或事业单位法人证书等国家规定的相关证明，自然人参与的提供其身份证明；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②投标人须提供《汉中市政府采购投标人资格承诺函》。</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（2）本项目特定资格要求：</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①法定代表人直接参加投标的，须出具法人身份证；法定代表人授权代表参加投标的，须出具法定代表人授权书及授权代表身份证；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②投标人为生产厂家的须提供《食品生产许可证》及《食品经营许可证》；投标人为代理商的须提供《食品经营许可证》或食品经营备案证明。</w:t>
      </w:r>
    </w:p>
    <w:p w14:paraId="548987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三、获取招标文件</w:t>
      </w:r>
    </w:p>
    <w:p w14:paraId="367D0E98">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时间： 2025年06月25日 至 2025年07月01日 ，每天上午 08:00:00 至 12:00:00 ，下午 14:00:00 至 18:00:00 （北京时间）</w:t>
      </w:r>
    </w:p>
    <w:p w14:paraId="1197951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途径：汉中市汉台区西一环路蓝天御苑小区商铺二层门面房南侧</w:t>
      </w:r>
    </w:p>
    <w:p w14:paraId="71F06A5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方式：现场获取</w:t>
      </w:r>
    </w:p>
    <w:p w14:paraId="31F5ACB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售价： 300元</w:t>
      </w:r>
    </w:p>
    <w:p w14:paraId="64A7B6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四、提交投标文件截止时间、开标时间和地点</w:t>
      </w:r>
    </w:p>
    <w:p w14:paraId="3E38FB75">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时间： 2025年07月15日 09时00分00秒 （北京时间）</w:t>
      </w:r>
    </w:p>
    <w:p w14:paraId="1346BD1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提交投标文件地点：汉中市汉台区西一环路蓝天御苑小区商铺二层门面房南侧会议室</w:t>
      </w:r>
    </w:p>
    <w:p w14:paraId="2E3BA4CC">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开标地点：汉中市汉台区西一环路蓝天御苑小区商铺二层门面房南侧会议室</w:t>
      </w:r>
    </w:p>
    <w:p w14:paraId="42CCE2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五、公告期限</w:t>
      </w:r>
    </w:p>
    <w:p w14:paraId="1ADC7D3C">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自本公告发布之日起5个工作日。</w:t>
      </w:r>
    </w:p>
    <w:p w14:paraId="3AF7B4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六、其他补充事宜</w:t>
      </w:r>
    </w:p>
    <w:p w14:paraId="3F69A3C9">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1、潜在投标人获取招标文件时需出示获取人身份证原件，并提交投标人出具的对获取人的介绍信原件（介绍信须注明项目名称、联系人、联系方式、合同包几）以及获取人身份证复印件（加盖公章），介绍信原件时间须与投标人当天报名时间一致，本项目招标文件不提供邮寄，须现场现金购买，每个合同包300元，售后不退。</w:t>
      </w:r>
    </w:p>
    <w:p w14:paraId="64F1594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 2、注意事项：根据《陕西省财政厅关于政府采购供应商注册登记有关事项的通知》的规定，投标人在获取招标文件后，应及时注册登记加入陕西省政府采购供应商库。因投标人自身原因未及时登记入库而导致的一切后果由投标人自行承担。</w:t>
      </w:r>
    </w:p>
    <w:p w14:paraId="1640EDE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vertAlign w:val="baseline"/>
        </w:rPr>
        <w:t> 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按相关规定需要落实的其他政府采购政策。</w:t>
      </w:r>
    </w:p>
    <w:p w14:paraId="4D923C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七、对本次招标提出询问，请按以下方式联系。</w:t>
      </w:r>
    </w:p>
    <w:p w14:paraId="556B40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1.采购人信息</w:t>
      </w:r>
    </w:p>
    <w:p w14:paraId="336FC52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名称：汉中市南郑区教育体育局</w:t>
      </w:r>
    </w:p>
    <w:p w14:paraId="41FD3A3A">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地址：陕西省汉中市南郑区汉山街道办汉山路建设巷10号</w:t>
      </w:r>
    </w:p>
    <w:p w14:paraId="29B4F084">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联系方式：0916-5514466</w:t>
      </w:r>
    </w:p>
    <w:p w14:paraId="4A125B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2.采购代理机构信息</w:t>
      </w:r>
    </w:p>
    <w:p w14:paraId="3995B471">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名称：同正项目管理有限公司</w:t>
      </w:r>
    </w:p>
    <w:p w14:paraId="5D88697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地址：汉中市汉台区西一环路蓝天御苑小区商铺二层门面房南侧</w:t>
      </w:r>
    </w:p>
    <w:p w14:paraId="32900D6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联系方式：0916-8897702</w:t>
      </w:r>
    </w:p>
    <w:p w14:paraId="579B87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3.项目联系方式</w:t>
      </w:r>
    </w:p>
    <w:p w14:paraId="4991E14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项目联系人：王丽</w:t>
      </w:r>
    </w:p>
    <w:p w14:paraId="3213DAE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电话：15291615858</w:t>
      </w:r>
    </w:p>
    <w:p w14:paraId="53927BF0">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right"/>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同正项目管理有限公司</w:t>
      </w:r>
    </w:p>
    <w:p w14:paraId="15991A2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right"/>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2025年06月24日</w:t>
      </w:r>
    </w:p>
    <w:p w14:paraId="0FCB5DE8">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right"/>
        <w:rPr>
          <w:rFonts w:hint="eastAsia" w:ascii="仿宋" w:hAnsi="仿宋" w:eastAsia="仿宋" w:cs="仿宋"/>
          <w:color w:val="000000" w:themeColor="text1"/>
          <w:sz w:val="21"/>
          <w:szCs w:val="21"/>
          <w14:textFill>
            <w14:solidFill>
              <w14:schemeClr w14:val="tx1"/>
            </w14:solidFill>
          </w14:textFill>
        </w:rPr>
      </w:pPr>
    </w:p>
    <w:p w14:paraId="3BDA74ED">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right"/>
        <w:textAlignment w:val="baseline"/>
        <w:rPr>
          <w:rFonts w:hint="eastAsia" w:ascii="仿宋" w:hAnsi="仿宋" w:eastAsia="仿宋" w:cs="仿宋"/>
          <w:color w:val="000000" w:themeColor="text1"/>
          <w:sz w:val="21"/>
          <w:szCs w:val="21"/>
          <w14:textFill>
            <w14:solidFill>
              <w14:schemeClr w14:val="tx1"/>
            </w14:solidFill>
          </w14:textFill>
        </w:rPr>
      </w:pPr>
    </w:p>
    <w:p w14:paraId="539D288A">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right"/>
        <w:textAlignment w:val="baseline"/>
        <w:rPr>
          <w:rFonts w:hint="eastAsia" w:ascii="仿宋" w:hAnsi="仿宋" w:eastAsia="仿宋" w:cs="仿宋"/>
          <w:color w:val="000000" w:themeColor="text1"/>
          <w:sz w:val="21"/>
          <w:szCs w:val="21"/>
          <w14:textFill>
            <w14:solidFill>
              <w14:schemeClr w14:val="tx1"/>
            </w14:solidFill>
          </w14:textFill>
        </w:rPr>
      </w:pPr>
    </w:p>
    <w:p w14:paraId="46AEE4CF">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79EA5C09">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55122D3">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112E054">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7D0EF518">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32AB021">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10ED058C">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EA03C32">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6F22C1E3">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7A3B84DE">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5FA25D6F">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49EC5626">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136CA27D">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3BF33022">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17793A54">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91CACFD">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6F3A2BA">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0623EEA1">
      <w:pPr>
        <w:pStyle w:val="2"/>
        <w:spacing w:line="336" w:lineRule="auto"/>
        <w:ind w:firstLine="2530" w:firstLineChars="700"/>
        <w:jc w:val="both"/>
        <w:rPr>
          <w:rFonts w:ascii="黑体" w:hAnsi="黑体" w:eastAsia="黑体" w:cs="黑体"/>
          <w:color w:val="000000" w:themeColor="text1"/>
          <w:szCs w:val="36"/>
          <w14:textFill>
            <w14:solidFill>
              <w14:schemeClr w14:val="tx1"/>
            </w14:solidFill>
          </w14:textFill>
        </w:rPr>
      </w:pPr>
      <w:r>
        <w:rPr>
          <w:rFonts w:hint="eastAsia" w:ascii="黑体" w:hAnsi="黑体" w:eastAsia="黑体" w:cs="黑体"/>
          <w:color w:val="000000" w:themeColor="text1"/>
          <w:szCs w:val="36"/>
          <w14:textFill>
            <w14:solidFill>
              <w14:schemeClr w14:val="tx1"/>
            </w14:solidFill>
          </w14:textFill>
        </w:rPr>
        <w:t>第二章  投标人须知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9459A06">
      <w:pPr>
        <w:pStyle w:val="22"/>
        <w:adjustRightInd w:val="0"/>
        <w:snapToGrid w:val="0"/>
        <w:spacing w:line="360" w:lineRule="auto"/>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投标人须知前附表</w:t>
      </w:r>
      <w:bookmarkStart w:id="37" w:name="_Toc175973397"/>
      <w:bookmarkStart w:id="38" w:name="_Toc531189836"/>
    </w:p>
    <w:tbl>
      <w:tblPr>
        <w:tblStyle w:val="41"/>
        <w:tblpPr w:leftFromText="180" w:rightFromText="180" w:vertAnchor="text" w:horzAnchor="page" w:tblpX="1077" w:tblpY="377"/>
        <w:tblOverlap w:val="never"/>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88"/>
        <w:gridCol w:w="6960"/>
      </w:tblGrid>
      <w:tr w14:paraId="683B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8" w:type="dxa"/>
            <w:vAlign w:val="center"/>
          </w:tcPr>
          <w:p w14:paraId="7CA39E9E">
            <w:pPr>
              <w:snapToGrid w:val="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2188" w:type="dxa"/>
            <w:vAlign w:val="center"/>
          </w:tcPr>
          <w:p w14:paraId="269C437D">
            <w:pPr>
              <w:snapToGrid w:val="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名称</w:t>
            </w:r>
          </w:p>
        </w:tc>
        <w:tc>
          <w:tcPr>
            <w:tcW w:w="6960" w:type="dxa"/>
            <w:vAlign w:val="center"/>
          </w:tcPr>
          <w:p w14:paraId="7AB1BB30">
            <w:pPr>
              <w:snapToGrid w:val="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具体内容和要求</w:t>
            </w:r>
          </w:p>
        </w:tc>
      </w:tr>
      <w:tr w14:paraId="07EC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398D6143">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188" w:type="dxa"/>
            <w:vAlign w:val="center"/>
          </w:tcPr>
          <w:p w14:paraId="68DFD385">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6960" w:type="dxa"/>
            <w:vAlign w:val="center"/>
          </w:tcPr>
          <w:p w14:paraId="1649074F">
            <w:pPr>
              <w:snapToGrid w:val="0"/>
              <w:spacing w:line="288" w:lineRule="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南郑区学校蔬菜、辅料等食材配送服务采购项目（三次）合同包</w:t>
            </w:r>
            <w:r>
              <w:rPr>
                <w:rFonts w:hint="eastAsia" w:ascii="仿宋" w:hAnsi="仿宋" w:eastAsia="仿宋" w:cs="仿宋"/>
                <w:color w:val="000000" w:themeColor="text1"/>
                <w:szCs w:val="21"/>
                <w:lang w:val="en-US" w:eastAsia="zh-CN"/>
                <w14:textFill>
                  <w14:solidFill>
                    <w14:schemeClr w14:val="tx1"/>
                  </w14:solidFill>
                </w14:textFill>
              </w:rPr>
              <w:t>1</w:t>
            </w:r>
          </w:p>
        </w:tc>
      </w:tr>
      <w:tr w14:paraId="6140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2651702D">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188" w:type="dxa"/>
            <w:vAlign w:val="center"/>
          </w:tcPr>
          <w:p w14:paraId="1F176CBF">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项目编号</w:t>
            </w:r>
          </w:p>
        </w:tc>
        <w:tc>
          <w:tcPr>
            <w:tcW w:w="6960" w:type="dxa"/>
            <w:vAlign w:val="center"/>
          </w:tcPr>
          <w:p w14:paraId="146B8271">
            <w:pPr>
              <w:snapToGrid w:val="0"/>
              <w:spacing w:line="288" w:lineRule="auto"/>
              <w:jc w:val="left"/>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TZZB-HZ-2025078C-3</w:t>
            </w:r>
          </w:p>
        </w:tc>
      </w:tr>
      <w:tr w14:paraId="54E7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5DD8EF13">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2188" w:type="dxa"/>
            <w:vAlign w:val="center"/>
          </w:tcPr>
          <w:p w14:paraId="5351157C">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合同包</w:t>
            </w:r>
            <w:r>
              <w:rPr>
                <w:rFonts w:hint="eastAsia" w:ascii="仿宋" w:hAnsi="仿宋" w:eastAsia="仿宋" w:cs="仿宋"/>
                <w:color w:val="000000" w:themeColor="text1"/>
                <w:szCs w:val="21"/>
                <w:lang w:val="en-US" w:eastAsia="zh-CN"/>
                <w14:textFill>
                  <w14:solidFill>
                    <w14:schemeClr w14:val="tx1"/>
                  </w14:solidFill>
                </w14:textFill>
              </w:rPr>
              <w:t>1</w:t>
            </w:r>
            <w:bookmarkStart w:id="479" w:name="_GoBack"/>
            <w:bookmarkEnd w:id="479"/>
          </w:p>
          <w:p w14:paraId="74C0E770">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采购预算及最高限价</w:t>
            </w:r>
          </w:p>
        </w:tc>
        <w:tc>
          <w:tcPr>
            <w:tcW w:w="6960" w:type="dxa"/>
            <w:vAlign w:val="center"/>
          </w:tcPr>
          <w:p w14:paraId="512C5015">
            <w:pPr>
              <w:snapToGrid w:val="0"/>
              <w:spacing w:line="288" w:lineRule="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采购预</w:t>
            </w:r>
            <w:r>
              <w:rPr>
                <w:rFonts w:hint="eastAsia" w:ascii="仿宋" w:hAnsi="仿宋" w:eastAsia="仿宋" w:cs="仿宋"/>
                <w:color w:val="000000" w:themeColor="text1"/>
                <w:szCs w:val="21"/>
                <w:lang w:val="en-US" w:eastAsia="zh-CN"/>
                <w14:textFill>
                  <w14:solidFill>
                    <w14:schemeClr w14:val="tx1"/>
                  </w14:solidFill>
                </w14:textFill>
              </w:rPr>
              <w:t>算：262,400.00元</w:t>
            </w:r>
          </w:p>
          <w:p w14:paraId="723E9752">
            <w:pPr>
              <w:snapToGrid w:val="0"/>
              <w:spacing w:line="288"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最高限价（最高折扣率）：100%（</w:t>
            </w:r>
            <w:r>
              <w:rPr>
                <w:rFonts w:hint="eastAsia" w:ascii="仿宋" w:hAnsi="仿宋" w:eastAsia="仿宋" w:cs="仿宋"/>
                <w:color w:val="000000" w:themeColor="text1"/>
                <w:szCs w:val="21"/>
                <w14:textFill>
                  <w14:solidFill>
                    <w14:schemeClr w14:val="tx1"/>
                  </w14:solidFill>
                </w14:textFill>
              </w:rPr>
              <w:t>投标人报价高于此</w:t>
            </w:r>
            <w:r>
              <w:rPr>
                <w:rFonts w:hint="eastAsia" w:ascii="仿宋" w:hAnsi="仿宋" w:eastAsia="仿宋" w:cs="仿宋"/>
                <w:color w:val="000000" w:themeColor="text1"/>
                <w:szCs w:val="21"/>
                <w:lang w:val="en-US" w:eastAsia="zh-CN"/>
                <w14:textFill>
                  <w14:solidFill>
                    <w14:schemeClr w14:val="tx1"/>
                  </w14:solidFill>
                </w14:textFill>
              </w:rPr>
              <w:t>费率</w:t>
            </w:r>
            <w:r>
              <w:rPr>
                <w:rFonts w:hint="eastAsia" w:ascii="仿宋" w:hAnsi="仿宋" w:eastAsia="仿宋" w:cs="仿宋"/>
                <w:color w:val="000000" w:themeColor="text1"/>
                <w:szCs w:val="21"/>
                <w14:textFill>
                  <w14:solidFill>
                    <w14:schemeClr w14:val="tx1"/>
                  </w14:solidFill>
                </w14:textFill>
              </w:rPr>
              <w:t>按</w:t>
            </w:r>
            <w:r>
              <w:rPr>
                <w:rFonts w:hint="eastAsia" w:ascii="仿宋" w:hAnsi="仿宋" w:eastAsia="仿宋" w:cs="仿宋"/>
                <w:color w:val="000000" w:themeColor="text1"/>
                <w:szCs w:val="21"/>
                <w:lang w:val="en-US" w:eastAsia="zh-CN"/>
                <w14:textFill>
                  <w14:solidFill>
                    <w14:schemeClr w14:val="tx1"/>
                  </w14:solidFill>
                </w14:textFill>
              </w:rPr>
              <w:t>无效投标文件</w:t>
            </w:r>
            <w:r>
              <w:rPr>
                <w:rFonts w:hint="eastAsia" w:ascii="仿宋" w:hAnsi="仿宋" w:eastAsia="仿宋" w:cs="仿宋"/>
                <w:color w:val="000000" w:themeColor="text1"/>
                <w:szCs w:val="21"/>
                <w14:textFill>
                  <w14:solidFill>
                    <w14:schemeClr w14:val="tx1"/>
                  </w14:solidFill>
                </w14:textFill>
              </w:rPr>
              <w:t>处理）</w:t>
            </w:r>
          </w:p>
          <w:p w14:paraId="5B8A5240">
            <w:pPr>
              <w:snapToGrid w:val="0"/>
              <w:spacing w:line="288" w:lineRule="auto"/>
              <w:rPr>
                <w:rFonts w:hint="default"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注：本合同包按费率报价，投标总报价为折扣率，折扣率不得超过100%，最终以实际供应量×折扣率结算，未按折扣率报价按无效投标文件处理。</w:t>
            </w:r>
          </w:p>
        </w:tc>
      </w:tr>
      <w:tr w14:paraId="25B7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18E23939">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2188" w:type="dxa"/>
            <w:vAlign w:val="center"/>
          </w:tcPr>
          <w:p w14:paraId="1751686A">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是否专门面向中小</w:t>
            </w:r>
          </w:p>
          <w:p w14:paraId="50B42627">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企业采购</w:t>
            </w:r>
          </w:p>
        </w:tc>
        <w:tc>
          <w:tcPr>
            <w:tcW w:w="6960" w:type="dxa"/>
            <w:vAlign w:val="center"/>
          </w:tcPr>
          <w:p w14:paraId="3A0DCB0C">
            <w:pPr>
              <w:snapToGrid w:val="0"/>
              <w:spacing w:line="288" w:lineRule="auto"/>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是（专门面向中、小企业采购）</w:t>
            </w:r>
          </w:p>
        </w:tc>
      </w:tr>
      <w:tr w14:paraId="4C5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98" w:type="dxa"/>
            <w:vAlign w:val="center"/>
          </w:tcPr>
          <w:p w14:paraId="474DEDBF">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2188" w:type="dxa"/>
            <w:vAlign w:val="center"/>
          </w:tcPr>
          <w:p w14:paraId="799D5876">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公告媒体</w:t>
            </w:r>
          </w:p>
        </w:tc>
        <w:tc>
          <w:tcPr>
            <w:tcW w:w="6960" w:type="dxa"/>
            <w:vAlign w:val="center"/>
          </w:tcPr>
          <w:p w14:paraId="78F0366C">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陕西省政府采购网</w:t>
            </w:r>
          </w:p>
        </w:tc>
      </w:tr>
      <w:tr w14:paraId="527F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98" w:type="dxa"/>
            <w:vAlign w:val="center"/>
          </w:tcPr>
          <w:p w14:paraId="3901E58A">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2188" w:type="dxa"/>
            <w:vAlign w:val="center"/>
          </w:tcPr>
          <w:p w14:paraId="7A74AB42">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w:t>
            </w:r>
          </w:p>
        </w:tc>
        <w:tc>
          <w:tcPr>
            <w:tcW w:w="6960" w:type="dxa"/>
            <w:vAlign w:val="center"/>
          </w:tcPr>
          <w:p w14:paraId="552D0FEB">
            <w:pPr>
              <w:snapToGrid w:val="0"/>
              <w:spacing w:line="288"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采购人信息：</w:t>
            </w:r>
            <w:r>
              <w:rPr>
                <w:rFonts w:hint="eastAsia" w:ascii="仿宋" w:hAnsi="仿宋" w:eastAsia="仿宋" w:cs="仿宋"/>
                <w:color w:val="000000" w:themeColor="text1"/>
                <w:lang w:eastAsia="zh-CN"/>
                <w14:textFill>
                  <w14:solidFill>
                    <w14:schemeClr w14:val="tx1"/>
                  </w14:solidFill>
                </w14:textFill>
              </w:rPr>
              <w:t>汉中市南郑区教育体育局</w:t>
            </w:r>
          </w:p>
          <w:p w14:paraId="7BFE69A8">
            <w:pPr>
              <w:snapToGrid w:val="0"/>
              <w:spacing w:line="288"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w:t>
            </w:r>
            <w:r>
              <w:rPr>
                <w:rFonts w:hint="eastAsia" w:ascii="仿宋" w:hAnsi="仿宋" w:eastAsia="仿宋" w:cs="仿宋"/>
                <w:color w:val="000000" w:themeColor="text1"/>
                <w:lang w:eastAsia="zh-CN"/>
                <w14:textFill>
                  <w14:solidFill>
                    <w14:schemeClr w14:val="tx1"/>
                  </w14:solidFill>
                </w14:textFill>
              </w:rPr>
              <w:t>汉山街道办事处建设巷</w:t>
            </w:r>
          </w:p>
          <w:p w14:paraId="4221AE4A">
            <w:pPr>
              <w:snapToGrid w:val="0"/>
              <w:spacing w:line="288"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联系方式：</w:t>
            </w:r>
            <w:r>
              <w:rPr>
                <w:rFonts w:hint="eastAsia" w:ascii="仿宋" w:hAnsi="仿宋" w:eastAsia="仿宋" w:cs="仿宋"/>
                <w:color w:val="000000" w:themeColor="text1"/>
                <w:lang w:eastAsia="zh-CN"/>
                <w14:textFill>
                  <w14:solidFill>
                    <w14:schemeClr w14:val="tx1"/>
                  </w14:solidFill>
                </w14:textFill>
              </w:rPr>
              <w:t>0916-5514466</w:t>
            </w:r>
          </w:p>
        </w:tc>
      </w:tr>
      <w:tr w14:paraId="026B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8" w:type="dxa"/>
            <w:vAlign w:val="center"/>
          </w:tcPr>
          <w:p w14:paraId="44C36B69">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2188" w:type="dxa"/>
            <w:vAlign w:val="center"/>
          </w:tcPr>
          <w:p w14:paraId="156284A2">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采购代理机构</w:t>
            </w:r>
          </w:p>
        </w:tc>
        <w:tc>
          <w:tcPr>
            <w:tcW w:w="6960" w:type="dxa"/>
            <w:vAlign w:val="center"/>
          </w:tcPr>
          <w:p w14:paraId="25224379">
            <w:pPr>
              <w:snapToGrid w:val="0"/>
              <w:spacing w:line="288"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采购代理机构名称：同正项目管理有限公司</w:t>
            </w:r>
          </w:p>
          <w:p w14:paraId="39784E86">
            <w:pPr>
              <w:snapToGrid w:val="0"/>
              <w:spacing w:line="288"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w:t>
            </w:r>
            <w:r>
              <w:rPr>
                <w:rFonts w:hint="eastAsia" w:ascii="仿宋" w:hAnsi="仿宋" w:eastAsia="仿宋" w:cs="仿宋"/>
                <w:color w:val="000000" w:themeColor="text1"/>
                <w:lang w:eastAsia="zh-CN"/>
                <w14:textFill>
                  <w14:solidFill>
                    <w14:schemeClr w14:val="tx1"/>
                  </w14:solidFill>
                </w14:textFill>
              </w:rPr>
              <w:t>汉中市汉台区西一环路蓝天御苑小区商铺二层门面房南侧</w:t>
            </w:r>
          </w:p>
          <w:p w14:paraId="0DCD34D8">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联系方式：0916-8897702</w:t>
            </w:r>
          </w:p>
        </w:tc>
      </w:tr>
      <w:tr w14:paraId="12DB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98" w:type="dxa"/>
            <w:vAlign w:val="center"/>
          </w:tcPr>
          <w:p w14:paraId="1640F900">
            <w:pPr>
              <w:shd w:val="clea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8</w:t>
            </w:r>
          </w:p>
        </w:tc>
        <w:tc>
          <w:tcPr>
            <w:tcW w:w="2188" w:type="dxa"/>
            <w:vAlign w:val="center"/>
          </w:tcPr>
          <w:p w14:paraId="605A112E">
            <w:pPr>
              <w:pStyle w:val="15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资格审查时是否</w:t>
            </w:r>
          </w:p>
          <w:p w14:paraId="71A77DAE">
            <w:pPr>
              <w:pStyle w:val="1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核验证件</w:t>
            </w:r>
          </w:p>
        </w:tc>
        <w:tc>
          <w:tcPr>
            <w:tcW w:w="6960" w:type="dxa"/>
            <w:vAlign w:val="center"/>
          </w:tcPr>
          <w:p w14:paraId="372409CC">
            <w:pPr>
              <w:numPr>
                <w:ilvl w:val="0"/>
                <w:numId w:val="0"/>
              </w:numPr>
              <w:spacing w:line="340" w:lineRule="exact"/>
              <w:ind w:right="105" w:rightChars="50"/>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需要，核验要求：</w:t>
            </w:r>
            <w:r>
              <w:rPr>
                <w:rFonts w:hint="eastAsia" w:ascii="仿宋" w:hAnsi="仿宋" w:eastAsia="仿宋" w:cs="仿宋"/>
                <w:color w:val="000000" w:themeColor="text1"/>
                <w:sz w:val="22"/>
                <w:szCs w:val="22"/>
                <w:lang w:val="en-US" w:eastAsia="zh-CN"/>
                <w14:textFill>
                  <w14:solidFill>
                    <w14:schemeClr w14:val="tx1"/>
                  </w14:solidFill>
                </w14:textFill>
              </w:rPr>
              <w:t>投标人法定代表人或被授权人的有效身份证件原件</w:t>
            </w:r>
          </w:p>
          <w:p w14:paraId="1759CDEC">
            <w:pPr>
              <w:pStyle w:val="150"/>
              <w:spacing w:line="320" w:lineRule="exact"/>
              <w:ind w:right="105" w:rightChars="50"/>
              <w:rPr>
                <w:rFonts w:eastAsia="仿宋"/>
                <w:color w:val="000000" w:themeColor="text1"/>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2"/>
                <w:sz w:val="22"/>
                <w:szCs w:val="22"/>
                <w14:textFill>
                  <w14:solidFill>
                    <w14:schemeClr w14:val="tx1"/>
                  </w14:solidFill>
                </w14:textFill>
              </w:rPr>
              <w:t>不需要</w:t>
            </w:r>
          </w:p>
        </w:tc>
      </w:tr>
      <w:tr w14:paraId="1ADC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79A022AF">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2188" w:type="dxa"/>
            <w:vAlign w:val="center"/>
          </w:tcPr>
          <w:p w14:paraId="200970B5">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构成招标文件的其他材料</w:t>
            </w:r>
          </w:p>
        </w:tc>
        <w:tc>
          <w:tcPr>
            <w:tcW w:w="6960" w:type="dxa"/>
            <w:vAlign w:val="center"/>
          </w:tcPr>
          <w:p w14:paraId="49D1B666">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招标变更、答疑文件等相关材料</w:t>
            </w:r>
          </w:p>
        </w:tc>
      </w:tr>
      <w:tr w14:paraId="3510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4062E0FB">
            <w:pPr>
              <w:pStyle w:val="36"/>
              <w:spacing w:before="0" w:beforeAutospacing="0" w:after="0" w:afterAutospacing="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2188" w:type="dxa"/>
            <w:vAlign w:val="center"/>
          </w:tcPr>
          <w:p w14:paraId="4369ED5F">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投标人要求澄清招标文件的截止时间</w:t>
            </w:r>
          </w:p>
        </w:tc>
        <w:tc>
          <w:tcPr>
            <w:tcW w:w="6960" w:type="dxa"/>
            <w:vAlign w:val="center"/>
          </w:tcPr>
          <w:p w14:paraId="399ED8F5">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投标截止时间</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14:textFill>
                  <w14:solidFill>
                    <w14:schemeClr w14:val="tx1"/>
                  </w14:solidFill>
                </w14:textFill>
              </w:rPr>
              <w:t>天前</w:t>
            </w:r>
          </w:p>
        </w:tc>
      </w:tr>
      <w:tr w14:paraId="1107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3A6AE2EC">
            <w:pPr>
              <w:pStyle w:val="36"/>
              <w:spacing w:before="0" w:beforeAutospacing="0" w:after="0" w:afterAutospacing="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11</w:t>
            </w:r>
          </w:p>
        </w:tc>
        <w:tc>
          <w:tcPr>
            <w:tcW w:w="2188" w:type="dxa"/>
            <w:vAlign w:val="center"/>
          </w:tcPr>
          <w:p w14:paraId="6835F220">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投标人确认收到招标文件澄清的时间</w:t>
            </w:r>
          </w:p>
        </w:tc>
        <w:tc>
          <w:tcPr>
            <w:tcW w:w="6960" w:type="dxa"/>
            <w:vAlign w:val="center"/>
          </w:tcPr>
          <w:p w14:paraId="6FD6C5E1">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招标文件澄清发出后24小时以内</w:t>
            </w:r>
          </w:p>
        </w:tc>
      </w:tr>
      <w:tr w14:paraId="6BC3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0BE0A9BF">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2188" w:type="dxa"/>
            <w:vAlign w:val="center"/>
          </w:tcPr>
          <w:p w14:paraId="3848E472">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投标人确认收到招标文件修改的时间</w:t>
            </w:r>
          </w:p>
        </w:tc>
        <w:tc>
          <w:tcPr>
            <w:tcW w:w="6960" w:type="dxa"/>
            <w:vAlign w:val="center"/>
          </w:tcPr>
          <w:p w14:paraId="243B5744">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招标文件修改发出后24小时以内</w:t>
            </w:r>
          </w:p>
        </w:tc>
      </w:tr>
      <w:tr w14:paraId="6EA4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2886B68C">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2188" w:type="dxa"/>
            <w:vAlign w:val="center"/>
          </w:tcPr>
          <w:p w14:paraId="3005CC4D">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构成投标文件的其他材料</w:t>
            </w:r>
          </w:p>
        </w:tc>
        <w:tc>
          <w:tcPr>
            <w:tcW w:w="6960" w:type="dxa"/>
            <w:vAlign w:val="center"/>
          </w:tcPr>
          <w:p w14:paraId="13263FAB">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投标人按照招标文件的要求认为有利于投标的材料</w:t>
            </w:r>
          </w:p>
        </w:tc>
      </w:tr>
      <w:tr w14:paraId="3C1E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4086E55E">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2188" w:type="dxa"/>
            <w:vAlign w:val="center"/>
          </w:tcPr>
          <w:p w14:paraId="071301A0">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投标文件有效期</w:t>
            </w:r>
          </w:p>
        </w:tc>
        <w:tc>
          <w:tcPr>
            <w:tcW w:w="6960" w:type="dxa"/>
            <w:vAlign w:val="center"/>
          </w:tcPr>
          <w:p w14:paraId="2D11255B">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投标文件有效期为自开标之日起算90天</w:t>
            </w:r>
          </w:p>
        </w:tc>
      </w:tr>
      <w:tr w14:paraId="10EE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98" w:type="dxa"/>
            <w:vAlign w:val="center"/>
          </w:tcPr>
          <w:p w14:paraId="390559D7">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2188" w:type="dxa"/>
            <w:vAlign w:val="center"/>
          </w:tcPr>
          <w:p w14:paraId="4B5CE795">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现场踏勘</w:t>
            </w:r>
          </w:p>
        </w:tc>
        <w:tc>
          <w:tcPr>
            <w:tcW w:w="6960" w:type="dxa"/>
            <w:vAlign w:val="center"/>
          </w:tcPr>
          <w:p w14:paraId="747E0756">
            <w:pPr>
              <w:pStyle w:val="36"/>
              <w:spacing w:before="0" w:beforeAutospacing="0" w:after="0" w:afterAutospacing="0" w:line="288" w:lineRule="auto"/>
              <w:ind w:firstLine="420"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本项目投标人可自行踏勘（采购代理机构不统一组织），各投标人根据采购内容及要求并结合自身情况选择是否进行踏勘活动，因现场勘查不准确造成的方案及报价偏差后果由投标人自行承担。</w:t>
            </w:r>
          </w:p>
        </w:tc>
      </w:tr>
      <w:tr w14:paraId="752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698" w:type="dxa"/>
            <w:vAlign w:val="center"/>
          </w:tcPr>
          <w:p w14:paraId="5AE76AB9">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2188" w:type="dxa"/>
            <w:vAlign w:val="center"/>
          </w:tcPr>
          <w:p w14:paraId="60BCCE13">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落实政府采购政策需满足的资格要求</w:t>
            </w:r>
          </w:p>
        </w:tc>
        <w:tc>
          <w:tcPr>
            <w:tcW w:w="6960" w:type="dxa"/>
            <w:vAlign w:val="center"/>
          </w:tcPr>
          <w:p w14:paraId="267F8DFE">
            <w:pPr>
              <w:snapToGrid w:val="0"/>
              <w:spacing w:line="288" w:lineRule="auto"/>
              <w:ind w:firstLine="420" w:firstLineChars="200"/>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vertAlign w:val="baseline"/>
                <w:lang w:eastAsia="zh-CN"/>
                <w14:textFill>
                  <w14:solidFill>
                    <w14:schemeClr w14:val="tx1"/>
                  </w14:solidFill>
                </w14:textFill>
              </w:rPr>
              <w:t>专门面向中小企业采购，投标人应为中型、小型、微型企业或监狱企业或残疾人福利性单位。投标人为中型、小型、微型企业的提供《中小企业声明函》，投标人为监狱企业的，应提供监狱企业的证明文件；投标人为残疾人福利性单位的，应提供《残疾人福利性单位声明函》(监狱企业或残疾人福利性单位视同中型、小型、微型企业)</w:t>
            </w: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(监狱企业或残疾人福利性单位视同小型、微型企业)。</w:t>
            </w:r>
          </w:p>
          <w:p w14:paraId="473680B3">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20" w:firstLineChars="20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本项目属性为：服务类</w:t>
            </w:r>
          </w:p>
          <w:p w14:paraId="7A2AF3D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20" w:firstLineChars="20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本项目采购标的所属行业为：餐饮业</w:t>
            </w:r>
          </w:p>
          <w:p w14:paraId="08868C4D">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划型标准：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308921">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根据《政府采购促进中小企业发展管理办法》（财库﹝2020﹞46号）第十一条相关规定。</w:t>
            </w:r>
            <w:r>
              <w:rPr>
                <w:rFonts w:hint="eastAsia" w:ascii="仿宋" w:hAnsi="仿宋" w:eastAsia="仿宋" w:cs="仿宋"/>
                <w:color w:val="000000" w:themeColor="text1"/>
                <w:sz w:val="21"/>
                <w:szCs w:val="21"/>
                <w:lang w:val="en-US" w:eastAsia="zh-CN"/>
                <w14:textFill>
                  <w14:solidFill>
                    <w14:schemeClr w14:val="tx1"/>
                  </w14:solidFill>
                </w14:textFill>
              </w:rPr>
              <w:t>小、微</w:t>
            </w:r>
            <w:r>
              <w:rPr>
                <w:rFonts w:hint="eastAsia" w:ascii="仿宋" w:hAnsi="仿宋" w:eastAsia="仿宋" w:cs="仿宋"/>
                <w:color w:val="000000" w:themeColor="text1"/>
                <w:sz w:val="21"/>
                <w:szCs w:val="21"/>
                <w14:textFill>
                  <w14:solidFill>
                    <w14:schemeClr w14:val="tx1"/>
                  </w14:solidFill>
                </w14:textFill>
              </w:rPr>
              <w:t>企业参加政府采购活动，应当出具有效的《中小企业声明函》，才可以通过资格审查并享受</w:t>
            </w:r>
            <w:r>
              <w:rPr>
                <w:rFonts w:hint="eastAsia" w:ascii="仿宋" w:hAnsi="仿宋" w:eastAsia="仿宋" w:cs="仿宋"/>
                <w:color w:val="000000" w:themeColor="text1"/>
                <w:sz w:val="21"/>
                <w:szCs w:val="21"/>
                <w:lang w:val="en-US" w:eastAsia="zh-CN"/>
                <w14:textFill>
                  <w14:solidFill>
                    <w14:schemeClr w14:val="tx1"/>
                  </w14:solidFill>
                </w14:textFill>
              </w:rPr>
              <w:t>小、微</w:t>
            </w:r>
            <w:r>
              <w:rPr>
                <w:rFonts w:hint="eastAsia" w:ascii="仿宋" w:hAnsi="仿宋" w:eastAsia="仿宋" w:cs="仿宋"/>
                <w:color w:val="000000" w:themeColor="text1"/>
                <w:sz w:val="21"/>
                <w:szCs w:val="21"/>
                <w14:textFill>
                  <w14:solidFill>
                    <w14:schemeClr w14:val="tx1"/>
                  </w14:solidFill>
                </w14:textFill>
              </w:rPr>
              <w:t>企业扶持政策</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未提供按无效投标文件处理</w:t>
            </w:r>
            <w:r>
              <w:rPr>
                <w:rFonts w:hint="eastAsia" w:ascii="仿宋" w:hAnsi="仿宋" w:eastAsia="仿宋" w:cs="仿宋"/>
                <w:color w:val="000000" w:themeColor="text1"/>
                <w:sz w:val="21"/>
                <w:szCs w:val="21"/>
                <w14:textFill>
                  <w14:solidFill>
                    <w14:schemeClr w14:val="tx1"/>
                  </w14:solidFill>
                </w14:textFill>
              </w:rPr>
              <w:t>。</w:t>
            </w:r>
          </w:p>
        </w:tc>
      </w:tr>
      <w:tr w14:paraId="0157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restart"/>
            <w:vAlign w:val="center"/>
          </w:tcPr>
          <w:p w14:paraId="3B710B38">
            <w:pPr>
              <w:snapToGrid w:val="0"/>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17</w:t>
            </w:r>
          </w:p>
        </w:tc>
        <w:tc>
          <w:tcPr>
            <w:tcW w:w="2188" w:type="dxa"/>
            <w:vAlign w:val="center"/>
          </w:tcPr>
          <w:p w14:paraId="22EB3C5A">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递交投标文件的截止时间和递交地点</w:t>
            </w:r>
          </w:p>
        </w:tc>
        <w:tc>
          <w:tcPr>
            <w:tcW w:w="6960" w:type="dxa"/>
            <w:vAlign w:val="center"/>
          </w:tcPr>
          <w:p w14:paraId="79F707A7">
            <w:pPr>
              <w:snapToGrid w:val="0"/>
              <w:spacing w:line="288" w:lineRule="auto"/>
              <w:rPr>
                <w:rFonts w:hint="eastAsia" w:ascii="仿宋" w:hAnsi="仿宋" w:eastAsia="仿宋" w:cs="仿宋"/>
                <w:b/>
                <w:bCs/>
                <w:color w:val="000000" w:themeColor="text1"/>
                <w:szCs w:val="21"/>
                <w:shd w:val="clear" w:color="auto" w:fill="FFFFFF"/>
                <w:lang w:val="en-US" w:eastAsia="zh-CN"/>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1、时间： </w:t>
            </w:r>
            <w:r>
              <w:rPr>
                <w:rFonts w:hint="eastAsia" w:ascii="仿宋" w:hAnsi="仿宋" w:eastAsia="仿宋" w:cs="仿宋"/>
                <w:b/>
                <w:bCs/>
                <w:color w:val="000000" w:themeColor="text1"/>
                <w:szCs w:val="21"/>
                <w:lang w:val="en-US" w:eastAsia="zh-CN"/>
                <w14:textFill>
                  <w14:solidFill>
                    <w14:schemeClr w14:val="tx1"/>
                  </w14:solidFill>
                </w14:textFill>
              </w:rPr>
              <w:t>同采购公告载明的时间一致，投标</w:t>
            </w:r>
            <w:r>
              <w:rPr>
                <w:rFonts w:hint="eastAsia" w:ascii="仿宋" w:hAnsi="仿宋" w:eastAsia="仿宋" w:cs="仿宋"/>
                <w:b/>
                <w:bCs/>
                <w:color w:val="000000" w:themeColor="text1"/>
                <w:szCs w:val="21"/>
                <w:lang w:val="zh-CN" w:eastAsia="zh-CN"/>
                <w14:textFill>
                  <w14:solidFill>
                    <w14:schemeClr w14:val="tx1"/>
                  </w14:solidFill>
                </w14:textFill>
              </w:rPr>
              <w:t>截止时间后送达的</w:t>
            </w:r>
            <w:r>
              <w:rPr>
                <w:rFonts w:hint="eastAsia" w:ascii="仿宋" w:hAnsi="仿宋" w:eastAsia="仿宋" w:cs="仿宋"/>
                <w:b/>
                <w:bCs/>
                <w:color w:val="000000" w:themeColor="text1"/>
                <w:szCs w:val="21"/>
                <w:lang w:val="en-US" w:eastAsia="zh-CN"/>
                <w14:textFill>
                  <w14:solidFill>
                    <w14:schemeClr w14:val="tx1"/>
                  </w14:solidFill>
                </w14:textFill>
              </w:rPr>
              <w:t>投标</w:t>
            </w:r>
            <w:r>
              <w:rPr>
                <w:rFonts w:hint="eastAsia" w:ascii="仿宋" w:hAnsi="仿宋" w:eastAsia="仿宋" w:cs="仿宋"/>
                <w:b/>
                <w:bCs/>
                <w:color w:val="000000" w:themeColor="text1"/>
                <w:szCs w:val="21"/>
                <w:lang w:val="zh-CN" w:eastAsia="zh-CN"/>
                <w14:textFill>
                  <w14:solidFill>
                    <w14:schemeClr w14:val="tx1"/>
                  </w14:solidFill>
                </w14:textFill>
              </w:rPr>
              <w:t>文件将被拒收</w:t>
            </w:r>
          </w:p>
          <w:p w14:paraId="64FF55DB">
            <w:pPr>
              <w:snapToGrid w:val="0"/>
              <w:spacing w:line="288" w:lineRule="auto"/>
              <w:rPr>
                <w:rFonts w:hint="eastAsia"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2、地点：</w:t>
            </w:r>
            <w:r>
              <w:rPr>
                <w:rFonts w:hint="eastAsia" w:ascii="仿宋" w:hAnsi="仿宋" w:eastAsia="仿宋" w:cs="仿宋"/>
                <w:b/>
                <w:bCs/>
                <w:color w:val="000000" w:themeColor="text1"/>
                <w:szCs w:val="21"/>
                <w:lang w:val="en-US" w:eastAsia="zh-CN"/>
                <w14:textFill>
                  <w14:solidFill>
                    <w14:schemeClr w14:val="tx1"/>
                  </w14:solidFill>
                </w14:textFill>
              </w:rPr>
              <w:t>同采购公告载明的地点一致</w:t>
            </w:r>
          </w:p>
        </w:tc>
      </w:tr>
      <w:tr w14:paraId="174A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3A92A2F8">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4CCD942F">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开标时间和地点</w:t>
            </w:r>
          </w:p>
        </w:tc>
        <w:tc>
          <w:tcPr>
            <w:tcW w:w="6960" w:type="dxa"/>
            <w:vAlign w:val="center"/>
          </w:tcPr>
          <w:p w14:paraId="51592E44">
            <w:pPr>
              <w:snapToGrid w:val="0"/>
              <w:spacing w:line="288" w:lineRule="auto"/>
              <w:rPr>
                <w:rFonts w:hint="eastAsia" w:ascii="仿宋" w:hAnsi="仿宋" w:eastAsia="仿宋" w:cs="仿宋"/>
                <w:b/>
                <w:bCs/>
                <w:color w:val="000000" w:themeColor="text1"/>
                <w:szCs w:val="21"/>
                <w:shd w:val="clear" w:color="auto" w:fill="FFFFFF"/>
                <w:lang w:val="en-US" w:eastAsia="zh-CN"/>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1、时间： </w:t>
            </w:r>
            <w:r>
              <w:rPr>
                <w:rFonts w:hint="eastAsia" w:ascii="仿宋" w:hAnsi="仿宋" w:eastAsia="仿宋" w:cs="仿宋"/>
                <w:b/>
                <w:bCs/>
                <w:color w:val="000000" w:themeColor="text1"/>
                <w:szCs w:val="21"/>
                <w:lang w:val="en-US" w:eastAsia="zh-CN"/>
                <w14:textFill>
                  <w14:solidFill>
                    <w14:schemeClr w14:val="tx1"/>
                  </w14:solidFill>
                </w14:textFill>
              </w:rPr>
              <w:t>同采购公告载明的时间一致，投标</w:t>
            </w:r>
            <w:r>
              <w:rPr>
                <w:rFonts w:hint="eastAsia" w:ascii="仿宋" w:hAnsi="仿宋" w:eastAsia="仿宋" w:cs="仿宋"/>
                <w:b/>
                <w:bCs/>
                <w:color w:val="000000" w:themeColor="text1"/>
                <w:szCs w:val="21"/>
                <w:lang w:val="zh-CN" w:eastAsia="zh-CN"/>
                <w14:textFill>
                  <w14:solidFill>
                    <w14:schemeClr w14:val="tx1"/>
                  </w14:solidFill>
                </w14:textFill>
              </w:rPr>
              <w:t>截止时间后送达的</w:t>
            </w:r>
            <w:r>
              <w:rPr>
                <w:rFonts w:hint="eastAsia" w:ascii="仿宋" w:hAnsi="仿宋" w:eastAsia="仿宋" w:cs="仿宋"/>
                <w:b/>
                <w:bCs/>
                <w:color w:val="000000" w:themeColor="text1"/>
                <w:szCs w:val="21"/>
                <w:lang w:val="en-US" w:eastAsia="zh-CN"/>
                <w14:textFill>
                  <w14:solidFill>
                    <w14:schemeClr w14:val="tx1"/>
                  </w14:solidFill>
                </w14:textFill>
              </w:rPr>
              <w:t>投标</w:t>
            </w:r>
            <w:r>
              <w:rPr>
                <w:rFonts w:hint="eastAsia" w:ascii="仿宋" w:hAnsi="仿宋" w:eastAsia="仿宋" w:cs="仿宋"/>
                <w:b/>
                <w:bCs/>
                <w:color w:val="000000" w:themeColor="text1"/>
                <w:szCs w:val="21"/>
                <w:lang w:val="zh-CN" w:eastAsia="zh-CN"/>
                <w14:textFill>
                  <w14:solidFill>
                    <w14:schemeClr w14:val="tx1"/>
                  </w14:solidFill>
                </w14:textFill>
              </w:rPr>
              <w:t>文件将被拒收</w:t>
            </w:r>
          </w:p>
          <w:p w14:paraId="5E016AFA">
            <w:pPr>
              <w:snapToGrid w:val="0"/>
              <w:spacing w:line="288" w:lineRule="auto"/>
              <w:rPr>
                <w:rFonts w:hint="eastAsia"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2、地点：</w:t>
            </w:r>
            <w:r>
              <w:rPr>
                <w:rFonts w:hint="eastAsia" w:ascii="仿宋" w:hAnsi="仿宋" w:eastAsia="仿宋" w:cs="仿宋"/>
                <w:b/>
                <w:bCs/>
                <w:color w:val="000000" w:themeColor="text1"/>
                <w:szCs w:val="21"/>
                <w:lang w:val="en-US" w:eastAsia="zh-CN"/>
                <w14:textFill>
                  <w14:solidFill>
                    <w14:schemeClr w14:val="tx1"/>
                  </w14:solidFill>
                </w14:textFill>
              </w:rPr>
              <w:t>同采购公告载明的地点一致</w:t>
            </w:r>
          </w:p>
        </w:tc>
      </w:tr>
      <w:tr w14:paraId="2BB7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8" w:type="dxa"/>
            <w:vAlign w:val="center"/>
          </w:tcPr>
          <w:p w14:paraId="71F4B09F">
            <w:pPr>
              <w:snapToGrid w:val="0"/>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18</w:t>
            </w:r>
          </w:p>
        </w:tc>
        <w:tc>
          <w:tcPr>
            <w:tcW w:w="2188" w:type="dxa"/>
            <w:vAlign w:val="center"/>
          </w:tcPr>
          <w:p w14:paraId="62E725D2">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投标保证金</w:t>
            </w:r>
          </w:p>
        </w:tc>
        <w:tc>
          <w:tcPr>
            <w:tcW w:w="6960" w:type="dxa"/>
            <w:vAlign w:val="center"/>
          </w:tcPr>
          <w:p w14:paraId="24E0DE76">
            <w:pPr>
              <w:pStyle w:val="104"/>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本项目不收取投标保证金</w:t>
            </w:r>
          </w:p>
        </w:tc>
      </w:tr>
      <w:tr w14:paraId="26B9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restart"/>
            <w:vAlign w:val="center"/>
          </w:tcPr>
          <w:p w14:paraId="2164AF56">
            <w:pPr>
              <w:snapToGrid w:val="0"/>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19</w:t>
            </w:r>
          </w:p>
        </w:tc>
        <w:tc>
          <w:tcPr>
            <w:tcW w:w="2188" w:type="dxa"/>
            <w:vAlign w:val="center"/>
          </w:tcPr>
          <w:p w14:paraId="24D60DCF">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投标文件份数</w:t>
            </w:r>
          </w:p>
        </w:tc>
        <w:tc>
          <w:tcPr>
            <w:tcW w:w="6960" w:type="dxa"/>
            <w:vAlign w:val="center"/>
          </w:tcPr>
          <w:p w14:paraId="14CAFA12">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投标文件包含正本1份、副本2份、投标文件电子版U盘2份及开标一览表1份</w:t>
            </w:r>
          </w:p>
        </w:tc>
      </w:tr>
      <w:tr w14:paraId="46FD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205DB856">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3ADCC144">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投标文件是否退还</w:t>
            </w:r>
          </w:p>
        </w:tc>
        <w:tc>
          <w:tcPr>
            <w:tcW w:w="6960" w:type="dxa"/>
            <w:vAlign w:val="center"/>
          </w:tcPr>
          <w:p w14:paraId="5A8E6CD0">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3D52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2F60C140">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4500EEEA">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投标文件签字</w:t>
            </w:r>
          </w:p>
          <w:p w14:paraId="59D57343">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或盖章要求</w:t>
            </w:r>
          </w:p>
        </w:tc>
        <w:tc>
          <w:tcPr>
            <w:tcW w:w="6960" w:type="dxa"/>
            <w:vAlign w:val="center"/>
          </w:tcPr>
          <w:p w14:paraId="6DD3EA8C">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投标人必须按照招标文件的规定和要求签字、盖章</w:t>
            </w:r>
          </w:p>
        </w:tc>
      </w:tr>
      <w:tr w14:paraId="0383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8" w:type="dxa"/>
            <w:vMerge w:val="continue"/>
            <w:vAlign w:val="center"/>
          </w:tcPr>
          <w:p w14:paraId="6FF05CC0">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26EDC628">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封装及封套注释</w:t>
            </w:r>
          </w:p>
        </w:tc>
        <w:tc>
          <w:tcPr>
            <w:tcW w:w="6960" w:type="dxa"/>
            <w:vAlign w:val="center"/>
          </w:tcPr>
          <w:p w14:paraId="01AB8B2E">
            <w:pPr>
              <w:numPr>
                <w:ilvl w:val="0"/>
                <w:numId w:val="3"/>
              </w:num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投标文件的正本、副本要求各自分装密封（封袋不得有破损），同时在封口处加贴封条并在骑缝处加盖投标人公章。封套上应载明的信息：项目名称、包号及编号、采购人名称、投标人名称，并注明“</w:t>
            </w:r>
            <w:r>
              <w:rPr>
                <w:rFonts w:hint="eastAsia" w:ascii="仿宋" w:hAnsi="仿宋" w:eastAsia="仿宋" w:cs="仿宋"/>
                <w:color w:val="000000" w:themeColor="text1"/>
                <w:szCs w:val="21"/>
                <w:u w:val="single"/>
                <w14:textFill>
                  <w14:solidFill>
                    <w14:schemeClr w14:val="tx1"/>
                  </w14:solidFill>
                </w14:textFill>
              </w:rPr>
              <w:t>正</w:t>
            </w:r>
            <w:r>
              <w:rPr>
                <w:rFonts w:hint="eastAsia" w:ascii="仿宋" w:hAnsi="仿宋" w:eastAsia="仿宋" w:cs="仿宋"/>
                <w:color w:val="000000" w:themeColor="text1"/>
                <w:szCs w:val="21"/>
                <w:u w:val="single"/>
                <w:lang w:val="en-US" w:eastAsia="zh-CN"/>
                <w14:textFill>
                  <w14:solidFill>
                    <w14:schemeClr w14:val="tx1"/>
                  </w14:solidFill>
                </w14:textFill>
              </w:rPr>
              <w:t>/</w:t>
            </w:r>
            <w:r>
              <w:rPr>
                <w:rFonts w:hint="eastAsia" w:ascii="仿宋" w:hAnsi="仿宋" w:eastAsia="仿宋" w:cs="仿宋"/>
                <w:color w:val="000000" w:themeColor="text1"/>
                <w:szCs w:val="21"/>
                <w:u w:val="single"/>
                <w14:textFill>
                  <w14:solidFill>
                    <w14:schemeClr w14:val="tx1"/>
                  </w14:solidFill>
                </w14:textFill>
              </w:rPr>
              <w:t>副本</w:t>
            </w:r>
            <w:r>
              <w:rPr>
                <w:rFonts w:hint="eastAsia" w:ascii="仿宋" w:hAnsi="仿宋" w:eastAsia="仿宋" w:cs="仿宋"/>
                <w:color w:val="000000" w:themeColor="text1"/>
                <w:szCs w:val="21"/>
                <w14:textFill>
                  <w14:solidFill>
                    <w14:schemeClr w14:val="tx1"/>
                  </w14:solidFill>
                </w14:textFill>
              </w:rPr>
              <w:t>”及“</w:t>
            </w:r>
            <w:r>
              <w:rPr>
                <w:rFonts w:hint="eastAsia" w:ascii="仿宋" w:hAnsi="仿宋" w:eastAsia="仿宋" w:cs="仿宋"/>
                <w:color w:val="000000" w:themeColor="text1"/>
                <w:szCs w:val="21"/>
                <w:u w:val="single"/>
                <w14:textFill>
                  <w14:solidFill>
                    <w14:schemeClr w14:val="tx1"/>
                  </w14:solidFill>
                </w14:textFill>
              </w:rPr>
              <w:t>在    年  月    日  时  分前不得开启</w:t>
            </w:r>
            <w:r>
              <w:rPr>
                <w:rFonts w:hint="eastAsia" w:ascii="仿宋" w:hAnsi="仿宋" w:eastAsia="仿宋" w:cs="仿宋"/>
                <w:color w:val="000000" w:themeColor="text1"/>
                <w:szCs w:val="21"/>
                <w14:textFill>
                  <w14:solidFill>
                    <w14:schemeClr w14:val="tx1"/>
                  </w14:solidFill>
                </w14:textFill>
              </w:rPr>
              <w:t>”字样。</w:t>
            </w:r>
          </w:p>
          <w:p w14:paraId="6F7CE2FC">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开标一览表要求单独密封（封袋不得有破损），同时在封口处加贴封条并在骑缝处加盖投标人公章；投标文件电子版U盘用信封包装后随开标一览表一起封装。封套上应载明的信息：项目名称及编号、采购人名称、投标人名称，并注明“开标一览表及电子版U盘”及“</w:t>
            </w:r>
            <w:r>
              <w:rPr>
                <w:rFonts w:hint="eastAsia" w:ascii="仿宋" w:hAnsi="仿宋" w:eastAsia="仿宋" w:cs="仿宋"/>
                <w:color w:val="000000" w:themeColor="text1"/>
                <w:szCs w:val="21"/>
                <w:u w:val="single"/>
                <w14:textFill>
                  <w14:solidFill>
                    <w14:schemeClr w14:val="tx1"/>
                  </w14:solidFill>
                </w14:textFill>
              </w:rPr>
              <w:t>在    年  月  日  时  分前不得开启</w:t>
            </w:r>
            <w:r>
              <w:rPr>
                <w:rFonts w:hint="eastAsia" w:ascii="仿宋" w:hAnsi="仿宋" w:eastAsia="仿宋" w:cs="仿宋"/>
                <w:color w:val="000000" w:themeColor="text1"/>
                <w:szCs w:val="21"/>
                <w14:textFill>
                  <w14:solidFill>
                    <w14:schemeClr w14:val="tx1"/>
                  </w14:solidFill>
                </w14:textFill>
              </w:rPr>
              <w:t>”字样</w:t>
            </w:r>
          </w:p>
        </w:tc>
      </w:tr>
      <w:tr w14:paraId="461F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restart"/>
            <w:vAlign w:val="center"/>
          </w:tcPr>
          <w:p w14:paraId="2D685472">
            <w:pPr>
              <w:snapToGrid w:val="0"/>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w:t>
            </w:r>
          </w:p>
        </w:tc>
        <w:tc>
          <w:tcPr>
            <w:tcW w:w="2188" w:type="dxa"/>
            <w:vAlign w:val="center"/>
          </w:tcPr>
          <w:p w14:paraId="012881CE">
            <w:pPr>
              <w:snapToGrid w:val="0"/>
              <w:ind w:firstLine="420" w:firstLineChars="20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评标</w:t>
            </w:r>
            <w:r>
              <w:rPr>
                <w:rFonts w:hint="eastAsia" w:ascii="仿宋" w:hAnsi="仿宋" w:eastAsia="仿宋" w:cs="仿宋"/>
                <w:color w:val="000000" w:themeColor="text1"/>
                <w:szCs w:val="21"/>
                <w14:textFill>
                  <w14:solidFill>
                    <w14:schemeClr w14:val="tx1"/>
                  </w14:solidFill>
                </w14:textFill>
              </w:rPr>
              <w:t>办法</w:t>
            </w:r>
          </w:p>
        </w:tc>
        <w:tc>
          <w:tcPr>
            <w:tcW w:w="6960" w:type="dxa"/>
            <w:vAlign w:val="center"/>
          </w:tcPr>
          <w:p w14:paraId="06A3425D">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详见招标文件第三章</w:t>
            </w:r>
          </w:p>
        </w:tc>
      </w:tr>
      <w:tr w14:paraId="2801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3CF17B8D">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45C6A962">
            <w:pPr>
              <w:pStyle w:val="150"/>
              <w:ind w:left="96"/>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评标委员会推荐中标候选人的人数</w:t>
            </w:r>
          </w:p>
        </w:tc>
        <w:tc>
          <w:tcPr>
            <w:tcW w:w="6960" w:type="dxa"/>
            <w:vAlign w:val="center"/>
          </w:tcPr>
          <w:p w14:paraId="3B228711">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推荐中标候选人数</w:t>
            </w:r>
            <w:r>
              <w:rPr>
                <w:rFonts w:hint="eastAsia" w:ascii="仿宋" w:hAnsi="仿宋" w:eastAsia="仿宋" w:cs="仿宋"/>
                <w:color w:val="000000" w:themeColor="text1"/>
                <w:szCs w:val="21"/>
                <w14:textFill>
                  <w14:solidFill>
                    <w14:schemeClr w14:val="tx1"/>
                  </w14:solidFill>
                </w14:textFill>
              </w:rPr>
              <w:t>为</w:t>
            </w:r>
            <w:r>
              <w:rPr>
                <w:rFonts w:hint="eastAsia" w:ascii="仿宋" w:hAnsi="仿宋" w:eastAsia="仿宋" w:cs="仿宋"/>
                <w:color w:val="000000" w:themeColor="text1"/>
                <w:szCs w:val="21"/>
                <w:u w:val="single"/>
                <w14:textFill>
                  <w14:solidFill>
                    <w14:schemeClr w14:val="tx1"/>
                  </w14:solidFill>
                </w14:textFill>
              </w:rPr>
              <w:t xml:space="preserve"> 3 </w:t>
            </w:r>
            <w:r>
              <w:rPr>
                <w:rFonts w:hint="eastAsia" w:ascii="仿宋" w:hAnsi="仿宋" w:eastAsia="仿宋" w:cs="仿宋"/>
                <w:color w:val="000000" w:themeColor="text1"/>
                <w:szCs w:val="21"/>
                <w14:textFill>
                  <w14:solidFill>
                    <w14:schemeClr w14:val="tx1"/>
                  </w14:solidFill>
                </w14:textFill>
              </w:rPr>
              <w:t>人</w:t>
            </w:r>
          </w:p>
        </w:tc>
      </w:tr>
      <w:tr w14:paraId="3025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6FB2BE09">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1F1847A1">
            <w:pPr>
              <w:snapToGrid w:val="0"/>
              <w:ind w:left="420" w:hanging="420" w:hangingChars="20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是否授权评标委员会确定中标人</w:t>
            </w:r>
          </w:p>
        </w:tc>
        <w:tc>
          <w:tcPr>
            <w:tcW w:w="6960" w:type="dxa"/>
            <w:vAlign w:val="center"/>
          </w:tcPr>
          <w:p w14:paraId="49DF27D4">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4250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8" w:type="dxa"/>
            <w:vMerge w:val="restart"/>
            <w:vAlign w:val="center"/>
          </w:tcPr>
          <w:p w14:paraId="63F4536F">
            <w:pPr>
              <w:snapToGrid w:val="0"/>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21</w:t>
            </w:r>
          </w:p>
        </w:tc>
        <w:tc>
          <w:tcPr>
            <w:tcW w:w="2188" w:type="dxa"/>
            <w:vAlign w:val="center"/>
          </w:tcPr>
          <w:p w14:paraId="57A14D76">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采购内容</w:t>
            </w:r>
          </w:p>
        </w:tc>
        <w:tc>
          <w:tcPr>
            <w:tcW w:w="6960" w:type="dxa"/>
            <w:vAlign w:val="center"/>
          </w:tcPr>
          <w:p w14:paraId="596BB81D">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详见招标文件第四章</w:t>
            </w:r>
          </w:p>
        </w:tc>
      </w:tr>
      <w:tr w14:paraId="20C3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8" w:type="dxa"/>
            <w:vMerge w:val="continue"/>
            <w:vAlign w:val="center"/>
          </w:tcPr>
          <w:p w14:paraId="26FD7823">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7A3D827E">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是否采购进口产品</w:t>
            </w:r>
          </w:p>
        </w:tc>
        <w:tc>
          <w:tcPr>
            <w:tcW w:w="6960" w:type="dxa"/>
            <w:vAlign w:val="center"/>
          </w:tcPr>
          <w:p w14:paraId="3F852509">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6348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8" w:type="dxa"/>
            <w:vMerge w:val="continue"/>
            <w:vAlign w:val="center"/>
          </w:tcPr>
          <w:p w14:paraId="210AA343">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7689FF3E">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服务期</w:t>
            </w:r>
          </w:p>
        </w:tc>
        <w:tc>
          <w:tcPr>
            <w:tcW w:w="6960" w:type="dxa"/>
            <w:vAlign w:val="center"/>
          </w:tcPr>
          <w:p w14:paraId="7C1C36EF">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6"/>
                <w:sz w:val="21"/>
                <w:szCs w:val="21"/>
                <w:lang w:val="en-US" w:eastAsia="zh-CN"/>
                <w14:textFill>
                  <w14:solidFill>
                    <w14:schemeClr w14:val="tx1"/>
                  </w14:solidFill>
                </w14:textFill>
              </w:rPr>
              <w:t>自合同签订之日起1年</w:t>
            </w:r>
          </w:p>
        </w:tc>
      </w:tr>
      <w:tr w14:paraId="6A5B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4A18ECBF">
            <w:pPr>
              <w:snapToGrid w:val="0"/>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22</w:t>
            </w:r>
          </w:p>
        </w:tc>
        <w:tc>
          <w:tcPr>
            <w:tcW w:w="2188" w:type="dxa"/>
            <w:vAlign w:val="center"/>
          </w:tcPr>
          <w:p w14:paraId="127130C6">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转包与分包履约</w:t>
            </w:r>
          </w:p>
        </w:tc>
        <w:tc>
          <w:tcPr>
            <w:tcW w:w="6960" w:type="dxa"/>
            <w:vAlign w:val="center"/>
          </w:tcPr>
          <w:p w14:paraId="75D0DCDE">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不得转包。若分包中标人在合同签订之前必须征得采购人同意（详见投标人须知第八项）</w:t>
            </w:r>
          </w:p>
        </w:tc>
      </w:tr>
      <w:tr w14:paraId="37BA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98" w:type="dxa"/>
            <w:vAlign w:val="center"/>
          </w:tcPr>
          <w:p w14:paraId="5D1F49C4">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3</w:t>
            </w:r>
          </w:p>
        </w:tc>
        <w:tc>
          <w:tcPr>
            <w:tcW w:w="2188" w:type="dxa"/>
            <w:vAlign w:val="center"/>
          </w:tcPr>
          <w:p w14:paraId="32A60A11">
            <w:pPr>
              <w:pStyle w:val="150"/>
              <w:ind w:left="96"/>
              <w:jc w:val="center"/>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中标公告的时间、</w:t>
            </w:r>
          </w:p>
          <w:p w14:paraId="068E0170">
            <w:pPr>
              <w:pStyle w:val="150"/>
              <w:ind w:left="96"/>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媒介和期限</w:t>
            </w:r>
          </w:p>
        </w:tc>
        <w:tc>
          <w:tcPr>
            <w:tcW w:w="6960" w:type="dxa"/>
            <w:vAlign w:val="center"/>
          </w:tcPr>
          <w:p w14:paraId="43B9F651">
            <w:pPr>
              <w:pStyle w:val="12"/>
              <w:spacing w:before="156" w:beforeLines="50" w:line="288" w:lineRule="auto"/>
              <w:ind w:firstLine="0"/>
              <w:textAlignment w:val="auto"/>
              <w:rPr>
                <w:rFonts w:ascii="仿宋" w:hAnsi="仿宋" w:eastAsia="仿宋" w:cs="仿宋"/>
                <w:color w:val="000000" w:themeColor="text1"/>
                <w:kern w:val="2"/>
                <w:szCs w:val="21"/>
                <w:lang w:val="zh-CN"/>
                <w14:textFill>
                  <w14:solidFill>
                    <w14:schemeClr w14:val="tx1"/>
                  </w14:solidFill>
                </w14:textFill>
              </w:rPr>
            </w:pPr>
            <w:r>
              <w:rPr>
                <w:rFonts w:hint="eastAsia" w:ascii="仿宋" w:hAnsi="仿宋" w:eastAsia="仿宋" w:cs="仿宋"/>
                <w:color w:val="000000" w:themeColor="text1"/>
                <w:kern w:val="2"/>
                <w:szCs w:val="21"/>
                <w:lang w:val="zh-CN"/>
                <w14:textFill>
                  <w14:solidFill>
                    <w14:schemeClr w14:val="tx1"/>
                  </w14:solidFill>
                </w14:textFill>
              </w:rPr>
              <w:t>公告时间：</w:t>
            </w:r>
            <w:r>
              <w:rPr>
                <w:rFonts w:hint="eastAsia" w:ascii="仿宋" w:hAnsi="仿宋" w:eastAsia="仿宋" w:cs="仿宋"/>
                <w:color w:val="000000" w:themeColor="text1"/>
                <w:kern w:val="2"/>
                <w:szCs w:val="21"/>
                <w14:textFill>
                  <w14:solidFill>
                    <w14:schemeClr w14:val="tx1"/>
                  </w14:solidFill>
                </w14:textFill>
              </w:rPr>
              <w:t>在确定中标人之日起2个工作日内</w:t>
            </w:r>
          </w:p>
          <w:p w14:paraId="4603F1E6">
            <w:pPr>
              <w:pStyle w:val="150"/>
              <w:autoSpaceDE/>
              <w:autoSpaceDN/>
              <w:spacing w:line="288" w:lineRule="auto"/>
              <w:jc w:val="both"/>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公告媒介：陕西省政府采购网</w:t>
            </w:r>
          </w:p>
          <w:p w14:paraId="094BA5DB">
            <w:pPr>
              <w:pStyle w:val="150"/>
              <w:autoSpaceDE/>
              <w:autoSpaceDN/>
              <w:spacing w:line="288" w:lineRule="auto"/>
              <w:jc w:val="both"/>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公告期限：1个工作日</w:t>
            </w:r>
          </w:p>
        </w:tc>
      </w:tr>
      <w:tr w14:paraId="5E61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698" w:type="dxa"/>
            <w:vAlign w:val="center"/>
          </w:tcPr>
          <w:p w14:paraId="42CD2864">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4</w:t>
            </w:r>
          </w:p>
        </w:tc>
        <w:tc>
          <w:tcPr>
            <w:tcW w:w="2188" w:type="dxa"/>
            <w:vAlign w:val="center"/>
          </w:tcPr>
          <w:p w14:paraId="21C3F345">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采购代理服务费</w:t>
            </w:r>
          </w:p>
        </w:tc>
        <w:tc>
          <w:tcPr>
            <w:tcW w:w="6960" w:type="dxa"/>
            <w:vAlign w:val="center"/>
          </w:tcPr>
          <w:p w14:paraId="413587BD">
            <w:pPr>
              <w:snapToGrid w:val="0"/>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color w:val="000000" w:themeColor="text1"/>
                <w:szCs w:val="21"/>
                <w:lang w:val="zh-CN"/>
                <w14:textFill>
                  <w14:solidFill>
                    <w14:schemeClr w14:val="tx1"/>
                  </w14:solidFill>
                </w14:textFill>
              </w:rPr>
              <w:t>、本项目由中标人向采购代理机构交纳招标代理服务费，招标代理服务费的收取依据原国家计委《招标代理服务收费管理暂行办法》（计价格[2002]1980号）、国家发展和改革委员会《国家发展改革委办公厅关于招标代理服务收费有关问题的通知》（发改办价格[2003]857号）和《国家发展改革委关于降低部分建设项目收费标准规范收费行为等有关问题的通知》（发改价格[2011]534号）文件的相关规定收取，代理服务费具体金额后续见本项目采购结果公告。相关服务费投标人可考虑在投标总报价中，采购人不再另行支付。</w:t>
            </w:r>
          </w:p>
          <w:p w14:paraId="6DB25942">
            <w:pPr>
              <w:snapToGrid w:val="0"/>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2、招标代理服务费的交纳方式：在领取《中标通知书》时向采购代理机构一次性全额交纳招标代理服务费。</w:t>
            </w:r>
          </w:p>
          <w:p w14:paraId="2EA604A4">
            <w:pPr>
              <w:snapToGrid w:val="0"/>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3、招标代理服务费以转账形式缴纳至以下账户：</w:t>
            </w:r>
          </w:p>
          <w:p w14:paraId="19E9BF55">
            <w:pPr>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交纳账户户名：同正项目管理有限公司汉中分公司</w:t>
            </w:r>
          </w:p>
          <w:p w14:paraId="5F5FD357">
            <w:pPr>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 xml:space="preserve">开户行：中国建设银行股份有限公司汉中北环路支行  </w:t>
            </w:r>
          </w:p>
          <w:p w14:paraId="0AE3D4C9">
            <w:pPr>
              <w:snapToGrid w:val="0"/>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账号：6105 0165 5200 0000 0101</w:t>
            </w:r>
          </w:p>
        </w:tc>
      </w:tr>
      <w:tr w14:paraId="06FF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tcBorders>
              <w:left w:val="single" w:color="auto" w:sz="4" w:space="0"/>
              <w:bottom w:val="single" w:color="auto" w:sz="4" w:space="0"/>
            </w:tcBorders>
            <w:vAlign w:val="center"/>
          </w:tcPr>
          <w:p w14:paraId="3CC6315C">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5</w:t>
            </w:r>
          </w:p>
        </w:tc>
        <w:tc>
          <w:tcPr>
            <w:tcW w:w="2188" w:type="dxa"/>
            <w:tcBorders>
              <w:bottom w:val="single" w:color="auto" w:sz="4" w:space="0"/>
            </w:tcBorders>
            <w:vAlign w:val="center"/>
          </w:tcPr>
          <w:p w14:paraId="165A5679">
            <w:pPr>
              <w:pStyle w:val="150"/>
              <w:jc w:val="center"/>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开标现场是否</w:t>
            </w:r>
          </w:p>
          <w:p w14:paraId="60DAE396">
            <w:pPr>
              <w:pStyle w:val="150"/>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演示与述标</w:t>
            </w:r>
          </w:p>
        </w:tc>
        <w:tc>
          <w:tcPr>
            <w:tcW w:w="6960" w:type="dxa"/>
            <w:tcBorders>
              <w:bottom w:val="single" w:color="auto" w:sz="4" w:space="0"/>
              <w:right w:val="single" w:color="auto" w:sz="4" w:space="0"/>
            </w:tcBorders>
            <w:vAlign w:val="center"/>
          </w:tcPr>
          <w:p w14:paraId="3856A92C">
            <w:pPr>
              <w:spacing w:line="288" w:lineRule="auto"/>
              <w:ind w:left="210" w:right="105" w:rightChars="5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5E33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tcBorders>
              <w:top w:val="single" w:color="auto" w:sz="4" w:space="0"/>
              <w:left w:val="single" w:color="auto" w:sz="4" w:space="0"/>
              <w:bottom w:val="single" w:color="auto" w:sz="4" w:space="0"/>
            </w:tcBorders>
            <w:vAlign w:val="center"/>
          </w:tcPr>
          <w:p w14:paraId="461B72FE">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6</w:t>
            </w:r>
          </w:p>
        </w:tc>
        <w:tc>
          <w:tcPr>
            <w:tcW w:w="2188" w:type="dxa"/>
            <w:tcBorders>
              <w:top w:val="single" w:color="auto" w:sz="4" w:space="0"/>
              <w:bottom w:val="single" w:color="auto" w:sz="4" w:space="0"/>
            </w:tcBorders>
            <w:vAlign w:val="center"/>
          </w:tcPr>
          <w:p w14:paraId="7D0CC8BB">
            <w:pPr>
              <w:pStyle w:val="150"/>
              <w:jc w:val="center"/>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开标现场是否</w:t>
            </w:r>
          </w:p>
          <w:p w14:paraId="59068BC7">
            <w:pPr>
              <w:pStyle w:val="150"/>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提供样品</w:t>
            </w:r>
          </w:p>
        </w:tc>
        <w:tc>
          <w:tcPr>
            <w:tcW w:w="6960" w:type="dxa"/>
            <w:tcBorders>
              <w:top w:val="single" w:color="auto" w:sz="4" w:space="0"/>
              <w:bottom w:val="single" w:color="auto" w:sz="4" w:space="0"/>
              <w:right w:val="single" w:color="auto" w:sz="4" w:space="0"/>
            </w:tcBorders>
            <w:vAlign w:val="center"/>
          </w:tcPr>
          <w:p w14:paraId="0628167D">
            <w:pPr>
              <w:spacing w:line="288" w:lineRule="auto"/>
              <w:ind w:right="105" w:rightChars="50" w:firstLine="210" w:firstLineChars="1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58B6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tcBorders>
              <w:top w:val="single" w:color="auto" w:sz="4" w:space="0"/>
              <w:left w:val="single" w:color="auto" w:sz="4" w:space="0"/>
              <w:bottom w:val="single" w:color="auto" w:sz="4" w:space="0"/>
            </w:tcBorders>
            <w:vAlign w:val="center"/>
          </w:tcPr>
          <w:p w14:paraId="2B0D9476">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7</w:t>
            </w:r>
          </w:p>
        </w:tc>
        <w:tc>
          <w:tcPr>
            <w:tcW w:w="2188" w:type="dxa"/>
            <w:tcBorders>
              <w:top w:val="single" w:color="auto" w:sz="4" w:space="0"/>
              <w:bottom w:val="single" w:color="auto" w:sz="4" w:space="0"/>
            </w:tcBorders>
            <w:vAlign w:val="center"/>
          </w:tcPr>
          <w:p w14:paraId="3105D79F">
            <w:pPr>
              <w:pStyle w:val="150"/>
              <w:jc w:val="center"/>
              <w:rPr>
                <w:rFonts w:hint="default" w:ascii="仿宋" w:hAnsi="仿宋" w:eastAsia="仿宋" w:cs="仿宋"/>
                <w:color w:val="000000" w:themeColor="text1"/>
                <w:kern w:val="2"/>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评标委员会</w:t>
            </w:r>
            <w:r>
              <w:rPr>
                <w:rFonts w:hint="eastAsia" w:ascii="仿宋" w:hAnsi="仿宋" w:eastAsia="仿宋" w:cs="仿宋"/>
                <w:color w:val="000000" w:themeColor="text1"/>
                <w:kern w:val="2"/>
                <w:sz w:val="21"/>
                <w:szCs w:val="21"/>
                <w:lang w:val="en-US" w:eastAsia="zh-CN"/>
                <w14:textFill>
                  <w14:solidFill>
                    <w14:schemeClr w14:val="tx1"/>
                  </w14:solidFill>
                </w14:textFill>
              </w:rPr>
              <w:t>的组建</w:t>
            </w:r>
          </w:p>
        </w:tc>
        <w:tc>
          <w:tcPr>
            <w:tcW w:w="6960" w:type="dxa"/>
            <w:tcBorders>
              <w:top w:val="single" w:color="auto" w:sz="4" w:space="0"/>
              <w:bottom w:val="single" w:color="auto" w:sz="4" w:space="0"/>
              <w:right w:val="single" w:color="auto" w:sz="4" w:space="0"/>
            </w:tcBorders>
            <w:vAlign w:val="center"/>
          </w:tcPr>
          <w:p w14:paraId="26DED00F">
            <w:pPr>
              <w:spacing w:line="288" w:lineRule="auto"/>
              <w:ind w:right="105" w:rightChars="50"/>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评标委员会构成: 7人</w:t>
            </w:r>
          </w:p>
          <w:p w14:paraId="72F54E96">
            <w:pPr>
              <w:spacing w:line="288" w:lineRule="auto"/>
              <w:ind w:right="105" w:rightChars="50"/>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其中采购人代表： 1 人，评审专家： 6人；</w:t>
            </w:r>
          </w:p>
          <w:p w14:paraId="2C9192B5">
            <w:pPr>
              <w:spacing w:line="288" w:lineRule="auto"/>
              <w:ind w:right="105" w:rightChars="5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评审专家确定方式：从陕西省财政厅设立的专家库中随机抽取</w:t>
            </w:r>
          </w:p>
        </w:tc>
      </w:tr>
    </w:tbl>
    <w:p w14:paraId="64DA6EF3">
      <w:pPr>
        <w:pStyle w:val="72"/>
        <w:spacing w:before="93" w:beforeLines="30" w:beforeAutospacing="0" w:after="0" w:afterAutospacing="0"/>
        <w:rPr>
          <w:rFonts w:ascii="楷体" w:hAnsi="楷体" w:eastAsia="楷体" w:cs="楷体"/>
          <w:color w:val="000000" w:themeColor="text1"/>
          <w:sz w:val="36"/>
          <w:szCs w:val="36"/>
          <w14:textFill>
            <w14:solidFill>
              <w14:schemeClr w14:val="tx1"/>
            </w14:solidFill>
          </w14:textFill>
        </w:rPr>
      </w:pPr>
      <w:r>
        <w:rPr>
          <w:rFonts w:hint="eastAsia" w:ascii="仿宋" w:hAnsi="仿宋" w:eastAsia="仿宋" w:cs="仿宋"/>
          <w:b/>
          <w:bCs/>
          <w:snapToGrid/>
          <w:color w:val="000000" w:themeColor="text1"/>
          <w:spacing w:val="0"/>
          <w:szCs w:val="22"/>
          <w14:textFill>
            <w14:solidFill>
              <w14:schemeClr w14:val="tx1"/>
            </w14:solidFill>
          </w14:textFill>
        </w:rPr>
        <w:t>注：投标人须知前附表与招标文件正文不一致的以投标人须知前附表为准。</w:t>
      </w:r>
      <w:bookmarkEnd w:id="37"/>
      <w:bookmarkEnd w:id="38"/>
      <w:bookmarkStart w:id="39" w:name="_Toc2796"/>
      <w:bookmarkStart w:id="40" w:name="_Toc32725"/>
      <w:bookmarkStart w:id="41" w:name="_Toc3248"/>
      <w:bookmarkStart w:id="42" w:name="_Toc25053"/>
      <w:bookmarkStart w:id="43" w:name="_Toc23249"/>
      <w:bookmarkStart w:id="44" w:name="_Toc27190"/>
      <w:bookmarkStart w:id="45" w:name="_Toc24712"/>
      <w:bookmarkStart w:id="46" w:name="_Toc30960"/>
      <w:bookmarkStart w:id="47" w:name="_Toc7365"/>
      <w:bookmarkStart w:id="48" w:name="_Toc26974"/>
      <w:bookmarkStart w:id="49" w:name="_Toc13154"/>
      <w:bookmarkStart w:id="50" w:name="_Toc4337"/>
      <w:bookmarkStart w:id="51" w:name="_Toc175973404"/>
      <w:bookmarkStart w:id="52" w:name="_Toc531189843"/>
      <w:bookmarkStart w:id="53" w:name="_Toc27632"/>
      <w:bookmarkStart w:id="54" w:name="_Toc25941_WPSOffice_Level1"/>
    </w:p>
    <w:p w14:paraId="661A1710">
      <w:pPr>
        <w:pStyle w:val="3"/>
        <w:ind w:firstLine="3253" w:firstLineChars="900"/>
        <w:jc w:val="both"/>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投标须知正文</w:t>
      </w:r>
    </w:p>
    <w:p w14:paraId="3556B657">
      <w:pPr>
        <w:tabs>
          <w:tab w:val="left" w:pos="7665"/>
        </w:tabs>
        <w:spacing w:before="156" w:beforeLines="50" w:after="156" w:afterLines="50" w:line="360" w:lineRule="auto"/>
        <w:ind w:firstLine="1"/>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一、名词解释</w:t>
      </w:r>
    </w:p>
    <w:p w14:paraId="621D8B83">
      <w:pPr>
        <w:adjustRightInd w:val="0"/>
        <w:snapToGrid w:val="0"/>
        <w:spacing w:before="156" w:beforeLines="50"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w:t>
      </w:r>
      <w:r>
        <w:rPr>
          <w:rFonts w:hint="eastAsia" w:ascii="仿宋" w:hAnsi="仿宋" w:eastAsia="仿宋" w:cs="仿宋"/>
          <w:b/>
          <w:bCs/>
          <w:color w:val="000000" w:themeColor="text1"/>
          <w:kern w:val="0"/>
          <w:szCs w:val="21"/>
          <w14:textFill>
            <w14:solidFill>
              <w14:schemeClr w14:val="tx1"/>
            </w14:solidFill>
          </w14:textFill>
        </w:rPr>
        <w:t>采购人</w:t>
      </w:r>
      <w:r>
        <w:rPr>
          <w:rFonts w:hint="eastAsia" w:ascii="仿宋" w:hAnsi="仿宋" w:eastAsia="仿宋" w:cs="仿宋"/>
          <w:color w:val="000000" w:themeColor="text1"/>
          <w:kern w:val="0"/>
          <w:szCs w:val="21"/>
          <w14:textFill>
            <w14:solidFill>
              <w14:schemeClr w14:val="tx1"/>
            </w14:solidFill>
          </w14:textFill>
        </w:rPr>
        <w:t>系指依法进行政府采购的国家机关、事业单位、团体组织。本次采购的采购人名称、地址、电话、联系人见投标人须知前附表。</w:t>
      </w:r>
    </w:p>
    <w:p w14:paraId="3D661DB7">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w:t>
      </w:r>
      <w:r>
        <w:rPr>
          <w:rFonts w:hint="eastAsia" w:ascii="仿宋" w:hAnsi="仿宋" w:eastAsia="仿宋" w:cs="仿宋"/>
          <w:b/>
          <w:bCs/>
          <w:color w:val="000000" w:themeColor="text1"/>
          <w:kern w:val="0"/>
          <w:szCs w:val="21"/>
          <w14:textFill>
            <w14:solidFill>
              <w14:schemeClr w14:val="tx1"/>
            </w14:solidFill>
          </w14:textFill>
        </w:rPr>
        <w:t>监督机构</w:t>
      </w:r>
      <w:r>
        <w:rPr>
          <w:rFonts w:hint="eastAsia" w:ascii="仿宋" w:hAnsi="仿宋" w:eastAsia="仿宋" w:cs="仿宋"/>
          <w:color w:val="000000" w:themeColor="text1"/>
          <w:kern w:val="0"/>
          <w:szCs w:val="21"/>
          <w14:textFill>
            <w14:solidFill>
              <w14:schemeClr w14:val="tx1"/>
            </w14:solidFill>
          </w14:textFill>
        </w:rPr>
        <w:t>系指政府采购行政监督管理部门。本次采购的监督机构</w:t>
      </w:r>
      <w:r>
        <w:rPr>
          <w:rFonts w:hint="eastAsia" w:ascii="仿宋" w:hAnsi="仿宋" w:eastAsia="仿宋" w:cs="仿宋"/>
          <w:color w:val="000000" w:themeColor="text1"/>
          <w:kern w:val="0"/>
          <w:szCs w:val="21"/>
          <w:lang w:val="en-US" w:eastAsia="zh-CN"/>
          <w14:textFill>
            <w14:solidFill>
              <w14:schemeClr w14:val="tx1"/>
            </w14:solidFill>
          </w14:textFill>
        </w:rPr>
        <w:t>为</w:t>
      </w:r>
      <w:r>
        <w:rPr>
          <w:rFonts w:hint="eastAsia" w:ascii="仿宋" w:hAnsi="仿宋" w:eastAsia="仿宋" w:cs="仿宋"/>
          <w:color w:val="000000" w:themeColor="text1"/>
          <w:kern w:val="0"/>
          <w:szCs w:val="21"/>
          <w14:textFill>
            <w14:solidFill>
              <w14:schemeClr w14:val="tx1"/>
            </w14:solidFill>
          </w14:textFill>
        </w:rPr>
        <w:t>同级财政监管部门。</w:t>
      </w:r>
    </w:p>
    <w:p w14:paraId="7120E56F">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w:t>
      </w:r>
      <w:r>
        <w:rPr>
          <w:rFonts w:hint="eastAsia" w:ascii="仿宋" w:hAnsi="仿宋" w:eastAsia="仿宋" w:cs="仿宋"/>
          <w:b/>
          <w:bCs/>
          <w:color w:val="000000" w:themeColor="text1"/>
          <w:kern w:val="0"/>
          <w:szCs w:val="21"/>
          <w14:textFill>
            <w14:solidFill>
              <w14:schemeClr w14:val="tx1"/>
            </w14:solidFill>
          </w14:textFill>
        </w:rPr>
        <w:t>采购代理机构</w:t>
      </w:r>
      <w:r>
        <w:rPr>
          <w:rFonts w:hint="eastAsia" w:ascii="仿宋" w:hAnsi="仿宋" w:eastAsia="仿宋" w:cs="仿宋"/>
          <w:color w:val="000000" w:themeColor="text1"/>
          <w:kern w:val="0"/>
          <w:szCs w:val="21"/>
          <w14:textFill>
            <w14:solidFill>
              <w14:schemeClr w14:val="tx1"/>
            </w14:solidFill>
          </w14:textFill>
        </w:rPr>
        <w:t>系指接受采购人委托，代理采购项目的依法经财政部门认定资格的采购代理机构。本次采购的采购代理机构名称、地址、电话、联系人见投标人须知前附表。</w:t>
      </w:r>
    </w:p>
    <w:p w14:paraId="5792C292">
      <w:pPr>
        <w:tabs>
          <w:tab w:val="left" w:pos="7665"/>
        </w:tabs>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w:t>
      </w:r>
      <w:r>
        <w:rPr>
          <w:rFonts w:hint="eastAsia" w:ascii="仿宋" w:hAnsi="仿宋" w:eastAsia="仿宋" w:cs="仿宋"/>
          <w:b/>
          <w:bCs/>
          <w:color w:val="000000" w:themeColor="text1"/>
          <w:kern w:val="0"/>
          <w:szCs w:val="21"/>
          <w14:textFill>
            <w14:solidFill>
              <w14:schemeClr w14:val="tx1"/>
            </w14:solidFill>
          </w14:textFill>
        </w:rPr>
        <w:t>投标人</w:t>
      </w:r>
      <w:r>
        <w:rPr>
          <w:rFonts w:hint="eastAsia" w:ascii="仿宋" w:hAnsi="仿宋" w:eastAsia="仿宋" w:cs="仿宋"/>
          <w:color w:val="000000" w:themeColor="text1"/>
          <w:kern w:val="0"/>
          <w:szCs w:val="21"/>
          <w14:textFill>
            <w14:solidFill>
              <w14:schemeClr w14:val="tx1"/>
            </w14:solidFill>
          </w14:textFill>
        </w:rPr>
        <w:t>是指响应招标，参加投标竞争的法人或其他组织或个人。</w:t>
      </w:r>
    </w:p>
    <w:p w14:paraId="0E65659D">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w:t>
      </w:r>
      <w:r>
        <w:rPr>
          <w:rFonts w:hint="eastAsia" w:ascii="仿宋" w:hAnsi="仿宋" w:eastAsia="仿宋" w:cs="仿宋"/>
          <w:b/>
          <w:bCs/>
          <w:color w:val="000000" w:themeColor="text1"/>
          <w:kern w:val="0"/>
          <w:szCs w:val="21"/>
          <w14:textFill>
            <w14:solidFill>
              <w14:schemeClr w14:val="tx1"/>
            </w14:solidFill>
          </w14:textFill>
        </w:rPr>
        <w:t>货物</w:t>
      </w:r>
      <w:r>
        <w:rPr>
          <w:rFonts w:hint="eastAsia" w:ascii="仿宋" w:hAnsi="仿宋" w:eastAsia="仿宋" w:cs="仿宋"/>
          <w:color w:val="000000" w:themeColor="text1"/>
          <w:kern w:val="0"/>
          <w:szCs w:val="21"/>
          <w14:textFill>
            <w14:solidFill>
              <w14:schemeClr w14:val="tx1"/>
            </w14:solidFill>
          </w14:textFill>
        </w:rPr>
        <w:t>是指本招标文件中第四章所述所有货物。</w:t>
      </w:r>
    </w:p>
    <w:p w14:paraId="7DEA6248">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1.6、</w:t>
      </w:r>
      <w:r>
        <w:rPr>
          <w:rFonts w:hint="eastAsia" w:ascii="仿宋" w:hAnsi="仿宋" w:eastAsia="仿宋" w:cs="仿宋"/>
          <w:b/>
          <w:bCs/>
          <w:color w:val="000000" w:themeColor="text1"/>
          <w:kern w:val="0"/>
          <w:szCs w:val="21"/>
          <w14:textFill>
            <w14:solidFill>
              <w14:schemeClr w14:val="tx1"/>
            </w14:solidFill>
          </w14:textFill>
        </w:rPr>
        <w:t>服务</w:t>
      </w:r>
      <w:r>
        <w:rPr>
          <w:rFonts w:hint="eastAsia" w:ascii="仿宋" w:hAnsi="仿宋" w:eastAsia="仿宋" w:cs="仿宋"/>
          <w:color w:val="000000" w:themeColor="text1"/>
          <w:kern w:val="0"/>
          <w:szCs w:val="21"/>
          <w14:textFill>
            <w14:solidFill>
              <w14:schemeClr w14:val="tx1"/>
            </w14:solidFill>
          </w14:textFill>
        </w:rPr>
        <w:t>是指人为满足招标文件要求而提供的服务。</w:t>
      </w:r>
    </w:p>
    <w:p w14:paraId="5B4CC506">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1.7、</w:t>
      </w:r>
      <w:r>
        <w:rPr>
          <w:rFonts w:hint="eastAsia" w:ascii="仿宋" w:hAnsi="仿宋" w:eastAsia="仿宋" w:cs="仿宋"/>
          <w:b/>
          <w:bCs/>
          <w:color w:val="000000" w:themeColor="text1"/>
          <w:kern w:val="0"/>
          <w:szCs w:val="21"/>
          <w14:textFill>
            <w14:solidFill>
              <w14:schemeClr w14:val="tx1"/>
            </w14:solidFill>
          </w14:textFill>
        </w:rPr>
        <w:t>节能产品</w:t>
      </w:r>
      <w:r>
        <w:rPr>
          <w:rFonts w:hint="eastAsia" w:ascii="仿宋" w:hAnsi="仿宋" w:eastAsia="仿宋" w:cs="仿宋"/>
          <w:color w:val="000000" w:themeColor="text1"/>
          <w:kern w:val="0"/>
          <w:szCs w:val="21"/>
          <w14:textFill>
            <w14:solidFill>
              <w14:schemeClr w14:val="tx1"/>
            </w14:solidFill>
          </w14:textFill>
        </w:rPr>
        <w:t>指财政部、发展改革委、生态环境部等部门发布的《节能产品品目清单》中的产品。</w:t>
      </w:r>
    </w:p>
    <w:p w14:paraId="55FBBF08">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1.8、</w:t>
      </w:r>
      <w:r>
        <w:rPr>
          <w:rFonts w:hint="eastAsia" w:ascii="仿宋" w:hAnsi="仿宋" w:eastAsia="仿宋" w:cs="仿宋"/>
          <w:b/>
          <w:bCs/>
          <w:color w:val="000000" w:themeColor="text1"/>
          <w:kern w:val="0"/>
          <w:szCs w:val="21"/>
          <w14:textFill>
            <w14:solidFill>
              <w14:schemeClr w14:val="tx1"/>
            </w14:solidFill>
          </w14:textFill>
        </w:rPr>
        <w:t>环境标志产品</w:t>
      </w:r>
      <w:r>
        <w:rPr>
          <w:rFonts w:hint="eastAsia" w:ascii="仿宋" w:hAnsi="仿宋" w:eastAsia="仿宋" w:cs="仿宋"/>
          <w:color w:val="000000" w:themeColor="text1"/>
          <w:kern w:val="0"/>
          <w:szCs w:val="21"/>
          <w14:textFill>
            <w14:solidFill>
              <w14:schemeClr w14:val="tx1"/>
            </w14:solidFill>
          </w14:textFill>
        </w:rPr>
        <w:t>是指财政部、发展改革委、生态环境部等部门发布的《环境标志产品品目清单》中的产品。</w:t>
      </w:r>
    </w:p>
    <w:p w14:paraId="0E1568C3">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1.9、</w:t>
      </w:r>
      <w:r>
        <w:rPr>
          <w:rFonts w:hint="eastAsia" w:ascii="仿宋" w:hAnsi="仿宋" w:eastAsia="仿宋" w:cs="仿宋"/>
          <w:b/>
          <w:bCs/>
          <w:color w:val="000000" w:themeColor="text1"/>
          <w:kern w:val="0"/>
          <w:szCs w:val="21"/>
          <w14:textFill>
            <w14:solidFill>
              <w14:schemeClr w14:val="tx1"/>
            </w14:solidFill>
          </w14:textFill>
        </w:rPr>
        <w:t>进口产品</w:t>
      </w:r>
      <w:r>
        <w:rPr>
          <w:rFonts w:hint="eastAsia" w:ascii="仿宋" w:hAnsi="仿宋" w:eastAsia="仿宋" w:cs="仿宋"/>
          <w:color w:val="000000" w:themeColor="text1"/>
          <w:kern w:val="0"/>
          <w:szCs w:val="21"/>
          <w14:textFill>
            <w14:solidFill>
              <w14:schemeClr w14:val="tx1"/>
            </w14:solidFill>
          </w14:textFill>
        </w:rPr>
        <w:t>是指通过中国海关报关验放进入中国境内且产自关境外的产品，详见《关于政府采购进口产品管理有关问题的通知》(财库[2007]119号)。</w:t>
      </w:r>
    </w:p>
    <w:p w14:paraId="766566EC">
      <w:pPr>
        <w:adjustRightInd w:val="0"/>
        <w:snapToGrid w:val="0"/>
        <w:spacing w:line="360" w:lineRule="auto"/>
        <w:ind w:firstLine="420" w:firstLineChars="200"/>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r>
        <w:rPr>
          <w:rFonts w:hint="eastAsia" w:ascii="仿宋" w:hAnsi="仿宋" w:eastAsia="仿宋" w:cs="仿宋"/>
          <w:b/>
          <w:bCs/>
          <w:color w:val="000000" w:themeColor="text1"/>
          <w:kern w:val="0"/>
          <w:szCs w:val="21"/>
          <w14:textFill>
            <w14:solidFill>
              <w14:schemeClr w14:val="tx1"/>
            </w14:solidFill>
          </w14:textFill>
        </w:rPr>
        <w:t>中小企业</w:t>
      </w:r>
      <w:r>
        <w:rPr>
          <w:rFonts w:hint="eastAsia" w:ascii="仿宋" w:hAnsi="仿宋" w:eastAsia="仿宋" w:cs="仿宋"/>
          <w:color w:val="000000" w:themeColor="text1"/>
          <w:kern w:val="0"/>
          <w:szCs w:val="21"/>
          <w14:textFill>
            <w14:solidFill>
              <w14:schemeClr w14:val="tx1"/>
            </w14:solidFill>
          </w14:textFill>
        </w:rPr>
        <w:t>是指符合《工业和信息化部、国家统计局、国家发展和改革委员会、财政部关于印发中小企业划型标准规定的通知》（工信部联企业[2011]300号）规定的对中小企业的划分标准的企业</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参加政府采购活动的</w:t>
      </w:r>
      <w:r>
        <w:rPr>
          <w:rFonts w:hint="eastAsia" w:ascii="仿宋" w:hAnsi="仿宋" w:eastAsia="仿宋" w:cs="仿宋"/>
          <w:color w:val="000000" w:themeColor="text1"/>
          <w:kern w:val="0"/>
          <w:szCs w:val="21"/>
          <w:lang w:val="en-US" w:eastAsia="zh-CN"/>
          <w14:textFill>
            <w14:solidFill>
              <w14:schemeClr w14:val="tx1"/>
            </w14:solidFill>
          </w14:textFill>
        </w:rPr>
        <w:t>小、微</w:t>
      </w:r>
      <w:r>
        <w:rPr>
          <w:rFonts w:hint="eastAsia" w:ascii="仿宋" w:hAnsi="仿宋" w:eastAsia="仿宋" w:cs="仿宋"/>
          <w:color w:val="000000" w:themeColor="text1"/>
          <w:kern w:val="0"/>
          <w:szCs w:val="21"/>
          <w14:textFill>
            <w14:solidFill>
              <w14:schemeClr w14:val="tx1"/>
            </w14:solidFill>
          </w14:textFill>
        </w:rPr>
        <w:t>企业提交的声明函应当按采购文件中规定的统一格式填写，信息完整，不得随意增删或修改其内容。未按规定格式填写、信息不完整的声明函将其</w:t>
      </w:r>
      <w:r>
        <w:rPr>
          <w:rFonts w:hint="eastAsia" w:ascii="仿宋" w:hAnsi="仿宋" w:eastAsia="仿宋" w:cs="仿宋"/>
          <w:color w:val="000000" w:themeColor="text1"/>
          <w:kern w:val="0"/>
          <w:szCs w:val="21"/>
          <w:lang w:val="en-US" w:eastAsia="zh-CN"/>
          <w14:textFill>
            <w14:solidFill>
              <w14:schemeClr w14:val="tx1"/>
            </w14:solidFill>
          </w14:textFill>
        </w:rPr>
        <w:t>投标</w:t>
      </w:r>
      <w:r>
        <w:rPr>
          <w:rFonts w:hint="eastAsia" w:ascii="仿宋" w:hAnsi="仿宋" w:eastAsia="仿宋" w:cs="仿宋"/>
          <w:color w:val="000000" w:themeColor="text1"/>
          <w:kern w:val="0"/>
          <w:szCs w:val="21"/>
          <w14:textFill>
            <w14:solidFill>
              <w14:schemeClr w14:val="tx1"/>
            </w14:solidFill>
          </w14:textFill>
        </w:rPr>
        <w:t>文件作为无效</w:t>
      </w:r>
      <w:r>
        <w:rPr>
          <w:rFonts w:hint="eastAsia" w:ascii="仿宋" w:hAnsi="仿宋" w:eastAsia="仿宋" w:cs="仿宋"/>
          <w:color w:val="000000" w:themeColor="text1"/>
          <w:kern w:val="0"/>
          <w:szCs w:val="21"/>
          <w:lang w:val="en-US" w:eastAsia="zh-CN"/>
          <w14:textFill>
            <w14:solidFill>
              <w14:schemeClr w14:val="tx1"/>
            </w14:solidFill>
          </w14:textFill>
        </w:rPr>
        <w:t>投标</w:t>
      </w:r>
      <w:r>
        <w:rPr>
          <w:rFonts w:hint="eastAsia" w:ascii="仿宋" w:hAnsi="仿宋" w:eastAsia="仿宋" w:cs="仿宋"/>
          <w:color w:val="000000" w:themeColor="text1"/>
          <w:kern w:val="0"/>
          <w:szCs w:val="21"/>
          <w14:textFill>
            <w14:solidFill>
              <w14:schemeClr w14:val="tx1"/>
            </w14:solidFill>
          </w14:textFill>
        </w:rPr>
        <w:t>文件处理</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《中小企业声明函》落款、盖章的主体应当是参加政府采购活动的</w:t>
      </w:r>
      <w:r>
        <w:rPr>
          <w:rFonts w:hint="eastAsia" w:ascii="仿宋" w:hAnsi="仿宋" w:eastAsia="仿宋" w:cs="仿宋"/>
          <w:color w:val="000000" w:themeColor="text1"/>
          <w:kern w:val="0"/>
          <w:szCs w:val="21"/>
          <w:lang w:eastAsia="zh-CN"/>
          <w14:textFill>
            <w14:solidFill>
              <w14:schemeClr w14:val="tx1"/>
            </w14:solidFill>
          </w14:textFill>
        </w:rPr>
        <w:t>投标人</w:t>
      </w:r>
      <w:r>
        <w:rPr>
          <w:rFonts w:hint="eastAsia" w:ascii="仿宋" w:hAnsi="仿宋" w:eastAsia="仿宋" w:cs="仿宋"/>
          <w:color w:val="000000" w:themeColor="text1"/>
          <w:kern w:val="0"/>
          <w:szCs w:val="21"/>
          <w14:textFill>
            <w14:solidFill>
              <w14:schemeClr w14:val="tx1"/>
            </w14:solidFill>
          </w14:textFill>
        </w:rPr>
        <w:t>，且由其承担保证信息真实性的法律责任。落款、盖章的主体与获取文件的</w:t>
      </w:r>
      <w:r>
        <w:rPr>
          <w:rFonts w:hint="eastAsia" w:ascii="仿宋" w:hAnsi="仿宋" w:eastAsia="仿宋" w:cs="仿宋"/>
          <w:color w:val="000000" w:themeColor="text1"/>
          <w:kern w:val="0"/>
          <w:szCs w:val="21"/>
          <w:lang w:eastAsia="zh-CN"/>
          <w14:textFill>
            <w14:solidFill>
              <w14:schemeClr w14:val="tx1"/>
            </w14:solidFill>
          </w14:textFill>
        </w:rPr>
        <w:t>投标人</w:t>
      </w:r>
      <w:r>
        <w:rPr>
          <w:rFonts w:hint="eastAsia" w:ascii="仿宋" w:hAnsi="仿宋" w:eastAsia="仿宋" w:cs="仿宋"/>
          <w:color w:val="000000" w:themeColor="text1"/>
          <w:kern w:val="0"/>
          <w:szCs w:val="21"/>
          <w14:textFill>
            <w14:solidFill>
              <w14:schemeClr w14:val="tx1"/>
            </w14:solidFill>
          </w14:textFill>
        </w:rPr>
        <w:t>不一致时，将其</w:t>
      </w:r>
      <w:r>
        <w:rPr>
          <w:rFonts w:hint="eastAsia" w:ascii="仿宋" w:hAnsi="仿宋" w:eastAsia="仿宋" w:cs="仿宋"/>
          <w:color w:val="000000" w:themeColor="text1"/>
          <w:kern w:val="0"/>
          <w:szCs w:val="21"/>
          <w:lang w:val="en-US" w:eastAsia="zh-CN"/>
          <w14:textFill>
            <w14:solidFill>
              <w14:schemeClr w14:val="tx1"/>
            </w14:solidFill>
          </w14:textFill>
        </w:rPr>
        <w:t>投标</w:t>
      </w:r>
      <w:r>
        <w:rPr>
          <w:rFonts w:hint="eastAsia" w:ascii="仿宋" w:hAnsi="仿宋" w:eastAsia="仿宋" w:cs="仿宋"/>
          <w:color w:val="000000" w:themeColor="text1"/>
          <w:kern w:val="0"/>
          <w:szCs w:val="21"/>
          <w14:textFill>
            <w14:solidFill>
              <w14:schemeClr w14:val="tx1"/>
            </w14:solidFill>
          </w14:textFill>
        </w:rPr>
        <w:t>文件作为无效</w:t>
      </w:r>
      <w:r>
        <w:rPr>
          <w:rFonts w:hint="eastAsia" w:ascii="仿宋" w:hAnsi="仿宋" w:eastAsia="仿宋" w:cs="仿宋"/>
          <w:color w:val="000000" w:themeColor="text1"/>
          <w:kern w:val="0"/>
          <w:szCs w:val="21"/>
          <w:lang w:val="en-US" w:eastAsia="zh-CN"/>
          <w14:textFill>
            <w14:solidFill>
              <w14:schemeClr w14:val="tx1"/>
            </w14:solidFill>
          </w14:textFill>
        </w:rPr>
        <w:t>投标</w:t>
      </w:r>
      <w:r>
        <w:rPr>
          <w:rFonts w:hint="eastAsia" w:ascii="仿宋" w:hAnsi="仿宋" w:eastAsia="仿宋" w:cs="仿宋"/>
          <w:color w:val="000000" w:themeColor="text1"/>
          <w:kern w:val="0"/>
          <w:szCs w:val="21"/>
          <w14:textFill>
            <w14:solidFill>
              <w14:schemeClr w14:val="tx1"/>
            </w14:solidFill>
          </w14:textFill>
        </w:rPr>
        <w:t>文件处理</w:t>
      </w:r>
      <w:r>
        <w:rPr>
          <w:rFonts w:hint="eastAsia" w:ascii="仿宋" w:hAnsi="仿宋" w:eastAsia="仿宋" w:cs="仿宋"/>
          <w:color w:val="000000" w:themeColor="text1"/>
          <w:kern w:val="0"/>
          <w:szCs w:val="21"/>
          <w:lang w:eastAsia="zh-CN"/>
          <w14:textFill>
            <w14:solidFill>
              <w14:schemeClr w14:val="tx1"/>
            </w14:solidFill>
          </w14:textFill>
        </w:rPr>
        <w:t>。</w:t>
      </w:r>
    </w:p>
    <w:p w14:paraId="7CAD8D2C">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1.11.</w:t>
      </w:r>
      <w:r>
        <w:rPr>
          <w:rFonts w:hint="eastAsia" w:ascii="仿宋" w:hAnsi="仿宋" w:eastAsia="仿宋" w:cs="仿宋"/>
          <w:b/>
          <w:bCs/>
          <w:color w:val="000000" w:themeColor="text1"/>
          <w:kern w:val="0"/>
          <w:szCs w:val="21"/>
          <w14:textFill>
            <w14:solidFill>
              <w14:schemeClr w14:val="tx1"/>
            </w14:solidFill>
          </w14:textFill>
        </w:rPr>
        <w:t xml:space="preserve"> 监狱企业</w:t>
      </w:r>
      <w:r>
        <w:rPr>
          <w:rFonts w:hint="eastAsia" w:ascii="仿宋" w:hAnsi="仿宋" w:eastAsia="仿宋" w:cs="仿宋"/>
          <w:color w:val="000000" w:themeColor="text1"/>
          <w:kern w:val="0"/>
          <w:szCs w:val="21"/>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FDB29A">
      <w:pPr>
        <w:pStyle w:val="3"/>
        <w:snapToGrid w:val="0"/>
        <w:ind w:firstLine="420" w:firstLineChars="200"/>
        <w:jc w:val="both"/>
        <w:rPr>
          <w:rFonts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 xml:space="preserve">1.12. </w:t>
      </w:r>
      <w:r>
        <w:rPr>
          <w:rFonts w:hint="eastAsia" w:ascii="仿宋" w:hAnsi="仿宋" w:eastAsia="仿宋" w:cs="仿宋"/>
          <w:color w:val="000000" w:themeColor="text1"/>
          <w:sz w:val="21"/>
          <w:szCs w:val="21"/>
          <w14:textFill>
            <w14:solidFill>
              <w14:schemeClr w14:val="tx1"/>
            </w14:solidFill>
          </w14:textFill>
        </w:rPr>
        <w:t>残疾人福利性单位</w:t>
      </w:r>
      <w:r>
        <w:rPr>
          <w:rFonts w:hint="eastAsia" w:ascii="仿宋" w:hAnsi="仿宋" w:eastAsia="仿宋" w:cs="仿宋"/>
          <w:b w:val="0"/>
          <w:bCs w:val="0"/>
          <w:color w:val="000000" w:themeColor="text1"/>
          <w:sz w:val="21"/>
          <w:szCs w:val="21"/>
          <w14:textFill>
            <w14:solidFill>
              <w14:schemeClr w14:val="tx1"/>
            </w14:solidFill>
          </w14:textFill>
        </w:rPr>
        <w:t>是指符合《财政部、民政部、中国残疾人联合会关于促进残疾人就业政府采购政策的通知》（财库〔2017〕141号）规定条件的单位。</w:t>
      </w:r>
    </w:p>
    <w:p w14:paraId="7448A59E">
      <w:pPr>
        <w:adjustRightInd w:val="0"/>
        <w:snapToGrid w:val="0"/>
        <w:spacing w:line="308" w:lineRule="auto"/>
        <w:ind w:firstLine="420" w:firstLineChars="200"/>
        <w:rPr>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1.13.</w:t>
      </w:r>
      <w:r>
        <w:rPr>
          <w:rFonts w:hint="eastAsia" w:ascii="仿宋" w:hAnsi="仿宋" w:eastAsia="仿宋" w:cs="仿宋"/>
          <w:b/>
          <w:bCs/>
          <w:color w:val="000000" w:themeColor="text1"/>
          <w:szCs w:val="21"/>
          <w14:textFill>
            <w14:solidFill>
              <w14:schemeClr w14:val="tx1"/>
            </w14:solidFill>
          </w14:textFill>
        </w:rPr>
        <w:t>政府采购信用融资：</w:t>
      </w:r>
      <w:r>
        <w:rPr>
          <w:rFonts w:hint="eastAsia" w:ascii="仿宋" w:hAnsi="仿宋" w:eastAsia="仿宋" w:cs="仿宋"/>
          <w:color w:val="000000" w:themeColor="text1"/>
          <w:szCs w:val="21"/>
          <w14:textFill>
            <w14:solidFill>
              <w14:schemeClr w14:val="tx1"/>
            </w14:solidFill>
          </w14:textFill>
        </w:rPr>
        <w:t>本着</w:t>
      </w:r>
      <w:r>
        <w:rPr>
          <w:rFonts w:hint="eastAsia" w:ascii="仿宋" w:hAnsi="仿宋" w:eastAsia="仿宋" w:cs="仿宋"/>
          <w:color w:val="000000" w:themeColor="text1"/>
          <w:szCs w:val="21"/>
          <w:lang w:val="en"/>
          <w14:textFill>
            <w14:solidFill>
              <w14:schemeClr w14:val="tx1"/>
            </w14:solidFill>
          </w14:textFill>
        </w:rPr>
        <w:t>“银企自愿，风险自担”的原则，</w:t>
      </w:r>
      <w:r>
        <w:rPr>
          <w:rFonts w:hint="eastAsia" w:ascii="仿宋" w:hAnsi="仿宋" w:eastAsia="仿宋" w:cs="仿宋"/>
          <w:color w:val="000000" w:themeColor="text1"/>
          <w:szCs w:val="21"/>
          <w14:textFill>
            <w14:solidFill>
              <w14:schemeClr w14:val="tx1"/>
            </w14:solidFill>
          </w14:textFill>
        </w:rPr>
        <w:t>中标人为中小企业的可以自愿选择</w:t>
      </w:r>
      <w:r>
        <w:rPr>
          <w:rFonts w:hint="eastAsia" w:ascii="仿宋" w:hAnsi="仿宋" w:eastAsia="仿宋" w:cs="仿宋"/>
          <w:color w:val="000000" w:themeColor="text1"/>
          <w:szCs w:val="21"/>
          <w:lang w:val="en"/>
          <w14:textFill>
            <w14:solidFill>
              <w14:schemeClr w14:val="tx1"/>
            </w14:solidFill>
          </w14:textFill>
        </w:rPr>
        <w:t>政府采购贷款进行融资，通过“陕西省政府采购合同融资平台”（http://www.ccgp-shaanxi.gov.cn/zcdservice/zcd/shanxi/）实施。</w:t>
      </w:r>
    </w:p>
    <w:p w14:paraId="7387B0D7">
      <w:pPr>
        <w:pStyle w:val="3"/>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二、投标人</w:t>
      </w:r>
    </w:p>
    <w:p w14:paraId="55469893">
      <w:pPr>
        <w:pStyle w:val="12"/>
        <w:overflowPunct w:val="0"/>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bookmarkStart w:id="55" w:name="_Toc175973398"/>
      <w:bookmarkStart w:id="56" w:name="_Toc531189837"/>
      <w:r>
        <w:rPr>
          <w:rFonts w:hint="eastAsia" w:ascii="仿宋" w:hAnsi="仿宋" w:eastAsia="仿宋" w:cs="仿宋"/>
          <w:b/>
          <w:color w:val="000000" w:themeColor="text1"/>
          <w:szCs w:val="21"/>
          <w14:textFill>
            <w14:solidFill>
              <w14:schemeClr w14:val="tx1"/>
            </w14:solidFill>
          </w14:textFill>
        </w:rPr>
        <w:t>2.1、投标委托</w:t>
      </w:r>
    </w:p>
    <w:p w14:paraId="607521BC">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如投标人代表不是法定代表人，须持有《法定代表人授权委托书》，格式见本招标文件。</w:t>
      </w:r>
    </w:p>
    <w:p w14:paraId="3FBE80F9">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2.2、投标费用 </w:t>
      </w:r>
    </w:p>
    <w:p w14:paraId="60C985A9">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无论投标过程中的做法和结果如何，投标人自行承担所有与参加投标有关的全部费用。</w:t>
      </w:r>
    </w:p>
    <w:p w14:paraId="30F8F91F">
      <w:pPr>
        <w:pStyle w:val="12"/>
        <w:overflowPunct w:val="0"/>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3、合格的投标人应具备以下条件：</w:t>
      </w:r>
    </w:p>
    <w:p w14:paraId="125595C2">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（1）具备且满足本招标文件规定的投标人资格条件；</w:t>
      </w:r>
    </w:p>
    <w:p w14:paraId="47DFF2F4">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（2）从采购代理机构获取了招标文件；</w:t>
      </w:r>
    </w:p>
    <w:p w14:paraId="7F775173">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（3）遵守国家和地方有关的法律法规、规章和规范性文件要求。</w:t>
      </w:r>
    </w:p>
    <w:p w14:paraId="4C4DDEFD">
      <w:pPr>
        <w:pStyle w:val="12"/>
        <w:overflowPunct w:val="0"/>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4、投标人不得存在下列情形之一：</w:t>
      </w:r>
    </w:p>
    <w:p w14:paraId="1CA7FAC2">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（1）与采购人、采购代理机构存在隶属关系或者其他利害关系，且可能影响招标公正性；</w:t>
      </w:r>
    </w:p>
    <w:p w14:paraId="10E1959E">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（2）与本采购项目其他投标人的法定代表人（或者负责人）为同一人；</w:t>
      </w:r>
    </w:p>
    <w:p w14:paraId="72A95541">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（3）与本采购项目其他投标人存在控股、管理关系；</w:t>
      </w:r>
    </w:p>
    <w:p w14:paraId="17F3CC41">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（4）为本项目采购代理机构；</w:t>
      </w:r>
    </w:p>
    <w:p w14:paraId="67F20CCF">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（5）为本项目代理投标的为其采购代理机构；</w:t>
      </w:r>
    </w:p>
    <w:p w14:paraId="17C1E454">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（6）为本项目提供整体设计、规范编制或者项目管理、监理、检测、咨询服务；</w:t>
      </w:r>
    </w:p>
    <w:p w14:paraId="4C2B768E">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（7）受到刑事处罚；</w:t>
      </w:r>
    </w:p>
    <w:p w14:paraId="62033C1D">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（8）投标人因违法经营受到刑事处罚或者责令停产停业、吊销许可证或者执照、较大数额罚款等行政处罚；</w:t>
      </w:r>
    </w:p>
    <w:p w14:paraId="17B041A2">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（9）被责令停产停业、暂扣或者吊销许可证、暂扣或者吊销执照的行政处罚；</w:t>
      </w:r>
    </w:p>
    <w:p w14:paraId="07006EF8">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（10）被列入失信被执行人名单；</w:t>
      </w:r>
    </w:p>
    <w:p w14:paraId="3023A17C">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（11）被列入重大税收违法案件当事人名单；</w:t>
      </w:r>
    </w:p>
    <w:p w14:paraId="748C56D6">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（12）被禁止在一至三年内参加政府采购活动或存在财政部门认定的其他重大违法记录；</w:t>
      </w:r>
    </w:p>
    <w:p w14:paraId="53B1398A">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（13）法律法规规定的其他情形。</w:t>
      </w:r>
    </w:p>
    <w:p w14:paraId="5E566B8A">
      <w:pPr>
        <w:pStyle w:val="16"/>
        <w:rPr>
          <w:rFonts w:hint="default"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5、</w:t>
      </w:r>
      <w:r>
        <w:rPr>
          <w:rFonts w:hint="eastAsia" w:ascii="仿宋" w:hAnsi="仿宋" w:eastAsia="仿宋" w:cs="仿宋"/>
          <w:b/>
          <w:bCs/>
          <w:color w:val="000000" w:themeColor="text1"/>
          <w:kern w:val="0"/>
          <w:sz w:val="21"/>
          <w:szCs w:val="21"/>
          <w:lang w:val="en-US" w:eastAsia="zh-CN" w:bidi="ar-SA"/>
          <w14:textFill>
            <w14:solidFill>
              <w14:schemeClr w14:val="tx1"/>
            </w14:solidFill>
          </w14:textFill>
        </w:rPr>
        <w:t>落实政府采购政策</w:t>
      </w:r>
    </w:p>
    <w:p w14:paraId="5AE7EC50">
      <w:pPr>
        <w:pStyle w:val="12"/>
        <w:overflowPunct w:val="0"/>
        <w:snapToGrid w:val="0"/>
        <w:spacing w:line="360" w:lineRule="auto"/>
        <w:ind w:left="0" w:leftChars="0"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5.1、节能产品、环境标志产品</w:t>
      </w:r>
    </w:p>
    <w:p w14:paraId="42EBD2E9">
      <w:pPr>
        <w:pStyle w:val="12"/>
        <w:overflowPunct w:val="0"/>
        <w:snapToGrid w:val="0"/>
        <w:spacing w:line="360" w:lineRule="auto"/>
        <w:ind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2.5.1.1、投标人所投产品，将依据《节能产品、环境标志产品品目清单》和认证证书实施政府优先采购和强制采购。</w:t>
      </w:r>
    </w:p>
    <w:p w14:paraId="03E09502">
      <w:pPr>
        <w:pStyle w:val="12"/>
        <w:overflowPunct w:val="0"/>
        <w:snapToGrid w:val="0"/>
        <w:spacing w:line="360" w:lineRule="auto"/>
        <w:ind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2.5.1.2、投标人可以提供所投产品经国家确定的认证机构出具的、处于有效期之内的节能产品、环境标志产品认证证书复印件。采购代理机构通过中国政府采购网（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ascii="仿宋" w:hAnsi="仿宋" w:eastAsia="仿宋" w:cs="仿宋"/>
          <w:bCs/>
          <w:color w:val="000000" w:themeColor="text1"/>
          <w:szCs w:val="21"/>
          <w14:textFill>
            <w14:solidFill>
              <w14:schemeClr w14:val="tx1"/>
            </w14:solidFill>
          </w14:textFill>
        </w:rPr>
        <w:t>http://www.ccgp.gov.cn/</w:t>
      </w:r>
      <w:r>
        <w:rPr>
          <w:rFonts w:hint="eastAsia" w:ascii="仿宋" w:hAnsi="仿宋" w:eastAsia="仿宋" w:cs="仿宋"/>
          <w:bCs/>
          <w:color w:val="000000" w:themeColor="text1"/>
          <w:szCs w:val="21"/>
          <w14:textFill>
            <w14:solidFill>
              <w14:schemeClr w14:val="tx1"/>
            </w14:solidFill>
          </w14:textFill>
        </w:rPr>
        <w:fldChar w:fldCharType="end"/>
      </w:r>
      <w:r>
        <w:rPr>
          <w:rFonts w:hint="eastAsia" w:ascii="仿宋" w:hAnsi="仿宋" w:eastAsia="仿宋" w:cs="仿宋"/>
          <w:bCs/>
          <w:color w:val="000000" w:themeColor="text1"/>
          <w:szCs w:val="21"/>
          <w14:textFill>
            <w14:solidFill>
              <w14:schemeClr w14:val="tx1"/>
            </w14:solidFill>
          </w14:textFill>
        </w:rPr>
        <w:t>）对获证产品信息进行核对。</w:t>
      </w:r>
    </w:p>
    <w:p w14:paraId="2C4BF0D2">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2.5.1.3、</w:t>
      </w:r>
      <w:r>
        <w:rPr>
          <w:rFonts w:hint="eastAsia" w:ascii="仿宋" w:hAnsi="仿宋" w:eastAsia="仿宋" w:cs="仿宋"/>
          <w:color w:val="000000" w:themeColor="text1"/>
          <w:szCs w:val="21"/>
          <w14:textFill>
            <w14:solidFill>
              <w14:schemeClr w14:val="tx1"/>
            </w14:solidFill>
          </w14:textFill>
        </w:rPr>
        <w:t>投标人所投产品属于下列情形之一的，属于优先采购的不再享受优先采购政策，或者属于强制采购的按无效投标文件处理：</w:t>
      </w:r>
    </w:p>
    <w:p w14:paraId="394D8FB1">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（1）不属于《节能产品、环境标志产品品目清单》中的产品；</w:t>
      </w:r>
    </w:p>
    <w:p w14:paraId="739CFF7E">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（2）未提供认证证书复印件或经核对认证证书存在信息有误的。</w:t>
      </w:r>
    </w:p>
    <w:p w14:paraId="2451E4C5">
      <w:pPr>
        <w:pStyle w:val="12"/>
        <w:overflowPunct w:val="0"/>
        <w:snapToGrid w:val="0"/>
        <w:spacing w:line="360" w:lineRule="auto"/>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5.2、中小企业</w:t>
      </w:r>
    </w:p>
    <w:p w14:paraId="71E6B515">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5.2.1、投标人按《工业和信息化部、国家统计局、国家发展和改革委员会、财政部关于印发中小企业划型标准规定的通知》规定划分标准，属于中小企业的可享受支持中小型企业发展优惠政策。</w:t>
      </w:r>
    </w:p>
    <w:p w14:paraId="7CB32A94">
      <w:pPr>
        <w:pStyle w:val="12"/>
        <w:overflowPunct w:val="0"/>
        <w:snapToGrid w:val="0"/>
        <w:spacing w:line="360" w:lineRule="auto"/>
        <w:ind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5.2.2、投标人作为中小企业参加政府采购活动时，依据《政府采购促进中小企业发展管理办法》(财库〔2020〕46号）之规定执行。</w:t>
      </w:r>
    </w:p>
    <w:p w14:paraId="67B14567">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5.2.3、监狱企业参加政府采购活动时，依照&lt;财政部、司法部关于政府采购支持监狱企业发展有关问题的通知&gt;（财库〔2014〕68号）之规定。</w:t>
      </w:r>
    </w:p>
    <w:p w14:paraId="137FC2AB">
      <w:pPr>
        <w:adjustRightInd w:val="0"/>
        <w:snapToGrid w:val="0"/>
        <w:spacing w:line="360" w:lineRule="auto"/>
        <w:ind w:firstLine="367" w:firstLineChars="175"/>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 xml:space="preserve">5.2.4、残疾人福利性单位参加政府采购活动时，依据《三部门联合发布关于促进残疾人就业政府采购政策的通知》（财库【2017】141号）之规定执行。  </w:t>
      </w:r>
    </w:p>
    <w:p w14:paraId="0C9C8CBC">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5.2.5、中小企业可以同时享受节能产品、环境标志产品优先采购政策。同一项目中部分产品属于优先采购政策的，评标时只对该部分产品实行优先采购。</w:t>
      </w:r>
    </w:p>
    <w:p w14:paraId="621FBF80">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5.2.7、政府采购监督检查和投诉处理中对中小企业的认定，由企业所在地的县级以上中小企业主管部门负责。</w:t>
      </w:r>
    </w:p>
    <w:p w14:paraId="36FC451A">
      <w:pPr>
        <w:pStyle w:val="3"/>
        <w:snapToGrid w:val="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2.6、投标人的风险</w:t>
      </w:r>
    </w:p>
    <w:p w14:paraId="56720703">
      <w:pPr>
        <w:pStyle w:val="3"/>
        <w:snapToGrid w:val="0"/>
        <w:ind w:firstLine="420" w:firstLineChars="200"/>
        <w:jc w:val="both"/>
        <w:rPr>
          <w:rFonts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投标人应认真阅读和充分理解招标文件中所有的事项、格式条款和规范要求，任何对招标文件的忽略或误解不能作为投标文件存在缺陷或瑕疵的理由；投标人没有按照招标文件要求提供全部资料，或对招标文件全面做出实质性响应是投标人的风险，并可能导致其投标文件被拒绝。</w:t>
      </w:r>
    </w:p>
    <w:p w14:paraId="32DEA864">
      <w:pPr>
        <w:pStyle w:val="3"/>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三、招标文件</w:t>
      </w:r>
      <w:bookmarkEnd w:id="55"/>
      <w:bookmarkEnd w:id="56"/>
    </w:p>
    <w:p w14:paraId="2A6CA0D9">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bookmarkStart w:id="57" w:name="_Toc2191"/>
      <w:bookmarkStart w:id="58" w:name="_Toc10221"/>
      <w:bookmarkStart w:id="59" w:name="_Toc21552"/>
      <w:bookmarkStart w:id="60" w:name="_Toc932"/>
      <w:bookmarkStart w:id="61" w:name="_Toc13228"/>
      <w:bookmarkStart w:id="62" w:name="_Toc31061"/>
      <w:bookmarkStart w:id="63" w:name="_Toc14956"/>
      <w:bookmarkStart w:id="64" w:name="_Toc4800"/>
      <w:bookmarkStart w:id="65" w:name="_Toc11463"/>
      <w:bookmarkStart w:id="66" w:name="_Toc1800"/>
      <w:bookmarkStart w:id="67" w:name="_Toc12727"/>
      <w:bookmarkStart w:id="68" w:name="_Toc20533"/>
      <w:bookmarkStart w:id="69" w:name="_Toc531189838"/>
      <w:bookmarkStart w:id="70" w:name="_Toc175973399"/>
      <w:r>
        <w:rPr>
          <w:rFonts w:hint="eastAsia" w:ascii="仿宋" w:hAnsi="仿宋" w:eastAsia="仿宋" w:cs="仿宋"/>
          <w:b/>
          <w:color w:val="000000" w:themeColor="text1"/>
          <w:szCs w:val="21"/>
          <w14:textFill>
            <w14:solidFill>
              <w14:schemeClr w14:val="tx1"/>
            </w14:solidFill>
          </w14:textFill>
        </w:rPr>
        <w:t>3.1、招标文件</w:t>
      </w:r>
      <w:bookmarkEnd w:id="57"/>
      <w:bookmarkEnd w:id="58"/>
      <w:bookmarkEnd w:id="59"/>
      <w:bookmarkEnd w:id="60"/>
      <w:bookmarkEnd w:id="61"/>
      <w:bookmarkEnd w:id="62"/>
      <w:bookmarkEnd w:id="63"/>
      <w:bookmarkEnd w:id="64"/>
      <w:bookmarkEnd w:id="65"/>
      <w:bookmarkEnd w:id="66"/>
      <w:bookmarkEnd w:id="67"/>
      <w:bookmarkEnd w:id="68"/>
    </w:p>
    <w:p w14:paraId="536080C9">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3.1.1、招标文件由招标文件总目录所列内容及招标文件所作的澄清、修改，构成招标文件组成部分及组成。</w:t>
      </w:r>
    </w:p>
    <w:p w14:paraId="49CF53A0">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3.1.2、投标人应详细阅读招标文件的全部内容。不按招标文件要求提供的投标文件和资料可能导致投标被拒绝。</w:t>
      </w:r>
    </w:p>
    <w:p w14:paraId="50BE4113">
      <w:pPr>
        <w:snapToGrid w:val="0"/>
        <w:spacing w:line="360" w:lineRule="auto"/>
        <w:ind w:firstLine="44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3.1.3、适用范围：本次招标依据采购人的采购计划，本招标文件仅适用于本次公开招标所叙述的货物（产品）项目采购活动。</w:t>
      </w:r>
    </w:p>
    <w:p w14:paraId="1C8CFBEC">
      <w:pPr>
        <w:snapToGrid w:val="0"/>
        <w:spacing w:line="360" w:lineRule="auto"/>
        <w:ind w:firstLine="44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3.1.4、招标文件的获取：招标公告发布后，投标人应从采购代理机构处获取招标文件并填报信息，投标人自行转让或复制的招标文件视为无效招标文件。</w:t>
      </w:r>
    </w:p>
    <w:p w14:paraId="32C7EE29">
      <w:pPr>
        <w:snapToGrid w:val="0"/>
        <w:spacing w:line="360" w:lineRule="auto"/>
        <w:ind w:firstLine="42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3.1.5、解释权归属：本招标文件的解释权归采购代理机构，招标文件与现行法律法规不一致时，按现行法律法规执行。</w:t>
      </w:r>
    </w:p>
    <w:p w14:paraId="5AE36CC9">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bookmarkStart w:id="71" w:name="_Toc15987"/>
      <w:bookmarkStart w:id="72" w:name="_Toc29982"/>
      <w:bookmarkStart w:id="73" w:name="_Toc18391"/>
      <w:bookmarkStart w:id="74" w:name="_Toc25015"/>
      <w:bookmarkStart w:id="75" w:name="_Toc25814"/>
      <w:bookmarkStart w:id="76" w:name="_Toc6601"/>
      <w:bookmarkStart w:id="77" w:name="_Toc8203"/>
      <w:bookmarkStart w:id="78" w:name="_Toc12920"/>
      <w:bookmarkStart w:id="79" w:name="_Toc917"/>
      <w:bookmarkStart w:id="80" w:name="_Toc14366"/>
      <w:bookmarkStart w:id="81" w:name="_Toc23311"/>
      <w:bookmarkStart w:id="82" w:name="_Toc6878"/>
      <w:r>
        <w:rPr>
          <w:rFonts w:hint="eastAsia" w:ascii="仿宋" w:hAnsi="仿宋" w:eastAsia="仿宋" w:cs="仿宋"/>
          <w:b/>
          <w:color w:val="000000" w:themeColor="text1"/>
          <w:szCs w:val="21"/>
          <w14:textFill>
            <w14:solidFill>
              <w14:schemeClr w14:val="tx1"/>
            </w14:solidFill>
          </w14:textFill>
        </w:rPr>
        <w:t>3.2</w:t>
      </w:r>
      <w:bookmarkEnd w:id="71"/>
      <w:bookmarkEnd w:id="72"/>
      <w:bookmarkEnd w:id="73"/>
      <w:bookmarkEnd w:id="74"/>
      <w:bookmarkEnd w:id="75"/>
      <w:bookmarkEnd w:id="76"/>
      <w:bookmarkEnd w:id="77"/>
      <w:bookmarkEnd w:id="78"/>
      <w:bookmarkEnd w:id="79"/>
      <w:bookmarkEnd w:id="80"/>
      <w:bookmarkEnd w:id="81"/>
      <w:bookmarkEnd w:id="82"/>
      <w:r>
        <w:rPr>
          <w:rFonts w:hint="eastAsia" w:ascii="仿宋" w:hAnsi="仿宋" w:eastAsia="仿宋" w:cs="仿宋"/>
          <w:b/>
          <w:color w:val="000000" w:themeColor="text1"/>
          <w:szCs w:val="21"/>
          <w14:textFill>
            <w14:solidFill>
              <w14:schemeClr w14:val="tx1"/>
            </w14:solidFill>
          </w14:textFill>
        </w:rPr>
        <w:t>、招标文件的澄清或修改</w:t>
      </w:r>
    </w:p>
    <w:p w14:paraId="52AC5E77">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3.2.1、在投标截止时间前，采购代理机构无论出于何种原因，可以对已发出的招标文件进行必要的澄清或者修改，但不得修改采购标的和资格条件。</w:t>
      </w:r>
    </w:p>
    <w:p w14:paraId="57001786">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3.2.2、采购人或采购代理机构对已发出的招标文件进行必要的澄清或者修改，澄清或修改的内容可能影响投标文件编制的，应当在投标文件截止时间15日前，以书面形式将澄清或者修改的内容通知所有获取招标文件的投标人，同时在原信息发布媒体上发布更正（澄清）公告。投标人在收到上述通知后，应立即以书面形式向采购代理机构确认。如果澄清或者修改发出的时间距规定的投标截止时间不足15日，将相应顺延投标截止时间。</w:t>
      </w:r>
    </w:p>
    <w:p w14:paraId="425AEF53">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3.2.3、投标人应仔细阅读和检查招标文件的全部内容。如发现缺页或附件不全，应及时向采购代理机构提出，以便补齐。如需要询问或澄清的（除质疑外），或认为有必要与采购代理机构进行技术交流的，均应在投标截止时间10日前按招标文件中的联系方式，以书面形式向采购代理机构提出，采购代理机构应当在3个工作日内，以书面形式予以答复，或认为有必要召开答疑会。超过该时间收到的需要询问或澄清的内容，采购代理机构有权不予答复。</w:t>
      </w:r>
    </w:p>
    <w:p w14:paraId="4953AA38">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3.2.4、在投标截止时间前，采购代理机构可以视采购具体情况，延长投标截止时间和开标时间，并在招标文件要求提交投标文件的截止时间前，将变更时间以书面文件通知所有获取招标文件的投标人，同时在原信息发布媒体上发布更正公告。</w:t>
      </w:r>
    </w:p>
    <w:p w14:paraId="0DE2AD2B">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3.2.5、当招标文件澄清、答复、修改或补充通知与招标文件就同一内容表述不一致时，以最后发出的书面文件内容为准。</w:t>
      </w:r>
    </w:p>
    <w:p w14:paraId="54365E1C">
      <w:pPr>
        <w:pStyle w:val="3"/>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四、投标文件</w:t>
      </w:r>
      <w:bookmarkEnd w:id="69"/>
      <w:bookmarkEnd w:id="70"/>
    </w:p>
    <w:p w14:paraId="28FE5715">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bookmarkStart w:id="83" w:name="_Toc12629"/>
      <w:bookmarkStart w:id="84" w:name="_Toc16867"/>
      <w:bookmarkStart w:id="85" w:name="_Toc7093"/>
      <w:bookmarkStart w:id="86" w:name="_Toc31296"/>
      <w:bookmarkStart w:id="87" w:name="_Toc10790"/>
      <w:bookmarkStart w:id="88" w:name="_Toc32220"/>
      <w:bookmarkStart w:id="89" w:name="_Toc6474"/>
      <w:bookmarkStart w:id="90" w:name="_Toc26751"/>
      <w:bookmarkStart w:id="91" w:name="_Toc8539"/>
      <w:bookmarkStart w:id="92" w:name="_Toc1158"/>
      <w:bookmarkStart w:id="93" w:name="_Toc12665"/>
      <w:bookmarkStart w:id="94" w:name="_Toc11474"/>
      <w:bookmarkStart w:id="95" w:name="_Toc31575"/>
      <w:bookmarkStart w:id="96" w:name="_Toc7527"/>
      <w:bookmarkStart w:id="97" w:name="_Toc10279"/>
      <w:bookmarkStart w:id="98" w:name="_Toc18709"/>
      <w:bookmarkStart w:id="99" w:name="_Toc6883"/>
      <w:bookmarkStart w:id="100" w:name="_Toc1336"/>
      <w:bookmarkStart w:id="101" w:name="_Toc8520"/>
      <w:bookmarkStart w:id="102" w:name="_Toc32437"/>
      <w:bookmarkStart w:id="103" w:name="_Toc23774"/>
      <w:bookmarkStart w:id="104" w:name="_Toc8592"/>
      <w:bookmarkStart w:id="105" w:name="_Toc3816"/>
      <w:bookmarkStart w:id="106" w:name="_Toc31096"/>
      <w:r>
        <w:rPr>
          <w:rFonts w:hint="eastAsia" w:ascii="仿宋" w:hAnsi="仿宋" w:eastAsia="仿宋" w:cs="仿宋"/>
          <w:b/>
          <w:color w:val="000000" w:themeColor="text1"/>
          <w:szCs w:val="21"/>
          <w14:textFill>
            <w14:solidFill>
              <w14:schemeClr w14:val="tx1"/>
            </w14:solidFill>
          </w14:textFill>
        </w:rPr>
        <w:t>4.1、投标文件计量单位</w:t>
      </w:r>
      <w:bookmarkEnd w:id="83"/>
      <w:bookmarkEnd w:id="84"/>
      <w:bookmarkEnd w:id="85"/>
      <w:bookmarkEnd w:id="86"/>
      <w:bookmarkEnd w:id="87"/>
      <w:bookmarkEnd w:id="88"/>
      <w:bookmarkEnd w:id="89"/>
      <w:bookmarkEnd w:id="90"/>
      <w:bookmarkEnd w:id="91"/>
      <w:bookmarkEnd w:id="92"/>
      <w:bookmarkEnd w:id="93"/>
      <w:bookmarkEnd w:id="94"/>
    </w:p>
    <w:p w14:paraId="05226A30">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投标文件中所使用的计量单位，除有特殊要求外，均采用国家法定计量单位。</w:t>
      </w:r>
    </w:p>
    <w:p w14:paraId="61A4A32F">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4.2、投标文件的组成</w:t>
      </w:r>
      <w:bookmarkEnd w:id="95"/>
      <w:bookmarkEnd w:id="96"/>
      <w:bookmarkEnd w:id="97"/>
      <w:bookmarkEnd w:id="98"/>
      <w:bookmarkEnd w:id="99"/>
      <w:bookmarkEnd w:id="100"/>
      <w:bookmarkEnd w:id="101"/>
      <w:bookmarkEnd w:id="102"/>
      <w:bookmarkEnd w:id="103"/>
      <w:bookmarkEnd w:id="104"/>
      <w:bookmarkEnd w:id="105"/>
      <w:bookmarkEnd w:id="106"/>
    </w:p>
    <w:p w14:paraId="04C45B5F">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投标文件应包括下列内容：</w:t>
      </w:r>
    </w:p>
    <w:p w14:paraId="143A883D">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bookmarkStart w:id="107" w:name="_Toc28374"/>
      <w:bookmarkStart w:id="108" w:name="_Toc30905"/>
      <w:bookmarkStart w:id="109" w:name="_Toc28241"/>
      <w:bookmarkStart w:id="110" w:name="_Toc4919"/>
      <w:bookmarkStart w:id="111" w:name="_Toc25254"/>
      <w:bookmarkStart w:id="112" w:name="_Toc20030"/>
      <w:bookmarkStart w:id="113" w:name="_Toc10147"/>
      <w:bookmarkStart w:id="114" w:name="_Toc29990"/>
      <w:bookmarkStart w:id="115" w:name="_Toc13883"/>
      <w:bookmarkStart w:id="116" w:name="_Toc13931"/>
      <w:bookmarkStart w:id="117" w:name="_Toc19212"/>
      <w:bookmarkStart w:id="118" w:name="_Toc6108"/>
      <w:r>
        <w:rPr>
          <w:rFonts w:hint="eastAsia" w:ascii="仿宋" w:hAnsi="仿宋" w:eastAsia="仿宋" w:cs="仿宋"/>
          <w:bCs/>
          <w:color w:val="000000" w:themeColor="text1"/>
          <w:szCs w:val="21"/>
          <w14:textFill>
            <w14:solidFill>
              <w14:schemeClr w14:val="tx1"/>
            </w14:solidFill>
          </w14:textFill>
        </w:rPr>
        <w:t>一、投标函</w:t>
      </w:r>
    </w:p>
    <w:p w14:paraId="2DEC8648">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二、开标一览表 </w:t>
      </w:r>
    </w:p>
    <w:p w14:paraId="648EB181">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三、分项报价表 </w:t>
      </w:r>
    </w:p>
    <w:p w14:paraId="4FF0A9B7">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四</w:t>
      </w:r>
      <w:r>
        <w:rPr>
          <w:rFonts w:hint="eastAsia" w:ascii="仿宋" w:hAnsi="仿宋" w:eastAsia="仿宋" w:cs="仿宋"/>
          <w:bCs/>
          <w:color w:val="000000" w:themeColor="text1"/>
          <w:szCs w:val="21"/>
          <w14:textFill>
            <w14:solidFill>
              <w14:schemeClr w14:val="tx1"/>
            </w14:solidFill>
          </w14:textFill>
        </w:rPr>
        <w:t>、商务</w:t>
      </w:r>
      <w:r>
        <w:rPr>
          <w:rFonts w:hint="eastAsia" w:ascii="仿宋" w:hAnsi="仿宋" w:eastAsia="仿宋" w:cs="仿宋"/>
          <w:bCs/>
          <w:color w:val="000000" w:themeColor="text1"/>
          <w:szCs w:val="21"/>
          <w:lang w:val="en-US" w:eastAsia="zh-CN"/>
          <w14:textFill>
            <w14:solidFill>
              <w14:schemeClr w14:val="tx1"/>
            </w14:solidFill>
          </w14:textFill>
        </w:rPr>
        <w:t>部分</w:t>
      </w:r>
    </w:p>
    <w:p w14:paraId="4073C3A0">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五</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技术服务部分</w:t>
      </w:r>
      <w:r>
        <w:rPr>
          <w:rFonts w:hint="eastAsia" w:ascii="仿宋" w:hAnsi="仿宋" w:eastAsia="仿宋" w:cs="仿宋"/>
          <w:bCs/>
          <w:color w:val="000000" w:themeColor="text1"/>
          <w:szCs w:val="21"/>
          <w14:textFill>
            <w14:solidFill>
              <w14:schemeClr w14:val="tx1"/>
            </w14:solidFill>
          </w14:textFill>
        </w:rPr>
        <w:t xml:space="preserve"> </w:t>
      </w:r>
    </w:p>
    <w:p w14:paraId="19AE8981">
      <w:pPr>
        <w:snapToGrid w:val="0"/>
        <w:spacing w:line="360" w:lineRule="auto"/>
        <w:ind w:firstLine="210" w:firstLineChars="100"/>
        <w:outlineLvl w:val="0"/>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六</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投标人认为有必要说明、阐述的事项或其他材料</w:t>
      </w:r>
    </w:p>
    <w:p w14:paraId="6C5A3BC9">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七</w:t>
      </w:r>
      <w:r>
        <w:rPr>
          <w:rFonts w:hint="eastAsia" w:ascii="仿宋" w:hAnsi="仿宋" w:eastAsia="仿宋" w:cs="仿宋"/>
          <w:bCs/>
          <w:color w:val="000000" w:themeColor="text1"/>
          <w:szCs w:val="21"/>
          <w14:textFill>
            <w14:solidFill>
              <w14:schemeClr w14:val="tx1"/>
            </w14:solidFill>
          </w14:textFill>
        </w:rPr>
        <w:t>、投标人资格证明文件</w:t>
      </w:r>
    </w:p>
    <w:p w14:paraId="6641E26F">
      <w:pPr>
        <w:snapToGrid w:val="0"/>
        <w:spacing w:line="360" w:lineRule="auto"/>
        <w:ind w:firstLine="210" w:firstLineChars="100"/>
        <w:outlineLvl w:val="0"/>
        <w:rPr>
          <w:rFonts w:hint="eastAsia" w:ascii="仿宋" w:hAnsi="仿宋" w:eastAsia="仿宋" w:cs="仿宋"/>
          <w:b/>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八</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 xml:space="preserve">落实政府采购政策需满足的资格要求 </w:t>
      </w:r>
    </w:p>
    <w:p w14:paraId="4EA1AC9E">
      <w:pPr>
        <w:snapToGrid w:val="0"/>
        <w:spacing w:line="360" w:lineRule="auto"/>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4.3</w:t>
      </w:r>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cs="仿宋"/>
          <w:b/>
          <w:color w:val="000000" w:themeColor="text1"/>
          <w:szCs w:val="21"/>
          <w14:textFill>
            <w14:solidFill>
              <w14:schemeClr w14:val="tx1"/>
            </w14:solidFill>
          </w14:textFill>
        </w:rPr>
        <w:t>、投标文件的编写原则</w:t>
      </w:r>
    </w:p>
    <w:p w14:paraId="6B86254C">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4.3.1、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投标人拟在中标后将中标目的非主体、非关键性工作交由他人完成的，应当在投标文件中载明。投标人对本招标文件的每一项要求所给予的响应必须是唯一的，否则将视为无效投标文件。</w:t>
      </w:r>
    </w:p>
    <w:p w14:paraId="5EF346C0">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4.3.2、真实性原则</w:t>
      </w:r>
    </w:p>
    <w:p w14:paraId="055E2466">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4.3.2.1、投标人应保证所提供的投标文件和所有资料的真实性、准确性和完整性。</w:t>
      </w:r>
    </w:p>
    <w:p w14:paraId="5FE5FBB5">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4.3.2.2、投标人被认定为在政府采购活动中提供不真实材料的，无论其材料是否重要，采购人均有权拒绝，并取消其投标或中标资格，投标人需承担相应的法律后果。</w:t>
      </w:r>
    </w:p>
    <w:p w14:paraId="45010E5D">
      <w:pPr>
        <w:pStyle w:val="19"/>
        <w:spacing w:line="360" w:lineRule="auto"/>
        <w:ind w:firstLine="210" w:firstLineChars="1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4.3.3、投标文件形式</w:t>
      </w:r>
    </w:p>
    <w:p w14:paraId="176F5368">
      <w:pPr>
        <w:pStyle w:val="19"/>
        <w:spacing w:line="360" w:lineRule="auto"/>
        <w:ind w:firstLine="420" w:firstLineChars="2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本项目投标文件应采用书面文件形式，电报、传真、电子邮件形式的投标文件不予接受。</w:t>
      </w:r>
    </w:p>
    <w:p w14:paraId="5C57E924">
      <w:pPr>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4.4、投标报价</w:t>
      </w:r>
    </w:p>
    <w:p w14:paraId="205BC6FB">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19" w:name="_Toc4453"/>
      <w:bookmarkStart w:id="120" w:name="_Toc7490"/>
      <w:bookmarkStart w:id="121" w:name="_Toc15552"/>
      <w:bookmarkStart w:id="122" w:name="_Toc32557"/>
      <w:bookmarkStart w:id="123" w:name="_Toc30478"/>
      <w:bookmarkStart w:id="124" w:name="_Toc26477"/>
      <w:bookmarkStart w:id="125" w:name="_Toc21354"/>
      <w:bookmarkStart w:id="126" w:name="_Toc14199"/>
      <w:bookmarkStart w:id="127" w:name="_Toc26542"/>
      <w:bookmarkStart w:id="128" w:name="_Toc15478"/>
      <w:bookmarkStart w:id="129" w:name="_Toc19144"/>
      <w:bookmarkStart w:id="130" w:name="_Toc24530"/>
      <w:r>
        <w:rPr>
          <w:rFonts w:hint="eastAsia" w:ascii="仿宋" w:hAnsi="仿宋" w:eastAsia="仿宋" w:cs="仿宋"/>
          <w:bCs/>
          <w:color w:val="000000" w:themeColor="text1"/>
          <w:szCs w:val="21"/>
          <w14:textFill>
            <w14:solidFill>
              <w14:schemeClr w14:val="tx1"/>
            </w14:solidFill>
          </w14:textFill>
        </w:rPr>
        <w:t>（1）投标报价是指完成本项目的所有费用，以招标文件的内容和要求作为投标依据；</w:t>
      </w:r>
      <w:bookmarkEnd w:id="119"/>
      <w:bookmarkEnd w:id="120"/>
      <w:bookmarkEnd w:id="121"/>
      <w:r>
        <w:rPr>
          <w:rFonts w:hint="eastAsia" w:ascii="仿宋" w:hAnsi="仿宋" w:eastAsia="仿宋" w:cs="仿宋"/>
          <w:bCs/>
          <w:color w:val="000000" w:themeColor="text1"/>
          <w:szCs w:val="21"/>
          <w14:textFill>
            <w14:solidFill>
              <w14:schemeClr w14:val="tx1"/>
            </w14:solidFill>
          </w14:textFill>
        </w:rPr>
        <w:t>投标人应当按照招标文件要求填报投标报价，并充分了解该采购项目的总体情况以及影响投标报价的其他要素，凡因投标人对招标文件阅读不深、理解不透、误解、疏漏、或因市场行情了解不清造成的后果和风险均由投标人自负。</w:t>
      </w:r>
    </w:p>
    <w:p w14:paraId="1AD8FB99">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31" w:name="_Toc8496"/>
      <w:bookmarkStart w:id="132" w:name="_Toc81"/>
      <w:bookmarkStart w:id="133" w:name="_Toc20508"/>
      <w:r>
        <w:rPr>
          <w:rFonts w:hint="eastAsia" w:ascii="仿宋" w:hAnsi="仿宋" w:eastAsia="仿宋" w:cs="仿宋"/>
          <w:bCs/>
          <w:color w:val="000000" w:themeColor="text1"/>
          <w:szCs w:val="21"/>
          <w14:textFill>
            <w14:solidFill>
              <w14:schemeClr w14:val="tx1"/>
            </w14:solidFill>
          </w14:textFill>
        </w:rPr>
        <w:t>（2）</w:t>
      </w:r>
      <w:bookmarkEnd w:id="131"/>
      <w:bookmarkEnd w:id="132"/>
      <w:bookmarkEnd w:id="133"/>
      <w:r>
        <w:rPr>
          <w:rFonts w:hint="eastAsia" w:ascii="仿宋" w:hAnsi="仿宋" w:eastAsia="仿宋" w:cs="仿宋"/>
          <w:bCs/>
          <w:color w:val="000000" w:themeColor="text1"/>
          <w:szCs w:val="21"/>
          <w14:textFill>
            <w14:solidFill>
              <w14:schemeClr w14:val="tx1"/>
            </w14:solidFill>
          </w14:textFill>
        </w:rPr>
        <w:t>投标人只允许有一个报价</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折扣率</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14:textFill>
            <w14:solidFill>
              <w14:schemeClr w14:val="tx1"/>
            </w14:solidFill>
          </w14:textFill>
        </w:rPr>
        <w:t>，并且在合同履行过程中是固定不变的，任何有选择或可调整的报价将不予接受并按无效投标处理。</w:t>
      </w:r>
    </w:p>
    <w:p w14:paraId="7F8B26BD">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（3）投标人的报价是投标人响应招标目要求的全部工作内容的价格体现，包括投标人完成本项目所需的一切费用，即：</w:t>
      </w:r>
      <w:r>
        <w:rPr>
          <w:rFonts w:hint="eastAsia" w:ascii="仿宋" w:hAnsi="仿宋" w:eastAsia="仿宋" w:cs="仿宋"/>
          <w:bCs/>
          <w:color w:val="000000" w:themeColor="text1"/>
          <w:szCs w:val="21"/>
          <w:lang w:val="en-US" w:eastAsia="zh-CN"/>
          <w14:textFill>
            <w14:solidFill>
              <w14:schemeClr w14:val="tx1"/>
            </w14:solidFill>
          </w14:textFill>
        </w:rPr>
        <w:t>食材、</w:t>
      </w:r>
      <w:r>
        <w:rPr>
          <w:rFonts w:hint="eastAsia" w:ascii="仿宋" w:hAnsi="仿宋" w:eastAsia="仿宋" w:cs="仿宋"/>
          <w:bCs/>
          <w:color w:val="000000" w:themeColor="text1"/>
          <w:szCs w:val="21"/>
          <w14:textFill>
            <w14:solidFill>
              <w14:schemeClr w14:val="tx1"/>
            </w14:solidFill>
          </w14:textFill>
        </w:rPr>
        <w:t>运输费、保险费、服务费、招标代理费、税金及不可预见费等全部费用。投标总价中不得包含招标文件要求以外的内容，否则，在评标时不予核减。在供货、运输、送货等工作中出现的任何遗漏，均由中标人免费提供，采购人将不再支付任何费用。</w:t>
      </w:r>
    </w:p>
    <w:p w14:paraId="03AC9224">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34" w:name="_Toc11845"/>
      <w:bookmarkStart w:id="135" w:name="_Toc27373"/>
      <w:bookmarkStart w:id="136" w:name="_Toc20847"/>
      <w:r>
        <w:rPr>
          <w:rFonts w:hint="eastAsia" w:ascii="仿宋" w:hAnsi="仿宋" w:eastAsia="仿宋" w:cs="仿宋"/>
          <w:bCs/>
          <w:color w:val="000000" w:themeColor="text1"/>
          <w:szCs w:val="21"/>
          <w14:textFill>
            <w14:solidFill>
              <w14:schemeClr w14:val="tx1"/>
            </w14:solidFill>
          </w14:textFill>
        </w:rPr>
        <w:t>（4）投标</w:t>
      </w:r>
      <w:r>
        <w:rPr>
          <w:rFonts w:hint="eastAsia" w:ascii="仿宋" w:hAnsi="仿宋" w:eastAsia="仿宋" w:cs="仿宋"/>
          <w:bCs/>
          <w:color w:val="000000" w:themeColor="text1"/>
          <w:szCs w:val="21"/>
          <w:lang w:val="en-US" w:eastAsia="zh-CN"/>
          <w14:textFill>
            <w14:solidFill>
              <w14:schemeClr w14:val="tx1"/>
            </w14:solidFill>
          </w14:textFill>
        </w:rPr>
        <w:t>报价形式</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折扣率</w:t>
      </w:r>
      <w:r>
        <w:rPr>
          <w:rFonts w:hint="eastAsia" w:ascii="仿宋" w:hAnsi="仿宋" w:eastAsia="仿宋" w:cs="仿宋"/>
          <w:bCs/>
          <w:color w:val="000000" w:themeColor="text1"/>
          <w:szCs w:val="21"/>
          <w14:textFill>
            <w14:solidFill>
              <w14:schemeClr w14:val="tx1"/>
            </w14:solidFill>
          </w14:textFill>
        </w:rPr>
        <w:t>；</w:t>
      </w:r>
      <w:bookmarkEnd w:id="134"/>
      <w:bookmarkEnd w:id="135"/>
      <w:bookmarkEnd w:id="136"/>
    </w:p>
    <w:p w14:paraId="03738997">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37" w:name="_Toc14272"/>
      <w:bookmarkStart w:id="138" w:name="_Toc30343"/>
      <w:bookmarkStart w:id="139" w:name="_Toc21233"/>
      <w:r>
        <w:rPr>
          <w:rFonts w:hint="eastAsia" w:ascii="仿宋" w:hAnsi="仿宋" w:eastAsia="仿宋" w:cs="仿宋"/>
          <w:bCs/>
          <w:color w:val="000000" w:themeColor="text1"/>
          <w:szCs w:val="21"/>
          <w14:textFill>
            <w14:solidFill>
              <w14:schemeClr w14:val="tx1"/>
            </w14:solidFill>
          </w14:textFill>
        </w:rPr>
        <w:t>（</w:t>
      </w:r>
      <w:bookmarkEnd w:id="137"/>
      <w:bookmarkEnd w:id="138"/>
      <w:bookmarkEnd w:id="139"/>
      <w:bookmarkStart w:id="140" w:name="_Toc24503"/>
      <w:bookmarkStart w:id="141" w:name="_Toc7876"/>
      <w:bookmarkStart w:id="142" w:name="_Toc6396"/>
      <w:r>
        <w:rPr>
          <w:rFonts w:hint="eastAsia" w:ascii="仿宋" w:hAnsi="仿宋" w:eastAsia="仿宋" w:cs="仿宋"/>
          <w:bCs/>
          <w:color w:val="000000" w:themeColor="text1"/>
          <w:szCs w:val="21"/>
          <w14:textFill>
            <w14:solidFill>
              <w14:schemeClr w14:val="tx1"/>
            </w14:solidFill>
          </w14:textFill>
        </w:rPr>
        <w:t>5）最低报价不是中标的唯一依据；</w:t>
      </w:r>
      <w:bookmarkEnd w:id="140"/>
      <w:bookmarkEnd w:id="141"/>
      <w:bookmarkEnd w:id="142"/>
    </w:p>
    <w:p w14:paraId="66533EE3">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43" w:name="_Toc19028"/>
      <w:bookmarkStart w:id="144" w:name="_Toc28858"/>
      <w:bookmarkStart w:id="145" w:name="_Toc30448"/>
      <w:r>
        <w:rPr>
          <w:rFonts w:hint="eastAsia" w:ascii="仿宋" w:hAnsi="仿宋" w:eastAsia="仿宋" w:cs="仿宋"/>
          <w:bCs/>
          <w:color w:val="000000" w:themeColor="text1"/>
          <w:szCs w:val="21"/>
          <w14:textFill>
            <w14:solidFill>
              <w14:schemeClr w14:val="tx1"/>
            </w14:solidFill>
          </w14:textFill>
        </w:rPr>
        <w:t>（6）投标人不得以低于成本的报价参加投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bookmarkEnd w:id="143"/>
      <w:bookmarkEnd w:id="144"/>
      <w:bookmarkEnd w:id="145"/>
    </w:p>
    <w:p w14:paraId="6217590F">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46" w:name="_Toc4036"/>
      <w:bookmarkStart w:id="147" w:name="_Toc12707"/>
      <w:bookmarkStart w:id="148" w:name="_Toc21775"/>
      <w:r>
        <w:rPr>
          <w:rFonts w:hint="eastAsia" w:ascii="仿宋" w:hAnsi="仿宋" w:eastAsia="仿宋" w:cs="仿宋"/>
          <w:bCs/>
          <w:color w:val="000000" w:themeColor="text1"/>
          <w:szCs w:val="21"/>
          <w14:textFill>
            <w14:solidFill>
              <w14:schemeClr w14:val="tx1"/>
            </w14:solidFill>
          </w14:textFill>
        </w:rPr>
        <w:t>（7）投标人的投标报价不得超过投标人须知前附表规定的</w:t>
      </w:r>
      <w:r>
        <w:rPr>
          <w:rFonts w:hint="eastAsia" w:ascii="仿宋" w:hAnsi="仿宋" w:eastAsia="仿宋" w:cs="仿宋"/>
          <w:bCs/>
          <w:color w:val="000000" w:themeColor="text1"/>
          <w:szCs w:val="21"/>
          <w:lang w:val="en-US" w:eastAsia="zh-CN"/>
          <w14:textFill>
            <w14:solidFill>
              <w14:schemeClr w14:val="tx1"/>
            </w14:solidFill>
          </w14:textFill>
        </w:rPr>
        <w:t>费率</w:t>
      </w:r>
      <w:r>
        <w:rPr>
          <w:rFonts w:hint="eastAsia" w:ascii="仿宋" w:hAnsi="仿宋" w:eastAsia="仿宋" w:cs="仿宋"/>
          <w:bCs/>
          <w:color w:val="000000" w:themeColor="text1"/>
          <w:szCs w:val="21"/>
          <w14:textFill>
            <w14:solidFill>
              <w14:schemeClr w14:val="tx1"/>
            </w14:solidFill>
          </w14:textFill>
        </w:rPr>
        <w:t>，否则，作为不实质性响应招标文件，按无效投标处理；投标人须知前附表设定了最高限价的，投标人的投标报价也不得超过最高限价，否则，作为不实质性响应招标文件，按无效投标处理。</w:t>
      </w:r>
    </w:p>
    <w:p w14:paraId="104C94FB">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（8）采购人不接受投标人给予的赠品、回扣或者与采购无关的其他商品、服务。如有赠与行为，其投标无效。</w:t>
      </w:r>
    </w:p>
    <w:bookmarkEnd w:id="122"/>
    <w:bookmarkEnd w:id="123"/>
    <w:bookmarkEnd w:id="124"/>
    <w:bookmarkEnd w:id="125"/>
    <w:bookmarkEnd w:id="126"/>
    <w:bookmarkEnd w:id="127"/>
    <w:bookmarkEnd w:id="128"/>
    <w:bookmarkEnd w:id="129"/>
    <w:bookmarkEnd w:id="130"/>
    <w:bookmarkEnd w:id="146"/>
    <w:bookmarkEnd w:id="147"/>
    <w:bookmarkEnd w:id="148"/>
    <w:p w14:paraId="1020E3E8">
      <w:pPr>
        <w:snapToGrid w:val="0"/>
        <w:spacing w:line="360" w:lineRule="auto"/>
        <w:outlineLvl w:val="2"/>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4.5、投标文件的编制</w:t>
      </w:r>
    </w:p>
    <w:p w14:paraId="316CBC43">
      <w:pPr>
        <w:tabs>
          <w:tab w:val="left" w:pos="720"/>
        </w:tabs>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4.5.1、投标人应仔细阅读招标文件的所有内容，按招标文件规定及要求编制投标文件，并对招标文件提出的实质性要求做出响应，提交完整的投标文件。投标内容应完整，如有遗漏，将被视为无效。</w:t>
      </w:r>
    </w:p>
    <w:p w14:paraId="6B799736">
      <w:pPr>
        <w:tabs>
          <w:tab w:val="left" w:pos="720"/>
        </w:tabs>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bCs/>
          <w:color w:val="000000" w:themeColor="text1"/>
          <w:szCs w:val="21"/>
          <w14:textFill>
            <w14:solidFill>
              <w14:schemeClr w14:val="tx1"/>
            </w14:solidFill>
          </w14:textFill>
        </w:rPr>
        <w:t>5.2、投标文件的语言：投标人</w:t>
      </w:r>
      <w:r>
        <w:rPr>
          <w:rFonts w:hint="eastAsia" w:ascii="仿宋" w:hAnsi="仿宋" w:eastAsia="仿宋" w:cs="仿宋"/>
          <w:color w:val="000000" w:themeColor="text1"/>
          <w:szCs w:val="21"/>
          <w14:textFill>
            <w14:solidFill>
              <w14:schemeClr w14:val="tx1"/>
            </w14:solidFill>
          </w14:textFill>
        </w:rPr>
        <w:t>提交的投标文件以及投标人与采购代理机构就有关本项目所有文件、资料、函电文字均应使用中文（通用缩写、代号、名称除外）。</w:t>
      </w:r>
    </w:p>
    <w:p w14:paraId="1D158C71">
      <w:pPr>
        <w:tabs>
          <w:tab w:val="left" w:pos="720"/>
        </w:tabs>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4.5.3、投标文件的计量单位：</w:t>
      </w:r>
      <w:r>
        <w:rPr>
          <w:rFonts w:hint="eastAsia" w:ascii="仿宋" w:hAnsi="仿宋" w:eastAsia="仿宋" w:cs="仿宋"/>
          <w:color w:val="000000" w:themeColor="text1"/>
          <w:kern w:val="0"/>
          <w:szCs w:val="21"/>
          <w14:textFill>
            <w14:solidFill>
              <w14:schemeClr w14:val="tx1"/>
            </w14:solidFill>
          </w14:textFill>
        </w:rPr>
        <w:t>投标文件已有明确规定的，使用投标文件规定的计量单位；投标文件没有规定的，应采用中华人民共和国法定计量单位</w:t>
      </w:r>
      <w:r>
        <w:rPr>
          <w:rFonts w:hint="eastAsia" w:ascii="仿宋" w:hAnsi="仿宋" w:eastAsia="仿宋" w:cs="仿宋"/>
          <w:color w:val="000000" w:themeColor="text1"/>
          <w:szCs w:val="21"/>
          <w14:textFill>
            <w14:solidFill>
              <w14:schemeClr w14:val="tx1"/>
            </w14:solidFill>
          </w14:textFill>
        </w:rPr>
        <w:t>(国际单位制和国家选定的其他计量单位)</w:t>
      </w:r>
      <w:r>
        <w:rPr>
          <w:rFonts w:hint="eastAsia" w:ascii="仿宋" w:hAnsi="仿宋" w:eastAsia="仿宋" w:cs="仿宋"/>
          <w:color w:val="000000" w:themeColor="text1"/>
          <w:kern w:val="0"/>
          <w:szCs w:val="21"/>
          <w14:textFill>
            <w14:solidFill>
              <w14:schemeClr w14:val="tx1"/>
            </w14:solidFill>
          </w14:textFill>
        </w:rPr>
        <w:t>。</w:t>
      </w:r>
    </w:p>
    <w:p w14:paraId="3935167C">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5.4、备选方案：本项目不接受备选投标方案，投标文件的报价只允许有一个报价，不接受有任何选择或具有附加条件的报价，否则，在评审时将其视为无效报价。</w:t>
      </w:r>
    </w:p>
    <w:p w14:paraId="75281DA2">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5.5、投标文件有效期：投标文件有效期自投标截止之日起计算不得少于90天。</w:t>
      </w:r>
    </w:p>
    <w:p w14:paraId="3564523D">
      <w:pPr>
        <w:tabs>
          <w:tab w:val="left" w:pos="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5.6、投标文件格式：投标人应严格按照招标文件《第六章 投标文件格式及构成》填写相关内容。除明确允许投标人可以自行编写的外，投标人不得以规定之外的方式填写相关内容。</w:t>
      </w:r>
    </w:p>
    <w:p w14:paraId="47A6E279">
      <w:pPr>
        <w:tabs>
          <w:tab w:val="left" w:pos="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5.7、投标文件的签署、盖章</w:t>
      </w:r>
    </w:p>
    <w:p w14:paraId="4590C420">
      <w:pPr>
        <w:tabs>
          <w:tab w:val="left" w:pos="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bookmarkStart w:id="149" w:name="_Toc531189839"/>
      <w:bookmarkStart w:id="150" w:name="_Toc175973400"/>
      <w:r>
        <w:rPr>
          <w:rFonts w:hint="eastAsia" w:ascii="仿宋" w:hAnsi="仿宋" w:eastAsia="仿宋" w:cs="仿宋"/>
          <w:color w:val="000000" w:themeColor="text1"/>
          <w:kern w:val="1"/>
          <w:szCs w:val="21"/>
          <w14:textFill>
            <w14:solidFill>
              <w14:schemeClr w14:val="tx1"/>
            </w14:solidFill>
          </w14:textFill>
        </w:rPr>
        <w:t>投标文件须由投标人的法定代表人或经法定代表人正式授权的代表签字（招标文件要求投标文件中法定代表人签字处由法定代表人签署，要求授权代表签字处由授权代表签署），若由授权代表签署，须按招标文件规定的格式出具“法定代表人授权书”附在投标文件中，所有要求签字（名）处，均须由签字（名）者本人用不褪色的蓝(黑)色墨水(汁)书写，不得用任何形式的图章代替）；投标文件的任何行间插字、涂改和增删，改动处须由法定代表人或授权代表签字并加盖公章方为有效；因字迹潦草或表达不清所引起的后果由投标人自行负责。</w:t>
      </w:r>
    </w:p>
    <w:p w14:paraId="1B92100B">
      <w:pPr>
        <w:tabs>
          <w:tab w:val="left" w:pos="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5.7.2、投标人必须按照招标文件的规定和要求在投标文件中落款处签字，指定的页面处加盖公章。</w:t>
      </w:r>
    </w:p>
    <w:p w14:paraId="75ACADC4">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5.8、封装及封套注释</w:t>
      </w:r>
      <w:r>
        <w:rPr>
          <w:rFonts w:hint="eastAsia" w:ascii="仿宋" w:hAnsi="仿宋" w:eastAsia="仿宋" w:cs="仿宋"/>
          <w:color w:val="000000" w:themeColor="text1"/>
          <w:kern w:val="1"/>
          <w:szCs w:val="21"/>
          <w14:textFill>
            <w14:solidFill>
              <w14:schemeClr w14:val="tx1"/>
            </w14:solidFill>
          </w14:textFill>
        </w:rPr>
        <w:tab/>
      </w:r>
    </w:p>
    <w:p w14:paraId="6447DAE0">
      <w:pPr>
        <w:tabs>
          <w:tab w:val="left" w:pos="0"/>
          <w:tab w:val="left" w:pos="420"/>
        </w:tabs>
        <w:snapToGrid w:val="0"/>
        <w:spacing w:line="360" w:lineRule="auto"/>
        <w:ind w:firstLine="420" w:firstLineChars="200"/>
        <w:rPr>
          <w:rFonts w:ascii="仿宋" w:hAnsi="仿宋" w:eastAsia="仿宋" w:cs="仿宋"/>
          <w:b/>
          <w:bCs/>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5.8.1、</w:t>
      </w:r>
      <w:r>
        <w:rPr>
          <w:rFonts w:hint="eastAsia" w:ascii="仿宋" w:hAnsi="仿宋" w:eastAsia="仿宋" w:cs="仿宋"/>
          <w:b/>
          <w:bCs/>
          <w:color w:val="000000" w:themeColor="text1"/>
          <w:kern w:val="1"/>
          <w:szCs w:val="21"/>
          <w14:textFill>
            <w14:solidFill>
              <w14:schemeClr w14:val="tx1"/>
            </w14:solidFill>
          </w14:textFill>
        </w:rPr>
        <w:t>投标文件的正本、副本、开标一览表要求各自分装密封（封袋不得有破损），同时在封口处加贴封条并在骑缝处加盖投标人公章；投标文件电子版U盘须用抠取纸或其他方式标明投标人名称，并用小信封包装后随开标一览表一起封装，U盘须安全无病毒。电子文件与纸质正本投标文件的内容应保持一致，具有同等法律效力。电子文件采用PDF格式，需要签字和盖章的，可采用电子印章，或将有盖章和签字的纸质页面、证件等扫描文件一起编辑到PDF格式文件中，盖章和签字页不能遗漏。未按规定制作电子文件或开标现场电子U盘因自身原因导致无法读取的、投标人电子文件属性相同的，按无效投标文件处理。</w:t>
      </w:r>
    </w:p>
    <w:p w14:paraId="4DB1B468">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5.8.2、封套上应载明的信息：</w:t>
      </w:r>
    </w:p>
    <w:p w14:paraId="7F3D6E55">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项目名称及编号、采购人名称、投标人名称，并注明</w:t>
      </w:r>
      <w:r>
        <w:rPr>
          <w:rFonts w:hint="eastAsia" w:ascii="仿宋" w:hAnsi="仿宋" w:eastAsia="仿宋" w:cs="仿宋"/>
          <w:color w:val="000000" w:themeColor="text1"/>
          <w:kern w:val="1"/>
          <w:szCs w:val="21"/>
          <w:lang w:val="en-US" w:eastAsia="zh-CN"/>
          <w14:textFill>
            <w14:solidFill>
              <w14:schemeClr w14:val="tx1"/>
            </w14:solidFill>
          </w14:textFill>
        </w:rPr>
        <w:t>与前附表描述不一致</w:t>
      </w:r>
      <w:r>
        <w:rPr>
          <w:rFonts w:hint="eastAsia" w:ascii="仿宋" w:hAnsi="仿宋" w:eastAsia="仿宋" w:cs="仿宋"/>
          <w:color w:val="000000" w:themeColor="text1"/>
          <w:kern w:val="1"/>
          <w:szCs w:val="21"/>
          <w14:textFill>
            <w14:solidFill>
              <w14:schemeClr w14:val="tx1"/>
            </w14:solidFill>
          </w14:textFill>
        </w:rPr>
        <w:t>及“在    年  月  日  时  分前不得开启”字样</w:t>
      </w:r>
    </w:p>
    <w:p w14:paraId="1BF713B6">
      <w:pPr>
        <w:tabs>
          <w:tab w:val="left" w:pos="0"/>
          <w:tab w:val="left" w:pos="420"/>
        </w:tabs>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5.8.3、</w:t>
      </w:r>
      <w:r>
        <w:rPr>
          <w:rFonts w:hint="eastAsia" w:ascii="仿宋" w:hAnsi="仿宋" w:eastAsia="仿宋" w:cs="仿宋"/>
          <w:color w:val="000000" w:themeColor="text1"/>
          <w:szCs w:val="21"/>
          <w14:textFill>
            <w14:solidFill>
              <w14:schemeClr w14:val="tx1"/>
            </w14:solidFill>
          </w14:textFill>
        </w:rPr>
        <w:t>投标文件正本和副本</w:t>
      </w:r>
      <w:r>
        <w:rPr>
          <w:rFonts w:hint="eastAsia" w:ascii="仿宋" w:hAnsi="仿宋" w:eastAsia="仿宋" w:cs="仿宋"/>
          <w:color w:val="000000" w:themeColor="text1"/>
          <w:szCs w:val="21"/>
          <w:lang w:val="zh-CN"/>
          <w14:textFill>
            <w14:solidFill>
              <w14:schemeClr w14:val="tx1"/>
            </w14:solidFill>
          </w14:textFill>
        </w:rPr>
        <w:t>一律采用A4纸幅面加胶装分别装订成册，</w:t>
      </w:r>
      <w:r>
        <w:rPr>
          <w:rFonts w:hint="eastAsia" w:ascii="仿宋" w:hAnsi="仿宋" w:eastAsia="仿宋" w:cs="仿宋"/>
          <w:bCs/>
          <w:color w:val="000000" w:themeColor="text1"/>
          <w:kern w:val="1"/>
          <w:szCs w:val="21"/>
          <w14:textFill>
            <w14:solidFill>
              <w14:schemeClr w14:val="tx1"/>
            </w14:solidFill>
          </w14:textFill>
        </w:rPr>
        <w:t>按序从目录开始编制页码。</w:t>
      </w:r>
      <w:r>
        <w:rPr>
          <w:rFonts w:hint="eastAsia" w:ascii="仿宋" w:hAnsi="仿宋" w:eastAsia="仿宋" w:cs="仿宋"/>
          <w:color w:val="000000" w:themeColor="text1"/>
          <w:szCs w:val="21"/>
          <w14:textFill>
            <w14:solidFill>
              <w14:schemeClr w14:val="tx1"/>
            </w14:solidFill>
          </w14:textFill>
        </w:rPr>
        <w:t>文件胶装装订后，页面不可抽取，不得有活动页，无破损、不可拆分。</w:t>
      </w:r>
    </w:p>
    <w:p w14:paraId="0D2427B1">
      <w:pPr>
        <w:tabs>
          <w:tab w:val="left" w:pos="0"/>
          <w:tab w:val="left" w:pos="420"/>
        </w:tabs>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5.8.4</w:t>
      </w:r>
      <w:r>
        <w:rPr>
          <w:rFonts w:hint="eastAsia" w:ascii="仿宋" w:hAnsi="仿宋" w:eastAsia="仿宋" w:cs="仿宋"/>
          <w:color w:val="000000" w:themeColor="text1"/>
          <w:szCs w:val="21"/>
          <w14:textFill>
            <w14:solidFill>
              <w14:schemeClr w14:val="tx1"/>
            </w14:solidFill>
          </w14:textFill>
        </w:rPr>
        <w:t>、如果投标人未按上述要求密封标识，采购人及采购代理机构将拒绝接收投标文件。</w:t>
      </w:r>
    </w:p>
    <w:p w14:paraId="38B1C271">
      <w:pPr>
        <w:snapToGrid w:val="0"/>
        <w:spacing w:line="360" w:lineRule="auto"/>
        <w:ind w:firstLine="211" w:firstLineChars="1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4.6、投标保证金：</w:t>
      </w:r>
      <w:r>
        <w:rPr>
          <w:rFonts w:hint="eastAsia" w:ascii="仿宋" w:hAnsi="仿宋" w:eastAsia="仿宋" w:cs="仿宋"/>
          <w:color w:val="000000" w:themeColor="text1"/>
          <w:szCs w:val="21"/>
          <w14:textFill>
            <w14:solidFill>
              <w14:schemeClr w14:val="tx1"/>
            </w14:solidFill>
          </w14:textFill>
        </w:rPr>
        <w:t>本项目不收取投标保证金。</w:t>
      </w:r>
    </w:p>
    <w:p w14:paraId="08C53891">
      <w:pPr>
        <w:pStyle w:val="3"/>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五、投标文件的递交</w:t>
      </w:r>
      <w:bookmarkEnd w:id="149"/>
      <w:bookmarkEnd w:id="150"/>
    </w:p>
    <w:p w14:paraId="1B8E7BEB">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5.1、投标文件的递交</w:t>
      </w:r>
    </w:p>
    <w:p w14:paraId="28CF1E15">
      <w:pPr>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5.1.1、投标人应当在招标文件要求提交投标文件的截止时间前，将投标文件密封送达投标地点。采购人或者采购代理机构收到投标文件后，如实记载投标文件的送达时间和密封情况，签收保存，向投标人出具签收回执。任何单位和个人不得在开标前开启投标文件。</w:t>
      </w:r>
    </w:p>
    <w:p w14:paraId="0A5F8E91">
      <w:pPr>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5.1.2、逾期送达或者未按照招标文件要求密封的投标文件，采购人、采购代理机构将拒收。</w:t>
      </w:r>
    </w:p>
    <w:p w14:paraId="52D124A3">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5.2、投标截止时间</w:t>
      </w:r>
    </w:p>
    <w:p w14:paraId="5BB5E76B">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5.2.1、采购人推迟投标截止时间时，应以书面或传真的形式通知所有投标人。采购人和投标人的权利和义务将受到新的截止期的约束。</w:t>
      </w:r>
    </w:p>
    <w:p w14:paraId="2FC5274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5.2.2、投标截止时间以后送达的投标文件，采购人及采购代理机构拒绝接收。</w:t>
      </w:r>
    </w:p>
    <w:p w14:paraId="54FFA324">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5.3、投标文件的修改和撤回</w:t>
      </w:r>
    </w:p>
    <w:p w14:paraId="37DC46CB">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bookmarkStart w:id="151" w:name="_Toc531189840"/>
      <w:bookmarkStart w:id="152" w:name="_Toc519941192"/>
      <w:r>
        <w:rPr>
          <w:rFonts w:hint="eastAsia" w:ascii="仿宋" w:hAnsi="仿宋" w:eastAsia="仿宋" w:cs="仿宋"/>
          <w:color w:val="000000" w:themeColor="text1"/>
          <w:szCs w:val="21"/>
          <w14:textFill>
            <w14:solidFill>
              <w14:schemeClr w14:val="tx1"/>
            </w14:solidFill>
          </w14:textFill>
        </w:rPr>
        <w:t>5.3.1、投标以后，如果投标人提出书面修改，须在投标截止时间前密封送达同正项目管理有限公司，同正项目管理有限公司可以予以接受，但不退还原投标文件。</w:t>
      </w:r>
    </w:p>
    <w:p w14:paraId="6C9C9D5E">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5.3.2、撤回投标应以书面或传真的形式在投标截止时间前送达同正项目管理有限公司，同正项目管理有限公司可以予以接受，但不退还原投标文件。</w:t>
      </w:r>
    </w:p>
    <w:p w14:paraId="6995C18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5.3.3、如采取传真形式撤回投标，随后必须补充有法人代表或授权代表签署的要求撤回投标的正式文件。撤回投标的时间以送达同正项目管理有限公司的时间为准。</w:t>
      </w:r>
    </w:p>
    <w:p w14:paraId="373899C7">
      <w:pPr>
        <w:pStyle w:val="3"/>
        <w:tabs>
          <w:tab w:val="left" w:pos="3930"/>
          <w:tab w:val="center" w:pos="4819"/>
        </w:tabs>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六、开标、资格审查及评标</w:t>
      </w:r>
      <w:bookmarkEnd w:id="151"/>
      <w:bookmarkEnd w:id="152"/>
    </w:p>
    <w:p w14:paraId="11569EC2">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6.1、开标</w:t>
      </w:r>
    </w:p>
    <w:p w14:paraId="2D35AE92">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开标由采购代理机构主持。主持人按照招标文件规定的开标时间宣布开标，并按下列程序进行（但不限于）：</w:t>
      </w:r>
    </w:p>
    <w:p w14:paraId="71BC978D">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（1）宣布开标开始和开启录音录像设备并致辞；</w:t>
      </w:r>
    </w:p>
    <w:p w14:paraId="6F3B9D5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（2）宣布开标纪律和有关注意事项；</w:t>
      </w:r>
    </w:p>
    <w:p w14:paraId="3644C1F9">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（3）公布在投标截止时间前递交投标文件的投标人名称（根据投标人签到表）；</w:t>
      </w:r>
    </w:p>
    <w:p w14:paraId="54E3E68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（4）宣布开标人、唱标人、监督人、记录人等有关工作人员姓名；</w:t>
      </w:r>
    </w:p>
    <w:p w14:paraId="49B327A7">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（5）检查并宣布投标文件的密封情况；</w:t>
      </w:r>
    </w:p>
    <w:p w14:paraId="6B44033F">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开标唱标：主持人宣布开标后，由现场工作人员按照投标人须知前附表规定的顺序对投标人的“投标文件（正本）”当众进行拆封，由唱标人对其中“开标一览表”的包号、采购标段编号、投标人名称、投标总价、完成时间等内容进行宣读并做开标记录；所有投标唱标完毕，如投标人对宣读的“开标一览表”上的内容有异议的，应当举手示意，在获得主持人同意后当场提出；如确实属于唱标人宣读错误的，经现场监督人员核实后，当场予以更正；无异议后，由投标人法定代表人或委托代理人及监督管理机构代表签字确认唱标内容；</w:t>
      </w:r>
    </w:p>
    <w:p w14:paraId="0845991E">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宣布开标结束：主持人宣布开标结束后，所有投标人应立即退场（招标文件要求演示、述标的除外）；同时所有投标人应保持通讯设备的畅通，以方便在评标过程中评标委员会要求投标人对投标文件的必要澄清、说明和纠正。</w:t>
      </w:r>
    </w:p>
    <w:p w14:paraId="1FB1F2F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注：检查投标文件密封情况是指，由投标人或者其推选的代表检查其自己递交的投标文件的密封情况，经检查无误后，签字确认。</w:t>
      </w:r>
    </w:p>
    <w:p w14:paraId="299134B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但不得干扰、阻挠开标工作的正常进行。</w:t>
      </w:r>
    </w:p>
    <w:p w14:paraId="0272DF68">
      <w:pPr>
        <w:numPr>
          <w:ilvl w:val="0"/>
          <w:numId w:val="4"/>
        </w:num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7E0B3B3E">
      <w:pPr>
        <w:pStyle w:val="19"/>
        <w:spacing w:line="360" w:lineRule="auto"/>
        <w:jc w:val="both"/>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6.2、投标人资格审查</w:t>
      </w:r>
    </w:p>
    <w:p w14:paraId="51A57120">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开标结束后，由采购人及代理机构按照《政府采购货物和服务招标投标管理办法》（财政部第87号令）有关规定，对投标人进行资格审查，不符合要求的投标人将不再进入下面程序（在评标结束前发现投标人资格不符合要求的，经评标委员会同意后可作无效投标处理）</w:t>
      </w:r>
    </w:p>
    <w:p w14:paraId="3D46EC6D">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资格审查出现下列情形的，投标文件将被视为无效：</w:t>
      </w:r>
    </w:p>
    <w:p w14:paraId="40B970E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A.不具备招标文件中规定的资格要求或缺项的；</w:t>
      </w:r>
    </w:p>
    <w:p w14:paraId="3D6C26A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B.未按招标文件要求提供资格证明文件原件，或未按招标文件要求加盖公章的；</w:t>
      </w:r>
    </w:p>
    <w:p w14:paraId="30EE9DCA">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C.采购人认为投标人的资格证明文件存在疑点，要求投标人现场提供原件，投标人不能在规定时限内提供原件或其所提供的原件无法证实投标文件所附证明文件有效性的。</w:t>
      </w:r>
    </w:p>
    <w:p w14:paraId="399B474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(2)资格审查结束后，采购人及代理机构应当对审查结果进行签字确认，并告知无效投标投标人资格审查未通过的原因。</w:t>
      </w:r>
    </w:p>
    <w:p w14:paraId="21490C3A">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(3)合格投标人不足3家的，不得评标。</w:t>
      </w:r>
    </w:p>
    <w:p w14:paraId="7EC322A1">
      <w:pPr>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6.3、评标</w:t>
      </w:r>
    </w:p>
    <w:p w14:paraId="751EDF1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投标文件符合性审查由评标委员会进行，依据招标文件规定，从投标文件的有效性、完整性和对招标文件的响应程度进行审查，以确定是否对招标文件的实质性要求作出响应。投标文件有下列情况之一者将被认定为投标无效：</w:t>
      </w:r>
    </w:p>
    <w:p w14:paraId="41F2E445">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6.3.1.1、未按照招标文件规定和要求对投标文件进行签署、盖章的；</w:t>
      </w:r>
    </w:p>
    <w:p w14:paraId="51871BC5">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6.3.1.2、不具备招标文件中规定的资格条件和资格审查要求的；</w:t>
      </w:r>
    </w:p>
    <w:p w14:paraId="747E4F4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6.3.1.3、与招标文件有重大偏离；</w:t>
      </w:r>
    </w:p>
    <w:p w14:paraId="7C69CD5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6.3.1.4、投标人拒绝修正错误；</w:t>
      </w:r>
    </w:p>
    <w:p w14:paraId="264323EE">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6.3.1.5、投标人的报价是选择性的；</w:t>
      </w:r>
    </w:p>
    <w:p w14:paraId="370CAD2B">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6.3.1.6、投标人的报价只投了同一项目中部分内容；</w:t>
      </w:r>
    </w:p>
    <w:p w14:paraId="469193A0">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6.3.1.7、投标人的投标文件中出现评委会认为不应雷同的； </w:t>
      </w:r>
    </w:p>
    <w:p w14:paraId="6EA4B1C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6.3.1.8、投标人名称与登记获取招标文件单位的名称不一致的；</w:t>
      </w:r>
    </w:p>
    <w:p w14:paraId="102E9696">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6.3.1.9、其他被评委会认定无效的情况。</w:t>
      </w:r>
    </w:p>
    <w:p w14:paraId="7B97F6A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6.3.2、在详细评标之前，评委会将首先审查每份投标书是否实质响应了招标文件的要求。实质上响应的投标应该是与招标文件的全部条款、条件和规格相符，没有重大偏离或保留。所谓重大偏离或保留是指影响合同的供货范围、质量和性能等；或者在实质上与招标文件不一致〔如货物和服务的质量（包括品牌）、数量及</w:t>
      </w:r>
      <w:r>
        <w:rPr>
          <w:rFonts w:hint="eastAsia" w:ascii="仿宋" w:hAnsi="仿宋" w:eastAsia="仿宋" w:cs="仿宋"/>
          <w:color w:val="000000" w:themeColor="text1"/>
          <w:szCs w:val="21"/>
          <w:lang w:eastAsia="zh-CN"/>
          <w14:textFill>
            <w14:solidFill>
              <w14:schemeClr w14:val="tx1"/>
            </w14:solidFill>
          </w14:textFill>
        </w:rPr>
        <w:t>服务期</w:t>
      </w:r>
      <w:r>
        <w:rPr>
          <w:rFonts w:hint="eastAsia" w:ascii="仿宋" w:hAnsi="仿宋" w:eastAsia="仿宋" w:cs="仿宋"/>
          <w:color w:val="000000" w:themeColor="text1"/>
          <w:szCs w:val="21"/>
          <w14:textFill>
            <w14:solidFill>
              <w14:schemeClr w14:val="tx1"/>
            </w14:solidFill>
          </w14:textFill>
        </w:rPr>
        <w:t>等明显不能满足招标文件的要求〕，而且限制了合同中买方的权利或投标人的义务。这些偏离或保留将会对其他实质上响应要求的投标人的竞争地位产生不公正的影响。</w:t>
      </w:r>
    </w:p>
    <w:p w14:paraId="1800506D">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6.3.3、招标文件提供的工艺、材料、设备、参考的商标或样本目录号码等仅作为说明并没有限制性，投标人在投标中可以选用替代标准，但这些替代标准要优于或相当于技术规格中要求的标准，以满足采购人的需要。</w:t>
      </w:r>
    </w:p>
    <w:p w14:paraId="4F75AF60">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6.3.4、评标委员会将允许修改投标中不构成重大偏离的微小的、非正规、不一致或不规则的地方，但这些修改不能影响任何投标人的名次相应排列。投标人不得对投标文件进行实质性修改。</w:t>
      </w:r>
    </w:p>
    <w:p w14:paraId="239FFD92">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6.3.5、评委会将对确定为实质上响应的投标进行审核，看其是否有计算上或累加上的算术错误，修正错误的原则如下：</w:t>
      </w:r>
    </w:p>
    <w:p w14:paraId="034ACDC1">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（1）文字与图表不符以文字为准；</w:t>
      </w:r>
    </w:p>
    <w:p w14:paraId="49E859E0">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（2）投标文件中开标一览表（报价表）内容与投标文件中相应内容不一致的，以开标一览表（报价表）为准；</w:t>
      </w:r>
    </w:p>
    <w:p w14:paraId="1C28C5C9">
      <w:pPr>
        <w:snapToGrid w:val="0"/>
        <w:spacing w:line="360" w:lineRule="auto"/>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时出现两种以上不一致的，按照前款规定的顺序修正。修正后的报价按照《政府采购货物和服务招标投标管理办法》财政部第87号令第五十一条第二款的规定经投标人确认后产生约束力，投标人不确认的，其投标无效。</w:t>
      </w:r>
    </w:p>
    <w:p w14:paraId="430759C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6.3.6、评标委员会对投标文件的判定，只依据投标内容本身，不依靠开标后的任何外来证明。</w:t>
      </w:r>
    </w:p>
    <w:p w14:paraId="5BBC21D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6.3.7、评标委员会将拒绝被确定为非实质性响应的投标，投标人不能通过修正或撤销不符之处而使其投标成为实质性响应的投标。</w:t>
      </w:r>
    </w:p>
    <w:p w14:paraId="0340673D">
      <w:pPr>
        <w:snapToGrid w:val="0"/>
        <w:spacing w:line="360" w:lineRule="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6.4、投标的澄清</w:t>
      </w:r>
    </w:p>
    <w:p w14:paraId="1F5B032E">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6.4.1、为了有助于对投标文件进行审查、评估和比较，招标代理机构有权就投标文件中含混之处向投标人提出询问或澄清要求。投标人必须按照招标代理机构通知的时间、地点派技术和商务人员进行答疑和澄清。</w:t>
      </w:r>
    </w:p>
    <w:p w14:paraId="4644008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6.4.2、有关澄清的答复应采用书面形式，该书面答复应有投标人全权代表签署确认，并将作为投标内容的一部分。</w:t>
      </w:r>
    </w:p>
    <w:p w14:paraId="31312FB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6.4.3、投标人对投标文件的澄清不得改变投标的价格（校核时发现的算术错误除外）及实质内容。</w:t>
      </w:r>
    </w:p>
    <w:p w14:paraId="6A19C2A7">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6.5、公开招标数额标准以上的采购项目，投标截止后投标人不足3家或者通过资格审查或符合性审查的投标人不足3家的，除采购任务取消情形外，按照以下方式处理：</w:t>
      </w:r>
    </w:p>
    <w:p w14:paraId="4477EF4D">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6.5.1、招标文件存在不合理条款或者招标程序不符合规定的，采购人、采购代理机构改正后依法重新招标；</w:t>
      </w:r>
    </w:p>
    <w:p w14:paraId="28D720D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6.5.2、招标文件没有不合理条款、招标程序符合规定，需要采用其他采购方式采购的，采购人应当依法报财政部门批准。</w:t>
      </w:r>
    </w:p>
    <w:p w14:paraId="7CC2342C">
      <w:pPr>
        <w:snapToGrid w:val="0"/>
        <w:spacing w:line="360" w:lineRule="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6.6、投标文件的评价和比较</w:t>
      </w:r>
    </w:p>
    <w:p w14:paraId="38DAAE6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6.6.1、评标委员会将仅对按照本须知有关规定确定为实质上响应招标文件要求的投标文件进行评价和比较。</w:t>
      </w:r>
    </w:p>
    <w:p w14:paraId="230CD80B">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6.6.2、评价和比较采用综合评分法，评委会严格按照招标文件的规定要求、条件、评分标准，对投标人所提供货物或服务的先进性、可靠性、售后服务承诺、质量保证承诺等实质性响应内容进行比较评价。</w:t>
      </w:r>
    </w:p>
    <w:p w14:paraId="1D265B1C">
      <w:pPr>
        <w:snapToGrid w:val="0"/>
        <w:spacing w:line="360" w:lineRule="auto"/>
        <w:ind w:firstLine="420"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6.6.3、最低的投标报价是中标条件之一，但不是唯一条件。</w:t>
      </w:r>
    </w:p>
    <w:p w14:paraId="0CF3C3CE">
      <w:pPr>
        <w:snapToGrid w:val="0"/>
        <w:spacing w:line="360" w:lineRule="auto"/>
        <w:outlineLvl w:val="0"/>
        <w:rPr>
          <w:rFonts w:ascii="仿宋" w:hAnsi="仿宋" w:eastAsia="仿宋" w:cs="仿宋"/>
          <w:b/>
          <w:color w:val="000000" w:themeColor="text1"/>
          <w:szCs w:val="21"/>
          <w14:textFill>
            <w14:solidFill>
              <w14:schemeClr w14:val="tx1"/>
            </w14:solidFill>
          </w14:textFill>
        </w:rPr>
      </w:pPr>
      <w:bookmarkStart w:id="153" w:name="_Toc5292"/>
      <w:bookmarkStart w:id="154" w:name="_Toc21769"/>
      <w:bookmarkStart w:id="155" w:name="_Toc19460"/>
      <w:bookmarkStart w:id="156" w:name="_Toc7400"/>
      <w:bookmarkStart w:id="157" w:name="_Toc15027"/>
      <w:bookmarkStart w:id="158" w:name="_Toc2757"/>
      <w:bookmarkStart w:id="159" w:name="_Toc20387"/>
      <w:bookmarkStart w:id="160" w:name="_Toc10418"/>
      <w:bookmarkStart w:id="161" w:name="_Toc14132"/>
      <w:bookmarkStart w:id="162" w:name="_Toc26618"/>
      <w:bookmarkStart w:id="163" w:name="_Toc8045"/>
      <w:bookmarkStart w:id="164" w:name="_Toc30370"/>
      <w:r>
        <w:rPr>
          <w:rFonts w:hint="eastAsia" w:ascii="仿宋" w:hAnsi="仿宋" w:eastAsia="仿宋" w:cs="仿宋"/>
          <w:b/>
          <w:color w:val="000000" w:themeColor="text1"/>
          <w:szCs w:val="21"/>
          <w14:textFill>
            <w14:solidFill>
              <w14:schemeClr w14:val="tx1"/>
            </w14:solidFill>
          </w14:textFill>
        </w:rPr>
        <w:t>6.7、评标过程保密</w:t>
      </w:r>
      <w:bookmarkEnd w:id="153"/>
      <w:bookmarkEnd w:id="154"/>
      <w:bookmarkEnd w:id="155"/>
      <w:bookmarkEnd w:id="156"/>
      <w:bookmarkEnd w:id="157"/>
      <w:bookmarkEnd w:id="158"/>
      <w:bookmarkEnd w:id="159"/>
      <w:bookmarkEnd w:id="160"/>
      <w:bookmarkEnd w:id="161"/>
      <w:bookmarkEnd w:id="162"/>
      <w:bookmarkEnd w:id="163"/>
      <w:bookmarkEnd w:id="164"/>
    </w:p>
    <w:p w14:paraId="3547292A">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6.7.1、从开标之日到确定中标人止，评标人员不得向投标人或其他无关人员透露有关审查、澄清、评价和比较投标资料的情况或授标意向。</w:t>
      </w:r>
    </w:p>
    <w:p w14:paraId="1E65E663">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6.7.2、任何人员如发生泄密现象，将承担相应的法律责任。</w:t>
      </w:r>
    </w:p>
    <w:p w14:paraId="1A195404">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6.7.3、投标人企图影响招标方的任何行为，将导致该投标人被拒绝，并承担相应的法律责任。</w:t>
      </w:r>
    </w:p>
    <w:p w14:paraId="793C4640">
      <w:pPr>
        <w:snapToGrid w:val="0"/>
        <w:spacing w:line="360" w:lineRule="auto"/>
        <w:outlineLvl w:val="0"/>
        <w:rPr>
          <w:rFonts w:ascii="仿宋" w:hAnsi="仿宋" w:eastAsia="仿宋" w:cs="仿宋"/>
          <w:b/>
          <w:color w:val="000000" w:themeColor="text1"/>
          <w:szCs w:val="21"/>
          <w14:textFill>
            <w14:solidFill>
              <w14:schemeClr w14:val="tx1"/>
            </w14:solidFill>
          </w14:textFill>
        </w:rPr>
      </w:pPr>
      <w:bookmarkStart w:id="165" w:name="_Toc453862260"/>
      <w:bookmarkStart w:id="166" w:name="_Toc23467"/>
      <w:bookmarkStart w:id="167" w:name="_Toc15131"/>
      <w:bookmarkStart w:id="168" w:name="_Toc22630"/>
      <w:bookmarkStart w:id="169" w:name="_Toc2269"/>
      <w:bookmarkStart w:id="170" w:name="_Toc19635"/>
      <w:bookmarkStart w:id="171" w:name="_Toc20614"/>
      <w:bookmarkStart w:id="172" w:name="_Toc32173"/>
      <w:bookmarkStart w:id="173" w:name="_Toc2790"/>
      <w:bookmarkStart w:id="174" w:name="_Toc18474"/>
      <w:bookmarkStart w:id="175" w:name="_Toc28525"/>
      <w:bookmarkStart w:id="176" w:name="_Toc26856"/>
      <w:bookmarkStart w:id="177" w:name="_Toc536"/>
      <w:r>
        <w:rPr>
          <w:rFonts w:hint="eastAsia" w:ascii="仿宋" w:hAnsi="仿宋" w:eastAsia="仿宋" w:cs="仿宋"/>
          <w:b/>
          <w:color w:val="000000" w:themeColor="text1"/>
          <w:szCs w:val="21"/>
          <w14:textFill>
            <w14:solidFill>
              <w14:schemeClr w14:val="tx1"/>
            </w14:solidFill>
          </w14:textFill>
        </w:rPr>
        <w:t>6.8</w:t>
      </w:r>
      <w:bookmarkEnd w:id="165"/>
      <w:r>
        <w:rPr>
          <w:rFonts w:hint="eastAsia" w:ascii="仿宋" w:hAnsi="仿宋" w:eastAsia="仿宋" w:cs="仿宋"/>
          <w:b/>
          <w:color w:val="000000" w:themeColor="text1"/>
          <w:szCs w:val="21"/>
          <w14:textFill>
            <w14:solidFill>
              <w14:schemeClr w14:val="tx1"/>
            </w14:solidFill>
          </w14:textFill>
        </w:rPr>
        <w:t>、推荐中标候选人</w:t>
      </w:r>
      <w:bookmarkEnd w:id="166"/>
      <w:bookmarkEnd w:id="167"/>
      <w:bookmarkEnd w:id="168"/>
      <w:bookmarkEnd w:id="169"/>
      <w:bookmarkEnd w:id="170"/>
      <w:bookmarkEnd w:id="171"/>
      <w:bookmarkEnd w:id="172"/>
      <w:bookmarkEnd w:id="173"/>
      <w:bookmarkEnd w:id="174"/>
      <w:bookmarkEnd w:id="175"/>
      <w:bookmarkEnd w:id="176"/>
      <w:bookmarkEnd w:id="177"/>
    </w:p>
    <w:p w14:paraId="60D826A7">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评标委员会按照招标文件确定的内容和评标方法对投标文件进行评审，按照得分由高到低的顺序，按排序推荐中标候选人。</w:t>
      </w:r>
    </w:p>
    <w:p w14:paraId="447D4A63">
      <w:pPr>
        <w:pStyle w:val="3"/>
        <w:tabs>
          <w:tab w:val="left" w:pos="3930"/>
          <w:tab w:val="center" w:pos="4819"/>
        </w:tabs>
        <w:snapToGrid w:val="0"/>
        <w:jc w:val="left"/>
        <w:rPr>
          <w:rFonts w:ascii="仿宋" w:hAnsi="仿宋" w:eastAsia="仿宋" w:cs="仿宋"/>
          <w:color w:val="000000" w:themeColor="text1"/>
          <w:sz w:val="24"/>
          <w:szCs w:val="24"/>
          <w14:textFill>
            <w14:solidFill>
              <w14:schemeClr w14:val="tx1"/>
            </w14:solidFill>
          </w14:textFill>
        </w:rPr>
      </w:pPr>
      <w:bookmarkStart w:id="178" w:name="_Toc531189841"/>
      <w:bookmarkStart w:id="179" w:name="_Toc519941193"/>
      <w:r>
        <w:rPr>
          <w:rFonts w:hint="eastAsia" w:ascii="仿宋" w:hAnsi="仿宋" w:eastAsia="仿宋" w:cs="仿宋"/>
          <w:color w:val="000000" w:themeColor="text1"/>
          <w:sz w:val="24"/>
          <w:szCs w:val="24"/>
          <w14:textFill>
            <w14:solidFill>
              <w14:schemeClr w14:val="tx1"/>
            </w14:solidFill>
          </w14:textFill>
        </w:rPr>
        <w:t>七、确定中标及中标公示</w:t>
      </w:r>
      <w:bookmarkEnd w:id="178"/>
      <w:bookmarkEnd w:id="179"/>
    </w:p>
    <w:p w14:paraId="71562974">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bookmarkStart w:id="180" w:name="_Toc8706"/>
      <w:bookmarkStart w:id="181" w:name="_Toc2805"/>
      <w:bookmarkStart w:id="182" w:name="_Toc2700"/>
      <w:bookmarkStart w:id="183" w:name="_Toc24051"/>
      <w:bookmarkStart w:id="184" w:name="_Toc17914"/>
      <w:bookmarkStart w:id="185" w:name="_Toc24681"/>
      <w:bookmarkStart w:id="186" w:name="_Toc1114"/>
      <w:bookmarkStart w:id="187" w:name="_Toc22568"/>
      <w:bookmarkStart w:id="188" w:name="_Toc19446"/>
      <w:bookmarkStart w:id="189" w:name="_Toc2216"/>
      <w:bookmarkStart w:id="190" w:name="_Toc6506"/>
      <w:bookmarkStart w:id="191" w:name="_Toc25981"/>
      <w:r>
        <w:rPr>
          <w:rFonts w:hint="eastAsia" w:ascii="仿宋" w:hAnsi="仿宋" w:eastAsia="仿宋" w:cs="仿宋"/>
          <w:b/>
          <w:color w:val="000000" w:themeColor="text1"/>
          <w:szCs w:val="21"/>
          <w14:textFill>
            <w14:solidFill>
              <w14:schemeClr w14:val="tx1"/>
            </w14:solidFill>
          </w14:textFill>
        </w:rPr>
        <w:t>7.1、中标公示</w:t>
      </w:r>
      <w:bookmarkEnd w:id="180"/>
      <w:bookmarkEnd w:id="181"/>
      <w:bookmarkEnd w:id="182"/>
      <w:bookmarkEnd w:id="183"/>
      <w:bookmarkEnd w:id="184"/>
      <w:bookmarkEnd w:id="185"/>
      <w:bookmarkEnd w:id="186"/>
      <w:bookmarkEnd w:id="187"/>
      <w:bookmarkEnd w:id="188"/>
      <w:bookmarkEnd w:id="189"/>
      <w:bookmarkEnd w:id="190"/>
      <w:bookmarkEnd w:id="191"/>
    </w:p>
    <w:p w14:paraId="0C633F82">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7.1.1、采购人根据评标报告中推荐的中标候选人排列顺序确定中标人。</w:t>
      </w:r>
    </w:p>
    <w:p w14:paraId="3807069E">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7.1.2、中标结果在</w:t>
      </w:r>
      <w:r>
        <w:rPr>
          <w:rFonts w:hint="eastAsia" w:ascii="仿宋" w:hAnsi="仿宋" w:eastAsia="仿宋" w:cs="仿宋"/>
          <w:color w:val="000000" w:themeColor="text1"/>
          <w:kern w:val="0"/>
          <w:szCs w:val="21"/>
          <w14:textFill>
            <w14:solidFill>
              <w14:schemeClr w14:val="tx1"/>
            </w14:solidFill>
          </w14:textFill>
        </w:rPr>
        <w:t>《陕西省政府采购网》</w:t>
      </w:r>
      <w:r>
        <w:rPr>
          <w:rFonts w:hint="eastAsia" w:ascii="仿宋" w:hAnsi="仿宋" w:eastAsia="仿宋" w:cs="仿宋"/>
          <w:color w:val="000000" w:themeColor="text1"/>
          <w:szCs w:val="21"/>
          <w14:textFill>
            <w14:solidFill>
              <w14:schemeClr w14:val="tx1"/>
            </w14:solidFill>
          </w14:textFill>
        </w:rPr>
        <w:t>发布采购结果公告，结果公告期限为1个工作日。投标人对评标结果有异议的，可以以书面形式提出质疑。提出质疑的投标人应保证提出的质疑内容及相应证明材料的真实性及来源的合法性，并承担相应的法律责任。</w:t>
      </w:r>
    </w:p>
    <w:p w14:paraId="4ABE219A">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7.1.3、</w:t>
      </w:r>
      <w:r>
        <w:rPr>
          <w:rFonts w:hint="eastAsia" w:ascii="仿宋" w:hAnsi="仿宋" w:eastAsia="仿宋" w:cs="仿宋"/>
          <w:color w:val="000000" w:themeColor="text1"/>
          <w:szCs w:val="21"/>
          <w:lang w:val="en-US" w:eastAsia="zh-CN"/>
          <w14:textFill>
            <w14:solidFill>
              <w14:schemeClr w14:val="tx1"/>
            </w14:solidFill>
          </w14:textFill>
        </w:rPr>
        <w:t>评标委员会</w:t>
      </w:r>
      <w:r>
        <w:rPr>
          <w:rFonts w:hint="eastAsia" w:ascii="仿宋" w:hAnsi="仿宋" w:eastAsia="仿宋" w:cs="仿宋"/>
          <w:color w:val="000000" w:themeColor="text1"/>
          <w:szCs w:val="21"/>
          <w14:textFill>
            <w14:solidFill>
              <w14:schemeClr w14:val="tx1"/>
            </w14:solidFill>
          </w14:textFill>
        </w:rPr>
        <w:t>可以对已推荐的中标候选人进行履约能力的进一步审核，以确认其是否具备完全履约能力。中标候选人不得拒绝提供进一步的证明其有能力履约的资料，并应该接受实地考察，如果发现中标候选人在履约能力方面有缺陷，或中标候选人不接受对其履约能力的进一步审核，评委会可以对原评标结果进行复议。</w:t>
      </w:r>
    </w:p>
    <w:p w14:paraId="5EF40BB1">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7.1.4、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7895E18E">
      <w:pPr>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7.2、中标通知</w:t>
      </w:r>
    </w:p>
    <w:p w14:paraId="2C6697A0">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7.2.1、中标人确定之后，采购人根据评标报告，向采购代理机构提供定标函。采购代理机构发布结果公告的同时向中标人发放中标通知书。</w:t>
      </w:r>
    </w:p>
    <w:p w14:paraId="23D3047D">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7.2.2、中标通知书对采购人和中标人具有同等法律效力。中标通知书发出之后，采购人改变中标结果，或者中标人放弃中标，均应当承担相应的法律责任。</w:t>
      </w:r>
    </w:p>
    <w:p w14:paraId="4501558A">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7.2.3、采购代理机构不做未中标原因的解释。</w:t>
      </w:r>
    </w:p>
    <w:p w14:paraId="3ED330CE">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7.2.4、中标通知书将是合同的一个组成部分。</w:t>
      </w:r>
    </w:p>
    <w:p w14:paraId="1F4859E8">
      <w:pPr>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7.3、签订合同</w:t>
      </w:r>
    </w:p>
    <w:p w14:paraId="015A3565">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7.3.1、中标人应依据中标通知书与采购人在法定期限内签订采购合同；如未能按时签订合同，采购人有权选择其它单位。</w:t>
      </w:r>
    </w:p>
    <w:p w14:paraId="799B613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7.3.2、招标文件、中标人的投标文件及评标过程中有关的澄清文件均作为合同附件。</w:t>
      </w:r>
    </w:p>
    <w:p w14:paraId="49869E0A">
      <w:pPr>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7.4</w:t>
      </w:r>
      <w:bookmarkStart w:id="192" w:name="_Toc322606648"/>
      <w:r>
        <w:rPr>
          <w:rFonts w:hint="eastAsia" w:ascii="仿宋" w:hAnsi="仿宋" w:eastAsia="仿宋" w:cs="仿宋"/>
          <w:b/>
          <w:bCs/>
          <w:color w:val="000000" w:themeColor="text1"/>
          <w:szCs w:val="21"/>
          <w14:textFill>
            <w14:solidFill>
              <w14:schemeClr w14:val="tx1"/>
            </w14:solidFill>
          </w14:textFill>
        </w:rPr>
        <w:t>、合同履行</w:t>
      </w:r>
      <w:bookmarkEnd w:id="192"/>
    </w:p>
    <w:p w14:paraId="1B18F7B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7.4.1、政府采购合同的履行、违约责任和解决争议的方法等适用《中华人民共和国民法典》。</w:t>
      </w:r>
    </w:p>
    <w:p w14:paraId="2170CC8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7.4.2、</w:t>
      </w:r>
      <w:r>
        <w:rPr>
          <w:rFonts w:hint="eastAsia" w:ascii="仿宋" w:hAnsi="仿宋" w:eastAsia="仿宋" w:cs="仿宋"/>
          <w:color w:val="000000" w:themeColor="text1"/>
          <w:szCs w:val="21"/>
          <w:lang w:eastAsia="zh-TW"/>
          <w14:textFill>
            <w14:solidFill>
              <w14:schemeClr w14:val="tx1"/>
            </w14:solidFill>
          </w14:textFill>
        </w:rPr>
        <w:t>政府采购合同订立后，合同各方不得擅自变更</w:t>
      </w:r>
      <w:r>
        <w:rPr>
          <w:rFonts w:hint="eastAsia" w:ascii="仿宋" w:hAnsi="仿宋" w:eastAsia="仿宋" w:cs="仿宋"/>
          <w:color w:val="000000" w:themeColor="text1"/>
          <w:szCs w:val="21"/>
          <w14:textFill>
            <w14:solidFill>
              <w14:schemeClr w14:val="tx1"/>
            </w14:solidFill>
          </w14:textFill>
        </w:rPr>
        <w:t>或者</w:t>
      </w:r>
      <w:r>
        <w:rPr>
          <w:rFonts w:hint="eastAsia" w:ascii="仿宋" w:hAnsi="仿宋" w:eastAsia="仿宋" w:cs="仿宋"/>
          <w:color w:val="000000" w:themeColor="text1"/>
          <w:szCs w:val="21"/>
          <w:lang w:eastAsia="zh-TW"/>
          <w14:textFill>
            <w14:solidFill>
              <w14:schemeClr w14:val="tx1"/>
            </w14:solidFill>
          </w14:textFill>
        </w:rPr>
        <w:t>中止或者终止合同。政府采购合同需要变更的，采购人应将有关合同变更内容，以书面形式报政府采购监督管理</w:t>
      </w:r>
      <w:r>
        <w:rPr>
          <w:rFonts w:hint="eastAsia" w:ascii="仿宋" w:hAnsi="仿宋" w:eastAsia="仿宋" w:cs="仿宋"/>
          <w:color w:val="000000" w:themeColor="text1"/>
          <w:szCs w:val="21"/>
          <w14:textFill>
            <w14:solidFill>
              <w14:schemeClr w14:val="tx1"/>
            </w14:solidFill>
          </w14:textFill>
        </w:rPr>
        <w:t>部门</w:t>
      </w:r>
      <w:r>
        <w:rPr>
          <w:rFonts w:hint="eastAsia" w:ascii="仿宋" w:hAnsi="仿宋" w:eastAsia="仿宋" w:cs="仿宋"/>
          <w:color w:val="000000" w:themeColor="text1"/>
          <w:szCs w:val="21"/>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仿宋" w:hAnsi="仿宋" w:eastAsia="仿宋" w:cs="仿宋"/>
          <w:color w:val="000000" w:themeColor="text1"/>
          <w:szCs w:val="21"/>
          <w14:textFill>
            <w14:solidFill>
              <w14:schemeClr w14:val="tx1"/>
            </w14:solidFill>
          </w14:textFill>
        </w:rPr>
        <w:t>部门</w:t>
      </w:r>
      <w:r>
        <w:rPr>
          <w:rFonts w:hint="eastAsia" w:ascii="仿宋" w:hAnsi="仿宋" w:eastAsia="仿宋" w:cs="仿宋"/>
          <w:color w:val="000000" w:themeColor="text1"/>
          <w:szCs w:val="21"/>
          <w:lang w:eastAsia="zh-TW"/>
          <w14:textFill>
            <w14:solidFill>
              <w14:schemeClr w14:val="tx1"/>
            </w14:solidFill>
          </w14:textFill>
        </w:rPr>
        <w:t>备案。</w:t>
      </w:r>
    </w:p>
    <w:p w14:paraId="0B53C3DF">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7.4.3、</w:t>
      </w:r>
      <w:r>
        <w:rPr>
          <w:rFonts w:hint="eastAsia" w:ascii="仿宋" w:hAnsi="仿宋" w:eastAsia="仿宋" w:cs="仿宋"/>
          <w:color w:val="000000" w:themeColor="text1"/>
          <w:szCs w:val="21"/>
          <w:lang w:eastAsia="zh-TW"/>
          <w14:textFill>
            <w14:solidFill>
              <w14:schemeClr w14:val="tx1"/>
            </w14:solidFill>
          </w14:textFill>
        </w:rPr>
        <w:t>政府采购合同履行中，采购人需追加与合同标的相同的货物的，在不改变合同其他条款的前提下，可以与</w:t>
      </w:r>
      <w:r>
        <w:rPr>
          <w:rFonts w:hint="eastAsia" w:ascii="仿宋" w:hAnsi="仿宋" w:eastAsia="仿宋" w:cs="仿宋"/>
          <w:color w:val="000000" w:themeColor="text1"/>
          <w:szCs w:val="21"/>
          <w14:textFill>
            <w14:solidFill>
              <w14:schemeClr w14:val="tx1"/>
            </w14:solidFill>
          </w14:textFill>
        </w:rPr>
        <w:t>中标人</w:t>
      </w:r>
      <w:r>
        <w:rPr>
          <w:rFonts w:hint="eastAsia" w:ascii="仿宋" w:hAnsi="仿宋" w:eastAsia="仿宋" w:cs="仿宋"/>
          <w:color w:val="000000" w:themeColor="text1"/>
          <w:szCs w:val="21"/>
          <w:lang w:eastAsia="zh-TW"/>
          <w14:textFill>
            <w14:solidFill>
              <w14:schemeClr w14:val="tx1"/>
            </w14:solidFill>
          </w14:textFill>
        </w:rPr>
        <w:t>签订补充合同，但所补充合同的采购金额不得超过原</w:t>
      </w:r>
      <w:r>
        <w:rPr>
          <w:rFonts w:hint="eastAsia" w:ascii="仿宋" w:hAnsi="仿宋" w:eastAsia="仿宋" w:cs="仿宋"/>
          <w:color w:val="000000" w:themeColor="text1"/>
          <w:szCs w:val="21"/>
          <w14:textFill>
            <w14:solidFill>
              <w14:schemeClr w14:val="tx1"/>
            </w14:solidFill>
          </w14:textFill>
        </w:rPr>
        <w:t>合同</w:t>
      </w:r>
      <w:r>
        <w:rPr>
          <w:rFonts w:hint="eastAsia" w:ascii="仿宋" w:hAnsi="仿宋" w:eastAsia="仿宋" w:cs="仿宋"/>
          <w:color w:val="000000" w:themeColor="text1"/>
          <w:szCs w:val="21"/>
          <w:lang w:eastAsia="zh-TW"/>
          <w14:textFill>
            <w14:solidFill>
              <w14:schemeClr w14:val="tx1"/>
            </w14:solidFill>
          </w14:textFill>
        </w:rPr>
        <w:t>采购金额的百分之十。签订补充合同的</w:t>
      </w:r>
      <w:r>
        <w:rPr>
          <w:rFonts w:hint="eastAsia" w:ascii="仿宋" w:hAnsi="仿宋" w:eastAsia="仿宋" w:cs="仿宋"/>
          <w:color w:val="000000" w:themeColor="text1"/>
          <w:szCs w:val="21"/>
          <w14:textFill>
            <w14:solidFill>
              <w14:schemeClr w14:val="tx1"/>
            </w14:solidFill>
          </w14:textFill>
        </w:rPr>
        <w:t>应</w:t>
      </w:r>
      <w:r>
        <w:rPr>
          <w:rFonts w:hint="eastAsia" w:ascii="仿宋" w:hAnsi="仿宋" w:eastAsia="仿宋" w:cs="仿宋"/>
          <w:color w:val="000000" w:themeColor="text1"/>
          <w:szCs w:val="21"/>
          <w:lang w:eastAsia="zh-TW"/>
          <w14:textFill>
            <w14:solidFill>
              <w14:schemeClr w14:val="tx1"/>
            </w14:solidFill>
          </w14:textFill>
        </w:rPr>
        <w:t>按规定备案。</w:t>
      </w:r>
    </w:p>
    <w:p w14:paraId="1D2B855E">
      <w:pPr>
        <w:pStyle w:val="19"/>
        <w:spacing w:line="360" w:lineRule="auto"/>
        <w:jc w:val="both"/>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八、转包与分包</w:t>
      </w:r>
    </w:p>
    <w:p w14:paraId="2E9D167E">
      <w:pPr>
        <w:pStyle w:val="19"/>
        <w:spacing w:line="360" w:lineRule="auto"/>
        <w:ind w:firstLine="210" w:firstLineChars="1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8.1、本项目严禁采取转包方式履行合同。本项</w:t>
      </w:r>
      <w:r>
        <w:rPr>
          <w:rFonts w:hint="eastAsia" w:ascii="仿宋" w:hAnsi="仿宋" w:eastAsia="仿宋" w:cs="仿宋"/>
          <w:color w:val="000000" w:themeColor="text1"/>
          <w:szCs w:val="21"/>
          <w:lang w:val="en-US" w:eastAsia="zh-CN"/>
          <w14:textFill>
            <w14:solidFill>
              <w14:schemeClr w14:val="tx1"/>
            </w14:solidFill>
          </w14:textFill>
        </w:rPr>
        <w:t>目</w:t>
      </w:r>
      <w:r>
        <w:rPr>
          <w:rFonts w:hint="eastAsia" w:ascii="仿宋" w:hAnsi="仿宋" w:eastAsia="仿宋" w:cs="仿宋"/>
          <w:color w:val="000000" w:themeColor="text1"/>
          <w:szCs w:val="21"/>
          <w14:textFill>
            <w14:solidFill>
              <w14:schemeClr w14:val="tx1"/>
            </w14:solidFill>
          </w14:textFill>
        </w:rPr>
        <w:t>所称转包，是指中标人将政府采购合同业务转让给第三人，并退出现有政府采购合同当事人双方权利业务关系，受让人（即第三人）成为政府采购合同的另一方当事人的行为。</w:t>
      </w:r>
    </w:p>
    <w:p w14:paraId="744ADDDB">
      <w:pPr>
        <w:pStyle w:val="19"/>
        <w:spacing w:line="360" w:lineRule="auto"/>
        <w:ind w:firstLine="420" w:firstLineChars="2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中标人转包的，视同拒绝履行政府采购合同业务，将依法追究法律责任。</w:t>
      </w:r>
    </w:p>
    <w:p w14:paraId="58DF08D5">
      <w:pPr>
        <w:pStyle w:val="19"/>
        <w:spacing w:line="360" w:lineRule="auto"/>
        <w:ind w:firstLine="210" w:firstLineChars="1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8.2、本项目经采购人同意，可以将中标</w:t>
      </w:r>
      <w:r>
        <w:rPr>
          <w:rFonts w:hint="eastAsia" w:ascii="仿宋" w:hAnsi="仿宋" w:eastAsia="仿宋" w:cs="仿宋"/>
          <w:color w:val="000000" w:themeColor="text1"/>
          <w:szCs w:val="21"/>
          <w:lang w:val="en-US" w:eastAsia="zh-CN"/>
          <w14:textFill>
            <w14:solidFill>
              <w14:schemeClr w14:val="tx1"/>
            </w14:solidFill>
          </w14:textFill>
        </w:rPr>
        <w:t>项目/合同包</w:t>
      </w:r>
      <w:r>
        <w:rPr>
          <w:rFonts w:hint="eastAsia" w:ascii="仿宋" w:hAnsi="仿宋" w:eastAsia="仿宋" w:cs="仿宋"/>
          <w:color w:val="000000" w:themeColor="text1"/>
          <w:szCs w:val="21"/>
          <w14:textFill>
            <w14:solidFill>
              <w14:schemeClr w14:val="tx1"/>
            </w14:solidFill>
          </w14:textFill>
        </w:rPr>
        <w:t>的部分非主体、非关键性工作分包给他人完成，本项目“主体和关键性工作”是指：</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szCs w:val="21"/>
          <w14:textFill>
            <w14:solidFill>
              <w14:schemeClr w14:val="tx1"/>
            </w14:solidFill>
          </w14:textFill>
        </w:rPr>
        <w:t>（根据项目具体情况确定）。</w:t>
      </w:r>
    </w:p>
    <w:p w14:paraId="323CE422">
      <w:pPr>
        <w:pStyle w:val="19"/>
        <w:spacing w:line="360" w:lineRule="auto"/>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接受分包的投标人应当具备相应的资格条件，并不得再次分包。采购合同实行分包履行的，中标人就采购项目和分包项目向采购人负责，分包投标人就分包项目承担责任。</w:t>
      </w:r>
    </w:p>
    <w:p w14:paraId="77BB7C70">
      <w:pPr>
        <w:pStyle w:val="19"/>
        <w:spacing w:line="360" w:lineRule="auto"/>
        <w:jc w:val="both"/>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九、质疑与投诉</w:t>
      </w:r>
    </w:p>
    <w:p w14:paraId="65CF2881">
      <w:pPr>
        <w:tabs>
          <w:tab w:val="left" w:pos="1155"/>
        </w:tabs>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9.1、关于质疑的提出与答复：</w:t>
      </w:r>
    </w:p>
    <w:p w14:paraId="5B87130D">
      <w:pPr>
        <w:tabs>
          <w:tab w:val="left" w:pos="1155"/>
        </w:tabs>
        <w:snapToGrid w:val="0"/>
        <w:spacing w:line="360" w:lineRule="auto"/>
        <w:ind w:firstLine="630" w:firstLineChars="3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9.1.1、投标人质疑与投诉应当实名署名，其质疑与投诉应当有明确的请求和必要的证明材料。投标人可以委托代理人进行质疑与投诉。代理人应当提交授权委托书，授权委托书应当载明委托代理的具体权限、期限和相关事项。本项目接收质疑函法定信息：</w:t>
      </w:r>
    </w:p>
    <w:p w14:paraId="1EA829CF">
      <w:pPr>
        <w:tabs>
          <w:tab w:val="left" w:pos="1155"/>
        </w:tabs>
        <w:snapToGrid w:val="0"/>
        <w:spacing w:line="360" w:lineRule="auto"/>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联系人：王丽          联系电话：0916-8897702       </w:t>
      </w:r>
    </w:p>
    <w:p w14:paraId="7DA79086">
      <w:pPr>
        <w:tabs>
          <w:tab w:val="left" w:pos="1155"/>
        </w:tabs>
        <w:snapToGrid w:val="0"/>
        <w:spacing w:line="360" w:lineRule="auto"/>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通讯地址：同正项目管理有限公司（</w:t>
      </w:r>
      <w:r>
        <w:rPr>
          <w:rFonts w:hint="eastAsia" w:ascii="仿宋" w:hAnsi="仿宋" w:eastAsia="仿宋" w:cs="仿宋"/>
          <w:b/>
          <w:color w:val="000000" w:themeColor="text1"/>
          <w:szCs w:val="21"/>
          <w:lang w:eastAsia="zh-CN"/>
          <w14:textFill>
            <w14:solidFill>
              <w14:schemeClr w14:val="tx1"/>
            </w14:solidFill>
          </w14:textFill>
        </w:rPr>
        <w:t>汉中市汉台区西一环路蓝天御苑小区商铺二层门面房南侧</w:t>
      </w:r>
      <w:r>
        <w:rPr>
          <w:rFonts w:hint="eastAsia" w:ascii="仿宋" w:hAnsi="仿宋" w:eastAsia="仿宋" w:cs="仿宋"/>
          <w:b/>
          <w:color w:val="000000" w:themeColor="text1"/>
          <w:szCs w:val="21"/>
          <w14:textFill>
            <w14:solidFill>
              <w14:schemeClr w14:val="tx1"/>
            </w14:solidFill>
          </w14:textFill>
        </w:rPr>
        <w:t>）</w:t>
      </w:r>
    </w:p>
    <w:p w14:paraId="41423DDD">
      <w:pPr>
        <w:tabs>
          <w:tab w:val="left" w:pos="1155"/>
        </w:tabs>
        <w:snapToGrid w:val="0"/>
        <w:spacing w:line="360" w:lineRule="auto"/>
        <w:ind w:firstLine="42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9.1.2、投标人提出质疑应当提交质疑函，质疑函应采用财政部发布的《政府采购投标人质疑函范本》（投标人可自行在</w:t>
      </w:r>
      <w:r>
        <w:rPr>
          <w:rFonts w:hint="eastAsia" w:ascii="仿宋" w:hAnsi="仿宋" w:eastAsia="仿宋" w:cs="仿宋"/>
          <w:bCs/>
          <w:color w:val="000000" w:themeColor="text1"/>
          <w:szCs w:val="21"/>
          <w:lang w:val="en-US" w:eastAsia="zh-CN"/>
          <w14:textFill>
            <w14:solidFill>
              <w14:schemeClr w14:val="tx1"/>
            </w14:solidFill>
          </w14:textFill>
        </w:rPr>
        <w:t>中国政府采购网</w:t>
      </w:r>
      <w:r>
        <w:rPr>
          <w:rFonts w:hint="eastAsia" w:ascii="仿宋" w:hAnsi="仿宋" w:eastAsia="仿宋" w:cs="仿宋"/>
          <w:bCs/>
          <w:color w:val="000000" w:themeColor="text1"/>
          <w:szCs w:val="21"/>
          <w14:textFill>
            <w14:solidFill>
              <w14:schemeClr w14:val="tx1"/>
            </w14:solidFill>
          </w14:textFill>
        </w:rPr>
        <w:t>下载范本）。质疑函应当包括但不限于下列内容：投标人的名称、地址、邮编、联系人及联系电话，质疑项目的名称、编号，质疑事项，事实依据和证明材料，法律依据，提出质疑的日期。质疑函应当署名。投标人为自然人的，应当由本人签字；投标人为法人或者其他组织的，应当由法定代表人或者主要负责人签字盖章并加盖公章。</w:t>
      </w:r>
    </w:p>
    <w:p w14:paraId="18281F7C">
      <w:pPr>
        <w:tabs>
          <w:tab w:val="left" w:pos="1155"/>
        </w:tabs>
        <w:snapToGrid w:val="0"/>
        <w:spacing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    9.1.3、出现投标人认为采购文件、采购过程和中标、中标结果使自己的权益受到损害的，可以在知道或者应知其权益受到损害之日起七个工作日内，以书面形式向采购人、采购代理机构提出质疑。投标人应知其权益受到损害之日，是指：对可以质疑的采购文件提出质疑的，为收到采购文件之日或者采购文件公告期限届满之日；对采购过程提出质疑的，为各采购程序环节结束之日；对中标或者中标结果提出质疑的，为中标或者中标结果公告期限届满之日（针对同一采购程序环节的质疑原则上应当一次性提出）。</w:t>
      </w:r>
    </w:p>
    <w:p w14:paraId="6FDA3389">
      <w:pPr>
        <w:tabs>
          <w:tab w:val="left" w:pos="1155"/>
        </w:tabs>
        <w:snapToGrid w:val="0"/>
        <w:spacing w:line="360" w:lineRule="auto"/>
        <w:ind w:firstLine="42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9.1.4、采购人、采购代理机构认为投标人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投标人仍不少于3家时，可以从合格的中标或者中标候选人中另行确定中标、中标投标人的，应当依法另行确定中标、中标投标人，否则应当重新开展采购活动。质疑答复导致中标、中标结果改变的，采购人或者采购代理机构应当将有关情况书面报告本级财政部门。</w:t>
      </w:r>
    </w:p>
    <w:p w14:paraId="0D4FE9FE">
      <w:pPr>
        <w:tabs>
          <w:tab w:val="left" w:pos="1155"/>
        </w:tabs>
        <w:snapToGrid w:val="0"/>
        <w:spacing w:line="360" w:lineRule="auto"/>
        <w:ind w:firstLine="42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9.1.5、出现投标人认为采购文件、采购过程、中标和中标结果使自己的合法权益受到损害的，应当首先依法向采购人、采购代理机构提出质疑。对采购人、采购代理机构的质疑答复不满意，或者采购人、采购代理机构未在规定期限内作出答复的，投标人可以在答复期满后15个工作日内向同级财政部门提起投诉。</w:t>
      </w:r>
    </w:p>
    <w:p w14:paraId="0C2162A6">
      <w:pPr>
        <w:tabs>
          <w:tab w:val="left" w:pos="1155"/>
        </w:tabs>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9.2、投诉提出</w:t>
      </w:r>
    </w:p>
    <w:p w14:paraId="4F460202">
      <w:pPr>
        <w:tabs>
          <w:tab w:val="left" w:pos="1155"/>
        </w:tabs>
        <w:snapToGrid w:val="0"/>
        <w:spacing w:line="360" w:lineRule="auto"/>
        <w:ind w:firstLine="481"/>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9.2.1、质疑投标人对采购人、采购代理机构的答复不满意，或者采购人、采购代理机构未在规定时间内作出答复的，可以在答复期满后15个工作日内向同级财政部门提起投诉。</w:t>
      </w:r>
    </w:p>
    <w:p w14:paraId="4C3CD9A0">
      <w:pPr>
        <w:tabs>
          <w:tab w:val="left" w:pos="1155"/>
        </w:tabs>
        <w:snapToGrid w:val="0"/>
        <w:spacing w:line="360" w:lineRule="auto"/>
        <w:ind w:firstLine="481"/>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9.2.2、投诉人投诉时,应当提交投诉书</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投标人可自行在中国政府采购网下载范本</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14:textFill>
            <w14:solidFill>
              <w14:schemeClr w14:val="tx1"/>
            </w14:solidFill>
          </w14:textFill>
        </w:rPr>
        <w:t>，并按照被投诉采购人、采购代理机构（以下简称被投诉人）和与投诉事项有关的投标人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14:paraId="7EBA9ED6">
      <w:pPr>
        <w:tabs>
          <w:tab w:val="left" w:pos="1155"/>
        </w:tabs>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9.3、法律责任</w:t>
      </w:r>
    </w:p>
    <w:p w14:paraId="5815CB9D">
      <w:pPr>
        <w:tabs>
          <w:tab w:val="left" w:pos="1155"/>
        </w:tabs>
        <w:snapToGrid w:val="0"/>
        <w:spacing w:line="360" w:lineRule="auto"/>
        <w:ind w:firstLine="48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14:paraId="01665D5E">
      <w:pPr>
        <w:tabs>
          <w:tab w:val="left" w:pos="1155"/>
        </w:tabs>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9.4、其他说明</w:t>
      </w:r>
    </w:p>
    <w:p w14:paraId="2C41D712">
      <w:pPr>
        <w:tabs>
          <w:tab w:val="left" w:pos="1155"/>
        </w:tabs>
        <w:snapToGrid w:val="0"/>
        <w:spacing w:line="360" w:lineRule="auto"/>
        <w:ind w:firstLine="48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9.4.1、财政部门处理投诉不得向投诉人和被投诉人收取任何费用。但因处理投诉发生的第三方检验、检测、鉴定等费用，由提出申请的投标人先行垫付。在投诉处理决定明确双方责任后，按照“谁过错谁负担”的原则由承担责任的一方负担；双方都有责任的，各负担百分之五十。</w:t>
      </w:r>
    </w:p>
    <w:p w14:paraId="2645B07C">
      <w:pPr>
        <w:tabs>
          <w:tab w:val="left" w:pos="1155"/>
        </w:tabs>
        <w:snapToGrid w:val="0"/>
        <w:spacing w:line="360" w:lineRule="auto"/>
        <w:ind w:firstLine="48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9.4.2、本办法规定的期间以时、日、月、年计算。期间开始的时和日，不计算在期间内。期间届满的最后一日是节假日的，以节假日后的第一日为期间届满的日期。期间不包括在途时间，质疑与投诉文书在期满前交邮的，不算超期。</w:t>
      </w:r>
    </w:p>
    <w:p w14:paraId="745DD206">
      <w:pPr>
        <w:pStyle w:val="2"/>
        <w:widowControl/>
        <w:snapToGrid w:val="0"/>
        <w:spacing w:line="360" w:lineRule="auto"/>
        <w:ind w:firstLine="420" w:firstLineChars="200"/>
        <w:jc w:val="left"/>
        <w:rPr>
          <w:rFonts w:ascii="楷体" w:hAnsi="楷体" w:eastAsia="楷体" w:cs="楷体"/>
          <w:color w:val="000000" w:themeColor="text1"/>
          <w:sz w:val="32"/>
          <w:szCs w:val="32"/>
          <w14:textFill>
            <w14:solidFill>
              <w14:schemeClr w14:val="tx1"/>
            </w14:solidFill>
          </w14:textFill>
        </w:rPr>
      </w:pPr>
      <w:bookmarkStart w:id="193" w:name="_Toc10965"/>
      <w:bookmarkStart w:id="194" w:name="_Toc16148"/>
      <w:bookmarkStart w:id="195" w:name="_Toc21260"/>
      <w:bookmarkStart w:id="196" w:name="_Toc13717"/>
      <w:bookmarkStart w:id="197" w:name="_Toc14209"/>
      <w:bookmarkStart w:id="198" w:name="_Toc29096"/>
      <w:bookmarkStart w:id="199" w:name="_Toc28473"/>
      <w:bookmarkStart w:id="200" w:name="_Toc3897"/>
      <w:bookmarkStart w:id="201" w:name="_Toc7240"/>
      <w:bookmarkStart w:id="202" w:name="_Toc5287"/>
      <w:bookmarkStart w:id="203" w:name="_Toc21158"/>
      <w:bookmarkStart w:id="204" w:name="_Toc15977"/>
      <w:r>
        <w:rPr>
          <w:rFonts w:hint="eastAsia" w:ascii="仿宋" w:hAnsi="仿宋" w:eastAsia="仿宋" w:cs="仿宋"/>
          <w:b w:val="0"/>
          <w:color w:val="000000" w:themeColor="text1"/>
          <w:sz w:val="21"/>
          <w:szCs w:val="21"/>
          <w14:textFill>
            <w14:solidFill>
              <w14:schemeClr w14:val="tx1"/>
            </w14:solidFill>
          </w14:textFill>
        </w:rPr>
        <w:t>9.4.3、质疑与投诉事宜依据《中华人民共和国政府采购法》、《政府采购法实施条例（国务院第658号令）》、《中华人民共和国财政部令第94号--政府采购质疑和投诉办法》及《陕财办采资（2016）53号》规定执行。</w:t>
      </w:r>
      <w:bookmarkEnd w:id="39"/>
      <w:bookmarkEnd w:id="40"/>
      <w:bookmarkEnd w:id="41"/>
      <w:bookmarkEnd w:id="42"/>
      <w:bookmarkEnd w:id="43"/>
      <w:bookmarkEnd w:id="44"/>
      <w:bookmarkEnd w:id="45"/>
      <w:bookmarkEnd w:id="46"/>
      <w:bookmarkEnd w:id="47"/>
      <w:bookmarkEnd w:id="48"/>
      <w:bookmarkEnd w:id="49"/>
      <w:bookmarkEnd w:id="50"/>
      <w:bookmarkEnd w:id="193"/>
      <w:bookmarkEnd w:id="194"/>
      <w:bookmarkEnd w:id="195"/>
      <w:bookmarkEnd w:id="196"/>
      <w:bookmarkEnd w:id="197"/>
      <w:bookmarkEnd w:id="198"/>
      <w:bookmarkEnd w:id="199"/>
      <w:bookmarkEnd w:id="200"/>
      <w:bookmarkEnd w:id="201"/>
      <w:bookmarkEnd w:id="202"/>
      <w:bookmarkEnd w:id="203"/>
      <w:bookmarkEnd w:id="204"/>
      <w:bookmarkStart w:id="205" w:name="_Toc32693"/>
      <w:bookmarkStart w:id="206" w:name="_Toc16168_WPSOffice_Level1"/>
      <w:bookmarkStart w:id="207" w:name="_Toc28762"/>
      <w:bookmarkStart w:id="208" w:name="_Toc10133"/>
      <w:bookmarkStart w:id="209" w:name="_Toc4277"/>
      <w:bookmarkStart w:id="210" w:name="_Toc8932"/>
      <w:bookmarkStart w:id="211" w:name="_Toc11152"/>
      <w:bookmarkStart w:id="212" w:name="_Toc16587"/>
      <w:bookmarkStart w:id="213" w:name="_Toc17928_WPSOffice_Level1"/>
      <w:bookmarkStart w:id="214" w:name="_Toc17517"/>
      <w:bookmarkStart w:id="215" w:name="_Toc27805"/>
      <w:bookmarkStart w:id="216" w:name="_Toc17139"/>
    </w:p>
    <w:p w14:paraId="2201451A">
      <w:pPr>
        <w:widowControl w:val="0"/>
        <w:tabs>
          <w:tab w:val="left" w:pos="3310"/>
          <w:tab w:val="center" w:pos="4213"/>
        </w:tabs>
        <w:ind w:firstLine="2249" w:firstLineChars="800"/>
        <w:jc w:val="both"/>
        <w:outlineLvl w:val="9"/>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附件一、质疑函范本</w:t>
      </w:r>
    </w:p>
    <w:p w14:paraId="323C2B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p>
    <w:p w14:paraId="5CCE9FD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2"/>
          <w:szCs w:val="22"/>
          <w14:textFill>
            <w14:solidFill>
              <w14:schemeClr w14:val="tx1"/>
            </w14:solidFill>
          </w14:textFill>
        </w:rPr>
      </w:pPr>
      <w:bookmarkStart w:id="217" w:name="_Toc31378"/>
      <w:r>
        <w:rPr>
          <w:rFonts w:hint="eastAsia" w:ascii="仿宋" w:hAnsi="仿宋" w:eastAsia="仿宋" w:cs="仿宋"/>
          <w:bCs/>
          <w:color w:val="000000" w:themeColor="text1"/>
          <w:kern w:val="2"/>
          <w:sz w:val="22"/>
          <w:szCs w:val="22"/>
          <w14:textFill>
            <w14:solidFill>
              <w14:schemeClr w14:val="tx1"/>
            </w14:solidFill>
          </w14:textFill>
        </w:rPr>
        <w:t>一、质疑</w:t>
      </w:r>
      <w:r>
        <w:rPr>
          <w:rFonts w:hint="eastAsia" w:ascii="仿宋" w:hAnsi="仿宋" w:eastAsia="仿宋" w:cs="仿宋"/>
          <w:bCs/>
          <w:color w:val="000000" w:themeColor="text1"/>
          <w:kern w:val="2"/>
          <w:sz w:val="22"/>
          <w:szCs w:val="22"/>
          <w:lang w:val="en-US" w:eastAsia="zh-CN"/>
          <w14:textFill>
            <w14:solidFill>
              <w14:schemeClr w14:val="tx1"/>
            </w14:solidFill>
          </w14:textFill>
        </w:rPr>
        <w:t>投标人</w:t>
      </w:r>
      <w:r>
        <w:rPr>
          <w:rFonts w:hint="eastAsia" w:ascii="仿宋" w:hAnsi="仿宋" w:eastAsia="仿宋" w:cs="仿宋"/>
          <w:bCs/>
          <w:color w:val="000000" w:themeColor="text1"/>
          <w:kern w:val="2"/>
          <w:sz w:val="22"/>
          <w:szCs w:val="22"/>
          <w14:textFill>
            <w14:solidFill>
              <w14:schemeClr w14:val="tx1"/>
            </w14:solidFill>
          </w14:textFill>
        </w:rPr>
        <w:t>基本信息</w:t>
      </w:r>
      <w:bookmarkEnd w:id="217"/>
    </w:p>
    <w:p w14:paraId="63B77A4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w:t>
      </w:r>
      <w:r>
        <w:rPr>
          <w:rFonts w:hint="eastAsia" w:ascii="仿宋" w:hAnsi="仿宋" w:eastAsia="仿宋" w:cs="仿宋"/>
          <w:color w:val="000000" w:themeColor="text1"/>
          <w:kern w:val="2"/>
          <w:sz w:val="22"/>
          <w:szCs w:val="22"/>
          <w:lang w:val="en-US" w:eastAsia="zh-CN"/>
          <w14:textFill>
            <w14:solidFill>
              <w14:schemeClr w14:val="tx1"/>
            </w14:solidFill>
          </w14:textFill>
        </w:rPr>
        <w:t>投标人</w:t>
      </w:r>
      <w:r>
        <w:rPr>
          <w:rFonts w:hint="eastAsia" w:ascii="仿宋" w:hAnsi="仿宋" w:eastAsia="仿宋" w:cs="仿宋"/>
          <w:color w:val="000000" w:themeColor="text1"/>
          <w:kern w:val="2"/>
          <w:sz w:val="22"/>
          <w:szCs w:val="22"/>
          <w14:textFill>
            <w14:solidFill>
              <w14:schemeClr w14:val="tx1"/>
            </w14:solidFill>
          </w14:textFill>
        </w:rPr>
        <w:t>：</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2AB27F9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1DE5283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0E58AA2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授权代表：</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152CF75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 </w:t>
      </w:r>
    </w:p>
    <w:p w14:paraId="4A2A7AD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地址： </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bookmarkStart w:id="218" w:name="_Toc23620"/>
    </w:p>
    <w:p w14:paraId="03B9594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2"/>
          <w:szCs w:val="22"/>
          <w14:textFill>
            <w14:solidFill>
              <w14:schemeClr w14:val="tx1"/>
            </w14:solidFill>
          </w14:textFill>
        </w:rPr>
      </w:pPr>
      <w:r>
        <w:rPr>
          <w:rFonts w:hint="eastAsia" w:ascii="仿宋" w:hAnsi="仿宋" w:eastAsia="仿宋" w:cs="仿宋"/>
          <w:bCs/>
          <w:color w:val="000000" w:themeColor="text1"/>
          <w:kern w:val="2"/>
          <w:sz w:val="22"/>
          <w:szCs w:val="22"/>
          <w14:textFill>
            <w14:solidFill>
              <w14:schemeClr w14:val="tx1"/>
            </w14:solidFill>
          </w14:textFill>
        </w:rPr>
        <w:t>二、质疑项目基本情况</w:t>
      </w:r>
      <w:bookmarkEnd w:id="218"/>
    </w:p>
    <w:p w14:paraId="3385B21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质疑项目的名称：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239585D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质疑项目的编号：</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包号：</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1548E16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采购人名称：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1238213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采购文件获取日期：</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5A65EAC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2"/>
          <w:szCs w:val="22"/>
          <w14:textFill>
            <w14:solidFill>
              <w14:schemeClr w14:val="tx1"/>
            </w14:solidFill>
          </w14:textFill>
        </w:rPr>
      </w:pPr>
      <w:bookmarkStart w:id="219" w:name="_Toc4224"/>
      <w:r>
        <w:rPr>
          <w:rFonts w:hint="eastAsia" w:ascii="仿宋" w:hAnsi="仿宋" w:eastAsia="仿宋" w:cs="仿宋"/>
          <w:bCs/>
          <w:color w:val="000000" w:themeColor="text1"/>
          <w:kern w:val="2"/>
          <w:sz w:val="22"/>
          <w:szCs w:val="22"/>
          <w14:textFill>
            <w14:solidFill>
              <w14:schemeClr w14:val="tx1"/>
            </w14:solidFill>
          </w14:textFill>
        </w:rPr>
        <w:t>三、质疑事项具体内容</w:t>
      </w:r>
      <w:bookmarkEnd w:id="219"/>
    </w:p>
    <w:p w14:paraId="0BFF76C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质疑事项1：</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09AA956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事实依据：</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01B6B07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法律依据：</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09B6932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质疑事项2</w:t>
      </w:r>
    </w:p>
    <w:p w14:paraId="5B2C94F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w:t>
      </w:r>
    </w:p>
    <w:p w14:paraId="75B0B4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2"/>
          <w:szCs w:val="22"/>
          <w14:textFill>
            <w14:solidFill>
              <w14:schemeClr w14:val="tx1"/>
            </w14:solidFill>
          </w14:textFill>
        </w:rPr>
      </w:pPr>
      <w:bookmarkStart w:id="220" w:name="_Toc26949"/>
      <w:r>
        <w:rPr>
          <w:rFonts w:hint="eastAsia" w:ascii="仿宋" w:hAnsi="仿宋" w:eastAsia="仿宋" w:cs="仿宋"/>
          <w:bCs/>
          <w:color w:val="000000" w:themeColor="text1"/>
          <w:kern w:val="2"/>
          <w:sz w:val="22"/>
          <w:szCs w:val="22"/>
          <w14:textFill>
            <w14:solidFill>
              <w14:schemeClr w14:val="tx1"/>
            </w14:solidFill>
          </w14:textFill>
        </w:rPr>
        <w:t>四、与质疑事项相关的质疑请求</w:t>
      </w:r>
      <w:bookmarkEnd w:id="220"/>
    </w:p>
    <w:p w14:paraId="1E1A93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请求：</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3E301B6D">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p>
    <w:p w14:paraId="6447CE90">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签字(签章)：                   公章：                      </w:t>
      </w:r>
    </w:p>
    <w:p w14:paraId="2ECBDC83">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日期：    </w:t>
      </w:r>
    </w:p>
    <w:p w14:paraId="4B116592">
      <w:pPr>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br w:type="page"/>
      </w:r>
    </w:p>
    <w:p w14:paraId="7C060D6C">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质疑函制作说明：</w:t>
      </w:r>
    </w:p>
    <w:p w14:paraId="11014912">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提出质疑时，应提交质疑函和必要的证明材料。</w:t>
      </w:r>
    </w:p>
    <w:p w14:paraId="57AC9E5C">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2.质疑</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若委托代理人进行质疑的，质疑函应按要求列明“授权代表”的有关内容，并在附件中提交由质疑</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签署的授权委托书。授权委托书应载明代理人的姓名或者名称、代理事项、具体权限、期限和相关事项。</w:t>
      </w:r>
    </w:p>
    <w:p w14:paraId="3C6738F0">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3.质疑</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若对项目的某一分包进行质疑，质疑函中应列明具体分包号。</w:t>
      </w:r>
    </w:p>
    <w:p w14:paraId="22D64DC1">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4.质疑函的质疑事项应具体、明确，并有必要的事实依据和法律依据。</w:t>
      </w:r>
    </w:p>
    <w:p w14:paraId="082F8BF2">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5.质疑函的质疑请求应与质疑事项相关。</w:t>
      </w:r>
    </w:p>
    <w:p w14:paraId="503B45DF">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6.质疑</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为自然人的，质疑函应由本人签字；质疑</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为法人或者其他组织的，质疑函应由法定代表人、主要负责人，或者其授权代表签字或者盖章，并加盖公章。</w:t>
      </w:r>
    </w:p>
    <w:p w14:paraId="51812FE6">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65E1FB80">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5F91D09D">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645D5289">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1C72BACD">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586FD61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1F491260">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543EB5D8">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12EA108">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CA8845A">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2A576B7A">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7FDAEB80">
      <w:pPr>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bookmarkStart w:id="221" w:name="_Toc3319"/>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br w:type="page"/>
      </w:r>
    </w:p>
    <w:p w14:paraId="0ACEC94D">
      <w:pPr>
        <w:widowControl w:val="0"/>
        <w:tabs>
          <w:tab w:val="left" w:pos="3310"/>
          <w:tab w:val="center" w:pos="4213"/>
        </w:tabs>
        <w:jc w:val="center"/>
        <w:outlineLvl w:val="9"/>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附件二、投诉书范本</w:t>
      </w:r>
      <w:bookmarkEnd w:id="221"/>
    </w:p>
    <w:p w14:paraId="1B0539E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2" w:name="_Toc17047"/>
      <w:r>
        <w:rPr>
          <w:rFonts w:hint="eastAsia" w:ascii="仿宋" w:hAnsi="仿宋" w:eastAsia="仿宋" w:cs="仿宋"/>
          <w:color w:val="000000" w:themeColor="text1"/>
          <w:kern w:val="2"/>
          <w:sz w:val="22"/>
          <w:szCs w:val="22"/>
          <w14:textFill>
            <w14:solidFill>
              <w14:schemeClr w14:val="tx1"/>
            </w14:solidFill>
          </w14:textFill>
        </w:rPr>
        <w:t>一、投诉相关主体基本情况</w:t>
      </w:r>
      <w:bookmarkEnd w:id="222"/>
    </w:p>
    <w:p w14:paraId="38DEA20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投诉人：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439016B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     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24EF9C67">
      <w:pPr>
        <w:keepNext w:val="0"/>
        <w:keepLines w:val="0"/>
        <w:pageBreakBefore w:val="0"/>
        <w:widowControl w:val="0"/>
        <w:tabs>
          <w:tab w:val="left" w:pos="6510"/>
        </w:tabs>
        <w:kinsoku/>
        <w:wordWrap/>
        <w:overflowPunct/>
        <w:topLinePunct w:val="0"/>
        <w:autoSpaceDE/>
        <w:autoSpaceDN/>
        <w:bidi w:val="0"/>
        <w:adjustRightInd/>
        <w:snapToGrid/>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法定代表人/主要负责人：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  </w:t>
      </w:r>
    </w:p>
    <w:p w14:paraId="23649A67">
      <w:pPr>
        <w:keepNext w:val="0"/>
        <w:keepLines w:val="0"/>
        <w:pageBreakBefore w:val="0"/>
        <w:widowControl w:val="0"/>
        <w:tabs>
          <w:tab w:val="left" w:pos="6510"/>
        </w:tabs>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7070773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授权代表：</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74D7726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     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4D04442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被投诉人1：</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114CD7B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     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797D095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5421D1B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被投诉人2</w:t>
      </w:r>
    </w:p>
    <w:p w14:paraId="682EAAF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w:t>
      </w:r>
    </w:p>
    <w:p w14:paraId="5D6F956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相关</w:t>
      </w:r>
      <w:r>
        <w:rPr>
          <w:rFonts w:hint="eastAsia" w:ascii="仿宋" w:hAnsi="仿宋" w:eastAsia="仿宋" w:cs="仿宋"/>
          <w:color w:val="000000" w:themeColor="text1"/>
          <w:kern w:val="2"/>
          <w:sz w:val="22"/>
          <w:szCs w:val="22"/>
          <w:lang w:val="en-US" w:eastAsia="zh-CN"/>
          <w14:textFill>
            <w14:solidFill>
              <w14:schemeClr w14:val="tx1"/>
            </w14:solidFill>
          </w14:textFill>
        </w:rPr>
        <w:t>投标人</w:t>
      </w:r>
      <w:r>
        <w:rPr>
          <w:rFonts w:hint="eastAsia" w:ascii="仿宋" w:hAnsi="仿宋" w:eastAsia="仿宋" w:cs="仿宋"/>
          <w:color w:val="000000" w:themeColor="text1"/>
          <w:kern w:val="2"/>
          <w:sz w:val="22"/>
          <w:szCs w:val="22"/>
          <w14:textFill>
            <w14:solidFill>
              <w14:schemeClr w14:val="tx1"/>
            </w14:solidFill>
          </w14:textFill>
        </w:rPr>
        <w:t>：</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6604B4B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     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78249D8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600C625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3" w:name="_Toc20743"/>
      <w:r>
        <w:rPr>
          <w:rFonts w:hint="eastAsia" w:ascii="仿宋" w:hAnsi="仿宋" w:eastAsia="仿宋" w:cs="仿宋"/>
          <w:color w:val="000000" w:themeColor="text1"/>
          <w:kern w:val="2"/>
          <w:sz w:val="22"/>
          <w:szCs w:val="22"/>
          <w14:textFill>
            <w14:solidFill>
              <w14:schemeClr w14:val="tx1"/>
            </w14:solidFill>
          </w14:textFill>
        </w:rPr>
        <w:t>二、投诉项目基本情况</w:t>
      </w:r>
      <w:bookmarkEnd w:id="223"/>
    </w:p>
    <w:p w14:paraId="121A1A8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投诉</w:t>
      </w:r>
      <w:r>
        <w:rPr>
          <w:rFonts w:hint="eastAsia" w:ascii="仿宋" w:hAnsi="仿宋" w:eastAsia="仿宋" w:cs="仿宋"/>
          <w:color w:val="000000" w:themeColor="text1"/>
          <w:kern w:val="2"/>
          <w:sz w:val="22"/>
          <w:szCs w:val="22"/>
          <w14:textFill>
            <w14:solidFill>
              <w14:schemeClr w14:val="tx1"/>
            </w14:solidFill>
          </w14:textFill>
        </w:rPr>
        <w:t>项目名称：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75C0905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投诉</w:t>
      </w:r>
      <w:r>
        <w:rPr>
          <w:rFonts w:hint="eastAsia" w:ascii="仿宋" w:hAnsi="仿宋" w:eastAsia="仿宋" w:cs="仿宋"/>
          <w:color w:val="000000" w:themeColor="text1"/>
          <w:kern w:val="2"/>
          <w:sz w:val="22"/>
          <w:szCs w:val="22"/>
          <w14:textFill>
            <w14:solidFill>
              <w14:schemeClr w14:val="tx1"/>
            </w14:solidFill>
          </w14:textFill>
        </w:rPr>
        <w:t>项目编号：</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包号：</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23F4DA6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采购人</w:t>
      </w:r>
      <w:r>
        <w:rPr>
          <w:rFonts w:hint="eastAsia" w:ascii="仿宋" w:hAnsi="仿宋" w:eastAsia="仿宋" w:cs="仿宋"/>
          <w:color w:val="000000" w:themeColor="text1"/>
          <w:kern w:val="2"/>
          <w:sz w:val="22"/>
          <w:szCs w:val="22"/>
          <w14:textFill>
            <w14:solidFill>
              <w14:schemeClr w14:val="tx1"/>
            </w14:solidFill>
          </w14:textFill>
        </w:rPr>
        <w:t>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354B3F5B">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代理机构名称：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6866407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招标</w:t>
      </w:r>
      <w:r>
        <w:rPr>
          <w:rFonts w:hint="eastAsia" w:ascii="仿宋" w:hAnsi="仿宋" w:eastAsia="仿宋" w:cs="仿宋"/>
          <w:color w:val="000000" w:themeColor="text1"/>
          <w:kern w:val="2"/>
          <w:sz w:val="22"/>
          <w:szCs w:val="22"/>
          <w14:textFill>
            <w14:solidFill>
              <w14:schemeClr w14:val="tx1"/>
            </w14:solidFill>
          </w14:textFill>
        </w:rPr>
        <w:t>文件公告:</w:t>
      </w:r>
      <w:r>
        <w:rPr>
          <w:rFonts w:hint="eastAsia" w:ascii="仿宋" w:hAnsi="仿宋" w:eastAsia="仿宋" w:cs="仿宋"/>
          <w:color w:val="000000" w:themeColor="text1"/>
          <w:kern w:val="2"/>
          <w:sz w:val="22"/>
          <w:szCs w:val="22"/>
          <w:u w:val="dotted"/>
          <w14:textFill>
            <w14:solidFill>
              <w14:schemeClr w14:val="tx1"/>
            </w14:solidFill>
          </w14:textFill>
        </w:rPr>
        <w:t xml:space="preserve">是/否 </w:t>
      </w:r>
      <w:r>
        <w:rPr>
          <w:rFonts w:hint="eastAsia" w:ascii="仿宋" w:hAnsi="仿宋" w:eastAsia="仿宋" w:cs="仿宋"/>
          <w:color w:val="000000" w:themeColor="text1"/>
          <w:kern w:val="2"/>
          <w:sz w:val="22"/>
          <w:szCs w:val="22"/>
          <w14:textFill>
            <w14:solidFill>
              <w14:schemeClr w14:val="tx1"/>
            </w14:solidFill>
          </w14:textFill>
        </w:rPr>
        <w:t>公告期限：</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697908C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中标</w:t>
      </w:r>
      <w:r>
        <w:rPr>
          <w:rFonts w:hint="eastAsia" w:ascii="仿宋" w:hAnsi="仿宋" w:eastAsia="仿宋" w:cs="仿宋"/>
          <w:color w:val="000000" w:themeColor="text1"/>
          <w:kern w:val="2"/>
          <w:sz w:val="22"/>
          <w:szCs w:val="22"/>
          <w14:textFill>
            <w14:solidFill>
              <w14:schemeClr w14:val="tx1"/>
            </w14:solidFill>
          </w14:textFill>
        </w:rPr>
        <w:t>结果公告:</w:t>
      </w:r>
      <w:r>
        <w:rPr>
          <w:rFonts w:hint="eastAsia" w:ascii="仿宋" w:hAnsi="仿宋" w:eastAsia="仿宋" w:cs="仿宋"/>
          <w:color w:val="000000" w:themeColor="text1"/>
          <w:kern w:val="2"/>
          <w:sz w:val="22"/>
          <w:szCs w:val="22"/>
          <w:u w:val="dotted"/>
          <w14:textFill>
            <w14:solidFill>
              <w14:schemeClr w14:val="tx1"/>
            </w14:solidFill>
          </w14:textFill>
        </w:rPr>
        <w:t xml:space="preserve">是/否 </w:t>
      </w:r>
      <w:r>
        <w:rPr>
          <w:rFonts w:hint="eastAsia" w:ascii="仿宋" w:hAnsi="仿宋" w:eastAsia="仿宋" w:cs="仿宋"/>
          <w:color w:val="000000" w:themeColor="text1"/>
          <w:kern w:val="2"/>
          <w:sz w:val="22"/>
          <w:szCs w:val="22"/>
          <w14:textFill>
            <w14:solidFill>
              <w14:schemeClr w14:val="tx1"/>
            </w14:solidFill>
          </w14:textFill>
        </w:rPr>
        <w:t>公告期限：</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3E46700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4" w:name="_Toc9071"/>
      <w:r>
        <w:rPr>
          <w:rFonts w:hint="eastAsia" w:ascii="仿宋" w:hAnsi="仿宋" w:eastAsia="仿宋" w:cs="仿宋"/>
          <w:color w:val="000000" w:themeColor="text1"/>
          <w:kern w:val="2"/>
          <w:sz w:val="22"/>
          <w:szCs w:val="22"/>
          <w14:textFill>
            <w14:solidFill>
              <w14:schemeClr w14:val="tx1"/>
            </w14:solidFill>
          </w14:textFill>
        </w:rPr>
        <w:t>三、质疑基本情况</w:t>
      </w:r>
      <w:bookmarkEnd w:id="224"/>
    </w:p>
    <w:p w14:paraId="3846294E">
      <w:pPr>
        <w:keepNext w:val="0"/>
        <w:keepLines w:val="0"/>
        <w:pageBreakBefore w:val="0"/>
        <w:widowControl w:val="0"/>
        <w:kinsoku/>
        <w:wordWrap/>
        <w:overflowPunct/>
        <w:topLinePunct w:val="0"/>
        <w:autoSpaceDE/>
        <w:autoSpaceDN/>
        <w:bidi w:val="0"/>
        <w:adjustRightInd/>
        <w:snapToGrid/>
        <w:ind w:firstLine="440" w:firstLineChars="200"/>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投诉人于</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年</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月</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日,向</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eastAsia="zh-CN"/>
          <w14:textFill>
            <w14:solidFill>
              <w14:schemeClr w14:val="tx1"/>
            </w14:solidFill>
          </w14:textFill>
        </w:rPr>
        <w:t>质疑</w:t>
      </w:r>
      <w:r>
        <w:rPr>
          <w:rFonts w:hint="eastAsia" w:ascii="仿宋" w:hAnsi="仿宋" w:eastAsia="仿宋" w:cs="仿宋"/>
          <w:color w:val="000000" w:themeColor="text1"/>
          <w:kern w:val="2"/>
          <w:sz w:val="22"/>
          <w:szCs w:val="22"/>
          <w14:textFill>
            <w14:solidFill>
              <w14:schemeClr w14:val="tx1"/>
            </w14:solidFill>
          </w14:textFill>
        </w:rPr>
        <w:t>，质疑事项为：</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03D9F2B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  </w:t>
      </w:r>
    </w:p>
    <w:p w14:paraId="73FB976D">
      <w:pPr>
        <w:keepNext w:val="0"/>
        <w:keepLines w:val="0"/>
        <w:pageBreakBefore w:val="0"/>
        <w:widowControl w:val="0"/>
        <w:kinsoku/>
        <w:wordWrap/>
        <w:overflowPunct/>
        <w:topLinePunct w:val="0"/>
        <w:autoSpaceDE/>
        <w:autoSpaceDN/>
        <w:bidi w:val="0"/>
        <w:adjustRightInd/>
        <w:snapToGrid/>
        <w:ind w:firstLine="330" w:firstLineChars="150"/>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u w:val="dotted"/>
          <w:lang w:val="en-US" w:eastAsia="zh-CN"/>
          <w14:textFill>
            <w14:solidFill>
              <w14:schemeClr w14:val="tx1"/>
            </w14:solidFill>
          </w14:textFill>
        </w:rPr>
        <w:t>中标人</w:t>
      </w:r>
      <w:r>
        <w:rPr>
          <w:rFonts w:hint="eastAsia" w:ascii="仿宋" w:hAnsi="仿宋" w:eastAsia="仿宋" w:cs="仿宋"/>
          <w:color w:val="000000" w:themeColor="text1"/>
          <w:kern w:val="2"/>
          <w:sz w:val="22"/>
          <w:szCs w:val="22"/>
          <w:u w:val="dotted"/>
          <w14:textFill>
            <w14:solidFill>
              <w14:schemeClr w14:val="tx1"/>
            </w14:solidFill>
          </w14:textFill>
        </w:rPr>
        <w:t>/代理机构</w:t>
      </w:r>
      <w:r>
        <w:rPr>
          <w:rFonts w:hint="eastAsia" w:ascii="仿宋" w:hAnsi="仿宋" w:eastAsia="仿宋" w:cs="仿宋"/>
          <w:color w:val="000000" w:themeColor="text1"/>
          <w:kern w:val="2"/>
          <w:sz w:val="22"/>
          <w:szCs w:val="22"/>
          <w14:textFill>
            <w14:solidFill>
              <w14:schemeClr w14:val="tx1"/>
            </w14:solidFill>
          </w14:textFill>
        </w:rPr>
        <w:t>于</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年</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月</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日,就质疑事项作出了答复/没有在法定期限内作出答复。</w:t>
      </w:r>
    </w:p>
    <w:p w14:paraId="21F457F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5" w:name="_Toc5565"/>
      <w:r>
        <w:rPr>
          <w:rFonts w:hint="eastAsia" w:ascii="仿宋" w:hAnsi="仿宋" w:eastAsia="仿宋" w:cs="仿宋"/>
          <w:color w:val="000000" w:themeColor="text1"/>
          <w:kern w:val="2"/>
          <w:sz w:val="22"/>
          <w:szCs w:val="22"/>
          <w14:textFill>
            <w14:solidFill>
              <w14:schemeClr w14:val="tx1"/>
            </w14:solidFill>
          </w14:textFill>
        </w:rPr>
        <w:t>四、投诉事项具体内容</w:t>
      </w:r>
      <w:bookmarkEnd w:id="225"/>
    </w:p>
    <w:p w14:paraId="7DAF8B2A">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投诉事项 1：</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60A3FBF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事实依据：</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0884D5C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52C2E6C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法律依据：</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03B5E50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6A4F519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投诉事项2</w:t>
      </w:r>
    </w:p>
    <w:p w14:paraId="0776FC9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w:t>
      </w:r>
    </w:p>
    <w:p w14:paraId="3A83138B">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6" w:name="_Toc6707"/>
      <w:r>
        <w:rPr>
          <w:rFonts w:hint="eastAsia" w:ascii="仿宋" w:hAnsi="仿宋" w:eastAsia="仿宋" w:cs="仿宋"/>
          <w:color w:val="000000" w:themeColor="text1"/>
          <w:kern w:val="2"/>
          <w:sz w:val="22"/>
          <w:szCs w:val="22"/>
          <w14:textFill>
            <w14:solidFill>
              <w14:schemeClr w14:val="tx1"/>
            </w14:solidFill>
          </w14:textFill>
        </w:rPr>
        <w:t>五、与投诉事项相关的投诉请求</w:t>
      </w:r>
      <w:bookmarkEnd w:id="226"/>
    </w:p>
    <w:p w14:paraId="6A16F74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请求：</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 </w:t>
      </w:r>
    </w:p>
    <w:p w14:paraId="6663AFA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                                                                                                    </w:t>
      </w:r>
    </w:p>
    <w:p w14:paraId="3BF89A2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签字(签章)：                   公章：                      </w:t>
      </w:r>
    </w:p>
    <w:p w14:paraId="5E1A7C23">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p>
    <w:p w14:paraId="0A84370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日期：    </w:t>
      </w:r>
    </w:p>
    <w:p w14:paraId="48214A15">
      <w:pPr>
        <w:spacing w:after="156" w:afterLines="50" w:line="360" w:lineRule="auto"/>
        <w:ind w:firstLine="2530" w:firstLineChars="900"/>
        <w:outlineLvl w:val="0"/>
        <w:rPr>
          <w:rFonts w:hint="eastAsia" w:ascii="黑体" w:hAnsi="黑体" w:eastAsia="黑体" w:cs="黑体"/>
          <w:b/>
          <w:color w:val="000000" w:themeColor="text1"/>
          <w:sz w:val="28"/>
          <w:szCs w:val="28"/>
          <w14:textFill>
            <w14:solidFill>
              <w14:schemeClr w14:val="tx1"/>
            </w14:solidFill>
          </w14:textFill>
        </w:rPr>
      </w:pPr>
    </w:p>
    <w:p w14:paraId="3AC4C27F">
      <w:pPr>
        <w:keepNext w:val="0"/>
        <w:keepLines w:val="0"/>
        <w:pageBreakBefore w:val="0"/>
        <w:numPr>
          <w:ilvl w:val="0"/>
          <w:numId w:val="0"/>
        </w:numPr>
        <w:shd w:val="clear"/>
        <w:kinsoku/>
        <w:wordWrap/>
        <w:overflowPunct/>
        <w:topLinePunct w:val="0"/>
        <w:bidi w:val="0"/>
        <w:adjustRightInd w:val="0"/>
        <w:snapToGrid w:val="0"/>
        <w:spacing w:line="360" w:lineRule="auto"/>
        <w:ind w:right="0" w:rightChars="0" w:firstLine="2891" w:firstLineChars="9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第三章</w:t>
      </w:r>
      <w:r>
        <w:rPr>
          <w:rFonts w:hint="eastAsia" w:ascii="黑体" w:hAnsi="黑体" w:eastAsia="黑体" w:cs="黑体"/>
          <w:b/>
          <w:color w:val="000000" w:themeColor="text1"/>
          <w:sz w:val="32"/>
          <w:szCs w:val="32"/>
          <w14:textFill>
            <w14:solidFill>
              <w14:schemeClr w14:val="tx1"/>
            </w14:solidFill>
          </w14:textFill>
        </w:rPr>
        <w:t xml:space="preserve">  评标办法</w:t>
      </w:r>
    </w:p>
    <w:p w14:paraId="2B9F6B83">
      <w:pPr>
        <w:keepNext w:val="0"/>
        <w:keepLines w:val="0"/>
        <w:pageBreakBefore w:val="0"/>
        <w:numPr>
          <w:ilvl w:val="0"/>
          <w:numId w:val="0"/>
        </w:numPr>
        <w:shd w:val="clear"/>
        <w:kinsoku/>
        <w:wordWrap/>
        <w:overflowPunct/>
        <w:topLinePunct w:val="0"/>
        <w:bidi w:val="0"/>
        <w:adjustRightInd w:val="0"/>
        <w:snapToGrid w:val="0"/>
        <w:spacing w:line="360" w:lineRule="auto"/>
        <w:ind w:leftChars="20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本项目是根据《中华人民共和国政府采购法》及《中华人民共和国政府采购法实施条例》（第658号）等法律法规的规定，结合采购项目特点制定的评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w:t>
      </w:r>
    </w:p>
    <w:p w14:paraId="77A0AFD0">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227" w:name="_Toc23484"/>
      <w:bookmarkStart w:id="228" w:name="_Toc19615"/>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总则</w:t>
      </w:r>
      <w:bookmarkEnd w:id="227"/>
      <w:bookmarkEnd w:id="228"/>
    </w:p>
    <w:p w14:paraId="0CC12978">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1.1、原则</w:t>
      </w:r>
    </w:p>
    <w:p w14:paraId="45137A8E">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1.1.1、“公平、公正、择优、效益”为本次评审的基本原则，评标委员会按照这一原则的要求，公正、平等地对待各投标人。同时，在评审中恪守以下原则：</w:t>
      </w:r>
    </w:p>
    <w:p w14:paraId="45FFC62B">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1.1.1.1、统一性原则：评标委员会将按照统一的原则和方法，用统一标准进行评审。</w:t>
      </w:r>
    </w:p>
    <w:p w14:paraId="649FFB53">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1.1.1.2、独立性原则:评审工作在评标委员会内部独立进行，不受外界任何因素的干扰和影响。评标委员会成员对其出具的意见承担个人责任。</w:t>
      </w:r>
      <w:r>
        <w:rPr>
          <w:rFonts w:hint="eastAsia" w:ascii="仿宋" w:hAnsi="仿宋" w:eastAsia="仿宋" w:cs="仿宋"/>
          <w:color w:val="000000" w:themeColor="text1"/>
          <w:kern w:val="0"/>
          <w:szCs w:val="21"/>
          <w:highlight w:val="none"/>
          <w14:textFill>
            <w14:solidFill>
              <w14:schemeClr w14:val="tx1"/>
            </w14:solidFill>
          </w14:textFill>
        </w:rPr>
        <w:t>投标人试图影响或干预评审的任何行为，将导致其丧失投标的资格，并承担相应的法律责任。</w:t>
      </w:r>
    </w:p>
    <w:p w14:paraId="32F33AAA">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1.1.1.3、客观性原则：评标委员会将严格按照招标文件要求，对投标人的投标文件进行认真评审；评标委员会对投标文件的评审仅依据投标文件本身，而不依据招标文件以外的任何因素。</w:t>
      </w:r>
    </w:p>
    <w:p w14:paraId="4D00EC81">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1.1.1.4、保密性原则：采购人、采购代理机构应当采取必要措施，保证评审在严格保密的情况下进行。除采购人代表、评审现场组织人员外，采购人的其他工作人员以及与评审工作无关的人员不得进入评审现场。有关人员对评审情况以及在评审过程中获悉的国家秘密、商业秘密负有保密责任。</w:t>
      </w:r>
    </w:p>
    <w:p w14:paraId="7E10E4B5">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1.1.1.5、综合性原则:评标委员会将综合分析投标人的各项指标，而不以单项指标的优劣评定出中标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w:t>
      </w:r>
    </w:p>
    <w:p w14:paraId="188D6C28">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1.1.2、评标委员会有权对整个投标和评审过程中出现的所有问题，根据《中华人民共和国政府采购法》《中华人民共和国政府采购法实施条例》（第658号）等相关规定进行处理。</w:t>
      </w:r>
    </w:p>
    <w:p w14:paraId="7DA0393D">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1.2、评标委员会职责</w:t>
      </w:r>
    </w:p>
    <w:p w14:paraId="6FAC8C14">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1.2.1、评标委员会独立履行下列职责：</w:t>
      </w:r>
    </w:p>
    <w:p w14:paraId="433A910E">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1.2.1.1、审查、评价投标文件是否符合招标文件的商务、技术、服务等实质性要求；</w:t>
      </w:r>
    </w:p>
    <w:p w14:paraId="0CB2E778">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1.2.1.2、要求投标人对投标文件有关事项作出解释或者澄清；</w:t>
      </w:r>
    </w:p>
    <w:p w14:paraId="7F8AD66E">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1.2.1.3、对通过资格审查和符合性审查的投标人进行技术和商务评审；</w:t>
      </w:r>
    </w:p>
    <w:p w14:paraId="00321261">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1.2.1.4、对投标文件进行比较和评价；</w:t>
      </w:r>
    </w:p>
    <w:p w14:paraId="4AB8183F">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1.2.1.5、推荐中标候选人名单；</w:t>
      </w:r>
    </w:p>
    <w:p w14:paraId="46EB6204">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1.2.1.6、向采购人、采购代理机构或者有关部门报告非法干预评审工作的行为。</w:t>
      </w:r>
    </w:p>
    <w:p w14:paraId="2EEBCB94">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1.2.2、采购代理机构负责组织评审工作并履行下列职责：</w:t>
      </w:r>
    </w:p>
    <w:p w14:paraId="10682B58">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1.2.2.1、核对评标委员会成员身份和采购人代表授权函；</w:t>
      </w:r>
    </w:p>
    <w:p w14:paraId="70149B92">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1.2.2.2、宣布评审纪律；</w:t>
      </w:r>
    </w:p>
    <w:p w14:paraId="39C0172B">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1.2.2.3、公布响应投标人名单，告知评标委员会成员应当回避的情形；</w:t>
      </w:r>
    </w:p>
    <w:p w14:paraId="50BA8919">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1.2.2.4、组织评标委员会成员推选</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组长，采购人代表不得担任组长；</w:t>
      </w:r>
    </w:p>
    <w:p w14:paraId="0518F1E4">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1.2.2.5、集中保管评标委员会成员及现场工作人员的通讯工具；</w:t>
      </w:r>
    </w:p>
    <w:p w14:paraId="3C65F4A8">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1.2.2.6、根据评标委员会的要求介绍政府采购相关政策法规、招标文件；</w:t>
      </w:r>
    </w:p>
    <w:p w14:paraId="5C0F9B01">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1.2.2.7、维护评审秩序，监督评标委员会依照招标文件规定的采购程序、评审方法和标准进行独立评审，对采购人代表、评标委员会成员的倾向性言论或违法违规行为及时制止和纠正；</w:t>
      </w:r>
    </w:p>
    <w:p w14:paraId="0DBBAE3B">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1.2.2.8、核对评审结果，采购过程中提交投标文件或者经评审实质性响应投标文件要求的投标</w:t>
      </w:r>
      <w:r>
        <w:rPr>
          <w:rFonts w:hint="eastAsia" w:ascii="仿宋" w:hAnsi="仿宋" w:eastAsia="仿宋" w:cs="仿宋"/>
          <w:color w:val="000000" w:themeColor="text1"/>
          <w:sz w:val="21"/>
          <w:szCs w:val="21"/>
          <w:highlight w:val="none"/>
          <w:lang w:val="en-US"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只有2家时，经采购人书面请示政府采购管理机构同意后，可以现场转变采购方式。否则，按废标处理，重新开展采购活动；采购过程中，提交投标文件或者经评审实质性响应投标文件要求的投标</w:t>
      </w:r>
      <w:r>
        <w:rPr>
          <w:rFonts w:hint="eastAsia" w:ascii="仿宋" w:hAnsi="仿宋" w:eastAsia="仿宋" w:cs="仿宋"/>
          <w:color w:val="000000" w:themeColor="text1"/>
          <w:sz w:val="21"/>
          <w:szCs w:val="21"/>
          <w:highlight w:val="none"/>
          <w:lang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1家时，按废标处理，重新开展采购活动。采购人如需申请转为单一来源采购方式的，按单一来源采购程序进行。要求评标委员会复核或书面说明理由，评标委员会拒绝的，应予记录并向采购人本级财政部门报告；</w:t>
      </w:r>
    </w:p>
    <w:p w14:paraId="23B36F6C">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1.2.2.9、处理与评审有关的其他事项。</w:t>
      </w:r>
    </w:p>
    <w:p w14:paraId="62071633">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1.2.3、采购人可以在评审前介绍项目背景和采购需求，介绍内容不得含有歧视性、倾向性意见，不得超出招标文件所述范围。介绍应当提交书面介绍材料，并随采购文件一并存档。</w:t>
      </w:r>
    </w:p>
    <w:p w14:paraId="04128F9F">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leftChars="0" w:right="0" w:rightChars="0" w:firstLine="420" w:firstLineChars="200"/>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1.2.4、评标委员会及其成员，在评审中不得有下列行为：</w:t>
      </w:r>
    </w:p>
    <w:p w14:paraId="6CBD21C9">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1.2.4.1、确定参与评审至评审结束前私自接触投标人；</w:t>
      </w:r>
    </w:p>
    <w:p w14:paraId="2F366090">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1.2.4.2、接受投标人提出的与投标文件不一致的澄清或者说明，本章第2.2.1条规定的情形除外；</w:t>
      </w:r>
    </w:p>
    <w:p w14:paraId="0614D292">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1.2.4.3、违反评审纪律发表倾向性意见或者征询采购人的倾向性意见；</w:t>
      </w:r>
    </w:p>
    <w:p w14:paraId="46F66B08">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1.2.4.4、对需要专业判断的主观评审因素协商评分；</w:t>
      </w:r>
    </w:p>
    <w:p w14:paraId="5EA19480">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1.2.4.5、在评审过程中擅离职守，影响评审程序正常进行的；</w:t>
      </w:r>
    </w:p>
    <w:p w14:paraId="21EBFB7B">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1.2.4.6、记录、复制或者带走任何评审资料；</w:t>
      </w:r>
    </w:p>
    <w:p w14:paraId="79A39C9D">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1.2.4.7、其他不遵守评审纪律的行为；</w:t>
      </w:r>
    </w:p>
    <w:p w14:paraId="008AAA5B">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1.2.4.8、评标委员会成员有前款第一至五项行为之一的，其评审意见无效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22DAC9EE">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29" w:name="_Toc19187"/>
      <w:bookmarkStart w:id="230" w:name="_Toc19971"/>
      <w:r>
        <w:rPr>
          <w:rFonts w:hint="eastAsia" w:ascii="仿宋" w:hAnsi="仿宋" w:eastAsia="仿宋" w:cs="仿宋"/>
          <w:b/>
          <w:color w:val="000000" w:themeColor="text1"/>
          <w:sz w:val="24"/>
          <w:szCs w:val="24"/>
          <w:highlight w:val="none"/>
          <w14:textFill>
            <w14:solidFill>
              <w14:schemeClr w14:val="tx1"/>
            </w14:solidFill>
          </w14:textFill>
        </w:rPr>
        <w:t>二、评审步骤与评审方法</w:t>
      </w:r>
      <w:bookmarkEnd w:id="229"/>
      <w:bookmarkEnd w:id="230"/>
    </w:p>
    <w:p w14:paraId="578C8FF1">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231" w:name="_Toc8827"/>
      <w:r>
        <w:rPr>
          <w:rFonts w:hint="eastAsia" w:ascii="仿宋" w:hAnsi="仿宋" w:eastAsia="仿宋" w:cs="仿宋"/>
          <w:b/>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
          <w:color w:val="000000" w:themeColor="text1"/>
          <w:szCs w:val="21"/>
          <w:highlight w:val="none"/>
          <w14:textFill>
            <w14:solidFill>
              <w14:schemeClr w14:val="tx1"/>
            </w14:solidFill>
          </w14:textFill>
        </w:rPr>
        <w:t>投标文件</w:t>
      </w:r>
      <w:r>
        <w:rPr>
          <w:rFonts w:hint="eastAsia" w:ascii="仿宋" w:hAnsi="仿宋" w:eastAsia="仿宋" w:cs="仿宋"/>
          <w:b/>
          <w:color w:val="000000" w:themeColor="text1"/>
          <w:szCs w:val="21"/>
          <w:highlight w:val="none"/>
          <w:lang w:val="en-US" w:eastAsia="zh-CN"/>
          <w14:textFill>
            <w14:solidFill>
              <w14:schemeClr w14:val="tx1"/>
            </w14:solidFill>
          </w14:textFill>
        </w:rPr>
        <w:t>资格</w:t>
      </w:r>
      <w:r>
        <w:rPr>
          <w:rFonts w:hint="eastAsia" w:ascii="仿宋" w:hAnsi="仿宋" w:eastAsia="仿宋" w:cs="仿宋"/>
          <w:b/>
          <w:color w:val="000000" w:themeColor="text1"/>
          <w:szCs w:val="21"/>
          <w:highlight w:val="none"/>
          <w14:textFill>
            <w14:solidFill>
              <w14:schemeClr w14:val="tx1"/>
            </w14:solidFill>
          </w14:textFill>
        </w:rPr>
        <w:t>审查</w:t>
      </w:r>
      <w:bookmarkEnd w:id="231"/>
    </w:p>
    <w:p w14:paraId="541065E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审查标准如下：</w:t>
      </w:r>
    </w:p>
    <w:p w14:paraId="12B8A80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资格审查小组将按下表所列举的审查标准对</w:t>
      </w:r>
      <w:r>
        <w:rPr>
          <w:rFonts w:hint="eastAsia" w:ascii="仿宋" w:hAnsi="仿宋" w:eastAsia="仿宋" w:cs="仿宋"/>
          <w:color w:val="000000" w:themeColor="text1"/>
          <w:kern w:val="0"/>
          <w:sz w:val="21"/>
          <w:szCs w:val="21"/>
          <w:lang w:val="en-US"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的基本资格条件进行</w:t>
      </w:r>
      <w:r>
        <w:rPr>
          <w:rFonts w:hint="eastAsia" w:ascii="仿宋" w:hAnsi="仿宋" w:eastAsia="仿宋" w:cs="仿宋"/>
          <w:bCs/>
          <w:color w:val="000000" w:themeColor="text1"/>
          <w:sz w:val="21"/>
          <w:szCs w:val="21"/>
          <w14:textFill>
            <w14:solidFill>
              <w14:schemeClr w14:val="tx1"/>
            </w14:solidFill>
          </w14:textFill>
        </w:rPr>
        <w:t>审查，</w:t>
      </w:r>
      <w:r>
        <w:rPr>
          <w:rFonts w:hint="eastAsia" w:ascii="仿宋" w:hAnsi="仿宋" w:eastAsia="仿宋" w:cs="仿宋"/>
          <w:bCs/>
          <w:color w:val="000000" w:themeColor="text1"/>
          <w:sz w:val="21"/>
          <w:szCs w:val="21"/>
          <w:lang w:val="en-US" w:eastAsia="zh-CN"/>
          <w14:textFill>
            <w14:solidFill>
              <w14:schemeClr w14:val="tx1"/>
            </w14:solidFill>
          </w14:textFill>
        </w:rPr>
        <w:t>投标人</w:t>
      </w:r>
      <w:r>
        <w:rPr>
          <w:rFonts w:hint="eastAsia" w:ascii="仿宋" w:hAnsi="仿宋" w:eastAsia="仿宋" w:cs="仿宋"/>
          <w:bCs/>
          <w:color w:val="000000" w:themeColor="text1"/>
          <w:sz w:val="21"/>
          <w:szCs w:val="21"/>
          <w14:textFill>
            <w14:solidFill>
              <w14:schemeClr w14:val="tx1"/>
            </w14:solidFill>
          </w14:textFill>
        </w:rPr>
        <w:t>若</w:t>
      </w:r>
      <w:r>
        <w:rPr>
          <w:rFonts w:hint="eastAsia" w:ascii="仿宋" w:hAnsi="仿宋" w:eastAsia="仿宋" w:cs="仿宋"/>
          <w:color w:val="000000" w:themeColor="text1"/>
          <w:kern w:val="0"/>
          <w:sz w:val="21"/>
          <w:szCs w:val="21"/>
          <w14:textFill>
            <w14:solidFill>
              <w14:schemeClr w14:val="tx1"/>
            </w14:solidFill>
          </w14:textFill>
        </w:rPr>
        <w:t>有一项不合格，即判定其基本资格条件审查结果为不合格，将不具备</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资格，其</w:t>
      </w:r>
      <w:r>
        <w:rPr>
          <w:rFonts w:hint="eastAsia" w:ascii="仿宋" w:hAnsi="仿宋" w:eastAsia="仿宋" w:cs="仿宋"/>
          <w:color w:val="000000" w:themeColor="text1"/>
          <w:kern w:val="0"/>
          <w:sz w:val="21"/>
          <w:szCs w:val="21"/>
          <w:lang w:eastAsia="zh-CN"/>
          <w14:textFill>
            <w14:solidFill>
              <w14:schemeClr w14:val="tx1"/>
            </w14:solidFill>
          </w14:textFill>
        </w:rPr>
        <w:t>投标文件</w:t>
      </w:r>
      <w:r>
        <w:rPr>
          <w:rFonts w:hint="eastAsia" w:ascii="仿宋" w:hAnsi="仿宋" w:eastAsia="仿宋" w:cs="仿宋"/>
          <w:color w:val="000000" w:themeColor="text1"/>
          <w:kern w:val="0"/>
          <w:sz w:val="21"/>
          <w:szCs w:val="21"/>
          <w14:textFill>
            <w14:solidFill>
              <w14:schemeClr w14:val="tx1"/>
            </w14:solidFill>
          </w14:textFill>
        </w:rPr>
        <w:t>无效。</w:t>
      </w:r>
    </w:p>
    <w:tbl>
      <w:tblPr>
        <w:tblStyle w:val="42"/>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78"/>
        <w:gridCol w:w="6665"/>
      </w:tblGrid>
      <w:tr w14:paraId="0794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9" w:type="dxa"/>
            <w:vAlign w:val="center"/>
          </w:tcPr>
          <w:p w14:paraId="507FBE4F">
            <w:pPr>
              <w:shd w:val="clear"/>
              <w:tabs>
                <w:tab w:val="left" w:pos="0"/>
              </w:tabs>
              <w:adjustRightInd w:val="0"/>
              <w:snapToGrid w:val="0"/>
              <w:spacing w:line="240" w:lineRule="auto"/>
              <w:jc w:val="both"/>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序号</w:t>
            </w:r>
          </w:p>
        </w:tc>
        <w:tc>
          <w:tcPr>
            <w:tcW w:w="1678" w:type="dxa"/>
            <w:vAlign w:val="center"/>
          </w:tcPr>
          <w:p w14:paraId="002CDB82">
            <w:pPr>
              <w:shd w:val="clear"/>
              <w:tabs>
                <w:tab w:val="left" w:pos="0"/>
              </w:tabs>
              <w:adjustRightInd w:val="0"/>
              <w:snapToGrid w:val="0"/>
              <w:spacing w:line="240" w:lineRule="auto"/>
              <w:ind w:firstLine="211" w:firstLineChars="100"/>
              <w:jc w:val="both"/>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审查因素</w:t>
            </w:r>
          </w:p>
        </w:tc>
        <w:tc>
          <w:tcPr>
            <w:tcW w:w="6665" w:type="dxa"/>
            <w:vAlign w:val="center"/>
          </w:tcPr>
          <w:p w14:paraId="26D60ABA">
            <w:pPr>
              <w:shd w:val="clear"/>
              <w:tabs>
                <w:tab w:val="left" w:pos="0"/>
              </w:tabs>
              <w:adjustRightInd w:val="0"/>
              <w:snapToGrid w:val="0"/>
              <w:spacing w:line="240" w:lineRule="auto"/>
              <w:ind w:firstLine="422" w:firstLineChars="200"/>
              <w:jc w:val="center"/>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审查标准</w:t>
            </w:r>
          </w:p>
        </w:tc>
      </w:tr>
      <w:tr w14:paraId="44F6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26DF819D">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1678" w:type="dxa"/>
            <w:vMerge w:val="restart"/>
            <w:vAlign w:val="center"/>
          </w:tcPr>
          <w:p w14:paraId="588B17AE">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满足《中华人民共和国政府采购法》第二十二条规定</w:t>
            </w:r>
          </w:p>
        </w:tc>
        <w:tc>
          <w:tcPr>
            <w:tcW w:w="6665" w:type="dxa"/>
            <w:vAlign w:val="center"/>
          </w:tcPr>
          <w:p w14:paraId="05808047">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u w:val="none"/>
                <w14:textFill>
                  <w14:solidFill>
                    <w14:schemeClr w14:val="tx1"/>
                  </w14:solidFill>
                </w14:textFill>
              </w:rPr>
              <w:t>（材料应清晰可辨，加盖公章）</w:t>
            </w:r>
          </w:p>
        </w:tc>
      </w:tr>
      <w:tr w14:paraId="4AC1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6771D8BF">
            <w:pPr>
              <w:shd w:val="clear"/>
              <w:tabs>
                <w:tab w:val="left" w:pos="0"/>
              </w:tabs>
              <w:adjustRightInd w:val="0"/>
              <w:snapToGrid w:val="0"/>
              <w:spacing w:line="240" w:lineRule="auto"/>
              <w:ind w:firstLine="210" w:firstLineChars="100"/>
              <w:jc w:val="both"/>
              <w:outlineLvl w:val="9"/>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1678" w:type="dxa"/>
            <w:vMerge w:val="continue"/>
            <w:vAlign w:val="center"/>
          </w:tcPr>
          <w:p w14:paraId="2D255548">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37DE0554">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fill="FFFFFF"/>
                <w:lang w:eastAsia="zh-CN"/>
                <w14:textFill>
                  <w14:solidFill>
                    <w14:schemeClr w14:val="tx1"/>
                  </w14:solidFill>
                </w14:textFill>
              </w:rPr>
              <w:t>投标人须提供《汉中市政府采购投标人资格承诺函》。</w:t>
            </w:r>
            <w:r>
              <w:rPr>
                <w:rFonts w:hint="eastAsia" w:ascii="仿宋" w:hAnsi="仿宋" w:eastAsia="仿宋" w:cs="仿宋"/>
                <w:b/>
                <w:color w:val="000000" w:themeColor="text1"/>
                <w:sz w:val="21"/>
                <w:szCs w:val="21"/>
                <w:u w:val="none"/>
                <w:lang w:val="en-US" w:eastAsia="zh-CN"/>
                <w14:textFill>
                  <w14:solidFill>
                    <w14:schemeClr w14:val="tx1"/>
                  </w14:solidFill>
                </w14:textFill>
              </w:rPr>
              <w:t>（原件）</w:t>
            </w:r>
          </w:p>
        </w:tc>
      </w:tr>
      <w:tr w14:paraId="1EC7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restart"/>
            <w:vAlign w:val="center"/>
          </w:tcPr>
          <w:p w14:paraId="2B24804D">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678" w:type="dxa"/>
            <w:vMerge w:val="restart"/>
            <w:vAlign w:val="center"/>
          </w:tcPr>
          <w:p w14:paraId="27F9DDCB">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本项目特定资格要求</w:t>
            </w:r>
          </w:p>
        </w:tc>
        <w:tc>
          <w:tcPr>
            <w:tcW w:w="6665" w:type="dxa"/>
            <w:vAlign w:val="center"/>
          </w:tcPr>
          <w:p w14:paraId="4489747F">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u w:val="none"/>
                <w:lang w:val="en-US" w:eastAsia="zh-CN"/>
                <w14:textFill>
                  <w14:solidFill>
                    <w14:schemeClr w14:val="tx1"/>
                  </w14:solidFill>
                </w14:textFill>
              </w:rPr>
              <w:t>（原件）</w:t>
            </w:r>
          </w:p>
        </w:tc>
      </w:tr>
      <w:tr w14:paraId="2CEF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continue"/>
            <w:vAlign w:val="center"/>
          </w:tcPr>
          <w:p w14:paraId="523F74A9">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p>
        </w:tc>
        <w:tc>
          <w:tcPr>
            <w:tcW w:w="1678" w:type="dxa"/>
            <w:vMerge w:val="continue"/>
            <w:vAlign w:val="center"/>
          </w:tcPr>
          <w:p w14:paraId="5F4C19A1">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lang w:val="en-US" w:eastAsia="zh-CN"/>
                <w14:textFill>
                  <w14:solidFill>
                    <w14:schemeClr w14:val="tx1"/>
                  </w14:solidFill>
                </w14:textFill>
              </w:rPr>
            </w:pPr>
          </w:p>
        </w:tc>
        <w:tc>
          <w:tcPr>
            <w:tcW w:w="6665" w:type="dxa"/>
            <w:vAlign w:val="center"/>
          </w:tcPr>
          <w:p w14:paraId="7BB4E2D3">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投标人为生产厂家的须提供《食品生产许可证》及《食品经营许可证》；投标人为代理商的须提供《食品经营许可证》或食品经营备案证明。</w:t>
            </w:r>
            <w:r>
              <w:rPr>
                <w:rFonts w:hint="eastAsia" w:ascii="仿宋" w:hAnsi="仿宋" w:eastAsia="仿宋" w:cs="仿宋"/>
                <w:b/>
                <w:color w:val="000000" w:themeColor="text1"/>
                <w:sz w:val="21"/>
                <w:szCs w:val="21"/>
                <w:u w:val="none"/>
                <w14:textFill>
                  <w14:solidFill>
                    <w14:schemeClr w14:val="tx1"/>
                  </w14:solidFill>
                </w14:textFill>
              </w:rPr>
              <w:t>（材料应清晰可辨，加盖公章）</w:t>
            </w:r>
          </w:p>
        </w:tc>
      </w:tr>
      <w:tr w14:paraId="4B8E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2" w:type="dxa"/>
            <w:gridSpan w:val="3"/>
            <w:vAlign w:val="center"/>
          </w:tcPr>
          <w:p w14:paraId="153C5984">
            <w:pPr>
              <w:shd w:val="clear"/>
              <w:tabs>
                <w:tab w:val="left" w:pos="0"/>
              </w:tabs>
              <w:adjustRightInd w:val="0"/>
              <w:snapToGrid w:val="0"/>
              <w:spacing w:line="240" w:lineRule="auto"/>
              <w:ind w:firstLine="422" w:firstLineChars="200"/>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注：投标人未提供资格信用承诺函的，应当按照《中华人民共和国政府采购法》及其实施条例等相关法律法规规定提供相应的证明材料。相应证明材料如下：</w:t>
            </w:r>
          </w:p>
          <w:p w14:paraId="0C44519D">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财务状况报告: 提供 2022年度或2023 年度经审计的完整有效财务报告，或其响应文件递交截止时间前三个月内基本开户银行出具的资信证明，或财政部门认可的政府采购专业担保机构出具的担保函 ( 以上三种任意一项即可 )。</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3FD25A8D">
            <w:pPr>
              <w:bidi w:val="0"/>
              <w:spacing w:line="240" w:lineRule="auto"/>
              <w:ind w:firstLine="420" w:firstLineChars="200"/>
              <w:outlineLvl w:val="9"/>
              <w:rPr>
                <w:rFonts w:hint="eastAsia"/>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税收缴纳证明:提供自202</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月1日以来已缴纳的任意1个月的依法缴纳税收的相关凭据(时间以税款所属日期为准)，凭据应有税务机关或代收机关的公章或业务专用章; 依法免税或无须缴纳税收的投标人，应提供相应证明文件。</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313CE63D">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 xml:space="preserve">.社保缴纳证明: 提供自 </w:t>
            </w:r>
            <w:r>
              <w:rPr>
                <w:rFonts w:hint="eastAsia" w:ascii="仿宋" w:hAnsi="仿宋" w:eastAsia="仿宋" w:cs="仿宋"/>
                <w:color w:val="000000" w:themeColor="text1"/>
                <w:sz w:val="21"/>
                <w:szCs w:val="21"/>
                <w:lang w:eastAsia="zh-CN"/>
                <w14:textFill>
                  <w14:solidFill>
                    <w14:schemeClr w14:val="tx1"/>
                  </w14:solidFill>
                </w14:textFill>
              </w:rPr>
              <w:t>202</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月1日</w:t>
            </w:r>
            <w:r>
              <w:rPr>
                <w:rFonts w:hint="eastAsia" w:ascii="仿宋" w:hAnsi="仿宋" w:eastAsia="仿宋" w:cs="仿宋"/>
                <w:color w:val="000000" w:themeColor="text1"/>
                <w:sz w:val="21"/>
                <w:szCs w:val="21"/>
                <w14:textFill>
                  <w14:solidFill>
                    <w14:schemeClr w14:val="tx1"/>
                  </w14:solidFill>
                </w14:textFill>
              </w:rPr>
              <w:t>以来已缴存的任意 1 个月的社会保障资金缴存单据或社保机构开具的社会保险参保缴费情况证明; 依法不需要缴纳社会保障资金的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应提供相关证明文件。</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5BBFA8E7">
            <w:pPr>
              <w:bidi w:val="0"/>
              <w:spacing w:line="240" w:lineRule="auto"/>
              <w:ind w:firstLine="420" w:firstLineChars="200"/>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具有履行合同所必需的设备和专业技术能力的书面承诺。</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响应文件</w:t>
            </w:r>
            <w:r>
              <w:rPr>
                <w:rFonts w:hint="eastAsia" w:ascii="仿宋" w:hAnsi="仿宋" w:eastAsia="仿宋" w:cs="仿宋"/>
                <w:b/>
                <w:bCs/>
                <w:color w:val="000000" w:themeColor="text1"/>
                <w:sz w:val="21"/>
                <w:szCs w:val="21"/>
                <w14:textFill>
                  <w14:solidFill>
                    <w14:schemeClr w14:val="tx1"/>
                  </w14:solidFill>
                </w14:textFill>
              </w:rPr>
              <w:t>内附原件，格式内容自拟，加盖公章）</w:t>
            </w:r>
          </w:p>
          <w:p w14:paraId="3AF7B081">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提供参加政府采购活动前三年内在经营活动中没有重大违法记录的书面声明。</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响应文件</w:t>
            </w:r>
            <w:r>
              <w:rPr>
                <w:rFonts w:hint="eastAsia" w:ascii="仿宋" w:hAnsi="仿宋" w:eastAsia="仿宋" w:cs="仿宋"/>
                <w:b/>
                <w:bCs/>
                <w:color w:val="000000" w:themeColor="text1"/>
                <w:sz w:val="21"/>
                <w:szCs w:val="21"/>
                <w14:textFill>
                  <w14:solidFill>
                    <w14:schemeClr w14:val="tx1"/>
                  </w14:solidFill>
                </w14:textFill>
              </w:rPr>
              <w:t>内附原件，格式内容自拟，加盖公章）</w:t>
            </w:r>
          </w:p>
          <w:p w14:paraId="687E82DF">
            <w:pPr>
              <w:bidi w:val="0"/>
              <w:spacing w:line="240" w:lineRule="auto"/>
              <w:ind w:firstLine="420" w:firstLineChars="200"/>
              <w:outlineLvl w:val="9"/>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不得为“信用中国”网站（www.creditchina.gov.cn）中列入失信被执行人（中国执行信息公开网http://zxgk.court.gov.cn）和重大税收违法失信主体名单的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color w:val="000000" w:themeColor="text1"/>
                <w:sz w:val="21"/>
                <w:szCs w:val="21"/>
                <w:u w:val="none"/>
                <w14:textFill>
                  <w14:solidFill>
                    <w14:schemeClr w14:val="tx1"/>
                  </w14:solidFill>
                </w14:textFill>
              </w:rPr>
              <w:t>此项由采购代理机构在</w:t>
            </w:r>
            <w:r>
              <w:rPr>
                <w:rFonts w:hint="eastAsia" w:ascii="仿宋" w:hAnsi="仿宋" w:eastAsia="仿宋" w:cs="仿宋"/>
                <w:b/>
                <w:color w:val="000000" w:themeColor="text1"/>
                <w:sz w:val="21"/>
                <w:szCs w:val="21"/>
                <w:u w:val="none"/>
                <w:lang w:eastAsia="zh-CN"/>
                <w14:textFill>
                  <w14:solidFill>
                    <w14:schemeClr w14:val="tx1"/>
                  </w14:solidFill>
                </w14:textFill>
              </w:rPr>
              <w:t>投标</w:t>
            </w:r>
            <w:r>
              <w:rPr>
                <w:rFonts w:hint="eastAsia" w:ascii="仿宋" w:hAnsi="仿宋" w:eastAsia="仿宋" w:cs="仿宋"/>
                <w:b/>
                <w:color w:val="000000" w:themeColor="text1"/>
                <w:sz w:val="21"/>
                <w:szCs w:val="21"/>
                <w:u w:val="none"/>
                <w14:textFill>
                  <w14:solidFill>
                    <w14:schemeClr w14:val="tx1"/>
                  </w14:solidFill>
                </w14:textFill>
              </w:rPr>
              <w:t>截止时间前3日内查询，查询结果以电子图片或者纸质版存档，如相关失信记录已失效，</w:t>
            </w:r>
            <w:r>
              <w:rPr>
                <w:rFonts w:hint="eastAsia" w:ascii="仿宋" w:hAnsi="仿宋" w:eastAsia="仿宋" w:cs="仿宋"/>
                <w:b/>
                <w:color w:val="000000" w:themeColor="text1"/>
                <w:sz w:val="21"/>
                <w:szCs w:val="21"/>
                <w:u w:val="none"/>
                <w:lang w:eastAsia="zh-CN"/>
                <w14:textFill>
                  <w14:solidFill>
                    <w14:schemeClr w14:val="tx1"/>
                  </w14:solidFill>
                </w14:textFill>
              </w:rPr>
              <w:t>投标人</w:t>
            </w:r>
            <w:r>
              <w:rPr>
                <w:rFonts w:hint="eastAsia" w:ascii="仿宋" w:hAnsi="仿宋" w:eastAsia="仿宋" w:cs="仿宋"/>
                <w:b/>
                <w:color w:val="000000" w:themeColor="text1"/>
                <w:sz w:val="21"/>
                <w:szCs w:val="21"/>
                <w:u w:val="none"/>
                <w14:textFill>
                  <w14:solidFill>
                    <w14:schemeClr w14:val="tx1"/>
                  </w14:solidFill>
                </w14:textFill>
              </w:rPr>
              <w:t>需提供相关证明资料，若没有则无需提供</w:t>
            </w:r>
            <w:r>
              <w:rPr>
                <w:rFonts w:hint="eastAsia" w:ascii="仿宋" w:hAnsi="仿宋" w:eastAsia="仿宋" w:cs="仿宋"/>
                <w:b/>
                <w:color w:val="000000" w:themeColor="text1"/>
                <w:sz w:val="21"/>
                <w:szCs w:val="21"/>
                <w:u w:val="none"/>
                <w:lang w:eastAsia="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w:t>
            </w:r>
          </w:p>
        </w:tc>
      </w:tr>
    </w:tbl>
    <w:p w14:paraId="6537334F">
      <w:pPr>
        <w:keepNext w:val="0"/>
        <w:keepLines w:val="0"/>
        <w:pageBreakBefore w:val="0"/>
        <w:widowControl w:val="0"/>
        <w:tabs>
          <w:tab w:val="left" w:pos="0"/>
        </w:tabs>
        <w:kinsoku/>
        <w:wordWrap/>
        <w:overflowPunct/>
        <w:topLinePunct w:val="0"/>
        <w:autoSpaceDE/>
        <w:autoSpaceDN/>
        <w:bidi w:val="0"/>
        <w:adjustRightInd w:val="0"/>
        <w:snapToGrid w:val="0"/>
        <w:spacing w:before="0" w:line="360" w:lineRule="auto"/>
        <w:textAlignment w:val="auto"/>
        <w:rPr>
          <w:rFonts w:hint="eastAsia" w:ascii="仿宋" w:hAnsi="仿宋" w:eastAsia="仿宋" w:cs="仿宋"/>
          <w:b/>
          <w:color w:val="000000" w:themeColor="text1"/>
          <w:kern w:val="0"/>
          <w:sz w:val="21"/>
          <w:szCs w:val="21"/>
          <w:lang w:eastAsia="zh-CN"/>
          <w14:textFill>
            <w14:solidFill>
              <w14:schemeClr w14:val="tx1"/>
            </w14:solidFill>
          </w14:textFill>
        </w:rPr>
      </w:pPr>
      <w:r>
        <w:rPr>
          <w:rFonts w:hint="eastAsia" w:ascii="仿宋" w:hAnsi="仿宋" w:eastAsia="仿宋" w:cs="仿宋"/>
          <w:b/>
          <w:color w:val="000000" w:themeColor="text1"/>
          <w:kern w:val="0"/>
          <w:sz w:val="21"/>
          <w:szCs w:val="21"/>
          <w:lang w:val="en-US" w:eastAsia="zh-CN"/>
          <w14:textFill>
            <w14:solidFill>
              <w14:schemeClr w14:val="tx1"/>
            </w14:solidFill>
          </w14:textFill>
        </w:rPr>
        <w:t>2.1.1、</w:t>
      </w:r>
      <w:r>
        <w:rPr>
          <w:rFonts w:hint="eastAsia" w:ascii="仿宋" w:hAnsi="仿宋" w:eastAsia="仿宋" w:cs="仿宋"/>
          <w:b/>
          <w:color w:val="000000" w:themeColor="text1"/>
          <w:kern w:val="0"/>
          <w:sz w:val="21"/>
          <w:szCs w:val="21"/>
          <w14:textFill>
            <w14:solidFill>
              <w14:schemeClr w14:val="tx1"/>
            </w14:solidFill>
          </w14:textFill>
        </w:rPr>
        <w:t>落实政府采购政策资格审查</w:t>
      </w:r>
      <w:r>
        <w:rPr>
          <w:rFonts w:hint="eastAsia" w:ascii="仿宋" w:hAnsi="仿宋" w:eastAsia="仿宋" w:cs="仿宋"/>
          <w:b/>
          <w:color w:val="000000" w:themeColor="text1"/>
          <w:kern w:val="0"/>
          <w:sz w:val="21"/>
          <w:szCs w:val="21"/>
          <w:lang w:eastAsia="zh-CN"/>
          <w14:textFill>
            <w14:solidFill>
              <w14:schemeClr w14:val="tx1"/>
            </w14:solidFill>
          </w14:textFill>
        </w:rPr>
        <w:t>：</w:t>
      </w:r>
    </w:p>
    <w:p w14:paraId="6114C6BA">
      <w:pPr>
        <w:tabs>
          <w:tab w:val="left" w:pos="1080"/>
          <w:tab w:val="left" w:pos="1155"/>
        </w:tabs>
        <w:adjustRightInd w:val="0"/>
        <w:snapToGrid w:val="0"/>
        <w:spacing w:line="360" w:lineRule="auto"/>
        <w:ind w:firstLine="440" w:firstLineChars="200"/>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本合同包</w:t>
      </w:r>
      <w:r>
        <w:rPr>
          <w:rFonts w:hint="eastAsia" w:ascii="仿宋" w:hAnsi="仿宋" w:eastAsia="仿宋" w:cs="仿宋"/>
          <w:color w:val="000000" w:themeColor="text1"/>
          <w:sz w:val="22"/>
          <w:szCs w:val="22"/>
          <w14:textFill>
            <w14:solidFill>
              <w14:schemeClr w14:val="tx1"/>
            </w14:solidFill>
          </w14:textFill>
        </w:rPr>
        <w:t>专门面向中小企业采购，提供服务的投标人应为中型、小型、微型企业或监狱企业或残疾人福利性单位。投标人为中型、小型、微型企业的提供《中小企业声明函》，投标人为监狱企业的，应提供监狱企业的证明文件；投标人为残疾人福利性单位的，应提供《残疾人福利性单位声明函》(监狱企业或残疾人福利性单位视同中型、小型、微型企业)。</w:t>
      </w:r>
    </w:p>
    <w:p w14:paraId="077AAB93">
      <w:pPr>
        <w:tabs>
          <w:tab w:val="left" w:pos="1080"/>
          <w:tab w:val="left" w:pos="1155"/>
        </w:tabs>
        <w:adjustRightInd w:val="0"/>
        <w:snapToGrid w:val="0"/>
        <w:spacing w:line="360" w:lineRule="auto"/>
        <w:ind w:firstLine="440" w:firstLineChars="200"/>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备注：</w:t>
      </w:r>
      <w:r>
        <w:rPr>
          <w:rFonts w:hint="eastAsia" w:ascii="仿宋" w:hAnsi="仿宋" w:eastAsia="仿宋" w:cs="仿宋"/>
          <w:color w:val="000000" w:themeColor="text1"/>
          <w:sz w:val="22"/>
          <w:szCs w:val="22"/>
          <w14:textFill>
            <w14:solidFill>
              <w14:schemeClr w14:val="tx1"/>
            </w14:solidFill>
          </w14:textFill>
        </w:rPr>
        <w:t>（1）参加政府采购活动的中小企业提交的声明函应当按</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文件中（第</w:t>
      </w:r>
      <w:r>
        <w:rPr>
          <w:rFonts w:hint="eastAsia" w:ascii="仿宋" w:hAnsi="仿宋" w:eastAsia="仿宋" w:cs="仿宋"/>
          <w:color w:val="000000" w:themeColor="text1"/>
          <w:sz w:val="22"/>
          <w:szCs w:val="22"/>
          <w:lang w:val="en-US" w:eastAsia="zh-CN"/>
          <w14:textFill>
            <w14:solidFill>
              <w14:schemeClr w14:val="tx1"/>
            </w14:solidFill>
          </w14:textFill>
        </w:rPr>
        <w:t>六</w:t>
      </w:r>
      <w:r>
        <w:rPr>
          <w:rFonts w:hint="eastAsia" w:ascii="仿宋" w:hAnsi="仿宋" w:eastAsia="仿宋" w:cs="仿宋"/>
          <w:color w:val="000000" w:themeColor="text1"/>
          <w:sz w:val="22"/>
          <w:szCs w:val="22"/>
          <w14:textFill>
            <w14:solidFill>
              <w14:schemeClr w14:val="tx1"/>
            </w14:solidFill>
          </w14:textFill>
        </w:rPr>
        <w:t xml:space="preserve">章 </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文件格式及构成）规定的统一格式填写，信息完整，不得随意增删或修改其内容。未按规定格式填写、信息不完整的声明函将其</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文件作为无效</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文件处理。</w:t>
      </w:r>
    </w:p>
    <w:p w14:paraId="543749E6">
      <w:pPr>
        <w:tabs>
          <w:tab w:val="left" w:pos="1080"/>
          <w:tab w:val="left" w:pos="1155"/>
        </w:tabs>
        <w:adjustRightInd w:val="0"/>
        <w:snapToGrid w:val="0"/>
        <w:spacing w:line="360" w:lineRule="auto"/>
        <w:ind w:firstLine="1100" w:firstLineChars="500"/>
        <w:outlineLvl w:val="9"/>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（2）《中小企业声明函》落款、盖章的主体应当是参加政府采购活动的</w:t>
      </w:r>
      <w:r>
        <w:rPr>
          <w:rFonts w:hint="eastAsia" w:ascii="仿宋" w:hAnsi="仿宋" w:eastAsia="仿宋" w:cs="仿宋"/>
          <w:color w:val="000000" w:themeColor="text1"/>
          <w:sz w:val="22"/>
          <w:szCs w:val="22"/>
          <w:lang w:val="en-US" w:eastAsia="zh-CN"/>
          <w14:textFill>
            <w14:solidFill>
              <w14:schemeClr w14:val="tx1"/>
            </w14:solidFill>
          </w14:textFill>
        </w:rPr>
        <w:t>投标人</w:t>
      </w:r>
      <w:r>
        <w:rPr>
          <w:rFonts w:hint="eastAsia" w:ascii="仿宋" w:hAnsi="仿宋" w:eastAsia="仿宋" w:cs="仿宋"/>
          <w:color w:val="000000" w:themeColor="text1"/>
          <w:sz w:val="22"/>
          <w:szCs w:val="22"/>
          <w14:textFill>
            <w14:solidFill>
              <w14:schemeClr w14:val="tx1"/>
            </w14:solidFill>
          </w14:textFill>
        </w:rPr>
        <w:t>，且由其承担保证信息真实性的法律责任。落款、盖章的主体与获取</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文件的</w:t>
      </w:r>
      <w:r>
        <w:rPr>
          <w:rFonts w:hint="eastAsia" w:ascii="仿宋" w:hAnsi="仿宋" w:eastAsia="仿宋" w:cs="仿宋"/>
          <w:color w:val="000000" w:themeColor="text1"/>
          <w:sz w:val="22"/>
          <w:szCs w:val="22"/>
          <w:lang w:val="en-US" w:eastAsia="zh-CN"/>
          <w14:textFill>
            <w14:solidFill>
              <w14:schemeClr w14:val="tx1"/>
            </w14:solidFill>
          </w14:textFill>
        </w:rPr>
        <w:t>投标人</w:t>
      </w:r>
      <w:r>
        <w:rPr>
          <w:rFonts w:hint="eastAsia" w:ascii="仿宋" w:hAnsi="仿宋" w:eastAsia="仿宋" w:cs="仿宋"/>
          <w:color w:val="000000" w:themeColor="text1"/>
          <w:sz w:val="22"/>
          <w:szCs w:val="22"/>
          <w14:textFill>
            <w14:solidFill>
              <w14:schemeClr w14:val="tx1"/>
            </w14:solidFill>
          </w14:textFill>
        </w:rPr>
        <w:t>不一致时，将其</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文件作为无效</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文件处理。</w:t>
      </w:r>
    </w:p>
    <w:p w14:paraId="118410E3">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lang w:val="en-US" w:eastAsia="zh-CN"/>
          <w14:textFill>
            <w14:solidFill>
              <w14:schemeClr w14:val="tx1"/>
            </w14:solidFill>
          </w14:textFill>
        </w:rPr>
        <w:t>2.1.2、投标人必须提供有效的《中小企业声明函》，才可以通过资格审查。</w:t>
      </w:r>
      <w:r>
        <w:rPr>
          <w:rFonts w:hint="eastAsia" w:ascii="仿宋" w:hAnsi="仿宋" w:eastAsia="仿宋" w:cs="仿宋"/>
          <w:b/>
          <w:color w:val="000000" w:themeColor="text1"/>
          <w:sz w:val="21"/>
          <w:szCs w:val="21"/>
          <w14:textFill>
            <w14:solidFill>
              <w14:schemeClr w14:val="tx1"/>
            </w14:solidFill>
          </w14:textFill>
        </w:rPr>
        <w:t>未通过资格审查的</w:t>
      </w:r>
      <w:r>
        <w:rPr>
          <w:rFonts w:hint="eastAsia" w:ascii="仿宋" w:hAnsi="仿宋" w:eastAsia="仿宋" w:cs="仿宋"/>
          <w:b/>
          <w:color w:val="000000" w:themeColor="text1"/>
          <w:sz w:val="21"/>
          <w:szCs w:val="21"/>
          <w:lang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，不得进入后续</w:t>
      </w:r>
      <w:r>
        <w:rPr>
          <w:rFonts w:hint="eastAsia" w:ascii="仿宋" w:hAnsi="仿宋" w:eastAsia="仿宋" w:cs="仿宋"/>
          <w:b/>
          <w:color w:val="000000" w:themeColor="text1"/>
          <w:sz w:val="21"/>
          <w:szCs w:val="21"/>
          <w:lang w:val="en-US" w:eastAsia="zh-CN"/>
          <w14:textFill>
            <w14:solidFill>
              <w14:schemeClr w14:val="tx1"/>
            </w14:solidFill>
          </w14:textFill>
        </w:rPr>
        <w:t>评标</w:t>
      </w:r>
      <w:r>
        <w:rPr>
          <w:rFonts w:hint="eastAsia" w:ascii="仿宋" w:hAnsi="仿宋" w:eastAsia="仿宋" w:cs="仿宋"/>
          <w:b/>
          <w:color w:val="000000" w:themeColor="text1"/>
          <w:sz w:val="21"/>
          <w:szCs w:val="21"/>
          <w14:textFill>
            <w14:solidFill>
              <w14:schemeClr w14:val="tx1"/>
            </w14:solidFill>
          </w14:textFill>
        </w:rPr>
        <w:t>环节</w:t>
      </w:r>
      <w:r>
        <w:rPr>
          <w:rFonts w:hint="eastAsia" w:ascii="仿宋" w:hAnsi="仿宋" w:eastAsia="仿宋" w:cs="仿宋"/>
          <w:b/>
          <w:color w:val="000000" w:themeColor="text1"/>
          <w:sz w:val="21"/>
          <w:szCs w:val="21"/>
          <w:lang w:eastAsia="zh-CN"/>
          <w14:textFill>
            <w14:solidFill>
              <w14:schemeClr w14:val="tx1"/>
            </w14:solidFill>
          </w14:textFill>
        </w:rPr>
        <w:t>。</w:t>
      </w:r>
    </w:p>
    <w:p w14:paraId="6AB32E45">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color w:val="000000" w:themeColor="text1"/>
          <w:sz w:val="21"/>
          <w:szCs w:val="21"/>
          <w:highlight w:val="none"/>
          <w14:textFill>
            <w14:solidFill>
              <w14:schemeClr w14:val="tx1"/>
            </w14:solidFill>
          </w14:textFill>
        </w:rPr>
        <w:t>、投标文件符合性审查</w:t>
      </w:r>
    </w:p>
    <w:p w14:paraId="7AAD894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2.2.1</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依法对符合资格条件的</w:t>
      </w:r>
      <w:r>
        <w:rPr>
          <w:rFonts w:hint="eastAsia" w:ascii="仿宋" w:hAnsi="仿宋" w:eastAsia="仿宋" w:cs="仿宋"/>
          <w:color w:val="000000" w:themeColor="text1"/>
          <w:sz w:val="21"/>
          <w:szCs w:val="21"/>
          <w:lang w:val="en-US" w:eastAsia="zh-CN"/>
          <w14:textFill>
            <w14:solidFill>
              <w14:schemeClr w14:val="tx1"/>
            </w14:solidFill>
          </w14:textFill>
        </w:rPr>
        <w:t>投标人投标</w:t>
      </w:r>
      <w:r>
        <w:rPr>
          <w:rFonts w:hint="eastAsia" w:ascii="仿宋" w:hAnsi="仿宋" w:eastAsia="仿宋" w:cs="仿宋"/>
          <w:color w:val="000000" w:themeColor="text1"/>
          <w:sz w:val="21"/>
          <w:szCs w:val="21"/>
          <w14:textFill>
            <w14:solidFill>
              <w14:schemeClr w14:val="tx1"/>
            </w14:solidFill>
          </w14:textFill>
        </w:rPr>
        <w:t>文件进行符合性审查。</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从</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文件的有效性、完整性和对</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文件的响应程度进行审查，以确定其是否对</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文件实质性内容作出响应，有无恶意串通行为。</w:t>
      </w:r>
    </w:p>
    <w:p w14:paraId="4E5C336C">
      <w:pPr>
        <w:keepNext w:val="0"/>
        <w:keepLines w:val="0"/>
        <w:pageBreakBefore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2.2.2</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将按下列评审标准对</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文件进行符合性审查，</w:t>
      </w:r>
      <w:r>
        <w:rPr>
          <w:rFonts w:hint="eastAsia" w:ascii="仿宋" w:hAnsi="仿宋" w:eastAsia="仿宋" w:cs="仿宋"/>
          <w:bCs/>
          <w:color w:val="000000" w:themeColor="text1"/>
          <w:sz w:val="21"/>
          <w:szCs w:val="21"/>
          <w:lang w:val="en-US" w:eastAsia="zh-CN"/>
          <w14:textFill>
            <w14:solidFill>
              <w14:schemeClr w14:val="tx1"/>
            </w14:solidFill>
          </w14:textFill>
        </w:rPr>
        <w:t>投标人</w:t>
      </w:r>
      <w:r>
        <w:rPr>
          <w:rFonts w:hint="eastAsia" w:ascii="仿宋" w:hAnsi="仿宋" w:eastAsia="仿宋" w:cs="仿宋"/>
          <w:bCs/>
          <w:color w:val="000000" w:themeColor="text1"/>
          <w:sz w:val="21"/>
          <w:szCs w:val="21"/>
          <w14:textFill>
            <w14:solidFill>
              <w14:schemeClr w14:val="tx1"/>
            </w14:solidFill>
          </w14:textFill>
        </w:rPr>
        <w:t>若</w:t>
      </w:r>
      <w:r>
        <w:rPr>
          <w:rFonts w:hint="eastAsia" w:ascii="仿宋" w:hAnsi="仿宋" w:eastAsia="仿宋" w:cs="仿宋"/>
          <w:color w:val="000000" w:themeColor="text1"/>
          <w:kern w:val="0"/>
          <w:sz w:val="21"/>
          <w:szCs w:val="21"/>
          <w14:textFill>
            <w14:solidFill>
              <w14:schemeClr w14:val="tx1"/>
            </w14:solidFill>
          </w14:textFill>
        </w:rPr>
        <w:t>有一项不合格，即判定其符合性审查结果为不合格，将不具备</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资格，其</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文件无效。</w:t>
      </w:r>
    </w:p>
    <w:p w14:paraId="64FCA173">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firstLine="630" w:firstLineChars="3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符合性审查标准如下：</w:t>
      </w:r>
    </w:p>
    <w:tbl>
      <w:tblPr>
        <w:tblStyle w:val="41"/>
        <w:tblW w:w="971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8"/>
        <w:gridCol w:w="3695"/>
        <w:gridCol w:w="4338"/>
      </w:tblGrid>
      <w:tr w14:paraId="42DF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4" w:type="dxa"/>
            <w:vAlign w:val="center"/>
          </w:tcPr>
          <w:p w14:paraId="41E31ECD">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4553" w:type="dxa"/>
            <w:gridSpan w:val="2"/>
            <w:vAlign w:val="center"/>
          </w:tcPr>
          <w:p w14:paraId="50ADC223">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评审因素</w:t>
            </w:r>
          </w:p>
        </w:tc>
        <w:tc>
          <w:tcPr>
            <w:tcW w:w="4338" w:type="dxa"/>
            <w:vAlign w:val="center"/>
          </w:tcPr>
          <w:p w14:paraId="565F2462">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评审标准</w:t>
            </w:r>
          </w:p>
        </w:tc>
      </w:tr>
      <w:tr w14:paraId="30EE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4" w:type="dxa"/>
            <w:vMerge w:val="restart"/>
            <w:vAlign w:val="center"/>
          </w:tcPr>
          <w:p w14:paraId="0E2C2BAF">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858" w:type="dxa"/>
            <w:vMerge w:val="restart"/>
            <w:vAlign w:val="center"/>
          </w:tcPr>
          <w:p w14:paraId="3EAC9AF8">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有效性审查</w:t>
            </w:r>
          </w:p>
        </w:tc>
        <w:tc>
          <w:tcPr>
            <w:tcW w:w="3695" w:type="dxa"/>
            <w:vAlign w:val="center"/>
          </w:tcPr>
          <w:p w14:paraId="4D8E1BEA">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（1）投标文件的签署盖章</w:t>
            </w:r>
          </w:p>
        </w:tc>
        <w:tc>
          <w:tcPr>
            <w:tcW w:w="4338" w:type="dxa"/>
            <w:vAlign w:val="center"/>
          </w:tcPr>
          <w:p w14:paraId="2170CED2">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应符合招标文件要求</w:t>
            </w:r>
          </w:p>
        </w:tc>
      </w:tr>
      <w:tr w14:paraId="5051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4" w:type="dxa"/>
            <w:vMerge w:val="continue"/>
          </w:tcPr>
          <w:p w14:paraId="246E3235">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49469463">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4169BB3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（2）投标文件格式、语言、计量单位、报价货币</w:t>
            </w:r>
          </w:p>
        </w:tc>
        <w:tc>
          <w:tcPr>
            <w:tcW w:w="4338" w:type="dxa"/>
            <w:vAlign w:val="center"/>
          </w:tcPr>
          <w:p w14:paraId="30ABB8B2">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应符合“投标文件格式”和招标文件要求</w:t>
            </w:r>
          </w:p>
        </w:tc>
      </w:tr>
      <w:tr w14:paraId="27C0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vMerge w:val="continue"/>
          </w:tcPr>
          <w:p w14:paraId="1C8FCA5F">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51098EF5">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4D362A9">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（3）报价唯一</w:t>
            </w:r>
          </w:p>
        </w:tc>
        <w:tc>
          <w:tcPr>
            <w:tcW w:w="4338" w:type="dxa"/>
            <w:vAlign w:val="center"/>
          </w:tcPr>
          <w:p w14:paraId="4E7FEAC4">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只能有一个有效报价，不得提交选择性报价，且报价不超过最高限价</w:t>
            </w:r>
          </w:p>
        </w:tc>
      </w:tr>
      <w:tr w14:paraId="183E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1BBB9388">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35683D8F">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7C619B23">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（4）电子文件</w:t>
            </w:r>
          </w:p>
        </w:tc>
        <w:tc>
          <w:tcPr>
            <w:tcW w:w="4338" w:type="dxa"/>
            <w:vAlign w:val="center"/>
          </w:tcPr>
          <w:p w14:paraId="1E82CA0B">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应符合招标文件中的规定</w:t>
            </w:r>
          </w:p>
        </w:tc>
      </w:tr>
      <w:tr w14:paraId="0284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53FE11B1">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328E2F00">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D766CF6">
            <w:pPr>
              <w:tabs>
                <w:tab w:val="left" w:pos="0"/>
              </w:tabs>
              <w:adjustRightInd w:val="0"/>
              <w:snapToGrid w:val="0"/>
              <w:spacing w:line="24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（5）不存在恶意串通的情形</w:t>
            </w:r>
          </w:p>
        </w:tc>
        <w:tc>
          <w:tcPr>
            <w:tcW w:w="4338" w:type="dxa"/>
            <w:vAlign w:val="center"/>
          </w:tcPr>
          <w:p w14:paraId="256D1591">
            <w:pPr>
              <w:keepNext w:val="0"/>
              <w:keepLines w:val="0"/>
              <w:pageBreakBefore w:val="0"/>
              <w:widowControl w:val="0"/>
              <w:tabs>
                <w:tab w:val="left" w:pos="0"/>
              </w:tabs>
              <w:kinsoku/>
              <w:wordWrap/>
              <w:overflowPunct/>
              <w:topLinePunct w:val="0"/>
              <w:autoSpaceDE/>
              <w:autoSpaceDN/>
              <w:bidi w:val="0"/>
              <w:adjustRightInd w:val="0"/>
              <w:snapToGrid w:val="0"/>
              <w:spacing w:before="0" w:beforeLines="30"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不存在本章第2.2.3条款规定的任何一种情形</w:t>
            </w:r>
          </w:p>
        </w:tc>
      </w:tr>
      <w:tr w14:paraId="58A6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4" w:type="dxa"/>
            <w:vMerge w:val="restart"/>
            <w:vAlign w:val="center"/>
          </w:tcPr>
          <w:p w14:paraId="0312898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858" w:type="dxa"/>
            <w:vMerge w:val="restart"/>
            <w:vAlign w:val="center"/>
          </w:tcPr>
          <w:p w14:paraId="4C40D855">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完整性审查</w:t>
            </w:r>
          </w:p>
        </w:tc>
        <w:tc>
          <w:tcPr>
            <w:tcW w:w="3695" w:type="dxa"/>
            <w:vAlign w:val="center"/>
          </w:tcPr>
          <w:p w14:paraId="50CE5F1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4338" w:type="dxa"/>
            <w:vAlign w:val="center"/>
          </w:tcPr>
          <w:p w14:paraId="6675E28F">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应符合“投标人须知前附表”规定的正本、副本、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电子文件数量</w:t>
            </w:r>
          </w:p>
        </w:tc>
      </w:tr>
      <w:tr w14:paraId="18DF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4" w:type="dxa"/>
            <w:vMerge w:val="continue"/>
          </w:tcPr>
          <w:p w14:paraId="47FDD6C0">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63927159">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C7165E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）投标文件内容</w:t>
            </w:r>
          </w:p>
        </w:tc>
        <w:tc>
          <w:tcPr>
            <w:tcW w:w="4338" w:type="dxa"/>
            <w:vAlign w:val="center"/>
          </w:tcPr>
          <w:p w14:paraId="495495CF">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投标文件内容齐全、无遗漏</w:t>
            </w:r>
          </w:p>
        </w:tc>
      </w:tr>
      <w:tr w14:paraId="244A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restart"/>
            <w:vAlign w:val="center"/>
          </w:tcPr>
          <w:p w14:paraId="423AB64E">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858" w:type="dxa"/>
            <w:vMerge w:val="restart"/>
            <w:vAlign w:val="center"/>
          </w:tcPr>
          <w:p w14:paraId="2DA3A70F">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响应性审查</w:t>
            </w:r>
          </w:p>
        </w:tc>
        <w:tc>
          <w:tcPr>
            <w:tcW w:w="3695" w:type="dxa"/>
            <w:vAlign w:val="center"/>
          </w:tcPr>
          <w:p w14:paraId="209F98C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）对招标文件响应程度</w:t>
            </w:r>
          </w:p>
        </w:tc>
        <w:tc>
          <w:tcPr>
            <w:tcW w:w="4338" w:type="dxa"/>
            <w:vAlign w:val="center"/>
          </w:tcPr>
          <w:p w14:paraId="4532CBCD">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要求全面响应，不能有任何采购人不能接受的附加条件</w:t>
            </w:r>
          </w:p>
        </w:tc>
      </w:tr>
      <w:tr w14:paraId="7687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06A2F57D">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5C1DBBA3">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324ABAD3">
            <w:pPr>
              <w:shd w:val="clear"/>
              <w:tabs>
                <w:tab w:val="left" w:pos="0"/>
              </w:tabs>
              <w:adjustRightInd w:val="0"/>
              <w:snapToGrid w:val="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服务周期</w:t>
            </w:r>
          </w:p>
        </w:tc>
        <w:tc>
          <w:tcPr>
            <w:tcW w:w="4338" w:type="dxa"/>
            <w:vAlign w:val="center"/>
          </w:tcPr>
          <w:p w14:paraId="1087D712">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1216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726D9A6B">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156AB265">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4CB948C8">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配送</w:t>
            </w:r>
            <w:r>
              <w:rPr>
                <w:rFonts w:hint="eastAsia" w:ascii="仿宋" w:hAnsi="仿宋" w:eastAsia="仿宋" w:cs="仿宋"/>
                <w:color w:val="000000" w:themeColor="text1"/>
                <w:sz w:val="21"/>
                <w:szCs w:val="21"/>
                <w:highlight w:val="none"/>
                <w:lang w:eastAsia="zh-CN"/>
                <w14:textFill>
                  <w14:solidFill>
                    <w14:schemeClr w14:val="tx1"/>
                  </w14:solidFill>
                </w14:textFill>
              </w:rPr>
              <w:t>地点</w:t>
            </w:r>
          </w:p>
        </w:tc>
        <w:tc>
          <w:tcPr>
            <w:tcW w:w="4338" w:type="dxa"/>
            <w:vAlign w:val="center"/>
          </w:tcPr>
          <w:p w14:paraId="7C423382">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512A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3C947ED2">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56243167">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F011CD8">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）投标有效期</w:t>
            </w:r>
          </w:p>
        </w:tc>
        <w:tc>
          <w:tcPr>
            <w:tcW w:w="4338" w:type="dxa"/>
            <w:vAlign w:val="center"/>
          </w:tcPr>
          <w:p w14:paraId="18984D6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bl>
    <w:p w14:paraId="5877135A">
      <w:pPr>
        <w:keepNext w:val="0"/>
        <w:keepLines w:val="0"/>
        <w:pageBreakBefore w:val="0"/>
        <w:widowControl w:val="0"/>
        <w:kinsoku/>
        <w:wordWrap/>
        <w:overflowPunct/>
        <w:topLinePunct w:val="0"/>
        <w:autoSpaceDE/>
        <w:autoSpaceDN/>
        <w:bidi w:val="0"/>
        <w:adjustRightInd w:val="0"/>
        <w:snapToGrid w:val="0"/>
        <w:spacing w:before="0" w:line="348" w:lineRule="auto"/>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2.2.3</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有下列情形之一的，视为</w:t>
      </w:r>
      <w:r>
        <w:rPr>
          <w:rFonts w:hint="eastAsia" w:ascii="仿宋" w:hAnsi="仿宋" w:eastAsia="仿宋" w:cs="仿宋"/>
          <w:b/>
          <w:color w:val="000000" w:themeColor="text1"/>
          <w:sz w:val="21"/>
          <w:szCs w:val="21"/>
          <w:lang w:val="en-US"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相互恶意串通，</w:t>
      </w:r>
      <w:r>
        <w:rPr>
          <w:rFonts w:hint="eastAsia" w:ascii="仿宋" w:hAnsi="仿宋" w:eastAsia="仿宋" w:cs="仿宋"/>
          <w:b/>
          <w:color w:val="000000" w:themeColor="text1"/>
          <w:sz w:val="21"/>
          <w:szCs w:val="21"/>
          <w:lang w:val="en-US" w:eastAsia="zh-CN"/>
          <w14:textFill>
            <w14:solidFill>
              <w14:schemeClr w14:val="tx1"/>
            </w14:solidFill>
          </w14:textFill>
        </w:rPr>
        <w:t>投标</w:t>
      </w:r>
      <w:r>
        <w:rPr>
          <w:rFonts w:hint="eastAsia" w:ascii="仿宋" w:hAnsi="仿宋" w:eastAsia="仿宋" w:cs="仿宋"/>
          <w:b/>
          <w:color w:val="000000" w:themeColor="text1"/>
          <w:sz w:val="21"/>
          <w:szCs w:val="21"/>
          <w14:textFill>
            <w14:solidFill>
              <w14:schemeClr w14:val="tx1"/>
            </w14:solidFill>
          </w14:textFill>
        </w:rPr>
        <w:t>文件无效：</w:t>
      </w:r>
    </w:p>
    <w:p w14:paraId="3454278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文件由同一单位或者个人编制；</w:t>
      </w:r>
    </w:p>
    <w:p w14:paraId="4C4925BB">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委托同一单位或者个人办理</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事宜；</w:t>
      </w:r>
    </w:p>
    <w:p w14:paraId="06D07AF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文件载明的项目管理成员为同一人；</w:t>
      </w:r>
    </w:p>
    <w:p w14:paraId="34BED75D">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文件异常一致或者报价呈规律性差异；</w:t>
      </w:r>
    </w:p>
    <w:p w14:paraId="27FADE83">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文件相互混装；</w:t>
      </w:r>
    </w:p>
    <w:p w14:paraId="06AFE0F9">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保证金从同一单位或者个人的账户转出（仅限</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须知前附表要求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提交</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保证金的）。</w:t>
      </w:r>
    </w:p>
    <w:p w14:paraId="7715F28B">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w:t>
      </w:r>
      <w:r>
        <w:rPr>
          <w:rFonts w:hint="eastAsia" w:ascii="仿宋" w:hAnsi="仿宋" w:eastAsia="仿宋" w:cs="仿宋"/>
          <w:b/>
          <w:color w:val="000000" w:themeColor="text1"/>
          <w:sz w:val="21"/>
          <w:szCs w:val="21"/>
          <w:lang w:val="en-US" w:eastAsia="zh-CN"/>
          <w14:textFill>
            <w14:solidFill>
              <w14:schemeClr w14:val="tx1"/>
            </w14:solidFill>
          </w14:textFill>
        </w:rPr>
        <w:t>4</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 xml:space="preserve"> 非实质性偏离</w:t>
      </w:r>
    </w:p>
    <w:p w14:paraId="13490C53">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非实质性偏离是指</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文件在实质上响应</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文件的要求，但在个别地方存在一些不规则、不一致、不完整的内容，并且澄清、说明或者补正这些内容不会改变</w:t>
      </w:r>
      <w:r>
        <w:rPr>
          <w:rFonts w:hint="eastAsia" w:ascii="仿宋" w:hAnsi="仿宋" w:eastAsia="仿宋" w:cs="仿宋"/>
          <w:color w:val="000000" w:themeColor="text1"/>
          <w:sz w:val="21"/>
          <w:szCs w:val="21"/>
          <w:lang w:eastAsia="zh-CN"/>
          <w14:textFill>
            <w14:solidFill>
              <w14:schemeClr w14:val="tx1"/>
            </w14:solidFill>
          </w14:textFill>
        </w:rPr>
        <w:t>投标文件</w:t>
      </w:r>
      <w:r>
        <w:rPr>
          <w:rFonts w:hint="eastAsia" w:ascii="仿宋" w:hAnsi="仿宋" w:eastAsia="仿宋" w:cs="仿宋"/>
          <w:color w:val="000000" w:themeColor="text1"/>
          <w:sz w:val="21"/>
          <w:szCs w:val="21"/>
          <w14:textFill>
            <w14:solidFill>
              <w14:schemeClr w14:val="tx1"/>
            </w14:solidFill>
          </w14:textFill>
        </w:rPr>
        <w:t>的实质性内容。以下情况属于非实质性偏离：</w:t>
      </w:r>
    </w:p>
    <w:p w14:paraId="19B39635">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（1）文字表述的内容含义不明确；</w:t>
      </w:r>
    </w:p>
    <w:p w14:paraId="76210CFD">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（2）同类问题表述不一致；</w:t>
      </w:r>
    </w:p>
    <w:p w14:paraId="4762ECE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（3）有明显文字和计算错误；</w:t>
      </w:r>
    </w:p>
    <w:p w14:paraId="4C20060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）正副本数量齐全、密封完好，只是未按照</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文件要求进行分装或者统装；</w:t>
      </w:r>
    </w:p>
    <w:p w14:paraId="2718D6A5">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投标文件</w:t>
      </w:r>
      <w:r>
        <w:rPr>
          <w:rFonts w:hint="eastAsia" w:ascii="仿宋" w:hAnsi="仿宋" w:eastAsia="仿宋" w:cs="仿宋"/>
          <w:color w:val="000000" w:themeColor="text1"/>
          <w:sz w:val="21"/>
          <w:szCs w:val="21"/>
          <w14:textFill>
            <w14:solidFill>
              <w14:schemeClr w14:val="tx1"/>
            </w14:solidFill>
          </w14:textFill>
        </w:rPr>
        <w:t>未按</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文件要求进行编制目录、页码或者页码混乱；</w:t>
      </w:r>
    </w:p>
    <w:p w14:paraId="16C41B8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认定的其他非实质性偏离。</w:t>
      </w:r>
    </w:p>
    <w:p w14:paraId="2C0B519C">
      <w:pPr>
        <w:keepNext w:val="0"/>
        <w:keepLines w:val="0"/>
        <w:pageBreakBefore w:val="0"/>
        <w:widowControl w:val="0"/>
        <w:tabs>
          <w:tab w:val="left" w:pos="7665"/>
        </w:tabs>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文件有上述（1）至（</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）情形之一的，</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应当书面要求</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在规定的时间内予以</w:t>
      </w:r>
      <w:r>
        <w:rPr>
          <w:rFonts w:hint="eastAsia" w:ascii="仿宋" w:hAnsi="仿宋" w:eastAsia="仿宋" w:cs="仿宋"/>
          <w:b w:val="0"/>
          <w:bCs w:val="0"/>
          <w:color w:val="000000" w:themeColor="text1"/>
          <w:sz w:val="21"/>
          <w:szCs w:val="21"/>
          <w14:textFill>
            <w14:solidFill>
              <w14:schemeClr w14:val="tx1"/>
            </w14:solidFill>
          </w14:textFill>
        </w:rPr>
        <w:t xml:space="preserve">澄清、说明或补正。 </w:t>
      </w:r>
    </w:p>
    <w:p w14:paraId="2730DDB8">
      <w:pPr>
        <w:keepNext w:val="0"/>
        <w:keepLines w:val="0"/>
        <w:pageBreakBefore w:val="0"/>
        <w:widowControl w:val="0"/>
        <w:tabs>
          <w:tab w:val="left" w:pos="0"/>
        </w:tabs>
        <w:kinsoku/>
        <w:wordWrap/>
        <w:overflowPunct/>
        <w:topLinePunct w:val="0"/>
        <w:autoSpaceDE/>
        <w:autoSpaceDN/>
        <w:bidi w:val="0"/>
        <w:adjustRightInd w:val="0"/>
        <w:snapToGrid w:val="0"/>
        <w:spacing w:line="348" w:lineRule="auto"/>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w:t>
      </w:r>
      <w:r>
        <w:rPr>
          <w:rFonts w:hint="eastAsia" w:ascii="仿宋" w:hAnsi="仿宋" w:eastAsia="仿宋" w:cs="仿宋"/>
          <w:b/>
          <w:color w:val="000000" w:themeColor="text1"/>
          <w:sz w:val="21"/>
          <w:szCs w:val="21"/>
          <w:lang w:val="en-US" w:eastAsia="zh-CN"/>
          <w14:textFill>
            <w14:solidFill>
              <w14:schemeClr w14:val="tx1"/>
            </w14:solidFill>
          </w14:textFill>
        </w:rPr>
        <w:t>5</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未通过符合性检查的</w:t>
      </w:r>
      <w:r>
        <w:rPr>
          <w:rFonts w:hint="eastAsia" w:ascii="仿宋" w:hAnsi="仿宋" w:eastAsia="仿宋" w:cs="仿宋"/>
          <w:b/>
          <w:color w:val="000000" w:themeColor="text1"/>
          <w:sz w:val="21"/>
          <w:szCs w:val="21"/>
          <w:lang w:val="en-US"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，不得进入后续</w:t>
      </w:r>
      <w:r>
        <w:rPr>
          <w:rFonts w:hint="eastAsia" w:ascii="仿宋" w:hAnsi="仿宋" w:eastAsia="仿宋" w:cs="仿宋"/>
          <w:b/>
          <w:color w:val="000000" w:themeColor="text1"/>
          <w:sz w:val="21"/>
          <w:szCs w:val="21"/>
          <w:lang w:val="en-US" w:eastAsia="zh-CN"/>
          <w14:textFill>
            <w14:solidFill>
              <w14:schemeClr w14:val="tx1"/>
            </w14:solidFill>
          </w14:textFill>
        </w:rPr>
        <w:t>评标</w:t>
      </w:r>
      <w:r>
        <w:rPr>
          <w:rFonts w:hint="eastAsia" w:ascii="仿宋" w:hAnsi="仿宋" w:eastAsia="仿宋" w:cs="仿宋"/>
          <w:b/>
          <w:color w:val="000000" w:themeColor="text1"/>
          <w:sz w:val="21"/>
          <w:szCs w:val="21"/>
          <w14:textFill>
            <w14:solidFill>
              <w14:schemeClr w14:val="tx1"/>
            </w14:solidFill>
          </w14:textFill>
        </w:rPr>
        <w:t>环节。</w:t>
      </w:r>
    </w:p>
    <w:p w14:paraId="5C01CBDF">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color w:val="000000" w:themeColor="text1"/>
          <w:sz w:val="21"/>
          <w:szCs w:val="21"/>
          <w:highlight w:val="none"/>
          <w14:textFill>
            <w14:solidFill>
              <w14:schemeClr w14:val="tx1"/>
            </w14:solidFill>
          </w14:textFill>
        </w:rPr>
        <w:t>、投标文件的澄清</w:t>
      </w:r>
    </w:p>
    <w:p w14:paraId="671B07F8">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对于</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文件中含义不明确、同类问题表述不一致或者有明显文字和计算错误的内容，可以以书面形式要求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作出必要的澄清、说明或者补正。涉及</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文件资格部分的，由资格审查小组负责组织，涉及</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文件其他部分的，由</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负责组织。</w:t>
      </w:r>
    </w:p>
    <w:p w14:paraId="5370F79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2.3.2、投标人</w:t>
      </w:r>
      <w:r>
        <w:rPr>
          <w:rFonts w:hint="eastAsia" w:ascii="仿宋" w:hAnsi="仿宋" w:eastAsia="仿宋" w:cs="仿宋"/>
          <w:color w:val="000000" w:themeColor="text1"/>
          <w:sz w:val="21"/>
          <w:szCs w:val="21"/>
          <w14:textFill>
            <w14:solidFill>
              <w14:schemeClr w14:val="tx1"/>
            </w14:solidFill>
          </w14:textFill>
        </w:rPr>
        <w:t>的澄清、说明或者补正应当采用书面形式，并加盖单位章，或者由其法定代表人或其委托代理人签名。</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的澄清、说明或者补正不得超出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文件的范围或者改变</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文件的实质性内容，并构成为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文件的组成部分。</w:t>
      </w:r>
    </w:p>
    <w:p w14:paraId="78EF1A1E">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.3.3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对</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提交的澄清、说明或者补正有疑问的，可以要求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进一步澄清、说明或者补正，直至满足</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的要求。</w:t>
      </w:r>
    </w:p>
    <w:p w14:paraId="4C382E66">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.3.4</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不得暗示或诱导</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作出澄清、说明或者更正，不得接受</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主动提出的澄清、说明或者补正。</w:t>
      </w:r>
    </w:p>
    <w:p w14:paraId="2221AD94">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、投标文件详细评审</w:t>
      </w:r>
    </w:p>
    <w:p w14:paraId="53A12539">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kern w:val="1"/>
          <w:szCs w:val="21"/>
          <w:highlight w:val="none"/>
          <w14:textFill>
            <w14:solidFill>
              <w14:schemeClr w14:val="tx1"/>
            </w14:solidFill>
          </w14:textFill>
        </w:rPr>
        <w:t>比较与评价。评标委员会应当按照投标文件中规定的评审方法和标准，只对资格审查和符合性审查合格的投标文件进行商务和技术评估，综合比较与评价，不合格的投标人不再参与评审。</w:t>
      </w:r>
    </w:p>
    <w:p w14:paraId="5A646DA0">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.2、评审因素的设定与</w:t>
      </w: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1"/>
          <w:szCs w:val="21"/>
          <w:highlight w:val="none"/>
          <w14:textFill>
            <w14:solidFill>
              <w14:schemeClr w14:val="tx1"/>
            </w14:solidFill>
          </w14:textFill>
        </w:rPr>
        <w:t>所提供</w:t>
      </w:r>
      <w:r>
        <w:rPr>
          <w:rFonts w:hint="eastAsia" w:ascii="仿宋" w:hAnsi="仿宋" w:eastAsia="仿宋" w:cs="仿宋"/>
          <w:color w:val="000000" w:themeColor="text1"/>
          <w:kern w:val="1"/>
          <w:szCs w:val="21"/>
          <w:highlight w:val="none"/>
          <w:lang w:val="en-US" w:eastAsia="zh-CN"/>
          <w14:textFill>
            <w14:solidFill>
              <w14:schemeClr w14:val="tx1"/>
            </w14:solidFill>
          </w14:textFill>
        </w:rPr>
        <w:t>货物</w:t>
      </w:r>
      <w:r>
        <w:rPr>
          <w:rFonts w:hint="eastAsia" w:ascii="仿宋" w:hAnsi="仿宋" w:eastAsia="仿宋" w:cs="仿宋"/>
          <w:color w:val="000000" w:themeColor="text1"/>
          <w:kern w:val="1"/>
          <w:szCs w:val="21"/>
          <w:highlight w:val="none"/>
          <w14:textFill>
            <w14:solidFill>
              <w14:schemeClr w14:val="tx1"/>
            </w14:solidFill>
          </w14:textFill>
        </w:rPr>
        <w:t>的质量相关，包括报价、技术或者服务水平、履约能力、售后服务等。资格条件不作为评审因素。综合评分法评审标准中的分值设置与评审因素的量化指标相对应。招标文件中没有规定的评审标准不得作为评审依据。</w:t>
      </w:r>
    </w:p>
    <w:p w14:paraId="78E1E69C">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、由评标委员会成员独立地根据各项因素的评分标准，结合各投标人的实际情况，分别就报价以外的各项评审因素对各投标人独立评审赋分。</w:t>
      </w:r>
    </w:p>
    <w:p w14:paraId="3E7C843F">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、当排序推荐候选中标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名单出现多数评委成员的评审意见比较一致，某一个别评委的赋分畸高畸低，导致排序结果改变的，采购代理机构应当发回该评委重新进行评价，并说明其赋分的合理理由，对拒绝说明、拒绝重新评价的，其个人评审意见与赋分作为无效处理。</w:t>
      </w:r>
    </w:p>
    <w:p w14:paraId="4C0CF3C4">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5</w:t>
      </w:r>
      <w:r>
        <w:rPr>
          <w:rFonts w:hint="eastAsia" w:ascii="仿宋" w:hAnsi="仿宋" w:eastAsia="仿宋" w:cs="仿宋"/>
          <w:color w:val="000000" w:themeColor="text1"/>
          <w:kern w:val="1"/>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、评标委员会成员对需要共同认定的事项存在争议的，应当按照少数服从多数的原则作出结论。持不同意见的评标委员会成员应当在评审报告上签署不同意见及理由，否则视为同意评审报告。</w:t>
      </w:r>
    </w:p>
    <w:p w14:paraId="61637318">
      <w:pPr>
        <w:keepNext w:val="0"/>
        <w:keepLines w:val="0"/>
        <w:pageBreakBefore w:val="0"/>
        <w:shd w:val="clear"/>
        <w:kinsoku/>
        <w:wordWrap/>
        <w:overflowPunct/>
        <w:topLinePunct w:val="0"/>
        <w:bidi w:val="0"/>
        <w:adjustRightInd w:val="0"/>
        <w:snapToGrid w:val="0"/>
        <w:spacing w:line="360" w:lineRule="auto"/>
        <w:ind w:right="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32" w:name="_Toc12782"/>
      <w:bookmarkStart w:id="233" w:name="_Toc18650"/>
      <w:r>
        <w:rPr>
          <w:rFonts w:hint="eastAsia" w:ascii="仿宋" w:hAnsi="仿宋" w:eastAsia="仿宋" w:cs="仿宋"/>
          <w:b/>
          <w:color w:val="000000" w:themeColor="text1"/>
          <w:sz w:val="24"/>
          <w:szCs w:val="24"/>
          <w:highlight w:val="none"/>
          <w14:textFill>
            <w14:solidFill>
              <w14:schemeClr w14:val="tx1"/>
            </w14:solidFill>
          </w14:textFill>
        </w:rPr>
        <w:t>三、评审细则及标准</w:t>
      </w:r>
      <w:bookmarkEnd w:id="232"/>
      <w:bookmarkEnd w:id="233"/>
    </w:p>
    <w:p w14:paraId="64137044">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3.1、综合评分法</w:t>
      </w:r>
    </w:p>
    <w:p w14:paraId="46CE0ED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3.1.1、本采购项目评审方法采用综合评分法。即投标文件能够最大限度的满足招标文件规定的各项综合评分标准，且经评审得分最高的投标人为中标候选人。</w:t>
      </w:r>
    </w:p>
    <w:p w14:paraId="62F53C70">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3.2.2、综合评分法评审标准中的分值设置应当与评审因素的量化指标相对应。招标文件中没有规定的评审标准不得作为评审依据。</w:t>
      </w:r>
    </w:p>
    <w:p w14:paraId="337D39E3">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3.2.评审细则及标准</w:t>
      </w:r>
    </w:p>
    <w:p w14:paraId="75FF2CFE">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3.2.1、评标委员会将综合分析投标人的各项评审因素，而不以单项评审因素的优劣评选出中标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 xml:space="preserve"> 。对所有投标人的响应评估，都采用相同的程序和标准，严格按照招标文件的要求和条件进行。</w:t>
      </w:r>
    </w:p>
    <w:p w14:paraId="1499EAC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3.2.2、评审因素包括：报价、技术</w:t>
      </w:r>
      <w:r>
        <w:rPr>
          <w:rFonts w:hint="eastAsia" w:ascii="仿宋" w:hAnsi="仿宋" w:eastAsia="仿宋" w:cs="仿宋"/>
          <w:color w:val="000000" w:themeColor="text1"/>
          <w:kern w:val="1"/>
          <w:szCs w:val="21"/>
          <w:highlight w:val="none"/>
          <w:lang w:val="en-US" w:eastAsia="zh-CN"/>
          <w14:textFill>
            <w14:solidFill>
              <w14:schemeClr w14:val="tx1"/>
            </w14:solidFill>
          </w14:textFill>
        </w:rPr>
        <w:t>服务</w:t>
      </w:r>
      <w:r>
        <w:rPr>
          <w:rFonts w:hint="eastAsia" w:ascii="仿宋" w:hAnsi="仿宋" w:eastAsia="仿宋" w:cs="仿宋"/>
          <w:color w:val="000000" w:themeColor="text1"/>
          <w:kern w:val="1"/>
          <w:szCs w:val="21"/>
          <w:highlight w:val="none"/>
          <w14:textFill>
            <w14:solidFill>
              <w14:schemeClr w14:val="tx1"/>
            </w14:solidFill>
          </w14:textFill>
        </w:rPr>
        <w:t>、商务及对招标文件的响应程度。</w:t>
      </w:r>
    </w:p>
    <w:p w14:paraId="2E354F06">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、评审要素一览表如下：</w:t>
      </w:r>
    </w:p>
    <w:p w14:paraId="6DA84317">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评审指标分值构成（总计100分）</w:t>
      </w:r>
    </w:p>
    <w:p w14:paraId="792A28F3">
      <w:pPr>
        <w:spacing w:after="156" w:afterLines="50" w:line="360" w:lineRule="auto"/>
        <w:ind w:firstLine="2249" w:firstLineChars="700"/>
        <w:outlineLvl w:val="0"/>
        <w:rPr>
          <w:rFonts w:ascii="黑体" w:hAnsi="黑体" w:eastAsia="黑体" w:cs="黑体"/>
          <w:b/>
          <w:color w:val="000000" w:themeColor="text1"/>
          <w:sz w:val="32"/>
          <w:szCs w:val="32"/>
          <w14:textFill>
            <w14:solidFill>
              <w14:schemeClr w14:val="tx1"/>
            </w14:solidFill>
          </w14:textFill>
        </w:rPr>
      </w:pPr>
    </w:p>
    <w:tbl>
      <w:tblPr>
        <w:tblStyle w:val="41"/>
        <w:tblpPr w:leftFromText="180" w:rightFromText="180" w:vertAnchor="text" w:horzAnchor="page" w:tblpX="1291" w:tblpY="-106"/>
        <w:tblOverlap w:val="never"/>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065"/>
        <w:gridCol w:w="7811"/>
      </w:tblGrid>
      <w:tr w14:paraId="3042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68" w:type="dxa"/>
            <w:noWrap w:val="0"/>
            <w:vAlign w:val="center"/>
          </w:tcPr>
          <w:p w14:paraId="121D4B98">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报价</w:t>
            </w:r>
          </w:p>
        </w:tc>
        <w:tc>
          <w:tcPr>
            <w:tcW w:w="1065" w:type="dxa"/>
            <w:noWrap w:val="0"/>
            <w:vAlign w:val="center"/>
          </w:tcPr>
          <w:p w14:paraId="724ED266">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20</w:t>
            </w:r>
            <w:r>
              <w:rPr>
                <w:rFonts w:hint="eastAsia" w:ascii="仿宋" w:hAnsi="仿宋" w:eastAsia="仿宋" w:cs="仿宋"/>
                <w:color w:val="000000" w:themeColor="text1"/>
                <w:sz w:val="22"/>
                <w:szCs w:val="22"/>
                <w14:textFill>
                  <w14:solidFill>
                    <w14:schemeClr w14:val="tx1"/>
                  </w14:solidFill>
                </w14:textFill>
              </w:rPr>
              <w:t>分</w:t>
            </w:r>
          </w:p>
        </w:tc>
        <w:tc>
          <w:tcPr>
            <w:tcW w:w="7811" w:type="dxa"/>
            <w:noWrap w:val="0"/>
            <w:vAlign w:val="center"/>
          </w:tcPr>
          <w:p w14:paraId="3E87F8DC">
            <w:pPr>
              <w:jc w:val="left"/>
              <w:rPr>
                <w:rFonts w:hint="eastAsia" w:ascii="仿宋" w:hAnsi="仿宋" w:eastAsia="仿宋" w:cs="仿宋"/>
                <w:color w:val="000000" w:themeColor="text1"/>
                <w:kern w:val="0"/>
                <w:sz w:val="21"/>
                <w:szCs w:val="21"/>
                <w:highlight w:val="none"/>
                <w:lang w:bidi="ar"/>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价格分统一采用低价优先法</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 w:val="21"/>
                <w:szCs w:val="21"/>
                <w:highlight w:val="none"/>
                <w:lang w:bidi="ar"/>
                <w14:textFill>
                  <w14:solidFill>
                    <w14:schemeClr w14:val="tx1"/>
                  </w14:solidFill>
                </w14:textFill>
              </w:rPr>
              <w:t>，即满足招标文件要求且</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投标报价（折扣率）</w:t>
            </w:r>
            <w:r>
              <w:rPr>
                <w:rFonts w:hint="eastAsia" w:ascii="仿宋" w:hAnsi="仿宋" w:eastAsia="仿宋" w:cs="仿宋"/>
                <w:color w:val="000000" w:themeColor="text1"/>
                <w:kern w:val="0"/>
                <w:sz w:val="21"/>
                <w:szCs w:val="21"/>
                <w:highlight w:val="none"/>
                <w:lang w:bidi="ar"/>
                <w14:textFill>
                  <w14:solidFill>
                    <w14:schemeClr w14:val="tx1"/>
                  </w14:solidFill>
                </w14:textFill>
              </w:rPr>
              <w:t>最</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低</w:t>
            </w:r>
            <w:r>
              <w:rPr>
                <w:rFonts w:hint="eastAsia" w:ascii="仿宋" w:hAnsi="仿宋" w:eastAsia="仿宋" w:cs="仿宋"/>
                <w:color w:val="000000" w:themeColor="text1"/>
                <w:kern w:val="0"/>
                <w:sz w:val="21"/>
                <w:szCs w:val="21"/>
                <w:highlight w:val="none"/>
                <w:lang w:bidi="ar"/>
                <w14:textFill>
                  <w14:solidFill>
                    <w14:schemeClr w14:val="tx1"/>
                  </w14:solidFill>
                </w14:textFill>
              </w:rPr>
              <w:t>的报价为评标基准价，其价格分为满分。其他投标人的价格分统一按照下列公式</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 w:val="21"/>
                <w:szCs w:val="21"/>
                <w:highlight w:val="none"/>
                <w:lang w:bidi="ar"/>
                <w14:textFill>
                  <w14:solidFill>
                    <w14:schemeClr w14:val="tx1"/>
                  </w14:solidFill>
                </w14:textFill>
              </w:rPr>
              <w:t>：</w:t>
            </w:r>
          </w:p>
          <w:p w14:paraId="448B9F07">
            <w:pPr>
              <w:shd w:val="clear" w:color="auto" w:fill="auto"/>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报价得分=</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评标基准价</w:t>
            </w:r>
            <w:r>
              <w:rPr>
                <w:rFonts w:hint="eastAsia" w:ascii="仿宋" w:hAnsi="仿宋" w:eastAsia="仿宋" w:cs="仿宋"/>
                <w:color w:val="000000" w:themeColor="text1"/>
                <w:kern w:val="0"/>
                <w:sz w:val="21"/>
                <w:szCs w:val="21"/>
                <w:highlight w:val="none"/>
                <w:lang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投标</w:t>
            </w:r>
            <w:r>
              <w:rPr>
                <w:rFonts w:hint="eastAsia" w:ascii="仿宋" w:hAnsi="仿宋" w:eastAsia="仿宋" w:cs="仿宋"/>
                <w:color w:val="000000" w:themeColor="text1"/>
                <w:kern w:val="0"/>
                <w:sz w:val="21"/>
                <w:szCs w:val="21"/>
                <w:highlight w:val="none"/>
                <w:lang w:bidi="ar"/>
                <w14:textFill>
                  <w14:solidFill>
                    <w14:schemeClr w14:val="tx1"/>
                  </w14:solidFill>
                </w14:textFill>
              </w:rPr>
              <w:t>报价</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折扣率</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20</w:t>
            </w:r>
          </w:p>
        </w:tc>
      </w:tr>
      <w:tr w14:paraId="4E6E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68" w:type="dxa"/>
            <w:vMerge w:val="restart"/>
            <w:noWrap w:val="0"/>
            <w:vAlign w:val="center"/>
          </w:tcPr>
          <w:p w14:paraId="607C2A7E">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技术</w:t>
            </w:r>
          </w:p>
          <w:p w14:paraId="6224E367">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服务部分50</w:t>
            </w:r>
            <w:r>
              <w:rPr>
                <w:rFonts w:hint="eastAsia" w:ascii="仿宋" w:hAnsi="仿宋" w:eastAsia="仿宋" w:cs="仿宋"/>
                <w:color w:val="000000" w:themeColor="text1"/>
                <w:sz w:val="22"/>
                <w:szCs w:val="22"/>
                <w14:textFill>
                  <w14:solidFill>
                    <w14:schemeClr w14:val="tx1"/>
                  </w14:solidFill>
                </w14:textFill>
              </w:rPr>
              <w:t>分</w:t>
            </w:r>
          </w:p>
        </w:tc>
        <w:tc>
          <w:tcPr>
            <w:tcW w:w="1065" w:type="dxa"/>
            <w:noWrap w:val="0"/>
            <w:vAlign w:val="center"/>
          </w:tcPr>
          <w:p w14:paraId="2FA02235">
            <w:pPr>
              <w:shd w:val="clear" w:color="auto" w:fill="auto"/>
              <w:ind w:firstLine="220" w:firstLineChars="100"/>
              <w:rPr>
                <w:rFonts w:hint="eastAsia" w:ascii="仿宋" w:hAnsi="仿宋" w:eastAsia="仿宋" w:cs="仿宋"/>
                <w:b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配送</w:t>
            </w:r>
          </w:p>
          <w:p w14:paraId="44F9CC36">
            <w:pPr>
              <w:shd w:val="clear" w:color="auto" w:fill="auto"/>
              <w:ind w:firstLine="220" w:firstLineChars="100"/>
              <w:rPr>
                <w:rFonts w:hint="eastAsia" w:ascii="仿宋" w:hAnsi="仿宋" w:eastAsia="仿宋" w:cs="仿宋"/>
                <w:b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方案</w:t>
            </w:r>
          </w:p>
          <w:p w14:paraId="5CBF809A">
            <w:pPr>
              <w:shd w:val="clear" w:color="auto" w:fill="auto"/>
              <w:ind w:firstLine="220" w:firstLineChars="1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12分</w:t>
            </w:r>
          </w:p>
        </w:tc>
        <w:tc>
          <w:tcPr>
            <w:tcW w:w="7811" w:type="dxa"/>
            <w:noWrap w:val="0"/>
            <w:vAlign w:val="top"/>
          </w:tcPr>
          <w:p w14:paraId="378F3A52">
            <w:pPr>
              <w:pStyle w:val="4"/>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val="0"/>
                <w:color w:val="000000" w:themeColor="text1"/>
                <w:kern w:val="2"/>
                <w:sz w:val="22"/>
                <w:szCs w:val="22"/>
                <w:u w:val="none"/>
                <w:lang w:val="en-US" w:eastAsia="zh-CN" w:bidi="ar-SA"/>
                <w14:textFill>
                  <w14:solidFill>
                    <w14:schemeClr w14:val="tx1"/>
                  </w14:solidFill>
                </w14:textFill>
              </w:rPr>
              <w:t>根据投标人提供的配送方案进行评审：①运输计划；②流程控制；③食材数量管理；④食材种类管理；⑤送货时间；⑥验货标准。从方案全面性、科学合理性、可操作性等方面综合评价，提供1项得1.1-2分，最高得12分。</w:t>
            </w:r>
          </w:p>
        </w:tc>
      </w:tr>
      <w:tr w14:paraId="5626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68" w:type="dxa"/>
            <w:vMerge w:val="continue"/>
            <w:noWrap w:val="0"/>
            <w:vAlign w:val="center"/>
          </w:tcPr>
          <w:p w14:paraId="0EF1776D">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09800152">
            <w:pPr>
              <w:keepNext w:val="0"/>
              <w:keepLines w:val="0"/>
              <w:pageBreakBefore w:val="0"/>
              <w:kinsoku/>
              <w:wordWrap/>
              <w:overflowPunct/>
              <w:topLinePunct w:val="0"/>
              <w:autoSpaceDE/>
              <w:autoSpaceDN/>
              <w:bidi w:val="0"/>
              <w:adjustRightInd/>
              <w:snapToGrid/>
              <w:spacing w:line="360" w:lineRule="auto"/>
              <w:ind w:right="-94" w:rightChars="-45" w:firstLine="220" w:firstLineChars="100"/>
              <w:jc w:val="both"/>
              <w:textAlignment w:val="auto"/>
              <w:rPr>
                <w:rFonts w:hint="eastAsia" w:ascii="仿宋" w:hAnsi="仿宋" w:eastAsia="仿宋" w:cs="仿宋"/>
                <w:b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管理</w:t>
            </w:r>
          </w:p>
          <w:p w14:paraId="45B76B11">
            <w:pPr>
              <w:keepNext w:val="0"/>
              <w:keepLines w:val="0"/>
              <w:pageBreakBefore w:val="0"/>
              <w:kinsoku/>
              <w:wordWrap/>
              <w:overflowPunct/>
              <w:topLinePunct w:val="0"/>
              <w:autoSpaceDE/>
              <w:autoSpaceDN/>
              <w:bidi w:val="0"/>
              <w:adjustRightInd/>
              <w:snapToGrid/>
              <w:spacing w:line="360" w:lineRule="auto"/>
              <w:ind w:right="-94" w:rightChars="-45" w:firstLine="220" w:firstLineChars="100"/>
              <w:jc w:val="both"/>
              <w:textAlignment w:val="auto"/>
              <w:rPr>
                <w:rFonts w:hint="eastAsia" w:ascii="仿宋" w:hAnsi="仿宋" w:eastAsia="仿宋" w:cs="仿宋"/>
                <w:b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制度</w:t>
            </w:r>
          </w:p>
          <w:p w14:paraId="3344B3D2">
            <w:pPr>
              <w:keepNext w:val="0"/>
              <w:keepLines w:val="0"/>
              <w:pageBreakBefore w:val="0"/>
              <w:kinsoku/>
              <w:wordWrap/>
              <w:overflowPunct/>
              <w:topLinePunct w:val="0"/>
              <w:autoSpaceDE/>
              <w:autoSpaceDN/>
              <w:bidi w:val="0"/>
              <w:adjustRightInd/>
              <w:snapToGrid/>
              <w:spacing w:line="360" w:lineRule="auto"/>
              <w:ind w:right="-94" w:rightChars="-45" w:firstLine="220" w:firstLineChars="100"/>
              <w:jc w:val="both"/>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12分</w:t>
            </w:r>
          </w:p>
        </w:tc>
        <w:tc>
          <w:tcPr>
            <w:tcW w:w="7811" w:type="dxa"/>
            <w:noWrap w:val="0"/>
            <w:vAlign w:val="top"/>
          </w:tcPr>
          <w:p w14:paraId="4E67BC42">
            <w:pPr>
              <w:pStyle w:val="4"/>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val="0"/>
                <w:color w:val="000000" w:themeColor="text1"/>
                <w:kern w:val="2"/>
                <w:sz w:val="22"/>
                <w:szCs w:val="22"/>
                <w:u w:val="none"/>
                <w:lang w:val="en-US" w:eastAsia="zh-CN" w:bidi="ar-SA"/>
                <w14:textFill>
                  <w14:solidFill>
                    <w14:schemeClr w14:val="tx1"/>
                  </w14:solidFill>
                </w14:textFill>
              </w:rPr>
              <w:t>根据投标人提供的管理方案进行评审：①质量管理制度；②食材安全管理制度；③经营管理制度；④物流配送管理制度；⑤档案管理制度；⑥食材储存管理制度。从制度的全面性、科学合理性、可操作性等方面综合评价，提供1项得1.1-2分，最高得12分。</w:t>
            </w:r>
          </w:p>
        </w:tc>
      </w:tr>
      <w:tr w14:paraId="6BF8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68" w:type="dxa"/>
            <w:vMerge w:val="continue"/>
            <w:noWrap w:val="0"/>
            <w:vAlign w:val="center"/>
          </w:tcPr>
          <w:p w14:paraId="4851198F">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6DD9BCAB">
            <w:pPr>
              <w:keepNext w:val="0"/>
              <w:keepLines w:val="0"/>
              <w:pageBreakBefore w:val="0"/>
              <w:kinsoku/>
              <w:wordWrap/>
              <w:overflowPunct/>
              <w:topLinePunct w:val="0"/>
              <w:autoSpaceDE/>
              <w:autoSpaceDN/>
              <w:bidi w:val="0"/>
              <w:adjustRightInd/>
              <w:snapToGrid/>
              <w:spacing w:line="360" w:lineRule="auto"/>
              <w:ind w:right="-94" w:rightChars="-45"/>
              <w:jc w:val="center"/>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农残检测设备5分</w:t>
            </w:r>
          </w:p>
        </w:tc>
        <w:tc>
          <w:tcPr>
            <w:tcW w:w="7811" w:type="dxa"/>
            <w:noWrap w:val="0"/>
            <w:vAlign w:val="center"/>
          </w:tcPr>
          <w:p w14:paraId="3732E80D">
            <w:pPr>
              <w:keepNext w:val="0"/>
              <w:keepLines w:val="0"/>
              <w:pageBreakBefore w:val="0"/>
              <w:kinsoku/>
              <w:wordWrap/>
              <w:overflowPunct/>
              <w:topLinePunct w:val="0"/>
              <w:autoSpaceDE/>
              <w:autoSpaceDN/>
              <w:bidi w:val="0"/>
              <w:adjustRightInd/>
              <w:snapToGrid/>
              <w:spacing w:line="360" w:lineRule="auto"/>
              <w:ind w:right="-94" w:rightChars="-45"/>
              <w:jc w:val="left"/>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投标人根据采购需求须提供农残检测设备并附设备相关证明材料,提供得5分，未提供得0分。</w:t>
            </w:r>
          </w:p>
        </w:tc>
      </w:tr>
      <w:tr w14:paraId="2D5F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8" w:type="dxa"/>
            <w:vMerge w:val="continue"/>
            <w:noWrap w:val="0"/>
            <w:vAlign w:val="center"/>
          </w:tcPr>
          <w:p w14:paraId="02EDA9C4">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49652DE0">
            <w:pPr>
              <w:shd w:val="clear" w:color="auto" w:fill="auto"/>
              <w:jc w:val="left"/>
              <w:rPr>
                <w:rFonts w:hint="eastAsia" w:ascii="仿宋" w:hAnsi="仿宋" w:eastAsia="仿宋" w:cs="仿宋"/>
                <w:color w:val="000000" w:themeColor="text1"/>
                <w:spacing w:val="-7"/>
                <w:sz w:val="21"/>
                <w:szCs w:val="24"/>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配送车辆8分</w:t>
            </w:r>
          </w:p>
        </w:tc>
        <w:tc>
          <w:tcPr>
            <w:tcW w:w="7811" w:type="dxa"/>
            <w:noWrap w:val="0"/>
            <w:vAlign w:val="center"/>
          </w:tcPr>
          <w:p w14:paraId="12CC3AF1">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投标人结合本项目采购内容须提供符合食品安全运输标准的专用运输车辆（冷藏、恒温）相关配送设备。</w:t>
            </w:r>
          </w:p>
          <w:p w14:paraId="538B8F0D">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每具有一辆配送车辆得2分，最高得 8分。</w:t>
            </w:r>
          </w:p>
          <w:p w14:paraId="6D9A2AC8">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注：企业自有的运输配送车辆需提供车辆行驶证复印件；租赁车辆需提供车辆租赁合同复印件。</w:t>
            </w:r>
          </w:p>
          <w:p w14:paraId="5D78FD55">
            <w:pPr>
              <w:shd w:val="clear" w:color="auto" w:fill="auto"/>
              <w:adjustRightInd w:val="0"/>
              <w:snapToGrid w:val="0"/>
              <w:spacing w:line="360" w:lineRule="auto"/>
              <w:rPr>
                <w:rFonts w:hint="eastAsia" w:ascii="仿宋" w:hAnsi="仿宋" w:eastAsia="仿宋" w:cs="仿宋"/>
                <w:color w:val="000000" w:themeColor="text1"/>
                <w:spacing w:val="-4"/>
                <w:sz w:val="21"/>
                <w:szCs w:val="24"/>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未提供不得分。</w:t>
            </w:r>
          </w:p>
        </w:tc>
      </w:tr>
      <w:tr w14:paraId="4B6F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8" w:type="dxa"/>
            <w:vMerge w:val="continue"/>
            <w:noWrap w:val="0"/>
            <w:vAlign w:val="center"/>
          </w:tcPr>
          <w:p w14:paraId="38475087">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73B442E0">
            <w:pPr>
              <w:shd w:val="clear" w:color="auto" w:fill="auto"/>
              <w:jc w:val="center"/>
              <w:rPr>
                <w:rFonts w:hint="eastAsia" w:ascii="仿宋" w:hAnsi="仿宋" w:eastAsia="仿宋" w:cs="仿宋"/>
                <w:color w:val="000000" w:themeColor="text1"/>
                <w:spacing w:val="-7"/>
                <w:sz w:val="21"/>
                <w:szCs w:val="24"/>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食品安全及储存条件5分</w:t>
            </w:r>
          </w:p>
        </w:tc>
        <w:tc>
          <w:tcPr>
            <w:tcW w:w="7811" w:type="dxa"/>
            <w:noWrap w:val="0"/>
            <w:vAlign w:val="center"/>
          </w:tcPr>
          <w:p w14:paraId="0DFECD2C">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具有可靠的产品储藏、保鲜体系和储存场所，空间能够保证空气良好的流通性、适宜储藏的温度等，要定期检查维护，提供相关证明文件（包括租赁合同或购房合同、储存场所照片及相应储存设备购置发票或现场实地设备照片等）：</w:t>
            </w:r>
          </w:p>
          <w:p w14:paraId="111482B4">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①</w:t>
            </w:r>
            <w:r>
              <w:rPr>
                <w:rFonts w:hint="eastAsia" w:ascii="仿宋" w:hAnsi="仿宋" w:eastAsia="仿宋" w:cs="仿宋"/>
                <w:color w:val="000000" w:themeColor="text1"/>
                <w:kern w:val="1"/>
                <w:sz w:val="22"/>
                <w:szCs w:val="22"/>
                <w:lang w:val="en-US" w:eastAsia="zh-CN"/>
                <w14:textFill>
                  <w14:solidFill>
                    <w14:schemeClr w14:val="tx1"/>
                  </w14:solidFill>
                </w14:textFill>
              </w:rPr>
              <w:t>储存条件正规、可靠，证明材料齐全得4.1-5分；</w:t>
            </w:r>
          </w:p>
          <w:p w14:paraId="69AD0DFA">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②</w:t>
            </w:r>
            <w:r>
              <w:rPr>
                <w:rFonts w:hint="eastAsia" w:ascii="仿宋" w:hAnsi="仿宋" w:eastAsia="仿宋" w:cs="仿宋"/>
                <w:color w:val="000000" w:themeColor="text1"/>
                <w:kern w:val="1"/>
                <w:sz w:val="22"/>
                <w:szCs w:val="22"/>
                <w:lang w:val="en-US" w:eastAsia="zh-CN" w:bidi="ar-SA"/>
                <w14:textFill>
                  <w14:solidFill>
                    <w14:schemeClr w14:val="tx1"/>
                  </w14:solidFill>
                </w14:textFill>
              </w:rPr>
              <w:t>储存条件比较正规、可靠，证明材料较齐全得 3.1-4分；</w:t>
            </w:r>
          </w:p>
          <w:p w14:paraId="129E0635">
            <w:pPr>
              <w:pStyle w:val="107"/>
              <w:rPr>
                <w:rFonts w:hint="eastAsia" w:ascii="仿宋" w:hAnsi="仿宋" w:eastAsia="仿宋" w:cs="仿宋"/>
                <w:color w:val="000000" w:themeColor="text1"/>
                <w:kern w:val="1"/>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③</w:t>
            </w:r>
            <w:r>
              <w:rPr>
                <w:rFonts w:hint="eastAsia" w:ascii="仿宋" w:hAnsi="仿宋" w:eastAsia="仿宋" w:cs="仿宋"/>
                <w:color w:val="000000" w:themeColor="text1"/>
                <w:kern w:val="1"/>
                <w:sz w:val="22"/>
                <w:szCs w:val="22"/>
                <w:lang w:val="en-US" w:eastAsia="zh-CN" w:bidi="ar-SA"/>
                <w14:textFill>
                  <w14:solidFill>
                    <w14:schemeClr w14:val="tx1"/>
                  </w14:solidFill>
                </w14:textFill>
              </w:rPr>
              <w:t>储存条件相对正规、可靠，证明材料相对齐全得 2.1-3分；</w:t>
            </w:r>
          </w:p>
          <w:p w14:paraId="73357CC9">
            <w:pPr>
              <w:pStyle w:val="107"/>
              <w:rPr>
                <w:rFonts w:hint="eastAsia" w:ascii="仿宋" w:hAnsi="仿宋" w:eastAsia="仿宋" w:cs="仿宋"/>
                <w:color w:val="000000" w:themeColor="text1"/>
                <w:kern w:val="1"/>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④</w:t>
            </w:r>
            <w:r>
              <w:rPr>
                <w:rFonts w:hint="eastAsia" w:ascii="仿宋" w:hAnsi="仿宋" w:eastAsia="仿宋" w:cs="仿宋"/>
                <w:color w:val="000000" w:themeColor="text1"/>
                <w:kern w:val="1"/>
                <w:sz w:val="22"/>
                <w:szCs w:val="22"/>
                <w:lang w:val="en-US" w:eastAsia="zh-CN" w:bidi="ar-SA"/>
                <w14:textFill>
                  <w14:solidFill>
                    <w14:schemeClr w14:val="tx1"/>
                  </w14:solidFill>
                </w14:textFill>
              </w:rPr>
              <w:t>储存条件基本正规，证明材料基本齐全得 1.1-2分；</w:t>
            </w:r>
          </w:p>
          <w:p w14:paraId="39F9DD01">
            <w:pPr>
              <w:pStyle w:val="250"/>
              <w:shd w:val="clear" w:color="auto" w:fill="auto"/>
              <w:jc w:val="left"/>
              <w:rPr>
                <w:rFonts w:hint="eastAsia" w:ascii="仿宋" w:hAnsi="仿宋" w:eastAsia="仿宋" w:cs="仿宋"/>
                <w:color w:val="000000" w:themeColor="text1"/>
                <w:spacing w:val="-4"/>
                <w:sz w:val="21"/>
                <w:szCs w:val="24"/>
                <w14:textFill>
                  <w14:solidFill>
                    <w14:schemeClr w14:val="tx1"/>
                  </w14:solidFill>
                </w14:textFill>
              </w:rPr>
            </w:pPr>
            <w:r>
              <w:rPr>
                <w:rFonts w:hint="eastAsia" w:ascii="仿宋" w:hAnsi="仿宋" w:eastAsia="仿宋" w:cs="仿宋"/>
                <w:color w:val="000000" w:themeColor="text1"/>
                <w:kern w:val="1"/>
                <w:sz w:val="22"/>
                <w:szCs w:val="22"/>
                <w:lang w:val="en-US" w:eastAsia="zh-CN" w:bidi="ar-SA"/>
                <w14:textFill>
                  <w14:solidFill>
                    <w14:schemeClr w14:val="tx1"/>
                  </w14:solidFill>
                </w14:textFill>
              </w:rPr>
              <w:t>⑤未提供得0分。</w:t>
            </w:r>
          </w:p>
        </w:tc>
      </w:tr>
      <w:tr w14:paraId="4F46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8" w:type="dxa"/>
            <w:vMerge w:val="continue"/>
            <w:noWrap w:val="0"/>
            <w:vAlign w:val="center"/>
          </w:tcPr>
          <w:p w14:paraId="0291BF34">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1909C8D5">
            <w:pPr>
              <w:shd w:val="clear" w:color="auto" w:fill="auto"/>
              <w:jc w:val="center"/>
              <w:rPr>
                <w:rFonts w:hint="eastAsia" w:ascii="仿宋" w:hAnsi="仿宋" w:eastAsia="仿宋" w:cs="仿宋"/>
                <w:color w:val="000000" w:themeColor="text1"/>
                <w:spacing w:val="-4"/>
                <w:sz w:val="21"/>
                <w:szCs w:val="24"/>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服务人员8分</w:t>
            </w:r>
          </w:p>
        </w:tc>
        <w:tc>
          <w:tcPr>
            <w:tcW w:w="7811" w:type="dxa"/>
            <w:noWrap w:val="0"/>
            <w:vAlign w:val="center"/>
          </w:tcPr>
          <w:p w14:paraId="0481457C">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投标人有稳定的服务人员，针对本项目的管理、质检、配送实施组建架构齐全，根据人员配置方案综合赋分。（备注：提供针对本项目所有人员的身份证、健康证及劳务合同复印件）</w:t>
            </w:r>
          </w:p>
          <w:p w14:paraId="59224216">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①</w:t>
            </w:r>
            <w:r>
              <w:rPr>
                <w:rFonts w:hint="eastAsia" w:ascii="仿宋" w:hAnsi="仿宋" w:eastAsia="仿宋" w:cs="仿宋"/>
                <w:color w:val="000000" w:themeColor="text1"/>
                <w:kern w:val="1"/>
                <w:sz w:val="22"/>
                <w:szCs w:val="22"/>
                <w:lang w:val="en-US" w:eastAsia="zh-CN"/>
                <w14:textFill>
                  <w14:solidFill>
                    <w14:schemeClr w14:val="tx1"/>
                  </w14:solidFill>
                </w14:textFill>
              </w:rPr>
              <w:t>服务人员配置合理，岗位职责明确，人员证件齐全，完全满足项目需求的得6.1-8分；</w:t>
            </w:r>
          </w:p>
          <w:p w14:paraId="14186130">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②服务人员配置相对合理，岗位职责相对明确、人员证件较齐全，可以满足项目需求的得4.1-6分；</w:t>
            </w:r>
          </w:p>
          <w:p w14:paraId="5C7D8647">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③服务人员配置合理，岗位职责明确、人员证件相对齐全，基本满足项目需求的得2.1-4分；</w:t>
            </w:r>
          </w:p>
          <w:p w14:paraId="210E04C7">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④服务人员配置合理，岗位职责明确、人员证件简陋得0.1-2 分；</w:t>
            </w:r>
          </w:p>
          <w:p w14:paraId="1AD3D522">
            <w:pPr>
              <w:shd w:val="clear" w:color="auto" w:fill="auto"/>
              <w:adjustRightInd w:val="0"/>
              <w:snapToGrid w:val="0"/>
              <w:spacing w:line="360" w:lineRule="auto"/>
              <w:rPr>
                <w:rFonts w:hint="eastAsia" w:ascii="仿宋" w:hAnsi="仿宋" w:eastAsia="仿宋" w:cs="仿宋"/>
                <w:color w:val="000000" w:themeColor="text1"/>
                <w:spacing w:val="-5"/>
                <w:sz w:val="21"/>
                <w:szCs w:val="24"/>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⑤未提供不得分。</w:t>
            </w:r>
          </w:p>
        </w:tc>
      </w:tr>
      <w:tr w14:paraId="507C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68" w:type="dxa"/>
            <w:vMerge w:val="restart"/>
            <w:noWrap w:val="0"/>
            <w:vAlign w:val="center"/>
          </w:tcPr>
          <w:p w14:paraId="43FF2189">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商务</w:t>
            </w:r>
          </w:p>
          <w:p w14:paraId="1460099B">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部分</w:t>
            </w:r>
          </w:p>
          <w:p w14:paraId="50CE223E">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30</w:t>
            </w:r>
            <w:r>
              <w:rPr>
                <w:rFonts w:hint="eastAsia" w:ascii="仿宋" w:hAnsi="仿宋" w:eastAsia="仿宋" w:cs="仿宋"/>
                <w:color w:val="000000" w:themeColor="text1"/>
                <w:sz w:val="22"/>
                <w:szCs w:val="22"/>
                <w14:textFill>
                  <w14:solidFill>
                    <w14:schemeClr w14:val="tx1"/>
                  </w14:solidFill>
                </w14:textFill>
              </w:rPr>
              <w:t>分</w:t>
            </w:r>
          </w:p>
        </w:tc>
        <w:tc>
          <w:tcPr>
            <w:tcW w:w="1065" w:type="dxa"/>
            <w:noWrap w:val="0"/>
            <w:vAlign w:val="center"/>
          </w:tcPr>
          <w:p w14:paraId="71046B2F">
            <w:pPr>
              <w:shd w:val="clear" w:color="auto" w:fill="auto"/>
              <w:snapToGrid w:val="0"/>
              <w:spacing w:line="312"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业绩</w:t>
            </w:r>
          </w:p>
          <w:p w14:paraId="1B76A3CC">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w:t>
            </w:r>
            <w:r>
              <w:rPr>
                <w:rFonts w:hint="eastAsia" w:ascii="仿宋" w:hAnsi="仿宋" w:eastAsia="仿宋" w:cs="仿宋"/>
                <w:color w:val="000000" w:themeColor="text1"/>
                <w:sz w:val="22"/>
                <w:szCs w:val="22"/>
                <w14:textFill>
                  <w14:solidFill>
                    <w14:schemeClr w14:val="tx1"/>
                  </w14:solidFill>
                </w14:textFill>
              </w:rPr>
              <w:t>分</w:t>
            </w:r>
          </w:p>
        </w:tc>
        <w:tc>
          <w:tcPr>
            <w:tcW w:w="7811" w:type="dxa"/>
            <w:noWrap w:val="0"/>
            <w:vAlign w:val="center"/>
          </w:tcPr>
          <w:p w14:paraId="0C2C6FCB">
            <w:pPr>
              <w:pStyle w:val="16"/>
              <w:shd w:val="clear" w:color="auto" w:fil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提供202</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lang w:eastAsia="zh-CN"/>
                <w14:textFill>
                  <w14:solidFill>
                    <w14:schemeClr w14:val="tx1"/>
                  </w14:solidFill>
                </w14:textFill>
              </w:rPr>
              <w:t>年</w:t>
            </w:r>
            <w:r>
              <w:rPr>
                <w:rFonts w:hint="eastAsia" w:ascii="仿宋" w:hAnsi="仿宋" w:eastAsia="仿宋" w:cs="仿宋"/>
                <w:color w:val="000000" w:themeColor="text1"/>
                <w:sz w:val="22"/>
                <w:szCs w:val="22"/>
                <w:lang w:val="en-US" w:eastAsia="zh-CN"/>
                <w14:textFill>
                  <w14:solidFill>
                    <w14:schemeClr w14:val="tx1"/>
                  </w14:solidFill>
                </w14:textFill>
              </w:rPr>
              <w:t>1</w:t>
            </w:r>
            <w:r>
              <w:rPr>
                <w:rFonts w:hint="eastAsia" w:ascii="仿宋" w:hAnsi="仿宋" w:eastAsia="仿宋" w:cs="仿宋"/>
                <w:color w:val="000000" w:themeColor="text1"/>
                <w:sz w:val="22"/>
                <w:szCs w:val="22"/>
                <w:lang w:eastAsia="zh-CN"/>
                <w14:textFill>
                  <w14:solidFill>
                    <w14:schemeClr w14:val="tx1"/>
                  </w14:solidFill>
                </w14:textFill>
              </w:rPr>
              <w:t>月1日以来完成的类似项目业绩</w:t>
            </w: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提供一个</w:t>
            </w:r>
            <w:r>
              <w:rPr>
                <w:rFonts w:hint="eastAsia" w:ascii="仿宋" w:hAnsi="仿宋" w:eastAsia="仿宋" w:cs="仿宋"/>
                <w:color w:val="000000" w:themeColor="text1"/>
                <w:sz w:val="22"/>
                <w:szCs w:val="22"/>
                <w14:textFill>
                  <w14:solidFill>
                    <w14:schemeClr w14:val="tx1"/>
                  </w14:solidFill>
                </w14:textFill>
              </w:rPr>
              <w:t>类似项目业绩得</w:t>
            </w:r>
            <w:r>
              <w:rPr>
                <w:rFonts w:hint="eastAsia" w:ascii="仿宋" w:hAnsi="仿宋" w:eastAsia="仿宋" w:cs="仿宋"/>
                <w:color w:val="000000" w:themeColor="text1"/>
                <w:sz w:val="22"/>
                <w:szCs w:val="22"/>
                <w:lang w:val="en-US" w:eastAsia="zh-CN"/>
                <w14:textFill>
                  <w14:solidFill>
                    <w14:schemeClr w14:val="tx1"/>
                  </w14:solidFill>
                </w14:textFill>
              </w:rPr>
              <w:t>2.5</w:t>
            </w:r>
            <w:r>
              <w:rPr>
                <w:rFonts w:hint="eastAsia" w:ascii="仿宋" w:hAnsi="仿宋" w:eastAsia="仿宋" w:cs="仿宋"/>
                <w:color w:val="000000" w:themeColor="text1"/>
                <w:sz w:val="22"/>
                <w:szCs w:val="22"/>
                <w14:textFill>
                  <w14:solidFill>
                    <w14:schemeClr w14:val="tx1"/>
                  </w14:solidFill>
                </w14:textFill>
              </w:rPr>
              <w:t>分,最高</w:t>
            </w:r>
            <w:r>
              <w:rPr>
                <w:rFonts w:hint="eastAsia" w:ascii="仿宋" w:hAnsi="仿宋" w:eastAsia="仿宋" w:cs="仿宋"/>
                <w:color w:val="000000" w:themeColor="text1"/>
                <w:sz w:val="22"/>
                <w:szCs w:val="22"/>
                <w:lang w:val="en-US" w:eastAsia="zh-CN"/>
                <w14:textFill>
                  <w14:solidFill>
                    <w14:schemeClr w14:val="tx1"/>
                  </w14:solidFill>
                </w14:textFill>
              </w:rPr>
              <w:t>5</w:t>
            </w:r>
            <w:r>
              <w:rPr>
                <w:rFonts w:hint="eastAsia" w:ascii="仿宋" w:hAnsi="仿宋" w:eastAsia="仿宋" w:cs="仿宋"/>
                <w:color w:val="000000" w:themeColor="text1"/>
                <w:sz w:val="22"/>
                <w:szCs w:val="22"/>
                <w14:textFill>
                  <w14:solidFill>
                    <w14:schemeClr w14:val="tx1"/>
                  </w14:solidFill>
                </w14:textFill>
              </w:rPr>
              <w:t>分。无此项内容不得分。</w:t>
            </w:r>
          </w:p>
          <w:p w14:paraId="1A429B6C">
            <w:pPr>
              <w:pStyle w:val="16"/>
              <w:shd w:val="clear" w:color="auto" w:fil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（业绩证明材料以中标/成交通知书或合同为准，</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文件中附中标/成交通知书或合同复印件并加盖企业鲜章）</w:t>
            </w:r>
          </w:p>
        </w:tc>
      </w:tr>
      <w:tr w14:paraId="3A92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68" w:type="dxa"/>
            <w:vMerge w:val="continue"/>
            <w:noWrap w:val="0"/>
            <w:vAlign w:val="center"/>
          </w:tcPr>
          <w:p w14:paraId="3739006B">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36425EA7">
            <w:pPr>
              <w:pStyle w:val="19"/>
              <w:shd w:val="clear" w:color="auto" w:fill="auto"/>
              <w:spacing w:after="0"/>
              <w:jc w:val="center"/>
              <w:rPr>
                <w:rFonts w:hint="eastAsia" w:ascii="仿宋" w:hAnsi="仿宋" w:eastAsia="仿宋" w:cs="仿宋"/>
                <w:color w:val="000000" w:themeColor="text1"/>
                <w:sz w:val="22"/>
                <w:szCs w:val="22"/>
                <w:lang w:val="en-US"/>
                <w14:textFill>
                  <w14:solidFill>
                    <w14:schemeClr w14:val="tx1"/>
                  </w14:solidFill>
                </w14:textFill>
              </w:rPr>
            </w:pPr>
            <w:r>
              <w:rPr>
                <w:rFonts w:hint="eastAsia" w:ascii="仿宋" w:hAnsi="仿宋" w:eastAsia="仿宋" w:cs="仿宋"/>
                <w:color w:val="000000" w:themeColor="text1"/>
                <w:kern w:val="1"/>
                <w:sz w:val="22"/>
                <w:szCs w:val="22"/>
                <w:lang w:val="en-US" w:eastAsia="zh-CN" w:bidi="ar-SA"/>
                <w14:textFill>
                  <w14:solidFill>
                    <w14:schemeClr w14:val="tx1"/>
                  </w14:solidFill>
                </w14:textFill>
              </w:rPr>
              <w:t>培训方案5分</w:t>
            </w:r>
          </w:p>
        </w:tc>
        <w:tc>
          <w:tcPr>
            <w:tcW w:w="7811" w:type="dxa"/>
            <w:noWrap w:val="0"/>
            <w:vAlign w:val="center"/>
          </w:tcPr>
          <w:p w14:paraId="6971C2E6">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投标人具有完善的培训方案，对操作、配送、管理等人员进行专业化培训，有完善的服务业务培训管理制度方案。</w:t>
            </w:r>
          </w:p>
          <w:p w14:paraId="7AC311F0">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①方案全面、合理、规范得4.1-5分；</w:t>
            </w:r>
          </w:p>
          <w:p w14:paraId="1DE6E80C">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②方案比较合理得3.1-4分；</w:t>
            </w:r>
          </w:p>
          <w:p w14:paraId="543B1337">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③方案简陋得 2.1-3分；</w:t>
            </w:r>
          </w:p>
          <w:p w14:paraId="755FC148">
            <w:pPr>
              <w:shd w:val="clear" w:color="auto" w:fill="auto"/>
              <w:adjustRightInd w:val="0"/>
              <w:snapToGrid w:val="0"/>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④未提供不得分。</w:t>
            </w:r>
          </w:p>
        </w:tc>
      </w:tr>
      <w:tr w14:paraId="2B3D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68" w:type="dxa"/>
            <w:vMerge w:val="continue"/>
            <w:noWrap w:val="0"/>
            <w:vAlign w:val="center"/>
          </w:tcPr>
          <w:p w14:paraId="638DC328">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23595957">
            <w:pPr>
              <w:pStyle w:val="19"/>
              <w:shd w:val="clear" w:color="auto" w:fill="auto"/>
              <w:spacing w:after="0"/>
              <w:jc w:val="center"/>
              <w:rPr>
                <w:rFonts w:hint="eastAsia" w:ascii="仿宋" w:hAnsi="仿宋" w:eastAsia="仿宋" w:cs="仿宋"/>
                <w:color w:val="000000" w:themeColor="text1"/>
                <w:spacing w:val="-7"/>
                <w:sz w:val="21"/>
                <w:szCs w:val="24"/>
                <w:lang w:val="en-US"/>
                <w14:textFill>
                  <w14:solidFill>
                    <w14:schemeClr w14:val="tx1"/>
                  </w14:solidFill>
                </w14:textFill>
              </w:rPr>
            </w:pPr>
            <w:r>
              <w:rPr>
                <w:rFonts w:hint="eastAsia" w:ascii="仿宋" w:hAnsi="仿宋" w:eastAsia="仿宋" w:cs="仿宋"/>
                <w:color w:val="000000" w:themeColor="text1"/>
                <w:kern w:val="1"/>
                <w:sz w:val="22"/>
                <w:szCs w:val="22"/>
                <w:lang w:val="en-US" w:eastAsia="zh-CN" w:bidi="ar-SA"/>
                <w14:textFill>
                  <w14:solidFill>
                    <w14:schemeClr w14:val="tx1"/>
                  </w14:solidFill>
                </w14:textFill>
              </w:rPr>
              <w:t>服务承诺12分</w:t>
            </w:r>
          </w:p>
        </w:tc>
        <w:tc>
          <w:tcPr>
            <w:tcW w:w="7811" w:type="dxa"/>
            <w:noWrap w:val="0"/>
            <w:vAlign w:val="center"/>
          </w:tcPr>
          <w:p w14:paraId="34CA56C0">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投标人提供详细的服务承诺：①食材保鲜承诺、②出现质量问题退换承诺、③食材安全保证承诺、④配送时限保证承诺、⑤工作配合及服务态度承诺、⑥所供食材不高于市场价及每周公布的食材指导价保证承诺。</w:t>
            </w:r>
          </w:p>
          <w:p w14:paraId="587D0A61">
            <w:pPr>
              <w:shd w:val="clear" w:color="auto" w:fill="auto"/>
              <w:adjustRightInd w:val="0"/>
              <w:snapToGrid w:val="0"/>
              <w:spacing w:line="360" w:lineRule="auto"/>
              <w:rPr>
                <w:rFonts w:hint="eastAsia" w:ascii="仿宋" w:hAnsi="仿宋" w:eastAsia="仿宋" w:cs="仿宋"/>
                <w:color w:val="000000" w:themeColor="text1"/>
                <w:spacing w:val="-5"/>
                <w:sz w:val="21"/>
                <w:szCs w:val="24"/>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根据承诺的全面性、合理性等方面综合评审，提供1项得1.1-2分，最高得12分，</w:t>
            </w:r>
            <w:r>
              <w:rPr>
                <w:rFonts w:hint="eastAsia" w:ascii="仿宋" w:hAnsi="仿宋" w:eastAsia="仿宋" w:cs="仿宋"/>
                <w:color w:val="000000" w:themeColor="text1"/>
                <w:kern w:val="1"/>
                <w:sz w:val="22"/>
                <w:szCs w:val="22"/>
                <w:lang w:val="en-US" w:eastAsia="zh-CN"/>
                <w14:textFill>
                  <w14:solidFill>
                    <w14:schemeClr w14:val="tx1"/>
                  </w14:solidFill>
                </w14:textFill>
              </w:rPr>
              <w:t>未提供不得分。</w:t>
            </w:r>
          </w:p>
        </w:tc>
      </w:tr>
      <w:tr w14:paraId="6845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68" w:type="dxa"/>
            <w:vMerge w:val="continue"/>
            <w:noWrap w:val="0"/>
            <w:vAlign w:val="center"/>
          </w:tcPr>
          <w:p w14:paraId="554B9680">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73E9FC4A">
            <w:pPr>
              <w:pStyle w:val="19"/>
              <w:shd w:val="clear" w:color="auto" w:fill="auto"/>
              <w:spacing w:after="0"/>
              <w:jc w:val="center"/>
              <w:rPr>
                <w:rFonts w:hint="eastAsia" w:ascii="仿宋" w:hAnsi="仿宋" w:eastAsia="仿宋" w:cs="仿宋"/>
                <w:color w:val="000000" w:themeColor="text1"/>
                <w:spacing w:val="-7"/>
                <w:sz w:val="21"/>
                <w:szCs w:val="24"/>
                <w:lang w:val="en-US"/>
                <w14:textFill>
                  <w14:solidFill>
                    <w14:schemeClr w14:val="tx1"/>
                  </w14:solidFill>
                </w14:textFill>
              </w:rPr>
            </w:pPr>
            <w:r>
              <w:rPr>
                <w:rFonts w:hint="eastAsia" w:ascii="仿宋" w:hAnsi="仿宋" w:eastAsia="仿宋" w:cs="仿宋"/>
                <w:color w:val="000000" w:themeColor="text1"/>
                <w:kern w:val="1"/>
                <w:sz w:val="22"/>
                <w:szCs w:val="22"/>
                <w:lang w:val="en-US" w:eastAsia="zh-CN" w:bidi="ar-SA"/>
                <w14:textFill>
                  <w14:solidFill>
                    <w14:schemeClr w14:val="tx1"/>
                  </w14:solidFill>
                </w14:textFill>
              </w:rPr>
              <w:t>突发事件处理方案8分</w:t>
            </w:r>
          </w:p>
        </w:tc>
        <w:tc>
          <w:tcPr>
            <w:tcW w:w="7811" w:type="dxa"/>
            <w:noWrap w:val="0"/>
            <w:vAlign w:val="center"/>
          </w:tcPr>
          <w:p w14:paraId="1E234509">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投标人针对本项目制定突发事件处理方案：①针对恶劣天气影响、②问题食材更换、③食物中毒等重大突发公共卫生事件特殊情况、④紧急缺货补货（1小时之内送到）</w:t>
            </w:r>
          </w:p>
          <w:p w14:paraId="7914BB36">
            <w:pPr>
              <w:shd w:val="clear" w:color="auto" w:fill="auto"/>
              <w:adjustRightInd w:val="0"/>
              <w:snapToGrid w:val="0"/>
              <w:spacing w:line="360" w:lineRule="auto"/>
              <w:rPr>
                <w:rFonts w:hint="eastAsia" w:ascii="仿宋" w:hAnsi="仿宋" w:eastAsia="仿宋" w:cs="仿宋"/>
                <w:color w:val="000000" w:themeColor="text1"/>
                <w:spacing w:val="-4"/>
                <w:sz w:val="21"/>
                <w:szCs w:val="24"/>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根据方案的全面性、合理性等方面综合评审，提供1项得1.1-2分，最高得8分，</w:t>
            </w:r>
            <w:r>
              <w:rPr>
                <w:rFonts w:hint="eastAsia" w:ascii="仿宋" w:hAnsi="仿宋" w:eastAsia="仿宋" w:cs="仿宋"/>
                <w:color w:val="000000" w:themeColor="text1"/>
                <w:kern w:val="1"/>
                <w:sz w:val="22"/>
                <w:szCs w:val="22"/>
                <w:lang w:val="en-US" w:eastAsia="zh-CN"/>
                <w14:textFill>
                  <w14:solidFill>
                    <w14:schemeClr w14:val="tx1"/>
                  </w14:solidFill>
                </w14:textFill>
              </w:rPr>
              <w:t>未提供不得分。</w:t>
            </w:r>
          </w:p>
        </w:tc>
      </w:tr>
    </w:tbl>
    <w:p w14:paraId="1B5D323E">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p w14:paraId="62D0C7AF">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 若出现综合得分并列时，比较技术得分，此分项得分高者排序在前；若技术得分仍相同，比较价格得分，此分项得分高者排序在前；若投标报价得分仍相同，则由评标委员会无记名投票，得票高者排序在前；</w:t>
      </w:r>
    </w:p>
    <w:p w14:paraId="4D63D850">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 评委打分超过得分界限或未按本方法赋分时，该评委的打分按废票处理；</w:t>
      </w:r>
    </w:p>
    <w:p w14:paraId="64D48FC8">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 各种计算采用插入法，数字均保留两位小数，第三位“四舍五入”；</w:t>
      </w:r>
    </w:p>
    <w:p w14:paraId="4B63400E">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4）投标文件对评标内容无响应的，该项评分按照0分计算；</w:t>
      </w:r>
    </w:p>
    <w:p w14:paraId="4F44B024">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5）本项目以</w:t>
      </w:r>
      <w:r>
        <w:rPr>
          <w:rFonts w:hint="eastAsia" w:ascii="仿宋" w:hAnsi="仿宋" w:eastAsia="仿宋" w:cs="仿宋"/>
          <w:color w:val="000000" w:themeColor="text1"/>
          <w:szCs w:val="21"/>
          <w:lang w:val="en-US" w:eastAsia="zh-CN"/>
          <w14:textFill>
            <w14:solidFill>
              <w14:schemeClr w14:val="tx1"/>
            </w14:solidFill>
          </w14:textFill>
        </w:rPr>
        <w:t>费率（%）</w:t>
      </w:r>
      <w:r>
        <w:rPr>
          <w:rFonts w:hint="eastAsia" w:ascii="仿宋" w:hAnsi="仿宋" w:eastAsia="仿宋" w:cs="仿宋"/>
          <w:color w:val="000000" w:themeColor="text1"/>
          <w:szCs w:val="21"/>
          <w14:textFill>
            <w14:solidFill>
              <w14:schemeClr w14:val="tx1"/>
            </w14:solidFill>
          </w14:textFill>
        </w:rPr>
        <w:t>为计量进行评标。</w:t>
      </w:r>
    </w:p>
    <w:p w14:paraId="53FAAD51">
      <w:pPr>
        <w:snapToGrid w:val="0"/>
        <w:spacing w:line="360" w:lineRule="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1"/>
          <w:szCs w:val="21"/>
          <w14:textFill>
            <w14:solidFill>
              <w14:schemeClr w14:val="tx1"/>
            </w14:solidFill>
          </w14:textFill>
        </w:rPr>
        <w:t>3.</w:t>
      </w:r>
      <w:r>
        <w:rPr>
          <w:rFonts w:hint="eastAsia" w:ascii="仿宋" w:hAnsi="仿宋" w:eastAsia="仿宋" w:cs="仿宋"/>
          <w:b/>
          <w:bCs/>
          <w:color w:val="000000" w:themeColor="text1"/>
          <w:szCs w:val="21"/>
          <w14:textFill>
            <w14:solidFill>
              <w14:schemeClr w14:val="tx1"/>
            </w14:solidFill>
          </w14:textFill>
        </w:rPr>
        <w:t>3、无效投标文件的认定</w:t>
      </w:r>
    </w:p>
    <w:p w14:paraId="0187111B">
      <w:pPr>
        <w:pStyle w:val="20"/>
        <w:tabs>
          <w:tab w:val="left" w:pos="600"/>
        </w:tabs>
        <w:snapToGrid w:val="0"/>
        <w:spacing w:after="0" w:line="360" w:lineRule="auto"/>
        <w:ind w:left="0" w:leftChars="0"/>
        <w:jc w:val="left"/>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1"/>
          <w:sz w:val="21"/>
          <w:szCs w:val="21"/>
          <w14:textFill>
            <w14:solidFill>
              <w14:schemeClr w14:val="tx1"/>
            </w14:solidFill>
          </w14:textFill>
        </w:rPr>
        <w:t>3.</w:t>
      </w:r>
      <w:r>
        <w:rPr>
          <w:rFonts w:hint="eastAsia" w:ascii="仿宋" w:hAnsi="仿宋" w:eastAsia="仿宋" w:cs="仿宋"/>
          <w:color w:val="000000" w:themeColor="text1"/>
          <w:kern w:val="2"/>
          <w:sz w:val="21"/>
          <w:szCs w:val="21"/>
          <w14:textFill>
            <w14:solidFill>
              <w14:schemeClr w14:val="tx1"/>
            </w14:solidFill>
          </w14:textFill>
        </w:rPr>
        <w:t>3</w:t>
      </w:r>
      <w:r>
        <w:rPr>
          <w:rFonts w:hint="eastAsia" w:ascii="仿宋" w:hAnsi="仿宋" w:eastAsia="仿宋" w:cs="仿宋"/>
          <w:color w:val="000000" w:themeColor="text1"/>
          <w:kern w:val="2"/>
          <w:sz w:val="21"/>
          <w:szCs w:val="21"/>
          <w:lang w:val="zh-CN"/>
          <w14:textFill>
            <w14:solidFill>
              <w14:schemeClr w14:val="tx1"/>
            </w14:solidFill>
          </w14:textFill>
        </w:rPr>
        <w:t>.1、在评审过程中，出现下列情形之一的，应作为无效投标文件：</w:t>
      </w:r>
    </w:p>
    <w:p w14:paraId="5474D286">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.1.1、投标人未经过正常渠道获取招标文件的；</w:t>
      </w:r>
    </w:p>
    <w:p w14:paraId="46451D31">
      <w:pPr>
        <w:pStyle w:val="33"/>
        <w:snapToGrid w:val="0"/>
        <w:spacing w:after="0" w:line="360" w:lineRule="auto"/>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kern w:val="1"/>
          <w:sz w:val="21"/>
          <w:szCs w:val="21"/>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3</w:t>
      </w:r>
      <w:r>
        <w:rPr>
          <w:rFonts w:hint="eastAsia" w:ascii="仿宋" w:hAnsi="仿宋" w:eastAsia="仿宋" w:cs="仿宋"/>
          <w:color w:val="000000" w:themeColor="text1"/>
          <w:sz w:val="21"/>
          <w:szCs w:val="21"/>
          <w:lang w:val="zh-CN"/>
          <w14:textFill>
            <w14:solidFill>
              <w14:schemeClr w14:val="tx1"/>
            </w14:solidFill>
          </w14:textFill>
        </w:rPr>
        <w:t>.1.2、投标人名称与登记获取招标文件单位的名称不一致的；</w:t>
      </w:r>
    </w:p>
    <w:p w14:paraId="4FF4A6D6">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bookmarkStart w:id="234" w:name="_Toc455956649"/>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.1.3、未按照招标文件规定和要求签署、盖章的;</w:t>
      </w:r>
    </w:p>
    <w:p w14:paraId="575469D1">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zh-CN"/>
          <w14:textFill>
            <w14:solidFill>
              <w14:schemeClr w14:val="tx1"/>
            </w14:solidFill>
          </w14:textFill>
        </w:rPr>
        <w:t>、不具备招标文件中规定的资格条件和资格审查要求的;</w:t>
      </w:r>
    </w:p>
    <w:p w14:paraId="05A4DB63">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szCs w:val="21"/>
          <w:lang w:val="zh-CN"/>
          <w14:textFill>
            <w14:solidFill>
              <w14:schemeClr w14:val="tx1"/>
            </w14:solidFill>
          </w14:textFill>
        </w:rPr>
        <w:t>、未按照招标文件规定的格式要求编制的；</w:t>
      </w:r>
    </w:p>
    <w:p w14:paraId="3EF56953">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6</w:t>
      </w:r>
      <w:r>
        <w:rPr>
          <w:rFonts w:hint="eastAsia" w:ascii="仿宋" w:hAnsi="仿宋" w:eastAsia="仿宋" w:cs="仿宋"/>
          <w:color w:val="000000" w:themeColor="text1"/>
          <w:szCs w:val="21"/>
          <w:lang w:val="zh-CN"/>
          <w14:textFill>
            <w14:solidFill>
              <w14:schemeClr w14:val="tx1"/>
            </w14:solidFill>
          </w14:textFill>
        </w:rPr>
        <w:t>、未按</w:t>
      </w:r>
      <w:r>
        <w:rPr>
          <w:rFonts w:hint="eastAsia" w:ascii="仿宋" w:hAnsi="仿宋" w:eastAsia="仿宋" w:cs="仿宋"/>
          <w:color w:val="000000" w:themeColor="text1"/>
          <w:szCs w:val="21"/>
          <w14:textFill>
            <w14:solidFill>
              <w14:schemeClr w14:val="tx1"/>
            </w14:solidFill>
          </w14:textFill>
        </w:rPr>
        <w:t>招标文件</w:t>
      </w:r>
      <w:r>
        <w:rPr>
          <w:rFonts w:hint="eastAsia" w:ascii="仿宋" w:hAnsi="仿宋" w:eastAsia="仿宋" w:cs="仿宋"/>
          <w:color w:val="000000" w:themeColor="text1"/>
          <w:szCs w:val="21"/>
          <w:lang w:val="zh-CN"/>
          <w14:textFill>
            <w14:solidFill>
              <w14:schemeClr w14:val="tx1"/>
            </w14:solidFill>
          </w14:textFill>
        </w:rPr>
        <w:t>要求提交投标文件的；</w:t>
      </w:r>
    </w:p>
    <w:p w14:paraId="69EB4839">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7</w:t>
      </w:r>
      <w:r>
        <w:rPr>
          <w:rFonts w:hint="eastAsia" w:ascii="仿宋" w:hAnsi="仿宋" w:eastAsia="仿宋" w:cs="仿宋"/>
          <w:color w:val="000000" w:themeColor="text1"/>
          <w:szCs w:val="21"/>
          <w:lang w:val="zh-CN"/>
          <w14:textFill>
            <w14:solidFill>
              <w14:schemeClr w14:val="tx1"/>
            </w14:solidFill>
          </w14:textFill>
        </w:rPr>
        <w:t>、进口货物（产品）未办理正常进口手续的（如有）；</w:t>
      </w:r>
    </w:p>
    <w:p w14:paraId="46B0E38A">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szCs w:val="21"/>
          <w:lang w:val="zh-CN"/>
          <w14:textFill>
            <w14:solidFill>
              <w14:schemeClr w14:val="tx1"/>
            </w14:solidFill>
          </w14:textFill>
        </w:rPr>
        <w:t>、提供响应内容出现漏项或数量与要求不符的；</w:t>
      </w:r>
    </w:p>
    <w:p w14:paraId="4BF9EC19">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9</w:t>
      </w:r>
      <w:r>
        <w:rPr>
          <w:rFonts w:hint="eastAsia" w:ascii="仿宋" w:hAnsi="仿宋" w:eastAsia="仿宋" w:cs="仿宋"/>
          <w:color w:val="000000" w:themeColor="text1"/>
          <w:szCs w:val="21"/>
          <w:lang w:val="zh-CN"/>
          <w14:textFill>
            <w14:solidFill>
              <w14:schemeClr w14:val="tx1"/>
            </w14:solidFill>
          </w14:textFill>
        </w:rPr>
        <w:t>、响应的</w:t>
      </w:r>
      <w:r>
        <w:rPr>
          <w:rFonts w:hint="eastAsia" w:ascii="仿宋" w:hAnsi="仿宋" w:eastAsia="仿宋" w:cs="仿宋"/>
          <w:color w:val="000000" w:themeColor="text1"/>
          <w:szCs w:val="21"/>
          <w:lang w:eastAsia="zh-CN"/>
          <w14:textFill>
            <w14:solidFill>
              <w14:schemeClr w14:val="tx1"/>
            </w14:solidFill>
          </w14:textFill>
        </w:rPr>
        <w:t>服务</w:t>
      </w:r>
      <w:r>
        <w:rPr>
          <w:rFonts w:hint="eastAsia" w:ascii="仿宋" w:hAnsi="仿宋" w:eastAsia="仿宋" w:cs="仿宋"/>
          <w:color w:val="000000" w:themeColor="text1"/>
          <w:szCs w:val="21"/>
          <w:lang w:val="en-US" w:eastAsia="zh-CN"/>
          <w14:textFill>
            <w14:solidFill>
              <w14:schemeClr w14:val="tx1"/>
            </w14:solidFill>
          </w14:textFill>
        </w:rPr>
        <w:t>周期</w:t>
      </w:r>
      <w:r>
        <w:rPr>
          <w:rFonts w:hint="eastAsia" w:ascii="仿宋" w:hAnsi="仿宋" w:eastAsia="仿宋" w:cs="仿宋"/>
          <w:color w:val="000000" w:themeColor="text1"/>
          <w:szCs w:val="21"/>
          <w:lang w:val="zh-CN"/>
          <w14:textFill>
            <w14:solidFill>
              <w14:schemeClr w14:val="tx1"/>
            </w14:solidFill>
          </w14:textFill>
        </w:rPr>
        <w:t>等商务条款不能满足招标要求的；</w:t>
      </w:r>
    </w:p>
    <w:p w14:paraId="63F428D4">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0</w:t>
      </w:r>
      <w:r>
        <w:rPr>
          <w:rFonts w:hint="eastAsia" w:ascii="仿宋" w:hAnsi="仿宋" w:eastAsia="仿宋" w:cs="仿宋"/>
          <w:color w:val="000000" w:themeColor="text1"/>
          <w:szCs w:val="21"/>
          <w:lang w:val="zh-CN"/>
          <w14:textFill>
            <w14:solidFill>
              <w14:schemeClr w14:val="tx1"/>
            </w14:solidFill>
          </w14:textFill>
        </w:rPr>
        <w:t>、投标人的报价超过了采购人的</w:t>
      </w:r>
      <w:r>
        <w:rPr>
          <w:rFonts w:hint="eastAsia" w:ascii="仿宋" w:hAnsi="仿宋" w:eastAsia="仿宋" w:cs="仿宋"/>
          <w:color w:val="000000" w:themeColor="text1"/>
          <w:szCs w:val="21"/>
          <w14:textFill>
            <w14:solidFill>
              <w14:schemeClr w14:val="tx1"/>
            </w14:solidFill>
          </w14:textFill>
        </w:rPr>
        <w:t>最高限价</w:t>
      </w:r>
      <w:r>
        <w:rPr>
          <w:rFonts w:hint="eastAsia" w:ascii="仿宋" w:hAnsi="仿宋" w:eastAsia="仿宋" w:cs="仿宋"/>
          <w:color w:val="000000" w:themeColor="text1"/>
          <w:szCs w:val="21"/>
          <w:lang w:val="zh-CN"/>
          <w14:textFill>
            <w14:solidFill>
              <w14:schemeClr w14:val="tx1"/>
            </w14:solidFill>
          </w14:textFill>
        </w:rPr>
        <w:t>；</w:t>
      </w:r>
    </w:p>
    <w:p w14:paraId="515F7169">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lang w:val="zh-CN"/>
          <w14:textFill>
            <w14:solidFill>
              <w14:schemeClr w14:val="tx1"/>
            </w14:solidFill>
          </w14:textFill>
        </w:rPr>
        <w:t>、投标文件中附有采购人不能接受的条件；</w:t>
      </w:r>
    </w:p>
    <w:p w14:paraId="33DC77C7">
      <w:pPr>
        <w:pStyle w:val="20"/>
        <w:tabs>
          <w:tab w:val="left" w:pos="600"/>
        </w:tabs>
        <w:snapToGrid w:val="0"/>
        <w:spacing w:after="0" w:line="360" w:lineRule="auto"/>
        <w:ind w:left="0" w:leftChars="0" w:firstLine="420" w:firstLineChars="200"/>
        <w:rPr>
          <w:rFonts w:ascii="仿宋" w:hAnsi="仿宋" w:eastAsia="仿宋" w:cs="仿宋"/>
          <w:b w:val="0"/>
          <w:color w:val="000000" w:themeColor="text1"/>
          <w:kern w:val="2"/>
          <w:sz w:val="21"/>
          <w:szCs w:val="21"/>
          <w:lang w:val="zh-CN"/>
          <w14:textFill>
            <w14:solidFill>
              <w14:schemeClr w14:val="tx1"/>
            </w14:solidFill>
          </w14:textFill>
        </w:rPr>
      </w:pPr>
      <w:r>
        <w:rPr>
          <w:rFonts w:hint="eastAsia" w:ascii="仿宋" w:hAnsi="仿宋" w:eastAsia="仿宋" w:cs="仿宋"/>
          <w:b w:val="0"/>
          <w:color w:val="000000" w:themeColor="text1"/>
          <w:kern w:val="1"/>
          <w:sz w:val="21"/>
          <w:szCs w:val="21"/>
          <w14:textFill>
            <w14:solidFill>
              <w14:schemeClr w14:val="tx1"/>
            </w14:solidFill>
          </w14:textFill>
        </w:rPr>
        <w:t>3.</w:t>
      </w:r>
      <w:r>
        <w:rPr>
          <w:rFonts w:hint="eastAsia" w:ascii="仿宋" w:hAnsi="仿宋" w:eastAsia="仿宋" w:cs="仿宋"/>
          <w:b w:val="0"/>
          <w:color w:val="000000" w:themeColor="text1"/>
          <w:kern w:val="2"/>
          <w:sz w:val="21"/>
          <w:szCs w:val="21"/>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.1.1</w:t>
      </w:r>
      <w:r>
        <w:rPr>
          <w:rFonts w:hint="eastAsia" w:ascii="仿宋" w:hAnsi="仿宋" w:eastAsia="仿宋" w:cs="仿宋"/>
          <w:b w:val="0"/>
          <w:color w:val="000000" w:themeColor="text1"/>
          <w:kern w:val="2"/>
          <w:sz w:val="21"/>
          <w:szCs w:val="21"/>
          <w14:textFill>
            <w14:solidFill>
              <w14:schemeClr w14:val="tx1"/>
            </w14:solidFill>
          </w14:textFill>
        </w:rPr>
        <w:t>2</w:t>
      </w:r>
      <w:r>
        <w:rPr>
          <w:rFonts w:hint="eastAsia" w:ascii="仿宋" w:hAnsi="仿宋" w:eastAsia="仿宋" w:cs="仿宋"/>
          <w:b w:val="0"/>
          <w:color w:val="000000" w:themeColor="text1"/>
          <w:kern w:val="2"/>
          <w:sz w:val="21"/>
          <w:szCs w:val="21"/>
          <w:lang w:val="zh-CN"/>
          <w14:textFill>
            <w14:solidFill>
              <w14:schemeClr w14:val="tx1"/>
            </w14:solidFill>
          </w14:textFill>
        </w:rPr>
        <w:t>、未载明或者载明的采购项目履约时间、方式、质量标准及其他政府采购合同实质性内容与招标文件要求不一致；</w:t>
      </w:r>
    </w:p>
    <w:p w14:paraId="35638B52">
      <w:pPr>
        <w:pStyle w:val="20"/>
        <w:tabs>
          <w:tab w:val="left" w:pos="600"/>
        </w:tabs>
        <w:snapToGrid w:val="0"/>
        <w:spacing w:after="0" w:line="360" w:lineRule="auto"/>
        <w:ind w:left="0" w:leftChars="0" w:firstLine="420" w:firstLineChars="200"/>
        <w:rPr>
          <w:rFonts w:ascii="仿宋" w:hAnsi="仿宋" w:eastAsia="仿宋" w:cs="仿宋"/>
          <w:b w:val="0"/>
          <w:color w:val="000000" w:themeColor="text1"/>
          <w:kern w:val="2"/>
          <w:sz w:val="21"/>
          <w:szCs w:val="21"/>
          <w:lang w:val="zh-CN"/>
          <w14:textFill>
            <w14:solidFill>
              <w14:schemeClr w14:val="tx1"/>
            </w14:solidFill>
          </w14:textFill>
        </w:rPr>
      </w:pPr>
      <w:r>
        <w:rPr>
          <w:rFonts w:hint="eastAsia" w:ascii="仿宋" w:hAnsi="仿宋" w:eastAsia="仿宋" w:cs="仿宋"/>
          <w:b w:val="0"/>
          <w:color w:val="000000" w:themeColor="text1"/>
          <w:kern w:val="1"/>
          <w:sz w:val="21"/>
          <w:szCs w:val="21"/>
          <w14:textFill>
            <w14:solidFill>
              <w14:schemeClr w14:val="tx1"/>
            </w14:solidFill>
          </w14:textFill>
        </w:rPr>
        <w:t>3.</w:t>
      </w:r>
      <w:r>
        <w:rPr>
          <w:rFonts w:hint="eastAsia" w:ascii="仿宋" w:hAnsi="仿宋" w:eastAsia="仿宋" w:cs="仿宋"/>
          <w:b w:val="0"/>
          <w:color w:val="000000" w:themeColor="text1"/>
          <w:kern w:val="2"/>
          <w:sz w:val="21"/>
          <w:szCs w:val="21"/>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.1.1</w:t>
      </w:r>
      <w:r>
        <w:rPr>
          <w:rFonts w:hint="eastAsia" w:ascii="仿宋" w:hAnsi="仿宋" w:eastAsia="仿宋" w:cs="仿宋"/>
          <w:b w:val="0"/>
          <w:color w:val="000000" w:themeColor="text1"/>
          <w:kern w:val="2"/>
          <w:sz w:val="21"/>
          <w:szCs w:val="21"/>
          <w:lang w:val="en-US" w:eastAsia="zh-CN"/>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、投标文件的关键内容字迹模糊和无法辨认的；</w:t>
      </w:r>
    </w:p>
    <w:p w14:paraId="3683761C">
      <w:pPr>
        <w:pStyle w:val="20"/>
        <w:tabs>
          <w:tab w:val="left" w:pos="600"/>
        </w:tabs>
        <w:snapToGrid w:val="0"/>
        <w:spacing w:after="0" w:line="360" w:lineRule="auto"/>
        <w:ind w:left="0" w:leftChars="0" w:firstLine="420" w:firstLineChars="200"/>
        <w:rPr>
          <w:rFonts w:ascii="仿宋" w:hAnsi="仿宋" w:eastAsia="仿宋" w:cs="仿宋"/>
          <w:b w:val="0"/>
          <w:color w:val="000000" w:themeColor="text1"/>
          <w:kern w:val="2"/>
          <w:sz w:val="21"/>
          <w:szCs w:val="21"/>
          <w:lang w:val="zh-CN"/>
          <w14:textFill>
            <w14:solidFill>
              <w14:schemeClr w14:val="tx1"/>
            </w14:solidFill>
          </w14:textFill>
        </w:rPr>
      </w:pPr>
      <w:r>
        <w:rPr>
          <w:rFonts w:hint="eastAsia" w:ascii="仿宋" w:hAnsi="仿宋" w:eastAsia="仿宋" w:cs="仿宋"/>
          <w:b w:val="0"/>
          <w:color w:val="000000" w:themeColor="text1"/>
          <w:kern w:val="1"/>
          <w:sz w:val="21"/>
          <w:szCs w:val="21"/>
          <w14:textFill>
            <w14:solidFill>
              <w14:schemeClr w14:val="tx1"/>
            </w14:solidFill>
          </w14:textFill>
        </w:rPr>
        <w:t>3.</w:t>
      </w:r>
      <w:r>
        <w:rPr>
          <w:rFonts w:hint="eastAsia" w:ascii="仿宋" w:hAnsi="仿宋" w:eastAsia="仿宋" w:cs="仿宋"/>
          <w:b w:val="0"/>
          <w:color w:val="000000" w:themeColor="text1"/>
          <w:kern w:val="2"/>
          <w:sz w:val="21"/>
          <w:szCs w:val="21"/>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.1.1</w:t>
      </w:r>
      <w:r>
        <w:rPr>
          <w:rFonts w:hint="eastAsia" w:ascii="仿宋" w:hAnsi="仿宋" w:eastAsia="仿宋" w:cs="仿宋"/>
          <w:b w:val="0"/>
          <w:color w:val="000000" w:themeColor="text1"/>
          <w:kern w:val="2"/>
          <w:sz w:val="21"/>
          <w:szCs w:val="21"/>
          <w:lang w:val="en-US" w:eastAsia="zh-CN"/>
          <w14:textFill>
            <w14:solidFill>
              <w14:schemeClr w14:val="tx1"/>
            </w14:solidFill>
          </w14:textFill>
        </w:rPr>
        <w:t>4</w:t>
      </w:r>
      <w:r>
        <w:rPr>
          <w:rFonts w:hint="eastAsia" w:ascii="仿宋" w:hAnsi="仿宋" w:eastAsia="仿宋" w:cs="仿宋"/>
          <w:b w:val="0"/>
          <w:color w:val="000000" w:themeColor="text1"/>
          <w:kern w:val="2"/>
          <w:sz w:val="21"/>
          <w:szCs w:val="21"/>
          <w:lang w:val="zh-CN"/>
          <w14:textFill>
            <w14:solidFill>
              <w14:schemeClr w14:val="tx1"/>
            </w14:solidFill>
          </w14:textFill>
        </w:rPr>
        <w:t>、投标文件不符合招标文件规定的其他情形的；</w:t>
      </w:r>
    </w:p>
    <w:p w14:paraId="6F28B633">
      <w:pPr>
        <w:pStyle w:val="20"/>
        <w:tabs>
          <w:tab w:val="left" w:pos="600"/>
        </w:tabs>
        <w:snapToGrid w:val="0"/>
        <w:spacing w:after="0" w:line="360" w:lineRule="auto"/>
        <w:ind w:left="0" w:leftChars="0" w:firstLine="420" w:firstLineChars="200"/>
        <w:rPr>
          <w:rFonts w:ascii="仿宋" w:hAnsi="仿宋" w:eastAsia="仿宋" w:cs="仿宋"/>
          <w:b w:val="0"/>
          <w:color w:val="000000" w:themeColor="text1"/>
          <w:kern w:val="2"/>
          <w:sz w:val="21"/>
          <w:szCs w:val="21"/>
          <w:lang w:val="zh-CN"/>
          <w14:textFill>
            <w14:solidFill>
              <w14:schemeClr w14:val="tx1"/>
            </w14:solidFill>
          </w14:textFill>
        </w:rPr>
      </w:pPr>
      <w:r>
        <w:rPr>
          <w:rFonts w:hint="eastAsia" w:ascii="仿宋" w:hAnsi="仿宋" w:eastAsia="仿宋" w:cs="仿宋"/>
          <w:b w:val="0"/>
          <w:color w:val="000000" w:themeColor="text1"/>
          <w:kern w:val="1"/>
          <w:sz w:val="21"/>
          <w:szCs w:val="21"/>
          <w14:textFill>
            <w14:solidFill>
              <w14:schemeClr w14:val="tx1"/>
            </w14:solidFill>
          </w14:textFill>
        </w:rPr>
        <w:t>3.</w:t>
      </w:r>
      <w:r>
        <w:rPr>
          <w:rFonts w:hint="eastAsia" w:ascii="仿宋" w:hAnsi="仿宋" w:eastAsia="仿宋" w:cs="仿宋"/>
          <w:b w:val="0"/>
          <w:color w:val="000000" w:themeColor="text1"/>
          <w:kern w:val="2"/>
          <w:sz w:val="21"/>
          <w:szCs w:val="21"/>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.1.1</w:t>
      </w:r>
      <w:r>
        <w:rPr>
          <w:rFonts w:hint="eastAsia" w:ascii="仿宋" w:hAnsi="仿宋" w:eastAsia="仿宋" w:cs="仿宋"/>
          <w:b w:val="0"/>
          <w:color w:val="000000" w:themeColor="text1"/>
          <w:kern w:val="2"/>
          <w:sz w:val="21"/>
          <w:szCs w:val="21"/>
          <w:lang w:val="en-US" w:eastAsia="zh-CN"/>
          <w14:textFill>
            <w14:solidFill>
              <w14:schemeClr w14:val="tx1"/>
            </w14:solidFill>
          </w14:textFill>
        </w:rPr>
        <w:t>5</w:t>
      </w:r>
      <w:r>
        <w:rPr>
          <w:rFonts w:hint="eastAsia" w:ascii="仿宋" w:hAnsi="仿宋" w:eastAsia="仿宋" w:cs="仿宋"/>
          <w:b w:val="0"/>
          <w:color w:val="000000" w:themeColor="text1"/>
          <w:kern w:val="2"/>
          <w:sz w:val="21"/>
          <w:szCs w:val="21"/>
          <w:lang w:val="zh-CN"/>
          <w14:textFill>
            <w14:solidFill>
              <w14:schemeClr w14:val="tx1"/>
            </w14:solidFill>
          </w14:textFill>
        </w:rPr>
        <w:t>、投标文件不符合法律法规要求的。</w:t>
      </w:r>
    </w:p>
    <w:p w14:paraId="4C194CF2">
      <w:pPr>
        <w:widowControl/>
        <w:autoSpaceDE w:val="0"/>
        <w:autoSpaceDN w:val="0"/>
        <w:snapToGrid w:val="0"/>
        <w:spacing w:line="360" w:lineRule="auto"/>
        <w:textAlignment w:val="bottom"/>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3.4、特殊情况的处理</w:t>
      </w:r>
    </w:p>
    <w:p w14:paraId="5D745039">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.1、投标文件中如果出现前后不一致的，按照下列规定修正：</w:t>
      </w:r>
    </w:p>
    <w:p w14:paraId="6AB66E21">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.1.1、投标文件中的大写金额与小写金额不一致的，以大写金额为准；</w:t>
      </w:r>
    </w:p>
    <w:p w14:paraId="507EAB47">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.1.2、投标文件中的总报价与按单价计算的汇总报价不一致的，以单价计算的汇总报价为准；</w:t>
      </w:r>
    </w:p>
    <w:p w14:paraId="37A01361">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.1.3、投标文件中的报价有明显小数点错误的，以总报价为准，并修改报价；</w:t>
      </w:r>
    </w:p>
    <w:p w14:paraId="6F465822">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.1.4、投标文件中图表与文字表述不一致的，以文字表述为准；</w:t>
      </w:r>
    </w:p>
    <w:p w14:paraId="69755F86">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.1.5、投标文件正本与副本不一致的，以正本为准；</w:t>
      </w:r>
    </w:p>
    <w:p w14:paraId="3E1754E5">
      <w:pPr>
        <w:pStyle w:val="12"/>
        <w:snapToGrid w:val="0"/>
        <w:spacing w:line="360" w:lineRule="auto"/>
        <w:ind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.1.6、对不同文字文本投标文件的解释发生异议的，以中文文本为准。</w:t>
      </w:r>
    </w:p>
    <w:p w14:paraId="4B33ADB9">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.1.7、按上述修正错误的方法调整的报价应对投标人具有约束力。如果投标人不接受修正后的价格，投标文件按无效处理。</w:t>
      </w:r>
    </w:p>
    <w:p w14:paraId="1F867037">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.2、 投标文件中，若某项内容为零报价、无报价，经评标委员会评审后，报价得分为零，不参与投标报价分值的计算。</w:t>
      </w:r>
    </w:p>
    <w:p w14:paraId="67D5E9F7">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.3、评标过程中，若出现本评审办法以外的特殊情况时，将暂停评标，待评标委员会商榷后，再进行评定。</w:t>
      </w:r>
    </w:p>
    <w:p w14:paraId="29F53E90">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.4、评标结果汇总完成后，除下列情形外，任何人不得修改评标结果：</w:t>
      </w:r>
    </w:p>
    <w:p w14:paraId="3AD3CE91">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.4.1、分值汇总计算错误的；</w:t>
      </w:r>
    </w:p>
    <w:p w14:paraId="308840D8">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.4.2、分项评分超出评分标准范围的；</w:t>
      </w:r>
    </w:p>
    <w:p w14:paraId="20A07680">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.4.3、评标委员会对客观评标因素评分不一致的；</w:t>
      </w:r>
    </w:p>
    <w:p w14:paraId="08C11532">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.4.4、经评标委员会认定评分畸高、畸低的。</w:t>
      </w:r>
    </w:p>
    <w:p w14:paraId="719A9EEE">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5、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中标结果的，书面报采购人本级财政部门认定。</w:t>
      </w:r>
    </w:p>
    <w:p w14:paraId="722D4AFE">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6、排名第一的中标候选人，主动放弃中标或因不可抗力不能履行合同、或被查实存在影响中标结果的违法行为等情形，已不再符合中标条件的，采购人可以按照评标委员会提出的中标候选人名单排序依次确定第二中标候选人为中标人 ，也可以根据实际情况需要，依法重新组织采购活动。</w:t>
      </w:r>
    </w:p>
    <w:p w14:paraId="4EB48209">
      <w:pPr>
        <w:widowControl/>
        <w:autoSpaceDE w:val="0"/>
        <w:autoSpaceDN w:val="0"/>
        <w:snapToGrid w:val="0"/>
        <w:spacing w:line="360" w:lineRule="auto"/>
        <w:ind w:firstLine="361" w:firstLineChars="150"/>
        <w:textAlignment w:val="bottom"/>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四、中标结果</w:t>
      </w:r>
      <w:bookmarkEnd w:id="234"/>
    </w:p>
    <w:p w14:paraId="56CB498A">
      <w:pPr>
        <w:widowControl/>
        <w:snapToGrid w:val="0"/>
        <w:spacing w:line="360" w:lineRule="auto"/>
        <w:ind w:firstLine="316" w:firstLineChars="150"/>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4.1、中标原则</w:t>
      </w:r>
    </w:p>
    <w:p w14:paraId="553A3EAA">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采购人从</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报告中推荐的中标候选人中，按照排序由高到低的原则确定中标人。</w:t>
      </w:r>
    </w:p>
    <w:p w14:paraId="4D19CC32">
      <w:pPr>
        <w:widowControl/>
        <w:snapToGrid w:val="0"/>
        <w:spacing w:line="360" w:lineRule="auto"/>
        <w:ind w:firstLine="316" w:firstLineChars="150"/>
        <w:jc w:val="left"/>
        <w:rPr>
          <w:rFonts w:ascii="仿宋" w:hAnsi="仿宋" w:eastAsia="仿宋" w:cs="仿宋"/>
          <w:b/>
          <w:color w:val="000000" w:themeColor="text1"/>
          <w:szCs w:val="21"/>
          <w14:textFill>
            <w14:solidFill>
              <w14:schemeClr w14:val="tx1"/>
            </w14:solidFill>
          </w14:textFill>
        </w:rPr>
      </w:pPr>
      <w:bookmarkStart w:id="235" w:name="_Toc183682375"/>
      <w:bookmarkStart w:id="236" w:name="_Toc183582238"/>
      <w:bookmarkStart w:id="237" w:name="_Toc217446063"/>
      <w:r>
        <w:rPr>
          <w:rFonts w:hint="eastAsia" w:ascii="仿宋" w:hAnsi="仿宋" w:eastAsia="仿宋" w:cs="仿宋"/>
          <w:b/>
          <w:color w:val="000000" w:themeColor="text1"/>
          <w:szCs w:val="21"/>
          <w14:textFill>
            <w14:solidFill>
              <w14:schemeClr w14:val="tx1"/>
            </w14:solidFill>
          </w14:textFill>
        </w:rPr>
        <w:t>4.2、确定中标候选人</w:t>
      </w:r>
    </w:p>
    <w:p w14:paraId="0EBDC3F8">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.1、评标委员会将</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情况写出书面报告，至少推荐3名以上中标候选人 ，并按照综合得分高低标明排列顺序，综合得分相同的，按投标报价由低到高顺序排列；得分且投标报价相同的，按技术指标优劣顺序排列，以上全部相同的，由评标委员会投票决定。</w:t>
      </w:r>
    </w:p>
    <w:p w14:paraId="799A92F5">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.2、采购代理机构应当在</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结束后2个工作日内将</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报告送采购人确认。</w:t>
      </w:r>
    </w:p>
    <w:p w14:paraId="4723196E">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.3、采购人在收到</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报告后5个工作日内，按照</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报告推荐的中标候选人顺序和有关规定确定中标人。</w:t>
      </w:r>
    </w:p>
    <w:p w14:paraId="52017CB6">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采购人或者</w:t>
      </w:r>
      <w:r>
        <w:rPr>
          <w:rFonts w:hint="eastAsia" w:ascii="仿宋" w:hAnsi="仿宋" w:eastAsia="仿宋" w:cs="仿宋"/>
          <w:color w:val="000000" w:themeColor="text1"/>
          <w:szCs w:val="21"/>
          <w:lang w:val="zh-CN"/>
          <w14:textFill>
            <w14:solidFill>
              <w14:schemeClr w14:val="tx1"/>
            </w14:solidFill>
          </w14:textFill>
        </w:rPr>
        <w:t>采购代理机构</w:t>
      </w:r>
      <w:r>
        <w:rPr>
          <w:rFonts w:hint="eastAsia" w:ascii="仿宋" w:hAnsi="仿宋" w:eastAsia="仿宋" w:cs="仿宋"/>
          <w:color w:val="000000" w:themeColor="text1"/>
          <w:szCs w:val="21"/>
          <w14:textFill>
            <w14:solidFill>
              <w14:schemeClr w14:val="tx1"/>
            </w14:solidFill>
          </w14:textFill>
        </w:rPr>
        <w:t>应当自</w:t>
      </w:r>
      <w:r>
        <w:rPr>
          <w:rFonts w:hint="eastAsia" w:ascii="仿宋" w:hAnsi="仿宋" w:eastAsia="仿宋" w:cs="仿宋"/>
          <w:color w:val="000000" w:themeColor="text1"/>
          <w:szCs w:val="21"/>
          <w:lang w:val="zh-CN"/>
          <w14:textFill>
            <w14:solidFill>
              <w14:schemeClr w14:val="tx1"/>
            </w14:solidFill>
          </w14:textFill>
        </w:rPr>
        <w:t>中标人</w:t>
      </w:r>
      <w:r>
        <w:rPr>
          <w:rFonts w:hint="eastAsia" w:ascii="仿宋" w:hAnsi="仿宋" w:eastAsia="仿宋" w:cs="仿宋"/>
          <w:color w:val="000000" w:themeColor="text1"/>
          <w:szCs w:val="21"/>
          <w14:textFill>
            <w14:solidFill>
              <w14:schemeClr w14:val="tx1"/>
            </w14:solidFill>
          </w14:textFill>
        </w:rPr>
        <w:t>确定</w:t>
      </w:r>
      <w:r>
        <w:rPr>
          <w:rFonts w:hint="eastAsia" w:ascii="仿宋" w:hAnsi="仿宋" w:eastAsia="仿宋" w:cs="仿宋"/>
          <w:color w:val="000000" w:themeColor="text1"/>
          <w:szCs w:val="21"/>
          <w:lang w:val="zh-CN"/>
          <w14:textFill>
            <w14:solidFill>
              <w14:schemeClr w14:val="tx1"/>
            </w14:solidFill>
          </w14:textFill>
        </w:rPr>
        <w:t>之日起2个工作日内，在财政部门指定的媒体《陕西省政府采购网》发布采购结果公告，同时向中标人发出《中标通知书》。</w:t>
      </w:r>
    </w:p>
    <w:p w14:paraId="44B677D8">
      <w:pPr>
        <w:snapToGrid w:val="0"/>
        <w:spacing w:line="360" w:lineRule="auto"/>
        <w:ind w:firstLine="315"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.5、采购代理机构将</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过程与采购人情况书面报送有关监督机构备案</w:t>
      </w:r>
      <w:r>
        <w:rPr>
          <w:rFonts w:hint="eastAsia" w:ascii="仿宋" w:hAnsi="仿宋" w:eastAsia="仿宋" w:cs="仿宋"/>
          <w:color w:val="000000" w:themeColor="text1"/>
          <w:szCs w:val="21"/>
          <w14:textFill>
            <w14:solidFill>
              <w14:schemeClr w14:val="tx1"/>
            </w14:solidFill>
          </w14:textFill>
        </w:rPr>
        <w:t>。</w:t>
      </w:r>
    </w:p>
    <w:bookmarkEnd w:id="235"/>
    <w:bookmarkEnd w:id="236"/>
    <w:bookmarkEnd w:id="237"/>
    <w:p w14:paraId="74A7E11E">
      <w:pPr>
        <w:widowControl/>
        <w:snapToGrid w:val="0"/>
        <w:spacing w:line="360" w:lineRule="auto"/>
        <w:ind w:firstLine="316" w:firstLineChars="150"/>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4.3、中标通知书</w:t>
      </w:r>
    </w:p>
    <w:p w14:paraId="30EDEA53">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w:t>
      </w:r>
      <w:r>
        <w:rPr>
          <w:rFonts w:hint="eastAsia" w:ascii="仿宋" w:hAnsi="仿宋" w:eastAsia="仿宋" w:cs="仿宋"/>
          <w:color w:val="000000" w:themeColor="text1"/>
          <w:szCs w:val="21"/>
          <w:lang w:val="zh-CN"/>
          <w14:textFill>
            <w14:solidFill>
              <w14:schemeClr w14:val="tx1"/>
            </w14:solidFill>
          </w14:textFill>
        </w:rPr>
        <w:t>.1、中标通知书是合同文件的组成部分，对采购人和中标人 具有同等法律效力。中标通知书发出后，采购人改变中标结果或者中标人放弃</w:t>
      </w:r>
      <w:r>
        <w:rPr>
          <w:rFonts w:hint="eastAsia" w:ascii="仿宋" w:hAnsi="仿宋" w:eastAsia="仿宋" w:cs="仿宋"/>
          <w:color w:val="000000" w:themeColor="text1"/>
          <w:szCs w:val="21"/>
          <w14:textFill>
            <w14:solidFill>
              <w14:schemeClr w14:val="tx1"/>
            </w14:solidFill>
          </w14:textFill>
        </w:rPr>
        <w:t>中标</w:t>
      </w:r>
      <w:r>
        <w:rPr>
          <w:rFonts w:hint="eastAsia" w:ascii="仿宋" w:hAnsi="仿宋" w:eastAsia="仿宋" w:cs="仿宋"/>
          <w:color w:val="000000" w:themeColor="text1"/>
          <w:szCs w:val="21"/>
          <w:lang w:val="zh-CN"/>
          <w14:textFill>
            <w14:solidFill>
              <w14:schemeClr w14:val="tx1"/>
            </w14:solidFill>
          </w14:textFill>
        </w:rPr>
        <w:t>，应按相关法律、规章、规范性文件的要求承担相应的法律责任。</w:t>
      </w:r>
    </w:p>
    <w:p w14:paraId="252F9B5D">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w:t>
      </w:r>
      <w:r>
        <w:rPr>
          <w:rFonts w:hint="eastAsia" w:ascii="仿宋" w:hAnsi="仿宋" w:eastAsia="仿宋" w:cs="仿宋"/>
          <w:color w:val="000000" w:themeColor="text1"/>
          <w:szCs w:val="21"/>
          <w:lang w:val="zh-CN"/>
          <w14:textFill>
            <w14:solidFill>
              <w14:schemeClr w14:val="tx1"/>
            </w14:solidFill>
          </w14:textFill>
        </w:rPr>
        <w:t>.2、中标人应当在接到采购代理机构通知之日起5个工作日内，领取《中标通知书》。</w:t>
      </w:r>
    </w:p>
    <w:p w14:paraId="1B7D7A7E">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w:t>
      </w:r>
      <w:r>
        <w:rPr>
          <w:rFonts w:hint="eastAsia" w:ascii="仿宋" w:hAnsi="仿宋" w:eastAsia="仿宋" w:cs="仿宋"/>
          <w:color w:val="000000" w:themeColor="text1"/>
          <w:szCs w:val="21"/>
          <w:lang w:val="zh-CN"/>
          <w14:textFill>
            <w14:solidFill>
              <w14:schemeClr w14:val="tx1"/>
            </w14:solidFill>
          </w14:textFill>
        </w:rPr>
        <w:t>.3、在《中标通知书》发出后，发现中标人有政府采购法律法规规章制度规定的中标无效情形的，采购代理机构在取得有权主体认定后，应当宣布发出的中标通知书无效，并收回发出的中标通知书（中标人也应当缴回），依法重新确定中标人或者重新开展采购活动。</w:t>
      </w:r>
    </w:p>
    <w:p w14:paraId="29A9AD47">
      <w:pPr>
        <w:pStyle w:val="2"/>
        <w:spacing w:line="360" w:lineRule="auto"/>
        <w:ind w:firstLine="1807" w:firstLineChars="500"/>
        <w:jc w:val="both"/>
        <w:rPr>
          <w:rFonts w:hint="eastAsia" w:ascii="黑体" w:hAnsi="黑体" w:eastAsia="黑体" w:cs="黑体"/>
          <w:color w:val="000000" w:themeColor="text1"/>
          <w:szCs w:val="36"/>
          <w14:textFill>
            <w14:solidFill>
              <w14:schemeClr w14:val="tx1"/>
            </w14:solidFill>
          </w14:textFill>
        </w:rPr>
      </w:pPr>
    </w:p>
    <w:p w14:paraId="20A801FE">
      <w:pPr>
        <w:pStyle w:val="2"/>
        <w:spacing w:line="360" w:lineRule="auto"/>
        <w:ind w:firstLine="1807" w:firstLineChars="500"/>
        <w:jc w:val="both"/>
        <w:rPr>
          <w:rFonts w:hint="eastAsia" w:ascii="黑体" w:hAnsi="黑体" w:eastAsia="黑体" w:cs="黑体"/>
          <w:color w:val="000000" w:themeColor="text1"/>
          <w:szCs w:val="36"/>
          <w14:textFill>
            <w14:solidFill>
              <w14:schemeClr w14:val="tx1"/>
            </w14:solidFill>
          </w14:textFill>
        </w:rPr>
      </w:pPr>
    </w:p>
    <w:p w14:paraId="13883797">
      <w:pPr>
        <w:pStyle w:val="2"/>
        <w:spacing w:line="360" w:lineRule="auto"/>
        <w:ind w:firstLine="1807" w:firstLineChars="500"/>
        <w:jc w:val="both"/>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Cs w:val="36"/>
          <w14:textFill>
            <w14:solidFill>
              <w14:schemeClr w14:val="tx1"/>
            </w14:solidFill>
          </w14:textFill>
        </w:rPr>
        <w:t xml:space="preserve">第四章 </w:t>
      </w:r>
      <w:bookmarkStart w:id="238" w:name="_Toc21079"/>
      <w:bookmarkStart w:id="239" w:name="_Toc7827"/>
      <w:r>
        <w:rPr>
          <w:rFonts w:hint="eastAsia" w:ascii="黑体" w:hAnsi="黑体" w:eastAsia="黑体" w:cs="黑体"/>
          <w:color w:val="000000" w:themeColor="text1"/>
          <w:szCs w:val="36"/>
          <w14:textFill>
            <w14:solidFill>
              <w14:schemeClr w14:val="tx1"/>
            </w14:solidFill>
          </w14:textFill>
        </w:rPr>
        <w:t>采购内容及</w:t>
      </w:r>
      <w:bookmarkEnd w:id="51"/>
      <w:bookmarkEnd w:id="52"/>
      <w:bookmarkStart w:id="240" w:name="_Toc531189844"/>
      <w:bookmarkStart w:id="241" w:name="_Toc105649520"/>
      <w:bookmarkStart w:id="242" w:name="_Toc105649645"/>
      <w:bookmarkStart w:id="243" w:name="_Toc175973405"/>
      <w:r>
        <w:rPr>
          <w:rFonts w:hint="eastAsia" w:ascii="黑体" w:hAnsi="黑体" w:eastAsia="黑体" w:cs="黑体"/>
          <w:color w:val="000000" w:themeColor="text1"/>
          <w:szCs w:val="36"/>
          <w14:textFill>
            <w14:solidFill>
              <w14:schemeClr w14:val="tx1"/>
            </w14:solidFill>
          </w14:textFill>
        </w:rPr>
        <w:t>具体要求</w:t>
      </w:r>
      <w:bookmarkEnd w:id="53"/>
      <w:bookmarkEnd w:id="54"/>
      <w:bookmarkEnd w:id="205"/>
      <w:bookmarkEnd w:id="206"/>
      <w:bookmarkEnd w:id="207"/>
      <w:bookmarkEnd w:id="208"/>
      <w:bookmarkEnd w:id="209"/>
      <w:bookmarkEnd w:id="210"/>
      <w:bookmarkEnd w:id="211"/>
      <w:bookmarkEnd w:id="212"/>
      <w:bookmarkEnd w:id="213"/>
      <w:bookmarkEnd w:id="214"/>
      <w:bookmarkEnd w:id="215"/>
      <w:bookmarkEnd w:id="216"/>
      <w:bookmarkEnd w:id="238"/>
      <w:bookmarkEnd w:id="239"/>
      <w:bookmarkEnd w:id="240"/>
      <w:bookmarkStart w:id="244" w:name="_Toc244931129"/>
      <w:bookmarkStart w:id="245" w:name="_Toc531189845"/>
    </w:p>
    <w:p w14:paraId="6CA93DA2">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410" w:firstLineChars="150"/>
        <w:textAlignment w:val="auto"/>
        <w:rPr>
          <w:rFonts w:hint="eastAsia" w:ascii="仿宋" w:hAnsi="仿宋" w:eastAsia="仿宋" w:cs="仿宋"/>
          <w:color w:val="000000" w:themeColor="text1"/>
          <w:spacing w:val="-4"/>
          <w:sz w:val="28"/>
          <w:szCs w:val="28"/>
          <w14:textFill>
            <w14:solidFill>
              <w14:schemeClr w14:val="tx1"/>
            </w14:solidFill>
          </w14:textFill>
        </w:rPr>
      </w:pPr>
      <w:bookmarkStart w:id="246" w:name="_Toc8012_WPSOffice_Level1"/>
      <w:bookmarkStart w:id="247" w:name="_Toc25000"/>
      <w:bookmarkStart w:id="248" w:name="_Toc21609"/>
      <w:bookmarkStart w:id="249" w:name="_Toc14220"/>
      <w:bookmarkStart w:id="250" w:name="_Toc30115"/>
      <w:bookmarkStart w:id="251" w:name="_Toc4796"/>
      <w:bookmarkStart w:id="252" w:name="_Toc27066"/>
      <w:bookmarkStart w:id="253" w:name="_Toc16567_WPSOffice_Level1"/>
      <w:bookmarkStart w:id="254" w:name="_Toc14038"/>
      <w:bookmarkStart w:id="255" w:name="_Toc12748"/>
      <w:bookmarkStart w:id="256" w:name="_Toc31891"/>
      <w:bookmarkStart w:id="257" w:name="_Toc25746"/>
      <w:bookmarkStart w:id="258" w:name="_Toc5561"/>
      <w:bookmarkStart w:id="259" w:name="_Toc4553_WPSOffice_Level1"/>
      <w:bookmarkStart w:id="260" w:name="_Toc2462"/>
      <w:bookmarkStart w:id="261" w:name="_Toc8778"/>
      <w:r>
        <w:rPr>
          <w:rFonts w:hint="eastAsia" w:ascii="仿宋" w:hAnsi="仿宋" w:eastAsia="仿宋" w:cs="仿宋"/>
          <w:color w:val="000000" w:themeColor="text1"/>
          <w:spacing w:val="-4"/>
          <w:sz w:val="28"/>
          <w:szCs w:val="28"/>
          <w14:textFill>
            <w14:solidFill>
              <w14:schemeClr w14:val="tx1"/>
            </w14:solidFill>
          </w14:textFill>
        </w:rPr>
        <w:t>一、项目概况</w:t>
      </w:r>
    </w:p>
    <w:p w14:paraId="430153F9">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24" w:firstLineChars="150"/>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供应商</w:t>
      </w:r>
      <w:r>
        <w:rPr>
          <w:rFonts w:hint="eastAsia" w:ascii="仿宋" w:hAnsi="仿宋" w:eastAsia="仿宋" w:cs="仿宋"/>
          <w:b w:val="0"/>
          <w:bCs w:val="0"/>
          <w:color w:val="000000" w:themeColor="text1"/>
          <w:spacing w:val="3"/>
          <w:sz w:val="21"/>
          <w:szCs w:val="21"/>
          <w14:textFill>
            <w14:solidFill>
              <w14:schemeClr w14:val="tx1"/>
            </w14:solidFill>
          </w14:textFill>
        </w:rPr>
        <w:t>负责日常原材料的采购和配送，主要内容为学校所需的</w:t>
      </w:r>
      <w:r>
        <w:rPr>
          <w:rFonts w:hint="eastAsia" w:ascii="仿宋" w:hAnsi="仿宋" w:eastAsia="仿宋" w:cs="仿宋"/>
          <w:b w:val="0"/>
          <w:bCs w:val="0"/>
          <w:color w:val="000000" w:themeColor="text1"/>
          <w:spacing w:val="3"/>
          <w:sz w:val="21"/>
          <w:szCs w:val="21"/>
          <w:lang w:eastAsia="zh-CN"/>
          <w14:textFill>
            <w14:solidFill>
              <w14:schemeClr w14:val="tx1"/>
            </w14:solidFill>
          </w14:textFill>
        </w:rPr>
        <w:t>蔬菜</w:t>
      </w:r>
      <w:r>
        <w:rPr>
          <w:rFonts w:hint="eastAsia" w:ascii="仿宋" w:hAnsi="仿宋" w:eastAsia="仿宋" w:cs="仿宋"/>
          <w:b w:val="0"/>
          <w:bCs w:val="0"/>
          <w:color w:val="000000" w:themeColor="text1"/>
          <w:spacing w:val="3"/>
          <w:sz w:val="21"/>
          <w:szCs w:val="21"/>
          <w14:textFill>
            <w14:solidFill>
              <w14:schemeClr w14:val="tx1"/>
            </w14:solidFill>
          </w14:textFill>
        </w:rPr>
        <w:t>、调料的采购及配送服务。</w:t>
      </w:r>
    </w:p>
    <w:p w14:paraId="6C04F729">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410" w:firstLineChars="150"/>
        <w:textAlignment w:val="auto"/>
        <w:rPr>
          <w:rFonts w:hint="eastAsia" w:ascii="仿宋" w:hAnsi="仿宋" w:eastAsia="仿宋" w:cs="仿宋"/>
          <w:color w:val="000000" w:themeColor="text1"/>
          <w:spacing w:val="-4"/>
          <w:sz w:val="28"/>
          <w:szCs w:val="28"/>
          <w:lang w:val="en-US" w:eastAsia="zh-CN"/>
          <w14:textFill>
            <w14:solidFill>
              <w14:schemeClr w14:val="tx1"/>
            </w14:solidFill>
          </w14:textFill>
        </w:rPr>
      </w:pPr>
      <w:r>
        <w:rPr>
          <w:rFonts w:hint="eastAsia" w:ascii="仿宋" w:hAnsi="仿宋" w:eastAsia="仿宋" w:cs="仿宋"/>
          <w:color w:val="000000" w:themeColor="text1"/>
          <w:spacing w:val="-4"/>
          <w:sz w:val="28"/>
          <w:szCs w:val="28"/>
          <w:lang w:val="en-US" w:eastAsia="zh-CN"/>
          <w14:textFill>
            <w14:solidFill>
              <w14:schemeClr w14:val="tx1"/>
            </w14:solidFill>
          </w14:textFill>
        </w:rPr>
        <w:t>二、服务要求</w:t>
      </w:r>
    </w:p>
    <w:p w14:paraId="17748DFD">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4" w:firstLineChars="150"/>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lang w:val="en-US" w:eastAsia="zh-CN"/>
          <w14:textFill>
            <w14:solidFill>
              <w14:schemeClr w14:val="tx1"/>
            </w14:solidFill>
          </w14:textFill>
        </w:rPr>
        <w:t>一</w:t>
      </w: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14:textFill>
            <w14:solidFill>
              <w14:schemeClr w14:val="tx1"/>
            </w14:solidFill>
          </w14:textFill>
        </w:rPr>
        <w:t>配送</w:t>
      </w:r>
      <w:r>
        <w:rPr>
          <w:rFonts w:hint="eastAsia" w:ascii="仿宋" w:hAnsi="仿宋" w:eastAsia="仿宋" w:cs="仿宋"/>
          <w:color w:val="000000" w:themeColor="text1"/>
          <w:spacing w:val="-4"/>
          <w:sz w:val="21"/>
          <w:szCs w:val="21"/>
          <w:lang w:val="en-US" w:eastAsia="zh-CN"/>
          <w14:textFill>
            <w14:solidFill>
              <w14:schemeClr w14:val="tx1"/>
            </w14:solidFill>
          </w14:textFill>
        </w:rPr>
        <w:t>区域信息</w:t>
      </w:r>
    </w:p>
    <w:tbl>
      <w:tblPr>
        <w:tblStyle w:val="41"/>
        <w:tblW w:w="8582" w:type="dxa"/>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1"/>
        <w:gridCol w:w="4291"/>
      </w:tblGrid>
      <w:tr w14:paraId="7B5D3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291" w:type="dxa"/>
            <w:noWrap w:val="0"/>
            <w:vAlign w:val="top"/>
          </w:tcPr>
          <w:p w14:paraId="5951661F">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4" w:firstLineChars="15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配送区域</w:t>
            </w:r>
          </w:p>
        </w:tc>
        <w:tc>
          <w:tcPr>
            <w:tcW w:w="4291" w:type="dxa"/>
            <w:noWrap w:val="0"/>
            <w:vAlign w:val="top"/>
          </w:tcPr>
          <w:p w14:paraId="655A471E">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4" w:firstLineChars="150"/>
              <w:jc w:val="center"/>
              <w:textAlignment w:val="auto"/>
              <w:rPr>
                <w:rFonts w:hint="default" w:ascii="仿宋" w:hAnsi="仿宋" w:eastAsia="仿宋" w:cs="仿宋"/>
                <w:b/>
                <w:color w:val="000000" w:themeColor="text1"/>
                <w:spacing w:val="-4"/>
                <w:sz w:val="21"/>
                <w:szCs w:val="21"/>
                <w:lang w:val="en-US" w:eastAsia="zh-CN"/>
                <w14:textFill>
                  <w14:solidFill>
                    <w14:schemeClr w14:val="tx1"/>
                  </w14:solidFill>
                </w14:textFill>
              </w:rPr>
            </w:pPr>
            <w:r>
              <w:rPr>
                <w:rFonts w:hint="eastAsia" w:ascii="仿宋" w:hAnsi="仿宋" w:eastAsia="仿宋" w:cs="仿宋"/>
                <w:b/>
                <w:color w:val="000000" w:themeColor="text1"/>
                <w:spacing w:val="-4"/>
                <w:sz w:val="21"/>
                <w:szCs w:val="21"/>
                <w:lang w:val="en-US" w:eastAsia="zh-CN"/>
                <w14:textFill>
                  <w14:solidFill>
                    <w14:schemeClr w14:val="tx1"/>
                  </w14:solidFill>
                </w14:textFill>
              </w:rPr>
              <w:t>就餐人数</w:t>
            </w:r>
          </w:p>
        </w:tc>
      </w:tr>
      <w:tr w14:paraId="0D4F0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291" w:type="dxa"/>
            <w:noWrap w:val="0"/>
            <w:vAlign w:val="center"/>
          </w:tcPr>
          <w:p w14:paraId="5FC02DBB">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两河镇中心小学</w:t>
            </w:r>
          </w:p>
        </w:tc>
        <w:tc>
          <w:tcPr>
            <w:tcW w:w="4291" w:type="dxa"/>
            <w:noWrap w:val="0"/>
            <w:vAlign w:val="center"/>
          </w:tcPr>
          <w:p w14:paraId="236F4034">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323</w:t>
            </w:r>
          </w:p>
        </w:tc>
      </w:tr>
      <w:tr w14:paraId="2CD65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291" w:type="dxa"/>
            <w:noWrap w:val="0"/>
            <w:vAlign w:val="center"/>
          </w:tcPr>
          <w:p w14:paraId="46922D8A">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黎坪九年制学校</w:t>
            </w:r>
          </w:p>
        </w:tc>
        <w:tc>
          <w:tcPr>
            <w:tcW w:w="4291" w:type="dxa"/>
            <w:noWrap w:val="0"/>
            <w:vAlign w:val="center"/>
          </w:tcPr>
          <w:p w14:paraId="52E923FF">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329</w:t>
            </w:r>
          </w:p>
        </w:tc>
      </w:tr>
      <w:tr w14:paraId="3BCDC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291" w:type="dxa"/>
            <w:noWrap w:val="0"/>
            <w:vAlign w:val="center"/>
          </w:tcPr>
          <w:p w14:paraId="33E7AEDA">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魏家桥完全小学</w:t>
            </w:r>
          </w:p>
        </w:tc>
        <w:tc>
          <w:tcPr>
            <w:tcW w:w="4291" w:type="dxa"/>
            <w:noWrap w:val="0"/>
            <w:vAlign w:val="center"/>
          </w:tcPr>
          <w:p w14:paraId="68C6CACF">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4</w:t>
            </w:r>
          </w:p>
        </w:tc>
      </w:tr>
    </w:tbl>
    <w:p w14:paraId="6A2BF06E">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4" w:firstLineChars="150"/>
        <w:textAlignment w:val="auto"/>
        <w:rPr>
          <w:rFonts w:hint="eastAsia" w:ascii="仿宋" w:hAnsi="仿宋" w:eastAsia="仿宋" w:cs="仿宋"/>
          <w:color w:val="000000" w:themeColor="text1"/>
          <w:spacing w:val="-4"/>
          <w:sz w:val="21"/>
          <w:szCs w:val="21"/>
          <w:lang w:eastAsia="zh-CN"/>
          <w14:textFill>
            <w14:solidFill>
              <w14:schemeClr w14:val="tx1"/>
            </w14:solidFill>
          </w14:textFill>
        </w:rPr>
      </w:pP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lang w:val="en-US" w:eastAsia="zh-CN"/>
          <w14:textFill>
            <w14:solidFill>
              <w14:schemeClr w14:val="tx1"/>
            </w14:solidFill>
          </w14:textFill>
        </w:rPr>
        <w:t>二</w:t>
      </w: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14:textFill>
            <w14:solidFill>
              <w14:schemeClr w14:val="tx1"/>
            </w14:solidFill>
          </w14:textFill>
        </w:rPr>
        <w:t>食材</w:t>
      </w:r>
      <w:r>
        <w:rPr>
          <w:rFonts w:hint="eastAsia" w:ascii="仿宋" w:hAnsi="仿宋" w:eastAsia="仿宋" w:cs="仿宋"/>
          <w:color w:val="000000" w:themeColor="text1"/>
          <w:spacing w:val="-4"/>
          <w:sz w:val="21"/>
          <w:szCs w:val="21"/>
          <w:lang w:val="en-US" w:eastAsia="zh-CN"/>
          <w14:textFill>
            <w14:solidFill>
              <w14:schemeClr w14:val="tx1"/>
            </w14:solidFill>
          </w14:textFill>
        </w:rPr>
        <w:t>要求</w:t>
      </w:r>
    </w:p>
    <w:p w14:paraId="0C12A5BB">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1</w:t>
      </w:r>
      <w:r>
        <w:rPr>
          <w:rFonts w:hint="eastAsia" w:ascii="仿宋" w:hAnsi="仿宋" w:eastAsia="仿宋" w:cs="仿宋"/>
          <w:color w:val="000000" w:themeColor="text1"/>
          <w:spacing w:val="-4"/>
          <w:sz w:val="21"/>
          <w:szCs w:val="21"/>
          <w14:textFill>
            <w14:solidFill>
              <w14:schemeClr w14:val="tx1"/>
            </w14:solidFill>
          </w14:textFill>
        </w:rPr>
        <w:t>.原材料质量标准</w:t>
      </w:r>
    </w:p>
    <w:p w14:paraId="5E5E2610">
      <w:pPr>
        <w:pStyle w:val="71"/>
        <w:keepNext w:val="0"/>
        <w:keepLines w:val="0"/>
        <w:pageBreakBefore w:val="0"/>
        <w:widowControl w:val="0"/>
        <w:numPr>
          <w:ilvl w:val="0"/>
          <w:numId w:val="0"/>
        </w:numPr>
        <w:tabs>
          <w:tab w:val="left" w:pos="1324"/>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采购带包装的食品时，禁止采购“三无”产品，即无“生产日期、保质期或有效食用截止日期、生产厂家”，三者缺一不可。</w:t>
      </w:r>
    </w:p>
    <w:p w14:paraId="1B172A96">
      <w:pPr>
        <w:pStyle w:val="71"/>
        <w:keepNext w:val="0"/>
        <w:keepLines w:val="0"/>
        <w:pageBreakBefore w:val="0"/>
        <w:widowControl w:val="0"/>
        <w:numPr>
          <w:ilvl w:val="0"/>
          <w:numId w:val="0"/>
        </w:numPr>
        <w:tabs>
          <w:tab w:val="left" w:pos="1324"/>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lang w:eastAsia="zh-CN"/>
          <w14:textFill>
            <w14:solidFill>
              <w14:schemeClr w14:val="tx1"/>
            </w14:solidFill>
          </w14:textFill>
        </w:rPr>
        <w:t>）蔬菜</w:t>
      </w:r>
      <w:r>
        <w:rPr>
          <w:rFonts w:hint="eastAsia" w:ascii="仿宋" w:hAnsi="仿宋" w:eastAsia="仿宋" w:cs="仿宋"/>
          <w:color w:val="000000" w:themeColor="text1"/>
          <w:spacing w:val="-2"/>
          <w:sz w:val="21"/>
          <w:szCs w:val="21"/>
          <w14:textFill>
            <w14:solidFill>
              <w14:schemeClr w14:val="tx1"/>
            </w14:solidFill>
          </w14:textFill>
        </w:rPr>
        <w:t>类标准：</w:t>
      </w:r>
    </w:p>
    <w:p w14:paraId="766A2C8D">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2" w:firstLineChars="150"/>
        <w:jc w:val="left"/>
        <w:textAlignment w:val="auto"/>
        <w:rPr>
          <w:rFonts w:hint="eastAsia" w:ascii="仿宋" w:hAnsi="仿宋" w:eastAsia="仿宋" w:cs="仿宋"/>
          <w:color w:val="000000" w:themeColor="text1"/>
          <w:spacing w:val="-30"/>
          <w:sz w:val="21"/>
          <w:szCs w:val="21"/>
          <w14:textFill>
            <w14:solidFill>
              <w14:schemeClr w14:val="tx1"/>
            </w14:solidFill>
          </w14:textFill>
        </w:rPr>
      </w:pPr>
      <w:r>
        <w:rPr>
          <w:rFonts w:hint="eastAsia" w:ascii="仿宋" w:hAnsi="仿宋" w:eastAsia="仿宋" w:cs="仿宋"/>
          <w:color w:val="000000" w:themeColor="text1"/>
          <w:spacing w:val="-1"/>
          <w:sz w:val="21"/>
          <w:szCs w:val="21"/>
          <w14:textFill>
            <w14:solidFill>
              <w14:schemeClr w14:val="tx1"/>
            </w14:solidFill>
          </w14:textFill>
        </w:rPr>
        <w:t>①</w:t>
      </w:r>
      <w:r>
        <w:rPr>
          <w:rFonts w:hint="eastAsia" w:ascii="仿宋" w:hAnsi="仿宋" w:eastAsia="仿宋" w:cs="仿宋"/>
          <w:color w:val="000000" w:themeColor="text1"/>
          <w:spacing w:val="-1"/>
          <w:sz w:val="21"/>
          <w:szCs w:val="21"/>
          <w:lang w:eastAsia="zh-CN"/>
          <w14:textFill>
            <w14:solidFill>
              <w14:schemeClr w14:val="tx1"/>
            </w14:solidFill>
          </w14:textFill>
        </w:rPr>
        <w:t>蔬菜</w:t>
      </w:r>
      <w:r>
        <w:rPr>
          <w:rFonts w:hint="eastAsia" w:ascii="仿宋" w:hAnsi="仿宋" w:eastAsia="仿宋" w:cs="仿宋"/>
          <w:color w:val="000000" w:themeColor="text1"/>
          <w:spacing w:val="-1"/>
          <w:sz w:val="21"/>
          <w:szCs w:val="21"/>
          <w:lang w:val="en-US" w:eastAsia="zh-CN"/>
          <w14:textFill>
            <w14:solidFill>
              <w14:schemeClr w14:val="tx1"/>
            </w14:solidFill>
          </w14:textFill>
        </w:rPr>
        <w:t>要求为新鲜、安全、成熟度适中的无公害产品，无烂枯叶、黄叶、霉变、腐烂、异味、萎蔫、枯塌、损伤、病变、虫害侵蚀等，②按要求去皮、去壳、去叶、去泥等，③农</w:t>
      </w:r>
      <w:r>
        <w:rPr>
          <w:rFonts w:hint="eastAsia" w:ascii="仿宋" w:hAnsi="仿宋" w:eastAsia="仿宋" w:cs="仿宋"/>
          <w:color w:val="000000" w:themeColor="text1"/>
          <w:spacing w:val="-1"/>
          <w:sz w:val="21"/>
          <w:szCs w:val="21"/>
          <w14:textFill>
            <w14:solidFill>
              <w14:schemeClr w14:val="tx1"/>
            </w14:solidFill>
          </w14:textFill>
        </w:rPr>
        <w:t xml:space="preserve">残要求符合 </w:t>
      </w:r>
      <w:r>
        <w:rPr>
          <w:rFonts w:hint="eastAsia" w:ascii="仿宋" w:hAnsi="仿宋" w:eastAsia="仿宋" w:cs="仿宋"/>
          <w:color w:val="000000" w:themeColor="text1"/>
          <w:sz w:val="21"/>
          <w:szCs w:val="21"/>
          <w:lang w:val="en-US" w:eastAsia="zh-CN"/>
          <w14:textFill>
            <w14:solidFill>
              <w14:schemeClr w14:val="tx1"/>
            </w14:solidFill>
          </w14:textFill>
        </w:rPr>
        <w:t>GB-2763-2021</w:t>
      </w:r>
      <w:r>
        <w:rPr>
          <w:rFonts w:hint="eastAsia" w:ascii="仿宋" w:hAnsi="仿宋" w:eastAsia="仿宋" w:cs="仿宋"/>
          <w:color w:val="000000" w:themeColor="text1"/>
          <w:spacing w:val="-3"/>
          <w:sz w:val="21"/>
          <w:szCs w:val="21"/>
          <w14:textFill>
            <w14:solidFill>
              <w14:schemeClr w14:val="tx1"/>
            </w14:solidFill>
          </w14:textFill>
        </w:rPr>
        <w:t xml:space="preserve"> 农产品安全质量无公害蔬菜安全要求中最大</w:t>
      </w:r>
      <w:r>
        <w:rPr>
          <w:rFonts w:hint="eastAsia" w:ascii="仿宋" w:hAnsi="仿宋" w:eastAsia="仿宋" w:cs="仿宋"/>
          <w:color w:val="000000" w:themeColor="text1"/>
          <w:spacing w:val="-2"/>
          <w:sz w:val="21"/>
          <w:szCs w:val="21"/>
          <w14:textFill>
            <w14:solidFill>
              <w14:schemeClr w14:val="tx1"/>
            </w14:solidFill>
          </w14:textFill>
        </w:rPr>
        <w:t>限量标准。检验项目及标准如下：</w:t>
      </w:r>
      <w:r>
        <w:rPr>
          <w:rFonts w:hint="eastAsia" w:ascii="仿宋" w:hAnsi="仿宋" w:eastAsia="仿宋" w:cs="仿宋"/>
          <w:color w:val="000000" w:themeColor="text1"/>
          <w:spacing w:val="-2"/>
          <w:sz w:val="21"/>
          <w:szCs w:val="21"/>
          <w:lang w:eastAsia="zh-CN"/>
          <w14:textFill>
            <w14:solidFill>
              <w14:schemeClr w14:val="tx1"/>
            </w14:solidFill>
          </w14:textFill>
        </w:rPr>
        <w:t>蔬菜</w:t>
      </w:r>
      <w:r>
        <w:rPr>
          <w:rFonts w:hint="eastAsia" w:ascii="仿宋" w:hAnsi="仿宋" w:eastAsia="仿宋" w:cs="仿宋"/>
          <w:color w:val="000000" w:themeColor="text1"/>
          <w:spacing w:val="-2"/>
          <w:sz w:val="21"/>
          <w:szCs w:val="21"/>
          <w14:textFill>
            <w14:solidFill>
              <w14:schemeClr w14:val="tx1"/>
            </w14:solidFill>
          </w14:textFill>
        </w:rPr>
        <w:t>中重金属、农药等有害物质最大限量。</w:t>
      </w:r>
    </w:p>
    <w:p w14:paraId="05130081">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22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0"/>
          <w:sz w:val="21"/>
          <w:szCs w:val="21"/>
          <w14:textFill>
            <w14:solidFill>
              <w14:schemeClr w14:val="tx1"/>
            </w14:solidFill>
          </w14:textFill>
        </w:rPr>
        <w:t xml:space="preserve">表 </w:t>
      </w: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pacing w:val="-1"/>
          <w:sz w:val="21"/>
          <w:szCs w:val="21"/>
          <w14:textFill>
            <w14:solidFill>
              <w14:schemeClr w14:val="tx1"/>
            </w14:solidFill>
          </w14:textFill>
        </w:rPr>
        <w:t>重金属及有害物质限量</w:t>
      </w:r>
    </w:p>
    <w:tbl>
      <w:tblPr>
        <w:tblStyle w:val="41"/>
        <w:tblW w:w="10574" w:type="dxa"/>
        <w:tblInd w:w="-1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4"/>
        <w:gridCol w:w="8090"/>
      </w:tblGrid>
      <w:tr w14:paraId="1D15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84" w:type="dxa"/>
            <w:noWrap w:val="0"/>
            <w:vAlign w:val="top"/>
          </w:tcPr>
          <w:p w14:paraId="4BE9CE4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项目</w:t>
            </w:r>
          </w:p>
        </w:tc>
        <w:tc>
          <w:tcPr>
            <w:tcW w:w="8090" w:type="dxa"/>
            <w:noWrap w:val="0"/>
            <w:vAlign w:val="top"/>
          </w:tcPr>
          <w:p w14:paraId="1D785E7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指标</w:t>
            </w:r>
            <w:r>
              <w:rPr>
                <w:rFonts w:hint="eastAsia" w:ascii="仿宋" w:hAnsi="仿宋" w:eastAsia="仿宋" w:cs="仿宋"/>
                <w:color w:val="000000" w:themeColor="text1"/>
                <w:spacing w:val="-2"/>
                <w:sz w:val="21"/>
                <w:szCs w:val="21"/>
                <w14:textFill>
                  <w14:solidFill>
                    <w14:schemeClr w14:val="tx1"/>
                  </w14:solidFill>
                </w14:textFill>
              </w:rPr>
              <w:t>（mg/Kg）</w:t>
            </w:r>
          </w:p>
        </w:tc>
      </w:tr>
      <w:tr w14:paraId="0AA2D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484" w:type="dxa"/>
            <w:noWrap w:val="0"/>
            <w:vAlign w:val="top"/>
          </w:tcPr>
          <w:p w14:paraId="5F4E7FB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汞（</w:t>
            </w:r>
            <w:r>
              <w:rPr>
                <w:rFonts w:hint="eastAsia" w:ascii="仿宋" w:hAnsi="仿宋" w:eastAsia="仿宋" w:cs="仿宋"/>
                <w:color w:val="000000" w:themeColor="text1"/>
                <w:spacing w:val="-30"/>
                <w:sz w:val="21"/>
                <w:szCs w:val="21"/>
                <w14:textFill>
                  <w14:solidFill>
                    <w14:schemeClr w14:val="tx1"/>
                  </w14:solidFill>
                </w14:textFill>
              </w:rPr>
              <w:t xml:space="preserve">以 </w:t>
            </w:r>
            <w:r>
              <w:rPr>
                <w:rFonts w:hint="eastAsia" w:ascii="仿宋" w:hAnsi="仿宋" w:eastAsia="仿宋" w:cs="仿宋"/>
                <w:color w:val="000000" w:themeColor="text1"/>
                <w:sz w:val="21"/>
                <w:szCs w:val="21"/>
                <w14:textFill>
                  <w14:solidFill>
                    <w14:schemeClr w14:val="tx1"/>
                  </w14:solidFill>
                </w14:textFill>
              </w:rPr>
              <w:t>Hg</w:t>
            </w:r>
            <w:r>
              <w:rPr>
                <w:rFonts w:hint="eastAsia" w:ascii="仿宋" w:hAnsi="仿宋" w:eastAsia="仿宋" w:cs="仿宋"/>
                <w:color w:val="000000" w:themeColor="text1"/>
                <w:spacing w:val="-30"/>
                <w:sz w:val="21"/>
                <w:szCs w:val="21"/>
                <w14:textFill>
                  <w14:solidFill>
                    <w14:schemeClr w14:val="tx1"/>
                  </w14:solidFill>
                </w14:textFill>
              </w:rPr>
              <w:t xml:space="preserve"> 计</w:t>
            </w:r>
            <w:r>
              <w:rPr>
                <w:rFonts w:hint="eastAsia" w:ascii="仿宋" w:hAnsi="仿宋" w:eastAsia="仿宋" w:cs="仿宋"/>
                <w:color w:val="000000" w:themeColor="text1"/>
                <w:spacing w:val="-10"/>
                <w:sz w:val="21"/>
                <w:szCs w:val="21"/>
                <w14:textFill>
                  <w14:solidFill>
                    <w14:schemeClr w14:val="tx1"/>
                  </w14:solidFill>
                </w14:textFill>
              </w:rPr>
              <w:t>）</w:t>
            </w:r>
          </w:p>
        </w:tc>
        <w:tc>
          <w:tcPr>
            <w:tcW w:w="8090" w:type="dxa"/>
            <w:noWrap w:val="0"/>
            <w:vAlign w:val="top"/>
          </w:tcPr>
          <w:p w14:paraId="564EEC1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≤0.01</w:t>
            </w:r>
          </w:p>
        </w:tc>
      </w:tr>
      <w:tr w14:paraId="4340E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84" w:type="dxa"/>
            <w:noWrap w:val="0"/>
            <w:vAlign w:val="top"/>
          </w:tcPr>
          <w:p w14:paraId="208D47B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砷（</w:t>
            </w:r>
            <w:r>
              <w:rPr>
                <w:rFonts w:hint="eastAsia" w:ascii="仿宋" w:hAnsi="仿宋" w:eastAsia="仿宋" w:cs="仿宋"/>
                <w:color w:val="000000" w:themeColor="text1"/>
                <w:spacing w:val="-30"/>
                <w:sz w:val="21"/>
                <w:szCs w:val="21"/>
                <w14:textFill>
                  <w14:solidFill>
                    <w14:schemeClr w14:val="tx1"/>
                  </w14:solidFill>
                </w14:textFill>
              </w:rPr>
              <w:t xml:space="preserve">以 </w:t>
            </w:r>
            <w:r>
              <w:rPr>
                <w:rFonts w:hint="eastAsia" w:ascii="仿宋" w:hAnsi="仿宋" w:eastAsia="仿宋" w:cs="仿宋"/>
                <w:color w:val="000000" w:themeColor="text1"/>
                <w:sz w:val="21"/>
                <w:szCs w:val="21"/>
                <w14:textFill>
                  <w14:solidFill>
                    <w14:schemeClr w14:val="tx1"/>
                  </w14:solidFill>
                </w14:textFill>
              </w:rPr>
              <w:t>As</w:t>
            </w:r>
            <w:r>
              <w:rPr>
                <w:rFonts w:hint="eastAsia" w:ascii="仿宋" w:hAnsi="仿宋" w:eastAsia="仿宋" w:cs="仿宋"/>
                <w:color w:val="000000" w:themeColor="text1"/>
                <w:spacing w:val="-30"/>
                <w:sz w:val="21"/>
                <w:szCs w:val="21"/>
                <w14:textFill>
                  <w14:solidFill>
                    <w14:schemeClr w14:val="tx1"/>
                  </w14:solidFill>
                </w14:textFill>
              </w:rPr>
              <w:t xml:space="preserve"> 计</w:t>
            </w:r>
            <w:r>
              <w:rPr>
                <w:rFonts w:hint="eastAsia" w:ascii="仿宋" w:hAnsi="仿宋" w:eastAsia="仿宋" w:cs="仿宋"/>
                <w:color w:val="000000" w:themeColor="text1"/>
                <w:spacing w:val="-10"/>
                <w:sz w:val="21"/>
                <w:szCs w:val="21"/>
                <w14:textFill>
                  <w14:solidFill>
                    <w14:schemeClr w14:val="tx1"/>
                  </w14:solidFill>
                </w14:textFill>
              </w:rPr>
              <w:t>）</w:t>
            </w:r>
          </w:p>
        </w:tc>
        <w:tc>
          <w:tcPr>
            <w:tcW w:w="8090" w:type="dxa"/>
            <w:noWrap w:val="0"/>
            <w:vAlign w:val="top"/>
          </w:tcPr>
          <w:p w14:paraId="6014ACCC">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≤0.5</w:t>
            </w:r>
          </w:p>
        </w:tc>
      </w:tr>
      <w:tr w14:paraId="79559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484" w:type="dxa"/>
            <w:noWrap w:val="0"/>
            <w:vAlign w:val="top"/>
          </w:tcPr>
          <w:p w14:paraId="071D644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铅（</w:t>
            </w:r>
            <w:r>
              <w:rPr>
                <w:rFonts w:hint="eastAsia" w:ascii="仿宋" w:hAnsi="仿宋" w:eastAsia="仿宋" w:cs="仿宋"/>
                <w:color w:val="000000" w:themeColor="text1"/>
                <w:spacing w:val="-30"/>
                <w:sz w:val="21"/>
                <w:szCs w:val="21"/>
                <w14:textFill>
                  <w14:solidFill>
                    <w14:schemeClr w14:val="tx1"/>
                  </w14:solidFill>
                </w14:textFill>
              </w:rPr>
              <w:t xml:space="preserve">以 </w:t>
            </w:r>
            <w:r>
              <w:rPr>
                <w:rFonts w:hint="eastAsia" w:ascii="仿宋" w:hAnsi="仿宋" w:eastAsia="仿宋" w:cs="仿宋"/>
                <w:color w:val="000000" w:themeColor="text1"/>
                <w:sz w:val="21"/>
                <w:szCs w:val="21"/>
                <w14:textFill>
                  <w14:solidFill>
                    <w14:schemeClr w14:val="tx1"/>
                  </w14:solidFill>
                </w14:textFill>
              </w:rPr>
              <w:t>P</w:t>
            </w:r>
            <w:r>
              <w:rPr>
                <w:rFonts w:hint="eastAsia" w:ascii="仿宋" w:hAnsi="仿宋" w:eastAsia="仿宋" w:cs="仿宋"/>
                <w:color w:val="000000" w:themeColor="text1"/>
                <w:spacing w:val="-30"/>
                <w:sz w:val="21"/>
                <w:szCs w:val="21"/>
                <w14:textFill>
                  <w14:solidFill>
                    <w14:schemeClr w14:val="tx1"/>
                  </w14:solidFill>
                </w14:textFill>
              </w:rPr>
              <w:t xml:space="preserve"> 计</w:t>
            </w:r>
            <w:r>
              <w:rPr>
                <w:rFonts w:hint="eastAsia" w:ascii="仿宋" w:hAnsi="仿宋" w:eastAsia="仿宋" w:cs="仿宋"/>
                <w:color w:val="000000" w:themeColor="text1"/>
                <w:spacing w:val="-10"/>
                <w:sz w:val="21"/>
                <w:szCs w:val="21"/>
                <w14:textFill>
                  <w14:solidFill>
                    <w14:schemeClr w14:val="tx1"/>
                  </w14:solidFill>
                </w14:textFill>
              </w:rPr>
              <w:t>）</w:t>
            </w:r>
          </w:p>
        </w:tc>
        <w:tc>
          <w:tcPr>
            <w:tcW w:w="8090" w:type="dxa"/>
            <w:noWrap w:val="0"/>
            <w:vAlign w:val="top"/>
          </w:tcPr>
          <w:p w14:paraId="3989B80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≤0.2</w:t>
            </w:r>
          </w:p>
        </w:tc>
      </w:tr>
      <w:tr w14:paraId="5D96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84" w:type="dxa"/>
            <w:noWrap w:val="0"/>
            <w:vAlign w:val="top"/>
          </w:tcPr>
          <w:p w14:paraId="4FD8529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亚硝酸盐（</w:t>
            </w:r>
            <w:r>
              <w:rPr>
                <w:rFonts w:hint="eastAsia" w:ascii="仿宋" w:hAnsi="仿宋" w:eastAsia="仿宋" w:cs="仿宋"/>
                <w:color w:val="000000" w:themeColor="text1"/>
                <w:spacing w:val="-30"/>
                <w:sz w:val="21"/>
                <w:szCs w:val="21"/>
                <w14:textFill>
                  <w14:solidFill>
                    <w14:schemeClr w14:val="tx1"/>
                  </w14:solidFill>
                </w14:textFill>
              </w:rPr>
              <w:t xml:space="preserve">以 </w:t>
            </w:r>
            <w:r>
              <w:rPr>
                <w:rFonts w:hint="eastAsia" w:ascii="仿宋" w:hAnsi="仿宋" w:eastAsia="仿宋" w:cs="仿宋"/>
                <w:color w:val="000000" w:themeColor="text1"/>
                <w:sz w:val="21"/>
                <w:szCs w:val="21"/>
                <w14:textFill>
                  <w14:solidFill>
                    <w14:schemeClr w14:val="tx1"/>
                  </w14:solidFill>
                </w14:textFill>
              </w:rPr>
              <w:t xml:space="preserve">Na </w:t>
            </w:r>
            <w:r>
              <w:rPr>
                <w:rFonts w:hint="eastAsia" w:ascii="仿宋" w:hAnsi="仿宋" w:eastAsia="仿宋" w:cs="仿宋"/>
                <w:color w:val="000000" w:themeColor="text1"/>
                <w:spacing w:val="-10"/>
                <w:sz w:val="21"/>
                <w:szCs w:val="21"/>
                <w14:textFill>
                  <w14:solidFill>
                    <w14:schemeClr w14:val="tx1"/>
                  </w14:solidFill>
                </w14:textFill>
              </w:rPr>
              <w:t>N</w:t>
            </w:r>
            <w:r>
              <w:rPr>
                <w:rFonts w:hint="eastAsia" w:ascii="仿宋" w:hAnsi="仿宋" w:eastAsia="仿宋" w:cs="仿宋"/>
                <w:color w:val="000000" w:themeColor="text1"/>
                <w:spacing w:val="-10"/>
                <w:sz w:val="21"/>
                <w:szCs w:val="21"/>
                <w:lang w:eastAsia="zh-CN"/>
                <w14:textFill>
                  <w14:solidFill>
                    <w14:schemeClr w14:val="tx1"/>
                  </w14:solidFill>
                </w14:textFill>
              </w:rPr>
              <w:t>）</w:t>
            </w:r>
          </w:p>
        </w:tc>
        <w:tc>
          <w:tcPr>
            <w:tcW w:w="8090" w:type="dxa"/>
            <w:noWrap w:val="0"/>
            <w:vAlign w:val="top"/>
          </w:tcPr>
          <w:p w14:paraId="05417E7D">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≤4.0</w:t>
            </w:r>
          </w:p>
        </w:tc>
      </w:tr>
      <w:tr w14:paraId="4DE5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84" w:type="dxa"/>
            <w:noWrap w:val="0"/>
            <w:vAlign w:val="top"/>
          </w:tcPr>
          <w:p w14:paraId="43C32CFE">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硝酸盐</w:t>
            </w:r>
          </w:p>
        </w:tc>
        <w:tc>
          <w:tcPr>
            <w:tcW w:w="8090" w:type="dxa"/>
            <w:noWrap w:val="0"/>
            <w:vAlign w:val="top"/>
          </w:tcPr>
          <w:p w14:paraId="62BF3599">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≤600（瓜果类）≤1200（根茎类）≤3000（叶菜类</w:t>
            </w:r>
            <w:r>
              <w:rPr>
                <w:rFonts w:hint="eastAsia" w:ascii="仿宋" w:hAnsi="仿宋" w:eastAsia="仿宋" w:cs="仿宋"/>
                <w:color w:val="000000" w:themeColor="text1"/>
                <w:spacing w:val="-10"/>
                <w:sz w:val="21"/>
                <w:szCs w:val="21"/>
                <w14:textFill>
                  <w14:solidFill>
                    <w14:schemeClr w14:val="tx1"/>
                  </w14:solidFill>
                </w14:textFill>
              </w:rPr>
              <w:t>）</w:t>
            </w:r>
          </w:p>
        </w:tc>
      </w:tr>
    </w:tbl>
    <w:p w14:paraId="0DBCD049">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225" w:firstLineChars="150"/>
        <w:textAlignment w:val="auto"/>
        <w:rPr>
          <w:rFonts w:hint="eastAsia" w:ascii="仿宋" w:hAnsi="仿宋" w:eastAsia="仿宋" w:cs="仿宋"/>
          <w:color w:val="000000" w:themeColor="text1"/>
          <w:spacing w:val="-30"/>
          <w:sz w:val="21"/>
          <w:szCs w:val="21"/>
          <w14:textFill>
            <w14:solidFill>
              <w14:schemeClr w14:val="tx1"/>
            </w14:solidFill>
          </w14:textFill>
        </w:rPr>
      </w:pPr>
    </w:p>
    <w:p w14:paraId="7D37EF2A">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22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0"/>
          <w:sz w:val="21"/>
          <w:szCs w:val="21"/>
          <w14:textFill>
            <w14:solidFill>
              <w14:schemeClr w14:val="tx1"/>
            </w14:solidFill>
          </w14:textFill>
        </w:rPr>
        <w:t xml:space="preserve">表 </w:t>
      </w: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spacing w:val="-2"/>
          <w:sz w:val="21"/>
          <w:szCs w:val="21"/>
          <w14:textFill>
            <w14:solidFill>
              <w14:schemeClr w14:val="tx1"/>
            </w14:solidFill>
          </w14:textFill>
        </w:rPr>
        <w:t>农药最大残留限量</w:t>
      </w:r>
    </w:p>
    <w:p w14:paraId="36F66A9D">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p>
    <w:tbl>
      <w:tblPr>
        <w:tblStyle w:val="41"/>
        <w:tblW w:w="10560" w:type="dxa"/>
        <w:tblInd w:w="-1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962"/>
        <w:gridCol w:w="2146"/>
        <w:gridCol w:w="3544"/>
      </w:tblGrid>
      <w:tr w14:paraId="1EB96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908" w:type="dxa"/>
            <w:noWrap w:val="0"/>
            <w:vAlign w:val="top"/>
          </w:tcPr>
          <w:p w14:paraId="1E08F41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通用名称</w:t>
            </w:r>
          </w:p>
        </w:tc>
        <w:tc>
          <w:tcPr>
            <w:tcW w:w="1962" w:type="dxa"/>
            <w:noWrap w:val="0"/>
            <w:vAlign w:val="top"/>
          </w:tcPr>
          <w:p w14:paraId="4A0BC5EA">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毒性</w:t>
            </w:r>
          </w:p>
        </w:tc>
        <w:tc>
          <w:tcPr>
            <w:tcW w:w="2146" w:type="dxa"/>
            <w:noWrap w:val="0"/>
            <w:vAlign w:val="top"/>
          </w:tcPr>
          <w:p w14:paraId="159F4FCA">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作物</w:t>
            </w:r>
          </w:p>
        </w:tc>
        <w:tc>
          <w:tcPr>
            <w:tcW w:w="3544" w:type="dxa"/>
            <w:noWrap w:val="0"/>
            <w:vAlign w:val="top"/>
          </w:tcPr>
          <w:p w14:paraId="650F309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最高残留限量（mk/kg）</w:t>
            </w:r>
          </w:p>
        </w:tc>
      </w:tr>
      <w:tr w14:paraId="5661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790768EF">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马拉硫磷</w:t>
            </w:r>
          </w:p>
        </w:tc>
        <w:tc>
          <w:tcPr>
            <w:tcW w:w="1962" w:type="dxa"/>
            <w:noWrap w:val="0"/>
            <w:vAlign w:val="top"/>
          </w:tcPr>
          <w:p w14:paraId="2BF4965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低</w:t>
            </w:r>
          </w:p>
        </w:tc>
        <w:tc>
          <w:tcPr>
            <w:tcW w:w="2146" w:type="dxa"/>
            <w:noWrap w:val="0"/>
            <w:vAlign w:val="top"/>
          </w:tcPr>
          <w:p w14:paraId="640CFFEB">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6B730C9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78DD3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908" w:type="dxa"/>
            <w:noWrap w:val="0"/>
            <w:vAlign w:val="top"/>
          </w:tcPr>
          <w:p w14:paraId="597BA60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对硫磷</w:t>
            </w:r>
          </w:p>
        </w:tc>
        <w:tc>
          <w:tcPr>
            <w:tcW w:w="1962" w:type="dxa"/>
            <w:noWrap w:val="0"/>
            <w:vAlign w:val="top"/>
          </w:tcPr>
          <w:p w14:paraId="470A42F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515A960C">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4A9604DC">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113F2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74B052C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甲拌磷</w:t>
            </w:r>
          </w:p>
        </w:tc>
        <w:tc>
          <w:tcPr>
            <w:tcW w:w="1962" w:type="dxa"/>
            <w:noWrap w:val="0"/>
            <w:vAlign w:val="top"/>
          </w:tcPr>
          <w:p w14:paraId="5A993BFE">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21F11EAF">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381BD0D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732AB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2FAE893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甲胺磷</w:t>
            </w:r>
          </w:p>
        </w:tc>
        <w:tc>
          <w:tcPr>
            <w:tcW w:w="1962" w:type="dxa"/>
            <w:noWrap w:val="0"/>
            <w:vAlign w:val="top"/>
          </w:tcPr>
          <w:p w14:paraId="0869E47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5B04BB2F">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2A5FFC8D">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06C6F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908" w:type="dxa"/>
            <w:noWrap w:val="0"/>
            <w:vAlign w:val="top"/>
          </w:tcPr>
          <w:p w14:paraId="65DF5A0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久效磷</w:t>
            </w:r>
          </w:p>
        </w:tc>
        <w:tc>
          <w:tcPr>
            <w:tcW w:w="1962" w:type="dxa"/>
            <w:noWrap w:val="0"/>
            <w:vAlign w:val="top"/>
          </w:tcPr>
          <w:p w14:paraId="4B0B0F27">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6AB23A4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0411BAD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08145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524E54F9">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氧化乐果</w:t>
            </w:r>
          </w:p>
        </w:tc>
        <w:tc>
          <w:tcPr>
            <w:tcW w:w="1962" w:type="dxa"/>
            <w:noWrap w:val="0"/>
            <w:vAlign w:val="top"/>
          </w:tcPr>
          <w:p w14:paraId="39C2154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7C155B7D">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6DE59779">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64265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007EFC45">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克百威</w:t>
            </w:r>
          </w:p>
        </w:tc>
        <w:tc>
          <w:tcPr>
            <w:tcW w:w="1962" w:type="dxa"/>
            <w:noWrap w:val="0"/>
            <w:vAlign w:val="top"/>
          </w:tcPr>
          <w:p w14:paraId="647FD7C9">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04CAD9C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5355FEF8">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2F7AA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7205215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涕灭威</w:t>
            </w:r>
          </w:p>
        </w:tc>
        <w:tc>
          <w:tcPr>
            <w:tcW w:w="1962" w:type="dxa"/>
            <w:noWrap w:val="0"/>
            <w:vAlign w:val="top"/>
          </w:tcPr>
          <w:p w14:paraId="7D22D74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5701A795">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0A534FC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4FD06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0617D42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六六六</w:t>
            </w:r>
          </w:p>
        </w:tc>
        <w:tc>
          <w:tcPr>
            <w:tcW w:w="1962" w:type="dxa"/>
            <w:noWrap w:val="0"/>
            <w:vAlign w:val="top"/>
          </w:tcPr>
          <w:p w14:paraId="36C1A1F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2CCF5F7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14E4F174">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0.2</w:t>
            </w:r>
          </w:p>
        </w:tc>
      </w:tr>
      <w:tr w14:paraId="1314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908" w:type="dxa"/>
            <w:noWrap w:val="0"/>
            <w:vAlign w:val="top"/>
          </w:tcPr>
          <w:p w14:paraId="6E2BECE7">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滴滴涕</w:t>
            </w:r>
          </w:p>
        </w:tc>
        <w:tc>
          <w:tcPr>
            <w:tcW w:w="1962" w:type="dxa"/>
            <w:noWrap w:val="0"/>
            <w:vAlign w:val="top"/>
          </w:tcPr>
          <w:p w14:paraId="3A26E7E5">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w:t>
            </w:r>
          </w:p>
        </w:tc>
        <w:tc>
          <w:tcPr>
            <w:tcW w:w="2146" w:type="dxa"/>
            <w:noWrap w:val="0"/>
            <w:vAlign w:val="top"/>
          </w:tcPr>
          <w:p w14:paraId="1BB03E1E">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41A8FF37">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0.1</w:t>
            </w:r>
          </w:p>
        </w:tc>
      </w:tr>
    </w:tbl>
    <w:p w14:paraId="14FC5FD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pacing w:val="-1"/>
          <w:sz w:val="21"/>
          <w:szCs w:val="21"/>
          <w:lang w:val="en-US" w:eastAsia="zh-CN"/>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3</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bidi="ar-SA"/>
          <w14:textFill>
            <w14:solidFill>
              <w14:schemeClr w14:val="tx1"/>
            </w14:solidFill>
          </w14:textFill>
        </w:rPr>
        <w:t>调料类标准</w:t>
      </w:r>
    </w:p>
    <w:p w14:paraId="5BA1E9F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sz w:val="21"/>
          <w:szCs w:val="21"/>
          <w:lang w:val="en-US" w:eastAsia="zh-CN" w:bidi="ar-SA"/>
          <w14:textFill>
            <w14:solidFill>
              <w14:schemeClr w14:val="tx1"/>
            </w14:solidFill>
          </w14:textFill>
        </w:rPr>
        <w:t>①佐料、辅料须确保新鲜、无霉变、无变质、过期，无掺杂充假，无蛀虫，符合国家食品卫生标准，须具有“QS”食品质量安全认证。</w:t>
      </w:r>
    </w:p>
    <w:p w14:paraId="26B44A45">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4"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lang w:val="en-US" w:eastAsia="zh-CN"/>
          <w14:textFill>
            <w14:solidFill>
              <w14:schemeClr w14:val="tx1"/>
            </w14:solidFill>
          </w14:textFill>
        </w:rPr>
        <w:t>三</w:t>
      </w: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14:textFill>
            <w14:solidFill>
              <w14:schemeClr w14:val="tx1"/>
            </w14:solidFill>
          </w14:textFill>
        </w:rPr>
        <w:t>质量标准要求</w:t>
      </w:r>
    </w:p>
    <w:p w14:paraId="56AA708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1.总体质量要求</w:t>
      </w:r>
      <w:r>
        <w:rPr>
          <w:rFonts w:hint="eastAsia" w:ascii="仿宋" w:hAnsi="仿宋" w:eastAsia="仿宋" w:cs="仿宋"/>
          <w:b/>
          <w:color w:val="000000" w:themeColor="text1"/>
          <w:spacing w:val="-2"/>
          <w:sz w:val="21"/>
          <w:szCs w:val="21"/>
          <w14:textFill>
            <w14:solidFill>
              <w14:schemeClr w14:val="tx1"/>
            </w14:solidFill>
          </w14:textFill>
        </w:rPr>
        <w:t>（如国家标准修订或变更，按最新标准执行</w:t>
      </w:r>
      <w:r>
        <w:rPr>
          <w:rFonts w:hint="eastAsia" w:ascii="仿宋" w:hAnsi="仿宋" w:eastAsia="仿宋" w:cs="仿宋"/>
          <w:b/>
          <w:color w:val="000000" w:themeColor="text1"/>
          <w:spacing w:val="-5"/>
          <w:sz w:val="21"/>
          <w:szCs w:val="21"/>
          <w14:textFill>
            <w14:solidFill>
              <w14:schemeClr w14:val="tx1"/>
            </w14:solidFill>
          </w14:textFill>
        </w:rPr>
        <w:t>）</w:t>
      </w:r>
      <w:r>
        <w:rPr>
          <w:rFonts w:hint="eastAsia" w:ascii="仿宋" w:hAnsi="仿宋" w:eastAsia="仿宋" w:cs="仿宋"/>
          <w:color w:val="000000" w:themeColor="text1"/>
          <w:spacing w:val="-5"/>
          <w:sz w:val="21"/>
          <w:szCs w:val="21"/>
          <w14:textFill>
            <w14:solidFill>
              <w14:schemeClr w14:val="tx1"/>
            </w14:solidFill>
          </w14:textFill>
        </w:rPr>
        <w:t>：</w:t>
      </w:r>
    </w:p>
    <w:p w14:paraId="7287BC74">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满足现行的食用农产品质量安全标准、食品卫生标准、食品质量标准和有关食品的行业标准中强制执行的标准；</w:t>
      </w:r>
    </w:p>
    <w:p w14:paraId="2A01C5C8">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《食品安全国家标准 食品中真菌毒素限量》（GB 2761-</w:t>
      </w:r>
      <w:r>
        <w:rPr>
          <w:rFonts w:hint="eastAsia" w:ascii="仿宋" w:hAnsi="仿宋" w:eastAsia="仿宋" w:cs="仿宋"/>
          <w:color w:val="000000" w:themeColor="text1"/>
          <w:spacing w:val="-2"/>
          <w:sz w:val="21"/>
          <w:szCs w:val="21"/>
          <w14:textFill>
            <w14:solidFill>
              <w14:schemeClr w14:val="tx1"/>
            </w14:solidFill>
          </w14:textFill>
        </w:rPr>
        <w:t>2017）</w:t>
      </w:r>
    </w:p>
    <w:p w14:paraId="5E81F2A9">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《食品安全国家标准 食品中污染物限量》（GB 2762-</w:t>
      </w:r>
      <w:r>
        <w:rPr>
          <w:rFonts w:hint="eastAsia" w:ascii="仿宋" w:hAnsi="仿宋" w:eastAsia="仿宋" w:cs="仿宋"/>
          <w:color w:val="000000" w:themeColor="text1"/>
          <w:spacing w:val="-2"/>
          <w:sz w:val="21"/>
          <w:szCs w:val="21"/>
          <w14:textFill>
            <w14:solidFill>
              <w14:schemeClr w14:val="tx1"/>
            </w14:solidFill>
          </w14:textFill>
        </w:rPr>
        <w:t>20</w:t>
      </w:r>
      <w:r>
        <w:rPr>
          <w:rFonts w:hint="eastAsia" w:ascii="仿宋" w:hAnsi="仿宋" w:eastAsia="仿宋" w:cs="仿宋"/>
          <w:color w:val="000000" w:themeColor="text1"/>
          <w:spacing w:val="-2"/>
          <w:sz w:val="21"/>
          <w:szCs w:val="21"/>
          <w:lang w:val="en-US" w:eastAsia="zh-CN"/>
          <w14:textFill>
            <w14:solidFill>
              <w14:schemeClr w14:val="tx1"/>
            </w14:solidFill>
          </w14:textFill>
        </w:rPr>
        <w:t>22</w:t>
      </w:r>
      <w:r>
        <w:rPr>
          <w:rFonts w:hint="eastAsia" w:ascii="仿宋" w:hAnsi="仿宋" w:eastAsia="仿宋" w:cs="仿宋"/>
          <w:color w:val="000000" w:themeColor="text1"/>
          <w:spacing w:val="-2"/>
          <w:sz w:val="21"/>
          <w:szCs w:val="21"/>
          <w14:textFill>
            <w14:solidFill>
              <w14:schemeClr w14:val="tx1"/>
            </w14:solidFill>
          </w14:textFill>
        </w:rPr>
        <w:t>）</w:t>
      </w:r>
    </w:p>
    <w:p w14:paraId="56B1C65A">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《食品安全国家标准 食品中农药最大残留限量》（GB 2763-</w:t>
      </w:r>
      <w:r>
        <w:rPr>
          <w:rFonts w:hint="eastAsia" w:ascii="仿宋" w:hAnsi="仿宋" w:eastAsia="仿宋" w:cs="仿宋"/>
          <w:color w:val="000000" w:themeColor="text1"/>
          <w:spacing w:val="-2"/>
          <w:sz w:val="21"/>
          <w:szCs w:val="21"/>
          <w14:textFill>
            <w14:solidFill>
              <w14:schemeClr w14:val="tx1"/>
            </w14:solidFill>
          </w14:textFill>
        </w:rPr>
        <w:t>2021）</w:t>
      </w:r>
    </w:p>
    <w:p w14:paraId="7292BBC0">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《食品安全国家标准 食品中致病菌限量》（GB 29921-</w:t>
      </w:r>
      <w:r>
        <w:rPr>
          <w:rFonts w:hint="eastAsia" w:ascii="仿宋" w:hAnsi="仿宋" w:eastAsia="仿宋" w:cs="仿宋"/>
          <w:color w:val="000000" w:themeColor="text1"/>
          <w:spacing w:val="-2"/>
          <w:sz w:val="21"/>
          <w:szCs w:val="21"/>
          <w14:textFill>
            <w14:solidFill>
              <w14:schemeClr w14:val="tx1"/>
            </w14:solidFill>
          </w14:textFill>
        </w:rPr>
        <w:t>2021）</w:t>
      </w:r>
    </w:p>
    <w:p w14:paraId="146228F5">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6</w:t>
      </w:r>
      <w:r>
        <w:rPr>
          <w:rFonts w:hint="eastAsia" w:ascii="仿宋" w:hAnsi="仿宋" w:eastAsia="仿宋" w:cs="仿宋"/>
          <w:color w:val="000000" w:themeColor="text1"/>
          <w:spacing w:val="-2"/>
          <w:sz w:val="21"/>
          <w:szCs w:val="21"/>
          <w:lang w:eastAsia="zh-CN"/>
          <w14:textFill>
            <w14:solidFill>
              <w14:schemeClr w14:val="tx1"/>
            </w14:solidFill>
          </w14:textFill>
        </w:rPr>
        <w:t>）调料产品</w:t>
      </w:r>
      <w:r>
        <w:rPr>
          <w:rFonts w:hint="eastAsia" w:ascii="仿宋" w:hAnsi="仿宋" w:eastAsia="仿宋" w:cs="仿宋"/>
          <w:color w:val="000000" w:themeColor="text1"/>
          <w:spacing w:val="-2"/>
          <w:sz w:val="21"/>
          <w:szCs w:val="21"/>
          <w14:textFill>
            <w14:solidFill>
              <w14:schemeClr w14:val="tx1"/>
            </w14:solidFill>
          </w14:textFill>
        </w:rPr>
        <w:t>必须在</w:t>
      </w:r>
      <w:r>
        <w:rPr>
          <w:rFonts w:hint="eastAsia" w:ascii="仿宋" w:hAnsi="仿宋" w:eastAsia="仿宋" w:cs="仿宋"/>
          <w:color w:val="000000" w:themeColor="text1"/>
          <w:spacing w:val="-2"/>
          <w:sz w:val="21"/>
          <w:szCs w:val="21"/>
          <w:lang w:eastAsia="zh-CN"/>
          <w14:textFill>
            <w14:solidFill>
              <w14:schemeClr w14:val="tx1"/>
            </w14:solidFill>
          </w14:textFill>
        </w:rPr>
        <w:t>保质期</w:t>
      </w:r>
      <w:r>
        <w:rPr>
          <w:rFonts w:hint="eastAsia" w:ascii="仿宋" w:hAnsi="仿宋" w:eastAsia="仿宋" w:cs="仿宋"/>
          <w:color w:val="000000" w:themeColor="text1"/>
          <w:spacing w:val="-2"/>
          <w:sz w:val="21"/>
          <w:szCs w:val="21"/>
          <w14:textFill>
            <w14:solidFill>
              <w14:schemeClr w14:val="tx1"/>
            </w14:solidFill>
          </w14:textFill>
        </w:rPr>
        <w:t>内，且生产日期距供货日期的日历天数不得超过</w:t>
      </w:r>
      <w:r>
        <w:rPr>
          <w:rFonts w:hint="eastAsia" w:ascii="仿宋" w:hAnsi="仿宋" w:eastAsia="仿宋" w:cs="仿宋"/>
          <w:color w:val="000000" w:themeColor="text1"/>
          <w:spacing w:val="-2"/>
          <w:sz w:val="21"/>
          <w:szCs w:val="21"/>
          <w:lang w:eastAsia="zh-CN"/>
          <w14:textFill>
            <w14:solidFill>
              <w14:schemeClr w14:val="tx1"/>
            </w14:solidFill>
          </w14:textFill>
        </w:rPr>
        <w:t>保质期</w:t>
      </w:r>
      <w:r>
        <w:rPr>
          <w:rFonts w:hint="eastAsia" w:ascii="仿宋" w:hAnsi="仿宋" w:eastAsia="仿宋" w:cs="仿宋"/>
          <w:color w:val="000000" w:themeColor="text1"/>
          <w:spacing w:val="-3"/>
          <w:sz w:val="21"/>
          <w:szCs w:val="21"/>
          <w14:textFill>
            <w14:solidFill>
              <w14:schemeClr w14:val="tx1"/>
            </w14:solidFill>
          </w14:textFill>
        </w:rPr>
        <w:t xml:space="preserve">日历天数的 </w:t>
      </w:r>
      <w:r>
        <w:rPr>
          <w:rFonts w:hint="eastAsia" w:ascii="仿宋" w:hAnsi="仿宋" w:eastAsia="仿宋" w:cs="仿宋"/>
          <w:color w:val="000000" w:themeColor="text1"/>
          <w:sz w:val="21"/>
          <w:szCs w:val="21"/>
          <w14:textFill>
            <w14:solidFill>
              <w14:schemeClr w14:val="tx1"/>
            </w14:solidFill>
          </w14:textFill>
        </w:rPr>
        <w:t>1/3</w:t>
      </w:r>
      <w:r>
        <w:rPr>
          <w:rFonts w:hint="eastAsia" w:ascii="仿宋" w:hAnsi="仿宋" w:eastAsia="仿宋" w:cs="仿宋"/>
          <w:color w:val="000000" w:themeColor="text1"/>
          <w:sz w:val="21"/>
          <w:szCs w:val="21"/>
          <w:lang w:eastAsia="zh-CN"/>
          <w14:textFill>
            <w14:solidFill>
              <w14:schemeClr w14:val="tx1"/>
            </w14:solidFill>
          </w14:textFill>
        </w:rPr>
        <w:t>。</w:t>
      </w:r>
    </w:p>
    <w:p w14:paraId="7257771E">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7</w:t>
      </w:r>
      <w:r>
        <w:rPr>
          <w:rFonts w:hint="eastAsia" w:ascii="仿宋" w:hAnsi="仿宋" w:eastAsia="仿宋" w:cs="仿宋"/>
          <w:color w:val="000000" w:themeColor="text1"/>
          <w:sz w:val="21"/>
          <w:szCs w:val="21"/>
          <w:lang w:eastAsia="zh-CN"/>
          <w14:textFill>
            <w14:solidFill>
              <w14:schemeClr w14:val="tx1"/>
            </w14:solidFill>
          </w14:textFill>
        </w:rPr>
        <w:t>）调料产品</w:t>
      </w:r>
      <w:r>
        <w:rPr>
          <w:rFonts w:hint="eastAsia" w:ascii="仿宋" w:hAnsi="仿宋" w:eastAsia="仿宋" w:cs="仿宋"/>
          <w:color w:val="000000" w:themeColor="text1"/>
          <w:sz w:val="21"/>
          <w:szCs w:val="21"/>
          <w14:textFill>
            <w14:solidFill>
              <w14:schemeClr w14:val="tx1"/>
            </w14:solidFill>
          </w14:textFill>
        </w:rPr>
        <w:t>属于“SC”认证范围的产品，必须通过“SC”</w:t>
      </w:r>
      <w:r>
        <w:rPr>
          <w:rFonts w:hint="eastAsia" w:ascii="仿宋" w:hAnsi="仿宋" w:eastAsia="仿宋" w:cs="仿宋"/>
          <w:color w:val="000000" w:themeColor="text1"/>
          <w:spacing w:val="-2"/>
          <w:sz w:val="21"/>
          <w:szCs w:val="21"/>
          <w14:textFill>
            <w14:solidFill>
              <w14:schemeClr w14:val="tx1"/>
            </w14:solidFill>
          </w14:textFill>
        </w:rPr>
        <w:t>食品质量安全认证。</w:t>
      </w:r>
    </w:p>
    <w:p w14:paraId="35A185EA">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8</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必须符合卫生，不得有腐烂、变质、油脂酸败、霉变、生虫、污秽不结、混有异物或者其他感官性状异常，并可能对人体健康有害的物质。</w:t>
      </w:r>
    </w:p>
    <w:p w14:paraId="3A637523">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9</w:t>
      </w:r>
      <w:r>
        <w:rPr>
          <w:rFonts w:hint="eastAsia" w:ascii="仿宋" w:hAnsi="仿宋" w:eastAsia="仿宋" w:cs="仿宋"/>
          <w:color w:val="000000" w:themeColor="text1"/>
          <w:spacing w:val="-2"/>
          <w:sz w:val="21"/>
          <w:szCs w:val="21"/>
          <w:lang w:eastAsia="zh-CN"/>
          <w14:textFill>
            <w14:solidFill>
              <w14:schemeClr w14:val="tx1"/>
            </w14:solidFill>
          </w14:textFill>
        </w:rPr>
        <w:t>）蔬菜类</w:t>
      </w:r>
      <w:r>
        <w:rPr>
          <w:rFonts w:hint="eastAsia" w:ascii="仿宋" w:hAnsi="仿宋" w:eastAsia="仿宋" w:cs="仿宋"/>
          <w:color w:val="000000" w:themeColor="text1"/>
          <w:spacing w:val="-2"/>
          <w:sz w:val="21"/>
          <w:szCs w:val="21"/>
          <w14:textFill>
            <w14:solidFill>
              <w14:schemeClr w14:val="tx1"/>
            </w14:solidFill>
          </w14:textFill>
        </w:rPr>
        <w:t>每次送货时须提供送货单及第三方的</w:t>
      </w:r>
      <w:r>
        <w:rPr>
          <w:rFonts w:hint="eastAsia" w:ascii="仿宋" w:hAnsi="仿宋" w:eastAsia="仿宋" w:cs="仿宋"/>
          <w:color w:val="000000" w:themeColor="text1"/>
          <w:spacing w:val="-2"/>
          <w:sz w:val="21"/>
          <w:szCs w:val="21"/>
          <w:lang w:eastAsia="zh-CN"/>
          <w14:textFill>
            <w14:solidFill>
              <w14:schemeClr w14:val="tx1"/>
            </w14:solidFill>
          </w14:textFill>
        </w:rPr>
        <w:t>蔬菜</w:t>
      </w:r>
      <w:r>
        <w:rPr>
          <w:rFonts w:hint="eastAsia" w:ascii="仿宋" w:hAnsi="仿宋" w:eastAsia="仿宋" w:cs="仿宋"/>
          <w:color w:val="000000" w:themeColor="text1"/>
          <w:spacing w:val="-2"/>
          <w:sz w:val="21"/>
          <w:szCs w:val="21"/>
          <w14:textFill>
            <w14:solidFill>
              <w14:schemeClr w14:val="tx1"/>
            </w14:solidFill>
          </w14:textFill>
        </w:rPr>
        <w:t>农药残留检测合格</w:t>
      </w:r>
      <w:r>
        <w:rPr>
          <w:rFonts w:hint="eastAsia" w:ascii="仿宋" w:hAnsi="仿宋" w:eastAsia="仿宋" w:cs="仿宋"/>
          <w:color w:val="000000" w:themeColor="text1"/>
          <w:spacing w:val="-4"/>
          <w:sz w:val="21"/>
          <w:szCs w:val="21"/>
          <w14:textFill>
            <w14:solidFill>
              <w14:schemeClr w14:val="tx1"/>
            </w14:solidFill>
          </w14:textFill>
        </w:rPr>
        <w:t>报告</w:t>
      </w:r>
      <w:r>
        <w:rPr>
          <w:rFonts w:hint="eastAsia" w:ascii="仿宋" w:hAnsi="仿宋" w:eastAsia="仿宋" w:cs="仿宋"/>
          <w:color w:val="000000" w:themeColor="text1"/>
          <w:spacing w:val="-4"/>
          <w:sz w:val="21"/>
          <w:szCs w:val="21"/>
          <w:lang w:val="en-US" w:eastAsia="zh-CN"/>
          <w14:textFill>
            <w14:solidFill>
              <w14:schemeClr w14:val="tx1"/>
            </w14:solidFill>
          </w14:textFill>
        </w:rPr>
        <w:t>和自检合格报告</w:t>
      </w:r>
      <w:r>
        <w:rPr>
          <w:rFonts w:hint="eastAsia" w:ascii="仿宋" w:hAnsi="仿宋" w:eastAsia="仿宋" w:cs="仿宋"/>
          <w:color w:val="000000" w:themeColor="text1"/>
          <w:spacing w:val="-4"/>
          <w:sz w:val="21"/>
          <w:szCs w:val="21"/>
          <w14:textFill>
            <w14:solidFill>
              <w14:schemeClr w14:val="tx1"/>
            </w14:solidFill>
          </w14:textFill>
        </w:rPr>
        <w:t>。</w:t>
      </w:r>
    </w:p>
    <w:p w14:paraId="6708AF0F">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10</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产品必须符合国家所制定的行业标准、证件齐全。严格执行“一批一检一报告”要求，并随</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向采购人提供相关检测、检疫报告。</w:t>
      </w:r>
    </w:p>
    <w:p w14:paraId="014ED042">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lang w:eastAsia="zh-CN"/>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11</w:t>
      </w:r>
      <w:r>
        <w:rPr>
          <w:rFonts w:hint="eastAsia" w:ascii="仿宋" w:hAnsi="仿宋" w:eastAsia="仿宋" w:cs="仿宋"/>
          <w:color w:val="000000" w:themeColor="text1"/>
          <w:spacing w:val="-2"/>
          <w:sz w:val="21"/>
          <w:szCs w:val="21"/>
          <w:lang w:eastAsia="zh-CN"/>
          <w14:textFill>
            <w14:solidFill>
              <w14:schemeClr w14:val="tx1"/>
            </w14:solidFill>
          </w14:textFill>
        </w:rPr>
        <w:t>）每个品种留样量不少于125克，由专用留样冰箱冷藏（0℃～8℃）保存48小时以上，并有留样记录。</w:t>
      </w:r>
    </w:p>
    <w:p w14:paraId="574013CD">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(12) 留样冰箱“双人双锁”，专人负责留样管理。</w:t>
      </w:r>
    </w:p>
    <w:p w14:paraId="11CBB3A4">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13</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所有食材均须符合《中华人民共和国食品安全法》，</w:t>
      </w:r>
      <w:r>
        <w:rPr>
          <w:rFonts w:hint="eastAsia" w:ascii="仿宋" w:hAnsi="仿宋" w:eastAsia="仿宋" w:cs="仿宋"/>
          <w:color w:val="000000" w:themeColor="text1"/>
          <w:spacing w:val="-2"/>
          <w:sz w:val="21"/>
          <w:szCs w:val="21"/>
          <w:lang w:val="en-US" w:eastAsia="zh-CN"/>
          <w14:textFill>
            <w14:solidFill>
              <w14:schemeClr w14:val="tx1"/>
            </w14:solidFill>
          </w14:textFill>
        </w:rPr>
        <w:t>配送时</w:t>
      </w:r>
      <w:r>
        <w:rPr>
          <w:rFonts w:hint="eastAsia" w:ascii="仿宋" w:hAnsi="仿宋" w:eastAsia="仿宋" w:cs="仿宋"/>
          <w:color w:val="000000" w:themeColor="text1"/>
          <w:spacing w:val="-2"/>
          <w:sz w:val="21"/>
          <w:szCs w:val="21"/>
          <w14:textFill>
            <w14:solidFill>
              <w14:schemeClr w14:val="tx1"/>
            </w14:solidFill>
          </w14:textFill>
        </w:rPr>
        <w:t>须具备产品的检测报告或食品检验合格证</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如国家制定新的食品安全标准，即按新标准执行。</w:t>
      </w:r>
    </w:p>
    <w:p w14:paraId="29D2BC1D">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7"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lang w:val="en-US" w:eastAsia="zh-CN"/>
          <w14:textFill>
            <w14:solidFill>
              <w14:schemeClr w14:val="tx1"/>
            </w14:solidFill>
          </w14:textFill>
        </w:rPr>
        <w:t>四</w:t>
      </w: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14:textFill>
            <w14:solidFill>
              <w14:schemeClr w14:val="tx1"/>
            </w14:solidFill>
          </w14:textFill>
        </w:rPr>
        <w:t>食材配送及验收</w:t>
      </w:r>
    </w:p>
    <w:p w14:paraId="439B8A3C">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 xml:space="preserve"> 1、</w:t>
      </w:r>
      <w:r>
        <w:rPr>
          <w:rFonts w:hint="eastAsia" w:ascii="仿宋" w:hAnsi="仿宋" w:eastAsia="仿宋" w:cs="仿宋"/>
          <w:color w:val="000000" w:themeColor="text1"/>
          <w:spacing w:val="-3"/>
          <w:sz w:val="21"/>
          <w:szCs w:val="21"/>
          <w14:textFill>
            <w14:solidFill>
              <w14:schemeClr w14:val="tx1"/>
            </w14:solidFill>
          </w14:textFill>
        </w:rPr>
        <w:t>原材料配送时间要求</w:t>
      </w:r>
    </w:p>
    <w:p w14:paraId="38CE51D8">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（1）所有产品</w:t>
      </w:r>
      <w:r>
        <w:rPr>
          <w:rFonts w:hint="eastAsia" w:ascii="仿宋" w:hAnsi="仿宋" w:eastAsia="仿宋" w:cs="仿宋"/>
          <w:color w:val="000000" w:themeColor="text1"/>
          <w:spacing w:val="-2"/>
          <w:sz w:val="21"/>
          <w:szCs w:val="21"/>
          <w14:textFill>
            <w14:solidFill>
              <w14:schemeClr w14:val="tx1"/>
            </w14:solidFill>
          </w14:textFill>
        </w:rPr>
        <w:t>配送时间：蔬菜</w:t>
      </w:r>
      <w:r>
        <w:rPr>
          <w:rFonts w:hint="eastAsia" w:ascii="仿宋" w:hAnsi="仿宋" w:eastAsia="仿宋" w:cs="仿宋"/>
          <w:color w:val="000000" w:themeColor="text1"/>
          <w:spacing w:val="-2"/>
          <w:sz w:val="21"/>
          <w:szCs w:val="21"/>
          <w:lang w:val="en-US" w:eastAsia="zh-CN"/>
          <w14:textFill>
            <w14:solidFill>
              <w14:schemeClr w14:val="tx1"/>
            </w14:solidFill>
          </w14:textFill>
        </w:rPr>
        <w:t>原则上</w:t>
      </w:r>
      <w:r>
        <w:rPr>
          <w:rFonts w:hint="eastAsia" w:ascii="仿宋" w:hAnsi="仿宋" w:eastAsia="仿宋" w:cs="仿宋"/>
          <w:color w:val="000000" w:themeColor="text1"/>
          <w:spacing w:val="-2"/>
          <w:sz w:val="21"/>
          <w:szCs w:val="21"/>
          <w14:textFill>
            <w14:solidFill>
              <w14:schemeClr w14:val="tx1"/>
            </w14:solidFill>
          </w14:textFill>
        </w:rPr>
        <w:t>应当天配送，采购人提前下采购单（书写或表格形式）</w:t>
      </w:r>
      <w:r>
        <w:rPr>
          <w:rFonts w:hint="eastAsia" w:ascii="仿宋" w:hAnsi="仿宋" w:eastAsia="仿宋" w:cs="仿宋"/>
          <w:color w:val="000000" w:themeColor="text1"/>
          <w:spacing w:val="-4"/>
          <w:sz w:val="21"/>
          <w:szCs w:val="21"/>
          <w14:textFill>
            <w14:solidFill>
              <w14:schemeClr w14:val="tx1"/>
            </w14:solidFill>
          </w14:textFill>
        </w:rPr>
        <w:t>告知供应方，供应方保证</w:t>
      </w:r>
      <w:r>
        <w:rPr>
          <w:rFonts w:hint="eastAsia" w:ascii="仿宋" w:hAnsi="仿宋" w:eastAsia="仿宋" w:cs="仿宋"/>
          <w:color w:val="000000" w:themeColor="text1"/>
          <w:spacing w:val="-4"/>
          <w:sz w:val="21"/>
          <w:szCs w:val="21"/>
          <w:lang w:eastAsia="zh-CN"/>
          <w14:textFill>
            <w14:solidFill>
              <w14:schemeClr w14:val="tx1"/>
            </w14:solidFill>
          </w14:textFill>
        </w:rPr>
        <w:t>在采购人要求时间内</w:t>
      </w:r>
      <w:r>
        <w:rPr>
          <w:rFonts w:hint="eastAsia" w:ascii="仿宋" w:hAnsi="仿宋" w:eastAsia="仿宋" w:cs="仿宋"/>
          <w:color w:val="000000" w:themeColor="text1"/>
          <w:spacing w:val="-2"/>
          <w:sz w:val="21"/>
          <w:szCs w:val="21"/>
          <w14:textFill>
            <w14:solidFill>
              <w14:schemeClr w14:val="tx1"/>
            </w14:solidFill>
          </w14:textFill>
        </w:rPr>
        <w:t>将产品配送至采购人指定地点（</w:t>
      </w:r>
      <w:r>
        <w:rPr>
          <w:rFonts w:hint="eastAsia" w:ascii="仿宋" w:hAnsi="仿宋" w:eastAsia="仿宋" w:cs="仿宋"/>
          <w:color w:val="000000" w:themeColor="text1"/>
          <w:spacing w:val="-2"/>
          <w:sz w:val="21"/>
          <w:szCs w:val="21"/>
          <w:lang w:val="en-US" w:eastAsia="zh-CN"/>
          <w14:textFill>
            <w14:solidFill>
              <w14:schemeClr w14:val="tx1"/>
            </w14:solidFill>
          </w14:textFill>
        </w:rPr>
        <w:t>含学校辖区教学点，</w:t>
      </w:r>
      <w:r>
        <w:rPr>
          <w:rFonts w:hint="eastAsia" w:ascii="仿宋" w:hAnsi="仿宋" w:eastAsia="仿宋" w:cs="仿宋"/>
          <w:color w:val="000000" w:themeColor="text1"/>
          <w:spacing w:val="-2"/>
          <w:sz w:val="21"/>
          <w:szCs w:val="21"/>
          <w14:textFill>
            <w14:solidFill>
              <w14:schemeClr w14:val="tx1"/>
            </w14:solidFill>
          </w14:textFill>
        </w:rPr>
        <w:t>遇法定节假日双方协商解决）。</w:t>
      </w:r>
    </w:p>
    <w:p w14:paraId="12D2A5A5">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0"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pacing w:val="-2"/>
          <w:sz w:val="21"/>
          <w:szCs w:val="21"/>
          <w:lang w:val="en-US" w:eastAsia="zh-CN"/>
          <w14:textFill>
            <w14:solidFill>
              <w14:schemeClr w14:val="tx1"/>
            </w14:solidFill>
          </w14:textFill>
        </w:rPr>
        <w:t>2、</w:t>
      </w:r>
      <w:r>
        <w:rPr>
          <w:rFonts w:hint="eastAsia" w:ascii="仿宋" w:hAnsi="仿宋" w:eastAsia="仿宋" w:cs="仿宋"/>
          <w:b/>
          <w:color w:val="000000" w:themeColor="text1"/>
          <w:spacing w:val="-2"/>
          <w:sz w:val="21"/>
          <w:szCs w:val="21"/>
          <w14:textFill>
            <w14:solidFill>
              <w14:schemeClr w14:val="tx1"/>
            </w14:solidFill>
          </w14:textFill>
        </w:rPr>
        <w:t>配送品目及数量：</w:t>
      </w:r>
      <w:r>
        <w:rPr>
          <w:rFonts w:hint="eastAsia" w:ascii="仿宋" w:hAnsi="仿宋" w:eastAsia="仿宋" w:cs="仿宋"/>
          <w:color w:val="000000" w:themeColor="text1"/>
          <w:spacing w:val="-2"/>
          <w:sz w:val="21"/>
          <w:szCs w:val="21"/>
          <w14:textFill>
            <w14:solidFill>
              <w14:schemeClr w14:val="tx1"/>
            </w14:solidFill>
          </w14:textFill>
        </w:rPr>
        <w:t>配送种类与数量以采购人通知（书写或表格形式）为准，采购人根据需求开出每日</w:t>
      </w:r>
      <w:r>
        <w:rPr>
          <w:rFonts w:hint="eastAsia" w:ascii="仿宋" w:hAnsi="仿宋" w:eastAsia="仿宋" w:cs="仿宋"/>
          <w:color w:val="000000" w:themeColor="text1"/>
          <w:spacing w:val="-2"/>
          <w:sz w:val="21"/>
          <w:szCs w:val="21"/>
          <w:lang w:val="en-US" w:eastAsia="zh-CN"/>
          <w14:textFill>
            <w14:solidFill>
              <w14:schemeClr w14:val="tx1"/>
            </w14:solidFill>
          </w14:textFill>
        </w:rPr>
        <w:t>产品种类</w:t>
      </w:r>
      <w:r>
        <w:rPr>
          <w:rFonts w:hint="eastAsia" w:ascii="仿宋" w:hAnsi="仿宋" w:eastAsia="仿宋" w:cs="仿宋"/>
          <w:color w:val="000000" w:themeColor="text1"/>
          <w:spacing w:val="-2"/>
          <w:sz w:val="21"/>
          <w:szCs w:val="21"/>
          <w14:textFill>
            <w14:solidFill>
              <w14:schemeClr w14:val="tx1"/>
            </w14:solidFill>
          </w14:textFill>
        </w:rPr>
        <w:t>及数量，供应方须在当日内做出响应，如有某些菜品出现市场断档，应当日及时告知采购人，以便采购人根据实际情况做出必要调整。</w:t>
      </w:r>
    </w:p>
    <w:p w14:paraId="2ACC3838">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4"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3、</w:t>
      </w:r>
      <w:r>
        <w:rPr>
          <w:rFonts w:hint="eastAsia" w:ascii="仿宋" w:hAnsi="仿宋" w:eastAsia="仿宋" w:cs="仿宋"/>
          <w:color w:val="000000" w:themeColor="text1"/>
          <w:spacing w:val="-4"/>
          <w:sz w:val="21"/>
          <w:szCs w:val="21"/>
          <w14:textFill>
            <w14:solidFill>
              <w14:schemeClr w14:val="tx1"/>
            </w14:solidFill>
          </w14:textFill>
        </w:rPr>
        <w:t>供货要求</w:t>
      </w:r>
    </w:p>
    <w:p w14:paraId="1CB0A9E7">
      <w:pPr>
        <w:pStyle w:val="71"/>
        <w:keepNext w:val="0"/>
        <w:keepLines w:val="0"/>
        <w:pageBreakBefore w:val="0"/>
        <w:widowControl w:val="0"/>
        <w:numPr>
          <w:ilvl w:val="0"/>
          <w:numId w:val="0"/>
        </w:numPr>
        <w:tabs>
          <w:tab w:val="left" w:pos="961"/>
        </w:tabs>
        <w:kinsoku/>
        <w:wordWrap/>
        <w:overflowPunct/>
        <w:topLinePunct w:val="0"/>
        <w:autoSpaceDE w:val="0"/>
        <w:autoSpaceDN w:val="0"/>
        <w:bidi w:val="0"/>
        <w:adjustRightInd w:val="0"/>
        <w:snapToGrid w:val="0"/>
        <w:spacing w:line="360" w:lineRule="auto"/>
        <w:ind w:left="0" w:leftChars="0" w:right="0" w:rightChars="0" w:firstLine="324"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lang w:val="en-US" w:eastAsia="zh-CN"/>
          <w14:textFill>
            <w14:solidFill>
              <w14:schemeClr w14:val="tx1"/>
            </w14:solidFill>
          </w14:textFill>
        </w:rPr>
        <w:t>1</w:t>
      </w: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14:textFill>
            <w14:solidFill>
              <w14:schemeClr w14:val="tx1"/>
            </w14:solidFill>
          </w14:textFill>
        </w:rPr>
        <w:t>一般供货要求：</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须按采购人指定配送时间，将所订购的</w:t>
      </w:r>
      <w:r>
        <w:rPr>
          <w:rFonts w:hint="eastAsia" w:ascii="仿宋" w:hAnsi="仿宋" w:eastAsia="仿宋" w:cs="仿宋"/>
          <w:color w:val="000000" w:themeColor="text1"/>
          <w:spacing w:val="3"/>
          <w:sz w:val="21"/>
          <w:szCs w:val="21"/>
          <w:lang w:eastAsia="zh-CN"/>
          <w14:textFill>
            <w14:solidFill>
              <w14:schemeClr w14:val="tx1"/>
            </w14:solidFill>
          </w14:textFill>
        </w:rPr>
        <w:t>产品</w:t>
      </w:r>
      <w:r>
        <w:rPr>
          <w:rFonts w:hint="eastAsia" w:ascii="仿宋" w:hAnsi="仿宋" w:eastAsia="仿宋" w:cs="仿宋"/>
          <w:color w:val="000000" w:themeColor="text1"/>
          <w:spacing w:val="3"/>
          <w:sz w:val="21"/>
          <w:szCs w:val="21"/>
          <w14:textFill>
            <w14:solidFill>
              <w14:schemeClr w14:val="tx1"/>
            </w14:solidFill>
          </w14:textFill>
        </w:rPr>
        <w:t>送至采购人</w:t>
      </w:r>
      <w:r>
        <w:rPr>
          <w:rFonts w:hint="eastAsia" w:ascii="仿宋" w:hAnsi="仿宋" w:eastAsia="仿宋" w:cs="仿宋"/>
          <w:color w:val="000000" w:themeColor="text1"/>
          <w:spacing w:val="4"/>
          <w:sz w:val="21"/>
          <w:szCs w:val="21"/>
          <w14:textFill>
            <w14:solidFill>
              <w14:schemeClr w14:val="tx1"/>
            </w14:solidFill>
          </w14:textFill>
        </w:rPr>
        <w:t>指定地点（遇法定节假日双方协商解决）</w:t>
      </w:r>
      <w:r>
        <w:rPr>
          <w:rFonts w:hint="eastAsia" w:ascii="仿宋" w:hAnsi="仿宋" w:eastAsia="仿宋" w:cs="仿宋"/>
          <w:color w:val="000000" w:themeColor="text1"/>
          <w:spacing w:val="3"/>
          <w:sz w:val="21"/>
          <w:szCs w:val="21"/>
          <w14:textFill>
            <w14:solidFill>
              <w14:schemeClr w14:val="tx1"/>
            </w14:solidFill>
          </w14:textFill>
        </w:rPr>
        <w:t>。</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所供的货品必须按采购人所规定的配送时间准时送达，到货后</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需协助</w:t>
      </w:r>
      <w:r>
        <w:rPr>
          <w:rFonts w:hint="eastAsia" w:ascii="仿宋" w:hAnsi="仿宋" w:eastAsia="仿宋" w:cs="仿宋"/>
          <w:color w:val="000000" w:themeColor="text1"/>
          <w:spacing w:val="3"/>
          <w:sz w:val="21"/>
          <w:szCs w:val="21"/>
          <w:lang w:val="en-US" w:eastAsia="zh-CN"/>
          <w14:textFill>
            <w14:solidFill>
              <w14:schemeClr w14:val="tx1"/>
            </w14:solidFill>
          </w14:textFill>
        </w:rPr>
        <w:t>所供片区</w:t>
      </w:r>
      <w:r>
        <w:rPr>
          <w:rFonts w:hint="eastAsia" w:ascii="仿宋" w:hAnsi="仿宋" w:eastAsia="仿宋" w:cs="仿宋"/>
          <w:color w:val="000000" w:themeColor="text1"/>
          <w:spacing w:val="3"/>
          <w:sz w:val="21"/>
          <w:szCs w:val="21"/>
          <w14:textFill>
            <w14:solidFill>
              <w14:schemeClr w14:val="tx1"/>
            </w14:solidFill>
          </w14:textFill>
        </w:rPr>
        <w:t>的工作人员过秤入库。因运输装卸过</w:t>
      </w:r>
      <w:r>
        <w:rPr>
          <w:rFonts w:hint="eastAsia" w:ascii="仿宋" w:hAnsi="仿宋" w:eastAsia="仿宋" w:cs="仿宋"/>
          <w:color w:val="000000" w:themeColor="text1"/>
          <w:spacing w:val="4"/>
          <w:sz w:val="21"/>
          <w:szCs w:val="21"/>
          <w14:textFill>
            <w14:solidFill>
              <w14:schemeClr w14:val="tx1"/>
            </w14:solidFill>
          </w14:textFill>
        </w:rPr>
        <w:t>程中造成的损耗（例如包装严重变形、破损、食品污染、变异等）</w:t>
      </w:r>
      <w:r>
        <w:rPr>
          <w:rFonts w:hint="eastAsia" w:ascii="仿宋" w:hAnsi="仿宋" w:eastAsia="仿宋" w:cs="仿宋"/>
          <w:color w:val="000000" w:themeColor="text1"/>
          <w:spacing w:val="3"/>
          <w:sz w:val="21"/>
          <w:szCs w:val="21"/>
          <w14:textFill>
            <w14:solidFill>
              <w14:schemeClr w14:val="tx1"/>
            </w14:solidFill>
          </w14:textFill>
        </w:rPr>
        <w:t>、发现的破损、变异食品必须无条件在两个小时内更换并送到指定地点。</w:t>
      </w:r>
    </w:p>
    <w:p w14:paraId="3495DE2D">
      <w:pPr>
        <w:pStyle w:val="71"/>
        <w:keepNext w:val="0"/>
        <w:keepLines w:val="0"/>
        <w:pageBreakBefore w:val="0"/>
        <w:widowControl w:val="0"/>
        <w:numPr>
          <w:ilvl w:val="0"/>
          <w:numId w:val="0"/>
        </w:numPr>
        <w:tabs>
          <w:tab w:val="left" w:pos="961"/>
        </w:tabs>
        <w:kinsoku/>
        <w:wordWrap/>
        <w:overflowPunct/>
        <w:topLinePunct w:val="0"/>
        <w:autoSpaceDE w:val="0"/>
        <w:autoSpaceDN w:val="0"/>
        <w:bidi w:val="0"/>
        <w:adjustRightInd w:val="0"/>
        <w:snapToGrid w:val="0"/>
        <w:spacing w:line="360" w:lineRule="auto"/>
        <w:ind w:left="0" w:leftChars="0" w:right="0" w:rightChars="0" w:firstLine="324"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lang w:val="en-US" w:eastAsia="zh-CN"/>
          <w14:textFill>
            <w14:solidFill>
              <w14:schemeClr w14:val="tx1"/>
            </w14:solidFill>
          </w14:textFill>
        </w:rPr>
        <w:t>2</w:t>
      </w: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14:textFill>
            <w14:solidFill>
              <w14:schemeClr w14:val="tx1"/>
            </w14:solidFill>
          </w14:textFill>
        </w:rPr>
        <w:t>紧急供货要求：在收到采购人发出紧急供货通知后，</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须按采购人所规定时间内将原材料配送到位，所送</w:t>
      </w:r>
      <w:r>
        <w:rPr>
          <w:rFonts w:hint="eastAsia" w:ascii="仿宋" w:hAnsi="仿宋" w:eastAsia="仿宋" w:cs="仿宋"/>
          <w:color w:val="000000" w:themeColor="text1"/>
          <w:spacing w:val="3"/>
          <w:sz w:val="21"/>
          <w:szCs w:val="21"/>
          <w:lang w:val="en-US" w:eastAsia="zh-CN"/>
          <w14:textFill>
            <w14:solidFill>
              <w14:schemeClr w14:val="tx1"/>
            </w14:solidFill>
          </w14:textFill>
        </w:rPr>
        <w:t>产品</w:t>
      </w:r>
      <w:r>
        <w:rPr>
          <w:rFonts w:hint="eastAsia" w:ascii="仿宋" w:hAnsi="仿宋" w:eastAsia="仿宋" w:cs="仿宋"/>
          <w:color w:val="000000" w:themeColor="text1"/>
          <w:spacing w:val="3"/>
          <w:sz w:val="21"/>
          <w:szCs w:val="21"/>
          <w14:textFill>
            <w14:solidFill>
              <w14:schemeClr w14:val="tx1"/>
            </w14:solidFill>
          </w14:textFill>
        </w:rPr>
        <w:t>必须达到采购人要求，如果因食材质量未达到采购人要求和送货时间延迟未送达到采购人指定地点，累计超过3</w:t>
      </w:r>
      <w:r>
        <w:rPr>
          <w:rFonts w:hint="eastAsia" w:ascii="仿宋" w:hAnsi="仿宋" w:eastAsia="仿宋" w:cs="仿宋"/>
          <w:color w:val="000000" w:themeColor="text1"/>
          <w:spacing w:val="1"/>
          <w:sz w:val="21"/>
          <w:szCs w:val="21"/>
          <w14:textFill>
            <w14:solidFill>
              <w14:schemeClr w14:val="tx1"/>
            </w14:solidFill>
          </w14:textFill>
        </w:rPr>
        <w:t>次采购人有权解除合同，</w:t>
      </w:r>
      <w:r>
        <w:rPr>
          <w:rFonts w:hint="eastAsia" w:ascii="仿宋" w:hAnsi="仿宋" w:eastAsia="仿宋" w:cs="仿宋"/>
          <w:color w:val="000000" w:themeColor="text1"/>
          <w:sz w:val="21"/>
          <w:szCs w:val="21"/>
          <w14:textFill>
            <w14:solidFill>
              <w14:schemeClr w14:val="tx1"/>
            </w14:solidFill>
          </w14:textFill>
        </w:rPr>
        <w:t>乙方还需承担采购人所有损失。</w:t>
      </w:r>
    </w:p>
    <w:p w14:paraId="29DB50C8">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4、</w:t>
      </w:r>
      <w:r>
        <w:rPr>
          <w:rFonts w:hint="eastAsia" w:ascii="仿宋" w:hAnsi="仿宋" w:eastAsia="仿宋" w:cs="仿宋"/>
          <w:color w:val="000000" w:themeColor="text1"/>
          <w:spacing w:val="-4"/>
          <w:sz w:val="21"/>
          <w:szCs w:val="21"/>
          <w14:textFill>
            <w14:solidFill>
              <w14:schemeClr w14:val="tx1"/>
            </w14:solidFill>
          </w14:textFill>
        </w:rPr>
        <w:t>原材料验收</w:t>
      </w:r>
    </w:p>
    <w:p w14:paraId="6803A829">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原材料验收由供应方、使用方，</w:t>
      </w:r>
      <w:r>
        <w:rPr>
          <w:rFonts w:hint="eastAsia" w:ascii="仿宋" w:hAnsi="仿宋" w:eastAsia="仿宋" w:cs="仿宋"/>
          <w:color w:val="000000" w:themeColor="text1"/>
          <w:spacing w:val="-2"/>
          <w:sz w:val="21"/>
          <w:szCs w:val="21"/>
          <w:lang w:val="en-US" w:eastAsia="zh-CN"/>
          <w14:textFill>
            <w14:solidFill>
              <w14:schemeClr w14:val="tx1"/>
            </w14:solidFill>
          </w14:textFill>
        </w:rPr>
        <w:t>双</w:t>
      </w:r>
      <w:r>
        <w:rPr>
          <w:rFonts w:hint="eastAsia" w:ascii="仿宋" w:hAnsi="仿宋" w:eastAsia="仿宋" w:cs="仿宋"/>
          <w:color w:val="000000" w:themeColor="text1"/>
          <w:spacing w:val="-2"/>
          <w:sz w:val="21"/>
          <w:szCs w:val="21"/>
          <w14:textFill>
            <w14:solidFill>
              <w14:schemeClr w14:val="tx1"/>
            </w14:solidFill>
          </w14:textFill>
        </w:rPr>
        <w:t>方现场检验，对供应产品的质量无异议数量准确无误后，</w:t>
      </w:r>
      <w:r>
        <w:rPr>
          <w:rFonts w:hint="eastAsia" w:ascii="仿宋" w:hAnsi="仿宋" w:eastAsia="仿宋" w:cs="仿宋"/>
          <w:color w:val="000000" w:themeColor="text1"/>
          <w:spacing w:val="-2"/>
          <w:sz w:val="21"/>
          <w:szCs w:val="21"/>
          <w:lang w:val="en-US" w:eastAsia="zh-CN"/>
          <w14:textFill>
            <w14:solidFill>
              <w14:schemeClr w14:val="tx1"/>
            </w14:solidFill>
          </w14:textFill>
        </w:rPr>
        <w:t>双</w:t>
      </w:r>
      <w:r>
        <w:rPr>
          <w:rFonts w:hint="eastAsia" w:ascii="仿宋" w:hAnsi="仿宋" w:eastAsia="仿宋" w:cs="仿宋"/>
          <w:color w:val="000000" w:themeColor="text1"/>
          <w:spacing w:val="-2"/>
          <w:sz w:val="21"/>
          <w:szCs w:val="21"/>
          <w14:textFill>
            <w14:solidFill>
              <w14:schemeClr w14:val="tx1"/>
            </w14:solidFill>
          </w14:textFill>
        </w:rPr>
        <w:t>方签字，各自留存。</w:t>
      </w:r>
    </w:p>
    <w:p w14:paraId="5CCB712D">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原材料在验收时有不符合要求的，一律退回，供应商无条件重新更换配送</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，更换后仍然不符合标准的采购人有权对</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处以一定金额的罚款。</w:t>
      </w:r>
    </w:p>
    <w:p w14:paraId="69495E17">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5、</w:t>
      </w:r>
      <w:r>
        <w:rPr>
          <w:rFonts w:hint="eastAsia" w:ascii="仿宋" w:hAnsi="仿宋" w:eastAsia="仿宋" w:cs="仿宋"/>
          <w:color w:val="000000" w:themeColor="text1"/>
          <w:spacing w:val="-2"/>
          <w:sz w:val="21"/>
          <w:szCs w:val="21"/>
          <w14:textFill>
            <w14:solidFill>
              <w14:schemeClr w14:val="tx1"/>
            </w14:solidFill>
          </w14:textFill>
        </w:rPr>
        <w:t>原料贮存设施</w:t>
      </w:r>
      <w:r>
        <w:rPr>
          <w:rFonts w:hint="eastAsia" w:ascii="仿宋" w:hAnsi="仿宋" w:eastAsia="仿宋" w:cs="仿宋"/>
          <w:color w:val="000000" w:themeColor="text1"/>
          <w:spacing w:val="-2"/>
          <w:sz w:val="21"/>
          <w:szCs w:val="21"/>
          <w:lang w:eastAsia="zh-CN"/>
          <w14:textFill>
            <w14:solidFill>
              <w14:schemeClr w14:val="tx1"/>
            </w14:solidFill>
          </w14:textFill>
        </w:rPr>
        <w:t>要求</w:t>
      </w:r>
    </w:p>
    <w:p w14:paraId="15A13EC0">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　</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应根据原料的贮存要求，</w:t>
      </w:r>
      <w:r>
        <w:rPr>
          <w:rFonts w:hint="eastAsia" w:ascii="仿宋" w:hAnsi="仿宋" w:eastAsia="仿宋" w:cs="仿宋"/>
          <w:color w:val="000000" w:themeColor="text1"/>
          <w:spacing w:val="-2"/>
          <w:sz w:val="21"/>
          <w:szCs w:val="21"/>
          <w:lang w:val="en-US" w:eastAsia="zh-CN"/>
          <w14:textFill>
            <w14:solidFill>
              <w14:schemeClr w14:val="tx1"/>
            </w14:solidFill>
          </w14:textFill>
        </w:rPr>
        <w:t>配备</w:t>
      </w:r>
      <w:r>
        <w:rPr>
          <w:rFonts w:hint="eastAsia" w:ascii="仿宋" w:hAnsi="仿宋" w:eastAsia="仿宋" w:cs="仿宋"/>
          <w:color w:val="000000" w:themeColor="text1"/>
          <w:spacing w:val="-2"/>
          <w:sz w:val="21"/>
          <w:szCs w:val="21"/>
          <w14:textFill>
            <w14:solidFill>
              <w14:schemeClr w14:val="tx1"/>
            </w14:solidFill>
          </w14:textFill>
        </w:rPr>
        <w:t>相应的食品库房或贮存场所以及贮存设施</w:t>
      </w:r>
      <w:r>
        <w:rPr>
          <w:rFonts w:hint="eastAsia" w:ascii="仿宋" w:hAnsi="仿宋" w:eastAsia="仿宋" w:cs="仿宋"/>
          <w:color w:val="000000" w:themeColor="text1"/>
          <w:spacing w:val="-2"/>
          <w:sz w:val="21"/>
          <w:szCs w:val="21"/>
          <w:lang w:val="en-US" w:eastAsia="zh-CN"/>
          <w14:textFill>
            <w14:solidFill>
              <w14:schemeClr w14:val="tx1"/>
            </w14:solidFill>
          </w14:textFill>
        </w:rPr>
        <w:t>及时</w:t>
      </w:r>
      <w:r>
        <w:rPr>
          <w:rFonts w:hint="eastAsia" w:ascii="仿宋" w:hAnsi="仿宋" w:eastAsia="仿宋" w:cs="仿宋"/>
          <w:color w:val="000000" w:themeColor="text1"/>
          <w:spacing w:val="-2"/>
          <w:sz w:val="21"/>
          <w:szCs w:val="21"/>
          <w14:textFill>
            <w14:solidFill>
              <w14:schemeClr w14:val="tx1"/>
            </w14:solidFill>
          </w14:textFill>
        </w:rPr>
        <w:t>冷冻、冷藏设施。</w:t>
      </w:r>
    </w:p>
    <w:p w14:paraId="584CBF1F">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库房应设有通风、防潮及防止有害生物侵入的设施。</w:t>
      </w:r>
    </w:p>
    <w:p w14:paraId="10FE878A">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　</w:t>
      </w:r>
      <w:r>
        <w:rPr>
          <w:rFonts w:hint="eastAsia" w:ascii="仿宋" w:hAnsi="仿宋" w:eastAsia="仿宋" w:cs="仿宋"/>
          <w:color w:val="000000" w:themeColor="text1"/>
          <w:spacing w:val="-2"/>
          <w:sz w:val="21"/>
          <w:szCs w:val="21"/>
          <w:lang w:val="en-US" w:eastAsia="zh-CN"/>
          <w14:textFill>
            <w14:solidFill>
              <w14:schemeClr w14:val="tx1"/>
            </w14:solidFill>
          </w14:textFill>
        </w:rPr>
        <w:t>(3)</w:t>
      </w:r>
      <w:r>
        <w:rPr>
          <w:rFonts w:hint="eastAsia" w:ascii="仿宋" w:hAnsi="仿宋" w:eastAsia="仿宋" w:cs="仿宋"/>
          <w:color w:val="000000" w:themeColor="text1"/>
          <w:spacing w:val="-2"/>
          <w:sz w:val="21"/>
          <w:szCs w:val="21"/>
          <w14:textFill>
            <w14:solidFill>
              <w14:schemeClr w14:val="tx1"/>
            </w14:solidFill>
          </w14:textFill>
        </w:rPr>
        <w:t xml:space="preserve"> 库房内应设置足够数量的存放架，其结构及位置能使贮存的食品和物品离墙离地。</w:t>
      </w:r>
    </w:p>
    <w:p w14:paraId="693310F8">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(4)</w:t>
      </w:r>
      <w:r>
        <w:rPr>
          <w:rFonts w:hint="eastAsia" w:ascii="仿宋" w:hAnsi="仿宋" w:eastAsia="仿宋" w:cs="仿宋"/>
          <w:color w:val="000000" w:themeColor="text1"/>
          <w:spacing w:val="-2"/>
          <w:sz w:val="21"/>
          <w:szCs w:val="21"/>
          <w14:textFill>
            <w14:solidFill>
              <w14:schemeClr w14:val="tx1"/>
            </w14:solidFill>
          </w14:textFill>
        </w:rPr>
        <w:t>冷藏（冻）设施正常运转，配备温度显示装置，确保贮存条件。</w:t>
      </w:r>
    </w:p>
    <w:p w14:paraId="1E5EF595">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6、原料贮存</w:t>
      </w:r>
    </w:p>
    <w:p w14:paraId="15A5FB0F">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(1)除蔬菜外其他原料</w:t>
      </w:r>
      <w:r>
        <w:rPr>
          <w:rFonts w:hint="eastAsia" w:ascii="仿宋" w:hAnsi="仿宋" w:eastAsia="仿宋" w:cs="仿宋"/>
          <w:color w:val="000000" w:themeColor="text1"/>
          <w:spacing w:val="-2"/>
          <w:sz w:val="21"/>
          <w:szCs w:val="21"/>
          <w14:textFill>
            <w14:solidFill>
              <w14:schemeClr w14:val="tx1"/>
            </w14:solidFill>
          </w14:textFill>
        </w:rPr>
        <w:t>应在贮存位置上标明食品名称、生产日期或生产批号、使用期限等信息。宜使用密闭容器贮存。</w:t>
      </w:r>
    </w:p>
    <w:p w14:paraId="0AD7456E">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14:textFill>
            <w14:solidFill>
              <w14:schemeClr w14:val="tx1"/>
            </w14:solidFill>
          </w14:textFill>
        </w:rPr>
        <w:t xml:space="preserve"> 贮存不同类别食</w:t>
      </w:r>
      <w:r>
        <w:rPr>
          <w:rFonts w:hint="eastAsia" w:ascii="仿宋" w:hAnsi="仿宋" w:eastAsia="仿宋" w:cs="仿宋"/>
          <w:color w:val="000000" w:themeColor="text1"/>
          <w:spacing w:val="-2"/>
          <w:sz w:val="21"/>
          <w:szCs w:val="21"/>
          <w:lang w:val="en-US" w:eastAsia="zh-CN"/>
          <w14:textFill>
            <w14:solidFill>
              <w14:schemeClr w14:val="tx1"/>
            </w14:solidFill>
          </w14:textFill>
        </w:rPr>
        <w:t>材</w:t>
      </w:r>
      <w:r>
        <w:rPr>
          <w:rFonts w:hint="eastAsia" w:ascii="仿宋" w:hAnsi="仿宋" w:eastAsia="仿宋" w:cs="仿宋"/>
          <w:color w:val="000000" w:themeColor="text1"/>
          <w:spacing w:val="-2"/>
          <w:sz w:val="21"/>
          <w:szCs w:val="21"/>
          <w14:textFill>
            <w14:solidFill>
              <w14:schemeClr w14:val="tx1"/>
            </w14:solidFill>
          </w14:textFill>
        </w:rPr>
        <w:t>，应分设存放区域，不同区域有明显的区分标识。</w:t>
      </w:r>
    </w:p>
    <w:p w14:paraId="27E905F1">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(3)</w:t>
      </w:r>
      <w:r>
        <w:rPr>
          <w:rFonts w:hint="eastAsia" w:ascii="仿宋" w:hAnsi="仿宋" w:eastAsia="仿宋" w:cs="仿宋"/>
          <w:color w:val="000000" w:themeColor="text1"/>
          <w:spacing w:val="-2"/>
          <w:sz w:val="21"/>
          <w:szCs w:val="21"/>
          <w14:textFill>
            <w14:solidFill>
              <w14:schemeClr w14:val="tx1"/>
            </w14:solidFill>
          </w14:textFill>
        </w:rPr>
        <w:t xml:space="preserve"> 贮存的食品和物品离墙、离地，距离墙壁和地面均应在10cm以上。</w:t>
      </w:r>
    </w:p>
    <w:p w14:paraId="5BD7E932">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7"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lang w:val="en-US" w:eastAsia="zh-CN"/>
          <w14:textFill>
            <w14:solidFill>
              <w14:schemeClr w14:val="tx1"/>
            </w14:solidFill>
          </w14:textFill>
        </w:rPr>
        <w:t>五</w:t>
      </w: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14:textFill>
            <w14:solidFill>
              <w14:schemeClr w14:val="tx1"/>
            </w14:solidFill>
          </w14:textFill>
        </w:rPr>
        <w:t>配送要求及责任</w:t>
      </w:r>
    </w:p>
    <w:p w14:paraId="5EF27FA5">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14:textFill>
            <w14:solidFill>
              <w14:schemeClr w14:val="tx1"/>
            </w14:solidFill>
          </w14:textFill>
        </w:rPr>
        <w:t>原材料</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须保证所供原材料均为符合国家卫生、质量检验标准的正规产品，保证配送品种、数量、质量完全满足采购人要求</w:t>
      </w:r>
      <w:r>
        <w:rPr>
          <w:rFonts w:hint="eastAsia" w:ascii="仿宋" w:hAnsi="仿宋" w:eastAsia="仿宋" w:cs="仿宋"/>
          <w:color w:val="000000" w:themeColor="text1"/>
          <w:spacing w:val="-2"/>
          <w:sz w:val="21"/>
          <w:szCs w:val="21"/>
          <w:lang w:eastAsia="zh-CN"/>
          <w14:textFill>
            <w14:solidFill>
              <w14:schemeClr w14:val="tx1"/>
            </w14:solidFill>
          </w14:textFill>
        </w:rPr>
        <w:t>。</w:t>
      </w:r>
    </w:p>
    <w:p w14:paraId="4FE93898">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14:textFill>
            <w14:solidFill>
              <w14:schemeClr w14:val="tx1"/>
            </w14:solidFill>
          </w14:textFill>
        </w:rPr>
        <w:t>按照《中华人民共和国食品安全法》、《农产品质量安全法》等规定，提供有关的证明材料和证件是供应商的义务，在合同期内</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应提供产品检验合格证等相关证明，无证产品采购人不予接受。</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要保证产品质量稳定，符合国家相关技术标准，未发生过重大产品质量安全事故，</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对最终的产品质量负完全责任，由食品质量问题和安全问题造成的损失由</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承担。</w:t>
      </w:r>
    </w:p>
    <w:p w14:paraId="2A9059F1">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3、</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不得差量供货和超量供货，不得擅自更改采购人确认后的</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品种和</w:t>
      </w:r>
      <w:r>
        <w:rPr>
          <w:rFonts w:hint="eastAsia" w:ascii="仿宋" w:hAnsi="仿宋" w:eastAsia="仿宋" w:cs="仿宋"/>
          <w:color w:val="000000" w:themeColor="text1"/>
          <w:spacing w:val="-4"/>
          <w:sz w:val="21"/>
          <w:szCs w:val="21"/>
          <w14:textFill>
            <w14:solidFill>
              <w14:schemeClr w14:val="tx1"/>
            </w14:solidFill>
          </w14:textFill>
        </w:rPr>
        <w:t>数量。</w:t>
      </w:r>
    </w:p>
    <w:p w14:paraId="3C611B47">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left"/>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4、</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必须建立配送、验收台帐，注明配送时间、数量、规格、货源、送货人、验收人、验收情况等相关信息；建立一套完善、科学的管理制度，并指定专人负责，定期检查执行情况，及时解决存在的问题，确保产品及服务质量。</w:t>
      </w:r>
    </w:p>
    <w:p w14:paraId="67CC4137">
      <w:pPr>
        <w:keepNext w:val="0"/>
        <w:keepLines w:val="0"/>
        <w:pageBreakBefore w:val="0"/>
        <w:widowControl w:val="0"/>
        <w:kinsoku/>
        <w:wordWrap/>
        <w:overflowPunct/>
        <w:topLinePunct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 xml:space="preserve"> 5、进货查验记录和相关凭证的保存期限不少于产品保质期满后6个月；无明确保质期的，保存期限不少于2年。其他各项记录保存期限宜为2年。</w:t>
      </w:r>
    </w:p>
    <w:p w14:paraId="5B9D3BF6">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6、</w:t>
      </w:r>
      <w:r>
        <w:rPr>
          <w:rFonts w:hint="eastAsia" w:ascii="仿宋" w:hAnsi="仿宋" w:eastAsia="仿宋" w:cs="仿宋"/>
          <w:color w:val="000000" w:themeColor="text1"/>
          <w:spacing w:val="-2"/>
          <w:sz w:val="21"/>
          <w:szCs w:val="21"/>
          <w14:textFill>
            <w14:solidFill>
              <w14:schemeClr w14:val="tx1"/>
            </w14:solidFill>
          </w14:textFill>
        </w:rPr>
        <w:t>原材料</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对于自身原材料生产、外部原材料的采购、销售，其合格标准与检验标准。</w:t>
      </w:r>
    </w:p>
    <w:p w14:paraId="3DEEEC3D">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2" w:firstLineChars="15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val="en-US" w:eastAsia="zh-CN"/>
          <w14:textFill>
            <w14:solidFill>
              <w14:schemeClr w14:val="tx1"/>
            </w14:solidFill>
          </w14:textFill>
        </w:rPr>
        <w:t>7、</w:t>
      </w:r>
      <w:r>
        <w:rPr>
          <w:rFonts w:hint="eastAsia" w:ascii="仿宋" w:hAnsi="仿宋" w:eastAsia="仿宋" w:cs="仿宋"/>
          <w:color w:val="000000" w:themeColor="text1"/>
          <w:spacing w:val="-1"/>
          <w:sz w:val="21"/>
          <w:szCs w:val="21"/>
          <w14:textFill>
            <w14:solidFill>
              <w14:schemeClr w14:val="tx1"/>
            </w14:solidFill>
          </w14:textFill>
        </w:rPr>
        <w:t>原材料</w:t>
      </w:r>
      <w:r>
        <w:rPr>
          <w:rFonts w:hint="eastAsia" w:ascii="仿宋" w:hAnsi="仿宋" w:eastAsia="仿宋" w:cs="仿宋"/>
          <w:color w:val="000000" w:themeColor="text1"/>
          <w:spacing w:val="-1"/>
          <w:sz w:val="21"/>
          <w:szCs w:val="21"/>
          <w:lang w:eastAsia="zh-CN"/>
          <w14:textFill>
            <w14:solidFill>
              <w14:schemeClr w14:val="tx1"/>
            </w14:solidFill>
          </w14:textFill>
        </w:rPr>
        <w:t>供应商</w:t>
      </w:r>
      <w:r>
        <w:rPr>
          <w:rFonts w:hint="eastAsia" w:ascii="仿宋" w:hAnsi="仿宋" w:eastAsia="仿宋" w:cs="仿宋"/>
          <w:color w:val="000000" w:themeColor="text1"/>
          <w:spacing w:val="-1"/>
          <w:sz w:val="21"/>
          <w:szCs w:val="21"/>
          <w14:textFill>
            <w14:solidFill>
              <w14:schemeClr w14:val="tx1"/>
            </w14:solidFill>
          </w14:textFill>
        </w:rPr>
        <w:t>对于可能的违约责任或食品安全承担说明及责任。</w:t>
      </w:r>
    </w:p>
    <w:p w14:paraId="7CE3F832">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8、</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所供</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供货延迟或所供</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达不到有关食品卫生要求，经有关机构鉴定造成食品质量安全事故或其他经济损失的，由</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依法按自身责任比例承担事故责任。</w:t>
      </w:r>
    </w:p>
    <w:p w14:paraId="69FF90C0">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9、</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所供</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须经过采购方指定人员验收，若不能达到供货要求，采购人有权当即拒收。造成餐厅工作不能正常运行，以当日需求计划总量两倍价款赔付当日损失，同时采购人将对责任原材料</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进行处罚。</w:t>
      </w:r>
    </w:p>
    <w:p w14:paraId="42384EC1">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10、</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必须确定本公司固定人员长期送货，不得指派身份或单位不明的人</w:t>
      </w:r>
      <w:r>
        <w:rPr>
          <w:rFonts w:hint="eastAsia" w:ascii="仿宋" w:hAnsi="仿宋" w:eastAsia="仿宋" w:cs="仿宋"/>
          <w:color w:val="000000" w:themeColor="text1"/>
          <w:spacing w:val="-4"/>
          <w:sz w:val="21"/>
          <w:szCs w:val="21"/>
          <w14:textFill>
            <w14:solidFill>
              <w14:schemeClr w14:val="tx1"/>
            </w14:solidFill>
          </w14:textFill>
        </w:rPr>
        <w:t>员送货。配送人员应具备有效健康证明</w:t>
      </w:r>
      <w:r>
        <w:rPr>
          <w:rFonts w:hint="eastAsia" w:ascii="仿宋" w:hAnsi="仿宋" w:eastAsia="仿宋" w:cs="仿宋"/>
          <w:color w:val="000000" w:themeColor="text1"/>
          <w:spacing w:val="-4"/>
          <w:sz w:val="21"/>
          <w:szCs w:val="21"/>
          <w:lang w:val="en-US" w:eastAsia="zh-CN"/>
          <w14:textFill>
            <w14:solidFill>
              <w14:schemeClr w14:val="tx1"/>
            </w14:solidFill>
          </w14:textFill>
        </w:rPr>
        <w:t>和无犯罪记录证明。</w:t>
      </w:r>
    </w:p>
    <w:p w14:paraId="58BD5199">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11、</w:t>
      </w:r>
      <w:r>
        <w:rPr>
          <w:rFonts w:hint="eastAsia" w:ascii="仿宋" w:hAnsi="仿宋" w:eastAsia="仿宋" w:cs="仿宋"/>
          <w:color w:val="000000" w:themeColor="text1"/>
          <w:spacing w:val="-2"/>
          <w:sz w:val="21"/>
          <w:szCs w:val="21"/>
          <w14:textFill>
            <w14:solidFill>
              <w14:schemeClr w14:val="tx1"/>
            </w14:solidFill>
          </w14:textFill>
        </w:rPr>
        <w:t>对于仅从外观无法辨别的商品质量问题，例如外观完好无暇，采购人在加工过程中发现商品内瓤存在发黑、过生、过熟的情况，</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应以不影响甲方正常开餐时间为基准进行商品更换。</w:t>
      </w:r>
    </w:p>
    <w:p w14:paraId="12DEE118">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12、</w:t>
      </w:r>
      <w:r>
        <w:rPr>
          <w:rFonts w:hint="eastAsia" w:ascii="仿宋" w:hAnsi="仿宋" w:eastAsia="仿宋" w:cs="仿宋"/>
          <w:color w:val="000000" w:themeColor="text1"/>
          <w:spacing w:val="-2"/>
          <w:sz w:val="21"/>
          <w:szCs w:val="21"/>
          <w14:textFill>
            <w14:solidFill>
              <w14:schemeClr w14:val="tx1"/>
            </w14:solidFill>
          </w14:textFill>
        </w:rPr>
        <w:t>任何因原材料质量问题导致的食品安全或食物中毒责任，在确认导致问</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pacing w:val="-2"/>
          <w:sz w:val="21"/>
          <w:szCs w:val="21"/>
          <w14:textFill>
            <w14:solidFill>
              <w14:schemeClr w14:val="tx1"/>
            </w14:solidFill>
          </w14:textFill>
        </w:rPr>
        <w:t>题的原材料品种后，由该</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承担除依法按自身责任比例承担医疗及赔偿等费用外，还应承担给甲方造成的损失。同时，甲方可立即单方解除本合同。</w:t>
      </w:r>
    </w:p>
    <w:p w14:paraId="26B74266">
      <w:pPr>
        <w:pStyle w:val="19"/>
        <w:keepNext w:val="0"/>
        <w:keepLines w:val="0"/>
        <w:pageBreakBefore w:val="0"/>
        <w:widowControl w:val="0"/>
        <w:tabs>
          <w:tab w:val="left" w:pos="6600"/>
        </w:tabs>
        <w:kinsoku/>
        <w:wordWrap/>
        <w:overflowPunct/>
        <w:topLinePunct w:val="0"/>
        <w:autoSpaceDE w:val="0"/>
        <w:autoSpaceDN w:val="0"/>
        <w:bidi w:val="0"/>
        <w:adjustRightInd w:val="0"/>
        <w:snapToGrid w:val="0"/>
        <w:spacing w:line="360" w:lineRule="auto"/>
        <w:ind w:left="0" w:leftChars="0" w:right="0" w:rightChars="0" w:firstLine="310" w:firstLineChars="150"/>
        <w:jc w:val="left"/>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pacing w:val="-2"/>
          <w:sz w:val="21"/>
          <w:szCs w:val="21"/>
          <w:lang w:eastAsia="zh-CN"/>
          <w14:textFill>
            <w14:solidFill>
              <w14:schemeClr w14:val="tx1"/>
            </w14:solidFill>
          </w14:textFill>
        </w:rPr>
        <w:t>（</w:t>
      </w:r>
      <w:r>
        <w:rPr>
          <w:rFonts w:hint="eastAsia" w:ascii="仿宋" w:hAnsi="仿宋" w:eastAsia="仿宋" w:cs="仿宋"/>
          <w:b/>
          <w:color w:val="000000" w:themeColor="text1"/>
          <w:spacing w:val="-2"/>
          <w:sz w:val="21"/>
          <w:szCs w:val="21"/>
          <w:lang w:val="en-US" w:eastAsia="zh-CN"/>
          <w14:textFill>
            <w14:solidFill>
              <w14:schemeClr w14:val="tx1"/>
            </w14:solidFill>
          </w14:textFill>
        </w:rPr>
        <w:t>六</w:t>
      </w:r>
      <w:r>
        <w:rPr>
          <w:rFonts w:hint="eastAsia" w:ascii="仿宋" w:hAnsi="仿宋" w:eastAsia="仿宋" w:cs="仿宋"/>
          <w:b/>
          <w:color w:val="000000" w:themeColor="text1"/>
          <w:spacing w:val="-2"/>
          <w:sz w:val="21"/>
          <w:szCs w:val="21"/>
          <w:lang w:eastAsia="zh-CN"/>
          <w14:textFill>
            <w14:solidFill>
              <w14:schemeClr w14:val="tx1"/>
            </w14:solidFill>
          </w14:textFill>
        </w:rPr>
        <w:t>）</w:t>
      </w:r>
      <w:r>
        <w:rPr>
          <w:rFonts w:hint="eastAsia" w:ascii="仿宋" w:hAnsi="仿宋" w:eastAsia="仿宋" w:cs="仿宋"/>
          <w:b/>
          <w:color w:val="000000" w:themeColor="text1"/>
          <w:spacing w:val="-2"/>
          <w:sz w:val="21"/>
          <w:szCs w:val="21"/>
          <w:lang w:val="en-US" w:eastAsia="zh-CN"/>
          <w14:textFill>
            <w14:solidFill>
              <w14:schemeClr w14:val="tx1"/>
            </w14:solidFill>
          </w14:textFill>
        </w:rPr>
        <w:t>配送服务</w:t>
      </w:r>
      <w:r>
        <w:rPr>
          <w:rFonts w:hint="eastAsia" w:ascii="仿宋" w:hAnsi="仿宋" w:eastAsia="仿宋" w:cs="仿宋"/>
          <w:b/>
          <w:color w:val="000000" w:themeColor="text1"/>
          <w:spacing w:val="-2"/>
          <w:sz w:val="21"/>
          <w:szCs w:val="21"/>
          <w14:textFill>
            <w14:solidFill>
              <w14:schemeClr w14:val="tx1"/>
            </w14:solidFill>
          </w14:textFill>
        </w:rPr>
        <w:t>其他要求</w:t>
      </w:r>
    </w:p>
    <w:p w14:paraId="0E7288CB">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lang w:val="en-US" w:eastAsia="zh-CN"/>
          <w14:textFill>
            <w14:solidFill>
              <w14:schemeClr w14:val="tx1"/>
            </w14:solidFill>
          </w14:textFill>
        </w:rPr>
        <w:t>应</w:t>
      </w:r>
      <w:r>
        <w:rPr>
          <w:rFonts w:hint="eastAsia" w:ascii="仿宋" w:hAnsi="仿宋" w:eastAsia="仿宋" w:cs="仿宋"/>
          <w:color w:val="000000" w:themeColor="text1"/>
          <w:spacing w:val="-2"/>
          <w:sz w:val="21"/>
          <w:szCs w:val="21"/>
          <w14:textFill>
            <w14:solidFill>
              <w14:schemeClr w14:val="tx1"/>
            </w14:solidFill>
          </w14:textFill>
        </w:rPr>
        <w:t>自备运输车辆（冷藏</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恒温），运输车辆应当保持清洁，无霉斑、鼠迹、苍蝇、蟑螂，不得将食品与有毒有害物品混装配送，运输食品和运输有毒有害物品的车辆不得混用</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不得存放有毒、有害物品及个人生活用品，做到专货专用，确保食材运输中无被污染等情况</w:t>
      </w:r>
      <w:r>
        <w:rPr>
          <w:rFonts w:hint="eastAsia" w:ascii="仿宋" w:hAnsi="仿宋" w:eastAsia="仿宋" w:cs="仿宋"/>
          <w:color w:val="000000" w:themeColor="text1"/>
          <w:spacing w:val="-2"/>
          <w:sz w:val="21"/>
          <w:szCs w:val="21"/>
          <w:lang w:eastAsia="zh-CN"/>
          <w14:textFill>
            <w14:solidFill>
              <w14:schemeClr w14:val="tx1"/>
            </w14:solidFill>
          </w14:textFill>
        </w:rPr>
        <w:t>。应保持运输车辆的清洁，每次运输食品前和运输食品后应进行清洗消毒。</w:t>
      </w:r>
      <w:r>
        <w:rPr>
          <w:rFonts w:hint="eastAsia" w:ascii="仿宋" w:hAnsi="仿宋" w:eastAsia="仿宋" w:cs="仿宋"/>
          <w:color w:val="000000" w:themeColor="text1"/>
          <w:spacing w:val="-2"/>
          <w:sz w:val="21"/>
          <w:szCs w:val="21"/>
          <w14:textFill>
            <w14:solidFill>
              <w14:schemeClr w14:val="tx1"/>
            </w14:solidFill>
          </w14:textFill>
        </w:rPr>
        <w:t>安排专人及时供货，装卸费、送货费用及运输安全由供货方承担。</w:t>
      </w:r>
      <w:r>
        <w:rPr>
          <w:rFonts w:hint="eastAsia" w:ascii="仿宋" w:hAnsi="仿宋" w:eastAsia="仿宋" w:cs="仿宋"/>
          <w:color w:val="000000" w:themeColor="text1"/>
          <w:spacing w:val="-2"/>
          <w:sz w:val="21"/>
          <w:szCs w:val="21"/>
          <w:lang w:val="en-US" w:eastAsia="zh-CN"/>
          <w14:textFill>
            <w14:solidFill>
              <w14:schemeClr w14:val="tx1"/>
            </w14:solidFill>
          </w14:textFill>
        </w:rPr>
        <w:t>供应商须具备农残检测设备，</w:t>
      </w:r>
      <w:r>
        <w:rPr>
          <w:rFonts w:hint="eastAsia" w:ascii="仿宋" w:hAnsi="仿宋" w:eastAsia="仿宋" w:cs="仿宋"/>
          <w:color w:val="000000" w:themeColor="text1"/>
          <w:spacing w:val="-2"/>
          <w:sz w:val="21"/>
          <w:szCs w:val="21"/>
          <w14:textFill>
            <w14:solidFill>
              <w14:schemeClr w14:val="tx1"/>
            </w14:solidFill>
          </w14:textFill>
        </w:rPr>
        <w:t>所需配送人员必须符合《中华人民共和国劳动合同法》要求，按劳动法规定与工作人员签订劳动合同并按相关规定缴纳社保，如发生</w:t>
      </w:r>
      <w:r>
        <w:rPr>
          <w:rFonts w:hint="eastAsia" w:ascii="仿宋" w:hAnsi="仿宋" w:eastAsia="仿宋" w:cs="仿宋"/>
          <w:color w:val="000000" w:themeColor="text1"/>
          <w:spacing w:val="-2"/>
          <w:sz w:val="21"/>
          <w:szCs w:val="21"/>
          <w:lang w:val="en-US" w:eastAsia="zh-CN"/>
          <w14:textFill>
            <w14:solidFill>
              <w14:schemeClr w14:val="tx1"/>
            </w14:solidFill>
          </w14:textFill>
        </w:rPr>
        <w:t>劳务</w:t>
      </w:r>
      <w:r>
        <w:rPr>
          <w:rFonts w:hint="eastAsia" w:ascii="仿宋" w:hAnsi="仿宋" w:eastAsia="仿宋" w:cs="仿宋"/>
          <w:color w:val="000000" w:themeColor="text1"/>
          <w:spacing w:val="-2"/>
          <w:sz w:val="21"/>
          <w:szCs w:val="21"/>
          <w14:textFill>
            <w14:solidFill>
              <w14:schemeClr w14:val="tx1"/>
            </w14:solidFill>
          </w14:textFill>
        </w:rPr>
        <w:t>纠纷，由</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自行承担责任</w:t>
      </w:r>
      <w:r>
        <w:rPr>
          <w:rFonts w:hint="eastAsia" w:ascii="仿宋" w:hAnsi="仿宋" w:eastAsia="仿宋" w:cs="仿宋"/>
          <w:color w:val="000000" w:themeColor="text1"/>
          <w:spacing w:val="-2"/>
          <w:sz w:val="21"/>
          <w:szCs w:val="21"/>
          <w:lang w:val="en-US" w:eastAsia="zh-CN"/>
          <w14:textFill>
            <w14:solidFill>
              <w14:schemeClr w14:val="tx1"/>
            </w14:solidFill>
          </w14:textFill>
        </w:rPr>
        <w:t xml:space="preserve"> 。</w:t>
      </w:r>
    </w:p>
    <w:p w14:paraId="63B4B3C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14:textFill>
            <w14:solidFill>
              <w14:schemeClr w14:val="tx1"/>
            </w14:solidFill>
          </w14:textFill>
        </w:rPr>
        <w:t>所有食材采购均以采购方通知为准，采购方有权根据实际需求量随时调整采购计划及供货时间段。</w:t>
      </w:r>
    </w:p>
    <w:p w14:paraId="2934A7AB">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24" w:firstLineChars="150"/>
        <w:jc w:val="both"/>
        <w:textAlignment w:val="auto"/>
        <w:rPr>
          <w:rFonts w:hint="eastAsia" w:ascii="仿宋" w:hAnsi="仿宋" w:eastAsia="仿宋" w:cs="仿宋"/>
          <w:color w:val="000000" w:themeColor="text1"/>
          <w:spacing w:val="-6"/>
          <w:sz w:val="21"/>
          <w:szCs w:val="21"/>
          <w14:textFill>
            <w14:solidFill>
              <w14:schemeClr w14:val="tx1"/>
            </w14:solidFill>
          </w14:textFill>
        </w:rPr>
      </w:pPr>
      <w:r>
        <w:rPr>
          <w:rFonts w:hint="eastAsia" w:ascii="仿宋" w:hAnsi="仿宋" w:eastAsia="仿宋" w:cs="仿宋"/>
          <w:color w:val="000000" w:themeColor="text1"/>
          <w:spacing w:val="3"/>
          <w:sz w:val="21"/>
          <w:szCs w:val="21"/>
          <w:lang w:val="en-US" w:eastAsia="zh-CN"/>
          <w14:textFill>
            <w14:solidFill>
              <w14:schemeClr w14:val="tx1"/>
            </w14:solidFill>
          </w14:textFill>
        </w:rPr>
        <w:t>3、</w:t>
      </w:r>
      <w:r>
        <w:rPr>
          <w:rFonts w:hint="eastAsia" w:ascii="仿宋" w:hAnsi="仿宋" w:eastAsia="仿宋" w:cs="仿宋"/>
          <w:color w:val="000000" w:themeColor="text1"/>
          <w:spacing w:val="3"/>
          <w:sz w:val="21"/>
          <w:szCs w:val="21"/>
          <w14:textFill>
            <w14:solidFill>
              <w14:schemeClr w14:val="tx1"/>
            </w14:solidFill>
          </w14:textFill>
        </w:rPr>
        <w:t>原材料</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应严格遵守《中华人民共和国食品安全法》等相关规定，为采购人提供安全、卫生、优质的产品，切实要履行自己的承诺。如果</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提供</w:t>
      </w:r>
      <w:r>
        <w:rPr>
          <w:rFonts w:hint="eastAsia" w:ascii="仿宋" w:hAnsi="仿宋" w:eastAsia="仿宋" w:cs="仿宋"/>
          <w:color w:val="000000" w:themeColor="text1"/>
          <w:spacing w:val="-3"/>
          <w:sz w:val="21"/>
          <w:szCs w:val="21"/>
          <w14:textFill>
            <w14:solidFill>
              <w14:schemeClr w14:val="tx1"/>
            </w14:solidFill>
          </w14:textFill>
        </w:rPr>
        <w:t xml:space="preserve">的产品出现质量问题，在收到采购人通知后 </w:t>
      </w:r>
      <w:r>
        <w:rPr>
          <w:rFonts w:hint="eastAsia" w:ascii="仿宋" w:hAnsi="仿宋" w:eastAsia="仿宋" w:cs="仿宋"/>
          <w:color w:val="000000" w:themeColor="text1"/>
          <w:sz w:val="21"/>
          <w:szCs w:val="21"/>
          <w14:textFill>
            <w14:solidFill>
              <w14:schemeClr w14:val="tx1"/>
            </w14:solidFill>
          </w14:textFill>
        </w:rPr>
        <w:t>24</w:t>
      </w:r>
      <w:r>
        <w:rPr>
          <w:rFonts w:hint="eastAsia" w:ascii="仿宋" w:hAnsi="仿宋" w:eastAsia="仿宋" w:cs="仿宋"/>
          <w:color w:val="000000" w:themeColor="text1"/>
          <w:spacing w:val="-6"/>
          <w:sz w:val="21"/>
          <w:szCs w:val="21"/>
          <w14:textFill>
            <w14:solidFill>
              <w14:schemeClr w14:val="tx1"/>
            </w14:solidFill>
          </w14:textFill>
        </w:rPr>
        <w:t xml:space="preserve"> 小时内没有弥补缺陷，采购人可采取必要的补救措施，但其风险和费用将由</w:t>
      </w:r>
      <w:r>
        <w:rPr>
          <w:rFonts w:hint="eastAsia" w:ascii="仿宋" w:hAnsi="仿宋" w:eastAsia="仿宋" w:cs="仿宋"/>
          <w:color w:val="000000" w:themeColor="text1"/>
          <w:spacing w:val="-6"/>
          <w:sz w:val="21"/>
          <w:szCs w:val="21"/>
          <w:lang w:eastAsia="zh-CN"/>
          <w14:textFill>
            <w14:solidFill>
              <w14:schemeClr w14:val="tx1"/>
            </w14:solidFill>
          </w14:textFill>
        </w:rPr>
        <w:t>供应商</w:t>
      </w:r>
      <w:r>
        <w:rPr>
          <w:rFonts w:hint="eastAsia" w:ascii="仿宋" w:hAnsi="仿宋" w:eastAsia="仿宋" w:cs="仿宋"/>
          <w:color w:val="000000" w:themeColor="text1"/>
          <w:spacing w:val="-6"/>
          <w:sz w:val="21"/>
          <w:szCs w:val="21"/>
          <w14:textFill>
            <w14:solidFill>
              <w14:schemeClr w14:val="tx1"/>
            </w14:solidFill>
          </w14:textFill>
        </w:rPr>
        <w:t>承担。</w:t>
      </w:r>
    </w:p>
    <w:p w14:paraId="1CBC9FC0">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24" w:firstLineChars="150"/>
        <w:jc w:val="both"/>
        <w:textAlignment w:val="auto"/>
        <w:rPr>
          <w:rFonts w:hint="eastAsia" w:ascii="仿宋" w:hAnsi="仿宋" w:eastAsia="仿宋" w:cs="仿宋"/>
          <w:color w:val="000000" w:themeColor="text1"/>
          <w:spacing w:val="3"/>
          <w:sz w:val="21"/>
          <w:szCs w:val="21"/>
          <w14:textFill>
            <w14:solidFill>
              <w14:schemeClr w14:val="tx1"/>
            </w14:solidFill>
          </w14:textFill>
        </w:rPr>
      </w:pPr>
      <w:r>
        <w:rPr>
          <w:rFonts w:hint="eastAsia" w:ascii="仿宋" w:hAnsi="仿宋" w:eastAsia="仿宋" w:cs="仿宋"/>
          <w:color w:val="000000" w:themeColor="text1"/>
          <w:spacing w:val="3"/>
          <w:sz w:val="21"/>
          <w:szCs w:val="21"/>
          <w:lang w:val="en-US" w:eastAsia="zh-CN"/>
          <w14:textFill>
            <w14:solidFill>
              <w14:schemeClr w14:val="tx1"/>
            </w14:solidFill>
          </w14:textFill>
        </w:rPr>
        <w:t>4、</w:t>
      </w:r>
      <w:r>
        <w:rPr>
          <w:rFonts w:hint="eastAsia" w:ascii="仿宋" w:hAnsi="仿宋" w:eastAsia="仿宋" w:cs="仿宋"/>
          <w:color w:val="000000" w:themeColor="text1"/>
          <w:spacing w:val="3"/>
          <w:sz w:val="21"/>
          <w:szCs w:val="21"/>
          <w14:textFill>
            <w14:solidFill>
              <w14:schemeClr w14:val="tx1"/>
            </w14:solidFill>
          </w14:textFill>
        </w:rPr>
        <w:t>乙方如违反以下任意一项规定，甲方有权解除合同，并由乙方承担因此产生的经济责任和法律责任。</w:t>
      </w:r>
    </w:p>
    <w:p w14:paraId="4F9598E8">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24" w:firstLineChars="150"/>
        <w:jc w:val="both"/>
        <w:textAlignment w:val="auto"/>
        <w:rPr>
          <w:rFonts w:hint="eastAsia" w:ascii="仿宋" w:hAnsi="仿宋" w:eastAsia="仿宋" w:cs="仿宋"/>
          <w:color w:val="000000" w:themeColor="text1"/>
          <w:spacing w:val="3"/>
          <w:sz w:val="21"/>
          <w:szCs w:val="21"/>
          <w14:textFill>
            <w14:solidFill>
              <w14:schemeClr w14:val="tx1"/>
            </w14:solidFill>
          </w14:textFill>
        </w:rPr>
      </w:pPr>
      <w:r>
        <w:rPr>
          <w:rFonts w:hint="eastAsia" w:ascii="仿宋" w:hAnsi="仿宋" w:eastAsia="仿宋" w:cs="仿宋"/>
          <w:color w:val="000000" w:themeColor="text1"/>
          <w:spacing w:val="3"/>
          <w:sz w:val="21"/>
          <w:szCs w:val="21"/>
          <w:lang w:val="en-US" w:eastAsia="zh-CN"/>
          <w14:textFill>
            <w14:solidFill>
              <w14:schemeClr w14:val="tx1"/>
            </w14:solidFill>
          </w14:textFill>
        </w:rPr>
        <w:t>（1）</w:t>
      </w:r>
      <w:r>
        <w:rPr>
          <w:rFonts w:hint="eastAsia" w:ascii="仿宋" w:hAnsi="仿宋" w:eastAsia="仿宋" w:cs="仿宋"/>
          <w:color w:val="000000" w:themeColor="text1"/>
          <w:spacing w:val="3"/>
          <w:sz w:val="21"/>
          <w:szCs w:val="21"/>
          <w14:textFill>
            <w14:solidFill>
              <w14:schemeClr w14:val="tx1"/>
            </w14:solidFill>
          </w14:textFill>
        </w:rPr>
        <w:t>腐败变质、油脂酸败、霉变、生虫、污秽不洁、混有异物或者其他感官性状异常，对人体健康有害的；</w:t>
      </w:r>
    </w:p>
    <w:p w14:paraId="550798E3">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2" w:firstLineChars="150"/>
        <w:jc w:val="both"/>
        <w:textAlignment w:val="auto"/>
        <w:rPr>
          <w:rFonts w:hint="eastAsia" w:ascii="仿宋" w:hAnsi="仿宋" w:eastAsia="仿宋" w:cs="仿宋"/>
          <w:color w:val="000000" w:themeColor="text1"/>
          <w:spacing w:val="-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2</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含有毒、有害物质或者被有害物质污染，对人体健康有害的；</w:t>
      </w:r>
    </w:p>
    <w:p w14:paraId="4818BE15">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2"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3</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含有致病性寄生虫、微生物或者微生物含量超过国家限定标准的；</w:t>
      </w:r>
    </w:p>
    <w:p w14:paraId="624CD031">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pacing w:val="-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4</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掺假、掺杂、伪造，影响营养、卫生的；</w:t>
      </w:r>
    </w:p>
    <w:p w14:paraId="11F5E9E6">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5</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用非食品原料加工的，加入非食品用化学物质或者将非食品当作食品的；</w:t>
      </w:r>
    </w:p>
    <w:p w14:paraId="3B8002B7">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6</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乙方不能按时、按要求供货或不能及时退、换货；</w:t>
      </w:r>
    </w:p>
    <w:p w14:paraId="2629F12B">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7</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不经双方协商，乙方向甲方提供不符合合同规定的产品；</w:t>
      </w:r>
    </w:p>
    <w:p w14:paraId="1C9F978C">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2"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b w:val="0"/>
          <w:bCs w:val="0"/>
          <w:color w:val="000000" w:themeColor="text1"/>
          <w:spacing w:val="-1"/>
          <w:sz w:val="21"/>
          <w:szCs w:val="21"/>
          <w:lang w:val="en-US" w:eastAsia="zh-CN" w:bidi="ar-SA"/>
          <w14:textFill>
            <w14:solidFill>
              <w14:schemeClr w14:val="tx1"/>
            </w14:solidFill>
          </w14:textFill>
        </w:rPr>
        <w:t>（8）超过保质期限的</w:t>
      </w:r>
      <w:r>
        <w:rPr>
          <w:rFonts w:hint="eastAsia" w:ascii="仿宋" w:hAnsi="仿宋" w:eastAsia="仿宋" w:cs="仿宋"/>
          <w:color w:val="000000" w:themeColor="text1"/>
          <w:spacing w:val="-2"/>
          <w:sz w:val="21"/>
          <w:szCs w:val="21"/>
          <w14:textFill>
            <w14:solidFill>
              <w14:schemeClr w14:val="tx1"/>
            </w14:solidFill>
          </w14:textFill>
        </w:rPr>
        <w:t>。</w:t>
      </w:r>
    </w:p>
    <w:p w14:paraId="258EDEF9">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pacing w:val="-1"/>
          <w:sz w:val="21"/>
          <w:szCs w:val="21"/>
          <w:lang w:val="en-US" w:eastAsia="zh-CN"/>
          <w14:textFill>
            <w14:solidFill>
              <w14:schemeClr w14:val="tx1"/>
            </w14:solidFill>
          </w14:textFill>
        </w:rPr>
      </w:pPr>
      <w:r>
        <w:rPr>
          <w:rFonts w:hint="eastAsia" w:ascii="仿宋" w:hAnsi="仿宋" w:eastAsia="仿宋" w:cs="仿宋"/>
          <w:color w:val="000000" w:themeColor="text1"/>
          <w:spacing w:val="-1"/>
          <w:sz w:val="21"/>
          <w:szCs w:val="21"/>
          <w:lang w:val="en-US" w:eastAsia="zh-CN"/>
          <w14:textFill>
            <w14:solidFill>
              <w14:schemeClr w14:val="tx1"/>
            </w14:solidFill>
          </w14:textFill>
        </w:rPr>
        <w:t>（9)在合同期内受到监管部门行政处罚的。</w:t>
      </w:r>
    </w:p>
    <w:p w14:paraId="2C9465F9">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410" w:firstLineChars="15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4"/>
          <w:sz w:val="28"/>
          <w:szCs w:val="28"/>
          <w:lang w:val="en-US" w:eastAsia="zh-CN"/>
          <w14:textFill>
            <w14:solidFill>
              <w14:schemeClr w14:val="tx1"/>
            </w14:solidFill>
          </w14:textFill>
        </w:rPr>
        <w:t>三</w:t>
      </w:r>
      <w:r>
        <w:rPr>
          <w:rFonts w:hint="eastAsia" w:ascii="仿宋" w:hAnsi="仿宋" w:eastAsia="仿宋" w:cs="仿宋"/>
          <w:color w:val="000000" w:themeColor="text1"/>
          <w:spacing w:val="-4"/>
          <w:sz w:val="28"/>
          <w:szCs w:val="28"/>
          <w14:textFill>
            <w14:solidFill>
              <w14:schemeClr w14:val="tx1"/>
            </w14:solidFill>
          </w14:textFill>
        </w:rPr>
        <w:t>、商务要求</w:t>
      </w:r>
    </w:p>
    <w:p w14:paraId="75A1B87A">
      <w:pPr>
        <w:pStyle w:val="8"/>
        <w:keepNext w:val="0"/>
        <w:keepLines w:val="0"/>
        <w:pageBreakBefore w:val="0"/>
        <w:widowControl w:val="0"/>
        <w:tabs>
          <w:tab w:val="left" w:pos="9460"/>
        </w:tabs>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（一）</w:t>
      </w:r>
      <w:r>
        <w:rPr>
          <w:rFonts w:hint="eastAsia" w:ascii="仿宋" w:hAnsi="仿宋" w:eastAsia="仿宋" w:cs="仿宋"/>
          <w:color w:val="000000" w:themeColor="text1"/>
          <w:spacing w:val="-6"/>
          <w:sz w:val="21"/>
          <w:szCs w:val="21"/>
          <w:lang w:eastAsia="zh-CN"/>
          <w14:textFill>
            <w14:solidFill>
              <w14:schemeClr w14:val="tx1"/>
            </w14:solidFill>
          </w14:textFill>
        </w:rPr>
        <w:t>服务周期</w:t>
      </w:r>
      <w:r>
        <w:rPr>
          <w:rFonts w:hint="eastAsia" w:ascii="仿宋" w:hAnsi="仿宋" w:eastAsia="仿宋" w:cs="仿宋"/>
          <w:color w:val="000000" w:themeColor="text1"/>
          <w:spacing w:val="-6"/>
          <w:sz w:val="21"/>
          <w:szCs w:val="21"/>
          <w14:textFill>
            <w14:solidFill>
              <w14:schemeClr w14:val="tx1"/>
            </w14:solidFill>
          </w14:textFill>
        </w:rPr>
        <w:t>：</w:t>
      </w:r>
      <w:r>
        <w:rPr>
          <w:rFonts w:hint="eastAsia" w:ascii="仿宋" w:hAnsi="仿宋" w:eastAsia="仿宋" w:cs="仿宋"/>
          <w:b w:val="0"/>
          <w:bCs/>
          <w:color w:val="000000" w:themeColor="text1"/>
          <w:spacing w:val="-6"/>
          <w:sz w:val="21"/>
          <w:szCs w:val="21"/>
          <w:lang w:val="en-US" w:eastAsia="zh-CN"/>
          <w14:textFill>
            <w14:solidFill>
              <w14:schemeClr w14:val="tx1"/>
            </w14:solidFill>
          </w14:textFill>
        </w:rPr>
        <w:t>自合同签订之日起1年</w:t>
      </w:r>
      <w:r>
        <w:rPr>
          <w:rFonts w:hint="eastAsia" w:ascii="仿宋" w:hAnsi="仿宋" w:eastAsia="仿宋" w:cs="仿宋"/>
          <w:b w:val="0"/>
          <w:bCs/>
          <w:color w:val="000000" w:themeColor="text1"/>
          <w:spacing w:val="-2"/>
          <w:sz w:val="21"/>
          <w:szCs w:val="21"/>
          <w14:textFill>
            <w14:solidFill>
              <w14:schemeClr w14:val="tx1"/>
            </w14:solidFill>
          </w14:textFill>
        </w:rPr>
        <w:t>。</w:t>
      </w:r>
    </w:p>
    <w:p w14:paraId="56A15A2B">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default" w:ascii="仿宋" w:hAnsi="仿宋" w:eastAsia="仿宋" w:cs="仿宋"/>
          <w:color w:val="000000" w:themeColor="text1"/>
          <w:spacing w:val="-2"/>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二</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配送地点：</w:t>
      </w:r>
      <w:r>
        <w:rPr>
          <w:rFonts w:hint="eastAsia" w:ascii="仿宋" w:hAnsi="仿宋" w:eastAsia="仿宋" w:cs="仿宋"/>
          <w:b w:val="0"/>
          <w:bCs/>
          <w:color w:val="000000" w:themeColor="text1"/>
          <w:spacing w:val="-2"/>
          <w:sz w:val="21"/>
          <w:szCs w:val="21"/>
          <w:lang w:val="en-US" w:eastAsia="zh-CN"/>
          <w14:textFill>
            <w14:solidFill>
              <w14:schemeClr w14:val="tx1"/>
            </w14:solidFill>
          </w14:textFill>
        </w:rPr>
        <w:t>采购人指定地点。</w:t>
      </w:r>
    </w:p>
    <w:p w14:paraId="59DE0D0D">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三</w:t>
      </w:r>
      <w:r>
        <w:rPr>
          <w:rFonts w:hint="eastAsia" w:ascii="仿宋" w:hAnsi="仿宋" w:eastAsia="仿宋" w:cs="仿宋"/>
          <w:color w:val="000000" w:themeColor="text1"/>
          <w:spacing w:val="-2"/>
          <w:sz w:val="21"/>
          <w:szCs w:val="21"/>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付款及</w:t>
      </w:r>
      <w:r>
        <w:rPr>
          <w:rFonts w:hint="eastAsia" w:ascii="仿宋" w:hAnsi="仿宋" w:eastAsia="仿宋" w:cs="仿宋"/>
          <w:color w:val="000000" w:themeColor="text1"/>
          <w:spacing w:val="-4"/>
          <w:sz w:val="21"/>
          <w:szCs w:val="21"/>
          <w14:textFill>
            <w14:solidFill>
              <w14:schemeClr w14:val="tx1"/>
            </w14:solidFill>
          </w14:textFill>
        </w:rPr>
        <w:t>结算要求：</w:t>
      </w:r>
    </w:p>
    <w:p w14:paraId="09A7DA75">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14:textFill>
            <w14:solidFill>
              <w14:schemeClr w14:val="tx1"/>
            </w14:solidFill>
          </w14:textFill>
        </w:rPr>
        <w:t>具体配送种类以采购人的采购单为准，食材到达现场后使用单位根据采购单及配送单进行食材验收，</w:t>
      </w:r>
      <w:r>
        <w:rPr>
          <w:rFonts w:hint="eastAsia" w:ascii="仿宋" w:hAnsi="仿宋" w:eastAsia="仿宋" w:cs="仿宋"/>
          <w:color w:val="000000" w:themeColor="text1"/>
          <w:spacing w:val="-2"/>
          <w:sz w:val="21"/>
          <w:szCs w:val="21"/>
          <w:lang w:val="en-US" w:eastAsia="zh-CN"/>
          <w14:textFill>
            <w14:solidFill>
              <w14:schemeClr w14:val="tx1"/>
            </w14:solidFill>
          </w14:textFill>
        </w:rPr>
        <w:t>配送单位须</w:t>
      </w:r>
      <w:r>
        <w:rPr>
          <w:rFonts w:hint="eastAsia" w:ascii="仿宋" w:hAnsi="仿宋" w:eastAsia="仿宋" w:cs="仿宋"/>
          <w:color w:val="000000" w:themeColor="text1"/>
          <w:spacing w:val="-2"/>
          <w:sz w:val="21"/>
          <w:szCs w:val="21"/>
          <w14:textFill>
            <w14:solidFill>
              <w14:schemeClr w14:val="tx1"/>
            </w14:solidFill>
          </w14:textFill>
        </w:rPr>
        <w:t>在验收单上签字</w:t>
      </w:r>
      <w:r>
        <w:rPr>
          <w:rFonts w:hint="eastAsia" w:ascii="仿宋" w:hAnsi="仿宋" w:eastAsia="仿宋" w:cs="仿宋"/>
          <w:color w:val="000000" w:themeColor="text1"/>
          <w:spacing w:val="-2"/>
          <w:sz w:val="21"/>
          <w:szCs w:val="21"/>
          <w:lang w:val="en-US" w:eastAsia="zh-CN"/>
          <w14:textFill>
            <w14:solidFill>
              <w14:schemeClr w14:val="tx1"/>
            </w14:solidFill>
          </w14:textFill>
        </w:rPr>
        <w:t>盖章</w:t>
      </w:r>
      <w:r>
        <w:rPr>
          <w:rFonts w:hint="eastAsia" w:ascii="仿宋" w:hAnsi="仿宋" w:eastAsia="仿宋" w:cs="仿宋"/>
          <w:color w:val="000000" w:themeColor="text1"/>
          <w:spacing w:val="-2"/>
          <w:sz w:val="21"/>
          <w:szCs w:val="21"/>
          <w14:textFill>
            <w14:solidFill>
              <w14:schemeClr w14:val="tx1"/>
            </w14:solidFill>
          </w14:textFill>
        </w:rPr>
        <w:t>留存。</w:t>
      </w:r>
    </w:p>
    <w:p w14:paraId="569663ED">
      <w:pPr>
        <w:pStyle w:val="71"/>
        <w:keepNext w:val="0"/>
        <w:keepLines w:val="0"/>
        <w:pageBreakBefore w:val="0"/>
        <w:widowControl w:val="0"/>
        <w:numPr>
          <w:ilvl w:val="0"/>
          <w:numId w:val="0"/>
        </w:numPr>
        <w:tabs>
          <w:tab w:val="left" w:pos="961"/>
        </w:tabs>
        <w:kinsoku/>
        <w:wordWrap/>
        <w:overflowPunct/>
        <w:topLinePunct w:val="0"/>
        <w:autoSpaceDE w:val="0"/>
        <w:autoSpaceDN w:val="0"/>
        <w:bidi w:val="0"/>
        <w:adjustRightInd w:val="0"/>
        <w:snapToGrid w:val="0"/>
        <w:spacing w:line="360" w:lineRule="auto"/>
        <w:ind w:left="0" w:leftChars="0" w:right="0" w:rightChars="0" w:firstLine="316"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2、</w:t>
      </w:r>
      <w:r>
        <w:rPr>
          <w:rFonts w:hint="eastAsia" w:ascii="仿宋" w:hAnsi="仿宋" w:eastAsia="仿宋" w:cs="仿宋"/>
          <w:b/>
          <w:bCs/>
          <w:color w:val="000000" w:themeColor="text1"/>
          <w:sz w:val="21"/>
          <w:szCs w:val="21"/>
          <w:lang w:eastAsia="zh-CN"/>
          <w14:textFill>
            <w14:solidFill>
              <w14:schemeClr w14:val="tx1"/>
            </w14:solidFill>
          </w14:textFill>
        </w:rPr>
        <w:t>付款方式</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lang w:val="en-US" w:eastAsia="zh-CN"/>
          <w14:textFill>
            <w14:solidFill>
              <w14:schemeClr w14:val="tx1"/>
            </w14:solidFill>
          </w14:textFill>
        </w:rPr>
        <w:t>按月核算、付款</w:t>
      </w:r>
      <w:r>
        <w:rPr>
          <w:rFonts w:hint="eastAsia" w:ascii="仿宋" w:hAnsi="仿宋" w:eastAsia="仿宋" w:cs="仿宋"/>
          <w:color w:val="000000" w:themeColor="text1"/>
          <w:sz w:val="21"/>
          <w:szCs w:val="21"/>
          <w14:textFill>
            <w14:solidFill>
              <w14:schemeClr w14:val="tx1"/>
            </w14:solidFill>
          </w14:textFill>
        </w:rPr>
        <w:t>。</w:t>
      </w:r>
    </w:p>
    <w:p w14:paraId="2E4CD9C3">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28" w:firstLineChars="150"/>
        <w:jc w:val="left"/>
        <w:textAlignment w:val="auto"/>
        <w:outlineLvl w:val="9"/>
        <w:rPr>
          <w:rFonts w:hint="default" w:ascii="仿宋" w:hAnsi="仿宋" w:eastAsia="仿宋" w:cs="仿宋"/>
          <w:b/>
          <w:bCs/>
          <w:color w:val="000000" w:themeColor="text1"/>
          <w:spacing w:val="4"/>
          <w:sz w:val="21"/>
          <w:szCs w:val="21"/>
          <w:lang w:val="en-US" w:eastAsia="zh-CN" w:bidi="ar-SA"/>
          <w14:textFill>
            <w14:solidFill>
              <w14:schemeClr w14:val="tx1"/>
            </w14:solidFill>
          </w14:textFill>
        </w:rPr>
      </w:pPr>
      <w:r>
        <w:rPr>
          <w:rFonts w:hint="eastAsia" w:ascii="仿宋" w:hAnsi="仿宋" w:eastAsia="仿宋" w:cs="仿宋"/>
          <w:b/>
          <w:bCs/>
          <w:color w:val="000000" w:themeColor="text1"/>
          <w:spacing w:val="4"/>
          <w:sz w:val="21"/>
          <w:szCs w:val="21"/>
          <w:lang w:val="en-US" w:eastAsia="zh-CN" w:bidi="ar-SA"/>
          <w14:textFill>
            <w14:solidFill>
              <w14:schemeClr w14:val="tx1"/>
            </w14:solidFill>
          </w14:textFill>
        </w:rPr>
        <w:t>3、结算：</w:t>
      </w:r>
      <w:r>
        <w:rPr>
          <w:rFonts w:hint="eastAsia" w:ascii="仿宋" w:hAnsi="仿宋" w:eastAsia="仿宋" w:cs="仿宋"/>
          <w:color w:val="000000" w:themeColor="text1"/>
          <w:spacing w:val="4"/>
          <w:kern w:val="2"/>
          <w:sz w:val="21"/>
          <w:szCs w:val="21"/>
          <w:lang w:val="en-US" w:eastAsia="zh-CN" w:bidi="ar-SA"/>
          <w14:textFill>
            <w14:solidFill>
              <w14:schemeClr w14:val="tx1"/>
            </w14:solidFill>
          </w14:textFill>
        </w:rPr>
        <w:t>最终以实际供应量×折扣率结算。</w:t>
      </w:r>
    </w:p>
    <w:p w14:paraId="0A1F6DA6">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28" w:firstLineChars="150"/>
        <w:jc w:val="left"/>
        <w:textAlignment w:val="auto"/>
        <w:outlineLvl w:val="9"/>
        <w:rPr>
          <w:rFonts w:hint="eastAsia" w:ascii="仿宋" w:hAnsi="仿宋" w:eastAsia="仿宋" w:cs="仿宋"/>
          <w:color w:val="000000" w:themeColor="text1"/>
          <w:spacing w:val="4"/>
          <w:sz w:val="21"/>
          <w:szCs w:val="21"/>
          <w:lang w:val="en-US" w:eastAsia="zh-CN" w:bidi="ar-SA"/>
          <w14:textFill>
            <w14:solidFill>
              <w14:schemeClr w14:val="tx1"/>
            </w14:solidFill>
          </w14:textFill>
        </w:rPr>
      </w:pPr>
      <w:r>
        <w:rPr>
          <w:rFonts w:hint="eastAsia" w:ascii="仿宋" w:hAnsi="仿宋" w:eastAsia="仿宋" w:cs="仿宋"/>
          <w:b/>
          <w:bCs/>
          <w:color w:val="000000" w:themeColor="text1"/>
          <w:spacing w:val="4"/>
          <w:sz w:val="21"/>
          <w:szCs w:val="21"/>
          <w:lang w:val="en-US" w:eastAsia="zh-CN" w:bidi="ar-SA"/>
          <w14:textFill>
            <w14:solidFill>
              <w14:schemeClr w14:val="tx1"/>
            </w14:solidFill>
          </w14:textFill>
        </w:rPr>
        <w:t>（四）价格：</w:t>
      </w:r>
      <w:r>
        <w:rPr>
          <w:rFonts w:hint="eastAsia" w:ascii="仿宋" w:hAnsi="仿宋" w:eastAsia="仿宋" w:cs="仿宋"/>
          <w:color w:val="000000" w:themeColor="text1"/>
          <w:spacing w:val="4"/>
          <w:sz w:val="21"/>
          <w:szCs w:val="21"/>
          <w:lang w:val="en-US" w:eastAsia="zh-CN" w:bidi="ar-SA"/>
          <w14:textFill>
            <w14:solidFill>
              <w14:schemeClr w14:val="tx1"/>
            </w14:solidFill>
          </w14:textFill>
        </w:rPr>
        <w:t>服务周期内所供食材不得高于市场价及每周公布的食材指导价。</w:t>
      </w:r>
    </w:p>
    <w:p w14:paraId="0EEBB4F7">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28" w:firstLineChars="150"/>
        <w:jc w:val="left"/>
        <w:textAlignment w:val="auto"/>
        <w:outlineLvl w:val="9"/>
        <w:rPr>
          <w:rFonts w:hint="eastAsia" w:ascii="仿宋" w:hAnsi="仿宋" w:eastAsia="仿宋" w:cs="仿宋"/>
          <w:b/>
          <w:bCs/>
          <w:color w:val="000000" w:themeColor="text1"/>
          <w:spacing w:val="4"/>
          <w:sz w:val="21"/>
          <w:szCs w:val="21"/>
          <w:lang w:val="en-US" w:eastAsia="zh-CN" w:bidi="ar-SA"/>
          <w14:textFill>
            <w14:solidFill>
              <w14:schemeClr w14:val="tx1"/>
            </w14:solidFill>
          </w14:textFill>
        </w:rPr>
      </w:pPr>
      <w:r>
        <w:rPr>
          <w:rFonts w:hint="eastAsia" w:ascii="仿宋" w:hAnsi="仿宋" w:eastAsia="仿宋" w:cs="仿宋"/>
          <w:b/>
          <w:bCs/>
          <w:color w:val="000000" w:themeColor="text1"/>
          <w:spacing w:val="4"/>
          <w:sz w:val="21"/>
          <w:szCs w:val="21"/>
          <w:lang w:val="en-US" w:eastAsia="zh-CN" w:bidi="ar-SA"/>
          <w14:textFill>
            <w14:solidFill>
              <w14:schemeClr w14:val="tx1"/>
            </w14:solidFill>
          </w14:textFill>
        </w:rPr>
        <w:t>（五）合同的变更、中止、终止及争议的解决</w:t>
      </w:r>
    </w:p>
    <w:p w14:paraId="43B2FA31">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15" w:firstLineChars="150"/>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合同一经签订，不得擅自变更、中止或者终止合同。对确需变更、调整或者中止、终止合同的，由双方协商解决。</w:t>
      </w:r>
    </w:p>
    <w:p w14:paraId="7A46A1F1">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15" w:firstLineChars="15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合同在履行过程中发生的争议，当事人双方应协商解决，协商达不成一致时，可向采购方所在地仲裁委员会申请仲裁或者向人民法院提请诉讼。</w:t>
      </w:r>
    </w:p>
    <w:p w14:paraId="174F1372">
      <w:pPr>
        <w:keepNext w:val="0"/>
        <w:keepLines w:val="0"/>
        <w:pageBreakBefore w:val="0"/>
        <w:widowControl w:val="0"/>
        <w:kinsoku/>
        <w:wordWrap/>
        <w:overflowPunct/>
        <w:topLinePunct w:val="0"/>
        <w:bidi w:val="0"/>
        <w:adjustRightInd w:val="0"/>
        <w:snapToGrid w:val="0"/>
        <w:spacing w:line="360" w:lineRule="auto"/>
        <w:ind w:left="0" w:leftChars="0" w:right="0" w:rightChars="0" w:firstLine="422" w:firstLineChars="15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注</w:t>
      </w: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lang w:val="en-US" w:eastAsia="zh-CN"/>
          <w14:textFill>
            <w14:solidFill>
              <w14:schemeClr w14:val="tx1"/>
            </w14:solidFill>
          </w14:textFill>
        </w:rPr>
        <w:t>商务要求</w:t>
      </w:r>
      <w:r>
        <w:rPr>
          <w:rFonts w:hint="eastAsia" w:ascii="仿宋" w:hAnsi="仿宋" w:eastAsia="仿宋" w:cs="仿宋"/>
          <w:b/>
          <w:bCs/>
          <w:color w:val="000000" w:themeColor="text1"/>
          <w:kern w:val="2"/>
          <w:sz w:val="28"/>
          <w:szCs w:val="28"/>
          <w14:textFill>
            <w14:solidFill>
              <w14:schemeClr w14:val="tx1"/>
            </w14:solidFill>
          </w14:textFill>
        </w:rPr>
        <w:t>不得负偏离</w:t>
      </w:r>
    </w:p>
    <w:p w14:paraId="255FA488">
      <w:pPr>
        <w:pStyle w:val="55"/>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000000" w:themeColor="text1"/>
          <w:kern w:val="2"/>
          <w:sz w:val="21"/>
          <w:szCs w:val="21"/>
          <w14:textFill>
            <w14:solidFill>
              <w14:schemeClr w14:val="tx1"/>
            </w14:solidFill>
          </w14:textFill>
        </w:rPr>
      </w:pPr>
    </w:p>
    <w:p w14:paraId="1FECE8E4">
      <w:pPr>
        <w:pStyle w:val="55"/>
        <w:rPr>
          <w:rFonts w:hint="eastAsia" w:ascii="仿宋" w:hAnsi="仿宋" w:eastAsia="仿宋" w:cs="仿宋"/>
          <w:color w:val="000000" w:themeColor="text1"/>
          <w:kern w:val="2"/>
          <w:sz w:val="28"/>
          <w:szCs w:val="28"/>
          <w14:textFill>
            <w14:solidFill>
              <w14:schemeClr w14:val="tx1"/>
            </w14:solidFill>
          </w14:textFill>
        </w:rPr>
      </w:pPr>
    </w:p>
    <w:p w14:paraId="7EC52F99">
      <w:pPr>
        <w:pStyle w:val="40"/>
        <w:ind w:left="0" w:leftChars="0" w:firstLine="0" w:firstLineChars="0"/>
        <w:rPr>
          <w:rFonts w:hint="eastAsia" w:ascii="仿宋" w:hAnsi="仿宋" w:eastAsia="仿宋" w:cs="仿宋"/>
          <w:color w:val="000000" w:themeColor="text1"/>
          <w:sz w:val="21"/>
          <w:szCs w:val="21"/>
          <w14:textFill>
            <w14:solidFill>
              <w14:schemeClr w14:val="tx1"/>
            </w14:solidFill>
          </w14:textFill>
        </w:rPr>
      </w:pPr>
    </w:p>
    <w:p w14:paraId="439EBF94">
      <w:pPr>
        <w:pStyle w:val="2"/>
        <w:ind w:firstLine="1265" w:firstLineChars="600"/>
        <w:jc w:val="both"/>
        <w:rPr>
          <w:rFonts w:hint="eastAsia" w:ascii="仿宋" w:hAnsi="仿宋" w:eastAsia="仿宋" w:cs="仿宋"/>
          <w:bCs/>
          <w:color w:val="000000" w:themeColor="text1"/>
          <w:sz w:val="21"/>
          <w:szCs w:val="21"/>
          <w14:textFill>
            <w14:solidFill>
              <w14:schemeClr w14:val="tx1"/>
            </w14:solidFill>
          </w14:textFill>
        </w:rPr>
      </w:pPr>
    </w:p>
    <w:p w14:paraId="7508CE88">
      <w:pPr>
        <w:rPr>
          <w:rFonts w:ascii="楷体" w:hAnsi="楷体" w:eastAsia="楷体" w:cs="楷体"/>
          <w:bCs/>
          <w:color w:val="000000" w:themeColor="text1"/>
          <w:szCs w:val="36"/>
          <w14:textFill>
            <w14:solidFill>
              <w14:schemeClr w14:val="tx1"/>
            </w14:solidFill>
          </w14:textFill>
        </w:rPr>
      </w:pPr>
    </w:p>
    <w:p w14:paraId="644D57CF">
      <w:pPr>
        <w:rPr>
          <w:rFonts w:ascii="楷体" w:hAnsi="楷体" w:eastAsia="楷体" w:cs="楷体"/>
          <w:bCs/>
          <w:color w:val="000000" w:themeColor="text1"/>
          <w:szCs w:val="36"/>
          <w14:textFill>
            <w14:solidFill>
              <w14:schemeClr w14:val="tx1"/>
            </w14:solidFill>
          </w14:textFill>
        </w:rPr>
      </w:pPr>
    </w:p>
    <w:bookmarkEnd w:id="24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F11EA71">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bookmarkStart w:id="262" w:name="_Toc24517_WPSOffice_Level1"/>
      <w:bookmarkStart w:id="263" w:name="_Toc19784_WPSOffice_Level1"/>
      <w:bookmarkStart w:id="264" w:name="_Toc8008"/>
      <w:bookmarkStart w:id="265" w:name="_Toc6969"/>
      <w:bookmarkStart w:id="266" w:name="_Toc24958"/>
      <w:bookmarkStart w:id="267" w:name="_Toc5237"/>
      <w:bookmarkStart w:id="268" w:name="_Toc12023"/>
      <w:bookmarkStart w:id="269" w:name="_Toc8771"/>
      <w:bookmarkStart w:id="270" w:name="_Toc12252"/>
      <w:bookmarkStart w:id="271" w:name="_Toc7100_WPSOffice_Level1"/>
      <w:bookmarkStart w:id="272" w:name="_Toc10376"/>
      <w:bookmarkStart w:id="273" w:name="_Toc15866"/>
      <w:bookmarkStart w:id="274" w:name="_Toc5366"/>
    </w:p>
    <w:p w14:paraId="71650D15">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59EC50C0">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4612E073">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024B4BB7">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3C90B872">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6DAA7EB1">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4F2D3DF5">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1FD9E5C9">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3436166A">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0B710B23">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55D39CBA">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75A751CC">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3035FBB7">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3EF888C1">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46CF1DF2">
      <w:pPr>
        <w:ind w:firstLine="2000" w:firstLineChars="500"/>
        <w:jc w:val="both"/>
        <w:rPr>
          <w:rFonts w:hint="default"/>
          <w:b w:val="0"/>
          <w:bCs/>
          <w:color w:val="000000" w:themeColor="text1"/>
          <w:sz w:val="40"/>
          <w:szCs w:val="40"/>
          <w:lang w:val="en-US" w:eastAsia="zh-CN"/>
          <w14:textFill>
            <w14:solidFill>
              <w14:schemeClr w14:val="tx1"/>
            </w14:solidFill>
          </w14:textFill>
        </w:rPr>
      </w:pPr>
      <w:r>
        <w:rPr>
          <w:rFonts w:hint="eastAsia" w:ascii="黑体" w:hAnsi="黑体" w:eastAsia="黑体" w:cs="黑体"/>
          <w:b w:val="0"/>
          <w:bCs/>
          <w:color w:val="000000" w:themeColor="text1"/>
          <w:sz w:val="40"/>
          <w:szCs w:val="40"/>
          <w14:textFill>
            <w14:solidFill>
              <w14:schemeClr w14:val="tx1"/>
            </w14:solidFill>
          </w14:textFill>
        </w:rPr>
        <w:t>第五章</w:t>
      </w:r>
      <w:r>
        <w:rPr>
          <w:rFonts w:hint="eastAsia" w:ascii="黑体" w:hAnsi="黑体" w:eastAsia="黑体" w:cs="黑体"/>
          <w:b w:val="0"/>
          <w:bCs/>
          <w:color w:val="000000" w:themeColor="text1"/>
          <w:sz w:val="40"/>
          <w:szCs w:val="40"/>
          <w:lang w:val="en-US" w:eastAsia="zh-CN"/>
          <w14:textFill>
            <w14:solidFill>
              <w14:schemeClr w14:val="tx1"/>
            </w14:solidFill>
          </w14:textFill>
        </w:rPr>
        <w:t xml:space="preserve"> </w:t>
      </w:r>
      <w:r>
        <w:rPr>
          <w:rFonts w:hint="eastAsia" w:ascii="黑体" w:hAnsi="黑体" w:eastAsia="黑体" w:cs="黑体"/>
          <w:b w:val="0"/>
          <w:bCs/>
          <w:color w:val="000000" w:themeColor="text1"/>
          <w:sz w:val="40"/>
          <w:szCs w:val="40"/>
          <w14:textFill>
            <w14:solidFill>
              <w14:schemeClr w14:val="tx1"/>
            </w14:solidFill>
          </w14:textFill>
        </w:rPr>
        <w:t>拟签订的合同文本</w:t>
      </w:r>
    </w:p>
    <w:p w14:paraId="39A8E402">
      <w:pPr>
        <w:snapToGrid w:val="0"/>
        <w:spacing w:line="288" w:lineRule="auto"/>
        <w:jc w:val="center"/>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南郑区学校蔬菜、辅料等食材配送服务采购项目（三次）</w:t>
      </w:r>
    </w:p>
    <w:p w14:paraId="6F545F62">
      <w:pPr>
        <w:snapToGrid w:val="0"/>
        <w:spacing w:line="288" w:lineRule="auto"/>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合同包</w:t>
      </w:r>
      <w:r>
        <w:rPr>
          <w:rFonts w:hint="eastAsia" w:ascii="黑体" w:hAnsi="黑体" w:eastAsia="黑体" w:cs="黑体"/>
          <w:color w:val="000000" w:themeColor="text1"/>
          <w:kern w:val="2"/>
          <w:sz w:val="32"/>
          <w:szCs w:val="32"/>
          <w:u w:val="single"/>
          <w:lang w:val="en-US" w:eastAsia="zh-CN" w:bidi="ar-SA"/>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采购合同</w:t>
      </w:r>
    </w:p>
    <w:p w14:paraId="11D527A3">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（注：本合同作为合同的基本格式，甲方有权在签订合同时对合同的相关条款及内容作进一步细化和修改）</w:t>
      </w:r>
    </w:p>
    <w:p w14:paraId="5A60713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合同编号： </w:t>
      </w:r>
    </w:p>
    <w:p w14:paraId="29B96229">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签订地点： </w:t>
      </w:r>
    </w:p>
    <w:p w14:paraId="48AD3BBC">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签订时间：</w:t>
      </w:r>
    </w:p>
    <w:p w14:paraId="04AB7C4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采购人（甲方）：</w:t>
      </w:r>
    </w:p>
    <w:p w14:paraId="4856254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供应商（乙方）：</w:t>
      </w:r>
    </w:p>
    <w:p w14:paraId="336A8B7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根据《中华人民共和国政府采购法》及实施条例、《中华人民共和国民法典》和</w:t>
      </w:r>
      <w:r>
        <w:rPr>
          <w:rFonts w:hint="eastAsia" w:ascii="仿宋" w:hAnsi="仿宋" w:eastAsia="仿宋" w:cs="仿宋"/>
          <w:bCs/>
          <w:color w:val="000000" w:themeColor="text1"/>
          <w:sz w:val="22"/>
          <w:szCs w:val="22"/>
          <w:u w:val="single"/>
          <w:lang w:eastAsia="zh-CN"/>
          <w14:textFill>
            <w14:solidFill>
              <w14:schemeClr w14:val="tx1"/>
            </w14:solidFill>
          </w14:textFill>
        </w:rPr>
        <w:t>南郑区学校蔬菜、辅料等食材配送服务采购项目（三次）</w:t>
      </w:r>
      <w:r>
        <w:rPr>
          <w:rFonts w:hint="eastAsia" w:ascii="仿宋" w:hAnsi="仿宋" w:eastAsia="仿宋" w:cs="仿宋"/>
          <w:bCs/>
          <w:color w:val="000000" w:themeColor="text1"/>
          <w:sz w:val="22"/>
          <w:szCs w:val="22"/>
          <w:u w:val="single"/>
          <w:lang w:val="en-US" w:eastAsia="zh-CN"/>
          <w14:textFill>
            <w14:solidFill>
              <w14:schemeClr w14:val="tx1"/>
            </w14:solidFill>
          </w14:textFill>
        </w:rPr>
        <w:t xml:space="preserve">合同包   </w:t>
      </w:r>
      <w:r>
        <w:rPr>
          <w:rFonts w:hint="eastAsia" w:ascii="仿宋" w:hAnsi="仿宋" w:eastAsia="仿宋" w:cs="仿宋"/>
          <w:bCs/>
          <w:color w:val="000000" w:themeColor="text1"/>
          <w:sz w:val="22"/>
          <w:szCs w:val="22"/>
          <w14:textFill>
            <w14:solidFill>
              <w14:schemeClr w14:val="tx1"/>
            </w14:solidFill>
          </w14:textFill>
        </w:rPr>
        <w:t>（采购项目编号：</w:t>
      </w:r>
      <w:r>
        <w:rPr>
          <w:rFonts w:hint="eastAsia" w:ascii="仿宋" w:hAnsi="仿宋" w:eastAsia="仿宋" w:cs="仿宋"/>
          <w:bCs/>
          <w:color w:val="000000" w:themeColor="text1"/>
          <w:sz w:val="22"/>
          <w:szCs w:val="22"/>
          <w:u w:val="single"/>
          <w:lang w:eastAsia="zh-CN"/>
          <w14:textFill>
            <w14:solidFill>
              <w14:schemeClr w14:val="tx1"/>
            </w14:solidFill>
          </w14:textFill>
        </w:rPr>
        <w:t>TZZB-HZ-2025078C-3</w:t>
      </w:r>
      <w:r>
        <w:rPr>
          <w:rFonts w:hint="eastAsia" w:ascii="仿宋" w:hAnsi="仿宋" w:eastAsia="仿宋" w:cs="仿宋"/>
          <w:bCs/>
          <w:color w:val="000000" w:themeColor="text1"/>
          <w:sz w:val="22"/>
          <w:szCs w:val="22"/>
          <w14:textFill>
            <w14:solidFill>
              <w14:schemeClr w14:val="tx1"/>
            </w14:solidFill>
          </w14:textFill>
        </w:rPr>
        <w:t>）的</w:t>
      </w:r>
      <w:r>
        <w:rPr>
          <w:rFonts w:hint="eastAsia" w:ascii="仿宋" w:hAnsi="仿宋" w:eastAsia="仿宋" w:cs="仿宋"/>
          <w:bCs/>
          <w:color w:val="000000" w:themeColor="text1"/>
          <w:sz w:val="22"/>
          <w:szCs w:val="22"/>
          <w:lang w:val="en-US" w:eastAsia="zh-CN"/>
          <w14:textFill>
            <w14:solidFill>
              <w14:schemeClr w14:val="tx1"/>
            </w14:solidFill>
          </w14:textFill>
        </w:rPr>
        <w:t>招标</w:t>
      </w:r>
      <w:r>
        <w:rPr>
          <w:rFonts w:hint="eastAsia" w:ascii="仿宋" w:hAnsi="仿宋" w:eastAsia="仿宋" w:cs="仿宋"/>
          <w:bCs/>
          <w:color w:val="000000" w:themeColor="text1"/>
          <w:sz w:val="22"/>
          <w:szCs w:val="22"/>
          <w14:textFill>
            <w14:solidFill>
              <w14:schemeClr w14:val="tx1"/>
            </w14:solidFill>
          </w14:textFill>
        </w:rPr>
        <w:t>文件、</w:t>
      </w:r>
      <w:r>
        <w:rPr>
          <w:rFonts w:hint="eastAsia" w:ascii="仿宋" w:hAnsi="仿宋" w:eastAsia="仿宋" w:cs="仿宋"/>
          <w:bCs/>
          <w:color w:val="000000" w:themeColor="text1"/>
          <w:sz w:val="22"/>
          <w:szCs w:val="22"/>
          <w:lang w:val="en-US" w:eastAsia="zh-CN"/>
          <w14:textFill>
            <w14:solidFill>
              <w14:schemeClr w14:val="tx1"/>
            </w14:solidFill>
          </w14:textFill>
        </w:rPr>
        <w:t>投标文件</w:t>
      </w:r>
      <w:r>
        <w:rPr>
          <w:rFonts w:hint="eastAsia" w:ascii="仿宋" w:hAnsi="仿宋" w:eastAsia="仿宋" w:cs="仿宋"/>
          <w:bCs/>
          <w:color w:val="000000" w:themeColor="text1"/>
          <w:sz w:val="22"/>
          <w:szCs w:val="22"/>
          <w14:textFill>
            <w14:solidFill>
              <w14:schemeClr w14:val="tx1"/>
            </w14:solidFill>
          </w14:textFill>
        </w:rPr>
        <w:t>文件等有关规定，为确保甲方采购项目的顺利实施，甲、乙双方在平等自愿原则下签订本合同，并共同遵守如下条款：</w:t>
      </w:r>
    </w:p>
    <w:p w14:paraId="2DE18009">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第一条 项目基本情况</w:t>
      </w:r>
    </w:p>
    <w:p w14:paraId="6CC8602D">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第二条 合同期限</w:t>
      </w:r>
    </w:p>
    <w:p w14:paraId="5C822B6B">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bookmarkStart w:id="275" w:name="_Toc211911348"/>
      <w:bookmarkStart w:id="276" w:name="_Toc185395249"/>
      <w:bookmarkStart w:id="277" w:name="_Toc237145406"/>
      <w:bookmarkStart w:id="278" w:name="_Toc239233914"/>
      <w:bookmarkStart w:id="279" w:name="_Toc241833903"/>
      <w:bookmarkStart w:id="280" w:name="_Toc251768862"/>
      <w:bookmarkStart w:id="281" w:name="_Toc225244852"/>
      <w:bookmarkStart w:id="282" w:name="_Toc225670751"/>
      <w:bookmarkStart w:id="283" w:name="_Toc212019594"/>
      <w:bookmarkStart w:id="284" w:name="_Toc282696226"/>
      <w:bookmarkStart w:id="285" w:name="_Toc232492928"/>
      <w:bookmarkStart w:id="286" w:name="_Toc225654644"/>
      <w:bookmarkStart w:id="287" w:name="_Toc239568418"/>
      <w:bookmarkStart w:id="288" w:name="_Toc286993786"/>
      <w:bookmarkStart w:id="289" w:name="_Toc238984975"/>
      <w:bookmarkStart w:id="290" w:name="_Toc283019214"/>
      <w:bookmarkStart w:id="291" w:name="_Toc247334841"/>
      <w:bookmarkStart w:id="292" w:name="_Toc211854449"/>
      <w:r>
        <w:rPr>
          <w:rFonts w:hint="eastAsia" w:ascii="仿宋" w:hAnsi="仿宋" w:eastAsia="仿宋" w:cs="仿宋"/>
          <w:bCs/>
          <w:color w:val="000000" w:themeColor="text1"/>
          <w:sz w:val="22"/>
          <w:szCs w:val="22"/>
          <w14:textFill>
            <w14:solidFill>
              <w14:schemeClr w14:val="tx1"/>
            </w14:solidFill>
          </w14:textFill>
        </w:rPr>
        <w:t>第三条 服务内容与质量标准</w:t>
      </w:r>
    </w:p>
    <w:p w14:paraId="0237DC5E">
      <w:pPr>
        <w:shd w:val="clear"/>
        <w:snapToGrid w:val="0"/>
        <w:spacing w:line="360" w:lineRule="auto"/>
        <w:ind w:firstLine="482"/>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本合同所提供的服务项目内容：</w:t>
      </w:r>
      <w:r>
        <w:rPr>
          <w:rFonts w:hint="eastAsia" w:ascii="仿宋" w:hAnsi="仿宋" w:eastAsia="仿宋" w:cs="仿宋"/>
          <w:bCs/>
          <w:color w:val="000000" w:themeColor="text1"/>
          <w:sz w:val="22"/>
          <w:szCs w:val="22"/>
          <w:u w:val="single"/>
          <w14:textFill>
            <w14:solidFill>
              <w14:schemeClr w14:val="tx1"/>
            </w14:solidFill>
          </w14:textFill>
        </w:rPr>
        <w:t xml:space="preserve">                </w:t>
      </w:r>
      <w:r>
        <w:rPr>
          <w:rFonts w:hint="eastAsia" w:ascii="仿宋" w:hAnsi="仿宋" w:eastAsia="仿宋" w:cs="仿宋"/>
          <w:bCs/>
          <w:color w:val="000000" w:themeColor="text1"/>
          <w:sz w:val="22"/>
          <w:szCs w:val="22"/>
          <w14:textFill>
            <w14:solidFill>
              <w14:schemeClr w14:val="tx1"/>
            </w14:solidFill>
          </w14:textFill>
        </w:rPr>
        <w:t>（与响应文件中服务及设备明细表一致）。</w:t>
      </w:r>
    </w:p>
    <w:p w14:paraId="404D2E81">
      <w:pPr>
        <w:shd w:val="clear"/>
        <w:snapToGrid w:val="0"/>
        <w:spacing w:line="360" w:lineRule="auto"/>
        <w:ind w:firstLine="482"/>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w:t>
      </w:r>
      <w:r>
        <w:rPr>
          <w:rFonts w:hint="eastAsia" w:ascii="仿宋" w:hAnsi="仿宋" w:eastAsia="仿宋" w:cs="仿宋"/>
          <w:bCs/>
          <w:color w:val="000000" w:themeColor="text1"/>
          <w:sz w:val="22"/>
          <w:szCs w:val="22"/>
          <w:lang w:eastAsia="zh-CN"/>
          <w14:textFill>
            <w14:solidFill>
              <w14:schemeClr w14:val="tx1"/>
            </w14:solidFill>
          </w14:textFill>
        </w:rPr>
        <w:t>服务</w:t>
      </w:r>
      <w:r>
        <w:rPr>
          <w:rFonts w:hint="eastAsia" w:ascii="仿宋" w:hAnsi="仿宋" w:eastAsia="仿宋" w:cs="仿宋"/>
          <w:bCs/>
          <w:color w:val="000000" w:themeColor="text1"/>
          <w:sz w:val="22"/>
          <w:szCs w:val="22"/>
          <w:lang w:val="en-US" w:eastAsia="zh-CN"/>
          <w14:textFill>
            <w14:solidFill>
              <w14:schemeClr w14:val="tx1"/>
            </w14:solidFill>
          </w14:textFill>
        </w:rPr>
        <w:t>周</w:t>
      </w:r>
      <w:r>
        <w:rPr>
          <w:rFonts w:hint="eastAsia" w:ascii="仿宋" w:hAnsi="仿宋" w:eastAsia="仿宋" w:cs="仿宋"/>
          <w:bCs/>
          <w:color w:val="000000" w:themeColor="text1"/>
          <w:sz w:val="22"/>
          <w:szCs w:val="22"/>
          <w:lang w:eastAsia="zh-CN"/>
          <w14:textFill>
            <w14:solidFill>
              <w14:schemeClr w14:val="tx1"/>
            </w14:solidFill>
          </w14:textFill>
        </w:rPr>
        <w:t>期</w:t>
      </w:r>
      <w:r>
        <w:rPr>
          <w:rFonts w:hint="eastAsia" w:ascii="仿宋" w:hAnsi="仿宋" w:eastAsia="仿宋" w:cs="仿宋"/>
          <w:bCs/>
          <w:color w:val="000000" w:themeColor="text1"/>
          <w:sz w:val="22"/>
          <w:szCs w:val="22"/>
          <w14:textFill>
            <w14:solidFill>
              <w14:schemeClr w14:val="tx1"/>
            </w14:solidFill>
          </w14:textFill>
        </w:rPr>
        <w:t>：</w:t>
      </w:r>
      <w:r>
        <w:rPr>
          <w:rFonts w:hint="eastAsia" w:ascii="仿宋" w:hAnsi="仿宋" w:eastAsia="仿宋" w:cs="仿宋"/>
          <w:bCs/>
          <w:color w:val="000000" w:themeColor="text1"/>
          <w:sz w:val="22"/>
          <w:szCs w:val="22"/>
          <w:u w:val="single"/>
          <w14:textFill>
            <w14:solidFill>
              <w14:schemeClr w14:val="tx1"/>
            </w14:solidFill>
          </w14:textFill>
        </w:rPr>
        <w:t xml:space="preserve">                                </w:t>
      </w:r>
      <w:r>
        <w:rPr>
          <w:rFonts w:hint="eastAsia" w:ascii="仿宋" w:hAnsi="仿宋" w:eastAsia="仿宋" w:cs="仿宋"/>
          <w:bCs/>
          <w:color w:val="000000" w:themeColor="text1"/>
          <w:sz w:val="22"/>
          <w:szCs w:val="22"/>
          <w14:textFill>
            <w14:solidFill>
              <w14:schemeClr w14:val="tx1"/>
            </w14:solidFill>
          </w14:textFill>
        </w:rPr>
        <w:t>。</w:t>
      </w:r>
    </w:p>
    <w:p w14:paraId="3C0711F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w:t>
      </w:r>
    </w:p>
    <w:p w14:paraId="7EB807EA">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第四条 服务费用</w:t>
      </w:r>
    </w:p>
    <w:p w14:paraId="11F1AA1E">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1、服务总费用为人民币大写：</w:t>
      </w:r>
      <w:r>
        <w:rPr>
          <w:rFonts w:hint="eastAsia" w:ascii="仿宋" w:hAnsi="仿宋" w:eastAsia="仿宋" w:cs="仿宋"/>
          <w:bCs/>
          <w:color w:val="000000" w:themeColor="text1"/>
          <w:sz w:val="22"/>
          <w:szCs w:val="22"/>
          <w:u w:val="single"/>
          <w14:textFill>
            <w14:solidFill>
              <w14:schemeClr w14:val="tx1"/>
            </w14:solidFill>
          </w14:textFill>
        </w:rPr>
        <w:t xml:space="preserve">        </w:t>
      </w:r>
      <w:r>
        <w:rPr>
          <w:rFonts w:hint="eastAsia" w:ascii="仿宋" w:hAnsi="仿宋" w:eastAsia="仿宋" w:cs="仿宋"/>
          <w:bCs/>
          <w:color w:val="000000" w:themeColor="text1"/>
          <w:sz w:val="22"/>
          <w:szCs w:val="22"/>
          <w14:textFill>
            <w14:solidFill>
              <w14:schemeClr w14:val="tx1"/>
            </w14:solidFill>
          </w14:textFill>
        </w:rPr>
        <w:t>元， RMB¥</w:t>
      </w:r>
      <w:r>
        <w:rPr>
          <w:rFonts w:hint="eastAsia" w:ascii="仿宋" w:hAnsi="仿宋" w:eastAsia="仿宋" w:cs="仿宋"/>
          <w:bCs/>
          <w:color w:val="000000" w:themeColor="text1"/>
          <w:sz w:val="22"/>
          <w:szCs w:val="22"/>
          <w:u w:val="single"/>
          <w14:textFill>
            <w14:solidFill>
              <w14:schemeClr w14:val="tx1"/>
            </w14:solidFill>
          </w14:textFill>
        </w:rPr>
        <w:t xml:space="preserve">       </w:t>
      </w:r>
      <w:r>
        <w:rPr>
          <w:rFonts w:hint="eastAsia" w:ascii="仿宋" w:hAnsi="仿宋" w:eastAsia="仿宋" w:cs="仿宋"/>
          <w:bCs/>
          <w:color w:val="000000" w:themeColor="text1"/>
          <w:sz w:val="22"/>
          <w:szCs w:val="22"/>
          <w14:textFill>
            <w14:solidFill>
              <w14:schemeClr w14:val="tx1"/>
            </w14:solidFill>
          </w14:textFill>
        </w:rPr>
        <w:t xml:space="preserve"> 。</w:t>
      </w:r>
    </w:p>
    <w:p w14:paraId="39B5434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2、本项目服务费用由以下组成：</w:t>
      </w:r>
    </w:p>
    <w:p w14:paraId="4D59611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（1）XX万元；</w:t>
      </w:r>
    </w:p>
    <w:p w14:paraId="1A7E3FBD">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（2）XX万元；</w:t>
      </w:r>
    </w:p>
    <w:p w14:paraId="2B4F039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w:t>
      </w:r>
    </w:p>
    <w:p w14:paraId="24D3F799">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3、本合同执行期间服务总费用不变，甲方无须另向乙方支付本合同规定之外的其他任何费用。</w:t>
      </w:r>
    </w:p>
    <w:p w14:paraId="24DCF3EF">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第五条  服务费支付方式</w:t>
      </w:r>
    </w:p>
    <w:p w14:paraId="780B4B8B">
      <w:pPr>
        <w:shd w:val="clear"/>
        <w:autoSpaceDE w:val="0"/>
        <w:autoSpaceDN w:val="0"/>
        <w:adjustRightInd w:val="0"/>
        <w:snapToGrid w:val="0"/>
        <w:spacing w:line="360" w:lineRule="auto"/>
        <w:ind w:firstLine="440" w:firstLineChars="200"/>
        <w:jc w:val="left"/>
        <w:outlineLvl w:val="0"/>
        <w:rPr>
          <w:rFonts w:hint="eastAsia" w:ascii="仿宋" w:hAnsi="仿宋" w:eastAsia="仿宋" w:cs="仿宋"/>
          <w:bCs/>
          <w:color w:val="000000" w:themeColor="text1"/>
          <w:sz w:val="22"/>
          <w:szCs w:val="22"/>
          <w:lang w:val="en-US" w:eastAsia="zh-CN"/>
          <w14:textFill>
            <w14:solidFill>
              <w14:schemeClr w14:val="tx1"/>
            </w14:solidFill>
          </w14:textFill>
        </w:rPr>
      </w:pPr>
      <w:r>
        <w:rPr>
          <w:rFonts w:hint="eastAsia" w:ascii="仿宋" w:hAnsi="仿宋" w:eastAsia="仿宋" w:cs="仿宋"/>
          <w:bCs/>
          <w:color w:val="000000" w:themeColor="text1"/>
          <w:sz w:val="22"/>
          <w:szCs w:val="22"/>
          <w:lang w:val="en-US" w:eastAsia="zh-CN"/>
          <w14:textFill>
            <w14:solidFill>
              <w14:schemeClr w14:val="tx1"/>
            </w14:solidFill>
          </w14:textFill>
        </w:rPr>
        <w:t>执行招标文件内标准</w:t>
      </w:r>
    </w:p>
    <w:p w14:paraId="05EBBEAB">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第六条   知识产权</w:t>
      </w:r>
    </w:p>
    <w:p w14:paraId="5C8F6A34">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乙方应保证所提供的服务或其任何一部分均不会侵犯任何第三方的专利权、商标权或著作权。</w:t>
      </w:r>
    </w:p>
    <w:p w14:paraId="319D9486">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第七条  无产权瑕疵条款</w:t>
      </w:r>
    </w:p>
    <w:p w14:paraId="19E9FC3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5DA904A7">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第八条  甲方的权利和义务</w:t>
      </w:r>
    </w:p>
    <w:p w14:paraId="2FD1E4CF">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14:paraId="6AB58B4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2、甲方有权依据双方签订的考评办法对乙方提供的服务进行定期考评。</w:t>
      </w:r>
    </w:p>
    <w:p w14:paraId="0C36C74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3、负责检查监督乙方管理工作的实施及制度的执行情况。</w:t>
      </w:r>
    </w:p>
    <w:p w14:paraId="18B20EB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4、根据本合同规定，按时向乙方支付应付服务费用。</w:t>
      </w:r>
    </w:p>
    <w:p w14:paraId="0931CC63">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5、国家法律、法规所规定由甲方承担的其它责任。</w:t>
      </w:r>
    </w:p>
    <w:p w14:paraId="73BD7F8D">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第九条  乙方的权利和义务</w:t>
      </w:r>
    </w:p>
    <w:p w14:paraId="23D8697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1、对本合同规定的委托服务范围内的项目享有管理权及服务义务。</w:t>
      </w:r>
    </w:p>
    <w:p w14:paraId="09C9F1E5">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2、根据本合同的规定向甲方收取相关服务费用，并有权在本项目管理范围内管理及合理使用。</w:t>
      </w:r>
    </w:p>
    <w:p w14:paraId="1D16061F">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3、及时向甲方通告本项目服务范围内有关服务的重大事项，及时配合处理投诉。</w:t>
      </w:r>
    </w:p>
    <w:p w14:paraId="5F27C541">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4、接受项目行业管理部门及政府有关部门的指导，接受甲方的监督。</w:t>
      </w:r>
    </w:p>
    <w:p w14:paraId="6BEEE28B">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5、国家法律、法规所规定由乙方承担的其它责任。</w:t>
      </w:r>
    </w:p>
    <w:p w14:paraId="1927B967">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第十条  违约责任</w:t>
      </w:r>
    </w:p>
    <w:p w14:paraId="7C7612A9">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1、甲乙双方必须遵守本合同并执行合同中的各项规定，保证本合同的正常履行。</w:t>
      </w:r>
    </w:p>
    <w:p w14:paraId="2EC2638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236C40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第十一条  不可抗力事件处理</w:t>
      </w:r>
    </w:p>
    <w:p w14:paraId="19454BC6">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1、在合同有效期内，任何一方因不可抗力事件导致不能履行合同，则合同履行期可延长，其延长期与不可抗力影响期相同。</w:t>
      </w:r>
    </w:p>
    <w:p w14:paraId="730709B5">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2、不可抗力事件发生后，应立即通知对方，并寄送有关权威机构出具的证明。</w:t>
      </w:r>
    </w:p>
    <w:p w14:paraId="62A12945">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3、不可抗力事件延续XX天以上，双方应通过友好协商，确定是否继续履行合同。</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0275719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bookmarkStart w:id="293" w:name="_Toc239568423"/>
      <w:bookmarkStart w:id="294" w:name="_Toc225654649"/>
      <w:bookmarkStart w:id="295" w:name="_Toc286993792"/>
      <w:bookmarkStart w:id="296" w:name="_Toc232492933"/>
      <w:bookmarkStart w:id="297" w:name="_Toc251768867"/>
      <w:bookmarkStart w:id="298" w:name="_Toc225670756"/>
      <w:bookmarkStart w:id="299" w:name="_Toc241833908"/>
      <w:bookmarkStart w:id="300" w:name="_Toc238984980"/>
      <w:bookmarkStart w:id="301" w:name="_Toc237145411"/>
      <w:bookmarkStart w:id="302" w:name="_Toc211911353"/>
      <w:bookmarkStart w:id="303" w:name="_Toc247334846"/>
      <w:bookmarkStart w:id="304" w:name="_Toc185395254"/>
      <w:bookmarkStart w:id="305" w:name="_Toc225244857"/>
      <w:bookmarkStart w:id="306" w:name="_Toc211854454"/>
      <w:bookmarkStart w:id="307" w:name="_Toc212019599"/>
      <w:bookmarkStart w:id="308" w:name="_Toc239233919"/>
      <w:r>
        <w:rPr>
          <w:rFonts w:hint="eastAsia" w:ascii="仿宋" w:hAnsi="仿宋" w:eastAsia="仿宋" w:cs="仿宋"/>
          <w:bCs/>
          <w:color w:val="000000" w:themeColor="text1"/>
          <w:sz w:val="22"/>
          <w:szCs w:val="22"/>
          <w14:textFill>
            <w14:solidFill>
              <w14:schemeClr w14:val="tx1"/>
            </w14:solidFill>
          </w14:textFill>
        </w:rPr>
        <w:t>第十二条  合同的变更和终止</w:t>
      </w:r>
    </w:p>
    <w:p w14:paraId="14B8DE5E">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除《中华人民共和国政府采购法》第49条、第50条第二款规定的情形外，本合同一经签订，甲乙双方不得擅自变更、中止或终止合同。</w:t>
      </w:r>
    </w:p>
    <w:p w14:paraId="0516579A">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第十三条  解决合同纠纷的方式</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71A4876">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1、在执行本合同中发生的或与本合同有关的争端，双方应通过友好协商解决，经协商在XX天内不能达成协议时，则采取以下第____种方式解决争议：</w:t>
      </w:r>
    </w:p>
    <w:p w14:paraId="3DA186F3">
      <w:pPr>
        <w:shd w:val="clear"/>
        <w:autoSpaceDE w:val="0"/>
        <w:autoSpaceDN w:val="0"/>
        <w:adjustRightInd w:val="0"/>
        <w:snapToGrid w:val="0"/>
        <w:spacing w:line="360" w:lineRule="auto"/>
        <w:ind w:firstLine="220" w:firstLineChars="1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（1）向甲方所在地有管辖权的人民法院提起诉讼；</w:t>
      </w:r>
    </w:p>
    <w:p w14:paraId="391C0572">
      <w:pPr>
        <w:shd w:val="clear"/>
        <w:autoSpaceDE w:val="0"/>
        <w:autoSpaceDN w:val="0"/>
        <w:adjustRightInd w:val="0"/>
        <w:snapToGrid w:val="0"/>
        <w:spacing w:line="360" w:lineRule="auto"/>
        <w:ind w:firstLine="220" w:firstLineChars="1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（2）向____________仲裁委员会按其仲裁规则申请仲裁。</w:t>
      </w:r>
    </w:p>
    <w:p w14:paraId="0C903EAC">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2、在仲裁期间，本合同应继续履行。</w:t>
      </w:r>
    </w:p>
    <w:p w14:paraId="42E1311B">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bookmarkStart w:id="309" w:name="_Toc241833909"/>
      <w:bookmarkStart w:id="310" w:name="_Toc225244858"/>
      <w:bookmarkStart w:id="311" w:name="_Toc185395255"/>
      <w:bookmarkStart w:id="312" w:name="_Toc282696231"/>
      <w:bookmarkStart w:id="313" w:name="_Toc212019600"/>
      <w:bookmarkStart w:id="314" w:name="_Toc286993793"/>
      <w:bookmarkStart w:id="315" w:name="_Toc247334847"/>
      <w:bookmarkStart w:id="316" w:name="_Toc239568424"/>
      <w:bookmarkStart w:id="317" w:name="_Toc238984981"/>
      <w:bookmarkStart w:id="318" w:name="_Toc211854455"/>
      <w:bookmarkStart w:id="319" w:name="_Toc225670757"/>
      <w:bookmarkStart w:id="320" w:name="_Toc239233920"/>
      <w:bookmarkStart w:id="321" w:name="_Toc232492934"/>
      <w:bookmarkStart w:id="322" w:name="_Toc237145412"/>
      <w:bookmarkStart w:id="323" w:name="_Toc251768868"/>
      <w:bookmarkStart w:id="324" w:name="_Toc225654650"/>
      <w:bookmarkStart w:id="325" w:name="_Toc211911354"/>
      <w:bookmarkStart w:id="326" w:name="_Toc283019219"/>
      <w:r>
        <w:rPr>
          <w:rFonts w:hint="eastAsia" w:ascii="仿宋" w:hAnsi="仿宋" w:eastAsia="仿宋" w:cs="仿宋"/>
          <w:bCs/>
          <w:color w:val="000000" w:themeColor="text1"/>
          <w:sz w:val="22"/>
          <w:szCs w:val="22"/>
          <w14:textFill>
            <w14:solidFill>
              <w14:schemeClr w14:val="tx1"/>
            </w14:solidFill>
          </w14:textFill>
        </w:rPr>
        <w:t>第十四条  合同</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hint="eastAsia" w:ascii="仿宋" w:hAnsi="仿宋" w:eastAsia="仿宋" w:cs="仿宋"/>
          <w:bCs/>
          <w:color w:val="000000" w:themeColor="text1"/>
          <w:sz w:val="22"/>
          <w:szCs w:val="22"/>
          <w14:textFill>
            <w14:solidFill>
              <w14:schemeClr w14:val="tx1"/>
            </w14:solidFill>
          </w14:textFill>
        </w:rPr>
        <w:t>生效及其他</w:t>
      </w:r>
    </w:p>
    <w:p w14:paraId="08C88411">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1、合同经双方法定代表人或授权委托代理人签字并加盖单位公章后生效。</w:t>
      </w:r>
    </w:p>
    <w:p w14:paraId="595C649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2、合同执行中涉及采购资金和采购内容修改或补充的，须经政府采购监管部门审批，并签书面补充协议报政府采购监督管理部门备案，方可作为主合同不可分割的一部分。</w:t>
      </w:r>
    </w:p>
    <w:p w14:paraId="1EC284D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3、本合同一式XX份，自双方签章之日起起效。甲方XX份，乙方XX份，政府采购代理机构XX份，同级财政部门备案XX份，具有同等法律效力。</w:t>
      </w:r>
    </w:p>
    <w:p w14:paraId="57ED0FF4">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第十五条  附件</w:t>
      </w:r>
    </w:p>
    <w:p w14:paraId="5088EA1A">
      <w:pPr>
        <w:shd w:val="clear"/>
        <w:autoSpaceDE w:val="0"/>
        <w:autoSpaceDN w:val="0"/>
        <w:adjustRightInd w:val="0"/>
        <w:snapToGrid w:val="0"/>
        <w:spacing w:line="360" w:lineRule="auto"/>
        <w:ind w:firstLine="440" w:firstLineChars="200"/>
        <w:jc w:val="left"/>
        <w:outlineLvl w:val="0"/>
        <w:rPr>
          <w:rFonts w:hint="eastAsia" w:ascii="仿宋" w:hAnsi="仿宋" w:eastAsia="仿宋" w:cs="仿宋"/>
          <w:bCs/>
          <w:color w:val="000000" w:themeColor="text1"/>
          <w:sz w:val="22"/>
          <w:szCs w:val="22"/>
          <w:lang w:eastAsia="zh-CN"/>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1、项目</w:t>
      </w:r>
      <w:r>
        <w:rPr>
          <w:rFonts w:hint="eastAsia" w:ascii="仿宋" w:hAnsi="仿宋" w:eastAsia="仿宋" w:cs="仿宋"/>
          <w:bCs/>
          <w:color w:val="000000" w:themeColor="text1"/>
          <w:sz w:val="22"/>
          <w:szCs w:val="22"/>
          <w:lang w:eastAsia="zh-CN"/>
          <w14:textFill>
            <w14:solidFill>
              <w14:schemeClr w14:val="tx1"/>
            </w14:solidFill>
          </w14:textFill>
        </w:rPr>
        <w:t>招标文件</w:t>
      </w:r>
    </w:p>
    <w:p w14:paraId="21C9D46D">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2、项目修改澄清文件</w:t>
      </w:r>
    </w:p>
    <w:p w14:paraId="11837F63">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3、项目响应文件</w:t>
      </w:r>
    </w:p>
    <w:p w14:paraId="618572B1">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4、成交通知书</w:t>
      </w:r>
    </w:p>
    <w:p w14:paraId="5D9DEDD6">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5、其他</w:t>
      </w:r>
    </w:p>
    <w:p w14:paraId="4F85F9A8">
      <w:pPr>
        <w:pStyle w:val="40"/>
        <w:shd w:val="clear"/>
        <w:snapToGrid w:val="0"/>
        <w:spacing w:after="0" w:line="360" w:lineRule="auto"/>
        <w:ind w:left="0" w:leftChars="0" w:firstLine="0" w:firstLineChars="0"/>
        <w:rPr>
          <w:rFonts w:ascii="仿宋" w:hAnsi="仿宋" w:eastAsia="仿宋" w:cs="仿宋"/>
          <w:bCs/>
          <w:color w:val="000000" w:themeColor="text1"/>
          <w:sz w:val="22"/>
          <w:szCs w:val="22"/>
          <w14:textFill>
            <w14:solidFill>
              <w14:schemeClr w14:val="tx1"/>
            </w14:solidFill>
          </w14:textFill>
        </w:rPr>
      </w:pPr>
    </w:p>
    <w:p w14:paraId="45637000">
      <w:pPr>
        <w:shd w:val="clear"/>
        <w:rPr>
          <w:rFonts w:ascii="仿宋" w:hAnsi="仿宋" w:eastAsia="仿宋" w:cs="仿宋"/>
          <w:bCs/>
          <w:color w:val="000000" w:themeColor="text1"/>
          <w:sz w:val="22"/>
          <w:szCs w:val="22"/>
          <w14:textFill>
            <w14:solidFill>
              <w14:schemeClr w14:val="tx1"/>
            </w14:solidFill>
          </w14:textFill>
        </w:rPr>
      </w:pPr>
    </w:p>
    <w:p w14:paraId="606DB310">
      <w:pPr>
        <w:shd w:val="clear"/>
        <w:rPr>
          <w:rFonts w:ascii="仿宋" w:hAnsi="仿宋" w:eastAsia="仿宋" w:cs="仿宋"/>
          <w:bCs/>
          <w:color w:val="000000" w:themeColor="text1"/>
          <w:sz w:val="22"/>
          <w:szCs w:val="22"/>
          <w14:textFill>
            <w14:solidFill>
              <w14:schemeClr w14:val="tx1"/>
            </w14:solidFill>
          </w14:textFill>
        </w:rPr>
      </w:pPr>
    </w:p>
    <w:p w14:paraId="7A4D8967">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甲方：   （盖章）   </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 xml:space="preserve">       乙方：   （盖章）</w:t>
      </w:r>
    </w:p>
    <w:p w14:paraId="3F31752C">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法定代表人（授权代表）：              法定代表人（授权代表）：</w:t>
      </w:r>
    </w:p>
    <w:p w14:paraId="44F0D1F2">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地    址：                            地    址：</w:t>
      </w:r>
    </w:p>
    <w:p w14:paraId="22ABCF7F">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开户银行：                            开户银行：</w:t>
      </w:r>
    </w:p>
    <w:p w14:paraId="5161A719">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账号：                                账号：</w:t>
      </w:r>
    </w:p>
    <w:p w14:paraId="728EBF24">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电    话：                            电    话：</w:t>
      </w:r>
    </w:p>
    <w:p w14:paraId="0420F46A">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传    真：                            传    真：</w:t>
      </w:r>
    </w:p>
    <w:p w14:paraId="4AAC11B1">
      <w:pPr>
        <w:shd w:val="clear"/>
        <w:autoSpaceDE w:val="0"/>
        <w:autoSpaceDN w:val="0"/>
        <w:adjustRightInd w:val="0"/>
        <w:snapToGrid w:val="0"/>
        <w:spacing w:line="360" w:lineRule="auto"/>
        <w:jc w:val="left"/>
        <w:outlineLvl w:val="0"/>
        <w:rPr>
          <w:rFonts w:ascii="黑体" w:hAnsi="黑体" w:eastAsia="黑体" w:cs="黑体"/>
          <w:b/>
          <w:bCs/>
          <w:color w:val="000000" w:themeColor="text1"/>
          <w:sz w:val="36"/>
          <w:szCs w:val="36"/>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签约日期：  年  月  日 </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 xml:space="preserve">    签约日期：  年  月  日</w:t>
      </w:r>
    </w:p>
    <w:p w14:paraId="70FA1B10">
      <w:pPr>
        <w:snapToGrid w:val="0"/>
        <w:spacing w:line="360" w:lineRule="auto"/>
        <w:ind w:firstLine="482"/>
        <w:rPr>
          <w:rFonts w:ascii="楷体" w:hAnsi="楷体" w:eastAsia="楷体" w:cs="楷体"/>
          <w:color w:val="000000" w:themeColor="text1"/>
          <w:szCs w:val="21"/>
          <w14:textFill>
            <w14:solidFill>
              <w14:schemeClr w14:val="tx1"/>
            </w14:solidFill>
          </w14:textFill>
        </w:rPr>
      </w:pPr>
    </w:p>
    <w:p w14:paraId="6DE0AE00">
      <w:pPr>
        <w:rPr>
          <w:rFonts w:ascii="黑体" w:hAnsi="黑体" w:eastAsia="黑体" w:cs="黑体"/>
          <w:color w:val="000000" w:themeColor="text1"/>
          <w14:textFill>
            <w14:solidFill>
              <w14:schemeClr w14:val="tx1"/>
            </w14:solidFill>
          </w14:textFill>
        </w:rPr>
      </w:pPr>
      <w:bookmarkStart w:id="327" w:name="_Toc3774"/>
      <w:bookmarkStart w:id="328" w:name="_Toc20503"/>
      <w:bookmarkStart w:id="329" w:name="_Toc84"/>
    </w:p>
    <w:bookmarkEnd w:id="241"/>
    <w:bookmarkEnd w:id="242"/>
    <w:bookmarkEnd w:id="243"/>
    <w:bookmarkEnd w:id="245"/>
    <w:bookmarkEnd w:id="262"/>
    <w:bookmarkEnd w:id="263"/>
    <w:bookmarkEnd w:id="264"/>
    <w:bookmarkEnd w:id="265"/>
    <w:bookmarkEnd w:id="266"/>
    <w:bookmarkEnd w:id="267"/>
    <w:bookmarkEnd w:id="268"/>
    <w:bookmarkEnd w:id="269"/>
    <w:bookmarkEnd w:id="270"/>
    <w:bookmarkEnd w:id="271"/>
    <w:bookmarkEnd w:id="272"/>
    <w:bookmarkEnd w:id="273"/>
    <w:bookmarkEnd w:id="274"/>
    <w:bookmarkEnd w:id="327"/>
    <w:bookmarkEnd w:id="328"/>
    <w:bookmarkEnd w:id="329"/>
    <w:p w14:paraId="269EA2CA">
      <w:pPr>
        <w:pStyle w:val="2"/>
        <w:ind w:firstLine="1800" w:firstLineChars="500"/>
        <w:jc w:val="both"/>
        <w:rPr>
          <w:rFonts w:ascii="黑体" w:hAnsi="黑体" w:eastAsia="黑体" w:cs="黑体"/>
          <w:b w:val="0"/>
          <w:bCs/>
          <w:color w:val="000000" w:themeColor="text1"/>
          <w14:textFill>
            <w14:solidFill>
              <w14:schemeClr w14:val="tx1"/>
            </w14:solidFill>
          </w14:textFill>
        </w:rPr>
      </w:pPr>
      <w:r>
        <w:rPr>
          <w:rFonts w:hint="eastAsia" w:ascii="黑体" w:hAnsi="黑体" w:eastAsia="黑体" w:cs="黑体"/>
          <w:b w:val="0"/>
          <w:bCs/>
          <w:color w:val="000000" w:themeColor="text1"/>
          <w14:textFill>
            <w14:solidFill>
              <w14:schemeClr w14:val="tx1"/>
            </w14:solidFill>
          </w14:textFill>
        </w:rPr>
        <w:t>第六章   投标文件格式及构成</w:t>
      </w:r>
    </w:p>
    <w:p w14:paraId="64FFA6CE">
      <w:pPr>
        <w:spacing w:line="360" w:lineRule="auto"/>
        <w:ind w:firstLine="2891" w:firstLineChars="900"/>
        <w:outlineLvl w:val="9"/>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投标文件编制说明</w:t>
      </w:r>
    </w:p>
    <w:p w14:paraId="68EDA156">
      <w:pPr>
        <w:numPr>
          <w:ilvl w:val="0"/>
          <w:numId w:val="5"/>
        </w:numPr>
        <w:autoSpaceDE w:val="0"/>
        <w:autoSpaceDN w:val="0"/>
        <w:adjustRightInd w:val="0"/>
        <w:spacing w:line="360" w:lineRule="auto"/>
        <w:ind w:firstLine="480"/>
        <w:outlineLvl w:val="9"/>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15BC6494">
      <w:pPr>
        <w:autoSpaceDE w:val="0"/>
        <w:autoSpaceDN w:val="0"/>
        <w:adjustRightInd w:val="0"/>
        <w:spacing w:line="360" w:lineRule="auto"/>
        <w:ind w:firstLine="440" w:firstLineChars="200"/>
        <w:outlineLvl w:val="9"/>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2、纸质投标文件均须A4纸打印（提倡双面打印），分别各自装订成册并编制目录和页码。</w:t>
      </w:r>
    </w:p>
    <w:p w14:paraId="19D273EA">
      <w:pPr>
        <w:autoSpaceDE w:val="0"/>
        <w:autoSpaceDN w:val="0"/>
        <w:adjustRightInd w:val="0"/>
        <w:spacing w:line="360" w:lineRule="auto"/>
        <w:ind w:left="0" w:leftChars="0" w:firstLine="420" w:firstLineChars="0"/>
        <w:outlineLvl w:val="9"/>
        <w:rPr>
          <w:rFonts w:ascii="仿宋" w:hAnsi="仿宋" w:eastAsia="仿宋" w:cs="仿宋"/>
          <w:b/>
          <w:bCs/>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3、投标文件中的法人授权书及相关声明承诺须为原件。</w:t>
      </w:r>
    </w:p>
    <w:p w14:paraId="5EC04056">
      <w:pPr>
        <w:rPr>
          <w:rFonts w:hint="eastAsia" w:ascii="仿宋" w:hAnsi="仿宋" w:eastAsia="仿宋" w:cs="仿宋"/>
          <w:b/>
          <w:color w:val="000000" w:themeColor="text1"/>
          <w:sz w:val="28"/>
          <w:szCs w:val="28"/>
          <w14:textFill>
            <w14:solidFill>
              <w14:schemeClr w14:val="tx1"/>
            </w14:solidFill>
          </w14:textFill>
        </w:rPr>
      </w:pPr>
      <w:bookmarkStart w:id="330" w:name="_Toc30817_WPSOffice_Level1"/>
      <w:bookmarkStart w:id="331" w:name="_Toc5957"/>
      <w:bookmarkStart w:id="332" w:name="_Toc17925"/>
      <w:bookmarkStart w:id="333" w:name="_Toc30921"/>
      <w:bookmarkStart w:id="334" w:name="_Toc5230"/>
      <w:bookmarkStart w:id="335" w:name="_Toc15316"/>
      <w:bookmarkStart w:id="336" w:name="_Toc24126_WPSOffice_Level1"/>
      <w:bookmarkStart w:id="337" w:name="_Toc28156"/>
      <w:bookmarkStart w:id="338" w:name="_Toc29912"/>
      <w:bookmarkStart w:id="339" w:name="_Toc13880"/>
      <w:bookmarkStart w:id="340" w:name="_Toc568"/>
      <w:bookmarkStart w:id="341" w:name="_Toc27208"/>
      <w:bookmarkStart w:id="342" w:name="_Toc24237_WPSOffice_Level1"/>
      <w:bookmarkStart w:id="343" w:name="_Toc27567"/>
      <w:bookmarkStart w:id="344" w:name="_Toc2465"/>
      <w:bookmarkStart w:id="345" w:name="_Toc28277"/>
      <w:r>
        <w:rPr>
          <w:rFonts w:hint="eastAsia" w:ascii="仿宋" w:hAnsi="仿宋" w:eastAsia="仿宋" w:cs="仿宋"/>
          <w:b/>
          <w:color w:val="000000" w:themeColor="text1"/>
          <w:sz w:val="28"/>
          <w:szCs w:val="28"/>
          <w14:textFill>
            <w14:solidFill>
              <w14:schemeClr w14:val="tx1"/>
            </w14:solidFill>
          </w14:textFill>
        </w:rPr>
        <w:br w:type="page"/>
      </w:r>
    </w:p>
    <w:p w14:paraId="5E04DC1B">
      <w:pPr>
        <w:jc w:val="left"/>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项目编号：</w:t>
      </w:r>
      <w:r>
        <w:rPr>
          <w:rFonts w:hint="eastAsia" w:ascii="仿宋" w:hAnsi="仿宋" w:eastAsia="仿宋" w:cs="仿宋"/>
          <w:b/>
          <w:color w:val="000000" w:themeColor="text1"/>
          <w:sz w:val="28"/>
          <w:szCs w:val="28"/>
          <w:lang w:eastAsia="zh-CN"/>
          <w14:textFill>
            <w14:solidFill>
              <w14:schemeClr w14:val="tx1"/>
            </w14:solidFill>
          </w14:textFill>
        </w:rPr>
        <w:t>TZZB-HZ-2025078C-3</w:t>
      </w: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（正本或副本）</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4F5C75CF">
      <w:pPr>
        <w:outlineLvl w:val="9"/>
        <w:rPr>
          <w:rFonts w:hint="eastAsia" w:ascii="仿宋" w:hAnsi="仿宋" w:eastAsia="仿宋" w:cs="仿宋"/>
          <w:b/>
          <w:color w:val="000000" w:themeColor="text1"/>
          <w:sz w:val="36"/>
          <w:szCs w:val="10"/>
          <w14:textFill>
            <w14:solidFill>
              <w14:schemeClr w14:val="tx1"/>
            </w14:solidFill>
          </w14:textFill>
        </w:rPr>
      </w:pPr>
    </w:p>
    <w:p w14:paraId="4DD6FCF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 w:hAnsi="仿宋" w:eastAsia="仿宋" w:cs="仿宋"/>
          <w:b/>
          <w:color w:val="000000" w:themeColor="text1"/>
          <w:sz w:val="44"/>
          <w:szCs w:val="44"/>
          <w:lang w:eastAsia="zh-CN"/>
          <w14:textFill>
            <w14:solidFill>
              <w14:schemeClr w14:val="tx1"/>
            </w14:solidFill>
          </w14:textFill>
        </w:rPr>
      </w:pPr>
      <w:bookmarkStart w:id="346" w:name="_Toc23631"/>
      <w:bookmarkStart w:id="347" w:name="_Toc27564"/>
      <w:bookmarkStart w:id="348" w:name="_Toc8883"/>
      <w:bookmarkStart w:id="349" w:name="_Toc7836"/>
      <w:bookmarkStart w:id="350" w:name="_Toc21875"/>
      <w:bookmarkStart w:id="351" w:name="_Toc18750"/>
      <w:bookmarkStart w:id="352" w:name="_Toc31903"/>
      <w:bookmarkStart w:id="353" w:name="_Toc3120"/>
      <w:bookmarkStart w:id="354" w:name="_Toc18819"/>
      <w:bookmarkStart w:id="355" w:name="_Toc8889"/>
      <w:bookmarkStart w:id="356" w:name="_Toc23447"/>
      <w:bookmarkStart w:id="357" w:name="_Toc25183"/>
      <w:r>
        <w:rPr>
          <w:rFonts w:hint="eastAsia" w:ascii="仿宋" w:hAnsi="仿宋" w:eastAsia="仿宋" w:cs="仿宋"/>
          <w:b/>
          <w:color w:val="000000" w:themeColor="text1"/>
          <w:sz w:val="44"/>
          <w:szCs w:val="44"/>
          <w:lang w:eastAsia="zh-CN"/>
          <w14:textFill>
            <w14:solidFill>
              <w14:schemeClr w14:val="tx1"/>
            </w14:solidFill>
          </w14:textFill>
        </w:rPr>
        <w:t>南郑区学校蔬菜、辅料等食材配送服务</w:t>
      </w:r>
    </w:p>
    <w:p w14:paraId="0F3C579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 w:hAnsi="仿宋" w:eastAsia="仿宋" w:cs="仿宋"/>
          <w:b/>
          <w:color w:val="000000" w:themeColor="text1"/>
          <w:sz w:val="44"/>
          <w:szCs w:val="44"/>
          <w:lang w:val="en-US" w:eastAsia="zh-CN"/>
          <w14:textFill>
            <w14:solidFill>
              <w14:schemeClr w14:val="tx1"/>
            </w14:solidFill>
          </w14:textFill>
        </w:rPr>
      </w:pPr>
      <w:r>
        <w:rPr>
          <w:rFonts w:hint="eastAsia" w:ascii="仿宋" w:hAnsi="仿宋" w:eastAsia="仿宋" w:cs="仿宋"/>
          <w:b/>
          <w:color w:val="000000" w:themeColor="text1"/>
          <w:sz w:val="44"/>
          <w:szCs w:val="44"/>
          <w:lang w:eastAsia="zh-CN"/>
          <w14:textFill>
            <w14:solidFill>
              <w14:schemeClr w14:val="tx1"/>
            </w14:solidFill>
          </w14:textFill>
        </w:rPr>
        <w:t>采购项目（</w:t>
      </w:r>
      <w:r>
        <w:rPr>
          <w:rFonts w:hint="eastAsia" w:ascii="仿宋" w:hAnsi="仿宋" w:eastAsia="仿宋" w:cs="仿宋"/>
          <w:b/>
          <w:color w:val="000000" w:themeColor="text1"/>
          <w:sz w:val="44"/>
          <w:szCs w:val="44"/>
          <w:lang w:val="en-US" w:eastAsia="zh-CN"/>
          <w14:textFill>
            <w14:solidFill>
              <w14:schemeClr w14:val="tx1"/>
            </w14:solidFill>
          </w14:textFill>
        </w:rPr>
        <w:t>三次</w:t>
      </w:r>
      <w:r>
        <w:rPr>
          <w:rFonts w:hint="eastAsia" w:ascii="仿宋" w:hAnsi="仿宋" w:eastAsia="仿宋" w:cs="仿宋"/>
          <w:b/>
          <w:color w:val="000000" w:themeColor="text1"/>
          <w:sz w:val="44"/>
          <w:szCs w:val="44"/>
          <w:lang w:eastAsia="zh-CN"/>
          <w14:textFill>
            <w14:solidFill>
              <w14:schemeClr w14:val="tx1"/>
            </w14:solidFill>
          </w14:textFill>
        </w:rPr>
        <w:t>）合同包</w:t>
      </w:r>
      <w:r>
        <w:rPr>
          <w:rFonts w:hint="eastAsia" w:ascii="仿宋" w:hAnsi="仿宋" w:eastAsia="仿宋" w:cs="仿宋"/>
          <w:b/>
          <w:color w:val="000000" w:themeColor="text1"/>
          <w:sz w:val="44"/>
          <w:szCs w:val="44"/>
          <w:u w:val="single"/>
          <w:lang w:val="en-US" w:eastAsia="zh-CN"/>
          <w14:textFill>
            <w14:solidFill>
              <w14:schemeClr w14:val="tx1"/>
            </w14:solidFill>
          </w14:textFill>
        </w:rPr>
        <w:t xml:space="preserve">     </w:t>
      </w:r>
      <w:r>
        <w:rPr>
          <w:rFonts w:hint="eastAsia" w:ascii="仿宋" w:hAnsi="仿宋" w:eastAsia="仿宋" w:cs="仿宋"/>
          <w:b/>
          <w:color w:val="000000" w:themeColor="text1"/>
          <w:sz w:val="44"/>
          <w:szCs w:val="44"/>
          <w:lang w:eastAsia="zh-CN"/>
          <w14:textFill>
            <w14:solidFill>
              <w14:schemeClr w14:val="tx1"/>
            </w14:solidFill>
          </w14:textFill>
        </w:rPr>
        <w:t xml:space="preserve">     </w:t>
      </w:r>
      <w:r>
        <w:rPr>
          <w:rFonts w:hint="eastAsia" w:ascii="仿宋" w:hAnsi="仿宋" w:eastAsia="仿宋" w:cs="仿宋"/>
          <w:b/>
          <w:color w:val="000000" w:themeColor="text1"/>
          <w:sz w:val="44"/>
          <w:szCs w:val="44"/>
          <w:lang w:val="en-US" w:eastAsia="zh-CN"/>
          <w14:textFill>
            <w14:solidFill>
              <w14:schemeClr w14:val="tx1"/>
            </w14:solidFill>
          </w14:textFill>
        </w:rPr>
        <w:t xml:space="preserve">    </w:t>
      </w:r>
    </w:p>
    <w:p w14:paraId="0673E671">
      <w:pPr>
        <w:pStyle w:val="56"/>
        <w:outlineLvl w:val="9"/>
        <w:rPr>
          <w:rFonts w:hint="eastAsia" w:ascii="仿宋" w:hAnsi="仿宋" w:eastAsia="仿宋" w:cs="仿宋"/>
          <w:b/>
          <w:color w:val="000000" w:themeColor="text1"/>
          <w:sz w:val="36"/>
          <w:szCs w:val="10"/>
          <w14:textFill>
            <w14:solidFill>
              <w14:schemeClr w14:val="tx1"/>
            </w14:solidFill>
          </w14:textFill>
        </w:rPr>
      </w:pPr>
    </w:p>
    <w:p w14:paraId="2CDC4A8B">
      <w:pPr>
        <w:pStyle w:val="56"/>
        <w:outlineLvl w:val="9"/>
        <w:rPr>
          <w:rFonts w:hint="eastAsia" w:ascii="仿宋" w:hAnsi="仿宋" w:eastAsia="仿宋" w:cs="仿宋"/>
          <w:b/>
          <w:color w:val="000000" w:themeColor="text1"/>
          <w:sz w:val="36"/>
          <w:szCs w:val="10"/>
          <w14:textFill>
            <w14:solidFill>
              <w14:schemeClr w14:val="tx1"/>
            </w14:solidFill>
          </w14:textFill>
        </w:rPr>
      </w:pPr>
    </w:p>
    <w:p w14:paraId="33DA3F9C">
      <w:pPr>
        <w:pStyle w:val="56"/>
        <w:outlineLvl w:val="9"/>
        <w:rPr>
          <w:rFonts w:hint="eastAsia" w:ascii="仿宋" w:hAnsi="仿宋" w:eastAsia="仿宋" w:cs="仿宋"/>
          <w:b/>
          <w:color w:val="000000" w:themeColor="text1"/>
          <w:sz w:val="36"/>
          <w:szCs w:val="10"/>
          <w14:textFill>
            <w14:solidFill>
              <w14:schemeClr w14:val="tx1"/>
            </w14:solidFill>
          </w14:textFill>
        </w:rPr>
      </w:pPr>
    </w:p>
    <w:p w14:paraId="71ADB58F">
      <w:pPr>
        <w:pStyle w:val="56"/>
        <w:outlineLvl w:val="9"/>
        <w:rPr>
          <w:rFonts w:hint="eastAsia" w:ascii="仿宋" w:hAnsi="仿宋" w:eastAsia="仿宋" w:cs="仿宋"/>
          <w:b/>
          <w:color w:val="000000" w:themeColor="text1"/>
          <w:sz w:val="36"/>
          <w:szCs w:val="10"/>
          <w14:textFill>
            <w14:solidFill>
              <w14:schemeClr w14:val="tx1"/>
            </w14:solidFill>
          </w14:textFill>
        </w:rPr>
      </w:pPr>
    </w:p>
    <w:p w14:paraId="52DB2055">
      <w:pPr>
        <w:pStyle w:val="56"/>
        <w:outlineLvl w:val="9"/>
        <w:rPr>
          <w:rFonts w:hint="eastAsia" w:ascii="仿宋" w:hAnsi="仿宋" w:eastAsia="仿宋" w:cs="仿宋"/>
          <w:b/>
          <w:color w:val="000000" w:themeColor="text1"/>
          <w:sz w:val="36"/>
          <w:szCs w:val="10"/>
          <w14:textFill>
            <w14:solidFill>
              <w14:schemeClr w14:val="tx1"/>
            </w14:solidFill>
          </w14:textFill>
        </w:rPr>
      </w:pPr>
    </w:p>
    <w:p w14:paraId="0C8D3EC6">
      <w:pPr>
        <w:jc w:val="center"/>
        <w:outlineLvl w:val="9"/>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投 标 文 件</w:t>
      </w:r>
      <w:bookmarkEnd w:id="346"/>
      <w:bookmarkEnd w:id="347"/>
      <w:bookmarkEnd w:id="348"/>
      <w:bookmarkEnd w:id="349"/>
      <w:bookmarkEnd w:id="350"/>
      <w:bookmarkEnd w:id="351"/>
      <w:bookmarkEnd w:id="352"/>
      <w:bookmarkEnd w:id="353"/>
      <w:bookmarkEnd w:id="354"/>
      <w:bookmarkEnd w:id="355"/>
      <w:bookmarkEnd w:id="356"/>
      <w:bookmarkEnd w:id="357"/>
    </w:p>
    <w:p w14:paraId="56A69EFE">
      <w:pPr>
        <w:tabs>
          <w:tab w:val="left" w:pos="2520"/>
        </w:tabs>
        <w:ind w:firstLine="211"/>
        <w:outlineLvl w:val="9"/>
        <w:rPr>
          <w:rFonts w:hint="eastAsia" w:ascii="仿宋" w:hAnsi="仿宋" w:eastAsia="仿宋" w:cs="仿宋"/>
          <w:color w:val="000000" w:themeColor="text1"/>
          <w:sz w:val="40"/>
          <w:szCs w:val="40"/>
          <w14:textFill>
            <w14:solidFill>
              <w14:schemeClr w14:val="tx1"/>
            </w14:solidFill>
          </w14:textFill>
        </w:rPr>
      </w:pPr>
    </w:p>
    <w:p w14:paraId="4B1B6A00">
      <w:pPr>
        <w:ind w:firstLine="211"/>
        <w:jc w:val="center"/>
        <w:outlineLvl w:val="9"/>
        <w:rPr>
          <w:rFonts w:hint="eastAsia" w:ascii="仿宋" w:hAnsi="仿宋" w:eastAsia="仿宋" w:cs="仿宋"/>
          <w:color w:val="000000" w:themeColor="text1"/>
          <w:sz w:val="24"/>
          <w14:textFill>
            <w14:solidFill>
              <w14:schemeClr w14:val="tx1"/>
            </w14:solidFill>
          </w14:textFill>
        </w:rPr>
      </w:pPr>
    </w:p>
    <w:p w14:paraId="72BFB320">
      <w:pPr>
        <w:ind w:firstLine="211"/>
        <w:jc w:val="center"/>
        <w:outlineLvl w:val="9"/>
        <w:rPr>
          <w:rFonts w:hint="eastAsia" w:ascii="仿宋" w:hAnsi="仿宋" w:eastAsia="仿宋" w:cs="仿宋"/>
          <w:color w:val="000000" w:themeColor="text1"/>
          <w:sz w:val="24"/>
          <w14:textFill>
            <w14:solidFill>
              <w14:schemeClr w14:val="tx1"/>
            </w14:solidFill>
          </w14:textFill>
        </w:rPr>
      </w:pPr>
    </w:p>
    <w:p w14:paraId="0A449C18">
      <w:pPr>
        <w:ind w:firstLine="211"/>
        <w:jc w:val="center"/>
        <w:outlineLvl w:val="9"/>
        <w:rPr>
          <w:rFonts w:hint="eastAsia" w:ascii="仿宋" w:hAnsi="仿宋" w:eastAsia="仿宋" w:cs="仿宋"/>
          <w:color w:val="000000" w:themeColor="text1"/>
          <w:sz w:val="24"/>
          <w14:textFill>
            <w14:solidFill>
              <w14:schemeClr w14:val="tx1"/>
            </w14:solidFill>
          </w14:textFill>
        </w:rPr>
      </w:pPr>
    </w:p>
    <w:p w14:paraId="55624CF7">
      <w:pPr>
        <w:pStyle w:val="56"/>
        <w:outlineLvl w:val="9"/>
        <w:rPr>
          <w:rFonts w:hint="eastAsia" w:ascii="仿宋" w:hAnsi="仿宋" w:eastAsia="仿宋" w:cs="仿宋"/>
          <w:color w:val="000000" w:themeColor="text1"/>
          <w14:textFill>
            <w14:solidFill>
              <w14:schemeClr w14:val="tx1"/>
            </w14:solidFill>
          </w14:textFill>
        </w:rPr>
      </w:pPr>
    </w:p>
    <w:p w14:paraId="5F6C32D3">
      <w:pPr>
        <w:pStyle w:val="56"/>
        <w:outlineLvl w:val="9"/>
        <w:rPr>
          <w:rFonts w:hint="eastAsia" w:ascii="仿宋" w:hAnsi="仿宋" w:eastAsia="仿宋" w:cs="仿宋"/>
          <w:color w:val="000000" w:themeColor="text1"/>
          <w14:textFill>
            <w14:solidFill>
              <w14:schemeClr w14:val="tx1"/>
            </w14:solidFill>
          </w14:textFill>
        </w:rPr>
      </w:pPr>
    </w:p>
    <w:p w14:paraId="0E2D8EDB">
      <w:pPr>
        <w:pStyle w:val="56"/>
        <w:outlineLvl w:val="9"/>
        <w:rPr>
          <w:rFonts w:hint="eastAsia" w:ascii="仿宋" w:hAnsi="仿宋" w:eastAsia="仿宋" w:cs="仿宋"/>
          <w:color w:val="000000" w:themeColor="text1"/>
          <w14:textFill>
            <w14:solidFill>
              <w14:schemeClr w14:val="tx1"/>
            </w14:solidFill>
          </w14:textFill>
        </w:rPr>
      </w:pPr>
    </w:p>
    <w:p w14:paraId="2F0641B4">
      <w:pPr>
        <w:pStyle w:val="56"/>
        <w:outlineLvl w:val="9"/>
        <w:rPr>
          <w:rFonts w:hint="eastAsia" w:ascii="仿宋" w:hAnsi="仿宋" w:eastAsia="仿宋" w:cs="仿宋"/>
          <w:color w:val="000000" w:themeColor="text1"/>
          <w14:textFill>
            <w14:solidFill>
              <w14:schemeClr w14:val="tx1"/>
            </w14:solidFill>
          </w14:textFill>
        </w:rPr>
      </w:pPr>
    </w:p>
    <w:p w14:paraId="11A0EB0B">
      <w:pPr>
        <w:pStyle w:val="56"/>
        <w:outlineLvl w:val="9"/>
        <w:rPr>
          <w:rFonts w:hint="eastAsia" w:ascii="仿宋" w:hAnsi="仿宋" w:eastAsia="仿宋" w:cs="仿宋"/>
          <w:color w:val="000000" w:themeColor="text1"/>
          <w14:textFill>
            <w14:solidFill>
              <w14:schemeClr w14:val="tx1"/>
            </w14:solidFill>
          </w14:textFill>
        </w:rPr>
      </w:pPr>
    </w:p>
    <w:p w14:paraId="3CB9445F">
      <w:pPr>
        <w:pStyle w:val="56"/>
        <w:outlineLvl w:val="9"/>
        <w:rPr>
          <w:rFonts w:hint="eastAsia" w:ascii="仿宋" w:hAnsi="仿宋" w:eastAsia="仿宋" w:cs="仿宋"/>
          <w:color w:val="000000" w:themeColor="text1"/>
          <w14:textFill>
            <w14:solidFill>
              <w14:schemeClr w14:val="tx1"/>
            </w14:solidFill>
          </w14:textFill>
        </w:rPr>
      </w:pPr>
    </w:p>
    <w:p w14:paraId="5D2A0A3B">
      <w:pPr>
        <w:pStyle w:val="56"/>
        <w:outlineLvl w:val="9"/>
        <w:rPr>
          <w:rFonts w:hint="eastAsia" w:ascii="仿宋" w:hAnsi="仿宋" w:eastAsia="仿宋" w:cs="仿宋"/>
          <w:color w:val="000000" w:themeColor="text1"/>
          <w14:textFill>
            <w14:solidFill>
              <w14:schemeClr w14:val="tx1"/>
            </w14:solidFill>
          </w14:textFill>
        </w:rPr>
      </w:pPr>
    </w:p>
    <w:p w14:paraId="125B1C50">
      <w:pPr>
        <w:spacing w:line="480" w:lineRule="auto"/>
        <w:ind w:firstLine="321" w:firstLineChars="100"/>
        <w:outlineLvl w:val="9"/>
        <w:rPr>
          <w:rFonts w:hint="eastAsia" w:ascii="仿宋" w:hAnsi="仿宋" w:eastAsia="仿宋" w:cs="仿宋"/>
          <w:b/>
          <w:color w:val="000000" w:themeColor="text1"/>
          <w:sz w:val="32"/>
          <w:szCs w:val="32"/>
          <w14:textFill>
            <w14:solidFill>
              <w14:schemeClr w14:val="tx1"/>
            </w14:solidFill>
          </w14:textFill>
        </w:rPr>
      </w:pPr>
      <w:bookmarkStart w:id="358" w:name="_Toc20301"/>
      <w:bookmarkStart w:id="359" w:name="_Toc8670"/>
      <w:bookmarkStart w:id="360" w:name="_Toc28749"/>
      <w:bookmarkStart w:id="361" w:name="_Toc20098"/>
      <w:bookmarkStart w:id="362" w:name="_Toc5217"/>
      <w:bookmarkStart w:id="363" w:name="_Toc6562"/>
      <w:bookmarkStart w:id="364" w:name="_Toc20665"/>
      <w:bookmarkStart w:id="365" w:name="_Toc22634"/>
      <w:bookmarkStart w:id="366" w:name="_Toc345"/>
      <w:bookmarkStart w:id="367" w:name="_Toc8379"/>
      <w:bookmarkStart w:id="368" w:name="_Toc8896"/>
      <w:bookmarkStart w:id="369" w:name="_Toc9137"/>
      <w:r>
        <w:rPr>
          <w:rFonts w:hint="eastAsia" w:ascii="仿宋" w:hAnsi="仿宋" w:eastAsia="仿宋" w:cs="仿宋"/>
          <w:b/>
          <w:color w:val="000000" w:themeColor="text1"/>
          <w:sz w:val="32"/>
          <w:szCs w:val="32"/>
          <w14:textFill>
            <w14:solidFill>
              <w14:schemeClr w14:val="tx1"/>
            </w14:solidFill>
          </w14:textFill>
        </w:rPr>
        <w:t>投    标    人：</w:t>
      </w:r>
      <w:r>
        <w:rPr>
          <w:rFonts w:hint="eastAsia" w:ascii="仿宋" w:hAnsi="仿宋" w:eastAsia="仿宋" w:cs="仿宋"/>
          <w:b/>
          <w:color w:val="000000" w:themeColor="text1"/>
          <w:sz w:val="32"/>
          <w:szCs w:val="32"/>
          <w:u w:val="single"/>
          <w14:textFill>
            <w14:solidFill>
              <w14:schemeClr w14:val="tx1"/>
            </w14:solidFill>
          </w14:textFill>
        </w:rPr>
        <w:t xml:space="preserve">                      （公章）</w:t>
      </w:r>
      <w:bookmarkEnd w:id="358"/>
      <w:bookmarkEnd w:id="359"/>
      <w:bookmarkEnd w:id="360"/>
      <w:bookmarkEnd w:id="361"/>
      <w:bookmarkEnd w:id="362"/>
      <w:bookmarkEnd w:id="363"/>
      <w:bookmarkEnd w:id="364"/>
      <w:bookmarkEnd w:id="365"/>
      <w:bookmarkEnd w:id="366"/>
      <w:bookmarkEnd w:id="367"/>
      <w:bookmarkEnd w:id="368"/>
      <w:bookmarkEnd w:id="369"/>
    </w:p>
    <w:p w14:paraId="5C1B9504">
      <w:pPr>
        <w:pStyle w:val="56"/>
        <w:spacing w:line="480" w:lineRule="auto"/>
        <w:ind w:firstLine="321" w:firstLineChars="100"/>
        <w:outlineLvl w:val="9"/>
        <w:rPr>
          <w:rFonts w:hint="eastAsia" w:ascii="仿宋" w:hAnsi="仿宋" w:eastAsia="仿宋" w:cs="仿宋"/>
          <w:b/>
          <w:color w:val="000000" w:themeColor="text1"/>
          <w:kern w:val="2"/>
          <w:sz w:val="32"/>
          <w:szCs w:val="32"/>
          <w14:textFill>
            <w14:solidFill>
              <w14:schemeClr w14:val="tx1"/>
            </w14:solidFill>
          </w14:textFill>
        </w:rPr>
      </w:pPr>
      <w:bookmarkStart w:id="370" w:name="_Toc27648"/>
      <w:bookmarkStart w:id="371" w:name="_Toc6819"/>
      <w:bookmarkStart w:id="372" w:name="_Toc14313"/>
      <w:bookmarkStart w:id="373" w:name="_Toc23371"/>
      <w:bookmarkStart w:id="374" w:name="_Toc20062"/>
      <w:bookmarkStart w:id="375" w:name="_Toc16111"/>
      <w:bookmarkStart w:id="376" w:name="_Toc9466"/>
      <w:bookmarkStart w:id="377" w:name="_Toc1223"/>
      <w:bookmarkStart w:id="378" w:name="_Toc14125"/>
      <w:bookmarkStart w:id="379" w:name="_Toc16444"/>
      <w:bookmarkStart w:id="380" w:name="_Toc11921"/>
      <w:bookmarkStart w:id="381" w:name="_Toc21282"/>
    </w:p>
    <w:p w14:paraId="56C92BBC">
      <w:pPr>
        <w:pStyle w:val="56"/>
        <w:spacing w:line="480" w:lineRule="auto"/>
        <w:ind w:firstLine="321" w:firstLineChars="100"/>
        <w:outlineLvl w:val="9"/>
        <w:rPr>
          <w:rFonts w:hint="eastAsia" w:ascii="仿宋" w:hAnsi="仿宋" w:eastAsia="仿宋" w:cs="仿宋"/>
          <w:b/>
          <w:color w:val="000000" w:themeColor="text1"/>
          <w:kern w:val="2"/>
          <w:sz w:val="32"/>
          <w:szCs w:val="32"/>
          <w:u w:val="single"/>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法定代表人或其被授权委托代理人 ：</w:t>
      </w:r>
      <w:r>
        <w:rPr>
          <w:rFonts w:hint="eastAsia" w:ascii="仿宋" w:hAnsi="仿宋" w:eastAsia="仿宋" w:cs="仿宋"/>
          <w:b/>
          <w:color w:val="000000" w:themeColor="text1"/>
          <w:kern w:val="2"/>
          <w:sz w:val="32"/>
          <w:szCs w:val="32"/>
          <w:u w:val="single"/>
          <w14:textFill>
            <w14:solidFill>
              <w14:schemeClr w14:val="tx1"/>
            </w14:solidFill>
          </w14:textFill>
        </w:rPr>
        <w:t xml:space="preserve">     （签字）</w:t>
      </w:r>
      <w:bookmarkEnd w:id="370"/>
      <w:bookmarkEnd w:id="371"/>
      <w:bookmarkEnd w:id="372"/>
      <w:bookmarkEnd w:id="373"/>
      <w:bookmarkEnd w:id="374"/>
      <w:bookmarkEnd w:id="375"/>
      <w:bookmarkEnd w:id="376"/>
      <w:bookmarkEnd w:id="377"/>
      <w:bookmarkEnd w:id="378"/>
      <w:bookmarkEnd w:id="379"/>
      <w:bookmarkEnd w:id="380"/>
      <w:bookmarkEnd w:id="381"/>
    </w:p>
    <w:p w14:paraId="57EA755F">
      <w:pPr>
        <w:spacing w:line="480" w:lineRule="auto"/>
        <w:ind w:firstLine="2249" w:firstLineChars="700"/>
        <w:outlineLvl w:val="9"/>
        <w:rPr>
          <w:rFonts w:hint="eastAsia" w:ascii="仿宋" w:hAnsi="仿宋" w:eastAsia="仿宋" w:cs="仿宋"/>
          <w:b/>
          <w:color w:val="000000" w:themeColor="text1"/>
          <w:sz w:val="32"/>
          <w:szCs w:val="32"/>
          <w14:textFill>
            <w14:solidFill>
              <w14:schemeClr w14:val="tx1"/>
            </w14:solidFill>
          </w14:textFill>
        </w:rPr>
      </w:pPr>
      <w:bookmarkStart w:id="382" w:name="_Toc17633"/>
      <w:bookmarkStart w:id="383" w:name="_Toc6135"/>
      <w:bookmarkStart w:id="384" w:name="_Toc4051"/>
      <w:bookmarkStart w:id="385" w:name="_Toc27525"/>
      <w:bookmarkStart w:id="386" w:name="_Toc542"/>
      <w:bookmarkStart w:id="387" w:name="_Toc805"/>
      <w:bookmarkStart w:id="388" w:name="_Toc26886"/>
      <w:bookmarkStart w:id="389" w:name="_Toc15860"/>
      <w:bookmarkStart w:id="390" w:name="_Toc4493"/>
      <w:bookmarkStart w:id="391" w:name="_Toc12642"/>
      <w:bookmarkStart w:id="392" w:name="_Toc31173"/>
      <w:bookmarkStart w:id="393" w:name="_Toc32195"/>
    </w:p>
    <w:p w14:paraId="5CB259C7">
      <w:pPr>
        <w:spacing w:line="480" w:lineRule="auto"/>
        <w:ind w:firstLine="1928" w:firstLineChars="600"/>
        <w:outlineLvl w:val="9"/>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日    期：     年 </w:t>
      </w: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 xml:space="preserve"> 月  日</w:t>
      </w:r>
      <w:bookmarkEnd w:id="382"/>
      <w:bookmarkEnd w:id="383"/>
      <w:bookmarkEnd w:id="384"/>
      <w:bookmarkEnd w:id="385"/>
      <w:bookmarkEnd w:id="386"/>
      <w:bookmarkEnd w:id="387"/>
      <w:bookmarkEnd w:id="388"/>
      <w:bookmarkEnd w:id="389"/>
      <w:bookmarkEnd w:id="390"/>
      <w:bookmarkEnd w:id="391"/>
      <w:bookmarkEnd w:id="392"/>
      <w:bookmarkEnd w:id="393"/>
    </w:p>
    <w:p w14:paraId="793E9FA5">
      <w:pPr>
        <w:rPr>
          <w:rFonts w:hint="eastAsia" w:ascii="仿宋" w:hAnsi="仿宋" w:eastAsia="仿宋" w:cs="仿宋"/>
          <w:b/>
          <w:color w:val="000000" w:themeColor="text1"/>
          <w:sz w:val="32"/>
          <w:szCs w:val="32"/>
          <w14:textFill>
            <w14:solidFill>
              <w14:schemeClr w14:val="tx1"/>
            </w14:solidFill>
          </w14:textFill>
        </w:rPr>
      </w:pPr>
      <w:bookmarkStart w:id="394" w:name="_Toc2275"/>
      <w:bookmarkEnd w:id="394"/>
      <w:bookmarkStart w:id="395" w:name="_Toc5604"/>
      <w:bookmarkEnd w:id="395"/>
      <w:bookmarkStart w:id="396" w:name="_Toc32417"/>
      <w:bookmarkEnd w:id="396"/>
      <w:bookmarkStart w:id="397" w:name="_Toc4824"/>
      <w:bookmarkEnd w:id="397"/>
      <w:bookmarkStart w:id="398" w:name="_Toc28704"/>
      <w:bookmarkEnd w:id="398"/>
      <w:bookmarkStart w:id="399" w:name="_Toc10461_WPSOffice_Level1"/>
      <w:bookmarkEnd w:id="399"/>
      <w:bookmarkStart w:id="400" w:name="_Toc18085"/>
      <w:bookmarkEnd w:id="400"/>
      <w:bookmarkStart w:id="401" w:name="_Toc13104"/>
      <w:bookmarkEnd w:id="401"/>
      <w:bookmarkStart w:id="402" w:name="_Toc9386"/>
      <w:bookmarkEnd w:id="402"/>
      <w:bookmarkStart w:id="403" w:name="_Toc23210"/>
      <w:bookmarkEnd w:id="403"/>
      <w:bookmarkStart w:id="404" w:name="_Toc11228"/>
      <w:bookmarkEnd w:id="404"/>
      <w:bookmarkStart w:id="405" w:name="_Toc8980"/>
      <w:bookmarkEnd w:id="405"/>
      <w:bookmarkStart w:id="406" w:name="_Toc13984_WPSOffice_Level1"/>
      <w:bookmarkEnd w:id="406"/>
      <w:bookmarkStart w:id="407" w:name="_Toc5206_WPSOffice_Level1"/>
      <w:bookmarkEnd w:id="407"/>
      <w:r>
        <w:rPr>
          <w:rFonts w:hint="eastAsia" w:ascii="仿宋" w:hAnsi="仿宋" w:eastAsia="仿宋" w:cs="仿宋"/>
          <w:b/>
          <w:color w:val="000000" w:themeColor="text1"/>
          <w:sz w:val="32"/>
          <w:szCs w:val="32"/>
          <w14:textFill>
            <w14:solidFill>
              <w14:schemeClr w14:val="tx1"/>
            </w14:solidFill>
          </w14:textFill>
        </w:rPr>
        <w:br w:type="page"/>
      </w:r>
    </w:p>
    <w:p w14:paraId="778DDA1F">
      <w:pPr>
        <w:pStyle w:val="39"/>
        <w:spacing w:after="0" w:line="480" w:lineRule="auto"/>
        <w:ind w:left="0" w:leftChars="0" w:firstLine="3855" w:firstLineChars="1200"/>
        <w:jc w:val="both"/>
        <w:outlineLvl w:val="9"/>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目  录</w:t>
      </w:r>
    </w:p>
    <w:p w14:paraId="19332B25">
      <w:pPr>
        <w:pStyle w:val="39"/>
        <w:spacing w:after="0" w:line="360" w:lineRule="auto"/>
        <w:ind w:firstLine="210"/>
        <w:jc w:val="both"/>
        <w:outlineLvl w:val="9"/>
        <w:rPr>
          <w:rFonts w:ascii="仿宋" w:hAnsi="仿宋" w:eastAsia="仿宋" w:cs="仿宋"/>
          <w:bCs/>
          <w:color w:val="000000" w:themeColor="text1"/>
          <w:sz w:val="21"/>
          <w:szCs w:val="21"/>
          <w14:textFill>
            <w14:solidFill>
              <w14:schemeClr w14:val="tx1"/>
            </w14:solidFill>
          </w14:textFill>
        </w:rPr>
      </w:pPr>
    </w:p>
    <w:p w14:paraId="750A89BA">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both"/>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08" w:name="_Toc16394"/>
      <w:bookmarkStart w:id="409" w:name="_Toc22720"/>
      <w:bookmarkStart w:id="410" w:name="_Toc23361"/>
      <w:bookmarkStart w:id="411" w:name="_Toc17963"/>
      <w:bookmarkStart w:id="412" w:name="_Toc7595_WPSOffice_Level1"/>
      <w:bookmarkStart w:id="413" w:name="_Toc9795"/>
      <w:bookmarkStart w:id="414" w:name="_Toc13717_WPSOffice_Level1"/>
      <w:bookmarkStart w:id="415" w:name="_Toc19976"/>
      <w:bookmarkStart w:id="416" w:name="_Toc22149"/>
      <w:bookmarkStart w:id="417" w:name="_Toc24872"/>
      <w:bookmarkStart w:id="418" w:name="_Toc2877_WPSOffice_Level1"/>
      <w:bookmarkStart w:id="419" w:name="_Toc11323"/>
      <w:bookmarkStart w:id="420" w:name="_Toc15443"/>
      <w:bookmarkStart w:id="421" w:name="_Toc32681"/>
      <w:bookmarkStart w:id="422" w:name="_Toc10929"/>
      <w:bookmarkStart w:id="423" w:name="_Toc12818"/>
      <w:bookmarkStart w:id="424" w:name="_Toc2582"/>
      <w:bookmarkStart w:id="425" w:name="_Toc13659"/>
      <w:r>
        <w:rPr>
          <w:rFonts w:hint="eastAsia" w:ascii="仿宋" w:hAnsi="仿宋" w:eastAsia="仿宋" w:cs="仿宋"/>
          <w:bCs/>
          <w:color w:val="000000" w:themeColor="text1"/>
          <w:sz w:val="22"/>
          <w:szCs w:val="22"/>
          <w:highlight w:val="none"/>
          <w14:textFill>
            <w14:solidFill>
              <w14:schemeClr w14:val="tx1"/>
            </w14:solidFill>
          </w14:textFill>
        </w:rPr>
        <w:t>一、投标函 ……………………………………………………………页码</w:t>
      </w:r>
      <w:bookmarkEnd w:id="408"/>
      <w:bookmarkEnd w:id="409"/>
    </w:p>
    <w:p w14:paraId="2D4A241E">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both"/>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26" w:name="_Toc17591"/>
      <w:bookmarkStart w:id="427" w:name="_Toc23626"/>
      <w:r>
        <w:rPr>
          <w:rFonts w:hint="eastAsia" w:ascii="仿宋" w:hAnsi="仿宋" w:eastAsia="仿宋" w:cs="仿宋"/>
          <w:bCs/>
          <w:color w:val="000000" w:themeColor="text1"/>
          <w:sz w:val="22"/>
          <w:szCs w:val="22"/>
          <w:highlight w:val="none"/>
          <w14:textFill>
            <w14:solidFill>
              <w14:schemeClr w14:val="tx1"/>
            </w14:solidFill>
          </w14:textFill>
        </w:rPr>
        <w:t>二、开标一览表 ………………………………………………………</w:t>
      </w:r>
      <w:bookmarkEnd w:id="426"/>
      <w:bookmarkEnd w:id="427"/>
    </w:p>
    <w:p w14:paraId="68A246B1">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left"/>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28" w:name="_Toc17320"/>
      <w:bookmarkStart w:id="429" w:name="_Toc24927"/>
      <w:r>
        <w:rPr>
          <w:rFonts w:hint="eastAsia" w:ascii="仿宋" w:hAnsi="仿宋" w:eastAsia="仿宋" w:cs="仿宋"/>
          <w:bCs/>
          <w:color w:val="000000" w:themeColor="text1"/>
          <w:sz w:val="22"/>
          <w:szCs w:val="22"/>
          <w:highlight w:val="none"/>
          <w14:textFill>
            <w14:solidFill>
              <w14:schemeClr w14:val="tx1"/>
            </w14:solidFill>
          </w14:textFill>
        </w:rPr>
        <w:t>三、分项报价表 ………………………………………………………</w:t>
      </w:r>
      <w:bookmarkEnd w:id="428"/>
      <w:bookmarkEnd w:id="429"/>
    </w:p>
    <w:p w14:paraId="46B7949A">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both"/>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30" w:name="_Toc1310"/>
      <w:bookmarkStart w:id="431" w:name="_Toc8695"/>
      <w:r>
        <w:rPr>
          <w:rFonts w:hint="eastAsia" w:ascii="仿宋" w:hAnsi="仿宋" w:eastAsia="仿宋" w:cs="仿宋"/>
          <w:bCs/>
          <w:color w:val="000000" w:themeColor="text1"/>
          <w:sz w:val="22"/>
          <w:szCs w:val="22"/>
          <w:highlight w:val="none"/>
          <w:lang w:val="en-US" w:eastAsia="zh-CN"/>
          <w14:textFill>
            <w14:solidFill>
              <w14:schemeClr w14:val="tx1"/>
            </w14:solidFill>
          </w14:textFill>
        </w:rPr>
        <w:t>四</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商务部分</w:t>
      </w:r>
      <w:r>
        <w:rPr>
          <w:rFonts w:hint="eastAsia" w:ascii="仿宋" w:hAnsi="仿宋" w:eastAsia="仿宋" w:cs="仿宋"/>
          <w:bCs/>
          <w:color w:val="000000" w:themeColor="text1"/>
          <w:sz w:val="22"/>
          <w:szCs w:val="22"/>
          <w:highlight w:val="none"/>
          <w14:textFill>
            <w14:solidFill>
              <w14:schemeClr w14:val="tx1"/>
            </w14:solidFill>
          </w14:textFill>
        </w:rPr>
        <w:t xml:space="preserve"> …………………………………………</w:t>
      </w:r>
      <w:bookmarkStart w:id="432" w:name="OLE_LINK2"/>
      <w:r>
        <w:rPr>
          <w:rFonts w:hint="eastAsia" w:ascii="仿宋" w:hAnsi="仿宋" w:eastAsia="仿宋" w:cs="仿宋"/>
          <w:bCs/>
          <w:color w:val="000000" w:themeColor="text1"/>
          <w:sz w:val="22"/>
          <w:szCs w:val="22"/>
          <w:highlight w:val="none"/>
          <w14:textFill>
            <w14:solidFill>
              <w14:schemeClr w14:val="tx1"/>
            </w14:solidFill>
          </w14:textFill>
        </w:rPr>
        <w:t>………</w:t>
      </w:r>
      <w:bookmarkEnd w:id="430"/>
      <w:bookmarkEnd w:id="431"/>
      <w:bookmarkEnd w:id="432"/>
      <w:bookmarkStart w:id="433" w:name="_Toc13274"/>
      <w:bookmarkStart w:id="434" w:name="_Toc5710"/>
      <w:r>
        <w:rPr>
          <w:rFonts w:hint="eastAsia" w:ascii="仿宋" w:hAnsi="仿宋" w:eastAsia="仿宋" w:cs="仿宋"/>
          <w:bCs/>
          <w:color w:val="000000" w:themeColor="text1"/>
          <w:sz w:val="22"/>
          <w:szCs w:val="22"/>
          <w:highlight w:val="none"/>
          <w14:textFill>
            <w14:solidFill>
              <w14:schemeClr w14:val="tx1"/>
            </w14:solidFill>
          </w14:textFill>
        </w:rPr>
        <w:t>………</w:t>
      </w:r>
    </w:p>
    <w:bookmarkEnd w:id="433"/>
    <w:bookmarkEnd w:id="434"/>
    <w:p w14:paraId="21249654">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left"/>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35" w:name="_Toc28850"/>
      <w:bookmarkStart w:id="436" w:name="_Toc4785"/>
      <w:r>
        <w:rPr>
          <w:rFonts w:hint="eastAsia" w:ascii="仿宋" w:hAnsi="仿宋" w:eastAsia="仿宋" w:cs="仿宋"/>
          <w:bCs/>
          <w:color w:val="000000" w:themeColor="text1"/>
          <w:sz w:val="22"/>
          <w:szCs w:val="22"/>
          <w:highlight w:val="none"/>
          <w:lang w:val="en-US" w:eastAsia="zh-CN"/>
          <w14:textFill>
            <w14:solidFill>
              <w14:schemeClr w14:val="tx1"/>
            </w14:solidFill>
          </w14:textFill>
        </w:rPr>
        <w:t>五</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技术服务部分</w:t>
      </w:r>
      <w:r>
        <w:rPr>
          <w:rFonts w:hint="eastAsia" w:ascii="仿宋" w:hAnsi="仿宋" w:eastAsia="仿宋" w:cs="仿宋"/>
          <w:bCs/>
          <w:color w:val="000000" w:themeColor="text1"/>
          <w:sz w:val="22"/>
          <w:szCs w:val="22"/>
          <w:highlight w:val="none"/>
          <w14:textFill>
            <w14:solidFill>
              <w14:schemeClr w14:val="tx1"/>
            </w14:solidFill>
          </w14:textFill>
        </w:rPr>
        <w:t>………………………………………</w:t>
      </w:r>
      <w:bookmarkEnd w:id="435"/>
      <w:bookmarkEnd w:id="436"/>
      <w:bookmarkStart w:id="437" w:name="_Toc12871"/>
      <w:r>
        <w:rPr>
          <w:rFonts w:hint="eastAsia" w:ascii="仿宋" w:hAnsi="仿宋" w:eastAsia="仿宋" w:cs="仿宋"/>
          <w:bCs/>
          <w:color w:val="000000" w:themeColor="text1"/>
          <w:sz w:val="22"/>
          <w:szCs w:val="22"/>
          <w:highlight w:val="none"/>
          <w14:textFill>
            <w14:solidFill>
              <w14:schemeClr w14:val="tx1"/>
            </w14:solidFill>
          </w14:textFill>
        </w:rPr>
        <w:t>……………</w:t>
      </w:r>
    </w:p>
    <w:bookmarkEnd w:id="437"/>
    <w:p w14:paraId="5A4B9973">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left"/>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六</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投标人认为有必要说明、阐述的事项或其他材料</w:t>
      </w:r>
      <w:r>
        <w:rPr>
          <w:rFonts w:hint="eastAsia" w:ascii="仿宋" w:hAnsi="仿宋" w:eastAsia="仿宋" w:cs="仿宋"/>
          <w:bCs/>
          <w:color w:val="000000" w:themeColor="text1"/>
          <w:sz w:val="22"/>
          <w:szCs w:val="22"/>
          <w:highlight w:val="none"/>
          <w14:textFill>
            <w14:solidFill>
              <w14:schemeClr w14:val="tx1"/>
            </w14:solidFill>
          </w14:textFill>
        </w:rPr>
        <w:t>……………</w:t>
      </w:r>
    </w:p>
    <w:p w14:paraId="43DA5E74">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both"/>
        <w:textAlignment w:val="auto"/>
        <w:outlineLvl w:val="9"/>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t>七、投标人资格证明文件</w:t>
      </w:r>
      <w:r>
        <w:rPr>
          <w:rFonts w:hint="eastAsia" w:ascii="仿宋" w:hAnsi="仿宋" w:eastAsia="仿宋" w:cs="仿宋"/>
          <w:bCs/>
          <w:color w:val="000000" w:themeColor="text1"/>
          <w:sz w:val="22"/>
          <w:szCs w:val="22"/>
          <w:highlight w:val="none"/>
          <w14:textFill>
            <w14:solidFill>
              <w14:schemeClr w14:val="tx1"/>
            </w14:solidFill>
          </w14:textFill>
        </w:rPr>
        <w:t>……………………………………………</w:t>
      </w:r>
    </w:p>
    <w:p w14:paraId="22AFB75F">
      <w:pPr>
        <w:keepNext w:val="0"/>
        <w:keepLines w:val="0"/>
        <w:pageBreakBefore w:val="0"/>
        <w:widowControl w:val="0"/>
        <w:kinsoku/>
        <w:wordWrap/>
        <w:overflowPunct/>
        <w:topLinePunct w:val="0"/>
        <w:autoSpaceDE/>
        <w:autoSpaceDN/>
        <w:bidi w:val="0"/>
        <w:adjustRightInd/>
        <w:snapToGrid w:val="0"/>
        <w:spacing w:line="480" w:lineRule="auto"/>
        <w:ind w:firstLine="440" w:firstLineChars="200"/>
        <w:jc w:val="left"/>
        <w:textAlignment w:val="auto"/>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t>八、落实政府采购政策需满足的资格要求 ………………………</w:t>
      </w:r>
    </w:p>
    <w:p w14:paraId="1ED87C1D">
      <w:pPr>
        <w:keepNext w:val="0"/>
        <w:keepLines w:val="0"/>
        <w:pageBreakBefore w:val="0"/>
        <w:widowControl w:val="0"/>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t>投标人可进一步细化目录</w:t>
      </w:r>
    </w:p>
    <w:p w14:paraId="581A5F75">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br w:type="page"/>
      </w:r>
    </w:p>
    <w:p w14:paraId="609ED62E">
      <w:pPr>
        <w:spacing w:after="468" w:afterLines="150" w:line="360" w:lineRule="auto"/>
        <w:jc w:val="center"/>
        <w:outlineLvl w:val="0"/>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b/>
          <w:bCs w:val="0"/>
          <w:color w:val="000000" w:themeColor="text1"/>
          <w:sz w:val="32"/>
          <w14:textFill>
            <w14:solidFill>
              <w14:schemeClr w14:val="tx1"/>
            </w14:solidFill>
          </w14:textFill>
        </w:rPr>
        <w:t>一、投标函</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Start w:id="438" w:name="_Toc565"/>
      <w:bookmarkStart w:id="439" w:name="_Toc1469"/>
      <w:bookmarkStart w:id="440" w:name="_Toc17648_WPSOffice_Level1"/>
      <w:bookmarkStart w:id="441" w:name="_Toc19462"/>
      <w:bookmarkStart w:id="442" w:name="_Toc31162_WPSOffice_Level1"/>
      <w:bookmarkStart w:id="443" w:name="_Toc15529"/>
      <w:bookmarkStart w:id="444" w:name="_Toc23969"/>
      <w:bookmarkStart w:id="445" w:name="_Toc2867_WPSOffice_Level1"/>
      <w:bookmarkStart w:id="446" w:name="_Toc23412"/>
      <w:bookmarkStart w:id="447" w:name="_Toc12932"/>
      <w:bookmarkStart w:id="448" w:name="_Toc26428"/>
      <w:bookmarkStart w:id="449" w:name="_Toc3600"/>
      <w:bookmarkStart w:id="450" w:name="_Toc24827"/>
    </w:p>
    <w:p w14:paraId="41D768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致：</w:t>
      </w:r>
      <w:r>
        <w:rPr>
          <w:rFonts w:hint="eastAsia" w:ascii="仿宋" w:hAnsi="仿宋" w:eastAsia="仿宋" w:cs="仿宋"/>
          <w:color w:val="000000" w:themeColor="text1"/>
          <w:spacing w:val="4"/>
          <w:szCs w:val="21"/>
          <w:u w:val="single"/>
          <w:lang w:eastAsia="zh-CN"/>
          <w14:textFill>
            <w14:solidFill>
              <w14:schemeClr w14:val="tx1"/>
            </w14:solidFill>
          </w14:textFill>
        </w:rPr>
        <w:t>汉中市南郑区教育体育局</w:t>
      </w:r>
      <w:r>
        <w:rPr>
          <w:rFonts w:hint="eastAsia" w:ascii="仿宋" w:hAnsi="仿宋" w:eastAsia="仿宋" w:cs="仿宋"/>
          <w:color w:val="000000" w:themeColor="text1"/>
          <w:spacing w:val="4"/>
          <w:szCs w:val="21"/>
          <w:u w:val="single"/>
          <w14:textFill>
            <w14:solidFill>
              <w14:schemeClr w14:val="tx1"/>
            </w14:solidFill>
          </w14:textFill>
        </w:rPr>
        <w:t xml:space="preserve">/同正项目管理有限公司 </w:t>
      </w:r>
    </w:p>
    <w:p w14:paraId="47F20E14">
      <w:pPr>
        <w:keepNext w:val="0"/>
        <w:keepLines w:val="0"/>
        <w:pageBreakBefore w:val="0"/>
        <w:widowControl w:val="0"/>
        <w:kinsoku/>
        <w:wordWrap/>
        <w:overflowPunct/>
        <w:topLinePunct w:val="0"/>
        <w:autoSpaceDE/>
        <w:autoSpaceDN/>
        <w:bidi w:val="0"/>
        <w:adjustRightInd/>
        <w:snapToGrid/>
        <w:spacing w:line="360" w:lineRule="auto"/>
        <w:ind w:left="6" w:firstLine="518" w:firstLineChars="238"/>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根据贵方“</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 xml:space="preserve"> ”项目</w:t>
      </w:r>
      <w:r>
        <w:rPr>
          <w:rFonts w:hint="eastAsia" w:ascii="仿宋" w:hAnsi="仿宋" w:eastAsia="仿宋" w:cs="仿宋"/>
          <w:color w:val="000000" w:themeColor="text1"/>
          <w:spacing w:val="4"/>
          <w:szCs w:val="21"/>
          <w:u w:val="single"/>
          <w:lang w:val="en-US" w:eastAsia="zh-CN"/>
          <w14:textFill>
            <w14:solidFill>
              <w14:schemeClr w14:val="tx1"/>
            </w14:solidFill>
          </w14:textFill>
        </w:rPr>
        <w:t xml:space="preserve">     合同包  </w:t>
      </w:r>
      <w:r>
        <w:rPr>
          <w:rFonts w:hint="eastAsia" w:ascii="仿宋" w:hAnsi="仿宋" w:eastAsia="仿宋" w:cs="仿宋"/>
          <w:color w:val="000000" w:themeColor="text1"/>
          <w:spacing w:val="4"/>
          <w:szCs w:val="21"/>
          <w:u w:val="single"/>
          <w14:textFill>
            <w14:solidFill>
              <w14:schemeClr w14:val="tx1"/>
            </w14:solidFill>
          </w14:textFill>
        </w:rPr>
        <w:t>(</w:t>
      </w:r>
      <w:r>
        <w:rPr>
          <w:rFonts w:hint="eastAsia" w:ascii="仿宋" w:hAnsi="仿宋" w:eastAsia="仿宋" w:cs="仿宋"/>
          <w:color w:val="000000" w:themeColor="text1"/>
          <w:spacing w:val="4"/>
          <w:szCs w:val="21"/>
          <w:u w:val="single"/>
          <w:lang w:val="en-US" w:eastAsia="zh-CN"/>
          <w14:textFill>
            <w14:solidFill>
              <w14:schemeClr w14:val="tx1"/>
            </w14:solidFill>
          </w14:textFill>
        </w:rPr>
        <w:t>项目</w:t>
      </w:r>
      <w:r>
        <w:rPr>
          <w:rFonts w:hint="eastAsia" w:ascii="仿宋" w:hAnsi="仿宋" w:eastAsia="仿宋" w:cs="仿宋"/>
          <w:color w:val="000000" w:themeColor="text1"/>
          <w:spacing w:val="4"/>
          <w:szCs w:val="21"/>
          <w:u w:val="single"/>
          <w14:textFill>
            <w14:solidFill>
              <w14:schemeClr w14:val="tx1"/>
            </w14:solidFill>
          </w14:textFill>
        </w:rPr>
        <w:t>编号：           )</w:t>
      </w:r>
      <w:r>
        <w:rPr>
          <w:rFonts w:hint="eastAsia" w:ascii="仿宋" w:hAnsi="仿宋" w:eastAsia="仿宋" w:cs="仿宋"/>
          <w:color w:val="000000" w:themeColor="text1"/>
          <w:spacing w:val="4"/>
          <w:szCs w:val="21"/>
          <w14:textFill>
            <w14:solidFill>
              <w14:schemeClr w14:val="tx1"/>
            </w14:solidFill>
          </w14:textFill>
        </w:rPr>
        <w:t>，签字代表</w:t>
      </w:r>
      <w:r>
        <w:rPr>
          <w:rFonts w:hint="eastAsia" w:ascii="仿宋" w:hAnsi="仿宋" w:eastAsia="仿宋" w:cs="仿宋"/>
          <w:color w:val="000000" w:themeColor="text1"/>
          <w:spacing w:val="4"/>
          <w:szCs w:val="21"/>
          <w:u w:val="single"/>
          <w14:textFill>
            <w14:solidFill>
              <w14:schemeClr w14:val="tx1"/>
            </w14:solidFill>
          </w14:textFill>
        </w:rPr>
        <w:t>（全名、职务）</w:t>
      </w:r>
      <w:r>
        <w:rPr>
          <w:rFonts w:hint="eastAsia" w:ascii="仿宋" w:hAnsi="仿宋" w:eastAsia="仿宋" w:cs="仿宋"/>
          <w:color w:val="000000" w:themeColor="text1"/>
          <w:spacing w:val="4"/>
          <w:szCs w:val="21"/>
          <w14:textFill>
            <w14:solidFill>
              <w14:schemeClr w14:val="tx1"/>
            </w14:solidFill>
          </w14:textFill>
        </w:rPr>
        <w:t>经正式授权并代表我方</w:t>
      </w:r>
      <w:r>
        <w:rPr>
          <w:rFonts w:hint="eastAsia" w:ascii="仿宋" w:hAnsi="仿宋" w:eastAsia="仿宋" w:cs="仿宋"/>
          <w:color w:val="000000" w:themeColor="text1"/>
          <w:spacing w:val="4"/>
          <w:szCs w:val="21"/>
          <w:u w:val="single"/>
          <w14:textFill>
            <w14:solidFill>
              <w14:schemeClr w14:val="tx1"/>
            </w14:solidFill>
          </w14:textFill>
        </w:rPr>
        <w:t xml:space="preserve">    (投标人名称)</w:t>
      </w:r>
      <w:r>
        <w:rPr>
          <w:rFonts w:hint="eastAsia" w:ascii="仿宋" w:hAnsi="仿宋" w:eastAsia="仿宋" w:cs="仿宋"/>
          <w:color w:val="000000" w:themeColor="text1"/>
          <w:spacing w:val="4"/>
          <w:szCs w:val="21"/>
          <w14:textFill>
            <w14:solidFill>
              <w14:schemeClr w14:val="tx1"/>
            </w14:solidFill>
          </w14:textFill>
        </w:rPr>
        <w:t xml:space="preserve"> 提交投标文件正本</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份、副本</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份、开标一览表</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份、电子版投标文件</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份。</w:t>
      </w:r>
    </w:p>
    <w:p w14:paraId="741780DD">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1）投标报价</w:t>
      </w:r>
      <w:r>
        <w:rPr>
          <w:rFonts w:hint="eastAsia" w:ascii="仿宋" w:hAnsi="仿宋" w:eastAsia="仿宋" w:cs="仿宋"/>
          <w:color w:val="000000" w:themeColor="text1"/>
          <w:spacing w:val="4"/>
          <w:szCs w:val="21"/>
          <w:lang w:eastAsia="zh-CN"/>
          <w14:textFill>
            <w14:solidFill>
              <w14:schemeClr w14:val="tx1"/>
            </w14:solidFill>
          </w14:textFill>
        </w:rPr>
        <w:t>（</w:t>
      </w:r>
      <w:r>
        <w:rPr>
          <w:rFonts w:hint="eastAsia" w:ascii="仿宋" w:hAnsi="仿宋" w:eastAsia="仿宋" w:cs="仿宋"/>
          <w:color w:val="000000" w:themeColor="text1"/>
          <w:spacing w:val="4"/>
          <w:szCs w:val="21"/>
          <w:lang w:val="en-US" w:eastAsia="zh-CN"/>
          <w14:textFill>
            <w14:solidFill>
              <w14:schemeClr w14:val="tx1"/>
            </w14:solidFill>
          </w14:textFill>
        </w:rPr>
        <w:t>折扣率</w:t>
      </w:r>
      <w:r>
        <w:rPr>
          <w:rFonts w:hint="eastAsia" w:ascii="仿宋" w:hAnsi="仿宋" w:eastAsia="仿宋" w:cs="仿宋"/>
          <w:color w:val="000000" w:themeColor="text1"/>
          <w:spacing w:val="4"/>
          <w:szCs w:val="21"/>
          <w:lang w:eastAsia="zh-CN"/>
          <w14:textFill>
            <w14:solidFill>
              <w14:schemeClr w14:val="tx1"/>
            </w14:solidFill>
          </w14:textFill>
        </w:rPr>
        <w:t>）</w:t>
      </w:r>
      <w:r>
        <w:rPr>
          <w:rFonts w:hint="eastAsia" w:ascii="仿宋" w:hAnsi="仿宋" w:eastAsia="仿宋" w:cs="仿宋"/>
          <w:color w:val="000000" w:themeColor="text1"/>
          <w:spacing w:val="4"/>
          <w:szCs w:val="21"/>
          <w14:textFill>
            <w14:solidFill>
              <w14:schemeClr w14:val="tx1"/>
            </w14:solidFill>
          </w14:textFill>
        </w:rPr>
        <w:t>为</w:t>
      </w:r>
      <w:r>
        <w:rPr>
          <w:rFonts w:hint="eastAsia" w:ascii="仿宋" w:hAnsi="仿宋" w:eastAsia="仿宋" w:cs="仿宋"/>
          <w:color w:val="000000" w:themeColor="text1"/>
          <w:spacing w:val="4"/>
          <w:szCs w:val="21"/>
          <w:u w:val="single"/>
          <w:lang w:val="en-US" w:eastAsia="zh-CN"/>
          <w14:textFill>
            <w14:solidFill>
              <w14:schemeClr w14:val="tx1"/>
            </w14:solidFill>
          </w14:textFill>
        </w:rPr>
        <w:t>：        %</w:t>
      </w:r>
      <w:r>
        <w:rPr>
          <w:rFonts w:hint="eastAsia" w:ascii="仿宋" w:hAnsi="仿宋" w:eastAsia="仿宋" w:cs="仿宋"/>
          <w:color w:val="000000" w:themeColor="text1"/>
          <w:spacing w:val="4"/>
          <w:szCs w:val="21"/>
          <w14:textFill>
            <w14:solidFill>
              <w14:schemeClr w14:val="tx1"/>
            </w14:solidFill>
          </w14:textFill>
        </w:rPr>
        <w:t>。</w:t>
      </w:r>
    </w:p>
    <w:p w14:paraId="02B32205">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2）如果中标，我们根据招标文件的规定，履行合同的责任和义务。</w:t>
      </w:r>
    </w:p>
    <w:p w14:paraId="7AC1C45D">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3）我方已仔细阅读了招标文件的全部内容，并同意和放弃对招标文件不明或误解而询问、质疑和投诉的权利。</w:t>
      </w:r>
    </w:p>
    <w:p w14:paraId="19CEBE3D">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4）我们同意在投标有效期内（</w:t>
      </w:r>
      <w:r>
        <w:rPr>
          <w:rFonts w:hint="eastAsia" w:ascii="仿宋" w:hAnsi="仿宋" w:eastAsia="仿宋" w:cs="仿宋"/>
          <w:color w:val="000000" w:themeColor="text1"/>
          <w:spacing w:val="4"/>
          <w:szCs w:val="21"/>
          <w:u w:val="single"/>
          <w14:textFill>
            <w14:solidFill>
              <w14:schemeClr w14:val="tx1"/>
            </w14:solidFill>
          </w14:textFill>
        </w:rPr>
        <w:t xml:space="preserve">自投标之日起  </w:t>
      </w:r>
      <w:r>
        <w:rPr>
          <w:rFonts w:hint="eastAsia" w:ascii="仿宋" w:hAnsi="仿宋" w:eastAsia="仿宋" w:cs="仿宋"/>
          <w:color w:val="000000" w:themeColor="text1"/>
          <w:spacing w:val="4"/>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u w:val="single"/>
          <w14:textFill>
            <w14:solidFill>
              <w14:schemeClr w14:val="tx1"/>
            </w14:solidFill>
          </w14:textFill>
        </w:rPr>
        <w:t xml:space="preserve"> 天</w:t>
      </w:r>
      <w:r>
        <w:rPr>
          <w:rFonts w:hint="eastAsia" w:ascii="仿宋" w:hAnsi="仿宋" w:eastAsia="仿宋" w:cs="仿宋"/>
          <w:color w:val="000000" w:themeColor="text1"/>
          <w:spacing w:val="4"/>
          <w:szCs w:val="21"/>
          <w14:textFill>
            <w14:solidFill>
              <w14:schemeClr w14:val="tx1"/>
            </w14:solidFill>
          </w14:textFill>
        </w:rPr>
        <w:t>），本投标函对我方具有约束力。</w:t>
      </w:r>
    </w:p>
    <w:p w14:paraId="0CC4191C">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5）如果在投标后规定的投标有效期内撤回投标，我们的投标保证金可被贵方没收。</w:t>
      </w:r>
    </w:p>
    <w:p w14:paraId="16A5B66F">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 xml:space="preserve">6）同意提供贵方可能另外要求的与本投标有关的任何证据和资料。 </w:t>
      </w:r>
    </w:p>
    <w:p w14:paraId="0D1B0DAC">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7）我们同意，如果中标，按招标文件要求向同正项目管理有限公司交纳招标代理服务费。</w:t>
      </w:r>
    </w:p>
    <w:p w14:paraId="4CF95A76">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8）与本投标有关的一切正式往来通讯为：</w:t>
      </w:r>
    </w:p>
    <w:p w14:paraId="5C31236B">
      <w:pPr>
        <w:kinsoku w:val="0"/>
        <w:spacing w:line="360" w:lineRule="auto"/>
        <w:ind w:firstLine="84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    址：</w:t>
      </w:r>
    </w:p>
    <w:p w14:paraId="6E29C5EE">
      <w:pPr>
        <w:pStyle w:val="25"/>
        <w:spacing w:after="0"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  系 人：</w:t>
      </w:r>
    </w:p>
    <w:p w14:paraId="246DB010">
      <w:pPr>
        <w:kinsoku w:val="0"/>
        <w:spacing w:line="360" w:lineRule="auto"/>
        <w:ind w:firstLine="84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    话：</w:t>
      </w:r>
    </w:p>
    <w:p w14:paraId="3BEB5144">
      <w:pPr>
        <w:kinsoku w:val="0"/>
        <w:spacing w:line="360" w:lineRule="auto"/>
        <w:ind w:firstLine="84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    真：</w:t>
      </w:r>
    </w:p>
    <w:p w14:paraId="434C49FD">
      <w:pPr>
        <w:kinsoku w:val="0"/>
        <w:spacing w:line="360" w:lineRule="auto"/>
        <w:ind w:firstLine="84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    编：</w:t>
      </w:r>
    </w:p>
    <w:p w14:paraId="4A6E0157">
      <w:pPr>
        <w:kinsoku w:val="0"/>
        <w:spacing w:line="360" w:lineRule="auto"/>
        <w:ind w:firstLine="840" w:firstLineChars="4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 标 人：</w:t>
      </w:r>
      <w:r>
        <w:rPr>
          <w:rFonts w:hint="eastAsia" w:ascii="仿宋" w:hAnsi="仿宋" w:eastAsia="仿宋" w:cs="仿宋"/>
          <w:color w:val="000000" w:themeColor="text1"/>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（公章）  </w:t>
      </w:r>
    </w:p>
    <w:p w14:paraId="468DB679">
      <w:pPr>
        <w:kinsoku w:val="0"/>
        <w:spacing w:line="360" w:lineRule="auto"/>
        <w:ind w:firstLine="840" w:firstLineChars="4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法定代表人或被授权人：</w:t>
      </w:r>
      <w:r>
        <w:rPr>
          <w:rFonts w:hint="eastAsia" w:ascii="仿宋" w:hAnsi="仿宋" w:eastAsia="仿宋" w:cs="仿宋"/>
          <w:color w:val="000000" w:themeColor="text1"/>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（签字）</w:t>
      </w:r>
    </w:p>
    <w:p w14:paraId="4EDA9E78">
      <w:pPr>
        <w:kinsoku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年   月   日</w:t>
      </w:r>
    </w:p>
    <w:p w14:paraId="4F7573CC">
      <w:pPr>
        <w:rPr>
          <w:rFonts w:hint="eastAsia" w:ascii="仿宋" w:hAnsi="仿宋" w:eastAsia="仿宋" w:cs="仿宋"/>
          <w:b/>
          <w:color w:val="000000" w:themeColor="text1"/>
          <w:sz w:val="32"/>
          <w14:textFill>
            <w14:solidFill>
              <w14:schemeClr w14:val="tx1"/>
            </w14:solidFill>
          </w14:textFill>
        </w:rPr>
      </w:pPr>
      <w:bookmarkStart w:id="451" w:name="_Toc28204"/>
      <w:bookmarkStart w:id="452" w:name="_Toc1200"/>
      <w:bookmarkStart w:id="453" w:name="_Toc21004"/>
      <w:r>
        <w:rPr>
          <w:rFonts w:hint="eastAsia" w:ascii="仿宋" w:hAnsi="仿宋" w:eastAsia="仿宋" w:cs="仿宋"/>
          <w:b/>
          <w:color w:val="000000" w:themeColor="text1"/>
          <w:sz w:val="32"/>
          <w14:textFill>
            <w14:solidFill>
              <w14:schemeClr w14:val="tx1"/>
            </w14:solidFill>
          </w14:textFill>
        </w:rPr>
        <w:br w:type="page"/>
      </w:r>
    </w:p>
    <w:p w14:paraId="164D926F">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方正小标宋简体" w:hAnsi="方正小标宋简体" w:eastAsia="仿宋" w:cs="方正小标宋简体"/>
          <w:b w:val="0"/>
          <w:bCs/>
          <w:color w:val="000000" w:themeColor="text1"/>
          <w:sz w:val="32"/>
          <w:lang w:val="en-US" w:eastAsia="zh-CN"/>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ascii="仿宋" w:hAnsi="仿宋" w:eastAsia="仿宋" w:cs="仿宋"/>
          <w:b/>
          <w:color w:val="000000" w:themeColor="text1"/>
          <w:sz w:val="32"/>
          <w:lang w:val="en-US" w:eastAsia="zh-CN"/>
          <w14:textFill>
            <w14:solidFill>
              <w14:schemeClr w14:val="tx1"/>
            </w14:solidFill>
          </w14:textFill>
        </w:rPr>
        <w:t>开标一览表</w:t>
      </w:r>
    </w:p>
    <w:p w14:paraId="5104C050">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eastAsia" w:ascii="仿宋" w:hAnsi="仿宋" w:eastAsia="仿宋" w:cs="仿宋"/>
          <w:color w:val="000000" w:themeColor="text1"/>
          <w:sz w:val="20"/>
          <w:szCs w:val="21"/>
          <w14:textFill>
            <w14:solidFill>
              <w14:schemeClr w14:val="tx1"/>
            </w14:solidFill>
          </w14:textFill>
        </w:rPr>
      </w:pPr>
      <w:r>
        <w:rPr>
          <w:rFonts w:hint="eastAsia" w:ascii="仿宋" w:hAnsi="仿宋" w:eastAsia="仿宋" w:cs="仿宋"/>
          <w:b w:val="0"/>
          <w:bCs w:val="0"/>
          <w:color w:val="000000" w:themeColor="text1"/>
          <w:spacing w:val="4"/>
          <w:kern w:val="1"/>
          <w:sz w:val="22"/>
          <w:szCs w:val="22"/>
          <w:u w:val="none"/>
          <w:lang w:val="en-US" w:eastAsia="zh-CN" w:bidi="ar-SA"/>
          <w14:textFill>
            <w14:solidFill>
              <w14:schemeClr w14:val="tx1"/>
            </w14:solidFill>
          </w14:textFill>
        </w:rPr>
        <w:t xml:space="preserve">项目名称：南郑区学校蔬菜、辅料等食材配送服务采购项目（三次） </w:t>
      </w:r>
      <w:r>
        <w:rPr>
          <w:rFonts w:hint="eastAsia" w:ascii="仿宋" w:hAnsi="仿宋" w:eastAsia="仿宋" w:cs="仿宋"/>
          <w:color w:val="000000" w:themeColor="text1"/>
          <w:sz w:val="20"/>
          <w:szCs w:val="21"/>
          <w:lang w:val="en-US" w:eastAsia="zh-CN"/>
          <w14:textFill>
            <w14:solidFill>
              <w14:schemeClr w14:val="tx1"/>
            </w14:solidFill>
          </w14:textFill>
        </w:rPr>
        <w:t xml:space="preserve">   </w:t>
      </w:r>
    </w:p>
    <w:p w14:paraId="27CFAFB6">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b w:val="0"/>
          <w:bCs w:val="0"/>
          <w:color w:val="000000" w:themeColor="text1"/>
          <w:spacing w:val="4"/>
          <w:sz w:val="22"/>
          <w:szCs w:val="22"/>
          <w:u w:val="none"/>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single"/>
          <w:lang w:val="en-US" w:eastAsia="zh-CN"/>
          <w14:textFill>
            <w14:solidFill>
              <w14:schemeClr w14:val="tx1"/>
            </w14:solidFill>
          </w14:textFill>
        </w:rPr>
        <w:t xml:space="preserve">    </w:t>
      </w:r>
    </w:p>
    <w:p w14:paraId="28E933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项目编号：</w:t>
      </w:r>
      <w:r>
        <w:rPr>
          <w:rFonts w:hint="eastAsia" w:ascii="仿宋" w:hAnsi="仿宋" w:eastAsia="仿宋" w:cs="仿宋"/>
          <w:color w:val="000000" w:themeColor="text1"/>
          <w:sz w:val="22"/>
          <w:szCs w:val="22"/>
          <w:lang w:eastAsia="zh-CN"/>
          <w14:textFill>
            <w14:solidFill>
              <w14:schemeClr w14:val="tx1"/>
            </w14:solidFill>
          </w14:textFill>
        </w:rPr>
        <w:t>TZZB-HZ-2025078C-3</w:t>
      </w:r>
    </w:p>
    <w:tbl>
      <w:tblPr>
        <w:tblStyle w:val="41"/>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2415"/>
        <w:gridCol w:w="1945"/>
        <w:gridCol w:w="2098"/>
        <w:gridCol w:w="1281"/>
      </w:tblGrid>
      <w:tr w14:paraId="661C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521" w:type="dxa"/>
            <w:tcBorders>
              <w:tl2br w:val="single" w:color="auto" w:sz="4" w:space="0"/>
            </w:tcBorders>
          </w:tcPr>
          <w:p w14:paraId="17CB5DD3">
            <w:pPr>
              <w:spacing w:line="520" w:lineRule="exact"/>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投标内容</w:t>
            </w:r>
          </w:p>
          <w:p w14:paraId="3C52282A">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w:t>
            </w:r>
          </w:p>
        </w:tc>
        <w:tc>
          <w:tcPr>
            <w:tcW w:w="2415" w:type="dxa"/>
            <w:vAlign w:val="center"/>
          </w:tcPr>
          <w:p w14:paraId="36529EB9">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投标总报价</w:t>
            </w:r>
          </w:p>
          <w:p w14:paraId="1404B1C5">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折扣率：%</w:t>
            </w:r>
            <w:r>
              <w:rPr>
                <w:rFonts w:hint="eastAsia" w:ascii="仿宋" w:hAnsi="仿宋" w:eastAsia="仿宋" w:cs="仿宋"/>
                <w:color w:val="000000" w:themeColor="text1"/>
                <w:sz w:val="24"/>
                <w:szCs w:val="24"/>
                <w14:textFill>
                  <w14:solidFill>
                    <w14:schemeClr w14:val="tx1"/>
                  </w14:solidFill>
                </w14:textFill>
              </w:rPr>
              <w:t>）</w:t>
            </w:r>
          </w:p>
        </w:tc>
        <w:tc>
          <w:tcPr>
            <w:tcW w:w="1945" w:type="dxa"/>
            <w:vAlign w:val="center"/>
          </w:tcPr>
          <w:p w14:paraId="38B7295C">
            <w:pPr>
              <w:spacing w:line="360" w:lineRule="auto"/>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服务周期</w:t>
            </w:r>
          </w:p>
        </w:tc>
        <w:tc>
          <w:tcPr>
            <w:tcW w:w="2098" w:type="dxa"/>
            <w:vAlign w:val="center"/>
          </w:tcPr>
          <w:p w14:paraId="4B633831">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配送地点</w:t>
            </w:r>
          </w:p>
        </w:tc>
        <w:tc>
          <w:tcPr>
            <w:tcW w:w="1281" w:type="dxa"/>
            <w:vAlign w:val="center"/>
          </w:tcPr>
          <w:p w14:paraId="44DFA601">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备注</w:t>
            </w:r>
          </w:p>
        </w:tc>
      </w:tr>
      <w:tr w14:paraId="1E94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521" w:type="dxa"/>
            <w:vAlign w:val="center"/>
          </w:tcPr>
          <w:p w14:paraId="271DC893">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5" w:type="dxa"/>
            <w:vAlign w:val="center"/>
          </w:tcPr>
          <w:p w14:paraId="3D79C240">
            <w:pPr>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1945" w:type="dxa"/>
            <w:vAlign w:val="center"/>
          </w:tcPr>
          <w:p w14:paraId="06395855">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098" w:type="dxa"/>
            <w:vAlign w:val="center"/>
          </w:tcPr>
          <w:p w14:paraId="713E8FB6">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81" w:type="dxa"/>
            <w:vAlign w:val="center"/>
          </w:tcPr>
          <w:p w14:paraId="74EDC79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5129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0260" w:type="dxa"/>
            <w:gridSpan w:val="5"/>
            <w:vAlign w:val="center"/>
          </w:tcPr>
          <w:p w14:paraId="4D980510">
            <w:pPr>
              <w:pStyle w:val="25"/>
              <w:spacing w:after="0" w:line="360" w:lineRule="auto"/>
              <w:ind w:left="0" w:left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备注：</w:t>
            </w:r>
          </w:p>
          <w:p w14:paraId="18D30A7E">
            <w:pPr>
              <w:pStyle w:val="25"/>
              <w:spacing w:after="0" w:line="360" w:lineRule="auto"/>
              <w:ind w:left="0" w:left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1.报价应按费率填写；</w:t>
            </w:r>
          </w:p>
          <w:p w14:paraId="5AD70CC1">
            <w:pPr>
              <w:pStyle w:val="25"/>
              <w:spacing w:after="0" w:line="360" w:lineRule="auto"/>
              <w:ind w:left="0" w:left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2.“开标一览表”以合同包为单位填写；</w:t>
            </w:r>
          </w:p>
          <w:p w14:paraId="42921001">
            <w:pPr>
              <w:spacing w:line="360" w:lineRule="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3.本表所列各项数据与投标文件其他地方表述不一致时，以本表为准。</w:t>
            </w:r>
          </w:p>
        </w:tc>
      </w:tr>
    </w:tbl>
    <w:p w14:paraId="210FD4BF">
      <w:pPr>
        <w:spacing w:line="360" w:lineRule="auto"/>
        <w:rPr>
          <w:rFonts w:hint="eastAsia" w:ascii="仿宋" w:hAnsi="仿宋" w:eastAsia="仿宋" w:cs="仿宋"/>
          <w:color w:val="000000" w:themeColor="text1"/>
          <w:sz w:val="24"/>
          <w:szCs w:val="24"/>
          <w:lang w:val="zh-CN"/>
          <w14:textFill>
            <w14:solidFill>
              <w14:schemeClr w14:val="tx1"/>
            </w14:solidFill>
          </w14:textFill>
        </w:rPr>
      </w:pPr>
    </w:p>
    <w:p w14:paraId="01C06E3B">
      <w:pPr>
        <w:pStyle w:val="40"/>
        <w:rPr>
          <w:rFonts w:hint="eastAsia" w:ascii="仿宋" w:hAnsi="仿宋" w:eastAsia="仿宋" w:cs="仿宋"/>
          <w:color w:val="000000" w:themeColor="text1"/>
          <w:sz w:val="24"/>
          <w:szCs w:val="24"/>
          <w:lang w:val="zh-CN"/>
          <w14:textFill>
            <w14:solidFill>
              <w14:schemeClr w14:val="tx1"/>
            </w14:solidFill>
          </w14:textFill>
        </w:rPr>
      </w:pPr>
    </w:p>
    <w:p w14:paraId="1C892CD3">
      <w:pPr>
        <w:rPr>
          <w:rFonts w:hint="eastAsia" w:ascii="仿宋" w:hAnsi="仿宋" w:eastAsia="仿宋" w:cs="仿宋"/>
          <w:color w:val="000000" w:themeColor="text1"/>
          <w:lang w:val="zh-CN"/>
          <w14:textFill>
            <w14:solidFill>
              <w14:schemeClr w14:val="tx1"/>
            </w14:solidFill>
          </w14:textFill>
        </w:rPr>
      </w:pPr>
    </w:p>
    <w:p w14:paraId="0A9DBF85">
      <w:pPr>
        <w:keepNext w:val="0"/>
        <w:keepLines w:val="0"/>
        <w:pageBreakBefore w:val="0"/>
        <w:widowControl w:val="0"/>
        <w:kinsoku/>
        <w:wordWrap/>
        <w:overflowPunct/>
        <w:topLinePunct w:val="0"/>
        <w:autoSpaceDE/>
        <w:autoSpaceDN/>
        <w:bidi w:val="0"/>
        <w:adjustRightInd/>
        <w:snapToGrid/>
        <w:spacing w:line="480" w:lineRule="auto"/>
        <w:ind w:firstLine="720" w:firstLineChars="300"/>
        <w:jc w:val="right"/>
        <w:textAlignment w:val="auto"/>
        <w:outlineLvl w:val="9"/>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投 标 人：</w:t>
      </w:r>
      <w:r>
        <w:rPr>
          <w:rFonts w:hint="eastAsia" w:ascii="仿宋" w:hAnsi="仿宋" w:eastAsia="仿宋" w:cs="仿宋"/>
          <w:b w:val="0"/>
          <w:bCs/>
          <w:color w:val="000000" w:themeColor="text1"/>
          <w:sz w:val="24"/>
          <w:szCs w:val="24"/>
          <w:u w:val="single"/>
          <w14:textFill>
            <w14:solidFill>
              <w14:schemeClr w14:val="tx1"/>
            </w14:solidFill>
          </w14:textFill>
        </w:rPr>
        <w:t xml:space="preserve">                  </w:t>
      </w:r>
      <w:r>
        <w:rPr>
          <w:rFonts w:hint="eastAsia" w:ascii="仿宋" w:hAnsi="仿宋" w:eastAsia="仿宋" w:cs="仿宋"/>
          <w:b w:val="0"/>
          <w:bCs/>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u w:val="single"/>
          <w14:textFill>
            <w14:solidFill>
              <w14:schemeClr w14:val="tx1"/>
            </w14:solidFill>
          </w14:textFill>
        </w:rPr>
        <w:t xml:space="preserve">  （公章）</w:t>
      </w:r>
    </w:p>
    <w:p w14:paraId="2BE104A6">
      <w:pPr>
        <w:pStyle w:val="56"/>
        <w:keepNext w:val="0"/>
        <w:keepLines w:val="0"/>
        <w:pageBreakBefore w:val="0"/>
        <w:widowControl w:val="0"/>
        <w:kinsoku/>
        <w:wordWrap/>
        <w:overflowPunct/>
        <w:topLinePunct w:val="0"/>
        <w:autoSpaceDE/>
        <w:autoSpaceDN/>
        <w:bidi w:val="0"/>
        <w:adjustRightInd/>
        <w:snapToGrid/>
        <w:spacing w:line="480" w:lineRule="auto"/>
        <w:ind w:firstLine="708" w:firstLineChars="295"/>
        <w:jc w:val="right"/>
        <w:textAlignment w:val="auto"/>
        <w:outlineLvl w:val="9"/>
        <w:rPr>
          <w:rFonts w:hint="eastAsia" w:ascii="仿宋" w:hAnsi="仿宋" w:eastAsia="仿宋" w:cs="仿宋"/>
          <w:b w:val="0"/>
          <w:bCs/>
          <w:color w:val="000000" w:themeColor="text1"/>
          <w:kern w:val="2"/>
          <w:sz w:val="24"/>
          <w:szCs w:val="24"/>
          <w:u w:val="single"/>
          <w14:textFill>
            <w14:solidFill>
              <w14:schemeClr w14:val="tx1"/>
            </w14:solidFill>
          </w14:textFill>
        </w:rPr>
      </w:pPr>
      <w:r>
        <w:rPr>
          <w:rFonts w:hint="eastAsia" w:ascii="仿宋" w:hAnsi="仿宋" w:eastAsia="仿宋" w:cs="仿宋"/>
          <w:b w:val="0"/>
          <w:bCs/>
          <w:color w:val="000000" w:themeColor="text1"/>
          <w:kern w:val="2"/>
          <w:sz w:val="24"/>
          <w:szCs w:val="24"/>
          <w14:textFill>
            <w14:solidFill>
              <w14:schemeClr w14:val="tx1"/>
            </w14:solidFill>
          </w14:textFill>
        </w:rPr>
        <w:t>法定代表人或其被授权委托代理人 ：</w:t>
      </w:r>
      <w:r>
        <w:rPr>
          <w:rFonts w:hint="eastAsia" w:ascii="仿宋" w:hAnsi="仿宋" w:eastAsia="仿宋" w:cs="仿宋"/>
          <w:b w:val="0"/>
          <w:bCs/>
          <w:color w:val="000000" w:themeColor="text1"/>
          <w:kern w:val="2"/>
          <w:sz w:val="24"/>
          <w:szCs w:val="24"/>
          <w:u w:val="single"/>
          <w14:textFill>
            <w14:solidFill>
              <w14:schemeClr w14:val="tx1"/>
            </w14:solidFill>
          </w14:textFill>
        </w:rPr>
        <w:t xml:space="preserve">    （签字）</w:t>
      </w:r>
    </w:p>
    <w:p w14:paraId="0B8ACC94">
      <w:pPr>
        <w:keepNext w:val="0"/>
        <w:keepLines w:val="0"/>
        <w:pageBreakBefore w:val="0"/>
        <w:widowControl w:val="0"/>
        <w:kinsoku/>
        <w:wordWrap/>
        <w:overflowPunct/>
        <w:topLinePunct w:val="0"/>
        <w:autoSpaceDE/>
        <w:autoSpaceDN/>
        <w:bidi w:val="0"/>
        <w:adjustRightInd/>
        <w:snapToGrid/>
        <w:spacing w:line="480" w:lineRule="auto"/>
        <w:ind w:firstLine="1920" w:firstLineChars="800"/>
        <w:jc w:val="center"/>
        <w:textAlignment w:val="auto"/>
        <w:outlineLvl w:val="9"/>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14:textFill>
            <w14:solidFill>
              <w14:schemeClr w14:val="tx1"/>
            </w14:solidFill>
          </w14:textFill>
        </w:rPr>
        <w:t>日  期：  年  月  日</w:t>
      </w:r>
    </w:p>
    <w:p w14:paraId="7F2A49DC">
      <w:pPr>
        <w:spacing w:line="360" w:lineRule="auto"/>
        <w:ind w:firstLine="630" w:firstLineChars="300"/>
        <w:rPr>
          <w:rFonts w:hint="eastAsia" w:ascii="仿宋" w:hAnsi="仿宋" w:eastAsia="仿宋" w:cs="仿宋"/>
          <w:color w:val="000000" w:themeColor="text1"/>
          <w:szCs w:val="21"/>
          <w:lang w:val="zh-CN"/>
          <w14:textFill>
            <w14:solidFill>
              <w14:schemeClr w14:val="tx1"/>
            </w14:solidFill>
          </w14:textFill>
        </w:rPr>
      </w:pPr>
    </w:p>
    <w:p w14:paraId="35AA855E">
      <w:pPr>
        <w:spacing w:line="360" w:lineRule="auto"/>
        <w:ind w:firstLine="2730" w:firstLineChars="1300"/>
        <w:rPr>
          <w:rFonts w:hint="eastAsia" w:ascii="仿宋" w:hAnsi="仿宋" w:eastAsia="仿宋" w:cs="仿宋"/>
          <w:color w:val="000000" w:themeColor="text1"/>
          <w:szCs w:val="21"/>
          <w:lang w:val="zh-CN"/>
          <w14:textFill>
            <w14:solidFill>
              <w14:schemeClr w14:val="tx1"/>
            </w14:solidFill>
          </w14:textFill>
        </w:rPr>
      </w:pPr>
    </w:p>
    <w:p w14:paraId="042A899C">
      <w:pPr>
        <w:spacing w:line="360" w:lineRule="auto"/>
        <w:ind w:firstLine="2730" w:firstLineChars="1300"/>
        <w:rPr>
          <w:rFonts w:hint="eastAsia" w:ascii="仿宋" w:hAnsi="仿宋" w:eastAsia="仿宋" w:cs="仿宋"/>
          <w:color w:val="000000" w:themeColor="text1"/>
          <w:szCs w:val="21"/>
          <w:lang w:val="zh-CN"/>
          <w14:textFill>
            <w14:solidFill>
              <w14:schemeClr w14:val="tx1"/>
            </w14:solidFill>
          </w14:textFill>
        </w:rPr>
      </w:pPr>
    </w:p>
    <w:p w14:paraId="7B662B86">
      <w:pPr>
        <w:spacing w:line="360" w:lineRule="auto"/>
        <w:ind w:firstLine="2730" w:firstLineChars="1300"/>
        <w:rPr>
          <w:rFonts w:hint="eastAsia" w:ascii="仿宋" w:hAnsi="仿宋" w:eastAsia="仿宋" w:cs="仿宋"/>
          <w:color w:val="000000" w:themeColor="text1"/>
          <w:szCs w:val="21"/>
          <w:lang w:val="zh-CN"/>
          <w14:textFill>
            <w14:solidFill>
              <w14:schemeClr w14:val="tx1"/>
            </w14:solidFill>
          </w14:textFill>
        </w:rPr>
      </w:pPr>
    </w:p>
    <w:p w14:paraId="3124EF0B">
      <w:pPr>
        <w:spacing w:line="360" w:lineRule="auto"/>
        <w:ind w:firstLine="2730" w:firstLineChars="1300"/>
        <w:rPr>
          <w:rFonts w:ascii="仿宋" w:hAnsi="仿宋" w:eastAsia="仿宋" w:cs="仿宋"/>
          <w:color w:val="000000" w:themeColor="text1"/>
          <w:szCs w:val="21"/>
          <w:lang w:val="zh-CN"/>
          <w14:textFill>
            <w14:solidFill>
              <w14:schemeClr w14:val="tx1"/>
            </w14:solidFill>
          </w14:textFill>
        </w:rPr>
      </w:pPr>
    </w:p>
    <w:p w14:paraId="006B95B7">
      <w:pPr>
        <w:rPr>
          <w:rFonts w:hint="eastAsia" w:ascii="仿宋" w:hAnsi="仿宋" w:eastAsia="仿宋" w:cs="仿宋"/>
          <w:b/>
          <w:color w:val="000000" w:themeColor="text1"/>
          <w:sz w:val="32"/>
          <w14:textFill>
            <w14:solidFill>
              <w14:schemeClr w14:val="tx1"/>
            </w14:solidFill>
          </w14:textFill>
        </w:rPr>
      </w:pPr>
      <w:bookmarkStart w:id="454" w:name="_Toc30668"/>
      <w:bookmarkStart w:id="455" w:name="_Toc1640"/>
      <w:bookmarkStart w:id="456" w:name="_Toc14392"/>
      <w:bookmarkStart w:id="457" w:name="_Toc24922"/>
      <w:bookmarkStart w:id="458" w:name="_Toc9652"/>
      <w:bookmarkStart w:id="459" w:name="_Toc12929"/>
      <w:bookmarkStart w:id="460" w:name="_Toc23970"/>
      <w:r>
        <w:rPr>
          <w:rFonts w:hint="eastAsia" w:ascii="仿宋" w:hAnsi="仿宋" w:eastAsia="仿宋" w:cs="仿宋"/>
          <w:b/>
          <w:color w:val="000000" w:themeColor="text1"/>
          <w:sz w:val="32"/>
          <w14:textFill>
            <w14:solidFill>
              <w14:schemeClr w14:val="tx1"/>
            </w14:solidFill>
          </w14:textFill>
        </w:rPr>
        <w:br w:type="page"/>
      </w:r>
    </w:p>
    <w:p w14:paraId="7EAAD82E">
      <w:pPr>
        <w:jc w:val="center"/>
        <w:outlineLvl w:val="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三、分项报价表</w:t>
      </w:r>
    </w:p>
    <w:p w14:paraId="0C4F77C7">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项目名称：</w:t>
      </w:r>
      <w:r>
        <w:rPr>
          <w:rFonts w:hint="eastAsia" w:ascii="仿宋" w:hAnsi="仿宋" w:eastAsia="仿宋" w:cs="仿宋"/>
          <w:color w:val="000000" w:themeColor="text1"/>
          <w:sz w:val="22"/>
          <w:szCs w:val="22"/>
          <w:lang w:eastAsia="zh-CN"/>
          <w14:textFill>
            <w14:solidFill>
              <w14:schemeClr w14:val="tx1"/>
            </w14:solidFill>
          </w14:textFill>
        </w:rPr>
        <w:t>南郑区学校蔬菜、辅料等食材配送服务采购项目（三次）</w:t>
      </w:r>
    </w:p>
    <w:p w14:paraId="7A5B1EE9">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none"/>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single"/>
          <w:lang w:val="en-US" w:eastAsia="zh-CN"/>
          <w14:textFill>
            <w14:solidFill>
              <w14:schemeClr w14:val="tx1"/>
            </w14:solidFill>
          </w14:textFill>
        </w:rPr>
        <w:t xml:space="preserve">    </w:t>
      </w:r>
    </w:p>
    <w:p w14:paraId="0BBD40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项目编号：</w:t>
      </w:r>
      <w:r>
        <w:rPr>
          <w:rFonts w:hint="eastAsia" w:ascii="仿宋" w:hAnsi="仿宋" w:eastAsia="仿宋" w:cs="仿宋"/>
          <w:color w:val="000000" w:themeColor="text1"/>
          <w:sz w:val="22"/>
          <w:szCs w:val="22"/>
          <w:lang w:eastAsia="zh-CN"/>
          <w14:textFill>
            <w14:solidFill>
              <w14:schemeClr w14:val="tx1"/>
            </w14:solidFill>
          </w14:textFill>
        </w:rPr>
        <w:t>TZZB-HZ-2025078C-3</w:t>
      </w:r>
    </w:p>
    <w:bookmarkEnd w:id="454"/>
    <w:bookmarkEnd w:id="455"/>
    <w:bookmarkEnd w:id="456"/>
    <w:bookmarkEnd w:id="457"/>
    <w:bookmarkEnd w:id="458"/>
    <w:bookmarkEnd w:id="459"/>
    <w:bookmarkEnd w:id="460"/>
    <w:p w14:paraId="625BD132">
      <w:pPr>
        <w:rPr>
          <w:rFonts w:hint="eastAsia" w:ascii="仿宋" w:hAnsi="仿宋" w:eastAsia="仿宋" w:cs="仿宋"/>
          <w:b/>
          <w:color w:val="000000" w:themeColor="text1"/>
          <w:sz w:val="32"/>
          <w:lang w:val="en-US" w:eastAsia="zh-CN"/>
          <w14:textFill>
            <w14:solidFill>
              <w14:schemeClr w14:val="tx1"/>
            </w14:solidFill>
          </w14:textFill>
        </w:rPr>
      </w:pPr>
      <w:bookmarkStart w:id="461" w:name="_Toc777"/>
      <w:bookmarkStart w:id="462" w:name="_Toc9966"/>
      <w:bookmarkStart w:id="463" w:name="_Toc7687"/>
      <w:bookmarkStart w:id="464" w:name="_Toc21590"/>
      <w:bookmarkStart w:id="465" w:name="_Toc30531"/>
      <w:bookmarkStart w:id="466" w:name="_Toc19156"/>
      <w:bookmarkStart w:id="467" w:name="_Toc6138"/>
      <w:r>
        <w:rPr>
          <w:rFonts w:hint="eastAsia" w:ascii="仿宋" w:hAnsi="仿宋" w:eastAsia="仿宋" w:cs="仿宋"/>
          <w:color w:val="000000" w:themeColor="text1"/>
          <w:kern w:val="1"/>
          <w:sz w:val="22"/>
          <w:szCs w:val="22"/>
          <w:lang w:val="en-US" w:eastAsia="zh-CN" w:bidi="ar-SA"/>
          <w14:textFill>
            <w14:solidFill>
              <w14:schemeClr w14:val="tx1"/>
            </w14:solidFill>
          </w14:textFill>
        </w:rPr>
        <w:t>投标人结合本项目服务要求自行编制</w:t>
      </w:r>
      <w:r>
        <w:rPr>
          <w:rFonts w:hint="eastAsia" w:ascii="仿宋" w:hAnsi="仿宋" w:eastAsia="仿宋" w:cs="仿宋"/>
          <w:b/>
          <w:color w:val="000000" w:themeColor="text1"/>
          <w:sz w:val="32"/>
          <w:lang w:val="en-US" w:eastAsia="zh-CN"/>
          <w14:textFill>
            <w14:solidFill>
              <w14:schemeClr w14:val="tx1"/>
            </w14:solidFill>
          </w14:textFill>
        </w:rPr>
        <w:br w:type="page"/>
      </w:r>
    </w:p>
    <w:p w14:paraId="26A6C5D6">
      <w:pPr>
        <w:ind w:firstLine="3213" w:firstLineChars="100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t>四</w:t>
      </w:r>
      <w:r>
        <w:rPr>
          <w:rFonts w:hint="eastAsia" w:ascii="仿宋" w:hAnsi="仿宋" w:eastAsia="仿宋" w:cs="仿宋"/>
          <w:b/>
          <w:color w:val="000000" w:themeColor="text1"/>
          <w:sz w:val="32"/>
          <w14:textFill>
            <w14:solidFill>
              <w14:schemeClr w14:val="tx1"/>
            </w14:solidFill>
          </w14:textFill>
        </w:rPr>
        <w:t>、商务</w:t>
      </w:r>
      <w:r>
        <w:rPr>
          <w:rFonts w:hint="eastAsia" w:ascii="仿宋" w:hAnsi="仿宋" w:eastAsia="仿宋" w:cs="仿宋"/>
          <w:b/>
          <w:color w:val="000000" w:themeColor="text1"/>
          <w:sz w:val="32"/>
          <w:lang w:val="en-US" w:eastAsia="zh-CN"/>
          <w14:textFill>
            <w14:solidFill>
              <w14:schemeClr w14:val="tx1"/>
            </w14:solidFill>
          </w14:textFill>
        </w:rPr>
        <w:t>部分</w:t>
      </w:r>
    </w:p>
    <w:p w14:paraId="5D2A39AF">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项目名称：</w:t>
      </w:r>
      <w:r>
        <w:rPr>
          <w:rFonts w:hint="eastAsia" w:ascii="仿宋" w:hAnsi="仿宋" w:eastAsia="仿宋" w:cs="仿宋"/>
          <w:color w:val="000000" w:themeColor="text1"/>
          <w:sz w:val="22"/>
          <w:szCs w:val="22"/>
          <w:lang w:eastAsia="zh-CN"/>
          <w14:textFill>
            <w14:solidFill>
              <w14:schemeClr w14:val="tx1"/>
            </w14:solidFill>
          </w14:textFill>
        </w:rPr>
        <w:t>南郑区学校蔬菜、辅料等食材配送服务采购项目（三次）</w:t>
      </w:r>
    </w:p>
    <w:p w14:paraId="661A9618">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none"/>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single"/>
          <w:lang w:val="en-US" w:eastAsia="zh-CN"/>
          <w14:textFill>
            <w14:solidFill>
              <w14:schemeClr w14:val="tx1"/>
            </w14:solidFill>
          </w14:textFill>
        </w:rPr>
        <w:t xml:space="preserve">    </w:t>
      </w:r>
    </w:p>
    <w:p w14:paraId="28ACF5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项目编号：</w:t>
      </w:r>
      <w:r>
        <w:rPr>
          <w:rFonts w:hint="eastAsia" w:ascii="仿宋" w:hAnsi="仿宋" w:eastAsia="仿宋" w:cs="仿宋"/>
          <w:color w:val="000000" w:themeColor="text1"/>
          <w:sz w:val="22"/>
          <w:szCs w:val="22"/>
          <w:lang w:eastAsia="zh-CN"/>
          <w14:textFill>
            <w14:solidFill>
              <w14:schemeClr w14:val="tx1"/>
            </w14:solidFill>
          </w14:textFill>
        </w:rPr>
        <w:t>TZZB-HZ-2025078C-3</w:t>
      </w:r>
    </w:p>
    <w:p w14:paraId="23B30DF1">
      <w:pPr>
        <w:shd w:val="clear"/>
        <w:spacing w:line="360" w:lineRule="auto"/>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说明：由供应商根据第三章 《评</w:t>
      </w:r>
      <w:r>
        <w:rPr>
          <w:rFonts w:hint="eastAsia" w:ascii="仿宋" w:hAnsi="仿宋" w:eastAsia="仿宋" w:cs="仿宋"/>
          <w:bCs/>
          <w:color w:val="000000" w:themeColor="text1"/>
          <w:sz w:val="22"/>
          <w:szCs w:val="22"/>
          <w:lang w:val="en-US" w:eastAsia="zh-CN"/>
          <w14:textFill>
            <w14:solidFill>
              <w14:schemeClr w14:val="tx1"/>
            </w14:solidFill>
          </w14:textFill>
        </w:rPr>
        <w:t>标办法</w:t>
      </w:r>
      <w:r>
        <w:rPr>
          <w:rFonts w:hint="eastAsia" w:ascii="仿宋" w:hAnsi="仿宋" w:eastAsia="仿宋" w:cs="仿宋"/>
          <w:bCs/>
          <w:color w:val="000000" w:themeColor="text1"/>
          <w:sz w:val="22"/>
          <w:szCs w:val="22"/>
          <w14:textFill>
            <w14:solidFill>
              <w14:schemeClr w14:val="tx1"/>
            </w14:solidFill>
          </w14:textFill>
        </w:rPr>
        <w:t>》内评审要素一览表</w:t>
      </w:r>
      <w:r>
        <w:rPr>
          <w:rFonts w:hint="eastAsia" w:ascii="仿宋" w:hAnsi="仿宋" w:eastAsia="仿宋" w:cs="仿宋"/>
          <w:bCs/>
          <w:color w:val="000000" w:themeColor="text1"/>
          <w:sz w:val="22"/>
          <w:szCs w:val="22"/>
          <w:lang w:val="en-US" w:eastAsia="zh-CN"/>
          <w14:textFill>
            <w14:solidFill>
              <w14:schemeClr w14:val="tx1"/>
            </w14:solidFill>
          </w14:textFill>
        </w:rPr>
        <w:t>商务</w:t>
      </w:r>
      <w:r>
        <w:rPr>
          <w:rFonts w:hint="eastAsia" w:ascii="仿宋" w:hAnsi="仿宋" w:eastAsia="仿宋" w:cs="仿宋"/>
          <w:bCs/>
          <w:color w:val="000000" w:themeColor="text1"/>
          <w:sz w:val="22"/>
          <w:szCs w:val="22"/>
          <w14:textFill>
            <w14:solidFill>
              <w14:schemeClr w14:val="tx1"/>
            </w14:solidFill>
          </w14:textFill>
        </w:rPr>
        <w:t>部分的评审标准，结合第四章《采购内容及具体要求》等进行编制，格式内容自拟。</w:t>
      </w:r>
    </w:p>
    <w:p w14:paraId="7BF9E769">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1826AB93">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48E1DA81">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6149A8C0">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5D8E578E">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16B1E6D6">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6CA7DC22">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12EAB4B4">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371A7FE9">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23B9A0E5">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71BC871B">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3EF9EE93">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0A37B23D">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575383F5">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7C467BC2">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46265CAD">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6588041F">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4F4F3D53">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787201C2">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r>
        <w:rPr>
          <w:rFonts w:hint="eastAsia" w:ascii="仿宋" w:hAnsi="仿宋" w:eastAsia="仿宋" w:cs="仿宋"/>
          <w:color w:val="000000" w:themeColor="text1"/>
          <w:kern w:val="1"/>
          <w:sz w:val="28"/>
          <w:szCs w:val="28"/>
          <w:lang w:val="en-US" w:eastAsia="zh-CN" w:bidi="ar-SA"/>
          <w14:textFill>
            <w14:solidFill>
              <w14:schemeClr w14:val="tx1"/>
            </w14:solidFill>
          </w14:textFill>
        </w:rPr>
        <w:t>附表一</w:t>
      </w:r>
    </w:p>
    <w:p w14:paraId="0AEAE507">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r>
        <w:rPr>
          <w:rFonts w:hint="eastAsia" w:ascii="仿宋" w:hAnsi="仿宋" w:eastAsia="仿宋" w:cs="仿宋"/>
          <w:color w:val="000000" w:themeColor="text1"/>
          <w:kern w:val="1"/>
          <w:sz w:val="28"/>
          <w:szCs w:val="28"/>
          <w:lang w:val="en-US" w:eastAsia="zh-CN" w:bidi="ar-SA"/>
          <w14:textFill>
            <w14:solidFill>
              <w14:schemeClr w14:val="tx1"/>
            </w14:solidFill>
          </w14:textFill>
        </w:rPr>
        <w:t xml:space="preserve">                         商务偏离表</w:t>
      </w:r>
    </w:p>
    <w:tbl>
      <w:tblPr>
        <w:tblStyle w:val="41"/>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7"/>
        <w:gridCol w:w="2443"/>
        <w:gridCol w:w="1586"/>
        <w:gridCol w:w="1943"/>
      </w:tblGrid>
      <w:tr w14:paraId="70809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1" w:type="dxa"/>
            <w:vAlign w:val="center"/>
          </w:tcPr>
          <w:p w14:paraId="01D42083">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2107" w:type="dxa"/>
            <w:vAlign w:val="center"/>
          </w:tcPr>
          <w:p w14:paraId="32D1856B">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招标文件商务要求</w:t>
            </w:r>
          </w:p>
        </w:tc>
        <w:tc>
          <w:tcPr>
            <w:tcW w:w="2443" w:type="dxa"/>
            <w:vAlign w:val="center"/>
          </w:tcPr>
          <w:p w14:paraId="492F18BD">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投标文件商务响应</w:t>
            </w:r>
          </w:p>
        </w:tc>
        <w:tc>
          <w:tcPr>
            <w:tcW w:w="1586" w:type="dxa"/>
            <w:vAlign w:val="center"/>
          </w:tcPr>
          <w:p w14:paraId="41032F16">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偏离情况</w:t>
            </w:r>
          </w:p>
        </w:tc>
        <w:tc>
          <w:tcPr>
            <w:tcW w:w="1943" w:type="dxa"/>
            <w:vAlign w:val="center"/>
          </w:tcPr>
          <w:p w14:paraId="06A0F1DE">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p>
        </w:tc>
      </w:tr>
      <w:tr w14:paraId="4176D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230505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4B8A0C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1B24149">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461309F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13C936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542A9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F3E256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44A23B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229F149A">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09E5AE6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58A1CD7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76694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3AB0C3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23C50277">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304D49D9">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202B6E50">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2A1CD11E">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229FF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2F9B5E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6418A0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ED0209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38FEA5A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8C748A7">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59599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7FB7AF9">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8F3C790">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043B389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735208F0">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5E4327C0">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55140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4EF6D8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3A7E42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2D418F01">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15CFCD9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F60F2C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0A523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C47928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06E182E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55A41EA">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710A3F3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23FFACE5">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5AFD1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21DE8AE">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4D6022D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57C4098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56CF827B">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331E22E">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68D96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D8D8763">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89BC135">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A1C8E2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5197DA1B">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6E69483">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00A66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EACB1D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11902A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04E9616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06E8ED5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28E6BCB1">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11373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34A14B1">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6884C0FE">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77A2BF6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6F30BC4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55215041">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4221C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C5C0C1A">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54BDE64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857492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3345A13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22103743">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3DF89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F657C3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BB21B5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275298A9">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1F3002B7">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43E0C4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06B6B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56C0D1C">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5D709F4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4BAAFA2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7FFBACF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445B69F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bl>
    <w:p w14:paraId="1546DD2F">
      <w:pPr>
        <w:spacing w:before="156" w:beforeLines="50" w:line="400" w:lineRule="exact"/>
        <w:ind w:left="735" w:leftChars="50" w:hanging="630" w:hanging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说明：1.该表必须按照招标文件商务要求逐条如实填报，根据情况在“偏离情况”项填写正偏离或负偏离或无偏离，在“说明”项填写正偏离或负偏离原因。</w:t>
      </w:r>
    </w:p>
    <w:p w14:paraId="013B222C">
      <w:pPr>
        <w:keepNext w:val="0"/>
        <w:keepLines w:val="0"/>
        <w:pageBreakBefore w:val="0"/>
        <w:widowControl w:val="0"/>
        <w:kinsoku/>
        <w:wordWrap/>
        <w:overflowPunct/>
        <w:topLinePunct w:val="0"/>
        <w:autoSpaceDE/>
        <w:autoSpaceDN/>
        <w:bidi w:val="0"/>
        <w:adjustRightInd/>
        <w:snapToGrid/>
        <w:spacing w:line="480" w:lineRule="auto"/>
        <w:ind w:firstLine="630" w:firstLineChars="300"/>
        <w:jc w:val="right"/>
        <w:textAlignment w:val="auto"/>
        <w:outlineLvl w:val="9"/>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14:textFill>
            <w14:solidFill>
              <w14:schemeClr w14:val="tx1"/>
            </w14:solidFill>
          </w14:textFill>
        </w:rPr>
        <w:t>投 标 人：</w:t>
      </w:r>
      <w:r>
        <w:rPr>
          <w:rFonts w:hint="eastAsia" w:ascii="仿宋" w:hAnsi="仿宋" w:eastAsia="仿宋" w:cs="仿宋"/>
          <w:b w:val="0"/>
          <w:bCs/>
          <w:color w:val="000000" w:themeColor="text1"/>
          <w:sz w:val="21"/>
          <w:szCs w:val="21"/>
          <w:u w:val="single"/>
          <w14:textFill>
            <w14:solidFill>
              <w14:schemeClr w14:val="tx1"/>
            </w14:solidFill>
          </w14:textFill>
        </w:rPr>
        <w:t xml:space="preserve">                  </w:t>
      </w:r>
      <w:r>
        <w:rPr>
          <w:rFonts w:hint="eastAsia" w:ascii="仿宋" w:hAnsi="仿宋" w:eastAsia="仿宋" w:cs="仿宋"/>
          <w:b w:val="0"/>
          <w:bCs/>
          <w:color w:val="000000" w:themeColor="text1"/>
          <w:sz w:val="21"/>
          <w:szCs w:val="21"/>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1"/>
          <w:szCs w:val="21"/>
          <w:u w:val="single"/>
          <w14:textFill>
            <w14:solidFill>
              <w14:schemeClr w14:val="tx1"/>
            </w14:solidFill>
          </w14:textFill>
        </w:rPr>
        <w:t xml:space="preserve">  （公章）</w:t>
      </w:r>
    </w:p>
    <w:p w14:paraId="6852D473">
      <w:pPr>
        <w:pStyle w:val="56"/>
        <w:keepNext w:val="0"/>
        <w:keepLines w:val="0"/>
        <w:pageBreakBefore w:val="0"/>
        <w:widowControl w:val="0"/>
        <w:kinsoku/>
        <w:wordWrap/>
        <w:overflowPunct/>
        <w:topLinePunct w:val="0"/>
        <w:autoSpaceDE/>
        <w:autoSpaceDN/>
        <w:bidi w:val="0"/>
        <w:adjustRightInd/>
        <w:snapToGrid/>
        <w:spacing w:line="480" w:lineRule="auto"/>
        <w:ind w:firstLine="619" w:firstLineChars="295"/>
        <w:jc w:val="right"/>
        <w:textAlignment w:val="auto"/>
        <w:outlineLvl w:val="9"/>
        <w:rPr>
          <w:rFonts w:hint="eastAsia" w:ascii="仿宋" w:hAnsi="仿宋" w:eastAsia="仿宋" w:cs="仿宋"/>
          <w:b w:val="0"/>
          <w:bCs/>
          <w:color w:val="000000" w:themeColor="text1"/>
          <w:kern w:val="2"/>
          <w:sz w:val="21"/>
          <w:szCs w:val="21"/>
          <w:u w:val="single"/>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法定代表人或其被授权委托代理人 ：</w:t>
      </w:r>
      <w:r>
        <w:rPr>
          <w:rFonts w:hint="eastAsia" w:ascii="仿宋" w:hAnsi="仿宋" w:eastAsia="仿宋" w:cs="仿宋"/>
          <w:b w:val="0"/>
          <w:bCs/>
          <w:color w:val="000000" w:themeColor="text1"/>
          <w:kern w:val="2"/>
          <w:sz w:val="21"/>
          <w:szCs w:val="21"/>
          <w:u w:val="single"/>
          <w14:textFill>
            <w14:solidFill>
              <w14:schemeClr w14:val="tx1"/>
            </w14:solidFill>
          </w14:textFill>
        </w:rPr>
        <w:t xml:space="preserve">    （签字）</w:t>
      </w:r>
    </w:p>
    <w:p w14:paraId="27880E12">
      <w:pPr>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 xml:space="preserve">                                           </w:t>
      </w:r>
      <w:r>
        <w:rPr>
          <w:rFonts w:hint="eastAsia" w:ascii="仿宋" w:hAnsi="仿宋" w:eastAsia="仿宋" w:cs="仿宋"/>
          <w:b w:val="0"/>
          <w:bCs/>
          <w:color w:val="000000" w:themeColor="text1"/>
          <w:sz w:val="21"/>
          <w:szCs w:val="21"/>
          <w14:textFill>
            <w14:solidFill>
              <w14:schemeClr w14:val="tx1"/>
            </w14:solidFill>
          </w14:textFill>
        </w:rPr>
        <w:t>日  期：  年  月  日</w:t>
      </w:r>
    </w:p>
    <w:p w14:paraId="59AB90EC">
      <w:pPr>
        <w:rPr>
          <w:rFonts w:hint="eastAsia" w:ascii="仿宋" w:hAnsi="仿宋" w:eastAsia="仿宋" w:cs="仿宋"/>
          <w:b/>
          <w:color w:val="000000" w:themeColor="text1"/>
          <w:sz w:val="32"/>
          <w:lang w:val="en-US" w:eastAsia="zh-CN"/>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br w:type="page"/>
      </w:r>
    </w:p>
    <w:p w14:paraId="42F7115C">
      <w:pPr>
        <w:pStyle w:val="19"/>
        <w:jc w:val="both"/>
        <w:rPr>
          <w:rFonts w:hint="eastAsia" w:ascii="仿宋" w:hAnsi="仿宋" w:eastAsia="仿宋" w:cs="仿宋"/>
          <w:color w:val="000000" w:themeColor="text1"/>
          <w:kern w:val="1"/>
          <w:sz w:val="28"/>
          <w:szCs w:val="28"/>
          <w:lang w:val="en-US" w:eastAsia="zh-CN" w:bidi="ar-SA"/>
          <w14:textFill>
            <w14:solidFill>
              <w14:schemeClr w14:val="tx1"/>
            </w14:solidFill>
          </w14:textFill>
        </w:rPr>
      </w:pPr>
      <w:r>
        <w:rPr>
          <w:rFonts w:hint="eastAsia" w:ascii="仿宋" w:hAnsi="仿宋" w:eastAsia="仿宋" w:cs="仿宋"/>
          <w:color w:val="000000" w:themeColor="text1"/>
          <w:kern w:val="1"/>
          <w:sz w:val="28"/>
          <w:szCs w:val="28"/>
          <w:lang w:val="en-US" w:eastAsia="zh-CN" w:bidi="ar-SA"/>
          <w14:textFill>
            <w14:solidFill>
              <w14:schemeClr w14:val="tx1"/>
            </w14:solidFill>
          </w14:textFill>
        </w:rPr>
        <w:t>附表二</w:t>
      </w:r>
    </w:p>
    <w:p w14:paraId="26B6409A">
      <w:pPr>
        <w:widowControl/>
        <w:ind w:firstLine="3080" w:firstLineChars="1100"/>
        <w:outlineLvl w:val="9"/>
        <w:rPr>
          <w:rFonts w:hint="eastAsia" w:ascii="仿宋" w:hAnsi="仿宋" w:eastAsia="仿宋" w:cs="仿宋"/>
          <w:color w:val="000000" w:themeColor="text1"/>
          <w:kern w:val="1"/>
          <w:sz w:val="28"/>
          <w:szCs w:val="28"/>
          <w:lang w:val="en-US" w:eastAsia="zh-CN" w:bidi="ar-SA"/>
          <w14:textFill>
            <w14:solidFill>
              <w14:schemeClr w14:val="tx1"/>
            </w14:solidFill>
          </w14:textFill>
        </w:rPr>
      </w:pPr>
      <w:r>
        <w:rPr>
          <w:rFonts w:hint="eastAsia" w:ascii="仿宋" w:hAnsi="仿宋" w:eastAsia="仿宋" w:cs="仿宋"/>
          <w:color w:val="000000" w:themeColor="text1"/>
          <w:kern w:val="1"/>
          <w:sz w:val="28"/>
          <w:szCs w:val="28"/>
          <w:lang w:val="en-US" w:eastAsia="zh-CN" w:bidi="ar-SA"/>
          <w14:textFill>
            <w14:solidFill>
              <w14:schemeClr w14:val="tx1"/>
            </w14:solidFill>
          </w14:textFill>
        </w:rPr>
        <w:t>类似项目业绩</w:t>
      </w:r>
    </w:p>
    <w:tbl>
      <w:tblPr>
        <w:tblStyle w:val="41"/>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9"/>
        <w:gridCol w:w="1097"/>
        <w:gridCol w:w="2179"/>
        <w:gridCol w:w="1243"/>
        <w:gridCol w:w="1196"/>
        <w:gridCol w:w="1953"/>
        <w:gridCol w:w="1078"/>
      </w:tblGrid>
      <w:tr w14:paraId="40A77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26248060">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097" w:type="dxa"/>
            <w:vAlign w:val="center"/>
          </w:tcPr>
          <w:p w14:paraId="6852E120">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2179" w:type="dxa"/>
            <w:vAlign w:val="center"/>
          </w:tcPr>
          <w:p w14:paraId="5967CB6D">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项目内容</w:t>
            </w:r>
          </w:p>
        </w:tc>
        <w:tc>
          <w:tcPr>
            <w:tcW w:w="1243" w:type="dxa"/>
            <w:tcBorders>
              <w:left w:val="single" w:color="auto" w:sz="4" w:space="0"/>
              <w:right w:val="single" w:color="auto" w:sz="4" w:space="0"/>
            </w:tcBorders>
            <w:vAlign w:val="center"/>
          </w:tcPr>
          <w:p w14:paraId="26473E21">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合同金额</w:t>
            </w:r>
          </w:p>
        </w:tc>
        <w:tc>
          <w:tcPr>
            <w:tcW w:w="1196" w:type="dxa"/>
            <w:tcBorders>
              <w:left w:val="single" w:color="auto" w:sz="4" w:space="0"/>
              <w:right w:val="single" w:color="auto" w:sz="4" w:space="0"/>
            </w:tcBorders>
            <w:vAlign w:val="center"/>
          </w:tcPr>
          <w:p w14:paraId="5E8F01F4">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客户</w:t>
            </w:r>
          </w:p>
        </w:tc>
        <w:tc>
          <w:tcPr>
            <w:tcW w:w="1953" w:type="dxa"/>
            <w:tcBorders>
              <w:left w:val="single" w:color="auto" w:sz="4" w:space="0"/>
              <w:right w:val="single" w:color="auto" w:sz="4" w:space="0"/>
            </w:tcBorders>
            <w:vAlign w:val="center"/>
          </w:tcPr>
          <w:p w14:paraId="09781CE2">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实施日期</w:t>
            </w:r>
          </w:p>
        </w:tc>
        <w:tc>
          <w:tcPr>
            <w:tcW w:w="1078" w:type="dxa"/>
            <w:vAlign w:val="center"/>
          </w:tcPr>
          <w:p w14:paraId="0EF52E41">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475EF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708FB263">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097" w:type="dxa"/>
            <w:vAlign w:val="center"/>
          </w:tcPr>
          <w:p w14:paraId="3EC6CF7E">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4D4CA3B5">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5599D4A7">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7E882226">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09618176">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tcPr>
          <w:p w14:paraId="4BED0302">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r w14:paraId="4BE57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26CF9030">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097" w:type="dxa"/>
            <w:vAlign w:val="center"/>
          </w:tcPr>
          <w:p w14:paraId="7679D227">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7FDADCEF">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1EB292F8">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7A9B6F25">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0F858C16">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tcPr>
          <w:p w14:paraId="62A2B9A3">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r w14:paraId="11C6D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527977B4">
            <w:pPr>
              <w:spacing w:line="360" w:lineRule="auto"/>
              <w:jc w:val="center"/>
              <w:outlineLvl w:val="9"/>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1097" w:type="dxa"/>
            <w:vAlign w:val="center"/>
          </w:tcPr>
          <w:p w14:paraId="17FF722C">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7CDF2591">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04B385ED">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06295B08">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693D41FA">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tcPr>
          <w:p w14:paraId="7CCE4966">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r w14:paraId="2A18B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079F9B0F">
            <w:pPr>
              <w:spacing w:line="360" w:lineRule="auto"/>
              <w:jc w:val="center"/>
              <w:outlineLvl w:val="9"/>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1097" w:type="dxa"/>
            <w:vAlign w:val="center"/>
          </w:tcPr>
          <w:p w14:paraId="00922D7D">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3CB4B763">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3AEF9FC2">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442B6AB0">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03CD2D0C">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tcPr>
          <w:p w14:paraId="3C5927DB">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r w14:paraId="02C24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227D7874">
            <w:pPr>
              <w:spacing w:line="360" w:lineRule="auto"/>
              <w:ind w:left="120"/>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1097" w:type="dxa"/>
            <w:vAlign w:val="center"/>
          </w:tcPr>
          <w:p w14:paraId="3979D462">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531DF0EC">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650DD66E">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50322D4A">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4AD88C66">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vAlign w:val="center"/>
          </w:tcPr>
          <w:p w14:paraId="619C8F74">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bl>
    <w:p w14:paraId="6311266F">
      <w:pPr>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注：表后按填报的业绩顺序附中标/</w:t>
      </w:r>
      <w:r>
        <w:rPr>
          <w:rFonts w:hint="eastAsia" w:ascii="仿宋" w:hAnsi="仿宋" w:eastAsia="仿宋" w:cs="仿宋"/>
          <w:color w:val="000000" w:themeColor="text1"/>
          <w:lang w:val="en-US" w:eastAsia="zh-CN"/>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通知书或合同加盖公章，材料应清晰可辨认。</w:t>
      </w:r>
    </w:p>
    <w:p w14:paraId="6F7267BD">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4AC33FB2">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6A66AC28">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22AEF58B">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38974755">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44646D64">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7EEC522E">
      <w:pPr>
        <w:jc w:val="center"/>
        <w:outlineLvl w:val="0"/>
        <w:rPr>
          <w:rFonts w:hint="eastAsia" w:ascii="仿宋" w:hAnsi="仿宋" w:eastAsia="仿宋" w:cs="仿宋"/>
          <w:b/>
          <w:color w:val="000000" w:themeColor="text1"/>
          <w:sz w:val="32"/>
          <w:lang w:eastAsia="zh-CN"/>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t>五</w:t>
      </w:r>
      <w:r>
        <w:rPr>
          <w:rFonts w:hint="eastAsia" w:ascii="仿宋" w:hAnsi="仿宋" w:eastAsia="仿宋" w:cs="仿宋"/>
          <w:b/>
          <w:color w:val="000000" w:themeColor="text1"/>
          <w:sz w:val="32"/>
          <w14:textFill>
            <w14:solidFill>
              <w14:schemeClr w14:val="tx1"/>
            </w14:solidFill>
          </w14:textFill>
        </w:rPr>
        <w:t>、</w:t>
      </w:r>
      <w:r>
        <w:rPr>
          <w:rFonts w:hint="eastAsia" w:ascii="仿宋" w:hAnsi="仿宋" w:eastAsia="仿宋" w:cs="仿宋"/>
          <w:b/>
          <w:color w:val="000000" w:themeColor="text1"/>
          <w:sz w:val="32"/>
          <w:lang w:val="en-US" w:eastAsia="zh-CN"/>
          <w14:textFill>
            <w14:solidFill>
              <w14:schemeClr w14:val="tx1"/>
            </w14:solidFill>
          </w14:textFill>
        </w:rPr>
        <w:t>技术</w:t>
      </w:r>
      <w:r>
        <w:rPr>
          <w:rFonts w:hint="eastAsia" w:ascii="仿宋" w:hAnsi="仿宋" w:eastAsia="仿宋" w:cs="仿宋"/>
          <w:b/>
          <w:color w:val="000000" w:themeColor="text1"/>
          <w:sz w:val="32"/>
          <w14:textFill>
            <w14:solidFill>
              <w14:schemeClr w14:val="tx1"/>
            </w14:solidFill>
          </w14:textFill>
        </w:rPr>
        <w:t>服务</w:t>
      </w:r>
      <w:r>
        <w:rPr>
          <w:rFonts w:hint="eastAsia" w:ascii="仿宋" w:hAnsi="仿宋" w:eastAsia="仿宋" w:cs="仿宋"/>
          <w:b/>
          <w:color w:val="000000" w:themeColor="text1"/>
          <w:sz w:val="32"/>
          <w:lang w:val="en-US" w:eastAsia="zh-CN"/>
          <w14:textFill>
            <w14:solidFill>
              <w14:schemeClr w14:val="tx1"/>
            </w14:solidFill>
          </w14:textFill>
        </w:rPr>
        <w:t>部分</w:t>
      </w:r>
    </w:p>
    <w:p w14:paraId="0A3E1880">
      <w:pPr>
        <w:adjustRightInd w:val="0"/>
        <w:spacing w:line="400" w:lineRule="exact"/>
        <w:ind w:firstLine="420" w:firstLineChars="200"/>
        <w:jc w:val="left"/>
        <w:rPr>
          <w:rFonts w:ascii="仿宋" w:hAnsi="仿宋" w:eastAsia="仿宋" w:cs="仿宋"/>
          <w:bCs/>
          <w:iCs/>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说明：由投标人根据第三章《评标办法》内评标要素一览表</w:t>
      </w:r>
      <w:r>
        <w:rPr>
          <w:rFonts w:hint="eastAsia" w:ascii="仿宋" w:hAnsi="仿宋" w:eastAsia="仿宋" w:cs="仿宋"/>
          <w:color w:val="000000" w:themeColor="text1"/>
          <w:szCs w:val="21"/>
          <w:lang w:val="en-US" w:eastAsia="zh-CN"/>
          <w14:textFill>
            <w14:solidFill>
              <w14:schemeClr w14:val="tx1"/>
            </w14:solidFill>
          </w14:textFill>
        </w:rPr>
        <w:t>内技术服务部分</w:t>
      </w:r>
      <w:r>
        <w:rPr>
          <w:rFonts w:hint="eastAsia" w:ascii="仿宋" w:hAnsi="仿宋" w:eastAsia="仿宋" w:cs="仿宋"/>
          <w:color w:val="000000" w:themeColor="text1"/>
          <w:szCs w:val="21"/>
          <w14:textFill>
            <w14:solidFill>
              <w14:schemeClr w14:val="tx1"/>
            </w14:solidFill>
          </w14:textFill>
        </w:rPr>
        <w:t>，结合本项目采购内容及要求编制，格式自拟。</w:t>
      </w:r>
    </w:p>
    <w:p w14:paraId="7CB106F7">
      <w:pPr>
        <w:pStyle w:val="19"/>
        <w:rPr>
          <w:rFonts w:ascii="仿宋" w:hAnsi="仿宋" w:eastAsia="仿宋" w:cs="仿宋"/>
          <w:color w:val="000000" w:themeColor="text1"/>
          <w14:textFill>
            <w14:solidFill>
              <w14:schemeClr w14:val="tx1"/>
            </w14:solidFill>
          </w14:textFill>
        </w:rPr>
      </w:pPr>
    </w:p>
    <w:p w14:paraId="1446EDE3">
      <w:pPr>
        <w:rPr>
          <w:rFonts w:ascii="仿宋" w:hAnsi="仿宋" w:eastAsia="仿宋" w:cs="仿宋"/>
          <w:color w:val="000000" w:themeColor="text1"/>
          <w14:textFill>
            <w14:solidFill>
              <w14:schemeClr w14:val="tx1"/>
            </w14:solidFill>
          </w14:textFill>
        </w:rPr>
      </w:pPr>
    </w:p>
    <w:p w14:paraId="523766D0">
      <w:pPr>
        <w:pStyle w:val="21"/>
        <w:ind w:left="1470" w:right="1470"/>
        <w:rPr>
          <w:rFonts w:ascii="仿宋" w:hAnsi="仿宋" w:eastAsia="仿宋" w:cs="仿宋"/>
          <w:color w:val="000000" w:themeColor="text1"/>
          <w14:textFill>
            <w14:solidFill>
              <w14:schemeClr w14:val="tx1"/>
            </w14:solidFill>
          </w14:textFill>
        </w:rPr>
      </w:pPr>
    </w:p>
    <w:p w14:paraId="15D17781">
      <w:pPr>
        <w:pStyle w:val="22"/>
        <w:rPr>
          <w:rFonts w:ascii="仿宋" w:hAnsi="仿宋" w:eastAsia="仿宋" w:cs="仿宋"/>
          <w:color w:val="000000" w:themeColor="text1"/>
          <w14:textFill>
            <w14:solidFill>
              <w14:schemeClr w14:val="tx1"/>
            </w14:solidFill>
          </w14:textFill>
        </w:rPr>
      </w:pPr>
    </w:p>
    <w:p w14:paraId="711E25B7">
      <w:pPr>
        <w:pStyle w:val="22"/>
        <w:rPr>
          <w:rFonts w:ascii="仿宋" w:hAnsi="仿宋" w:eastAsia="仿宋" w:cs="仿宋"/>
          <w:color w:val="000000" w:themeColor="text1"/>
          <w14:textFill>
            <w14:solidFill>
              <w14:schemeClr w14:val="tx1"/>
            </w14:solidFill>
          </w14:textFill>
        </w:rPr>
      </w:pPr>
    </w:p>
    <w:p w14:paraId="79978C58">
      <w:pPr>
        <w:pStyle w:val="19"/>
        <w:jc w:val="both"/>
        <w:rPr>
          <w:rFonts w:ascii="仿宋" w:hAnsi="仿宋" w:eastAsia="仿宋" w:cs="仿宋"/>
          <w:color w:val="000000" w:themeColor="text1"/>
          <w14:textFill>
            <w14:solidFill>
              <w14:schemeClr w14:val="tx1"/>
            </w14:solidFill>
          </w14:textFill>
        </w:rPr>
      </w:pPr>
    </w:p>
    <w:p w14:paraId="5303E9FF">
      <w:pPr>
        <w:adjustRightInd w:val="0"/>
        <w:snapToGrid w:val="0"/>
        <w:spacing w:line="360" w:lineRule="auto"/>
        <w:ind w:firstLine="525" w:firstLineChars="250"/>
        <w:rPr>
          <w:rFonts w:ascii="仿宋" w:hAnsi="仿宋" w:eastAsia="仿宋" w:cs="仿宋"/>
          <w:bCs/>
          <w:color w:val="000000" w:themeColor="text1"/>
          <w:szCs w:val="21"/>
          <w14:textFill>
            <w14:solidFill>
              <w14:schemeClr w14:val="tx1"/>
            </w14:solidFill>
          </w14:textFill>
        </w:rPr>
      </w:pPr>
    </w:p>
    <w:p w14:paraId="7369F1C9">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1712AD37">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CE5BFED">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16E169D">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D78C452">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0084863">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2E3599D">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52141D47">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7E4C9141">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3D583EFA">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149A4F3">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0346C2B">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FABBC5A">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2BE434BC">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4F93EB4C">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4424396">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14384362">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8D57233">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AD1D867">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5D6B3D9">
      <w:pPr>
        <w:rPr>
          <w:rFonts w:hint="eastAsia" w:ascii="仿宋" w:hAnsi="仿宋" w:eastAsia="仿宋" w:cs="仿宋"/>
          <w:b/>
          <w:color w:val="000000" w:themeColor="text1"/>
          <w:sz w:val="32"/>
          <w:lang w:val="en-US" w:eastAsia="zh-CN"/>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br w:type="page"/>
      </w:r>
    </w:p>
    <w:p w14:paraId="6D99FC9F">
      <w:pPr>
        <w:pStyle w:val="126"/>
        <w:spacing w:line="400" w:lineRule="exact"/>
        <w:jc w:val="center"/>
        <w:outlineLvl w:val="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32"/>
          <w:szCs w:val="20"/>
          <w:lang w:val="en-US" w:eastAsia="zh-CN"/>
          <w14:textFill>
            <w14:solidFill>
              <w14:schemeClr w14:val="tx1"/>
            </w14:solidFill>
          </w14:textFill>
        </w:rPr>
        <w:t>六</w:t>
      </w:r>
      <w:r>
        <w:rPr>
          <w:rFonts w:hint="eastAsia" w:ascii="仿宋" w:hAnsi="仿宋" w:eastAsia="仿宋" w:cs="仿宋"/>
          <w:b/>
          <w:color w:val="000000" w:themeColor="text1"/>
          <w:sz w:val="32"/>
          <w:szCs w:val="20"/>
          <w14:textFill>
            <w14:solidFill>
              <w14:schemeClr w14:val="tx1"/>
            </w14:solidFill>
          </w14:textFill>
        </w:rPr>
        <w:t>、投标人认为有必要说明、阐述的事项或其他材料</w:t>
      </w:r>
    </w:p>
    <w:p w14:paraId="7BF91731">
      <w:pPr>
        <w:pStyle w:val="126"/>
        <w:spacing w:before="624" w:beforeLines="200"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说明：本节无格式要求，格式自拟</w:t>
      </w:r>
    </w:p>
    <w:p w14:paraId="34A495A3">
      <w:pP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br w:type="page"/>
      </w:r>
    </w:p>
    <w:p w14:paraId="325B4899">
      <w:pPr>
        <w:pStyle w:val="19"/>
        <w:outlineLvl w:val="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t>七</w:t>
      </w:r>
      <w:r>
        <w:rPr>
          <w:rFonts w:hint="eastAsia" w:ascii="仿宋" w:hAnsi="仿宋" w:eastAsia="仿宋" w:cs="仿宋"/>
          <w:b/>
          <w:color w:val="000000" w:themeColor="text1"/>
          <w:sz w:val="32"/>
          <w14:textFill>
            <w14:solidFill>
              <w14:schemeClr w14:val="tx1"/>
            </w14:solidFill>
          </w14:textFill>
        </w:rPr>
        <w:t>、投标人资格证明文件</w:t>
      </w:r>
    </w:p>
    <w:p w14:paraId="1FEADD03">
      <w:pPr>
        <w:rPr>
          <w:rFonts w:ascii="仿宋" w:hAnsi="仿宋" w:eastAsia="仿宋" w:cs="仿宋"/>
          <w:color w:val="000000" w:themeColor="text1"/>
          <w14:textFill>
            <w14:solidFill>
              <w14:schemeClr w14:val="tx1"/>
            </w14:solidFill>
          </w14:textFill>
        </w:rPr>
      </w:pPr>
    </w:p>
    <w:bookmarkEnd w:id="461"/>
    <w:bookmarkEnd w:id="462"/>
    <w:bookmarkEnd w:id="463"/>
    <w:bookmarkEnd w:id="464"/>
    <w:bookmarkEnd w:id="465"/>
    <w:bookmarkEnd w:id="466"/>
    <w:bookmarkEnd w:id="467"/>
    <w:p w14:paraId="5603F210">
      <w:pPr>
        <w:shd w:val="clear"/>
        <w:rPr>
          <w:rFonts w:hint="eastAsia" w:ascii="楷体" w:hAnsi="楷体" w:eastAsia="楷体" w:cs="楷体"/>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说明：投标人根据下列资格要求按序提供资格证明文件，本节提供部分格式，格式之外的自行编辑。</w:t>
      </w:r>
    </w:p>
    <w:p w14:paraId="22A53CFC">
      <w:pPr>
        <w:pStyle w:val="19"/>
        <w:shd w:val="clear"/>
        <w:jc w:val="center"/>
        <w:outlineLvl w:val="1"/>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468" w:name="_Toc26424"/>
      <w:bookmarkStart w:id="469" w:name="_Toc6291"/>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1.投标人基本情况表</w:t>
      </w:r>
      <w:bookmarkEnd w:id="468"/>
      <w:bookmarkEnd w:id="469"/>
    </w:p>
    <w:tbl>
      <w:tblPr>
        <w:tblStyle w:val="41"/>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19CA2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51FEB23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7016" w:type="dxa"/>
            <w:gridSpan w:val="9"/>
            <w:vAlign w:val="center"/>
          </w:tcPr>
          <w:p w14:paraId="2DAC2560">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E0F5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516BED7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1416" w:type="dxa"/>
            <w:vAlign w:val="center"/>
          </w:tcPr>
          <w:p w14:paraId="49D87222">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457987E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注册资金</w:t>
            </w:r>
          </w:p>
        </w:tc>
        <w:tc>
          <w:tcPr>
            <w:tcW w:w="1418" w:type="dxa"/>
            <w:vAlign w:val="center"/>
          </w:tcPr>
          <w:p w14:paraId="243B5F6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7C9A2820">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w:t>
            </w:r>
          </w:p>
        </w:tc>
        <w:tc>
          <w:tcPr>
            <w:tcW w:w="1382" w:type="dxa"/>
            <w:vAlign w:val="center"/>
          </w:tcPr>
          <w:p w14:paraId="156ABBB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F04C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14:paraId="6E14D07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注册地址</w:t>
            </w:r>
          </w:p>
        </w:tc>
        <w:tc>
          <w:tcPr>
            <w:tcW w:w="4253" w:type="dxa"/>
            <w:gridSpan w:val="5"/>
            <w:vAlign w:val="center"/>
          </w:tcPr>
          <w:p w14:paraId="516F7A43">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09062618">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资产总额</w:t>
            </w:r>
          </w:p>
        </w:tc>
        <w:tc>
          <w:tcPr>
            <w:tcW w:w="1382" w:type="dxa"/>
            <w:vAlign w:val="center"/>
          </w:tcPr>
          <w:p w14:paraId="5BFF42CE">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B704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7C1A861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上年营业额</w:t>
            </w:r>
          </w:p>
        </w:tc>
        <w:tc>
          <w:tcPr>
            <w:tcW w:w="1416" w:type="dxa"/>
            <w:vAlign w:val="center"/>
          </w:tcPr>
          <w:p w14:paraId="5D76981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1F59EDC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员工总人数</w:t>
            </w:r>
          </w:p>
        </w:tc>
        <w:tc>
          <w:tcPr>
            <w:tcW w:w="1418" w:type="dxa"/>
            <w:vAlign w:val="center"/>
          </w:tcPr>
          <w:p w14:paraId="6D13901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6F1CF57B">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企业类型</w:t>
            </w:r>
          </w:p>
        </w:tc>
        <w:tc>
          <w:tcPr>
            <w:tcW w:w="1382" w:type="dxa"/>
            <w:vAlign w:val="center"/>
          </w:tcPr>
          <w:p w14:paraId="4187C4A4">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66F44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1712B7B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3A3B3EB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（单位负责人）</w:t>
            </w:r>
          </w:p>
        </w:tc>
        <w:tc>
          <w:tcPr>
            <w:tcW w:w="1416" w:type="dxa"/>
            <w:vMerge w:val="restart"/>
            <w:vAlign w:val="center"/>
          </w:tcPr>
          <w:p w14:paraId="7685D26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419" w:type="dxa"/>
            <w:gridSpan w:val="3"/>
            <w:vMerge w:val="restart"/>
            <w:vAlign w:val="center"/>
          </w:tcPr>
          <w:p w14:paraId="4088A10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restart"/>
            <w:vAlign w:val="center"/>
          </w:tcPr>
          <w:p w14:paraId="0584EF4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381" w:type="dxa"/>
            <w:gridSpan w:val="3"/>
            <w:vAlign w:val="center"/>
          </w:tcPr>
          <w:p w14:paraId="2C4CCD8E">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手机</w:t>
            </w:r>
          </w:p>
        </w:tc>
        <w:tc>
          <w:tcPr>
            <w:tcW w:w="1382" w:type="dxa"/>
            <w:vAlign w:val="center"/>
          </w:tcPr>
          <w:p w14:paraId="77F9A343">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43B9B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66774F4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234F55E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18CC577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continue"/>
            <w:vAlign w:val="center"/>
          </w:tcPr>
          <w:p w14:paraId="4A8C2B6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20E4459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办公</w:t>
            </w:r>
          </w:p>
        </w:tc>
        <w:tc>
          <w:tcPr>
            <w:tcW w:w="1382" w:type="dxa"/>
            <w:vAlign w:val="center"/>
          </w:tcPr>
          <w:p w14:paraId="124FF52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28EA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5836BCE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p>
        </w:tc>
        <w:tc>
          <w:tcPr>
            <w:tcW w:w="1416" w:type="dxa"/>
            <w:vMerge w:val="restart"/>
            <w:vAlign w:val="center"/>
          </w:tcPr>
          <w:p w14:paraId="52EFFD4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p>
        </w:tc>
        <w:tc>
          <w:tcPr>
            <w:tcW w:w="1419" w:type="dxa"/>
            <w:gridSpan w:val="3"/>
            <w:vMerge w:val="restart"/>
            <w:vAlign w:val="center"/>
          </w:tcPr>
          <w:p w14:paraId="55A8A79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7604EF7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2763" w:type="dxa"/>
            <w:gridSpan w:val="4"/>
            <w:vAlign w:val="center"/>
          </w:tcPr>
          <w:p w14:paraId="4E71C78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C954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79205F0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0960D66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3B4FC67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146DD47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邮箱</w:t>
            </w:r>
          </w:p>
        </w:tc>
        <w:tc>
          <w:tcPr>
            <w:tcW w:w="2763" w:type="dxa"/>
            <w:gridSpan w:val="4"/>
            <w:vAlign w:val="center"/>
          </w:tcPr>
          <w:p w14:paraId="4E78E1DE">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084F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3FC8764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基本账户开户银行</w:t>
            </w:r>
          </w:p>
        </w:tc>
        <w:tc>
          <w:tcPr>
            <w:tcW w:w="2835" w:type="dxa"/>
            <w:gridSpan w:val="4"/>
            <w:vAlign w:val="center"/>
          </w:tcPr>
          <w:p w14:paraId="37954D7B">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985" w:type="dxa"/>
            <w:gridSpan w:val="3"/>
            <w:vAlign w:val="center"/>
          </w:tcPr>
          <w:p w14:paraId="14716E7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基本账户银行账号</w:t>
            </w:r>
          </w:p>
        </w:tc>
        <w:tc>
          <w:tcPr>
            <w:tcW w:w="2196" w:type="dxa"/>
            <w:gridSpan w:val="2"/>
            <w:vAlign w:val="center"/>
          </w:tcPr>
          <w:p w14:paraId="0663CA9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A3B7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14:paraId="6A9734D6">
            <w:pPr>
              <w:shd w:val="clear"/>
              <w:topLinePunct/>
              <w:spacing w:line="3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投标人关联企业情况（包括但不限于与投标人法定代表人为同一人或者存在控股、管理关系的不同单位）</w:t>
            </w:r>
          </w:p>
        </w:tc>
        <w:tc>
          <w:tcPr>
            <w:tcW w:w="7016" w:type="dxa"/>
            <w:gridSpan w:val="9"/>
            <w:vAlign w:val="center"/>
          </w:tcPr>
          <w:p w14:paraId="0DC616F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875F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14:paraId="5F9CE28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投标人应具备的资质证书</w:t>
            </w:r>
          </w:p>
        </w:tc>
        <w:tc>
          <w:tcPr>
            <w:tcW w:w="1068" w:type="dxa"/>
            <w:vAlign w:val="center"/>
          </w:tcPr>
          <w:p w14:paraId="25B7AC5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1880DEA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3969927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6EDB6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14:paraId="1C5F6CF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62D05B6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16B977E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CB0918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49638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14:paraId="52DEE8F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641E6E1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380357E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54255C0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3858B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14:paraId="43BAA13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41FC2C0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F4E2A4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3D1FC41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4294E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vAlign w:val="center"/>
          </w:tcPr>
          <w:p w14:paraId="0251F57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投标产品制造商名称</w:t>
            </w:r>
          </w:p>
        </w:tc>
        <w:tc>
          <w:tcPr>
            <w:tcW w:w="5392" w:type="dxa"/>
            <w:gridSpan w:val="7"/>
            <w:vAlign w:val="center"/>
          </w:tcPr>
          <w:p w14:paraId="6CAA18B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7B8FF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14:paraId="0878223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投标产品制造商应具备的资质证书</w:t>
            </w:r>
          </w:p>
        </w:tc>
        <w:tc>
          <w:tcPr>
            <w:tcW w:w="1068" w:type="dxa"/>
            <w:vAlign w:val="center"/>
          </w:tcPr>
          <w:p w14:paraId="2722E10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75BFF1A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270F144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10FF8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14:paraId="3103CB8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BE3A19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CC96FC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0660AD3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02932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14:paraId="16A2175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5B651B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0716B6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CDBC6E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686AC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14:paraId="09AE1B3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665E8DA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1405950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7032EE9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bl>
    <w:p w14:paraId="59C60D9F">
      <w:pPr>
        <w:shd w:val="clear"/>
        <w:adjustRightInd w:val="0"/>
        <w:snapToGrid w:val="0"/>
        <w:spacing w:beforeLines="50"/>
        <w:ind w:left="630" w:hanging="630" w:hanging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说明：企业类型指大型、中型、小型、微型；上年营业收入、资产总额应与财务报表中的数据一致， 金额单位为万元。</w:t>
      </w:r>
    </w:p>
    <w:p w14:paraId="59CFADA8">
      <w:pPr>
        <w:pStyle w:val="19"/>
        <w:shd w:val="clear"/>
        <w:spacing w:line="360" w:lineRule="auto"/>
        <w:jc w:val="left"/>
        <w:rPr>
          <w:rFonts w:hint="eastAsia" w:ascii="楷体" w:hAnsi="楷体" w:eastAsia="楷体" w:cs="楷体"/>
          <w:b/>
          <w:color w:val="000000" w:themeColor="text1"/>
          <w:szCs w:val="21"/>
          <w:highlight w:val="none"/>
          <w14:textFill>
            <w14:solidFill>
              <w14:schemeClr w14:val="tx1"/>
            </w14:solidFill>
          </w14:textFill>
        </w:rPr>
      </w:pPr>
    </w:p>
    <w:p w14:paraId="07CDCEAD">
      <w:pPr>
        <w:pStyle w:val="19"/>
        <w:shd w:val="clear"/>
        <w:spacing w:line="360" w:lineRule="auto"/>
        <w:jc w:val="left"/>
        <w:rPr>
          <w:rFonts w:hint="eastAsia" w:ascii="楷体" w:hAnsi="楷体" w:eastAsia="楷体" w:cs="楷体"/>
          <w:b/>
          <w:color w:val="000000" w:themeColor="text1"/>
          <w:szCs w:val="21"/>
          <w:highlight w:val="none"/>
          <w14:textFill>
            <w14:solidFill>
              <w14:schemeClr w14:val="tx1"/>
            </w14:solidFill>
          </w14:textFill>
        </w:rPr>
      </w:pPr>
    </w:p>
    <w:p w14:paraId="19842EFA">
      <w:pPr>
        <w:shd w:val="clear"/>
        <w:adjustRightInd w:val="0"/>
        <w:snapToGrid w:val="0"/>
        <w:spacing w:line="360" w:lineRule="auto"/>
        <w:jc w:val="both"/>
        <w:rPr>
          <w:rFonts w:hint="eastAsia" w:ascii="楷体" w:hAnsi="楷体" w:eastAsia="楷体" w:cs="楷体"/>
          <w:b/>
          <w:bCs/>
          <w:color w:val="000000" w:themeColor="text1"/>
          <w:sz w:val="24"/>
          <w:szCs w:val="24"/>
          <w:highlight w:val="none"/>
          <w14:textFill>
            <w14:solidFill>
              <w14:schemeClr w14:val="tx1"/>
            </w14:solidFill>
          </w14:textFill>
        </w:rPr>
      </w:pPr>
    </w:p>
    <w:p w14:paraId="08623BAC">
      <w:pPr>
        <w:shd w:val="clear"/>
        <w:adjustRightInd w:val="0"/>
        <w:snapToGrid w:val="0"/>
        <w:spacing w:line="360" w:lineRule="auto"/>
        <w:jc w:val="center"/>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470" w:name="_Toc23020"/>
      <w:r>
        <w:rPr>
          <w:rFonts w:hint="eastAsia" w:ascii="仿宋" w:hAnsi="仿宋" w:eastAsia="仿宋" w:cs="仿宋"/>
          <w:b/>
          <w:bCs/>
          <w:color w:val="000000" w:themeColor="text1"/>
          <w:sz w:val="24"/>
          <w:szCs w:val="24"/>
          <w:highlight w:val="none"/>
          <w14:textFill>
            <w14:solidFill>
              <w14:schemeClr w14:val="tx1"/>
            </w14:solidFill>
          </w14:textFill>
        </w:rPr>
        <w:t>2.法定代表人（单位负责人）身份证明</w:t>
      </w:r>
      <w:bookmarkEnd w:id="470"/>
    </w:p>
    <w:p w14:paraId="17691542">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6B520426">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65790C3F">
      <w:pPr>
        <w:shd w:val="clear"/>
        <w:autoSpaceDE w:val="0"/>
        <w:autoSpaceDN w:val="0"/>
        <w:adjustRightInd w:val="0"/>
        <w:snapToGrid w:val="0"/>
        <w:spacing w:beforeLines="50" w:line="360" w:lineRule="auto"/>
        <w:jc w:val="left"/>
        <w:rPr>
          <w:rFonts w:hint="default"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统一社会信用代码：</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5214D5FE">
      <w:pPr>
        <w:shd w:val="clear"/>
        <w:autoSpaceDE w:val="0"/>
        <w:autoSpaceDN w:val="0"/>
        <w:adjustRightInd w:val="0"/>
        <w:snapToGrid w:val="0"/>
        <w:spacing w:beforeLines="50" w:line="360" w:lineRule="auto"/>
        <w:jc w:val="left"/>
        <w:rPr>
          <w:rFonts w:hint="default"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姓名：</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性别：</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年龄：</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 职务：</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2DDE7BB2">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系（投标</w:t>
      </w:r>
      <w:r>
        <w:rPr>
          <w:rFonts w:hint="eastAsia" w:ascii="仿宋" w:hAnsi="仿宋" w:eastAsia="仿宋" w:cs="仿宋"/>
          <w:color w:val="000000" w:themeColor="text1"/>
          <w:szCs w:val="21"/>
          <w:highlight w:val="none"/>
          <w14:textFill>
            <w14:solidFill>
              <w14:schemeClr w14:val="tx1"/>
            </w14:solidFill>
          </w14:textFill>
        </w:rPr>
        <w:t>人</w:t>
      </w:r>
      <w:r>
        <w:rPr>
          <w:rFonts w:hint="eastAsia" w:ascii="仿宋" w:hAnsi="仿宋" w:eastAsia="仿宋" w:cs="仿宋"/>
          <w:color w:val="000000" w:themeColor="text1"/>
          <w:kern w:val="0"/>
          <w:szCs w:val="21"/>
          <w:highlight w:val="none"/>
          <w14:textFill>
            <w14:solidFill>
              <w14:schemeClr w14:val="tx1"/>
            </w14:solidFill>
          </w14:textFill>
        </w:rPr>
        <w:t>名称）的法定代表人（单位负责人）。</w:t>
      </w:r>
    </w:p>
    <w:p w14:paraId="0EE716AF">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特此证明。</w:t>
      </w:r>
    </w:p>
    <w:p w14:paraId="2F56726E">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3AD2C5F1">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附：法定代表人（单位负责人）身份证复印件</w:t>
      </w:r>
    </w:p>
    <w:tbl>
      <w:tblPr>
        <w:tblStyle w:val="41"/>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4F07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BFE289F">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423EBA95">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64F25CA8">
            <w:pPr>
              <w:shd w:val="clear"/>
              <w:autoSpaceDE w:val="0"/>
              <w:autoSpaceDN w:val="0"/>
              <w:adjustRightInd w:val="0"/>
              <w:snapToGrid w:val="0"/>
              <w:spacing w:beforeLines="50"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法定代表人（单位负责人）身份证复印件粘贴处</w:t>
            </w:r>
          </w:p>
          <w:p w14:paraId="7E977A86">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3249F046">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42D1B731">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6D9FC7E5">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38B0B529">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4980F323">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7A8ACFD3">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261BA618">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22FCE9F5">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730DE64B">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708C72B4">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4104C334">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662699C0">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3182D5A0">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14:textFill>
            <w14:solidFill>
              <w14:schemeClr w14:val="tx1"/>
            </w14:solidFill>
          </w14:textFill>
        </w:rPr>
      </w:pPr>
    </w:p>
    <w:p w14:paraId="5B250507">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（盖单位章）</w:t>
      </w:r>
    </w:p>
    <w:p w14:paraId="57D384F8">
      <w:pPr>
        <w:shd w:val="clear"/>
        <w:adjustRightInd w:val="0"/>
        <w:snapToGrid w:val="0"/>
        <w:spacing w:line="360" w:lineRule="auto"/>
        <w:ind w:right="420" w:firstLine="4830" w:firstLineChars="2300"/>
        <w:rPr>
          <w:rFonts w:hint="eastAsia" w:ascii="仿宋" w:hAnsi="仿宋" w:eastAsia="仿宋" w:cs="仿宋"/>
          <w:color w:val="000000" w:themeColor="text1"/>
          <w:szCs w:val="21"/>
          <w:highlight w:val="none"/>
          <w14:textFill>
            <w14:solidFill>
              <w14:schemeClr w14:val="tx1"/>
            </w14:solidFill>
          </w14:textFill>
        </w:rPr>
      </w:pPr>
    </w:p>
    <w:p w14:paraId="07D87E01">
      <w:pPr>
        <w:shd w:val="clear"/>
        <w:adjustRightInd w:val="0"/>
        <w:snapToGrid w:val="0"/>
        <w:spacing w:line="360" w:lineRule="auto"/>
        <w:ind w:right="420" w:firstLine="4252" w:firstLineChars="202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日期：20  年  月  日</w:t>
      </w:r>
    </w:p>
    <w:p w14:paraId="047523EB">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42AE6E86">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635BD350">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197A7CB5">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说明：仅限法定代表人（单位负责人）参加投标时提供</w:t>
      </w:r>
    </w:p>
    <w:p w14:paraId="4BBF5CB3">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73A66053">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0A2EC2D0">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471" w:name="_Toc24227"/>
    </w:p>
    <w:p w14:paraId="37D04D39">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3.法定代表人授权委托书</w:t>
      </w:r>
      <w:bookmarkEnd w:id="471"/>
    </w:p>
    <w:p w14:paraId="2CDBFA4B">
      <w:pPr>
        <w:shd w:val="clear"/>
        <w:spacing w:line="4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9D0D484">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本人</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系</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（投标人名称）</w:t>
      </w:r>
      <w:r>
        <w:rPr>
          <w:rFonts w:hint="eastAsia" w:ascii="仿宋" w:hAnsi="仿宋" w:eastAsia="仿宋" w:cs="仿宋"/>
          <w:color w:val="000000" w:themeColor="text1"/>
          <w:szCs w:val="21"/>
          <w:highlight w:val="none"/>
          <w:lang w:val="zh-CN"/>
          <w14:textFill>
            <w14:solidFill>
              <w14:schemeClr w14:val="tx1"/>
            </w14:solidFill>
          </w14:textFill>
        </w:rPr>
        <w:t>的法定代表人（单位负责人），现委托</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为我方代理人。代理人根据授权，以我方的名义签署、澄清确认、递交、撤回、修改</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（采购项目（</w:t>
      </w:r>
      <w:r>
        <w:rPr>
          <w:rFonts w:hint="eastAsia" w:ascii="仿宋" w:hAnsi="仿宋" w:eastAsia="仿宋" w:cs="仿宋"/>
          <w:color w:val="000000" w:themeColor="text1"/>
          <w:szCs w:val="21"/>
          <w:highlight w:val="none"/>
          <w:u w:val="single"/>
          <w:lang w:val="en-US" w:eastAsia="zh-CN"/>
          <w14:textFill>
            <w14:solidFill>
              <w14:schemeClr w14:val="tx1"/>
            </w14:solidFill>
          </w14:textFill>
        </w:rPr>
        <w:t>三次</w:t>
      </w:r>
      <w:r>
        <w:rPr>
          <w:rFonts w:hint="eastAsia" w:ascii="仿宋" w:hAnsi="仿宋" w:eastAsia="仿宋" w:cs="仿宋"/>
          <w:color w:val="000000" w:themeColor="text1"/>
          <w:szCs w:val="21"/>
          <w:highlight w:val="none"/>
          <w:u w:val="single"/>
          <w:lang w:val="zh-CN"/>
          <w14:textFill>
            <w14:solidFill>
              <w14:schemeClr w14:val="tx1"/>
            </w14:solidFill>
          </w14:textFill>
        </w:rPr>
        <w:t>）</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zCs w:val="21"/>
          <w:highlight w:val="none"/>
          <w:u w:val="single"/>
          <w:lang w:val="zh-CN"/>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投标文件、签订合同和全权处理一切与之有关的事宜，</w:t>
      </w:r>
      <w:r>
        <w:rPr>
          <w:rFonts w:hint="eastAsia" w:ascii="仿宋" w:hAnsi="仿宋" w:eastAsia="仿宋" w:cs="仿宋"/>
          <w:color w:val="000000" w:themeColor="text1"/>
          <w:kern w:val="0"/>
          <w:szCs w:val="21"/>
          <w:highlight w:val="none"/>
          <w14:textFill>
            <w14:solidFill>
              <w14:schemeClr w14:val="tx1"/>
            </w14:solidFill>
          </w14:textFill>
        </w:rPr>
        <w:t>其法律后果由我方承担。</w:t>
      </w:r>
    </w:p>
    <w:p w14:paraId="5F3131BD">
      <w:pPr>
        <w:shd w:val="clear"/>
        <w:spacing w:line="48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委托期限</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日至</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60863D66">
      <w:pPr>
        <w:shd w:val="clear"/>
        <w:spacing w:line="48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代理人无转委托权。</w:t>
      </w:r>
    </w:p>
    <w:p w14:paraId="27269EE3">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365E1C9">
      <w:pPr>
        <w:shd w:val="clea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附：法定代表人（单位负责人）身份证复印件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bl>
      <w:tblPr>
        <w:tblStyle w:val="41"/>
        <w:tblW w:w="7996" w:type="dxa"/>
        <w:tblInd w:w="540" w:type="dxa"/>
        <w:tblLayout w:type="fixed"/>
        <w:tblCellMar>
          <w:top w:w="0" w:type="dxa"/>
          <w:left w:w="108" w:type="dxa"/>
          <w:bottom w:w="0" w:type="dxa"/>
          <w:right w:w="108" w:type="dxa"/>
        </w:tblCellMar>
      </w:tblPr>
      <w:tblGrid>
        <w:gridCol w:w="4081"/>
        <w:gridCol w:w="3915"/>
      </w:tblGrid>
      <w:tr w14:paraId="49637A25">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14:paraId="77CECD5C">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58792DB1">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c>
      </w:tr>
    </w:tbl>
    <w:p w14:paraId="32C47F72">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EE9EAF2">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8D43824">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D117EC6">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（盖单位章） </w:t>
      </w:r>
    </w:p>
    <w:p w14:paraId="08EE1CCA">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06145D4">
      <w:pPr>
        <w:shd w:val="clear"/>
        <w:ind w:firstLine="2835" w:firstLineChars="13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（签字）</w:t>
      </w:r>
    </w:p>
    <w:p w14:paraId="71927D9A">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5BE7F7DD">
      <w:pPr>
        <w:shd w:val="clear"/>
        <w:ind w:firstLine="2835" w:firstLineChars="1350"/>
        <w:jc w:val="left"/>
        <w:rPr>
          <w:rFonts w:hint="default" w:ascii="仿宋" w:hAnsi="仿宋" w:eastAsia="仿宋" w:cs="仿宋"/>
          <w:color w:val="000000" w:themeColor="text1"/>
          <w:szCs w:val="21"/>
          <w:highlight w:val="none"/>
          <w:u w:val="singl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身份证号：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15E2E254">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741914CB">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（签字）  </w:t>
      </w:r>
      <w:r>
        <w:rPr>
          <w:rFonts w:hint="eastAsia" w:ascii="仿宋" w:hAnsi="仿宋" w:eastAsia="仿宋" w:cs="仿宋"/>
          <w:color w:val="000000" w:themeColor="text1"/>
          <w:szCs w:val="21"/>
          <w:highlight w:val="none"/>
          <w14:textFill>
            <w14:solidFill>
              <w14:schemeClr w14:val="tx1"/>
            </w14:solidFill>
          </w14:textFill>
        </w:rPr>
        <w:t xml:space="preserve">   </w:t>
      </w:r>
    </w:p>
    <w:p w14:paraId="5E473542">
      <w:pPr>
        <w:shd w:val="clear"/>
        <w:ind w:firstLine="2835" w:firstLineChars="1350"/>
        <w:jc w:val="left"/>
        <w:rPr>
          <w:rFonts w:hint="eastAsia" w:ascii="仿宋" w:hAnsi="仿宋" w:eastAsia="仿宋" w:cs="仿宋"/>
          <w:color w:val="000000" w:themeColor="text1"/>
          <w:szCs w:val="21"/>
          <w:highlight w:val="none"/>
          <w14:textFill>
            <w14:solidFill>
              <w14:schemeClr w14:val="tx1"/>
            </w14:solidFill>
          </w14:textFill>
        </w:rPr>
      </w:pPr>
    </w:p>
    <w:p w14:paraId="35A79C0F">
      <w:pPr>
        <w:shd w:val="clear"/>
        <w:ind w:firstLine="2835" w:firstLineChars="13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 份 证 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68CE73E2">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869F02D">
      <w:pPr>
        <w:shd w:val="clear"/>
        <w:ind w:firstLine="2730" w:firstLineChars="13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授权委托日期：20 年 月 日</w:t>
      </w:r>
    </w:p>
    <w:p w14:paraId="1CC1F364">
      <w:pPr>
        <w:shd w:val="clear"/>
        <w:ind w:firstLine="420" w:firstLineChars="200"/>
        <w:rPr>
          <w:rFonts w:hint="eastAsia" w:ascii="仿宋" w:hAnsi="仿宋" w:eastAsia="仿宋" w:cs="仿宋"/>
          <w:color w:val="000000" w:themeColor="text1"/>
          <w:highlight w:val="none"/>
          <w:lang w:val="zh-CN"/>
          <w14:textFill>
            <w14:solidFill>
              <w14:schemeClr w14:val="tx1"/>
            </w14:solidFill>
          </w14:textFill>
        </w:rPr>
      </w:pPr>
    </w:p>
    <w:p w14:paraId="2E812A59">
      <w:pPr>
        <w:shd w:val="clea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说明：本授权委托书有效期自开标之日起不得少于</w:t>
      </w:r>
      <w:r>
        <w:rPr>
          <w:rFonts w:hint="eastAsia" w:ascii="仿宋" w:hAnsi="仿宋" w:eastAsia="仿宋" w:cs="仿宋"/>
          <w:color w:val="000000" w:themeColor="text1"/>
          <w:highlight w:val="none"/>
          <w14:textFill>
            <w14:solidFill>
              <w14:schemeClr w14:val="tx1"/>
            </w14:solidFill>
          </w14:textFill>
        </w:rPr>
        <w:t>90</w:t>
      </w:r>
      <w:r>
        <w:rPr>
          <w:rFonts w:hint="eastAsia" w:ascii="仿宋" w:hAnsi="仿宋" w:eastAsia="仿宋" w:cs="仿宋"/>
          <w:color w:val="000000" w:themeColor="text1"/>
          <w:highlight w:val="none"/>
          <w:lang w:val="zh-CN"/>
          <w14:textFill>
            <w14:solidFill>
              <w14:schemeClr w14:val="tx1"/>
            </w14:solidFill>
          </w14:textFill>
        </w:rPr>
        <w:t>天，仅限委托代理人参加投标时提供。</w:t>
      </w:r>
    </w:p>
    <w:p w14:paraId="061F56C6">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7ADBB034">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230002B7">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p>
    <w:p w14:paraId="3A70F559">
      <w:pPr>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b/>
          <w:bCs/>
          <w:color w:val="000000" w:themeColor="text1"/>
          <w:sz w:val="24"/>
          <w:szCs w:val="24"/>
          <w:highlight w:val="none"/>
          <w:u w:val="doubl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4</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4"/>
          <w:szCs w:val="24"/>
          <w:u w:val="double"/>
          <w14:textFill>
            <w14:solidFill>
              <w14:schemeClr w14:val="tx1"/>
            </w14:solidFill>
          </w14:textFill>
        </w:rPr>
        <w:t>（材料应清晰可辨，加盖公章）</w:t>
      </w:r>
    </w:p>
    <w:p w14:paraId="0236989F">
      <w:pPr>
        <w:pStyle w:val="149"/>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30A0A1D9">
      <w:pPr>
        <w:pStyle w:val="149"/>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5F456D10">
      <w:pPr>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5</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投标人须提供</w:t>
      </w:r>
      <w:r>
        <w:rPr>
          <w:rFonts w:hint="eastAsia" w:ascii="仿宋" w:hAnsi="仿宋" w:eastAsia="仿宋" w:cs="仿宋"/>
          <w:b/>
          <w:bCs/>
          <w:color w:val="000000" w:themeColor="text1"/>
          <w:sz w:val="24"/>
          <w:szCs w:val="24"/>
          <w:lang w:val="en-US" w:eastAsia="zh-CN"/>
          <w14:textFill>
            <w14:solidFill>
              <w14:schemeClr w14:val="tx1"/>
            </w14:solidFill>
          </w14:textFill>
        </w:rPr>
        <w:t>《汉中市政府采购投标人资格承诺函》</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b/>
          <w:color w:val="000000" w:themeColor="text1"/>
          <w:sz w:val="24"/>
          <w:szCs w:val="24"/>
          <w:u w:val="double"/>
          <w:lang w:val="en-US" w:eastAsia="zh-CN"/>
          <w14:textFill>
            <w14:solidFill>
              <w14:schemeClr w14:val="tx1"/>
            </w14:solidFill>
          </w14:textFill>
        </w:rPr>
        <w:t>（原件）</w:t>
      </w:r>
    </w:p>
    <w:p w14:paraId="66EFBBE3">
      <w:pPr>
        <w:pStyle w:val="149"/>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728D22EE">
      <w:pPr>
        <w:pStyle w:val="149"/>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630B02B1">
      <w:pPr>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6</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4"/>
          <w:szCs w:val="24"/>
          <w:u w:val="double"/>
          <w:lang w:val="en-US" w:eastAsia="zh-CN"/>
          <w14:textFill>
            <w14:solidFill>
              <w14:schemeClr w14:val="tx1"/>
            </w14:solidFill>
          </w14:textFill>
        </w:rPr>
        <w:t>（原件）</w:t>
      </w:r>
    </w:p>
    <w:p w14:paraId="0F464E82">
      <w:pPr>
        <w:keepNext w:val="0"/>
        <w:keepLines w:val="0"/>
        <w:pageBreakBefore w:val="0"/>
        <w:shd w:val="clear"/>
        <w:kinsoku/>
        <w:overflowPunct/>
        <w:topLinePunct w:val="0"/>
        <w:autoSpaceDE/>
        <w:autoSpaceDN/>
        <w:bidi w:val="0"/>
        <w:adjustRightInd w:val="0"/>
        <w:snapToGrid w:val="0"/>
        <w:spacing w:line="336" w:lineRule="auto"/>
        <w:ind w:firstLine="335" w:firstLineChars="139"/>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50C07C8B">
      <w:pPr>
        <w:keepNext w:val="0"/>
        <w:keepLines w:val="0"/>
        <w:pageBreakBefore w:val="0"/>
        <w:shd w:val="clear"/>
        <w:kinsoku/>
        <w:overflowPunct/>
        <w:topLinePunct w:val="0"/>
        <w:autoSpaceDE/>
        <w:autoSpaceDN/>
        <w:bidi w:val="0"/>
        <w:adjustRightInd w:val="0"/>
        <w:snapToGrid w:val="0"/>
        <w:spacing w:line="336" w:lineRule="auto"/>
        <w:ind w:firstLine="335" w:firstLineChars="139"/>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69942317">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4"/>
          <w:szCs w:val="24"/>
          <w:u w:val="double"/>
          <w:lang w:val="en-US" w:eastAsia="zh-CN"/>
          <w14:textFill>
            <w14:solidFill>
              <w14:schemeClr w14:val="tx1"/>
            </w14:solidFill>
          </w14:textFill>
        </w:rPr>
      </w:pPr>
    </w:p>
    <w:p w14:paraId="30B1777F">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投标人为生产厂家的须提供《食品生产许可证》及《食品经营许可证》；投标人为代理商的须提供《食品经营许可证》或食品经营备案证明</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color w:val="000000" w:themeColor="text1"/>
          <w:sz w:val="24"/>
          <w:szCs w:val="24"/>
          <w:u w:val="double"/>
          <w:lang w:val="en-US" w:eastAsia="zh-CN"/>
          <w14:textFill>
            <w14:solidFill>
              <w14:schemeClr w14:val="tx1"/>
            </w14:solidFill>
          </w14:textFill>
        </w:rPr>
        <w:t>（材料应清晰可辨并加盖公章）</w:t>
      </w:r>
    </w:p>
    <w:p w14:paraId="24A09051">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4"/>
          <w:szCs w:val="24"/>
          <w:u w:val="double"/>
          <w:lang w:val="en-US" w:eastAsia="zh-CN"/>
          <w14:textFill>
            <w14:solidFill>
              <w14:schemeClr w14:val="tx1"/>
            </w14:solidFill>
          </w14:textFill>
        </w:rPr>
      </w:pPr>
    </w:p>
    <w:p w14:paraId="0BA47D72">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530422DA">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125EA737">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C41E4C6">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1EB22366">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4CEB0583">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55DDFDB1">
      <w:pPr>
        <w:bidi w:val="0"/>
        <w:spacing w:line="360" w:lineRule="auto"/>
        <w:ind w:firstLine="482" w:firstLineChars="200"/>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注：投标人</w:t>
      </w:r>
      <w:r>
        <w:rPr>
          <w:rFonts w:hint="eastAsia" w:ascii="仿宋" w:hAnsi="仿宋" w:eastAsia="仿宋" w:cs="仿宋"/>
          <w:b/>
          <w:bCs/>
          <w:color w:val="000000" w:themeColor="text1"/>
          <w:sz w:val="24"/>
          <w:szCs w:val="24"/>
          <w14:textFill>
            <w14:solidFill>
              <w14:schemeClr w14:val="tx1"/>
            </w14:solidFill>
          </w14:textFill>
        </w:rPr>
        <w:t>未提供</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《汉中市政府采购投标人资格承诺函》</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的，应当按照《中华人民共和国政府采购法》及其实施条例等相关法律法规规定提供相应的证明材料。相应证明材料</w:t>
      </w:r>
      <w:r>
        <w:rPr>
          <w:rFonts w:hint="eastAsia" w:ascii="仿宋" w:hAnsi="仿宋" w:eastAsia="仿宋" w:cs="仿宋"/>
          <w:b/>
          <w:bCs/>
          <w:color w:val="000000" w:themeColor="text1"/>
          <w:sz w:val="24"/>
          <w:szCs w:val="24"/>
          <w:lang w:val="en-US" w:eastAsia="zh-CN"/>
          <w14:textFill>
            <w14:solidFill>
              <w14:schemeClr w14:val="tx1"/>
            </w14:solidFill>
          </w14:textFill>
        </w:rPr>
        <w:t>详见《第三章 评标办法》2.1、投标文件资格审查。若已提供</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《汉中市政府采购投标人资格承诺函》</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的，</w:t>
      </w:r>
      <w:r>
        <w:rPr>
          <w:rFonts w:hint="eastAsia" w:ascii="仿宋" w:hAnsi="仿宋" w:eastAsia="仿宋" w:cs="仿宋"/>
          <w:b/>
          <w:bCs/>
          <w:color w:val="000000" w:themeColor="text1"/>
          <w:sz w:val="24"/>
          <w:szCs w:val="24"/>
          <w:lang w:val="en-US" w:eastAsia="zh-CN"/>
          <w14:textFill>
            <w14:solidFill>
              <w14:schemeClr w14:val="tx1"/>
            </w14:solidFill>
          </w14:textFill>
        </w:rPr>
        <w:t>无须再</w:t>
      </w:r>
      <w:r>
        <w:rPr>
          <w:rFonts w:hint="eastAsia" w:ascii="仿宋" w:hAnsi="仿宋" w:eastAsia="仿宋" w:cs="仿宋"/>
          <w:b/>
          <w:bCs/>
          <w:color w:val="000000" w:themeColor="text1"/>
          <w:sz w:val="24"/>
          <w:szCs w:val="24"/>
          <w14:textFill>
            <w14:solidFill>
              <w14:schemeClr w14:val="tx1"/>
            </w14:solidFill>
          </w14:textFill>
        </w:rPr>
        <w:t>提供相应证明材料。</w:t>
      </w:r>
    </w:p>
    <w:p w14:paraId="46491BCA">
      <w:pP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Cs w:val="21"/>
          <w:u w:val="double"/>
          <w14:textFill>
            <w14:solidFill>
              <w14:schemeClr w14:val="tx1"/>
            </w14:solidFill>
          </w14:textFill>
        </w:rPr>
        <w:br w:type="page"/>
      </w:r>
      <w:bookmarkStart w:id="472" w:name="_Toc26157"/>
      <w:bookmarkStart w:id="473" w:name="_Toc4300"/>
      <w:bookmarkStart w:id="474" w:name="_Toc27524"/>
    </w:p>
    <w:bookmarkEnd w:id="472"/>
    <w:bookmarkEnd w:id="473"/>
    <w:bookmarkEnd w:id="474"/>
    <w:p w14:paraId="2D8664E3">
      <w:pPr>
        <w:keepLines w:val="0"/>
        <w:pageBreakBefore w:val="0"/>
        <w:widowControl w:val="0"/>
        <w:numPr>
          <w:ilvl w:val="0"/>
          <w:numId w:val="0"/>
        </w:numPr>
        <w:kinsoku/>
        <w:wordWrap/>
        <w:overflowPunct/>
        <w:topLinePunct w:val="0"/>
        <w:bidi w:val="0"/>
        <w:outlineLvl w:val="9"/>
        <w:rPr>
          <w:rFonts w:hint="eastAsia" w:ascii="仿宋" w:hAnsi="仿宋" w:eastAsia="仿宋" w:cs="仿宋"/>
          <w:b/>
          <w:bCs/>
          <w:color w:val="000000" w:themeColor="text1"/>
          <w:sz w:val="28"/>
          <w:szCs w:val="28"/>
          <w:lang w:val="en-US" w:eastAsia="zh-CN"/>
          <w14:textFill>
            <w14:solidFill>
              <w14:schemeClr w14:val="tx1"/>
            </w14:solidFill>
          </w14:textFill>
        </w:rPr>
      </w:pPr>
      <w:bookmarkStart w:id="475" w:name="_Toc28652"/>
      <w:bookmarkStart w:id="476" w:name="_Toc8338"/>
      <w:bookmarkStart w:id="477" w:name="_Toc5301"/>
      <w:bookmarkStart w:id="478" w:name="_Toc4524"/>
      <w:r>
        <w:rPr>
          <w:rFonts w:hint="eastAsia" w:ascii="仿宋" w:hAnsi="仿宋" w:eastAsia="仿宋" w:cs="仿宋"/>
          <w:b/>
          <w:bCs/>
          <w:color w:val="000000" w:themeColor="text1"/>
          <w:sz w:val="28"/>
          <w:szCs w:val="28"/>
          <w:lang w:val="en-US" w:eastAsia="zh-CN"/>
          <w14:textFill>
            <w14:solidFill>
              <w14:schemeClr w14:val="tx1"/>
            </w14:solidFill>
          </w14:textFill>
        </w:rPr>
        <w:t>格式3：</w:t>
      </w:r>
    </w:p>
    <w:bookmarkEnd w:id="475"/>
    <w:bookmarkEnd w:id="476"/>
    <w:bookmarkEnd w:id="477"/>
    <w:bookmarkEnd w:id="478"/>
    <w:p w14:paraId="741F6EDA">
      <w:pPr>
        <w:bidi w:val="0"/>
        <w:jc w:val="center"/>
        <w:outlineLvl w:val="1"/>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政府采购投标人资格承诺函</w:t>
      </w:r>
    </w:p>
    <w:p w14:paraId="228A6C69">
      <w:pPr>
        <w:bidi w:val="0"/>
        <w:spacing w:line="360" w:lineRule="auto"/>
        <w:outlineLvl w:val="9"/>
        <w:rPr>
          <w:rFonts w:hint="default" w:ascii="仿宋" w:hAnsi="仿宋" w:eastAsia="仿宋" w:cs="仿宋"/>
          <w:color w:val="000000" w:themeColor="text1"/>
          <w:sz w:val="24"/>
          <w:szCs w:val="24"/>
          <w:lang w:val="en-US" w:eastAsia="zh-CN"/>
          <w14:textFill>
            <w14:solidFill>
              <w14:schemeClr w14:val="tx1"/>
            </w14:solidFill>
          </w14:textFill>
        </w:rPr>
      </w:pPr>
    </w:p>
    <w:p w14:paraId="1FDA7642">
      <w:pPr>
        <w:bidi w:val="0"/>
        <w:spacing w:line="360" w:lineRule="auto"/>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致:</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default" w:ascii="仿宋" w:hAnsi="仿宋" w:eastAsia="仿宋" w:cs="仿宋"/>
          <w:color w:val="000000" w:themeColor="text1"/>
          <w:sz w:val="24"/>
          <w:szCs w:val="24"/>
          <w:u w:val="single"/>
          <w:lang w:val="en-US" w:eastAsia="zh-CN"/>
          <w14:textFill>
            <w14:solidFill>
              <w14:schemeClr w14:val="tx1"/>
            </w14:solidFill>
          </w14:textFill>
        </w:rPr>
        <w:t>采购人</w:t>
      </w:r>
      <w:r>
        <w:rPr>
          <w:rFonts w:hint="eastAsia" w:ascii="仿宋" w:hAnsi="仿宋" w:eastAsia="仿宋" w:cs="仿宋"/>
          <w:color w:val="000000" w:themeColor="text1"/>
          <w:sz w:val="24"/>
          <w:szCs w:val="24"/>
          <w:u w:val="single"/>
          <w:lang w:val="en-US" w:eastAsia="zh-CN"/>
          <w14:textFill>
            <w14:solidFill>
              <w14:schemeClr w14:val="tx1"/>
            </w14:solidFill>
          </w14:textFill>
        </w:rPr>
        <w:t>名称）</w:t>
      </w:r>
      <w:r>
        <w:rPr>
          <w:rFonts w:hint="default" w:ascii="仿宋" w:hAnsi="仿宋" w:eastAsia="仿宋" w:cs="仿宋"/>
          <w:color w:val="000000" w:themeColor="text1"/>
          <w:sz w:val="24"/>
          <w:szCs w:val="24"/>
          <w:u w:val="single"/>
          <w:lang w:val="en-US" w:eastAsia="zh-CN"/>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default" w:ascii="仿宋" w:hAnsi="仿宋" w:eastAsia="仿宋" w:cs="仿宋"/>
          <w:color w:val="000000" w:themeColor="text1"/>
          <w:sz w:val="24"/>
          <w:szCs w:val="24"/>
          <w:u w:val="single"/>
          <w:lang w:val="en-US" w:eastAsia="zh-CN"/>
          <w14:textFill>
            <w14:solidFill>
              <w14:schemeClr w14:val="tx1"/>
            </w14:solidFill>
          </w14:textFill>
        </w:rPr>
        <w:t>采购代理机构名称</w:t>
      </w:r>
      <w:r>
        <w:rPr>
          <w:rFonts w:hint="eastAsia" w:ascii="仿宋" w:hAnsi="仿宋" w:eastAsia="仿宋" w:cs="仿宋"/>
          <w:color w:val="000000" w:themeColor="text1"/>
          <w:sz w:val="24"/>
          <w:szCs w:val="24"/>
          <w:u w:val="single"/>
          <w:lang w:val="en-US" w:eastAsia="zh-CN"/>
          <w14:textFill>
            <w14:solidFill>
              <w14:schemeClr w14:val="tx1"/>
            </w14:solidFill>
          </w14:textFill>
        </w:rPr>
        <w:t>）</w:t>
      </w:r>
    </w:p>
    <w:p w14:paraId="78C6B8AE">
      <w:pPr>
        <w:bidi w:val="0"/>
        <w:spacing w:line="360" w:lineRule="auto"/>
        <w:ind w:firstLine="480" w:firstLineChars="200"/>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（投标人</w:t>
      </w:r>
      <w:r>
        <w:rPr>
          <w:rFonts w:hint="default" w:ascii="仿宋" w:hAnsi="仿宋" w:eastAsia="仿宋" w:cs="仿宋"/>
          <w:color w:val="000000" w:themeColor="text1"/>
          <w:sz w:val="24"/>
          <w:szCs w:val="24"/>
          <w:u w:val="single"/>
          <w:lang w:val="en-US" w:eastAsia="zh-CN"/>
          <w14:textFill>
            <w14:solidFill>
              <w14:schemeClr w14:val="tx1"/>
            </w14:solidFill>
          </w14:textFill>
        </w:rPr>
        <w:t>名称)</w:t>
      </w:r>
      <w:r>
        <w:rPr>
          <w:rFonts w:hint="default" w:ascii="仿宋" w:hAnsi="仿宋" w:eastAsia="仿宋" w:cs="仿宋"/>
          <w:color w:val="000000" w:themeColor="text1"/>
          <w:sz w:val="24"/>
          <w:szCs w:val="24"/>
          <w:lang w:val="en-US" w:eastAsia="zh-CN"/>
          <w14:textFill>
            <w14:solidFill>
              <w14:schemeClr w14:val="tx1"/>
            </w14:solidFill>
          </w14:textFill>
        </w:rPr>
        <w:t>郑重承诺:</w:t>
      </w:r>
    </w:p>
    <w:p w14:paraId="316D2873">
      <w:pPr>
        <w:bidi w:val="0"/>
        <w:spacing w:line="360" w:lineRule="auto"/>
        <w:ind w:firstLine="480" w:firstLineChars="200"/>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22CDF01D">
      <w:pPr>
        <w:bidi w:val="0"/>
        <w:spacing w:line="360" w:lineRule="auto"/>
        <w:ind w:firstLine="480" w:firstLineChars="200"/>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2.我方未列入在信用中国网站“失信被执行人”、“重大税收违法案件当事人名单”中</w:t>
      </w:r>
      <w:r>
        <w:rPr>
          <w:rFonts w:hint="default" w:ascii="仿宋" w:hAnsi="仿宋" w:eastAsia="仿宋" w:cs="仿宋"/>
          <w:color w:val="000000" w:themeColor="text1"/>
          <w:sz w:val="24"/>
          <w:szCs w:val="24"/>
          <w:u w:val="single"/>
          <w:lang w:val="en-US" w:eastAsia="zh-CN"/>
          <w14:textFill>
            <w14:solidFill>
              <w14:schemeClr w14:val="tx1"/>
            </w14:solidFill>
          </w14:textFill>
        </w:rPr>
        <w:t>(www.</w:t>
      </w:r>
      <w:r>
        <w:rPr>
          <w:rFonts w:hint="default" w:ascii="仿宋" w:hAnsi="仿宋" w:eastAsia="仿宋" w:cs="仿宋"/>
          <w:b w:val="0"/>
          <w:bCs w:val="0"/>
          <w:color w:val="000000" w:themeColor="text1"/>
          <w:sz w:val="24"/>
          <w:szCs w:val="24"/>
          <w:u w:val="single"/>
          <w:lang w:val="en-US" w:eastAsia="zh-CN"/>
          <w14:textFill>
            <w14:solidFill>
              <w14:schemeClr w14:val="tx1"/>
            </w14:solidFill>
          </w14:textFill>
        </w:rPr>
        <w:t>creditchina</w:t>
      </w:r>
      <w:r>
        <w:rPr>
          <w:rFonts w:hint="default" w:ascii="仿宋" w:hAnsi="仿宋" w:eastAsia="仿宋" w:cs="仿宋"/>
          <w:color w:val="000000" w:themeColor="text1"/>
          <w:sz w:val="24"/>
          <w:szCs w:val="24"/>
          <w:u w:val="single"/>
          <w:lang w:val="en-US" w:eastAsia="zh-CN"/>
          <w14:textFill>
            <w14:solidFill>
              <w14:schemeClr w14:val="tx1"/>
            </w14:solidFill>
          </w14:textFill>
        </w:rPr>
        <w:t>.gov.cn)</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也未列入中国政府采购网“政府采购严重违法失信行为记录名单”中</w:t>
      </w:r>
      <w:r>
        <w:rPr>
          <w:rFonts w:hint="default" w:ascii="仿宋" w:hAnsi="仿宋" w:eastAsia="仿宋" w:cs="仿宋"/>
          <w:color w:val="000000" w:themeColor="text1"/>
          <w:sz w:val="24"/>
          <w:szCs w:val="24"/>
          <w:u w:val="single"/>
          <w:lang w:val="en-US" w:eastAsia="zh-CN"/>
          <w14:textFill>
            <w14:solidFill>
              <w14:schemeClr w14:val="tx1"/>
            </w14:solidFill>
          </w14:textFill>
        </w:rPr>
        <w:t>(www.ccgp.gov.cn)</w:t>
      </w:r>
      <w:r>
        <w:rPr>
          <w:rFonts w:hint="eastAsia" w:ascii="仿宋" w:hAnsi="仿宋" w:eastAsia="仿宋" w:cs="仿宋"/>
          <w:color w:val="000000" w:themeColor="text1"/>
          <w:sz w:val="24"/>
          <w:szCs w:val="24"/>
          <w:u w:val="none"/>
          <w:lang w:val="en-US" w:eastAsia="zh-CN"/>
          <w14:textFill>
            <w14:solidFill>
              <w14:schemeClr w14:val="tx1"/>
            </w14:solidFill>
          </w14:textFill>
        </w:rPr>
        <w:t>。</w:t>
      </w:r>
    </w:p>
    <w:p w14:paraId="1F1C902A">
      <w:pPr>
        <w:bidi w:val="0"/>
        <w:spacing w:line="360" w:lineRule="auto"/>
        <w:ind w:firstLine="480" w:firstLineChars="200"/>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3.我方在采购项目评标环节结束后，随时接受采购人，采购代理机构的检查验证，配合提供相关证明材料</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证明符合《中华人民共和国政府采购法》规定的投标人基本资格条件。</w:t>
      </w:r>
    </w:p>
    <w:p w14:paraId="62DC6A6D">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我方对以上承诺负全部法律责任</w:t>
      </w:r>
      <w:r>
        <w:rPr>
          <w:rFonts w:hint="eastAsia" w:ascii="仿宋" w:hAnsi="仿宋" w:eastAsia="仿宋" w:cs="仿宋"/>
          <w:color w:val="000000" w:themeColor="text1"/>
          <w:sz w:val="24"/>
          <w:szCs w:val="24"/>
          <w:lang w:val="en-US" w:eastAsia="zh-CN"/>
          <w14:textFill>
            <w14:solidFill>
              <w14:schemeClr w14:val="tx1"/>
            </w14:solidFill>
          </w14:textFill>
        </w:rPr>
        <w:t>。</w:t>
      </w:r>
    </w:p>
    <w:p w14:paraId="5D78ED9E">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特此承诺。</w:t>
      </w:r>
    </w:p>
    <w:p w14:paraId="42BBBA77">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083EF273">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18B946B0">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7D20D697">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3C76D931">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52558E15">
      <w:pPr>
        <w:bidi w:val="0"/>
        <w:spacing w:line="360" w:lineRule="auto"/>
        <w:ind w:firstLine="2880" w:firstLineChars="1200"/>
        <w:outlineLvl w:val="9"/>
        <w:rPr>
          <w:rFonts w:hint="eastAsia"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投标人名称：</w:t>
      </w:r>
      <w:r>
        <w:rPr>
          <w:rFonts w:hint="eastAsia" w:ascii="仿宋" w:hAnsi="仿宋" w:eastAsia="仿宋" w:cs="仿宋"/>
          <w:color w:val="000000" w:themeColor="text1"/>
          <w:sz w:val="24"/>
          <w:szCs w:val="24"/>
          <w:u w:val="single"/>
          <w:lang w:val="en-US" w:eastAsia="zh-CN"/>
          <w14:textFill>
            <w14:solidFill>
              <w14:schemeClr w14:val="tx1"/>
            </w14:solidFill>
          </w14:textFill>
        </w:rPr>
        <w:t>填写全称并加盖公章</w:t>
      </w:r>
    </w:p>
    <w:p w14:paraId="584ABCDE">
      <w:pPr>
        <w:pStyle w:val="19"/>
        <w:shd w:val="clear"/>
        <w:ind w:firstLine="3120" w:firstLineChars="1300"/>
        <w:jc w:val="both"/>
        <w:rPr>
          <w:rFonts w:hint="eastAsia" w:ascii="仿宋" w:hAnsi="仿宋" w:eastAsia="仿宋" w:cs="仿宋"/>
          <w:color w:val="000000" w:themeColor="text1"/>
          <w:sz w:val="24"/>
          <w:szCs w:val="24"/>
          <w:u w:val="none"/>
          <w:lang w:val="en-US" w:eastAsia="zh-CN"/>
          <w14:textFill>
            <w14:solidFill>
              <w14:schemeClr w14:val="tx1"/>
            </w14:solidFill>
          </w14:textFill>
        </w:rPr>
      </w:pPr>
    </w:p>
    <w:p w14:paraId="42C2F4F1">
      <w:pPr>
        <w:pStyle w:val="19"/>
        <w:shd w:val="clear"/>
        <w:ind w:firstLine="3120" w:firstLineChars="13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日期：    年   月   日</w:t>
      </w:r>
    </w:p>
    <w:p w14:paraId="4CD3EFD1">
      <w:pPr>
        <w:keepLines w:val="0"/>
        <w:pageBreakBefore w:val="0"/>
        <w:widowControl w:val="0"/>
        <w:kinsoku/>
        <w:wordWrap/>
        <w:overflowPunct/>
        <w:topLinePunct w:val="0"/>
        <w:bidi w:val="0"/>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14:paraId="4697B84C">
      <w:pPr>
        <w:pStyle w:val="29"/>
        <w:jc w:val="left"/>
        <w:rPr>
          <w:rFonts w:hint="eastAsia" w:ascii="仿宋" w:hAnsi="仿宋" w:eastAsia="仿宋" w:cs="仿宋"/>
          <w:color w:val="000000" w:themeColor="text1"/>
          <w:sz w:val="24"/>
          <w:szCs w:val="24"/>
          <w14:textFill>
            <w14:solidFill>
              <w14:schemeClr w14:val="tx1"/>
            </w14:solidFill>
          </w14:textFill>
        </w:rPr>
      </w:pPr>
    </w:p>
    <w:p w14:paraId="2EA581E3">
      <w:pPr>
        <w:widowControl/>
        <w:ind w:firstLine="1285" w:firstLineChars="40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kern w:val="2"/>
          <w:sz w:val="32"/>
          <w:szCs w:val="20"/>
          <w:lang w:val="en-US" w:eastAsia="zh-CN" w:bidi="ar-SA"/>
          <w14:textFill>
            <w14:solidFill>
              <w14:schemeClr w14:val="tx1"/>
            </w14:solidFill>
          </w14:textFill>
        </w:rPr>
        <w:t>八、落实政府采购政策需满足的资格要求</w:t>
      </w:r>
    </w:p>
    <w:p w14:paraId="7555E2EF">
      <w:pPr>
        <w:widowControl/>
        <w:ind w:firstLine="2650" w:firstLineChars="1100"/>
        <w:jc w:val="both"/>
        <w:rPr>
          <w:rFonts w:hint="eastAsia" w:ascii="仿宋" w:hAnsi="仿宋" w:eastAsia="仿宋" w:cs="仿宋"/>
          <w:b/>
          <w:bCs/>
          <w:color w:val="000000" w:themeColor="text1"/>
          <w:sz w:val="24"/>
          <w:szCs w:val="24"/>
          <w14:textFill>
            <w14:solidFill>
              <w14:schemeClr w14:val="tx1"/>
            </w14:solidFill>
          </w14:textFill>
        </w:rPr>
      </w:pPr>
    </w:p>
    <w:p w14:paraId="21B6F10B">
      <w:pPr>
        <w:shd w:val="clear"/>
        <w:tabs>
          <w:tab w:val="left" w:pos="3600"/>
        </w:tabs>
        <w:adjustRightInd w:val="0"/>
        <w:snapToGrid w:val="0"/>
        <w:jc w:val="center"/>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格式一：中小企业声明函</w:t>
      </w:r>
    </w:p>
    <w:p w14:paraId="434EF8E7">
      <w:pPr>
        <w:shd w:val="clear"/>
        <w:adjustRightInd w:val="0"/>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p>
    <w:p w14:paraId="6E23D80C">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本公司郑重声明，根据《政府采购促进中小企业发展管理办法》（财库﹝2020﹞46 号）的规定，本公司参加</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u w:val="single"/>
          <w:shd w:val="clear" w:color="auto" w:fill="FFFFFF"/>
          <w:lang w:val="en-US" w:eastAsia="zh-CN"/>
          <w14:textFill>
            <w14:solidFill>
              <w14:schemeClr w14:val="tx1"/>
            </w14:solidFill>
          </w14:textFill>
        </w:rPr>
        <w:t>汉中市南郑区教育体育局</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的</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u w:val="single"/>
          <w:shd w:val="clear" w:color="auto" w:fill="FFFFFF"/>
          <w:lang w:eastAsia="zh-CN"/>
          <w14:textFill>
            <w14:solidFill>
              <w14:schemeClr w14:val="tx1"/>
            </w14:solidFill>
          </w14:textFill>
        </w:rPr>
        <w:t xml:space="preserve">南郑区学校蔬菜、辅料等食材配送服务采购项目（三次）合同包        </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采购活动，服务全部由符合政策要求的中小企业承接。相关企业的具体情况如下：</w:t>
      </w:r>
    </w:p>
    <w:p w14:paraId="348BDF0F">
      <w:pPr>
        <w:shd w:val="clear"/>
        <w:spacing w:line="360" w:lineRule="auto"/>
        <w:ind w:firstLine="660" w:firstLineChars="3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u w:val="single"/>
          <w:shd w:val="clear" w:color="auto" w:fill="FFFFFF"/>
          <w:lang w:eastAsia="zh-CN"/>
          <w14:textFill>
            <w14:solidFill>
              <w14:schemeClr w14:val="tx1"/>
            </w14:solidFill>
          </w14:textFill>
        </w:rPr>
        <w:t>蔬菜、辅料等食材配送采购</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，属于</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u w:val="single"/>
          <w:shd w:val="clear" w:color="auto" w:fill="FFFFFF"/>
          <w:lang w:val="en-US" w:eastAsia="zh-CN"/>
          <w14:textFill>
            <w14:solidFill>
              <w14:schemeClr w14:val="tx1"/>
            </w14:solidFill>
          </w14:textFill>
        </w:rPr>
        <w:t>餐饮业</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行业；承接企业为</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（企业名称）</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 xml:space="preserve">，从业人员 </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 xml:space="preserve">      </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 xml:space="preserve">人，营业收入为 </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 xml:space="preserve">       </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万元，资产总额为</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 xml:space="preserve">      </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万元，属于（</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sym w:font="Wingdings" w:char="00A8"/>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中型企业、</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sym w:font="Wingdings" w:char="00A8"/>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小型企业、</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sym w:font="Wingdings" w:char="00A8"/>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微型企业</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w:t>
      </w:r>
    </w:p>
    <w:p w14:paraId="72D5A104">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以上企业，不属于大企业的分支机构，不存在控股股东为大企业的情形，也不存在与大企业的负责人为同一人的情形。</w:t>
      </w:r>
    </w:p>
    <w:p w14:paraId="586A8E92">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本企业对上述声明内容的真实性负责。如有虚假，将依法承担相应责任。</w:t>
      </w:r>
    </w:p>
    <w:p w14:paraId="18329BA7">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p>
    <w:p w14:paraId="065BF6C4">
      <w:pPr>
        <w:pStyle w:val="39"/>
        <w:shd w:val="clear"/>
        <w:ind w:firstLine="0" w:firstLineChars="0"/>
        <w:rPr>
          <w:rFonts w:ascii="仿宋" w:hAnsi="仿宋" w:eastAsia="仿宋" w:cs="仿宋"/>
          <w:bCs/>
          <w:color w:val="000000" w:themeColor="text1"/>
          <w:kern w:val="0"/>
          <w:sz w:val="22"/>
          <w:szCs w:val="22"/>
          <w:shd w:val="clear" w:color="auto" w:fill="FFFFFF"/>
          <w14:textFill>
            <w14:solidFill>
              <w14:schemeClr w14:val="tx1"/>
            </w14:solidFill>
          </w14:textFill>
        </w:rPr>
      </w:pPr>
    </w:p>
    <w:p w14:paraId="452D4FAC">
      <w:pPr>
        <w:pStyle w:val="40"/>
        <w:shd w:val="clear"/>
        <w:ind w:firstLine="440"/>
        <w:rPr>
          <w:rFonts w:ascii="仿宋" w:hAnsi="仿宋" w:eastAsia="仿宋" w:cs="仿宋"/>
          <w:color w:val="000000" w:themeColor="text1"/>
          <w:sz w:val="22"/>
          <w:szCs w:val="22"/>
          <w14:textFill>
            <w14:solidFill>
              <w14:schemeClr w14:val="tx1"/>
            </w14:solidFill>
          </w14:textFill>
        </w:rPr>
      </w:pPr>
    </w:p>
    <w:p w14:paraId="17F1F666">
      <w:pPr>
        <w:shd w:val="clear"/>
        <w:spacing w:line="360" w:lineRule="auto"/>
        <w:ind w:firstLine="3740" w:firstLineChars="17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企业名称（盖章）：</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ab/>
      </w:r>
    </w:p>
    <w:p w14:paraId="0C25DA97">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p>
    <w:p w14:paraId="04135FAA">
      <w:pPr>
        <w:shd w:val="clear"/>
        <w:spacing w:line="360" w:lineRule="auto"/>
        <w:ind w:firstLine="3740" w:firstLineChars="17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日期：</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ab/>
      </w:r>
    </w:p>
    <w:p w14:paraId="35CE9C3C">
      <w:pPr>
        <w:pStyle w:val="56"/>
        <w:shd w:val="clear"/>
        <w:rPr>
          <w:rFonts w:ascii="仿宋" w:hAnsi="仿宋" w:eastAsia="仿宋" w:cs="仿宋"/>
          <w:bCs/>
          <w:color w:val="000000" w:themeColor="text1"/>
          <w:kern w:val="0"/>
          <w:shd w:val="clear" w:color="auto" w:fill="FFFFFF"/>
          <w14:textFill>
            <w14:solidFill>
              <w14:schemeClr w14:val="tx1"/>
            </w14:solidFill>
          </w14:textFill>
        </w:rPr>
      </w:pPr>
    </w:p>
    <w:p w14:paraId="589C6AE7">
      <w:pPr>
        <w:pStyle w:val="56"/>
        <w:shd w:val="clear"/>
        <w:ind w:firstLine="0"/>
        <w:rPr>
          <w:rFonts w:ascii="仿宋" w:hAnsi="仿宋" w:eastAsia="仿宋" w:cs="仿宋"/>
          <w:bCs/>
          <w:color w:val="000000" w:themeColor="text1"/>
          <w:kern w:val="0"/>
          <w:shd w:val="clear" w:color="auto" w:fill="FFFFFF"/>
          <w14:textFill>
            <w14:solidFill>
              <w14:schemeClr w14:val="tx1"/>
            </w14:solidFill>
          </w14:textFill>
        </w:rPr>
      </w:pPr>
    </w:p>
    <w:p w14:paraId="79F61EF7">
      <w:pPr>
        <w:pStyle w:val="56"/>
        <w:shd w:val="clear"/>
        <w:ind w:firstLine="0"/>
        <w:rPr>
          <w:rFonts w:ascii="仿宋" w:hAnsi="仿宋" w:eastAsia="仿宋" w:cs="仿宋"/>
          <w:bCs/>
          <w:color w:val="000000" w:themeColor="text1"/>
          <w:kern w:val="0"/>
          <w:shd w:val="clear" w:color="auto" w:fill="FFFFFF"/>
          <w14:textFill>
            <w14:solidFill>
              <w14:schemeClr w14:val="tx1"/>
            </w14:solidFill>
          </w14:textFill>
        </w:rPr>
      </w:pPr>
    </w:p>
    <w:p w14:paraId="4A13CDDE">
      <w:pPr>
        <w:pStyle w:val="56"/>
        <w:shd w:val="clear"/>
        <w:ind w:firstLine="0"/>
        <w:rPr>
          <w:rFonts w:ascii="仿宋" w:hAnsi="仿宋" w:eastAsia="仿宋" w:cs="仿宋"/>
          <w:bCs/>
          <w:color w:val="000000" w:themeColor="text1"/>
          <w:kern w:val="0"/>
          <w:shd w:val="clear" w:color="auto" w:fill="FFFFFF"/>
          <w14:textFill>
            <w14:solidFill>
              <w14:schemeClr w14:val="tx1"/>
            </w14:solidFill>
          </w14:textFill>
        </w:rPr>
      </w:pPr>
    </w:p>
    <w:p w14:paraId="3964E024">
      <w:pPr>
        <w:pStyle w:val="56"/>
        <w:shd w:val="clear"/>
        <w:rPr>
          <w:rFonts w:ascii="仿宋" w:hAnsi="仿宋" w:eastAsia="仿宋" w:cs="仿宋"/>
          <w:bCs/>
          <w:color w:val="000000" w:themeColor="text1"/>
          <w:kern w:val="0"/>
          <w:shd w:val="clear" w:color="auto" w:fill="FFFFFF"/>
          <w14:textFill>
            <w14:solidFill>
              <w14:schemeClr w14:val="tx1"/>
            </w14:solidFill>
          </w14:textFill>
        </w:rPr>
      </w:pPr>
    </w:p>
    <w:p w14:paraId="30D92AF7">
      <w:pPr>
        <w:shd w:val="clear"/>
        <w:spacing w:line="360" w:lineRule="auto"/>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说明：</w:t>
      </w:r>
    </w:p>
    <w:p w14:paraId="51F12FC4">
      <w:pPr>
        <w:pStyle w:val="56"/>
        <w:shd w:val="clear"/>
        <w:ind w:firstLine="440" w:firstLineChars="20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填写前请认真阅读《工业和信息化部、国家统计局、国家发展和改革委员会、财政部关于印发中小企业划型标准规定的通知》（工信部联企业[2011]300号）和《政府采购促进中小企业发展管理办法》(财库〔2020〕46号相关规定。</w:t>
      </w:r>
    </w:p>
    <w:p w14:paraId="20497B9A">
      <w:pPr>
        <w:pStyle w:val="19"/>
        <w:numPr>
          <w:ilvl w:val="0"/>
          <w:numId w:val="0"/>
        </w:numPr>
        <w:jc w:val="both"/>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 xml:space="preserve">   </w:t>
      </w:r>
    </w:p>
    <w:p w14:paraId="13562830">
      <w:pPr>
        <w:adjustRightInd w:val="0"/>
        <w:snapToGrid w:val="0"/>
        <w:spacing w:before="50" w:line="360" w:lineRule="auto"/>
        <w:jc w:val="center"/>
        <w:outlineLvl w:val="9"/>
        <w:rPr>
          <w:rFonts w:hint="eastAsia" w:ascii="仿宋" w:hAnsi="仿宋" w:eastAsia="仿宋" w:cs="仿宋"/>
          <w:b/>
          <w:bCs/>
          <w:color w:val="000000" w:themeColor="text1"/>
          <w:sz w:val="24"/>
          <w:szCs w:val="24"/>
          <w14:textFill>
            <w14:solidFill>
              <w14:schemeClr w14:val="tx1"/>
            </w14:solidFill>
          </w14:textFill>
        </w:rPr>
      </w:pPr>
    </w:p>
    <w:p w14:paraId="69C6EBED">
      <w:pPr>
        <w:adjustRightInd w:val="0"/>
        <w:snapToGrid w:val="0"/>
        <w:spacing w:before="50" w:line="360" w:lineRule="auto"/>
        <w:jc w:val="center"/>
        <w:outlineLvl w:val="9"/>
        <w:rPr>
          <w:rFonts w:hint="eastAsia" w:ascii="仿宋" w:hAnsi="仿宋" w:eastAsia="仿宋" w:cs="仿宋"/>
          <w:b/>
          <w:bCs/>
          <w:color w:val="000000" w:themeColor="text1"/>
          <w:sz w:val="24"/>
          <w:szCs w:val="24"/>
          <w14:textFill>
            <w14:solidFill>
              <w14:schemeClr w14:val="tx1"/>
            </w14:solidFill>
          </w14:textFill>
        </w:rPr>
      </w:pPr>
    </w:p>
    <w:p w14:paraId="28807842">
      <w:pPr>
        <w:shd w:val="clear"/>
        <w:tabs>
          <w:tab w:val="left" w:pos="3600"/>
        </w:tabs>
        <w:adjustRightInd w:val="0"/>
        <w:snapToGrid w:val="0"/>
        <w:ind w:firstLine="1606" w:firstLineChars="500"/>
        <w:jc w:val="both"/>
        <w:outlineLvl w:val="1"/>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格式二： 残疾人福利性单位声明函</w:t>
      </w:r>
    </w:p>
    <w:p w14:paraId="18BA12DB">
      <w:pPr>
        <w:pStyle w:val="40"/>
        <w:ind w:firstLine="422"/>
        <w:outlineLvl w:val="9"/>
        <w:rPr>
          <w:color w:val="000000" w:themeColor="text1"/>
          <w14:textFill>
            <w14:solidFill>
              <w14:schemeClr w14:val="tx1"/>
            </w14:solidFill>
          </w14:textFill>
        </w:rPr>
      </w:pPr>
    </w:p>
    <w:p w14:paraId="1D0DF9C2">
      <w:pPr>
        <w:shd w:val="clear"/>
        <w:spacing w:line="360" w:lineRule="auto"/>
        <w:ind w:firstLine="464" w:firstLineChars="200"/>
        <w:rPr>
          <w:rFonts w:ascii="仿宋" w:hAnsi="仿宋" w:eastAsia="仿宋" w:cs="仿宋"/>
          <w:color w:val="000000" w:themeColor="text1"/>
          <w:spacing w:val="6"/>
          <w:sz w:val="22"/>
          <w:szCs w:val="22"/>
          <w14:textFill>
            <w14:solidFill>
              <w14:schemeClr w14:val="tx1"/>
            </w14:solidFill>
          </w14:textFill>
        </w:rPr>
      </w:pPr>
      <w:r>
        <w:rPr>
          <w:rFonts w:hint="eastAsia" w:ascii="仿宋" w:hAnsi="仿宋" w:eastAsia="仿宋" w:cs="仿宋"/>
          <w:color w:val="000000" w:themeColor="text1"/>
          <w:spacing w:val="6"/>
          <w:sz w:val="22"/>
          <w:szCs w:val="22"/>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14:paraId="650E8D61">
      <w:pPr>
        <w:shd w:val="clear"/>
        <w:spacing w:line="360" w:lineRule="auto"/>
        <w:ind w:firstLine="464" w:firstLineChars="200"/>
        <w:rPr>
          <w:rFonts w:ascii="仿宋" w:hAnsi="仿宋" w:eastAsia="仿宋" w:cs="仿宋"/>
          <w:color w:val="000000" w:themeColor="text1"/>
          <w:spacing w:val="6"/>
          <w:sz w:val="22"/>
          <w:szCs w:val="22"/>
          <w14:textFill>
            <w14:solidFill>
              <w14:schemeClr w14:val="tx1"/>
            </w14:solidFill>
          </w14:textFill>
        </w:rPr>
      </w:pPr>
      <w:r>
        <w:rPr>
          <w:rFonts w:hint="eastAsia" w:ascii="仿宋" w:hAnsi="仿宋" w:eastAsia="仿宋" w:cs="仿宋"/>
          <w:color w:val="000000" w:themeColor="text1"/>
          <w:spacing w:val="6"/>
          <w:sz w:val="22"/>
          <w:szCs w:val="22"/>
          <w14:textFill>
            <w14:solidFill>
              <w14:schemeClr w14:val="tx1"/>
            </w14:solidFill>
          </w14:textFill>
        </w:rPr>
        <w:t>本单位对上述声明的真实性负责。如有虚假，将依法承担相应责任</w:t>
      </w:r>
    </w:p>
    <w:p w14:paraId="1FAAD0EF">
      <w:pPr>
        <w:shd w:val="clear"/>
        <w:spacing w:line="360" w:lineRule="auto"/>
        <w:ind w:firstLine="464" w:firstLineChars="200"/>
        <w:rPr>
          <w:rFonts w:ascii="仿宋" w:hAnsi="仿宋" w:eastAsia="仿宋" w:cs="仿宋"/>
          <w:color w:val="000000" w:themeColor="text1"/>
          <w:spacing w:val="6"/>
          <w:sz w:val="22"/>
          <w:szCs w:val="22"/>
          <w14:textFill>
            <w14:solidFill>
              <w14:schemeClr w14:val="tx1"/>
            </w14:solidFill>
          </w14:textFill>
        </w:rPr>
      </w:pPr>
    </w:p>
    <w:p w14:paraId="18B3D7C6">
      <w:pPr>
        <w:pStyle w:val="12"/>
        <w:shd w:val="clear"/>
        <w:spacing w:line="360" w:lineRule="auto"/>
        <w:ind w:firstLine="3016" w:firstLineChars="13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6"/>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单位名称(盖章):</w:t>
      </w:r>
    </w:p>
    <w:p w14:paraId="21C476D8">
      <w:pPr>
        <w:pStyle w:val="12"/>
        <w:shd w:val="clear"/>
        <w:spacing w:line="360" w:lineRule="auto"/>
        <w:ind w:firstLine="0"/>
        <w:rPr>
          <w:rFonts w:ascii="仿宋" w:hAnsi="仿宋" w:eastAsia="仿宋" w:cs="仿宋"/>
          <w:color w:val="000000" w:themeColor="text1"/>
          <w:sz w:val="24"/>
          <w:szCs w:val="24"/>
          <w14:textFill>
            <w14:solidFill>
              <w14:schemeClr w14:val="tx1"/>
            </w14:solidFill>
          </w14:textFill>
        </w:rPr>
      </w:pPr>
    </w:p>
    <w:p w14:paraId="53A40C9B">
      <w:pPr>
        <w:pStyle w:val="12"/>
        <w:shd w:val="clear"/>
        <w:spacing w:line="360" w:lineRule="auto"/>
        <w:ind w:firstLine="3300" w:firstLineChars="15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日   期：</w:t>
      </w:r>
    </w:p>
    <w:p w14:paraId="58A3F637">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657DB9EB">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08A42D4C">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3CC6C4C3">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33FF5677">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0B057E1E">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38026300">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6C6D9B6E">
      <w:pPr>
        <w:pStyle w:val="4"/>
        <w:shd w:val="clear"/>
        <w:rPr>
          <w:color w:val="000000" w:themeColor="text1"/>
          <w:sz w:val="28"/>
          <w:szCs w:val="21"/>
          <w14:textFill>
            <w14:solidFill>
              <w14:schemeClr w14:val="tx1"/>
            </w14:solidFill>
          </w14:textFill>
        </w:rPr>
      </w:pPr>
    </w:p>
    <w:p w14:paraId="071E8176">
      <w:pPr>
        <w:pStyle w:val="28"/>
        <w:shd w:val="clear"/>
        <w:rPr>
          <w:rFonts w:ascii="仿宋" w:hAnsi="仿宋" w:eastAsia="仿宋" w:cs="仿宋"/>
          <w:b/>
          <w:color w:val="000000" w:themeColor="text1"/>
          <w:sz w:val="24"/>
          <w14:textFill>
            <w14:solidFill>
              <w14:schemeClr w14:val="tx1"/>
            </w14:solidFill>
          </w14:textFill>
        </w:rPr>
      </w:pPr>
    </w:p>
    <w:p w14:paraId="01E50166">
      <w:pPr>
        <w:pStyle w:val="28"/>
        <w:shd w:val="clear"/>
        <w:rPr>
          <w:rFonts w:ascii="仿宋" w:hAnsi="仿宋" w:eastAsia="仿宋" w:cs="仿宋"/>
          <w:b/>
          <w:color w:val="000000" w:themeColor="text1"/>
          <w:sz w:val="24"/>
          <w14:textFill>
            <w14:solidFill>
              <w14:schemeClr w14:val="tx1"/>
            </w14:solidFill>
          </w14:textFill>
        </w:rPr>
      </w:pPr>
    </w:p>
    <w:p w14:paraId="57B425BE">
      <w:pPr>
        <w:pStyle w:val="28"/>
        <w:shd w:val="clear"/>
        <w:rPr>
          <w:rFonts w:ascii="仿宋" w:hAnsi="仿宋" w:eastAsia="仿宋" w:cs="仿宋"/>
          <w:b/>
          <w:color w:val="000000" w:themeColor="text1"/>
          <w:sz w:val="24"/>
          <w14:textFill>
            <w14:solidFill>
              <w14:schemeClr w14:val="tx1"/>
            </w14:solidFill>
          </w14:textFill>
        </w:rPr>
      </w:pPr>
    </w:p>
    <w:p w14:paraId="5B5E7B24">
      <w:pPr>
        <w:pStyle w:val="28"/>
        <w:shd w:val="clear"/>
        <w:rPr>
          <w:rFonts w:ascii="仿宋" w:hAnsi="仿宋" w:eastAsia="仿宋" w:cs="仿宋"/>
          <w:b/>
          <w:color w:val="000000" w:themeColor="text1"/>
          <w:sz w:val="24"/>
          <w14:textFill>
            <w14:solidFill>
              <w14:schemeClr w14:val="tx1"/>
            </w14:solidFill>
          </w14:textFill>
        </w:rPr>
      </w:pPr>
    </w:p>
    <w:p w14:paraId="571332E7">
      <w:pPr>
        <w:pStyle w:val="28"/>
        <w:shd w:val="clear"/>
        <w:rPr>
          <w:rFonts w:ascii="仿宋" w:hAnsi="仿宋" w:eastAsia="仿宋" w:cs="仿宋"/>
          <w:b/>
          <w:color w:val="000000" w:themeColor="text1"/>
          <w:sz w:val="24"/>
          <w14:textFill>
            <w14:solidFill>
              <w14:schemeClr w14:val="tx1"/>
            </w14:solidFill>
          </w14:textFill>
        </w:rPr>
      </w:pPr>
    </w:p>
    <w:p w14:paraId="3FE8296A">
      <w:pPr>
        <w:pStyle w:val="28"/>
        <w:shd w:val="clear"/>
        <w:rPr>
          <w:rFonts w:ascii="仿宋" w:hAnsi="仿宋" w:eastAsia="仿宋" w:cs="仿宋"/>
          <w:b/>
          <w:color w:val="000000" w:themeColor="text1"/>
          <w:sz w:val="24"/>
          <w14:textFill>
            <w14:solidFill>
              <w14:schemeClr w14:val="tx1"/>
            </w14:solidFill>
          </w14:textFill>
        </w:rPr>
      </w:pPr>
    </w:p>
    <w:p w14:paraId="68C34125">
      <w:pPr>
        <w:shd w:val="clear"/>
        <w:adjustRightInd w:val="0"/>
        <w:snapToGrid w:val="0"/>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说明：供应商不属于残疾人福利单位的，无须提供；</w:t>
      </w:r>
    </w:p>
    <w:p w14:paraId="4D79A554">
      <w:pPr>
        <w:shd w:val="clear"/>
        <w:adjustRightInd w:val="0"/>
        <w:snapToGrid w:val="0"/>
        <w:spacing w:before="50" w:line="360" w:lineRule="auto"/>
        <w:jc w:val="center"/>
        <w:outlineLvl w:val="1"/>
        <w:rPr>
          <w:rFonts w:ascii="仿宋" w:hAnsi="仿宋" w:eastAsia="仿宋" w:cs="仿宋"/>
          <w:b/>
          <w:bCs/>
          <w:color w:val="000000" w:themeColor="text1"/>
          <w:sz w:val="28"/>
          <w:szCs w:val="28"/>
          <w14:textFill>
            <w14:solidFill>
              <w14:schemeClr w14:val="tx1"/>
            </w14:solidFill>
          </w14:textFill>
        </w:rPr>
      </w:pPr>
    </w:p>
    <w:p w14:paraId="69C33CF4">
      <w:pPr>
        <w:outlineLvl w:val="9"/>
        <w:rPr>
          <w:rFonts w:ascii="仿宋" w:hAnsi="仿宋" w:eastAsia="仿宋" w:cs="仿宋"/>
          <w:color w:val="000000" w:themeColor="text1"/>
          <w14:textFill>
            <w14:solidFill>
              <w14:schemeClr w14:val="tx1"/>
            </w14:solidFill>
          </w14:textFill>
        </w:rPr>
      </w:pPr>
    </w:p>
    <w:p w14:paraId="363D4E1A">
      <w:pPr>
        <w:adjustRightInd w:val="0"/>
        <w:snapToGrid w:val="0"/>
        <w:spacing w:before="50" w:line="360" w:lineRule="auto"/>
        <w:outlineLvl w:val="9"/>
        <w:rPr>
          <w:rFonts w:ascii="仿宋" w:hAnsi="仿宋" w:eastAsia="仿宋" w:cs="仿宋"/>
          <w:b/>
          <w:bCs/>
          <w:color w:val="000000" w:themeColor="text1"/>
          <w:sz w:val="24"/>
          <w:szCs w:val="24"/>
          <w14:textFill>
            <w14:solidFill>
              <w14:schemeClr w14:val="tx1"/>
            </w14:solidFill>
          </w14:textFill>
        </w:rPr>
      </w:pPr>
    </w:p>
    <w:p w14:paraId="4BEC7899">
      <w:pPr>
        <w:pStyle w:val="40"/>
        <w:ind w:firstLine="422"/>
        <w:outlineLvl w:val="9"/>
        <w:rPr>
          <w:color w:val="000000" w:themeColor="text1"/>
          <w14:textFill>
            <w14:solidFill>
              <w14:schemeClr w14:val="tx1"/>
            </w14:solidFill>
          </w14:textFill>
        </w:rPr>
      </w:pPr>
    </w:p>
    <w:p w14:paraId="46A45045">
      <w:pPr>
        <w:shd w:val="clear"/>
        <w:tabs>
          <w:tab w:val="left" w:pos="3600"/>
        </w:tabs>
        <w:adjustRightInd w:val="0"/>
        <w:snapToGrid w:val="0"/>
        <w:ind w:firstLine="2249" w:firstLineChars="700"/>
        <w:jc w:val="both"/>
        <w:outlineLvl w:val="1"/>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格式三：监狱企业证明</w:t>
      </w:r>
    </w:p>
    <w:p w14:paraId="4D344E26">
      <w:pPr>
        <w:pStyle w:val="40"/>
        <w:ind w:firstLine="422"/>
        <w:outlineLvl w:val="9"/>
        <w:rPr>
          <w:color w:val="000000" w:themeColor="text1"/>
          <w14:textFill>
            <w14:solidFill>
              <w14:schemeClr w14:val="tx1"/>
            </w14:solidFill>
          </w14:textFill>
        </w:rPr>
      </w:pPr>
    </w:p>
    <w:p w14:paraId="09CFD309">
      <w:pPr>
        <w:shd w:val="clear"/>
        <w:adjustRightInd w:val="0"/>
        <w:snapToGrid w:val="0"/>
        <w:spacing w:before="50" w:line="360" w:lineRule="auto"/>
        <w:ind w:firstLine="440" w:firstLineChars="200"/>
        <w:jc w:val="left"/>
        <w:outlineLvl w:val="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根据财政部、司法部《关于政府采购支持监狱企业发展有关问题的通知》（财库〔2014〕68 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BCC037">
      <w:pPr>
        <w:spacing w:line="360" w:lineRule="auto"/>
        <w:jc w:val="left"/>
        <w:outlineLvl w:val="9"/>
        <w:rPr>
          <w:rFonts w:ascii="仿宋" w:hAnsi="仿宋" w:eastAsia="仿宋" w:cs="仿宋"/>
          <w:b/>
          <w:color w:val="000000" w:themeColor="text1"/>
          <w:sz w:val="28"/>
          <w:szCs w:val="21"/>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监狱企业参加政府采购活动时，应当提供由省级以上监狱管理局、戒毒管理局（含新疆生产建设兵团）出具的属于监狱企业的证明文件，非监狱企业无需提供。</w:t>
      </w:r>
    </w:p>
    <w:p w14:paraId="1F7C21D4">
      <w:pPr>
        <w:spacing w:line="360" w:lineRule="auto"/>
        <w:jc w:val="left"/>
        <w:outlineLvl w:val="9"/>
        <w:rPr>
          <w:rFonts w:ascii="仿宋" w:hAnsi="仿宋" w:eastAsia="仿宋" w:cs="仿宋"/>
          <w:b/>
          <w:color w:val="000000" w:themeColor="text1"/>
          <w:sz w:val="28"/>
          <w:szCs w:val="21"/>
          <w14:textFill>
            <w14:solidFill>
              <w14:schemeClr w14:val="tx1"/>
            </w14:solidFill>
          </w14:textFill>
        </w:rPr>
      </w:pPr>
    </w:p>
    <w:p w14:paraId="52F69F8E">
      <w:pPr>
        <w:spacing w:line="360" w:lineRule="auto"/>
        <w:jc w:val="left"/>
        <w:outlineLvl w:val="9"/>
        <w:rPr>
          <w:rFonts w:ascii="仿宋" w:hAnsi="仿宋" w:eastAsia="仿宋" w:cs="仿宋"/>
          <w:b/>
          <w:color w:val="000000" w:themeColor="text1"/>
          <w:sz w:val="28"/>
          <w:szCs w:val="21"/>
          <w14:textFill>
            <w14:solidFill>
              <w14:schemeClr w14:val="tx1"/>
            </w14:solidFill>
          </w14:textFill>
        </w:rPr>
      </w:pPr>
    </w:p>
    <w:p w14:paraId="01B4FC9B">
      <w:pPr>
        <w:spacing w:line="360" w:lineRule="auto"/>
        <w:jc w:val="left"/>
        <w:outlineLvl w:val="9"/>
        <w:rPr>
          <w:rFonts w:ascii="仿宋" w:hAnsi="仿宋" w:eastAsia="仿宋" w:cs="仿宋"/>
          <w:b/>
          <w:color w:val="000000" w:themeColor="text1"/>
          <w:sz w:val="28"/>
          <w:szCs w:val="21"/>
          <w14:textFill>
            <w14:solidFill>
              <w14:schemeClr w14:val="tx1"/>
            </w14:solidFill>
          </w14:textFill>
        </w:rPr>
      </w:pPr>
    </w:p>
    <w:p w14:paraId="59BDC503">
      <w:pPr>
        <w:pStyle w:val="12"/>
        <w:outlineLvl w:val="9"/>
        <w:rPr>
          <w:rFonts w:ascii="仿宋" w:hAnsi="仿宋" w:eastAsia="仿宋" w:cs="仿宋"/>
          <w:b/>
          <w:color w:val="000000" w:themeColor="text1"/>
          <w:sz w:val="28"/>
          <w:szCs w:val="21"/>
          <w14:textFill>
            <w14:solidFill>
              <w14:schemeClr w14:val="tx1"/>
            </w14:solidFill>
          </w14:textFill>
        </w:rPr>
      </w:pPr>
    </w:p>
    <w:p w14:paraId="47303574">
      <w:pPr>
        <w:pStyle w:val="40"/>
        <w:ind w:firstLine="562"/>
        <w:outlineLvl w:val="9"/>
        <w:rPr>
          <w:rFonts w:ascii="仿宋" w:hAnsi="仿宋" w:eastAsia="仿宋" w:cs="仿宋"/>
          <w:color w:val="000000" w:themeColor="text1"/>
          <w:sz w:val="28"/>
          <w:szCs w:val="21"/>
          <w14:textFill>
            <w14:solidFill>
              <w14:schemeClr w14:val="tx1"/>
            </w14:solidFill>
          </w14:textFill>
        </w:rPr>
      </w:pPr>
    </w:p>
    <w:p w14:paraId="486CD479">
      <w:pPr>
        <w:outlineLvl w:val="9"/>
        <w:rPr>
          <w:rFonts w:ascii="仿宋" w:hAnsi="仿宋" w:eastAsia="仿宋" w:cs="仿宋"/>
          <w:b/>
          <w:color w:val="000000" w:themeColor="text1"/>
          <w:sz w:val="28"/>
          <w:szCs w:val="21"/>
          <w14:textFill>
            <w14:solidFill>
              <w14:schemeClr w14:val="tx1"/>
            </w14:solidFill>
          </w14:textFill>
        </w:rPr>
      </w:pPr>
    </w:p>
    <w:p w14:paraId="1BC7FC3A">
      <w:pPr>
        <w:pStyle w:val="12"/>
        <w:outlineLvl w:val="9"/>
        <w:rPr>
          <w:rFonts w:ascii="仿宋" w:hAnsi="仿宋" w:eastAsia="仿宋" w:cs="仿宋"/>
          <w:b/>
          <w:color w:val="000000" w:themeColor="text1"/>
          <w:sz w:val="28"/>
          <w:szCs w:val="21"/>
          <w14:textFill>
            <w14:solidFill>
              <w14:schemeClr w14:val="tx1"/>
            </w14:solidFill>
          </w14:textFill>
        </w:rPr>
      </w:pPr>
    </w:p>
    <w:p w14:paraId="345977BA">
      <w:pPr>
        <w:outlineLvl w:val="9"/>
        <w:rPr>
          <w:color w:val="000000" w:themeColor="text1"/>
          <w14:textFill>
            <w14:solidFill>
              <w14:schemeClr w14:val="tx1"/>
            </w14:solidFill>
          </w14:textFill>
        </w:rPr>
      </w:pPr>
    </w:p>
    <w:p w14:paraId="5F0616C5">
      <w:pPr>
        <w:pStyle w:val="40"/>
        <w:ind w:firstLine="562"/>
        <w:outlineLvl w:val="9"/>
        <w:rPr>
          <w:rFonts w:ascii="仿宋" w:hAnsi="仿宋" w:eastAsia="仿宋" w:cs="仿宋"/>
          <w:color w:val="000000" w:themeColor="text1"/>
          <w:sz w:val="28"/>
          <w:szCs w:val="21"/>
          <w14:textFill>
            <w14:solidFill>
              <w14:schemeClr w14:val="tx1"/>
            </w14:solidFill>
          </w14:textFill>
        </w:rPr>
      </w:pPr>
    </w:p>
    <w:p w14:paraId="0B439034">
      <w:pPr>
        <w:outlineLvl w:val="9"/>
        <w:rPr>
          <w:rFonts w:ascii="仿宋" w:hAnsi="仿宋" w:eastAsia="仿宋" w:cs="仿宋"/>
          <w:color w:val="000000" w:themeColor="text1"/>
          <w14:textFill>
            <w14:solidFill>
              <w14:schemeClr w14:val="tx1"/>
            </w14:solidFill>
          </w14:textFill>
        </w:rPr>
      </w:pPr>
    </w:p>
    <w:p w14:paraId="57D2515D">
      <w:pPr>
        <w:spacing w:line="360" w:lineRule="auto"/>
        <w:outlineLvl w:val="9"/>
        <w:rPr>
          <w:rFonts w:hint="eastAsia" w:ascii="仿宋" w:hAnsi="仿宋" w:eastAsia="仿宋" w:cs="仿宋"/>
          <w:bCs/>
          <w:color w:val="000000" w:themeColor="text1"/>
          <w:szCs w:val="21"/>
          <w14:textFill>
            <w14:solidFill>
              <w14:schemeClr w14:val="tx1"/>
            </w14:solidFill>
          </w14:textFill>
        </w:rPr>
      </w:pPr>
    </w:p>
    <w:p w14:paraId="4D7BB77C">
      <w:pPr>
        <w:spacing w:line="360" w:lineRule="auto"/>
        <w:outlineLvl w:val="9"/>
        <w:rPr>
          <w:rFonts w:hint="eastAsia" w:ascii="仿宋" w:hAnsi="仿宋" w:eastAsia="仿宋" w:cs="仿宋"/>
          <w:bCs/>
          <w:color w:val="000000" w:themeColor="text1"/>
          <w:szCs w:val="21"/>
          <w14:textFill>
            <w14:solidFill>
              <w14:schemeClr w14:val="tx1"/>
            </w14:solidFill>
          </w14:textFill>
        </w:rPr>
      </w:pPr>
    </w:p>
    <w:p w14:paraId="22371F31">
      <w:pPr>
        <w:spacing w:line="360" w:lineRule="auto"/>
        <w:outlineLvl w:val="9"/>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说明：</w:t>
      </w:r>
    </w:p>
    <w:p w14:paraId="33294D52">
      <w:pPr>
        <w:spacing w:line="360" w:lineRule="auto"/>
        <w:ind w:firstLine="420" w:firstLineChars="200"/>
        <w:outlineLvl w:val="9"/>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1、证明无格式要求，由出具监狱企业证明的单位自行拟定；</w:t>
      </w:r>
    </w:p>
    <w:p w14:paraId="7175A731">
      <w:pPr>
        <w:keepLines w:val="0"/>
        <w:pageBreakBefore w:val="0"/>
        <w:widowControl w:val="0"/>
        <w:kinsoku/>
        <w:wordWrap/>
        <w:overflowPunct/>
        <w:topLinePunct w:val="0"/>
        <w:bidi w:val="0"/>
        <w:adjustRightInd w:val="0"/>
        <w:snapToGrid w:val="0"/>
        <w:spacing w:line="360" w:lineRule="auto"/>
        <w:jc w:val="both"/>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2、投标人不属于监狱企业的，无须提供。</w:t>
      </w:r>
    </w:p>
    <w:p w14:paraId="497581BD">
      <w:pPr>
        <w:pStyle w:val="29"/>
        <w:jc w:val="left"/>
        <w:rPr>
          <w:rFonts w:hint="eastAsia" w:ascii="仿宋" w:hAnsi="仿宋" w:eastAsia="仿宋" w:cs="仿宋"/>
          <w:color w:val="000000" w:themeColor="text1"/>
          <w:sz w:val="24"/>
          <w:szCs w:val="24"/>
          <w14:textFill>
            <w14:solidFill>
              <w14:schemeClr w14:val="tx1"/>
            </w14:solidFill>
          </w14:textFill>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宋体-简">
    <w:altName w:val="宋体"/>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D94A">
    <w:pPr>
      <w:pStyle w:val="28"/>
      <w:tabs>
        <w:tab w:val="left" w:pos="3407"/>
        <w:tab w:val="left" w:pos="5256"/>
        <w:tab w:val="clear" w:pos="4153"/>
        <w:tab w:val="clear" w:pos="8306"/>
      </w:tabs>
      <w:rPr>
        <w:rFonts w:ascii="方正粗黑宋简体" w:hAnsi="方正粗黑宋简体" w:eastAsia="方正粗黑宋简体" w:cs="方正粗黑宋简体"/>
        <w:b/>
        <w:bCs/>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AF22">
    <w:pPr>
      <w:pStyle w:val="28"/>
      <w:jc w:val="center"/>
    </w:pPr>
    <w:r>
      <mc:AlternateContent>
        <mc:Choice Requires="wps">
          <w:drawing>
            <wp:anchor distT="0" distB="0" distL="114300" distR="114300" simplePos="0" relativeHeight="251660288" behindDoc="0" locked="0" layoutInCell="1" allowOverlap="1">
              <wp:simplePos x="0" y="0"/>
              <wp:positionH relativeFrom="margin">
                <wp:posOffset>2606040</wp:posOffset>
              </wp:positionH>
              <wp:positionV relativeFrom="paragraph">
                <wp:posOffset>-3810</wp:posOffset>
              </wp:positionV>
              <wp:extent cx="651510" cy="308610"/>
              <wp:effectExtent l="0" t="0" r="15240" b="15240"/>
              <wp:wrapNone/>
              <wp:docPr id="3" name="文本框 59"/>
              <wp:cNvGraphicFramePr/>
              <a:graphic xmlns:a="http://schemas.openxmlformats.org/drawingml/2006/main">
                <a:graphicData uri="http://schemas.microsoft.com/office/word/2010/wordprocessingShape">
                  <wps:wsp>
                    <wps:cNvSpPr txBox="1"/>
                    <wps:spPr>
                      <a:xfrm>
                        <a:off x="0" y="0"/>
                        <a:ext cx="651510" cy="308610"/>
                      </a:xfrm>
                      <a:prstGeom prst="rect">
                        <a:avLst/>
                      </a:prstGeom>
                      <a:noFill/>
                      <a:ln>
                        <a:noFill/>
                      </a:ln>
                      <a:effectLst/>
                    </wps:spPr>
                    <wps:txbx>
                      <w:txbxContent>
                        <w:p w14:paraId="4801B956">
                          <w:pPr>
                            <w:pStyle w:val="28"/>
                          </w:pPr>
                          <w:r>
                            <w:fldChar w:fldCharType="begin"/>
                          </w:r>
                          <w:r>
                            <w:instrText xml:space="preserve"> PAGE  \* MERGEFORMAT </w:instrText>
                          </w:r>
                          <w:r>
                            <w:fldChar w:fldCharType="separate"/>
                          </w:r>
                          <w:r>
                            <w:t>72</w:t>
                          </w:r>
                          <w:r>
                            <w:fldChar w:fldCharType="end"/>
                          </w:r>
                        </w:p>
                      </w:txbxContent>
                    </wps:txbx>
                    <wps:bodyPr wrap="square" lIns="0" tIns="0" rIns="0" bIns="0">
                      <a:noAutofit/>
                    </wps:bodyPr>
                  </wps:wsp>
                </a:graphicData>
              </a:graphic>
            </wp:anchor>
          </w:drawing>
        </mc:Choice>
        <mc:Fallback>
          <w:pict>
            <v:shape id="文本框 59" o:spid="_x0000_s1026" o:spt="202" type="#_x0000_t202" style="position:absolute;left:0pt;margin-left:205.2pt;margin-top:-0.3pt;height:24.3pt;width:51.3pt;mso-position-horizontal-relative:margin;z-index:251660288;mso-width-relative:page;mso-height-relative:page;" filled="f" stroked="f" coordsize="21600,21600" o:gfxdata="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SWWyo1gAAAAgBAAAPAAAAAAAAAAEAIAAAACIAAABkcnMv&#10;ZG93bnJldi54bWxQSwECFAAUAAAACACHTuJARr1r6MwBAACcAwAADgAAAAAAAAABACAAAAAlAQAA&#10;ZHJzL2Uyb0RvYy54bWxQSwUGAAAAAAYABgBZAQAAYwUAAAAA&#10;">
              <v:fill on="f" focussize="0,0"/>
              <v:stroke on="f"/>
              <v:imagedata o:title=""/>
              <o:lock v:ext="edit" aspectratio="f"/>
              <v:textbox inset="0mm,0mm,0mm,0mm">
                <w:txbxContent>
                  <w:p w14:paraId="4801B956">
                    <w:pPr>
                      <w:pStyle w:val="28"/>
                    </w:pPr>
                    <w:r>
                      <w:fldChar w:fldCharType="begin"/>
                    </w:r>
                    <w:r>
                      <w:instrText xml:space="preserve"> PAGE  \* MERGEFORMAT </w:instrText>
                    </w:r>
                    <w:r>
                      <w:fldChar w:fldCharType="separate"/>
                    </w:r>
                    <w:r>
                      <w:t>72</w:t>
                    </w:r>
                    <w:r>
                      <w:fldChar w:fldCharType="end"/>
                    </w:r>
                  </w:p>
                </w:txbxContent>
              </v:textbox>
            </v:shape>
          </w:pict>
        </mc:Fallback>
      </mc:AlternateContent>
    </w:r>
  </w:p>
  <w:p w14:paraId="694EB83D">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388B">
    <w:pPr>
      <w:pStyle w:val="30"/>
      <w:pBdr>
        <w:bottom w:val="none" w:color="auto" w:sz="0" w:space="1"/>
      </w:pBdr>
      <w:tabs>
        <w:tab w:val="left" w:pos="5380"/>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7A8F3">
    <w:pPr>
      <w:pStyle w:val="30"/>
      <w:pBdr>
        <w:bottom w:val="none" w:color="auto" w:sz="0" w:space="1"/>
      </w:pBdr>
      <w:tabs>
        <w:tab w:val="right" w:pos="0"/>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8887F"/>
    <w:multiLevelType w:val="singleLevel"/>
    <w:tmpl w:val="8C18887F"/>
    <w:lvl w:ilvl="0" w:tentative="0">
      <w:start w:val="1"/>
      <w:numFmt w:val="decimal"/>
      <w:suff w:val="nothing"/>
      <w:lvlText w:val="%1、"/>
      <w:lvlJc w:val="left"/>
    </w:lvl>
  </w:abstractNum>
  <w:abstractNum w:abstractNumId="1">
    <w:nsid w:val="29BA1E1C"/>
    <w:multiLevelType w:val="singleLevel"/>
    <w:tmpl w:val="29BA1E1C"/>
    <w:lvl w:ilvl="0" w:tentative="0">
      <w:start w:val="1"/>
      <w:numFmt w:val="chineseCounting"/>
      <w:suff w:val="space"/>
      <w:lvlText w:val="第%1章"/>
      <w:lvlJc w:val="left"/>
      <w:rPr>
        <w:rFonts w:hint="eastAsia"/>
      </w:rPr>
    </w:lvl>
  </w:abstractNum>
  <w:abstractNum w:abstractNumId="2">
    <w:nsid w:val="433192AB"/>
    <w:multiLevelType w:val="singleLevel"/>
    <w:tmpl w:val="433192AB"/>
    <w:lvl w:ilvl="0" w:tentative="0">
      <w:start w:val="8"/>
      <w:numFmt w:val="decimal"/>
      <w:suff w:val="space"/>
      <w:lvlText w:val="（%1）"/>
      <w:lvlJc w:val="left"/>
    </w:lvl>
  </w:abstractNum>
  <w:abstractNum w:abstractNumId="3">
    <w:nsid w:val="5C487675"/>
    <w:multiLevelType w:val="multilevel"/>
    <w:tmpl w:val="5C487675"/>
    <w:lvl w:ilvl="0" w:tentative="0">
      <w:start w:val="1"/>
      <w:numFmt w:val="decimal"/>
      <w:lvlText w:val="第%1章"/>
      <w:lvlJc w:val="left"/>
      <w:pPr>
        <w:ind w:left="425" w:hanging="425"/>
      </w:pPr>
      <w:rPr>
        <w:rFonts w:hint="eastAsia"/>
        <w:sz w:val="44"/>
      </w:rPr>
    </w:lvl>
    <w:lvl w:ilvl="1" w:tentative="0">
      <w:start w:val="1"/>
      <w:numFmt w:val="decimal"/>
      <w:lvlText w:val="%1.%2"/>
      <w:lvlJc w:val="left"/>
      <w:pPr>
        <w:ind w:left="0" w:firstLine="0"/>
      </w:pPr>
      <w:rPr>
        <w:rFonts w:hint="eastAsia"/>
        <w:sz w:val="36"/>
      </w:rPr>
    </w:lvl>
    <w:lvl w:ilvl="2" w:tentative="0">
      <w:start w:val="1"/>
      <w:numFmt w:val="decimal"/>
      <w:pStyle w:val="239"/>
      <w:lvlText w:val="%1.%2.%3"/>
      <w:lvlJc w:val="left"/>
      <w:pPr>
        <w:ind w:left="397" w:firstLine="0"/>
      </w:pPr>
      <w:rPr>
        <w:rFonts w:hint="eastAsia"/>
        <w:sz w:val="32"/>
      </w:rPr>
    </w:lvl>
    <w:lvl w:ilvl="3" w:tentative="0">
      <w:start w:val="1"/>
      <w:numFmt w:val="decimal"/>
      <w:lvlText w:val="%1.%2.%3.%4"/>
      <w:lvlJc w:val="left"/>
      <w:pPr>
        <w:ind w:left="851" w:firstLine="0"/>
      </w:pPr>
      <w:rPr>
        <w:rFonts w:hint="eastAsia"/>
        <w:sz w:val="30"/>
      </w:rPr>
    </w:lvl>
    <w:lvl w:ilvl="4" w:tentative="0">
      <w:start w:val="1"/>
      <w:numFmt w:val="decimal"/>
      <w:lvlText w:val="%1.%2.%3.%4.%5"/>
      <w:lvlJc w:val="left"/>
      <w:pPr>
        <w:ind w:left="1134" w:firstLine="0"/>
      </w:pPr>
      <w:rPr>
        <w:rFonts w:hint="eastAsia"/>
        <w:sz w:val="28"/>
      </w:rPr>
    </w:lvl>
    <w:lvl w:ilvl="5" w:tentative="0">
      <w:start w:val="1"/>
      <w:numFmt w:val="decimal"/>
      <w:lvlText w:val="%1.%2.%3.%4.%5.%6"/>
      <w:lvlJc w:val="left"/>
      <w:pPr>
        <w:ind w:left="3260" w:hanging="1134"/>
      </w:pPr>
      <w:rPr>
        <w:rFonts w:hint="eastAsia"/>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33937FA"/>
    <w:multiLevelType w:val="singleLevel"/>
    <w:tmpl w:val="633937FA"/>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mQ3ZDM3ZmE2ZTc5ZjEwNThhZDZiNmIxMDAwOWUifQ=="/>
    <w:docVar w:name="KSO_WPS_MARK_KEY" w:val="8c7e8c30-de3d-4d87-a947-c290ba7e4744"/>
  </w:docVars>
  <w:rsids>
    <w:rsidRoot w:val="00172A27"/>
    <w:rsid w:val="000001D1"/>
    <w:rsid w:val="00002C1F"/>
    <w:rsid w:val="00003574"/>
    <w:rsid w:val="0000688B"/>
    <w:rsid w:val="00007BCE"/>
    <w:rsid w:val="00007DED"/>
    <w:rsid w:val="00016C5D"/>
    <w:rsid w:val="00021E99"/>
    <w:rsid w:val="00023F5F"/>
    <w:rsid w:val="00024CD5"/>
    <w:rsid w:val="00025A75"/>
    <w:rsid w:val="00025A93"/>
    <w:rsid w:val="000267EF"/>
    <w:rsid w:val="00037BE7"/>
    <w:rsid w:val="00040C24"/>
    <w:rsid w:val="000415D5"/>
    <w:rsid w:val="00043C5B"/>
    <w:rsid w:val="00043EA3"/>
    <w:rsid w:val="0004459A"/>
    <w:rsid w:val="00045266"/>
    <w:rsid w:val="00047899"/>
    <w:rsid w:val="000538D8"/>
    <w:rsid w:val="000554EC"/>
    <w:rsid w:val="00056052"/>
    <w:rsid w:val="00056A12"/>
    <w:rsid w:val="0006415F"/>
    <w:rsid w:val="0006577B"/>
    <w:rsid w:val="0006580D"/>
    <w:rsid w:val="00071935"/>
    <w:rsid w:val="000740A9"/>
    <w:rsid w:val="00095731"/>
    <w:rsid w:val="000B1DF8"/>
    <w:rsid w:val="000D10E4"/>
    <w:rsid w:val="000D548B"/>
    <w:rsid w:val="000D6161"/>
    <w:rsid w:val="000D7181"/>
    <w:rsid w:val="000E1026"/>
    <w:rsid w:val="000E2A9D"/>
    <w:rsid w:val="000E2E8A"/>
    <w:rsid w:val="000E4F4A"/>
    <w:rsid w:val="000E751C"/>
    <w:rsid w:val="000F73EF"/>
    <w:rsid w:val="000F7B80"/>
    <w:rsid w:val="00100D67"/>
    <w:rsid w:val="00105780"/>
    <w:rsid w:val="001075B9"/>
    <w:rsid w:val="00110934"/>
    <w:rsid w:val="00116098"/>
    <w:rsid w:val="00116F6D"/>
    <w:rsid w:val="00124490"/>
    <w:rsid w:val="00130A0E"/>
    <w:rsid w:val="00140B69"/>
    <w:rsid w:val="0014684D"/>
    <w:rsid w:val="0015178F"/>
    <w:rsid w:val="001566DD"/>
    <w:rsid w:val="00162EEA"/>
    <w:rsid w:val="00170817"/>
    <w:rsid w:val="00172A27"/>
    <w:rsid w:val="0018539E"/>
    <w:rsid w:val="00190A60"/>
    <w:rsid w:val="00190D7C"/>
    <w:rsid w:val="0019653E"/>
    <w:rsid w:val="001A0968"/>
    <w:rsid w:val="001A4DBA"/>
    <w:rsid w:val="001A722B"/>
    <w:rsid w:val="001B1981"/>
    <w:rsid w:val="001B55DB"/>
    <w:rsid w:val="001B6E59"/>
    <w:rsid w:val="001C04AD"/>
    <w:rsid w:val="001C5971"/>
    <w:rsid w:val="001C59BE"/>
    <w:rsid w:val="001C7AB4"/>
    <w:rsid w:val="001D15B2"/>
    <w:rsid w:val="001E0075"/>
    <w:rsid w:val="001E5215"/>
    <w:rsid w:val="001F0DF9"/>
    <w:rsid w:val="001F18AF"/>
    <w:rsid w:val="001F4501"/>
    <w:rsid w:val="001F5C0C"/>
    <w:rsid w:val="0020158E"/>
    <w:rsid w:val="0020175C"/>
    <w:rsid w:val="00202095"/>
    <w:rsid w:val="002102D0"/>
    <w:rsid w:val="00213177"/>
    <w:rsid w:val="00217C44"/>
    <w:rsid w:val="0022255F"/>
    <w:rsid w:val="00223D99"/>
    <w:rsid w:val="002351E2"/>
    <w:rsid w:val="00240247"/>
    <w:rsid w:val="002415D4"/>
    <w:rsid w:val="00252DF9"/>
    <w:rsid w:val="002535FA"/>
    <w:rsid w:val="002539E7"/>
    <w:rsid w:val="002554A6"/>
    <w:rsid w:val="00257358"/>
    <w:rsid w:val="002637F5"/>
    <w:rsid w:val="002678AD"/>
    <w:rsid w:val="00271B91"/>
    <w:rsid w:val="00277883"/>
    <w:rsid w:val="002819BA"/>
    <w:rsid w:val="00292358"/>
    <w:rsid w:val="00296B29"/>
    <w:rsid w:val="002A0181"/>
    <w:rsid w:val="002A29D7"/>
    <w:rsid w:val="002A4B12"/>
    <w:rsid w:val="002A6938"/>
    <w:rsid w:val="002B0492"/>
    <w:rsid w:val="002B0F0C"/>
    <w:rsid w:val="002C1F71"/>
    <w:rsid w:val="002C3F57"/>
    <w:rsid w:val="002D31F8"/>
    <w:rsid w:val="002D6365"/>
    <w:rsid w:val="002E0C92"/>
    <w:rsid w:val="002E1026"/>
    <w:rsid w:val="002E64B8"/>
    <w:rsid w:val="002F2887"/>
    <w:rsid w:val="0030105E"/>
    <w:rsid w:val="0030229E"/>
    <w:rsid w:val="00306D7D"/>
    <w:rsid w:val="00310844"/>
    <w:rsid w:val="00321E99"/>
    <w:rsid w:val="00323F6C"/>
    <w:rsid w:val="00342768"/>
    <w:rsid w:val="00344818"/>
    <w:rsid w:val="003477E8"/>
    <w:rsid w:val="003505B2"/>
    <w:rsid w:val="0035109D"/>
    <w:rsid w:val="003533C2"/>
    <w:rsid w:val="00361116"/>
    <w:rsid w:val="003628A6"/>
    <w:rsid w:val="00364C39"/>
    <w:rsid w:val="00365574"/>
    <w:rsid w:val="003663D3"/>
    <w:rsid w:val="0037121B"/>
    <w:rsid w:val="00371980"/>
    <w:rsid w:val="00373909"/>
    <w:rsid w:val="003816B4"/>
    <w:rsid w:val="00381BE5"/>
    <w:rsid w:val="00382DD4"/>
    <w:rsid w:val="00390CB7"/>
    <w:rsid w:val="00391228"/>
    <w:rsid w:val="00391D63"/>
    <w:rsid w:val="00393BA0"/>
    <w:rsid w:val="00396E6F"/>
    <w:rsid w:val="003A0B49"/>
    <w:rsid w:val="003A0E5A"/>
    <w:rsid w:val="003A289B"/>
    <w:rsid w:val="003A2F33"/>
    <w:rsid w:val="003A4CAB"/>
    <w:rsid w:val="003A5276"/>
    <w:rsid w:val="003A5F48"/>
    <w:rsid w:val="003B0AC9"/>
    <w:rsid w:val="003B5F4D"/>
    <w:rsid w:val="003B5FAC"/>
    <w:rsid w:val="003C18B2"/>
    <w:rsid w:val="003C2A60"/>
    <w:rsid w:val="003C2AC9"/>
    <w:rsid w:val="003C34E1"/>
    <w:rsid w:val="003C3DF7"/>
    <w:rsid w:val="003D1806"/>
    <w:rsid w:val="003D190A"/>
    <w:rsid w:val="003D7D82"/>
    <w:rsid w:val="003E1465"/>
    <w:rsid w:val="003E353F"/>
    <w:rsid w:val="003F530F"/>
    <w:rsid w:val="003F5773"/>
    <w:rsid w:val="003F646A"/>
    <w:rsid w:val="0040410C"/>
    <w:rsid w:val="0040706D"/>
    <w:rsid w:val="00410E6B"/>
    <w:rsid w:val="00414040"/>
    <w:rsid w:val="00415036"/>
    <w:rsid w:val="004154F0"/>
    <w:rsid w:val="00415FE4"/>
    <w:rsid w:val="00416A1B"/>
    <w:rsid w:val="004171E1"/>
    <w:rsid w:val="00417F64"/>
    <w:rsid w:val="004218D9"/>
    <w:rsid w:val="00425116"/>
    <w:rsid w:val="00426E89"/>
    <w:rsid w:val="004303B6"/>
    <w:rsid w:val="00434130"/>
    <w:rsid w:val="00450A5C"/>
    <w:rsid w:val="00453889"/>
    <w:rsid w:val="0045474D"/>
    <w:rsid w:val="004570FA"/>
    <w:rsid w:val="00460A44"/>
    <w:rsid w:val="004666E5"/>
    <w:rsid w:val="004723FC"/>
    <w:rsid w:val="00487E43"/>
    <w:rsid w:val="004937A8"/>
    <w:rsid w:val="004A0DC0"/>
    <w:rsid w:val="004A1F19"/>
    <w:rsid w:val="004A2A93"/>
    <w:rsid w:val="004A344A"/>
    <w:rsid w:val="004A3A3C"/>
    <w:rsid w:val="004A58C3"/>
    <w:rsid w:val="004B41C3"/>
    <w:rsid w:val="004B7976"/>
    <w:rsid w:val="004C0A72"/>
    <w:rsid w:val="004C1197"/>
    <w:rsid w:val="004C1691"/>
    <w:rsid w:val="004C1EBA"/>
    <w:rsid w:val="004C26BC"/>
    <w:rsid w:val="004D1130"/>
    <w:rsid w:val="004E6D75"/>
    <w:rsid w:val="004F06BD"/>
    <w:rsid w:val="004F0A05"/>
    <w:rsid w:val="005002CA"/>
    <w:rsid w:val="0050235F"/>
    <w:rsid w:val="005033C4"/>
    <w:rsid w:val="0051094B"/>
    <w:rsid w:val="00512F09"/>
    <w:rsid w:val="005138F7"/>
    <w:rsid w:val="00514B25"/>
    <w:rsid w:val="00521B18"/>
    <w:rsid w:val="00522102"/>
    <w:rsid w:val="00522546"/>
    <w:rsid w:val="00530D85"/>
    <w:rsid w:val="005344F9"/>
    <w:rsid w:val="00537CD7"/>
    <w:rsid w:val="00540431"/>
    <w:rsid w:val="00543D5A"/>
    <w:rsid w:val="005452CE"/>
    <w:rsid w:val="00546DAC"/>
    <w:rsid w:val="00547641"/>
    <w:rsid w:val="00551E65"/>
    <w:rsid w:val="005539A0"/>
    <w:rsid w:val="00557BAC"/>
    <w:rsid w:val="005676B1"/>
    <w:rsid w:val="00567A8B"/>
    <w:rsid w:val="00573358"/>
    <w:rsid w:val="00574049"/>
    <w:rsid w:val="00576727"/>
    <w:rsid w:val="00576DF1"/>
    <w:rsid w:val="00580DAE"/>
    <w:rsid w:val="00581016"/>
    <w:rsid w:val="0058322B"/>
    <w:rsid w:val="00585638"/>
    <w:rsid w:val="00590499"/>
    <w:rsid w:val="005926F9"/>
    <w:rsid w:val="0059608A"/>
    <w:rsid w:val="005A47F7"/>
    <w:rsid w:val="005B31E8"/>
    <w:rsid w:val="005B786E"/>
    <w:rsid w:val="005C1340"/>
    <w:rsid w:val="005C1EAA"/>
    <w:rsid w:val="005C5F6D"/>
    <w:rsid w:val="005D1FA6"/>
    <w:rsid w:val="005D5F44"/>
    <w:rsid w:val="005E50E6"/>
    <w:rsid w:val="005F406B"/>
    <w:rsid w:val="005F495A"/>
    <w:rsid w:val="005F7200"/>
    <w:rsid w:val="0060031E"/>
    <w:rsid w:val="00613E79"/>
    <w:rsid w:val="006152F0"/>
    <w:rsid w:val="00615453"/>
    <w:rsid w:val="00615B20"/>
    <w:rsid w:val="00620F37"/>
    <w:rsid w:val="006254AD"/>
    <w:rsid w:val="00626C25"/>
    <w:rsid w:val="0063217D"/>
    <w:rsid w:val="0063285F"/>
    <w:rsid w:val="00634A92"/>
    <w:rsid w:val="00635093"/>
    <w:rsid w:val="00640943"/>
    <w:rsid w:val="00641902"/>
    <w:rsid w:val="0064487F"/>
    <w:rsid w:val="006449D4"/>
    <w:rsid w:val="00645991"/>
    <w:rsid w:val="00646B40"/>
    <w:rsid w:val="006474BF"/>
    <w:rsid w:val="006507A3"/>
    <w:rsid w:val="0065523A"/>
    <w:rsid w:val="00672E1A"/>
    <w:rsid w:val="0067342F"/>
    <w:rsid w:val="00676A6B"/>
    <w:rsid w:val="00677485"/>
    <w:rsid w:val="00681115"/>
    <w:rsid w:val="00686E32"/>
    <w:rsid w:val="00687E93"/>
    <w:rsid w:val="00693C54"/>
    <w:rsid w:val="006A51BD"/>
    <w:rsid w:val="006B2DEB"/>
    <w:rsid w:val="006B39BE"/>
    <w:rsid w:val="006D2A98"/>
    <w:rsid w:val="006D5089"/>
    <w:rsid w:val="006D787E"/>
    <w:rsid w:val="006E52A9"/>
    <w:rsid w:val="006E6D69"/>
    <w:rsid w:val="006F0CF3"/>
    <w:rsid w:val="006F5041"/>
    <w:rsid w:val="00704F31"/>
    <w:rsid w:val="00706557"/>
    <w:rsid w:val="00710D5A"/>
    <w:rsid w:val="007221CC"/>
    <w:rsid w:val="00725983"/>
    <w:rsid w:val="007322C9"/>
    <w:rsid w:val="0073324F"/>
    <w:rsid w:val="00733B64"/>
    <w:rsid w:val="0073493A"/>
    <w:rsid w:val="0073688F"/>
    <w:rsid w:val="007412AC"/>
    <w:rsid w:val="00744990"/>
    <w:rsid w:val="00745AFE"/>
    <w:rsid w:val="007558F4"/>
    <w:rsid w:val="00764EE4"/>
    <w:rsid w:val="00765B31"/>
    <w:rsid w:val="007707F4"/>
    <w:rsid w:val="00773E79"/>
    <w:rsid w:val="00774DDA"/>
    <w:rsid w:val="00777804"/>
    <w:rsid w:val="007830AF"/>
    <w:rsid w:val="007908EB"/>
    <w:rsid w:val="00794688"/>
    <w:rsid w:val="007958D5"/>
    <w:rsid w:val="00796486"/>
    <w:rsid w:val="007A0C10"/>
    <w:rsid w:val="007A6318"/>
    <w:rsid w:val="007C0CAA"/>
    <w:rsid w:val="007C28EA"/>
    <w:rsid w:val="007C65BF"/>
    <w:rsid w:val="007D0A06"/>
    <w:rsid w:val="008001D2"/>
    <w:rsid w:val="00800AF1"/>
    <w:rsid w:val="008051AE"/>
    <w:rsid w:val="0081426F"/>
    <w:rsid w:val="00816D81"/>
    <w:rsid w:val="00822B85"/>
    <w:rsid w:val="0082316D"/>
    <w:rsid w:val="00823688"/>
    <w:rsid w:val="00834949"/>
    <w:rsid w:val="00836DC5"/>
    <w:rsid w:val="00845926"/>
    <w:rsid w:val="008501C1"/>
    <w:rsid w:val="008503E7"/>
    <w:rsid w:val="00850DEF"/>
    <w:rsid w:val="008542D5"/>
    <w:rsid w:val="0085579A"/>
    <w:rsid w:val="008643F1"/>
    <w:rsid w:val="0086769A"/>
    <w:rsid w:val="0087174B"/>
    <w:rsid w:val="00873284"/>
    <w:rsid w:val="00873972"/>
    <w:rsid w:val="00876AD6"/>
    <w:rsid w:val="00885E16"/>
    <w:rsid w:val="008866A7"/>
    <w:rsid w:val="0089000B"/>
    <w:rsid w:val="008905BB"/>
    <w:rsid w:val="00890942"/>
    <w:rsid w:val="008A0175"/>
    <w:rsid w:val="008B0ED7"/>
    <w:rsid w:val="008B7B4F"/>
    <w:rsid w:val="008C09BD"/>
    <w:rsid w:val="008C34F0"/>
    <w:rsid w:val="008D06A0"/>
    <w:rsid w:val="008D5140"/>
    <w:rsid w:val="008E2261"/>
    <w:rsid w:val="008E27DF"/>
    <w:rsid w:val="008E4B86"/>
    <w:rsid w:val="008E4E42"/>
    <w:rsid w:val="008E63DC"/>
    <w:rsid w:val="008F6BE7"/>
    <w:rsid w:val="009001A6"/>
    <w:rsid w:val="009011B9"/>
    <w:rsid w:val="009024EB"/>
    <w:rsid w:val="009042C0"/>
    <w:rsid w:val="00905D56"/>
    <w:rsid w:val="0090752F"/>
    <w:rsid w:val="009134BF"/>
    <w:rsid w:val="009165DF"/>
    <w:rsid w:val="00916DB7"/>
    <w:rsid w:val="00924D8F"/>
    <w:rsid w:val="00926DB5"/>
    <w:rsid w:val="00930BFE"/>
    <w:rsid w:val="009318C7"/>
    <w:rsid w:val="0093720B"/>
    <w:rsid w:val="00947146"/>
    <w:rsid w:val="009572B9"/>
    <w:rsid w:val="009639CC"/>
    <w:rsid w:val="00971BDE"/>
    <w:rsid w:val="009762E1"/>
    <w:rsid w:val="00976EFB"/>
    <w:rsid w:val="009841C9"/>
    <w:rsid w:val="00990375"/>
    <w:rsid w:val="00994C10"/>
    <w:rsid w:val="009A0312"/>
    <w:rsid w:val="009A28B2"/>
    <w:rsid w:val="009A2A88"/>
    <w:rsid w:val="009A2F9C"/>
    <w:rsid w:val="009B32BB"/>
    <w:rsid w:val="009C1497"/>
    <w:rsid w:val="009C2DE3"/>
    <w:rsid w:val="009C41B0"/>
    <w:rsid w:val="009C5392"/>
    <w:rsid w:val="009C5A2A"/>
    <w:rsid w:val="009C614F"/>
    <w:rsid w:val="009C7915"/>
    <w:rsid w:val="009D0EA3"/>
    <w:rsid w:val="009D299C"/>
    <w:rsid w:val="009E0214"/>
    <w:rsid w:val="009E2393"/>
    <w:rsid w:val="009F1EFC"/>
    <w:rsid w:val="00A02D3B"/>
    <w:rsid w:val="00A07F6F"/>
    <w:rsid w:val="00A11E4C"/>
    <w:rsid w:val="00A14BDA"/>
    <w:rsid w:val="00A151A1"/>
    <w:rsid w:val="00A15F00"/>
    <w:rsid w:val="00A20D22"/>
    <w:rsid w:val="00A215FC"/>
    <w:rsid w:val="00A24DDD"/>
    <w:rsid w:val="00A27CE2"/>
    <w:rsid w:val="00A35302"/>
    <w:rsid w:val="00A36608"/>
    <w:rsid w:val="00A42026"/>
    <w:rsid w:val="00A42635"/>
    <w:rsid w:val="00A45241"/>
    <w:rsid w:val="00A46062"/>
    <w:rsid w:val="00A477EB"/>
    <w:rsid w:val="00A545F0"/>
    <w:rsid w:val="00A575F7"/>
    <w:rsid w:val="00A57FA7"/>
    <w:rsid w:val="00A60859"/>
    <w:rsid w:val="00A6760D"/>
    <w:rsid w:val="00A7181A"/>
    <w:rsid w:val="00A74082"/>
    <w:rsid w:val="00A823C6"/>
    <w:rsid w:val="00A82964"/>
    <w:rsid w:val="00A87CBC"/>
    <w:rsid w:val="00A90A2C"/>
    <w:rsid w:val="00A93F7F"/>
    <w:rsid w:val="00A945D0"/>
    <w:rsid w:val="00A966BD"/>
    <w:rsid w:val="00A97B83"/>
    <w:rsid w:val="00AA6108"/>
    <w:rsid w:val="00AB4EDF"/>
    <w:rsid w:val="00AB518A"/>
    <w:rsid w:val="00AB5757"/>
    <w:rsid w:val="00AB68D7"/>
    <w:rsid w:val="00AC5226"/>
    <w:rsid w:val="00AD05F1"/>
    <w:rsid w:val="00AE161A"/>
    <w:rsid w:val="00AE4279"/>
    <w:rsid w:val="00AE4CFC"/>
    <w:rsid w:val="00AF01A2"/>
    <w:rsid w:val="00AF2F14"/>
    <w:rsid w:val="00B14B61"/>
    <w:rsid w:val="00B17AB6"/>
    <w:rsid w:val="00B21030"/>
    <w:rsid w:val="00B230F5"/>
    <w:rsid w:val="00B23BA4"/>
    <w:rsid w:val="00B24E4D"/>
    <w:rsid w:val="00B30BBC"/>
    <w:rsid w:val="00B31C25"/>
    <w:rsid w:val="00B4435C"/>
    <w:rsid w:val="00B50BD9"/>
    <w:rsid w:val="00B5142A"/>
    <w:rsid w:val="00B55527"/>
    <w:rsid w:val="00B618E6"/>
    <w:rsid w:val="00B6560A"/>
    <w:rsid w:val="00B66E16"/>
    <w:rsid w:val="00B8033E"/>
    <w:rsid w:val="00B928D6"/>
    <w:rsid w:val="00B93CFD"/>
    <w:rsid w:val="00BA2477"/>
    <w:rsid w:val="00BA5904"/>
    <w:rsid w:val="00BA7E17"/>
    <w:rsid w:val="00BB182C"/>
    <w:rsid w:val="00BB2B1A"/>
    <w:rsid w:val="00BC3580"/>
    <w:rsid w:val="00BC6DDA"/>
    <w:rsid w:val="00BD3CC8"/>
    <w:rsid w:val="00BD4FB8"/>
    <w:rsid w:val="00BE46A7"/>
    <w:rsid w:val="00BE4F32"/>
    <w:rsid w:val="00BE7067"/>
    <w:rsid w:val="00BF62B9"/>
    <w:rsid w:val="00C00B9C"/>
    <w:rsid w:val="00C06CA2"/>
    <w:rsid w:val="00C109EC"/>
    <w:rsid w:val="00C12ED9"/>
    <w:rsid w:val="00C21B50"/>
    <w:rsid w:val="00C21BE8"/>
    <w:rsid w:val="00C23308"/>
    <w:rsid w:val="00C26E2C"/>
    <w:rsid w:val="00C30454"/>
    <w:rsid w:val="00C31B42"/>
    <w:rsid w:val="00C34221"/>
    <w:rsid w:val="00C34EBB"/>
    <w:rsid w:val="00C35341"/>
    <w:rsid w:val="00C40E63"/>
    <w:rsid w:val="00C43810"/>
    <w:rsid w:val="00C441D9"/>
    <w:rsid w:val="00C54EFA"/>
    <w:rsid w:val="00C570AA"/>
    <w:rsid w:val="00C61BDA"/>
    <w:rsid w:val="00C6210A"/>
    <w:rsid w:val="00C6305A"/>
    <w:rsid w:val="00C709E2"/>
    <w:rsid w:val="00C72FE6"/>
    <w:rsid w:val="00C76C8A"/>
    <w:rsid w:val="00C8361C"/>
    <w:rsid w:val="00C83CC6"/>
    <w:rsid w:val="00C91522"/>
    <w:rsid w:val="00C97C58"/>
    <w:rsid w:val="00CA29DF"/>
    <w:rsid w:val="00CA77B8"/>
    <w:rsid w:val="00CB14A8"/>
    <w:rsid w:val="00CC10F6"/>
    <w:rsid w:val="00CD0C6F"/>
    <w:rsid w:val="00CD2E76"/>
    <w:rsid w:val="00CD3E33"/>
    <w:rsid w:val="00CD56CF"/>
    <w:rsid w:val="00CE10FB"/>
    <w:rsid w:val="00CE2415"/>
    <w:rsid w:val="00CE73B1"/>
    <w:rsid w:val="00CF29DA"/>
    <w:rsid w:val="00D0031B"/>
    <w:rsid w:val="00D00892"/>
    <w:rsid w:val="00D0367F"/>
    <w:rsid w:val="00D13F57"/>
    <w:rsid w:val="00D16C0D"/>
    <w:rsid w:val="00D2003F"/>
    <w:rsid w:val="00D217ED"/>
    <w:rsid w:val="00D21C13"/>
    <w:rsid w:val="00D26C05"/>
    <w:rsid w:val="00D32FDA"/>
    <w:rsid w:val="00D3392A"/>
    <w:rsid w:val="00D341BE"/>
    <w:rsid w:val="00D40CB5"/>
    <w:rsid w:val="00D41493"/>
    <w:rsid w:val="00D43727"/>
    <w:rsid w:val="00D44A81"/>
    <w:rsid w:val="00D45C40"/>
    <w:rsid w:val="00D5777A"/>
    <w:rsid w:val="00D65A80"/>
    <w:rsid w:val="00D75B46"/>
    <w:rsid w:val="00D819DA"/>
    <w:rsid w:val="00D8528A"/>
    <w:rsid w:val="00D87AD1"/>
    <w:rsid w:val="00D9012D"/>
    <w:rsid w:val="00D9108E"/>
    <w:rsid w:val="00D91092"/>
    <w:rsid w:val="00D940BE"/>
    <w:rsid w:val="00D954C3"/>
    <w:rsid w:val="00DA1B57"/>
    <w:rsid w:val="00DA4464"/>
    <w:rsid w:val="00DA47FC"/>
    <w:rsid w:val="00DB474E"/>
    <w:rsid w:val="00DB7A71"/>
    <w:rsid w:val="00DC0BD8"/>
    <w:rsid w:val="00DC6F9D"/>
    <w:rsid w:val="00DD7263"/>
    <w:rsid w:val="00DD7C3C"/>
    <w:rsid w:val="00DF07D4"/>
    <w:rsid w:val="00DF3C76"/>
    <w:rsid w:val="00E01556"/>
    <w:rsid w:val="00E04727"/>
    <w:rsid w:val="00E10F24"/>
    <w:rsid w:val="00E24C6E"/>
    <w:rsid w:val="00E25281"/>
    <w:rsid w:val="00E26322"/>
    <w:rsid w:val="00E265D6"/>
    <w:rsid w:val="00E2789C"/>
    <w:rsid w:val="00E3248F"/>
    <w:rsid w:val="00E33490"/>
    <w:rsid w:val="00E37326"/>
    <w:rsid w:val="00E42272"/>
    <w:rsid w:val="00E434D5"/>
    <w:rsid w:val="00E45A88"/>
    <w:rsid w:val="00E521C9"/>
    <w:rsid w:val="00E550FA"/>
    <w:rsid w:val="00E60070"/>
    <w:rsid w:val="00E629D3"/>
    <w:rsid w:val="00E62A9B"/>
    <w:rsid w:val="00E63F21"/>
    <w:rsid w:val="00E65E38"/>
    <w:rsid w:val="00E662AA"/>
    <w:rsid w:val="00E7384A"/>
    <w:rsid w:val="00E81B9E"/>
    <w:rsid w:val="00E82D93"/>
    <w:rsid w:val="00E8446E"/>
    <w:rsid w:val="00E84907"/>
    <w:rsid w:val="00E84E70"/>
    <w:rsid w:val="00E91D92"/>
    <w:rsid w:val="00E95283"/>
    <w:rsid w:val="00E95F4D"/>
    <w:rsid w:val="00EA1B50"/>
    <w:rsid w:val="00EA3F4F"/>
    <w:rsid w:val="00EA3F68"/>
    <w:rsid w:val="00EA6C7A"/>
    <w:rsid w:val="00EA779B"/>
    <w:rsid w:val="00EA780E"/>
    <w:rsid w:val="00EA7970"/>
    <w:rsid w:val="00EB32F8"/>
    <w:rsid w:val="00EB4028"/>
    <w:rsid w:val="00EB6CCC"/>
    <w:rsid w:val="00EC1B97"/>
    <w:rsid w:val="00EC2D92"/>
    <w:rsid w:val="00EC76DC"/>
    <w:rsid w:val="00ED0C48"/>
    <w:rsid w:val="00ED1724"/>
    <w:rsid w:val="00ED22E5"/>
    <w:rsid w:val="00ED3543"/>
    <w:rsid w:val="00ED5CF2"/>
    <w:rsid w:val="00ED66D4"/>
    <w:rsid w:val="00EE26C4"/>
    <w:rsid w:val="00EE64FF"/>
    <w:rsid w:val="00EF1B53"/>
    <w:rsid w:val="00EF68F6"/>
    <w:rsid w:val="00F025D9"/>
    <w:rsid w:val="00F07595"/>
    <w:rsid w:val="00F14796"/>
    <w:rsid w:val="00F1504E"/>
    <w:rsid w:val="00F21E47"/>
    <w:rsid w:val="00F311E3"/>
    <w:rsid w:val="00F31C52"/>
    <w:rsid w:val="00F328E5"/>
    <w:rsid w:val="00F36430"/>
    <w:rsid w:val="00F37DAD"/>
    <w:rsid w:val="00F43D0C"/>
    <w:rsid w:val="00F47E69"/>
    <w:rsid w:val="00F507C4"/>
    <w:rsid w:val="00F63F09"/>
    <w:rsid w:val="00F65E51"/>
    <w:rsid w:val="00F66CBF"/>
    <w:rsid w:val="00F74586"/>
    <w:rsid w:val="00F750DA"/>
    <w:rsid w:val="00F759FC"/>
    <w:rsid w:val="00F954FE"/>
    <w:rsid w:val="00FA34FE"/>
    <w:rsid w:val="00FA440B"/>
    <w:rsid w:val="00FA5088"/>
    <w:rsid w:val="00FB2898"/>
    <w:rsid w:val="00FB4FFC"/>
    <w:rsid w:val="00FB7BF7"/>
    <w:rsid w:val="00FC1C8D"/>
    <w:rsid w:val="00FC318F"/>
    <w:rsid w:val="00FC357F"/>
    <w:rsid w:val="00FC4750"/>
    <w:rsid w:val="00FC5152"/>
    <w:rsid w:val="00FC6CB2"/>
    <w:rsid w:val="00FC6D00"/>
    <w:rsid w:val="00FC78A0"/>
    <w:rsid w:val="00FC7A04"/>
    <w:rsid w:val="00FD0DF1"/>
    <w:rsid w:val="00FE7E50"/>
    <w:rsid w:val="00FF7340"/>
    <w:rsid w:val="010A6538"/>
    <w:rsid w:val="010C7E9E"/>
    <w:rsid w:val="010F5F14"/>
    <w:rsid w:val="01114915"/>
    <w:rsid w:val="01233176"/>
    <w:rsid w:val="0128739E"/>
    <w:rsid w:val="012C6EBE"/>
    <w:rsid w:val="012E7B68"/>
    <w:rsid w:val="013415A8"/>
    <w:rsid w:val="01361444"/>
    <w:rsid w:val="013B0B11"/>
    <w:rsid w:val="013C440B"/>
    <w:rsid w:val="01402D73"/>
    <w:rsid w:val="01413242"/>
    <w:rsid w:val="01473AEC"/>
    <w:rsid w:val="014837FC"/>
    <w:rsid w:val="014E1872"/>
    <w:rsid w:val="01501825"/>
    <w:rsid w:val="015D1E37"/>
    <w:rsid w:val="016632ED"/>
    <w:rsid w:val="017437DD"/>
    <w:rsid w:val="01754BC7"/>
    <w:rsid w:val="01774323"/>
    <w:rsid w:val="01777109"/>
    <w:rsid w:val="017E2A82"/>
    <w:rsid w:val="018D5596"/>
    <w:rsid w:val="018E53BB"/>
    <w:rsid w:val="018F047A"/>
    <w:rsid w:val="01A2144B"/>
    <w:rsid w:val="01A47E38"/>
    <w:rsid w:val="01A92D17"/>
    <w:rsid w:val="01AA499D"/>
    <w:rsid w:val="01AD125C"/>
    <w:rsid w:val="01BD680B"/>
    <w:rsid w:val="01BF098D"/>
    <w:rsid w:val="01BF7297"/>
    <w:rsid w:val="01C13FA1"/>
    <w:rsid w:val="01C250C8"/>
    <w:rsid w:val="01C57BC6"/>
    <w:rsid w:val="01CC68B2"/>
    <w:rsid w:val="01CF196D"/>
    <w:rsid w:val="01D325F8"/>
    <w:rsid w:val="01D74CA6"/>
    <w:rsid w:val="01D933E1"/>
    <w:rsid w:val="01E93984"/>
    <w:rsid w:val="01ED310F"/>
    <w:rsid w:val="01F45283"/>
    <w:rsid w:val="020166F4"/>
    <w:rsid w:val="02023A3D"/>
    <w:rsid w:val="02036662"/>
    <w:rsid w:val="020A7DED"/>
    <w:rsid w:val="021652D6"/>
    <w:rsid w:val="021745C2"/>
    <w:rsid w:val="021B5C89"/>
    <w:rsid w:val="02210B68"/>
    <w:rsid w:val="02225B04"/>
    <w:rsid w:val="02243EDA"/>
    <w:rsid w:val="0225047C"/>
    <w:rsid w:val="022551F2"/>
    <w:rsid w:val="022602E1"/>
    <w:rsid w:val="02261EF1"/>
    <w:rsid w:val="0229183F"/>
    <w:rsid w:val="023A7077"/>
    <w:rsid w:val="023C4E17"/>
    <w:rsid w:val="0247567F"/>
    <w:rsid w:val="024B2775"/>
    <w:rsid w:val="02522323"/>
    <w:rsid w:val="02560D18"/>
    <w:rsid w:val="025832D3"/>
    <w:rsid w:val="025A2A63"/>
    <w:rsid w:val="0263791D"/>
    <w:rsid w:val="02660637"/>
    <w:rsid w:val="026608A3"/>
    <w:rsid w:val="02663939"/>
    <w:rsid w:val="02690DFF"/>
    <w:rsid w:val="027841F2"/>
    <w:rsid w:val="027A12B0"/>
    <w:rsid w:val="027E0D1B"/>
    <w:rsid w:val="02844D5F"/>
    <w:rsid w:val="028A598A"/>
    <w:rsid w:val="02916F11"/>
    <w:rsid w:val="029B375C"/>
    <w:rsid w:val="029C3B08"/>
    <w:rsid w:val="02A23E73"/>
    <w:rsid w:val="02A470ED"/>
    <w:rsid w:val="02AA14B7"/>
    <w:rsid w:val="02B66C79"/>
    <w:rsid w:val="02B725D1"/>
    <w:rsid w:val="02BB5ECE"/>
    <w:rsid w:val="02C71A3B"/>
    <w:rsid w:val="02C81BA4"/>
    <w:rsid w:val="02CE1346"/>
    <w:rsid w:val="02CE3699"/>
    <w:rsid w:val="02CE5187"/>
    <w:rsid w:val="02D21057"/>
    <w:rsid w:val="02D35D36"/>
    <w:rsid w:val="02D53789"/>
    <w:rsid w:val="02E01AEF"/>
    <w:rsid w:val="02E368F4"/>
    <w:rsid w:val="02F14DF7"/>
    <w:rsid w:val="02FC78AB"/>
    <w:rsid w:val="03086BBE"/>
    <w:rsid w:val="0328120C"/>
    <w:rsid w:val="032835A4"/>
    <w:rsid w:val="032F29C8"/>
    <w:rsid w:val="032F4404"/>
    <w:rsid w:val="03316FEA"/>
    <w:rsid w:val="033B12BD"/>
    <w:rsid w:val="03502D9E"/>
    <w:rsid w:val="03537909"/>
    <w:rsid w:val="03572FF7"/>
    <w:rsid w:val="03583C5B"/>
    <w:rsid w:val="03584069"/>
    <w:rsid w:val="035C330F"/>
    <w:rsid w:val="035C6F76"/>
    <w:rsid w:val="035D3297"/>
    <w:rsid w:val="03613E17"/>
    <w:rsid w:val="03657B52"/>
    <w:rsid w:val="036E6271"/>
    <w:rsid w:val="037524B1"/>
    <w:rsid w:val="0377715F"/>
    <w:rsid w:val="037E2C96"/>
    <w:rsid w:val="038A6C1D"/>
    <w:rsid w:val="038E7A37"/>
    <w:rsid w:val="03912F9C"/>
    <w:rsid w:val="03A26EFC"/>
    <w:rsid w:val="03A36CC6"/>
    <w:rsid w:val="03A81B5B"/>
    <w:rsid w:val="03AE2F25"/>
    <w:rsid w:val="03B21C17"/>
    <w:rsid w:val="03B41CB7"/>
    <w:rsid w:val="03B60BF9"/>
    <w:rsid w:val="03B72490"/>
    <w:rsid w:val="03B8645A"/>
    <w:rsid w:val="03C81B45"/>
    <w:rsid w:val="03D25005"/>
    <w:rsid w:val="03D270B5"/>
    <w:rsid w:val="03D36B41"/>
    <w:rsid w:val="03D67670"/>
    <w:rsid w:val="03DC737C"/>
    <w:rsid w:val="03DF1EFE"/>
    <w:rsid w:val="03F37B6E"/>
    <w:rsid w:val="03FC033A"/>
    <w:rsid w:val="03FC79DE"/>
    <w:rsid w:val="03FE3903"/>
    <w:rsid w:val="03FF4C47"/>
    <w:rsid w:val="04010D18"/>
    <w:rsid w:val="04060440"/>
    <w:rsid w:val="040C0CA9"/>
    <w:rsid w:val="041132F7"/>
    <w:rsid w:val="04136AEB"/>
    <w:rsid w:val="04210BD8"/>
    <w:rsid w:val="04294EA9"/>
    <w:rsid w:val="043D46F8"/>
    <w:rsid w:val="044141EF"/>
    <w:rsid w:val="04491C62"/>
    <w:rsid w:val="044E143B"/>
    <w:rsid w:val="045124FD"/>
    <w:rsid w:val="045C717F"/>
    <w:rsid w:val="04747EE2"/>
    <w:rsid w:val="04766CDF"/>
    <w:rsid w:val="047C7A9D"/>
    <w:rsid w:val="0487573F"/>
    <w:rsid w:val="048D7275"/>
    <w:rsid w:val="048E5BEE"/>
    <w:rsid w:val="048F7135"/>
    <w:rsid w:val="049A7BD3"/>
    <w:rsid w:val="049E4D12"/>
    <w:rsid w:val="04A15406"/>
    <w:rsid w:val="04A30C83"/>
    <w:rsid w:val="04A77D6F"/>
    <w:rsid w:val="04A85C50"/>
    <w:rsid w:val="04A96068"/>
    <w:rsid w:val="04AB15BC"/>
    <w:rsid w:val="04B45DFC"/>
    <w:rsid w:val="04B67A1F"/>
    <w:rsid w:val="04B807B5"/>
    <w:rsid w:val="04BF4A59"/>
    <w:rsid w:val="04C26841"/>
    <w:rsid w:val="04D20B7C"/>
    <w:rsid w:val="04D55D20"/>
    <w:rsid w:val="04DE566C"/>
    <w:rsid w:val="04E452F2"/>
    <w:rsid w:val="04E8504B"/>
    <w:rsid w:val="04F239EA"/>
    <w:rsid w:val="04F47346"/>
    <w:rsid w:val="04F70A64"/>
    <w:rsid w:val="04F76DD4"/>
    <w:rsid w:val="04F803B4"/>
    <w:rsid w:val="04FC2084"/>
    <w:rsid w:val="051019BD"/>
    <w:rsid w:val="0518640C"/>
    <w:rsid w:val="051A565C"/>
    <w:rsid w:val="051B5E4F"/>
    <w:rsid w:val="051C42D9"/>
    <w:rsid w:val="051F77E0"/>
    <w:rsid w:val="05216AB0"/>
    <w:rsid w:val="05245316"/>
    <w:rsid w:val="05254C4B"/>
    <w:rsid w:val="05261646"/>
    <w:rsid w:val="05265C36"/>
    <w:rsid w:val="052D007E"/>
    <w:rsid w:val="052D413A"/>
    <w:rsid w:val="054C76DB"/>
    <w:rsid w:val="05553A81"/>
    <w:rsid w:val="055A4F5B"/>
    <w:rsid w:val="055F0502"/>
    <w:rsid w:val="05620EEE"/>
    <w:rsid w:val="056B3271"/>
    <w:rsid w:val="056E0FA3"/>
    <w:rsid w:val="05736A11"/>
    <w:rsid w:val="05773B83"/>
    <w:rsid w:val="057F1A68"/>
    <w:rsid w:val="0580501B"/>
    <w:rsid w:val="05846278"/>
    <w:rsid w:val="058A40EC"/>
    <w:rsid w:val="058D2915"/>
    <w:rsid w:val="058D3375"/>
    <w:rsid w:val="059A3D38"/>
    <w:rsid w:val="059F5348"/>
    <w:rsid w:val="05AB606E"/>
    <w:rsid w:val="05B6103A"/>
    <w:rsid w:val="05B67C78"/>
    <w:rsid w:val="05BA3738"/>
    <w:rsid w:val="05BC54BB"/>
    <w:rsid w:val="05BE5B43"/>
    <w:rsid w:val="05C25634"/>
    <w:rsid w:val="05C303C2"/>
    <w:rsid w:val="05C479C1"/>
    <w:rsid w:val="05C641A8"/>
    <w:rsid w:val="05D15611"/>
    <w:rsid w:val="05D60639"/>
    <w:rsid w:val="05DD3710"/>
    <w:rsid w:val="05F13345"/>
    <w:rsid w:val="05FE35CB"/>
    <w:rsid w:val="06071298"/>
    <w:rsid w:val="0607279E"/>
    <w:rsid w:val="0607620B"/>
    <w:rsid w:val="06077020"/>
    <w:rsid w:val="061206B4"/>
    <w:rsid w:val="061B42FF"/>
    <w:rsid w:val="061B4D2E"/>
    <w:rsid w:val="06212938"/>
    <w:rsid w:val="06284E73"/>
    <w:rsid w:val="06293F8D"/>
    <w:rsid w:val="062A0EF1"/>
    <w:rsid w:val="062F6A41"/>
    <w:rsid w:val="06327EAB"/>
    <w:rsid w:val="06332DD7"/>
    <w:rsid w:val="06366E1F"/>
    <w:rsid w:val="063A2B2C"/>
    <w:rsid w:val="063D2F0C"/>
    <w:rsid w:val="0640241D"/>
    <w:rsid w:val="064D5AEF"/>
    <w:rsid w:val="064E4F43"/>
    <w:rsid w:val="064E7857"/>
    <w:rsid w:val="06553DC8"/>
    <w:rsid w:val="06585F98"/>
    <w:rsid w:val="065A5F02"/>
    <w:rsid w:val="065D710A"/>
    <w:rsid w:val="06634E20"/>
    <w:rsid w:val="06650E74"/>
    <w:rsid w:val="066856F7"/>
    <w:rsid w:val="066910D6"/>
    <w:rsid w:val="06712C5C"/>
    <w:rsid w:val="06753754"/>
    <w:rsid w:val="06785CC5"/>
    <w:rsid w:val="067904D5"/>
    <w:rsid w:val="067D72CA"/>
    <w:rsid w:val="068B295C"/>
    <w:rsid w:val="068C4828"/>
    <w:rsid w:val="06924322"/>
    <w:rsid w:val="06954AF6"/>
    <w:rsid w:val="06976776"/>
    <w:rsid w:val="06986CCA"/>
    <w:rsid w:val="06AB3CE9"/>
    <w:rsid w:val="06B036DE"/>
    <w:rsid w:val="06B24597"/>
    <w:rsid w:val="06B34826"/>
    <w:rsid w:val="06B354BC"/>
    <w:rsid w:val="06B372D2"/>
    <w:rsid w:val="06B9290C"/>
    <w:rsid w:val="06BC5541"/>
    <w:rsid w:val="06BD7C56"/>
    <w:rsid w:val="06C95CD2"/>
    <w:rsid w:val="06C96A9A"/>
    <w:rsid w:val="06CE129C"/>
    <w:rsid w:val="06CE2684"/>
    <w:rsid w:val="06D023A3"/>
    <w:rsid w:val="06D039AA"/>
    <w:rsid w:val="06D070E0"/>
    <w:rsid w:val="06DC570A"/>
    <w:rsid w:val="06DF06B0"/>
    <w:rsid w:val="06E136E1"/>
    <w:rsid w:val="06E8731C"/>
    <w:rsid w:val="06E94E42"/>
    <w:rsid w:val="06EC4CA7"/>
    <w:rsid w:val="06EF2B18"/>
    <w:rsid w:val="06F17688"/>
    <w:rsid w:val="06F53406"/>
    <w:rsid w:val="07007DF2"/>
    <w:rsid w:val="07080D7E"/>
    <w:rsid w:val="070E6657"/>
    <w:rsid w:val="07107CDD"/>
    <w:rsid w:val="07155306"/>
    <w:rsid w:val="07231C3E"/>
    <w:rsid w:val="072844C3"/>
    <w:rsid w:val="072C14BC"/>
    <w:rsid w:val="073D0077"/>
    <w:rsid w:val="073E594D"/>
    <w:rsid w:val="07476722"/>
    <w:rsid w:val="07527EB1"/>
    <w:rsid w:val="075F6ABF"/>
    <w:rsid w:val="07610E7C"/>
    <w:rsid w:val="076D15CF"/>
    <w:rsid w:val="076F655B"/>
    <w:rsid w:val="077641BC"/>
    <w:rsid w:val="07785D40"/>
    <w:rsid w:val="07824EA1"/>
    <w:rsid w:val="0787506D"/>
    <w:rsid w:val="078C6AD1"/>
    <w:rsid w:val="078E1566"/>
    <w:rsid w:val="07944C75"/>
    <w:rsid w:val="079F5564"/>
    <w:rsid w:val="07A777F1"/>
    <w:rsid w:val="07AD5811"/>
    <w:rsid w:val="07B77FE3"/>
    <w:rsid w:val="07BA10AF"/>
    <w:rsid w:val="07BC45A2"/>
    <w:rsid w:val="07BE7320"/>
    <w:rsid w:val="07BF7A34"/>
    <w:rsid w:val="07C06E6A"/>
    <w:rsid w:val="07CF0F2B"/>
    <w:rsid w:val="07D27038"/>
    <w:rsid w:val="07D712A1"/>
    <w:rsid w:val="07E14FAC"/>
    <w:rsid w:val="07E37708"/>
    <w:rsid w:val="07E51AAD"/>
    <w:rsid w:val="07F61794"/>
    <w:rsid w:val="07F84B9D"/>
    <w:rsid w:val="07F920F7"/>
    <w:rsid w:val="07FA1338"/>
    <w:rsid w:val="07FE2B6F"/>
    <w:rsid w:val="08053EFD"/>
    <w:rsid w:val="08064B71"/>
    <w:rsid w:val="080705AC"/>
    <w:rsid w:val="080A2587"/>
    <w:rsid w:val="08180F83"/>
    <w:rsid w:val="081A5EBB"/>
    <w:rsid w:val="081A7F1A"/>
    <w:rsid w:val="082302F0"/>
    <w:rsid w:val="082F7D4E"/>
    <w:rsid w:val="083145CC"/>
    <w:rsid w:val="083550BF"/>
    <w:rsid w:val="083B1353"/>
    <w:rsid w:val="084367D4"/>
    <w:rsid w:val="084C2ADC"/>
    <w:rsid w:val="084D2AA6"/>
    <w:rsid w:val="086B2CF3"/>
    <w:rsid w:val="08710694"/>
    <w:rsid w:val="08761BAA"/>
    <w:rsid w:val="08790EE0"/>
    <w:rsid w:val="087D1EE5"/>
    <w:rsid w:val="08881CF7"/>
    <w:rsid w:val="0896772B"/>
    <w:rsid w:val="089A78D1"/>
    <w:rsid w:val="08A239EC"/>
    <w:rsid w:val="08A42432"/>
    <w:rsid w:val="08A62A3D"/>
    <w:rsid w:val="08A702C5"/>
    <w:rsid w:val="08A8408F"/>
    <w:rsid w:val="08AC4765"/>
    <w:rsid w:val="08AD6673"/>
    <w:rsid w:val="08AE1EA5"/>
    <w:rsid w:val="08B15841"/>
    <w:rsid w:val="08B41F78"/>
    <w:rsid w:val="08B96CC2"/>
    <w:rsid w:val="08C621E3"/>
    <w:rsid w:val="08C747C6"/>
    <w:rsid w:val="08D27869"/>
    <w:rsid w:val="08D33663"/>
    <w:rsid w:val="08D37973"/>
    <w:rsid w:val="08D82B3D"/>
    <w:rsid w:val="08DE41BC"/>
    <w:rsid w:val="08E04D02"/>
    <w:rsid w:val="08E46921"/>
    <w:rsid w:val="08E76D23"/>
    <w:rsid w:val="08ED1D43"/>
    <w:rsid w:val="08EE3343"/>
    <w:rsid w:val="090053BA"/>
    <w:rsid w:val="090105A7"/>
    <w:rsid w:val="09010F98"/>
    <w:rsid w:val="090622E9"/>
    <w:rsid w:val="09070C38"/>
    <w:rsid w:val="090748EA"/>
    <w:rsid w:val="09076AF9"/>
    <w:rsid w:val="090B1D5E"/>
    <w:rsid w:val="090F0984"/>
    <w:rsid w:val="09104908"/>
    <w:rsid w:val="091D64C2"/>
    <w:rsid w:val="09265ED9"/>
    <w:rsid w:val="092709CC"/>
    <w:rsid w:val="092A5D6A"/>
    <w:rsid w:val="092E73FD"/>
    <w:rsid w:val="09325175"/>
    <w:rsid w:val="093920B1"/>
    <w:rsid w:val="093A3491"/>
    <w:rsid w:val="093A562A"/>
    <w:rsid w:val="093C2BB9"/>
    <w:rsid w:val="093F01AA"/>
    <w:rsid w:val="09405E5A"/>
    <w:rsid w:val="094573BB"/>
    <w:rsid w:val="0946032A"/>
    <w:rsid w:val="09481600"/>
    <w:rsid w:val="09491BC8"/>
    <w:rsid w:val="094E4AAC"/>
    <w:rsid w:val="0953513A"/>
    <w:rsid w:val="09550B60"/>
    <w:rsid w:val="095F164D"/>
    <w:rsid w:val="095F6932"/>
    <w:rsid w:val="09652BB3"/>
    <w:rsid w:val="096A7E55"/>
    <w:rsid w:val="096B1405"/>
    <w:rsid w:val="097717CE"/>
    <w:rsid w:val="09797D80"/>
    <w:rsid w:val="097C6C09"/>
    <w:rsid w:val="098177D2"/>
    <w:rsid w:val="098370C2"/>
    <w:rsid w:val="09857BE6"/>
    <w:rsid w:val="0988059A"/>
    <w:rsid w:val="09880765"/>
    <w:rsid w:val="0988267B"/>
    <w:rsid w:val="09886B94"/>
    <w:rsid w:val="0989460B"/>
    <w:rsid w:val="098C7D6A"/>
    <w:rsid w:val="09945775"/>
    <w:rsid w:val="09987570"/>
    <w:rsid w:val="099C0271"/>
    <w:rsid w:val="099C4235"/>
    <w:rsid w:val="09A17925"/>
    <w:rsid w:val="09A324FA"/>
    <w:rsid w:val="09AA059E"/>
    <w:rsid w:val="09AB0C6C"/>
    <w:rsid w:val="09AE7C76"/>
    <w:rsid w:val="09AF2C97"/>
    <w:rsid w:val="09B117EC"/>
    <w:rsid w:val="09BB513D"/>
    <w:rsid w:val="09BB5640"/>
    <w:rsid w:val="09C73642"/>
    <w:rsid w:val="09C97885"/>
    <w:rsid w:val="09C97FBE"/>
    <w:rsid w:val="09CB20EF"/>
    <w:rsid w:val="09CB6AFB"/>
    <w:rsid w:val="09CC3506"/>
    <w:rsid w:val="09D82239"/>
    <w:rsid w:val="09DC279A"/>
    <w:rsid w:val="09EB7F84"/>
    <w:rsid w:val="09EC69BC"/>
    <w:rsid w:val="0A0F60D3"/>
    <w:rsid w:val="0A1966F1"/>
    <w:rsid w:val="0A25317A"/>
    <w:rsid w:val="0A2E0C04"/>
    <w:rsid w:val="0A2F4532"/>
    <w:rsid w:val="0A303C8D"/>
    <w:rsid w:val="0A3B0B57"/>
    <w:rsid w:val="0A401D5C"/>
    <w:rsid w:val="0A414231"/>
    <w:rsid w:val="0A4800D1"/>
    <w:rsid w:val="0A4B05B2"/>
    <w:rsid w:val="0A5F52DD"/>
    <w:rsid w:val="0A6A2CE6"/>
    <w:rsid w:val="0A6F3963"/>
    <w:rsid w:val="0A702A09"/>
    <w:rsid w:val="0A716B2E"/>
    <w:rsid w:val="0A766A82"/>
    <w:rsid w:val="0A797730"/>
    <w:rsid w:val="0A7F5428"/>
    <w:rsid w:val="0A811DA6"/>
    <w:rsid w:val="0A8D1170"/>
    <w:rsid w:val="0A8F7D96"/>
    <w:rsid w:val="0A93635E"/>
    <w:rsid w:val="0A9411DC"/>
    <w:rsid w:val="0A984BB5"/>
    <w:rsid w:val="0A9B15DC"/>
    <w:rsid w:val="0A9D7A3C"/>
    <w:rsid w:val="0AA03C2F"/>
    <w:rsid w:val="0AA07B2D"/>
    <w:rsid w:val="0AA425D9"/>
    <w:rsid w:val="0AA76A5B"/>
    <w:rsid w:val="0AAA7336"/>
    <w:rsid w:val="0AB1728C"/>
    <w:rsid w:val="0AB71938"/>
    <w:rsid w:val="0ABA3BC3"/>
    <w:rsid w:val="0ABA7F8F"/>
    <w:rsid w:val="0AC215D2"/>
    <w:rsid w:val="0ACB7628"/>
    <w:rsid w:val="0ACC39CC"/>
    <w:rsid w:val="0AD06361"/>
    <w:rsid w:val="0AD14C2A"/>
    <w:rsid w:val="0AD15B6C"/>
    <w:rsid w:val="0AD2392A"/>
    <w:rsid w:val="0AD5453F"/>
    <w:rsid w:val="0AD77065"/>
    <w:rsid w:val="0ADF4592"/>
    <w:rsid w:val="0AE33188"/>
    <w:rsid w:val="0AF13F44"/>
    <w:rsid w:val="0AF21B8E"/>
    <w:rsid w:val="0AF93024"/>
    <w:rsid w:val="0AFE26FA"/>
    <w:rsid w:val="0B0018BE"/>
    <w:rsid w:val="0B02456B"/>
    <w:rsid w:val="0B0264D2"/>
    <w:rsid w:val="0B0446A8"/>
    <w:rsid w:val="0B073AE9"/>
    <w:rsid w:val="0B0D396B"/>
    <w:rsid w:val="0B0D60CD"/>
    <w:rsid w:val="0B112BB9"/>
    <w:rsid w:val="0B13687B"/>
    <w:rsid w:val="0B16128B"/>
    <w:rsid w:val="0B1748B8"/>
    <w:rsid w:val="0B1E4E7D"/>
    <w:rsid w:val="0B2372FD"/>
    <w:rsid w:val="0B250419"/>
    <w:rsid w:val="0B265C1A"/>
    <w:rsid w:val="0B2705B5"/>
    <w:rsid w:val="0B275F39"/>
    <w:rsid w:val="0B2C218C"/>
    <w:rsid w:val="0B342D2A"/>
    <w:rsid w:val="0B38256E"/>
    <w:rsid w:val="0B3A2110"/>
    <w:rsid w:val="0B3B5887"/>
    <w:rsid w:val="0B3F323F"/>
    <w:rsid w:val="0B3F7B1B"/>
    <w:rsid w:val="0B4350B5"/>
    <w:rsid w:val="0B451EB6"/>
    <w:rsid w:val="0B4C5520"/>
    <w:rsid w:val="0B4D3BF1"/>
    <w:rsid w:val="0B4F3D9B"/>
    <w:rsid w:val="0B5961F5"/>
    <w:rsid w:val="0B5B3553"/>
    <w:rsid w:val="0B5C55FA"/>
    <w:rsid w:val="0B5D7BAD"/>
    <w:rsid w:val="0B5E6917"/>
    <w:rsid w:val="0B5F5AB6"/>
    <w:rsid w:val="0B652373"/>
    <w:rsid w:val="0B666D1E"/>
    <w:rsid w:val="0B980BE5"/>
    <w:rsid w:val="0B9A409B"/>
    <w:rsid w:val="0B9F30AF"/>
    <w:rsid w:val="0BA15CEB"/>
    <w:rsid w:val="0BA615B0"/>
    <w:rsid w:val="0BA906AF"/>
    <w:rsid w:val="0BAC77A0"/>
    <w:rsid w:val="0BAD2F53"/>
    <w:rsid w:val="0BB007E1"/>
    <w:rsid w:val="0BB16B2D"/>
    <w:rsid w:val="0BB35344"/>
    <w:rsid w:val="0BB6147E"/>
    <w:rsid w:val="0BB7245D"/>
    <w:rsid w:val="0BB83010"/>
    <w:rsid w:val="0BC111A4"/>
    <w:rsid w:val="0BC244E8"/>
    <w:rsid w:val="0BC32E34"/>
    <w:rsid w:val="0BC366D3"/>
    <w:rsid w:val="0BC640B3"/>
    <w:rsid w:val="0BC82B63"/>
    <w:rsid w:val="0BD53BE7"/>
    <w:rsid w:val="0BD97354"/>
    <w:rsid w:val="0BDC6D23"/>
    <w:rsid w:val="0BE01596"/>
    <w:rsid w:val="0BE33F83"/>
    <w:rsid w:val="0BE61950"/>
    <w:rsid w:val="0BEB61F0"/>
    <w:rsid w:val="0BEC1377"/>
    <w:rsid w:val="0BF6735D"/>
    <w:rsid w:val="0BF73B5D"/>
    <w:rsid w:val="0C0036EF"/>
    <w:rsid w:val="0C062D8D"/>
    <w:rsid w:val="0C0B7609"/>
    <w:rsid w:val="0C157849"/>
    <w:rsid w:val="0C1E4EE9"/>
    <w:rsid w:val="0C2374C7"/>
    <w:rsid w:val="0C260E40"/>
    <w:rsid w:val="0C2B1B44"/>
    <w:rsid w:val="0C2F0C95"/>
    <w:rsid w:val="0C316F49"/>
    <w:rsid w:val="0C3355FF"/>
    <w:rsid w:val="0C420B00"/>
    <w:rsid w:val="0C4258DA"/>
    <w:rsid w:val="0C434BC1"/>
    <w:rsid w:val="0C4576A1"/>
    <w:rsid w:val="0C4E2BEC"/>
    <w:rsid w:val="0C5577EF"/>
    <w:rsid w:val="0C5A04F2"/>
    <w:rsid w:val="0C677E6B"/>
    <w:rsid w:val="0C694C26"/>
    <w:rsid w:val="0C6E5B73"/>
    <w:rsid w:val="0C752494"/>
    <w:rsid w:val="0C7768F3"/>
    <w:rsid w:val="0C78326A"/>
    <w:rsid w:val="0C7E7EA9"/>
    <w:rsid w:val="0C8023E5"/>
    <w:rsid w:val="0C804E0E"/>
    <w:rsid w:val="0C82079B"/>
    <w:rsid w:val="0C880C59"/>
    <w:rsid w:val="0C8873DF"/>
    <w:rsid w:val="0C92108B"/>
    <w:rsid w:val="0C944E7E"/>
    <w:rsid w:val="0CA3265E"/>
    <w:rsid w:val="0CA535B9"/>
    <w:rsid w:val="0CB17F5E"/>
    <w:rsid w:val="0CB43E7E"/>
    <w:rsid w:val="0CB6331A"/>
    <w:rsid w:val="0CB769C1"/>
    <w:rsid w:val="0CB93393"/>
    <w:rsid w:val="0CBE135E"/>
    <w:rsid w:val="0CCE7382"/>
    <w:rsid w:val="0CD75147"/>
    <w:rsid w:val="0CD80E04"/>
    <w:rsid w:val="0CE1133A"/>
    <w:rsid w:val="0CE7222F"/>
    <w:rsid w:val="0CFC41A6"/>
    <w:rsid w:val="0CFD1093"/>
    <w:rsid w:val="0CFD4C0C"/>
    <w:rsid w:val="0D0062D2"/>
    <w:rsid w:val="0D020A0B"/>
    <w:rsid w:val="0D027C53"/>
    <w:rsid w:val="0D055FD4"/>
    <w:rsid w:val="0D10028E"/>
    <w:rsid w:val="0D1F3B01"/>
    <w:rsid w:val="0D225312"/>
    <w:rsid w:val="0D265864"/>
    <w:rsid w:val="0D266DE0"/>
    <w:rsid w:val="0D2E66FE"/>
    <w:rsid w:val="0D3144DB"/>
    <w:rsid w:val="0D3857DA"/>
    <w:rsid w:val="0D4A0077"/>
    <w:rsid w:val="0D4B7BC4"/>
    <w:rsid w:val="0D4E797E"/>
    <w:rsid w:val="0D554FDF"/>
    <w:rsid w:val="0D5648AD"/>
    <w:rsid w:val="0D5D4C67"/>
    <w:rsid w:val="0D604B44"/>
    <w:rsid w:val="0D663BA0"/>
    <w:rsid w:val="0D692839"/>
    <w:rsid w:val="0D6B5658"/>
    <w:rsid w:val="0D6C5B2E"/>
    <w:rsid w:val="0D6F5B9E"/>
    <w:rsid w:val="0D731382"/>
    <w:rsid w:val="0D794016"/>
    <w:rsid w:val="0D796532"/>
    <w:rsid w:val="0D7B0452"/>
    <w:rsid w:val="0D7B6EC0"/>
    <w:rsid w:val="0D7D405D"/>
    <w:rsid w:val="0D815DD4"/>
    <w:rsid w:val="0D8612E1"/>
    <w:rsid w:val="0D876648"/>
    <w:rsid w:val="0D89119D"/>
    <w:rsid w:val="0D976785"/>
    <w:rsid w:val="0DA12C8B"/>
    <w:rsid w:val="0DA83759"/>
    <w:rsid w:val="0DA90237"/>
    <w:rsid w:val="0DA97995"/>
    <w:rsid w:val="0DAE5B76"/>
    <w:rsid w:val="0DB027ED"/>
    <w:rsid w:val="0DB25330"/>
    <w:rsid w:val="0DB25ACF"/>
    <w:rsid w:val="0DB714F1"/>
    <w:rsid w:val="0DBB1EA3"/>
    <w:rsid w:val="0DC4468D"/>
    <w:rsid w:val="0DC61F74"/>
    <w:rsid w:val="0DD93333"/>
    <w:rsid w:val="0DE277A1"/>
    <w:rsid w:val="0DE6743C"/>
    <w:rsid w:val="0DE8376D"/>
    <w:rsid w:val="0DEC271C"/>
    <w:rsid w:val="0DF465A6"/>
    <w:rsid w:val="0E0A6FEB"/>
    <w:rsid w:val="0E100F06"/>
    <w:rsid w:val="0E15651D"/>
    <w:rsid w:val="0E204713"/>
    <w:rsid w:val="0E2511AE"/>
    <w:rsid w:val="0E290B9F"/>
    <w:rsid w:val="0E292187"/>
    <w:rsid w:val="0E3273B4"/>
    <w:rsid w:val="0E34151F"/>
    <w:rsid w:val="0E3578B3"/>
    <w:rsid w:val="0E3B0886"/>
    <w:rsid w:val="0E3B203F"/>
    <w:rsid w:val="0E3C33B1"/>
    <w:rsid w:val="0E4D2933"/>
    <w:rsid w:val="0E4D775F"/>
    <w:rsid w:val="0E4E2605"/>
    <w:rsid w:val="0E5445E3"/>
    <w:rsid w:val="0E55118D"/>
    <w:rsid w:val="0E5B3B28"/>
    <w:rsid w:val="0E5C199C"/>
    <w:rsid w:val="0E5D50EF"/>
    <w:rsid w:val="0E690E71"/>
    <w:rsid w:val="0E691818"/>
    <w:rsid w:val="0E6D0968"/>
    <w:rsid w:val="0E6D6F96"/>
    <w:rsid w:val="0E782497"/>
    <w:rsid w:val="0E783377"/>
    <w:rsid w:val="0E7C4589"/>
    <w:rsid w:val="0E7E04FE"/>
    <w:rsid w:val="0E7E443A"/>
    <w:rsid w:val="0E804564"/>
    <w:rsid w:val="0E884F40"/>
    <w:rsid w:val="0E890439"/>
    <w:rsid w:val="0E896379"/>
    <w:rsid w:val="0E8A5BD3"/>
    <w:rsid w:val="0E8D7ACF"/>
    <w:rsid w:val="0E8E36BE"/>
    <w:rsid w:val="0E9153B9"/>
    <w:rsid w:val="0E96772B"/>
    <w:rsid w:val="0E975FBA"/>
    <w:rsid w:val="0E9E70EB"/>
    <w:rsid w:val="0EA306B8"/>
    <w:rsid w:val="0EA726C2"/>
    <w:rsid w:val="0EA92C5D"/>
    <w:rsid w:val="0EAD1BBA"/>
    <w:rsid w:val="0EB34989"/>
    <w:rsid w:val="0EB52D3A"/>
    <w:rsid w:val="0EB633E8"/>
    <w:rsid w:val="0EB63D25"/>
    <w:rsid w:val="0EB702DD"/>
    <w:rsid w:val="0EB910F2"/>
    <w:rsid w:val="0EB949A7"/>
    <w:rsid w:val="0EBC4CE7"/>
    <w:rsid w:val="0EC5389B"/>
    <w:rsid w:val="0ED14AE5"/>
    <w:rsid w:val="0ED30206"/>
    <w:rsid w:val="0ED60140"/>
    <w:rsid w:val="0EDA5ECF"/>
    <w:rsid w:val="0EE304CF"/>
    <w:rsid w:val="0EEE7275"/>
    <w:rsid w:val="0EF00AAA"/>
    <w:rsid w:val="0EF122C5"/>
    <w:rsid w:val="0EF1682D"/>
    <w:rsid w:val="0EF343CB"/>
    <w:rsid w:val="0EFC6090"/>
    <w:rsid w:val="0EFD6EFA"/>
    <w:rsid w:val="0EFF6669"/>
    <w:rsid w:val="0F0410BF"/>
    <w:rsid w:val="0F046CBD"/>
    <w:rsid w:val="0F0A598E"/>
    <w:rsid w:val="0F0D10B6"/>
    <w:rsid w:val="0F113D34"/>
    <w:rsid w:val="0F131C25"/>
    <w:rsid w:val="0F16727B"/>
    <w:rsid w:val="0F17176A"/>
    <w:rsid w:val="0F1756A4"/>
    <w:rsid w:val="0F190E04"/>
    <w:rsid w:val="0F2074A2"/>
    <w:rsid w:val="0F25029A"/>
    <w:rsid w:val="0F26095E"/>
    <w:rsid w:val="0F27601A"/>
    <w:rsid w:val="0F283F67"/>
    <w:rsid w:val="0F2C2C72"/>
    <w:rsid w:val="0F2E2179"/>
    <w:rsid w:val="0F2E5AE8"/>
    <w:rsid w:val="0F2F5C1C"/>
    <w:rsid w:val="0F315EA1"/>
    <w:rsid w:val="0F327F41"/>
    <w:rsid w:val="0F390247"/>
    <w:rsid w:val="0F3A651B"/>
    <w:rsid w:val="0F3E1872"/>
    <w:rsid w:val="0F3F2A27"/>
    <w:rsid w:val="0F410646"/>
    <w:rsid w:val="0F461D6C"/>
    <w:rsid w:val="0F47161D"/>
    <w:rsid w:val="0F495FAE"/>
    <w:rsid w:val="0F4E168D"/>
    <w:rsid w:val="0F572ADF"/>
    <w:rsid w:val="0F585CCA"/>
    <w:rsid w:val="0F5B677D"/>
    <w:rsid w:val="0F5C1F1A"/>
    <w:rsid w:val="0F60021F"/>
    <w:rsid w:val="0F6359F4"/>
    <w:rsid w:val="0F642AB0"/>
    <w:rsid w:val="0F6611E9"/>
    <w:rsid w:val="0F6F7597"/>
    <w:rsid w:val="0F792848"/>
    <w:rsid w:val="0F793457"/>
    <w:rsid w:val="0F7A20F2"/>
    <w:rsid w:val="0F7E4FDA"/>
    <w:rsid w:val="0F8108A1"/>
    <w:rsid w:val="0F815631"/>
    <w:rsid w:val="0F831E95"/>
    <w:rsid w:val="0F847455"/>
    <w:rsid w:val="0F9705F3"/>
    <w:rsid w:val="0F9A4609"/>
    <w:rsid w:val="0F9A7553"/>
    <w:rsid w:val="0F9B1CBD"/>
    <w:rsid w:val="0F9E7BE2"/>
    <w:rsid w:val="0FA770A6"/>
    <w:rsid w:val="0FA933E6"/>
    <w:rsid w:val="0FB017CD"/>
    <w:rsid w:val="0FB04B23"/>
    <w:rsid w:val="0FB122A5"/>
    <w:rsid w:val="0FB54E9A"/>
    <w:rsid w:val="0FC10769"/>
    <w:rsid w:val="0FC42F6F"/>
    <w:rsid w:val="0FCB2D53"/>
    <w:rsid w:val="0FCB3337"/>
    <w:rsid w:val="0FCB6D1B"/>
    <w:rsid w:val="0FD358EB"/>
    <w:rsid w:val="0FDE17AA"/>
    <w:rsid w:val="0FED1A64"/>
    <w:rsid w:val="0FF038FC"/>
    <w:rsid w:val="0FF26B15"/>
    <w:rsid w:val="0FFF3A48"/>
    <w:rsid w:val="0FFF56D6"/>
    <w:rsid w:val="0FFF6EF6"/>
    <w:rsid w:val="10157EC6"/>
    <w:rsid w:val="101B7032"/>
    <w:rsid w:val="101E24CF"/>
    <w:rsid w:val="10203146"/>
    <w:rsid w:val="102610C0"/>
    <w:rsid w:val="102667F4"/>
    <w:rsid w:val="10284C2D"/>
    <w:rsid w:val="102B535B"/>
    <w:rsid w:val="103E4E6E"/>
    <w:rsid w:val="103E7309"/>
    <w:rsid w:val="10416089"/>
    <w:rsid w:val="104240CC"/>
    <w:rsid w:val="10497F69"/>
    <w:rsid w:val="104B4DC9"/>
    <w:rsid w:val="104C1BEC"/>
    <w:rsid w:val="105874E4"/>
    <w:rsid w:val="105E1C98"/>
    <w:rsid w:val="105F0A00"/>
    <w:rsid w:val="106F56E0"/>
    <w:rsid w:val="10700D1C"/>
    <w:rsid w:val="10705E81"/>
    <w:rsid w:val="10803FE4"/>
    <w:rsid w:val="10834B6E"/>
    <w:rsid w:val="10921EE0"/>
    <w:rsid w:val="10A122E9"/>
    <w:rsid w:val="10A96766"/>
    <w:rsid w:val="10AA0004"/>
    <w:rsid w:val="10AA7326"/>
    <w:rsid w:val="10B479E3"/>
    <w:rsid w:val="10B92487"/>
    <w:rsid w:val="10BD4993"/>
    <w:rsid w:val="10D13AAF"/>
    <w:rsid w:val="10D36F5E"/>
    <w:rsid w:val="10D40911"/>
    <w:rsid w:val="10D73F5D"/>
    <w:rsid w:val="10D876FD"/>
    <w:rsid w:val="10DF51A5"/>
    <w:rsid w:val="10E01044"/>
    <w:rsid w:val="10F1031C"/>
    <w:rsid w:val="10F178FC"/>
    <w:rsid w:val="10F9103E"/>
    <w:rsid w:val="10F91B6C"/>
    <w:rsid w:val="10FC5772"/>
    <w:rsid w:val="10FD1F56"/>
    <w:rsid w:val="10FF3248"/>
    <w:rsid w:val="110B7C52"/>
    <w:rsid w:val="11140836"/>
    <w:rsid w:val="111410DD"/>
    <w:rsid w:val="11145CD5"/>
    <w:rsid w:val="11191FB0"/>
    <w:rsid w:val="111A2154"/>
    <w:rsid w:val="111B02EE"/>
    <w:rsid w:val="111B3388"/>
    <w:rsid w:val="111D4D77"/>
    <w:rsid w:val="11232829"/>
    <w:rsid w:val="11296D7D"/>
    <w:rsid w:val="112B2D58"/>
    <w:rsid w:val="112C31EE"/>
    <w:rsid w:val="112D055E"/>
    <w:rsid w:val="112D6CCD"/>
    <w:rsid w:val="11346CBB"/>
    <w:rsid w:val="1136367A"/>
    <w:rsid w:val="113D24EE"/>
    <w:rsid w:val="1141513C"/>
    <w:rsid w:val="11421D1E"/>
    <w:rsid w:val="114C375A"/>
    <w:rsid w:val="114E30E0"/>
    <w:rsid w:val="114E3115"/>
    <w:rsid w:val="114F42AC"/>
    <w:rsid w:val="11513D10"/>
    <w:rsid w:val="11524E35"/>
    <w:rsid w:val="115C2B36"/>
    <w:rsid w:val="115D0F31"/>
    <w:rsid w:val="115D6662"/>
    <w:rsid w:val="1161138F"/>
    <w:rsid w:val="117143B2"/>
    <w:rsid w:val="11733C86"/>
    <w:rsid w:val="117A7B88"/>
    <w:rsid w:val="117B517F"/>
    <w:rsid w:val="117D0E6B"/>
    <w:rsid w:val="117D1F24"/>
    <w:rsid w:val="118C4D48"/>
    <w:rsid w:val="11966B9D"/>
    <w:rsid w:val="119D7CDF"/>
    <w:rsid w:val="11A55E09"/>
    <w:rsid w:val="11A774A2"/>
    <w:rsid w:val="11AD3988"/>
    <w:rsid w:val="11B13498"/>
    <w:rsid w:val="11B83F88"/>
    <w:rsid w:val="11BC7A8B"/>
    <w:rsid w:val="11BF6E86"/>
    <w:rsid w:val="11C00D3E"/>
    <w:rsid w:val="11C74789"/>
    <w:rsid w:val="11D573F1"/>
    <w:rsid w:val="11D97477"/>
    <w:rsid w:val="11DB4D5B"/>
    <w:rsid w:val="11DC17E5"/>
    <w:rsid w:val="11E62697"/>
    <w:rsid w:val="11E94164"/>
    <w:rsid w:val="11EE6709"/>
    <w:rsid w:val="11F5102E"/>
    <w:rsid w:val="11F55274"/>
    <w:rsid w:val="11F756AC"/>
    <w:rsid w:val="11FC3F74"/>
    <w:rsid w:val="11FD099E"/>
    <w:rsid w:val="12020F04"/>
    <w:rsid w:val="12030064"/>
    <w:rsid w:val="120431A6"/>
    <w:rsid w:val="120929A2"/>
    <w:rsid w:val="12131391"/>
    <w:rsid w:val="121A14D0"/>
    <w:rsid w:val="12220318"/>
    <w:rsid w:val="12264A51"/>
    <w:rsid w:val="122E5DFF"/>
    <w:rsid w:val="12331FA4"/>
    <w:rsid w:val="12337685"/>
    <w:rsid w:val="123846C6"/>
    <w:rsid w:val="123A0811"/>
    <w:rsid w:val="123A1BC7"/>
    <w:rsid w:val="123B1F06"/>
    <w:rsid w:val="123D0729"/>
    <w:rsid w:val="123E7BCF"/>
    <w:rsid w:val="12430DB7"/>
    <w:rsid w:val="12471388"/>
    <w:rsid w:val="124729AB"/>
    <w:rsid w:val="125411EE"/>
    <w:rsid w:val="12541759"/>
    <w:rsid w:val="125F4D6D"/>
    <w:rsid w:val="12614426"/>
    <w:rsid w:val="126200E0"/>
    <w:rsid w:val="126A5674"/>
    <w:rsid w:val="126F6B43"/>
    <w:rsid w:val="1270230E"/>
    <w:rsid w:val="1273125A"/>
    <w:rsid w:val="127A0E51"/>
    <w:rsid w:val="127F3FD8"/>
    <w:rsid w:val="127F4C3B"/>
    <w:rsid w:val="12844361"/>
    <w:rsid w:val="12886B37"/>
    <w:rsid w:val="128D73E2"/>
    <w:rsid w:val="128F7A85"/>
    <w:rsid w:val="12953363"/>
    <w:rsid w:val="12971DE0"/>
    <w:rsid w:val="129A5F1E"/>
    <w:rsid w:val="129C72D0"/>
    <w:rsid w:val="12B5207C"/>
    <w:rsid w:val="12C2248A"/>
    <w:rsid w:val="12C43058"/>
    <w:rsid w:val="12D1733B"/>
    <w:rsid w:val="12D469A6"/>
    <w:rsid w:val="12D7280A"/>
    <w:rsid w:val="12D90460"/>
    <w:rsid w:val="12DB0083"/>
    <w:rsid w:val="12E074EA"/>
    <w:rsid w:val="12E206CB"/>
    <w:rsid w:val="12E91757"/>
    <w:rsid w:val="12EF37E0"/>
    <w:rsid w:val="12F300FC"/>
    <w:rsid w:val="12F46CDB"/>
    <w:rsid w:val="12F64676"/>
    <w:rsid w:val="12FC7CAB"/>
    <w:rsid w:val="12FD071F"/>
    <w:rsid w:val="13066BF4"/>
    <w:rsid w:val="130C56C5"/>
    <w:rsid w:val="130D4019"/>
    <w:rsid w:val="13133314"/>
    <w:rsid w:val="13133606"/>
    <w:rsid w:val="13195901"/>
    <w:rsid w:val="131B5B61"/>
    <w:rsid w:val="13247EE9"/>
    <w:rsid w:val="13291AED"/>
    <w:rsid w:val="132A1E15"/>
    <w:rsid w:val="132F1D05"/>
    <w:rsid w:val="13313DF9"/>
    <w:rsid w:val="133178C3"/>
    <w:rsid w:val="13327A2D"/>
    <w:rsid w:val="13365156"/>
    <w:rsid w:val="13375E3E"/>
    <w:rsid w:val="13393FAE"/>
    <w:rsid w:val="133C6F2C"/>
    <w:rsid w:val="13405DEA"/>
    <w:rsid w:val="1345127B"/>
    <w:rsid w:val="1346033A"/>
    <w:rsid w:val="134B5829"/>
    <w:rsid w:val="135320A0"/>
    <w:rsid w:val="135A1054"/>
    <w:rsid w:val="135D21BD"/>
    <w:rsid w:val="1360132D"/>
    <w:rsid w:val="13652812"/>
    <w:rsid w:val="13705E8D"/>
    <w:rsid w:val="137335D6"/>
    <w:rsid w:val="13750690"/>
    <w:rsid w:val="13795C3B"/>
    <w:rsid w:val="137C0AA2"/>
    <w:rsid w:val="137C1149"/>
    <w:rsid w:val="13811D72"/>
    <w:rsid w:val="13885149"/>
    <w:rsid w:val="138B678C"/>
    <w:rsid w:val="139042E3"/>
    <w:rsid w:val="139F0672"/>
    <w:rsid w:val="13A77CA3"/>
    <w:rsid w:val="13A8796C"/>
    <w:rsid w:val="13A91391"/>
    <w:rsid w:val="13A96B18"/>
    <w:rsid w:val="13AA4A2E"/>
    <w:rsid w:val="13B4778E"/>
    <w:rsid w:val="13B64198"/>
    <w:rsid w:val="13BB1256"/>
    <w:rsid w:val="13C94031"/>
    <w:rsid w:val="13CB5055"/>
    <w:rsid w:val="13CC6FEE"/>
    <w:rsid w:val="13D32386"/>
    <w:rsid w:val="13D37F26"/>
    <w:rsid w:val="13D65414"/>
    <w:rsid w:val="13D85F33"/>
    <w:rsid w:val="13E612FE"/>
    <w:rsid w:val="13E76B83"/>
    <w:rsid w:val="13EA3F5C"/>
    <w:rsid w:val="13EC3E3F"/>
    <w:rsid w:val="13EF44E6"/>
    <w:rsid w:val="13F6735D"/>
    <w:rsid w:val="13F876EB"/>
    <w:rsid w:val="14060DE1"/>
    <w:rsid w:val="14093159"/>
    <w:rsid w:val="14167D0C"/>
    <w:rsid w:val="14192C7F"/>
    <w:rsid w:val="14193DDF"/>
    <w:rsid w:val="141F6313"/>
    <w:rsid w:val="14285B9F"/>
    <w:rsid w:val="142B1B6F"/>
    <w:rsid w:val="142D0DCF"/>
    <w:rsid w:val="143A127E"/>
    <w:rsid w:val="143B682F"/>
    <w:rsid w:val="14430869"/>
    <w:rsid w:val="14432725"/>
    <w:rsid w:val="144642C2"/>
    <w:rsid w:val="14473911"/>
    <w:rsid w:val="1449056A"/>
    <w:rsid w:val="144B0486"/>
    <w:rsid w:val="145270FB"/>
    <w:rsid w:val="145D7B7C"/>
    <w:rsid w:val="1461426A"/>
    <w:rsid w:val="146243A2"/>
    <w:rsid w:val="1463562A"/>
    <w:rsid w:val="14655302"/>
    <w:rsid w:val="14663D16"/>
    <w:rsid w:val="1468208E"/>
    <w:rsid w:val="146B6E1B"/>
    <w:rsid w:val="147E2E6B"/>
    <w:rsid w:val="14804384"/>
    <w:rsid w:val="14854E20"/>
    <w:rsid w:val="148D62F6"/>
    <w:rsid w:val="14900E65"/>
    <w:rsid w:val="149061E2"/>
    <w:rsid w:val="14940A62"/>
    <w:rsid w:val="149439E8"/>
    <w:rsid w:val="14956609"/>
    <w:rsid w:val="149A6CFD"/>
    <w:rsid w:val="14A141B2"/>
    <w:rsid w:val="14A17B0B"/>
    <w:rsid w:val="14BD1EEC"/>
    <w:rsid w:val="14BF2B7A"/>
    <w:rsid w:val="14C5262D"/>
    <w:rsid w:val="14C60BDA"/>
    <w:rsid w:val="14CB5D47"/>
    <w:rsid w:val="14CB6C20"/>
    <w:rsid w:val="14D250B0"/>
    <w:rsid w:val="14D76032"/>
    <w:rsid w:val="14D92A9E"/>
    <w:rsid w:val="14E01004"/>
    <w:rsid w:val="14E2050C"/>
    <w:rsid w:val="14EA1601"/>
    <w:rsid w:val="14EA179D"/>
    <w:rsid w:val="14ED1FA1"/>
    <w:rsid w:val="14F12B8D"/>
    <w:rsid w:val="14F3527D"/>
    <w:rsid w:val="14F92392"/>
    <w:rsid w:val="14FF6FA9"/>
    <w:rsid w:val="15030F54"/>
    <w:rsid w:val="15064C19"/>
    <w:rsid w:val="15121E50"/>
    <w:rsid w:val="151503B1"/>
    <w:rsid w:val="151B18EE"/>
    <w:rsid w:val="151E643C"/>
    <w:rsid w:val="152468BB"/>
    <w:rsid w:val="15273F9C"/>
    <w:rsid w:val="15281DF5"/>
    <w:rsid w:val="15295D94"/>
    <w:rsid w:val="153070B7"/>
    <w:rsid w:val="153C4D95"/>
    <w:rsid w:val="153E533A"/>
    <w:rsid w:val="154632BC"/>
    <w:rsid w:val="154E4F2D"/>
    <w:rsid w:val="15546E88"/>
    <w:rsid w:val="15553CF3"/>
    <w:rsid w:val="155A7A47"/>
    <w:rsid w:val="155B7AE1"/>
    <w:rsid w:val="1567786F"/>
    <w:rsid w:val="15720975"/>
    <w:rsid w:val="15785D0F"/>
    <w:rsid w:val="157B6E3A"/>
    <w:rsid w:val="157C1BA6"/>
    <w:rsid w:val="15836462"/>
    <w:rsid w:val="15853F88"/>
    <w:rsid w:val="1589353B"/>
    <w:rsid w:val="158E0A15"/>
    <w:rsid w:val="159613BE"/>
    <w:rsid w:val="159E0C56"/>
    <w:rsid w:val="15A0556A"/>
    <w:rsid w:val="15A64B0B"/>
    <w:rsid w:val="15AA2092"/>
    <w:rsid w:val="15B3006A"/>
    <w:rsid w:val="15B7244E"/>
    <w:rsid w:val="15B7619F"/>
    <w:rsid w:val="15BF56EC"/>
    <w:rsid w:val="15C62C1A"/>
    <w:rsid w:val="15C7380D"/>
    <w:rsid w:val="15C7675B"/>
    <w:rsid w:val="15C92532"/>
    <w:rsid w:val="15DF0F1F"/>
    <w:rsid w:val="15DF78CC"/>
    <w:rsid w:val="15DF7B3C"/>
    <w:rsid w:val="15E20F74"/>
    <w:rsid w:val="15E51085"/>
    <w:rsid w:val="15E87E38"/>
    <w:rsid w:val="15E92732"/>
    <w:rsid w:val="15EC51EF"/>
    <w:rsid w:val="160025F7"/>
    <w:rsid w:val="16031DE7"/>
    <w:rsid w:val="16292345"/>
    <w:rsid w:val="162A0ABA"/>
    <w:rsid w:val="162E3FBD"/>
    <w:rsid w:val="16362ABF"/>
    <w:rsid w:val="16384275"/>
    <w:rsid w:val="163F682C"/>
    <w:rsid w:val="164B4113"/>
    <w:rsid w:val="165B1291"/>
    <w:rsid w:val="165C118C"/>
    <w:rsid w:val="166107FA"/>
    <w:rsid w:val="16695657"/>
    <w:rsid w:val="16704C38"/>
    <w:rsid w:val="167067A1"/>
    <w:rsid w:val="1673211A"/>
    <w:rsid w:val="167635DC"/>
    <w:rsid w:val="16793AE2"/>
    <w:rsid w:val="167D08B8"/>
    <w:rsid w:val="167F1776"/>
    <w:rsid w:val="16894BB3"/>
    <w:rsid w:val="168A28EF"/>
    <w:rsid w:val="168B1A72"/>
    <w:rsid w:val="169619E0"/>
    <w:rsid w:val="169C19E3"/>
    <w:rsid w:val="169F123F"/>
    <w:rsid w:val="16A070E1"/>
    <w:rsid w:val="16A24727"/>
    <w:rsid w:val="16A42B33"/>
    <w:rsid w:val="16A57368"/>
    <w:rsid w:val="16A86180"/>
    <w:rsid w:val="16A9501F"/>
    <w:rsid w:val="16A967DF"/>
    <w:rsid w:val="16B24ED1"/>
    <w:rsid w:val="16B70A30"/>
    <w:rsid w:val="16BC60CF"/>
    <w:rsid w:val="16BE59A3"/>
    <w:rsid w:val="16C302B2"/>
    <w:rsid w:val="16CC3B80"/>
    <w:rsid w:val="16D109B7"/>
    <w:rsid w:val="16D2144F"/>
    <w:rsid w:val="16D663B2"/>
    <w:rsid w:val="16DC30E2"/>
    <w:rsid w:val="16DD5A00"/>
    <w:rsid w:val="16E46EAC"/>
    <w:rsid w:val="16E606C2"/>
    <w:rsid w:val="16E67B47"/>
    <w:rsid w:val="16E7513A"/>
    <w:rsid w:val="16E871EA"/>
    <w:rsid w:val="16EE0511"/>
    <w:rsid w:val="16F73C11"/>
    <w:rsid w:val="16FB22AF"/>
    <w:rsid w:val="16FB313E"/>
    <w:rsid w:val="16FD1D31"/>
    <w:rsid w:val="16FE7A78"/>
    <w:rsid w:val="17007A6D"/>
    <w:rsid w:val="17025706"/>
    <w:rsid w:val="17026E59"/>
    <w:rsid w:val="17050780"/>
    <w:rsid w:val="17095832"/>
    <w:rsid w:val="171149C8"/>
    <w:rsid w:val="17123AD5"/>
    <w:rsid w:val="171630D1"/>
    <w:rsid w:val="171A3023"/>
    <w:rsid w:val="171C4DC0"/>
    <w:rsid w:val="17261636"/>
    <w:rsid w:val="17437528"/>
    <w:rsid w:val="17464469"/>
    <w:rsid w:val="174834AA"/>
    <w:rsid w:val="17490311"/>
    <w:rsid w:val="175129AF"/>
    <w:rsid w:val="1758511E"/>
    <w:rsid w:val="175B7696"/>
    <w:rsid w:val="17614279"/>
    <w:rsid w:val="17635962"/>
    <w:rsid w:val="17645DDE"/>
    <w:rsid w:val="177230D6"/>
    <w:rsid w:val="1772642F"/>
    <w:rsid w:val="177F6718"/>
    <w:rsid w:val="17814289"/>
    <w:rsid w:val="17854E2C"/>
    <w:rsid w:val="178C46BC"/>
    <w:rsid w:val="178D5E3B"/>
    <w:rsid w:val="17923D7B"/>
    <w:rsid w:val="179A1C58"/>
    <w:rsid w:val="179E6E5A"/>
    <w:rsid w:val="17A5773A"/>
    <w:rsid w:val="17B150CB"/>
    <w:rsid w:val="17B23598"/>
    <w:rsid w:val="17B47768"/>
    <w:rsid w:val="17B85E0F"/>
    <w:rsid w:val="17BF4BF0"/>
    <w:rsid w:val="17C045CA"/>
    <w:rsid w:val="17C85CEA"/>
    <w:rsid w:val="17CE79E2"/>
    <w:rsid w:val="17D40AAA"/>
    <w:rsid w:val="17D46CD6"/>
    <w:rsid w:val="17D87834"/>
    <w:rsid w:val="17D921F0"/>
    <w:rsid w:val="17DF4479"/>
    <w:rsid w:val="17E20DEE"/>
    <w:rsid w:val="17E72060"/>
    <w:rsid w:val="17E92EF4"/>
    <w:rsid w:val="17EB564C"/>
    <w:rsid w:val="17EB5B9A"/>
    <w:rsid w:val="17EE22B8"/>
    <w:rsid w:val="17F640C6"/>
    <w:rsid w:val="17F944DD"/>
    <w:rsid w:val="18052543"/>
    <w:rsid w:val="180E18D0"/>
    <w:rsid w:val="180F4CBE"/>
    <w:rsid w:val="18125949"/>
    <w:rsid w:val="18187E60"/>
    <w:rsid w:val="181E44F2"/>
    <w:rsid w:val="182007DD"/>
    <w:rsid w:val="182C5877"/>
    <w:rsid w:val="182D428A"/>
    <w:rsid w:val="182E3DEC"/>
    <w:rsid w:val="18345F0A"/>
    <w:rsid w:val="183766B2"/>
    <w:rsid w:val="183829B7"/>
    <w:rsid w:val="183A1736"/>
    <w:rsid w:val="1843207A"/>
    <w:rsid w:val="18453F28"/>
    <w:rsid w:val="184753A6"/>
    <w:rsid w:val="18491FB8"/>
    <w:rsid w:val="184C12B5"/>
    <w:rsid w:val="184E5188"/>
    <w:rsid w:val="18523355"/>
    <w:rsid w:val="18566ECD"/>
    <w:rsid w:val="185760FC"/>
    <w:rsid w:val="185840A4"/>
    <w:rsid w:val="185B5474"/>
    <w:rsid w:val="186212BA"/>
    <w:rsid w:val="1864014C"/>
    <w:rsid w:val="187208E1"/>
    <w:rsid w:val="18754D87"/>
    <w:rsid w:val="18784278"/>
    <w:rsid w:val="187B23E5"/>
    <w:rsid w:val="187D051D"/>
    <w:rsid w:val="187D2E0E"/>
    <w:rsid w:val="187D3B10"/>
    <w:rsid w:val="187D644E"/>
    <w:rsid w:val="18820879"/>
    <w:rsid w:val="18881C67"/>
    <w:rsid w:val="18886B04"/>
    <w:rsid w:val="188E0F9F"/>
    <w:rsid w:val="189D6459"/>
    <w:rsid w:val="18A04FFD"/>
    <w:rsid w:val="18A07947"/>
    <w:rsid w:val="18A4634D"/>
    <w:rsid w:val="18A51462"/>
    <w:rsid w:val="18A7764C"/>
    <w:rsid w:val="18AB63FB"/>
    <w:rsid w:val="18AC517B"/>
    <w:rsid w:val="18AE0CBD"/>
    <w:rsid w:val="18AE5289"/>
    <w:rsid w:val="18B371A8"/>
    <w:rsid w:val="18B43502"/>
    <w:rsid w:val="18B771D9"/>
    <w:rsid w:val="18BD4376"/>
    <w:rsid w:val="18C116D2"/>
    <w:rsid w:val="18C55223"/>
    <w:rsid w:val="18C6568D"/>
    <w:rsid w:val="18C77E92"/>
    <w:rsid w:val="18C8358D"/>
    <w:rsid w:val="18C959BB"/>
    <w:rsid w:val="18CA1FE8"/>
    <w:rsid w:val="18D65581"/>
    <w:rsid w:val="18D90BFD"/>
    <w:rsid w:val="18D951B2"/>
    <w:rsid w:val="18E05C0E"/>
    <w:rsid w:val="18E06D9A"/>
    <w:rsid w:val="18E25BE7"/>
    <w:rsid w:val="18E702FB"/>
    <w:rsid w:val="18EB2C9C"/>
    <w:rsid w:val="18F00CE8"/>
    <w:rsid w:val="18FD1EF5"/>
    <w:rsid w:val="18FE4996"/>
    <w:rsid w:val="19065E45"/>
    <w:rsid w:val="190972E9"/>
    <w:rsid w:val="19166CB4"/>
    <w:rsid w:val="192132D6"/>
    <w:rsid w:val="1921612B"/>
    <w:rsid w:val="19287DCA"/>
    <w:rsid w:val="19490AB7"/>
    <w:rsid w:val="1957480F"/>
    <w:rsid w:val="19583977"/>
    <w:rsid w:val="195C2E49"/>
    <w:rsid w:val="19643E2F"/>
    <w:rsid w:val="197455B0"/>
    <w:rsid w:val="197A0717"/>
    <w:rsid w:val="197D1936"/>
    <w:rsid w:val="198253AE"/>
    <w:rsid w:val="199944A6"/>
    <w:rsid w:val="199E2772"/>
    <w:rsid w:val="19A02CD0"/>
    <w:rsid w:val="19A33352"/>
    <w:rsid w:val="19AE764D"/>
    <w:rsid w:val="19AF75D4"/>
    <w:rsid w:val="19B905BB"/>
    <w:rsid w:val="19C3282A"/>
    <w:rsid w:val="19C534ED"/>
    <w:rsid w:val="19C749D9"/>
    <w:rsid w:val="19D15A82"/>
    <w:rsid w:val="19D32BA5"/>
    <w:rsid w:val="19D8115F"/>
    <w:rsid w:val="19D95A8C"/>
    <w:rsid w:val="19DE1A34"/>
    <w:rsid w:val="19DF68D4"/>
    <w:rsid w:val="19E16672"/>
    <w:rsid w:val="19E25F19"/>
    <w:rsid w:val="19E43194"/>
    <w:rsid w:val="19E74261"/>
    <w:rsid w:val="19E930EC"/>
    <w:rsid w:val="19EA6E81"/>
    <w:rsid w:val="19FA6D1A"/>
    <w:rsid w:val="19FB2A6A"/>
    <w:rsid w:val="19FD4F93"/>
    <w:rsid w:val="19FE1B56"/>
    <w:rsid w:val="1A0A6B4F"/>
    <w:rsid w:val="1A0F1ED8"/>
    <w:rsid w:val="1A1507A3"/>
    <w:rsid w:val="1A15521C"/>
    <w:rsid w:val="1A1928B1"/>
    <w:rsid w:val="1A1B40C9"/>
    <w:rsid w:val="1A1F4187"/>
    <w:rsid w:val="1A2017A7"/>
    <w:rsid w:val="1A2053A5"/>
    <w:rsid w:val="1A217C47"/>
    <w:rsid w:val="1A237D40"/>
    <w:rsid w:val="1A266FD5"/>
    <w:rsid w:val="1A285B8C"/>
    <w:rsid w:val="1A2A420D"/>
    <w:rsid w:val="1A2C4317"/>
    <w:rsid w:val="1A2C7DFF"/>
    <w:rsid w:val="1A2D7200"/>
    <w:rsid w:val="1A2F6BB8"/>
    <w:rsid w:val="1A304070"/>
    <w:rsid w:val="1A3654F4"/>
    <w:rsid w:val="1A3A17E5"/>
    <w:rsid w:val="1A3F47B6"/>
    <w:rsid w:val="1A444280"/>
    <w:rsid w:val="1A4965F9"/>
    <w:rsid w:val="1A4C0978"/>
    <w:rsid w:val="1A537548"/>
    <w:rsid w:val="1A5D092B"/>
    <w:rsid w:val="1A5F3F04"/>
    <w:rsid w:val="1A674776"/>
    <w:rsid w:val="1A6A6DC7"/>
    <w:rsid w:val="1A6D2535"/>
    <w:rsid w:val="1A7056AF"/>
    <w:rsid w:val="1A7230CA"/>
    <w:rsid w:val="1A75353A"/>
    <w:rsid w:val="1A7622D0"/>
    <w:rsid w:val="1A782807"/>
    <w:rsid w:val="1A886E5C"/>
    <w:rsid w:val="1A892C97"/>
    <w:rsid w:val="1A8959EC"/>
    <w:rsid w:val="1A901D46"/>
    <w:rsid w:val="1A9E0E31"/>
    <w:rsid w:val="1A9F0FB4"/>
    <w:rsid w:val="1AA06A41"/>
    <w:rsid w:val="1AA519C2"/>
    <w:rsid w:val="1ABA602A"/>
    <w:rsid w:val="1ABA785B"/>
    <w:rsid w:val="1ABD3F9F"/>
    <w:rsid w:val="1ABE55FB"/>
    <w:rsid w:val="1AC33166"/>
    <w:rsid w:val="1AC94295"/>
    <w:rsid w:val="1ACB116F"/>
    <w:rsid w:val="1ACB4062"/>
    <w:rsid w:val="1ACF3554"/>
    <w:rsid w:val="1AD02372"/>
    <w:rsid w:val="1AD5775F"/>
    <w:rsid w:val="1AD606FD"/>
    <w:rsid w:val="1AE612D2"/>
    <w:rsid w:val="1AE77CF0"/>
    <w:rsid w:val="1AEC61C2"/>
    <w:rsid w:val="1AEE2E3A"/>
    <w:rsid w:val="1AF06330"/>
    <w:rsid w:val="1AF33200"/>
    <w:rsid w:val="1AF519ED"/>
    <w:rsid w:val="1AF521D1"/>
    <w:rsid w:val="1AF5342C"/>
    <w:rsid w:val="1AFD533E"/>
    <w:rsid w:val="1AFF1FA4"/>
    <w:rsid w:val="1B0C419E"/>
    <w:rsid w:val="1B157289"/>
    <w:rsid w:val="1B173817"/>
    <w:rsid w:val="1B195BAD"/>
    <w:rsid w:val="1B195FF9"/>
    <w:rsid w:val="1B22725F"/>
    <w:rsid w:val="1B2B151F"/>
    <w:rsid w:val="1B2B4944"/>
    <w:rsid w:val="1B311B22"/>
    <w:rsid w:val="1B3B1532"/>
    <w:rsid w:val="1B4668FD"/>
    <w:rsid w:val="1B47394A"/>
    <w:rsid w:val="1B4C033F"/>
    <w:rsid w:val="1B653E9B"/>
    <w:rsid w:val="1B6860E8"/>
    <w:rsid w:val="1B69390C"/>
    <w:rsid w:val="1B6B3322"/>
    <w:rsid w:val="1B6C6E70"/>
    <w:rsid w:val="1B6E1A71"/>
    <w:rsid w:val="1B702586"/>
    <w:rsid w:val="1B7116D9"/>
    <w:rsid w:val="1B7D0393"/>
    <w:rsid w:val="1B82359E"/>
    <w:rsid w:val="1B855280"/>
    <w:rsid w:val="1B8561FB"/>
    <w:rsid w:val="1B8D69DA"/>
    <w:rsid w:val="1B966BC5"/>
    <w:rsid w:val="1B9B6355"/>
    <w:rsid w:val="1B9D4814"/>
    <w:rsid w:val="1B9E5DA3"/>
    <w:rsid w:val="1B9F7111"/>
    <w:rsid w:val="1BA0313F"/>
    <w:rsid w:val="1BA11472"/>
    <w:rsid w:val="1BA70410"/>
    <w:rsid w:val="1BAA6631"/>
    <w:rsid w:val="1BBA2DB7"/>
    <w:rsid w:val="1BC703FC"/>
    <w:rsid w:val="1BCD463F"/>
    <w:rsid w:val="1BD31F37"/>
    <w:rsid w:val="1BD35A60"/>
    <w:rsid w:val="1BD91A0E"/>
    <w:rsid w:val="1BDD0D8B"/>
    <w:rsid w:val="1BE078BD"/>
    <w:rsid w:val="1BE745F6"/>
    <w:rsid w:val="1BE806B2"/>
    <w:rsid w:val="1BEB5E7E"/>
    <w:rsid w:val="1BF11408"/>
    <w:rsid w:val="1BFF62D5"/>
    <w:rsid w:val="1C027BDF"/>
    <w:rsid w:val="1C0F6F0D"/>
    <w:rsid w:val="1C145037"/>
    <w:rsid w:val="1C17662B"/>
    <w:rsid w:val="1C185919"/>
    <w:rsid w:val="1C24274C"/>
    <w:rsid w:val="1C300A90"/>
    <w:rsid w:val="1C3765F9"/>
    <w:rsid w:val="1C3E0B7F"/>
    <w:rsid w:val="1C412E6E"/>
    <w:rsid w:val="1C42342B"/>
    <w:rsid w:val="1C464756"/>
    <w:rsid w:val="1C496434"/>
    <w:rsid w:val="1C4D5CB3"/>
    <w:rsid w:val="1C4F6772"/>
    <w:rsid w:val="1C50290F"/>
    <w:rsid w:val="1C50745E"/>
    <w:rsid w:val="1C532A4B"/>
    <w:rsid w:val="1C6041F4"/>
    <w:rsid w:val="1C693341"/>
    <w:rsid w:val="1C6A04B1"/>
    <w:rsid w:val="1C6F1AE1"/>
    <w:rsid w:val="1C7469E6"/>
    <w:rsid w:val="1C7A336B"/>
    <w:rsid w:val="1C7B54B3"/>
    <w:rsid w:val="1C8262D2"/>
    <w:rsid w:val="1C836CA4"/>
    <w:rsid w:val="1C8979E9"/>
    <w:rsid w:val="1C8D63EE"/>
    <w:rsid w:val="1C915D04"/>
    <w:rsid w:val="1C986C96"/>
    <w:rsid w:val="1C9A0962"/>
    <w:rsid w:val="1C9B7162"/>
    <w:rsid w:val="1CA23D4E"/>
    <w:rsid w:val="1CA366CB"/>
    <w:rsid w:val="1CAD06B1"/>
    <w:rsid w:val="1CB464E2"/>
    <w:rsid w:val="1CB63738"/>
    <w:rsid w:val="1CB81A6B"/>
    <w:rsid w:val="1CB82E95"/>
    <w:rsid w:val="1CB90C5D"/>
    <w:rsid w:val="1CC44476"/>
    <w:rsid w:val="1CC76F56"/>
    <w:rsid w:val="1CCA04F2"/>
    <w:rsid w:val="1CD20080"/>
    <w:rsid w:val="1CE93D2A"/>
    <w:rsid w:val="1CE96A40"/>
    <w:rsid w:val="1CEB0236"/>
    <w:rsid w:val="1CF11C41"/>
    <w:rsid w:val="1CF26117"/>
    <w:rsid w:val="1CF57C45"/>
    <w:rsid w:val="1CF80A69"/>
    <w:rsid w:val="1D053115"/>
    <w:rsid w:val="1D070972"/>
    <w:rsid w:val="1D0769E7"/>
    <w:rsid w:val="1D077978"/>
    <w:rsid w:val="1D155D79"/>
    <w:rsid w:val="1D1A2745"/>
    <w:rsid w:val="1D1A6B86"/>
    <w:rsid w:val="1D1A76AB"/>
    <w:rsid w:val="1D1E66CC"/>
    <w:rsid w:val="1D215272"/>
    <w:rsid w:val="1D3249F5"/>
    <w:rsid w:val="1D3F6620"/>
    <w:rsid w:val="1D4126F8"/>
    <w:rsid w:val="1D4930D8"/>
    <w:rsid w:val="1D5223E3"/>
    <w:rsid w:val="1D5232E9"/>
    <w:rsid w:val="1D58223E"/>
    <w:rsid w:val="1D586126"/>
    <w:rsid w:val="1D5E2B03"/>
    <w:rsid w:val="1D5F5F9E"/>
    <w:rsid w:val="1D69133D"/>
    <w:rsid w:val="1D6D6AF8"/>
    <w:rsid w:val="1D6F5B7C"/>
    <w:rsid w:val="1D7D4377"/>
    <w:rsid w:val="1D7E5AA7"/>
    <w:rsid w:val="1D854F7E"/>
    <w:rsid w:val="1D880945"/>
    <w:rsid w:val="1D8944CB"/>
    <w:rsid w:val="1D8B00F7"/>
    <w:rsid w:val="1D8F1BDF"/>
    <w:rsid w:val="1D94070A"/>
    <w:rsid w:val="1D9E51F9"/>
    <w:rsid w:val="1DA3010D"/>
    <w:rsid w:val="1DA43419"/>
    <w:rsid w:val="1DAE0C00"/>
    <w:rsid w:val="1DB16A07"/>
    <w:rsid w:val="1DC44C30"/>
    <w:rsid w:val="1DC74753"/>
    <w:rsid w:val="1DCC330E"/>
    <w:rsid w:val="1DCD2970"/>
    <w:rsid w:val="1DD26768"/>
    <w:rsid w:val="1DD33F61"/>
    <w:rsid w:val="1DD82332"/>
    <w:rsid w:val="1DDA3D7F"/>
    <w:rsid w:val="1DDE13F8"/>
    <w:rsid w:val="1DF1585D"/>
    <w:rsid w:val="1DF83A39"/>
    <w:rsid w:val="1DF84814"/>
    <w:rsid w:val="1DFB6E89"/>
    <w:rsid w:val="1E004AF3"/>
    <w:rsid w:val="1E070091"/>
    <w:rsid w:val="1E075E82"/>
    <w:rsid w:val="1E0A2569"/>
    <w:rsid w:val="1E146959"/>
    <w:rsid w:val="1E1B2F5F"/>
    <w:rsid w:val="1E245234"/>
    <w:rsid w:val="1E2750AE"/>
    <w:rsid w:val="1E297DBB"/>
    <w:rsid w:val="1E3851D6"/>
    <w:rsid w:val="1E484929"/>
    <w:rsid w:val="1E4F5C2D"/>
    <w:rsid w:val="1E50564D"/>
    <w:rsid w:val="1E552F80"/>
    <w:rsid w:val="1E556C74"/>
    <w:rsid w:val="1E5D0198"/>
    <w:rsid w:val="1E5E1958"/>
    <w:rsid w:val="1E60605D"/>
    <w:rsid w:val="1E6147B7"/>
    <w:rsid w:val="1E635082"/>
    <w:rsid w:val="1E653553"/>
    <w:rsid w:val="1E6A31B4"/>
    <w:rsid w:val="1E6E1784"/>
    <w:rsid w:val="1E6E7C03"/>
    <w:rsid w:val="1E71052F"/>
    <w:rsid w:val="1E71154D"/>
    <w:rsid w:val="1E761259"/>
    <w:rsid w:val="1E7828DC"/>
    <w:rsid w:val="1E790E87"/>
    <w:rsid w:val="1E7A25F2"/>
    <w:rsid w:val="1E8D4F4C"/>
    <w:rsid w:val="1E937715"/>
    <w:rsid w:val="1EA71413"/>
    <w:rsid w:val="1EAD3FA1"/>
    <w:rsid w:val="1EB24BCB"/>
    <w:rsid w:val="1EB51EBD"/>
    <w:rsid w:val="1EB5212B"/>
    <w:rsid w:val="1EBA3D0C"/>
    <w:rsid w:val="1EBE3F89"/>
    <w:rsid w:val="1EC5054E"/>
    <w:rsid w:val="1EC5318F"/>
    <w:rsid w:val="1EC6392B"/>
    <w:rsid w:val="1EC90621"/>
    <w:rsid w:val="1ECA2F21"/>
    <w:rsid w:val="1ECB24E7"/>
    <w:rsid w:val="1ECC6B68"/>
    <w:rsid w:val="1ED62E6A"/>
    <w:rsid w:val="1EDB2E6A"/>
    <w:rsid w:val="1EE260EC"/>
    <w:rsid w:val="1EE667FC"/>
    <w:rsid w:val="1EE84B34"/>
    <w:rsid w:val="1EE97F7C"/>
    <w:rsid w:val="1EEF431A"/>
    <w:rsid w:val="1EF64135"/>
    <w:rsid w:val="1EFB23A7"/>
    <w:rsid w:val="1F0650C7"/>
    <w:rsid w:val="1F0B6D61"/>
    <w:rsid w:val="1F0C0762"/>
    <w:rsid w:val="1F0E2B05"/>
    <w:rsid w:val="1F101F8D"/>
    <w:rsid w:val="1F164710"/>
    <w:rsid w:val="1F171DA0"/>
    <w:rsid w:val="1F172367"/>
    <w:rsid w:val="1F254E34"/>
    <w:rsid w:val="1F2678A3"/>
    <w:rsid w:val="1F2932A1"/>
    <w:rsid w:val="1F404217"/>
    <w:rsid w:val="1F4247F1"/>
    <w:rsid w:val="1F48621D"/>
    <w:rsid w:val="1F533118"/>
    <w:rsid w:val="1F626E72"/>
    <w:rsid w:val="1F640590"/>
    <w:rsid w:val="1F6966C8"/>
    <w:rsid w:val="1F6A2294"/>
    <w:rsid w:val="1F6D7F66"/>
    <w:rsid w:val="1F7D0404"/>
    <w:rsid w:val="1F8D282B"/>
    <w:rsid w:val="1F970130"/>
    <w:rsid w:val="1F9C5EE3"/>
    <w:rsid w:val="1F9D0A44"/>
    <w:rsid w:val="1FA51D91"/>
    <w:rsid w:val="1FAB7093"/>
    <w:rsid w:val="1FAC0548"/>
    <w:rsid w:val="1FB65F17"/>
    <w:rsid w:val="1FBE0652"/>
    <w:rsid w:val="1FC009DE"/>
    <w:rsid w:val="1FC169BD"/>
    <w:rsid w:val="1FC32C2F"/>
    <w:rsid w:val="1FC76C64"/>
    <w:rsid w:val="1FCF3A1C"/>
    <w:rsid w:val="1FD55365"/>
    <w:rsid w:val="1FD55385"/>
    <w:rsid w:val="1FD83DFD"/>
    <w:rsid w:val="1FD930B0"/>
    <w:rsid w:val="1FD9762C"/>
    <w:rsid w:val="1FE43F25"/>
    <w:rsid w:val="1FF107B1"/>
    <w:rsid w:val="1FF11E30"/>
    <w:rsid w:val="1FF20A5C"/>
    <w:rsid w:val="1FF71F26"/>
    <w:rsid w:val="20001E8C"/>
    <w:rsid w:val="20012FD0"/>
    <w:rsid w:val="20031903"/>
    <w:rsid w:val="20067B7E"/>
    <w:rsid w:val="20075E29"/>
    <w:rsid w:val="200A3D59"/>
    <w:rsid w:val="20102A57"/>
    <w:rsid w:val="20116038"/>
    <w:rsid w:val="201523AC"/>
    <w:rsid w:val="201955DF"/>
    <w:rsid w:val="201E5EB6"/>
    <w:rsid w:val="20230F6D"/>
    <w:rsid w:val="20255669"/>
    <w:rsid w:val="202C6073"/>
    <w:rsid w:val="202D5771"/>
    <w:rsid w:val="202F5F6F"/>
    <w:rsid w:val="20301677"/>
    <w:rsid w:val="20341112"/>
    <w:rsid w:val="203E1903"/>
    <w:rsid w:val="2059524D"/>
    <w:rsid w:val="205E1FA5"/>
    <w:rsid w:val="206406A2"/>
    <w:rsid w:val="206841DB"/>
    <w:rsid w:val="20692E24"/>
    <w:rsid w:val="20694065"/>
    <w:rsid w:val="206B3403"/>
    <w:rsid w:val="206B75C0"/>
    <w:rsid w:val="206D55DF"/>
    <w:rsid w:val="2076034B"/>
    <w:rsid w:val="20767256"/>
    <w:rsid w:val="207672EF"/>
    <w:rsid w:val="207823E8"/>
    <w:rsid w:val="207A1ABC"/>
    <w:rsid w:val="20893FDE"/>
    <w:rsid w:val="208D3C12"/>
    <w:rsid w:val="20931E8F"/>
    <w:rsid w:val="209A3380"/>
    <w:rsid w:val="209D541E"/>
    <w:rsid w:val="20A2611A"/>
    <w:rsid w:val="20A71359"/>
    <w:rsid w:val="20B0645D"/>
    <w:rsid w:val="20B66B40"/>
    <w:rsid w:val="20BA0E51"/>
    <w:rsid w:val="20BC0C42"/>
    <w:rsid w:val="20C07BCA"/>
    <w:rsid w:val="20C5585B"/>
    <w:rsid w:val="20CA13E8"/>
    <w:rsid w:val="20CB1088"/>
    <w:rsid w:val="20CF64D3"/>
    <w:rsid w:val="20D276ED"/>
    <w:rsid w:val="20D314FF"/>
    <w:rsid w:val="20D35978"/>
    <w:rsid w:val="20D36C50"/>
    <w:rsid w:val="20D724A8"/>
    <w:rsid w:val="20DA5F09"/>
    <w:rsid w:val="20DB5E28"/>
    <w:rsid w:val="20E32E09"/>
    <w:rsid w:val="20E604A0"/>
    <w:rsid w:val="20F070A1"/>
    <w:rsid w:val="20F261A5"/>
    <w:rsid w:val="20FB39E4"/>
    <w:rsid w:val="20FE5473"/>
    <w:rsid w:val="2106633C"/>
    <w:rsid w:val="210A4B79"/>
    <w:rsid w:val="211D393E"/>
    <w:rsid w:val="211F5F23"/>
    <w:rsid w:val="21226BEF"/>
    <w:rsid w:val="212528F5"/>
    <w:rsid w:val="21332707"/>
    <w:rsid w:val="21362B20"/>
    <w:rsid w:val="21391F84"/>
    <w:rsid w:val="213B5848"/>
    <w:rsid w:val="213E521A"/>
    <w:rsid w:val="213E6B12"/>
    <w:rsid w:val="21456E23"/>
    <w:rsid w:val="214663E7"/>
    <w:rsid w:val="21484B50"/>
    <w:rsid w:val="215347EE"/>
    <w:rsid w:val="21562473"/>
    <w:rsid w:val="2158338F"/>
    <w:rsid w:val="215869A6"/>
    <w:rsid w:val="215C4D90"/>
    <w:rsid w:val="215D53B4"/>
    <w:rsid w:val="21642844"/>
    <w:rsid w:val="21772EA6"/>
    <w:rsid w:val="21822366"/>
    <w:rsid w:val="21863561"/>
    <w:rsid w:val="218F12E5"/>
    <w:rsid w:val="21925CBD"/>
    <w:rsid w:val="21935669"/>
    <w:rsid w:val="219C1508"/>
    <w:rsid w:val="21A0741E"/>
    <w:rsid w:val="21A115D9"/>
    <w:rsid w:val="21AB6CD0"/>
    <w:rsid w:val="21AE317B"/>
    <w:rsid w:val="21B01FA5"/>
    <w:rsid w:val="21BA4C58"/>
    <w:rsid w:val="21BC11F2"/>
    <w:rsid w:val="21BE4D6A"/>
    <w:rsid w:val="21C1459A"/>
    <w:rsid w:val="21C87E24"/>
    <w:rsid w:val="21CB622C"/>
    <w:rsid w:val="21D01E62"/>
    <w:rsid w:val="21D03B15"/>
    <w:rsid w:val="21DF4DFF"/>
    <w:rsid w:val="21E645E2"/>
    <w:rsid w:val="21E85460"/>
    <w:rsid w:val="21E94A97"/>
    <w:rsid w:val="21EC07B7"/>
    <w:rsid w:val="21F40328"/>
    <w:rsid w:val="21F579C8"/>
    <w:rsid w:val="21FD4613"/>
    <w:rsid w:val="221176DE"/>
    <w:rsid w:val="22122C06"/>
    <w:rsid w:val="221262C7"/>
    <w:rsid w:val="22140D92"/>
    <w:rsid w:val="22232818"/>
    <w:rsid w:val="222370DF"/>
    <w:rsid w:val="22242A1A"/>
    <w:rsid w:val="222B624F"/>
    <w:rsid w:val="222D34C5"/>
    <w:rsid w:val="222D5549"/>
    <w:rsid w:val="22340E6A"/>
    <w:rsid w:val="22387B25"/>
    <w:rsid w:val="223E5856"/>
    <w:rsid w:val="22400EBC"/>
    <w:rsid w:val="22412DE8"/>
    <w:rsid w:val="224B1D4A"/>
    <w:rsid w:val="22534DC7"/>
    <w:rsid w:val="225679C4"/>
    <w:rsid w:val="22570442"/>
    <w:rsid w:val="226642E4"/>
    <w:rsid w:val="22670040"/>
    <w:rsid w:val="22930250"/>
    <w:rsid w:val="22945AA1"/>
    <w:rsid w:val="22994A3D"/>
    <w:rsid w:val="22A16B3E"/>
    <w:rsid w:val="22AD0A60"/>
    <w:rsid w:val="22B723CD"/>
    <w:rsid w:val="22C371B4"/>
    <w:rsid w:val="22C40161"/>
    <w:rsid w:val="22C7765D"/>
    <w:rsid w:val="22CB28BB"/>
    <w:rsid w:val="22CC58EC"/>
    <w:rsid w:val="22D61F1F"/>
    <w:rsid w:val="22D84291"/>
    <w:rsid w:val="22DB2858"/>
    <w:rsid w:val="22DB3759"/>
    <w:rsid w:val="22E04EF3"/>
    <w:rsid w:val="22EE5707"/>
    <w:rsid w:val="22EF5FA2"/>
    <w:rsid w:val="22F21B90"/>
    <w:rsid w:val="22F66267"/>
    <w:rsid w:val="22F740A5"/>
    <w:rsid w:val="22FF110E"/>
    <w:rsid w:val="23003BD7"/>
    <w:rsid w:val="23013A78"/>
    <w:rsid w:val="23016467"/>
    <w:rsid w:val="23021BF0"/>
    <w:rsid w:val="230259B3"/>
    <w:rsid w:val="230340C9"/>
    <w:rsid w:val="23081DE0"/>
    <w:rsid w:val="231614AF"/>
    <w:rsid w:val="231E2482"/>
    <w:rsid w:val="232F3FCA"/>
    <w:rsid w:val="233832A5"/>
    <w:rsid w:val="23386ADD"/>
    <w:rsid w:val="233D20F9"/>
    <w:rsid w:val="23460E68"/>
    <w:rsid w:val="234642A1"/>
    <w:rsid w:val="234D545C"/>
    <w:rsid w:val="23502731"/>
    <w:rsid w:val="2351194D"/>
    <w:rsid w:val="235E7EA4"/>
    <w:rsid w:val="236478D2"/>
    <w:rsid w:val="23656043"/>
    <w:rsid w:val="2366189C"/>
    <w:rsid w:val="23694A75"/>
    <w:rsid w:val="236A241F"/>
    <w:rsid w:val="236B0C61"/>
    <w:rsid w:val="2378526F"/>
    <w:rsid w:val="237F4E56"/>
    <w:rsid w:val="2388006B"/>
    <w:rsid w:val="23895462"/>
    <w:rsid w:val="238A541C"/>
    <w:rsid w:val="23925BC3"/>
    <w:rsid w:val="23927D67"/>
    <w:rsid w:val="23953F30"/>
    <w:rsid w:val="239D4DA3"/>
    <w:rsid w:val="239E64D7"/>
    <w:rsid w:val="239E6D60"/>
    <w:rsid w:val="23A62D1E"/>
    <w:rsid w:val="23A632DC"/>
    <w:rsid w:val="23AE3967"/>
    <w:rsid w:val="23B048C6"/>
    <w:rsid w:val="23B208BE"/>
    <w:rsid w:val="23B67E0E"/>
    <w:rsid w:val="23C263D2"/>
    <w:rsid w:val="23C274FE"/>
    <w:rsid w:val="23CD6B32"/>
    <w:rsid w:val="23CF3744"/>
    <w:rsid w:val="23D41292"/>
    <w:rsid w:val="23D44EBF"/>
    <w:rsid w:val="23E62BCD"/>
    <w:rsid w:val="23EB0A86"/>
    <w:rsid w:val="23F3706B"/>
    <w:rsid w:val="23F400AB"/>
    <w:rsid w:val="24094AAC"/>
    <w:rsid w:val="240A1E6F"/>
    <w:rsid w:val="240E3ECF"/>
    <w:rsid w:val="24127C13"/>
    <w:rsid w:val="241D40D6"/>
    <w:rsid w:val="241D5503"/>
    <w:rsid w:val="24262DDA"/>
    <w:rsid w:val="24263981"/>
    <w:rsid w:val="242644BF"/>
    <w:rsid w:val="24303C58"/>
    <w:rsid w:val="2431571F"/>
    <w:rsid w:val="2435126F"/>
    <w:rsid w:val="24360A3C"/>
    <w:rsid w:val="243D71CC"/>
    <w:rsid w:val="244259D7"/>
    <w:rsid w:val="24443A64"/>
    <w:rsid w:val="244F29D5"/>
    <w:rsid w:val="24507EB3"/>
    <w:rsid w:val="245B126C"/>
    <w:rsid w:val="245B41B9"/>
    <w:rsid w:val="245E1D5D"/>
    <w:rsid w:val="24643FED"/>
    <w:rsid w:val="24683E43"/>
    <w:rsid w:val="246B4C91"/>
    <w:rsid w:val="24805226"/>
    <w:rsid w:val="248C09F2"/>
    <w:rsid w:val="249011F5"/>
    <w:rsid w:val="249258B0"/>
    <w:rsid w:val="2493734E"/>
    <w:rsid w:val="24941068"/>
    <w:rsid w:val="24963F0E"/>
    <w:rsid w:val="249832A4"/>
    <w:rsid w:val="249E3FD9"/>
    <w:rsid w:val="24A25493"/>
    <w:rsid w:val="24AB2738"/>
    <w:rsid w:val="24BA242F"/>
    <w:rsid w:val="24BB4B39"/>
    <w:rsid w:val="24C128E7"/>
    <w:rsid w:val="24C26913"/>
    <w:rsid w:val="24CE5679"/>
    <w:rsid w:val="24DB1234"/>
    <w:rsid w:val="24DC6217"/>
    <w:rsid w:val="24DD371D"/>
    <w:rsid w:val="24E3339E"/>
    <w:rsid w:val="24E54A43"/>
    <w:rsid w:val="24F26082"/>
    <w:rsid w:val="24F361FA"/>
    <w:rsid w:val="24FB0748"/>
    <w:rsid w:val="250E6800"/>
    <w:rsid w:val="251269AA"/>
    <w:rsid w:val="251E5A26"/>
    <w:rsid w:val="25287D72"/>
    <w:rsid w:val="252F2C58"/>
    <w:rsid w:val="25311A36"/>
    <w:rsid w:val="25315208"/>
    <w:rsid w:val="25346CD3"/>
    <w:rsid w:val="25365AE4"/>
    <w:rsid w:val="253A2078"/>
    <w:rsid w:val="253B0B07"/>
    <w:rsid w:val="253B11D0"/>
    <w:rsid w:val="25417DAA"/>
    <w:rsid w:val="254433F9"/>
    <w:rsid w:val="25462EE4"/>
    <w:rsid w:val="254B3D2B"/>
    <w:rsid w:val="254E54EE"/>
    <w:rsid w:val="2550541E"/>
    <w:rsid w:val="255866A0"/>
    <w:rsid w:val="25606D83"/>
    <w:rsid w:val="25664070"/>
    <w:rsid w:val="25673937"/>
    <w:rsid w:val="25683697"/>
    <w:rsid w:val="25710085"/>
    <w:rsid w:val="257C078F"/>
    <w:rsid w:val="257F4470"/>
    <w:rsid w:val="258960E4"/>
    <w:rsid w:val="25927DA6"/>
    <w:rsid w:val="25965F62"/>
    <w:rsid w:val="25981AB5"/>
    <w:rsid w:val="25B02CAD"/>
    <w:rsid w:val="25B9554A"/>
    <w:rsid w:val="25BF57FD"/>
    <w:rsid w:val="25CC2B6C"/>
    <w:rsid w:val="25CC304D"/>
    <w:rsid w:val="25CD60DB"/>
    <w:rsid w:val="25D1410B"/>
    <w:rsid w:val="25DB1205"/>
    <w:rsid w:val="25DE675A"/>
    <w:rsid w:val="25DF0DF7"/>
    <w:rsid w:val="25E72020"/>
    <w:rsid w:val="25F0774B"/>
    <w:rsid w:val="25F609D5"/>
    <w:rsid w:val="25FA0B7A"/>
    <w:rsid w:val="25FD4957"/>
    <w:rsid w:val="25FD4F46"/>
    <w:rsid w:val="260932BF"/>
    <w:rsid w:val="26133BF3"/>
    <w:rsid w:val="26136505"/>
    <w:rsid w:val="261A700A"/>
    <w:rsid w:val="261B28E7"/>
    <w:rsid w:val="26202FCC"/>
    <w:rsid w:val="26293000"/>
    <w:rsid w:val="262F430D"/>
    <w:rsid w:val="26313B27"/>
    <w:rsid w:val="26315941"/>
    <w:rsid w:val="263F7366"/>
    <w:rsid w:val="26453127"/>
    <w:rsid w:val="26470E58"/>
    <w:rsid w:val="264734B0"/>
    <w:rsid w:val="26530D98"/>
    <w:rsid w:val="2658795F"/>
    <w:rsid w:val="265A6D6B"/>
    <w:rsid w:val="265B4400"/>
    <w:rsid w:val="265F481B"/>
    <w:rsid w:val="26622FBA"/>
    <w:rsid w:val="266269BA"/>
    <w:rsid w:val="266A209B"/>
    <w:rsid w:val="267100DA"/>
    <w:rsid w:val="26754641"/>
    <w:rsid w:val="26782D55"/>
    <w:rsid w:val="267A431E"/>
    <w:rsid w:val="267D6301"/>
    <w:rsid w:val="268062CE"/>
    <w:rsid w:val="26861921"/>
    <w:rsid w:val="26872AA1"/>
    <w:rsid w:val="268E07C6"/>
    <w:rsid w:val="269130F1"/>
    <w:rsid w:val="269C2310"/>
    <w:rsid w:val="26A32151"/>
    <w:rsid w:val="26A47779"/>
    <w:rsid w:val="26A760A9"/>
    <w:rsid w:val="26AA1D34"/>
    <w:rsid w:val="26B763D2"/>
    <w:rsid w:val="26C2163A"/>
    <w:rsid w:val="26C540B3"/>
    <w:rsid w:val="26C77332"/>
    <w:rsid w:val="26C84235"/>
    <w:rsid w:val="26DA11DF"/>
    <w:rsid w:val="26E916C7"/>
    <w:rsid w:val="26E94BB7"/>
    <w:rsid w:val="26EB2A75"/>
    <w:rsid w:val="26ED0722"/>
    <w:rsid w:val="26F0416A"/>
    <w:rsid w:val="26F163F5"/>
    <w:rsid w:val="26F83B7F"/>
    <w:rsid w:val="26F930CC"/>
    <w:rsid w:val="26FE35D8"/>
    <w:rsid w:val="27052D67"/>
    <w:rsid w:val="270B33C9"/>
    <w:rsid w:val="271167D4"/>
    <w:rsid w:val="271863D4"/>
    <w:rsid w:val="271B27F2"/>
    <w:rsid w:val="271B62A6"/>
    <w:rsid w:val="271C511B"/>
    <w:rsid w:val="271D470B"/>
    <w:rsid w:val="27205EB5"/>
    <w:rsid w:val="27256014"/>
    <w:rsid w:val="272626D1"/>
    <w:rsid w:val="27276904"/>
    <w:rsid w:val="27324B59"/>
    <w:rsid w:val="27326925"/>
    <w:rsid w:val="27353395"/>
    <w:rsid w:val="273B6B9C"/>
    <w:rsid w:val="273E5571"/>
    <w:rsid w:val="27405EAA"/>
    <w:rsid w:val="27480C39"/>
    <w:rsid w:val="2750218F"/>
    <w:rsid w:val="2754634A"/>
    <w:rsid w:val="275C05BC"/>
    <w:rsid w:val="276172CD"/>
    <w:rsid w:val="276832E7"/>
    <w:rsid w:val="276C4FA7"/>
    <w:rsid w:val="276C59F9"/>
    <w:rsid w:val="276D15DE"/>
    <w:rsid w:val="2774095F"/>
    <w:rsid w:val="27826575"/>
    <w:rsid w:val="278E3226"/>
    <w:rsid w:val="27907C7F"/>
    <w:rsid w:val="279F6F21"/>
    <w:rsid w:val="27A21C97"/>
    <w:rsid w:val="27A6495D"/>
    <w:rsid w:val="27A81CBE"/>
    <w:rsid w:val="27AB2CA6"/>
    <w:rsid w:val="27AB4C89"/>
    <w:rsid w:val="27AC7C18"/>
    <w:rsid w:val="27AD123F"/>
    <w:rsid w:val="27AD5666"/>
    <w:rsid w:val="27C064F1"/>
    <w:rsid w:val="27C66C59"/>
    <w:rsid w:val="27C81CDF"/>
    <w:rsid w:val="27C9620D"/>
    <w:rsid w:val="27CC3C98"/>
    <w:rsid w:val="27CC7BF6"/>
    <w:rsid w:val="27DC633D"/>
    <w:rsid w:val="27DF40FD"/>
    <w:rsid w:val="27E25C21"/>
    <w:rsid w:val="27E80919"/>
    <w:rsid w:val="27EA454F"/>
    <w:rsid w:val="27FB25DF"/>
    <w:rsid w:val="27FB7291"/>
    <w:rsid w:val="27FD399F"/>
    <w:rsid w:val="28004DC0"/>
    <w:rsid w:val="2801780A"/>
    <w:rsid w:val="280179BA"/>
    <w:rsid w:val="280323B3"/>
    <w:rsid w:val="28090902"/>
    <w:rsid w:val="28091AE0"/>
    <w:rsid w:val="280D4CA8"/>
    <w:rsid w:val="280F556C"/>
    <w:rsid w:val="28141908"/>
    <w:rsid w:val="2818054C"/>
    <w:rsid w:val="28180ADF"/>
    <w:rsid w:val="281E3135"/>
    <w:rsid w:val="282044D8"/>
    <w:rsid w:val="28206CB8"/>
    <w:rsid w:val="282362E4"/>
    <w:rsid w:val="28242E5B"/>
    <w:rsid w:val="28292D22"/>
    <w:rsid w:val="282E2ED2"/>
    <w:rsid w:val="283260E3"/>
    <w:rsid w:val="28333D17"/>
    <w:rsid w:val="283667A0"/>
    <w:rsid w:val="28375FB1"/>
    <w:rsid w:val="28390684"/>
    <w:rsid w:val="283E28ED"/>
    <w:rsid w:val="28410778"/>
    <w:rsid w:val="28437830"/>
    <w:rsid w:val="2844368E"/>
    <w:rsid w:val="284969C6"/>
    <w:rsid w:val="284C4B32"/>
    <w:rsid w:val="284D0EA4"/>
    <w:rsid w:val="28520636"/>
    <w:rsid w:val="285651C9"/>
    <w:rsid w:val="28565FE4"/>
    <w:rsid w:val="285707E6"/>
    <w:rsid w:val="28592D6C"/>
    <w:rsid w:val="285F36CB"/>
    <w:rsid w:val="286214A8"/>
    <w:rsid w:val="286715E1"/>
    <w:rsid w:val="28700869"/>
    <w:rsid w:val="28733B36"/>
    <w:rsid w:val="287B413F"/>
    <w:rsid w:val="2882120E"/>
    <w:rsid w:val="2886448A"/>
    <w:rsid w:val="28881BDD"/>
    <w:rsid w:val="288B2B02"/>
    <w:rsid w:val="288F542E"/>
    <w:rsid w:val="28974EF1"/>
    <w:rsid w:val="2898046B"/>
    <w:rsid w:val="289A7D66"/>
    <w:rsid w:val="28A20FA9"/>
    <w:rsid w:val="28A23938"/>
    <w:rsid w:val="28A25BD1"/>
    <w:rsid w:val="28AA29A9"/>
    <w:rsid w:val="28AF4EC4"/>
    <w:rsid w:val="28B430AA"/>
    <w:rsid w:val="28C11423"/>
    <w:rsid w:val="28C17634"/>
    <w:rsid w:val="28C459EB"/>
    <w:rsid w:val="28C5692B"/>
    <w:rsid w:val="28CF6423"/>
    <w:rsid w:val="28D34E2F"/>
    <w:rsid w:val="28D86DBC"/>
    <w:rsid w:val="28E538B9"/>
    <w:rsid w:val="28E621F6"/>
    <w:rsid w:val="28EF40E2"/>
    <w:rsid w:val="28F31D4F"/>
    <w:rsid w:val="28F463E0"/>
    <w:rsid w:val="28F72F97"/>
    <w:rsid w:val="28F7563D"/>
    <w:rsid w:val="28FB44D6"/>
    <w:rsid w:val="2901329A"/>
    <w:rsid w:val="290336EA"/>
    <w:rsid w:val="29045B2F"/>
    <w:rsid w:val="290C4699"/>
    <w:rsid w:val="290E201D"/>
    <w:rsid w:val="291175A9"/>
    <w:rsid w:val="291458F7"/>
    <w:rsid w:val="291B0A33"/>
    <w:rsid w:val="291D3F27"/>
    <w:rsid w:val="291F1157"/>
    <w:rsid w:val="292518B2"/>
    <w:rsid w:val="292672F1"/>
    <w:rsid w:val="292D7A53"/>
    <w:rsid w:val="29325F8D"/>
    <w:rsid w:val="29404A88"/>
    <w:rsid w:val="294837F2"/>
    <w:rsid w:val="29485E0E"/>
    <w:rsid w:val="29551409"/>
    <w:rsid w:val="295D00D2"/>
    <w:rsid w:val="2962286D"/>
    <w:rsid w:val="296B731F"/>
    <w:rsid w:val="297843D7"/>
    <w:rsid w:val="297B25F8"/>
    <w:rsid w:val="297E5982"/>
    <w:rsid w:val="297F1C71"/>
    <w:rsid w:val="298729ED"/>
    <w:rsid w:val="29893098"/>
    <w:rsid w:val="298E52C4"/>
    <w:rsid w:val="299A0710"/>
    <w:rsid w:val="299D58EC"/>
    <w:rsid w:val="29A42CE5"/>
    <w:rsid w:val="29A56F9F"/>
    <w:rsid w:val="29A7021E"/>
    <w:rsid w:val="29AC26A7"/>
    <w:rsid w:val="29B21CC5"/>
    <w:rsid w:val="29B475EC"/>
    <w:rsid w:val="29C70471"/>
    <w:rsid w:val="29CC4A82"/>
    <w:rsid w:val="29D31BA8"/>
    <w:rsid w:val="29E2016D"/>
    <w:rsid w:val="29E91D93"/>
    <w:rsid w:val="29FA0F90"/>
    <w:rsid w:val="2A0170AC"/>
    <w:rsid w:val="2A026612"/>
    <w:rsid w:val="2A0D637D"/>
    <w:rsid w:val="2A1327C0"/>
    <w:rsid w:val="2A143D90"/>
    <w:rsid w:val="2A165475"/>
    <w:rsid w:val="2A1C549D"/>
    <w:rsid w:val="2A256F3B"/>
    <w:rsid w:val="2A370ABE"/>
    <w:rsid w:val="2A3E529F"/>
    <w:rsid w:val="2A4261CD"/>
    <w:rsid w:val="2A4554F8"/>
    <w:rsid w:val="2A4E0A4E"/>
    <w:rsid w:val="2A584251"/>
    <w:rsid w:val="2A5F7734"/>
    <w:rsid w:val="2A6B7798"/>
    <w:rsid w:val="2A753B41"/>
    <w:rsid w:val="2A7F00A7"/>
    <w:rsid w:val="2A7F3244"/>
    <w:rsid w:val="2A807AD5"/>
    <w:rsid w:val="2A897FDE"/>
    <w:rsid w:val="2A8B0C1E"/>
    <w:rsid w:val="2A8D7448"/>
    <w:rsid w:val="2A932B48"/>
    <w:rsid w:val="2A933BA3"/>
    <w:rsid w:val="2A984D50"/>
    <w:rsid w:val="2AA46FE2"/>
    <w:rsid w:val="2AA604D8"/>
    <w:rsid w:val="2AB23C68"/>
    <w:rsid w:val="2ABF0A75"/>
    <w:rsid w:val="2ACC3156"/>
    <w:rsid w:val="2AD5714A"/>
    <w:rsid w:val="2AD6555A"/>
    <w:rsid w:val="2AE36579"/>
    <w:rsid w:val="2AE431B2"/>
    <w:rsid w:val="2AE85BFB"/>
    <w:rsid w:val="2AE86FAA"/>
    <w:rsid w:val="2AEB3D7E"/>
    <w:rsid w:val="2AED22A5"/>
    <w:rsid w:val="2AF87AE6"/>
    <w:rsid w:val="2AFB125F"/>
    <w:rsid w:val="2AFC438B"/>
    <w:rsid w:val="2AFF0B3A"/>
    <w:rsid w:val="2AFF0D57"/>
    <w:rsid w:val="2B013CF4"/>
    <w:rsid w:val="2B084E73"/>
    <w:rsid w:val="2B0A3199"/>
    <w:rsid w:val="2B0D31C4"/>
    <w:rsid w:val="2B0F153B"/>
    <w:rsid w:val="2B123D82"/>
    <w:rsid w:val="2B132782"/>
    <w:rsid w:val="2B185B11"/>
    <w:rsid w:val="2B1A7704"/>
    <w:rsid w:val="2B1A7D60"/>
    <w:rsid w:val="2B1B499F"/>
    <w:rsid w:val="2B213062"/>
    <w:rsid w:val="2B252957"/>
    <w:rsid w:val="2B256750"/>
    <w:rsid w:val="2B26384F"/>
    <w:rsid w:val="2B295402"/>
    <w:rsid w:val="2B2A1C22"/>
    <w:rsid w:val="2B2B39AD"/>
    <w:rsid w:val="2B2C517A"/>
    <w:rsid w:val="2B2E49C5"/>
    <w:rsid w:val="2B311B81"/>
    <w:rsid w:val="2B3330AE"/>
    <w:rsid w:val="2B3758CC"/>
    <w:rsid w:val="2B384D75"/>
    <w:rsid w:val="2B392BA3"/>
    <w:rsid w:val="2B413B51"/>
    <w:rsid w:val="2B433BC0"/>
    <w:rsid w:val="2B544E32"/>
    <w:rsid w:val="2B571037"/>
    <w:rsid w:val="2B583793"/>
    <w:rsid w:val="2B5A08C0"/>
    <w:rsid w:val="2B5A5DE6"/>
    <w:rsid w:val="2B5B323B"/>
    <w:rsid w:val="2B5F1223"/>
    <w:rsid w:val="2B6571B2"/>
    <w:rsid w:val="2B667F60"/>
    <w:rsid w:val="2B6C06E8"/>
    <w:rsid w:val="2B6C2BF1"/>
    <w:rsid w:val="2B6F6304"/>
    <w:rsid w:val="2B712B57"/>
    <w:rsid w:val="2B7476D4"/>
    <w:rsid w:val="2B7A5D28"/>
    <w:rsid w:val="2B7B300E"/>
    <w:rsid w:val="2B7F5FD7"/>
    <w:rsid w:val="2B8151CA"/>
    <w:rsid w:val="2B82123D"/>
    <w:rsid w:val="2B8A5E6E"/>
    <w:rsid w:val="2B8F395A"/>
    <w:rsid w:val="2B960845"/>
    <w:rsid w:val="2BA70CA4"/>
    <w:rsid w:val="2BA82862"/>
    <w:rsid w:val="2BAC1606"/>
    <w:rsid w:val="2BAF3133"/>
    <w:rsid w:val="2BB12FCD"/>
    <w:rsid w:val="2BB42415"/>
    <w:rsid w:val="2BB67139"/>
    <w:rsid w:val="2BB822A7"/>
    <w:rsid w:val="2BC02C66"/>
    <w:rsid w:val="2BC06C40"/>
    <w:rsid w:val="2BC1004E"/>
    <w:rsid w:val="2BCB7A4E"/>
    <w:rsid w:val="2BD223DC"/>
    <w:rsid w:val="2BD25787"/>
    <w:rsid w:val="2BD55931"/>
    <w:rsid w:val="2BEB1A8A"/>
    <w:rsid w:val="2BEC2295"/>
    <w:rsid w:val="2BEF14DE"/>
    <w:rsid w:val="2BF27461"/>
    <w:rsid w:val="2BF437BD"/>
    <w:rsid w:val="2BF51A0F"/>
    <w:rsid w:val="2C043D13"/>
    <w:rsid w:val="2C055387"/>
    <w:rsid w:val="2C07120E"/>
    <w:rsid w:val="2C0B7C4A"/>
    <w:rsid w:val="2C0C0B07"/>
    <w:rsid w:val="2C161986"/>
    <w:rsid w:val="2C1627B6"/>
    <w:rsid w:val="2C175F8A"/>
    <w:rsid w:val="2C186CD6"/>
    <w:rsid w:val="2C1A1AEF"/>
    <w:rsid w:val="2C1D0545"/>
    <w:rsid w:val="2C2E2294"/>
    <w:rsid w:val="2C31196C"/>
    <w:rsid w:val="2C3D7F61"/>
    <w:rsid w:val="2C407CB5"/>
    <w:rsid w:val="2C47345C"/>
    <w:rsid w:val="2C4D6B0C"/>
    <w:rsid w:val="2C5F0DF2"/>
    <w:rsid w:val="2C5F1B62"/>
    <w:rsid w:val="2C5F3333"/>
    <w:rsid w:val="2C616936"/>
    <w:rsid w:val="2C64742D"/>
    <w:rsid w:val="2C6672AF"/>
    <w:rsid w:val="2C6721E1"/>
    <w:rsid w:val="2C6E1245"/>
    <w:rsid w:val="2C7238CB"/>
    <w:rsid w:val="2C7A0C19"/>
    <w:rsid w:val="2C7A3CC3"/>
    <w:rsid w:val="2C807883"/>
    <w:rsid w:val="2C983333"/>
    <w:rsid w:val="2C9A4907"/>
    <w:rsid w:val="2CA10BFA"/>
    <w:rsid w:val="2CA304EB"/>
    <w:rsid w:val="2CA46EC2"/>
    <w:rsid w:val="2CA50079"/>
    <w:rsid w:val="2CA73D56"/>
    <w:rsid w:val="2CAA2A60"/>
    <w:rsid w:val="2CAB47C4"/>
    <w:rsid w:val="2CBB1B1D"/>
    <w:rsid w:val="2CBE6DD2"/>
    <w:rsid w:val="2CBF3182"/>
    <w:rsid w:val="2CC95FB1"/>
    <w:rsid w:val="2CC96C87"/>
    <w:rsid w:val="2CCF5A74"/>
    <w:rsid w:val="2CE850D0"/>
    <w:rsid w:val="2CEA36B2"/>
    <w:rsid w:val="2CF35DD5"/>
    <w:rsid w:val="2CF5369D"/>
    <w:rsid w:val="2CFA4A6C"/>
    <w:rsid w:val="2CFB1A93"/>
    <w:rsid w:val="2D0204E4"/>
    <w:rsid w:val="2D0339AF"/>
    <w:rsid w:val="2D043AB6"/>
    <w:rsid w:val="2D070A1A"/>
    <w:rsid w:val="2D0770F5"/>
    <w:rsid w:val="2D077F81"/>
    <w:rsid w:val="2D112F7E"/>
    <w:rsid w:val="2D1B5799"/>
    <w:rsid w:val="2D23435A"/>
    <w:rsid w:val="2D2422F5"/>
    <w:rsid w:val="2D2478F9"/>
    <w:rsid w:val="2D2836D2"/>
    <w:rsid w:val="2D29159E"/>
    <w:rsid w:val="2D2A14A3"/>
    <w:rsid w:val="2D2C3818"/>
    <w:rsid w:val="2D330825"/>
    <w:rsid w:val="2D332906"/>
    <w:rsid w:val="2D3642EE"/>
    <w:rsid w:val="2D4179CC"/>
    <w:rsid w:val="2D464245"/>
    <w:rsid w:val="2D4A4D2A"/>
    <w:rsid w:val="2D4E7C8C"/>
    <w:rsid w:val="2D50024A"/>
    <w:rsid w:val="2D552B29"/>
    <w:rsid w:val="2D601319"/>
    <w:rsid w:val="2D6334E2"/>
    <w:rsid w:val="2D6513BF"/>
    <w:rsid w:val="2D6C5C4E"/>
    <w:rsid w:val="2D6D701B"/>
    <w:rsid w:val="2D6D7CCB"/>
    <w:rsid w:val="2D6E7594"/>
    <w:rsid w:val="2D736249"/>
    <w:rsid w:val="2D736897"/>
    <w:rsid w:val="2D771BD6"/>
    <w:rsid w:val="2D7C1CBC"/>
    <w:rsid w:val="2D7F0073"/>
    <w:rsid w:val="2D7F0A19"/>
    <w:rsid w:val="2D8354A9"/>
    <w:rsid w:val="2D871974"/>
    <w:rsid w:val="2D8B17F7"/>
    <w:rsid w:val="2D8F2EC8"/>
    <w:rsid w:val="2D954B15"/>
    <w:rsid w:val="2D9729AD"/>
    <w:rsid w:val="2D98579B"/>
    <w:rsid w:val="2D9C02E9"/>
    <w:rsid w:val="2D9E000B"/>
    <w:rsid w:val="2DA0018B"/>
    <w:rsid w:val="2DA4086A"/>
    <w:rsid w:val="2DAA35F3"/>
    <w:rsid w:val="2DC00077"/>
    <w:rsid w:val="2DC47B75"/>
    <w:rsid w:val="2DCD78C7"/>
    <w:rsid w:val="2DCE674D"/>
    <w:rsid w:val="2DCF5CFD"/>
    <w:rsid w:val="2DD34127"/>
    <w:rsid w:val="2DD76C09"/>
    <w:rsid w:val="2DD77049"/>
    <w:rsid w:val="2DE118D6"/>
    <w:rsid w:val="2DE55BFE"/>
    <w:rsid w:val="2DE749D0"/>
    <w:rsid w:val="2DEE32C4"/>
    <w:rsid w:val="2DF160E0"/>
    <w:rsid w:val="2DF24BA0"/>
    <w:rsid w:val="2DF33D2D"/>
    <w:rsid w:val="2DF60D4A"/>
    <w:rsid w:val="2DF74829"/>
    <w:rsid w:val="2DF811B8"/>
    <w:rsid w:val="2E0221C2"/>
    <w:rsid w:val="2E063581"/>
    <w:rsid w:val="2E07699B"/>
    <w:rsid w:val="2E09140F"/>
    <w:rsid w:val="2E0B788F"/>
    <w:rsid w:val="2E0D3348"/>
    <w:rsid w:val="2E0F6DDB"/>
    <w:rsid w:val="2E100418"/>
    <w:rsid w:val="2E12312C"/>
    <w:rsid w:val="2E150147"/>
    <w:rsid w:val="2E2A3CE5"/>
    <w:rsid w:val="2E2B30C4"/>
    <w:rsid w:val="2E2E56E6"/>
    <w:rsid w:val="2E2F6D2F"/>
    <w:rsid w:val="2E356943"/>
    <w:rsid w:val="2E3D4B5C"/>
    <w:rsid w:val="2E413CD7"/>
    <w:rsid w:val="2E4D0238"/>
    <w:rsid w:val="2E4D27DE"/>
    <w:rsid w:val="2E5004EA"/>
    <w:rsid w:val="2E504D66"/>
    <w:rsid w:val="2E620F20"/>
    <w:rsid w:val="2E623BE1"/>
    <w:rsid w:val="2E684B29"/>
    <w:rsid w:val="2E6D586C"/>
    <w:rsid w:val="2E6F5850"/>
    <w:rsid w:val="2E7637CA"/>
    <w:rsid w:val="2E792EEA"/>
    <w:rsid w:val="2E7A3BD9"/>
    <w:rsid w:val="2E7B5AD6"/>
    <w:rsid w:val="2E8A573C"/>
    <w:rsid w:val="2E8A76DC"/>
    <w:rsid w:val="2E8D4B50"/>
    <w:rsid w:val="2E8F2FC6"/>
    <w:rsid w:val="2E961681"/>
    <w:rsid w:val="2E976DAE"/>
    <w:rsid w:val="2E976EDC"/>
    <w:rsid w:val="2E9C4DDE"/>
    <w:rsid w:val="2EAC037F"/>
    <w:rsid w:val="2EBE762F"/>
    <w:rsid w:val="2EC17D7C"/>
    <w:rsid w:val="2EC5279E"/>
    <w:rsid w:val="2EC643F0"/>
    <w:rsid w:val="2EC80004"/>
    <w:rsid w:val="2ED0512A"/>
    <w:rsid w:val="2EDA3568"/>
    <w:rsid w:val="2EDA6985"/>
    <w:rsid w:val="2EDB6DBC"/>
    <w:rsid w:val="2EE04780"/>
    <w:rsid w:val="2EE45B77"/>
    <w:rsid w:val="2EEC7263"/>
    <w:rsid w:val="2EF51FEB"/>
    <w:rsid w:val="2EFC3C85"/>
    <w:rsid w:val="2F013F9D"/>
    <w:rsid w:val="2F0265AA"/>
    <w:rsid w:val="2F08123B"/>
    <w:rsid w:val="2F083808"/>
    <w:rsid w:val="2F087CAC"/>
    <w:rsid w:val="2F0D48CD"/>
    <w:rsid w:val="2F1672DE"/>
    <w:rsid w:val="2F1F6BF5"/>
    <w:rsid w:val="2F286E8F"/>
    <w:rsid w:val="2F294C45"/>
    <w:rsid w:val="2F2A0095"/>
    <w:rsid w:val="2F310135"/>
    <w:rsid w:val="2F3242E7"/>
    <w:rsid w:val="2F38003B"/>
    <w:rsid w:val="2F3A6C5E"/>
    <w:rsid w:val="2F3B0C54"/>
    <w:rsid w:val="2F3B4E86"/>
    <w:rsid w:val="2F3D73C9"/>
    <w:rsid w:val="2F44342B"/>
    <w:rsid w:val="2F481420"/>
    <w:rsid w:val="2F5420E7"/>
    <w:rsid w:val="2F590670"/>
    <w:rsid w:val="2F59749E"/>
    <w:rsid w:val="2F6346FF"/>
    <w:rsid w:val="2F651E4E"/>
    <w:rsid w:val="2F6D6BEF"/>
    <w:rsid w:val="2F710B77"/>
    <w:rsid w:val="2F7C6E6A"/>
    <w:rsid w:val="2F882B9B"/>
    <w:rsid w:val="2F8930C1"/>
    <w:rsid w:val="2F8B0E96"/>
    <w:rsid w:val="2F8D1F5F"/>
    <w:rsid w:val="2F8E4E49"/>
    <w:rsid w:val="2F90787C"/>
    <w:rsid w:val="2F942590"/>
    <w:rsid w:val="2F950F76"/>
    <w:rsid w:val="2FA57CD1"/>
    <w:rsid w:val="2FA92A30"/>
    <w:rsid w:val="2FA92EAB"/>
    <w:rsid w:val="2FAA30C6"/>
    <w:rsid w:val="2FAE0D43"/>
    <w:rsid w:val="2FB50062"/>
    <w:rsid w:val="2FB87D95"/>
    <w:rsid w:val="2FC73D6E"/>
    <w:rsid w:val="2FCA2075"/>
    <w:rsid w:val="2FD972AD"/>
    <w:rsid w:val="2FE01154"/>
    <w:rsid w:val="2FE04EFB"/>
    <w:rsid w:val="2FE52DA0"/>
    <w:rsid w:val="2FED2A41"/>
    <w:rsid w:val="2FED79EB"/>
    <w:rsid w:val="2FF169AF"/>
    <w:rsid w:val="2FF3611E"/>
    <w:rsid w:val="2FF77B8E"/>
    <w:rsid w:val="2FFD1107"/>
    <w:rsid w:val="2FFD1B52"/>
    <w:rsid w:val="2FFE4C0B"/>
    <w:rsid w:val="30007DA5"/>
    <w:rsid w:val="30103288"/>
    <w:rsid w:val="301306B6"/>
    <w:rsid w:val="301B1EF3"/>
    <w:rsid w:val="30275D16"/>
    <w:rsid w:val="302855A9"/>
    <w:rsid w:val="302877F0"/>
    <w:rsid w:val="302A47F7"/>
    <w:rsid w:val="302F493E"/>
    <w:rsid w:val="303B32CA"/>
    <w:rsid w:val="303D105A"/>
    <w:rsid w:val="303F2919"/>
    <w:rsid w:val="30465D37"/>
    <w:rsid w:val="30473907"/>
    <w:rsid w:val="30487D28"/>
    <w:rsid w:val="304E377B"/>
    <w:rsid w:val="305215E6"/>
    <w:rsid w:val="3053006C"/>
    <w:rsid w:val="30621303"/>
    <w:rsid w:val="30667A88"/>
    <w:rsid w:val="30677645"/>
    <w:rsid w:val="30697225"/>
    <w:rsid w:val="30697DB0"/>
    <w:rsid w:val="307027F0"/>
    <w:rsid w:val="307039CC"/>
    <w:rsid w:val="307A039E"/>
    <w:rsid w:val="30842714"/>
    <w:rsid w:val="30872219"/>
    <w:rsid w:val="30965933"/>
    <w:rsid w:val="3097695B"/>
    <w:rsid w:val="309D1FF7"/>
    <w:rsid w:val="309D5F8B"/>
    <w:rsid w:val="30A44754"/>
    <w:rsid w:val="30A92176"/>
    <w:rsid w:val="30AA7324"/>
    <w:rsid w:val="30AB5BDF"/>
    <w:rsid w:val="30AD3A67"/>
    <w:rsid w:val="30AD499B"/>
    <w:rsid w:val="30B82D56"/>
    <w:rsid w:val="30C379C0"/>
    <w:rsid w:val="30C56DCA"/>
    <w:rsid w:val="30CC5827"/>
    <w:rsid w:val="30D605AE"/>
    <w:rsid w:val="30E16097"/>
    <w:rsid w:val="30E36B98"/>
    <w:rsid w:val="30F163F2"/>
    <w:rsid w:val="30F3714A"/>
    <w:rsid w:val="30F44C1B"/>
    <w:rsid w:val="30F559A0"/>
    <w:rsid w:val="30FD07EF"/>
    <w:rsid w:val="310622A1"/>
    <w:rsid w:val="31172DC0"/>
    <w:rsid w:val="311B4D71"/>
    <w:rsid w:val="311C17EC"/>
    <w:rsid w:val="312F4132"/>
    <w:rsid w:val="3130258A"/>
    <w:rsid w:val="313034AA"/>
    <w:rsid w:val="3130554E"/>
    <w:rsid w:val="3130647A"/>
    <w:rsid w:val="31346121"/>
    <w:rsid w:val="313620D6"/>
    <w:rsid w:val="313E74D6"/>
    <w:rsid w:val="31405230"/>
    <w:rsid w:val="314B2F39"/>
    <w:rsid w:val="3161676A"/>
    <w:rsid w:val="3165056F"/>
    <w:rsid w:val="31692558"/>
    <w:rsid w:val="316E1BA9"/>
    <w:rsid w:val="31752179"/>
    <w:rsid w:val="317C0EDE"/>
    <w:rsid w:val="317C724B"/>
    <w:rsid w:val="317D198B"/>
    <w:rsid w:val="31816A40"/>
    <w:rsid w:val="318178A1"/>
    <w:rsid w:val="31822B8C"/>
    <w:rsid w:val="31823CF4"/>
    <w:rsid w:val="3183403E"/>
    <w:rsid w:val="31845EEE"/>
    <w:rsid w:val="31922C8D"/>
    <w:rsid w:val="31974DE8"/>
    <w:rsid w:val="31992E3D"/>
    <w:rsid w:val="319B67AD"/>
    <w:rsid w:val="319D3D66"/>
    <w:rsid w:val="319F09CA"/>
    <w:rsid w:val="31AB7396"/>
    <w:rsid w:val="31B45EC9"/>
    <w:rsid w:val="31BE2A58"/>
    <w:rsid w:val="31CA45A8"/>
    <w:rsid w:val="31D11C69"/>
    <w:rsid w:val="31DC3FB0"/>
    <w:rsid w:val="31E167EA"/>
    <w:rsid w:val="31EB0625"/>
    <w:rsid w:val="31F237FB"/>
    <w:rsid w:val="31F40F98"/>
    <w:rsid w:val="31F47C1D"/>
    <w:rsid w:val="31F960C4"/>
    <w:rsid w:val="31F97D80"/>
    <w:rsid w:val="31FA277A"/>
    <w:rsid w:val="320B6605"/>
    <w:rsid w:val="320E4C55"/>
    <w:rsid w:val="321502FE"/>
    <w:rsid w:val="3215068A"/>
    <w:rsid w:val="32160A2B"/>
    <w:rsid w:val="32185EDE"/>
    <w:rsid w:val="321A63B7"/>
    <w:rsid w:val="321E10B9"/>
    <w:rsid w:val="322220B5"/>
    <w:rsid w:val="32255891"/>
    <w:rsid w:val="3227669B"/>
    <w:rsid w:val="322A400C"/>
    <w:rsid w:val="32383B13"/>
    <w:rsid w:val="32397B0D"/>
    <w:rsid w:val="324A639A"/>
    <w:rsid w:val="324D19AD"/>
    <w:rsid w:val="32565A52"/>
    <w:rsid w:val="32671142"/>
    <w:rsid w:val="326E20AB"/>
    <w:rsid w:val="327837DF"/>
    <w:rsid w:val="32791CC4"/>
    <w:rsid w:val="32812ED6"/>
    <w:rsid w:val="32850221"/>
    <w:rsid w:val="328E40FE"/>
    <w:rsid w:val="329C0D99"/>
    <w:rsid w:val="329E485B"/>
    <w:rsid w:val="329F3F55"/>
    <w:rsid w:val="32A647DA"/>
    <w:rsid w:val="32AC5F10"/>
    <w:rsid w:val="32B009DE"/>
    <w:rsid w:val="32B06690"/>
    <w:rsid w:val="32B80E85"/>
    <w:rsid w:val="32C71332"/>
    <w:rsid w:val="32C80C7B"/>
    <w:rsid w:val="32CB3EDA"/>
    <w:rsid w:val="32CF7659"/>
    <w:rsid w:val="32D075CC"/>
    <w:rsid w:val="32DD3B82"/>
    <w:rsid w:val="32E91B5D"/>
    <w:rsid w:val="32ED3B98"/>
    <w:rsid w:val="32F8281B"/>
    <w:rsid w:val="32F9367A"/>
    <w:rsid w:val="32FF2EE8"/>
    <w:rsid w:val="33044978"/>
    <w:rsid w:val="33092F1F"/>
    <w:rsid w:val="33192395"/>
    <w:rsid w:val="331D08E7"/>
    <w:rsid w:val="332250C0"/>
    <w:rsid w:val="332B28ED"/>
    <w:rsid w:val="332B7C19"/>
    <w:rsid w:val="332E6EF4"/>
    <w:rsid w:val="332F21DB"/>
    <w:rsid w:val="3330332D"/>
    <w:rsid w:val="333504CC"/>
    <w:rsid w:val="3335572E"/>
    <w:rsid w:val="33391EF4"/>
    <w:rsid w:val="333C5CC2"/>
    <w:rsid w:val="3341447E"/>
    <w:rsid w:val="3348282F"/>
    <w:rsid w:val="334E421C"/>
    <w:rsid w:val="335658FB"/>
    <w:rsid w:val="335B78D3"/>
    <w:rsid w:val="335E64A8"/>
    <w:rsid w:val="335F3539"/>
    <w:rsid w:val="336101CF"/>
    <w:rsid w:val="3361514A"/>
    <w:rsid w:val="33647691"/>
    <w:rsid w:val="336B7771"/>
    <w:rsid w:val="336D5381"/>
    <w:rsid w:val="337338BF"/>
    <w:rsid w:val="33822C22"/>
    <w:rsid w:val="33883169"/>
    <w:rsid w:val="3390565C"/>
    <w:rsid w:val="3391496F"/>
    <w:rsid w:val="339370A9"/>
    <w:rsid w:val="33A16D7F"/>
    <w:rsid w:val="33A87C5E"/>
    <w:rsid w:val="33AB52CC"/>
    <w:rsid w:val="33AC2366"/>
    <w:rsid w:val="33B1555C"/>
    <w:rsid w:val="33B221AD"/>
    <w:rsid w:val="33B75AEE"/>
    <w:rsid w:val="33CF529C"/>
    <w:rsid w:val="33D10827"/>
    <w:rsid w:val="33D25F46"/>
    <w:rsid w:val="33D82A47"/>
    <w:rsid w:val="33E209AB"/>
    <w:rsid w:val="33E5078D"/>
    <w:rsid w:val="33E87D94"/>
    <w:rsid w:val="33E90420"/>
    <w:rsid w:val="33EC34B5"/>
    <w:rsid w:val="33EE66A6"/>
    <w:rsid w:val="33F702BA"/>
    <w:rsid w:val="34017CBD"/>
    <w:rsid w:val="34166608"/>
    <w:rsid w:val="341E1D09"/>
    <w:rsid w:val="34287CA9"/>
    <w:rsid w:val="342A5239"/>
    <w:rsid w:val="343105F8"/>
    <w:rsid w:val="34312280"/>
    <w:rsid w:val="34363F6C"/>
    <w:rsid w:val="343F0918"/>
    <w:rsid w:val="3441733D"/>
    <w:rsid w:val="3443661F"/>
    <w:rsid w:val="3447358C"/>
    <w:rsid w:val="34503BC2"/>
    <w:rsid w:val="3455325A"/>
    <w:rsid w:val="34573BFE"/>
    <w:rsid w:val="345B4DE2"/>
    <w:rsid w:val="346135E4"/>
    <w:rsid w:val="34621BC6"/>
    <w:rsid w:val="346239BA"/>
    <w:rsid w:val="346E47A9"/>
    <w:rsid w:val="34706117"/>
    <w:rsid w:val="34727588"/>
    <w:rsid w:val="347425C8"/>
    <w:rsid w:val="347436ED"/>
    <w:rsid w:val="34756D66"/>
    <w:rsid w:val="34783A98"/>
    <w:rsid w:val="347A56DE"/>
    <w:rsid w:val="347B2CCE"/>
    <w:rsid w:val="347F2305"/>
    <w:rsid w:val="348A5967"/>
    <w:rsid w:val="348B6FC3"/>
    <w:rsid w:val="34944293"/>
    <w:rsid w:val="34945E6C"/>
    <w:rsid w:val="34967349"/>
    <w:rsid w:val="34992347"/>
    <w:rsid w:val="349951D3"/>
    <w:rsid w:val="349B7F45"/>
    <w:rsid w:val="349C3739"/>
    <w:rsid w:val="349E076A"/>
    <w:rsid w:val="349F6C9E"/>
    <w:rsid w:val="34A0570C"/>
    <w:rsid w:val="34A570CB"/>
    <w:rsid w:val="34AF0742"/>
    <w:rsid w:val="34B443AA"/>
    <w:rsid w:val="34BB5B73"/>
    <w:rsid w:val="34BE76F7"/>
    <w:rsid w:val="34C064B9"/>
    <w:rsid w:val="34C557AB"/>
    <w:rsid w:val="34C747A1"/>
    <w:rsid w:val="34CC3D7C"/>
    <w:rsid w:val="34CD333A"/>
    <w:rsid w:val="34D449B3"/>
    <w:rsid w:val="34D86002"/>
    <w:rsid w:val="34E52C53"/>
    <w:rsid w:val="34E7122E"/>
    <w:rsid w:val="34EA406D"/>
    <w:rsid w:val="34EE2100"/>
    <w:rsid w:val="34F13E83"/>
    <w:rsid w:val="34F21601"/>
    <w:rsid w:val="34F24E7E"/>
    <w:rsid w:val="34F6201E"/>
    <w:rsid w:val="35044A71"/>
    <w:rsid w:val="35072B79"/>
    <w:rsid w:val="35164976"/>
    <w:rsid w:val="35172201"/>
    <w:rsid w:val="351A1E0C"/>
    <w:rsid w:val="351C3180"/>
    <w:rsid w:val="351E4A64"/>
    <w:rsid w:val="35211249"/>
    <w:rsid w:val="35266F44"/>
    <w:rsid w:val="352C416A"/>
    <w:rsid w:val="35345988"/>
    <w:rsid w:val="353719BF"/>
    <w:rsid w:val="353F5204"/>
    <w:rsid w:val="35412085"/>
    <w:rsid w:val="35430AD9"/>
    <w:rsid w:val="354332C6"/>
    <w:rsid w:val="35515CD9"/>
    <w:rsid w:val="355574F6"/>
    <w:rsid w:val="35577ADE"/>
    <w:rsid w:val="355A67B6"/>
    <w:rsid w:val="355F3EB4"/>
    <w:rsid w:val="35763561"/>
    <w:rsid w:val="35785E21"/>
    <w:rsid w:val="357E0820"/>
    <w:rsid w:val="35844F49"/>
    <w:rsid w:val="35887C8C"/>
    <w:rsid w:val="358B6440"/>
    <w:rsid w:val="358D4A67"/>
    <w:rsid w:val="358D5606"/>
    <w:rsid w:val="358E7772"/>
    <w:rsid w:val="359466A8"/>
    <w:rsid w:val="35954F6A"/>
    <w:rsid w:val="35957DBF"/>
    <w:rsid w:val="359E056B"/>
    <w:rsid w:val="359E6C74"/>
    <w:rsid w:val="359F6A81"/>
    <w:rsid w:val="35B42EDB"/>
    <w:rsid w:val="35BC34CC"/>
    <w:rsid w:val="35C1015C"/>
    <w:rsid w:val="35C506A4"/>
    <w:rsid w:val="35C61A03"/>
    <w:rsid w:val="35D408E8"/>
    <w:rsid w:val="35D56CB4"/>
    <w:rsid w:val="35D655F5"/>
    <w:rsid w:val="35DD4499"/>
    <w:rsid w:val="35E61D23"/>
    <w:rsid w:val="35EA3A88"/>
    <w:rsid w:val="35EE423C"/>
    <w:rsid w:val="35F01E35"/>
    <w:rsid w:val="35F47DCC"/>
    <w:rsid w:val="35F745D6"/>
    <w:rsid w:val="35F9731F"/>
    <w:rsid w:val="3601296C"/>
    <w:rsid w:val="36087EA5"/>
    <w:rsid w:val="360C09B0"/>
    <w:rsid w:val="360F590B"/>
    <w:rsid w:val="36104126"/>
    <w:rsid w:val="36153DEA"/>
    <w:rsid w:val="361753B0"/>
    <w:rsid w:val="36175E86"/>
    <w:rsid w:val="361C6A78"/>
    <w:rsid w:val="361E5532"/>
    <w:rsid w:val="36242C4C"/>
    <w:rsid w:val="36252C37"/>
    <w:rsid w:val="36293EA3"/>
    <w:rsid w:val="362949F9"/>
    <w:rsid w:val="362F123C"/>
    <w:rsid w:val="362F228B"/>
    <w:rsid w:val="36341386"/>
    <w:rsid w:val="363D1C90"/>
    <w:rsid w:val="36410959"/>
    <w:rsid w:val="364273AB"/>
    <w:rsid w:val="3644330D"/>
    <w:rsid w:val="36480096"/>
    <w:rsid w:val="364C3485"/>
    <w:rsid w:val="364E1A8D"/>
    <w:rsid w:val="36515F02"/>
    <w:rsid w:val="3652559C"/>
    <w:rsid w:val="3653022A"/>
    <w:rsid w:val="365A167E"/>
    <w:rsid w:val="365D0C8B"/>
    <w:rsid w:val="365F77CF"/>
    <w:rsid w:val="36666DDD"/>
    <w:rsid w:val="366B5E8C"/>
    <w:rsid w:val="367974B5"/>
    <w:rsid w:val="36870069"/>
    <w:rsid w:val="36873CC3"/>
    <w:rsid w:val="36892FFB"/>
    <w:rsid w:val="36906807"/>
    <w:rsid w:val="369D5193"/>
    <w:rsid w:val="369D6AA4"/>
    <w:rsid w:val="36A42362"/>
    <w:rsid w:val="36A6615F"/>
    <w:rsid w:val="36A86AA6"/>
    <w:rsid w:val="36AA33F6"/>
    <w:rsid w:val="36B3650C"/>
    <w:rsid w:val="36B666DD"/>
    <w:rsid w:val="36C002C8"/>
    <w:rsid w:val="36C34392"/>
    <w:rsid w:val="36C94C38"/>
    <w:rsid w:val="36CA623D"/>
    <w:rsid w:val="36D02926"/>
    <w:rsid w:val="36D169DF"/>
    <w:rsid w:val="36D918CE"/>
    <w:rsid w:val="36DE6396"/>
    <w:rsid w:val="36E22979"/>
    <w:rsid w:val="36F35D72"/>
    <w:rsid w:val="36FF3F4A"/>
    <w:rsid w:val="37014037"/>
    <w:rsid w:val="37053951"/>
    <w:rsid w:val="370926C4"/>
    <w:rsid w:val="370A5B3C"/>
    <w:rsid w:val="37113E90"/>
    <w:rsid w:val="37146EE0"/>
    <w:rsid w:val="371F2036"/>
    <w:rsid w:val="37266CF4"/>
    <w:rsid w:val="3727708F"/>
    <w:rsid w:val="372B2E07"/>
    <w:rsid w:val="3734309E"/>
    <w:rsid w:val="373D17EF"/>
    <w:rsid w:val="373F32DB"/>
    <w:rsid w:val="373F5573"/>
    <w:rsid w:val="373F7EC3"/>
    <w:rsid w:val="37464A78"/>
    <w:rsid w:val="374D28F1"/>
    <w:rsid w:val="37500E75"/>
    <w:rsid w:val="37524DB7"/>
    <w:rsid w:val="375326D6"/>
    <w:rsid w:val="3755030A"/>
    <w:rsid w:val="37551A4A"/>
    <w:rsid w:val="37565F83"/>
    <w:rsid w:val="375A6AAF"/>
    <w:rsid w:val="3764597C"/>
    <w:rsid w:val="37647E82"/>
    <w:rsid w:val="3765089F"/>
    <w:rsid w:val="376511E5"/>
    <w:rsid w:val="37661C1C"/>
    <w:rsid w:val="376A33F2"/>
    <w:rsid w:val="376A786A"/>
    <w:rsid w:val="37711C99"/>
    <w:rsid w:val="378325C5"/>
    <w:rsid w:val="378D3D30"/>
    <w:rsid w:val="378E02F2"/>
    <w:rsid w:val="378E2C57"/>
    <w:rsid w:val="3792586C"/>
    <w:rsid w:val="37936580"/>
    <w:rsid w:val="37A305D8"/>
    <w:rsid w:val="37A97E73"/>
    <w:rsid w:val="37AA15AE"/>
    <w:rsid w:val="37B9513C"/>
    <w:rsid w:val="37B971E1"/>
    <w:rsid w:val="37BF1123"/>
    <w:rsid w:val="37BF3E37"/>
    <w:rsid w:val="37C03FBA"/>
    <w:rsid w:val="37C47E91"/>
    <w:rsid w:val="37CD1A92"/>
    <w:rsid w:val="37CD6F8F"/>
    <w:rsid w:val="37D82AEA"/>
    <w:rsid w:val="37DB33F9"/>
    <w:rsid w:val="37DD71BC"/>
    <w:rsid w:val="37E50A8E"/>
    <w:rsid w:val="37FD17A7"/>
    <w:rsid w:val="37FE1C4C"/>
    <w:rsid w:val="38013108"/>
    <w:rsid w:val="38024869"/>
    <w:rsid w:val="38030A26"/>
    <w:rsid w:val="38066202"/>
    <w:rsid w:val="380B2608"/>
    <w:rsid w:val="381C00C8"/>
    <w:rsid w:val="3821525B"/>
    <w:rsid w:val="382A46B7"/>
    <w:rsid w:val="382E6895"/>
    <w:rsid w:val="382F0057"/>
    <w:rsid w:val="383A06DD"/>
    <w:rsid w:val="383A69FC"/>
    <w:rsid w:val="3842765B"/>
    <w:rsid w:val="384C3CA2"/>
    <w:rsid w:val="384D6FBD"/>
    <w:rsid w:val="385B7AD9"/>
    <w:rsid w:val="38666CA2"/>
    <w:rsid w:val="386926C1"/>
    <w:rsid w:val="386D5023"/>
    <w:rsid w:val="386E0533"/>
    <w:rsid w:val="386E19E9"/>
    <w:rsid w:val="387409D0"/>
    <w:rsid w:val="387463B2"/>
    <w:rsid w:val="38802F48"/>
    <w:rsid w:val="388257A6"/>
    <w:rsid w:val="388667B9"/>
    <w:rsid w:val="388A4429"/>
    <w:rsid w:val="389362FC"/>
    <w:rsid w:val="38951917"/>
    <w:rsid w:val="38961B7F"/>
    <w:rsid w:val="389A0FDE"/>
    <w:rsid w:val="38A038B5"/>
    <w:rsid w:val="38A5485A"/>
    <w:rsid w:val="38AB467F"/>
    <w:rsid w:val="38AC0F24"/>
    <w:rsid w:val="38B02007"/>
    <w:rsid w:val="38B130DD"/>
    <w:rsid w:val="38B25766"/>
    <w:rsid w:val="38B2661C"/>
    <w:rsid w:val="38B34D79"/>
    <w:rsid w:val="38BE4B80"/>
    <w:rsid w:val="38C062FF"/>
    <w:rsid w:val="38C43651"/>
    <w:rsid w:val="38CE0D3B"/>
    <w:rsid w:val="38D062BC"/>
    <w:rsid w:val="38D16BAC"/>
    <w:rsid w:val="38D26C34"/>
    <w:rsid w:val="38D50077"/>
    <w:rsid w:val="38D5618A"/>
    <w:rsid w:val="38E2656A"/>
    <w:rsid w:val="38E40709"/>
    <w:rsid w:val="38E770F9"/>
    <w:rsid w:val="38EC5F48"/>
    <w:rsid w:val="38F44DFD"/>
    <w:rsid w:val="38F84258"/>
    <w:rsid w:val="38FB5039"/>
    <w:rsid w:val="38FD4910"/>
    <w:rsid w:val="391022A3"/>
    <w:rsid w:val="391B7555"/>
    <w:rsid w:val="39210241"/>
    <w:rsid w:val="392431DD"/>
    <w:rsid w:val="39250638"/>
    <w:rsid w:val="3927669B"/>
    <w:rsid w:val="39282C3F"/>
    <w:rsid w:val="39287583"/>
    <w:rsid w:val="393361B1"/>
    <w:rsid w:val="393516FD"/>
    <w:rsid w:val="3936203F"/>
    <w:rsid w:val="39377FE0"/>
    <w:rsid w:val="393C32BF"/>
    <w:rsid w:val="39452567"/>
    <w:rsid w:val="39465B31"/>
    <w:rsid w:val="394D4967"/>
    <w:rsid w:val="394E09B1"/>
    <w:rsid w:val="394F734A"/>
    <w:rsid w:val="395213BF"/>
    <w:rsid w:val="39587FFC"/>
    <w:rsid w:val="39595074"/>
    <w:rsid w:val="395F49D2"/>
    <w:rsid w:val="39633132"/>
    <w:rsid w:val="396A081F"/>
    <w:rsid w:val="396D319B"/>
    <w:rsid w:val="396E010A"/>
    <w:rsid w:val="396F4EF8"/>
    <w:rsid w:val="396F5908"/>
    <w:rsid w:val="397734A4"/>
    <w:rsid w:val="39776D6F"/>
    <w:rsid w:val="397C376D"/>
    <w:rsid w:val="397F0330"/>
    <w:rsid w:val="39825504"/>
    <w:rsid w:val="39826A0B"/>
    <w:rsid w:val="398430E0"/>
    <w:rsid w:val="398B7AF0"/>
    <w:rsid w:val="3991350E"/>
    <w:rsid w:val="3995213C"/>
    <w:rsid w:val="399C41DE"/>
    <w:rsid w:val="39A22AAB"/>
    <w:rsid w:val="39A903AD"/>
    <w:rsid w:val="39AD0ADB"/>
    <w:rsid w:val="39B1604E"/>
    <w:rsid w:val="39B24FF9"/>
    <w:rsid w:val="39B76556"/>
    <w:rsid w:val="39BA7DF9"/>
    <w:rsid w:val="39C33146"/>
    <w:rsid w:val="39C55D33"/>
    <w:rsid w:val="39D00379"/>
    <w:rsid w:val="39D2128E"/>
    <w:rsid w:val="39D50425"/>
    <w:rsid w:val="39DF3995"/>
    <w:rsid w:val="39DF4D2E"/>
    <w:rsid w:val="39E075F0"/>
    <w:rsid w:val="39E300DD"/>
    <w:rsid w:val="39E6768A"/>
    <w:rsid w:val="39EB0270"/>
    <w:rsid w:val="39EE5BDD"/>
    <w:rsid w:val="39EF0F3B"/>
    <w:rsid w:val="39F058F3"/>
    <w:rsid w:val="39F552D0"/>
    <w:rsid w:val="39F678D2"/>
    <w:rsid w:val="39F70CA1"/>
    <w:rsid w:val="39F819FD"/>
    <w:rsid w:val="39F87D81"/>
    <w:rsid w:val="39FA1AAE"/>
    <w:rsid w:val="39FF1736"/>
    <w:rsid w:val="3A00630C"/>
    <w:rsid w:val="3A03755E"/>
    <w:rsid w:val="3A045513"/>
    <w:rsid w:val="3A121324"/>
    <w:rsid w:val="3A1B481E"/>
    <w:rsid w:val="3A210253"/>
    <w:rsid w:val="3A2160C5"/>
    <w:rsid w:val="3A221E95"/>
    <w:rsid w:val="3A23446A"/>
    <w:rsid w:val="3A236A5F"/>
    <w:rsid w:val="3A2C47DA"/>
    <w:rsid w:val="3A2E3312"/>
    <w:rsid w:val="3A300035"/>
    <w:rsid w:val="3A320ACC"/>
    <w:rsid w:val="3A38523C"/>
    <w:rsid w:val="3A3A5144"/>
    <w:rsid w:val="3A424542"/>
    <w:rsid w:val="3A4756F1"/>
    <w:rsid w:val="3A4D2A17"/>
    <w:rsid w:val="3A5A02B0"/>
    <w:rsid w:val="3A5F7566"/>
    <w:rsid w:val="3A670E99"/>
    <w:rsid w:val="3A68016E"/>
    <w:rsid w:val="3A680DAE"/>
    <w:rsid w:val="3A692ADF"/>
    <w:rsid w:val="3A747612"/>
    <w:rsid w:val="3A770799"/>
    <w:rsid w:val="3A7A0930"/>
    <w:rsid w:val="3A7D2AE3"/>
    <w:rsid w:val="3A7E0E22"/>
    <w:rsid w:val="3A7F2D6F"/>
    <w:rsid w:val="3A847D25"/>
    <w:rsid w:val="3A89323E"/>
    <w:rsid w:val="3A8C5F1E"/>
    <w:rsid w:val="3A8E4475"/>
    <w:rsid w:val="3A901318"/>
    <w:rsid w:val="3A9110AE"/>
    <w:rsid w:val="3A917DFB"/>
    <w:rsid w:val="3A9B5364"/>
    <w:rsid w:val="3AA804FD"/>
    <w:rsid w:val="3AAC3225"/>
    <w:rsid w:val="3AB64D17"/>
    <w:rsid w:val="3AB900AC"/>
    <w:rsid w:val="3AC0201A"/>
    <w:rsid w:val="3AC60033"/>
    <w:rsid w:val="3AC66FCA"/>
    <w:rsid w:val="3AD05784"/>
    <w:rsid w:val="3AD13F15"/>
    <w:rsid w:val="3AD90C2E"/>
    <w:rsid w:val="3ADE4835"/>
    <w:rsid w:val="3AE376FB"/>
    <w:rsid w:val="3AE55B98"/>
    <w:rsid w:val="3AEF18B4"/>
    <w:rsid w:val="3AF1786F"/>
    <w:rsid w:val="3AF25942"/>
    <w:rsid w:val="3AFF538E"/>
    <w:rsid w:val="3B005CDB"/>
    <w:rsid w:val="3B0676A6"/>
    <w:rsid w:val="3B0A12C3"/>
    <w:rsid w:val="3B0A425E"/>
    <w:rsid w:val="3B0E03F8"/>
    <w:rsid w:val="3B19064C"/>
    <w:rsid w:val="3B193A25"/>
    <w:rsid w:val="3B1D433F"/>
    <w:rsid w:val="3B215530"/>
    <w:rsid w:val="3B220ACF"/>
    <w:rsid w:val="3B25644B"/>
    <w:rsid w:val="3B280060"/>
    <w:rsid w:val="3B285FB9"/>
    <w:rsid w:val="3B292283"/>
    <w:rsid w:val="3B2A2D74"/>
    <w:rsid w:val="3B30731A"/>
    <w:rsid w:val="3B31168B"/>
    <w:rsid w:val="3B351CE2"/>
    <w:rsid w:val="3B3734A3"/>
    <w:rsid w:val="3B3B0249"/>
    <w:rsid w:val="3B4047B4"/>
    <w:rsid w:val="3B43339B"/>
    <w:rsid w:val="3B4A4662"/>
    <w:rsid w:val="3B534399"/>
    <w:rsid w:val="3B5424B5"/>
    <w:rsid w:val="3B562689"/>
    <w:rsid w:val="3B567FF1"/>
    <w:rsid w:val="3B5D412E"/>
    <w:rsid w:val="3B640DBE"/>
    <w:rsid w:val="3B6F5313"/>
    <w:rsid w:val="3B73452E"/>
    <w:rsid w:val="3B78793E"/>
    <w:rsid w:val="3B794982"/>
    <w:rsid w:val="3B7A2F25"/>
    <w:rsid w:val="3B7A67E7"/>
    <w:rsid w:val="3B8D1F7E"/>
    <w:rsid w:val="3B9814B7"/>
    <w:rsid w:val="3B9C619D"/>
    <w:rsid w:val="3B9D4C55"/>
    <w:rsid w:val="3BAB0584"/>
    <w:rsid w:val="3BB16FD5"/>
    <w:rsid w:val="3BB42B2B"/>
    <w:rsid w:val="3BBB29B9"/>
    <w:rsid w:val="3BBC7DBA"/>
    <w:rsid w:val="3BC97FF5"/>
    <w:rsid w:val="3BCD02B3"/>
    <w:rsid w:val="3BD4448F"/>
    <w:rsid w:val="3BD87404"/>
    <w:rsid w:val="3BD973B8"/>
    <w:rsid w:val="3BDD48F9"/>
    <w:rsid w:val="3BDF528A"/>
    <w:rsid w:val="3BE3161A"/>
    <w:rsid w:val="3BE703E9"/>
    <w:rsid w:val="3BEB7980"/>
    <w:rsid w:val="3BED54F7"/>
    <w:rsid w:val="3BF46037"/>
    <w:rsid w:val="3BFC6E7C"/>
    <w:rsid w:val="3BFD2420"/>
    <w:rsid w:val="3BFD584F"/>
    <w:rsid w:val="3BFF0776"/>
    <w:rsid w:val="3BFF6834"/>
    <w:rsid w:val="3C042928"/>
    <w:rsid w:val="3C057C49"/>
    <w:rsid w:val="3C0D6901"/>
    <w:rsid w:val="3C100CE3"/>
    <w:rsid w:val="3C123FB4"/>
    <w:rsid w:val="3C1629F6"/>
    <w:rsid w:val="3C1732DC"/>
    <w:rsid w:val="3C1B4977"/>
    <w:rsid w:val="3C1B5560"/>
    <w:rsid w:val="3C1F085F"/>
    <w:rsid w:val="3C2078B9"/>
    <w:rsid w:val="3C2613B9"/>
    <w:rsid w:val="3C2E703F"/>
    <w:rsid w:val="3C3912DA"/>
    <w:rsid w:val="3C3944C4"/>
    <w:rsid w:val="3C3B33C8"/>
    <w:rsid w:val="3C4073E3"/>
    <w:rsid w:val="3C43245D"/>
    <w:rsid w:val="3C434198"/>
    <w:rsid w:val="3C466F98"/>
    <w:rsid w:val="3C496509"/>
    <w:rsid w:val="3C4F039D"/>
    <w:rsid w:val="3C550A7D"/>
    <w:rsid w:val="3C5A1CFC"/>
    <w:rsid w:val="3C603F10"/>
    <w:rsid w:val="3C610757"/>
    <w:rsid w:val="3C696345"/>
    <w:rsid w:val="3C6A7CD7"/>
    <w:rsid w:val="3C6E10E8"/>
    <w:rsid w:val="3C6E499C"/>
    <w:rsid w:val="3C6F72B6"/>
    <w:rsid w:val="3C7127CF"/>
    <w:rsid w:val="3C7529C0"/>
    <w:rsid w:val="3C760652"/>
    <w:rsid w:val="3C7A1A68"/>
    <w:rsid w:val="3C840EE4"/>
    <w:rsid w:val="3C8C40D0"/>
    <w:rsid w:val="3C8D37E1"/>
    <w:rsid w:val="3C8F72B2"/>
    <w:rsid w:val="3C9145AA"/>
    <w:rsid w:val="3C9708C1"/>
    <w:rsid w:val="3C992016"/>
    <w:rsid w:val="3C9A569B"/>
    <w:rsid w:val="3C9B1B95"/>
    <w:rsid w:val="3C9E6C12"/>
    <w:rsid w:val="3C9F1D18"/>
    <w:rsid w:val="3CA725E5"/>
    <w:rsid w:val="3CA91DA7"/>
    <w:rsid w:val="3CAB1D45"/>
    <w:rsid w:val="3CB16EB3"/>
    <w:rsid w:val="3CB773B7"/>
    <w:rsid w:val="3CBE0C16"/>
    <w:rsid w:val="3CBE56B3"/>
    <w:rsid w:val="3CC1149A"/>
    <w:rsid w:val="3CCA2A44"/>
    <w:rsid w:val="3CD243EF"/>
    <w:rsid w:val="3CD72D15"/>
    <w:rsid w:val="3CD930DB"/>
    <w:rsid w:val="3CEC2CEF"/>
    <w:rsid w:val="3CEC3BE9"/>
    <w:rsid w:val="3CF22945"/>
    <w:rsid w:val="3CF4361D"/>
    <w:rsid w:val="3CFC3787"/>
    <w:rsid w:val="3D0B3822"/>
    <w:rsid w:val="3D0D60BF"/>
    <w:rsid w:val="3D0F521E"/>
    <w:rsid w:val="3D103C1D"/>
    <w:rsid w:val="3D13000F"/>
    <w:rsid w:val="3D160348"/>
    <w:rsid w:val="3D1D196D"/>
    <w:rsid w:val="3D1D2832"/>
    <w:rsid w:val="3D1D3A0F"/>
    <w:rsid w:val="3D1E3937"/>
    <w:rsid w:val="3D206958"/>
    <w:rsid w:val="3D294D95"/>
    <w:rsid w:val="3D2B676F"/>
    <w:rsid w:val="3D2E4D81"/>
    <w:rsid w:val="3D33738A"/>
    <w:rsid w:val="3D3C271F"/>
    <w:rsid w:val="3D3D4D35"/>
    <w:rsid w:val="3D4062DB"/>
    <w:rsid w:val="3D415305"/>
    <w:rsid w:val="3D4F4CF8"/>
    <w:rsid w:val="3D586A74"/>
    <w:rsid w:val="3D5E57B5"/>
    <w:rsid w:val="3D5F758C"/>
    <w:rsid w:val="3D6320C7"/>
    <w:rsid w:val="3D653A52"/>
    <w:rsid w:val="3D6A1B31"/>
    <w:rsid w:val="3D7C687D"/>
    <w:rsid w:val="3D8215CC"/>
    <w:rsid w:val="3D84413D"/>
    <w:rsid w:val="3D8E0023"/>
    <w:rsid w:val="3D9E6736"/>
    <w:rsid w:val="3D9E7490"/>
    <w:rsid w:val="3DA768E2"/>
    <w:rsid w:val="3DB541C0"/>
    <w:rsid w:val="3DB60026"/>
    <w:rsid w:val="3DB61592"/>
    <w:rsid w:val="3DB9030A"/>
    <w:rsid w:val="3DB94C1D"/>
    <w:rsid w:val="3DBB2054"/>
    <w:rsid w:val="3DC3107C"/>
    <w:rsid w:val="3DC35BBB"/>
    <w:rsid w:val="3DC37DBB"/>
    <w:rsid w:val="3DC53F2C"/>
    <w:rsid w:val="3DC940CB"/>
    <w:rsid w:val="3DCA4E5A"/>
    <w:rsid w:val="3DD002A3"/>
    <w:rsid w:val="3DD07587"/>
    <w:rsid w:val="3DD07BE6"/>
    <w:rsid w:val="3DD2086E"/>
    <w:rsid w:val="3DD879A2"/>
    <w:rsid w:val="3DDD0522"/>
    <w:rsid w:val="3DE2207B"/>
    <w:rsid w:val="3DEA6E81"/>
    <w:rsid w:val="3DF31CA4"/>
    <w:rsid w:val="3DF47E41"/>
    <w:rsid w:val="3DF75981"/>
    <w:rsid w:val="3DFE2ACA"/>
    <w:rsid w:val="3DFE7A67"/>
    <w:rsid w:val="3DFF2E3A"/>
    <w:rsid w:val="3E057486"/>
    <w:rsid w:val="3E0D28B8"/>
    <w:rsid w:val="3E11027B"/>
    <w:rsid w:val="3E117624"/>
    <w:rsid w:val="3E135119"/>
    <w:rsid w:val="3E1668AD"/>
    <w:rsid w:val="3E192FB0"/>
    <w:rsid w:val="3E1D0ED7"/>
    <w:rsid w:val="3E1F0B6E"/>
    <w:rsid w:val="3E207D67"/>
    <w:rsid w:val="3E2320B2"/>
    <w:rsid w:val="3E2A4B55"/>
    <w:rsid w:val="3E3B315E"/>
    <w:rsid w:val="3E3D5672"/>
    <w:rsid w:val="3E3D60A2"/>
    <w:rsid w:val="3E46181B"/>
    <w:rsid w:val="3E484FA9"/>
    <w:rsid w:val="3E5E50CC"/>
    <w:rsid w:val="3E614702"/>
    <w:rsid w:val="3E6350CF"/>
    <w:rsid w:val="3E64332B"/>
    <w:rsid w:val="3E6760C8"/>
    <w:rsid w:val="3E6E4385"/>
    <w:rsid w:val="3E7431E9"/>
    <w:rsid w:val="3E744FD2"/>
    <w:rsid w:val="3E78332B"/>
    <w:rsid w:val="3E7C38CA"/>
    <w:rsid w:val="3E7E2BAF"/>
    <w:rsid w:val="3E86735F"/>
    <w:rsid w:val="3E867DCA"/>
    <w:rsid w:val="3E88240C"/>
    <w:rsid w:val="3E89463E"/>
    <w:rsid w:val="3E895E2B"/>
    <w:rsid w:val="3E90687A"/>
    <w:rsid w:val="3E913ED2"/>
    <w:rsid w:val="3E9A5EEC"/>
    <w:rsid w:val="3E9F3A2D"/>
    <w:rsid w:val="3EA11583"/>
    <w:rsid w:val="3EA43665"/>
    <w:rsid w:val="3EA637B9"/>
    <w:rsid w:val="3EAD6834"/>
    <w:rsid w:val="3EB13564"/>
    <w:rsid w:val="3EB23E65"/>
    <w:rsid w:val="3EB562C8"/>
    <w:rsid w:val="3EB93255"/>
    <w:rsid w:val="3EBA0C12"/>
    <w:rsid w:val="3EBA44DD"/>
    <w:rsid w:val="3EBD6A90"/>
    <w:rsid w:val="3EC62D97"/>
    <w:rsid w:val="3EC6476E"/>
    <w:rsid w:val="3EC95630"/>
    <w:rsid w:val="3ECE0E43"/>
    <w:rsid w:val="3ECE4A4C"/>
    <w:rsid w:val="3ECF7890"/>
    <w:rsid w:val="3ECF7F21"/>
    <w:rsid w:val="3ED90ADE"/>
    <w:rsid w:val="3EE844C9"/>
    <w:rsid w:val="3EEB0C33"/>
    <w:rsid w:val="3EEC4A1C"/>
    <w:rsid w:val="3EF22043"/>
    <w:rsid w:val="3EF43670"/>
    <w:rsid w:val="3EFB0146"/>
    <w:rsid w:val="3EFF3AA3"/>
    <w:rsid w:val="3F022457"/>
    <w:rsid w:val="3F035D9A"/>
    <w:rsid w:val="3F102382"/>
    <w:rsid w:val="3F106C22"/>
    <w:rsid w:val="3F111FEA"/>
    <w:rsid w:val="3F131916"/>
    <w:rsid w:val="3F14262E"/>
    <w:rsid w:val="3F166747"/>
    <w:rsid w:val="3F1858E5"/>
    <w:rsid w:val="3F220865"/>
    <w:rsid w:val="3F2266FA"/>
    <w:rsid w:val="3F2301EA"/>
    <w:rsid w:val="3F275298"/>
    <w:rsid w:val="3F2B2BFA"/>
    <w:rsid w:val="3F3009D6"/>
    <w:rsid w:val="3F313F9D"/>
    <w:rsid w:val="3F387B1D"/>
    <w:rsid w:val="3F3D16B2"/>
    <w:rsid w:val="3F451A0C"/>
    <w:rsid w:val="3F466C65"/>
    <w:rsid w:val="3F4861B3"/>
    <w:rsid w:val="3F5468F1"/>
    <w:rsid w:val="3F56236D"/>
    <w:rsid w:val="3F601D02"/>
    <w:rsid w:val="3F6649AC"/>
    <w:rsid w:val="3F6A5944"/>
    <w:rsid w:val="3F6C2EC4"/>
    <w:rsid w:val="3F6D76B7"/>
    <w:rsid w:val="3F727117"/>
    <w:rsid w:val="3F7C052D"/>
    <w:rsid w:val="3F813106"/>
    <w:rsid w:val="3F824144"/>
    <w:rsid w:val="3F886248"/>
    <w:rsid w:val="3F8D03AC"/>
    <w:rsid w:val="3F8D4D8A"/>
    <w:rsid w:val="3F8E28FC"/>
    <w:rsid w:val="3F8E7C5C"/>
    <w:rsid w:val="3F90688E"/>
    <w:rsid w:val="3F9357FF"/>
    <w:rsid w:val="3F9B4E5A"/>
    <w:rsid w:val="3F9B5174"/>
    <w:rsid w:val="3F9E00C6"/>
    <w:rsid w:val="3F9E2C84"/>
    <w:rsid w:val="3FA3278D"/>
    <w:rsid w:val="3FAF0BD1"/>
    <w:rsid w:val="3FB01E2B"/>
    <w:rsid w:val="3FB0272E"/>
    <w:rsid w:val="3FB65876"/>
    <w:rsid w:val="3FBF7FF0"/>
    <w:rsid w:val="3FC43071"/>
    <w:rsid w:val="3FC5683B"/>
    <w:rsid w:val="3FCD5832"/>
    <w:rsid w:val="3FD17545"/>
    <w:rsid w:val="3FD32A54"/>
    <w:rsid w:val="3FD467B1"/>
    <w:rsid w:val="3FDD5930"/>
    <w:rsid w:val="3FE21557"/>
    <w:rsid w:val="3FEB51AC"/>
    <w:rsid w:val="3FEE6221"/>
    <w:rsid w:val="3FF62489"/>
    <w:rsid w:val="3FFA2657"/>
    <w:rsid w:val="3FFB70C1"/>
    <w:rsid w:val="40051078"/>
    <w:rsid w:val="40061013"/>
    <w:rsid w:val="40061FE5"/>
    <w:rsid w:val="4012771F"/>
    <w:rsid w:val="40157535"/>
    <w:rsid w:val="40185875"/>
    <w:rsid w:val="401B23F1"/>
    <w:rsid w:val="401B7F59"/>
    <w:rsid w:val="402959EE"/>
    <w:rsid w:val="402C7E9E"/>
    <w:rsid w:val="40324F52"/>
    <w:rsid w:val="404A2671"/>
    <w:rsid w:val="404B7D88"/>
    <w:rsid w:val="404E397B"/>
    <w:rsid w:val="40501179"/>
    <w:rsid w:val="405169FF"/>
    <w:rsid w:val="40536C06"/>
    <w:rsid w:val="40544CE2"/>
    <w:rsid w:val="40551F62"/>
    <w:rsid w:val="40556AC9"/>
    <w:rsid w:val="405D33A6"/>
    <w:rsid w:val="4060028A"/>
    <w:rsid w:val="40624441"/>
    <w:rsid w:val="40645038"/>
    <w:rsid w:val="406500F9"/>
    <w:rsid w:val="4068232A"/>
    <w:rsid w:val="40691494"/>
    <w:rsid w:val="407231D7"/>
    <w:rsid w:val="40752CC7"/>
    <w:rsid w:val="40781753"/>
    <w:rsid w:val="40790D7F"/>
    <w:rsid w:val="40881501"/>
    <w:rsid w:val="40881812"/>
    <w:rsid w:val="408A2D9D"/>
    <w:rsid w:val="409018E3"/>
    <w:rsid w:val="40923AAA"/>
    <w:rsid w:val="40953ACA"/>
    <w:rsid w:val="409C4F35"/>
    <w:rsid w:val="409F23B1"/>
    <w:rsid w:val="40A23390"/>
    <w:rsid w:val="40A658FC"/>
    <w:rsid w:val="40AE3051"/>
    <w:rsid w:val="40B51316"/>
    <w:rsid w:val="40B55EE8"/>
    <w:rsid w:val="40B81C99"/>
    <w:rsid w:val="40BA59C9"/>
    <w:rsid w:val="40C46173"/>
    <w:rsid w:val="40C71BCD"/>
    <w:rsid w:val="40CA1918"/>
    <w:rsid w:val="40CA7373"/>
    <w:rsid w:val="40CF2E62"/>
    <w:rsid w:val="40D44847"/>
    <w:rsid w:val="40D64A42"/>
    <w:rsid w:val="40D934A8"/>
    <w:rsid w:val="40E148C3"/>
    <w:rsid w:val="40E5218B"/>
    <w:rsid w:val="40E93E87"/>
    <w:rsid w:val="40E95772"/>
    <w:rsid w:val="40EA4DD9"/>
    <w:rsid w:val="40EF4CAC"/>
    <w:rsid w:val="40FF3BDC"/>
    <w:rsid w:val="41007F98"/>
    <w:rsid w:val="410E4C13"/>
    <w:rsid w:val="410E7D80"/>
    <w:rsid w:val="410F5F95"/>
    <w:rsid w:val="41135002"/>
    <w:rsid w:val="41160006"/>
    <w:rsid w:val="41194293"/>
    <w:rsid w:val="411A0004"/>
    <w:rsid w:val="41202712"/>
    <w:rsid w:val="412626B7"/>
    <w:rsid w:val="41270465"/>
    <w:rsid w:val="412D0987"/>
    <w:rsid w:val="412D4486"/>
    <w:rsid w:val="41300928"/>
    <w:rsid w:val="413E0EB4"/>
    <w:rsid w:val="414020C9"/>
    <w:rsid w:val="41467D25"/>
    <w:rsid w:val="4147052D"/>
    <w:rsid w:val="414C0934"/>
    <w:rsid w:val="415723CD"/>
    <w:rsid w:val="4163336D"/>
    <w:rsid w:val="4164280B"/>
    <w:rsid w:val="416470BA"/>
    <w:rsid w:val="416814B6"/>
    <w:rsid w:val="41737986"/>
    <w:rsid w:val="417B2A0A"/>
    <w:rsid w:val="417C3618"/>
    <w:rsid w:val="417C4F1D"/>
    <w:rsid w:val="41864B10"/>
    <w:rsid w:val="418826F0"/>
    <w:rsid w:val="41916E61"/>
    <w:rsid w:val="41927543"/>
    <w:rsid w:val="419A41B2"/>
    <w:rsid w:val="419D4283"/>
    <w:rsid w:val="41A00071"/>
    <w:rsid w:val="41A11E72"/>
    <w:rsid w:val="41A2189A"/>
    <w:rsid w:val="41B044F0"/>
    <w:rsid w:val="41B54C3A"/>
    <w:rsid w:val="41C65ECB"/>
    <w:rsid w:val="41C7188C"/>
    <w:rsid w:val="41CA2B9F"/>
    <w:rsid w:val="41CD3834"/>
    <w:rsid w:val="41CD5FE7"/>
    <w:rsid w:val="41CF1230"/>
    <w:rsid w:val="41D07917"/>
    <w:rsid w:val="41D31431"/>
    <w:rsid w:val="41D83122"/>
    <w:rsid w:val="41DB7B60"/>
    <w:rsid w:val="41E26596"/>
    <w:rsid w:val="41E34A2C"/>
    <w:rsid w:val="41E464F5"/>
    <w:rsid w:val="41E73432"/>
    <w:rsid w:val="41EB01D0"/>
    <w:rsid w:val="41EB2983"/>
    <w:rsid w:val="41ED737D"/>
    <w:rsid w:val="41F25551"/>
    <w:rsid w:val="41F3403B"/>
    <w:rsid w:val="41FB48E8"/>
    <w:rsid w:val="41FB5D15"/>
    <w:rsid w:val="41FB6FAE"/>
    <w:rsid w:val="42042194"/>
    <w:rsid w:val="4206188F"/>
    <w:rsid w:val="421238B2"/>
    <w:rsid w:val="421409D8"/>
    <w:rsid w:val="4216324D"/>
    <w:rsid w:val="4223186B"/>
    <w:rsid w:val="42291B13"/>
    <w:rsid w:val="422B38C5"/>
    <w:rsid w:val="422E05A3"/>
    <w:rsid w:val="42384C0F"/>
    <w:rsid w:val="423E31E9"/>
    <w:rsid w:val="424232BD"/>
    <w:rsid w:val="42462ABA"/>
    <w:rsid w:val="4249759E"/>
    <w:rsid w:val="424B3CDF"/>
    <w:rsid w:val="425C481B"/>
    <w:rsid w:val="425D5562"/>
    <w:rsid w:val="42632930"/>
    <w:rsid w:val="426538A8"/>
    <w:rsid w:val="4270253C"/>
    <w:rsid w:val="4272586E"/>
    <w:rsid w:val="42740052"/>
    <w:rsid w:val="42781869"/>
    <w:rsid w:val="427D639B"/>
    <w:rsid w:val="427E71BE"/>
    <w:rsid w:val="4280395E"/>
    <w:rsid w:val="42875938"/>
    <w:rsid w:val="428B1526"/>
    <w:rsid w:val="428F7215"/>
    <w:rsid w:val="4292190E"/>
    <w:rsid w:val="42945F23"/>
    <w:rsid w:val="42976DB5"/>
    <w:rsid w:val="42976F25"/>
    <w:rsid w:val="42A03276"/>
    <w:rsid w:val="42AD1BF5"/>
    <w:rsid w:val="42AE41C8"/>
    <w:rsid w:val="42B07795"/>
    <w:rsid w:val="42B730DB"/>
    <w:rsid w:val="42BA42C4"/>
    <w:rsid w:val="42BE2214"/>
    <w:rsid w:val="42C23A75"/>
    <w:rsid w:val="42C66783"/>
    <w:rsid w:val="42CB1C43"/>
    <w:rsid w:val="42CD74E5"/>
    <w:rsid w:val="42D321A3"/>
    <w:rsid w:val="42D857F3"/>
    <w:rsid w:val="42DD327A"/>
    <w:rsid w:val="42DF2565"/>
    <w:rsid w:val="42E21EE9"/>
    <w:rsid w:val="42E628D1"/>
    <w:rsid w:val="42EF6EF9"/>
    <w:rsid w:val="42EF789F"/>
    <w:rsid w:val="42F11D19"/>
    <w:rsid w:val="42F14C19"/>
    <w:rsid w:val="42F4655F"/>
    <w:rsid w:val="42F50908"/>
    <w:rsid w:val="42F53A7D"/>
    <w:rsid w:val="42F81964"/>
    <w:rsid w:val="43001A4B"/>
    <w:rsid w:val="43005764"/>
    <w:rsid w:val="430A1DED"/>
    <w:rsid w:val="430E70E6"/>
    <w:rsid w:val="4311795F"/>
    <w:rsid w:val="431241BB"/>
    <w:rsid w:val="43173E7F"/>
    <w:rsid w:val="43236458"/>
    <w:rsid w:val="43281C79"/>
    <w:rsid w:val="4328371C"/>
    <w:rsid w:val="4329716E"/>
    <w:rsid w:val="432F1853"/>
    <w:rsid w:val="433136EE"/>
    <w:rsid w:val="433406EF"/>
    <w:rsid w:val="43363A6F"/>
    <w:rsid w:val="433E73B3"/>
    <w:rsid w:val="43406C5C"/>
    <w:rsid w:val="43427FE6"/>
    <w:rsid w:val="43432CE0"/>
    <w:rsid w:val="43442180"/>
    <w:rsid w:val="434B7778"/>
    <w:rsid w:val="43572B58"/>
    <w:rsid w:val="43622B9B"/>
    <w:rsid w:val="43642FA9"/>
    <w:rsid w:val="4369409E"/>
    <w:rsid w:val="436B29B9"/>
    <w:rsid w:val="4378537B"/>
    <w:rsid w:val="43794FF4"/>
    <w:rsid w:val="437A0B0C"/>
    <w:rsid w:val="437E3C11"/>
    <w:rsid w:val="438020CF"/>
    <w:rsid w:val="43881BE8"/>
    <w:rsid w:val="438A6919"/>
    <w:rsid w:val="438B7716"/>
    <w:rsid w:val="43903FA1"/>
    <w:rsid w:val="43945C3F"/>
    <w:rsid w:val="43962464"/>
    <w:rsid w:val="43977B2C"/>
    <w:rsid w:val="43A071A0"/>
    <w:rsid w:val="43A12CB3"/>
    <w:rsid w:val="43A238DE"/>
    <w:rsid w:val="43A32C0B"/>
    <w:rsid w:val="43A70978"/>
    <w:rsid w:val="43A96881"/>
    <w:rsid w:val="43B50996"/>
    <w:rsid w:val="43B515ED"/>
    <w:rsid w:val="43B51605"/>
    <w:rsid w:val="43B85A29"/>
    <w:rsid w:val="43BD29FA"/>
    <w:rsid w:val="43BD34BF"/>
    <w:rsid w:val="43C26584"/>
    <w:rsid w:val="43C475D9"/>
    <w:rsid w:val="43CA049A"/>
    <w:rsid w:val="43CA157C"/>
    <w:rsid w:val="43CA59D6"/>
    <w:rsid w:val="43D165F9"/>
    <w:rsid w:val="43D377DA"/>
    <w:rsid w:val="43D45027"/>
    <w:rsid w:val="43DA3936"/>
    <w:rsid w:val="43E22C8D"/>
    <w:rsid w:val="43E32410"/>
    <w:rsid w:val="43E3619A"/>
    <w:rsid w:val="43E97C54"/>
    <w:rsid w:val="43EA6FCB"/>
    <w:rsid w:val="43EB364C"/>
    <w:rsid w:val="43ED117C"/>
    <w:rsid w:val="43F65ECD"/>
    <w:rsid w:val="43F839F3"/>
    <w:rsid w:val="43F9776B"/>
    <w:rsid w:val="43FB3116"/>
    <w:rsid w:val="43FB7B5F"/>
    <w:rsid w:val="43FC7BEA"/>
    <w:rsid w:val="44005588"/>
    <w:rsid w:val="44085B1D"/>
    <w:rsid w:val="440E40E5"/>
    <w:rsid w:val="4416031D"/>
    <w:rsid w:val="44192C16"/>
    <w:rsid w:val="441C5317"/>
    <w:rsid w:val="441F16F2"/>
    <w:rsid w:val="442574F7"/>
    <w:rsid w:val="442D2ABF"/>
    <w:rsid w:val="442F18C7"/>
    <w:rsid w:val="442F41CD"/>
    <w:rsid w:val="4430732D"/>
    <w:rsid w:val="44315157"/>
    <w:rsid w:val="44331FF5"/>
    <w:rsid w:val="44385A50"/>
    <w:rsid w:val="443B5FD6"/>
    <w:rsid w:val="444B77F2"/>
    <w:rsid w:val="446112B7"/>
    <w:rsid w:val="44620064"/>
    <w:rsid w:val="44680347"/>
    <w:rsid w:val="44691522"/>
    <w:rsid w:val="4469669F"/>
    <w:rsid w:val="448076A5"/>
    <w:rsid w:val="44825B5B"/>
    <w:rsid w:val="448443DE"/>
    <w:rsid w:val="448470B1"/>
    <w:rsid w:val="44861741"/>
    <w:rsid w:val="44863E9E"/>
    <w:rsid w:val="44872F17"/>
    <w:rsid w:val="44953712"/>
    <w:rsid w:val="449C24BE"/>
    <w:rsid w:val="449D2878"/>
    <w:rsid w:val="44A1047C"/>
    <w:rsid w:val="44A470EE"/>
    <w:rsid w:val="44A55A08"/>
    <w:rsid w:val="44AA1FA5"/>
    <w:rsid w:val="44AB30C7"/>
    <w:rsid w:val="44AC4C4C"/>
    <w:rsid w:val="44AE749A"/>
    <w:rsid w:val="44B43896"/>
    <w:rsid w:val="44B50D14"/>
    <w:rsid w:val="44B63D6A"/>
    <w:rsid w:val="44BA7E95"/>
    <w:rsid w:val="44BB3A24"/>
    <w:rsid w:val="44BD5B69"/>
    <w:rsid w:val="44BD6207"/>
    <w:rsid w:val="44BD6356"/>
    <w:rsid w:val="44BE3C77"/>
    <w:rsid w:val="44C27A9B"/>
    <w:rsid w:val="44C51584"/>
    <w:rsid w:val="44C970D0"/>
    <w:rsid w:val="44CF7E69"/>
    <w:rsid w:val="44D178A4"/>
    <w:rsid w:val="44D524E8"/>
    <w:rsid w:val="44D634F1"/>
    <w:rsid w:val="44DB74CE"/>
    <w:rsid w:val="44DC50C3"/>
    <w:rsid w:val="44DD66EA"/>
    <w:rsid w:val="44E31B61"/>
    <w:rsid w:val="44E41E72"/>
    <w:rsid w:val="44EB3558"/>
    <w:rsid w:val="44F21FDA"/>
    <w:rsid w:val="44F6573D"/>
    <w:rsid w:val="44F95EAE"/>
    <w:rsid w:val="4500553C"/>
    <w:rsid w:val="450900CC"/>
    <w:rsid w:val="450A2026"/>
    <w:rsid w:val="450B354C"/>
    <w:rsid w:val="450D4275"/>
    <w:rsid w:val="45126D36"/>
    <w:rsid w:val="45151EAC"/>
    <w:rsid w:val="451D5249"/>
    <w:rsid w:val="45201701"/>
    <w:rsid w:val="452504BF"/>
    <w:rsid w:val="452D2431"/>
    <w:rsid w:val="45342C3E"/>
    <w:rsid w:val="45384386"/>
    <w:rsid w:val="454100D0"/>
    <w:rsid w:val="454606ED"/>
    <w:rsid w:val="454E693C"/>
    <w:rsid w:val="454F3AF6"/>
    <w:rsid w:val="455560AE"/>
    <w:rsid w:val="455706F3"/>
    <w:rsid w:val="45645F7D"/>
    <w:rsid w:val="456E13F2"/>
    <w:rsid w:val="456E19ED"/>
    <w:rsid w:val="45733E45"/>
    <w:rsid w:val="4574248F"/>
    <w:rsid w:val="45766C7A"/>
    <w:rsid w:val="45863FAA"/>
    <w:rsid w:val="45873EC7"/>
    <w:rsid w:val="458C7E02"/>
    <w:rsid w:val="45914D8D"/>
    <w:rsid w:val="45926214"/>
    <w:rsid w:val="459B02C1"/>
    <w:rsid w:val="459C2AA4"/>
    <w:rsid w:val="459E05CA"/>
    <w:rsid w:val="459F60A7"/>
    <w:rsid w:val="45A04E65"/>
    <w:rsid w:val="45A2648D"/>
    <w:rsid w:val="45A42A55"/>
    <w:rsid w:val="45A97509"/>
    <w:rsid w:val="45B40195"/>
    <w:rsid w:val="45B8663E"/>
    <w:rsid w:val="45BB01A2"/>
    <w:rsid w:val="45BE59F0"/>
    <w:rsid w:val="45C40C47"/>
    <w:rsid w:val="45C933BF"/>
    <w:rsid w:val="45CC5137"/>
    <w:rsid w:val="45CD1D7E"/>
    <w:rsid w:val="45D41C65"/>
    <w:rsid w:val="45D5025D"/>
    <w:rsid w:val="45D85CB6"/>
    <w:rsid w:val="45DA2CA5"/>
    <w:rsid w:val="45DC672A"/>
    <w:rsid w:val="45DD2CEE"/>
    <w:rsid w:val="45DF7268"/>
    <w:rsid w:val="45E51710"/>
    <w:rsid w:val="45EB517D"/>
    <w:rsid w:val="45F8129C"/>
    <w:rsid w:val="45FC4C7C"/>
    <w:rsid w:val="45FC593F"/>
    <w:rsid w:val="45FF2B4C"/>
    <w:rsid w:val="46001285"/>
    <w:rsid w:val="460726F2"/>
    <w:rsid w:val="460A5157"/>
    <w:rsid w:val="460D5F3F"/>
    <w:rsid w:val="46160AA8"/>
    <w:rsid w:val="46187E6E"/>
    <w:rsid w:val="461B0AF4"/>
    <w:rsid w:val="462816A9"/>
    <w:rsid w:val="463D7DE3"/>
    <w:rsid w:val="463E621B"/>
    <w:rsid w:val="46440D8B"/>
    <w:rsid w:val="46464134"/>
    <w:rsid w:val="464F5D68"/>
    <w:rsid w:val="46511D4F"/>
    <w:rsid w:val="46525C25"/>
    <w:rsid w:val="46572B1F"/>
    <w:rsid w:val="465C05A9"/>
    <w:rsid w:val="465C653F"/>
    <w:rsid w:val="46617DC8"/>
    <w:rsid w:val="46641EB3"/>
    <w:rsid w:val="46662D74"/>
    <w:rsid w:val="466A5873"/>
    <w:rsid w:val="46707417"/>
    <w:rsid w:val="46713386"/>
    <w:rsid w:val="467A2C9B"/>
    <w:rsid w:val="467D7B5C"/>
    <w:rsid w:val="46802328"/>
    <w:rsid w:val="46860BE4"/>
    <w:rsid w:val="46873888"/>
    <w:rsid w:val="46876F49"/>
    <w:rsid w:val="468A4E8C"/>
    <w:rsid w:val="468A5022"/>
    <w:rsid w:val="46913456"/>
    <w:rsid w:val="469F6BE0"/>
    <w:rsid w:val="46A17161"/>
    <w:rsid w:val="46AA7FFF"/>
    <w:rsid w:val="46AC3AB5"/>
    <w:rsid w:val="46AE3C1D"/>
    <w:rsid w:val="46B53E1D"/>
    <w:rsid w:val="46B56C36"/>
    <w:rsid w:val="46BF36C1"/>
    <w:rsid w:val="46C14065"/>
    <w:rsid w:val="46C455B1"/>
    <w:rsid w:val="46C9790B"/>
    <w:rsid w:val="46C97B2D"/>
    <w:rsid w:val="46CA7A15"/>
    <w:rsid w:val="46D01B18"/>
    <w:rsid w:val="46D878FB"/>
    <w:rsid w:val="46DC3AA0"/>
    <w:rsid w:val="46EA3CF0"/>
    <w:rsid w:val="46EB2263"/>
    <w:rsid w:val="46F83D33"/>
    <w:rsid w:val="46F8762F"/>
    <w:rsid w:val="46F908C6"/>
    <w:rsid w:val="47087211"/>
    <w:rsid w:val="470D7F27"/>
    <w:rsid w:val="471228E8"/>
    <w:rsid w:val="47142AA5"/>
    <w:rsid w:val="47183182"/>
    <w:rsid w:val="471D245A"/>
    <w:rsid w:val="472034CE"/>
    <w:rsid w:val="472B2D3B"/>
    <w:rsid w:val="473B59EA"/>
    <w:rsid w:val="473E5135"/>
    <w:rsid w:val="473F5079"/>
    <w:rsid w:val="47431515"/>
    <w:rsid w:val="47466B02"/>
    <w:rsid w:val="474E6020"/>
    <w:rsid w:val="47520728"/>
    <w:rsid w:val="47562EDB"/>
    <w:rsid w:val="47592E4E"/>
    <w:rsid w:val="475A6745"/>
    <w:rsid w:val="476870E2"/>
    <w:rsid w:val="476A5CC5"/>
    <w:rsid w:val="476E6059"/>
    <w:rsid w:val="476F2784"/>
    <w:rsid w:val="477130FF"/>
    <w:rsid w:val="4772724E"/>
    <w:rsid w:val="47843450"/>
    <w:rsid w:val="47852882"/>
    <w:rsid w:val="47883D12"/>
    <w:rsid w:val="4789459D"/>
    <w:rsid w:val="478954C6"/>
    <w:rsid w:val="478B35DA"/>
    <w:rsid w:val="4791488A"/>
    <w:rsid w:val="479557BD"/>
    <w:rsid w:val="47A05946"/>
    <w:rsid w:val="47B6609F"/>
    <w:rsid w:val="47BE5BC6"/>
    <w:rsid w:val="47BF7BAD"/>
    <w:rsid w:val="47C03032"/>
    <w:rsid w:val="47C670D9"/>
    <w:rsid w:val="47CF34A7"/>
    <w:rsid w:val="47D46DBA"/>
    <w:rsid w:val="47D51448"/>
    <w:rsid w:val="47D941A0"/>
    <w:rsid w:val="47E726FC"/>
    <w:rsid w:val="47EA41A2"/>
    <w:rsid w:val="47EE4BF1"/>
    <w:rsid w:val="47F90A49"/>
    <w:rsid w:val="47FE410E"/>
    <w:rsid w:val="48030FE7"/>
    <w:rsid w:val="48203C3B"/>
    <w:rsid w:val="48213C72"/>
    <w:rsid w:val="48254B0C"/>
    <w:rsid w:val="48274FDD"/>
    <w:rsid w:val="482B4C1E"/>
    <w:rsid w:val="482F4142"/>
    <w:rsid w:val="483802BB"/>
    <w:rsid w:val="483808E4"/>
    <w:rsid w:val="483A1096"/>
    <w:rsid w:val="483A1E36"/>
    <w:rsid w:val="48430C94"/>
    <w:rsid w:val="4846577D"/>
    <w:rsid w:val="4856518C"/>
    <w:rsid w:val="485A47E2"/>
    <w:rsid w:val="48631525"/>
    <w:rsid w:val="48650D3C"/>
    <w:rsid w:val="486A5A24"/>
    <w:rsid w:val="486E0728"/>
    <w:rsid w:val="48774754"/>
    <w:rsid w:val="48786194"/>
    <w:rsid w:val="487E5A01"/>
    <w:rsid w:val="4881358D"/>
    <w:rsid w:val="48832177"/>
    <w:rsid w:val="488B0A7C"/>
    <w:rsid w:val="488E2B78"/>
    <w:rsid w:val="488F3546"/>
    <w:rsid w:val="48925C56"/>
    <w:rsid w:val="48951B29"/>
    <w:rsid w:val="489A5C3B"/>
    <w:rsid w:val="48A111EC"/>
    <w:rsid w:val="48A206EE"/>
    <w:rsid w:val="48A32CEA"/>
    <w:rsid w:val="48A5146E"/>
    <w:rsid w:val="48A805E1"/>
    <w:rsid w:val="48AF2469"/>
    <w:rsid w:val="48B03E0F"/>
    <w:rsid w:val="48B0562C"/>
    <w:rsid w:val="48B0734C"/>
    <w:rsid w:val="48B24817"/>
    <w:rsid w:val="48B35D67"/>
    <w:rsid w:val="48BC181C"/>
    <w:rsid w:val="48BD66D5"/>
    <w:rsid w:val="48BF19E5"/>
    <w:rsid w:val="48C03203"/>
    <w:rsid w:val="48C03D35"/>
    <w:rsid w:val="48C1363A"/>
    <w:rsid w:val="48CA25BD"/>
    <w:rsid w:val="48D33595"/>
    <w:rsid w:val="48DA0D67"/>
    <w:rsid w:val="48DA400F"/>
    <w:rsid w:val="48E4065B"/>
    <w:rsid w:val="48E4687B"/>
    <w:rsid w:val="48E75653"/>
    <w:rsid w:val="48EA2900"/>
    <w:rsid w:val="48F13FFA"/>
    <w:rsid w:val="48F46C49"/>
    <w:rsid w:val="48F60D0E"/>
    <w:rsid w:val="48FC1266"/>
    <w:rsid w:val="490778E5"/>
    <w:rsid w:val="490B4D0F"/>
    <w:rsid w:val="490C24DE"/>
    <w:rsid w:val="490F2EE9"/>
    <w:rsid w:val="491D4BD9"/>
    <w:rsid w:val="49235AF7"/>
    <w:rsid w:val="49255D45"/>
    <w:rsid w:val="493332DD"/>
    <w:rsid w:val="493560F8"/>
    <w:rsid w:val="49402BAA"/>
    <w:rsid w:val="49437C57"/>
    <w:rsid w:val="4950166C"/>
    <w:rsid w:val="4969094F"/>
    <w:rsid w:val="496B323D"/>
    <w:rsid w:val="496F1C12"/>
    <w:rsid w:val="49715538"/>
    <w:rsid w:val="49725317"/>
    <w:rsid w:val="497351F1"/>
    <w:rsid w:val="497E02DF"/>
    <w:rsid w:val="4985786B"/>
    <w:rsid w:val="49942651"/>
    <w:rsid w:val="49A05EDB"/>
    <w:rsid w:val="49A168B8"/>
    <w:rsid w:val="49AA2C41"/>
    <w:rsid w:val="49AC3638"/>
    <w:rsid w:val="49AC6842"/>
    <w:rsid w:val="49AD6AAD"/>
    <w:rsid w:val="49B01EB3"/>
    <w:rsid w:val="49B6098D"/>
    <w:rsid w:val="49B724E6"/>
    <w:rsid w:val="49B74A0A"/>
    <w:rsid w:val="49BA779E"/>
    <w:rsid w:val="49C2278B"/>
    <w:rsid w:val="49C61E5A"/>
    <w:rsid w:val="49C66E58"/>
    <w:rsid w:val="49CD464F"/>
    <w:rsid w:val="49D547D7"/>
    <w:rsid w:val="49D56585"/>
    <w:rsid w:val="49DA4047"/>
    <w:rsid w:val="49DC0448"/>
    <w:rsid w:val="49DF06EF"/>
    <w:rsid w:val="49E704A2"/>
    <w:rsid w:val="49EA6C02"/>
    <w:rsid w:val="49EB68F6"/>
    <w:rsid w:val="49EC24BE"/>
    <w:rsid w:val="49F1070A"/>
    <w:rsid w:val="49F455A7"/>
    <w:rsid w:val="49F62B58"/>
    <w:rsid w:val="49FC1171"/>
    <w:rsid w:val="49FE52F8"/>
    <w:rsid w:val="49FF0661"/>
    <w:rsid w:val="4A00000B"/>
    <w:rsid w:val="4A0103F4"/>
    <w:rsid w:val="4A104E6C"/>
    <w:rsid w:val="4A105864"/>
    <w:rsid w:val="4A136529"/>
    <w:rsid w:val="4A16422F"/>
    <w:rsid w:val="4A1C67B1"/>
    <w:rsid w:val="4A1F73DD"/>
    <w:rsid w:val="4A27646E"/>
    <w:rsid w:val="4A344AE9"/>
    <w:rsid w:val="4A413C1A"/>
    <w:rsid w:val="4A4369BA"/>
    <w:rsid w:val="4A461CEA"/>
    <w:rsid w:val="4A497BE8"/>
    <w:rsid w:val="4A4B7B6F"/>
    <w:rsid w:val="4A4C6FBE"/>
    <w:rsid w:val="4A517389"/>
    <w:rsid w:val="4A5F196C"/>
    <w:rsid w:val="4A620A0A"/>
    <w:rsid w:val="4A655134"/>
    <w:rsid w:val="4A656CC0"/>
    <w:rsid w:val="4A6B16B2"/>
    <w:rsid w:val="4A6D5080"/>
    <w:rsid w:val="4A71027A"/>
    <w:rsid w:val="4A90390A"/>
    <w:rsid w:val="4A925361"/>
    <w:rsid w:val="4A9523BA"/>
    <w:rsid w:val="4A9758BE"/>
    <w:rsid w:val="4A9E2704"/>
    <w:rsid w:val="4AA551E5"/>
    <w:rsid w:val="4AAC2AB8"/>
    <w:rsid w:val="4AAF1AD6"/>
    <w:rsid w:val="4AB11484"/>
    <w:rsid w:val="4ABF5206"/>
    <w:rsid w:val="4AC012D3"/>
    <w:rsid w:val="4AD45BE7"/>
    <w:rsid w:val="4AD67E57"/>
    <w:rsid w:val="4ADC1682"/>
    <w:rsid w:val="4ADC36A7"/>
    <w:rsid w:val="4ADD76A4"/>
    <w:rsid w:val="4AE45700"/>
    <w:rsid w:val="4AEC0E24"/>
    <w:rsid w:val="4AEE1F11"/>
    <w:rsid w:val="4AF56358"/>
    <w:rsid w:val="4AFE2B37"/>
    <w:rsid w:val="4B002DD0"/>
    <w:rsid w:val="4B0E0E20"/>
    <w:rsid w:val="4B0F322E"/>
    <w:rsid w:val="4B1027F5"/>
    <w:rsid w:val="4B104FEB"/>
    <w:rsid w:val="4B143F83"/>
    <w:rsid w:val="4B160D93"/>
    <w:rsid w:val="4B1760E2"/>
    <w:rsid w:val="4B1C32C3"/>
    <w:rsid w:val="4B272E10"/>
    <w:rsid w:val="4B29060D"/>
    <w:rsid w:val="4B29302C"/>
    <w:rsid w:val="4B2C6678"/>
    <w:rsid w:val="4B315990"/>
    <w:rsid w:val="4B315A73"/>
    <w:rsid w:val="4B386913"/>
    <w:rsid w:val="4B413ED2"/>
    <w:rsid w:val="4B490C3D"/>
    <w:rsid w:val="4B4E38DF"/>
    <w:rsid w:val="4B501B8D"/>
    <w:rsid w:val="4B5601E1"/>
    <w:rsid w:val="4B562A72"/>
    <w:rsid w:val="4B5B01EF"/>
    <w:rsid w:val="4B6127C6"/>
    <w:rsid w:val="4B6422B6"/>
    <w:rsid w:val="4B66737E"/>
    <w:rsid w:val="4B6A5083"/>
    <w:rsid w:val="4B7F73F5"/>
    <w:rsid w:val="4B811C8B"/>
    <w:rsid w:val="4B8526AE"/>
    <w:rsid w:val="4B8E28EC"/>
    <w:rsid w:val="4B906059"/>
    <w:rsid w:val="4B927F14"/>
    <w:rsid w:val="4B983265"/>
    <w:rsid w:val="4B98764D"/>
    <w:rsid w:val="4B9F3576"/>
    <w:rsid w:val="4BA20780"/>
    <w:rsid w:val="4BB2309B"/>
    <w:rsid w:val="4BBB4FEF"/>
    <w:rsid w:val="4BC11745"/>
    <w:rsid w:val="4BC15012"/>
    <w:rsid w:val="4BC7483D"/>
    <w:rsid w:val="4BCB09D3"/>
    <w:rsid w:val="4BCF29E5"/>
    <w:rsid w:val="4BCF7B1F"/>
    <w:rsid w:val="4BD011D0"/>
    <w:rsid w:val="4BD14E08"/>
    <w:rsid w:val="4BD25443"/>
    <w:rsid w:val="4BD26FC9"/>
    <w:rsid w:val="4BD3645C"/>
    <w:rsid w:val="4BD62591"/>
    <w:rsid w:val="4BD87856"/>
    <w:rsid w:val="4BDD514F"/>
    <w:rsid w:val="4BDE3E16"/>
    <w:rsid w:val="4BE32B7C"/>
    <w:rsid w:val="4BED4059"/>
    <w:rsid w:val="4BF12C1F"/>
    <w:rsid w:val="4BF414CA"/>
    <w:rsid w:val="4BF418AD"/>
    <w:rsid w:val="4BF62881"/>
    <w:rsid w:val="4BF64D73"/>
    <w:rsid w:val="4BF74DFD"/>
    <w:rsid w:val="4C101E96"/>
    <w:rsid w:val="4C147561"/>
    <w:rsid w:val="4C20075F"/>
    <w:rsid w:val="4C242F2C"/>
    <w:rsid w:val="4C2A2BB8"/>
    <w:rsid w:val="4C3149A7"/>
    <w:rsid w:val="4C343A36"/>
    <w:rsid w:val="4C375463"/>
    <w:rsid w:val="4C392DFB"/>
    <w:rsid w:val="4C3970CF"/>
    <w:rsid w:val="4C3B4DC5"/>
    <w:rsid w:val="4C3E2B07"/>
    <w:rsid w:val="4C3E6663"/>
    <w:rsid w:val="4C465589"/>
    <w:rsid w:val="4C4E0615"/>
    <w:rsid w:val="4C502A2B"/>
    <w:rsid w:val="4C5060E3"/>
    <w:rsid w:val="4C54729E"/>
    <w:rsid w:val="4C5A5668"/>
    <w:rsid w:val="4C6A6CDE"/>
    <w:rsid w:val="4C6B1B56"/>
    <w:rsid w:val="4C717308"/>
    <w:rsid w:val="4C737F5C"/>
    <w:rsid w:val="4C83090E"/>
    <w:rsid w:val="4C845DCA"/>
    <w:rsid w:val="4C892284"/>
    <w:rsid w:val="4C911CC5"/>
    <w:rsid w:val="4C9804CF"/>
    <w:rsid w:val="4C994A82"/>
    <w:rsid w:val="4C9E0AB0"/>
    <w:rsid w:val="4CA96713"/>
    <w:rsid w:val="4CAA07AD"/>
    <w:rsid w:val="4CB01CC5"/>
    <w:rsid w:val="4CB10959"/>
    <w:rsid w:val="4CB93F3C"/>
    <w:rsid w:val="4CC10FA5"/>
    <w:rsid w:val="4CC6067D"/>
    <w:rsid w:val="4CC72AFC"/>
    <w:rsid w:val="4CCA4C76"/>
    <w:rsid w:val="4CCE1172"/>
    <w:rsid w:val="4CCF45B9"/>
    <w:rsid w:val="4CD97D50"/>
    <w:rsid w:val="4CDC350A"/>
    <w:rsid w:val="4CDC3BE9"/>
    <w:rsid w:val="4CE473F9"/>
    <w:rsid w:val="4CE62E7B"/>
    <w:rsid w:val="4CEA7D39"/>
    <w:rsid w:val="4CEC0CB3"/>
    <w:rsid w:val="4CEE1E3B"/>
    <w:rsid w:val="4CF0229C"/>
    <w:rsid w:val="4CF20C8D"/>
    <w:rsid w:val="4D003B25"/>
    <w:rsid w:val="4D043409"/>
    <w:rsid w:val="4D057171"/>
    <w:rsid w:val="4D082D99"/>
    <w:rsid w:val="4D0A29E9"/>
    <w:rsid w:val="4D0B0D15"/>
    <w:rsid w:val="4D0B1724"/>
    <w:rsid w:val="4D142A27"/>
    <w:rsid w:val="4D1840C5"/>
    <w:rsid w:val="4D1A61F1"/>
    <w:rsid w:val="4D1B3A0E"/>
    <w:rsid w:val="4D1B46DC"/>
    <w:rsid w:val="4D1F7EC6"/>
    <w:rsid w:val="4D256EDE"/>
    <w:rsid w:val="4D2717ED"/>
    <w:rsid w:val="4D2A08C4"/>
    <w:rsid w:val="4D2A6BE7"/>
    <w:rsid w:val="4D3202D6"/>
    <w:rsid w:val="4D364793"/>
    <w:rsid w:val="4D3D11F9"/>
    <w:rsid w:val="4D49491A"/>
    <w:rsid w:val="4D4C2881"/>
    <w:rsid w:val="4D5A7AA9"/>
    <w:rsid w:val="4D687C5F"/>
    <w:rsid w:val="4D7955DB"/>
    <w:rsid w:val="4D8566B7"/>
    <w:rsid w:val="4D89620D"/>
    <w:rsid w:val="4D8C5DC2"/>
    <w:rsid w:val="4D8C6773"/>
    <w:rsid w:val="4D8E11DC"/>
    <w:rsid w:val="4D8F5613"/>
    <w:rsid w:val="4D925B02"/>
    <w:rsid w:val="4D934A0C"/>
    <w:rsid w:val="4D9A7366"/>
    <w:rsid w:val="4D9F4C30"/>
    <w:rsid w:val="4DAF4203"/>
    <w:rsid w:val="4DAF5830"/>
    <w:rsid w:val="4DB96D3C"/>
    <w:rsid w:val="4DC50E85"/>
    <w:rsid w:val="4DCE5F0E"/>
    <w:rsid w:val="4DD32765"/>
    <w:rsid w:val="4DD704FD"/>
    <w:rsid w:val="4DD728CB"/>
    <w:rsid w:val="4DD84F17"/>
    <w:rsid w:val="4DD86E28"/>
    <w:rsid w:val="4DD93942"/>
    <w:rsid w:val="4DDE5FE8"/>
    <w:rsid w:val="4DE17EEB"/>
    <w:rsid w:val="4DE90B47"/>
    <w:rsid w:val="4DEA0ABA"/>
    <w:rsid w:val="4DF05839"/>
    <w:rsid w:val="4DF14E4D"/>
    <w:rsid w:val="4DFA5859"/>
    <w:rsid w:val="4E01726A"/>
    <w:rsid w:val="4E04435A"/>
    <w:rsid w:val="4E081D5B"/>
    <w:rsid w:val="4E151B46"/>
    <w:rsid w:val="4E153677"/>
    <w:rsid w:val="4E1B1AD4"/>
    <w:rsid w:val="4E204AB5"/>
    <w:rsid w:val="4E2256CB"/>
    <w:rsid w:val="4E24456F"/>
    <w:rsid w:val="4E337408"/>
    <w:rsid w:val="4E3D3770"/>
    <w:rsid w:val="4E3D5A9F"/>
    <w:rsid w:val="4E3F1BDF"/>
    <w:rsid w:val="4E401788"/>
    <w:rsid w:val="4E425E54"/>
    <w:rsid w:val="4E466D42"/>
    <w:rsid w:val="4E4E62F0"/>
    <w:rsid w:val="4E540588"/>
    <w:rsid w:val="4E546CF7"/>
    <w:rsid w:val="4E611E87"/>
    <w:rsid w:val="4E624E01"/>
    <w:rsid w:val="4E6D178C"/>
    <w:rsid w:val="4E7B5E4F"/>
    <w:rsid w:val="4E7D3526"/>
    <w:rsid w:val="4E842E09"/>
    <w:rsid w:val="4E871CB0"/>
    <w:rsid w:val="4E89116B"/>
    <w:rsid w:val="4E8A4BF8"/>
    <w:rsid w:val="4E8E0E60"/>
    <w:rsid w:val="4E8E281D"/>
    <w:rsid w:val="4E904841"/>
    <w:rsid w:val="4E992525"/>
    <w:rsid w:val="4E9955D3"/>
    <w:rsid w:val="4EA31E05"/>
    <w:rsid w:val="4EA50CEB"/>
    <w:rsid w:val="4EAD033E"/>
    <w:rsid w:val="4EB87E70"/>
    <w:rsid w:val="4EC34610"/>
    <w:rsid w:val="4EC632BF"/>
    <w:rsid w:val="4EC8471E"/>
    <w:rsid w:val="4ECB17EA"/>
    <w:rsid w:val="4ECC445F"/>
    <w:rsid w:val="4ECF34BC"/>
    <w:rsid w:val="4ED551B9"/>
    <w:rsid w:val="4ED8787F"/>
    <w:rsid w:val="4ED916D9"/>
    <w:rsid w:val="4EDB7EFA"/>
    <w:rsid w:val="4EDC3BA7"/>
    <w:rsid w:val="4EDF237F"/>
    <w:rsid w:val="4EE37128"/>
    <w:rsid w:val="4EEC6F74"/>
    <w:rsid w:val="4EEE2AE5"/>
    <w:rsid w:val="4EF4707B"/>
    <w:rsid w:val="4EFC2495"/>
    <w:rsid w:val="4EFE00F0"/>
    <w:rsid w:val="4F061F0F"/>
    <w:rsid w:val="4F0633A3"/>
    <w:rsid w:val="4F0D06C9"/>
    <w:rsid w:val="4F1E65C4"/>
    <w:rsid w:val="4F217639"/>
    <w:rsid w:val="4F233716"/>
    <w:rsid w:val="4F2D391B"/>
    <w:rsid w:val="4F2D4460"/>
    <w:rsid w:val="4F2E03B8"/>
    <w:rsid w:val="4F2E6E63"/>
    <w:rsid w:val="4F314074"/>
    <w:rsid w:val="4F32218F"/>
    <w:rsid w:val="4F3834F9"/>
    <w:rsid w:val="4F3F6FDA"/>
    <w:rsid w:val="4F4512A1"/>
    <w:rsid w:val="4F47131D"/>
    <w:rsid w:val="4F4A681A"/>
    <w:rsid w:val="4F4C333C"/>
    <w:rsid w:val="4F4F3A50"/>
    <w:rsid w:val="4F4F4AAC"/>
    <w:rsid w:val="4F535542"/>
    <w:rsid w:val="4F583E18"/>
    <w:rsid w:val="4F603056"/>
    <w:rsid w:val="4F67799A"/>
    <w:rsid w:val="4F6E02CE"/>
    <w:rsid w:val="4F7017AD"/>
    <w:rsid w:val="4F712267"/>
    <w:rsid w:val="4F7A7262"/>
    <w:rsid w:val="4F7C3A8C"/>
    <w:rsid w:val="4F7C6633"/>
    <w:rsid w:val="4F845BAE"/>
    <w:rsid w:val="4F891C8A"/>
    <w:rsid w:val="4F8A0700"/>
    <w:rsid w:val="4F9239DD"/>
    <w:rsid w:val="4F933090"/>
    <w:rsid w:val="4F986435"/>
    <w:rsid w:val="4F9960B4"/>
    <w:rsid w:val="4F9F038D"/>
    <w:rsid w:val="4FA15887"/>
    <w:rsid w:val="4FA5449B"/>
    <w:rsid w:val="4FA849FF"/>
    <w:rsid w:val="4FAA7DCA"/>
    <w:rsid w:val="4FAD13E9"/>
    <w:rsid w:val="4FB0116F"/>
    <w:rsid w:val="4FB16085"/>
    <w:rsid w:val="4FBA5D1B"/>
    <w:rsid w:val="4FC368A1"/>
    <w:rsid w:val="4FC6376D"/>
    <w:rsid w:val="4FC949D3"/>
    <w:rsid w:val="4FD16F4A"/>
    <w:rsid w:val="4FD712A8"/>
    <w:rsid w:val="4FD83B9A"/>
    <w:rsid w:val="4FD851F1"/>
    <w:rsid w:val="4FD923A9"/>
    <w:rsid w:val="4FE32A65"/>
    <w:rsid w:val="4FFD70C9"/>
    <w:rsid w:val="4FFF6109"/>
    <w:rsid w:val="501D38E3"/>
    <w:rsid w:val="501E2D1F"/>
    <w:rsid w:val="50201A3A"/>
    <w:rsid w:val="50240CB7"/>
    <w:rsid w:val="50322395"/>
    <w:rsid w:val="50443097"/>
    <w:rsid w:val="5045110F"/>
    <w:rsid w:val="504518F6"/>
    <w:rsid w:val="504A4FE9"/>
    <w:rsid w:val="505428F9"/>
    <w:rsid w:val="5057531D"/>
    <w:rsid w:val="50591CBD"/>
    <w:rsid w:val="505F7BA5"/>
    <w:rsid w:val="506141AF"/>
    <w:rsid w:val="50626217"/>
    <w:rsid w:val="50637781"/>
    <w:rsid w:val="506B5A22"/>
    <w:rsid w:val="506F2C48"/>
    <w:rsid w:val="50742835"/>
    <w:rsid w:val="50747317"/>
    <w:rsid w:val="50773DEE"/>
    <w:rsid w:val="50796AC0"/>
    <w:rsid w:val="507A101F"/>
    <w:rsid w:val="507E24DF"/>
    <w:rsid w:val="507F51FB"/>
    <w:rsid w:val="509506E1"/>
    <w:rsid w:val="50985133"/>
    <w:rsid w:val="509E4005"/>
    <w:rsid w:val="50A43037"/>
    <w:rsid w:val="50A46F8E"/>
    <w:rsid w:val="50A541C1"/>
    <w:rsid w:val="50AA35CF"/>
    <w:rsid w:val="50B11AF9"/>
    <w:rsid w:val="50B629AD"/>
    <w:rsid w:val="50B90185"/>
    <w:rsid w:val="50BB069A"/>
    <w:rsid w:val="50C82E81"/>
    <w:rsid w:val="50CA4969"/>
    <w:rsid w:val="50CC6933"/>
    <w:rsid w:val="50D233A0"/>
    <w:rsid w:val="50DA2EED"/>
    <w:rsid w:val="50DC4A98"/>
    <w:rsid w:val="50E20F10"/>
    <w:rsid w:val="50E472D7"/>
    <w:rsid w:val="50EB7621"/>
    <w:rsid w:val="50EC1BBB"/>
    <w:rsid w:val="50ED39A4"/>
    <w:rsid w:val="50F761F1"/>
    <w:rsid w:val="50F86986"/>
    <w:rsid w:val="51066A14"/>
    <w:rsid w:val="510947F3"/>
    <w:rsid w:val="510D66B8"/>
    <w:rsid w:val="510E2ADE"/>
    <w:rsid w:val="51146979"/>
    <w:rsid w:val="511615C1"/>
    <w:rsid w:val="511A35BB"/>
    <w:rsid w:val="511C76C2"/>
    <w:rsid w:val="51212B5C"/>
    <w:rsid w:val="5121641A"/>
    <w:rsid w:val="51291073"/>
    <w:rsid w:val="51295F2B"/>
    <w:rsid w:val="51321274"/>
    <w:rsid w:val="51337BBE"/>
    <w:rsid w:val="51391438"/>
    <w:rsid w:val="51417EA9"/>
    <w:rsid w:val="514433B9"/>
    <w:rsid w:val="5148202A"/>
    <w:rsid w:val="514B3CFC"/>
    <w:rsid w:val="514F59B8"/>
    <w:rsid w:val="51513829"/>
    <w:rsid w:val="51560987"/>
    <w:rsid w:val="515A5FD6"/>
    <w:rsid w:val="515A775F"/>
    <w:rsid w:val="515F2058"/>
    <w:rsid w:val="516011E5"/>
    <w:rsid w:val="51622E6A"/>
    <w:rsid w:val="51637002"/>
    <w:rsid w:val="51695F30"/>
    <w:rsid w:val="516C6603"/>
    <w:rsid w:val="517214F6"/>
    <w:rsid w:val="517332EE"/>
    <w:rsid w:val="5176055B"/>
    <w:rsid w:val="51761B0B"/>
    <w:rsid w:val="51772678"/>
    <w:rsid w:val="517A1F1A"/>
    <w:rsid w:val="517F1896"/>
    <w:rsid w:val="51991502"/>
    <w:rsid w:val="51995E77"/>
    <w:rsid w:val="519E45A0"/>
    <w:rsid w:val="51A72937"/>
    <w:rsid w:val="51AC6E4B"/>
    <w:rsid w:val="51AF3848"/>
    <w:rsid w:val="51B06247"/>
    <w:rsid w:val="51B16035"/>
    <w:rsid w:val="51B715A5"/>
    <w:rsid w:val="51B832DD"/>
    <w:rsid w:val="51BC398E"/>
    <w:rsid w:val="51C228AA"/>
    <w:rsid w:val="51C550B7"/>
    <w:rsid w:val="51C67FA4"/>
    <w:rsid w:val="51CB6760"/>
    <w:rsid w:val="51CE247B"/>
    <w:rsid w:val="51D63165"/>
    <w:rsid w:val="51D7423C"/>
    <w:rsid w:val="51DB7CDE"/>
    <w:rsid w:val="51DF3B2B"/>
    <w:rsid w:val="51E75F9F"/>
    <w:rsid w:val="51F872B4"/>
    <w:rsid w:val="51FE62B2"/>
    <w:rsid w:val="51FF3326"/>
    <w:rsid w:val="520A48F3"/>
    <w:rsid w:val="520A7625"/>
    <w:rsid w:val="520D286C"/>
    <w:rsid w:val="522828B0"/>
    <w:rsid w:val="522E3F69"/>
    <w:rsid w:val="522F6B53"/>
    <w:rsid w:val="52315453"/>
    <w:rsid w:val="5233680F"/>
    <w:rsid w:val="52360985"/>
    <w:rsid w:val="52390325"/>
    <w:rsid w:val="523A5457"/>
    <w:rsid w:val="523C2E68"/>
    <w:rsid w:val="52431146"/>
    <w:rsid w:val="524654D8"/>
    <w:rsid w:val="525464B1"/>
    <w:rsid w:val="525C3CE7"/>
    <w:rsid w:val="525F0C73"/>
    <w:rsid w:val="526606C2"/>
    <w:rsid w:val="52662A7B"/>
    <w:rsid w:val="52693198"/>
    <w:rsid w:val="526F14DE"/>
    <w:rsid w:val="52700E00"/>
    <w:rsid w:val="527E4DA9"/>
    <w:rsid w:val="52857C4A"/>
    <w:rsid w:val="52900EE6"/>
    <w:rsid w:val="52964F60"/>
    <w:rsid w:val="529E79C7"/>
    <w:rsid w:val="52A54CEA"/>
    <w:rsid w:val="52A93E27"/>
    <w:rsid w:val="52AB058D"/>
    <w:rsid w:val="52AE55C9"/>
    <w:rsid w:val="52BA0903"/>
    <w:rsid w:val="52C823F6"/>
    <w:rsid w:val="52CA2036"/>
    <w:rsid w:val="52D10231"/>
    <w:rsid w:val="52D80764"/>
    <w:rsid w:val="52DA3029"/>
    <w:rsid w:val="52DF3E31"/>
    <w:rsid w:val="52E73287"/>
    <w:rsid w:val="52EC26E7"/>
    <w:rsid w:val="52EF6DF3"/>
    <w:rsid w:val="52FB474A"/>
    <w:rsid w:val="52FD6003"/>
    <w:rsid w:val="53002468"/>
    <w:rsid w:val="5301785D"/>
    <w:rsid w:val="53097478"/>
    <w:rsid w:val="530D5DA3"/>
    <w:rsid w:val="530D63A6"/>
    <w:rsid w:val="530F6D0A"/>
    <w:rsid w:val="53103867"/>
    <w:rsid w:val="53120A6B"/>
    <w:rsid w:val="531542E7"/>
    <w:rsid w:val="53216645"/>
    <w:rsid w:val="53245F24"/>
    <w:rsid w:val="533601E1"/>
    <w:rsid w:val="53383605"/>
    <w:rsid w:val="533A6331"/>
    <w:rsid w:val="534310B6"/>
    <w:rsid w:val="534E2894"/>
    <w:rsid w:val="53517349"/>
    <w:rsid w:val="53567845"/>
    <w:rsid w:val="535844AE"/>
    <w:rsid w:val="535A4110"/>
    <w:rsid w:val="53622EAB"/>
    <w:rsid w:val="53630B05"/>
    <w:rsid w:val="53695265"/>
    <w:rsid w:val="536D3E13"/>
    <w:rsid w:val="536D43FE"/>
    <w:rsid w:val="537578D5"/>
    <w:rsid w:val="53793B31"/>
    <w:rsid w:val="537B2AFE"/>
    <w:rsid w:val="537D6236"/>
    <w:rsid w:val="53834D33"/>
    <w:rsid w:val="538476AA"/>
    <w:rsid w:val="53851298"/>
    <w:rsid w:val="53875E4B"/>
    <w:rsid w:val="538D3520"/>
    <w:rsid w:val="53917BE2"/>
    <w:rsid w:val="53961EE9"/>
    <w:rsid w:val="539E49F2"/>
    <w:rsid w:val="53A45A0C"/>
    <w:rsid w:val="53B01D26"/>
    <w:rsid w:val="53B023D3"/>
    <w:rsid w:val="53B27D03"/>
    <w:rsid w:val="53B927C7"/>
    <w:rsid w:val="53C46D04"/>
    <w:rsid w:val="53C929EF"/>
    <w:rsid w:val="53C95059"/>
    <w:rsid w:val="53D13A08"/>
    <w:rsid w:val="53D40BE1"/>
    <w:rsid w:val="53D55AFF"/>
    <w:rsid w:val="53D82074"/>
    <w:rsid w:val="53DB4428"/>
    <w:rsid w:val="53DE5242"/>
    <w:rsid w:val="53E219B9"/>
    <w:rsid w:val="53EA6792"/>
    <w:rsid w:val="53EC2E02"/>
    <w:rsid w:val="53F52A10"/>
    <w:rsid w:val="53FF23EC"/>
    <w:rsid w:val="540130B6"/>
    <w:rsid w:val="5402266C"/>
    <w:rsid w:val="54033C62"/>
    <w:rsid w:val="540E1011"/>
    <w:rsid w:val="540F5DB4"/>
    <w:rsid w:val="541A1393"/>
    <w:rsid w:val="541B7824"/>
    <w:rsid w:val="541D4F78"/>
    <w:rsid w:val="54207A3B"/>
    <w:rsid w:val="54207E4B"/>
    <w:rsid w:val="54243507"/>
    <w:rsid w:val="54266C2A"/>
    <w:rsid w:val="542E0A83"/>
    <w:rsid w:val="54351576"/>
    <w:rsid w:val="54351929"/>
    <w:rsid w:val="54362CC1"/>
    <w:rsid w:val="54365BBC"/>
    <w:rsid w:val="5437569C"/>
    <w:rsid w:val="54376B4D"/>
    <w:rsid w:val="543A339D"/>
    <w:rsid w:val="544325B5"/>
    <w:rsid w:val="54460BE9"/>
    <w:rsid w:val="54496E9B"/>
    <w:rsid w:val="544A1355"/>
    <w:rsid w:val="545011FD"/>
    <w:rsid w:val="54532829"/>
    <w:rsid w:val="54566D72"/>
    <w:rsid w:val="545C7D98"/>
    <w:rsid w:val="546504A5"/>
    <w:rsid w:val="54682D49"/>
    <w:rsid w:val="54700739"/>
    <w:rsid w:val="54712DD6"/>
    <w:rsid w:val="54734E8E"/>
    <w:rsid w:val="547370C6"/>
    <w:rsid w:val="547B1C41"/>
    <w:rsid w:val="547E67EF"/>
    <w:rsid w:val="54817224"/>
    <w:rsid w:val="54856614"/>
    <w:rsid w:val="5497251D"/>
    <w:rsid w:val="54A05F51"/>
    <w:rsid w:val="54A219CE"/>
    <w:rsid w:val="54A37F9D"/>
    <w:rsid w:val="54B06507"/>
    <w:rsid w:val="54B41BB8"/>
    <w:rsid w:val="54B84AA0"/>
    <w:rsid w:val="54B9745A"/>
    <w:rsid w:val="54BE6593"/>
    <w:rsid w:val="54C00A5A"/>
    <w:rsid w:val="54C478EC"/>
    <w:rsid w:val="54C92D26"/>
    <w:rsid w:val="54D029E6"/>
    <w:rsid w:val="54D13D7C"/>
    <w:rsid w:val="54D31CA9"/>
    <w:rsid w:val="54D83F1C"/>
    <w:rsid w:val="54D91B94"/>
    <w:rsid w:val="54E16725"/>
    <w:rsid w:val="54E5459F"/>
    <w:rsid w:val="54EA55DA"/>
    <w:rsid w:val="54EB1369"/>
    <w:rsid w:val="54ED6045"/>
    <w:rsid w:val="54F74E66"/>
    <w:rsid w:val="54F75A83"/>
    <w:rsid w:val="54F8791E"/>
    <w:rsid w:val="55022E67"/>
    <w:rsid w:val="55043DC5"/>
    <w:rsid w:val="550A5C75"/>
    <w:rsid w:val="55170AF0"/>
    <w:rsid w:val="551E2DF7"/>
    <w:rsid w:val="55304E9F"/>
    <w:rsid w:val="55396CFB"/>
    <w:rsid w:val="553B5167"/>
    <w:rsid w:val="553E1DD4"/>
    <w:rsid w:val="55406311"/>
    <w:rsid w:val="554546CA"/>
    <w:rsid w:val="55516335"/>
    <w:rsid w:val="55521D96"/>
    <w:rsid w:val="555519FA"/>
    <w:rsid w:val="55553F6C"/>
    <w:rsid w:val="555B30C2"/>
    <w:rsid w:val="555E7F1B"/>
    <w:rsid w:val="55635CE6"/>
    <w:rsid w:val="55676D13"/>
    <w:rsid w:val="557622B6"/>
    <w:rsid w:val="5576686F"/>
    <w:rsid w:val="5578459E"/>
    <w:rsid w:val="5578684A"/>
    <w:rsid w:val="557A1F96"/>
    <w:rsid w:val="557F2BF0"/>
    <w:rsid w:val="557F6A00"/>
    <w:rsid w:val="558A2ABC"/>
    <w:rsid w:val="558B3F82"/>
    <w:rsid w:val="558E5442"/>
    <w:rsid w:val="559555AE"/>
    <w:rsid w:val="55961EF1"/>
    <w:rsid w:val="559659F1"/>
    <w:rsid w:val="55A4646A"/>
    <w:rsid w:val="55AF5035"/>
    <w:rsid w:val="55BB4E7D"/>
    <w:rsid w:val="55C70849"/>
    <w:rsid w:val="55CA71B9"/>
    <w:rsid w:val="55D1398B"/>
    <w:rsid w:val="55D42A82"/>
    <w:rsid w:val="55DE7B68"/>
    <w:rsid w:val="55E53764"/>
    <w:rsid w:val="55F304BE"/>
    <w:rsid w:val="55FA1ABC"/>
    <w:rsid w:val="55FC688F"/>
    <w:rsid w:val="55FD3136"/>
    <w:rsid w:val="56033C72"/>
    <w:rsid w:val="560672D5"/>
    <w:rsid w:val="560776BA"/>
    <w:rsid w:val="56093F1D"/>
    <w:rsid w:val="560B34AB"/>
    <w:rsid w:val="560F6B61"/>
    <w:rsid w:val="56127D90"/>
    <w:rsid w:val="56134F49"/>
    <w:rsid w:val="56210A17"/>
    <w:rsid w:val="562716C2"/>
    <w:rsid w:val="56316023"/>
    <w:rsid w:val="56322468"/>
    <w:rsid w:val="563F7578"/>
    <w:rsid w:val="56414CB7"/>
    <w:rsid w:val="56441B9E"/>
    <w:rsid w:val="56451AD1"/>
    <w:rsid w:val="564F4502"/>
    <w:rsid w:val="564F5678"/>
    <w:rsid w:val="5655639A"/>
    <w:rsid w:val="565724C1"/>
    <w:rsid w:val="566302EC"/>
    <w:rsid w:val="566808A7"/>
    <w:rsid w:val="56680B1A"/>
    <w:rsid w:val="56706391"/>
    <w:rsid w:val="56754FB5"/>
    <w:rsid w:val="5679149C"/>
    <w:rsid w:val="568F2401"/>
    <w:rsid w:val="569312BB"/>
    <w:rsid w:val="569B1228"/>
    <w:rsid w:val="569D79A7"/>
    <w:rsid w:val="569E74BB"/>
    <w:rsid w:val="56A21304"/>
    <w:rsid w:val="56A7705B"/>
    <w:rsid w:val="56AD7F79"/>
    <w:rsid w:val="56B03C08"/>
    <w:rsid w:val="56B10558"/>
    <w:rsid w:val="56B22D69"/>
    <w:rsid w:val="56B33C58"/>
    <w:rsid w:val="56B769A3"/>
    <w:rsid w:val="56BA1C2F"/>
    <w:rsid w:val="56BA3E74"/>
    <w:rsid w:val="56BD5128"/>
    <w:rsid w:val="56C025F7"/>
    <w:rsid w:val="56C360E3"/>
    <w:rsid w:val="56C433BA"/>
    <w:rsid w:val="56C64E25"/>
    <w:rsid w:val="56CD6535"/>
    <w:rsid w:val="56D078BA"/>
    <w:rsid w:val="56D45E5C"/>
    <w:rsid w:val="56D91D97"/>
    <w:rsid w:val="56DC4469"/>
    <w:rsid w:val="56E22F03"/>
    <w:rsid w:val="56E96DDF"/>
    <w:rsid w:val="56FE2675"/>
    <w:rsid w:val="57024CA9"/>
    <w:rsid w:val="570B1A7A"/>
    <w:rsid w:val="570F7836"/>
    <w:rsid w:val="571406EC"/>
    <w:rsid w:val="571D456C"/>
    <w:rsid w:val="5720093F"/>
    <w:rsid w:val="572D7A00"/>
    <w:rsid w:val="572F29D4"/>
    <w:rsid w:val="5730692C"/>
    <w:rsid w:val="57345D28"/>
    <w:rsid w:val="57491534"/>
    <w:rsid w:val="574A6F64"/>
    <w:rsid w:val="57554930"/>
    <w:rsid w:val="575753D8"/>
    <w:rsid w:val="575B58D7"/>
    <w:rsid w:val="57605623"/>
    <w:rsid w:val="57723665"/>
    <w:rsid w:val="57761F9B"/>
    <w:rsid w:val="577C1325"/>
    <w:rsid w:val="577E2CCC"/>
    <w:rsid w:val="57832BB2"/>
    <w:rsid w:val="578850E6"/>
    <w:rsid w:val="578B2F90"/>
    <w:rsid w:val="578E7FF5"/>
    <w:rsid w:val="579239D5"/>
    <w:rsid w:val="57963FEF"/>
    <w:rsid w:val="57A21425"/>
    <w:rsid w:val="57A718D3"/>
    <w:rsid w:val="57A8224C"/>
    <w:rsid w:val="57AE372B"/>
    <w:rsid w:val="57B47A69"/>
    <w:rsid w:val="57B601AF"/>
    <w:rsid w:val="57B63FF7"/>
    <w:rsid w:val="57B679F5"/>
    <w:rsid w:val="57BD4097"/>
    <w:rsid w:val="57C251E5"/>
    <w:rsid w:val="57C27A4A"/>
    <w:rsid w:val="57C32C76"/>
    <w:rsid w:val="57C37B7C"/>
    <w:rsid w:val="57CE1194"/>
    <w:rsid w:val="57CF37D7"/>
    <w:rsid w:val="57DF62FB"/>
    <w:rsid w:val="57DF7CFC"/>
    <w:rsid w:val="57EB1021"/>
    <w:rsid w:val="57F01775"/>
    <w:rsid w:val="57F422C1"/>
    <w:rsid w:val="57F46733"/>
    <w:rsid w:val="57F85246"/>
    <w:rsid w:val="57FD1B47"/>
    <w:rsid w:val="580A5CD8"/>
    <w:rsid w:val="580E2A1E"/>
    <w:rsid w:val="58120418"/>
    <w:rsid w:val="58190256"/>
    <w:rsid w:val="581A1FD0"/>
    <w:rsid w:val="581D1822"/>
    <w:rsid w:val="58214D28"/>
    <w:rsid w:val="58220A53"/>
    <w:rsid w:val="58247055"/>
    <w:rsid w:val="58255662"/>
    <w:rsid w:val="58265CA2"/>
    <w:rsid w:val="58295CAB"/>
    <w:rsid w:val="582E72C4"/>
    <w:rsid w:val="58325472"/>
    <w:rsid w:val="583B5BD5"/>
    <w:rsid w:val="583C2242"/>
    <w:rsid w:val="584A0594"/>
    <w:rsid w:val="584E7218"/>
    <w:rsid w:val="585257C5"/>
    <w:rsid w:val="58644008"/>
    <w:rsid w:val="586819A5"/>
    <w:rsid w:val="58690477"/>
    <w:rsid w:val="58695AFD"/>
    <w:rsid w:val="58716063"/>
    <w:rsid w:val="58736AA2"/>
    <w:rsid w:val="587839A2"/>
    <w:rsid w:val="587F20DC"/>
    <w:rsid w:val="5884037B"/>
    <w:rsid w:val="58852A41"/>
    <w:rsid w:val="588551C2"/>
    <w:rsid w:val="58873140"/>
    <w:rsid w:val="58875A0C"/>
    <w:rsid w:val="58880A1A"/>
    <w:rsid w:val="588B516F"/>
    <w:rsid w:val="588E04FC"/>
    <w:rsid w:val="58922E4E"/>
    <w:rsid w:val="5892322A"/>
    <w:rsid w:val="5895405F"/>
    <w:rsid w:val="58997677"/>
    <w:rsid w:val="58A2421A"/>
    <w:rsid w:val="58A44D10"/>
    <w:rsid w:val="58A52F73"/>
    <w:rsid w:val="58A53206"/>
    <w:rsid w:val="58A91F0E"/>
    <w:rsid w:val="58AB15FA"/>
    <w:rsid w:val="58AB1DB2"/>
    <w:rsid w:val="58AB710B"/>
    <w:rsid w:val="58AC400B"/>
    <w:rsid w:val="58AF65F5"/>
    <w:rsid w:val="58B367AB"/>
    <w:rsid w:val="58B47A23"/>
    <w:rsid w:val="58B974BA"/>
    <w:rsid w:val="58C02FC5"/>
    <w:rsid w:val="58C723AC"/>
    <w:rsid w:val="58CB31E8"/>
    <w:rsid w:val="58D44939"/>
    <w:rsid w:val="58D75C5B"/>
    <w:rsid w:val="58DC4A1E"/>
    <w:rsid w:val="58E05334"/>
    <w:rsid w:val="58E17A5A"/>
    <w:rsid w:val="58E25D56"/>
    <w:rsid w:val="58E267D5"/>
    <w:rsid w:val="58EA0663"/>
    <w:rsid w:val="58F3600E"/>
    <w:rsid w:val="58FA1B64"/>
    <w:rsid w:val="590E7F6E"/>
    <w:rsid w:val="59124742"/>
    <w:rsid w:val="59144AEF"/>
    <w:rsid w:val="591841DB"/>
    <w:rsid w:val="592156FD"/>
    <w:rsid w:val="5922198F"/>
    <w:rsid w:val="592562E1"/>
    <w:rsid w:val="59276CA7"/>
    <w:rsid w:val="59296AD1"/>
    <w:rsid w:val="593055E0"/>
    <w:rsid w:val="593131A6"/>
    <w:rsid w:val="59356D28"/>
    <w:rsid w:val="593E3CDA"/>
    <w:rsid w:val="59453215"/>
    <w:rsid w:val="59453B20"/>
    <w:rsid w:val="594A3DB3"/>
    <w:rsid w:val="59592E7B"/>
    <w:rsid w:val="595D0CBE"/>
    <w:rsid w:val="595E36F9"/>
    <w:rsid w:val="59602C55"/>
    <w:rsid w:val="5963054E"/>
    <w:rsid w:val="59631B70"/>
    <w:rsid w:val="596B2F32"/>
    <w:rsid w:val="597647D2"/>
    <w:rsid w:val="5977223D"/>
    <w:rsid w:val="59773CBD"/>
    <w:rsid w:val="597C1838"/>
    <w:rsid w:val="597C27A0"/>
    <w:rsid w:val="59821928"/>
    <w:rsid w:val="59872692"/>
    <w:rsid w:val="598A2EE8"/>
    <w:rsid w:val="598C10A3"/>
    <w:rsid w:val="598F568D"/>
    <w:rsid w:val="599625DD"/>
    <w:rsid w:val="59981C54"/>
    <w:rsid w:val="59A12B3D"/>
    <w:rsid w:val="59A42340"/>
    <w:rsid w:val="59AF2D18"/>
    <w:rsid w:val="59AF3AF2"/>
    <w:rsid w:val="59B461B6"/>
    <w:rsid w:val="59B95A0D"/>
    <w:rsid w:val="59BA60EE"/>
    <w:rsid w:val="59BB6ECC"/>
    <w:rsid w:val="59BF5355"/>
    <w:rsid w:val="59CD2E17"/>
    <w:rsid w:val="59CF179E"/>
    <w:rsid w:val="59D10207"/>
    <w:rsid w:val="59D25759"/>
    <w:rsid w:val="59D6612D"/>
    <w:rsid w:val="59E74652"/>
    <w:rsid w:val="59E75368"/>
    <w:rsid w:val="59EA24B6"/>
    <w:rsid w:val="59F002FD"/>
    <w:rsid w:val="59F02980"/>
    <w:rsid w:val="59F17145"/>
    <w:rsid w:val="59F74B44"/>
    <w:rsid w:val="59FD5116"/>
    <w:rsid w:val="59FE5684"/>
    <w:rsid w:val="5A067105"/>
    <w:rsid w:val="5A0B56F0"/>
    <w:rsid w:val="5A132013"/>
    <w:rsid w:val="5A170827"/>
    <w:rsid w:val="5A313738"/>
    <w:rsid w:val="5A3553B3"/>
    <w:rsid w:val="5A365C4A"/>
    <w:rsid w:val="5A3B47A6"/>
    <w:rsid w:val="5A3C2295"/>
    <w:rsid w:val="5A3E2C06"/>
    <w:rsid w:val="5A403EEE"/>
    <w:rsid w:val="5A42336F"/>
    <w:rsid w:val="5A427C66"/>
    <w:rsid w:val="5A455061"/>
    <w:rsid w:val="5A4D1EC6"/>
    <w:rsid w:val="5A5076BF"/>
    <w:rsid w:val="5A5C32EE"/>
    <w:rsid w:val="5A5D190B"/>
    <w:rsid w:val="5A687CB9"/>
    <w:rsid w:val="5A6D68F3"/>
    <w:rsid w:val="5A75669D"/>
    <w:rsid w:val="5A8323EE"/>
    <w:rsid w:val="5A885AA9"/>
    <w:rsid w:val="5A89377C"/>
    <w:rsid w:val="5A8C2769"/>
    <w:rsid w:val="5A9401DD"/>
    <w:rsid w:val="5A94610F"/>
    <w:rsid w:val="5A9633D7"/>
    <w:rsid w:val="5AA136BD"/>
    <w:rsid w:val="5AA50C2E"/>
    <w:rsid w:val="5AA601F5"/>
    <w:rsid w:val="5AA77696"/>
    <w:rsid w:val="5AA77FE6"/>
    <w:rsid w:val="5AAA77DB"/>
    <w:rsid w:val="5AAE752B"/>
    <w:rsid w:val="5AB630BE"/>
    <w:rsid w:val="5AB82EC1"/>
    <w:rsid w:val="5ABE5A42"/>
    <w:rsid w:val="5ABE7AC5"/>
    <w:rsid w:val="5AC44733"/>
    <w:rsid w:val="5ACD255B"/>
    <w:rsid w:val="5AD33346"/>
    <w:rsid w:val="5AD54636"/>
    <w:rsid w:val="5AD66924"/>
    <w:rsid w:val="5ADA35B4"/>
    <w:rsid w:val="5AE51657"/>
    <w:rsid w:val="5AE8165E"/>
    <w:rsid w:val="5AEB3E5A"/>
    <w:rsid w:val="5AF73743"/>
    <w:rsid w:val="5AFA409D"/>
    <w:rsid w:val="5AFD3CCC"/>
    <w:rsid w:val="5AFE1233"/>
    <w:rsid w:val="5AFF387D"/>
    <w:rsid w:val="5B0008AA"/>
    <w:rsid w:val="5B031853"/>
    <w:rsid w:val="5B0D253B"/>
    <w:rsid w:val="5B1513F7"/>
    <w:rsid w:val="5B155C31"/>
    <w:rsid w:val="5B1D54B7"/>
    <w:rsid w:val="5B21162A"/>
    <w:rsid w:val="5B222596"/>
    <w:rsid w:val="5B246E44"/>
    <w:rsid w:val="5B266C40"/>
    <w:rsid w:val="5B2821AE"/>
    <w:rsid w:val="5B2829B8"/>
    <w:rsid w:val="5B295CDA"/>
    <w:rsid w:val="5B2A29B4"/>
    <w:rsid w:val="5B3551D5"/>
    <w:rsid w:val="5B364E45"/>
    <w:rsid w:val="5B3A5022"/>
    <w:rsid w:val="5B3F15ED"/>
    <w:rsid w:val="5B3F2B5A"/>
    <w:rsid w:val="5B405E90"/>
    <w:rsid w:val="5B42726A"/>
    <w:rsid w:val="5B4B1AFC"/>
    <w:rsid w:val="5B4B48F9"/>
    <w:rsid w:val="5B656418"/>
    <w:rsid w:val="5B675B3C"/>
    <w:rsid w:val="5B681DB7"/>
    <w:rsid w:val="5B6A2FD1"/>
    <w:rsid w:val="5B6D2AC1"/>
    <w:rsid w:val="5B6E71D2"/>
    <w:rsid w:val="5B7159D0"/>
    <w:rsid w:val="5B730088"/>
    <w:rsid w:val="5B740991"/>
    <w:rsid w:val="5B7D5DA4"/>
    <w:rsid w:val="5B7D6314"/>
    <w:rsid w:val="5B8553DD"/>
    <w:rsid w:val="5B896C4A"/>
    <w:rsid w:val="5B8C3B8D"/>
    <w:rsid w:val="5B936E1E"/>
    <w:rsid w:val="5B9519A0"/>
    <w:rsid w:val="5B952EC4"/>
    <w:rsid w:val="5B953DC6"/>
    <w:rsid w:val="5B9D6765"/>
    <w:rsid w:val="5B9E711E"/>
    <w:rsid w:val="5BA968A1"/>
    <w:rsid w:val="5BAF16CD"/>
    <w:rsid w:val="5BB12558"/>
    <w:rsid w:val="5BB228BB"/>
    <w:rsid w:val="5BB64D50"/>
    <w:rsid w:val="5BC27A3E"/>
    <w:rsid w:val="5BC3708A"/>
    <w:rsid w:val="5BC6506B"/>
    <w:rsid w:val="5BCC27FF"/>
    <w:rsid w:val="5BCC3E36"/>
    <w:rsid w:val="5BCF1556"/>
    <w:rsid w:val="5BD57D4C"/>
    <w:rsid w:val="5BE017D7"/>
    <w:rsid w:val="5BE33A5B"/>
    <w:rsid w:val="5BE364EA"/>
    <w:rsid w:val="5BEA1AED"/>
    <w:rsid w:val="5BEB01EF"/>
    <w:rsid w:val="5BF06BE9"/>
    <w:rsid w:val="5BF64864"/>
    <w:rsid w:val="5BF6658D"/>
    <w:rsid w:val="5BFE631F"/>
    <w:rsid w:val="5BFE6FE4"/>
    <w:rsid w:val="5C003935"/>
    <w:rsid w:val="5C005573"/>
    <w:rsid w:val="5C010639"/>
    <w:rsid w:val="5C0160F9"/>
    <w:rsid w:val="5C03649B"/>
    <w:rsid w:val="5C081A8C"/>
    <w:rsid w:val="5C09327B"/>
    <w:rsid w:val="5C0C2E43"/>
    <w:rsid w:val="5C0F1DCA"/>
    <w:rsid w:val="5C112EF5"/>
    <w:rsid w:val="5C1523B5"/>
    <w:rsid w:val="5C171F2B"/>
    <w:rsid w:val="5C1D76F0"/>
    <w:rsid w:val="5C2075C5"/>
    <w:rsid w:val="5C3A6069"/>
    <w:rsid w:val="5C410A70"/>
    <w:rsid w:val="5C414B96"/>
    <w:rsid w:val="5C425D34"/>
    <w:rsid w:val="5C45636A"/>
    <w:rsid w:val="5C4D025B"/>
    <w:rsid w:val="5C4F2ABE"/>
    <w:rsid w:val="5C5030D5"/>
    <w:rsid w:val="5C560E8B"/>
    <w:rsid w:val="5C581538"/>
    <w:rsid w:val="5C5D7036"/>
    <w:rsid w:val="5C615DD6"/>
    <w:rsid w:val="5C672A94"/>
    <w:rsid w:val="5C675690"/>
    <w:rsid w:val="5C6A7000"/>
    <w:rsid w:val="5C724ECE"/>
    <w:rsid w:val="5C7310F3"/>
    <w:rsid w:val="5C776BEB"/>
    <w:rsid w:val="5C7A0780"/>
    <w:rsid w:val="5C7D022F"/>
    <w:rsid w:val="5C7D6575"/>
    <w:rsid w:val="5C7E2144"/>
    <w:rsid w:val="5C8A4C5B"/>
    <w:rsid w:val="5C8D037D"/>
    <w:rsid w:val="5C9B32C3"/>
    <w:rsid w:val="5C9B4AD0"/>
    <w:rsid w:val="5C9E7696"/>
    <w:rsid w:val="5CA06854"/>
    <w:rsid w:val="5CA11271"/>
    <w:rsid w:val="5CA226B5"/>
    <w:rsid w:val="5CA5749C"/>
    <w:rsid w:val="5CAC337C"/>
    <w:rsid w:val="5CB85212"/>
    <w:rsid w:val="5CBD3A92"/>
    <w:rsid w:val="5CC5275B"/>
    <w:rsid w:val="5CC55470"/>
    <w:rsid w:val="5CC91FE6"/>
    <w:rsid w:val="5CD03307"/>
    <w:rsid w:val="5CD64696"/>
    <w:rsid w:val="5CDC656A"/>
    <w:rsid w:val="5CE53C09"/>
    <w:rsid w:val="5CEB1EEF"/>
    <w:rsid w:val="5CEC43EB"/>
    <w:rsid w:val="5CEF38B2"/>
    <w:rsid w:val="5CF04015"/>
    <w:rsid w:val="5CF15330"/>
    <w:rsid w:val="5CF25617"/>
    <w:rsid w:val="5CF314B1"/>
    <w:rsid w:val="5CFD2382"/>
    <w:rsid w:val="5CFE4292"/>
    <w:rsid w:val="5D010CDE"/>
    <w:rsid w:val="5D0721E8"/>
    <w:rsid w:val="5D0D7453"/>
    <w:rsid w:val="5D100A1E"/>
    <w:rsid w:val="5D104837"/>
    <w:rsid w:val="5D1324BB"/>
    <w:rsid w:val="5D144FBB"/>
    <w:rsid w:val="5D15731A"/>
    <w:rsid w:val="5D1719BE"/>
    <w:rsid w:val="5D1E10D6"/>
    <w:rsid w:val="5D291DEC"/>
    <w:rsid w:val="5D302B88"/>
    <w:rsid w:val="5D407DF7"/>
    <w:rsid w:val="5D42535B"/>
    <w:rsid w:val="5D43432D"/>
    <w:rsid w:val="5D4A0A83"/>
    <w:rsid w:val="5D4A3BDD"/>
    <w:rsid w:val="5D4A5585"/>
    <w:rsid w:val="5D5061F6"/>
    <w:rsid w:val="5D550D64"/>
    <w:rsid w:val="5D56381F"/>
    <w:rsid w:val="5D594602"/>
    <w:rsid w:val="5D730E85"/>
    <w:rsid w:val="5D7B40ED"/>
    <w:rsid w:val="5D7B5336"/>
    <w:rsid w:val="5D7D0750"/>
    <w:rsid w:val="5D7E3559"/>
    <w:rsid w:val="5D824E19"/>
    <w:rsid w:val="5D872699"/>
    <w:rsid w:val="5D8E4A80"/>
    <w:rsid w:val="5D903607"/>
    <w:rsid w:val="5D97482E"/>
    <w:rsid w:val="5DA41E0E"/>
    <w:rsid w:val="5DA72268"/>
    <w:rsid w:val="5DC62146"/>
    <w:rsid w:val="5DC71F6A"/>
    <w:rsid w:val="5DC862A3"/>
    <w:rsid w:val="5DCA5E64"/>
    <w:rsid w:val="5DCE258D"/>
    <w:rsid w:val="5DCF35BF"/>
    <w:rsid w:val="5DD003BA"/>
    <w:rsid w:val="5DDA038E"/>
    <w:rsid w:val="5DE354FD"/>
    <w:rsid w:val="5DE82F2E"/>
    <w:rsid w:val="5DEA42B1"/>
    <w:rsid w:val="5DEC7F96"/>
    <w:rsid w:val="5DF05963"/>
    <w:rsid w:val="5DF9087B"/>
    <w:rsid w:val="5DFD4F08"/>
    <w:rsid w:val="5E016CB2"/>
    <w:rsid w:val="5E026FDD"/>
    <w:rsid w:val="5E0314BA"/>
    <w:rsid w:val="5E082F75"/>
    <w:rsid w:val="5E0B036F"/>
    <w:rsid w:val="5E172F8A"/>
    <w:rsid w:val="5E333FA4"/>
    <w:rsid w:val="5E3C7CB8"/>
    <w:rsid w:val="5E3E7621"/>
    <w:rsid w:val="5E48755C"/>
    <w:rsid w:val="5E4B5FC3"/>
    <w:rsid w:val="5E4E2F15"/>
    <w:rsid w:val="5E53627F"/>
    <w:rsid w:val="5E55788C"/>
    <w:rsid w:val="5E584E27"/>
    <w:rsid w:val="5E5F20CF"/>
    <w:rsid w:val="5E653AEF"/>
    <w:rsid w:val="5E6E2DD8"/>
    <w:rsid w:val="5E741175"/>
    <w:rsid w:val="5E775184"/>
    <w:rsid w:val="5E7E12F3"/>
    <w:rsid w:val="5E8819C0"/>
    <w:rsid w:val="5E892D83"/>
    <w:rsid w:val="5E895E64"/>
    <w:rsid w:val="5EA13E1F"/>
    <w:rsid w:val="5EA3535A"/>
    <w:rsid w:val="5EA70A2B"/>
    <w:rsid w:val="5EAE06BC"/>
    <w:rsid w:val="5EBA29B6"/>
    <w:rsid w:val="5EBD6C82"/>
    <w:rsid w:val="5EC31E1D"/>
    <w:rsid w:val="5EC450EE"/>
    <w:rsid w:val="5ECA6CBD"/>
    <w:rsid w:val="5ECD4F14"/>
    <w:rsid w:val="5ED12434"/>
    <w:rsid w:val="5ED25020"/>
    <w:rsid w:val="5EDF127E"/>
    <w:rsid w:val="5EF14E0C"/>
    <w:rsid w:val="5EF42D90"/>
    <w:rsid w:val="5EF755BD"/>
    <w:rsid w:val="5EFC0D93"/>
    <w:rsid w:val="5EFC5E7B"/>
    <w:rsid w:val="5EFF5B7D"/>
    <w:rsid w:val="5F013C4C"/>
    <w:rsid w:val="5F047935"/>
    <w:rsid w:val="5F056362"/>
    <w:rsid w:val="5F091819"/>
    <w:rsid w:val="5F110760"/>
    <w:rsid w:val="5F1265AF"/>
    <w:rsid w:val="5F1332ED"/>
    <w:rsid w:val="5F1514A5"/>
    <w:rsid w:val="5F1A31D2"/>
    <w:rsid w:val="5F1E217B"/>
    <w:rsid w:val="5F1E64EB"/>
    <w:rsid w:val="5F1F78E4"/>
    <w:rsid w:val="5F206838"/>
    <w:rsid w:val="5F260AC4"/>
    <w:rsid w:val="5F266591"/>
    <w:rsid w:val="5F28678B"/>
    <w:rsid w:val="5F293A2C"/>
    <w:rsid w:val="5F2B24E7"/>
    <w:rsid w:val="5F2D46F6"/>
    <w:rsid w:val="5F385E54"/>
    <w:rsid w:val="5F395BE9"/>
    <w:rsid w:val="5F3C3AE7"/>
    <w:rsid w:val="5F3E1829"/>
    <w:rsid w:val="5F3E6B31"/>
    <w:rsid w:val="5F3F55BA"/>
    <w:rsid w:val="5F412860"/>
    <w:rsid w:val="5F422122"/>
    <w:rsid w:val="5F42674F"/>
    <w:rsid w:val="5F4F0B04"/>
    <w:rsid w:val="5F522F01"/>
    <w:rsid w:val="5F550FE6"/>
    <w:rsid w:val="5F641218"/>
    <w:rsid w:val="5F6B324B"/>
    <w:rsid w:val="5F6C7517"/>
    <w:rsid w:val="5F705205"/>
    <w:rsid w:val="5F712E5B"/>
    <w:rsid w:val="5F7327C6"/>
    <w:rsid w:val="5F750196"/>
    <w:rsid w:val="5F750588"/>
    <w:rsid w:val="5F81458B"/>
    <w:rsid w:val="5F8910B2"/>
    <w:rsid w:val="5F8D346E"/>
    <w:rsid w:val="5F995912"/>
    <w:rsid w:val="5F9E0359"/>
    <w:rsid w:val="5FA20747"/>
    <w:rsid w:val="5FA7486B"/>
    <w:rsid w:val="5FAC361E"/>
    <w:rsid w:val="5FB5402E"/>
    <w:rsid w:val="5FB73C56"/>
    <w:rsid w:val="5FB901E6"/>
    <w:rsid w:val="5FBC2D4D"/>
    <w:rsid w:val="5FBF7FC6"/>
    <w:rsid w:val="5FC14C6A"/>
    <w:rsid w:val="5FC30F01"/>
    <w:rsid w:val="5FD27396"/>
    <w:rsid w:val="5FD33CED"/>
    <w:rsid w:val="5FDD4249"/>
    <w:rsid w:val="5FDE3084"/>
    <w:rsid w:val="5FDE5D3B"/>
    <w:rsid w:val="5FDF408B"/>
    <w:rsid w:val="5FE57A85"/>
    <w:rsid w:val="5FE67C5B"/>
    <w:rsid w:val="5FE73BAF"/>
    <w:rsid w:val="5FE908F1"/>
    <w:rsid w:val="5FED58A6"/>
    <w:rsid w:val="5FF2052C"/>
    <w:rsid w:val="5FF65C5C"/>
    <w:rsid w:val="5FF76CDB"/>
    <w:rsid w:val="60052348"/>
    <w:rsid w:val="60053032"/>
    <w:rsid w:val="6018410E"/>
    <w:rsid w:val="6031180D"/>
    <w:rsid w:val="603A230F"/>
    <w:rsid w:val="603C2CFD"/>
    <w:rsid w:val="604069F6"/>
    <w:rsid w:val="60426A1E"/>
    <w:rsid w:val="604840F1"/>
    <w:rsid w:val="605018D1"/>
    <w:rsid w:val="60547ECC"/>
    <w:rsid w:val="605A0437"/>
    <w:rsid w:val="605D3104"/>
    <w:rsid w:val="60663646"/>
    <w:rsid w:val="606809C2"/>
    <w:rsid w:val="606D484F"/>
    <w:rsid w:val="606E1408"/>
    <w:rsid w:val="60713495"/>
    <w:rsid w:val="607E52DF"/>
    <w:rsid w:val="607E751E"/>
    <w:rsid w:val="60825473"/>
    <w:rsid w:val="60884FAA"/>
    <w:rsid w:val="608949A1"/>
    <w:rsid w:val="608F4044"/>
    <w:rsid w:val="60936B26"/>
    <w:rsid w:val="60994956"/>
    <w:rsid w:val="609B1392"/>
    <w:rsid w:val="609B46CE"/>
    <w:rsid w:val="609D1736"/>
    <w:rsid w:val="609D790C"/>
    <w:rsid w:val="60A22FC2"/>
    <w:rsid w:val="60A6027A"/>
    <w:rsid w:val="60A85E9A"/>
    <w:rsid w:val="60B4503A"/>
    <w:rsid w:val="60B86D82"/>
    <w:rsid w:val="60C42FF7"/>
    <w:rsid w:val="60C95E5C"/>
    <w:rsid w:val="60CE2EE1"/>
    <w:rsid w:val="60D07E29"/>
    <w:rsid w:val="60DF62DD"/>
    <w:rsid w:val="60EA05A2"/>
    <w:rsid w:val="60F33E43"/>
    <w:rsid w:val="60FF41BB"/>
    <w:rsid w:val="6109299E"/>
    <w:rsid w:val="61112CC5"/>
    <w:rsid w:val="6129750A"/>
    <w:rsid w:val="61297FB1"/>
    <w:rsid w:val="613121CE"/>
    <w:rsid w:val="613570BC"/>
    <w:rsid w:val="613961C3"/>
    <w:rsid w:val="61406582"/>
    <w:rsid w:val="61413A23"/>
    <w:rsid w:val="61473059"/>
    <w:rsid w:val="615902D6"/>
    <w:rsid w:val="616278FA"/>
    <w:rsid w:val="616733B2"/>
    <w:rsid w:val="61674177"/>
    <w:rsid w:val="61693036"/>
    <w:rsid w:val="616C1B96"/>
    <w:rsid w:val="616D388D"/>
    <w:rsid w:val="61721B91"/>
    <w:rsid w:val="61750921"/>
    <w:rsid w:val="61766367"/>
    <w:rsid w:val="617B3EB0"/>
    <w:rsid w:val="617C64F3"/>
    <w:rsid w:val="617F70AA"/>
    <w:rsid w:val="618E0E1E"/>
    <w:rsid w:val="61952E01"/>
    <w:rsid w:val="619B714A"/>
    <w:rsid w:val="619C13C0"/>
    <w:rsid w:val="619C1EE1"/>
    <w:rsid w:val="61A3349D"/>
    <w:rsid w:val="61A41770"/>
    <w:rsid w:val="61AF33B2"/>
    <w:rsid w:val="61B51378"/>
    <w:rsid w:val="61C171B4"/>
    <w:rsid w:val="61C77E1D"/>
    <w:rsid w:val="61CB0AE0"/>
    <w:rsid w:val="61D01F53"/>
    <w:rsid w:val="61D20D31"/>
    <w:rsid w:val="61D80E95"/>
    <w:rsid w:val="61D830B4"/>
    <w:rsid w:val="61DB02DC"/>
    <w:rsid w:val="61DB05B0"/>
    <w:rsid w:val="61E423F3"/>
    <w:rsid w:val="61E63A17"/>
    <w:rsid w:val="61E66FAD"/>
    <w:rsid w:val="61EA7A45"/>
    <w:rsid w:val="61EC4CA8"/>
    <w:rsid w:val="61EC54DC"/>
    <w:rsid w:val="61ED5EE7"/>
    <w:rsid w:val="6202758E"/>
    <w:rsid w:val="62092205"/>
    <w:rsid w:val="620F7392"/>
    <w:rsid w:val="621C3279"/>
    <w:rsid w:val="62214D5D"/>
    <w:rsid w:val="622163B3"/>
    <w:rsid w:val="622436D5"/>
    <w:rsid w:val="62256101"/>
    <w:rsid w:val="62260FED"/>
    <w:rsid w:val="62280495"/>
    <w:rsid w:val="622814F0"/>
    <w:rsid w:val="622F4FDA"/>
    <w:rsid w:val="62303EAD"/>
    <w:rsid w:val="62394D24"/>
    <w:rsid w:val="6255436D"/>
    <w:rsid w:val="62593E93"/>
    <w:rsid w:val="625D6FAB"/>
    <w:rsid w:val="62604BC8"/>
    <w:rsid w:val="6262034B"/>
    <w:rsid w:val="62653DB1"/>
    <w:rsid w:val="626A337F"/>
    <w:rsid w:val="626C3DDF"/>
    <w:rsid w:val="62766143"/>
    <w:rsid w:val="62790A24"/>
    <w:rsid w:val="62794E24"/>
    <w:rsid w:val="627B425A"/>
    <w:rsid w:val="627C0A32"/>
    <w:rsid w:val="627C7B72"/>
    <w:rsid w:val="627F6324"/>
    <w:rsid w:val="628425E8"/>
    <w:rsid w:val="62853336"/>
    <w:rsid w:val="62854AC4"/>
    <w:rsid w:val="6287633F"/>
    <w:rsid w:val="628B74D7"/>
    <w:rsid w:val="62944DD7"/>
    <w:rsid w:val="629B3D15"/>
    <w:rsid w:val="629F2C81"/>
    <w:rsid w:val="62A02BB8"/>
    <w:rsid w:val="62A47915"/>
    <w:rsid w:val="62A668AD"/>
    <w:rsid w:val="62A80347"/>
    <w:rsid w:val="62A96B96"/>
    <w:rsid w:val="62AA7813"/>
    <w:rsid w:val="62AF33EC"/>
    <w:rsid w:val="62B30F46"/>
    <w:rsid w:val="62B701F8"/>
    <w:rsid w:val="62B82C24"/>
    <w:rsid w:val="62B83AA8"/>
    <w:rsid w:val="62BC5D49"/>
    <w:rsid w:val="62BD1BF7"/>
    <w:rsid w:val="62BE5E0D"/>
    <w:rsid w:val="62C01D38"/>
    <w:rsid w:val="62C05259"/>
    <w:rsid w:val="62C0677A"/>
    <w:rsid w:val="62C54413"/>
    <w:rsid w:val="62C72673"/>
    <w:rsid w:val="62C74375"/>
    <w:rsid w:val="62C858D5"/>
    <w:rsid w:val="62CA52E5"/>
    <w:rsid w:val="62CB5EF8"/>
    <w:rsid w:val="62CD5E5E"/>
    <w:rsid w:val="62D035B4"/>
    <w:rsid w:val="62D07784"/>
    <w:rsid w:val="62D5720F"/>
    <w:rsid w:val="62D57BBC"/>
    <w:rsid w:val="62DB3373"/>
    <w:rsid w:val="62E5724A"/>
    <w:rsid w:val="62E94951"/>
    <w:rsid w:val="62EA2C49"/>
    <w:rsid w:val="62EC67D1"/>
    <w:rsid w:val="62F92060"/>
    <w:rsid w:val="62F95834"/>
    <w:rsid w:val="62FD13EB"/>
    <w:rsid w:val="6304042D"/>
    <w:rsid w:val="630A6E47"/>
    <w:rsid w:val="63135493"/>
    <w:rsid w:val="631B05C1"/>
    <w:rsid w:val="63213E09"/>
    <w:rsid w:val="632172B5"/>
    <w:rsid w:val="632234BF"/>
    <w:rsid w:val="63231877"/>
    <w:rsid w:val="63252C07"/>
    <w:rsid w:val="6326746E"/>
    <w:rsid w:val="63270031"/>
    <w:rsid w:val="63290D0E"/>
    <w:rsid w:val="632F5A78"/>
    <w:rsid w:val="63361120"/>
    <w:rsid w:val="6339025A"/>
    <w:rsid w:val="633A1A0D"/>
    <w:rsid w:val="63427369"/>
    <w:rsid w:val="6343041D"/>
    <w:rsid w:val="63453AAA"/>
    <w:rsid w:val="63456297"/>
    <w:rsid w:val="63464323"/>
    <w:rsid w:val="63490A0B"/>
    <w:rsid w:val="63522164"/>
    <w:rsid w:val="63536C60"/>
    <w:rsid w:val="63591E23"/>
    <w:rsid w:val="635A092C"/>
    <w:rsid w:val="635B0E7E"/>
    <w:rsid w:val="635B7569"/>
    <w:rsid w:val="635C4E3D"/>
    <w:rsid w:val="63625431"/>
    <w:rsid w:val="63751FA0"/>
    <w:rsid w:val="637627B1"/>
    <w:rsid w:val="637A00C6"/>
    <w:rsid w:val="63885D3E"/>
    <w:rsid w:val="638D53D7"/>
    <w:rsid w:val="638F78F2"/>
    <w:rsid w:val="63907BC8"/>
    <w:rsid w:val="63952BB5"/>
    <w:rsid w:val="639602DE"/>
    <w:rsid w:val="639C36B8"/>
    <w:rsid w:val="639E7020"/>
    <w:rsid w:val="63A12146"/>
    <w:rsid w:val="63AB1720"/>
    <w:rsid w:val="63AE352A"/>
    <w:rsid w:val="63AE36A3"/>
    <w:rsid w:val="63AF4358"/>
    <w:rsid w:val="63AF53BD"/>
    <w:rsid w:val="63B964E3"/>
    <w:rsid w:val="63D513A7"/>
    <w:rsid w:val="63E1404C"/>
    <w:rsid w:val="63E6552A"/>
    <w:rsid w:val="63EA2B19"/>
    <w:rsid w:val="63EB238C"/>
    <w:rsid w:val="63ED2B9F"/>
    <w:rsid w:val="63F45328"/>
    <w:rsid w:val="63F5554C"/>
    <w:rsid w:val="63F55D49"/>
    <w:rsid w:val="63FF0976"/>
    <w:rsid w:val="640203E4"/>
    <w:rsid w:val="64021763"/>
    <w:rsid w:val="64022E4D"/>
    <w:rsid w:val="64043057"/>
    <w:rsid w:val="64093558"/>
    <w:rsid w:val="640D32C8"/>
    <w:rsid w:val="640D3C1C"/>
    <w:rsid w:val="64111A02"/>
    <w:rsid w:val="641206A9"/>
    <w:rsid w:val="641931C8"/>
    <w:rsid w:val="641B169A"/>
    <w:rsid w:val="641D46C8"/>
    <w:rsid w:val="64294BF2"/>
    <w:rsid w:val="642951CF"/>
    <w:rsid w:val="64336A57"/>
    <w:rsid w:val="643800C9"/>
    <w:rsid w:val="643979E4"/>
    <w:rsid w:val="64422899"/>
    <w:rsid w:val="644C70A9"/>
    <w:rsid w:val="644D47BC"/>
    <w:rsid w:val="645064AB"/>
    <w:rsid w:val="645C7A8E"/>
    <w:rsid w:val="645F00C7"/>
    <w:rsid w:val="64613A5C"/>
    <w:rsid w:val="646A3A2D"/>
    <w:rsid w:val="646F7DBD"/>
    <w:rsid w:val="647457FE"/>
    <w:rsid w:val="64890C5B"/>
    <w:rsid w:val="649A1D49"/>
    <w:rsid w:val="649A577A"/>
    <w:rsid w:val="649F00CF"/>
    <w:rsid w:val="64A16EE3"/>
    <w:rsid w:val="64A21A5D"/>
    <w:rsid w:val="64A26351"/>
    <w:rsid w:val="64A479EF"/>
    <w:rsid w:val="64A67D1C"/>
    <w:rsid w:val="64AA6B34"/>
    <w:rsid w:val="64B2338B"/>
    <w:rsid w:val="64B25C4D"/>
    <w:rsid w:val="64B452BD"/>
    <w:rsid w:val="64BA7677"/>
    <w:rsid w:val="64C312F4"/>
    <w:rsid w:val="64C31CAB"/>
    <w:rsid w:val="64C66C26"/>
    <w:rsid w:val="64C7375A"/>
    <w:rsid w:val="64C77667"/>
    <w:rsid w:val="64C96A46"/>
    <w:rsid w:val="64D00FF2"/>
    <w:rsid w:val="64D4770D"/>
    <w:rsid w:val="64E35D36"/>
    <w:rsid w:val="64E63BF8"/>
    <w:rsid w:val="64F074C1"/>
    <w:rsid w:val="64F817D2"/>
    <w:rsid w:val="64FC09C3"/>
    <w:rsid w:val="650407EF"/>
    <w:rsid w:val="650A1F74"/>
    <w:rsid w:val="650B415C"/>
    <w:rsid w:val="650D6B24"/>
    <w:rsid w:val="65133541"/>
    <w:rsid w:val="651A0FD2"/>
    <w:rsid w:val="652860EA"/>
    <w:rsid w:val="653470EC"/>
    <w:rsid w:val="65370D10"/>
    <w:rsid w:val="65386D76"/>
    <w:rsid w:val="653A5281"/>
    <w:rsid w:val="653E102A"/>
    <w:rsid w:val="653F54CE"/>
    <w:rsid w:val="65565168"/>
    <w:rsid w:val="655A46DF"/>
    <w:rsid w:val="655C1C24"/>
    <w:rsid w:val="65656BA2"/>
    <w:rsid w:val="656B410C"/>
    <w:rsid w:val="65784C06"/>
    <w:rsid w:val="657C3984"/>
    <w:rsid w:val="65811202"/>
    <w:rsid w:val="65827289"/>
    <w:rsid w:val="658412FD"/>
    <w:rsid w:val="658D609C"/>
    <w:rsid w:val="6590200C"/>
    <w:rsid w:val="6591168D"/>
    <w:rsid w:val="65A143A4"/>
    <w:rsid w:val="65A30255"/>
    <w:rsid w:val="65A64DB8"/>
    <w:rsid w:val="65A97F43"/>
    <w:rsid w:val="65B23EF2"/>
    <w:rsid w:val="65CC5374"/>
    <w:rsid w:val="65D03A42"/>
    <w:rsid w:val="65DA531D"/>
    <w:rsid w:val="65DC479B"/>
    <w:rsid w:val="65DE105D"/>
    <w:rsid w:val="65F07E14"/>
    <w:rsid w:val="65F11B73"/>
    <w:rsid w:val="65F21798"/>
    <w:rsid w:val="65F86E84"/>
    <w:rsid w:val="66026F49"/>
    <w:rsid w:val="660C60E0"/>
    <w:rsid w:val="661841E1"/>
    <w:rsid w:val="661F566C"/>
    <w:rsid w:val="662B13D8"/>
    <w:rsid w:val="662D390B"/>
    <w:rsid w:val="66363793"/>
    <w:rsid w:val="66374470"/>
    <w:rsid w:val="663C4415"/>
    <w:rsid w:val="66494A65"/>
    <w:rsid w:val="664E3ADF"/>
    <w:rsid w:val="66587006"/>
    <w:rsid w:val="665D2648"/>
    <w:rsid w:val="6661150C"/>
    <w:rsid w:val="666B7133"/>
    <w:rsid w:val="667575D4"/>
    <w:rsid w:val="66780783"/>
    <w:rsid w:val="667978DA"/>
    <w:rsid w:val="667B0FBC"/>
    <w:rsid w:val="667F311D"/>
    <w:rsid w:val="66836E9B"/>
    <w:rsid w:val="66863385"/>
    <w:rsid w:val="66866545"/>
    <w:rsid w:val="668D21BE"/>
    <w:rsid w:val="66903B07"/>
    <w:rsid w:val="66910366"/>
    <w:rsid w:val="66976E3D"/>
    <w:rsid w:val="66A129E2"/>
    <w:rsid w:val="66A7761F"/>
    <w:rsid w:val="66A82F58"/>
    <w:rsid w:val="66AD6467"/>
    <w:rsid w:val="66AF04D3"/>
    <w:rsid w:val="66AF0505"/>
    <w:rsid w:val="66AF4860"/>
    <w:rsid w:val="66B04194"/>
    <w:rsid w:val="66B63460"/>
    <w:rsid w:val="66BF4948"/>
    <w:rsid w:val="66C27853"/>
    <w:rsid w:val="66C45DAA"/>
    <w:rsid w:val="66C4632F"/>
    <w:rsid w:val="66C85874"/>
    <w:rsid w:val="66C93B8F"/>
    <w:rsid w:val="66CE7D0D"/>
    <w:rsid w:val="66D96769"/>
    <w:rsid w:val="66DB0927"/>
    <w:rsid w:val="66DB2FD4"/>
    <w:rsid w:val="66DE4B30"/>
    <w:rsid w:val="66EE50C6"/>
    <w:rsid w:val="66EE58B9"/>
    <w:rsid w:val="66F12905"/>
    <w:rsid w:val="66F804B6"/>
    <w:rsid w:val="66FA65F2"/>
    <w:rsid w:val="66FE6CC3"/>
    <w:rsid w:val="671127E7"/>
    <w:rsid w:val="67130B4C"/>
    <w:rsid w:val="67153C75"/>
    <w:rsid w:val="671A4130"/>
    <w:rsid w:val="671B59D4"/>
    <w:rsid w:val="671E3476"/>
    <w:rsid w:val="67206C55"/>
    <w:rsid w:val="6721362C"/>
    <w:rsid w:val="6722024C"/>
    <w:rsid w:val="672B0763"/>
    <w:rsid w:val="672B265C"/>
    <w:rsid w:val="672D4CE8"/>
    <w:rsid w:val="672F2C8D"/>
    <w:rsid w:val="672F6329"/>
    <w:rsid w:val="673616CF"/>
    <w:rsid w:val="673B5C55"/>
    <w:rsid w:val="67540AD0"/>
    <w:rsid w:val="675867FD"/>
    <w:rsid w:val="675D5FFF"/>
    <w:rsid w:val="675E59B4"/>
    <w:rsid w:val="676545F0"/>
    <w:rsid w:val="676D3C75"/>
    <w:rsid w:val="67727C22"/>
    <w:rsid w:val="6776192D"/>
    <w:rsid w:val="67772930"/>
    <w:rsid w:val="677821E1"/>
    <w:rsid w:val="677B41A8"/>
    <w:rsid w:val="67840C2E"/>
    <w:rsid w:val="678878D3"/>
    <w:rsid w:val="678B6429"/>
    <w:rsid w:val="67905DC8"/>
    <w:rsid w:val="679152F5"/>
    <w:rsid w:val="6798447B"/>
    <w:rsid w:val="679E22C6"/>
    <w:rsid w:val="67A1542D"/>
    <w:rsid w:val="67A23BDC"/>
    <w:rsid w:val="67A55390"/>
    <w:rsid w:val="67A7391E"/>
    <w:rsid w:val="67AC5F95"/>
    <w:rsid w:val="67AE69D9"/>
    <w:rsid w:val="67AF7891"/>
    <w:rsid w:val="67BB6E96"/>
    <w:rsid w:val="67BD5985"/>
    <w:rsid w:val="67BF0C36"/>
    <w:rsid w:val="67C535D3"/>
    <w:rsid w:val="67C6116E"/>
    <w:rsid w:val="67CE241D"/>
    <w:rsid w:val="67D23AD1"/>
    <w:rsid w:val="67D26883"/>
    <w:rsid w:val="67D94632"/>
    <w:rsid w:val="67DA3CF9"/>
    <w:rsid w:val="67DC1D21"/>
    <w:rsid w:val="67E40A16"/>
    <w:rsid w:val="67E41C88"/>
    <w:rsid w:val="67EA7D23"/>
    <w:rsid w:val="67EB56F4"/>
    <w:rsid w:val="67EC0B39"/>
    <w:rsid w:val="67FB6A66"/>
    <w:rsid w:val="6800222E"/>
    <w:rsid w:val="68051B47"/>
    <w:rsid w:val="68061586"/>
    <w:rsid w:val="680B3E54"/>
    <w:rsid w:val="6817003C"/>
    <w:rsid w:val="68176832"/>
    <w:rsid w:val="681E1D82"/>
    <w:rsid w:val="681E5F31"/>
    <w:rsid w:val="681F6FED"/>
    <w:rsid w:val="682D2573"/>
    <w:rsid w:val="683634E3"/>
    <w:rsid w:val="68401F12"/>
    <w:rsid w:val="68420E31"/>
    <w:rsid w:val="68421B8C"/>
    <w:rsid w:val="684224FF"/>
    <w:rsid w:val="684D1769"/>
    <w:rsid w:val="684F56FB"/>
    <w:rsid w:val="6855588C"/>
    <w:rsid w:val="68556441"/>
    <w:rsid w:val="68592AB6"/>
    <w:rsid w:val="685E3EBD"/>
    <w:rsid w:val="68624715"/>
    <w:rsid w:val="6864524C"/>
    <w:rsid w:val="6867242F"/>
    <w:rsid w:val="68680ABA"/>
    <w:rsid w:val="687016F7"/>
    <w:rsid w:val="687750F6"/>
    <w:rsid w:val="687A0679"/>
    <w:rsid w:val="687A6A6A"/>
    <w:rsid w:val="687B4F22"/>
    <w:rsid w:val="687D4111"/>
    <w:rsid w:val="687E00BB"/>
    <w:rsid w:val="688237E5"/>
    <w:rsid w:val="6882494B"/>
    <w:rsid w:val="688519C8"/>
    <w:rsid w:val="68894C4A"/>
    <w:rsid w:val="688C232E"/>
    <w:rsid w:val="688D537F"/>
    <w:rsid w:val="689072CA"/>
    <w:rsid w:val="6893513C"/>
    <w:rsid w:val="689561D0"/>
    <w:rsid w:val="689845BC"/>
    <w:rsid w:val="689F668A"/>
    <w:rsid w:val="68A14066"/>
    <w:rsid w:val="68A526BE"/>
    <w:rsid w:val="68AC144F"/>
    <w:rsid w:val="68B0223F"/>
    <w:rsid w:val="68B848FE"/>
    <w:rsid w:val="68B91A87"/>
    <w:rsid w:val="68B934E7"/>
    <w:rsid w:val="68C77E8E"/>
    <w:rsid w:val="68D6542B"/>
    <w:rsid w:val="68D66F36"/>
    <w:rsid w:val="68DE6FE0"/>
    <w:rsid w:val="68E048D2"/>
    <w:rsid w:val="68E07E46"/>
    <w:rsid w:val="68E22237"/>
    <w:rsid w:val="68E407DF"/>
    <w:rsid w:val="68E70243"/>
    <w:rsid w:val="68EE4550"/>
    <w:rsid w:val="68EF3417"/>
    <w:rsid w:val="68EF598D"/>
    <w:rsid w:val="68F676C1"/>
    <w:rsid w:val="69047433"/>
    <w:rsid w:val="690507DD"/>
    <w:rsid w:val="690812C7"/>
    <w:rsid w:val="69104817"/>
    <w:rsid w:val="69150204"/>
    <w:rsid w:val="69195A8A"/>
    <w:rsid w:val="691F3444"/>
    <w:rsid w:val="6921078D"/>
    <w:rsid w:val="69213A88"/>
    <w:rsid w:val="69250889"/>
    <w:rsid w:val="69272795"/>
    <w:rsid w:val="692A18A6"/>
    <w:rsid w:val="692C3B5D"/>
    <w:rsid w:val="692F7B60"/>
    <w:rsid w:val="69345FFB"/>
    <w:rsid w:val="69374285"/>
    <w:rsid w:val="69384AF9"/>
    <w:rsid w:val="693C1042"/>
    <w:rsid w:val="694035C3"/>
    <w:rsid w:val="69450FB5"/>
    <w:rsid w:val="69486DC1"/>
    <w:rsid w:val="69493DAF"/>
    <w:rsid w:val="694B7CE4"/>
    <w:rsid w:val="694E20F7"/>
    <w:rsid w:val="69516214"/>
    <w:rsid w:val="69522B37"/>
    <w:rsid w:val="69536FA2"/>
    <w:rsid w:val="6954706E"/>
    <w:rsid w:val="695817BF"/>
    <w:rsid w:val="695B5142"/>
    <w:rsid w:val="695B6C72"/>
    <w:rsid w:val="696459E5"/>
    <w:rsid w:val="696E0EA7"/>
    <w:rsid w:val="696E6EA8"/>
    <w:rsid w:val="696F20FA"/>
    <w:rsid w:val="69706825"/>
    <w:rsid w:val="6976545F"/>
    <w:rsid w:val="69797085"/>
    <w:rsid w:val="697E7B17"/>
    <w:rsid w:val="69823BDB"/>
    <w:rsid w:val="6983333C"/>
    <w:rsid w:val="698452CF"/>
    <w:rsid w:val="698535EE"/>
    <w:rsid w:val="6985524D"/>
    <w:rsid w:val="698D3D77"/>
    <w:rsid w:val="69946A6C"/>
    <w:rsid w:val="699A592F"/>
    <w:rsid w:val="699F29DF"/>
    <w:rsid w:val="69A655DA"/>
    <w:rsid w:val="69AC0C58"/>
    <w:rsid w:val="69AF5B70"/>
    <w:rsid w:val="69BA535F"/>
    <w:rsid w:val="69BE15B8"/>
    <w:rsid w:val="69C60EF3"/>
    <w:rsid w:val="69C6146F"/>
    <w:rsid w:val="69C76F48"/>
    <w:rsid w:val="69CA142B"/>
    <w:rsid w:val="69CA1D32"/>
    <w:rsid w:val="69CB659D"/>
    <w:rsid w:val="69CD7EA5"/>
    <w:rsid w:val="69D6713E"/>
    <w:rsid w:val="69E31AE2"/>
    <w:rsid w:val="69EE2548"/>
    <w:rsid w:val="69EE602C"/>
    <w:rsid w:val="69EF4147"/>
    <w:rsid w:val="69F0277F"/>
    <w:rsid w:val="69F23A42"/>
    <w:rsid w:val="69F82255"/>
    <w:rsid w:val="69F97BA6"/>
    <w:rsid w:val="69FA3512"/>
    <w:rsid w:val="69FB2499"/>
    <w:rsid w:val="6A003C11"/>
    <w:rsid w:val="6A0449AB"/>
    <w:rsid w:val="6A075B13"/>
    <w:rsid w:val="6A11089C"/>
    <w:rsid w:val="6A13077F"/>
    <w:rsid w:val="6A1507A9"/>
    <w:rsid w:val="6A156A75"/>
    <w:rsid w:val="6A211646"/>
    <w:rsid w:val="6A2C306F"/>
    <w:rsid w:val="6A2F0D03"/>
    <w:rsid w:val="6A334ED5"/>
    <w:rsid w:val="6A3627A8"/>
    <w:rsid w:val="6A3B2E9F"/>
    <w:rsid w:val="6A3B423F"/>
    <w:rsid w:val="6A3C476E"/>
    <w:rsid w:val="6A3C5C50"/>
    <w:rsid w:val="6A496454"/>
    <w:rsid w:val="6A4D5FEB"/>
    <w:rsid w:val="6A4F71BD"/>
    <w:rsid w:val="6A56479B"/>
    <w:rsid w:val="6A580566"/>
    <w:rsid w:val="6A5A1A64"/>
    <w:rsid w:val="6A5B5205"/>
    <w:rsid w:val="6A654B93"/>
    <w:rsid w:val="6A707ED8"/>
    <w:rsid w:val="6A755BE3"/>
    <w:rsid w:val="6A7D43A3"/>
    <w:rsid w:val="6A82383E"/>
    <w:rsid w:val="6A834C5D"/>
    <w:rsid w:val="6A861B6A"/>
    <w:rsid w:val="6A8D7966"/>
    <w:rsid w:val="6A9637F1"/>
    <w:rsid w:val="6A990D5F"/>
    <w:rsid w:val="6A9A2F82"/>
    <w:rsid w:val="6A9C0CCD"/>
    <w:rsid w:val="6A9E67F3"/>
    <w:rsid w:val="6A9E7245"/>
    <w:rsid w:val="6AA41DD2"/>
    <w:rsid w:val="6AB41A70"/>
    <w:rsid w:val="6ABF583F"/>
    <w:rsid w:val="6AC00283"/>
    <w:rsid w:val="6AC344AB"/>
    <w:rsid w:val="6ACB1F11"/>
    <w:rsid w:val="6ACE0A84"/>
    <w:rsid w:val="6ACE5BD7"/>
    <w:rsid w:val="6ADA4C85"/>
    <w:rsid w:val="6ADD0559"/>
    <w:rsid w:val="6AE4100F"/>
    <w:rsid w:val="6AE503DD"/>
    <w:rsid w:val="6AE84AC8"/>
    <w:rsid w:val="6AEE4950"/>
    <w:rsid w:val="6AF6131B"/>
    <w:rsid w:val="6AF97ECD"/>
    <w:rsid w:val="6AFA6A28"/>
    <w:rsid w:val="6AFB11D4"/>
    <w:rsid w:val="6AFC7F36"/>
    <w:rsid w:val="6B040CBB"/>
    <w:rsid w:val="6B046CD8"/>
    <w:rsid w:val="6B06537A"/>
    <w:rsid w:val="6B0A14A9"/>
    <w:rsid w:val="6B0D7733"/>
    <w:rsid w:val="6B0E6094"/>
    <w:rsid w:val="6B1D4EBD"/>
    <w:rsid w:val="6B281980"/>
    <w:rsid w:val="6B290AE6"/>
    <w:rsid w:val="6B2C5F48"/>
    <w:rsid w:val="6B2D401B"/>
    <w:rsid w:val="6B3A3E42"/>
    <w:rsid w:val="6B434DBF"/>
    <w:rsid w:val="6B475DEB"/>
    <w:rsid w:val="6B4A6F42"/>
    <w:rsid w:val="6B4C6A0B"/>
    <w:rsid w:val="6B5A5F3A"/>
    <w:rsid w:val="6B5B0922"/>
    <w:rsid w:val="6B6A4609"/>
    <w:rsid w:val="6B713AFC"/>
    <w:rsid w:val="6B7A2D3C"/>
    <w:rsid w:val="6B7A5987"/>
    <w:rsid w:val="6B7E4615"/>
    <w:rsid w:val="6B8B0649"/>
    <w:rsid w:val="6B915AEF"/>
    <w:rsid w:val="6B923F43"/>
    <w:rsid w:val="6B9369A0"/>
    <w:rsid w:val="6B99570E"/>
    <w:rsid w:val="6B9E600C"/>
    <w:rsid w:val="6BA64AA6"/>
    <w:rsid w:val="6BAA7D79"/>
    <w:rsid w:val="6BAD3CC3"/>
    <w:rsid w:val="6BAE5124"/>
    <w:rsid w:val="6BAF689F"/>
    <w:rsid w:val="6BBF4FAC"/>
    <w:rsid w:val="6BC343D1"/>
    <w:rsid w:val="6BC435EB"/>
    <w:rsid w:val="6BC66E87"/>
    <w:rsid w:val="6BC75BA0"/>
    <w:rsid w:val="6BCF4934"/>
    <w:rsid w:val="6BD2260D"/>
    <w:rsid w:val="6BD3587A"/>
    <w:rsid w:val="6BD86F01"/>
    <w:rsid w:val="6BEC4DB1"/>
    <w:rsid w:val="6BF02587"/>
    <w:rsid w:val="6BF06CEF"/>
    <w:rsid w:val="6BF07195"/>
    <w:rsid w:val="6BF5715A"/>
    <w:rsid w:val="6BF94E42"/>
    <w:rsid w:val="6BFC2633"/>
    <w:rsid w:val="6C0A4481"/>
    <w:rsid w:val="6C0A737F"/>
    <w:rsid w:val="6C0E4447"/>
    <w:rsid w:val="6C114A6F"/>
    <w:rsid w:val="6C136B41"/>
    <w:rsid w:val="6C171153"/>
    <w:rsid w:val="6C1A17B0"/>
    <w:rsid w:val="6C201E87"/>
    <w:rsid w:val="6C2242E4"/>
    <w:rsid w:val="6C2471CC"/>
    <w:rsid w:val="6C2C2CDA"/>
    <w:rsid w:val="6C2D69BE"/>
    <w:rsid w:val="6C3118A0"/>
    <w:rsid w:val="6C352B60"/>
    <w:rsid w:val="6C365B58"/>
    <w:rsid w:val="6C3918BB"/>
    <w:rsid w:val="6C3C237F"/>
    <w:rsid w:val="6C3F2032"/>
    <w:rsid w:val="6C415269"/>
    <w:rsid w:val="6C417D7E"/>
    <w:rsid w:val="6C441487"/>
    <w:rsid w:val="6C4C3B13"/>
    <w:rsid w:val="6C504887"/>
    <w:rsid w:val="6C505E13"/>
    <w:rsid w:val="6C522A6E"/>
    <w:rsid w:val="6C531D06"/>
    <w:rsid w:val="6C5A1871"/>
    <w:rsid w:val="6C5A76D6"/>
    <w:rsid w:val="6C601482"/>
    <w:rsid w:val="6C646850"/>
    <w:rsid w:val="6C683613"/>
    <w:rsid w:val="6C7012B2"/>
    <w:rsid w:val="6C742807"/>
    <w:rsid w:val="6C7D4FCF"/>
    <w:rsid w:val="6C7E003F"/>
    <w:rsid w:val="6C802420"/>
    <w:rsid w:val="6C8514BC"/>
    <w:rsid w:val="6C9368A6"/>
    <w:rsid w:val="6C94416E"/>
    <w:rsid w:val="6C9854C4"/>
    <w:rsid w:val="6C991825"/>
    <w:rsid w:val="6C994508"/>
    <w:rsid w:val="6C9F2CF6"/>
    <w:rsid w:val="6CA150BA"/>
    <w:rsid w:val="6CA33077"/>
    <w:rsid w:val="6CA916A8"/>
    <w:rsid w:val="6CC73E7F"/>
    <w:rsid w:val="6CD32ADC"/>
    <w:rsid w:val="6CD469F6"/>
    <w:rsid w:val="6CDB448E"/>
    <w:rsid w:val="6CDD25F0"/>
    <w:rsid w:val="6CE6448A"/>
    <w:rsid w:val="6CE751B3"/>
    <w:rsid w:val="6CF21078"/>
    <w:rsid w:val="6CF22A0D"/>
    <w:rsid w:val="6CF95798"/>
    <w:rsid w:val="6CFB1497"/>
    <w:rsid w:val="6D06388D"/>
    <w:rsid w:val="6D0B2A82"/>
    <w:rsid w:val="6D0C6B6F"/>
    <w:rsid w:val="6D0C736B"/>
    <w:rsid w:val="6D0E08C5"/>
    <w:rsid w:val="6D0E25DA"/>
    <w:rsid w:val="6D0F4FB1"/>
    <w:rsid w:val="6D1378AB"/>
    <w:rsid w:val="6D196CE1"/>
    <w:rsid w:val="6D294397"/>
    <w:rsid w:val="6D48320F"/>
    <w:rsid w:val="6D495388"/>
    <w:rsid w:val="6D4A48C4"/>
    <w:rsid w:val="6D4B5581"/>
    <w:rsid w:val="6D4C4140"/>
    <w:rsid w:val="6D504FD7"/>
    <w:rsid w:val="6D664E65"/>
    <w:rsid w:val="6D706437"/>
    <w:rsid w:val="6D7343F4"/>
    <w:rsid w:val="6D860EF1"/>
    <w:rsid w:val="6D897659"/>
    <w:rsid w:val="6D8B5606"/>
    <w:rsid w:val="6D8D5BE7"/>
    <w:rsid w:val="6DA847F1"/>
    <w:rsid w:val="6DB16F6A"/>
    <w:rsid w:val="6DB742F9"/>
    <w:rsid w:val="6DCE2C85"/>
    <w:rsid w:val="6DD17B96"/>
    <w:rsid w:val="6DD62303"/>
    <w:rsid w:val="6DDC0FB6"/>
    <w:rsid w:val="6DDD5A49"/>
    <w:rsid w:val="6DDF754D"/>
    <w:rsid w:val="6DE917BA"/>
    <w:rsid w:val="6DF04D30"/>
    <w:rsid w:val="6E076BD0"/>
    <w:rsid w:val="6E093C5C"/>
    <w:rsid w:val="6E0C327A"/>
    <w:rsid w:val="6E0E0133"/>
    <w:rsid w:val="6E1176B9"/>
    <w:rsid w:val="6E121611"/>
    <w:rsid w:val="6E1514DC"/>
    <w:rsid w:val="6E20011E"/>
    <w:rsid w:val="6E257130"/>
    <w:rsid w:val="6E2E60E0"/>
    <w:rsid w:val="6E375275"/>
    <w:rsid w:val="6E3D54F7"/>
    <w:rsid w:val="6E3D68CE"/>
    <w:rsid w:val="6E405E13"/>
    <w:rsid w:val="6E43594F"/>
    <w:rsid w:val="6E464149"/>
    <w:rsid w:val="6E486320"/>
    <w:rsid w:val="6E4A5CF5"/>
    <w:rsid w:val="6E513B07"/>
    <w:rsid w:val="6E51534E"/>
    <w:rsid w:val="6E5556F6"/>
    <w:rsid w:val="6E577F27"/>
    <w:rsid w:val="6E6B2770"/>
    <w:rsid w:val="6E6F5A36"/>
    <w:rsid w:val="6E6F5EC6"/>
    <w:rsid w:val="6E7679A7"/>
    <w:rsid w:val="6E785ACB"/>
    <w:rsid w:val="6E7A6E47"/>
    <w:rsid w:val="6E7B04BD"/>
    <w:rsid w:val="6E7B2D8D"/>
    <w:rsid w:val="6E841BF5"/>
    <w:rsid w:val="6E881C94"/>
    <w:rsid w:val="6E8A3BC5"/>
    <w:rsid w:val="6E8E6BA7"/>
    <w:rsid w:val="6E903638"/>
    <w:rsid w:val="6E9432C9"/>
    <w:rsid w:val="6E9818FF"/>
    <w:rsid w:val="6E991D93"/>
    <w:rsid w:val="6EA31405"/>
    <w:rsid w:val="6EA57D5B"/>
    <w:rsid w:val="6EA62795"/>
    <w:rsid w:val="6EA7353C"/>
    <w:rsid w:val="6EAA4126"/>
    <w:rsid w:val="6EAC1849"/>
    <w:rsid w:val="6EAD64CB"/>
    <w:rsid w:val="6EB33CC8"/>
    <w:rsid w:val="6EB86D79"/>
    <w:rsid w:val="6EB95C61"/>
    <w:rsid w:val="6EC066F9"/>
    <w:rsid w:val="6EC06FC3"/>
    <w:rsid w:val="6EC132B1"/>
    <w:rsid w:val="6EC942F2"/>
    <w:rsid w:val="6ED14F23"/>
    <w:rsid w:val="6ED56D94"/>
    <w:rsid w:val="6EDD756E"/>
    <w:rsid w:val="6EE25B38"/>
    <w:rsid w:val="6EEC7F84"/>
    <w:rsid w:val="6EEF42DE"/>
    <w:rsid w:val="6EF043F6"/>
    <w:rsid w:val="6EF1468F"/>
    <w:rsid w:val="6EF3044D"/>
    <w:rsid w:val="6EF530A1"/>
    <w:rsid w:val="6EF95D64"/>
    <w:rsid w:val="6EFA5422"/>
    <w:rsid w:val="6F0664C1"/>
    <w:rsid w:val="6F085098"/>
    <w:rsid w:val="6F1378A3"/>
    <w:rsid w:val="6F154AE6"/>
    <w:rsid w:val="6F161DA9"/>
    <w:rsid w:val="6F1B2B08"/>
    <w:rsid w:val="6F1E2A7B"/>
    <w:rsid w:val="6F1E2AD6"/>
    <w:rsid w:val="6F290730"/>
    <w:rsid w:val="6F2A45AA"/>
    <w:rsid w:val="6F366042"/>
    <w:rsid w:val="6F385849"/>
    <w:rsid w:val="6F4045CE"/>
    <w:rsid w:val="6F43752F"/>
    <w:rsid w:val="6F4632E7"/>
    <w:rsid w:val="6F4A5F2C"/>
    <w:rsid w:val="6F4C7376"/>
    <w:rsid w:val="6F506852"/>
    <w:rsid w:val="6F5B1D92"/>
    <w:rsid w:val="6F5C0BBA"/>
    <w:rsid w:val="6F6429C3"/>
    <w:rsid w:val="6F684202"/>
    <w:rsid w:val="6F6B2A36"/>
    <w:rsid w:val="6F7056EE"/>
    <w:rsid w:val="6F787304"/>
    <w:rsid w:val="6F7C2E7B"/>
    <w:rsid w:val="6F7D3980"/>
    <w:rsid w:val="6F7F75BF"/>
    <w:rsid w:val="6F81095A"/>
    <w:rsid w:val="6F815F0F"/>
    <w:rsid w:val="6F8A5598"/>
    <w:rsid w:val="6F907CBC"/>
    <w:rsid w:val="6F994FC3"/>
    <w:rsid w:val="6F9D556B"/>
    <w:rsid w:val="6FA05F0D"/>
    <w:rsid w:val="6FA40FBD"/>
    <w:rsid w:val="6FA52C10"/>
    <w:rsid w:val="6FA920AE"/>
    <w:rsid w:val="6FAA5C3A"/>
    <w:rsid w:val="6FAC28DD"/>
    <w:rsid w:val="6FAD533B"/>
    <w:rsid w:val="6FB05B0B"/>
    <w:rsid w:val="6FB40867"/>
    <w:rsid w:val="6FB51D19"/>
    <w:rsid w:val="6FB9221B"/>
    <w:rsid w:val="6FC37355"/>
    <w:rsid w:val="6FCC0F58"/>
    <w:rsid w:val="6FCF3E0A"/>
    <w:rsid w:val="6FD22687"/>
    <w:rsid w:val="6FD607DD"/>
    <w:rsid w:val="6FDD5EAF"/>
    <w:rsid w:val="6FDE1D83"/>
    <w:rsid w:val="6FE119B9"/>
    <w:rsid w:val="6FE12A77"/>
    <w:rsid w:val="6FE949B4"/>
    <w:rsid w:val="6FF27D66"/>
    <w:rsid w:val="6FF5399F"/>
    <w:rsid w:val="6FF93C84"/>
    <w:rsid w:val="6FF944CB"/>
    <w:rsid w:val="70002350"/>
    <w:rsid w:val="7000585A"/>
    <w:rsid w:val="7006354C"/>
    <w:rsid w:val="70076BE8"/>
    <w:rsid w:val="700770A0"/>
    <w:rsid w:val="700D1D0E"/>
    <w:rsid w:val="700D5CF4"/>
    <w:rsid w:val="700E570C"/>
    <w:rsid w:val="70146F5A"/>
    <w:rsid w:val="70184F84"/>
    <w:rsid w:val="702159EF"/>
    <w:rsid w:val="7023042F"/>
    <w:rsid w:val="70247734"/>
    <w:rsid w:val="702F7850"/>
    <w:rsid w:val="70302060"/>
    <w:rsid w:val="70326667"/>
    <w:rsid w:val="7035669C"/>
    <w:rsid w:val="70377E6F"/>
    <w:rsid w:val="7039412A"/>
    <w:rsid w:val="7043050B"/>
    <w:rsid w:val="70482DE3"/>
    <w:rsid w:val="704C5AD8"/>
    <w:rsid w:val="704D0D05"/>
    <w:rsid w:val="704D1189"/>
    <w:rsid w:val="705931C7"/>
    <w:rsid w:val="705A3572"/>
    <w:rsid w:val="706856C8"/>
    <w:rsid w:val="70687328"/>
    <w:rsid w:val="70706F10"/>
    <w:rsid w:val="70777B6C"/>
    <w:rsid w:val="707D3FA2"/>
    <w:rsid w:val="707D4D7E"/>
    <w:rsid w:val="7085737F"/>
    <w:rsid w:val="708618C0"/>
    <w:rsid w:val="7087456D"/>
    <w:rsid w:val="708A3E3F"/>
    <w:rsid w:val="70931E70"/>
    <w:rsid w:val="70A33291"/>
    <w:rsid w:val="70A44B41"/>
    <w:rsid w:val="70AD38F3"/>
    <w:rsid w:val="70B02897"/>
    <w:rsid w:val="70B20091"/>
    <w:rsid w:val="70B52723"/>
    <w:rsid w:val="70BC0644"/>
    <w:rsid w:val="70BD7C14"/>
    <w:rsid w:val="70C20550"/>
    <w:rsid w:val="70C6066D"/>
    <w:rsid w:val="70C925B1"/>
    <w:rsid w:val="70CD1896"/>
    <w:rsid w:val="70D31804"/>
    <w:rsid w:val="70D425F3"/>
    <w:rsid w:val="70D80B1B"/>
    <w:rsid w:val="70DA7F54"/>
    <w:rsid w:val="70DB29ED"/>
    <w:rsid w:val="70DF74E1"/>
    <w:rsid w:val="70F02849"/>
    <w:rsid w:val="70F41D36"/>
    <w:rsid w:val="71043EBA"/>
    <w:rsid w:val="7105230D"/>
    <w:rsid w:val="710A6495"/>
    <w:rsid w:val="710F3934"/>
    <w:rsid w:val="71124BB1"/>
    <w:rsid w:val="711B1CE4"/>
    <w:rsid w:val="711F1595"/>
    <w:rsid w:val="71254EFF"/>
    <w:rsid w:val="71257102"/>
    <w:rsid w:val="71264FDA"/>
    <w:rsid w:val="712B4B58"/>
    <w:rsid w:val="712D3800"/>
    <w:rsid w:val="71306E04"/>
    <w:rsid w:val="71332DC2"/>
    <w:rsid w:val="71380F11"/>
    <w:rsid w:val="71385DEE"/>
    <w:rsid w:val="713D4675"/>
    <w:rsid w:val="713E57F4"/>
    <w:rsid w:val="7141418F"/>
    <w:rsid w:val="715E2F77"/>
    <w:rsid w:val="715F4802"/>
    <w:rsid w:val="7162147F"/>
    <w:rsid w:val="716404F1"/>
    <w:rsid w:val="71690381"/>
    <w:rsid w:val="716B1514"/>
    <w:rsid w:val="71707884"/>
    <w:rsid w:val="717178B3"/>
    <w:rsid w:val="717643C7"/>
    <w:rsid w:val="717938D8"/>
    <w:rsid w:val="71836742"/>
    <w:rsid w:val="718978AC"/>
    <w:rsid w:val="718A2427"/>
    <w:rsid w:val="718E3FD3"/>
    <w:rsid w:val="71902C0D"/>
    <w:rsid w:val="71956476"/>
    <w:rsid w:val="71A04FE3"/>
    <w:rsid w:val="71A23EBF"/>
    <w:rsid w:val="71A75045"/>
    <w:rsid w:val="71A94D89"/>
    <w:rsid w:val="71AA541B"/>
    <w:rsid w:val="71BA144C"/>
    <w:rsid w:val="71BB6EB3"/>
    <w:rsid w:val="71BB7BC0"/>
    <w:rsid w:val="71BC3298"/>
    <w:rsid w:val="71BF0AEE"/>
    <w:rsid w:val="71C24FA7"/>
    <w:rsid w:val="71CA79F7"/>
    <w:rsid w:val="71D177E1"/>
    <w:rsid w:val="71D353C3"/>
    <w:rsid w:val="71DA7C18"/>
    <w:rsid w:val="71DB3A54"/>
    <w:rsid w:val="71DF6A65"/>
    <w:rsid w:val="71DF6A69"/>
    <w:rsid w:val="71EE1350"/>
    <w:rsid w:val="71F153DB"/>
    <w:rsid w:val="720337ED"/>
    <w:rsid w:val="720359C7"/>
    <w:rsid w:val="72133F62"/>
    <w:rsid w:val="72163F2B"/>
    <w:rsid w:val="72205F72"/>
    <w:rsid w:val="722144EA"/>
    <w:rsid w:val="72233A82"/>
    <w:rsid w:val="722B365E"/>
    <w:rsid w:val="7230299A"/>
    <w:rsid w:val="7233656A"/>
    <w:rsid w:val="72414E18"/>
    <w:rsid w:val="72461B17"/>
    <w:rsid w:val="7246219B"/>
    <w:rsid w:val="724904F1"/>
    <w:rsid w:val="724C4346"/>
    <w:rsid w:val="72541F5C"/>
    <w:rsid w:val="72571065"/>
    <w:rsid w:val="725D17CA"/>
    <w:rsid w:val="72605C00"/>
    <w:rsid w:val="726269B9"/>
    <w:rsid w:val="726D6944"/>
    <w:rsid w:val="727E0C56"/>
    <w:rsid w:val="72806746"/>
    <w:rsid w:val="729006C4"/>
    <w:rsid w:val="7298385D"/>
    <w:rsid w:val="72A16A7D"/>
    <w:rsid w:val="72A91023"/>
    <w:rsid w:val="72B03567"/>
    <w:rsid w:val="72B8241C"/>
    <w:rsid w:val="72B86369"/>
    <w:rsid w:val="72B8745F"/>
    <w:rsid w:val="72C0584E"/>
    <w:rsid w:val="72C13D5E"/>
    <w:rsid w:val="72C3794F"/>
    <w:rsid w:val="72C42615"/>
    <w:rsid w:val="72CE0048"/>
    <w:rsid w:val="72CF55DD"/>
    <w:rsid w:val="72D22C80"/>
    <w:rsid w:val="72D618E2"/>
    <w:rsid w:val="72D70A16"/>
    <w:rsid w:val="72DB2CB6"/>
    <w:rsid w:val="72E42B45"/>
    <w:rsid w:val="72E90827"/>
    <w:rsid w:val="72EE4F94"/>
    <w:rsid w:val="72EE637E"/>
    <w:rsid w:val="72EF3290"/>
    <w:rsid w:val="72F01BB6"/>
    <w:rsid w:val="72F06240"/>
    <w:rsid w:val="72F96A6D"/>
    <w:rsid w:val="72FA6C2B"/>
    <w:rsid w:val="73030993"/>
    <w:rsid w:val="73064D15"/>
    <w:rsid w:val="7315786E"/>
    <w:rsid w:val="73171838"/>
    <w:rsid w:val="731D5716"/>
    <w:rsid w:val="731E10E7"/>
    <w:rsid w:val="731F5F4E"/>
    <w:rsid w:val="731F774A"/>
    <w:rsid w:val="732075EA"/>
    <w:rsid w:val="732708D5"/>
    <w:rsid w:val="73277F63"/>
    <w:rsid w:val="73280DA0"/>
    <w:rsid w:val="732B3796"/>
    <w:rsid w:val="732B3D2D"/>
    <w:rsid w:val="732C61DC"/>
    <w:rsid w:val="732D3105"/>
    <w:rsid w:val="732D7DBA"/>
    <w:rsid w:val="73335F46"/>
    <w:rsid w:val="733A612A"/>
    <w:rsid w:val="733B6156"/>
    <w:rsid w:val="733C129F"/>
    <w:rsid w:val="733D635F"/>
    <w:rsid w:val="733E091D"/>
    <w:rsid w:val="73412411"/>
    <w:rsid w:val="73442AC9"/>
    <w:rsid w:val="73490EB6"/>
    <w:rsid w:val="734D2174"/>
    <w:rsid w:val="735C549D"/>
    <w:rsid w:val="735F00E2"/>
    <w:rsid w:val="735F02EA"/>
    <w:rsid w:val="735F32BD"/>
    <w:rsid w:val="735F78FC"/>
    <w:rsid w:val="73632E70"/>
    <w:rsid w:val="73685AE7"/>
    <w:rsid w:val="736967B2"/>
    <w:rsid w:val="73782D86"/>
    <w:rsid w:val="73793682"/>
    <w:rsid w:val="737C6E2F"/>
    <w:rsid w:val="737F01CC"/>
    <w:rsid w:val="73812055"/>
    <w:rsid w:val="73852C46"/>
    <w:rsid w:val="738D1994"/>
    <w:rsid w:val="739A12BD"/>
    <w:rsid w:val="739D7C9F"/>
    <w:rsid w:val="73AB1F81"/>
    <w:rsid w:val="73AD7B3F"/>
    <w:rsid w:val="73C71690"/>
    <w:rsid w:val="73C908D4"/>
    <w:rsid w:val="73CF1E23"/>
    <w:rsid w:val="73CF3B5C"/>
    <w:rsid w:val="73D5305E"/>
    <w:rsid w:val="73D678EC"/>
    <w:rsid w:val="73D73BD1"/>
    <w:rsid w:val="73DA2A93"/>
    <w:rsid w:val="73DC0984"/>
    <w:rsid w:val="73E42D5A"/>
    <w:rsid w:val="73E74D53"/>
    <w:rsid w:val="73ED2655"/>
    <w:rsid w:val="73F95753"/>
    <w:rsid w:val="73FB5A2B"/>
    <w:rsid w:val="7403480C"/>
    <w:rsid w:val="740D3898"/>
    <w:rsid w:val="740F4CA4"/>
    <w:rsid w:val="74105CDC"/>
    <w:rsid w:val="74127B91"/>
    <w:rsid w:val="74127D6E"/>
    <w:rsid w:val="74182D85"/>
    <w:rsid w:val="741F64E0"/>
    <w:rsid w:val="74276B4E"/>
    <w:rsid w:val="74285696"/>
    <w:rsid w:val="74297F0E"/>
    <w:rsid w:val="74344302"/>
    <w:rsid w:val="743554AC"/>
    <w:rsid w:val="74355F6C"/>
    <w:rsid w:val="74366164"/>
    <w:rsid w:val="743828A3"/>
    <w:rsid w:val="743C1D70"/>
    <w:rsid w:val="743E5B55"/>
    <w:rsid w:val="74497B3A"/>
    <w:rsid w:val="744A6416"/>
    <w:rsid w:val="744B344D"/>
    <w:rsid w:val="74522B4B"/>
    <w:rsid w:val="745237DB"/>
    <w:rsid w:val="74561C4F"/>
    <w:rsid w:val="74690512"/>
    <w:rsid w:val="746907DC"/>
    <w:rsid w:val="746B4E22"/>
    <w:rsid w:val="74700249"/>
    <w:rsid w:val="747C539A"/>
    <w:rsid w:val="7480089B"/>
    <w:rsid w:val="748051BB"/>
    <w:rsid w:val="748A25A0"/>
    <w:rsid w:val="74924B22"/>
    <w:rsid w:val="7492774C"/>
    <w:rsid w:val="74987C0F"/>
    <w:rsid w:val="749C2B79"/>
    <w:rsid w:val="749D5671"/>
    <w:rsid w:val="74A83421"/>
    <w:rsid w:val="74AB4EA6"/>
    <w:rsid w:val="74AE39EE"/>
    <w:rsid w:val="74AF0B63"/>
    <w:rsid w:val="74B01101"/>
    <w:rsid w:val="74B8287E"/>
    <w:rsid w:val="74B9188B"/>
    <w:rsid w:val="74B94B70"/>
    <w:rsid w:val="74BA3143"/>
    <w:rsid w:val="74BD4185"/>
    <w:rsid w:val="74C27206"/>
    <w:rsid w:val="74C43285"/>
    <w:rsid w:val="74C84C24"/>
    <w:rsid w:val="74CC09E4"/>
    <w:rsid w:val="74CD6C2B"/>
    <w:rsid w:val="74D03B5B"/>
    <w:rsid w:val="74D47F61"/>
    <w:rsid w:val="74D55403"/>
    <w:rsid w:val="74D715D2"/>
    <w:rsid w:val="74D84421"/>
    <w:rsid w:val="74DD17E9"/>
    <w:rsid w:val="74DD33CD"/>
    <w:rsid w:val="74E15DF1"/>
    <w:rsid w:val="74E43A91"/>
    <w:rsid w:val="74E91B15"/>
    <w:rsid w:val="74EB4B62"/>
    <w:rsid w:val="74F155F7"/>
    <w:rsid w:val="74F31E31"/>
    <w:rsid w:val="74F52356"/>
    <w:rsid w:val="74F7779C"/>
    <w:rsid w:val="74F77A28"/>
    <w:rsid w:val="74F92A23"/>
    <w:rsid w:val="7501360F"/>
    <w:rsid w:val="750307CC"/>
    <w:rsid w:val="75074A05"/>
    <w:rsid w:val="750C7BBC"/>
    <w:rsid w:val="75103482"/>
    <w:rsid w:val="7516629F"/>
    <w:rsid w:val="751A0EF3"/>
    <w:rsid w:val="751F0F18"/>
    <w:rsid w:val="75220020"/>
    <w:rsid w:val="7527212C"/>
    <w:rsid w:val="752F3C0D"/>
    <w:rsid w:val="7538148C"/>
    <w:rsid w:val="75393465"/>
    <w:rsid w:val="75403DF3"/>
    <w:rsid w:val="7541332D"/>
    <w:rsid w:val="75443B78"/>
    <w:rsid w:val="754C3E28"/>
    <w:rsid w:val="754D1420"/>
    <w:rsid w:val="755224CE"/>
    <w:rsid w:val="75533D8A"/>
    <w:rsid w:val="75572C76"/>
    <w:rsid w:val="755831F7"/>
    <w:rsid w:val="75603FDF"/>
    <w:rsid w:val="756A75D3"/>
    <w:rsid w:val="75700484"/>
    <w:rsid w:val="757220A4"/>
    <w:rsid w:val="757C5983"/>
    <w:rsid w:val="757E0BA8"/>
    <w:rsid w:val="757E2F6B"/>
    <w:rsid w:val="757E756E"/>
    <w:rsid w:val="75840190"/>
    <w:rsid w:val="7586114C"/>
    <w:rsid w:val="758626CB"/>
    <w:rsid w:val="75933A19"/>
    <w:rsid w:val="75944BD7"/>
    <w:rsid w:val="75974B6F"/>
    <w:rsid w:val="75975F78"/>
    <w:rsid w:val="75A062DE"/>
    <w:rsid w:val="75AE4B54"/>
    <w:rsid w:val="75B311C3"/>
    <w:rsid w:val="75C1557B"/>
    <w:rsid w:val="75C57DD8"/>
    <w:rsid w:val="75C81DD2"/>
    <w:rsid w:val="75D66BDB"/>
    <w:rsid w:val="75E00A02"/>
    <w:rsid w:val="75E22EA2"/>
    <w:rsid w:val="75E722D5"/>
    <w:rsid w:val="75F0011F"/>
    <w:rsid w:val="75F2229F"/>
    <w:rsid w:val="75F42EC0"/>
    <w:rsid w:val="75F60B30"/>
    <w:rsid w:val="75F714AD"/>
    <w:rsid w:val="75F75951"/>
    <w:rsid w:val="75FF2103"/>
    <w:rsid w:val="76041F8B"/>
    <w:rsid w:val="76052539"/>
    <w:rsid w:val="76053BCA"/>
    <w:rsid w:val="7608051D"/>
    <w:rsid w:val="76085CDD"/>
    <w:rsid w:val="76114870"/>
    <w:rsid w:val="76216387"/>
    <w:rsid w:val="762802B3"/>
    <w:rsid w:val="76290195"/>
    <w:rsid w:val="763220F3"/>
    <w:rsid w:val="763406CC"/>
    <w:rsid w:val="764010A6"/>
    <w:rsid w:val="76403EEE"/>
    <w:rsid w:val="76430CF6"/>
    <w:rsid w:val="76444440"/>
    <w:rsid w:val="764E6ACD"/>
    <w:rsid w:val="765607F1"/>
    <w:rsid w:val="76562678"/>
    <w:rsid w:val="76594CF0"/>
    <w:rsid w:val="765C2BA3"/>
    <w:rsid w:val="765F3B81"/>
    <w:rsid w:val="76680883"/>
    <w:rsid w:val="76697525"/>
    <w:rsid w:val="766C7064"/>
    <w:rsid w:val="766E0DC1"/>
    <w:rsid w:val="76714747"/>
    <w:rsid w:val="767818C2"/>
    <w:rsid w:val="76784911"/>
    <w:rsid w:val="767A2B37"/>
    <w:rsid w:val="767B2FE7"/>
    <w:rsid w:val="76805425"/>
    <w:rsid w:val="76832D47"/>
    <w:rsid w:val="768B5DC4"/>
    <w:rsid w:val="76915E1C"/>
    <w:rsid w:val="76947BF8"/>
    <w:rsid w:val="769D389F"/>
    <w:rsid w:val="76A8171E"/>
    <w:rsid w:val="76AF71BD"/>
    <w:rsid w:val="76BA2576"/>
    <w:rsid w:val="76BC61A3"/>
    <w:rsid w:val="76CF7544"/>
    <w:rsid w:val="76D0242A"/>
    <w:rsid w:val="76D325D0"/>
    <w:rsid w:val="76D505F5"/>
    <w:rsid w:val="76D51757"/>
    <w:rsid w:val="76D64F23"/>
    <w:rsid w:val="76E557A9"/>
    <w:rsid w:val="76E56E55"/>
    <w:rsid w:val="76E73438"/>
    <w:rsid w:val="76E957FA"/>
    <w:rsid w:val="76EE0562"/>
    <w:rsid w:val="76EE2280"/>
    <w:rsid w:val="76F54799"/>
    <w:rsid w:val="76F56B05"/>
    <w:rsid w:val="76F91F92"/>
    <w:rsid w:val="76F94957"/>
    <w:rsid w:val="76FB67AB"/>
    <w:rsid w:val="7700485E"/>
    <w:rsid w:val="770E6AAE"/>
    <w:rsid w:val="77166ABB"/>
    <w:rsid w:val="77180D67"/>
    <w:rsid w:val="772072B5"/>
    <w:rsid w:val="772A3AE4"/>
    <w:rsid w:val="7736593E"/>
    <w:rsid w:val="773A3875"/>
    <w:rsid w:val="773C1C0E"/>
    <w:rsid w:val="7744314B"/>
    <w:rsid w:val="7746543E"/>
    <w:rsid w:val="77482D29"/>
    <w:rsid w:val="77503315"/>
    <w:rsid w:val="77552B9D"/>
    <w:rsid w:val="77592289"/>
    <w:rsid w:val="77650792"/>
    <w:rsid w:val="776668EA"/>
    <w:rsid w:val="776709B5"/>
    <w:rsid w:val="7769323E"/>
    <w:rsid w:val="776A66E6"/>
    <w:rsid w:val="776C138C"/>
    <w:rsid w:val="77777E8B"/>
    <w:rsid w:val="777C61F3"/>
    <w:rsid w:val="777F1B75"/>
    <w:rsid w:val="77854826"/>
    <w:rsid w:val="77887E1F"/>
    <w:rsid w:val="779111A1"/>
    <w:rsid w:val="77A10873"/>
    <w:rsid w:val="77AC2DFE"/>
    <w:rsid w:val="77B061D0"/>
    <w:rsid w:val="77B2559F"/>
    <w:rsid w:val="77B50A0E"/>
    <w:rsid w:val="77B54DC9"/>
    <w:rsid w:val="77B63C0B"/>
    <w:rsid w:val="77B74A88"/>
    <w:rsid w:val="77B82D36"/>
    <w:rsid w:val="77BF5FFA"/>
    <w:rsid w:val="77CC1E00"/>
    <w:rsid w:val="77E3380B"/>
    <w:rsid w:val="77EA30BD"/>
    <w:rsid w:val="77EB6A8A"/>
    <w:rsid w:val="77EB7B02"/>
    <w:rsid w:val="77ED1BEA"/>
    <w:rsid w:val="77F11B43"/>
    <w:rsid w:val="77F70518"/>
    <w:rsid w:val="77FA5414"/>
    <w:rsid w:val="77FD798D"/>
    <w:rsid w:val="780104EC"/>
    <w:rsid w:val="78024ECD"/>
    <w:rsid w:val="7807209D"/>
    <w:rsid w:val="780F55B9"/>
    <w:rsid w:val="780F64A6"/>
    <w:rsid w:val="78106C6D"/>
    <w:rsid w:val="781528BF"/>
    <w:rsid w:val="781B384F"/>
    <w:rsid w:val="781F103C"/>
    <w:rsid w:val="78237D85"/>
    <w:rsid w:val="78240B68"/>
    <w:rsid w:val="782600E5"/>
    <w:rsid w:val="782819B6"/>
    <w:rsid w:val="78295474"/>
    <w:rsid w:val="782E7802"/>
    <w:rsid w:val="782F1EFA"/>
    <w:rsid w:val="78310267"/>
    <w:rsid w:val="783A3005"/>
    <w:rsid w:val="783A5315"/>
    <w:rsid w:val="783C79AD"/>
    <w:rsid w:val="78433944"/>
    <w:rsid w:val="78470F94"/>
    <w:rsid w:val="78506296"/>
    <w:rsid w:val="785229AC"/>
    <w:rsid w:val="78526BB1"/>
    <w:rsid w:val="78536AF7"/>
    <w:rsid w:val="78621B07"/>
    <w:rsid w:val="78690F47"/>
    <w:rsid w:val="78692552"/>
    <w:rsid w:val="786D40E6"/>
    <w:rsid w:val="787212BF"/>
    <w:rsid w:val="787C2F5E"/>
    <w:rsid w:val="787C35D6"/>
    <w:rsid w:val="788D0EB9"/>
    <w:rsid w:val="78915591"/>
    <w:rsid w:val="789B6A68"/>
    <w:rsid w:val="789D682D"/>
    <w:rsid w:val="789E3A8C"/>
    <w:rsid w:val="789F1F48"/>
    <w:rsid w:val="78A20485"/>
    <w:rsid w:val="78A25098"/>
    <w:rsid w:val="78A833D9"/>
    <w:rsid w:val="78AB3B50"/>
    <w:rsid w:val="78AB3CE1"/>
    <w:rsid w:val="78B55333"/>
    <w:rsid w:val="78BB1CE2"/>
    <w:rsid w:val="78BE4E3D"/>
    <w:rsid w:val="78BF7039"/>
    <w:rsid w:val="78C9047F"/>
    <w:rsid w:val="78D51EEC"/>
    <w:rsid w:val="78D63CFA"/>
    <w:rsid w:val="78DE6ADA"/>
    <w:rsid w:val="78E462BE"/>
    <w:rsid w:val="78EC6147"/>
    <w:rsid w:val="78F93B8F"/>
    <w:rsid w:val="78FB4ABB"/>
    <w:rsid w:val="78FD0F21"/>
    <w:rsid w:val="78FE16F1"/>
    <w:rsid w:val="79012111"/>
    <w:rsid w:val="79057967"/>
    <w:rsid w:val="790749BC"/>
    <w:rsid w:val="790A4903"/>
    <w:rsid w:val="791123BF"/>
    <w:rsid w:val="79134850"/>
    <w:rsid w:val="791407B6"/>
    <w:rsid w:val="79167DFB"/>
    <w:rsid w:val="791F77FC"/>
    <w:rsid w:val="79236A25"/>
    <w:rsid w:val="7924594A"/>
    <w:rsid w:val="792720A9"/>
    <w:rsid w:val="792B57CD"/>
    <w:rsid w:val="79303F10"/>
    <w:rsid w:val="7932612A"/>
    <w:rsid w:val="79331D91"/>
    <w:rsid w:val="793927C7"/>
    <w:rsid w:val="793B7903"/>
    <w:rsid w:val="7941531A"/>
    <w:rsid w:val="794160D1"/>
    <w:rsid w:val="794530F9"/>
    <w:rsid w:val="79476F53"/>
    <w:rsid w:val="79481416"/>
    <w:rsid w:val="794873CE"/>
    <w:rsid w:val="794A2BB3"/>
    <w:rsid w:val="794C3108"/>
    <w:rsid w:val="794C6C15"/>
    <w:rsid w:val="794F114D"/>
    <w:rsid w:val="79537A79"/>
    <w:rsid w:val="795822A4"/>
    <w:rsid w:val="79645221"/>
    <w:rsid w:val="796C5854"/>
    <w:rsid w:val="797015A1"/>
    <w:rsid w:val="79783AAA"/>
    <w:rsid w:val="797F13CC"/>
    <w:rsid w:val="798C4E9C"/>
    <w:rsid w:val="79972DB7"/>
    <w:rsid w:val="7998268C"/>
    <w:rsid w:val="799847D7"/>
    <w:rsid w:val="799D7146"/>
    <w:rsid w:val="799E680F"/>
    <w:rsid w:val="79A328AA"/>
    <w:rsid w:val="79AA1FC9"/>
    <w:rsid w:val="79AA575B"/>
    <w:rsid w:val="79B471DA"/>
    <w:rsid w:val="79BB1D8B"/>
    <w:rsid w:val="79BB5EA7"/>
    <w:rsid w:val="79C066F7"/>
    <w:rsid w:val="79C10C4C"/>
    <w:rsid w:val="79C9227A"/>
    <w:rsid w:val="79C94E0D"/>
    <w:rsid w:val="79CE5CB5"/>
    <w:rsid w:val="79D16099"/>
    <w:rsid w:val="79D2552E"/>
    <w:rsid w:val="79D51B05"/>
    <w:rsid w:val="79D6394B"/>
    <w:rsid w:val="79DD0E04"/>
    <w:rsid w:val="79E07E4A"/>
    <w:rsid w:val="79E47FF3"/>
    <w:rsid w:val="79EB7EC7"/>
    <w:rsid w:val="79EF7533"/>
    <w:rsid w:val="79F237AD"/>
    <w:rsid w:val="7A025E33"/>
    <w:rsid w:val="7A0344E2"/>
    <w:rsid w:val="7A0547A5"/>
    <w:rsid w:val="7A155ADF"/>
    <w:rsid w:val="7A197EEF"/>
    <w:rsid w:val="7A1F411B"/>
    <w:rsid w:val="7A233866"/>
    <w:rsid w:val="7A27424F"/>
    <w:rsid w:val="7A294988"/>
    <w:rsid w:val="7A2B454D"/>
    <w:rsid w:val="7A317848"/>
    <w:rsid w:val="7A356BD9"/>
    <w:rsid w:val="7A392099"/>
    <w:rsid w:val="7A3E2666"/>
    <w:rsid w:val="7A4B5D2D"/>
    <w:rsid w:val="7A5216AD"/>
    <w:rsid w:val="7A524FFA"/>
    <w:rsid w:val="7A532B6E"/>
    <w:rsid w:val="7A543119"/>
    <w:rsid w:val="7A580CBC"/>
    <w:rsid w:val="7A6335B5"/>
    <w:rsid w:val="7A657EA0"/>
    <w:rsid w:val="7A6A1EE6"/>
    <w:rsid w:val="7A6F5AB6"/>
    <w:rsid w:val="7A711524"/>
    <w:rsid w:val="7A721A4A"/>
    <w:rsid w:val="7A7817F2"/>
    <w:rsid w:val="7A8A4A55"/>
    <w:rsid w:val="7A8F485D"/>
    <w:rsid w:val="7A94741C"/>
    <w:rsid w:val="7A97391C"/>
    <w:rsid w:val="7AA01B0A"/>
    <w:rsid w:val="7AA23744"/>
    <w:rsid w:val="7AA30283"/>
    <w:rsid w:val="7AAF7948"/>
    <w:rsid w:val="7ABA76A7"/>
    <w:rsid w:val="7ABC7695"/>
    <w:rsid w:val="7AC70EA4"/>
    <w:rsid w:val="7ACD4328"/>
    <w:rsid w:val="7AD01F98"/>
    <w:rsid w:val="7AD13889"/>
    <w:rsid w:val="7AD46813"/>
    <w:rsid w:val="7ADC503B"/>
    <w:rsid w:val="7ADF15AD"/>
    <w:rsid w:val="7AE120C4"/>
    <w:rsid w:val="7AE26091"/>
    <w:rsid w:val="7AE35E8A"/>
    <w:rsid w:val="7AE5381B"/>
    <w:rsid w:val="7AE53D22"/>
    <w:rsid w:val="7AE829C5"/>
    <w:rsid w:val="7AEB0534"/>
    <w:rsid w:val="7AEC22FB"/>
    <w:rsid w:val="7AEF1577"/>
    <w:rsid w:val="7AEF6BF7"/>
    <w:rsid w:val="7AF012F9"/>
    <w:rsid w:val="7AF045B5"/>
    <w:rsid w:val="7AF33FC1"/>
    <w:rsid w:val="7AF8171E"/>
    <w:rsid w:val="7AF85891"/>
    <w:rsid w:val="7AF96873"/>
    <w:rsid w:val="7AFB7F56"/>
    <w:rsid w:val="7B08791E"/>
    <w:rsid w:val="7B0B4C26"/>
    <w:rsid w:val="7B113120"/>
    <w:rsid w:val="7B1168A9"/>
    <w:rsid w:val="7B16687D"/>
    <w:rsid w:val="7B1A4E11"/>
    <w:rsid w:val="7B1B4FEB"/>
    <w:rsid w:val="7B2364C0"/>
    <w:rsid w:val="7B24470B"/>
    <w:rsid w:val="7B337241"/>
    <w:rsid w:val="7B3E014C"/>
    <w:rsid w:val="7B440CFC"/>
    <w:rsid w:val="7B4E7E3B"/>
    <w:rsid w:val="7B506A29"/>
    <w:rsid w:val="7B5348F9"/>
    <w:rsid w:val="7B580C40"/>
    <w:rsid w:val="7B5A5AD3"/>
    <w:rsid w:val="7B5A6766"/>
    <w:rsid w:val="7B607B5F"/>
    <w:rsid w:val="7B631ADC"/>
    <w:rsid w:val="7B6C42EB"/>
    <w:rsid w:val="7B6D6151"/>
    <w:rsid w:val="7B6E6AE7"/>
    <w:rsid w:val="7B7B1469"/>
    <w:rsid w:val="7B7C356E"/>
    <w:rsid w:val="7B7C4082"/>
    <w:rsid w:val="7B820148"/>
    <w:rsid w:val="7B821743"/>
    <w:rsid w:val="7B826E3E"/>
    <w:rsid w:val="7B847A8A"/>
    <w:rsid w:val="7B9003DA"/>
    <w:rsid w:val="7B925CCA"/>
    <w:rsid w:val="7B971FAA"/>
    <w:rsid w:val="7BA06143"/>
    <w:rsid w:val="7BB217F7"/>
    <w:rsid w:val="7BB341E4"/>
    <w:rsid w:val="7BBA7205"/>
    <w:rsid w:val="7BBC11CF"/>
    <w:rsid w:val="7BC437E7"/>
    <w:rsid w:val="7BC550AC"/>
    <w:rsid w:val="7BD01353"/>
    <w:rsid w:val="7BD63726"/>
    <w:rsid w:val="7BD7386C"/>
    <w:rsid w:val="7BD74EAB"/>
    <w:rsid w:val="7BDB29CB"/>
    <w:rsid w:val="7BDC361F"/>
    <w:rsid w:val="7BE073E4"/>
    <w:rsid w:val="7BE167A8"/>
    <w:rsid w:val="7BE552CE"/>
    <w:rsid w:val="7BE81177"/>
    <w:rsid w:val="7BED6B5B"/>
    <w:rsid w:val="7BEE15CE"/>
    <w:rsid w:val="7BF56759"/>
    <w:rsid w:val="7BF63E4B"/>
    <w:rsid w:val="7BFD23FE"/>
    <w:rsid w:val="7BFE6CF7"/>
    <w:rsid w:val="7C01687D"/>
    <w:rsid w:val="7C075514"/>
    <w:rsid w:val="7C093CE8"/>
    <w:rsid w:val="7C0D2D5B"/>
    <w:rsid w:val="7C13579D"/>
    <w:rsid w:val="7C1A5021"/>
    <w:rsid w:val="7C1B6C68"/>
    <w:rsid w:val="7C1D74D6"/>
    <w:rsid w:val="7C1F420D"/>
    <w:rsid w:val="7C2231ED"/>
    <w:rsid w:val="7C2C0C23"/>
    <w:rsid w:val="7C2E0B57"/>
    <w:rsid w:val="7C322918"/>
    <w:rsid w:val="7C3860A1"/>
    <w:rsid w:val="7C476D8C"/>
    <w:rsid w:val="7C4C190A"/>
    <w:rsid w:val="7C4C54F4"/>
    <w:rsid w:val="7C4D4FBF"/>
    <w:rsid w:val="7C4D7B2B"/>
    <w:rsid w:val="7C58594A"/>
    <w:rsid w:val="7C5D08D4"/>
    <w:rsid w:val="7C606D2C"/>
    <w:rsid w:val="7C607BBF"/>
    <w:rsid w:val="7C66281A"/>
    <w:rsid w:val="7C6756A8"/>
    <w:rsid w:val="7C7519A6"/>
    <w:rsid w:val="7C851933"/>
    <w:rsid w:val="7C8F1C48"/>
    <w:rsid w:val="7C934AB7"/>
    <w:rsid w:val="7C940EC7"/>
    <w:rsid w:val="7C9576D2"/>
    <w:rsid w:val="7C9B6EAB"/>
    <w:rsid w:val="7C9E6B26"/>
    <w:rsid w:val="7CA1331E"/>
    <w:rsid w:val="7CA3537F"/>
    <w:rsid w:val="7CAB21F2"/>
    <w:rsid w:val="7CB71255"/>
    <w:rsid w:val="7CBA2422"/>
    <w:rsid w:val="7CBB49FB"/>
    <w:rsid w:val="7CBC40B8"/>
    <w:rsid w:val="7CBC7FB2"/>
    <w:rsid w:val="7CBD52B4"/>
    <w:rsid w:val="7CCB3D06"/>
    <w:rsid w:val="7CD8605A"/>
    <w:rsid w:val="7CD9190C"/>
    <w:rsid w:val="7CDB4082"/>
    <w:rsid w:val="7CDD0A74"/>
    <w:rsid w:val="7CDF6262"/>
    <w:rsid w:val="7CE25BA9"/>
    <w:rsid w:val="7CE37367"/>
    <w:rsid w:val="7CF64FFC"/>
    <w:rsid w:val="7CFD01CF"/>
    <w:rsid w:val="7D04304C"/>
    <w:rsid w:val="7D084EF7"/>
    <w:rsid w:val="7D0959F5"/>
    <w:rsid w:val="7D0E4148"/>
    <w:rsid w:val="7D0F5EA2"/>
    <w:rsid w:val="7D161B1F"/>
    <w:rsid w:val="7D1A67B9"/>
    <w:rsid w:val="7D21073C"/>
    <w:rsid w:val="7D2210C8"/>
    <w:rsid w:val="7D2735C5"/>
    <w:rsid w:val="7D297ADB"/>
    <w:rsid w:val="7D2C4708"/>
    <w:rsid w:val="7D3803D7"/>
    <w:rsid w:val="7D397F8C"/>
    <w:rsid w:val="7D3A6C63"/>
    <w:rsid w:val="7D401A43"/>
    <w:rsid w:val="7D453719"/>
    <w:rsid w:val="7D467A78"/>
    <w:rsid w:val="7D510BF8"/>
    <w:rsid w:val="7D56072F"/>
    <w:rsid w:val="7D5C3396"/>
    <w:rsid w:val="7D5D7CCC"/>
    <w:rsid w:val="7D5E09AC"/>
    <w:rsid w:val="7D5F766E"/>
    <w:rsid w:val="7D6405A2"/>
    <w:rsid w:val="7D6513F2"/>
    <w:rsid w:val="7D6D2B6B"/>
    <w:rsid w:val="7D796099"/>
    <w:rsid w:val="7D7D743F"/>
    <w:rsid w:val="7D832D44"/>
    <w:rsid w:val="7D8711C3"/>
    <w:rsid w:val="7D887CE6"/>
    <w:rsid w:val="7D8D2BC5"/>
    <w:rsid w:val="7D922DBB"/>
    <w:rsid w:val="7DA301D8"/>
    <w:rsid w:val="7DBB33AA"/>
    <w:rsid w:val="7DBF0BB2"/>
    <w:rsid w:val="7DC42184"/>
    <w:rsid w:val="7DC93724"/>
    <w:rsid w:val="7DCC485C"/>
    <w:rsid w:val="7DCF35BA"/>
    <w:rsid w:val="7DD5372D"/>
    <w:rsid w:val="7DDE731B"/>
    <w:rsid w:val="7DDF172D"/>
    <w:rsid w:val="7DEC570F"/>
    <w:rsid w:val="7DF0341D"/>
    <w:rsid w:val="7DF7489C"/>
    <w:rsid w:val="7DF901D8"/>
    <w:rsid w:val="7DFA4C46"/>
    <w:rsid w:val="7DFD21D7"/>
    <w:rsid w:val="7E01666E"/>
    <w:rsid w:val="7E0212A1"/>
    <w:rsid w:val="7E041741"/>
    <w:rsid w:val="7E055EE1"/>
    <w:rsid w:val="7E095F97"/>
    <w:rsid w:val="7E0B4528"/>
    <w:rsid w:val="7E0B63F7"/>
    <w:rsid w:val="7E0D389A"/>
    <w:rsid w:val="7E1C5F55"/>
    <w:rsid w:val="7E217EFC"/>
    <w:rsid w:val="7E2D4218"/>
    <w:rsid w:val="7E3039CD"/>
    <w:rsid w:val="7E3E785A"/>
    <w:rsid w:val="7E3F1C43"/>
    <w:rsid w:val="7E420F5B"/>
    <w:rsid w:val="7E431F37"/>
    <w:rsid w:val="7E495B86"/>
    <w:rsid w:val="7E4A15D1"/>
    <w:rsid w:val="7E534F52"/>
    <w:rsid w:val="7E535226"/>
    <w:rsid w:val="7E57592C"/>
    <w:rsid w:val="7E584AB3"/>
    <w:rsid w:val="7E585E0E"/>
    <w:rsid w:val="7E5A5EB6"/>
    <w:rsid w:val="7E5D24BC"/>
    <w:rsid w:val="7E661A82"/>
    <w:rsid w:val="7E6D5430"/>
    <w:rsid w:val="7E6F1098"/>
    <w:rsid w:val="7E7044F2"/>
    <w:rsid w:val="7E755665"/>
    <w:rsid w:val="7E80283D"/>
    <w:rsid w:val="7E824DF6"/>
    <w:rsid w:val="7E875255"/>
    <w:rsid w:val="7E9A3766"/>
    <w:rsid w:val="7E9C4B8F"/>
    <w:rsid w:val="7E9D6726"/>
    <w:rsid w:val="7EA26653"/>
    <w:rsid w:val="7EA8467A"/>
    <w:rsid w:val="7EAE6DDB"/>
    <w:rsid w:val="7EB01205"/>
    <w:rsid w:val="7EB01FDC"/>
    <w:rsid w:val="7EB640A0"/>
    <w:rsid w:val="7EC30D6B"/>
    <w:rsid w:val="7EC31200"/>
    <w:rsid w:val="7EC63D26"/>
    <w:rsid w:val="7EC6435A"/>
    <w:rsid w:val="7ECF1E1F"/>
    <w:rsid w:val="7ECF4F2D"/>
    <w:rsid w:val="7ED33124"/>
    <w:rsid w:val="7ED523B9"/>
    <w:rsid w:val="7ED56FFA"/>
    <w:rsid w:val="7EDA3CD5"/>
    <w:rsid w:val="7EDB2F51"/>
    <w:rsid w:val="7EDB7BBE"/>
    <w:rsid w:val="7EE175A8"/>
    <w:rsid w:val="7EE17752"/>
    <w:rsid w:val="7EE93056"/>
    <w:rsid w:val="7EF14A8E"/>
    <w:rsid w:val="7EFC7B34"/>
    <w:rsid w:val="7F061002"/>
    <w:rsid w:val="7F076C05"/>
    <w:rsid w:val="7F0D062E"/>
    <w:rsid w:val="7F173B2F"/>
    <w:rsid w:val="7F1E7DC0"/>
    <w:rsid w:val="7F202CCC"/>
    <w:rsid w:val="7F207FF4"/>
    <w:rsid w:val="7F243AD8"/>
    <w:rsid w:val="7F244CB3"/>
    <w:rsid w:val="7F313DAF"/>
    <w:rsid w:val="7F3A2AF2"/>
    <w:rsid w:val="7F3C1055"/>
    <w:rsid w:val="7F3D246C"/>
    <w:rsid w:val="7F494D54"/>
    <w:rsid w:val="7F592109"/>
    <w:rsid w:val="7F5A0C56"/>
    <w:rsid w:val="7F6B1BBD"/>
    <w:rsid w:val="7F700858"/>
    <w:rsid w:val="7F737E3D"/>
    <w:rsid w:val="7F7A29D8"/>
    <w:rsid w:val="7F880C19"/>
    <w:rsid w:val="7F8828A7"/>
    <w:rsid w:val="7F8A609B"/>
    <w:rsid w:val="7F8D5082"/>
    <w:rsid w:val="7F8F6269"/>
    <w:rsid w:val="7F9A1DCB"/>
    <w:rsid w:val="7F9B093D"/>
    <w:rsid w:val="7F9C7BD2"/>
    <w:rsid w:val="7FA01878"/>
    <w:rsid w:val="7FA134F4"/>
    <w:rsid w:val="7FA237FE"/>
    <w:rsid w:val="7FA83872"/>
    <w:rsid w:val="7FAB7F3D"/>
    <w:rsid w:val="7FB15428"/>
    <w:rsid w:val="7FB56B75"/>
    <w:rsid w:val="7FB64187"/>
    <w:rsid w:val="7FC05006"/>
    <w:rsid w:val="7FC31CBC"/>
    <w:rsid w:val="7FC8224C"/>
    <w:rsid w:val="7FCA48B6"/>
    <w:rsid w:val="7FCC0473"/>
    <w:rsid w:val="7FCF19B5"/>
    <w:rsid w:val="7FD15A06"/>
    <w:rsid w:val="7FD24D80"/>
    <w:rsid w:val="7FD64829"/>
    <w:rsid w:val="7FE5421D"/>
    <w:rsid w:val="7FEE0E00"/>
    <w:rsid w:val="7FF7544F"/>
    <w:rsid w:val="7FF825AB"/>
    <w:rsid w:val="7FFD6A31"/>
    <w:rsid w:val="7FFE1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7"/>
    <w:qFormat/>
    <w:uiPriority w:val="0"/>
    <w:pPr>
      <w:jc w:val="center"/>
      <w:outlineLvl w:val="0"/>
    </w:pPr>
    <w:rPr>
      <w:rFonts w:ascii="宋体" w:hAnsi="宋体"/>
      <w:b/>
      <w:sz w:val="36"/>
    </w:rPr>
  </w:style>
  <w:style w:type="paragraph" w:styleId="3">
    <w:name w:val="heading 2"/>
    <w:basedOn w:val="1"/>
    <w:next w:val="1"/>
    <w:link w:val="217"/>
    <w:qFormat/>
    <w:uiPriority w:val="0"/>
    <w:pPr>
      <w:spacing w:line="360" w:lineRule="auto"/>
      <w:jc w:val="center"/>
      <w:outlineLvl w:val="1"/>
    </w:pPr>
    <w:rPr>
      <w:rFonts w:ascii="Arial" w:hAnsi="Arial" w:eastAsia="黑体"/>
      <w:b/>
      <w:bCs/>
      <w:kern w:val="0"/>
      <w:sz w:val="32"/>
      <w:szCs w:val="32"/>
    </w:rPr>
  </w:style>
  <w:style w:type="paragraph" w:styleId="4">
    <w:name w:val="heading 3"/>
    <w:basedOn w:val="1"/>
    <w:next w:val="1"/>
    <w:link w:val="187"/>
    <w:qFormat/>
    <w:uiPriority w:val="0"/>
    <w:pPr>
      <w:keepNext/>
      <w:keepLines/>
      <w:autoSpaceDE w:val="0"/>
      <w:autoSpaceDN w:val="0"/>
      <w:adjustRightInd w:val="0"/>
      <w:spacing w:before="360" w:after="120"/>
      <w:jc w:val="left"/>
      <w:outlineLvl w:val="2"/>
    </w:pPr>
    <w:rPr>
      <w:rFonts w:ascii="宋体"/>
      <w:b/>
      <w:sz w:val="24"/>
      <w:u w:val="single"/>
    </w:rPr>
  </w:style>
  <w:style w:type="paragraph" w:styleId="5">
    <w:name w:val="heading 4"/>
    <w:basedOn w:val="1"/>
    <w:next w:val="1"/>
    <w:link w:val="226"/>
    <w:qFormat/>
    <w:uiPriority w:val="0"/>
    <w:pPr>
      <w:keepNext/>
      <w:outlineLvl w:val="3"/>
    </w:pPr>
    <w:rPr>
      <w:color w:val="FF0000"/>
      <w:sz w:val="28"/>
      <w:u w:val="single"/>
    </w:rPr>
  </w:style>
  <w:style w:type="paragraph" w:styleId="6">
    <w:name w:val="heading 5"/>
    <w:basedOn w:val="1"/>
    <w:next w:val="1"/>
    <w:link w:val="207"/>
    <w:qFormat/>
    <w:uiPriority w:val="0"/>
    <w:pPr>
      <w:keepNext/>
      <w:keepLines/>
      <w:spacing w:before="280" w:after="290" w:line="372" w:lineRule="auto"/>
      <w:outlineLvl w:val="4"/>
    </w:pPr>
    <w:rPr>
      <w:b/>
      <w:sz w:val="28"/>
    </w:rPr>
  </w:style>
  <w:style w:type="paragraph" w:styleId="7">
    <w:name w:val="heading 6"/>
    <w:basedOn w:val="1"/>
    <w:next w:val="1"/>
    <w:link w:val="195"/>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210"/>
    <w:qFormat/>
    <w:uiPriority w:val="0"/>
    <w:pPr>
      <w:keepNext/>
      <w:keepLines/>
      <w:spacing w:before="240" w:after="64" w:line="317" w:lineRule="auto"/>
      <w:outlineLvl w:val="6"/>
    </w:pPr>
    <w:rPr>
      <w:b/>
      <w:sz w:val="24"/>
    </w:rPr>
  </w:style>
  <w:style w:type="paragraph" w:styleId="9">
    <w:name w:val="heading 8"/>
    <w:basedOn w:val="1"/>
    <w:next w:val="1"/>
    <w:link w:val="202"/>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236"/>
    <w:qFormat/>
    <w:uiPriority w:val="0"/>
    <w:pPr>
      <w:keepNext/>
      <w:keepLines/>
      <w:spacing w:before="240" w:after="64" w:line="317"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next w:val="1"/>
    <w:qFormat/>
    <w:uiPriority w:val="0"/>
    <w:pPr>
      <w:adjustRightInd w:val="0"/>
      <w:spacing w:line="312" w:lineRule="atLeast"/>
      <w:ind w:firstLine="420"/>
      <w:textAlignment w:val="baseline"/>
    </w:pPr>
    <w:rPr>
      <w:rFonts w:ascii="宋体"/>
      <w:kern w:val="0"/>
    </w:rPr>
  </w:style>
  <w:style w:type="paragraph" w:styleId="13">
    <w:name w:val="caption"/>
    <w:basedOn w:val="1"/>
    <w:next w:val="1"/>
    <w:qFormat/>
    <w:uiPriority w:val="35"/>
    <w:rPr>
      <w:rFonts w:ascii="Calibri Light" w:hAnsi="Calibri Light" w:eastAsia="黑体"/>
      <w:sz w:val="20"/>
    </w:rPr>
  </w:style>
  <w:style w:type="paragraph" w:styleId="14">
    <w:name w:val="Document Map"/>
    <w:basedOn w:val="1"/>
    <w:link w:val="213"/>
    <w:qFormat/>
    <w:uiPriority w:val="0"/>
    <w:pPr>
      <w:shd w:val="clear" w:color="auto" w:fill="000080"/>
    </w:pPr>
  </w:style>
  <w:style w:type="paragraph" w:styleId="15">
    <w:name w:val="toa heading"/>
    <w:basedOn w:val="1"/>
    <w:next w:val="1"/>
    <w:qFormat/>
    <w:uiPriority w:val="0"/>
    <w:pPr>
      <w:autoSpaceDE w:val="0"/>
      <w:autoSpaceDN w:val="0"/>
      <w:adjustRightInd w:val="0"/>
      <w:spacing w:before="120"/>
      <w:jc w:val="left"/>
    </w:pPr>
    <w:rPr>
      <w:rFonts w:ascii="Arial" w:hAnsi="Arial"/>
      <w:kern w:val="0"/>
      <w:sz w:val="24"/>
    </w:rPr>
  </w:style>
  <w:style w:type="paragraph" w:styleId="16">
    <w:name w:val="annotation text"/>
    <w:basedOn w:val="1"/>
    <w:qFormat/>
    <w:uiPriority w:val="0"/>
    <w:pPr>
      <w:jc w:val="left"/>
    </w:pPr>
  </w:style>
  <w:style w:type="paragraph" w:styleId="17">
    <w:name w:val="Salutation"/>
    <w:basedOn w:val="1"/>
    <w:next w:val="1"/>
    <w:link w:val="245"/>
    <w:qFormat/>
    <w:uiPriority w:val="99"/>
    <w:rPr>
      <w:rFonts w:ascii="Calibri" w:hAnsi="Calibri"/>
      <w:sz w:val="24"/>
    </w:rPr>
  </w:style>
  <w:style w:type="paragraph" w:styleId="18">
    <w:name w:val="Body Text 3"/>
    <w:basedOn w:val="1"/>
    <w:qFormat/>
    <w:uiPriority w:val="0"/>
    <w:pPr>
      <w:widowControl/>
      <w:ind w:right="-108"/>
    </w:pPr>
    <w:rPr>
      <w:b/>
      <w:sz w:val="24"/>
    </w:rPr>
  </w:style>
  <w:style w:type="paragraph" w:styleId="19">
    <w:name w:val="Body Text"/>
    <w:basedOn w:val="1"/>
    <w:next w:val="1"/>
    <w:link w:val="198"/>
    <w:qFormat/>
    <w:uiPriority w:val="0"/>
    <w:pPr>
      <w:jc w:val="center"/>
    </w:pPr>
  </w:style>
  <w:style w:type="paragraph" w:styleId="20">
    <w:name w:val="Body Text Indent"/>
    <w:basedOn w:val="1"/>
    <w:link w:val="182"/>
    <w:qFormat/>
    <w:uiPriority w:val="0"/>
    <w:pPr>
      <w:spacing w:after="120"/>
      <w:ind w:left="420" w:leftChars="200"/>
    </w:pPr>
    <w:rPr>
      <w:b/>
      <w:color w:val="000000"/>
      <w:kern w:val="0"/>
      <w:sz w:val="24"/>
      <w:szCs w:val="24"/>
    </w:rPr>
  </w:style>
  <w:style w:type="paragraph" w:styleId="21">
    <w:name w:val="Block Text"/>
    <w:basedOn w:val="1"/>
    <w:next w:val="22"/>
    <w:qFormat/>
    <w:uiPriority w:val="99"/>
    <w:pPr>
      <w:spacing w:after="120"/>
      <w:ind w:left="1440" w:leftChars="700" w:right="700" w:rightChars="700"/>
    </w:pPr>
  </w:style>
  <w:style w:type="paragraph" w:styleId="22">
    <w:name w:val="Plain Text"/>
    <w:basedOn w:val="1"/>
    <w:next w:val="1"/>
    <w:link w:val="218"/>
    <w:qFormat/>
    <w:uiPriority w:val="0"/>
    <w:rPr>
      <w:rFonts w:ascii="宋体" w:hAnsi="Courier New"/>
    </w:rPr>
  </w:style>
  <w:style w:type="paragraph" w:styleId="23">
    <w:name w:val="toc 3"/>
    <w:basedOn w:val="1"/>
    <w:next w:val="1"/>
    <w:qFormat/>
    <w:uiPriority w:val="0"/>
    <w:pPr>
      <w:spacing w:beforeLines="100" w:line="360" w:lineRule="auto"/>
      <w:ind w:left="480" w:firstLine="480" w:firstLineChars="200"/>
      <w:jc w:val="left"/>
    </w:pPr>
    <w:rPr>
      <w:i/>
      <w:sz w:val="24"/>
    </w:rPr>
  </w:style>
  <w:style w:type="paragraph" w:styleId="24">
    <w:name w:val="Date"/>
    <w:basedOn w:val="1"/>
    <w:next w:val="1"/>
    <w:link w:val="185"/>
    <w:qFormat/>
    <w:uiPriority w:val="0"/>
    <w:pPr>
      <w:ind w:left="100" w:leftChars="2500"/>
    </w:pPr>
  </w:style>
  <w:style w:type="paragraph" w:styleId="25">
    <w:name w:val="Body Text Indent 2"/>
    <w:basedOn w:val="1"/>
    <w:link w:val="215"/>
    <w:qFormat/>
    <w:uiPriority w:val="0"/>
    <w:pPr>
      <w:spacing w:after="120" w:line="480" w:lineRule="auto"/>
      <w:ind w:left="420" w:leftChars="200"/>
    </w:pPr>
  </w:style>
  <w:style w:type="paragraph" w:styleId="26">
    <w:name w:val="endnote text"/>
    <w:basedOn w:val="1"/>
    <w:qFormat/>
    <w:uiPriority w:val="0"/>
    <w:pPr>
      <w:snapToGrid w:val="0"/>
      <w:jc w:val="left"/>
    </w:pPr>
  </w:style>
  <w:style w:type="paragraph" w:styleId="27">
    <w:name w:val="Balloon Text"/>
    <w:basedOn w:val="1"/>
    <w:link w:val="190"/>
    <w:qFormat/>
    <w:uiPriority w:val="0"/>
    <w:rPr>
      <w:sz w:val="18"/>
    </w:rPr>
  </w:style>
  <w:style w:type="paragraph" w:styleId="28">
    <w:name w:val="footer"/>
    <w:basedOn w:val="1"/>
    <w:next w:val="19"/>
    <w:link w:val="200"/>
    <w:qFormat/>
    <w:uiPriority w:val="0"/>
    <w:pPr>
      <w:tabs>
        <w:tab w:val="center" w:pos="4153"/>
        <w:tab w:val="right" w:pos="8306"/>
      </w:tabs>
      <w:snapToGrid w:val="0"/>
      <w:jc w:val="left"/>
    </w:pPr>
    <w:rPr>
      <w:kern w:val="0"/>
      <w:sz w:val="18"/>
    </w:rPr>
  </w:style>
  <w:style w:type="paragraph" w:styleId="29">
    <w:name w:val="envelope return"/>
    <w:basedOn w:val="1"/>
    <w:qFormat/>
    <w:uiPriority w:val="0"/>
    <w:pPr>
      <w:snapToGrid w:val="0"/>
    </w:pPr>
    <w:rPr>
      <w:rFonts w:ascii="Arial" w:hAnsi="Arial"/>
    </w:rPr>
  </w:style>
  <w:style w:type="paragraph" w:styleId="30">
    <w:name w:val="header"/>
    <w:basedOn w:val="1"/>
    <w:link w:val="209"/>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widowControl/>
      <w:jc w:val="left"/>
    </w:pPr>
    <w:rPr>
      <w:kern w:val="0"/>
      <w:sz w:val="20"/>
    </w:rPr>
  </w:style>
  <w:style w:type="paragraph" w:styleId="32">
    <w:name w:val="toc 4"/>
    <w:basedOn w:val="1"/>
    <w:next w:val="1"/>
    <w:unhideWhenUsed/>
    <w:qFormat/>
    <w:uiPriority w:val="39"/>
    <w:pPr>
      <w:ind w:left="1260" w:leftChars="600"/>
    </w:pPr>
  </w:style>
  <w:style w:type="paragraph" w:styleId="33">
    <w:name w:val="Body Text Indent 3"/>
    <w:basedOn w:val="1"/>
    <w:link w:val="203"/>
    <w:qFormat/>
    <w:uiPriority w:val="0"/>
    <w:pPr>
      <w:spacing w:after="120"/>
      <w:ind w:left="420" w:leftChars="200"/>
    </w:pPr>
    <w:rPr>
      <w:sz w:val="16"/>
    </w:rPr>
  </w:style>
  <w:style w:type="paragraph" w:styleId="34">
    <w:name w:val="toc 2"/>
    <w:basedOn w:val="1"/>
    <w:next w:val="1"/>
    <w:qFormat/>
    <w:uiPriority w:val="39"/>
    <w:pPr>
      <w:spacing w:beforeLines="100" w:line="360" w:lineRule="auto"/>
      <w:ind w:left="240" w:firstLine="480" w:firstLineChars="200"/>
      <w:jc w:val="left"/>
    </w:pPr>
    <w:rPr>
      <w:smallCaps/>
      <w:sz w:val="24"/>
    </w:rPr>
  </w:style>
  <w:style w:type="paragraph" w:styleId="35">
    <w:name w:val="Body Text 2"/>
    <w:basedOn w:val="1"/>
    <w:link w:val="227"/>
    <w:qFormat/>
    <w:uiPriority w:val="0"/>
    <w:rPr>
      <w:sz w:val="30"/>
    </w:r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Title"/>
    <w:basedOn w:val="1"/>
    <w:qFormat/>
    <w:uiPriority w:val="0"/>
    <w:pPr>
      <w:spacing w:before="120" w:after="120"/>
      <w:jc w:val="center"/>
    </w:pPr>
    <w:rPr>
      <w:rFonts w:eastAsia="黑体"/>
      <w:b/>
      <w:sz w:val="32"/>
    </w:rPr>
  </w:style>
  <w:style w:type="paragraph" w:styleId="38">
    <w:name w:val="annotation subject"/>
    <w:basedOn w:val="16"/>
    <w:next w:val="16"/>
    <w:qFormat/>
    <w:uiPriority w:val="0"/>
    <w:rPr>
      <w:b/>
    </w:rPr>
  </w:style>
  <w:style w:type="paragraph" w:styleId="39">
    <w:name w:val="Body Text First Indent"/>
    <w:basedOn w:val="19"/>
    <w:next w:val="40"/>
    <w:qFormat/>
    <w:uiPriority w:val="0"/>
    <w:pPr>
      <w:spacing w:after="120"/>
      <w:ind w:firstLine="420" w:firstLineChars="100"/>
    </w:pPr>
    <w:rPr>
      <w:sz w:val="18"/>
      <w:szCs w:val="18"/>
    </w:rPr>
  </w:style>
  <w:style w:type="paragraph" w:styleId="40">
    <w:name w:val="Body Text First Indent 2"/>
    <w:basedOn w:val="20"/>
    <w:next w:val="1"/>
    <w:qFormat/>
    <w:uiPriority w:val="0"/>
    <w:pPr>
      <w:ind w:firstLine="420" w:firstLineChars="200"/>
    </w:pPr>
    <w:rPr>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b/>
    </w:rPr>
  </w:style>
  <w:style w:type="character" w:styleId="45">
    <w:name w:val="endnote reference"/>
    <w:qFormat/>
    <w:uiPriority w:val="0"/>
    <w:rPr>
      <w:vertAlign w:val="superscript"/>
    </w:rPr>
  </w:style>
  <w:style w:type="character" w:styleId="46">
    <w:name w:val="page number"/>
    <w:basedOn w:val="43"/>
    <w:qFormat/>
    <w:uiPriority w:val="0"/>
  </w:style>
  <w:style w:type="character" w:styleId="47">
    <w:name w:val="FollowedHyperlink"/>
    <w:qFormat/>
    <w:uiPriority w:val="0"/>
    <w:rPr>
      <w:color w:val="333333"/>
      <w:u w:val="none"/>
    </w:rPr>
  </w:style>
  <w:style w:type="character" w:styleId="48">
    <w:name w:val="Emphasis"/>
    <w:qFormat/>
    <w:uiPriority w:val="0"/>
  </w:style>
  <w:style w:type="character" w:styleId="49">
    <w:name w:val="HTML Definition"/>
    <w:basedOn w:val="43"/>
    <w:qFormat/>
    <w:uiPriority w:val="0"/>
    <w:rPr>
      <w:i/>
    </w:rPr>
  </w:style>
  <w:style w:type="character" w:styleId="50">
    <w:name w:val="Hyperlink"/>
    <w:basedOn w:val="43"/>
    <w:qFormat/>
    <w:uiPriority w:val="0"/>
    <w:rPr>
      <w:color w:val="333333"/>
      <w:u w:val="none"/>
    </w:rPr>
  </w:style>
  <w:style w:type="character" w:styleId="51">
    <w:name w:val="HTML Code"/>
    <w:qFormat/>
    <w:uiPriority w:val="0"/>
    <w:rPr>
      <w:rFonts w:ascii="Consolas" w:hAnsi="Consolas" w:eastAsia="Consolas" w:cs="Consolas"/>
      <w:color w:val="C7254E"/>
      <w:sz w:val="21"/>
      <w:szCs w:val="21"/>
      <w:shd w:val="clear" w:color="auto" w:fill="F9F2F4"/>
    </w:rPr>
  </w:style>
  <w:style w:type="character" w:styleId="52">
    <w:name w:val="annotation reference"/>
    <w:qFormat/>
    <w:uiPriority w:val="0"/>
    <w:rPr>
      <w:sz w:val="21"/>
    </w:rPr>
  </w:style>
  <w:style w:type="character" w:styleId="53">
    <w:name w:val="HTML Keyboard"/>
    <w:qFormat/>
    <w:uiPriority w:val="0"/>
    <w:rPr>
      <w:rFonts w:hint="default" w:ascii="Consolas" w:hAnsi="Consolas" w:eastAsia="Consolas" w:cs="Consolas"/>
      <w:color w:val="FFFFFF"/>
      <w:sz w:val="21"/>
      <w:szCs w:val="21"/>
      <w:shd w:val="clear" w:color="auto" w:fill="333333"/>
    </w:rPr>
  </w:style>
  <w:style w:type="character" w:styleId="54">
    <w:name w:val="HTML Sample"/>
    <w:qFormat/>
    <w:uiPriority w:val="0"/>
    <w:rPr>
      <w:rFonts w:hint="default" w:ascii="Consolas" w:hAnsi="Consolas" w:eastAsia="Consolas" w:cs="Consolas"/>
      <w:sz w:val="21"/>
      <w:szCs w:val="21"/>
    </w:rPr>
  </w:style>
  <w:style w:type="paragraph" w:customStyle="1" w:styleId="55">
    <w:name w:val="列出段落1"/>
    <w:basedOn w:val="1"/>
    <w:qFormat/>
    <w:uiPriority w:val="0"/>
    <w:pPr>
      <w:ind w:firstLine="420" w:firstLineChars="200"/>
    </w:pPr>
    <w:rPr>
      <w:kern w:val="0"/>
      <w:sz w:val="24"/>
    </w:rPr>
  </w:style>
  <w:style w:type="paragraph" w:customStyle="1" w:styleId="56">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57">
    <w:name w:val="Char"/>
    <w:basedOn w:val="1"/>
    <w:qFormat/>
    <w:uiPriority w:val="0"/>
    <w:pPr>
      <w:spacing w:line="360" w:lineRule="auto"/>
    </w:pPr>
    <w:rPr>
      <w:rFonts w:ascii="仿宋_GB2312" w:eastAsia="仿宋_GB2312"/>
      <w:b/>
      <w:sz w:val="32"/>
    </w:rPr>
  </w:style>
  <w:style w:type="paragraph" w:customStyle="1" w:styleId="58">
    <w:name w:val="正文A"/>
    <w:basedOn w:val="1"/>
    <w:qFormat/>
    <w:uiPriority w:val="0"/>
    <w:pPr>
      <w:adjustRightInd w:val="0"/>
      <w:snapToGrid w:val="0"/>
      <w:spacing w:line="360" w:lineRule="auto"/>
      <w:ind w:firstLine="480" w:firstLineChars="200"/>
    </w:pPr>
    <w:rPr>
      <w:rFonts w:ascii="宋体" w:hAnsi="宋体"/>
      <w:sz w:val="24"/>
    </w:rPr>
  </w:style>
  <w:style w:type="paragraph" w:customStyle="1" w:styleId="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1">
    <w:name w:val="Char3"/>
    <w:basedOn w:val="1"/>
    <w:qFormat/>
    <w:uiPriority w:val="0"/>
    <w:pPr>
      <w:widowControl/>
      <w:spacing w:after="160" w:line="240" w:lineRule="exact"/>
      <w:jc w:val="left"/>
    </w:pPr>
  </w:style>
  <w:style w:type="paragraph" w:customStyle="1" w:styleId="62">
    <w:name w:val="样式 标题 2H2l2I2 + 宋体"/>
    <w:basedOn w:val="3"/>
    <w:qFormat/>
    <w:uiPriority w:val="0"/>
    <w:pPr>
      <w:keepNext/>
      <w:keepLines/>
      <w:widowControl/>
      <w:spacing w:before="180" w:after="120"/>
      <w:ind w:left="720" w:hanging="720"/>
      <w:jc w:val="left"/>
    </w:pPr>
  </w:style>
  <w:style w:type="paragraph" w:customStyle="1" w:styleId="63">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64">
    <w:name w:val="xl33"/>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66">
    <w:name w:val="title12"/>
    <w:basedOn w:val="1"/>
    <w:qFormat/>
    <w:uiPriority w:val="0"/>
    <w:pPr>
      <w:spacing w:before="100"/>
      <w:jc w:val="left"/>
    </w:pPr>
    <w:rPr>
      <w:b/>
      <w:kern w:val="0"/>
      <w:sz w:val="15"/>
      <w:szCs w:val="15"/>
    </w:rPr>
  </w:style>
  <w:style w:type="paragraph" w:customStyle="1" w:styleId="67">
    <w:name w:val="目录"/>
    <w:basedOn w:val="1"/>
    <w:qFormat/>
    <w:uiPriority w:val="0"/>
    <w:pPr>
      <w:widowControl/>
      <w:jc w:val="center"/>
    </w:pPr>
    <w:rPr>
      <w:rFonts w:ascii="宋体"/>
      <w:b/>
      <w:kern w:val="0"/>
      <w:sz w:val="36"/>
    </w:rPr>
  </w:style>
  <w:style w:type="paragraph" w:customStyle="1" w:styleId="68">
    <w:name w:val="列表编号2"/>
    <w:basedOn w:val="69"/>
    <w:qFormat/>
    <w:uiPriority w:val="0"/>
    <w:pPr>
      <w:tabs>
        <w:tab w:val="left" w:pos="900"/>
        <w:tab w:val="left" w:pos="1588"/>
      </w:tabs>
      <w:ind w:left="1588" w:hanging="794"/>
    </w:pPr>
  </w:style>
  <w:style w:type="paragraph" w:customStyle="1" w:styleId="69">
    <w:name w:val="列表编号1"/>
    <w:basedOn w:val="1"/>
    <w:qFormat/>
    <w:uiPriority w:val="0"/>
    <w:pPr>
      <w:tabs>
        <w:tab w:val="left" w:pos="900"/>
      </w:tabs>
      <w:spacing w:beforeLines="100" w:line="360" w:lineRule="auto"/>
      <w:ind w:left="900" w:hanging="420"/>
    </w:pPr>
    <w:rPr>
      <w:sz w:val="24"/>
    </w:rPr>
  </w:style>
  <w:style w:type="paragraph" w:customStyle="1" w:styleId="70">
    <w:name w:val="正文缩进2格"/>
    <w:basedOn w:val="1"/>
    <w:link w:val="193"/>
    <w:qFormat/>
    <w:uiPriority w:val="0"/>
    <w:pPr>
      <w:spacing w:line="600" w:lineRule="exact"/>
      <w:ind w:firstLine="639" w:firstLineChars="206"/>
    </w:pPr>
    <w:rPr>
      <w:rFonts w:ascii="仿宋_GB2312" w:hAnsi="宋体" w:eastAsia="仿宋_GB2312"/>
      <w:sz w:val="31"/>
    </w:rPr>
  </w:style>
  <w:style w:type="paragraph" w:styleId="71">
    <w:name w:val="List Paragraph"/>
    <w:basedOn w:val="1"/>
    <w:qFormat/>
    <w:uiPriority w:val="0"/>
    <w:pPr>
      <w:ind w:firstLine="420" w:firstLineChars="200"/>
    </w:pPr>
    <w:rPr>
      <w:rFonts w:ascii="Calibri" w:hAnsi="Calibri"/>
      <w:sz w:val="24"/>
      <w:szCs w:val="22"/>
    </w:rPr>
  </w:style>
  <w:style w:type="paragraph" w:customStyle="1" w:styleId="72">
    <w:name w:val="正文+首行缩进2字符"/>
    <w:basedOn w:val="1"/>
    <w:qFormat/>
    <w:uiPriority w:val="0"/>
    <w:pPr>
      <w:adjustRightInd w:val="0"/>
      <w:snapToGrid w:val="0"/>
      <w:spacing w:before="100" w:beforeAutospacing="1" w:after="100" w:afterAutospacing="1"/>
    </w:pPr>
    <w:rPr>
      <w:rFonts w:ascii="宋体" w:hAnsi="宋体"/>
      <w:snapToGrid w:val="0"/>
      <w:spacing w:val="10"/>
      <w:kern w:val="0"/>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75">
    <w:name w:val="正文文本缩进 31"/>
    <w:basedOn w:val="1"/>
    <w:qFormat/>
    <w:uiPriority w:val="0"/>
    <w:pPr>
      <w:adjustRightInd w:val="0"/>
      <w:spacing w:after="240"/>
      <w:ind w:left="792" w:firstLine="480"/>
      <w:textAlignment w:val="baseline"/>
    </w:pPr>
    <w:rPr>
      <w:sz w:val="24"/>
    </w:rPr>
  </w:style>
  <w:style w:type="paragraph" w:customStyle="1" w:styleId="76">
    <w:name w:val="样式 标题 3 + 宋体"/>
    <w:basedOn w:val="4"/>
    <w:link w:val="197"/>
    <w:qFormat/>
    <w:uiPriority w:val="0"/>
    <w:pPr>
      <w:keepNext w:val="0"/>
      <w:widowControl/>
      <w:tabs>
        <w:tab w:val="left" w:pos="1080"/>
      </w:tabs>
      <w:autoSpaceDE/>
      <w:autoSpaceDN/>
      <w:adjustRightInd/>
      <w:spacing w:before="0"/>
      <w:ind w:left="1021" w:hanging="794"/>
      <w:jc w:val="both"/>
    </w:pPr>
    <w:rPr>
      <w:rFonts w:hAnsi="宋体"/>
      <w:b w:val="0"/>
      <w:snapToGrid w:val="0"/>
      <w:kern w:val="0"/>
      <w:u w:val="none"/>
    </w:rPr>
  </w:style>
  <w:style w:type="paragraph" w:customStyle="1" w:styleId="77">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78">
    <w:name w:val="页脚1"/>
    <w:basedOn w:val="1"/>
    <w:qFormat/>
    <w:uiPriority w:val="0"/>
    <w:pPr>
      <w:tabs>
        <w:tab w:val="center" w:pos="4153"/>
        <w:tab w:val="right" w:pos="8306"/>
      </w:tabs>
      <w:adjustRightInd w:val="0"/>
      <w:spacing w:line="240" w:lineRule="atLeast"/>
      <w:jc w:val="left"/>
      <w:textAlignment w:val="baseline"/>
    </w:pPr>
    <w:rPr>
      <w:sz w:val="18"/>
    </w:rPr>
  </w:style>
  <w:style w:type="paragraph" w:customStyle="1" w:styleId="79">
    <w:name w:val="toc2"/>
    <w:basedOn w:val="2"/>
    <w:qFormat/>
    <w:uiPriority w:val="0"/>
    <w:pPr>
      <w:keepNext/>
      <w:tabs>
        <w:tab w:val="left" w:pos="840"/>
      </w:tabs>
      <w:spacing w:before="240" w:after="60"/>
      <w:jc w:val="both"/>
    </w:pPr>
    <w:rPr>
      <w:rFonts w:ascii="Arial" w:hAnsi="Arial"/>
      <w:b w:val="0"/>
      <w:kern w:val="32"/>
      <w:sz w:val="22"/>
    </w:rPr>
  </w:style>
  <w:style w:type="paragraph" w:customStyle="1" w:styleId="80">
    <w:name w:val="i."/>
    <w:basedOn w:val="1"/>
    <w:qFormat/>
    <w:uiPriority w:val="0"/>
    <w:pPr>
      <w:widowControl/>
      <w:tabs>
        <w:tab w:val="left" w:pos="2041"/>
        <w:tab w:val="left" w:pos="2308"/>
      </w:tabs>
      <w:spacing w:before="60" w:after="60" w:line="264" w:lineRule="auto"/>
      <w:ind w:left="2041" w:hanging="453"/>
    </w:pPr>
    <w:rPr>
      <w:sz w:val="22"/>
    </w:rPr>
  </w:style>
  <w:style w:type="paragraph" w:customStyle="1" w:styleId="81">
    <w:name w:val="xiao b"/>
    <w:basedOn w:val="1"/>
    <w:qFormat/>
    <w:uiPriority w:val="0"/>
    <w:pPr>
      <w:jc w:val="center"/>
    </w:pPr>
    <w:rPr>
      <w:rFonts w:eastAsia="黑体"/>
      <w:sz w:val="24"/>
    </w:rPr>
  </w:style>
  <w:style w:type="paragraph" w:customStyle="1" w:styleId="82">
    <w:name w:val="表中"/>
    <w:basedOn w:val="1"/>
    <w:qFormat/>
    <w:uiPriority w:val="0"/>
    <w:pPr>
      <w:tabs>
        <w:tab w:val="left" w:pos="2619"/>
      </w:tabs>
      <w:adjustRightInd w:val="0"/>
      <w:spacing w:before="60" w:line="360" w:lineRule="auto"/>
      <w:ind w:right="26" w:rightChars="26"/>
    </w:pPr>
    <w:rPr>
      <w:rFonts w:ascii="宋体" w:hAnsi="宋体"/>
      <w:b/>
      <w:snapToGrid w:val="0"/>
      <w:kern w:val="0"/>
      <w:sz w:val="24"/>
    </w:rPr>
  </w:style>
  <w:style w:type="paragraph" w:customStyle="1" w:styleId="83">
    <w:name w:val="font9"/>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84">
    <w:name w:val="font8"/>
    <w:basedOn w:val="1"/>
    <w:qFormat/>
    <w:uiPriority w:val="0"/>
    <w:pPr>
      <w:widowControl/>
      <w:spacing w:before="100" w:beforeAutospacing="1" w:after="100" w:afterAutospacing="1"/>
      <w:jc w:val="left"/>
    </w:pPr>
    <w:rPr>
      <w:rFonts w:ascii="MS Sans Serif" w:hAnsi="MS Sans Serif"/>
      <w:color w:val="FF0000"/>
      <w:kern w:val="0"/>
      <w:sz w:val="20"/>
    </w:rPr>
  </w:style>
  <w:style w:type="paragraph" w:customStyle="1" w:styleId="85">
    <w:name w:val="tit"/>
    <w:basedOn w:val="1"/>
    <w:qFormat/>
    <w:uiPriority w:val="0"/>
    <w:pPr>
      <w:pBdr>
        <w:left w:val="single" w:color="auto" w:sz="6" w:space="4"/>
      </w:pBdr>
      <w:tabs>
        <w:tab w:val="left" w:pos="1021"/>
        <w:tab w:val="left" w:pos="5245"/>
      </w:tabs>
      <w:spacing w:before="60" w:after="60" w:line="520" w:lineRule="exact"/>
      <w:jc w:val="center"/>
    </w:pPr>
    <w:rPr>
      <w:rFonts w:ascii="Arial" w:hAnsi="Arial" w:eastAsia="仿宋_GB2312"/>
      <w:kern w:val="0"/>
    </w:rPr>
  </w:style>
  <w:style w:type="paragraph" w:customStyle="1" w:styleId="86">
    <w:name w:val="xl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7">
    <w:name w:val="列表1"/>
    <w:basedOn w:val="1"/>
    <w:qFormat/>
    <w:uiPriority w:val="0"/>
    <w:pPr>
      <w:adjustRightInd w:val="0"/>
      <w:spacing w:after="120" w:line="300" w:lineRule="auto"/>
      <w:ind w:left="2387" w:hanging="227"/>
      <w:textAlignment w:val="baseline"/>
    </w:pPr>
    <w:rPr>
      <w:rFonts w:ascii="宋体" w:hAnsi="宋体"/>
      <w:sz w:val="24"/>
    </w:rPr>
  </w:style>
  <w:style w:type="paragraph" w:customStyle="1" w:styleId="88">
    <w:name w:val="C503-正文格式"/>
    <w:basedOn w:val="1"/>
    <w:qFormat/>
    <w:uiPriority w:val="0"/>
    <w:pPr>
      <w:widowControl/>
      <w:ind w:firstLine="560" w:firstLineChars="200"/>
      <w:jc w:val="left"/>
    </w:pPr>
    <w:rPr>
      <w:rFonts w:ascii="仿宋" w:hAnsi="仿宋" w:eastAsia="仿宋" w:cs="宋体"/>
      <w:kern w:val="0"/>
    </w:rPr>
  </w:style>
  <w:style w:type="paragraph" w:customStyle="1" w:styleId="89">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0">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1">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92">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3">
    <w:name w:val="_Style 87"/>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94">
    <w:name w:val="缺省文本"/>
    <w:basedOn w:val="1"/>
    <w:qFormat/>
    <w:uiPriority w:val="0"/>
    <w:pPr>
      <w:autoSpaceDE w:val="0"/>
      <w:autoSpaceDN w:val="0"/>
      <w:adjustRightInd w:val="0"/>
      <w:jc w:val="left"/>
    </w:pPr>
    <w:rPr>
      <w:kern w:val="0"/>
      <w:sz w:val="24"/>
    </w:rPr>
  </w:style>
  <w:style w:type="paragraph" w:customStyle="1" w:styleId="95">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6">
    <w:name w:val="正文 + 宋体"/>
    <w:basedOn w:val="1"/>
    <w:qFormat/>
    <w:uiPriority w:val="0"/>
    <w:pPr>
      <w:spacing w:line="380" w:lineRule="exact"/>
      <w:jc w:val="center"/>
    </w:pPr>
    <w:rPr>
      <w:sz w:val="24"/>
      <w:szCs w:val="24"/>
    </w:rPr>
  </w:style>
  <w:style w:type="paragraph" w:customStyle="1" w:styleId="97">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98">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99">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rPr>
  </w:style>
  <w:style w:type="paragraph" w:customStyle="1" w:styleId="100">
    <w:name w:val="List Paragraph11"/>
    <w:basedOn w:val="1"/>
    <w:qFormat/>
    <w:uiPriority w:val="0"/>
    <w:pPr>
      <w:ind w:firstLine="420" w:firstLineChars="200"/>
    </w:pPr>
  </w:style>
  <w:style w:type="paragraph" w:customStyle="1" w:styleId="10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02">
    <w:name w:val="标书正文"/>
    <w:basedOn w:val="1"/>
    <w:qFormat/>
    <w:uiPriority w:val="0"/>
    <w:pPr>
      <w:adjustRightInd w:val="0"/>
      <w:spacing w:line="360" w:lineRule="auto"/>
      <w:ind w:left="840" w:hanging="840"/>
      <w:textAlignment w:val="baseline"/>
    </w:pPr>
    <w:rPr>
      <w:rFonts w:ascii="楷体_GB2312" w:eastAsia="楷体_GB2312"/>
      <w:kern w:val="0"/>
      <w:sz w:val="24"/>
    </w:rPr>
  </w:style>
  <w:style w:type="paragraph" w:customStyle="1" w:styleId="103">
    <w:name w:val="Char Char Char Char Char Char Char"/>
    <w:basedOn w:val="1"/>
    <w:qFormat/>
    <w:uiPriority w:val="0"/>
    <w:pPr>
      <w:widowControl/>
      <w:tabs>
        <w:tab w:val="left" w:pos="720"/>
      </w:tabs>
      <w:spacing w:line="360" w:lineRule="auto"/>
      <w:ind w:left="720"/>
      <w:jc w:val="left"/>
    </w:pPr>
    <w:rPr>
      <w:rFonts w:ascii="宋体"/>
      <w:kern w:val="0"/>
    </w:rPr>
  </w:style>
  <w:style w:type="paragraph" w:customStyle="1" w:styleId="104">
    <w:name w:val="无间隔1"/>
    <w:qFormat/>
    <w:uiPriority w:val="1"/>
    <w:pPr>
      <w:widowControl w:val="0"/>
      <w:spacing w:line="300" w:lineRule="auto"/>
    </w:pPr>
    <w:rPr>
      <w:rFonts w:ascii="Calibri" w:hAnsi="Calibri" w:eastAsia="宋体" w:cs="黑体"/>
      <w:kern w:val="2"/>
      <w:sz w:val="21"/>
      <w:szCs w:val="22"/>
      <w:lang w:val="en-US" w:eastAsia="zh-CN" w:bidi="ar-SA"/>
    </w:rPr>
  </w:style>
  <w:style w:type="paragraph" w:customStyle="1" w:styleId="105">
    <w:name w:val="符号参数位1级"/>
    <w:basedOn w:val="1"/>
    <w:qFormat/>
    <w:uiPriority w:val="0"/>
    <w:pPr>
      <w:tabs>
        <w:tab w:val="left" w:pos="5670"/>
      </w:tabs>
      <w:adjustRightInd w:val="0"/>
      <w:spacing w:before="60"/>
      <w:ind w:left="851" w:hanging="284"/>
      <w:jc w:val="left"/>
      <w:textAlignment w:val="baseline"/>
    </w:pPr>
    <w:rPr>
      <w:kern w:val="0"/>
      <w:sz w:val="28"/>
    </w:rPr>
  </w:style>
  <w:style w:type="paragraph" w:customStyle="1" w:styleId="10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7">
    <w:name w:val="Table Paragraph"/>
    <w:basedOn w:val="1"/>
    <w:qFormat/>
    <w:uiPriority w:val="1"/>
    <w:rPr>
      <w:rFonts w:ascii="宋体" w:hAnsi="宋体" w:cs="宋体"/>
      <w:lang w:val="zh-CN" w:bidi="zh-CN"/>
    </w:rPr>
  </w:style>
  <w:style w:type="paragraph" w:customStyle="1" w:styleId="108">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09">
    <w:name w:val="(a)items"/>
    <w:basedOn w:val="1"/>
    <w:qFormat/>
    <w:uiPriority w:val="0"/>
    <w:pPr>
      <w:tabs>
        <w:tab w:val="left" w:pos="1980"/>
      </w:tabs>
      <w:adjustRightInd w:val="0"/>
      <w:spacing w:after="240"/>
      <w:ind w:left="1980" w:leftChars="680" w:hanging="348" w:hangingChars="145"/>
      <w:textAlignment w:val="baseline"/>
    </w:pPr>
    <w:rPr>
      <w:sz w:val="24"/>
    </w:rPr>
  </w:style>
  <w:style w:type="paragraph" w:customStyle="1" w:styleId="110">
    <w:name w:val="表头"/>
    <w:basedOn w:val="1"/>
    <w:qFormat/>
    <w:uiPriority w:val="0"/>
    <w:pPr>
      <w:spacing w:beforeLines="50" w:afterLines="50"/>
      <w:ind w:right="-21" w:rightChars="-21"/>
      <w:jc w:val="center"/>
    </w:pPr>
    <w:rPr>
      <w:rFonts w:ascii="宋体"/>
      <w:b/>
      <w:sz w:val="24"/>
    </w:rPr>
  </w:style>
  <w:style w:type="paragraph" w:customStyle="1" w:styleId="111">
    <w:name w:val="Char Char Char"/>
    <w:basedOn w:val="1"/>
    <w:qFormat/>
    <w:uiPriority w:val="0"/>
    <w:rPr>
      <w:rFonts w:ascii="Tahoma" w:hAnsi="Tahoma"/>
      <w:sz w:val="24"/>
    </w:rPr>
  </w:style>
  <w:style w:type="paragraph" w:customStyle="1" w:styleId="112">
    <w:name w:val="xl32"/>
    <w:basedOn w:val="1"/>
    <w:qFormat/>
    <w:uiPriority w:val="0"/>
    <w:pPr>
      <w:widowControl/>
      <w:pBdr>
        <w:bottom w:val="single" w:color="auto" w:sz="4" w:space="0"/>
      </w:pBdr>
      <w:spacing w:before="100" w:beforeAutospacing="1" w:after="100" w:afterAutospacing="1"/>
      <w:jc w:val="center"/>
    </w:pPr>
    <w:rPr>
      <w:rFonts w:hint="eastAsia" w:ascii="宋体" w:hAnsi="宋体"/>
      <w:kern w:val="0"/>
      <w:sz w:val="24"/>
    </w:rPr>
  </w:style>
  <w:style w:type="paragraph" w:customStyle="1" w:styleId="113">
    <w:name w:val="图标题文字"/>
    <w:basedOn w:val="114"/>
    <w:qFormat/>
    <w:uiPriority w:val="0"/>
    <w:pPr>
      <w:spacing w:line="300" w:lineRule="exact"/>
      <w:jc w:val="center"/>
    </w:pPr>
    <w:rPr>
      <w:b/>
      <w:sz w:val="28"/>
    </w:rPr>
  </w:style>
  <w:style w:type="paragraph" w:customStyle="1" w:styleId="114">
    <w:name w:val="文本框文字"/>
    <w:basedOn w:val="1"/>
    <w:qFormat/>
    <w:uiPriority w:val="0"/>
    <w:pPr>
      <w:spacing w:line="280" w:lineRule="exact"/>
    </w:pPr>
  </w:style>
  <w:style w:type="paragraph" w:customStyle="1" w:styleId="115">
    <w:name w:val="title1"/>
    <w:basedOn w:val="1"/>
    <w:qFormat/>
    <w:uiPriority w:val="0"/>
    <w:pPr>
      <w:spacing w:before="100" w:line="300" w:lineRule="atLeast"/>
      <w:jc w:val="left"/>
    </w:pPr>
    <w:rPr>
      <w:b/>
      <w:kern w:val="0"/>
      <w:sz w:val="16"/>
      <w:szCs w:val="16"/>
    </w:rPr>
  </w:style>
  <w:style w:type="paragraph" w:customStyle="1" w:styleId="11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FF0000"/>
      <w:kern w:val="0"/>
      <w:sz w:val="24"/>
    </w:rPr>
  </w:style>
  <w:style w:type="paragraph" w:customStyle="1" w:styleId="11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9">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20">
    <w:name w:val="xl37"/>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21">
    <w:name w:val="table text contents"/>
    <w:basedOn w:val="122"/>
    <w:qFormat/>
    <w:uiPriority w:val="0"/>
    <w:pPr>
      <w:ind w:left="0" w:firstLine="0" w:firstLineChars="0"/>
      <w:jc w:val="center"/>
    </w:pPr>
  </w:style>
  <w:style w:type="paragraph" w:customStyle="1" w:styleId="122">
    <w:name w:val="table text"/>
    <w:basedOn w:val="1"/>
    <w:qFormat/>
    <w:uiPriority w:val="0"/>
    <w:pPr>
      <w:spacing w:line="0" w:lineRule="atLeast"/>
      <w:ind w:left="220" w:hanging="220" w:hangingChars="100"/>
    </w:pPr>
    <w:rPr>
      <w:sz w:val="22"/>
    </w:rPr>
  </w:style>
  <w:style w:type="paragraph" w:customStyle="1" w:styleId="123">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5">
    <w:name w:val="标题 2 + 楷体_GB2312"/>
    <w:basedOn w:val="3"/>
    <w:qFormat/>
    <w:uiPriority w:val="0"/>
    <w:pPr>
      <w:keepNext/>
      <w:ind w:firstLine="240" w:firstLineChars="100"/>
      <w:jc w:val="both"/>
    </w:pPr>
    <w:rPr>
      <w:rFonts w:ascii="楷体_GB2312" w:eastAsia="楷体_GB2312"/>
      <w:b w:val="0"/>
    </w:rPr>
  </w:style>
  <w:style w:type="paragraph" w:customStyle="1" w:styleId="126">
    <w:name w:val="Char1"/>
    <w:basedOn w:val="1"/>
    <w:qFormat/>
    <w:uiPriority w:val="0"/>
    <w:rPr>
      <w:szCs w:val="21"/>
    </w:rPr>
  </w:style>
  <w:style w:type="paragraph" w:customStyle="1" w:styleId="127">
    <w:name w:val="图"/>
    <w:basedOn w:val="1"/>
    <w:qFormat/>
    <w:uiPriority w:val="0"/>
    <w:pPr>
      <w:keepNext/>
      <w:spacing w:before="60" w:after="60" w:line="300" w:lineRule="auto"/>
      <w:jc w:val="center"/>
      <w:textAlignment w:val="center"/>
    </w:pPr>
    <w:rPr>
      <w:snapToGrid w:val="0"/>
      <w:spacing w:val="20"/>
      <w:sz w:val="24"/>
    </w:rPr>
  </w:style>
  <w:style w:type="paragraph" w:customStyle="1" w:styleId="128">
    <w:name w:val="样式1"/>
    <w:basedOn w:val="1"/>
    <w:qFormat/>
    <w:uiPriority w:val="0"/>
    <w:pPr>
      <w:tabs>
        <w:tab w:val="left" w:pos="425"/>
        <w:tab w:val="left" w:pos="3969"/>
      </w:tabs>
      <w:adjustRightInd w:val="0"/>
      <w:spacing w:before="120" w:line="300" w:lineRule="auto"/>
      <w:ind w:left="425" w:hanging="425"/>
      <w:jc w:val="left"/>
      <w:textAlignment w:val="baseline"/>
    </w:pPr>
    <w:rPr>
      <w:rFonts w:ascii="宋体"/>
      <w:kern w:val="0"/>
      <w:sz w:val="28"/>
    </w:rPr>
  </w:style>
  <w:style w:type="paragraph" w:customStyle="1" w:styleId="129">
    <w:name w:val="样式 标题 4 + 宋体"/>
    <w:basedOn w:val="5"/>
    <w:qFormat/>
    <w:uiPriority w:val="0"/>
    <w:pPr>
      <w:keepNext w:val="0"/>
      <w:keepLines/>
      <w:widowControl/>
      <w:spacing w:after="120"/>
      <w:ind w:left="1531" w:hanging="1077"/>
    </w:pPr>
    <w:rPr>
      <w:rFonts w:ascii="宋体" w:hAnsi="宋体"/>
      <w:color w:val="auto"/>
      <w:kern w:val="0"/>
      <w:sz w:val="24"/>
      <w:u w:val="none"/>
    </w:rPr>
  </w:style>
  <w:style w:type="paragraph" w:customStyle="1" w:styleId="130">
    <w:name w:val="多级编号 1"/>
    <w:basedOn w:val="1"/>
    <w:qFormat/>
    <w:uiPriority w:val="0"/>
    <w:pPr>
      <w:tabs>
        <w:tab w:val="left" w:pos="814"/>
      </w:tabs>
      <w:adjustRightInd w:val="0"/>
      <w:spacing w:before="120" w:line="300" w:lineRule="auto"/>
      <w:ind w:left="425" w:hanging="425"/>
      <w:jc w:val="left"/>
      <w:textAlignment w:val="baseline"/>
    </w:pPr>
    <w:rPr>
      <w:kern w:val="0"/>
      <w:position w:val="20"/>
      <w:sz w:val="28"/>
    </w:rPr>
  </w:style>
  <w:style w:type="paragraph" w:customStyle="1" w:styleId="131">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2">
    <w:name w:val="title11"/>
    <w:basedOn w:val="1"/>
    <w:qFormat/>
    <w:uiPriority w:val="0"/>
    <w:pPr>
      <w:spacing w:before="150" w:line="450" w:lineRule="atLeast"/>
      <w:jc w:val="left"/>
    </w:pPr>
    <w:rPr>
      <w:b/>
      <w:kern w:val="0"/>
      <w:sz w:val="24"/>
      <w:szCs w:val="24"/>
    </w:r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34">
    <w:name w:val="Char Char4 Char Char Char Char"/>
    <w:basedOn w:val="1"/>
    <w:qFormat/>
    <w:uiPriority w:val="0"/>
    <w:pPr>
      <w:spacing w:line="440" w:lineRule="atLeast"/>
      <w:ind w:firstLine="482" w:firstLineChars="200"/>
    </w:pPr>
    <w:rPr>
      <w:rFonts w:ascii="宋体" w:hAnsi="宋体"/>
      <w:b/>
      <w:color w:val="000000"/>
      <w:sz w:val="24"/>
    </w:rPr>
  </w:style>
  <w:style w:type="paragraph" w:customStyle="1" w:styleId="135">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6">
    <w:name w:val="正文文本缩进 21"/>
    <w:basedOn w:val="1"/>
    <w:qFormat/>
    <w:uiPriority w:val="0"/>
    <w:pPr>
      <w:adjustRightInd w:val="0"/>
      <w:spacing w:after="240"/>
      <w:ind w:left="1080" w:firstLine="480"/>
      <w:textAlignment w:val="baseline"/>
    </w:pPr>
    <w:rPr>
      <w:sz w:val="24"/>
    </w:rPr>
  </w:style>
  <w:style w:type="paragraph" w:customStyle="1" w:styleId="137">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39">
    <w:name w:val="(i)tems"/>
    <w:basedOn w:val="1"/>
    <w:qFormat/>
    <w:uiPriority w:val="0"/>
    <w:pPr>
      <w:tabs>
        <w:tab w:val="left" w:pos="360"/>
      </w:tabs>
      <w:adjustRightInd w:val="0"/>
      <w:spacing w:after="240"/>
      <w:ind w:left="360" w:hanging="360"/>
      <w:textAlignment w:val="baseline"/>
    </w:pPr>
    <w:rPr>
      <w:sz w:val="24"/>
    </w:rPr>
  </w:style>
  <w:style w:type="paragraph" w:customStyle="1" w:styleId="140">
    <w:name w:val="p0"/>
    <w:basedOn w:val="1"/>
    <w:link w:val="244"/>
    <w:qFormat/>
    <w:uiPriority w:val="0"/>
    <w:pPr>
      <w:widowControl/>
      <w:jc w:val="left"/>
    </w:pPr>
    <w:rPr>
      <w:rFonts w:ascii="Calibri" w:hAnsi="Calibri" w:cs="宋体"/>
      <w:kern w:val="0"/>
      <w:sz w:val="24"/>
      <w:szCs w:val="24"/>
    </w:rPr>
  </w:style>
  <w:style w:type="paragraph" w:customStyle="1" w:styleId="141">
    <w:name w:val="xl28"/>
    <w:basedOn w:val="1"/>
    <w:qFormat/>
    <w:uiPriority w:val="0"/>
    <w:pPr>
      <w:widowControl/>
      <w:spacing w:before="100" w:after="100"/>
      <w:jc w:val="center"/>
    </w:pPr>
    <w:rPr>
      <w:rFonts w:ascii="Arial Unicode MS" w:hAnsi="Arial Unicode MS"/>
      <w:kern w:val="0"/>
      <w:sz w:val="24"/>
    </w:rPr>
  </w:style>
  <w:style w:type="paragraph" w:customStyle="1" w:styleId="142">
    <w:name w:val="项目编号2"/>
    <w:basedOn w:val="143"/>
    <w:qFormat/>
    <w:uiPriority w:val="0"/>
    <w:pPr>
      <w:tabs>
        <w:tab w:val="left" w:pos="360"/>
        <w:tab w:val="left" w:pos="927"/>
      </w:tabs>
      <w:ind w:left="360" w:hanging="360"/>
    </w:pPr>
  </w:style>
  <w:style w:type="paragraph" w:customStyle="1" w:styleId="143">
    <w:name w:val="项目编号1"/>
    <w:basedOn w:val="1"/>
    <w:qFormat/>
    <w:uiPriority w:val="0"/>
    <w:pPr>
      <w:tabs>
        <w:tab w:val="left" w:pos="927"/>
      </w:tabs>
      <w:spacing w:beforeLines="100" w:line="360" w:lineRule="auto"/>
      <w:ind w:left="907" w:hanging="340"/>
    </w:pPr>
    <w:rPr>
      <w:sz w:val="24"/>
    </w:rPr>
  </w:style>
  <w:style w:type="paragraph" w:customStyle="1" w:styleId="144">
    <w:name w:val="基准标题"/>
    <w:basedOn w:val="19"/>
    <w:next w:val="19"/>
    <w:qFormat/>
    <w:uiPriority w:val="0"/>
    <w:pPr>
      <w:keepNext/>
      <w:keepLines/>
      <w:widowControl/>
      <w:tabs>
        <w:tab w:val="left" w:pos="2619"/>
      </w:tabs>
      <w:adjustRightInd w:val="0"/>
      <w:spacing w:before="60" w:line="240" w:lineRule="atLeast"/>
      <w:ind w:right="26" w:rightChars="26"/>
      <w:jc w:val="left"/>
    </w:pPr>
    <w:rPr>
      <w:rFonts w:ascii="Garamond" w:hAnsi="Garamond"/>
      <w:b/>
      <w:kern w:val="20"/>
    </w:rPr>
  </w:style>
  <w:style w:type="paragraph" w:customStyle="1" w:styleId="145">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rPr>
  </w:style>
  <w:style w:type="paragraph" w:customStyle="1" w:styleId="146">
    <w:name w:val="1."/>
    <w:basedOn w:val="1"/>
    <w:qFormat/>
    <w:uiPriority w:val="0"/>
    <w:pPr>
      <w:widowControl/>
      <w:tabs>
        <w:tab w:val="left" w:pos="1134"/>
      </w:tabs>
      <w:spacing w:before="60" w:after="60" w:line="264" w:lineRule="auto"/>
      <w:ind w:left="1134" w:hanging="454"/>
    </w:pPr>
    <w:rPr>
      <w:sz w:val="22"/>
    </w:rPr>
  </w:style>
  <w:style w:type="paragraph" w:customStyle="1" w:styleId="147">
    <w:name w:val="样式 标题 5 + 宋体"/>
    <w:basedOn w:val="6"/>
    <w:qFormat/>
    <w:uiPriority w:val="0"/>
    <w:pPr>
      <w:keepNext w:val="0"/>
      <w:widowControl/>
      <w:tabs>
        <w:tab w:val="left" w:pos="1800"/>
      </w:tabs>
      <w:spacing w:before="0" w:after="120" w:line="240" w:lineRule="auto"/>
      <w:ind w:left="1985" w:hanging="1305"/>
    </w:pPr>
    <w:rPr>
      <w:rFonts w:ascii="宋体" w:hAnsi="宋体"/>
      <w:b w:val="0"/>
      <w:kern w:val="0"/>
      <w:sz w:val="24"/>
    </w:rPr>
  </w:style>
  <w:style w:type="paragraph" w:customStyle="1" w:styleId="148">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149">
    <w:name w:val="正文缩进1"/>
    <w:basedOn w:val="1"/>
    <w:qFormat/>
    <w:uiPriority w:val="0"/>
    <w:pPr>
      <w:ind w:firstLine="420" w:firstLineChars="200"/>
    </w:pPr>
  </w:style>
  <w:style w:type="paragraph" w:customStyle="1" w:styleId="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
    <w:name w:val="xl35"/>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3">
    <w:name w:val="Char2"/>
    <w:basedOn w:val="14"/>
    <w:qFormat/>
    <w:uiPriority w:val="0"/>
  </w:style>
  <w:style w:type="paragraph" w:customStyle="1" w:styleId="154">
    <w:name w:val="xl36"/>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5">
    <w:name w:val="tex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56">
    <w:name w:val="comments"/>
    <w:basedOn w:val="1"/>
    <w:qFormat/>
    <w:uiPriority w:val="0"/>
    <w:pPr>
      <w:adjustRightInd w:val="0"/>
      <w:spacing w:after="100"/>
      <w:ind w:left="2340" w:leftChars="975"/>
      <w:textAlignment w:val="baseline"/>
    </w:pPr>
    <w:rPr>
      <w:sz w:val="24"/>
    </w:rPr>
  </w:style>
  <w:style w:type="paragraph" w:customStyle="1" w:styleId="157">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58">
    <w:name w:val="TESTO"/>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kern w:val="0"/>
      <w:sz w:val="22"/>
      <w:lang w:val="en-GB"/>
    </w:rPr>
  </w:style>
  <w:style w:type="paragraph" w:customStyle="1" w:styleId="15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样式 样式 MYSTY1 + 首行缩进:  2 字符 + 段前: 0.5 行 段后: 0.5 行"/>
    <w:basedOn w:val="1"/>
    <w:qFormat/>
    <w:uiPriority w:val="0"/>
    <w:pPr>
      <w:tabs>
        <w:tab w:val="left" w:pos="525"/>
      </w:tabs>
      <w:spacing w:beforeLines="50" w:afterLines="50"/>
      <w:ind w:left="420" w:hanging="420"/>
      <w:jc w:val="left"/>
    </w:pPr>
    <w:rPr>
      <w:b/>
      <w:sz w:val="24"/>
    </w:rPr>
  </w:style>
  <w:style w:type="paragraph" w:customStyle="1" w:styleId="16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4">
    <w:name w:val="xl38"/>
    <w:basedOn w:val="1"/>
    <w:qFormat/>
    <w:uiPriority w:val="0"/>
    <w:pPr>
      <w:widowControl/>
      <w:spacing w:before="100" w:beforeAutospacing="1" w:after="100" w:afterAutospacing="1"/>
      <w:jc w:val="center"/>
    </w:pPr>
    <w:rPr>
      <w:rFonts w:ascii="宋体" w:hAnsi="宋体"/>
      <w:kern w:val="0"/>
      <w:sz w:val="24"/>
    </w:rPr>
  </w:style>
  <w:style w:type="paragraph" w:customStyle="1" w:styleId="165">
    <w:name w:val="sma."/>
    <w:basedOn w:val="1"/>
    <w:qFormat/>
    <w:uiPriority w:val="0"/>
    <w:pPr>
      <w:widowControl/>
      <w:tabs>
        <w:tab w:val="left" w:pos="1588"/>
      </w:tabs>
      <w:spacing w:before="60" w:after="60" w:line="264" w:lineRule="auto"/>
      <w:ind w:left="1588" w:hanging="454"/>
    </w:pPr>
    <w:rPr>
      <w:sz w:val="22"/>
    </w:rPr>
  </w:style>
  <w:style w:type="paragraph" w:customStyle="1" w:styleId="166">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9">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7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1">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72">
    <w:name w:val="图表"/>
    <w:basedOn w:val="13"/>
    <w:qFormat/>
    <w:uiPriority w:val="0"/>
    <w:pPr>
      <w:jc w:val="center"/>
    </w:pPr>
    <w:rPr>
      <w:rFonts w:ascii="Times New Roman" w:hAnsi="Times New Roman" w:eastAsia="宋体" w:cs="宋体"/>
      <w:sz w:val="21"/>
    </w:rPr>
  </w:style>
  <w:style w:type="paragraph" w:customStyle="1" w:styleId="173">
    <w:name w:val="样式 红正文 + 首行缩进:  2 字符1"/>
    <w:basedOn w:val="1"/>
    <w:qFormat/>
    <w:uiPriority w:val="0"/>
    <w:pPr>
      <w:adjustRightInd w:val="0"/>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74">
    <w:name w:val="参数值"/>
    <w:basedOn w:val="1"/>
    <w:qFormat/>
    <w:uiPriority w:val="0"/>
    <w:pPr>
      <w:tabs>
        <w:tab w:val="left" w:pos="5670"/>
      </w:tabs>
      <w:adjustRightInd w:val="0"/>
      <w:spacing w:line="300" w:lineRule="auto"/>
      <w:ind w:left="1134"/>
      <w:textAlignment w:val="baseline"/>
    </w:pPr>
    <w:rPr>
      <w:rFonts w:ascii="宋体"/>
      <w:sz w:val="28"/>
    </w:rPr>
  </w:style>
  <w:style w:type="paragraph" w:customStyle="1" w:styleId="175">
    <w:name w:val="表头－h"/>
    <w:basedOn w:val="1"/>
    <w:next w:val="1"/>
    <w:qFormat/>
    <w:uiPriority w:val="0"/>
    <w:pPr>
      <w:keepNext/>
      <w:widowControl/>
      <w:adjustRightInd w:val="0"/>
      <w:snapToGrid w:val="0"/>
      <w:ind w:firstLine="357"/>
      <w:jc w:val="center"/>
    </w:pPr>
    <w:rPr>
      <w:rFonts w:ascii="Arial" w:hAnsi="Arial"/>
      <w:b/>
      <w:spacing w:val="4"/>
      <w:kern w:val="0"/>
      <w:sz w:val="28"/>
    </w:rPr>
  </w:style>
  <w:style w:type="paragraph" w:customStyle="1" w:styleId="176">
    <w:name w:val="_Style 19"/>
    <w:basedOn w:val="1"/>
    <w:next w:val="1"/>
    <w:qFormat/>
    <w:uiPriority w:val="0"/>
    <w:pPr>
      <w:spacing w:after="120"/>
    </w:pPr>
  </w:style>
  <w:style w:type="paragraph" w:customStyle="1" w:styleId="177">
    <w:name w:val="list closer"/>
    <w:basedOn w:val="87"/>
    <w:qFormat/>
    <w:uiPriority w:val="0"/>
    <w:pPr>
      <w:ind w:left="1200" w:leftChars="1200" w:hanging="1980" w:hangingChars="825"/>
    </w:pPr>
  </w:style>
  <w:style w:type="paragraph" w:customStyle="1" w:styleId="178">
    <w:name w:val="title13"/>
    <w:basedOn w:val="1"/>
    <w:qFormat/>
    <w:uiPriority w:val="0"/>
    <w:pPr>
      <w:spacing w:before="150"/>
      <w:jc w:val="left"/>
    </w:pPr>
    <w:rPr>
      <w:b/>
      <w:kern w:val="0"/>
      <w:sz w:val="22"/>
      <w:szCs w:val="22"/>
    </w:rPr>
  </w:style>
  <w:style w:type="paragraph" w:customStyle="1" w:styleId="17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customStyle="1" w:styleId="181">
    <w:name w:val="myp1111"/>
    <w:basedOn w:val="43"/>
    <w:qFormat/>
    <w:uiPriority w:val="0"/>
  </w:style>
  <w:style w:type="character" w:customStyle="1" w:styleId="182">
    <w:name w:val="正文文本缩进 字符"/>
    <w:link w:val="20"/>
    <w:qFormat/>
    <w:uiPriority w:val="0"/>
    <w:rPr>
      <w:rFonts w:ascii="Times New Roman" w:hAnsi="Times New Roman" w:eastAsia="宋体" w:cs="Times New Roman"/>
      <w:b/>
      <w:color w:val="000000"/>
      <w:sz w:val="24"/>
      <w:szCs w:val="24"/>
    </w:rPr>
  </w:style>
  <w:style w:type="character" w:customStyle="1" w:styleId="183">
    <w:name w:val="huei12b1"/>
    <w:qFormat/>
    <w:uiPriority w:val="0"/>
    <w:rPr>
      <w:b/>
      <w:color w:val="333333"/>
      <w:sz w:val="24"/>
    </w:rPr>
  </w:style>
  <w:style w:type="character" w:customStyle="1" w:styleId="184">
    <w:name w:val="标题 5 Char Char"/>
    <w:qFormat/>
    <w:uiPriority w:val="0"/>
    <w:rPr>
      <w:rFonts w:eastAsia="宋体"/>
      <w:b/>
      <w:kern w:val="2"/>
      <w:sz w:val="28"/>
      <w:lang w:val="en-US" w:eastAsia="zh-CN"/>
    </w:rPr>
  </w:style>
  <w:style w:type="character" w:customStyle="1" w:styleId="185">
    <w:name w:val="日期 字符"/>
    <w:link w:val="24"/>
    <w:qFormat/>
    <w:uiPriority w:val="0"/>
    <w:rPr>
      <w:kern w:val="2"/>
      <w:sz w:val="21"/>
      <w:lang w:bidi="ar-SA"/>
    </w:rPr>
  </w:style>
  <w:style w:type="character" w:customStyle="1" w:styleId="186">
    <w:name w:val="t151"/>
    <w:qFormat/>
    <w:uiPriority w:val="0"/>
    <w:rPr>
      <w:rFonts w:hint="default" w:ascii="ˎ̥" w:hAnsi="ˎ̥"/>
      <w:color w:val="B34300"/>
      <w:sz w:val="24"/>
    </w:rPr>
  </w:style>
  <w:style w:type="character" w:customStyle="1" w:styleId="187">
    <w:name w:val="标题 3 字符"/>
    <w:link w:val="4"/>
    <w:qFormat/>
    <w:uiPriority w:val="0"/>
    <w:rPr>
      <w:rFonts w:ascii="宋体" w:eastAsia="宋体"/>
      <w:b/>
      <w:kern w:val="2"/>
      <w:sz w:val="24"/>
      <w:u w:val="single"/>
      <w:lang w:val="en-US" w:eastAsia="zh-CN" w:bidi="ar-SA"/>
    </w:rPr>
  </w:style>
  <w:style w:type="character" w:customStyle="1" w:styleId="188">
    <w:name w:val="phone"/>
    <w:basedOn w:val="43"/>
    <w:qFormat/>
    <w:uiPriority w:val="0"/>
    <w:rPr>
      <w:color w:val="FF8833"/>
      <w:sz w:val="18"/>
      <w:szCs w:val="18"/>
    </w:rPr>
  </w:style>
  <w:style w:type="character" w:customStyle="1" w:styleId="189">
    <w:name w:val="number"/>
    <w:basedOn w:val="43"/>
    <w:qFormat/>
    <w:uiPriority w:val="0"/>
    <w:rPr>
      <w:color w:val="FF8833"/>
      <w:sz w:val="18"/>
      <w:szCs w:val="18"/>
    </w:rPr>
  </w:style>
  <w:style w:type="character" w:customStyle="1" w:styleId="190">
    <w:name w:val="批注框文本 字符"/>
    <w:link w:val="27"/>
    <w:qFormat/>
    <w:uiPriority w:val="0"/>
    <w:rPr>
      <w:rFonts w:eastAsia="宋体"/>
      <w:kern w:val="2"/>
      <w:sz w:val="18"/>
      <w:lang w:val="en-US" w:eastAsia="zh-CN" w:bidi="ar-SA"/>
    </w:rPr>
  </w:style>
  <w:style w:type="character" w:customStyle="1" w:styleId="191">
    <w:name w:val="纯文本 Char Char"/>
    <w:qFormat/>
    <w:uiPriority w:val="0"/>
    <w:rPr>
      <w:rFonts w:ascii="宋体" w:hAnsi="Courier New" w:eastAsia="宋体" w:cs="Courier New"/>
      <w:szCs w:val="21"/>
    </w:rPr>
  </w:style>
  <w:style w:type="character" w:customStyle="1" w:styleId="192">
    <w:name w:val="stclosebtn"/>
    <w:basedOn w:val="43"/>
    <w:qFormat/>
    <w:uiPriority w:val="0"/>
  </w:style>
  <w:style w:type="character" w:customStyle="1" w:styleId="193">
    <w:name w:val="正文缩进2格 Char Char"/>
    <w:link w:val="70"/>
    <w:qFormat/>
    <w:uiPriority w:val="0"/>
    <w:rPr>
      <w:rFonts w:ascii="仿宋_GB2312" w:hAnsi="宋体" w:eastAsia="仿宋_GB2312"/>
      <w:kern w:val="2"/>
      <w:sz w:val="31"/>
      <w:lang w:val="en-US" w:eastAsia="zh-CN" w:bidi="ar-SA"/>
    </w:rPr>
  </w:style>
  <w:style w:type="character" w:customStyle="1" w:styleId="194">
    <w:name w:val="beforeinfotext"/>
    <w:basedOn w:val="43"/>
    <w:qFormat/>
    <w:uiPriority w:val="0"/>
    <w:rPr>
      <w:color w:val="666666"/>
    </w:rPr>
  </w:style>
  <w:style w:type="character" w:customStyle="1" w:styleId="195">
    <w:name w:val="标题 6 字符"/>
    <w:link w:val="7"/>
    <w:qFormat/>
    <w:uiPriority w:val="0"/>
    <w:rPr>
      <w:rFonts w:ascii="Arial" w:hAnsi="Arial" w:eastAsia="黑体"/>
      <w:b/>
      <w:kern w:val="2"/>
      <w:sz w:val="24"/>
      <w:lang w:val="en-US" w:eastAsia="zh-CN" w:bidi="ar-SA"/>
    </w:rPr>
  </w:style>
  <w:style w:type="character" w:customStyle="1" w:styleId="196">
    <w:name w:val="old"/>
    <w:qFormat/>
    <w:uiPriority w:val="0"/>
    <w:rPr>
      <w:color w:val="999999"/>
    </w:rPr>
  </w:style>
  <w:style w:type="character" w:customStyle="1" w:styleId="197">
    <w:name w:val="样式 标题 3 + 宋体 Char Char"/>
    <w:link w:val="76"/>
    <w:qFormat/>
    <w:uiPriority w:val="0"/>
    <w:rPr>
      <w:rFonts w:ascii="宋体" w:hAnsi="宋体" w:eastAsia="宋体"/>
      <w:snapToGrid w:val="0"/>
      <w:sz w:val="24"/>
      <w:lang w:val="en-US" w:eastAsia="zh-CN" w:bidi="ar-SA"/>
    </w:rPr>
  </w:style>
  <w:style w:type="character" w:customStyle="1" w:styleId="198">
    <w:name w:val="正文文本 字符"/>
    <w:link w:val="19"/>
    <w:qFormat/>
    <w:uiPriority w:val="0"/>
    <w:rPr>
      <w:rFonts w:eastAsia="宋体"/>
      <w:kern w:val="2"/>
      <w:sz w:val="21"/>
      <w:lang w:val="en-US" w:eastAsia="zh-CN" w:bidi="ar-SA"/>
    </w:rPr>
  </w:style>
  <w:style w:type="character" w:customStyle="1" w:styleId="199">
    <w:name w:val="页眉 Char1"/>
    <w:qFormat/>
    <w:uiPriority w:val="0"/>
    <w:rPr>
      <w:rFonts w:ascii="Times New Roman" w:hAnsi="Times New Roman" w:eastAsia="宋体" w:cs="Times New Roman"/>
      <w:sz w:val="18"/>
      <w:szCs w:val="18"/>
    </w:rPr>
  </w:style>
  <w:style w:type="character" w:customStyle="1" w:styleId="200">
    <w:name w:val="页脚 字符"/>
    <w:link w:val="28"/>
    <w:qFormat/>
    <w:uiPriority w:val="0"/>
    <w:rPr>
      <w:rFonts w:ascii="Times New Roman" w:hAnsi="Times New Roman" w:eastAsia="宋体" w:cs="Times New Roman"/>
      <w:kern w:val="0"/>
      <w:sz w:val="18"/>
      <w:szCs w:val="20"/>
    </w:rPr>
  </w:style>
  <w:style w:type="character" w:customStyle="1" w:styleId="201">
    <w:name w:val="glyphicon4"/>
    <w:basedOn w:val="43"/>
    <w:qFormat/>
    <w:uiPriority w:val="0"/>
  </w:style>
  <w:style w:type="character" w:customStyle="1" w:styleId="202">
    <w:name w:val="标题 8 字符"/>
    <w:link w:val="9"/>
    <w:qFormat/>
    <w:uiPriority w:val="0"/>
    <w:rPr>
      <w:rFonts w:ascii="Arial" w:hAnsi="Arial" w:eastAsia="黑体"/>
      <w:kern w:val="2"/>
      <w:sz w:val="24"/>
      <w:lang w:val="en-US" w:eastAsia="zh-CN" w:bidi="ar-SA"/>
    </w:rPr>
  </w:style>
  <w:style w:type="character" w:customStyle="1" w:styleId="203">
    <w:name w:val="正文文本缩进 3 字符"/>
    <w:link w:val="33"/>
    <w:qFormat/>
    <w:uiPriority w:val="0"/>
    <w:rPr>
      <w:rFonts w:eastAsia="宋体"/>
      <w:kern w:val="2"/>
      <w:sz w:val="16"/>
      <w:lang w:val="en-US" w:eastAsia="zh-CN" w:bidi="ar-SA"/>
    </w:rPr>
  </w:style>
  <w:style w:type="character" w:customStyle="1" w:styleId="204">
    <w:name w:val="indent"/>
    <w:basedOn w:val="43"/>
    <w:qFormat/>
    <w:uiPriority w:val="0"/>
  </w:style>
  <w:style w:type="character" w:customStyle="1" w:styleId="205">
    <w:name w:val="button"/>
    <w:basedOn w:val="43"/>
    <w:qFormat/>
    <w:uiPriority w:val="0"/>
  </w:style>
  <w:style w:type="character" w:customStyle="1" w:styleId="206">
    <w:name w:val="Footer-Even Char Char"/>
    <w:qFormat/>
    <w:uiPriority w:val="0"/>
    <w:rPr>
      <w:rFonts w:eastAsia="宋体"/>
      <w:kern w:val="2"/>
      <w:sz w:val="18"/>
      <w:lang w:val="en-US" w:eastAsia="zh-CN" w:bidi="ar-SA"/>
    </w:rPr>
  </w:style>
  <w:style w:type="character" w:customStyle="1" w:styleId="207">
    <w:name w:val="标题 5 字符"/>
    <w:link w:val="6"/>
    <w:qFormat/>
    <w:uiPriority w:val="0"/>
    <w:rPr>
      <w:rFonts w:eastAsia="宋体"/>
      <w:b/>
      <w:kern w:val="2"/>
      <w:sz w:val="28"/>
      <w:lang w:val="en-US" w:eastAsia="zh-CN" w:bidi="ar-SA"/>
    </w:rPr>
  </w:style>
  <w:style w:type="character" w:customStyle="1" w:styleId="208">
    <w:name w:val="普通文字 Char"/>
    <w:qFormat/>
    <w:uiPriority w:val="0"/>
    <w:rPr>
      <w:rFonts w:ascii="宋体" w:hAnsi="Courier New" w:eastAsia="宋体" w:cs="Times New Roman"/>
      <w:szCs w:val="21"/>
    </w:rPr>
  </w:style>
  <w:style w:type="character" w:customStyle="1" w:styleId="209">
    <w:name w:val="页眉 字符"/>
    <w:link w:val="30"/>
    <w:qFormat/>
    <w:uiPriority w:val="0"/>
    <w:rPr>
      <w:kern w:val="2"/>
      <w:sz w:val="18"/>
      <w:lang w:bidi="ar-SA"/>
    </w:rPr>
  </w:style>
  <w:style w:type="character" w:customStyle="1" w:styleId="210">
    <w:name w:val="标题 7 字符"/>
    <w:link w:val="8"/>
    <w:qFormat/>
    <w:uiPriority w:val="0"/>
    <w:rPr>
      <w:rFonts w:eastAsia="宋体"/>
      <w:b/>
      <w:kern w:val="2"/>
      <w:sz w:val="24"/>
      <w:lang w:val="en-US" w:eastAsia="zh-CN" w:bidi="ar-SA"/>
    </w:rPr>
  </w:style>
  <w:style w:type="character" w:customStyle="1" w:styleId="211">
    <w:name w:val="日期 Char Char"/>
    <w:qFormat/>
    <w:uiPriority w:val="0"/>
    <w:rPr>
      <w:rFonts w:ascii="Times New Roman" w:hAnsi="Times New Roman" w:eastAsia="宋体" w:cs="Times New Roman"/>
      <w:b/>
      <w:sz w:val="32"/>
      <w:szCs w:val="20"/>
    </w:rPr>
  </w:style>
  <w:style w:type="character" w:customStyle="1" w:styleId="212">
    <w:name w:val="proollist"/>
    <w:basedOn w:val="43"/>
    <w:qFormat/>
    <w:uiPriority w:val="0"/>
  </w:style>
  <w:style w:type="character" w:customStyle="1" w:styleId="213">
    <w:name w:val="文档结构图 字符"/>
    <w:link w:val="14"/>
    <w:qFormat/>
    <w:uiPriority w:val="0"/>
    <w:rPr>
      <w:rFonts w:eastAsia="宋体"/>
      <w:kern w:val="2"/>
      <w:sz w:val="21"/>
      <w:lang w:val="en-US" w:eastAsia="zh-CN" w:bidi="ar-SA"/>
    </w:rPr>
  </w:style>
  <w:style w:type="character" w:customStyle="1" w:styleId="214">
    <w:name w:val="hour_pm"/>
    <w:basedOn w:val="43"/>
    <w:qFormat/>
    <w:uiPriority w:val="0"/>
  </w:style>
  <w:style w:type="character" w:customStyle="1" w:styleId="215">
    <w:name w:val="正文文本缩进 2 字符"/>
    <w:link w:val="25"/>
    <w:qFormat/>
    <w:uiPriority w:val="0"/>
    <w:rPr>
      <w:rFonts w:eastAsia="宋体"/>
      <w:kern w:val="2"/>
      <w:sz w:val="21"/>
      <w:lang w:val="en-US" w:eastAsia="zh-CN" w:bidi="ar-SA"/>
    </w:rPr>
  </w:style>
  <w:style w:type="character" w:customStyle="1" w:styleId="216">
    <w:name w:val="text1"/>
    <w:basedOn w:val="43"/>
    <w:qFormat/>
    <w:uiPriority w:val="0"/>
  </w:style>
  <w:style w:type="character" w:customStyle="1" w:styleId="217">
    <w:name w:val="标题 2 字符"/>
    <w:link w:val="3"/>
    <w:qFormat/>
    <w:uiPriority w:val="0"/>
    <w:rPr>
      <w:rFonts w:ascii="Arial" w:hAnsi="Arial" w:eastAsia="黑体" w:cs="Times New Roman"/>
      <w:b/>
      <w:bCs/>
      <w:sz w:val="32"/>
      <w:szCs w:val="32"/>
    </w:rPr>
  </w:style>
  <w:style w:type="character" w:customStyle="1" w:styleId="218">
    <w:name w:val="纯文本 字符"/>
    <w:link w:val="22"/>
    <w:qFormat/>
    <w:uiPriority w:val="0"/>
    <w:rPr>
      <w:rFonts w:ascii="宋体" w:hAnsi="Courier New" w:eastAsia="宋体"/>
      <w:kern w:val="2"/>
      <w:sz w:val="21"/>
      <w:lang w:val="en-US" w:eastAsia="zh-CN" w:bidi="ar-SA"/>
    </w:rPr>
  </w:style>
  <w:style w:type="character" w:customStyle="1" w:styleId="219">
    <w:name w:val="zi71"/>
    <w:qFormat/>
    <w:uiPriority w:val="0"/>
    <w:rPr>
      <w:color w:val="000000"/>
      <w:sz w:val="20"/>
      <w:u w:val="none"/>
    </w:rPr>
  </w:style>
  <w:style w:type="character" w:customStyle="1" w:styleId="220">
    <w:name w:val="Char Char2"/>
    <w:qFormat/>
    <w:uiPriority w:val="0"/>
    <w:rPr>
      <w:rFonts w:ascii="Arial" w:hAnsi="Arial" w:eastAsia="黑体"/>
      <w:b/>
      <w:bCs/>
      <w:kern w:val="2"/>
      <w:sz w:val="32"/>
      <w:szCs w:val="32"/>
      <w:lang w:val="en-US" w:eastAsia="zh-CN" w:bidi="ar-SA"/>
    </w:rPr>
  </w:style>
  <w:style w:type="character" w:customStyle="1" w:styleId="221">
    <w:name w:val="页眉 Char Char"/>
    <w:qFormat/>
    <w:uiPriority w:val="0"/>
    <w:rPr>
      <w:rFonts w:ascii="Times New Roman" w:hAnsi="Times New Roman" w:eastAsia="宋体" w:cs="Times New Roman"/>
      <w:sz w:val="18"/>
      <w:szCs w:val="18"/>
    </w:rPr>
  </w:style>
  <w:style w:type="character" w:customStyle="1" w:styleId="222">
    <w:name w:val="页码1"/>
    <w:qFormat/>
    <w:uiPriority w:val="0"/>
    <w:rPr>
      <w:rFonts w:hint="default" w:ascii="Times New Roman"/>
    </w:rPr>
  </w:style>
  <w:style w:type="character" w:customStyle="1" w:styleId="223">
    <w:name w:val="f141"/>
    <w:qFormat/>
    <w:uiPriority w:val="0"/>
    <w:rPr>
      <w:sz w:val="21"/>
    </w:rPr>
  </w:style>
  <w:style w:type="character" w:customStyle="1" w:styleId="224">
    <w:name w:val="hover3"/>
    <w:qFormat/>
    <w:uiPriority w:val="0"/>
    <w:rPr>
      <w:shd w:val="clear" w:color="auto" w:fill="EEEEEE"/>
    </w:rPr>
  </w:style>
  <w:style w:type="character" w:customStyle="1" w:styleId="225">
    <w:name w:val="tmpztreemove_arrow"/>
    <w:qFormat/>
    <w:uiPriority w:val="0"/>
    <w:rPr>
      <w:shd w:val="clear" w:color="auto" w:fill="FFFFFF"/>
    </w:rPr>
  </w:style>
  <w:style w:type="character" w:customStyle="1" w:styleId="226">
    <w:name w:val="标题 4 字符"/>
    <w:link w:val="5"/>
    <w:qFormat/>
    <w:uiPriority w:val="0"/>
    <w:rPr>
      <w:rFonts w:eastAsia="宋体"/>
      <w:color w:val="FF0000"/>
      <w:kern w:val="2"/>
      <w:sz w:val="28"/>
      <w:u w:val="single"/>
      <w:lang w:val="en-US" w:eastAsia="zh-CN" w:bidi="ar-SA"/>
    </w:rPr>
  </w:style>
  <w:style w:type="character" w:customStyle="1" w:styleId="227">
    <w:name w:val="正文文本 2 字符"/>
    <w:link w:val="35"/>
    <w:qFormat/>
    <w:uiPriority w:val="0"/>
    <w:rPr>
      <w:rFonts w:eastAsia="宋体"/>
      <w:kern w:val="2"/>
      <w:sz w:val="30"/>
      <w:lang w:val="en-US" w:eastAsia="zh-CN" w:bidi="ar-SA"/>
    </w:rPr>
  </w:style>
  <w:style w:type="character" w:customStyle="1" w:styleId="228">
    <w:name w:val="paramname3"/>
    <w:qFormat/>
    <w:uiPriority w:val="0"/>
    <w:rPr>
      <w:color w:val="999999"/>
    </w:rPr>
  </w:style>
  <w:style w:type="character" w:customStyle="1" w:styleId="229">
    <w:name w:val="Char Char7"/>
    <w:qFormat/>
    <w:uiPriority w:val="0"/>
    <w:rPr>
      <w:rFonts w:ascii="Times New Roman" w:hAnsi="Times New Roman" w:eastAsia="宋体"/>
    </w:rPr>
  </w:style>
  <w:style w:type="character" w:customStyle="1" w:styleId="230">
    <w:name w:val="标题 3 Char1 Char"/>
    <w:qFormat/>
    <w:uiPriority w:val="0"/>
    <w:rPr>
      <w:rFonts w:ascii="Times New Roman" w:hAnsi="Times New Roman" w:eastAsia="宋体"/>
      <w:b/>
      <w:sz w:val="32"/>
    </w:rPr>
  </w:style>
  <w:style w:type="character" w:customStyle="1" w:styleId="231">
    <w:name w:val="Heading 2 Char"/>
    <w:qFormat/>
    <w:locked/>
    <w:uiPriority w:val="0"/>
    <w:rPr>
      <w:rFonts w:ascii="Arial" w:hAnsi="Arial" w:eastAsia="黑体" w:cs="Times New Roman"/>
      <w:b/>
      <w:bCs/>
      <w:sz w:val="32"/>
      <w:szCs w:val="32"/>
    </w:rPr>
  </w:style>
  <w:style w:type="character" w:customStyle="1" w:styleId="232">
    <w:name w:val="hour_am"/>
    <w:basedOn w:val="43"/>
    <w:qFormat/>
    <w:uiPriority w:val="0"/>
  </w:style>
  <w:style w:type="character" w:customStyle="1" w:styleId="233">
    <w:name w:val="spantable1"/>
    <w:qFormat/>
    <w:uiPriority w:val="0"/>
    <w:rPr>
      <w:rFonts w:hint="default" w:ascii="ˎ̥" w:hAnsi="ˎ̥"/>
      <w:sz w:val="18"/>
    </w:rPr>
  </w:style>
  <w:style w:type="character" w:customStyle="1" w:styleId="234">
    <w:name w:val="标题 1 Char Char"/>
    <w:qFormat/>
    <w:uiPriority w:val="0"/>
    <w:rPr>
      <w:rFonts w:ascii="Times New Roman" w:hAnsi="Times New Roman" w:eastAsia="宋体" w:cs="Times New Roman"/>
      <w:b/>
      <w:bCs/>
      <w:kern w:val="44"/>
      <w:sz w:val="44"/>
      <w:szCs w:val="44"/>
    </w:rPr>
  </w:style>
  <w:style w:type="character" w:customStyle="1" w:styleId="235">
    <w:name w:val="正文文字 Char"/>
    <w:qFormat/>
    <w:uiPriority w:val="0"/>
    <w:rPr>
      <w:rFonts w:eastAsia="宋体"/>
      <w:kern w:val="2"/>
      <w:sz w:val="21"/>
      <w:lang w:val="en-US" w:eastAsia="zh-CN"/>
    </w:rPr>
  </w:style>
  <w:style w:type="character" w:customStyle="1" w:styleId="236">
    <w:name w:val="标题 9 字符"/>
    <w:link w:val="10"/>
    <w:qFormat/>
    <w:uiPriority w:val="0"/>
    <w:rPr>
      <w:rFonts w:ascii="Arial" w:hAnsi="Arial" w:eastAsia="黑体"/>
      <w:kern w:val="2"/>
      <w:sz w:val="21"/>
      <w:lang w:val="en-US" w:eastAsia="zh-CN" w:bidi="ar-SA"/>
    </w:rPr>
  </w:style>
  <w:style w:type="character" w:customStyle="1" w:styleId="237">
    <w:name w:val="标题 1 字符"/>
    <w:link w:val="2"/>
    <w:qFormat/>
    <w:uiPriority w:val="0"/>
    <w:rPr>
      <w:rFonts w:ascii="宋体" w:hAnsi="宋体" w:eastAsia="宋体"/>
      <w:b/>
      <w:kern w:val="2"/>
      <w:sz w:val="36"/>
      <w:lang w:val="en-US" w:eastAsia="zh-CN" w:bidi="ar-SA"/>
    </w:rPr>
  </w:style>
  <w:style w:type="paragraph" w:customStyle="1" w:styleId="238">
    <w:name w:val="title14"/>
    <w:basedOn w:val="1"/>
    <w:qFormat/>
    <w:uiPriority w:val="0"/>
    <w:pPr>
      <w:spacing w:before="100"/>
      <w:jc w:val="left"/>
    </w:pPr>
    <w:rPr>
      <w:b/>
      <w:kern w:val="0"/>
      <w:sz w:val="15"/>
      <w:szCs w:val="15"/>
    </w:rPr>
  </w:style>
  <w:style w:type="paragraph" w:customStyle="1" w:styleId="239">
    <w:name w:val="标题 31"/>
    <w:basedOn w:val="1"/>
    <w:next w:val="1"/>
    <w:unhideWhenUsed/>
    <w:qFormat/>
    <w:uiPriority w:val="0"/>
    <w:pPr>
      <w:keepNext/>
      <w:keepLines/>
      <w:numPr>
        <w:ilvl w:val="2"/>
        <w:numId w:val="1"/>
      </w:numPr>
      <w:spacing w:before="260" w:after="260" w:line="413" w:lineRule="auto"/>
      <w:outlineLvl w:val="2"/>
    </w:pPr>
    <w:rPr>
      <w:rFonts w:eastAsia="黑体"/>
      <w:b/>
      <w:sz w:val="36"/>
    </w:rPr>
  </w:style>
  <w:style w:type="character" w:customStyle="1" w:styleId="240">
    <w:name w:val="font171"/>
    <w:basedOn w:val="43"/>
    <w:qFormat/>
    <w:uiPriority w:val="0"/>
    <w:rPr>
      <w:rFonts w:hint="default" w:ascii="宋体-简" w:hAnsi="宋体-简" w:eastAsia="宋体-简" w:cs="宋体-简"/>
      <w:color w:val="000000"/>
      <w:sz w:val="18"/>
      <w:szCs w:val="18"/>
      <w:u w:val="none"/>
    </w:rPr>
  </w:style>
  <w:style w:type="character" w:customStyle="1" w:styleId="241">
    <w:name w:val="font131"/>
    <w:basedOn w:val="43"/>
    <w:qFormat/>
    <w:uiPriority w:val="0"/>
    <w:rPr>
      <w:rFonts w:ascii="Calibri" w:hAnsi="Calibri" w:cs="Calibri"/>
      <w:color w:val="000000"/>
      <w:sz w:val="18"/>
      <w:szCs w:val="18"/>
      <w:u w:val="none"/>
    </w:rPr>
  </w:style>
  <w:style w:type="paragraph" w:customStyle="1" w:styleId="242">
    <w:name w:val="正文 New"/>
    <w:qFormat/>
    <w:uiPriority w:val="99"/>
    <w:pPr>
      <w:widowControl w:val="0"/>
      <w:jc w:val="both"/>
    </w:pPr>
    <w:rPr>
      <w:rFonts w:ascii="Calibri" w:hAnsi="Calibri" w:eastAsia="宋体" w:cs="Times New Roman"/>
      <w:lang w:val="en-US" w:eastAsia="zh-CN" w:bidi="ar-SA"/>
    </w:rPr>
  </w:style>
  <w:style w:type="character" w:customStyle="1" w:styleId="243">
    <w:name w:val="NormalCharacter"/>
    <w:qFormat/>
    <w:uiPriority w:val="0"/>
    <w:rPr>
      <w:rFonts w:ascii="Times New Roman" w:hAnsi="Times New Roman" w:eastAsia="宋体"/>
    </w:rPr>
  </w:style>
  <w:style w:type="character" w:customStyle="1" w:styleId="244">
    <w:name w:val="p0 Char"/>
    <w:link w:val="140"/>
    <w:qFormat/>
    <w:uiPriority w:val="0"/>
    <w:rPr>
      <w:rFonts w:ascii="Calibri" w:hAnsi="Calibri" w:cs="宋体"/>
      <w:sz w:val="24"/>
      <w:szCs w:val="24"/>
    </w:rPr>
  </w:style>
  <w:style w:type="character" w:customStyle="1" w:styleId="245">
    <w:name w:val="称呼 字符"/>
    <w:basedOn w:val="43"/>
    <w:link w:val="17"/>
    <w:qFormat/>
    <w:uiPriority w:val="99"/>
    <w:rPr>
      <w:rFonts w:ascii="Calibri" w:hAnsi="Calibri"/>
      <w:kern w:val="2"/>
      <w:sz w:val="24"/>
    </w:rPr>
  </w:style>
  <w:style w:type="character" w:customStyle="1" w:styleId="246">
    <w:name w:val="font31"/>
    <w:basedOn w:val="43"/>
    <w:qFormat/>
    <w:uiPriority w:val="0"/>
    <w:rPr>
      <w:rFonts w:hint="eastAsia" w:ascii="仿宋" w:hAnsi="仿宋" w:eastAsia="仿宋" w:cs="仿宋"/>
      <w:b/>
      <w:bCs/>
      <w:color w:val="000000"/>
      <w:sz w:val="24"/>
      <w:szCs w:val="24"/>
      <w:u w:val="none"/>
    </w:rPr>
  </w:style>
  <w:style w:type="paragraph" w:customStyle="1" w:styleId="247">
    <w:name w:val="首行缩进"/>
    <w:basedOn w:val="1"/>
    <w:qFormat/>
    <w:uiPriority w:val="0"/>
    <w:pPr>
      <w:spacing w:line="360" w:lineRule="auto"/>
      <w:ind w:firstLine="480" w:firstLineChars="200"/>
    </w:pPr>
    <w:rPr>
      <w:sz w:val="24"/>
      <w:lang w:val="zh-CN"/>
    </w:rPr>
  </w:style>
  <w:style w:type="paragraph" w:customStyle="1" w:styleId="248">
    <w:name w:val="List 2"/>
    <w:basedOn w:val="1"/>
    <w:qFormat/>
    <w:uiPriority w:val="0"/>
    <w:pPr>
      <w:ind w:left="100" w:leftChars="200" w:hanging="200" w:hangingChars="200"/>
    </w:pPr>
  </w:style>
  <w:style w:type="paragraph" w:customStyle="1" w:styleId="249">
    <w:name w:val="Table Text"/>
    <w:basedOn w:val="1"/>
    <w:semiHidden/>
    <w:qFormat/>
    <w:uiPriority w:val="0"/>
    <w:rPr>
      <w:rFonts w:ascii="宋体" w:hAnsi="宋体" w:eastAsia="宋体" w:cs="宋体"/>
      <w:sz w:val="21"/>
      <w:szCs w:val="21"/>
      <w:lang w:val="en-US" w:eastAsia="en-US" w:bidi="ar-SA"/>
    </w:rPr>
  </w:style>
  <w:style w:type="paragraph" w:customStyle="1" w:styleId="25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24242</Words>
  <Characters>25795</Characters>
  <Lines>339</Lines>
  <Paragraphs>95</Paragraphs>
  <TotalTime>83</TotalTime>
  <ScaleCrop>false</ScaleCrop>
  <LinksUpToDate>false</LinksUpToDate>
  <CharactersWithSpaces>27922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2013-07-11T02:47:00Z</dcterms:created>
  <dc:creator>微软用户</dc:creator>
  <cp:lastModifiedBy>soul</cp:lastModifiedBy>
  <cp:lastPrinted>2022-09-23T00:40:00Z</cp:lastPrinted>
  <dcterms:modified xsi:type="dcterms:W3CDTF">2025-06-26T06:57:26Z</dcterms:modified>
  <dc:title>招标编号：SXLHZB2009-124</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19C3642863254AC7ADCD7B8D607E0B9B_13</vt:lpwstr>
  </property>
  <property fmtid="{D5CDD505-2E9C-101B-9397-08002B2CF9AE}" pid="4" name="KSOTemplateDocerSaveRecord">
    <vt:lpwstr>eyJoZGlkIjoiYjExMTI1OTkzMzZjM2E4ZjhjZTFjYjIwZjY5NjUzOTgiLCJ1c2VySWQiOiIzMjUzMDc2MzkifQ==</vt:lpwstr>
  </property>
</Properties>
</file>