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1C947">
      <w:pPr>
        <w:pStyle w:val="19"/>
        <w:ind w:right="-313" w:rightChars="-149" w:firstLine="3570" w:firstLineChars="1700"/>
        <w:jc w:val="right"/>
        <w:rPr>
          <w:rFonts w:ascii="楷体" w:hAnsi="楷体" w:eastAsia="楷体" w:cs="楷体"/>
          <w:b/>
          <w:bCs/>
          <w:color w:val="000000" w:themeColor="text1"/>
          <w:sz w:val="36"/>
          <w:szCs w:val="36"/>
          <w14:textFill>
            <w14:solidFill>
              <w14:schemeClr w14:val="tx1"/>
            </w14:solidFill>
          </w14:textFill>
        </w:rPr>
      </w:pPr>
      <w:r>
        <w:rPr>
          <w:rFonts w:ascii="黑体" w:hAnsi="黑体" w:eastAsia="黑体" w:cs="黑体"/>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-1154430</wp:posOffset>
            </wp:positionH>
            <wp:positionV relativeFrom="paragraph">
              <wp:posOffset>-374015</wp:posOffset>
            </wp:positionV>
            <wp:extent cx="7522845" cy="10618470"/>
            <wp:effectExtent l="0" t="0" r="1905" b="0"/>
            <wp:wrapNone/>
            <wp:docPr id="511321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21348"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522907" cy="10618470"/>
                    </a:xfrm>
                    <a:prstGeom prst="rect">
                      <a:avLst/>
                    </a:prstGeom>
                    <a:noFill/>
                    <a:ln>
                      <a:noFill/>
                    </a:ln>
                  </pic:spPr>
                </pic:pic>
              </a:graphicData>
            </a:graphic>
          </wp:anchor>
        </w:drawing>
      </w:r>
      <w:r>
        <w:rPr>
          <w:rFonts w:hint="eastAsia" w:ascii="黑体" w:hAnsi="黑体" w:eastAsia="黑体" w:cs="黑体"/>
          <w:b/>
          <w:color w:val="000000" w:themeColor="text1"/>
          <w:sz w:val="40"/>
          <w:szCs w:val="40"/>
          <w:bdr w:val="single" w:color="auto" w:sz="4" w:space="0"/>
          <w:shd w:val="pct10" w:color="auto" w:fill="FFFFFF"/>
          <w14:textFill>
            <w14:solidFill>
              <w14:schemeClr w14:val="tx1"/>
            </w14:solidFill>
          </w14:textFill>
        </w:rPr>
        <w:t>政府采购</w:t>
      </w:r>
    </w:p>
    <w:p w14:paraId="0DF87B64">
      <w:pPr>
        <w:jc w:val="center"/>
        <w:rPr>
          <w:rFonts w:hint="eastAsia" w:ascii="黑体" w:hAnsi="黑体" w:eastAsia="黑体" w:cs="黑体"/>
          <w:b/>
          <w:bCs/>
          <w:color w:val="000000" w:themeColor="text1"/>
          <w:sz w:val="48"/>
          <w:szCs w:val="48"/>
          <w:lang w:val="en-US" w:eastAsia="zh-CN"/>
          <w14:textFill>
            <w14:solidFill>
              <w14:schemeClr w14:val="tx1"/>
            </w14:solidFill>
          </w14:textFill>
        </w:rPr>
      </w:pPr>
      <w:r>
        <w:rPr>
          <w:rFonts w:hint="eastAsia" w:ascii="黑体" w:hAnsi="黑体" w:eastAsia="黑体" w:cs="黑体"/>
          <w:b/>
          <w:bCs/>
          <w:color w:val="000000" w:themeColor="text1"/>
          <w:sz w:val="48"/>
          <w:szCs w:val="48"/>
          <w:lang w:val="en-US" w:eastAsia="zh-CN"/>
          <w14:textFill>
            <w14:solidFill>
              <w14:schemeClr w14:val="tx1"/>
            </w14:solidFill>
          </w14:textFill>
        </w:rPr>
        <w:t>南郑区学校蔬菜、辅料等食材配送服务</w:t>
      </w:r>
    </w:p>
    <w:p w14:paraId="0B06703A">
      <w:pPr>
        <w:jc w:val="center"/>
        <w:rPr>
          <w:rFonts w:hint="eastAsia" w:ascii="黑体" w:hAnsi="黑体" w:eastAsia="黑体" w:cs="黑体"/>
          <w:b/>
          <w:bCs/>
          <w:color w:val="000000" w:themeColor="text1"/>
          <w:sz w:val="48"/>
          <w:szCs w:val="48"/>
          <w:lang w:val="en-US" w:eastAsia="zh-CN"/>
          <w14:textFill>
            <w14:solidFill>
              <w14:schemeClr w14:val="tx1"/>
            </w14:solidFill>
          </w14:textFill>
        </w:rPr>
      </w:pPr>
      <w:r>
        <w:rPr>
          <w:rFonts w:hint="eastAsia" w:ascii="黑体" w:hAnsi="黑体" w:eastAsia="黑体" w:cs="黑体"/>
          <w:b/>
          <w:bCs/>
          <w:color w:val="000000" w:themeColor="text1"/>
          <w:sz w:val="48"/>
          <w:szCs w:val="48"/>
          <w:lang w:val="en-US" w:eastAsia="zh-CN"/>
          <w14:textFill>
            <w14:solidFill>
              <w14:schemeClr w14:val="tx1"/>
            </w14:solidFill>
          </w14:textFill>
        </w:rPr>
        <w:t>采购项目（三次）</w:t>
      </w:r>
    </w:p>
    <w:p w14:paraId="45C41E0C">
      <w:pPr>
        <w:jc w:val="center"/>
        <w:rPr>
          <w:rFonts w:hint="default" w:ascii="黑体" w:hAnsi="黑体" w:eastAsia="黑体" w:cs="黑体"/>
          <w:b/>
          <w:bCs/>
          <w:color w:val="000000" w:themeColor="text1"/>
          <w:sz w:val="48"/>
          <w:szCs w:val="48"/>
          <w:lang w:val="en-US" w:eastAsia="zh-CN"/>
          <w14:textFill>
            <w14:solidFill>
              <w14:schemeClr w14:val="tx1"/>
            </w14:solidFill>
          </w14:textFill>
        </w:rPr>
      </w:pPr>
      <w:r>
        <w:rPr>
          <w:rFonts w:hint="eastAsia" w:ascii="黑体" w:hAnsi="黑体" w:eastAsia="黑体" w:cs="黑体"/>
          <w:b/>
          <w:bCs/>
          <w:color w:val="000000" w:themeColor="text1"/>
          <w:sz w:val="48"/>
          <w:szCs w:val="48"/>
          <w:lang w:val="en-US" w:eastAsia="zh-CN"/>
          <w14:textFill>
            <w14:solidFill>
              <w14:schemeClr w14:val="tx1"/>
            </w14:solidFill>
          </w14:textFill>
        </w:rPr>
        <w:t>合同包2</w:t>
      </w:r>
    </w:p>
    <w:p w14:paraId="5926C14F">
      <w:pPr>
        <w:pStyle w:val="19"/>
        <w:rPr>
          <w:rFonts w:hint="eastAsia" w:ascii="黑体" w:hAnsi="黑体" w:eastAsia="黑体" w:cs="黑体"/>
          <w:color w:val="000000" w:themeColor="text1"/>
          <w:sz w:val="22"/>
          <w:szCs w:val="21"/>
          <w14:textFill>
            <w14:solidFill>
              <w14:schemeClr w14:val="tx1"/>
            </w14:solidFill>
          </w14:textFill>
        </w:rPr>
      </w:pPr>
    </w:p>
    <w:p w14:paraId="35DDF870">
      <w:pPr>
        <w:pStyle w:val="19"/>
        <w:rPr>
          <w:rFonts w:hint="eastAsia" w:ascii="黑体" w:hAnsi="黑体" w:eastAsia="黑体" w:cs="黑体"/>
          <w:color w:val="000000" w:themeColor="text1"/>
          <w:sz w:val="22"/>
          <w:szCs w:val="21"/>
          <w14:textFill>
            <w14:solidFill>
              <w14:schemeClr w14:val="tx1"/>
            </w14:solidFill>
          </w14:textFill>
        </w:rPr>
      </w:pPr>
    </w:p>
    <w:p w14:paraId="03117D1D">
      <w:pPr>
        <w:pStyle w:val="19"/>
        <w:jc w:val="both"/>
        <w:rPr>
          <w:rFonts w:hint="eastAsia" w:ascii="黑体" w:hAnsi="黑体" w:eastAsia="黑体" w:cs="黑体"/>
          <w:color w:val="000000" w:themeColor="text1"/>
          <w:sz w:val="22"/>
          <w:szCs w:val="21"/>
          <w14:textFill>
            <w14:solidFill>
              <w14:schemeClr w14:val="tx1"/>
            </w14:solidFill>
          </w14:textFill>
        </w:rPr>
      </w:pPr>
    </w:p>
    <w:p w14:paraId="75AE38D7">
      <w:pPr>
        <w:pStyle w:val="19"/>
        <w:rPr>
          <w:rFonts w:hint="eastAsia" w:ascii="黑体" w:hAnsi="黑体" w:eastAsia="黑体" w:cs="黑体"/>
          <w:color w:val="000000" w:themeColor="text1"/>
          <w:sz w:val="22"/>
          <w:szCs w:val="21"/>
          <w14:textFill>
            <w14:solidFill>
              <w14:schemeClr w14:val="tx1"/>
            </w14:solidFill>
          </w14:textFill>
        </w:rPr>
      </w:pPr>
    </w:p>
    <w:p w14:paraId="4D33DD8E">
      <w:pPr>
        <w:ind w:firstLine="3132" w:firstLineChars="600"/>
        <w:jc w:val="both"/>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招标文件</w:t>
      </w:r>
    </w:p>
    <w:p w14:paraId="19F743CB">
      <w:pPr>
        <w:jc w:val="center"/>
        <w:rPr>
          <w:rFonts w:hint="eastAsia" w:ascii="黑体" w:hAnsi="黑体" w:eastAsia="黑体" w:cs="黑体"/>
          <w:b/>
          <w:bCs/>
          <w:color w:val="000000" w:themeColor="text1"/>
          <w:sz w:val="24"/>
          <w:szCs w:val="24"/>
          <w14:textFill>
            <w14:solidFill>
              <w14:schemeClr w14:val="tx1"/>
            </w14:solidFill>
          </w14:textFill>
        </w:rPr>
      </w:pPr>
    </w:p>
    <w:p w14:paraId="78DC79A9">
      <w:pPr>
        <w:pStyle w:val="1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drawing>
          <wp:inline distT="0" distB="0" distL="0" distR="0">
            <wp:extent cx="1560830" cy="1446530"/>
            <wp:effectExtent l="0" t="0" r="1270" b="1270"/>
            <wp:docPr id="1" name="图片 10" descr="b86a286d4814efb58eaea584a9cc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b86a286d4814efb58eaea584a9ccf5d"/>
                    <pic:cNvPicPr>
                      <a:picLocks noChangeAspect="1" noChangeArrowheads="1"/>
                    </pic:cNvPicPr>
                  </pic:nvPicPr>
                  <pic:blipFill>
                    <a:blip r:embed="rId9"/>
                    <a:srcRect/>
                    <a:stretch>
                      <a:fillRect/>
                    </a:stretch>
                  </pic:blipFill>
                  <pic:spPr>
                    <a:xfrm>
                      <a:off x="0" y="0"/>
                      <a:ext cx="1560830" cy="1446530"/>
                    </a:xfrm>
                    <a:prstGeom prst="rect">
                      <a:avLst/>
                    </a:prstGeom>
                    <a:noFill/>
                    <a:ln w="9525">
                      <a:noFill/>
                      <a:miter lim="800000"/>
                      <a:headEnd/>
                      <a:tailEnd/>
                    </a:ln>
                  </pic:spPr>
                </pic:pic>
              </a:graphicData>
            </a:graphic>
          </wp:inline>
        </w:drawing>
      </w:r>
    </w:p>
    <w:p w14:paraId="1E854202">
      <w:pPr>
        <w:rPr>
          <w:rFonts w:hint="eastAsia" w:ascii="黑体" w:hAnsi="黑体" w:eastAsia="黑体" w:cs="黑体"/>
          <w:color w:val="000000" w:themeColor="text1"/>
          <w14:textFill>
            <w14:solidFill>
              <w14:schemeClr w14:val="tx1"/>
            </w14:solidFill>
          </w14:textFill>
        </w:rPr>
      </w:pPr>
    </w:p>
    <w:p w14:paraId="5AA53EDD">
      <w:pPr>
        <w:pStyle w:val="57"/>
        <w:rPr>
          <w:rFonts w:hint="eastAsia" w:ascii="黑体" w:hAnsi="黑体" w:eastAsia="黑体" w:cs="黑体"/>
          <w:color w:val="000000" w:themeColor="text1"/>
          <w14:textFill>
            <w14:solidFill>
              <w14:schemeClr w14:val="tx1"/>
            </w14:solidFill>
          </w14:textFill>
        </w:rPr>
      </w:pPr>
    </w:p>
    <w:p w14:paraId="727F9A8B">
      <w:pPr>
        <w:spacing w:line="720" w:lineRule="auto"/>
        <w:ind w:right="105" w:firstLine="803" w:firstLineChars="200"/>
        <w:rPr>
          <w:rFonts w:hint="eastAsia" w:ascii="黑体" w:hAnsi="黑体" w:eastAsia="黑体" w:cs="黑体"/>
          <w:b/>
          <w:color w:val="000000" w:themeColor="text1"/>
          <w:sz w:val="40"/>
          <w:szCs w:val="44"/>
          <w14:textFill>
            <w14:solidFill>
              <w14:schemeClr w14:val="tx1"/>
            </w14:solidFill>
          </w14:textFill>
        </w:rPr>
      </w:pPr>
    </w:p>
    <w:p w14:paraId="28028647">
      <w:pPr>
        <w:spacing w:line="720" w:lineRule="auto"/>
        <w:ind w:right="105" w:firstLine="803" w:firstLineChars="200"/>
        <w:rPr>
          <w:rFonts w:hint="eastAsia" w:ascii="黑体" w:hAnsi="黑体" w:eastAsia="黑体" w:cs="黑体"/>
          <w:b/>
          <w:color w:val="000000" w:themeColor="text1"/>
          <w:sz w:val="40"/>
          <w:szCs w:val="44"/>
          <w:lang w:eastAsia="zh-CN"/>
          <w14:textFill>
            <w14:solidFill>
              <w14:schemeClr w14:val="tx1"/>
            </w14:solidFill>
          </w14:textFill>
        </w:rPr>
      </w:pPr>
      <w:r>
        <w:rPr>
          <w:rFonts w:hint="eastAsia" w:ascii="黑体" w:hAnsi="黑体" w:eastAsia="黑体" w:cs="黑体"/>
          <w:b/>
          <w:color w:val="000000" w:themeColor="text1"/>
          <w:sz w:val="40"/>
          <w:szCs w:val="44"/>
          <w14:textFill>
            <w14:solidFill>
              <w14:schemeClr w14:val="tx1"/>
            </w14:solidFill>
          </w14:textFill>
        </w:rPr>
        <w:t>项目编号：</w:t>
      </w:r>
      <w:r>
        <w:rPr>
          <w:rFonts w:hint="eastAsia" w:ascii="黑体" w:hAnsi="黑体" w:eastAsia="黑体" w:cs="黑体"/>
          <w:b/>
          <w:color w:val="000000" w:themeColor="text1"/>
          <w:sz w:val="40"/>
          <w:szCs w:val="44"/>
          <w:lang w:eastAsia="zh-CN"/>
          <w14:textFill>
            <w14:solidFill>
              <w14:schemeClr w14:val="tx1"/>
            </w14:solidFill>
          </w14:textFill>
        </w:rPr>
        <w:t>TZZB-HZ-2025078C-3</w:t>
      </w:r>
    </w:p>
    <w:p w14:paraId="74940884">
      <w:pPr>
        <w:pStyle w:val="178"/>
        <w:widowControl/>
        <w:spacing w:before="0"/>
        <w:ind w:firstLine="803" w:firstLineChars="200"/>
        <w:rPr>
          <w:rFonts w:hint="eastAsia" w:ascii="黑体" w:hAnsi="黑体" w:eastAsia="黑体" w:cs="黑体"/>
          <w:color w:val="000000" w:themeColor="text1"/>
          <w:kern w:val="2"/>
          <w:sz w:val="40"/>
          <w:szCs w:val="44"/>
          <w:lang w:eastAsia="zh-CN"/>
          <w14:textFill>
            <w14:solidFill>
              <w14:schemeClr w14:val="tx1"/>
            </w14:solidFill>
          </w14:textFill>
        </w:rPr>
      </w:pPr>
      <w:r>
        <w:rPr>
          <w:rFonts w:hint="eastAsia" w:ascii="黑体" w:hAnsi="黑体" w:eastAsia="黑体" w:cs="黑体"/>
          <w:color w:val="000000" w:themeColor="text1"/>
          <w:kern w:val="2"/>
          <w:sz w:val="40"/>
          <w:szCs w:val="44"/>
          <w14:textFill>
            <w14:solidFill>
              <w14:schemeClr w14:val="tx1"/>
            </w14:solidFill>
          </w14:textFill>
        </w:rPr>
        <w:t>采购人：</w:t>
      </w:r>
      <w:r>
        <w:rPr>
          <w:rFonts w:hint="eastAsia" w:ascii="黑体" w:hAnsi="黑体" w:eastAsia="黑体" w:cs="黑体"/>
          <w:color w:val="000000" w:themeColor="text1"/>
          <w:kern w:val="2"/>
          <w:sz w:val="40"/>
          <w:szCs w:val="44"/>
          <w:lang w:eastAsia="zh-CN"/>
          <w14:textFill>
            <w14:solidFill>
              <w14:schemeClr w14:val="tx1"/>
            </w14:solidFill>
          </w14:textFill>
        </w:rPr>
        <w:t>汉中市南郑区教育体育局</w:t>
      </w:r>
    </w:p>
    <w:p w14:paraId="513DE918">
      <w:pPr>
        <w:spacing w:line="720" w:lineRule="auto"/>
        <w:ind w:right="105" w:firstLine="803" w:firstLineChars="200"/>
        <w:rPr>
          <w:rFonts w:hint="eastAsia" w:ascii="黑体" w:hAnsi="黑体" w:eastAsia="黑体" w:cs="黑体"/>
          <w:b/>
          <w:color w:val="000000" w:themeColor="text1"/>
          <w:sz w:val="40"/>
          <w:szCs w:val="44"/>
          <w14:textFill>
            <w14:solidFill>
              <w14:schemeClr w14:val="tx1"/>
            </w14:solidFill>
          </w14:textFill>
        </w:rPr>
      </w:pPr>
      <w:r>
        <w:rPr>
          <w:rFonts w:hint="eastAsia" w:ascii="黑体" w:hAnsi="黑体" w:eastAsia="黑体" w:cs="黑体"/>
          <w:b/>
          <w:color w:val="000000" w:themeColor="text1"/>
          <w:sz w:val="40"/>
          <w:szCs w:val="44"/>
          <w14:textFill>
            <w14:solidFill>
              <w14:schemeClr w14:val="tx1"/>
            </w14:solidFill>
          </w14:textFill>
        </w:rPr>
        <w:t>采购代理机构：同正项目管理有限公司</w:t>
      </w:r>
    </w:p>
    <w:p w14:paraId="2DBAADBD">
      <w:pPr>
        <w:spacing w:line="720" w:lineRule="auto"/>
        <w:ind w:right="105"/>
        <w:rPr>
          <w:rFonts w:hint="eastAsia" w:ascii="黑体" w:hAnsi="黑体" w:eastAsia="黑体" w:cs="黑体"/>
          <w:bCs/>
          <w:color w:val="000000" w:themeColor="text1"/>
          <w:sz w:val="44"/>
          <w:szCs w:val="48"/>
          <w14:textFill>
            <w14:solidFill>
              <w14:schemeClr w14:val="tx1"/>
            </w14:solidFill>
          </w14:textFill>
        </w:rPr>
      </w:pPr>
      <w:r>
        <w:rPr>
          <w:rFonts w:hint="eastAsia" w:ascii="黑体" w:hAnsi="黑体" w:eastAsia="黑体" w:cs="黑体"/>
          <w:b/>
          <w:color w:val="000000" w:themeColor="text1"/>
          <w:sz w:val="40"/>
          <w:szCs w:val="44"/>
          <w14:textFill>
            <w14:solidFill>
              <w14:schemeClr w14:val="tx1"/>
            </w14:solidFill>
          </w14:textFill>
        </w:rPr>
        <w:t xml:space="preserve">              二〇二</w:t>
      </w:r>
      <w:r>
        <w:rPr>
          <w:rFonts w:hint="eastAsia" w:ascii="黑体" w:hAnsi="黑体" w:eastAsia="黑体" w:cs="黑体"/>
          <w:b/>
          <w:color w:val="000000" w:themeColor="text1"/>
          <w:sz w:val="40"/>
          <w:szCs w:val="44"/>
          <w:lang w:val="en-US" w:eastAsia="zh-CN"/>
          <w14:textFill>
            <w14:solidFill>
              <w14:schemeClr w14:val="tx1"/>
            </w14:solidFill>
          </w14:textFill>
        </w:rPr>
        <w:t>五</w:t>
      </w:r>
      <w:r>
        <w:rPr>
          <w:rFonts w:hint="eastAsia" w:ascii="黑体" w:hAnsi="黑体" w:eastAsia="黑体" w:cs="黑体"/>
          <w:b/>
          <w:color w:val="000000" w:themeColor="text1"/>
          <w:sz w:val="40"/>
          <w:szCs w:val="44"/>
          <w14:textFill>
            <w14:solidFill>
              <w14:schemeClr w14:val="tx1"/>
            </w14:solidFill>
          </w14:textFill>
        </w:rPr>
        <w:t>年</w:t>
      </w:r>
      <w:r>
        <w:rPr>
          <w:rFonts w:hint="eastAsia" w:ascii="黑体" w:hAnsi="黑体" w:eastAsia="黑体" w:cs="黑体"/>
          <w:b/>
          <w:color w:val="000000" w:themeColor="text1"/>
          <w:sz w:val="40"/>
          <w:szCs w:val="44"/>
          <w:lang w:val="en-US" w:eastAsia="zh-CN"/>
          <w14:textFill>
            <w14:solidFill>
              <w14:schemeClr w14:val="tx1"/>
            </w14:solidFill>
          </w14:textFill>
        </w:rPr>
        <w:t>五</w:t>
      </w:r>
      <w:r>
        <w:rPr>
          <w:rFonts w:hint="eastAsia" w:ascii="黑体" w:hAnsi="黑体" w:eastAsia="黑体" w:cs="黑体"/>
          <w:b/>
          <w:color w:val="000000" w:themeColor="text1"/>
          <w:sz w:val="40"/>
          <w:szCs w:val="44"/>
          <w14:textFill>
            <w14:solidFill>
              <w14:schemeClr w14:val="tx1"/>
            </w14:solidFill>
          </w14:textFill>
        </w:rPr>
        <w:t>月</w:t>
      </w:r>
    </w:p>
    <w:p w14:paraId="1CB22A30">
      <w:pPr>
        <w:spacing w:line="720" w:lineRule="auto"/>
        <w:jc w:val="left"/>
        <w:rPr>
          <w:rFonts w:hint="eastAsia" w:ascii="黑体" w:hAnsi="黑体" w:eastAsia="黑体" w:cs="黑体"/>
          <w:b/>
          <w:bCs/>
          <w:color w:val="000000" w:themeColor="text1"/>
          <w:sz w:val="56"/>
          <w:szCs w:val="56"/>
          <w14:textFill>
            <w14:solidFill>
              <w14:schemeClr w14:val="tx1"/>
            </w14:solidFill>
          </w14:textFill>
        </w:rPr>
        <w:sectPr>
          <w:headerReference r:id="rId3" w:type="default"/>
          <w:footerReference r:id="rId4" w:type="default"/>
          <w:pgSz w:w="11906" w:h="16838"/>
          <w:pgMar w:top="1440" w:right="1486" w:bottom="1440" w:left="1800" w:header="720" w:footer="720" w:gutter="0"/>
          <w:pgNumType w:start="1"/>
          <w:cols w:space="720" w:num="1"/>
          <w:docGrid w:type="lines" w:linePitch="312" w:charSpace="0"/>
        </w:sectPr>
      </w:pPr>
    </w:p>
    <w:p w14:paraId="67AFA9D0">
      <w:pPr>
        <w:jc w:val="center"/>
        <w:rPr>
          <w:rFonts w:ascii="楷体" w:hAnsi="楷体" w:eastAsia="楷体" w:cs="楷体"/>
          <w:b/>
          <w:bCs/>
          <w:color w:val="000000" w:themeColor="text1"/>
          <w:sz w:val="40"/>
          <w:szCs w:val="36"/>
          <w14:textFill>
            <w14:solidFill>
              <w14:schemeClr w14:val="tx1"/>
            </w14:solidFill>
          </w14:textFill>
        </w:rPr>
      </w:pPr>
      <w:bookmarkStart w:id="0" w:name="_Toc175973395"/>
    </w:p>
    <w:p w14:paraId="4A747E81">
      <w:pPr>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目     录</w:t>
      </w:r>
    </w:p>
    <w:p w14:paraId="129D2DB9">
      <w:pPr>
        <w:pStyle w:val="73"/>
        <w:tabs>
          <w:tab w:val="right" w:leader="dot" w:pos="8310"/>
        </w:tabs>
        <w:spacing w:line="360" w:lineRule="auto"/>
        <w:rPr>
          <w:rFonts w:ascii="仿宋" w:hAnsi="仿宋" w:eastAsia="仿宋" w:cs="仿宋"/>
          <w:b/>
          <w:bCs/>
          <w:color w:val="000000" w:themeColor="text1"/>
          <w:kern w:val="2"/>
          <w:sz w:val="40"/>
          <w:szCs w:val="36"/>
          <w14:textFill>
            <w14:solidFill>
              <w14:schemeClr w14:val="tx1"/>
            </w14:solidFill>
          </w14:textFill>
        </w:rPr>
      </w:pPr>
    </w:p>
    <w:p w14:paraId="015D5EA3">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招标公告</w:t>
      </w:r>
    </w:p>
    <w:p w14:paraId="7D3AD3A5">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投标人须知</w:t>
      </w:r>
    </w:p>
    <w:p w14:paraId="05B3C0E2">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评标办法</w:t>
      </w:r>
    </w:p>
    <w:p w14:paraId="66C27ECA">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采购内容及具体要求</w:t>
      </w:r>
    </w:p>
    <w:p w14:paraId="1457FFF7">
      <w:pPr>
        <w:pStyle w:val="73"/>
        <w:numPr>
          <w:ilvl w:val="0"/>
          <w:numId w:val="2"/>
        </w:numPr>
        <w:tabs>
          <w:tab w:val="right" w:leader="dot" w:pos="8310"/>
        </w:tabs>
        <w:snapToGrid w:val="0"/>
        <w:spacing w:line="48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拟签订的合同文本</w:t>
      </w:r>
    </w:p>
    <w:p w14:paraId="395F39DF">
      <w:pPr>
        <w:pStyle w:val="73"/>
        <w:tabs>
          <w:tab w:val="right" w:leader="dot" w:pos="8310"/>
        </w:tabs>
        <w:snapToGrid w:val="0"/>
        <w:spacing w:line="480" w:lineRule="auto"/>
        <w:ind w:firstLine="643"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第六章    投标文件格式及构成</w:t>
      </w:r>
      <w:r>
        <w:rPr>
          <w:rFonts w:hint="eastAsia" w:ascii="仿宋" w:hAnsi="仿宋" w:eastAsia="仿宋" w:cs="仿宋"/>
          <w:b/>
          <w:bCs/>
          <w:color w:val="000000" w:themeColor="text1"/>
          <w:sz w:val="56"/>
          <w:szCs w:val="52"/>
          <w14:textFill>
            <w14:solidFill>
              <w14:schemeClr w14:val="tx1"/>
            </w14:solidFill>
          </w14:textFill>
        </w:rPr>
        <w:fldChar w:fldCharType="begin"/>
      </w:r>
      <w:r>
        <w:rPr>
          <w:rFonts w:hint="eastAsia" w:ascii="仿宋" w:hAnsi="仿宋" w:eastAsia="仿宋" w:cs="仿宋"/>
          <w:b/>
          <w:bCs/>
          <w:color w:val="000000" w:themeColor="text1"/>
          <w:sz w:val="56"/>
          <w:szCs w:val="52"/>
          <w14:textFill>
            <w14:solidFill>
              <w14:schemeClr w14:val="tx1"/>
            </w14:solidFill>
          </w14:textFill>
        </w:rPr>
        <w:instrText xml:space="preserve">TOC \o "1-1" \h \u </w:instrText>
      </w:r>
      <w:r>
        <w:rPr>
          <w:rFonts w:hint="eastAsia" w:ascii="仿宋" w:hAnsi="仿宋" w:eastAsia="仿宋" w:cs="仿宋"/>
          <w:b/>
          <w:bCs/>
          <w:color w:val="000000" w:themeColor="text1"/>
          <w:sz w:val="56"/>
          <w:szCs w:val="52"/>
          <w14:textFill>
            <w14:solidFill>
              <w14:schemeClr w14:val="tx1"/>
            </w14:solidFill>
          </w14:textFill>
        </w:rPr>
        <w:fldChar w:fldCharType="separate"/>
      </w:r>
    </w:p>
    <w:p w14:paraId="054B3234">
      <w:pPr>
        <w:pStyle w:val="73"/>
        <w:tabs>
          <w:tab w:val="right" w:leader="dot" w:pos="8310"/>
        </w:tabs>
        <w:snapToGrid w:val="0"/>
        <w:spacing w:line="480" w:lineRule="auto"/>
        <w:rPr>
          <w:rFonts w:ascii="仿宋" w:hAnsi="仿宋" w:eastAsia="仿宋" w:cs="仿宋"/>
          <w:color w:val="000000" w:themeColor="text1"/>
          <w:sz w:val="21"/>
          <w:szCs w:val="21"/>
          <w14:textFill>
            <w14:solidFill>
              <w14:schemeClr w14:val="tx1"/>
            </w14:solidFill>
          </w14:textFill>
        </w:rPr>
      </w:pPr>
    </w:p>
    <w:p w14:paraId="378E2238">
      <w:pPr>
        <w:pStyle w:val="73"/>
        <w:tabs>
          <w:tab w:val="right" w:leader="dot" w:pos="8310"/>
        </w:tabs>
        <w:snapToGrid w:val="0"/>
        <w:spacing w:line="480" w:lineRule="auto"/>
        <w:rPr>
          <w:rFonts w:ascii="仿宋" w:hAnsi="仿宋" w:eastAsia="仿宋" w:cs="仿宋"/>
          <w:color w:val="000000" w:themeColor="text1"/>
          <w:sz w:val="21"/>
          <w:szCs w:val="21"/>
          <w14:textFill>
            <w14:solidFill>
              <w14:schemeClr w14:val="tx1"/>
            </w14:solidFill>
          </w14:textFill>
        </w:rPr>
      </w:pPr>
    </w:p>
    <w:p w14:paraId="1731E6D5">
      <w:pPr>
        <w:pStyle w:val="73"/>
        <w:tabs>
          <w:tab w:val="right" w:leader="dot" w:pos="8310"/>
        </w:tabs>
        <w:snapToGrid w:val="0"/>
        <w:spacing w:line="480" w:lineRule="auto"/>
        <w:rPr>
          <w:rFonts w:ascii="仿宋" w:hAnsi="仿宋" w:eastAsia="仿宋" w:cs="仿宋"/>
          <w:color w:val="000000" w:themeColor="text1"/>
          <w:sz w:val="21"/>
          <w:szCs w:val="21"/>
          <w14:textFill>
            <w14:solidFill>
              <w14:schemeClr w14:val="tx1"/>
            </w14:solidFill>
          </w14:textFill>
        </w:rPr>
      </w:pPr>
    </w:p>
    <w:p w14:paraId="579546B9">
      <w:pPr>
        <w:snapToGrid w:val="0"/>
        <w:spacing w:line="480" w:lineRule="auto"/>
        <w:rPr>
          <w:rFonts w:ascii="楷体" w:hAnsi="楷体" w:eastAsia="楷体" w:cs="楷体"/>
          <w:b/>
          <w:bCs/>
          <w:color w:val="000000" w:themeColor="text1"/>
          <w:sz w:val="52"/>
          <w:szCs w:val="48"/>
          <w14:textFill>
            <w14:solidFill>
              <w14:schemeClr w14:val="tx1"/>
            </w14:solidFill>
          </w14:textFill>
        </w:rPr>
      </w:pPr>
      <w:r>
        <w:rPr>
          <w:rFonts w:hint="eastAsia" w:ascii="仿宋" w:hAnsi="仿宋" w:eastAsia="仿宋" w:cs="仿宋"/>
          <w:bCs/>
          <w:color w:val="000000" w:themeColor="text1"/>
          <w:sz w:val="22"/>
          <w:szCs w:val="52"/>
          <w14:textFill>
            <w14:solidFill>
              <w14:schemeClr w14:val="tx1"/>
            </w14:solidFill>
          </w14:textFill>
        </w:rPr>
        <w:fldChar w:fldCharType="end"/>
      </w:r>
    </w:p>
    <w:p w14:paraId="3D8259F0">
      <w:pPr>
        <w:spacing w:line="480" w:lineRule="auto"/>
        <w:rPr>
          <w:rFonts w:ascii="楷体" w:hAnsi="楷体" w:eastAsia="楷体" w:cs="楷体"/>
          <w:color w:val="000000" w:themeColor="text1"/>
          <w14:textFill>
            <w14:solidFill>
              <w14:schemeClr w14:val="tx1"/>
            </w14:solidFill>
          </w14:textFill>
        </w:rPr>
      </w:pPr>
    </w:p>
    <w:p w14:paraId="6BDB27CA">
      <w:pPr>
        <w:pStyle w:val="56"/>
        <w:rPr>
          <w:rFonts w:ascii="楷体" w:hAnsi="楷体" w:eastAsia="楷体" w:cs="楷体"/>
          <w:color w:val="000000" w:themeColor="text1"/>
          <w14:textFill>
            <w14:solidFill>
              <w14:schemeClr w14:val="tx1"/>
            </w14:solidFill>
          </w14:textFill>
        </w:rPr>
      </w:pPr>
    </w:p>
    <w:p w14:paraId="0667A44E">
      <w:pPr>
        <w:pStyle w:val="56"/>
        <w:rPr>
          <w:rFonts w:ascii="楷体" w:hAnsi="楷体" w:eastAsia="楷体" w:cs="楷体"/>
          <w:color w:val="000000" w:themeColor="text1"/>
          <w14:textFill>
            <w14:solidFill>
              <w14:schemeClr w14:val="tx1"/>
            </w14:solidFill>
          </w14:textFill>
        </w:rPr>
      </w:pPr>
    </w:p>
    <w:p w14:paraId="17A7730D">
      <w:pPr>
        <w:pStyle w:val="56"/>
        <w:rPr>
          <w:rFonts w:ascii="楷体" w:hAnsi="楷体" w:eastAsia="楷体" w:cs="楷体"/>
          <w:color w:val="000000" w:themeColor="text1"/>
          <w14:textFill>
            <w14:solidFill>
              <w14:schemeClr w14:val="tx1"/>
            </w14:solidFill>
          </w14:textFill>
        </w:rPr>
      </w:pPr>
    </w:p>
    <w:p w14:paraId="5EB92FED">
      <w:pPr>
        <w:pStyle w:val="56"/>
        <w:rPr>
          <w:rFonts w:ascii="楷体" w:hAnsi="楷体" w:eastAsia="楷体" w:cs="楷体"/>
          <w:color w:val="000000" w:themeColor="text1"/>
          <w14:textFill>
            <w14:solidFill>
              <w14:schemeClr w14:val="tx1"/>
            </w14:solidFill>
          </w14:textFill>
        </w:rPr>
      </w:pPr>
    </w:p>
    <w:p w14:paraId="329BE449">
      <w:pPr>
        <w:pStyle w:val="56"/>
        <w:rPr>
          <w:rFonts w:ascii="楷体" w:hAnsi="楷体" w:eastAsia="楷体" w:cs="楷体"/>
          <w:color w:val="000000" w:themeColor="text1"/>
          <w14:textFill>
            <w14:solidFill>
              <w14:schemeClr w14:val="tx1"/>
            </w14:solidFill>
          </w14:textFill>
        </w:rPr>
      </w:pPr>
    </w:p>
    <w:p w14:paraId="2443D89F">
      <w:pPr>
        <w:pStyle w:val="56"/>
        <w:rPr>
          <w:rFonts w:ascii="楷体" w:hAnsi="楷体" w:eastAsia="楷体" w:cs="楷体"/>
          <w:color w:val="000000" w:themeColor="text1"/>
          <w14:textFill>
            <w14:solidFill>
              <w14:schemeClr w14:val="tx1"/>
            </w14:solidFill>
          </w14:textFill>
        </w:rPr>
      </w:pPr>
    </w:p>
    <w:p w14:paraId="0648C893">
      <w:pPr>
        <w:pStyle w:val="57"/>
        <w:rPr>
          <w:rFonts w:ascii="楷体" w:hAnsi="楷体" w:eastAsia="楷体" w:cs="楷体"/>
          <w:color w:val="000000" w:themeColor="text1"/>
          <w14:textFill>
            <w14:solidFill>
              <w14:schemeClr w14:val="tx1"/>
            </w14:solidFill>
          </w14:textFill>
        </w:rPr>
      </w:pPr>
    </w:p>
    <w:p w14:paraId="4CD8A96C">
      <w:pPr>
        <w:rPr>
          <w:rFonts w:ascii="楷体" w:hAnsi="楷体" w:eastAsia="楷体" w:cs="楷体"/>
          <w:color w:val="000000" w:themeColor="text1"/>
          <w14:textFill>
            <w14:solidFill>
              <w14:schemeClr w14:val="tx1"/>
            </w14:solidFill>
          </w14:textFill>
        </w:rPr>
      </w:pPr>
      <w:bookmarkStart w:id="1" w:name="_Toc26281"/>
      <w:bookmarkStart w:id="2" w:name="_Toc5491"/>
      <w:bookmarkStart w:id="3" w:name="_Toc16757"/>
      <w:bookmarkStart w:id="4" w:name="_Toc13604"/>
      <w:bookmarkStart w:id="5" w:name="_Toc27110"/>
      <w:bookmarkStart w:id="6" w:name="_Toc16585"/>
      <w:bookmarkStart w:id="7" w:name="_Toc2153_WPSOffice_Level1"/>
      <w:bookmarkStart w:id="8" w:name="_Toc13452"/>
      <w:bookmarkStart w:id="9" w:name="_Toc15714"/>
      <w:bookmarkStart w:id="10" w:name="_Toc22701"/>
      <w:bookmarkStart w:id="11" w:name="_Toc531189833"/>
      <w:bookmarkStart w:id="12" w:name="_Toc16422"/>
      <w:bookmarkStart w:id="13" w:name="_Toc27661"/>
      <w:bookmarkStart w:id="14" w:name="_Toc9573"/>
      <w:bookmarkStart w:id="15" w:name="_Toc22132_WPSOffice_Level1"/>
      <w:bookmarkStart w:id="16" w:name="_Toc30925"/>
      <w:bookmarkStart w:id="17" w:name="_Toc3934_WPSOffice_Level1"/>
    </w:p>
    <w:p w14:paraId="71F110C9">
      <w:pPr>
        <w:pStyle w:val="2"/>
        <w:spacing w:line="360" w:lineRule="auto"/>
        <w:ind w:firstLine="2891" w:firstLineChars="8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Cs w:val="36"/>
          <w14:textFill>
            <w14:solidFill>
              <w14:schemeClr w14:val="tx1"/>
            </w14:solidFill>
          </w14:textFill>
        </w:rPr>
        <w:t>第一章</w:t>
      </w:r>
      <w:bookmarkEnd w:id="0"/>
      <w:r>
        <w:rPr>
          <w:rFonts w:hint="eastAsia" w:ascii="黑体" w:hAnsi="黑体" w:eastAsia="黑体" w:cs="黑体"/>
          <w:color w:val="000000" w:themeColor="text1"/>
          <w:szCs w:val="36"/>
          <w14:textFill>
            <w14:solidFill>
              <w14:schemeClr w14:val="tx1"/>
            </w14:solidFill>
          </w14:textFill>
        </w:rPr>
        <w:t xml:space="preserve">  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A217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240" w:afterAutospacing="0" w:line="360" w:lineRule="auto"/>
        <w:ind w:left="0" w:right="0" w:firstLine="0"/>
        <w:textAlignment w:val="baseline"/>
        <w:rPr>
          <w:rFonts w:hint="eastAsia" w:ascii="仿宋" w:hAnsi="仿宋" w:eastAsia="仿宋" w:cs="仿宋"/>
          <w:b/>
          <w:bCs/>
          <w:i w:val="0"/>
          <w:iCs w:val="0"/>
          <w:caps w:val="0"/>
          <w:color w:val="333333"/>
          <w:spacing w:val="0"/>
          <w:sz w:val="21"/>
          <w:szCs w:val="21"/>
        </w:rPr>
      </w:pPr>
      <w:bookmarkStart w:id="18" w:name="_Toc17777"/>
      <w:bookmarkStart w:id="19" w:name="_Toc31804"/>
      <w:bookmarkStart w:id="20" w:name="_Toc28736_WPSOffice_Level1"/>
      <w:bookmarkStart w:id="21" w:name="_Toc30242"/>
      <w:bookmarkStart w:id="22" w:name="_Toc19596"/>
      <w:bookmarkStart w:id="23" w:name="_Toc8088_WPSOffice_Level1"/>
      <w:bookmarkStart w:id="24" w:name="_Toc347817552"/>
      <w:bookmarkStart w:id="25" w:name="_Toc7478"/>
      <w:bookmarkStart w:id="26" w:name="_Toc21535"/>
      <w:bookmarkStart w:id="27" w:name="_Toc25920"/>
      <w:bookmarkStart w:id="28" w:name="_Toc175973396"/>
      <w:bookmarkStart w:id="29" w:name="_Toc21028"/>
      <w:bookmarkStart w:id="30" w:name="_Toc29730"/>
      <w:bookmarkStart w:id="31" w:name="_Toc531189834"/>
      <w:bookmarkStart w:id="32" w:name="_Toc31326"/>
      <w:bookmarkStart w:id="33" w:name="_Toc9804_WPSOffice_Level1"/>
      <w:bookmarkStart w:id="34" w:name="_Toc12255"/>
      <w:bookmarkStart w:id="35" w:name="_Toc2094"/>
      <w:bookmarkStart w:id="36" w:name="_Toc4952"/>
      <w:r>
        <w:rPr>
          <w:rFonts w:hint="eastAsia" w:ascii="仿宋" w:hAnsi="仿宋" w:eastAsia="仿宋" w:cs="仿宋"/>
          <w:b/>
          <w:bCs/>
          <w:i w:val="0"/>
          <w:iCs w:val="0"/>
          <w:caps w:val="0"/>
          <w:color w:val="000000" w:themeColor="text1"/>
          <w:spacing w:val="0"/>
          <w:sz w:val="21"/>
          <w:szCs w:val="21"/>
          <w:shd w:val="clear" w:fill="FFFFFF"/>
          <w:vertAlign w:val="baseline"/>
          <w14:textFill>
            <w14:solidFill>
              <w14:schemeClr w14:val="tx1"/>
            </w14:solidFill>
          </w14:textFill>
        </w:rPr>
        <w:t>南郑区学校蔬菜、辅料等食材配送服务采购项目(三次</w:t>
      </w:r>
      <w:r>
        <w:rPr>
          <w:rFonts w:hint="eastAsia" w:ascii="仿宋" w:hAnsi="仿宋" w:eastAsia="仿宋" w:cs="仿宋"/>
          <w:b/>
          <w:bCs/>
          <w:i w:val="0"/>
          <w:iCs w:val="0"/>
          <w:caps w:val="0"/>
          <w:color w:val="333333"/>
          <w:spacing w:val="0"/>
          <w:sz w:val="21"/>
          <w:szCs w:val="21"/>
          <w:shd w:val="clear" w:fill="FFFFFF"/>
          <w:vertAlign w:val="baseline"/>
        </w:rPr>
        <w:t>)招标公告</w:t>
      </w:r>
    </w:p>
    <w:p w14:paraId="61DE74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362"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项目概况</w:t>
      </w:r>
    </w:p>
    <w:p w14:paraId="78822E5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362"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南郑区学校蔬菜、辅料等食材配送服务采购项目(三次)招标项目的潜在投标人应在汉中市汉台区西一环路蓝天御苑小区商铺二层门面房南侧获取招标文件，并于 2025年07月15日 09时00分 （北京时间）前递交投标文件。</w:t>
      </w:r>
    </w:p>
    <w:p w14:paraId="0BEAFE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一、项目基本情况</w:t>
      </w:r>
    </w:p>
    <w:p w14:paraId="4A75FE8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项目编号：TZZB-HZ-2025078C-3</w:t>
      </w:r>
    </w:p>
    <w:p w14:paraId="6EB8224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项目名称：南郑区学校蔬菜、辅料等食材配送服务采购项目(三次)</w:t>
      </w:r>
    </w:p>
    <w:p w14:paraId="7477154F">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采购方式：公开招标</w:t>
      </w:r>
    </w:p>
    <w:p w14:paraId="118835B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预算金额：654,800.00元</w:t>
      </w:r>
    </w:p>
    <w:p w14:paraId="20A9771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采购需求：</w:t>
      </w:r>
    </w:p>
    <w:p w14:paraId="6116332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合同包1(蔬菜、辅料等食材配送):</w:t>
      </w:r>
    </w:p>
    <w:p w14:paraId="3FE8243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合同包预算金额：262,400.00元</w:t>
      </w:r>
    </w:p>
    <w:p w14:paraId="69A7858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合同包最高限价：262,400.00元</w:t>
      </w:r>
    </w:p>
    <w:tbl>
      <w:tblPr>
        <w:tblStyle w:val="41"/>
        <w:tblW w:w="11001" w:type="dxa"/>
        <w:tblInd w:w="-1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9"/>
        <w:gridCol w:w="1483"/>
        <w:gridCol w:w="2950"/>
        <w:gridCol w:w="1515"/>
        <w:gridCol w:w="1440"/>
        <w:gridCol w:w="1242"/>
        <w:gridCol w:w="1242"/>
      </w:tblGrid>
      <w:tr w14:paraId="7525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4" w:hRule="atLeast"/>
          <w:tblHeader/>
        </w:trPr>
        <w:tc>
          <w:tcPr>
            <w:tcW w:w="11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2C20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品目号</w:t>
            </w:r>
          </w:p>
        </w:tc>
        <w:tc>
          <w:tcPr>
            <w:tcW w:w="14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9AC42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品目名称</w:t>
            </w:r>
          </w:p>
        </w:tc>
        <w:tc>
          <w:tcPr>
            <w:tcW w:w="29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A695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采购标的</w:t>
            </w:r>
          </w:p>
        </w:tc>
        <w:tc>
          <w:tcPr>
            <w:tcW w:w="15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7ECD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数量（单位）</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08A20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技术规格、参数及要求</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0BE0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品目预算(元)</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6FAD6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sz w:val="21"/>
                <w:szCs w:val="21"/>
              </w:rPr>
            </w:pPr>
            <w:r>
              <w:rPr>
                <w:rFonts w:hint="eastAsia" w:ascii="仿宋" w:hAnsi="仿宋" w:eastAsia="仿宋" w:cs="仿宋"/>
                <w:b/>
                <w:bCs/>
                <w:kern w:val="0"/>
                <w:sz w:val="21"/>
                <w:szCs w:val="21"/>
                <w:lang w:val="en-US" w:eastAsia="zh-CN" w:bidi="ar"/>
              </w:rPr>
              <w:t>最高限价(元)</w:t>
            </w:r>
          </w:p>
        </w:tc>
      </w:tr>
      <w:tr w14:paraId="051C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8" w:hRule="atLeast"/>
        </w:trPr>
        <w:tc>
          <w:tcPr>
            <w:tcW w:w="112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A5C6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1-1</w:t>
            </w:r>
          </w:p>
        </w:tc>
        <w:tc>
          <w:tcPr>
            <w:tcW w:w="148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A42030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餐饮服务</w:t>
            </w:r>
          </w:p>
        </w:tc>
        <w:tc>
          <w:tcPr>
            <w:tcW w:w="295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C8BC0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蔬菜、辅料等食材配送服务</w:t>
            </w:r>
          </w:p>
        </w:tc>
        <w:tc>
          <w:tcPr>
            <w:tcW w:w="1515"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8E4D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1(项)</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4135C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bidi="ar"/>
              </w:rPr>
              <w:t>详见采购文件</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27E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262,400.00</w:t>
            </w:r>
          </w:p>
        </w:tc>
        <w:tc>
          <w:tcPr>
            <w:tcW w:w="124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A8A2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sz w:val="21"/>
                <w:szCs w:val="21"/>
              </w:rPr>
            </w:pPr>
            <w:r>
              <w:rPr>
                <w:rFonts w:hint="eastAsia" w:ascii="仿宋" w:hAnsi="仿宋" w:eastAsia="仿宋" w:cs="仿宋"/>
                <w:kern w:val="0"/>
                <w:sz w:val="21"/>
                <w:szCs w:val="21"/>
                <w:vertAlign w:val="baseline"/>
                <w:lang w:val="en-US" w:eastAsia="zh-CN" w:bidi="ar"/>
              </w:rPr>
              <w:t>262,400.00</w:t>
            </w:r>
          </w:p>
        </w:tc>
      </w:tr>
    </w:tbl>
    <w:p w14:paraId="24EB43B4">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本合同包不接受联合体投标</w:t>
      </w:r>
    </w:p>
    <w:p w14:paraId="5821C48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合同履行期限：详见招标文件</w:t>
      </w:r>
    </w:p>
    <w:p w14:paraId="7072AB5D">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合同包2(蔬菜、辅料等食材配送):</w:t>
      </w:r>
    </w:p>
    <w:p w14:paraId="3BB95FC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合同包预算金额：392,400.00元</w:t>
      </w:r>
    </w:p>
    <w:p w14:paraId="356830C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合同包最高限价：392,400.00元</w:t>
      </w:r>
    </w:p>
    <w:tbl>
      <w:tblPr>
        <w:tblStyle w:val="41"/>
        <w:tblW w:w="10588" w:type="dxa"/>
        <w:tblInd w:w="-10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3"/>
        <w:gridCol w:w="1553"/>
        <w:gridCol w:w="2117"/>
        <w:gridCol w:w="1565"/>
        <w:gridCol w:w="1275"/>
        <w:gridCol w:w="1424"/>
        <w:gridCol w:w="1581"/>
      </w:tblGrid>
      <w:tr w14:paraId="467A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7" w:hRule="atLeast"/>
          <w:tblHeader/>
        </w:trPr>
        <w:tc>
          <w:tcPr>
            <w:tcW w:w="107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330D50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品目号</w:t>
            </w:r>
          </w:p>
        </w:tc>
        <w:tc>
          <w:tcPr>
            <w:tcW w:w="155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7A80F4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品目名称</w:t>
            </w:r>
          </w:p>
        </w:tc>
        <w:tc>
          <w:tcPr>
            <w:tcW w:w="2117"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2F184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采购标的</w:t>
            </w:r>
          </w:p>
        </w:tc>
        <w:tc>
          <w:tcPr>
            <w:tcW w:w="156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691AAA6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数量（单位）</w:t>
            </w:r>
          </w:p>
        </w:tc>
        <w:tc>
          <w:tcPr>
            <w:tcW w:w="127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15DAC6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技术规格、参数及要求</w:t>
            </w:r>
          </w:p>
        </w:tc>
        <w:tc>
          <w:tcPr>
            <w:tcW w:w="1424"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3323C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品目预算(元)</w:t>
            </w:r>
          </w:p>
        </w:tc>
        <w:tc>
          <w:tcPr>
            <w:tcW w:w="1581"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066F96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b/>
                <w:bCs/>
                <w:i w:val="0"/>
                <w:iCs w:val="0"/>
                <w:caps w:val="0"/>
                <w:color w:val="333333"/>
                <w:spacing w:val="0"/>
                <w:sz w:val="21"/>
                <w:szCs w:val="21"/>
              </w:rPr>
            </w:pPr>
            <w:r>
              <w:rPr>
                <w:rFonts w:hint="eastAsia" w:ascii="仿宋" w:hAnsi="仿宋" w:eastAsia="仿宋" w:cs="仿宋"/>
                <w:b/>
                <w:bCs/>
                <w:i w:val="0"/>
                <w:iCs w:val="0"/>
                <w:caps w:val="0"/>
                <w:color w:val="333333"/>
                <w:spacing w:val="0"/>
                <w:kern w:val="0"/>
                <w:sz w:val="21"/>
                <w:szCs w:val="21"/>
                <w:lang w:val="en-US" w:eastAsia="zh-CN" w:bidi="ar"/>
              </w:rPr>
              <w:t>最高限价(元)</w:t>
            </w:r>
          </w:p>
        </w:tc>
      </w:tr>
      <w:tr w14:paraId="7FDB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2" w:hRule="atLeast"/>
        </w:trPr>
        <w:tc>
          <w:tcPr>
            <w:tcW w:w="107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F556DE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2-1</w:t>
            </w:r>
          </w:p>
        </w:tc>
        <w:tc>
          <w:tcPr>
            <w:tcW w:w="1553"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046CC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餐饮服务</w:t>
            </w:r>
          </w:p>
        </w:tc>
        <w:tc>
          <w:tcPr>
            <w:tcW w:w="2117"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4D443E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蔬菜、辅料等食材配送服务</w:t>
            </w:r>
          </w:p>
        </w:tc>
        <w:tc>
          <w:tcPr>
            <w:tcW w:w="156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5CD0363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1(项)</w:t>
            </w:r>
          </w:p>
        </w:tc>
        <w:tc>
          <w:tcPr>
            <w:tcW w:w="1275"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0BB465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详见采购文件</w:t>
            </w:r>
          </w:p>
        </w:tc>
        <w:tc>
          <w:tcPr>
            <w:tcW w:w="1424"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48E15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vertAlign w:val="baseline"/>
                <w:lang w:val="en-US" w:eastAsia="zh-CN" w:bidi="ar"/>
              </w:rPr>
              <w:t>392,400.00</w:t>
            </w:r>
          </w:p>
        </w:tc>
        <w:tc>
          <w:tcPr>
            <w:tcW w:w="1581" w:type="dxa"/>
            <w:tcBorders>
              <w:top w:val="single" w:color="333333" w:sz="4" w:space="0"/>
              <w:left w:val="single" w:color="333333" w:sz="4" w:space="0"/>
              <w:bottom w:val="single" w:color="333333" w:sz="4" w:space="0"/>
              <w:right w:val="single" w:color="333333" w:sz="4" w:space="0"/>
            </w:tcBorders>
            <w:shd w:val="clear" w:color="auto" w:fill="FFFFFF"/>
            <w:tcMar>
              <w:top w:w="60" w:type="dxa"/>
              <w:left w:w="96" w:type="dxa"/>
              <w:bottom w:w="60" w:type="dxa"/>
              <w:right w:w="96" w:type="dxa"/>
            </w:tcMar>
            <w:vAlign w:val="center"/>
          </w:tcPr>
          <w:p w14:paraId="7EAD73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vertAlign w:val="baseline"/>
                <w:lang w:val="en-US" w:eastAsia="zh-CN" w:bidi="ar"/>
              </w:rPr>
              <w:t>392,400.00</w:t>
            </w:r>
          </w:p>
        </w:tc>
      </w:tr>
    </w:tbl>
    <w:p w14:paraId="6D9E733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right="0"/>
        <w:jc w:val="both"/>
        <w:textAlignment w:val="baseline"/>
        <w:rPr>
          <w:rFonts w:hint="eastAsia" w:ascii="仿宋" w:hAnsi="仿宋" w:eastAsia="仿宋" w:cs="仿宋"/>
          <w:i w:val="0"/>
          <w:iCs w:val="0"/>
          <w:caps w:val="0"/>
          <w:color w:val="333333"/>
          <w:spacing w:val="0"/>
          <w:sz w:val="21"/>
          <w:szCs w:val="21"/>
          <w:shd w:val="clear" w:fill="FFFFFF"/>
          <w:vertAlign w:val="baseline"/>
        </w:rPr>
      </w:pPr>
    </w:p>
    <w:p w14:paraId="6A1374FD">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本合同包不接受联合体投标</w:t>
      </w:r>
    </w:p>
    <w:p w14:paraId="1E01F7C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50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合同履行期限：详见招标文件</w:t>
      </w:r>
    </w:p>
    <w:p w14:paraId="72F546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二、申请人的资格要求：</w:t>
      </w:r>
    </w:p>
    <w:p w14:paraId="65EA5FFF">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1.满足《中华人民共和国政府采购法》第二十二条规定;</w:t>
      </w:r>
    </w:p>
    <w:p w14:paraId="380B0508">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2.落实政府采购政策需满足的资格要求：</w:t>
      </w:r>
    </w:p>
    <w:p w14:paraId="7CF0F3D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合同包1(蔬菜、辅料等食材配送)落实政府采购政策需满足的资格要求如下:</w:t>
      </w:r>
    </w:p>
    <w:p w14:paraId="73627BBA">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专门面向中小企业采购，提供服务的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p>
    <w:p w14:paraId="68B9D676">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合同包2(蔬菜、辅料等食材配送)落实政府采购政策需满足的资格要求如下:</w:t>
      </w:r>
    </w:p>
    <w:p w14:paraId="04B19F2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专门面向中小企业采购，提供服务的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p>
    <w:p w14:paraId="7C888784">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3.本项目的特定资格要求：</w:t>
      </w:r>
    </w:p>
    <w:p w14:paraId="664333B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合同包1(蔬菜、辅料等食材配送)特定资格要求如下:</w:t>
      </w:r>
    </w:p>
    <w:p w14:paraId="7003D0D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（1）满足《中华人民共和国政府采购法》第二十二条的规定,提供下列资格证明文件：</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②投标人须提供《汉中市政府采购投标人资格承诺函》。</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（2）本项目特定资格要求：</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②投标人为生产厂家的须提供《食品生产许可证》及《食品经营许可证》；投标人为代理商的须提供《食品经营许可证》或食品经营备案证明。</w:t>
      </w:r>
    </w:p>
    <w:p w14:paraId="75EC9386">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合同包2(蔬菜、辅料等食材配送)特定资格要求如下:</w:t>
      </w:r>
    </w:p>
    <w:p w14:paraId="6C293FE5">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（1）满足《中华人民共和国政府采购法》第二十二条的规定,提供下列资格证明文件：</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②投标人须提供《汉中市政府采购投标人资格承诺函》。</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（2）本项目特定资格要求：</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①法定代表人直接参加投标的，须出具法人身份证；法定代表人授权代表参加投标的，须出具法定代表人授权书及授权代表身份证；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333333"/>
          <w:spacing w:val="0"/>
          <w:sz w:val="21"/>
          <w:szCs w:val="21"/>
          <w:shd w:val="clear" w:fill="FFFFFF"/>
          <w:vertAlign w:val="baseline"/>
        </w:rPr>
        <w:br w:type="textWrapping"/>
      </w:r>
      <w:r>
        <w:rPr>
          <w:rFonts w:hint="eastAsia" w:ascii="仿宋" w:hAnsi="仿宋" w:eastAsia="仿宋" w:cs="仿宋"/>
          <w:i w:val="0"/>
          <w:iCs w:val="0"/>
          <w:caps w:val="0"/>
          <w:color w:val="333333"/>
          <w:spacing w:val="0"/>
          <w:sz w:val="21"/>
          <w:szCs w:val="21"/>
          <w:shd w:val="clear" w:fill="FFFFFF"/>
          <w:vertAlign w:val="baseline"/>
        </w:rPr>
        <w:t>  ②投标人为生产厂家的须提供《食品生产许可证》及《食品经营许可证》；投标人为代理商的须提供《食品经营许可证》或食品经营备案证明。</w:t>
      </w:r>
    </w:p>
    <w:p w14:paraId="548987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三、获取招标文件</w:t>
      </w:r>
    </w:p>
    <w:p w14:paraId="367D0E98">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时间： 2025年06月25日 至 2025年07月01日 ，每天上午 08:00:00 至 12:00:00 ，下午 14:00:00 至 18:00:00 （北京时间）</w:t>
      </w:r>
    </w:p>
    <w:p w14:paraId="1197951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途径：汉中市汉台区西一环路蓝天御苑小区商铺二层门面房南侧</w:t>
      </w:r>
    </w:p>
    <w:p w14:paraId="71F06A5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方式：现场获取</w:t>
      </w:r>
    </w:p>
    <w:p w14:paraId="31F5ACB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售价： 300元</w:t>
      </w:r>
    </w:p>
    <w:p w14:paraId="64A7B6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四、提交投标文件截止时间、开标时间和地点</w:t>
      </w:r>
    </w:p>
    <w:p w14:paraId="3E38FB75">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时间： 2025年07月15日 09时00分00秒 （北京时间）</w:t>
      </w:r>
    </w:p>
    <w:p w14:paraId="1346BD1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提交投标文件地点：汉中市汉台区西一环路蓝天御苑小区商铺二层门面房南侧会议室</w:t>
      </w:r>
    </w:p>
    <w:p w14:paraId="2E3BA4C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开标地点：汉中市汉台区西一环路蓝天御苑小区商铺二层门面房南侧会议室</w:t>
      </w:r>
    </w:p>
    <w:p w14:paraId="42CCE2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五、公告期限</w:t>
      </w:r>
    </w:p>
    <w:p w14:paraId="1ADC7D3C">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自本公告发布之日起5个工作日。</w:t>
      </w:r>
    </w:p>
    <w:p w14:paraId="3AF7B4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六、其他补充事宜</w:t>
      </w:r>
    </w:p>
    <w:p w14:paraId="3F69A3C9">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1、潜在投标人获取招标文件时需出示获取人身份证原件，并提交投标人出具的对获取人的介绍信原件（介绍信须注明项目名称、联系人、联系方式、合同包几）以及获取人身份证复印件（加盖公章），介绍信原件时间须与投标人当天报名时间一致，本项目招标文件不提供邮寄，须现场现金购买，每个合同包300元，售后不退。</w:t>
      </w:r>
    </w:p>
    <w:p w14:paraId="64F1594E">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15"/>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 2、注意事项：根据《陕西省财政厅关于政府采购供应商注册登记有关事项的通知》的规定，投标人在获取招标文件后，应及时注册登记加入陕西省政府采购供应商库。因投标人自身原因未及时登记入库而导致的一切后果由投标人自行承担。</w:t>
      </w:r>
    </w:p>
    <w:p w14:paraId="1640EDE2">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000000"/>
          <w:spacing w:val="0"/>
          <w:sz w:val="21"/>
          <w:szCs w:val="21"/>
          <w:shd w:val="clear" w:fill="FFFFFF"/>
          <w:vertAlign w:val="baseline"/>
        </w:rPr>
        <w:t> 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按相关规定需要落实的其他政府采购政策。</w:t>
      </w:r>
    </w:p>
    <w:p w14:paraId="4D923C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62" w:beforeAutospacing="0" w:after="240" w:afterAutospacing="0" w:line="360" w:lineRule="auto"/>
        <w:ind w:left="0" w:right="0"/>
        <w:jc w:val="left"/>
        <w:textAlignment w:val="baseline"/>
        <w:rPr>
          <w:rFonts w:hint="eastAsia" w:ascii="仿宋" w:hAnsi="仿宋" w:eastAsia="仿宋" w:cs="仿宋"/>
          <w:b w:val="0"/>
          <w:bCs w:val="0"/>
          <w:sz w:val="21"/>
          <w:szCs w:val="21"/>
        </w:rPr>
      </w:pPr>
      <w:r>
        <w:rPr>
          <w:rStyle w:val="44"/>
          <w:rFonts w:hint="eastAsia" w:ascii="仿宋" w:hAnsi="仿宋" w:eastAsia="仿宋" w:cs="仿宋"/>
          <w:b/>
          <w:bCs/>
          <w:i w:val="0"/>
          <w:iCs w:val="0"/>
          <w:caps w:val="0"/>
          <w:color w:val="333333"/>
          <w:spacing w:val="0"/>
          <w:sz w:val="21"/>
          <w:szCs w:val="21"/>
          <w:shd w:val="clear" w:fill="FFFFFF"/>
          <w:vertAlign w:val="baseline"/>
        </w:rPr>
        <w:t>七、对本次招标提出询问，请按以下方式联系。</w:t>
      </w:r>
    </w:p>
    <w:p w14:paraId="556B40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1.采购人信息</w:t>
      </w:r>
    </w:p>
    <w:p w14:paraId="336FC527">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名称：汉中市南郑区教育体育局</w:t>
      </w:r>
    </w:p>
    <w:p w14:paraId="41FD3A3A">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地址：陕西省汉中市南郑区汉山街道办汉山路建设巷10号</w:t>
      </w:r>
    </w:p>
    <w:p w14:paraId="29B4F084">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联系方式：0916-5514466</w:t>
      </w:r>
    </w:p>
    <w:p w14:paraId="4A125B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2.采购代理机构信息</w:t>
      </w:r>
    </w:p>
    <w:p w14:paraId="3995B471">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名称：同正项目管理有限公司</w:t>
      </w:r>
    </w:p>
    <w:p w14:paraId="5D88697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地址：汉中市汉台区西一环路蓝天御苑小区商铺二层门面房南侧</w:t>
      </w:r>
    </w:p>
    <w:p w14:paraId="32900D6B">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联系方式：0916-8897702</w:t>
      </w:r>
    </w:p>
    <w:p w14:paraId="579B87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jc w:val="left"/>
        <w:textAlignment w:val="baseline"/>
        <w:rPr>
          <w:rFonts w:hint="eastAsia" w:ascii="仿宋" w:hAnsi="仿宋" w:eastAsia="仿宋" w:cs="仿宋"/>
          <w:b w:val="0"/>
          <w:bCs w:val="0"/>
          <w:sz w:val="21"/>
          <w:szCs w:val="21"/>
        </w:rPr>
      </w:pPr>
      <w:r>
        <w:rPr>
          <w:rFonts w:hint="eastAsia" w:ascii="仿宋" w:hAnsi="仿宋" w:eastAsia="仿宋" w:cs="仿宋"/>
          <w:b w:val="0"/>
          <w:bCs w:val="0"/>
          <w:i w:val="0"/>
          <w:iCs w:val="0"/>
          <w:caps w:val="0"/>
          <w:color w:val="333333"/>
          <w:spacing w:val="0"/>
          <w:sz w:val="21"/>
          <w:szCs w:val="21"/>
          <w:shd w:val="clear" w:fill="FFFFFF"/>
          <w:vertAlign w:val="baseline"/>
        </w:rPr>
        <w:t>3.项目联系方式</w:t>
      </w:r>
    </w:p>
    <w:p w14:paraId="4991E14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项目联系人：王丽</w:t>
      </w:r>
    </w:p>
    <w:p w14:paraId="3213DAE3">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both"/>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电话：15291615858</w:t>
      </w:r>
    </w:p>
    <w:p w14:paraId="53927BF0">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right"/>
        <w:textAlignment w:val="baseline"/>
        <w:rPr>
          <w:rFonts w:hint="eastAsia" w:ascii="仿宋" w:hAnsi="仿宋" w:eastAsia="仿宋" w:cs="仿宋"/>
          <w:sz w:val="21"/>
          <w:szCs w:val="21"/>
        </w:rPr>
      </w:pPr>
      <w:r>
        <w:rPr>
          <w:rFonts w:hint="eastAsia" w:ascii="仿宋" w:hAnsi="仿宋" w:eastAsia="仿宋" w:cs="仿宋"/>
          <w:i w:val="0"/>
          <w:iCs w:val="0"/>
          <w:caps w:val="0"/>
          <w:color w:val="333333"/>
          <w:spacing w:val="0"/>
          <w:sz w:val="21"/>
          <w:szCs w:val="21"/>
          <w:shd w:val="clear" w:fill="FFFFFF"/>
          <w:vertAlign w:val="baseline"/>
        </w:rPr>
        <w:t>同正项目管理有限公司</w:t>
      </w:r>
    </w:p>
    <w:p w14:paraId="3F29546F">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right"/>
        <w:textAlignment w:val="baseline"/>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aps w:val="0"/>
          <w:color w:val="333333"/>
          <w:spacing w:val="0"/>
          <w:sz w:val="21"/>
          <w:szCs w:val="21"/>
          <w:shd w:val="clear" w:fill="FFFFFF"/>
          <w:vertAlign w:val="baseline"/>
        </w:rPr>
        <w:t>2025年06月24日</w:t>
      </w:r>
    </w:p>
    <w:p w14:paraId="539D288A">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40" w:beforeAutospacing="0" w:after="240" w:afterAutospacing="0" w:line="360" w:lineRule="auto"/>
        <w:ind w:left="0" w:right="0" w:firstLine="384"/>
        <w:jc w:val="right"/>
        <w:textAlignment w:val="baseline"/>
        <w:rPr>
          <w:rFonts w:hint="eastAsia" w:ascii="仿宋" w:hAnsi="仿宋" w:eastAsia="仿宋" w:cs="仿宋"/>
          <w:color w:val="000000" w:themeColor="text1"/>
          <w:sz w:val="21"/>
          <w:szCs w:val="21"/>
          <w14:textFill>
            <w14:solidFill>
              <w14:schemeClr w14:val="tx1"/>
            </w14:solidFill>
          </w14:textFill>
        </w:rPr>
      </w:pPr>
    </w:p>
    <w:p w14:paraId="46AEE4CF">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9EA5C09">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55122D3">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112E054">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D0EF518">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32AB021">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10ED058C">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2EA03C32">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6F22C1E3">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A3B84DE">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5FA25D6F">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49EC5626">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136CA27D">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38B2DEE">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1F161AF1">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6A12623C">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7094ECC6">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0331B24E">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6EFECD61">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532D8958">
      <w:pPr>
        <w:pStyle w:val="2"/>
        <w:spacing w:line="336" w:lineRule="auto"/>
        <w:ind w:firstLine="2530" w:firstLineChars="700"/>
        <w:jc w:val="both"/>
        <w:rPr>
          <w:rFonts w:hint="eastAsia" w:ascii="黑体" w:hAnsi="黑体" w:eastAsia="黑体" w:cs="黑体"/>
          <w:color w:val="000000" w:themeColor="text1"/>
          <w:szCs w:val="36"/>
          <w14:textFill>
            <w14:solidFill>
              <w14:schemeClr w14:val="tx1"/>
            </w14:solidFill>
          </w14:textFill>
        </w:rPr>
      </w:pPr>
    </w:p>
    <w:p w14:paraId="0623EEA1">
      <w:pPr>
        <w:pStyle w:val="2"/>
        <w:spacing w:line="336" w:lineRule="auto"/>
        <w:ind w:firstLine="2530" w:firstLineChars="700"/>
        <w:jc w:val="both"/>
        <w:rPr>
          <w:rFonts w:ascii="黑体" w:hAnsi="黑体" w:eastAsia="黑体" w:cs="黑体"/>
          <w:color w:val="000000" w:themeColor="text1"/>
          <w:szCs w:val="36"/>
          <w14:textFill>
            <w14:solidFill>
              <w14:schemeClr w14:val="tx1"/>
            </w14:solidFill>
          </w14:textFill>
        </w:rPr>
      </w:pPr>
      <w:r>
        <w:rPr>
          <w:rFonts w:hint="eastAsia" w:ascii="黑体" w:hAnsi="黑体" w:eastAsia="黑体" w:cs="黑体"/>
          <w:color w:val="000000" w:themeColor="text1"/>
          <w:szCs w:val="36"/>
          <w14:textFill>
            <w14:solidFill>
              <w14:schemeClr w14:val="tx1"/>
            </w14:solidFill>
          </w14:textFill>
        </w:rPr>
        <w:t>第二章  投标人须知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9459A06">
      <w:pPr>
        <w:pStyle w:val="22"/>
        <w:adjustRightInd w:val="0"/>
        <w:snapToGrid w:val="0"/>
        <w:spacing w:line="360" w:lineRule="auto"/>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投标人须知前附表</w:t>
      </w:r>
      <w:bookmarkStart w:id="37" w:name="_Toc531189836"/>
      <w:bookmarkStart w:id="38" w:name="_Toc175973397"/>
    </w:p>
    <w:tbl>
      <w:tblPr>
        <w:tblStyle w:val="41"/>
        <w:tblpPr w:leftFromText="180" w:rightFromText="180" w:vertAnchor="text" w:horzAnchor="page" w:tblpX="1077" w:tblpY="377"/>
        <w:tblOverlap w:val="never"/>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88"/>
        <w:gridCol w:w="6960"/>
      </w:tblGrid>
      <w:tr w14:paraId="683B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8" w:type="dxa"/>
            <w:vAlign w:val="center"/>
          </w:tcPr>
          <w:p w14:paraId="7CA39E9E">
            <w:pPr>
              <w:snapToGrid w:val="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2188" w:type="dxa"/>
            <w:vAlign w:val="center"/>
          </w:tcPr>
          <w:p w14:paraId="269C437D">
            <w:pPr>
              <w:snapToGrid w:val="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名称</w:t>
            </w:r>
          </w:p>
        </w:tc>
        <w:tc>
          <w:tcPr>
            <w:tcW w:w="6960" w:type="dxa"/>
            <w:vAlign w:val="center"/>
          </w:tcPr>
          <w:p w14:paraId="7AB1BB30">
            <w:pPr>
              <w:snapToGrid w:val="0"/>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具体内容和要求</w:t>
            </w:r>
          </w:p>
        </w:tc>
      </w:tr>
      <w:tr w14:paraId="07EC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398D6143">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2188" w:type="dxa"/>
            <w:vAlign w:val="center"/>
          </w:tcPr>
          <w:p w14:paraId="68DFD385">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6960" w:type="dxa"/>
            <w:vAlign w:val="center"/>
          </w:tcPr>
          <w:p w14:paraId="1649074F">
            <w:pPr>
              <w:snapToGrid w:val="0"/>
              <w:spacing w:line="288" w:lineRule="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南郑区学校蔬菜、辅料等食材配送服务采购项目（三次）合同包</w:t>
            </w:r>
            <w:r>
              <w:rPr>
                <w:rFonts w:hint="eastAsia" w:ascii="仿宋" w:hAnsi="仿宋" w:eastAsia="仿宋" w:cs="仿宋"/>
                <w:color w:val="000000" w:themeColor="text1"/>
                <w:szCs w:val="21"/>
                <w:lang w:val="en-US" w:eastAsia="zh-CN"/>
                <w14:textFill>
                  <w14:solidFill>
                    <w14:schemeClr w14:val="tx1"/>
                  </w14:solidFill>
                </w14:textFill>
              </w:rPr>
              <w:t>2</w:t>
            </w:r>
          </w:p>
        </w:tc>
      </w:tr>
      <w:tr w14:paraId="6140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2651702D">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2188" w:type="dxa"/>
            <w:vAlign w:val="center"/>
          </w:tcPr>
          <w:p w14:paraId="1F176CB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项目编号</w:t>
            </w:r>
          </w:p>
        </w:tc>
        <w:tc>
          <w:tcPr>
            <w:tcW w:w="6960" w:type="dxa"/>
            <w:vAlign w:val="center"/>
          </w:tcPr>
          <w:p w14:paraId="146B8271">
            <w:pPr>
              <w:snapToGrid w:val="0"/>
              <w:spacing w:line="288" w:lineRule="auto"/>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TZZB-HZ-2025078C-3</w:t>
            </w:r>
          </w:p>
        </w:tc>
      </w:tr>
      <w:tr w14:paraId="54E7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5DD8EF13">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p>
        </w:tc>
        <w:tc>
          <w:tcPr>
            <w:tcW w:w="2188" w:type="dxa"/>
            <w:vAlign w:val="center"/>
          </w:tcPr>
          <w:p w14:paraId="5351157C">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合同包</w:t>
            </w:r>
            <w:r>
              <w:rPr>
                <w:rFonts w:hint="eastAsia" w:ascii="仿宋" w:hAnsi="仿宋" w:eastAsia="仿宋" w:cs="仿宋"/>
                <w:color w:val="000000" w:themeColor="text1"/>
                <w:szCs w:val="21"/>
                <w:lang w:val="en-US" w:eastAsia="zh-CN"/>
                <w14:textFill>
                  <w14:solidFill>
                    <w14:schemeClr w14:val="tx1"/>
                  </w14:solidFill>
                </w14:textFill>
              </w:rPr>
              <w:t>2</w:t>
            </w:r>
          </w:p>
          <w:p w14:paraId="74C0E770">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采购预算及最高限价</w:t>
            </w:r>
          </w:p>
        </w:tc>
        <w:tc>
          <w:tcPr>
            <w:tcW w:w="6960" w:type="dxa"/>
            <w:vAlign w:val="center"/>
          </w:tcPr>
          <w:p w14:paraId="512C5015">
            <w:pPr>
              <w:snapToGrid w:val="0"/>
              <w:spacing w:line="288" w:lineRule="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采购预</w:t>
            </w:r>
            <w:r>
              <w:rPr>
                <w:rFonts w:hint="eastAsia" w:ascii="仿宋" w:hAnsi="仿宋" w:eastAsia="仿宋" w:cs="仿宋"/>
                <w:color w:val="000000" w:themeColor="text1"/>
                <w:szCs w:val="21"/>
                <w:lang w:val="en-US" w:eastAsia="zh-CN"/>
                <w14:textFill>
                  <w14:solidFill>
                    <w14:schemeClr w14:val="tx1"/>
                  </w14:solidFill>
                </w14:textFill>
              </w:rPr>
              <w:t>算：392,400.00元</w:t>
            </w:r>
          </w:p>
          <w:p w14:paraId="723E9752">
            <w:pPr>
              <w:snapToGrid w:val="0"/>
              <w:spacing w:line="288"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最高限价（最高折扣率）：100%（</w:t>
            </w:r>
            <w:r>
              <w:rPr>
                <w:rFonts w:hint="eastAsia" w:ascii="仿宋" w:hAnsi="仿宋" w:eastAsia="仿宋" w:cs="仿宋"/>
                <w:color w:val="000000" w:themeColor="text1"/>
                <w:szCs w:val="21"/>
                <w14:textFill>
                  <w14:solidFill>
                    <w14:schemeClr w14:val="tx1"/>
                  </w14:solidFill>
                </w14:textFill>
              </w:rPr>
              <w:t>投标人报价高于此</w:t>
            </w:r>
            <w:r>
              <w:rPr>
                <w:rFonts w:hint="eastAsia" w:ascii="仿宋" w:hAnsi="仿宋" w:eastAsia="仿宋" w:cs="仿宋"/>
                <w:color w:val="000000" w:themeColor="text1"/>
                <w:szCs w:val="21"/>
                <w:lang w:val="en-US" w:eastAsia="zh-CN"/>
                <w14:textFill>
                  <w14:solidFill>
                    <w14:schemeClr w14:val="tx1"/>
                  </w14:solidFill>
                </w14:textFill>
              </w:rPr>
              <w:t>费率</w:t>
            </w:r>
            <w:r>
              <w:rPr>
                <w:rFonts w:hint="eastAsia" w:ascii="仿宋" w:hAnsi="仿宋" w:eastAsia="仿宋" w:cs="仿宋"/>
                <w:color w:val="000000" w:themeColor="text1"/>
                <w:szCs w:val="21"/>
                <w14:textFill>
                  <w14:solidFill>
                    <w14:schemeClr w14:val="tx1"/>
                  </w14:solidFill>
                </w14:textFill>
              </w:rPr>
              <w:t>按</w:t>
            </w:r>
            <w:r>
              <w:rPr>
                <w:rFonts w:hint="eastAsia" w:ascii="仿宋" w:hAnsi="仿宋" w:eastAsia="仿宋" w:cs="仿宋"/>
                <w:color w:val="000000" w:themeColor="text1"/>
                <w:szCs w:val="21"/>
                <w:lang w:val="en-US" w:eastAsia="zh-CN"/>
                <w14:textFill>
                  <w14:solidFill>
                    <w14:schemeClr w14:val="tx1"/>
                  </w14:solidFill>
                </w14:textFill>
              </w:rPr>
              <w:t>无效投标文件</w:t>
            </w:r>
            <w:r>
              <w:rPr>
                <w:rFonts w:hint="eastAsia" w:ascii="仿宋" w:hAnsi="仿宋" w:eastAsia="仿宋" w:cs="仿宋"/>
                <w:color w:val="000000" w:themeColor="text1"/>
                <w:szCs w:val="21"/>
                <w14:textFill>
                  <w14:solidFill>
                    <w14:schemeClr w14:val="tx1"/>
                  </w14:solidFill>
                </w14:textFill>
              </w:rPr>
              <w:t>处理）</w:t>
            </w:r>
          </w:p>
          <w:p w14:paraId="5B8A5240">
            <w:pPr>
              <w:snapToGrid w:val="0"/>
              <w:spacing w:line="288" w:lineRule="auto"/>
              <w:rPr>
                <w:rFonts w:hint="default"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注：本合同包按费率报价，投标总报价为折扣率，折扣率不得超过100%，最终以实际供应量×折扣率结算，未按折扣率报价按无效投标文件处理。</w:t>
            </w:r>
          </w:p>
        </w:tc>
      </w:tr>
      <w:tr w14:paraId="25B7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18E23939">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p>
        </w:tc>
        <w:tc>
          <w:tcPr>
            <w:tcW w:w="2188" w:type="dxa"/>
            <w:vAlign w:val="center"/>
          </w:tcPr>
          <w:p w14:paraId="1751686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是否专门面向中小</w:t>
            </w:r>
          </w:p>
          <w:p w14:paraId="50B42627">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企业采购</w:t>
            </w:r>
          </w:p>
        </w:tc>
        <w:tc>
          <w:tcPr>
            <w:tcW w:w="6960" w:type="dxa"/>
            <w:vAlign w:val="center"/>
          </w:tcPr>
          <w:p w14:paraId="3A0DCB0C">
            <w:pPr>
              <w:snapToGrid w:val="0"/>
              <w:spacing w:line="288" w:lineRule="auto"/>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是（专门面向中、小企业采购）</w:t>
            </w:r>
          </w:p>
        </w:tc>
      </w:tr>
      <w:tr w14:paraId="4C58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98" w:type="dxa"/>
            <w:vAlign w:val="center"/>
          </w:tcPr>
          <w:p w14:paraId="474DEDB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c>
          <w:tcPr>
            <w:tcW w:w="2188" w:type="dxa"/>
            <w:vAlign w:val="center"/>
          </w:tcPr>
          <w:p w14:paraId="799D5876">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公告媒体</w:t>
            </w:r>
          </w:p>
        </w:tc>
        <w:tc>
          <w:tcPr>
            <w:tcW w:w="6960" w:type="dxa"/>
            <w:vAlign w:val="center"/>
          </w:tcPr>
          <w:p w14:paraId="78F0366C">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陕西省政府采购网</w:t>
            </w:r>
          </w:p>
        </w:tc>
      </w:tr>
      <w:tr w14:paraId="527F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98" w:type="dxa"/>
            <w:vAlign w:val="center"/>
          </w:tcPr>
          <w:p w14:paraId="3901E58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w:t>
            </w:r>
          </w:p>
        </w:tc>
        <w:tc>
          <w:tcPr>
            <w:tcW w:w="2188" w:type="dxa"/>
            <w:vAlign w:val="center"/>
          </w:tcPr>
          <w:p w14:paraId="7A74AB42">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采购人</w:t>
            </w:r>
          </w:p>
        </w:tc>
        <w:tc>
          <w:tcPr>
            <w:tcW w:w="6960" w:type="dxa"/>
            <w:vAlign w:val="center"/>
          </w:tcPr>
          <w:p w14:paraId="552D0FEB">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采购人信息：</w:t>
            </w:r>
            <w:r>
              <w:rPr>
                <w:rFonts w:hint="eastAsia" w:ascii="仿宋" w:hAnsi="仿宋" w:eastAsia="仿宋" w:cs="仿宋"/>
                <w:color w:val="000000" w:themeColor="text1"/>
                <w:lang w:eastAsia="zh-CN"/>
                <w14:textFill>
                  <w14:solidFill>
                    <w14:schemeClr w14:val="tx1"/>
                  </w14:solidFill>
                </w14:textFill>
              </w:rPr>
              <w:t>汉中市南郑区教育体育局</w:t>
            </w:r>
          </w:p>
          <w:p w14:paraId="7BFE69A8">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r>
              <w:rPr>
                <w:rFonts w:hint="eastAsia" w:ascii="仿宋" w:hAnsi="仿宋" w:eastAsia="仿宋" w:cs="仿宋"/>
                <w:color w:val="000000" w:themeColor="text1"/>
                <w:lang w:eastAsia="zh-CN"/>
                <w14:textFill>
                  <w14:solidFill>
                    <w14:schemeClr w14:val="tx1"/>
                  </w14:solidFill>
                </w14:textFill>
              </w:rPr>
              <w:t>汉山街道办事处建设巷</w:t>
            </w:r>
          </w:p>
          <w:p w14:paraId="4221AE4A">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联系方式：</w:t>
            </w:r>
            <w:r>
              <w:rPr>
                <w:rFonts w:hint="eastAsia" w:ascii="仿宋" w:hAnsi="仿宋" w:eastAsia="仿宋" w:cs="仿宋"/>
                <w:color w:val="000000" w:themeColor="text1"/>
                <w:lang w:eastAsia="zh-CN"/>
                <w14:textFill>
                  <w14:solidFill>
                    <w14:schemeClr w14:val="tx1"/>
                  </w14:solidFill>
                </w14:textFill>
              </w:rPr>
              <w:t>0916-5514466</w:t>
            </w:r>
          </w:p>
        </w:tc>
      </w:tr>
      <w:tr w14:paraId="026B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8" w:type="dxa"/>
            <w:vAlign w:val="center"/>
          </w:tcPr>
          <w:p w14:paraId="44C36B69">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p>
        </w:tc>
        <w:tc>
          <w:tcPr>
            <w:tcW w:w="2188" w:type="dxa"/>
            <w:vAlign w:val="center"/>
          </w:tcPr>
          <w:p w14:paraId="156284A2">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采购代理机构</w:t>
            </w:r>
          </w:p>
        </w:tc>
        <w:tc>
          <w:tcPr>
            <w:tcW w:w="6960" w:type="dxa"/>
            <w:vAlign w:val="center"/>
          </w:tcPr>
          <w:p w14:paraId="25224379">
            <w:pPr>
              <w:snapToGrid w:val="0"/>
              <w:spacing w:line="288"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采购代理机构名称：同正项目管理有限公司</w:t>
            </w:r>
          </w:p>
          <w:p w14:paraId="39784E86">
            <w:pPr>
              <w:snapToGrid w:val="0"/>
              <w:spacing w:line="288"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r>
              <w:rPr>
                <w:rFonts w:hint="eastAsia" w:ascii="仿宋" w:hAnsi="仿宋" w:eastAsia="仿宋" w:cs="仿宋"/>
                <w:color w:val="000000" w:themeColor="text1"/>
                <w:lang w:eastAsia="zh-CN"/>
                <w14:textFill>
                  <w14:solidFill>
                    <w14:schemeClr w14:val="tx1"/>
                  </w14:solidFill>
                </w14:textFill>
              </w:rPr>
              <w:t>汉中市汉台区西一环路蓝天御苑小区商铺二层门面房南侧</w:t>
            </w:r>
          </w:p>
          <w:p w14:paraId="0DCD34D8">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联系方式：0916-8897702</w:t>
            </w:r>
          </w:p>
        </w:tc>
      </w:tr>
      <w:tr w14:paraId="12DB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8" w:type="dxa"/>
            <w:vAlign w:val="center"/>
          </w:tcPr>
          <w:p w14:paraId="1640F900">
            <w:pPr>
              <w:shd w:val="clea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8</w:t>
            </w:r>
          </w:p>
        </w:tc>
        <w:tc>
          <w:tcPr>
            <w:tcW w:w="2188" w:type="dxa"/>
            <w:vAlign w:val="center"/>
          </w:tcPr>
          <w:p w14:paraId="605A112E">
            <w:pPr>
              <w:pStyle w:val="150"/>
              <w:jc w:val="center"/>
              <w:rPr>
                <w:rFonts w:hint="eastAsia" w:ascii="仿宋" w:hAnsi="仿宋" w:eastAsia="仿宋" w:cs="仿宋"/>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资格审查时是否</w:t>
            </w:r>
          </w:p>
          <w:p w14:paraId="71A77DAE">
            <w:pPr>
              <w:pStyle w:val="1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2"/>
                <w:szCs w:val="22"/>
                <w:lang w:val="zh-CN"/>
                <w14:textFill>
                  <w14:solidFill>
                    <w14:schemeClr w14:val="tx1"/>
                  </w14:solidFill>
                </w14:textFill>
              </w:rPr>
              <w:t>核验证件</w:t>
            </w:r>
          </w:p>
        </w:tc>
        <w:tc>
          <w:tcPr>
            <w:tcW w:w="6960" w:type="dxa"/>
            <w:vAlign w:val="center"/>
          </w:tcPr>
          <w:p w14:paraId="372409CC">
            <w:pPr>
              <w:numPr>
                <w:ilvl w:val="0"/>
                <w:numId w:val="0"/>
              </w:numPr>
              <w:spacing w:line="340" w:lineRule="exact"/>
              <w:ind w:right="105" w:rightChars="50"/>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需要，核验要求：</w:t>
            </w:r>
            <w:r>
              <w:rPr>
                <w:rFonts w:hint="eastAsia" w:ascii="仿宋" w:hAnsi="仿宋" w:eastAsia="仿宋" w:cs="仿宋"/>
                <w:color w:val="000000" w:themeColor="text1"/>
                <w:sz w:val="22"/>
                <w:szCs w:val="22"/>
                <w:lang w:val="en-US" w:eastAsia="zh-CN"/>
                <w14:textFill>
                  <w14:solidFill>
                    <w14:schemeClr w14:val="tx1"/>
                  </w14:solidFill>
                </w14:textFill>
              </w:rPr>
              <w:t>投标人法定代表人或被授权人的有效身份证件原件</w:t>
            </w:r>
          </w:p>
          <w:p w14:paraId="1759CDEC">
            <w:pPr>
              <w:pStyle w:val="150"/>
              <w:spacing w:line="320" w:lineRule="exact"/>
              <w:ind w:right="105" w:rightChars="50"/>
              <w:rPr>
                <w:rFonts w:eastAsia="仿宋"/>
                <w:color w:val="000000" w:themeColor="text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kern w:val="2"/>
                <w:sz w:val="22"/>
                <w:szCs w:val="22"/>
                <w14:textFill>
                  <w14:solidFill>
                    <w14:schemeClr w14:val="tx1"/>
                  </w14:solidFill>
                </w14:textFill>
              </w:rPr>
              <w:t>不需要</w:t>
            </w:r>
          </w:p>
        </w:tc>
      </w:tr>
      <w:tr w14:paraId="1ADC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79A022AF">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2188" w:type="dxa"/>
            <w:vAlign w:val="center"/>
          </w:tcPr>
          <w:p w14:paraId="200970B5">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构成招标文件的其他材料</w:t>
            </w:r>
          </w:p>
        </w:tc>
        <w:tc>
          <w:tcPr>
            <w:tcW w:w="6960" w:type="dxa"/>
            <w:vAlign w:val="center"/>
          </w:tcPr>
          <w:p w14:paraId="49D1B666">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招标变更、答疑文件等相关材料</w:t>
            </w:r>
          </w:p>
        </w:tc>
      </w:tr>
      <w:tr w14:paraId="3510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4062E0FB">
            <w:pPr>
              <w:pStyle w:val="36"/>
              <w:spacing w:before="0" w:beforeAutospacing="0" w:after="0" w:afterAutospacing="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2188" w:type="dxa"/>
            <w:vAlign w:val="center"/>
          </w:tcPr>
          <w:p w14:paraId="4369ED5F">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投标人要求澄清招标文件的截止时间</w:t>
            </w:r>
          </w:p>
        </w:tc>
        <w:tc>
          <w:tcPr>
            <w:tcW w:w="6960" w:type="dxa"/>
            <w:vAlign w:val="center"/>
          </w:tcPr>
          <w:p w14:paraId="399ED8F5">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投标截止时间</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天前</w:t>
            </w:r>
          </w:p>
        </w:tc>
      </w:tr>
      <w:tr w14:paraId="1107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3A6AE2EC">
            <w:pPr>
              <w:pStyle w:val="36"/>
              <w:spacing w:before="0" w:beforeAutospacing="0" w:after="0" w:afterAutospacing="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11</w:t>
            </w:r>
          </w:p>
        </w:tc>
        <w:tc>
          <w:tcPr>
            <w:tcW w:w="2188" w:type="dxa"/>
            <w:vAlign w:val="center"/>
          </w:tcPr>
          <w:p w14:paraId="6835F220">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投标人确认收到招标文件澄清的时间</w:t>
            </w:r>
          </w:p>
        </w:tc>
        <w:tc>
          <w:tcPr>
            <w:tcW w:w="6960" w:type="dxa"/>
            <w:vAlign w:val="center"/>
          </w:tcPr>
          <w:p w14:paraId="6FD6C5E1">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招标文件澄清发出后24小时以内</w:t>
            </w:r>
          </w:p>
        </w:tc>
      </w:tr>
      <w:tr w14:paraId="6BC3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0BE0A9BF">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2188" w:type="dxa"/>
            <w:vAlign w:val="center"/>
          </w:tcPr>
          <w:p w14:paraId="3848E472">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投标人确认收到招标文件修改的时间</w:t>
            </w:r>
          </w:p>
        </w:tc>
        <w:tc>
          <w:tcPr>
            <w:tcW w:w="6960" w:type="dxa"/>
            <w:vAlign w:val="center"/>
          </w:tcPr>
          <w:p w14:paraId="243B5744">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招标文件修改发出后24小时以内</w:t>
            </w:r>
          </w:p>
        </w:tc>
      </w:tr>
      <w:tr w14:paraId="6EA4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2886B68C">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2188" w:type="dxa"/>
            <w:vAlign w:val="center"/>
          </w:tcPr>
          <w:p w14:paraId="3005CC4D">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构成投标文件的其他材料</w:t>
            </w:r>
          </w:p>
        </w:tc>
        <w:tc>
          <w:tcPr>
            <w:tcW w:w="6960" w:type="dxa"/>
            <w:vAlign w:val="center"/>
          </w:tcPr>
          <w:p w14:paraId="13263FAB">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投标人按照招标文件的要求认为有利于投标的材料</w:t>
            </w:r>
          </w:p>
        </w:tc>
      </w:tr>
      <w:tr w14:paraId="3C1E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Align w:val="center"/>
          </w:tcPr>
          <w:p w14:paraId="4086E55E">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2188" w:type="dxa"/>
            <w:vAlign w:val="center"/>
          </w:tcPr>
          <w:p w14:paraId="071301A0">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投标文件有效期</w:t>
            </w:r>
          </w:p>
        </w:tc>
        <w:tc>
          <w:tcPr>
            <w:tcW w:w="6960" w:type="dxa"/>
            <w:vAlign w:val="center"/>
          </w:tcPr>
          <w:p w14:paraId="2D11255B">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投标文件有效期为自开标之日起算90天</w:t>
            </w:r>
          </w:p>
        </w:tc>
      </w:tr>
      <w:tr w14:paraId="10EE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98" w:type="dxa"/>
            <w:vAlign w:val="center"/>
          </w:tcPr>
          <w:p w14:paraId="390559D7">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2188" w:type="dxa"/>
            <w:vAlign w:val="center"/>
          </w:tcPr>
          <w:p w14:paraId="4B5CE795">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现场踏勘</w:t>
            </w:r>
          </w:p>
        </w:tc>
        <w:tc>
          <w:tcPr>
            <w:tcW w:w="6960" w:type="dxa"/>
            <w:vAlign w:val="center"/>
          </w:tcPr>
          <w:p w14:paraId="747E0756">
            <w:pPr>
              <w:pStyle w:val="36"/>
              <w:spacing w:before="0" w:beforeAutospacing="0" w:after="0" w:afterAutospacing="0" w:line="288" w:lineRule="auto"/>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本项目投标人可自行踏勘（采购代理机构不统一组织），各投标人根据采购内容及要求并结合自身情况选择是否进行踏勘活动，因现场勘查不准确造成的方案及报价偏差后果由投标人自行承担。</w:t>
            </w:r>
          </w:p>
        </w:tc>
      </w:tr>
      <w:tr w14:paraId="752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698" w:type="dxa"/>
            <w:vAlign w:val="center"/>
          </w:tcPr>
          <w:p w14:paraId="5AE76AB9">
            <w:pPr>
              <w:pStyle w:val="36"/>
              <w:spacing w:before="0" w:beforeAutospacing="0" w:after="0" w:afterAutospacing="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2188" w:type="dxa"/>
            <w:vAlign w:val="center"/>
          </w:tcPr>
          <w:p w14:paraId="60BCCE13">
            <w:pPr>
              <w:pStyle w:val="36"/>
              <w:spacing w:before="0" w:beforeAutospacing="0" w:after="0" w:afterAutospacing="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落实政府采购政策需满足的资格要求</w:t>
            </w:r>
          </w:p>
        </w:tc>
        <w:tc>
          <w:tcPr>
            <w:tcW w:w="6960" w:type="dxa"/>
            <w:vAlign w:val="center"/>
          </w:tcPr>
          <w:p w14:paraId="267F8DFE">
            <w:pPr>
              <w:snapToGrid w:val="0"/>
              <w:spacing w:line="288" w:lineRule="auto"/>
              <w:ind w:firstLine="420" w:firstLineChars="200"/>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vertAlign w:val="baseline"/>
                <w:lang w:eastAsia="zh-CN"/>
                <w14:textFill>
                  <w14:solidFill>
                    <w14:schemeClr w14:val="tx1"/>
                  </w14:solidFill>
                </w14:textFill>
              </w:rPr>
              <w:t>专门面向中小企业采购，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r>
              <w:rPr>
                <w:rFonts w:hint="eastAsia" w:ascii="仿宋" w:hAnsi="仿宋" w:eastAsia="仿宋" w:cs="仿宋"/>
                <w:i w:val="0"/>
                <w:caps w:val="0"/>
                <w:color w:val="000000" w:themeColor="text1"/>
                <w:spacing w:val="0"/>
                <w:sz w:val="21"/>
                <w:szCs w:val="21"/>
                <w:shd w:val="clear" w:fill="FFFFFF"/>
                <w:vertAlign w:val="baseline"/>
                <w14:textFill>
                  <w14:solidFill>
                    <w14:schemeClr w14:val="tx1"/>
                  </w14:solidFill>
                </w14:textFill>
              </w:rPr>
              <w:t>(监狱企业或残疾人福利性单位视同小型、微型企业)。</w:t>
            </w:r>
          </w:p>
          <w:p w14:paraId="473680B3">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20" w:firstLineChars="20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本项目属性为：服务类</w:t>
            </w:r>
          </w:p>
          <w:p w14:paraId="7A2AF3D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firstLine="420" w:firstLineChars="20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本项目采购标的所属行业为：餐饮业</w:t>
            </w:r>
          </w:p>
          <w:p w14:paraId="08868C4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划型标准：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308921">
            <w:pPr>
              <w:pStyle w:val="36"/>
              <w:spacing w:before="0" w:beforeAutospacing="0" w:after="0" w:afterAutospacing="0" w:line="288"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根据《政府采购促进中小企业发展管理办法》（财库﹝2020﹞46号）第十一条相关规定。</w:t>
            </w:r>
            <w:r>
              <w:rPr>
                <w:rFonts w:hint="eastAsia" w:ascii="仿宋" w:hAnsi="仿宋" w:eastAsia="仿宋" w:cs="仿宋"/>
                <w:color w:val="000000" w:themeColor="text1"/>
                <w:sz w:val="21"/>
                <w:szCs w:val="21"/>
                <w:lang w:val="en-US" w:eastAsia="zh-CN"/>
                <w14:textFill>
                  <w14:solidFill>
                    <w14:schemeClr w14:val="tx1"/>
                  </w14:solidFill>
                </w14:textFill>
              </w:rPr>
              <w:t>小、微</w:t>
            </w:r>
            <w:r>
              <w:rPr>
                <w:rFonts w:hint="eastAsia" w:ascii="仿宋" w:hAnsi="仿宋" w:eastAsia="仿宋" w:cs="仿宋"/>
                <w:color w:val="000000" w:themeColor="text1"/>
                <w:sz w:val="21"/>
                <w:szCs w:val="21"/>
                <w14:textFill>
                  <w14:solidFill>
                    <w14:schemeClr w14:val="tx1"/>
                  </w14:solidFill>
                </w14:textFill>
              </w:rPr>
              <w:t>企业参加政府采购活动，应当出具有效的《中小企业声明函》，才可以通过资格审查并享受</w:t>
            </w:r>
            <w:r>
              <w:rPr>
                <w:rFonts w:hint="eastAsia" w:ascii="仿宋" w:hAnsi="仿宋" w:eastAsia="仿宋" w:cs="仿宋"/>
                <w:color w:val="000000" w:themeColor="text1"/>
                <w:sz w:val="21"/>
                <w:szCs w:val="21"/>
                <w:lang w:val="en-US" w:eastAsia="zh-CN"/>
                <w14:textFill>
                  <w14:solidFill>
                    <w14:schemeClr w14:val="tx1"/>
                  </w14:solidFill>
                </w14:textFill>
              </w:rPr>
              <w:t>小、微</w:t>
            </w:r>
            <w:r>
              <w:rPr>
                <w:rFonts w:hint="eastAsia" w:ascii="仿宋" w:hAnsi="仿宋" w:eastAsia="仿宋" w:cs="仿宋"/>
                <w:color w:val="000000" w:themeColor="text1"/>
                <w:sz w:val="21"/>
                <w:szCs w:val="21"/>
                <w14:textFill>
                  <w14:solidFill>
                    <w14:schemeClr w14:val="tx1"/>
                  </w14:solidFill>
                </w14:textFill>
              </w:rPr>
              <w:t>企业扶持政策</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未提供按无效投标文件处理</w:t>
            </w:r>
            <w:r>
              <w:rPr>
                <w:rFonts w:hint="eastAsia" w:ascii="仿宋" w:hAnsi="仿宋" w:eastAsia="仿宋" w:cs="仿宋"/>
                <w:color w:val="000000" w:themeColor="text1"/>
                <w:sz w:val="21"/>
                <w:szCs w:val="21"/>
                <w14:textFill>
                  <w14:solidFill>
                    <w14:schemeClr w14:val="tx1"/>
                  </w14:solidFill>
                </w14:textFill>
              </w:rPr>
              <w:t>。</w:t>
            </w:r>
          </w:p>
        </w:tc>
      </w:tr>
      <w:tr w14:paraId="0157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restart"/>
            <w:vAlign w:val="center"/>
          </w:tcPr>
          <w:p w14:paraId="3B710B38">
            <w:pPr>
              <w:snapToGrid w:val="0"/>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w:t>
            </w:r>
          </w:p>
        </w:tc>
        <w:tc>
          <w:tcPr>
            <w:tcW w:w="2188" w:type="dxa"/>
            <w:vAlign w:val="center"/>
          </w:tcPr>
          <w:p w14:paraId="22EB3C5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递交投标文件的截止时间和递交地点</w:t>
            </w:r>
          </w:p>
        </w:tc>
        <w:tc>
          <w:tcPr>
            <w:tcW w:w="6960" w:type="dxa"/>
            <w:vAlign w:val="center"/>
          </w:tcPr>
          <w:p w14:paraId="79F707A7">
            <w:pPr>
              <w:snapToGrid w:val="0"/>
              <w:spacing w:line="288" w:lineRule="auto"/>
              <w:rPr>
                <w:rFonts w:hint="eastAsia" w:ascii="仿宋" w:hAnsi="仿宋" w:eastAsia="仿宋" w:cs="仿宋"/>
                <w:b/>
                <w:bCs/>
                <w:color w:val="000000" w:themeColor="text1"/>
                <w:szCs w:val="21"/>
                <w:shd w:val="clear" w:color="auto" w:fill="FFFFFF"/>
                <w:lang w:val="en-US"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1、时间： </w:t>
            </w:r>
            <w:r>
              <w:rPr>
                <w:rFonts w:hint="eastAsia" w:ascii="仿宋" w:hAnsi="仿宋" w:eastAsia="仿宋" w:cs="仿宋"/>
                <w:b/>
                <w:bCs/>
                <w:color w:val="000000" w:themeColor="text1"/>
                <w:szCs w:val="21"/>
                <w:lang w:val="en-US" w:eastAsia="zh-CN"/>
                <w14:textFill>
                  <w14:solidFill>
                    <w14:schemeClr w14:val="tx1"/>
                  </w14:solidFill>
                </w14:textFill>
              </w:rPr>
              <w:t>同采购公告载明的时间一致，投标</w:t>
            </w:r>
            <w:r>
              <w:rPr>
                <w:rFonts w:hint="eastAsia" w:ascii="仿宋" w:hAnsi="仿宋" w:eastAsia="仿宋" w:cs="仿宋"/>
                <w:b/>
                <w:bCs/>
                <w:color w:val="000000" w:themeColor="text1"/>
                <w:szCs w:val="21"/>
                <w:lang w:val="zh-CN" w:eastAsia="zh-CN"/>
                <w14:textFill>
                  <w14:solidFill>
                    <w14:schemeClr w14:val="tx1"/>
                  </w14:solidFill>
                </w14:textFill>
              </w:rPr>
              <w:t>截止时间后送达的</w:t>
            </w:r>
            <w:r>
              <w:rPr>
                <w:rFonts w:hint="eastAsia" w:ascii="仿宋" w:hAnsi="仿宋" w:eastAsia="仿宋" w:cs="仿宋"/>
                <w:b/>
                <w:bCs/>
                <w:color w:val="000000" w:themeColor="text1"/>
                <w:szCs w:val="21"/>
                <w:lang w:val="en-US" w:eastAsia="zh-CN"/>
                <w14:textFill>
                  <w14:solidFill>
                    <w14:schemeClr w14:val="tx1"/>
                  </w14:solidFill>
                </w14:textFill>
              </w:rPr>
              <w:t>投标</w:t>
            </w:r>
            <w:r>
              <w:rPr>
                <w:rFonts w:hint="eastAsia" w:ascii="仿宋" w:hAnsi="仿宋" w:eastAsia="仿宋" w:cs="仿宋"/>
                <w:b/>
                <w:bCs/>
                <w:color w:val="000000" w:themeColor="text1"/>
                <w:szCs w:val="21"/>
                <w:lang w:val="zh-CN" w:eastAsia="zh-CN"/>
                <w14:textFill>
                  <w14:solidFill>
                    <w14:schemeClr w14:val="tx1"/>
                  </w14:solidFill>
                </w14:textFill>
              </w:rPr>
              <w:t>文件将被拒收</w:t>
            </w:r>
          </w:p>
          <w:p w14:paraId="64FF55DB">
            <w:pPr>
              <w:snapToGrid w:val="0"/>
              <w:spacing w:line="288" w:lineRule="auto"/>
              <w:rPr>
                <w:rFonts w:hint="eastAsia"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2、地点：</w:t>
            </w:r>
            <w:r>
              <w:rPr>
                <w:rFonts w:hint="eastAsia" w:ascii="仿宋" w:hAnsi="仿宋" w:eastAsia="仿宋" w:cs="仿宋"/>
                <w:b/>
                <w:bCs/>
                <w:color w:val="000000" w:themeColor="text1"/>
                <w:szCs w:val="21"/>
                <w:lang w:val="en-US" w:eastAsia="zh-CN"/>
                <w14:textFill>
                  <w14:solidFill>
                    <w14:schemeClr w14:val="tx1"/>
                  </w14:solidFill>
                </w14:textFill>
              </w:rPr>
              <w:t>同采购公告载明的地点一致</w:t>
            </w:r>
          </w:p>
        </w:tc>
      </w:tr>
      <w:tr w14:paraId="174A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3A92A2F8">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4CCD942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开标时间和地点</w:t>
            </w:r>
          </w:p>
        </w:tc>
        <w:tc>
          <w:tcPr>
            <w:tcW w:w="6960" w:type="dxa"/>
            <w:vAlign w:val="center"/>
          </w:tcPr>
          <w:p w14:paraId="51592E44">
            <w:pPr>
              <w:snapToGrid w:val="0"/>
              <w:spacing w:line="288" w:lineRule="auto"/>
              <w:rPr>
                <w:rFonts w:hint="eastAsia" w:ascii="仿宋" w:hAnsi="仿宋" w:eastAsia="仿宋" w:cs="仿宋"/>
                <w:b/>
                <w:bCs/>
                <w:color w:val="000000" w:themeColor="text1"/>
                <w:szCs w:val="21"/>
                <w:shd w:val="clear" w:color="auto" w:fill="FFFFFF"/>
                <w:lang w:val="en-US"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1、时间： </w:t>
            </w:r>
            <w:r>
              <w:rPr>
                <w:rFonts w:hint="eastAsia" w:ascii="仿宋" w:hAnsi="仿宋" w:eastAsia="仿宋" w:cs="仿宋"/>
                <w:b/>
                <w:bCs/>
                <w:color w:val="000000" w:themeColor="text1"/>
                <w:szCs w:val="21"/>
                <w:lang w:val="en-US" w:eastAsia="zh-CN"/>
                <w14:textFill>
                  <w14:solidFill>
                    <w14:schemeClr w14:val="tx1"/>
                  </w14:solidFill>
                </w14:textFill>
              </w:rPr>
              <w:t>同采购公告载明的时间一致，投标</w:t>
            </w:r>
            <w:r>
              <w:rPr>
                <w:rFonts w:hint="eastAsia" w:ascii="仿宋" w:hAnsi="仿宋" w:eastAsia="仿宋" w:cs="仿宋"/>
                <w:b/>
                <w:bCs/>
                <w:color w:val="000000" w:themeColor="text1"/>
                <w:szCs w:val="21"/>
                <w:lang w:val="zh-CN" w:eastAsia="zh-CN"/>
                <w14:textFill>
                  <w14:solidFill>
                    <w14:schemeClr w14:val="tx1"/>
                  </w14:solidFill>
                </w14:textFill>
              </w:rPr>
              <w:t>截止时间后送达的</w:t>
            </w:r>
            <w:r>
              <w:rPr>
                <w:rFonts w:hint="eastAsia" w:ascii="仿宋" w:hAnsi="仿宋" w:eastAsia="仿宋" w:cs="仿宋"/>
                <w:b/>
                <w:bCs/>
                <w:color w:val="000000" w:themeColor="text1"/>
                <w:szCs w:val="21"/>
                <w:lang w:val="en-US" w:eastAsia="zh-CN"/>
                <w14:textFill>
                  <w14:solidFill>
                    <w14:schemeClr w14:val="tx1"/>
                  </w14:solidFill>
                </w14:textFill>
              </w:rPr>
              <w:t>投标</w:t>
            </w:r>
            <w:r>
              <w:rPr>
                <w:rFonts w:hint="eastAsia" w:ascii="仿宋" w:hAnsi="仿宋" w:eastAsia="仿宋" w:cs="仿宋"/>
                <w:b/>
                <w:bCs/>
                <w:color w:val="000000" w:themeColor="text1"/>
                <w:szCs w:val="21"/>
                <w:lang w:val="zh-CN" w:eastAsia="zh-CN"/>
                <w14:textFill>
                  <w14:solidFill>
                    <w14:schemeClr w14:val="tx1"/>
                  </w14:solidFill>
                </w14:textFill>
              </w:rPr>
              <w:t>文件将被拒收</w:t>
            </w:r>
          </w:p>
          <w:p w14:paraId="5E016AFA">
            <w:pPr>
              <w:snapToGrid w:val="0"/>
              <w:spacing w:line="288" w:lineRule="auto"/>
              <w:rPr>
                <w:rFonts w:hint="eastAsia"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2、地点：</w:t>
            </w:r>
            <w:r>
              <w:rPr>
                <w:rFonts w:hint="eastAsia" w:ascii="仿宋" w:hAnsi="仿宋" w:eastAsia="仿宋" w:cs="仿宋"/>
                <w:b/>
                <w:bCs/>
                <w:color w:val="000000" w:themeColor="text1"/>
                <w:szCs w:val="21"/>
                <w:lang w:val="en-US" w:eastAsia="zh-CN"/>
                <w14:textFill>
                  <w14:solidFill>
                    <w14:schemeClr w14:val="tx1"/>
                  </w14:solidFill>
                </w14:textFill>
              </w:rPr>
              <w:t>同采购公告载明的地点一致</w:t>
            </w:r>
          </w:p>
        </w:tc>
      </w:tr>
      <w:tr w14:paraId="2BB7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98" w:type="dxa"/>
            <w:vAlign w:val="center"/>
          </w:tcPr>
          <w:p w14:paraId="71F4B09F">
            <w:pPr>
              <w:snapToGrid w:val="0"/>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18</w:t>
            </w:r>
          </w:p>
        </w:tc>
        <w:tc>
          <w:tcPr>
            <w:tcW w:w="2188" w:type="dxa"/>
            <w:vAlign w:val="center"/>
          </w:tcPr>
          <w:p w14:paraId="62E725D2">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投标保证金</w:t>
            </w:r>
          </w:p>
        </w:tc>
        <w:tc>
          <w:tcPr>
            <w:tcW w:w="6960" w:type="dxa"/>
            <w:vAlign w:val="center"/>
          </w:tcPr>
          <w:p w14:paraId="24E0DE76">
            <w:pPr>
              <w:pStyle w:val="104"/>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本项目不收取投标保证金</w:t>
            </w:r>
          </w:p>
        </w:tc>
      </w:tr>
      <w:tr w14:paraId="26B9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restart"/>
            <w:vAlign w:val="center"/>
          </w:tcPr>
          <w:p w14:paraId="2164AF56">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19</w:t>
            </w:r>
          </w:p>
        </w:tc>
        <w:tc>
          <w:tcPr>
            <w:tcW w:w="2188" w:type="dxa"/>
            <w:vAlign w:val="center"/>
          </w:tcPr>
          <w:p w14:paraId="24D60DCF">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投标文件份数</w:t>
            </w:r>
          </w:p>
        </w:tc>
        <w:tc>
          <w:tcPr>
            <w:tcW w:w="6960" w:type="dxa"/>
            <w:vAlign w:val="center"/>
          </w:tcPr>
          <w:p w14:paraId="14CAFA12">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投标文件包含正本1份、副本2份、投标文件电子版U盘2份及开标一览表1份</w:t>
            </w:r>
          </w:p>
        </w:tc>
      </w:tr>
      <w:tr w14:paraId="46FD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205DB856">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3ADCC144">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投标文件是否退还</w:t>
            </w:r>
          </w:p>
        </w:tc>
        <w:tc>
          <w:tcPr>
            <w:tcW w:w="6960" w:type="dxa"/>
            <w:vAlign w:val="center"/>
          </w:tcPr>
          <w:p w14:paraId="5A8E6CD0">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3D52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2F60C140">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4500EEEA">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投标文件签字</w:t>
            </w:r>
          </w:p>
          <w:p w14:paraId="59D57343">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或盖章要求</w:t>
            </w:r>
          </w:p>
        </w:tc>
        <w:tc>
          <w:tcPr>
            <w:tcW w:w="6960" w:type="dxa"/>
            <w:vAlign w:val="center"/>
          </w:tcPr>
          <w:p w14:paraId="6DD3EA8C">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投标人必须按照招标文件的规定和要求签字、盖章</w:t>
            </w:r>
          </w:p>
        </w:tc>
      </w:tr>
      <w:tr w14:paraId="0383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8" w:type="dxa"/>
            <w:vMerge w:val="continue"/>
            <w:vAlign w:val="center"/>
          </w:tcPr>
          <w:p w14:paraId="6FF05CC0">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26EDC628">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封装及封套注释</w:t>
            </w:r>
          </w:p>
        </w:tc>
        <w:tc>
          <w:tcPr>
            <w:tcW w:w="6960" w:type="dxa"/>
            <w:vAlign w:val="center"/>
          </w:tcPr>
          <w:p w14:paraId="01AB8B2E">
            <w:pPr>
              <w:numPr>
                <w:ilvl w:val="0"/>
                <w:numId w:val="3"/>
              </w:num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投标文件的正本、副本要求各自分装密封（封袋不得有破损），同时在封口处加贴封条并在骑缝处加盖投标人公章。封套上应载明的信息：项目名称、包号及编号、采购人名称、投标人名称，并注明“</w:t>
            </w:r>
            <w:r>
              <w:rPr>
                <w:rFonts w:hint="eastAsia" w:ascii="仿宋" w:hAnsi="仿宋" w:eastAsia="仿宋" w:cs="仿宋"/>
                <w:color w:val="000000" w:themeColor="text1"/>
                <w:szCs w:val="21"/>
                <w:u w:val="single"/>
                <w14:textFill>
                  <w14:solidFill>
                    <w14:schemeClr w14:val="tx1"/>
                  </w14:solidFill>
                </w14:textFill>
              </w:rPr>
              <w:t>正</w:t>
            </w:r>
            <w:r>
              <w:rPr>
                <w:rFonts w:hint="eastAsia" w:ascii="仿宋" w:hAnsi="仿宋" w:eastAsia="仿宋" w:cs="仿宋"/>
                <w:color w:val="000000" w:themeColor="text1"/>
                <w:szCs w:val="21"/>
                <w:u w:val="single"/>
                <w:lang w:val="en-US" w:eastAsia="zh-CN"/>
                <w14:textFill>
                  <w14:solidFill>
                    <w14:schemeClr w14:val="tx1"/>
                  </w14:solidFill>
                </w14:textFill>
              </w:rPr>
              <w:t>/</w:t>
            </w:r>
            <w:r>
              <w:rPr>
                <w:rFonts w:hint="eastAsia" w:ascii="仿宋" w:hAnsi="仿宋" w:eastAsia="仿宋" w:cs="仿宋"/>
                <w:color w:val="000000" w:themeColor="text1"/>
                <w:szCs w:val="21"/>
                <w:u w:val="single"/>
                <w14:textFill>
                  <w14:solidFill>
                    <w14:schemeClr w14:val="tx1"/>
                  </w14:solidFill>
                </w14:textFill>
              </w:rPr>
              <w:t>副本</w:t>
            </w:r>
            <w:r>
              <w:rPr>
                <w:rFonts w:hint="eastAsia" w:ascii="仿宋" w:hAnsi="仿宋" w:eastAsia="仿宋" w:cs="仿宋"/>
                <w:color w:val="000000" w:themeColor="text1"/>
                <w:szCs w:val="21"/>
                <w14:textFill>
                  <w14:solidFill>
                    <w14:schemeClr w14:val="tx1"/>
                  </w14:solidFill>
                </w14:textFill>
              </w:rPr>
              <w:t>”及“</w:t>
            </w:r>
            <w:r>
              <w:rPr>
                <w:rFonts w:hint="eastAsia" w:ascii="仿宋" w:hAnsi="仿宋" w:eastAsia="仿宋" w:cs="仿宋"/>
                <w:color w:val="000000" w:themeColor="text1"/>
                <w:szCs w:val="21"/>
                <w:u w:val="single"/>
                <w14:textFill>
                  <w14:solidFill>
                    <w14:schemeClr w14:val="tx1"/>
                  </w14:solidFill>
                </w14:textFill>
              </w:rPr>
              <w:t>在    年  月    日  时  分前不得开启</w:t>
            </w:r>
            <w:r>
              <w:rPr>
                <w:rFonts w:hint="eastAsia" w:ascii="仿宋" w:hAnsi="仿宋" w:eastAsia="仿宋" w:cs="仿宋"/>
                <w:color w:val="000000" w:themeColor="text1"/>
                <w:szCs w:val="21"/>
                <w14:textFill>
                  <w14:solidFill>
                    <w14:schemeClr w14:val="tx1"/>
                  </w14:solidFill>
                </w14:textFill>
              </w:rPr>
              <w:t>”字样。</w:t>
            </w:r>
          </w:p>
          <w:p w14:paraId="6F7CE2FC">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开标一览表要求单独密封（封袋不得有破损），同时在封口处加贴封条并在骑缝处加盖投标人公章；投标文件电子版U盘用信封包装后随开标一览表一起封装。封套上应载明的信息：项目名称及编号、采购人名称、投标人名称，并注明“开标一览表及电子版U盘”及“</w:t>
            </w:r>
            <w:r>
              <w:rPr>
                <w:rFonts w:hint="eastAsia" w:ascii="仿宋" w:hAnsi="仿宋" w:eastAsia="仿宋" w:cs="仿宋"/>
                <w:color w:val="000000" w:themeColor="text1"/>
                <w:szCs w:val="21"/>
                <w:u w:val="single"/>
                <w14:textFill>
                  <w14:solidFill>
                    <w14:schemeClr w14:val="tx1"/>
                  </w14:solidFill>
                </w14:textFill>
              </w:rPr>
              <w:t>在    年  月  日  时  分前不得开启</w:t>
            </w:r>
            <w:r>
              <w:rPr>
                <w:rFonts w:hint="eastAsia" w:ascii="仿宋" w:hAnsi="仿宋" w:eastAsia="仿宋" w:cs="仿宋"/>
                <w:color w:val="000000" w:themeColor="text1"/>
                <w:szCs w:val="21"/>
                <w14:textFill>
                  <w14:solidFill>
                    <w14:schemeClr w14:val="tx1"/>
                  </w14:solidFill>
                </w14:textFill>
              </w:rPr>
              <w:t>”字样</w:t>
            </w:r>
          </w:p>
        </w:tc>
      </w:tr>
      <w:tr w14:paraId="461F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restart"/>
            <w:vAlign w:val="center"/>
          </w:tcPr>
          <w:p w14:paraId="2D685472">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w:t>
            </w:r>
          </w:p>
        </w:tc>
        <w:tc>
          <w:tcPr>
            <w:tcW w:w="2188" w:type="dxa"/>
            <w:vAlign w:val="center"/>
          </w:tcPr>
          <w:p w14:paraId="012881CE">
            <w:pPr>
              <w:snapToGrid w:val="0"/>
              <w:ind w:firstLine="420" w:firstLineChars="20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评标</w:t>
            </w:r>
            <w:r>
              <w:rPr>
                <w:rFonts w:hint="eastAsia" w:ascii="仿宋" w:hAnsi="仿宋" w:eastAsia="仿宋" w:cs="仿宋"/>
                <w:color w:val="000000" w:themeColor="text1"/>
                <w:szCs w:val="21"/>
                <w14:textFill>
                  <w14:solidFill>
                    <w14:schemeClr w14:val="tx1"/>
                  </w14:solidFill>
                </w14:textFill>
              </w:rPr>
              <w:t>办法</w:t>
            </w:r>
          </w:p>
        </w:tc>
        <w:tc>
          <w:tcPr>
            <w:tcW w:w="6960" w:type="dxa"/>
            <w:vAlign w:val="center"/>
          </w:tcPr>
          <w:p w14:paraId="06A3425D">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详见招标文件第三章</w:t>
            </w:r>
          </w:p>
        </w:tc>
      </w:tr>
      <w:tr w14:paraId="2801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3CF17B8D">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45C6A962">
            <w:pPr>
              <w:pStyle w:val="150"/>
              <w:ind w:left="96"/>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评标委员会推荐中标候选人的人数</w:t>
            </w:r>
          </w:p>
        </w:tc>
        <w:tc>
          <w:tcPr>
            <w:tcW w:w="6960" w:type="dxa"/>
            <w:vAlign w:val="center"/>
          </w:tcPr>
          <w:p w14:paraId="3B228711">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推荐中标候选人数</w:t>
            </w:r>
            <w:r>
              <w:rPr>
                <w:rFonts w:hint="eastAsia" w:ascii="仿宋" w:hAnsi="仿宋" w:eastAsia="仿宋" w:cs="仿宋"/>
                <w:color w:val="000000" w:themeColor="text1"/>
                <w:szCs w:val="21"/>
                <w14:textFill>
                  <w14:solidFill>
                    <w14:schemeClr w14:val="tx1"/>
                  </w14:solidFill>
                </w14:textFill>
              </w:rPr>
              <w:t>为</w:t>
            </w:r>
            <w:r>
              <w:rPr>
                <w:rFonts w:hint="eastAsia" w:ascii="仿宋" w:hAnsi="仿宋" w:eastAsia="仿宋" w:cs="仿宋"/>
                <w:color w:val="000000" w:themeColor="text1"/>
                <w:szCs w:val="21"/>
                <w:u w:val="single"/>
                <w14:textFill>
                  <w14:solidFill>
                    <w14:schemeClr w14:val="tx1"/>
                  </w14:solidFill>
                </w14:textFill>
              </w:rPr>
              <w:t xml:space="preserve"> 3 </w:t>
            </w:r>
            <w:r>
              <w:rPr>
                <w:rFonts w:hint="eastAsia" w:ascii="仿宋" w:hAnsi="仿宋" w:eastAsia="仿宋" w:cs="仿宋"/>
                <w:color w:val="000000" w:themeColor="text1"/>
                <w:szCs w:val="21"/>
                <w14:textFill>
                  <w14:solidFill>
                    <w14:schemeClr w14:val="tx1"/>
                  </w14:solidFill>
                </w14:textFill>
              </w:rPr>
              <w:t>人</w:t>
            </w:r>
          </w:p>
        </w:tc>
      </w:tr>
      <w:tr w14:paraId="3025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vMerge w:val="continue"/>
            <w:vAlign w:val="center"/>
          </w:tcPr>
          <w:p w14:paraId="6FB2BE09">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1F1847A1">
            <w:pPr>
              <w:snapToGrid w:val="0"/>
              <w:ind w:left="420" w:hanging="420" w:hangingChars="20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是否授权评标委员会确定中标人</w:t>
            </w:r>
          </w:p>
        </w:tc>
        <w:tc>
          <w:tcPr>
            <w:tcW w:w="6960" w:type="dxa"/>
            <w:vAlign w:val="center"/>
          </w:tcPr>
          <w:p w14:paraId="49DF27D4">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4250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8" w:type="dxa"/>
            <w:vMerge w:val="restart"/>
            <w:vAlign w:val="center"/>
          </w:tcPr>
          <w:p w14:paraId="63F4536F">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21</w:t>
            </w:r>
          </w:p>
        </w:tc>
        <w:tc>
          <w:tcPr>
            <w:tcW w:w="2188" w:type="dxa"/>
            <w:vAlign w:val="center"/>
          </w:tcPr>
          <w:p w14:paraId="57A14D76">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采购内容</w:t>
            </w:r>
          </w:p>
        </w:tc>
        <w:tc>
          <w:tcPr>
            <w:tcW w:w="6960" w:type="dxa"/>
            <w:vAlign w:val="center"/>
          </w:tcPr>
          <w:p w14:paraId="596BB81D">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详见招标文件第四章</w:t>
            </w:r>
          </w:p>
        </w:tc>
      </w:tr>
      <w:tr w14:paraId="20C3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8" w:type="dxa"/>
            <w:vMerge w:val="continue"/>
            <w:vAlign w:val="center"/>
          </w:tcPr>
          <w:p w14:paraId="26FD7823">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7A3D827E">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是否采购进口产品</w:t>
            </w:r>
          </w:p>
        </w:tc>
        <w:tc>
          <w:tcPr>
            <w:tcW w:w="6960" w:type="dxa"/>
            <w:vAlign w:val="center"/>
          </w:tcPr>
          <w:p w14:paraId="3F852509">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6348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8" w:type="dxa"/>
            <w:vMerge w:val="continue"/>
            <w:vAlign w:val="center"/>
          </w:tcPr>
          <w:p w14:paraId="210AA343">
            <w:pPr>
              <w:snapToGrid w:val="0"/>
              <w:jc w:val="center"/>
              <w:rPr>
                <w:rFonts w:ascii="仿宋" w:hAnsi="仿宋" w:eastAsia="仿宋" w:cs="仿宋"/>
                <w:color w:val="000000" w:themeColor="text1"/>
                <w:szCs w:val="21"/>
                <w14:textFill>
                  <w14:solidFill>
                    <w14:schemeClr w14:val="tx1"/>
                  </w14:solidFill>
                </w14:textFill>
              </w:rPr>
            </w:pPr>
          </w:p>
        </w:tc>
        <w:tc>
          <w:tcPr>
            <w:tcW w:w="2188" w:type="dxa"/>
            <w:vAlign w:val="center"/>
          </w:tcPr>
          <w:p w14:paraId="7689FF3E">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服务期</w:t>
            </w:r>
          </w:p>
        </w:tc>
        <w:tc>
          <w:tcPr>
            <w:tcW w:w="6960" w:type="dxa"/>
            <w:vAlign w:val="center"/>
          </w:tcPr>
          <w:p w14:paraId="7C1C36EF">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pacing w:val="-6"/>
                <w:sz w:val="21"/>
                <w:szCs w:val="21"/>
                <w:lang w:val="en-US" w:eastAsia="zh-CN"/>
                <w14:textFill>
                  <w14:solidFill>
                    <w14:schemeClr w14:val="tx1"/>
                  </w14:solidFill>
                </w14:textFill>
              </w:rPr>
              <w:t>自合同签订之日起1年</w:t>
            </w:r>
          </w:p>
        </w:tc>
      </w:tr>
      <w:tr w14:paraId="6A5B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4A18ECBF">
            <w:pPr>
              <w:snapToGrid w:val="0"/>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w:t>
            </w:r>
          </w:p>
        </w:tc>
        <w:tc>
          <w:tcPr>
            <w:tcW w:w="2188" w:type="dxa"/>
            <w:vAlign w:val="center"/>
          </w:tcPr>
          <w:p w14:paraId="127130C6">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转包与分包履约</w:t>
            </w:r>
          </w:p>
        </w:tc>
        <w:tc>
          <w:tcPr>
            <w:tcW w:w="6960" w:type="dxa"/>
            <w:vAlign w:val="center"/>
          </w:tcPr>
          <w:p w14:paraId="75D0DCDE">
            <w:pPr>
              <w:snapToGrid w:val="0"/>
              <w:spacing w:line="288"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不得转包。若分包中标人在合同签订之前必须征得采购人同意（详见投标人须知第八项）</w:t>
            </w:r>
          </w:p>
        </w:tc>
      </w:tr>
      <w:tr w14:paraId="37BA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98" w:type="dxa"/>
            <w:vAlign w:val="center"/>
          </w:tcPr>
          <w:p w14:paraId="5D1F49C4">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3</w:t>
            </w:r>
          </w:p>
        </w:tc>
        <w:tc>
          <w:tcPr>
            <w:tcW w:w="2188" w:type="dxa"/>
            <w:vAlign w:val="center"/>
          </w:tcPr>
          <w:p w14:paraId="32A60A11">
            <w:pPr>
              <w:pStyle w:val="150"/>
              <w:ind w:left="96"/>
              <w:jc w:val="center"/>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中标公告的时间、</w:t>
            </w:r>
          </w:p>
          <w:p w14:paraId="068E0170">
            <w:pPr>
              <w:pStyle w:val="150"/>
              <w:ind w:left="96"/>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媒介和期限</w:t>
            </w:r>
          </w:p>
        </w:tc>
        <w:tc>
          <w:tcPr>
            <w:tcW w:w="6960" w:type="dxa"/>
            <w:vAlign w:val="center"/>
          </w:tcPr>
          <w:p w14:paraId="43B9F651">
            <w:pPr>
              <w:pStyle w:val="12"/>
              <w:spacing w:before="156" w:beforeLines="50" w:line="288" w:lineRule="auto"/>
              <w:ind w:firstLine="0"/>
              <w:textAlignment w:val="auto"/>
              <w:rPr>
                <w:rFonts w:ascii="仿宋" w:hAnsi="仿宋" w:eastAsia="仿宋" w:cs="仿宋"/>
                <w:color w:val="000000" w:themeColor="text1"/>
                <w:kern w:val="2"/>
                <w:szCs w:val="21"/>
                <w:lang w:val="zh-CN"/>
                <w14:textFill>
                  <w14:solidFill>
                    <w14:schemeClr w14:val="tx1"/>
                  </w14:solidFill>
                </w14:textFill>
              </w:rPr>
            </w:pPr>
            <w:r>
              <w:rPr>
                <w:rFonts w:hint="eastAsia" w:ascii="仿宋" w:hAnsi="仿宋" w:eastAsia="仿宋" w:cs="仿宋"/>
                <w:color w:val="000000" w:themeColor="text1"/>
                <w:kern w:val="2"/>
                <w:szCs w:val="21"/>
                <w:lang w:val="zh-CN"/>
                <w14:textFill>
                  <w14:solidFill>
                    <w14:schemeClr w14:val="tx1"/>
                  </w14:solidFill>
                </w14:textFill>
              </w:rPr>
              <w:t>公告时间：</w:t>
            </w:r>
            <w:r>
              <w:rPr>
                <w:rFonts w:hint="eastAsia" w:ascii="仿宋" w:hAnsi="仿宋" w:eastAsia="仿宋" w:cs="仿宋"/>
                <w:color w:val="000000" w:themeColor="text1"/>
                <w:kern w:val="2"/>
                <w:szCs w:val="21"/>
                <w14:textFill>
                  <w14:solidFill>
                    <w14:schemeClr w14:val="tx1"/>
                  </w14:solidFill>
                </w14:textFill>
              </w:rPr>
              <w:t>在确定中标人之日起2个工作日内</w:t>
            </w:r>
          </w:p>
          <w:p w14:paraId="4603F1E6">
            <w:pPr>
              <w:pStyle w:val="150"/>
              <w:autoSpaceDE/>
              <w:autoSpaceDN/>
              <w:spacing w:line="288" w:lineRule="auto"/>
              <w:jc w:val="both"/>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公告媒介：陕西省政府采购网</w:t>
            </w:r>
          </w:p>
          <w:p w14:paraId="094BA5DB">
            <w:pPr>
              <w:pStyle w:val="150"/>
              <w:autoSpaceDE/>
              <w:autoSpaceDN/>
              <w:spacing w:line="288" w:lineRule="auto"/>
              <w:jc w:val="both"/>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公告期限：1个工作日</w:t>
            </w:r>
          </w:p>
        </w:tc>
      </w:tr>
      <w:tr w14:paraId="5E61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698" w:type="dxa"/>
            <w:vAlign w:val="center"/>
          </w:tcPr>
          <w:p w14:paraId="42CD2864">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4</w:t>
            </w:r>
          </w:p>
        </w:tc>
        <w:tc>
          <w:tcPr>
            <w:tcW w:w="2188" w:type="dxa"/>
            <w:vAlign w:val="center"/>
          </w:tcPr>
          <w:p w14:paraId="21C3F345">
            <w:pPr>
              <w:snapToGrid w:val="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采购代理服务费</w:t>
            </w:r>
          </w:p>
        </w:tc>
        <w:tc>
          <w:tcPr>
            <w:tcW w:w="6960" w:type="dxa"/>
            <w:vAlign w:val="center"/>
          </w:tcPr>
          <w:p w14:paraId="413587BD">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szCs w:val="21"/>
                <w:lang w:val="zh-CN"/>
                <w14:textFill>
                  <w14:solidFill>
                    <w14:schemeClr w14:val="tx1"/>
                  </w14:solidFill>
                </w14:textFill>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6DB25942">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2、招标代理服务费的交纳方式：在领取《中标通知书》时向采购代理机构一次性全额交纳招标代理服务费。</w:t>
            </w:r>
          </w:p>
          <w:p w14:paraId="2EA604A4">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3、招标代理服务费以转账形式缴纳至以下账户：</w:t>
            </w:r>
          </w:p>
          <w:p w14:paraId="19E9BF55">
            <w:pPr>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交纳账户户名：同正项目管理有限公司汉中分公司</w:t>
            </w:r>
          </w:p>
          <w:p w14:paraId="5F5FD357">
            <w:pPr>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 xml:space="preserve">开户行：中国建设银行股份有限公司汉中北环路支行  </w:t>
            </w:r>
          </w:p>
          <w:p w14:paraId="0AE3D4C9">
            <w:pPr>
              <w:snapToGrid w:val="0"/>
              <w:spacing w:line="312" w:lineRule="auto"/>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账号：6105 0165 5200 0000 0101</w:t>
            </w:r>
          </w:p>
        </w:tc>
      </w:tr>
      <w:tr w14:paraId="06FF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left w:val="single" w:color="auto" w:sz="4" w:space="0"/>
              <w:bottom w:val="single" w:color="auto" w:sz="4" w:space="0"/>
            </w:tcBorders>
            <w:vAlign w:val="center"/>
          </w:tcPr>
          <w:p w14:paraId="3CC6315C">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5</w:t>
            </w:r>
          </w:p>
        </w:tc>
        <w:tc>
          <w:tcPr>
            <w:tcW w:w="2188" w:type="dxa"/>
            <w:tcBorders>
              <w:bottom w:val="single" w:color="auto" w:sz="4" w:space="0"/>
            </w:tcBorders>
            <w:vAlign w:val="center"/>
          </w:tcPr>
          <w:p w14:paraId="165A5679">
            <w:pPr>
              <w:pStyle w:val="150"/>
              <w:jc w:val="center"/>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开标现场是否</w:t>
            </w:r>
          </w:p>
          <w:p w14:paraId="60DAE396">
            <w:pPr>
              <w:pStyle w:val="150"/>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演示与述标</w:t>
            </w:r>
          </w:p>
        </w:tc>
        <w:tc>
          <w:tcPr>
            <w:tcW w:w="6960" w:type="dxa"/>
            <w:tcBorders>
              <w:bottom w:val="single" w:color="auto" w:sz="4" w:space="0"/>
              <w:right w:val="single" w:color="auto" w:sz="4" w:space="0"/>
            </w:tcBorders>
            <w:vAlign w:val="center"/>
          </w:tcPr>
          <w:p w14:paraId="3856A92C">
            <w:pPr>
              <w:spacing w:line="288" w:lineRule="auto"/>
              <w:ind w:left="210" w:right="105" w:rightChars="5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5E33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top w:val="single" w:color="auto" w:sz="4" w:space="0"/>
              <w:left w:val="single" w:color="auto" w:sz="4" w:space="0"/>
              <w:bottom w:val="single" w:color="auto" w:sz="4" w:space="0"/>
            </w:tcBorders>
            <w:vAlign w:val="center"/>
          </w:tcPr>
          <w:p w14:paraId="461B72FE">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6</w:t>
            </w:r>
          </w:p>
        </w:tc>
        <w:tc>
          <w:tcPr>
            <w:tcW w:w="2188" w:type="dxa"/>
            <w:tcBorders>
              <w:top w:val="single" w:color="auto" w:sz="4" w:space="0"/>
              <w:bottom w:val="single" w:color="auto" w:sz="4" w:space="0"/>
            </w:tcBorders>
            <w:vAlign w:val="center"/>
          </w:tcPr>
          <w:p w14:paraId="7D0CC8BB">
            <w:pPr>
              <w:pStyle w:val="150"/>
              <w:jc w:val="center"/>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开标现场是否</w:t>
            </w:r>
          </w:p>
          <w:p w14:paraId="59068BC7">
            <w:pPr>
              <w:pStyle w:val="150"/>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lang w:val="zh-CN"/>
                <w14:textFill>
                  <w14:solidFill>
                    <w14:schemeClr w14:val="tx1"/>
                  </w14:solidFill>
                </w14:textFill>
              </w:rPr>
              <w:t>提供样品</w:t>
            </w:r>
          </w:p>
        </w:tc>
        <w:tc>
          <w:tcPr>
            <w:tcW w:w="6960" w:type="dxa"/>
            <w:tcBorders>
              <w:top w:val="single" w:color="auto" w:sz="4" w:space="0"/>
              <w:bottom w:val="single" w:color="auto" w:sz="4" w:space="0"/>
              <w:right w:val="single" w:color="auto" w:sz="4" w:space="0"/>
            </w:tcBorders>
            <w:vAlign w:val="center"/>
          </w:tcPr>
          <w:p w14:paraId="0628167D">
            <w:pPr>
              <w:spacing w:line="288" w:lineRule="auto"/>
              <w:ind w:right="105" w:rightChars="50" w:firstLine="210" w:firstLineChars="1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否</w:t>
            </w:r>
          </w:p>
        </w:tc>
      </w:tr>
      <w:tr w14:paraId="58B6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tcBorders>
              <w:top w:val="single" w:color="auto" w:sz="4" w:space="0"/>
              <w:left w:val="single" w:color="auto" w:sz="4" w:space="0"/>
              <w:bottom w:val="single" w:color="auto" w:sz="4" w:space="0"/>
            </w:tcBorders>
            <w:vAlign w:val="center"/>
          </w:tcPr>
          <w:p w14:paraId="2B0D9476">
            <w:pPr>
              <w:snapToGrid w:val="0"/>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en-US" w:eastAsia="zh-CN"/>
                <w14:textFill>
                  <w14:solidFill>
                    <w14:schemeClr w14:val="tx1"/>
                  </w14:solidFill>
                </w14:textFill>
              </w:rPr>
              <w:t>7</w:t>
            </w:r>
          </w:p>
        </w:tc>
        <w:tc>
          <w:tcPr>
            <w:tcW w:w="2188" w:type="dxa"/>
            <w:tcBorders>
              <w:top w:val="single" w:color="auto" w:sz="4" w:space="0"/>
              <w:bottom w:val="single" w:color="auto" w:sz="4" w:space="0"/>
            </w:tcBorders>
            <w:vAlign w:val="center"/>
          </w:tcPr>
          <w:p w14:paraId="3105D79F">
            <w:pPr>
              <w:pStyle w:val="150"/>
              <w:jc w:val="center"/>
              <w:rPr>
                <w:rFonts w:hint="default"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评标委员会</w:t>
            </w:r>
            <w:r>
              <w:rPr>
                <w:rFonts w:hint="eastAsia" w:ascii="仿宋" w:hAnsi="仿宋" w:eastAsia="仿宋" w:cs="仿宋"/>
                <w:color w:val="000000" w:themeColor="text1"/>
                <w:kern w:val="2"/>
                <w:sz w:val="21"/>
                <w:szCs w:val="21"/>
                <w:lang w:val="en-US" w:eastAsia="zh-CN"/>
                <w14:textFill>
                  <w14:solidFill>
                    <w14:schemeClr w14:val="tx1"/>
                  </w14:solidFill>
                </w14:textFill>
              </w:rPr>
              <w:t>的组建</w:t>
            </w:r>
          </w:p>
        </w:tc>
        <w:tc>
          <w:tcPr>
            <w:tcW w:w="6960" w:type="dxa"/>
            <w:tcBorders>
              <w:top w:val="single" w:color="auto" w:sz="4" w:space="0"/>
              <w:bottom w:val="single" w:color="auto" w:sz="4" w:space="0"/>
              <w:right w:val="single" w:color="auto" w:sz="4" w:space="0"/>
            </w:tcBorders>
            <w:vAlign w:val="center"/>
          </w:tcPr>
          <w:p w14:paraId="26DED00F">
            <w:pPr>
              <w:spacing w:line="288" w:lineRule="auto"/>
              <w:ind w:right="105" w:rightChars="50"/>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评标委员会构成: 7人</w:t>
            </w:r>
          </w:p>
          <w:p w14:paraId="72F54E96">
            <w:pPr>
              <w:spacing w:line="288" w:lineRule="auto"/>
              <w:ind w:right="105" w:rightChars="50"/>
              <w:jc w:val="left"/>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其中采购人代表： 1 人，评审专家： 6人；</w:t>
            </w:r>
          </w:p>
          <w:p w14:paraId="2C9192B5">
            <w:pPr>
              <w:spacing w:line="288" w:lineRule="auto"/>
              <w:ind w:right="105" w:rightChars="5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评审专家确定方式：从陕西省财政厅设立的专家库中随机抽取</w:t>
            </w:r>
          </w:p>
        </w:tc>
      </w:tr>
    </w:tbl>
    <w:p w14:paraId="64DA6EF3">
      <w:pPr>
        <w:pStyle w:val="72"/>
        <w:spacing w:before="93" w:beforeLines="30" w:beforeAutospacing="0" w:after="0" w:afterAutospacing="0"/>
        <w:rPr>
          <w:rFonts w:ascii="楷体" w:hAnsi="楷体" w:eastAsia="楷体" w:cs="楷体"/>
          <w:color w:val="000000" w:themeColor="text1"/>
          <w:sz w:val="36"/>
          <w:szCs w:val="36"/>
          <w14:textFill>
            <w14:solidFill>
              <w14:schemeClr w14:val="tx1"/>
            </w14:solidFill>
          </w14:textFill>
        </w:rPr>
      </w:pPr>
      <w:r>
        <w:rPr>
          <w:rFonts w:hint="eastAsia" w:ascii="仿宋" w:hAnsi="仿宋" w:eastAsia="仿宋" w:cs="仿宋"/>
          <w:b/>
          <w:bCs/>
          <w:snapToGrid/>
          <w:color w:val="000000" w:themeColor="text1"/>
          <w:spacing w:val="0"/>
          <w:szCs w:val="22"/>
          <w14:textFill>
            <w14:solidFill>
              <w14:schemeClr w14:val="tx1"/>
            </w14:solidFill>
          </w14:textFill>
        </w:rPr>
        <w:t>注：投标人须知前附表与招标文件正文不一致的以投标人须知前附表为准。</w:t>
      </w:r>
      <w:bookmarkEnd w:id="37"/>
      <w:bookmarkEnd w:id="38"/>
      <w:bookmarkStart w:id="39" w:name="_Toc13154"/>
      <w:bookmarkStart w:id="40" w:name="_Toc7365"/>
      <w:bookmarkStart w:id="41" w:name="_Toc24712"/>
      <w:bookmarkStart w:id="42" w:name="_Toc3248"/>
      <w:bookmarkStart w:id="43" w:name="_Toc26974"/>
      <w:bookmarkStart w:id="44" w:name="_Toc32725"/>
      <w:bookmarkStart w:id="45" w:name="_Toc27190"/>
      <w:bookmarkStart w:id="46" w:name="_Toc4337"/>
      <w:bookmarkStart w:id="47" w:name="_Toc25053"/>
      <w:bookmarkStart w:id="48" w:name="_Toc30960"/>
      <w:bookmarkStart w:id="49" w:name="_Toc2796"/>
      <w:bookmarkStart w:id="50" w:name="_Toc23249"/>
      <w:bookmarkStart w:id="51" w:name="_Toc175973404"/>
      <w:bookmarkStart w:id="52" w:name="_Toc531189843"/>
      <w:bookmarkStart w:id="53" w:name="_Toc27632"/>
      <w:bookmarkStart w:id="54" w:name="_Toc25941_WPSOffice_Level1"/>
    </w:p>
    <w:p w14:paraId="661A1710">
      <w:pPr>
        <w:pStyle w:val="3"/>
        <w:ind w:firstLine="3253" w:firstLineChars="900"/>
        <w:jc w:val="both"/>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投标须知正文</w:t>
      </w:r>
    </w:p>
    <w:p w14:paraId="3556B657">
      <w:pPr>
        <w:tabs>
          <w:tab w:val="left" w:pos="7665"/>
        </w:tabs>
        <w:spacing w:before="156" w:beforeLines="50" w:after="156" w:afterLines="50" w:line="360" w:lineRule="auto"/>
        <w:ind w:firstLine="1"/>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一、名词解释</w:t>
      </w:r>
    </w:p>
    <w:p w14:paraId="621D8B83">
      <w:pPr>
        <w:adjustRightInd w:val="0"/>
        <w:snapToGrid w:val="0"/>
        <w:spacing w:before="156" w:beforeLines="50"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w:t>
      </w:r>
      <w:r>
        <w:rPr>
          <w:rFonts w:hint="eastAsia" w:ascii="仿宋" w:hAnsi="仿宋" w:eastAsia="仿宋" w:cs="仿宋"/>
          <w:b/>
          <w:bCs/>
          <w:color w:val="000000" w:themeColor="text1"/>
          <w:kern w:val="0"/>
          <w:szCs w:val="21"/>
          <w14:textFill>
            <w14:solidFill>
              <w14:schemeClr w14:val="tx1"/>
            </w14:solidFill>
          </w14:textFill>
        </w:rPr>
        <w:t>采购人</w:t>
      </w:r>
      <w:r>
        <w:rPr>
          <w:rFonts w:hint="eastAsia" w:ascii="仿宋" w:hAnsi="仿宋" w:eastAsia="仿宋" w:cs="仿宋"/>
          <w:color w:val="000000" w:themeColor="text1"/>
          <w:kern w:val="0"/>
          <w:szCs w:val="21"/>
          <w14:textFill>
            <w14:solidFill>
              <w14:schemeClr w14:val="tx1"/>
            </w14:solidFill>
          </w14:textFill>
        </w:rPr>
        <w:t>系指依法进行政府采购的国家机关、事业单位、团体组织。本次采购的采购人名称、地址、电话、联系人见投标人须知前附表。</w:t>
      </w:r>
    </w:p>
    <w:p w14:paraId="3D661DB7">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w:t>
      </w:r>
      <w:r>
        <w:rPr>
          <w:rFonts w:hint="eastAsia" w:ascii="仿宋" w:hAnsi="仿宋" w:eastAsia="仿宋" w:cs="仿宋"/>
          <w:b/>
          <w:bCs/>
          <w:color w:val="000000" w:themeColor="text1"/>
          <w:kern w:val="0"/>
          <w:szCs w:val="21"/>
          <w14:textFill>
            <w14:solidFill>
              <w14:schemeClr w14:val="tx1"/>
            </w14:solidFill>
          </w14:textFill>
        </w:rPr>
        <w:t>监督机构</w:t>
      </w:r>
      <w:r>
        <w:rPr>
          <w:rFonts w:hint="eastAsia" w:ascii="仿宋" w:hAnsi="仿宋" w:eastAsia="仿宋" w:cs="仿宋"/>
          <w:color w:val="000000" w:themeColor="text1"/>
          <w:kern w:val="0"/>
          <w:szCs w:val="21"/>
          <w14:textFill>
            <w14:solidFill>
              <w14:schemeClr w14:val="tx1"/>
            </w14:solidFill>
          </w14:textFill>
        </w:rPr>
        <w:t>系指政府采购行政监督管理部门。本次采购的监督机构</w:t>
      </w:r>
      <w:r>
        <w:rPr>
          <w:rFonts w:hint="eastAsia" w:ascii="仿宋" w:hAnsi="仿宋" w:eastAsia="仿宋" w:cs="仿宋"/>
          <w:color w:val="000000" w:themeColor="text1"/>
          <w:kern w:val="0"/>
          <w:szCs w:val="21"/>
          <w:lang w:val="en-US" w:eastAsia="zh-CN"/>
          <w14:textFill>
            <w14:solidFill>
              <w14:schemeClr w14:val="tx1"/>
            </w14:solidFill>
          </w14:textFill>
        </w:rPr>
        <w:t>为</w:t>
      </w:r>
      <w:r>
        <w:rPr>
          <w:rFonts w:hint="eastAsia" w:ascii="仿宋" w:hAnsi="仿宋" w:eastAsia="仿宋" w:cs="仿宋"/>
          <w:color w:val="000000" w:themeColor="text1"/>
          <w:kern w:val="0"/>
          <w:szCs w:val="21"/>
          <w14:textFill>
            <w14:solidFill>
              <w14:schemeClr w14:val="tx1"/>
            </w14:solidFill>
          </w14:textFill>
        </w:rPr>
        <w:t>同级财政监管部门。</w:t>
      </w:r>
    </w:p>
    <w:p w14:paraId="7120E56F">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w:t>
      </w:r>
      <w:r>
        <w:rPr>
          <w:rFonts w:hint="eastAsia" w:ascii="仿宋" w:hAnsi="仿宋" w:eastAsia="仿宋" w:cs="仿宋"/>
          <w:b/>
          <w:bCs/>
          <w:color w:val="000000" w:themeColor="text1"/>
          <w:kern w:val="0"/>
          <w:szCs w:val="21"/>
          <w14:textFill>
            <w14:solidFill>
              <w14:schemeClr w14:val="tx1"/>
            </w14:solidFill>
          </w14:textFill>
        </w:rPr>
        <w:t>采购代理机构</w:t>
      </w:r>
      <w:r>
        <w:rPr>
          <w:rFonts w:hint="eastAsia" w:ascii="仿宋" w:hAnsi="仿宋" w:eastAsia="仿宋" w:cs="仿宋"/>
          <w:color w:val="000000" w:themeColor="text1"/>
          <w:kern w:val="0"/>
          <w:szCs w:val="21"/>
          <w14:textFill>
            <w14:solidFill>
              <w14:schemeClr w14:val="tx1"/>
            </w14:solidFill>
          </w14:textFill>
        </w:rPr>
        <w:t>系指接受采购人委托，代理采购项目的依法经财政部门认定资格的采购代理机构。本次采购的采购代理机构名称、地址、电话、联系人见投标人须知前附表。</w:t>
      </w:r>
    </w:p>
    <w:p w14:paraId="5792C292">
      <w:pPr>
        <w:tabs>
          <w:tab w:val="left" w:pos="7665"/>
        </w:tabs>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w:t>
      </w:r>
      <w:r>
        <w:rPr>
          <w:rFonts w:hint="eastAsia" w:ascii="仿宋" w:hAnsi="仿宋" w:eastAsia="仿宋" w:cs="仿宋"/>
          <w:b/>
          <w:bCs/>
          <w:color w:val="000000" w:themeColor="text1"/>
          <w:kern w:val="0"/>
          <w:szCs w:val="21"/>
          <w14:textFill>
            <w14:solidFill>
              <w14:schemeClr w14:val="tx1"/>
            </w14:solidFill>
          </w14:textFill>
        </w:rPr>
        <w:t>投标人</w:t>
      </w:r>
      <w:r>
        <w:rPr>
          <w:rFonts w:hint="eastAsia" w:ascii="仿宋" w:hAnsi="仿宋" w:eastAsia="仿宋" w:cs="仿宋"/>
          <w:color w:val="000000" w:themeColor="text1"/>
          <w:kern w:val="0"/>
          <w:szCs w:val="21"/>
          <w14:textFill>
            <w14:solidFill>
              <w14:schemeClr w14:val="tx1"/>
            </w14:solidFill>
          </w14:textFill>
        </w:rPr>
        <w:t>是指响应招标，参加投标竞争的法人或其他组织或个人。</w:t>
      </w:r>
    </w:p>
    <w:p w14:paraId="0E65659D">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r>
        <w:rPr>
          <w:rFonts w:hint="eastAsia" w:ascii="仿宋" w:hAnsi="仿宋" w:eastAsia="仿宋" w:cs="仿宋"/>
          <w:b/>
          <w:bCs/>
          <w:color w:val="000000" w:themeColor="text1"/>
          <w:kern w:val="0"/>
          <w:szCs w:val="21"/>
          <w14:textFill>
            <w14:solidFill>
              <w14:schemeClr w14:val="tx1"/>
            </w14:solidFill>
          </w14:textFill>
        </w:rPr>
        <w:t>货物</w:t>
      </w:r>
      <w:r>
        <w:rPr>
          <w:rFonts w:hint="eastAsia" w:ascii="仿宋" w:hAnsi="仿宋" w:eastAsia="仿宋" w:cs="仿宋"/>
          <w:color w:val="000000" w:themeColor="text1"/>
          <w:kern w:val="0"/>
          <w:szCs w:val="21"/>
          <w14:textFill>
            <w14:solidFill>
              <w14:schemeClr w14:val="tx1"/>
            </w14:solidFill>
          </w14:textFill>
        </w:rPr>
        <w:t>是指本招标文件中第四章所述所有货物。</w:t>
      </w:r>
    </w:p>
    <w:p w14:paraId="7DEA6248">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1.6、</w:t>
      </w:r>
      <w:r>
        <w:rPr>
          <w:rFonts w:hint="eastAsia" w:ascii="仿宋" w:hAnsi="仿宋" w:eastAsia="仿宋" w:cs="仿宋"/>
          <w:b/>
          <w:bCs/>
          <w:color w:val="000000" w:themeColor="text1"/>
          <w:kern w:val="0"/>
          <w:szCs w:val="21"/>
          <w14:textFill>
            <w14:solidFill>
              <w14:schemeClr w14:val="tx1"/>
            </w14:solidFill>
          </w14:textFill>
        </w:rPr>
        <w:t>服务</w:t>
      </w:r>
      <w:r>
        <w:rPr>
          <w:rFonts w:hint="eastAsia" w:ascii="仿宋" w:hAnsi="仿宋" w:eastAsia="仿宋" w:cs="仿宋"/>
          <w:color w:val="000000" w:themeColor="text1"/>
          <w:kern w:val="0"/>
          <w:szCs w:val="21"/>
          <w14:textFill>
            <w14:solidFill>
              <w14:schemeClr w14:val="tx1"/>
            </w14:solidFill>
          </w14:textFill>
        </w:rPr>
        <w:t>是指人为满足招标文件要求而提供的服务。</w:t>
      </w:r>
    </w:p>
    <w:p w14:paraId="5B4CC506">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1.7、</w:t>
      </w:r>
      <w:r>
        <w:rPr>
          <w:rFonts w:hint="eastAsia" w:ascii="仿宋" w:hAnsi="仿宋" w:eastAsia="仿宋" w:cs="仿宋"/>
          <w:b/>
          <w:bCs/>
          <w:color w:val="000000" w:themeColor="text1"/>
          <w:kern w:val="0"/>
          <w:szCs w:val="21"/>
          <w14:textFill>
            <w14:solidFill>
              <w14:schemeClr w14:val="tx1"/>
            </w14:solidFill>
          </w14:textFill>
        </w:rPr>
        <w:t>节能产品</w:t>
      </w:r>
      <w:r>
        <w:rPr>
          <w:rFonts w:hint="eastAsia" w:ascii="仿宋" w:hAnsi="仿宋" w:eastAsia="仿宋" w:cs="仿宋"/>
          <w:color w:val="000000" w:themeColor="text1"/>
          <w:kern w:val="0"/>
          <w:szCs w:val="21"/>
          <w14:textFill>
            <w14:solidFill>
              <w14:schemeClr w14:val="tx1"/>
            </w14:solidFill>
          </w14:textFill>
        </w:rPr>
        <w:t>指财政部、发展改革委、生态环境部等部门发布的《节能产品品目清单》中的产品。</w:t>
      </w:r>
    </w:p>
    <w:p w14:paraId="55FBBF08">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w:t>
      </w:r>
      <w:r>
        <w:rPr>
          <w:rFonts w:hint="eastAsia" w:ascii="仿宋" w:hAnsi="仿宋" w:eastAsia="仿宋" w:cs="仿宋"/>
          <w:b/>
          <w:bCs/>
          <w:color w:val="000000" w:themeColor="text1"/>
          <w:kern w:val="0"/>
          <w:szCs w:val="21"/>
          <w14:textFill>
            <w14:solidFill>
              <w14:schemeClr w14:val="tx1"/>
            </w14:solidFill>
          </w14:textFill>
        </w:rPr>
        <w:t>环境标志产品</w:t>
      </w:r>
      <w:r>
        <w:rPr>
          <w:rFonts w:hint="eastAsia" w:ascii="仿宋" w:hAnsi="仿宋" w:eastAsia="仿宋" w:cs="仿宋"/>
          <w:color w:val="000000" w:themeColor="text1"/>
          <w:kern w:val="0"/>
          <w:szCs w:val="21"/>
          <w14:textFill>
            <w14:solidFill>
              <w14:schemeClr w14:val="tx1"/>
            </w14:solidFill>
          </w14:textFill>
        </w:rPr>
        <w:t>是指财政部、发展改革委、生态环境部等部门发布的《环境标志产品品目清单》中的产品。</w:t>
      </w:r>
    </w:p>
    <w:p w14:paraId="0E1568C3">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1.9、</w:t>
      </w:r>
      <w:r>
        <w:rPr>
          <w:rFonts w:hint="eastAsia" w:ascii="仿宋" w:hAnsi="仿宋" w:eastAsia="仿宋" w:cs="仿宋"/>
          <w:b/>
          <w:bCs/>
          <w:color w:val="000000" w:themeColor="text1"/>
          <w:kern w:val="0"/>
          <w:szCs w:val="21"/>
          <w14:textFill>
            <w14:solidFill>
              <w14:schemeClr w14:val="tx1"/>
            </w14:solidFill>
          </w14:textFill>
        </w:rPr>
        <w:t>进口产品</w:t>
      </w:r>
      <w:r>
        <w:rPr>
          <w:rFonts w:hint="eastAsia" w:ascii="仿宋" w:hAnsi="仿宋" w:eastAsia="仿宋" w:cs="仿宋"/>
          <w:color w:val="000000" w:themeColor="text1"/>
          <w:kern w:val="0"/>
          <w:szCs w:val="21"/>
          <w14:textFill>
            <w14:solidFill>
              <w14:schemeClr w14:val="tx1"/>
            </w14:solidFill>
          </w14:textFill>
        </w:rPr>
        <w:t>是指通过中国海关报关验放进入中国境内且产自关境外的产品，详见《关于政府采购进口产品管理有关问题的通知》(财库[2007]119号)。</w:t>
      </w:r>
    </w:p>
    <w:p w14:paraId="766566EC">
      <w:pPr>
        <w:adjustRightInd w:val="0"/>
        <w:snapToGrid w:val="0"/>
        <w:spacing w:line="360" w:lineRule="auto"/>
        <w:ind w:firstLine="420" w:firstLineChars="200"/>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r>
        <w:rPr>
          <w:rFonts w:hint="eastAsia" w:ascii="仿宋" w:hAnsi="仿宋" w:eastAsia="仿宋" w:cs="仿宋"/>
          <w:b/>
          <w:bCs/>
          <w:color w:val="000000" w:themeColor="text1"/>
          <w:kern w:val="0"/>
          <w:szCs w:val="21"/>
          <w14:textFill>
            <w14:solidFill>
              <w14:schemeClr w14:val="tx1"/>
            </w14:solidFill>
          </w14:textFill>
        </w:rPr>
        <w:t>中小企业</w:t>
      </w:r>
      <w:r>
        <w:rPr>
          <w:rFonts w:hint="eastAsia" w:ascii="仿宋" w:hAnsi="仿宋" w:eastAsia="仿宋" w:cs="仿宋"/>
          <w:color w:val="000000" w:themeColor="text1"/>
          <w:kern w:val="0"/>
          <w:szCs w:val="21"/>
          <w14:textFill>
            <w14:solidFill>
              <w14:schemeClr w14:val="tx1"/>
            </w14:solidFill>
          </w14:textFill>
        </w:rPr>
        <w:t>是指符合《工业和信息化部、国家统计局、国家发展和改革委员会、财政部关于印发中小企业划型标准规定的通知》（工信部联企业[2011]300号）规定的对中小企业的划分标准的企业</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参加政府采购活动的</w:t>
      </w:r>
      <w:r>
        <w:rPr>
          <w:rFonts w:hint="eastAsia" w:ascii="仿宋" w:hAnsi="仿宋" w:eastAsia="仿宋" w:cs="仿宋"/>
          <w:color w:val="000000" w:themeColor="text1"/>
          <w:kern w:val="0"/>
          <w:szCs w:val="21"/>
          <w:lang w:val="en-US" w:eastAsia="zh-CN"/>
          <w14:textFill>
            <w14:solidFill>
              <w14:schemeClr w14:val="tx1"/>
            </w14:solidFill>
          </w14:textFill>
        </w:rPr>
        <w:t>小、微</w:t>
      </w:r>
      <w:r>
        <w:rPr>
          <w:rFonts w:hint="eastAsia" w:ascii="仿宋" w:hAnsi="仿宋" w:eastAsia="仿宋" w:cs="仿宋"/>
          <w:color w:val="000000" w:themeColor="text1"/>
          <w:kern w:val="0"/>
          <w:szCs w:val="21"/>
          <w14:textFill>
            <w14:solidFill>
              <w14:schemeClr w14:val="tx1"/>
            </w14:solidFill>
          </w14:textFill>
        </w:rPr>
        <w:t>企业提交的声明函应当按采购文件中规定的统一格式填写，信息完整，不得随意增删或修改其内容。未按规定格式填写、信息不完整的声明函将其</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文件作为无效</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文件处理</w:t>
      </w:r>
      <w:r>
        <w:rPr>
          <w:rFonts w:hint="eastAsia" w:ascii="仿宋" w:hAnsi="仿宋" w:eastAsia="仿宋" w:cs="仿宋"/>
          <w:color w:val="000000" w:themeColor="text1"/>
          <w:kern w:val="0"/>
          <w:szCs w:val="21"/>
          <w:lang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《中小企业声明函》落款、盖章的主体应当是参加政府采购活动的</w:t>
      </w:r>
      <w:r>
        <w:rPr>
          <w:rFonts w:hint="eastAsia" w:ascii="仿宋" w:hAnsi="仿宋" w:eastAsia="仿宋" w:cs="仿宋"/>
          <w:color w:val="000000" w:themeColor="text1"/>
          <w:kern w:val="0"/>
          <w:szCs w:val="21"/>
          <w:lang w:eastAsia="zh-CN"/>
          <w14:textFill>
            <w14:solidFill>
              <w14:schemeClr w14:val="tx1"/>
            </w14:solidFill>
          </w14:textFill>
        </w:rPr>
        <w:t>投标人</w:t>
      </w:r>
      <w:r>
        <w:rPr>
          <w:rFonts w:hint="eastAsia" w:ascii="仿宋" w:hAnsi="仿宋" w:eastAsia="仿宋" w:cs="仿宋"/>
          <w:color w:val="000000" w:themeColor="text1"/>
          <w:kern w:val="0"/>
          <w:szCs w:val="21"/>
          <w14:textFill>
            <w14:solidFill>
              <w14:schemeClr w14:val="tx1"/>
            </w14:solidFill>
          </w14:textFill>
        </w:rPr>
        <w:t>，且由其承担保证信息真实性的法律责任。落款、盖章的主体与获取文件的</w:t>
      </w:r>
      <w:r>
        <w:rPr>
          <w:rFonts w:hint="eastAsia" w:ascii="仿宋" w:hAnsi="仿宋" w:eastAsia="仿宋" w:cs="仿宋"/>
          <w:color w:val="000000" w:themeColor="text1"/>
          <w:kern w:val="0"/>
          <w:szCs w:val="21"/>
          <w:lang w:eastAsia="zh-CN"/>
          <w14:textFill>
            <w14:solidFill>
              <w14:schemeClr w14:val="tx1"/>
            </w14:solidFill>
          </w14:textFill>
        </w:rPr>
        <w:t>投标人</w:t>
      </w:r>
      <w:r>
        <w:rPr>
          <w:rFonts w:hint="eastAsia" w:ascii="仿宋" w:hAnsi="仿宋" w:eastAsia="仿宋" w:cs="仿宋"/>
          <w:color w:val="000000" w:themeColor="text1"/>
          <w:kern w:val="0"/>
          <w:szCs w:val="21"/>
          <w14:textFill>
            <w14:solidFill>
              <w14:schemeClr w14:val="tx1"/>
            </w14:solidFill>
          </w14:textFill>
        </w:rPr>
        <w:t>不一致时，将其</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文件作为无效</w:t>
      </w:r>
      <w:r>
        <w:rPr>
          <w:rFonts w:hint="eastAsia" w:ascii="仿宋" w:hAnsi="仿宋" w:eastAsia="仿宋" w:cs="仿宋"/>
          <w:color w:val="000000" w:themeColor="text1"/>
          <w:kern w:val="0"/>
          <w:szCs w:val="21"/>
          <w:lang w:val="en-US" w:eastAsia="zh-CN"/>
          <w14:textFill>
            <w14:solidFill>
              <w14:schemeClr w14:val="tx1"/>
            </w14:solidFill>
          </w14:textFill>
        </w:rPr>
        <w:t>投标</w:t>
      </w:r>
      <w:r>
        <w:rPr>
          <w:rFonts w:hint="eastAsia" w:ascii="仿宋" w:hAnsi="仿宋" w:eastAsia="仿宋" w:cs="仿宋"/>
          <w:color w:val="000000" w:themeColor="text1"/>
          <w:kern w:val="0"/>
          <w:szCs w:val="21"/>
          <w14:textFill>
            <w14:solidFill>
              <w14:schemeClr w14:val="tx1"/>
            </w14:solidFill>
          </w14:textFill>
        </w:rPr>
        <w:t>文件处理</w:t>
      </w:r>
      <w:r>
        <w:rPr>
          <w:rFonts w:hint="eastAsia" w:ascii="仿宋" w:hAnsi="仿宋" w:eastAsia="仿宋" w:cs="仿宋"/>
          <w:color w:val="000000" w:themeColor="text1"/>
          <w:kern w:val="0"/>
          <w:szCs w:val="21"/>
          <w:lang w:eastAsia="zh-CN"/>
          <w14:textFill>
            <w14:solidFill>
              <w14:schemeClr w14:val="tx1"/>
            </w14:solidFill>
          </w14:textFill>
        </w:rPr>
        <w:t>。</w:t>
      </w:r>
    </w:p>
    <w:p w14:paraId="7CAD8D2C">
      <w:pPr>
        <w:adjustRightInd w:val="0"/>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1.11.</w:t>
      </w:r>
      <w:r>
        <w:rPr>
          <w:rFonts w:hint="eastAsia" w:ascii="仿宋" w:hAnsi="仿宋" w:eastAsia="仿宋" w:cs="仿宋"/>
          <w:b/>
          <w:bCs/>
          <w:color w:val="000000" w:themeColor="text1"/>
          <w:kern w:val="0"/>
          <w:szCs w:val="21"/>
          <w14:textFill>
            <w14:solidFill>
              <w14:schemeClr w14:val="tx1"/>
            </w14:solidFill>
          </w14:textFill>
        </w:rPr>
        <w:t xml:space="preserve"> 监狱企业</w:t>
      </w:r>
      <w:r>
        <w:rPr>
          <w:rFonts w:hint="eastAsia" w:ascii="仿宋" w:hAnsi="仿宋" w:eastAsia="仿宋" w:cs="仿宋"/>
          <w:color w:val="000000" w:themeColor="text1"/>
          <w:kern w:val="0"/>
          <w:szCs w:val="21"/>
          <w14:textFill>
            <w14:solidFill>
              <w14:schemeClr w14:val="tx1"/>
            </w14:solidFill>
          </w14:textFill>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FDB29A">
      <w:pPr>
        <w:pStyle w:val="3"/>
        <w:snapToGrid w:val="0"/>
        <w:ind w:firstLine="420" w:firstLineChars="200"/>
        <w:jc w:val="both"/>
        <w:rPr>
          <w:rFonts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 xml:space="preserve">1.12. </w:t>
      </w:r>
      <w:r>
        <w:rPr>
          <w:rFonts w:hint="eastAsia" w:ascii="仿宋" w:hAnsi="仿宋" w:eastAsia="仿宋" w:cs="仿宋"/>
          <w:color w:val="000000" w:themeColor="text1"/>
          <w:sz w:val="21"/>
          <w:szCs w:val="21"/>
          <w14:textFill>
            <w14:solidFill>
              <w14:schemeClr w14:val="tx1"/>
            </w14:solidFill>
          </w14:textFill>
        </w:rPr>
        <w:t>残疾人福利性单位</w:t>
      </w:r>
      <w:r>
        <w:rPr>
          <w:rFonts w:hint="eastAsia" w:ascii="仿宋" w:hAnsi="仿宋" w:eastAsia="仿宋" w:cs="仿宋"/>
          <w:b w:val="0"/>
          <w:bCs w:val="0"/>
          <w:color w:val="000000" w:themeColor="text1"/>
          <w:sz w:val="21"/>
          <w:szCs w:val="21"/>
          <w14:textFill>
            <w14:solidFill>
              <w14:schemeClr w14:val="tx1"/>
            </w14:solidFill>
          </w14:textFill>
        </w:rPr>
        <w:t>是指符合《财政部、民政部、中国残疾人联合会关于促进残疾人就业政府采购政策的通知》（财库〔2017〕141号）规定条件的单位。</w:t>
      </w:r>
    </w:p>
    <w:p w14:paraId="7448A59E">
      <w:pPr>
        <w:adjustRightInd w:val="0"/>
        <w:snapToGrid w:val="0"/>
        <w:spacing w:line="308" w:lineRule="auto"/>
        <w:ind w:firstLine="420" w:firstLineChars="200"/>
        <w:rPr>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1.13.</w:t>
      </w:r>
      <w:r>
        <w:rPr>
          <w:rFonts w:hint="eastAsia" w:ascii="仿宋" w:hAnsi="仿宋" w:eastAsia="仿宋" w:cs="仿宋"/>
          <w:b/>
          <w:bCs/>
          <w:color w:val="000000" w:themeColor="text1"/>
          <w:szCs w:val="21"/>
          <w14:textFill>
            <w14:solidFill>
              <w14:schemeClr w14:val="tx1"/>
            </w14:solidFill>
          </w14:textFill>
        </w:rPr>
        <w:t>政府采购信用融资：</w:t>
      </w:r>
      <w:r>
        <w:rPr>
          <w:rFonts w:hint="eastAsia" w:ascii="仿宋" w:hAnsi="仿宋" w:eastAsia="仿宋" w:cs="仿宋"/>
          <w:color w:val="000000" w:themeColor="text1"/>
          <w:szCs w:val="21"/>
          <w14:textFill>
            <w14:solidFill>
              <w14:schemeClr w14:val="tx1"/>
            </w14:solidFill>
          </w14:textFill>
        </w:rPr>
        <w:t>本着</w:t>
      </w:r>
      <w:r>
        <w:rPr>
          <w:rFonts w:hint="eastAsia" w:ascii="仿宋" w:hAnsi="仿宋" w:eastAsia="仿宋" w:cs="仿宋"/>
          <w:color w:val="000000" w:themeColor="text1"/>
          <w:szCs w:val="21"/>
          <w:lang w:val="en"/>
          <w14:textFill>
            <w14:solidFill>
              <w14:schemeClr w14:val="tx1"/>
            </w14:solidFill>
          </w14:textFill>
        </w:rPr>
        <w:t>“银企自愿，风险自担”的原则，</w:t>
      </w:r>
      <w:r>
        <w:rPr>
          <w:rFonts w:hint="eastAsia" w:ascii="仿宋" w:hAnsi="仿宋" w:eastAsia="仿宋" w:cs="仿宋"/>
          <w:color w:val="000000" w:themeColor="text1"/>
          <w:szCs w:val="21"/>
          <w14:textFill>
            <w14:solidFill>
              <w14:schemeClr w14:val="tx1"/>
            </w14:solidFill>
          </w14:textFill>
        </w:rPr>
        <w:t>中标人为中小企业的可以自愿选择</w:t>
      </w:r>
      <w:r>
        <w:rPr>
          <w:rFonts w:hint="eastAsia" w:ascii="仿宋" w:hAnsi="仿宋" w:eastAsia="仿宋" w:cs="仿宋"/>
          <w:color w:val="000000" w:themeColor="text1"/>
          <w:szCs w:val="21"/>
          <w:lang w:val="en"/>
          <w14:textFill>
            <w14:solidFill>
              <w14:schemeClr w14:val="tx1"/>
            </w14:solidFill>
          </w14:textFill>
        </w:rPr>
        <w:t>政府采购贷款进行融资，通过“陕西省政府采购合同融资平台”（http://www.ccgp-shaanxi.gov.cn/zcdservice/zcd/shanxi/）实施。</w:t>
      </w:r>
    </w:p>
    <w:p w14:paraId="7387B0D7">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二、投标人</w:t>
      </w:r>
    </w:p>
    <w:p w14:paraId="55469893">
      <w:pPr>
        <w:pStyle w:val="12"/>
        <w:overflowPunct w:val="0"/>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bookmarkStart w:id="55" w:name="_Toc531189837"/>
      <w:bookmarkStart w:id="56" w:name="_Toc175973398"/>
      <w:r>
        <w:rPr>
          <w:rFonts w:hint="eastAsia" w:ascii="仿宋" w:hAnsi="仿宋" w:eastAsia="仿宋" w:cs="仿宋"/>
          <w:b/>
          <w:color w:val="000000" w:themeColor="text1"/>
          <w:szCs w:val="21"/>
          <w14:textFill>
            <w14:solidFill>
              <w14:schemeClr w14:val="tx1"/>
            </w14:solidFill>
          </w14:textFill>
        </w:rPr>
        <w:t>2.1、投标委托</w:t>
      </w:r>
    </w:p>
    <w:p w14:paraId="607521BC">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如投标人代表不是法定代表人，须持有《法定代表人授权委托书》，格式见本招标文件。</w:t>
      </w:r>
    </w:p>
    <w:p w14:paraId="3FBE80F9">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2.2、投标费用 </w:t>
      </w:r>
    </w:p>
    <w:p w14:paraId="60C985A9">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无论投标过程中的做法和结果如何，投标人自行承担所有与参加投标有关的全部费用。</w:t>
      </w:r>
    </w:p>
    <w:p w14:paraId="30F8F91F">
      <w:pPr>
        <w:pStyle w:val="12"/>
        <w:overflowPunct w:val="0"/>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3、合格的投标人应具备以下条件：</w:t>
      </w:r>
    </w:p>
    <w:p w14:paraId="125595C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（1）具备且满足本招标文件规定的投标人资格条件；</w:t>
      </w:r>
    </w:p>
    <w:p w14:paraId="47DFF2F4">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（2）从采购代理机构获取了招标文件；</w:t>
      </w:r>
    </w:p>
    <w:p w14:paraId="7F775173">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（3）遵守国家和地方有关的法律法规、规章和规范性文件要求。</w:t>
      </w:r>
    </w:p>
    <w:p w14:paraId="4C4DDEFD">
      <w:pPr>
        <w:pStyle w:val="12"/>
        <w:overflowPunct w:val="0"/>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4、投标人不得存在下列情形之一：</w:t>
      </w:r>
    </w:p>
    <w:p w14:paraId="1CA7FAC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（1）与采购人、采购代理机构存在隶属关系或者其他利害关系，且可能影响招标公正性；</w:t>
      </w:r>
    </w:p>
    <w:p w14:paraId="10E1959E">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（2）与本采购项目其他投标人的法定代表人（或者负责人）为同一人；</w:t>
      </w:r>
    </w:p>
    <w:p w14:paraId="72A95541">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（3）与本采购项目其他投标人存在控股、管理关系；</w:t>
      </w:r>
    </w:p>
    <w:p w14:paraId="17F3CC41">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（4）为本项目采购代理机构；</w:t>
      </w:r>
    </w:p>
    <w:p w14:paraId="67F20CCF">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（5）为本项目代理投标的为其采购代理机构；</w:t>
      </w:r>
    </w:p>
    <w:p w14:paraId="17C1E454">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（6）为本项目提供整体设计、规范编制或者项目管理、监理、检测、咨询服务；</w:t>
      </w:r>
    </w:p>
    <w:p w14:paraId="4C2B768E">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（7）受到刑事处罚；</w:t>
      </w:r>
    </w:p>
    <w:p w14:paraId="62033C1D">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（8）投标人因违法经营受到刑事处罚或者责令停产停业、吊销许可证或者执照、较大数额罚款等行政处罚；</w:t>
      </w:r>
    </w:p>
    <w:p w14:paraId="17B041A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（9）被责令停产停业、暂扣或者吊销许可证、暂扣或者吊销执照的行政处罚；</w:t>
      </w:r>
    </w:p>
    <w:p w14:paraId="07006EF8">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（10）被列入失信被执行人名单；</w:t>
      </w:r>
    </w:p>
    <w:p w14:paraId="3023A17C">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（11）被列入重大税收违法案件当事人名单；</w:t>
      </w:r>
    </w:p>
    <w:p w14:paraId="748C56D6">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（12）被禁止在一至三年内参加政府采购活动或存在财政部门认定的其他重大违法记录；</w:t>
      </w:r>
    </w:p>
    <w:p w14:paraId="53B1398A">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（13）法律法规规定的其他情形。</w:t>
      </w:r>
    </w:p>
    <w:p w14:paraId="5E566B8A">
      <w:pPr>
        <w:pStyle w:val="16"/>
        <w:rPr>
          <w:rFonts w:hint="default" w:ascii="仿宋" w:hAnsi="仿宋" w:eastAsia="仿宋" w:cs="仿宋"/>
          <w:b/>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5、</w:t>
      </w:r>
      <w:r>
        <w:rPr>
          <w:rFonts w:hint="eastAsia" w:ascii="仿宋" w:hAnsi="仿宋" w:eastAsia="仿宋" w:cs="仿宋"/>
          <w:b/>
          <w:bCs/>
          <w:color w:val="000000" w:themeColor="text1"/>
          <w:kern w:val="0"/>
          <w:sz w:val="21"/>
          <w:szCs w:val="21"/>
          <w:lang w:val="en-US" w:eastAsia="zh-CN" w:bidi="ar-SA"/>
          <w14:textFill>
            <w14:solidFill>
              <w14:schemeClr w14:val="tx1"/>
            </w14:solidFill>
          </w14:textFill>
        </w:rPr>
        <w:t>落实政府采购政策</w:t>
      </w:r>
    </w:p>
    <w:p w14:paraId="5AE7EC50">
      <w:pPr>
        <w:pStyle w:val="12"/>
        <w:overflowPunct w:val="0"/>
        <w:snapToGrid w:val="0"/>
        <w:spacing w:line="360" w:lineRule="auto"/>
        <w:ind w:left="0" w:leftChars="0"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5.1、节能产品、环境标志产品</w:t>
      </w:r>
    </w:p>
    <w:p w14:paraId="42EBD2E9">
      <w:pPr>
        <w:pStyle w:val="12"/>
        <w:overflowPunct w:val="0"/>
        <w:snapToGrid w:val="0"/>
        <w:spacing w:line="360" w:lineRule="auto"/>
        <w:ind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2.5.1.1、投标人所投产品，将依据《节能产品、环境标志产品品目清单》和认证证书实施政府优先采购和强制采购。</w:t>
      </w:r>
    </w:p>
    <w:p w14:paraId="03E09502">
      <w:pPr>
        <w:pStyle w:val="12"/>
        <w:overflowPunct w:val="0"/>
        <w:snapToGrid w:val="0"/>
        <w:spacing w:line="360" w:lineRule="auto"/>
        <w:ind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2.5.1.2、投标人可以提供所投产品经国家确定的认证机构出具的、处于有效期之内的节能产品、环境标志产品认证证书复印件。采购代理机构通过中国政府采购网（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仿宋" w:hAnsi="仿宋" w:eastAsia="仿宋" w:cs="仿宋"/>
          <w:bCs/>
          <w:color w:val="000000" w:themeColor="text1"/>
          <w:szCs w:val="21"/>
          <w14:textFill>
            <w14:solidFill>
              <w14:schemeClr w14:val="tx1"/>
            </w14:solidFill>
          </w14:textFill>
        </w:rPr>
        <w:t>http://www.ccgp.gov.cn/</w:t>
      </w:r>
      <w:r>
        <w:rPr>
          <w:rFonts w:hint="eastAsia" w:ascii="仿宋" w:hAnsi="仿宋" w:eastAsia="仿宋" w:cs="仿宋"/>
          <w:bCs/>
          <w:color w:val="000000" w:themeColor="text1"/>
          <w:szCs w:val="21"/>
          <w14:textFill>
            <w14:solidFill>
              <w14:schemeClr w14:val="tx1"/>
            </w14:solidFill>
          </w14:textFill>
        </w:rPr>
        <w:fldChar w:fldCharType="end"/>
      </w:r>
      <w:r>
        <w:rPr>
          <w:rFonts w:hint="eastAsia" w:ascii="仿宋" w:hAnsi="仿宋" w:eastAsia="仿宋" w:cs="仿宋"/>
          <w:bCs/>
          <w:color w:val="000000" w:themeColor="text1"/>
          <w:szCs w:val="21"/>
          <w14:textFill>
            <w14:solidFill>
              <w14:schemeClr w14:val="tx1"/>
            </w14:solidFill>
          </w14:textFill>
        </w:rPr>
        <w:t>）对获证产品信息进行核对。</w:t>
      </w:r>
    </w:p>
    <w:p w14:paraId="2C4BF0D2">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2.5.1.3、</w:t>
      </w:r>
      <w:r>
        <w:rPr>
          <w:rFonts w:hint="eastAsia" w:ascii="仿宋" w:hAnsi="仿宋" w:eastAsia="仿宋" w:cs="仿宋"/>
          <w:color w:val="000000" w:themeColor="text1"/>
          <w:szCs w:val="21"/>
          <w14:textFill>
            <w14:solidFill>
              <w14:schemeClr w14:val="tx1"/>
            </w14:solidFill>
          </w14:textFill>
        </w:rPr>
        <w:t>投标人所投产品属于下列情形之一的，属于优先采购的不再享受优先采购政策，或者属于强制采购的按无效投标文件处理：</w:t>
      </w:r>
    </w:p>
    <w:p w14:paraId="394D8FB1">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（1）不属于《节能产品、环境标志产品品目清单》中的产品；</w:t>
      </w:r>
    </w:p>
    <w:p w14:paraId="739CFF7E">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（2）未提供认证证书复印件或经核对认证证书存在信息有误的。</w:t>
      </w:r>
    </w:p>
    <w:p w14:paraId="2451E4C5">
      <w:pPr>
        <w:pStyle w:val="12"/>
        <w:overflowPunct w:val="0"/>
        <w:snapToGrid w:val="0"/>
        <w:spacing w:line="360" w:lineRule="auto"/>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2.</w:t>
      </w:r>
      <w:r>
        <w:rPr>
          <w:rFonts w:hint="eastAsia" w:ascii="仿宋" w:hAnsi="仿宋" w:eastAsia="仿宋" w:cs="仿宋"/>
          <w:b/>
          <w:bCs/>
          <w:color w:val="000000" w:themeColor="text1"/>
          <w:szCs w:val="21"/>
          <w14:textFill>
            <w14:solidFill>
              <w14:schemeClr w14:val="tx1"/>
            </w14:solidFill>
          </w14:textFill>
        </w:rPr>
        <w:t>5.2、中小企业</w:t>
      </w:r>
    </w:p>
    <w:p w14:paraId="71E6B515">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5.2.1、投标人按《工业和信息化部、国家统计局、国家发展和改革委员会、财政部关于印发中小企业划型标准规定的通知》规定划分标准，属于中小企业的可享受支持中小型企业发展优惠政策。</w:t>
      </w:r>
    </w:p>
    <w:p w14:paraId="7CB32A94">
      <w:pPr>
        <w:pStyle w:val="12"/>
        <w:overflowPunct w:val="0"/>
        <w:snapToGrid w:val="0"/>
        <w:spacing w:line="360" w:lineRule="auto"/>
        <w:ind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5.2.2、投标人作为中小企业参加政府采购活动时，依据《政府采购促进中小企业发展管理办法》(财库〔2020〕46号）之规定执行。</w:t>
      </w:r>
    </w:p>
    <w:p w14:paraId="67B14567">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5.2.3、监狱企业参加政府采购活动时，依照&lt;财政部、司法部关于政府采购支持监狱企业发展有关问题的通知&gt;（财库〔2014〕68号）之规定。</w:t>
      </w:r>
    </w:p>
    <w:p w14:paraId="137FC2AB">
      <w:pPr>
        <w:adjustRightInd w:val="0"/>
        <w:snapToGrid w:val="0"/>
        <w:spacing w:line="360" w:lineRule="auto"/>
        <w:ind w:firstLine="367" w:firstLineChars="175"/>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 xml:space="preserve">5.2.4、残疾人福利性单位参加政府采购活动时，依据《三部门联合发布关于促进残疾人就业政府采购政策的通知》（财库【2017】141号）之规定执行。  </w:t>
      </w:r>
    </w:p>
    <w:p w14:paraId="0C9C8CBC">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5.2.5、中小企业可以同时享受节能产品、环境标志产品优先采购政策。同一项目中部分产品属于优先采购政策的，评标时只对该部分产品实行优先采购。</w:t>
      </w:r>
    </w:p>
    <w:p w14:paraId="621FBF80">
      <w:pPr>
        <w:pStyle w:val="12"/>
        <w:overflowPunct w:val="0"/>
        <w:snapToGrid w:val="0"/>
        <w:spacing w:line="360" w:lineRule="auto"/>
        <w:ind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5.2.7、政府采购监督检查和投诉处理中对中小企业的认定，由企业所在地的县级以上中小企业主管部门负责。</w:t>
      </w:r>
    </w:p>
    <w:p w14:paraId="36FC451A">
      <w:pPr>
        <w:pStyle w:val="3"/>
        <w:snapToGrid w:val="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2.6、投标人的风险</w:t>
      </w:r>
    </w:p>
    <w:p w14:paraId="56720703">
      <w:pPr>
        <w:pStyle w:val="3"/>
        <w:snapToGrid w:val="0"/>
        <w:ind w:firstLine="420" w:firstLineChars="200"/>
        <w:jc w:val="both"/>
        <w:rPr>
          <w:rFonts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p>
    <w:p w14:paraId="32DEA864">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三、招标文件</w:t>
      </w:r>
      <w:bookmarkEnd w:id="55"/>
      <w:bookmarkEnd w:id="56"/>
    </w:p>
    <w:p w14:paraId="2A6CA0D9">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57" w:name="_Toc21552"/>
      <w:bookmarkStart w:id="58" w:name="_Toc14956"/>
      <w:bookmarkStart w:id="59" w:name="_Toc20533"/>
      <w:bookmarkStart w:id="60" w:name="_Toc10221"/>
      <w:bookmarkStart w:id="61" w:name="_Toc1800"/>
      <w:bookmarkStart w:id="62" w:name="_Toc4800"/>
      <w:bookmarkStart w:id="63" w:name="_Toc13228"/>
      <w:bookmarkStart w:id="64" w:name="_Toc11463"/>
      <w:bookmarkStart w:id="65" w:name="_Toc932"/>
      <w:bookmarkStart w:id="66" w:name="_Toc12727"/>
      <w:bookmarkStart w:id="67" w:name="_Toc2191"/>
      <w:bookmarkStart w:id="68" w:name="_Toc31061"/>
      <w:bookmarkStart w:id="69" w:name="_Toc531189838"/>
      <w:bookmarkStart w:id="70" w:name="_Toc175973399"/>
      <w:r>
        <w:rPr>
          <w:rFonts w:hint="eastAsia" w:ascii="仿宋" w:hAnsi="仿宋" w:eastAsia="仿宋" w:cs="仿宋"/>
          <w:b/>
          <w:color w:val="000000" w:themeColor="text1"/>
          <w:szCs w:val="21"/>
          <w14:textFill>
            <w14:solidFill>
              <w14:schemeClr w14:val="tx1"/>
            </w14:solidFill>
          </w14:textFill>
        </w:rPr>
        <w:t>3.1、招标文件</w:t>
      </w:r>
      <w:bookmarkEnd w:id="57"/>
      <w:bookmarkEnd w:id="58"/>
      <w:bookmarkEnd w:id="59"/>
      <w:bookmarkEnd w:id="60"/>
      <w:bookmarkEnd w:id="61"/>
      <w:bookmarkEnd w:id="62"/>
      <w:bookmarkEnd w:id="63"/>
      <w:bookmarkEnd w:id="64"/>
      <w:bookmarkEnd w:id="65"/>
      <w:bookmarkEnd w:id="66"/>
      <w:bookmarkEnd w:id="67"/>
      <w:bookmarkEnd w:id="68"/>
    </w:p>
    <w:p w14:paraId="536080C9">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3.1.1、招标文件由招标文件总目录所列内容及招标文件所作的澄清、修改，构成招标文件组成部分及组成。</w:t>
      </w:r>
    </w:p>
    <w:p w14:paraId="49CF53A0">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3.1.2、投标人应详细阅读招标文件的全部内容。不按招标文件要求提供的投标文件和资料可能导致投标被拒绝。</w:t>
      </w:r>
    </w:p>
    <w:p w14:paraId="50BE4113">
      <w:pPr>
        <w:snapToGrid w:val="0"/>
        <w:spacing w:line="360" w:lineRule="auto"/>
        <w:ind w:firstLine="44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3.1.3、适用范围：本次招标依据采购人的采购计划，本招标文件仅适用于本次公开招标所叙述的货物（产品）项目采购活动。</w:t>
      </w:r>
    </w:p>
    <w:p w14:paraId="1C8CFBEC">
      <w:pPr>
        <w:snapToGrid w:val="0"/>
        <w:spacing w:line="360" w:lineRule="auto"/>
        <w:ind w:firstLine="44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3.1.4、招标文件的获取：招标公告发布后，投标人应从采购代理机构处获取招标文件并填报信息，投标人自行转让或复制的招标文件视为无效招标文件。</w:t>
      </w:r>
    </w:p>
    <w:p w14:paraId="32C7EE29">
      <w:pPr>
        <w:snapToGrid w:val="0"/>
        <w:spacing w:line="360" w:lineRule="auto"/>
        <w:ind w:firstLine="42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3.1.5、解释权归属：本招标文件的解释权归采购代理机构，招标文件与现行法律法规不一致时，按现行法律法规执行。</w:t>
      </w:r>
    </w:p>
    <w:p w14:paraId="5AE36CC9">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71" w:name="_Toc29982"/>
      <w:bookmarkStart w:id="72" w:name="_Toc12920"/>
      <w:bookmarkStart w:id="73" w:name="_Toc18391"/>
      <w:bookmarkStart w:id="74" w:name="_Toc14366"/>
      <w:bookmarkStart w:id="75" w:name="_Toc15987"/>
      <w:bookmarkStart w:id="76" w:name="_Toc6601"/>
      <w:bookmarkStart w:id="77" w:name="_Toc8203"/>
      <w:bookmarkStart w:id="78" w:name="_Toc6878"/>
      <w:bookmarkStart w:id="79" w:name="_Toc23311"/>
      <w:bookmarkStart w:id="80" w:name="_Toc917"/>
      <w:bookmarkStart w:id="81" w:name="_Toc25015"/>
      <w:bookmarkStart w:id="82" w:name="_Toc25814"/>
      <w:r>
        <w:rPr>
          <w:rFonts w:hint="eastAsia" w:ascii="仿宋" w:hAnsi="仿宋" w:eastAsia="仿宋" w:cs="仿宋"/>
          <w:b/>
          <w:color w:val="000000" w:themeColor="text1"/>
          <w:szCs w:val="21"/>
          <w14:textFill>
            <w14:solidFill>
              <w14:schemeClr w14:val="tx1"/>
            </w14:solidFill>
          </w14:textFill>
        </w:rPr>
        <w:t>3.2</w:t>
      </w:r>
      <w:bookmarkEnd w:id="71"/>
      <w:bookmarkEnd w:id="72"/>
      <w:bookmarkEnd w:id="73"/>
      <w:bookmarkEnd w:id="74"/>
      <w:bookmarkEnd w:id="75"/>
      <w:bookmarkEnd w:id="76"/>
      <w:bookmarkEnd w:id="77"/>
      <w:bookmarkEnd w:id="78"/>
      <w:bookmarkEnd w:id="79"/>
      <w:bookmarkEnd w:id="80"/>
      <w:bookmarkEnd w:id="81"/>
      <w:bookmarkEnd w:id="82"/>
      <w:r>
        <w:rPr>
          <w:rFonts w:hint="eastAsia" w:ascii="仿宋" w:hAnsi="仿宋" w:eastAsia="仿宋" w:cs="仿宋"/>
          <w:b/>
          <w:color w:val="000000" w:themeColor="text1"/>
          <w:szCs w:val="21"/>
          <w14:textFill>
            <w14:solidFill>
              <w14:schemeClr w14:val="tx1"/>
            </w14:solidFill>
          </w14:textFill>
        </w:rPr>
        <w:t>、招标文件的澄清或修改</w:t>
      </w:r>
    </w:p>
    <w:p w14:paraId="52AC5E77">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3.2.1、在投标截止时间前，采购代理机构无论出于何种原因，可以对已发出的招标文件进行必要的澄清或者修改，但不得修改采购标的和资格条件。</w:t>
      </w:r>
    </w:p>
    <w:p w14:paraId="57001786">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425AEF53">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3.2.3、投标人应仔细阅读和检查招标文件的全部内容。如发现缺页或附件不全，应及时向采购代理机构提出，以便补齐。如需要询问或澄清的（除质疑外），或认为有必要与采购代理机构进行技术交流的，均应在投标截止时间10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4953AA38">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0DE2AD2B">
      <w:pPr>
        <w:pStyle w:val="72"/>
        <w:spacing w:before="0" w:beforeAutospacing="0" w:after="0" w:afterAutospacing="0" w:line="360" w:lineRule="auto"/>
        <w:ind w:firstLine="420" w:firstLineChars="200"/>
        <w:rPr>
          <w:rFonts w:ascii="仿宋" w:hAnsi="仿宋" w:eastAsia="仿宋" w:cs="仿宋"/>
          <w:color w:val="000000" w:themeColor="text1"/>
          <w:spacing w:val="0"/>
          <w:szCs w:val="21"/>
          <w14:textFill>
            <w14:solidFill>
              <w14:schemeClr w14:val="tx1"/>
            </w14:solidFill>
          </w14:textFill>
        </w:rPr>
      </w:pPr>
      <w:r>
        <w:rPr>
          <w:rFonts w:hint="eastAsia" w:ascii="仿宋" w:hAnsi="仿宋" w:eastAsia="仿宋" w:cs="仿宋"/>
          <w:color w:val="000000" w:themeColor="text1"/>
          <w:spacing w:val="0"/>
          <w:szCs w:val="21"/>
          <w14:textFill>
            <w14:solidFill>
              <w14:schemeClr w14:val="tx1"/>
            </w14:solidFill>
          </w14:textFill>
        </w:rPr>
        <w:t>3.2.5、当招标文件澄清、答复、修改或补充通知与招标文件就同一内容表述不一致时，以最后发出的书面文件内容为准。</w:t>
      </w:r>
    </w:p>
    <w:p w14:paraId="54365E1C">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四、投标文件</w:t>
      </w:r>
      <w:bookmarkEnd w:id="69"/>
      <w:bookmarkEnd w:id="70"/>
    </w:p>
    <w:p w14:paraId="28FE5715">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83" w:name="_Toc16867"/>
      <w:bookmarkStart w:id="84" w:name="_Toc12665"/>
      <w:bookmarkStart w:id="85" w:name="_Toc6474"/>
      <w:bookmarkStart w:id="86" w:name="_Toc1158"/>
      <w:bookmarkStart w:id="87" w:name="_Toc11474"/>
      <w:bookmarkStart w:id="88" w:name="_Toc31296"/>
      <w:bookmarkStart w:id="89" w:name="_Toc12629"/>
      <w:bookmarkStart w:id="90" w:name="_Toc8539"/>
      <w:bookmarkStart w:id="91" w:name="_Toc10790"/>
      <w:bookmarkStart w:id="92" w:name="_Toc7093"/>
      <w:bookmarkStart w:id="93" w:name="_Toc32220"/>
      <w:bookmarkStart w:id="94" w:name="_Toc26751"/>
      <w:bookmarkStart w:id="95" w:name="_Toc31575"/>
      <w:bookmarkStart w:id="96" w:name="_Toc31096"/>
      <w:bookmarkStart w:id="97" w:name="_Toc23774"/>
      <w:bookmarkStart w:id="98" w:name="_Toc6883"/>
      <w:bookmarkStart w:id="99" w:name="_Toc18709"/>
      <w:bookmarkStart w:id="100" w:name="_Toc8520"/>
      <w:bookmarkStart w:id="101" w:name="_Toc32437"/>
      <w:bookmarkStart w:id="102" w:name="_Toc1336"/>
      <w:bookmarkStart w:id="103" w:name="_Toc10279"/>
      <w:bookmarkStart w:id="104" w:name="_Toc7527"/>
      <w:bookmarkStart w:id="105" w:name="_Toc3816"/>
      <w:bookmarkStart w:id="106" w:name="_Toc8592"/>
      <w:r>
        <w:rPr>
          <w:rFonts w:hint="eastAsia" w:ascii="仿宋" w:hAnsi="仿宋" w:eastAsia="仿宋" w:cs="仿宋"/>
          <w:b/>
          <w:color w:val="000000" w:themeColor="text1"/>
          <w:szCs w:val="21"/>
          <w14:textFill>
            <w14:solidFill>
              <w14:schemeClr w14:val="tx1"/>
            </w14:solidFill>
          </w14:textFill>
        </w:rPr>
        <w:t>4.1、投标文件计量单位</w:t>
      </w:r>
      <w:bookmarkEnd w:id="83"/>
      <w:bookmarkEnd w:id="84"/>
      <w:bookmarkEnd w:id="85"/>
      <w:bookmarkEnd w:id="86"/>
      <w:bookmarkEnd w:id="87"/>
      <w:bookmarkEnd w:id="88"/>
      <w:bookmarkEnd w:id="89"/>
      <w:bookmarkEnd w:id="90"/>
      <w:bookmarkEnd w:id="91"/>
      <w:bookmarkEnd w:id="92"/>
      <w:bookmarkEnd w:id="93"/>
      <w:bookmarkEnd w:id="94"/>
    </w:p>
    <w:p w14:paraId="05226A30">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投标文件中所使用的计量单位，除有特殊要求外，均采用国家法定计量单位。</w:t>
      </w:r>
    </w:p>
    <w:p w14:paraId="61A4A32F">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4.2、投标文件的组成</w:t>
      </w:r>
      <w:bookmarkEnd w:id="95"/>
      <w:bookmarkEnd w:id="96"/>
      <w:bookmarkEnd w:id="97"/>
      <w:bookmarkEnd w:id="98"/>
      <w:bookmarkEnd w:id="99"/>
      <w:bookmarkEnd w:id="100"/>
      <w:bookmarkEnd w:id="101"/>
      <w:bookmarkEnd w:id="102"/>
      <w:bookmarkEnd w:id="103"/>
      <w:bookmarkEnd w:id="104"/>
      <w:bookmarkEnd w:id="105"/>
      <w:bookmarkEnd w:id="106"/>
    </w:p>
    <w:p w14:paraId="04C45B5F">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投标文件应包括下列内容：</w:t>
      </w:r>
    </w:p>
    <w:p w14:paraId="143A883D">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bookmarkStart w:id="107" w:name="_Toc25254"/>
      <w:bookmarkStart w:id="108" w:name="_Toc28241"/>
      <w:bookmarkStart w:id="109" w:name="_Toc13931"/>
      <w:bookmarkStart w:id="110" w:name="_Toc13883"/>
      <w:bookmarkStart w:id="111" w:name="_Toc4919"/>
      <w:bookmarkStart w:id="112" w:name="_Toc10147"/>
      <w:bookmarkStart w:id="113" w:name="_Toc30905"/>
      <w:bookmarkStart w:id="114" w:name="_Toc19212"/>
      <w:bookmarkStart w:id="115" w:name="_Toc6108"/>
      <w:bookmarkStart w:id="116" w:name="_Toc28374"/>
      <w:bookmarkStart w:id="117" w:name="_Toc20030"/>
      <w:bookmarkStart w:id="118" w:name="_Toc29990"/>
      <w:r>
        <w:rPr>
          <w:rFonts w:hint="eastAsia" w:ascii="仿宋" w:hAnsi="仿宋" w:eastAsia="仿宋" w:cs="仿宋"/>
          <w:bCs/>
          <w:color w:val="000000" w:themeColor="text1"/>
          <w:szCs w:val="21"/>
          <w14:textFill>
            <w14:solidFill>
              <w14:schemeClr w14:val="tx1"/>
            </w14:solidFill>
          </w14:textFill>
        </w:rPr>
        <w:t>一、投标函</w:t>
      </w:r>
    </w:p>
    <w:p w14:paraId="2DEC8648">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二、开标一览表 </w:t>
      </w:r>
    </w:p>
    <w:p w14:paraId="648EB181">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三、分项报价表 </w:t>
      </w:r>
    </w:p>
    <w:p w14:paraId="4FF0A9B7">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四</w:t>
      </w:r>
      <w:r>
        <w:rPr>
          <w:rFonts w:hint="eastAsia" w:ascii="仿宋" w:hAnsi="仿宋" w:eastAsia="仿宋" w:cs="仿宋"/>
          <w:bCs/>
          <w:color w:val="000000" w:themeColor="text1"/>
          <w:szCs w:val="21"/>
          <w14:textFill>
            <w14:solidFill>
              <w14:schemeClr w14:val="tx1"/>
            </w14:solidFill>
          </w14:textFill>
        </w:rPr>
        <w:t>、商务</w:t>
      </w:r>
      <w:r>
        <w:rPr>
          <w:rFonts w:hint="eastAsia" w:ascii="仿宋" w:hAnsi="仿宋" w:eastAsia="仿宋" w:cs="仿宋"/>
          <w:bCs/>
          <w:color w:val="000000" w:themeColor="text1"/>
          <w:szCs w:val="21"/>
          <w:lang w:val="en-US" w:eastAsia="zh-CN"/>
          <w14:textFill>
            <w14:solidFill>
              <w14:schemeClr w14:val="tx1"/>
            </w14:solidFill>
          </w14:textFill>
        </w:rPr>
        <w:t>部分</w:t>
      </w:r>
    </w:p>
    <w:p w14:paraId="4073C3A0">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五</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技术服务部分</w:t>
      </w:r>
      <w:r>
        <w:rPr>
          <w:rFonts w:hint="eastAsia" w:ascii="仿宋" w:hAnsi="仿宋" w:eastAsia="仿宋" w:cs="仿宋"/>
          <w:bCs/>
          <w:color w:val="000000" w:themeColor="text1"/>
          <w:szCs w:val="21"/>
          <w14:textFill>
            <w14:solidFill>
              <w14:schemeClr w14:val="tx1"/>
            </w14:solidFill>
          </w14:textFill>
        </w:rPr>
        <w:t xml:space="preserve"> </w:t>
      </w:r>
    </w:p>
    <w:p w14:paraId="19AE8981">
      <w:pPr>
        <w:snapToGrid w:val="0"/>
        <w:spacing w:line="360" w:lineRule="auto"/>
        <w:ind w:firstLine="210" w:firstLineChars="100"/>
        <w:outlineLvl w:val="0"/>
        <w:rPr>
          <w:rFonts w:hint="eastAsia" w:ascii="仿宋" w:hAnsi="仿宋" w:eastAsia="仿宋" w:cs="仿宋"/>
          <w:bCs/>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六</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投标人认为有必要说明、阐述的事项或其他材料</w:t>
      </w:r>
    </w:p>
    <w:p w14:paraId="6C5A3BC9">
      <w:pPr>
        <w:snapToGrid w:val="0"/>
        <w:spacing w:line="360" w:lineRule="auto"/>
        <w:ind w:firstLine="210" w:firstLineChars="100"/>
        <w:outlineLvl w:val="0"/>
        <w:rPr>
          <w:rFonts w:hint="eastAsia"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七</w:t>
      </w:r>
      <w:r>
        <w:rPr>
          <w:rFonts w:hint="eastAsia" w:ascii="仿宋" w:hAnsi="仿宋" w:eastAsia="仿宋" w:cs="仿宋"/>
          <w:bCs/>
          <w:color w:val="000000" w:themeColor="text1"/>
          <w:szCs w:val="21"/>
          <w14:textFill>
            <w14:solidFill>
              <w14:schemeClr w14:val="tx1"/>
            </w14:solidFill>
          </w14:textFill>
        </w:rPr>
        <w:t>、投标人资格证明文件</w:t>
      </w:r>
    </w:p>
    <w:p w14:paraId="6641E26F">
      <w:pPr>
        <w:snapToGrid w:val="0"/>
        <w:spacing w:line="360" w:lineRule="auto"/>
        <w:ind w:firstLine="210" w:firstLineChars="100"/>
        <w:outlineLvl w:val="0"/>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Cs/>
          <w:color w:val="000000" w:themeColor="text1"/>
          <w:szCs w:val="21"/>
          <w:lang w:val="en-US" w:eastAsia="zh-CN"/>
          <w14:textFill>
            <w14:solidFill>
              <w14:schemeClr w14:val="tx1"/>
            </w14:solidFill>
          </w14:textFill>
        </w:rPr>
        <w:t>八</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 xml:space="preserve">落实政府采购政策需满足的资格要求 </w:t>
      </w:r>
    </w:p>
    <w:p w14:paraId="4EA1AC9E">
      <w:pPr>
        <w:snapToGrid w:val="0"/>
        <w:spacing w:line="360" w:lineRule="auto"/>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4.3</w:t>
      </w:r>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b/>
          <w:color w:val="000000" w:themeColor="text1"/>
          <w:szCs w:val="21"/>
          <w14:textFill>
            <w14:solidFill>
              <w14:schemeClr w14:val="tx1"/>
            </w14:solidFill>
          </w14:textFill>
        </w:rPr>
        <w:t>、投标文件的编写原则</w:t>
      </w:r>
    </w:p>
    <w:p w14:paraId="6B86254C">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目的非主体、非关键性工作交由他人完成的，应当在投标文件中载明。投标人对本招标文件的每一项要求所给予的响应必须是唯一的，否则将视为无效投标文件。</w:t>
      </w:r>
    </w:p>
    <w:p w14:paraId="5EF346C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4.3.2、真实性原则</w:t>
      </w:r>
    </w:p>
    <w:p w14:paraId="055E2466">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4.3.2.1、投标人应保证所提供的投标文件和所有资料的真实性、准确性和完整性。</w:t>
      </w:r>
    </w:p>
    <w:p w14:paraId="5FE5FBB5">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4.3.2.2、投标人被认定为在政府采购活动中提供不真实材料的，无论其材料是否重要，采购人均有权拒绝，并取消其投标或中标资格，投标人需承担相应的法律后果。</w:t>
      </w:r>
    </w:p>
    <w:p w14:paraId="45010E5D">
      <w:pPr>
        <w:pStyle w:val="19"/>
        <w:spacing w:line="360" w:lineRule="auto"/>
        <w:ind w:firstLine="210" w:firstLineChars="1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4.3.3、投标文件形式</w:t>
      </w:r>
    </w:p>
    <w:p w14:paraId="176F5368">
      <w:pPr>
        <w:pStyle w:val="19"/>
        <w:spacing w:line="360" w:lineRule="auto"/>
        <w:ind w:firstLine="420" w:firstLineChars="2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本项目投标文件应采用书面文件形式，电报、传真、电子邮件形式的投标文件不予接受。</w:t>
      </w:r>
    </w:p>
    <w:p w14:paraId="5C57E924">
      <w:pPr>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4.4、投标报价</w:t>
      </w:r>
    </w:p>
    <w:p w14:paraId="205BC6FB">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19" w:name="_Toc4453"/>
      <w:bookmarkStart w:id="120" w:name="_Toc7490"/>
      <w:bookmarkStart w:id="121" w:name="_Toc15552"/>
      <w:bookmarkStart w:id="122" w:name="_Toc26477"/>
      <w:bookmarkStart w:id="123" w:name="_Toc19144"/>
      <w:bookmarkStart w:id="124" w:name="_Toc21354"/>
      <w:bookmarkStart w:id="125" w:name="_Toc32557"/>
      <w:bookmarkStart w:id="126" w:name="_Toc30478"/>
      <w:bookmarkStart w:id="127" w:name="_Toc26542"/>
      <w:bookmarkStart w:id="128" w:name="_Toc15478"/>
      <w:bookmarkStart w:id="129" w:name="_Toc24530"/>
      <w:bookmarkStart w:id="130" w:name="_Toc14199"/>
      <w:r>
        <w:rPr>
          <w:rFonts w:hint="eastAsia" w:ascii="仿宋" w:hAnsi="仿宋" w:eastAsia="仿宋" w:cs="仿宋"/>
          <w:bCs/>
          <w:color w:val="000000" w:themeColor="text1"/>
          <w:szCs w:val="21"/>
          <w14:textFill>
            <w14:solidFill>
              <w14:schemeClr w14:val="tx1"/>
            </w14:solidFill>
          </w14:textFill>
        </w:rPr>
        <w:t>（1）投标报价是指完成本项目的所有费用，以招标文件的内容和要求作为投标依据；</w:t>
      </w:r>
      <w:bookmarkEnd w:id="119"/>
      <w:bookmarkEnd w:id="120"/>
      <w:bookmarkEnd w:id="121"/>
      <w:r>
        <w:rPr>
          <w:rFonts w:hint="eastAsia" w:ascii="仿宋" w:hAnsi="仿宋" w:eastAsia="仿宋" w:cs="仿宋"/>
          <w:bCs/>
          <w:color w:val="000000" w:themeColor="text1"/>
          <w:szCs w:val="21"/>
          <w14:textFill>
            <w14:solidFill>
              <w14:schemeClr w14:val="tx1"/>
            </w14:solidFill>
          </w14:textFill>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p>
    <w:p w14:paraId="1AD8FB99">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31" w:name="_Toc81"/>
      <w:bookmarkStart w:id="132" w:name="_Toc8496"/>
      <w:bookmarkStart w:id="133" w:name="_Toc20508"/>
      <w:r>
        <w:rPr>
          <w:rFonts w:hint="eastAsia" w:ascii="仿宋" w:hAnsi="仿宋" w:eastAsia="仿宋" w:cs="仿宋"/>
          <w:bCs/>
          <w:color w:val="000000" w:themeColor="text1"/>
          <w:szCs w:val="21"/>
          <w14:textFill>
            <w14:solidFill>
              <w14:schemeClr w14:val="tx1"/>
            </w14:solidFill>
          </w14:textFill>
        </w:rPr>
        <w:t>（2）</w:t>
      </w:r>
      <w:bookmarkEnd w:id="131"/>
      <w:bookmarkEnd w:id="132"/>
      <w:bookmarkEnd w:id="133"/>
      <w:r>
        <w:rPr>
          <w:rFonts w:hint="eastAsia" w:ascii="仿宋" w:hAnsi="仿宋" w:eastAsia="仿宋" w:cs="仿宋"/>
          <w:bCs/>
          <w:color w:val="000000" w:themeColor="text1"/>
          <w:szCs w:val="21"/>
          <w14:textFill>
            <w14:solidFill>
              <w14:schemeClr w14:val="tx1"/>
            </w14:solidFill>
          </w14:textFill>
        </w:rPr>
        <w:t>投标人只允许有一个报价</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折扣率</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，并且在合同履行过程中是固定不变的，任何有选择或可调整的报价将不予接受并按无效投标处理。</w:t>
      </w:r>
    </w:p>
    <w:p w14:paraId="7F8B26BD">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（3）投标人的报价是投标人响应招标目要求的全部工作内容的价格体现，包括投标人完成本项目所需的一切费用，即：</w:t>
      </w:r>
      <w:r>
        <w:rPr>
          <w:rFonts w:hint="eastAsia" w:ascii="仿宋" w:hAnsi="仿宋" w:eastAsia="仿宋" w:cs="仿宋"/>
          <w:bCs/>
          <w:color w:val="000000" w:themeColor="text1"/>
          <w:szCs w:val="21"/>
          <w:lang w:val="en-US" w:eastAsia="zh-CN"/>
          <w14:textFill>
            <w14:solidFill>
              <w14:schemeClr w14:val="tx1"/>
            </w14:solidFill>
          </w14:textFill>
        </w:rPr>
        <w:t>食材、</w:t>
      </w:r>
      <w:r>
        <w:rPr>
          <w:rFonts w:hint="eastAsia" w:ascii="仿宋" w:hAnsi="仿宋" w:eastAsia="仿宋" w:cs="仿宋"/>
          <w:bCs/>
          <w:color w:val="000000" w:themeColor="text1"/>
          <w:szCs w:val="21"/>
          <w14:textFill>
            <w14:solidFill>
              <w14:schemeClr w14:val="tx1"/>
            </w14:solidFill>
          </w14:textFill>
        </w:rPr>
        <w:t>运输费、保险费、服务费、招标代理费、税金及不可预见费等全部费用。投标总价中不得包含招标文件要求以外的内容，否则，在评标时不予核减。在供货、运输、送货等工作中出现的任何遗漏，均由中标人免费提供，采购人将不再支付任何费用。</w:t>
      </w:r>
    </w:p>
    <w:p w14:paraId="03AC9224">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34" w:name="_Toc11845"/>
      <w:bookmarkStart w:id="135" w:name="_Toc27373"/>
      <w:bookmarkStart w:id="136" w:name="_Toc20847"/>
      <w:r>
        <w:rPr>
          <w:rFonts w:hint="eastAsia" w:ascii="仿宋" w:hAnsi="仿宋" w:eastAsia="仿宋" w:cs="仿宋"/>
          <w:bCs/>
          <w:color w:val="000000" w:themeColor="text1"/>
          <w:szCs w:val="21"/>
          <w14:textFill>
            <w14:solidFill>
              <w14:schemeClr w14:val="tx1"/>
            </w14:solidFill>
          </w14:textFill>
        </w:rPr>
        <w:t>（4）投标</w:t>
      </w:r>
      <w:r>
        <w:rPr>
          <w:rFonts w:hint="eastAsia" w:ascii="仿宋" w:hAnsi="仿宋" w:eastAsia="仿宋" w:cs="仿宋"/>
          <w:bCs/>
          <w:color w:val="000000" w:themeColor="text1"/>
          <w:szCs w:val="21"/>
          <w:lang w:val="en-US" w:eastAsia="zh-CN"/>
          <w14:textFill>
            <w14:solidFill>
              <w14:schemeClr w14:val="tx1"/>
            </w14:solidFill>
          </w14:textFill>
        </w:rPr>
        <w:t>报价形式</w:t>
      </w:r>
      <w:r>
        <w:rPr>
          <w:rFonts w:hint="eastAsia" w:ascii="仿宋" w:hAnsi="仿宋" w:eastAsia="仿宋" w:cs="仿宋"/>
          <w:bCs/>
          <w:color w:val="000000" w:themeColor="text1"/>
          <w:szCs w:val="21"/>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折扣率</w:t>
      </w:r>
      <w:r>
        <w:rPr>
          <w:rFonts w:hint="eastAsia" w:ascii="仿宋" w:hAnsi="仿宋" w:eastAsia="仿宋" w:cs="仿宋"/>
          <w:bCs/>
          <w:color w:val="000000" w:themeColor="text1"/>
          <w:szCs w:val="21"/>
          <w14:textFill>
            <w14:solidFill>
              <w14:schemeClr w14:val="tx1"/>
            </w14:solidFill>
          </w14:textFill>
        </w:rPr>
        <w:t>；</w:t>
      </w:r>
      <w:bookmarkEnd w:id="134"/>
      <w:bookmarkEnd w:id="135"/>
      <w:bookmarkEnd w:id="136"/>
    </w:p>
    <w:p w14:paraId="03738997">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37" w:name="_Toc30343"/>
      <w:bookmarkStart w:id="138" w:name="_Toc21233"/>
      <w:bookmarkStart w:id="139" w:name="_Toc14272"/>
      <w:r>
        <w:rPr>
          <w:rFonts w:hint="eastAsia" w:ascii="仿宋" w:hAnsi="仿宋" w:eastAsia="仿宋" w:cs="仿宋"/>
          <w:bCs/>
          <w:color w:val="000000" w:themeColor="text1"/>
          <w:szCs w:val="21"/>
          <w14:textFill>
            <w14:solidFill>
              <w14:schemeClr w14:val="tx1"/>
            </w14:solidFill>
          </w14:textFill>
        </w:rPr>
        <w:t>（</w:t>
      </w:r>
      <w:bookmarkEnd w:id="137"/>
      <w:bookmarkEnd w:id="138"/>
      <w:bookmarkEnd w:id="139"/>
      <w:bookmarkStart w:id="140" w:name="_Toc6396"/>
      <w:bookmarkStart w:id="141" w:name="_Toc7876"/>
      <w:bookmarkStart w:id="142" w:name="_Toc24503"/>
      <w:r>
        <w:rPr>
          <w:rFonts w:hint="eastAsia" w:ascii="仿宋" w:hAnsi="仿宋" w:eastAsia="仿宋" w:cs="仿宋"/>
          <w:bCs/>
          <w:color w:val="000000" w:themeColor="text1"/>
          <w:szCs w:val="21"/>
          <w14:textFill>
            <w14:solidFill>
              <w14:schemeClr w14:val="tx1"/>
            </w14:solidFill>
          </w14:textFill>
        </w:rPr>
        <w:t>5）最低报价不是中标的唯一依据；</w:t>
      </w:r>
      <w:bookmarkEnd w:id="140"/>
      <w:bookmarkEnd w:id="141"/>
      <w:bookmarkEnd w:id="142"/>
    </w:p>
    <w:p w14:paraId="66533EE3">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43" w:name="_Toc28858"/>
      <w:bookmarkStart w:id="144" w:name="_Toc30448"/>
      <w:bookmarkStart w:id="145" w:name="_Toc19028"/>
      <w:r>
        <w:rPr>
          <w:rFonts w:hint="eastAsia" w:ascii="仿宋" w:hAnsi="仿宋" w:eastAsia="仿宋" w:cs="仿宋"/>
          <w:bCs/>
          <w:color w:val="000000" w:themeColor="text1"/>
          <w:szCs w:val="21"/>
          <w14:textFill>
            <w14:solidFill>
              <w14:schemeClr w14:val="tx1"/>
            </w14:solidFill>
          </w14:textFill>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143"/>
      <w:bookmarkEnd w:id="144"/>
      <w:bookmarkEnd w:id="145"/>
    </w:p>
    <w:p w14:paraId="6217590F">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bookmarkStart w:id="146" w:name="_Toc12707"/>
      <w:bookmarkStart w:id="147" w:name="_Toc4036"/>
      <w:bookmarkStart w:id="148" w:name="_Toc21775"/>
      <w:r>
        <w:rPr>
          <w:rFonts w:hint="eastAsia" w:ascii="仿宋" w:hAnsi="仿宋" w:eastAsia="仿宋" w:cs="仿宋"/>
          <w:bCs/>
          <w:color w:val="000000" w:themeColor="text1"/>
          <w:szCs w:val="21"/>
          <w14:textFill>
            <w14:solidFill>
              <w14:schemeClr w14:val="tx1"/>
            </w14:solidFill>
          </w14:textFill>
        </w:rPr>
        <w:t>（7）投标人的投标报价不得超过投标人须知前附表规定的</w:t>
      </w:r>
      <w:r>
        <w:rPr>
          <w:rFonts w:hint="eastAsia" w:ascii="仿宋" w:hAnsi="仿宋" w:eastAsia="仿宋" w:cs="仿宋"/>
          <w:bCs/>
          <w:color w:val="000000" w:themeColor="text1"/>
          <w:szCs w:val="21"/>
          <w:lang w:val="en-US" w:eastAsia="zh-CN"/>
          <w14:textFill>
            <w14:solidFill>
              <w14:schemeClr w14:val="tx1"/>
            </w14:solidFill>
          </w14:textFill>
        </w:rPr>
        <w:t>费率</w:t>
      </w:r>
      <w:r>
        <w:rPr>
          <w:rFonts w:hint="eastAsia" w:ascii="仿宋" w:hAnsi="仿宋" w:eastAsia="仿宋" w:cs="仿宋"/>
          <w:bCs/>
          <w:color w:val="000000" w:themeColor="text1"/>
          <w:szCs w:val="21"/>
          <w14:textFill>
            <w14:solidFill>
              <w14:schemeClr w14:val="tx1"/>
            </w14:solidFill>
          </w14:textFill>
        </w:rPr>
        <w:t>，否则，作为不实质性响应招标文件，按无效投标处理；投标人须知前附表设定了最高限价的，投标人的投标报价也不得超过最高限价，否则，作为不实质性响应招标文件，按无效投标处理。</w:t>
      </w:r>
    </w:p>
    <w:p w14:paraId="104C94FB">
      <w:pPr>
        <w:snapToGrid w:val="0"/>
        <w:spacing w:line="360" w:lineRule="auto"/>
        <w:ind w:firstLine="210" w:firstLineChars="100"/>
        <w:outlineLvl w:val="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（8）采购人不接受投标人给予的赠品、回扣或者与采购无关的其他商品、服务。如有赠与行为，其投标无效。</w:t>
      </w:r>
    </w:p>
    <w:bookmarkEnd w:id="122"/>
    <w:bookmarkEnd w:id="123"/>
    <w:bookmarkEnd w:id="124"/>
    <w:bookmarkEnd w:id="125"/>
    <w:bookmarkEnd w:id="126"/>
    <w:bookmarkEnd w:id="127"/>
    <w:bookmarkEnd w:id="128"/>
    <w:bookmarkEnd w:id="129"/>
    <w:bookmarkEnd w:id="130"/>
    <w:bookmarkEnd w:id="146"/>
    <w:bookmarkEnd w:id="147"/>
    <w:bookmarkEnd w:id="148"/>
    <w:p w14:paraId="1020E3E8">
      <w:pPr>
        <w:snapToGrid w:val="0"/>
        <w:spacing w:line="360" w:lineRule="auto"/>
        <w:outlineLvl w:val="2"/>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4.5、投标文件的编制</w:t>
      </w:r>
    </w:p>
    <w:p w14:paraId="316CBC43">
      <w:pPr>
        <w:tabs>
          <w:tab w:val="left" w:pos="7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4.5.1、投标人应仔细阅读招标文件的所有内容，按招标文件规定及要求编制投标文件，并对招标文件提出的实质性要求做出响应，提交完整的投标文件。投标内容应完整，如有遗漏，将被视为无效。</w:t>
      </w:r>
    </w:p>
    <w:p w14:paraId="6B799736">
      <w:pPr>
        <w:tabs>
          <w:tab w:val="left" w:pos="7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bCs/>
          <w:color w:val="000000" w:themeColor="text1"/>
          <w:szCs w:val="21"/>
          <w14:textFill>
            <w14:solidFill>
              <w14:schemeClr w14:val="tx1"/>
            </w14:solidFill>
          </w14:textFill>
        </w:rPr>
        <w:t>5.2、投标文件的语言：投标人</w:t>
      </w:r>
      <w:r>
        <w:rPr>
          <w:rFonts w:hint="eastAsia" w:ascii="仿宋" w:hAnsi="仿宋" w:eastAsia="仿宋" w:cs="仿宋"/>
          <w:color w:val="000000" w:themeColor="text1"/>
          <w:szCs w:val="21"/>
          <w14:textFill>
            <w14:solidFill>
              <w14:schemeClr w14:val="tx1"/>
            </w14:solidFill>
          </w14:textFill>
        </w:rPr>
        <w:t>提交的投标文件以及投标人与采购代理机构就有关本项目所有文件、资料、函电文字均应使用中文（通用缩写、代号、名称除外）。</w:t>
      </w:r>
    </w:p>
    <w:p w14:paraId="1D158C71">
      <w:pPr>
        <w:tabs>
          <w:tab w:val="left" w:pos="720"/>
        </w:tabs>
        <w:snapToGrid w:val="0"/>
        <w:spacing w:line="360" w:lineRule="auto"/>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4.5.3、投标文件的计量单位：</w:t>
      </w:r>
      <w:r>
        <w:rPr>
          <w:rFonts w:hint="eastAsia" w:ascii="仿宋" w:hAnsi="仿宋" w:eastAsia="仿宋" w:cs="仿宋"/>
          <w:color w:val="000000" w:themeColor="text1"/>
          <w:kern w:val="0"/>
          <w:szCs w:val="21"/>
          <w14:textFill>
            <w14:solidFill>
              <w14:schemeClr w14:val="tx1"/>
            </w14:solidFill>
          </w14:textFill>
        </w:rPr>
        <w:t>投标文件已有明确规定的，使用投标文件规定的计量单位；投标文件没有规定的，应采用中华人民共和国法定计量单位</w:t>
      </w:r>
      <w:r>
        <w:rPr>
          <w:rFonts w:hint="eastAsia" w:ascii="仿宋" w:hAnsi="仿宋" w:eastAsia="仿宋" w:cs="仿宋"/>
          <w:color w:val="000000" w:themeColor="text1"/>
          <w:szCs w:val="21"/>
          <w14:textFill>
            <w14:solidFill>
              <w14:schemeClr w14:val="tx1"/>
            </w14:solidFill>
          </w14:textFill>
        </w:rPr>
        <w:t>(国际单位制和国家选定的其他计量单位)</w:t>
      </w:r>
      <w:r>
        <w:rPr>
          <w:rFonts w:hint="eastAsia" w:ascii="仿宋" w:hAnsi="仿宋" w:eastAsia="仿宋" w:cs="仿宋"/>
          <w:color w:val="000000" w:themeColor="text1"/>
          <w:kern w:val="0"/>
          <w:szCs w:val="21"/>
          <w14:textFill>
            <w14:solidFill>
              <w14:schemeClr w14:val="tx1"/>
            </w14:solidFill>
          </w14:textFill>
        </w:rPr>
        <w:t>。</w:t>
      </w:r>
    </w:p>
    <w:p w14:paraId="3935167C">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5.4、备选方案：本项目不接受备选投标方案，投标文件的报价只允许有一个报价，不接受有任何选择或具有附加条件的报价，否则，在评审时将其视为无效报价。</w:t>
      </w:r>
    </w:p>
    <w:p w14:paraId="75281DA2">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5.5、投标文件有效期：投标文件有效期自投标截止之日起计算不得少于90天。</w:t>
      </w:r>
    </w:p>
    <w:p w14:paraId="3564523D">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5.6、投标文件格式：投标人应严格按照招标文件《第六章 投标文件格式及构成》填写相关内容。除明确允许投标人可以自行编写的外，投标人不得以规定之外的方式填写相关内容。</w:t>
      </w:r>
    </w:p>
    <w:p w14:paraId="47A6E279">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5.7、投标文件的签署、盖章</w:t>
      </w:r>
    </w:p>
    <w:p w14:paraId="4590C420">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bookmarkStart w:id="149" w:name="_Toc175973400"/>
      <w:bookmarkStart w:id="150" w:name="_Toc531189839"/>
      <w:r>
        <w:rPr>
          <w:rFonts w:hint="eastAsia" w:ascii="仿宋" w:hAnsi="仿宋" w:eastAsia="仿宋" w:cs="仿宋"/>
          <w:color w:val="000000" w:themeColor="text1"/>
          <w:kern w:val="1"/>
          <w:szCs w:val="21"/>
          <w14:textFill>
            <w14:solidFill>
              <w14:schemeClr w14:val="tx1"/>
            </w14:solidFill>
          </w14:textFill>
        </w:rPr>
        <w:t>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1B92100B">
      <w:pPr>
        <w:tabs>
          <w:tab w:val="left" w:pos="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5.7.2、投标人必须按照招标文件的规定和要求在投标文件中落款处签字，指定的页面处加盖公章。</w:t>
      </w:r>
    </w:p>
    <w:p w14:paraId="75ACADC4">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5.8、封装及封套注释</w:t>
      </w:r>
      <w:r>
        <w:rPr>
          <w:rFonts w:hint="eastAsia" w:ascii="仿宋" w:hAnsi="仿宋" w:eastAsia="仿宋" w:cs="仿宋"/>
          <w:color w:val="000000" w:themeColor="text1"/>
          <w:kern w:val="1"/>
          <w:szCs w:val="21"/>
          <w14:textFill>
            <w14:solidFill>
              <w14:schemeClr w14:val="tx1"/>
            </w14:solidFill>
          </w14:textFill>
        </w:rPr>
        <w:tab/>
      </w:r>
    </w:p>
    <w:p w14:paraId="6447DAE0">
      <w:pPr>
        <w:tabs>
          <w:tab w:val="left" w:pos="0"/>
          <w:tab w:val="left" w:pos="420"/>
        </w:tabs>
        <w:snapToGrid w:val="0"/>
        <w:spacing w:line="360" w:lineRule="auto"/>
        <w:ind w:firstLine="420" w:firstLineChars="200"/>
        <w:rPr>
          <w:rFonts w:ascii="仿宋" w:hAnsi="仿宋" w:eastAsia="仿宋" w:cs="仿宋"/>
          <w:b/>
          <w:bCs/>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5.8.1、</w:t>
      </w:r>
      <w:r>
        <w:rPr>
          <w:rFonts w:hint="eastAsia" w:ascii="仿宋" w:hAnsi="仿宋" w:eastAsia="仿宋" w:cs="仿宋"/>
          <w:b/>
          <w:bCs/>
          <w:color w:val="000000" w:themeColor="text1"/>
          <w:kern w:val="1"/>
          <w:szCs w:val="21"/>
          <w14:textFill>
            <w14:solidFill>
              <w14:schemeClr w14:val="tx1"/>
            </w14:solidFill>
          </w14:textFill>
        </w:rPr>
        <w:t>投标文件的正本、副本、开标一览表要求各自分装密封（封袋不得有破损），同时在封口处加贴封条并在骑缝处加盖投标人公章；投标文件电子版U盘须用抠取纸或其他方式标明投标人名称，并用小信封包装后随开标一览表一起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投标人电子文件属性相同的，按无效投标文件处理。</w:t>
      </w:r>
    </w:p>
    <w:p w14:paraId="4DB1B468">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5.8.2、封套上应载明的信息：</w:t>
      </w:r>
    </w:p>
    <w:p w14:paraId="7F3D6E55">
      <w:pPr>
        <w:tabs>
          <w:tab w:val="left" w:pos="0"/>
          <w:tab w:val="left" w:pos="420"/>
        </w:tabs>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项目名称及编号、采购人名称、投标人名称，并注明</w:t>
      </w:r>
      <w:r>
        <w:rPr>
          <w:rFonts w:hint="eastAsia" w:ascii="仿宋" w:hAnsi="仿宋" w:eastAsia="仿宋" w:cs="仿宋"/>
          <w:color w:val="000000" w:themeColor="text1"/>
          <w:kern w:val="1"/>
          <w:szCs w:val="21"/>
          <w:lang w:val="en-US" w:eastAsia="zh-CN"/>
          <w14:textFill>
            <w14:solidFill>
              <w14:schemeClr w14:val="tx1"/>
            </w14:solidFill>
          </w14:textFill>
        </w:rPr>
        <w:t>与前附表描述不一致</w:t>
      </w:r>
      <w:r>
        <w:rPr>
          <w:rFonts w:hint="eastAsia" w:ascii="仿宋" w:hAnsi="仿宋" w:eastAsia="仿宋" w:cs="仿宋"/>
          <w:color w:val="000000" w:themeColor="text1"/>
          <w:kern w:val="1"/>
          <w:szCs w:val="21"/>
          <w14:textFill>
            <w14:solidFill>
              <w14:schemeClr w14:val="tx1"/>
            </w14:solidFill>
          </w14:textFill>
        </w:rPr>
        <w:t>及“在    年  月  日  时  分前不得开启”字样</w:t>
      </w:r>
    </w:p>
    <w:p w14:paraId="1BF713B6">
      <w:pPr>
        <w:tabs>
          <w:tab w:val="left" w:pos="0"/>
          <w:tab w:val="left" w:pos="4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5.8.3、</w:t>
      </w:r>
      <w:r>
        <w:rPr>
          <w:rFonts w:hint="eastAsia" w:ascii="仿宋" w:hAnsi="仿宋" w:eastAsia="仿宋" w:cs="仿宋"/>
          <w:color w:val="000000" w:themeColor="text1"/>
          <w:szCs w:val="21"/>
          <w14:textFill>
            <w14:solidFill>
              <w14:schemeClr w14:val="tx1"/>
            </w14:solidFill>
          </w14:textFill>
        </w:rPr>
        <w:t>投标文件正本和副本</w:t>
      </w:r>
      <w:r>
        <w:rPr>
          <w:rFonts w:hint="eastAsia" w:ascii="仿宋" w:hAnsi="仿宋" w:eastAsia="仿宋" w:cs="仿宋"/>
          <w:color w:val="000000" w:themeColor="text1"/>
          <w:szCs w:val="21"/>
          <w:lang w:val="zh-CN"/>
          <w14:textFill>
            <w14:solidFill>
              <w14:schemeClr w14:val="tx1"/>
            </w14:solidFill>
          </w14:textFill>
        </w:rPr>
        <w:t>一律采用A4纸幅面加胶装分别装订成册，</w:t>
      </w:r>
      <w:r>
        <w:rPr>
          <w:rFonts w:hint="eastAsia" w:ascii="仿宋" w:hAnsi="仿宋" w:eastAsia="仿宋" w:cs="仿宋"/>
          <w:bCs/>
          <w:color w:val="000000" w:themeColor="text1"/>
          <w:kern w:val="1"/>
          <w:szCs w:val="21"/>
          <w14:textFill>
            <w14:solidFill>
              <w14:schemeClr w14:val="tx1"/>
            </w14:solidFill>
          </w14:textFill>
        </w:rPr>
        <w:t>按序从目录开始编制页码。</w:t>
      </w:r>
      <w:r>
        <w:rPr>
          <w:rFonts w:hint="eastAsia" w:ascii="仿宋" w:hAnsi="仿宋" w:eastAsia="仿宋" w:cs="仿宋"/>
          <w:color w:val="000000" w:themeColor="text1"/>
          <w:szCs w:val="21"/>
          <w14:textFill>
            <w14:solidFill>
              <w14:schemeClr w14:val="tx1"/>
            </w14:solidFill>
          </w14:textFill>
        </w:rPr>
        <w:t>文件胶装装订后，页面不可抽取，不得有活动页，无破损、不可拆分。</w:t>
      </w:r>
    </w:p>
    <w:p w14:paraId="0D2427B1">
      <w:pPr>
        <w:tabs>
          <w:tab w:val="left" w:pos="0"/>
          <w:tab w:val="left" w:pos="420"/>
        </w:tabs>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kern w:val="1"/>
          <w:szCs w:val="21"/>
          <w14:textFill>
            <w14:solidFill>
              <w14:schemeClr w14:val="tx1"/>
            </w14:solidFill>
          </w14:textFill>
        </w:rPr>
        <w:t>5.8.4</w:t>
      </w:r>
      <w:r>
        <w:rPr>
          <w:rFonts w:hint="eastAsia" w:ascii="仿宋" w:hAnsi="仿宋" w:eastAsia="仿宋" w:cs="仿宋"/>
          <w:color w:val="000000" w:themeColor="text1"/>
          <w:szCs w:val="21"/>
          <w14:textFill>
            <w14:solidFill>
              <w14:schemeClr w14:val="tx1"/>
            </w14:solidFill>
          </w14:textFill>
        </w:rPr>
        <w:t>、如果投标人未按上述要求密封标识，采购人及采购代理机构将拒绝接收投标文件。</w:t>
      </w:r>
    </w:p>
    <w:p w14:paraId="38B1C271">
      <w:pPr>
        <w:snapToGrid w:val="0"/>
        <w:spacing w:line="360" w:lineRule="auto"/>
        <w:ind w:firstLine="211" w:firstLineChars="1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4.6、投标保证金：</w:t>
      </w:r>
      <w:r>
        <w:rPr>
          <w:rFonts w:hint="eastAsia" w:ascii="仿宋" w:hAnsi="仿宋" w:eastAsia="仿宋" w:cs="仿宋"/>
          <w:color w:val="000000" w:themeColor="text1"/>
          <w:szCs w:val="21"/>
          <w14:textFill>
            <w14:solidFill>
              <w14:schemeClr w14:val="tx1"/>
            </w14:solidFill>
          </w14:textFill>
        </w:rPr>
        <w:t>本项目不收取投标保证金。</w:t>
      </w:r>
    </w:p>
    <w:p w14:paraId="08C53891">
      <w:pPr>
        <w:pStyle w:val="3"/>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五、投标文件的递交</w:t>
      </w:r>
      <w:bookmarkEnd w:id="149"/>
      <w:bookmarkEnd w:id="150"/>
    </w:p>
    <w:p w14:paraId="1B8E7BEB">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5.1、投标文件的递交</w:t>
      </w:r>
    </w:p>
    <w:p w14:paraId="28CF1E15">
      <w:pPr>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0A5F8E91">
      <w:pPr>
        <w:snapToGrid w:val="0"/>
        <w:spacing w:line="360" w:lineRule="auto"/>
        <w:ind w:firstLine="420" w:firstLineChars="200"/>
        <w:rPr>
          <w:rFonts w:ascii="仿宋" w:hAnsi="仿宋" w:eastAsia="仿宋" w:cs="仿宋"/>
          <w:color w:val="000000" w:themeColor="text1"/>
          <w:kern w:val="1"/>
          <w:szCs w:val="21"/>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5.1.2、逾期送达或者未按照招标文件要求密封的投标文件，采购人、采购代理机构将拒收。</w:t>
      </w:r>
    </w:p>
    <w:p w14:paraId="52D124A3">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5.2、投标截止时间</w:t>
      </w:r>
    </w:p>
    <w:p w14:paraId="5BB5E76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5.2.1、采购人推迟投标截止时间时，应以书面或传真的形式通知所有投标人。采购人和投标人的权利和义务将受到新的截止期的约束。</w:t>
      </w:r>
    </w:p>
    <w:p w14:paraId="2FC5274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5.2.2、投标截止时间以后送达的投标文件，采购人及采购代理机构拒绝接收。</w:t>
      </w:r>
    </w:p>
    <w:p w14:paraId="54FFA324">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5.3、投标文件的修改和撤回</w:t>
      </w:r>
    </w:p>
    <w:p w14:paraId="37DC46C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bookmarkStart w:id="151" w:name="_Toc531189840"/>
      <w:bookmarkStart w:id="152" w:name="_Toc519941192"/>
      <w:r>
        <w:rPr>
          <w:rFonts w:hint="eastAsia" w:ascii="仿宋" w:hAnsi="仿宋" w:eastAsia="仿宋" w:cs="仿宋"/>
          <w:color w:val="000000" w:themeColor="text1"/>
          <w:szCs w:val="21"/>
          <w14:textFill>
            <w14:solidFill>
              <w14:schemeClr w14:val="tx1"/>
            </w14:solidFill>
          </w14:textFill>
        </w:rPr>
        <w:t>5.3.1、投标以后，如果投标人提出书面修改，须在投标截止时间前密封送达同正项目管理有限公司，同正项目管理有限公司可以予以接受，但不退还原投标文件。</w:t>
      </w:r>
    </w:p>
    <w:p w14:paraId="6C9C9D5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5.3.2、撤回投标应以书面或传真的形式在投标截止时间前送达同正项目管理有限公司，同正项目管理有限公司可以予以接受，但不退还原投标文件。</w:t>
      </w:r>
    </w:p>
    <w:p w14:paraId="6995C18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5.3.3、如采取传真形式撤回投标，随后必须补充有法人代表或授权代表签署的要求撤回投标的正式文件。撤回投标的时间以送达同正项目管理有限公司的时间为准。</w:t>
      </w:r>
    </w:p>
    <w:p w14:paraId="373899C7">
      <w:pPr>
        <w:pStyle w:val="3"/>
        <w:tabs>
          <w:tab w:val="left" w:pos="3930"/>
          <w:tab w:val="center" w:pos="4819"/>
        </w:tabs>
        <w:snapToGrid w:val="0"/>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六、开标、资格审查及评标</w:t>
      </w:r>
      <w:bookmarkEnd w:id="151"/>
      <w:bookmarkEnd w:id="152"/>
    </w:p>
    <w:p w14:paraId="11569EC2">
      <w:pPr>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6.1、开标</w:t>
      </w:r>
    </w:p>
    <w:p w14:paraId="2D35AE92">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开标由采购代理机构主持。主持人按照招标文件规定的开标时间宣布开标，并按下列程序进行（但不限于）：</w:t>
      </w:r>
    </w:p>
    <w:p w14:paraId="71BC978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（1）宣布开标开始和开启录音录像设备并致辞；</w:t>
      </w:r>
    </w:p>
    <w:p w14:paraId="6F3B9D5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（2）宣布开标纪律和有关注意事项；</w:t>
      </w:r>
    </w:p>
    <w:p w14:paraId="3644C1F9">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（3）公布在投标截止时间前递交投标文件的投标人名称（根据投标人签到表）；</w:t>
      </w:r>
    </w:p>
    <w:p w14:paraId="54E3E68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（4）宣布开标人、唱标人、监督人、记录人等有关工作人员姓名；</w:t>
      </w:r>
    </w:p>
    <w:p w14:paraId="49B327A7">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（5）检查并宣布投标文件的密封情况；</w:t>
      </w:r>
    </w:p>
    <w:p w14:paraId="6B44033F">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开标唱标：主持人宣布开标后，由现场工作人员按照投标人须知前附表规定的顺序对投标人的“投标文件（正本）”当众进行拆封，由唱标人对其中“开标一览表”的包号、采购标段编号、投标人名称、投标总价、完成时间等内容进行宣读并做开标记录；所有投标唱标完毕，如投标人对宣读的“开标一览表”上的内容有异议的，应当举手示意，在获得主持人同意后当场提出；如确实属于唱标人宣读错误的，经现场监督人员核实后，当场予以更正；无异议后，由投标人法定代表人或委托代理人及监督管理机构代表签字确认唱标内容；</w:t>
      </w:r>
    </w:p>
    <w:p w14:paraId="0845991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1FB1F2F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注：检查投标文件密封情况是指，由投标人或者其推选的代表检查其自己递交的投标文件的密封情况，经检查无误后，签字确认。</w:t>
      </w:r>
    </w:p>
    <w:p w14:paraId="299134B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但不得干扰、阻挠开标工作的正常进行。</w:t>
      </w:r>
    </w:p>
    <w:p w14:paraId="0272DF68">
      <w:pPr>
        <w:numPr>
          <w:ilvl w:val="0"/>
          <w:numId w:val="4"/>
        </w:num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7E0B3B3E">
      <w:pPr>
        <w:pStyle w:val="19"/>
        <w:spacing w:line="360" w:lineRule="auto"/>
        <w:jc w:val="both"/>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6.2、投标人资格审查</w:t>
      </w:r>
    </w:p>
    <w:p w14:paraId="51A5712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3D46EC6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资格审查出现下列情形的，投标文件将被视为无效：</w:t>
      </w:r>
    </w:p>
    <w:p w14:paraId="40B970E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A.不具备招标文件中规定的资格要求或缺项的；</w:t>
      </w:r>
    </w:p>
    <w:p w14:paraId="3D6C26A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B.未按招标文件要求提供资格证明文件原件，或未按招标文件要求加盖公章的；</w:t>
      </w:r>
    </w:p>
    <w:p w14:paraId="30EE9DCA">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C.采购人认为投标人的资格证明文件存在疑点，要求投标人现场提供原件，投标人不能在规定时限内提供原件或其所提供的原件无法证实投标文件所附证明文件有效性的。</w:t>
      </w:r>
    </w:p>
    <w:p w14:paraId="399B474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(2)资格审查结束后，采购人及代理机构应当对审查结果进行签字确认，并告知无效投标投标人资格审查未通过的原因。</w:t>
      </w:r>
    </w:p>
    <w:p w14:paraId="21490C3A">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(3)合格投标人不足3家的，不得评标。</w:t>
      </w:r>
    </w:p>
    <w:p w14:paraId="7EC322A1">
      <w:pPr>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6.3、评标</w:t>
      </w:r>
    </w:p>
    <w:p w14:paraId="751EDF1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投标文件符合性审查由评标委员会进行，依据招标文件规定，从投标文件的有效性、完整性和对招标文件的响应程度进行审查，以确定是否对招标文件的实质性要求作出响应。投标文件有下列情况之一者将被认定为投标无效：</w:t>
      </w:r>
    </w:p>
    <w:p w14:paraId="41F2E445">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6.3.1.1、未按照招标文件规定和要求对投标文件进行签署、盖章的；</w:t>
      </w:r>
    </w:p>
    <w:p w14:paraId="51871BC5">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6.3.1.2、不具备招标文件中规定的资格条件和资格审查要求的；</w:t>
      </w:r>
    </w:p>
    <w:p w14:paraId="747E4F4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6.3.1.3、与招标文件有重大偏离；</w:t>
      </w:r>
    </w:p>
    <w:p w14:paraId="7C69CD5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6.3.1.4、投标人拒绝修正错误；</w:t>
      </w:r>
    </w:p>
    <w:p w14:paraId="264323E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6.3.1.5、投标人的报价是选择性的；</w:t>
      </w:r>
    </w:p>
    <w:p w14:paraId="370CAD2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6.3.1.6、投标人的报价只投了同一项目中部分内容；</w:t>
      </w:r>
    </w:p>
    <w:p w14:paraId="469193A0">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6.3.1.7、投标人的投标文件中出现评委会认为不应雷同的； </w:t>
      </w:r>
    </w:p>
    <w:p w14:paraId="6EA4B1C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6.3.1.8、投标人名称与登记获取招标文件单位的名称不一致的；</w:t>
      </w:r>
    </w:p>
    <w:p w14:paraId="102E9696">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6.3.1.9、其他被评委会认定无效的情况。</w:t>
      </w:r>
    </w:p>
    <w:p w14:paraId="7B97F6A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6.3.2、在详细评标之前，评委会将首先审查每份投标书是否实质响应了招标文件的要求。实质上响应的投标应该是与招标文件的全部条款、条件和规格相符，没有重大偏离或保留。所谓重大偏离或保留是指影响合同的供货范围、质量和性能等；或者在实质上与招标文件不一致〔如货物和服务的质量（包括品牌）、数量及</w:t>
      </w:r>
      <w:r>
        <w:rPr>
          <w:rFonts w:hint="eastAsia" w:ascii="仿宋" w:hAnsi="仿宋" w:eastAsia="仿宋" w:cs="仿宋"/>
          <w:color w:val="000000" w:themeColor="text1"/>
          <w:szCs w:val="21"/>
          <w:lang w:eastAsia="zh-CN"/>
          <w14:textFill>
            <w14:solidFill>
              <w14:schemeClr w14:val="tx1"/>
            </w14:solidFill>
          </w14:textFill>
        </w:rPr>
        <w:t>服务期</w:t>
      </w:r>
      <w:r>
        <w:rPr>
          <w:rFonts w:hint="eastAsia" w:ascii="仿宋" w:hAnsi="仿宋" w:eastAsia="仿宋" w:cs="仿宋"/>
          <w:color w:val="000000" w:themeColor="text1"/>
          <w:szCs w:val="21"/>
          <w14:textFill>
            <w14:solidFill>
              <w14:schemeClr w14:val="tx1"/>
            </w14:solidFill>
          </w14:textFill>
        </w:rPr>
        <w:t>等明显不能满足招标文件的要求〕，而且限制了合同中买方的权利或投标人的义务。这些偏离或保留将会对其他实质上响应要求的投标人的竞争地位产生不公正的影响。</w:t>
      </w:r>
    </w:p>
    <w:p w14:paraId="1800506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6.3.3、招标文件提供的工艺、材料、设备、参考的商标或样本目录号码等仅作为说明并没有限制性，投标人在投标中可以选用替代标准，但这些替代标准要优于或相当于技术规格中要求的标准，以满足采购人的需要。</w:t>
      </w:r>
    </w:p>
    <w:p w14:paraId="4F75AF60">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6.3.4、评标委员会将允许修改投标中不构成重大偏离的微小的、非正规、不一致或不规则的地方，但这些修改不能影响任何投标人的名次相应排列。投标人不得对投标文件进行实质性修改。</w:t>
      </w:r>
    </w:p>
    <w:p w14:paraId="239FFD92">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6.3.5、评委会将对确定为实质上响应的投标进行审核，看其是否有计算上或累加上的算术错误，修正错误的原则如下：</w:t>
      </w:r>
    </w:p>
    <w:p w14:paraId="034ACDC1">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（1）文字与图表不符以文字为准；</w:t>
      </w:r>
    </w:p>
    <w:p w14:paraId="49E859E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（2）投标文件中开标一览表（报价表）内容与投标文件中相应内容不一致的，以开标一览表（报价表）为准；</w:t>
      </w:r>
    </w:p>
    <w:p w14:paraId="1C28C5C9">
      <w:pPr>
        <w:snapToGrid w:val="0"/>
        <w:spacing w:line="360" w:lineRule="auto"/>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430759C8">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6.3.6、评标委员会对投标文件的判定，只依据投标内容本身，不依靠开标后的任何外来证明。</w:t>
      </w:r>
    </w:p>
    <w:p w14:paraId="5BBC21D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6.3.7、评标委员会将拒绝被确定为非实质性响应的投标，投标人不能通过修正或撤销不符之处而使其投标成为实质性响应的投标。</w:t>
      </w:r>
    </w:p>
    <w:p w14:paraId="0340673D">
      <w:pPr>
        <w:snapToGrid w:val="0"/>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6.4、投标的澄清</w:t>
      </w:r>
    </w:p>
    <w:p w14:paraId="1F5B032E">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4644008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6.4.2、有关澄清的答复应采用书面形式，该书面答复应有投标人全权代表签署确认，并将作为投标内容的一部分。</w:t>
      </w:r>
    </w:p>
    <w:p w14:paraId="31312FB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6.4.3、投标人对投标文件的澄清不得改变投标的价格（校核时发现的算术错误除外）及实质内容。</w:t>
      </w:r>
    </w:p>
    <w:p w14:paraId="6A19C2A7">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6.5、公开招标数额标准以上的采购项目，投标截止后投标人不足3家或者通过资格审查或符合性审查的投标人不足3家的，除采购任务取消情形外，按照以下方式处理：</w:t>
      </w:r>
    </w:p>
    <w:p w14:paraId="4477EF4D">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6.5.1、招标文件存在不合理条款或者招标程序不符合规定的，采购人、采购代理机构改正后依法重新招标；</w:t>
      </w:r>
    </w:p>
    <w:p w14:paraId="28D720D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6.5.2、招标文件没有不合理条款、招标程序符合规定，需要采用其他采购方式采购的，采购人应当依法报财政部门批准。</w:t>
      </w:r>
    </w:p>
    <w:p w14:paraId="7CC2342C">
      <w:pPr>
        <w:snapToGrid w:val="0"/>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6.6、投标文件的评价和比较</w:t>
      </w:r>
    </w:p>
    <w:p w14:paraId="38DAAE61">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6.6.1、评标委员会将仅对按照本须知有关规定确定为实质上响应招标文件要求的投标文件进行评价和比较。</w:t>
      </w:r>
    </w:p>
    <w:p w14:paraId="230CD80B">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6.6.2、评价和比较采用综合评分法，评委会严格按照招标文件的规定要求、条件、评分标准，对投标人所提供货物或服务的先进性、可靠性、售后服务承诺、质量保证承诺等实质性响应内容进行比较评价。</w:t>
      </w:r>
    </w:p>
    <w:p w14:paraId="1D265B1C">
      <w:pPr>
        <w:snapToGrid w:val="0"/>
        <w:spacing w:line="360" w:lineRule="auto"/>
        <w:ind w:firstLine="420"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6.6.3、最低的投标报价是中标条件之一，但不是唯一条件。</w:t>
      </w:r>
    </w:p>
    <w:p w14:paraId="0CF3C3CE">
      <w:pPr>
        <w:snapToGrid w:val="0"/>
        <w:spacing w:line="360" w:lineRule="auto"/>
        <w:outlineLvl w:val="0"/>
        <w:rPr>
          <w:rFonts w:ascii="仿宋" w:hAnsi="仿宋" w:eastAsia="仿宋" w:cs="仿宋"/>
          <w:b/>
          <w:color w:val="000000" w:themeColor="text1"/>
          <w:szCs w:val="21"/>
          <w14:textFill>
            <w14:solidFill>
              <w14:schemeClr w14:val="tx1"/>
            </w14:solidFill>
          </w14:textFill>
        </w:rPr>
      </w:pPr>
      <w:bookmarkStart w:id="153" w:name="_Toc7400"/>
      <w:bookmarkStart w:id="154" w:name="_Toc14132"/>
      <w:bookmarkStart w:id="155" w:name="_Toc2757"/>
      <w:bookmarkStart w:id="156" w:name="_Toc19460"/>
      <w:bookmarkStart w:id="157" w:name="_Toc26618"/>
      <w:bookmarkStart w:id="158" w:name="_Toc5292"/>
      <w:bookmarkStart w:id="159" w:name="_Toc10418"/>
      <w:bookmarkStart w:id="160" w:name="_Toc21769"/>
      <w:bookmarkStart w:id="161" w:name="_Toc30370"/>
      <w:bookmarkStart w:id="162" w:name="_Toc15027"/>
      <w:bookmarkStart w:id="163" w:name="_Toc20387"/>
      <w:bookmarkStart w:id="164" w:name="_Toc8045"/>
      <w:r>
        <w:rPr>
          <w:rFonts w:hint="eastAsia" w:ascii="仿宋" w:hAnsi="仿宋" w:eastAsia="仿宋" w:cs="仿宋"/>
          <w:b/>
          <w:color w:val="000000" w:themeColor="text1"/>
          <w:szCs w:val="21"/>
          <w14:textFill>
            <w14:solidFill>
              <w14:schemeClr w14:val="tx1"/>
            </w14:solidFill>
          </w14:textFill>
        </w:rPr>
        <w:t>6.7、评标过程保密</w:t>
      </w:r>
      <w:bookmarkEnd w:id="153"/>
      <w:bookmarkEnd w:id="154"/>
      <w:bookmarkEnd w:id="155"/>
      <w:bookmarkEnd w:id="156"/>
      <w:bookmarkEnd w:id="157"/>
      <w:bookmarkEnd w:id="158"/>
      <w:bookmarkEnd w:id="159"/>
      <w:bookmarkEnd w:id="160"/>
      <w:bookmarkEnd w:id="161"/>
      <w:bookmarkEnd w:id="162"/>
      <w:bookmarkEnd w:id="163"/>
      <w:bookmarkEnd w:id="164"/>
    </w:p>
    <w:p w14:paraId="3547292A">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6.7.1、从开标之日到确定中标人止，评标人员不得向投标人或其他无关人员透露有关审查、澄清、评价和比较投标资料的情况或授标意向。</w:t>
      </w:r>
    </w:p>
    <w:p w14:paraId="1E65E663">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6.7.2、任何人员如发生泄密现象，将承担相应的法律责任。</w:t>
      </w:r>
    </w:p>
    <w:p w14:paraId="1A195404">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6.7.3、投标人企图影响招标方的任何行为，将导致该投标人被拒绝，并承担相应的法律责任。</w:t>
      </w:r>
    </w:p>
    <w:p w14:paraId="793C4640">
      <w:pPr>
        <w:snapToGrid w:val="0"/>
        <w:spacing w:line="360" w:lineRule="auto"/>
        <w:outlineLvl w:val="0"/>
        <w:rPr>
          <w:rFonts w:ascii="仿宋" w:hAnsi="仿宋" w:eastAsia="仿宋" w:cs="仿宋"/>
          <w:b/>
          <w:color w:val="000000" w:themeColor="text1"/>
          <w:szCs w:val="21"/>
          <w14:textFill>
            <w14:solidFill>
              <w14:schemeClr w14:val="tx1"/>
            </w14:solidFill>
          </w14:textFill>
        </w:rPr>
      </w:pPr>
      <w:bookmarkStart w:id="165" w:name="_Toc453862260"/>
      <w:bookmarkStart w:id="166" w:name="_Toc2269"/>
      <w:bookmarkStart w:id="167" w:name="_Toc28525"/>
      <w:bookmarkStart w:id="168" w:name="_Toc32173"/>
      <w:bookmarkStart w:id="169" w:name="_Toc26856"/>
      <w:bookmarkStart w:id="170" w:name="_Toc19635"/>
      <w:bookmarkStart w:id="171" w:name="_Toc23467"/>
      <w:bookmarkStart w:id="172" w:name="_Toc2790"/>
      <w:bookmarkStart w:id="173" w:name="_Toc18474"/>
      <w:bookmarkStart w:id="174" w:name="_Toc15131"/>
      <w:bookmarkStart w:id="175" w:name="_Toc20614"/>
      <w:bookmarkStart w:id="176" w:name="_Toc22630"/>
      <w:bookmarkStart w:id="177" w:name="_Toc536"/>
      <w:r>
        <w:rPr>
          <w:rFonts w:hint="eastAsia" w:ascii="仿宋" w:hAnsi="仿宋" w:eastAsia="仿宋" w:cs="仿宋"/>
          <w:b/>
          <w:color w:val="000000" w:themeColor="text1"/>
          <w:szCs w:val="21"/>
          <w14:textFill>
            <w14:solidFill>
              <w14:schemeClr w14:val="tx1"/>
            </w14:solidFill>
          </w14:textFill>
        </w:rPr>
        <w:t>6.8</w:t>
      </w:r>
      <w:bookmarkEnd w:id="165"/>
      <w:r>
        <w:rPr>
          <w:rFonts w:hint="eastAsia" w:ascii="仿宋" w:hAnsi="仿宋" w:eastAsia="仿宋" w:cs="仿宋"/>
          <w:b/>
          <w:color w:val="000000" w:themeColor="text1"/>
          <w:szCs w:val="21"/>
          <w14:textFill>
            <w14:solidFill>
              <w14:schemeClr w14:val="tx1"/>
            </w14:solidFill>
          </w14:textFill>
        </w:rPr>
        <w:t>、推荐中标候选人</w:t>
      </w:r>
      <w:bookmarkEnd w:id="166"/>
      <w:bookmarkEnd w:id="167"/>
      <w:bookmarkEnd w:id="168"/>
      <w:bookmarkEnd w:id="169"/>
      <w:bookmarkEnd w:id="170"/>
      <w:bookmarkEnd w:id="171"/>
      <w:bookmarkEnd w:id="172"/>
      <w:bookmarkEnd w:id="173"/>
      <w:bookmarkEnd w:id="174"/>
      <w:bookmarkEnd w:id="175"/>
      <w:bookmarkEnd w:id="176"/>
      <w:bookmarkEnd w:id="177"/>
    </w:p>
    <w:p w14:paraId="60D826A7">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评标委员会按照招标文件确定的内容和评标方法对投标文件进行评审，按照得分由高到低的顺序，按排序推荐中标候选人。</w:t>
      </w:r>
    </w:p>
    <w:p w14:paraId="447D4A63">
      <w:pPr>
        <w:pStyle w:val="3"/>
        <w:tabs>
          <w:tab w:val="left" w:pos="3930"/>
          <w:tab w:val="center" w:pos="4819"/>
        </w:tabs>
        <w:snapToGrid w:val="0"/>
        <w:jc w:val="left"/>
        <w:rPr>
          <w:rFonts w:ascii="仿宋" w:hAnsi="仿宋" w:eastAsia="仿宋" w:cs="仿宋"/>
          <w:color w:val="000000" w:themeColor="text1"/>
          <w:sz w:val="24"/>
          <w:szCs w:val="24"/>
          <w14:textFill>
            <w14:solidFill>
              <w14:schemeClr w14:val="tx1"/>
            </w14:solidFill>
          </w14:textFill>
        </w:rPr>
      </w:pPr>
      <w:bookmarkStart w:id="178" w:name="_Toc531189841"/>
      <w:bookmarkStart w:id="179" w:name="_Toc519941193"/>
      <w:r>
        <w:rPr>
          <w:rFonts w:hint="eastAsia" w:ascii="仿宋" w:hAnsi="仿宋" w:eastAsia="仿宋" w:cs="仿宋"/>
          <w:color w:val="000000" w:themeColor="text1"/>
          <w:sz w:val="24"/>
          <w:szCs w:val="24"/>
          <w14:textFill>
            <w14:solidFill>
              <w14:schemeClr w14:val="tx1"/>
            </w14:solidFill>
          </w14:textFill>
        </w:rPr>
        <w:t>七、确定中标及中标公示</w:t>
      </w:r>
      <w:bookmarkEnd w:id="178"/>
      <w:bookmarkEnd w:id="179"/>
    </w:p>
    <w:p w14:paraId="71562974">
      <w:pPr>
        <w:snapToGrid w:val="0"/>
        <w:spacing w:line="360" w:lineRule="auto"/>
        <w:ind w:firstLine="211" w:firstLineChars="100"/>
        <w:outlineLvl w:val="0"/>
        <w:rPr>
          <w:rFonts w:ascii="仿宋" w:hAnsi="仿宋" w:eastAsia="仿宋" w:cs="仿宋"/>
          <w:b/>
          <w:color w:val="000000" w:themeColor="text1"/>
          <w:szCs w:val="21"/>
          <w14:textFill>
            <w14:solidFill>
              <w14:schemeClr w14:val="tx1"/>
            </w14:solidFill>
          </w14:textFill>
        </w:rPr>
      </w:pPr>
      <w:bookmarkStart w:id="180" w:name="_Toc24051"/>
      <w:bookmarkStart w:id="181" w:name="_Toc2805"/>
      <w:bookmarkStart w:id="182" w:name="_Toc24681"/>
      <w:bookmarkStart w:id="183" w:name="_Toc19446"/>
      <w:bookmarkStart w:id="184" w:name="_Toc17914"/>
      <w:bookmarkStart w:id="185" w:name="_Toc1114"/>
      <w:bookmarkStart w:id="186" w:name="_Toc2216"/>
      <w:bookmarkStart w:id="187" w:name="_Toc8706"/>
      <w:bookmarkStart w:id="188" w:name="_Toc22568"/>
      <w:bookmarkStart w:id="189" w:name="_Toc2700"/>
      <w:bookmarkStart w:id="190" w:name="_Toc6506"/>
      <w:bookmarkStart w:id="191" w:name="_Toc25981"/>
      <w:r>
        <w:rPr>
          <w:rFonts w:hint="eastAsia" w:ascii="仿宋" w:hAnsi="仿宋" w:eastAsia="仿宋" w:cs="仿宋"/>
          <w:b/>
          <w:color w:val="000000" w:themeColor="text1"/>
          <w:szCs w:val="21"/>
          <w14:textFill>
            <w14:solidFill>
              <w14:schemeClr w14:val="tx1"/>
            </w14:solidFill>
          </w14:textFill>
        </w:rPr>
        <w:t>7.1、中标公示</w:t>
      </w:r>
      <w:bookmarkEnd w:id="180"/>
      <w:bookmarkEnd w:id="181"/>
      <w:bookmarkEnd w:id="182"/>
      <w:bookmarkEnd w:id="183"/>
      <w:bookmarkEnd w:id="184"/>
      <w:bookmarkEnd w:id="185"/>
      <w:bookmarkEnd w:id="186"/>
      <w:bookmarkEnd w:id="187"/>
      <w:bookmarkEnd w:id="188"/>
      <w:bookmarkEnd w:id="189"/>
      <w:bookmarkEnd w:id="190"/>
      <w:bookmarkEnd w:id="191"/>
    </w:p>
    <w:p w14:paraId="0C633F82">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7.1.1、采购人根据评标报告中推荐的中标候选人排列顺序确定中标人。</w:t>
      </w:r>
    </w:p>
    <w:p w14:paraId="3807069E">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7.1.2、中标结果在</w:t>
      </w:r>
      <w:r>
        <w:rPr>
          <w:rFonts w:hint="eastAsia" w:ascii="仿宋" w:hAnsi="仿宋" w:eastAsia="仿宋" w:cs="仿宋"/>
          <w:color w:val="000000" w:themeColor="text1"/>
          <w:kern w:val="0"/>
          <w:szCs w:val="21"/>
          <w14:textFill>
            <w14:solidFill>
              <w14:schemeClr w14:val="tx1"/>
            </w14:solidFill>
          </w14:textFill>
        </w:rPr>
        <w:t>《陕西省政府采购网》</w:t>
      </w:r>
      <w:r>
        <w:rPr>
          <w:rFonts w:hint="eastAsia" w:ascii="仿宋" w:hAnsi="仿宋" w:eastAsia="仿宋" w:cs="仿宋"/>
          <w:color w:val="000000" w:themeColor="text1"/>
          <w:szCs w:val="21"/>
          <w14:textFill>
            <w14:solidFill>
              <w14:schemeClr w14:val="tx1"/>
            </w14:solidFill>
          </w14:textFill>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4ABE219A">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7.1.3、</w:t>
      </w:r>
      <w:r>
        <w:rPr>
          <w:rFonts w:hint="eastAsia" w:ascii="仿宋" w:hAnsi="仿宋" w:eastAsia="仿宋" w:cs="仿宋"/>
          <w:color w:val="000000" w:themeColor="text1"/>
          <w:szCs w:val="21"/>
          <w:lang w:val="en-US" w:eastAsia="zh-CN"/>
          <w14:textFill>
            <w14:solidFill>
              <w14:schemeClr w14:val="tx1"/>
            </w14:solidFill>
          </w14:textFill>
        </w:rPr>
        <w:t>评标委员会</w:t>
      </w:r>
      <w:r>
        <w:rPr>
          <w:rFonts w:hint="eastAsia" w:ascii="仿宋" w:hAnsi="仿宋" w:eastAsia="仿宋" w:cs="仿宋"/>
          <w:color w:val="000000" w:themeColor="text1"/>
          <w:szCs w:val="21"/>
          <w14:textFill>
            <w14:solidFill>
              <w14:schemeClr w14:val="tx1"/>
            </w14:solidFill>
          </w14:textFill>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评委会可以对原评标结果进行复议。</w:t>
      </w:r>
    </w:p>
    <w:p w14:paraId="5EF40BB1">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7.1.4、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7895E18E">
      <w:pPr>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7.2、中标通知</w:t>
      </w:r>
    </w:p>
    <w:p w14:paraId="2C6697A0">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7.2.1、中标人确定之后，采购人根据评标报告，向采购代理机构提供定标函。采购代理机构发布结果公告的同时向中标人发放中标通知书。</w:t>
      </w:r>
    </w:p>
    <w:p w14:paraId="23D3047D">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7.2.2、中标通知书对采购人和中标人具有同等法律效力。中标通知书发出之后，采购人改变中标结果，或者中标人放弃中标，均应当承担相应的法律责任。</w:t>
      </w:r>
    </w:p>
    <w:p w14:paraId="4501558A">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7.2.3、采购代理机构不做未中标原因的解释。</w:t>
      </w:r>
    </w:p>
    <w:p w14:paraId="3ED330CE">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7.2.4、中标通知书将是合同的一个组成部分。</w:t>
      </w:r>
    </w:p>
    <w:p w14:paraId="1F4859E8">
      <w:pPr>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7.3、签订合同</w:t>
      </w:r>
    </w:p>
    <w:p w14:paraId="015A3565">
      <w:pPr>
        <w:snapToGrid w:val="0"/>
        <w:spacing w:line="360" w:lineRule="auto"/>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7.3.1、中标人应依据中标通知书与采购人在法定期限内签订采购合同；如未能按时签订合同，采购人有权选择其它单位。</w:t>
      </w:r>
    </w:p>
    <w:p w14:paraId="799B613C">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7.3.2、招标文件、中标人的投标文件及评标过程中有关的澄清文件均作为合同附件。</w:t>
      </w:r>
    </w:p>
    <w:p w14:paraId="49869E0A">
      <w:pPr>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7.4</w:t>
      </w:r>
      <w:bookmarkStart w:id="192" w:name="_Toc322606648"/>
      <w:r>
        <w:rPr>
          <w:rFonts w:hint="eastAsia" w:ascii="仿宋" w:hAnsi="仿宋" w:eastAsia="仿宋" w:cs="仿宋"/>
          <w:b/>
          <w:bCs/>
          <w:color w:val="000000" w:themeColor="text1"/>
          <w:szCs w:val="21"/>
          <w14:textFill>
            <w14:solidFill>
              <w14:schemeClr w14:val="tx1"/>
            </w14:solidFill>
          </w14:textFill>
        </w:rPr>
        <w:t>、合同履行</w:t>
      </w:r>
      <w:bookmarkEnd w:id="192"/>
    </w:p>
    <w:p w14:paraId="1B18F7B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7.4.1、政府采购合同的履行、违约责任和解决争议的方法等适用《中华人民共和国民法典》。</w:t>
      </w:r>
    </w:p>
    <w:p w14:paraId="2170CC83">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7.4.2、</w:t>
      </w:r>
      <w:r>
        <w:rPr>
          <w:rFonts w:hint="eastAsia" w:ascii="仿宋" w:hAnsi="仿宋" w:eastAsia="仿宋" w:cs="仿宋"/>
          <w:color w:val="000000" w:themeColor="text1"/>
          <w:szCs w:val="21"/>
          <w:lang w:eastAsia="zh-TW"/>
          <w14:textFill>
            <w14:solidFill>
              <w14:schemeClr w14:val="tx1"/>
            </w14:solidFill>
          </w14:textFill>
        </w:rPr>
        <w:t>政府采购合同订立后，合同各方不得擅自变更</w:t>
      </w:r>
      <w:r>
        <w:rPr>
          <w:rFonts w:hint="eastAsia" w:ascii="仿宋" w:hAnsi="仿宋" w:eastAsia="仿宋" w:cs="仿宋"/>
          <w:color w:val="000000" w:themeColor="text1"/>
          <w:szCs w:val="21"/>
          <w14:textFill>
            <w14:solidFill>
              <w14:schemeClr w14:val="tx1"/>
            </w14:solidFill>
          </w14:textFill>
        </w:rPr>
        <w:t>或者</w:t>
      </w:r>
      <w:r>
        <w:rPr>
          <w:rFonts w:hint="eastAsia" w:ascii="仿宋" w:hAnsi="仿宋" w:eastAsia="仿宋" w:cs="仿宋"/>
          <w:color w:val="000000" w:themeColor="text1"/>
          <w:szCs w:val="21"/>
          <w:lang w:eastAsia="zh-TW"/>
          <w14:textFill>
            <w14:solidFill>
              <w14:schemeClr w14:val="tx1"/>
            </w14:solidFill>
          </w14:textFill>
        </w:rPr>
        <w:t>中止或者终止合同。政府采购合同需要变更的，采购人应将有关合同变更内容，以书面形式报政府采购监督管理</w:t>
      </w:r>
      <w:r>
        <w:rPr>
          <w:rFonts w:hint="eastAsia" w:ascii="仿宋" w:hAnsi="仿宋" w:eastAsia="仿宋" w:cs="仿宋"/>
          <w:color w:val="000000" w:themeColor="text1"/>
          <w:szCs w:val="21"/>
          <w14:textFill>
            <w14:solidFill>
              <w14:schemeClr w14:val="tx1"/>
            </w14:solidFill>
          </w14:textFill>
        </w:rPr>
        <w:t>部门</w:t>
      </w:r>
      <w:r>
        <w:rPr>
          <w:rFonts w:hint="eastAsia" w:ascii="仿宋" w:hAnsi="仿宋" w:eastAsia="仿宋" w:cs="仿宋"/>
          <w:color w:val="000000" w:themeColor="text1"/>
          <w:szCs w:val="21"/>
          <w:lang w:eastAsia="zh-TW"/>
          <w14:textFill>
            <w14:solidFill>
              <w14:schemeClr w14:val="tx1"/>
            </w14:solidFill>
          </w14:textFill>
        </w:rPr>
        <w:t>备案；因特殊情况需要中止或终止合同的，采购人应将中止或终止合同的理由以及相应措施，以书面形式报政府采购监督管理</w:t>
      </w:r>
      <w:r>
        <w:rPr>
          <w:rFonts w:hint="eastAsia" w:ascii="仿宋" w:hAnsi="仿宋" w:eastAsia="仿宋" w:cs="仿宋"/>
          <w:color w:val="000000" w:themeColor="text1"/>
          <w:szCs w:val="21"/>
          <w14:textFill>
            <w14:solidFill>
              <w14:schemeClr w14:val="tx1"/>
            </w14:solidFill>
          </w14:textFill>
        </w:rPr>
        <w:t>部门</w:t>
      </w:r>
      <w:r>
        <w:rPr>
          <w:rFonts w:hint="eastAsia" w:ascii="仿宋" w:hAnsi="仿宋" w:eastAsia="仿宋" w:cs="仿宋"/>
          <w:color w:val="000000" w:themeColor="text1"/>
          <w:szCs w:val="21"/>
          <w:lang w:eastAsia="zh-TW"/>
          <w14:textFill>
            <w14:solidFill>
              <w14:schemeClr w14:val="tx1"/>
            </w14:solidFill>
          </w14:textFill>
        </w:rPr>
        <w:t>备案。</w:t>
      </w:r>
    </w:p>
    <w:p w14:paraId="0B53C3DF">
      <w:pPr>
        <w:snapToGrid w:val="0"/>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7.4.3、</w:t>
      </w:r>
      <w:r>
        <w:rPr>
          <w:rFonts w:hint="eastAsia" w:ascii="仿宋" w:hAnsi="仿宋" w:eastAsia="仿宋" w:cs="仿宋"/>
          <w:color w:val="000000" w:themeColor="text1"/>
          <w:szCs w:val="21"/>
          <w:lang w:eastAsia="zh-TW"/>
          <w14:textFill>
            <w14:solidFill>
              <w14:schemeClr w14:val="tx1"/>
            </w14:solidFill>
          </w14:textFill>
        </w:rPr>
        <w:t>政府采购合同履行中，采购人需追加与合同标的相同的货物的，在不改变合同其他条款的前提下，可以与</w:t>
      </w:r>
      <w:r>
        <w:rPr>
          <w:rFonts w:hint="eastAsia" w:ascii="仿宋" w:hAnsi="仿宋" w:eastAsia="仿宋" w:cs="仿宋"/>
          <w:color w:val="000000" w:themeColor="text1"/>
          <w:szCs w:val="21"/>
          <w14:textFill>
            <w14:solidFill>
              <w14:schemeClr w14:val="tx1"/>
            </w14:solidFill>
          </w14:textFill>
        </w:rPr>
        <w:t>中标人</w:t>
      </w:r>
      <w:r>
        <w:rPr>
          <w:rFonts w:hint="eastAsia" w:ascii="仿宋" w:hAnsi="仿宋" w:eastAsia="仿宋" w:cs="仿宋"/>
          <w:color w:val="000000" w:themeColor="text1"/>
          <w:szCs w:val="21"/>
          <w:lang w:eastAsia="zh-TW"/>
          <w14:textFill>
            <w14:solidFill>
              <w14:schemeClr w14:val="tx1"/>
            </w14:solidFill>
          </w14:textFill>
        </w:rPr>
        <w:t>签订补充合同，但所补充合同的采购金额不得超过原</w:t>
      </w:r>
      <w:r>
        <w:rPr>
          <w:rFonts w:hint="eastAsia" w:ascii="仿宋" w:hAnsi="仿宋" w:eastAsia="仿宋" w:cs="仿宋"/>
          <w:color w:val="000000" w:themeColor="text1"/>
          <w:szCs w:val="21"/>
          <w14:textFill>
            <w14:solidFill>
              <w14:schemeClr w14:val="tx1"/>
            </w14:solidFill>
          </w14:textFill>
        </w:rPr>
        <w:t>合同</w:t>
      </w:r>
      <w:r>
        <w:rPr>
          <w:rFonts w:hint="eastAsia" w:ascii="仿宋" w:hAnsi="仿宋" w:eastAsia="仿宋" w:cs="仿宋"/>
          <w:color w:val="000000" w:themeColor="text1"/>
          <w:szCs w:val="21"/>
          <w:lang w:eastAsia="zh-TW"/>
          <w14:textFill>
            <w14:solidFill>
              <w14:schemeClr w14:val="tx1"/>
            </w14:solidFill>
          </w14:textFill>
        </w:rPr>
        <w:t>采购金额的百分之十。签订补充合同的</w:t>
      </w:r>
      <w:r>
        <w:rPr>
          <w:rFonts w:hint="eastAsia" w:ascii="仿宋" w:hAnsi="仿宋" w:eastAsia="仿宋" w:cs="仿宋"/>
          <w:color w:val="000000" w:themeColor="text1"/>
          <w:szCs w:val="21"/>
          <w14:textFill>
            <w14:solidFill>
              <w14:schemeClr w14:val="tx1"/>
            </w14:solidFill>
          </w14:textFill>
        </w:rPr>
        <w:t>应</w:t>
      </w:r>
      <w:r>
        <w:rPr>
          <w:rFonts w:hint="eastAsia" w:ascii="仿宋" w:hAnsi="仿宋" w:eastAsia="仿宋" w:cs="仿宋"/>
          <w:color w:val="000000" w:themeColor="text1"/>
          <w:szCs w:val="21"/>
          <w:lang w:eastAsia="zh-TW"/>
          <w14:textFill>
            <w14:solidFill>
              <w14:schemeClr w14:val="tx1"/>
            </w14:solidFill>
          </w14:textFill>
        </w:rPr>
        <w:t>按规定备案。</w:t>
      </w:r>
    </w:p>
    <w:p w14:paraId="1D2B855E">
      <w:pPr>
        <w:pStyle w:val="19"/>
        <w:spacing w:line="360" w:lineRule="auto"/>
        <w:jc w:val="both"/>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八、转包与分包</w:t>
      </w:r>
    </w:p>
    <w:p w14:paraId="2E9D167E">
      <w:pPr>
        <w:pStyle w:val="19"/>
        <w:spacing w:line="360" w:lineRule="auto"/>
        <w:ind w:firstLine="210" w:firstLineChars="1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8.1、本项目严禁采取转包方式履行合同。本项</w:t>
      </w:r>
      <w:r>
        <w:rPr>
          <w:rFonts w:hint="eastAsia" w:ascii="仿宋" w:hAnsi="仿宋" w:eastAsia="仿宋" w:cs="仿宋"/>
          <w:color w:val="000000" w:themeColor="text1"/>
          <w:szCs w:val="21"/>
          <w:lang w:val="en-US" w:eastAsia="zh-CN"/>
          <w14:textFill>
            <w14:solidFill>
              <w14:schemeClr w14:val="tx1"/>
            </w14:solidFill>
          </w14:textFill>
        </w:rPr>
        <w:t>目</w:t>
      </w:r>
      <w:r>
        <w:rPr>
          <w:rFonts w:hint="eastAsia" w:ascii="仿宋" w:hAnsi="仿宋" w:eastAsia="仿宋" w:cs="仿宋"/>
          <w:color w:val="000000" w:themeColor="text1"/>
          <w:szCs w:val="21"/>
          <w14:textFill>
            <w14:solidFill>
              <w14:schemeClr w14:val="tx1"/>
            </w14:solidFill>
          </w14:textFill>
        </w:rPr>
        <w:t>所称转包，是指中标人将政府采购合同业务转让给第三人，并退出现有政府采购合同当事人双方权利业务关系，受让人（即第三人）成为政府采购合同的另一方当事人的行为。</w:t>
      </w:r>
    </w:p>
    <w:p w14:paraId="744ADDDB">
      <w:pPr>
        <w:pStyle w:val="19"/>
        <w:spacing w:line="360" w:lineRule="auto"/>
        <w:ind w:firstLine="420" w:firstLineChars="2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中标人转包的，视同拒绝履行政府采购合同业务，将依法追究法律责任。</w:t>
      </w:r>
    </w:p>
    <w:p w14:paraId="58DF08D5">
      <w:pPr>
        <w:pStyle w:val="19"/>
        <w:spacing w:line="360" w:lineRule="auto"/>
        <w:ind w:firstLine="210" w:firstLineChars="100"/>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8.2、本项目经采购人同意，可以将中标</w:t>
      </w:r>
      <w:r>
        <w:rPr>
          <w:rFonts w:hint="eastAsia" w:ascii="仿宋" w:hAnsi="仿宋" w:eastAsia="仿宋" w:cs="仿宋"/>
          <w:color w:val="000000" w:themeColor="text1"/>
          <w:szCs w:val="21"/>
          <w:lang w:val="en-US" w:eastAsia="zh-CN"/>
          <w14:textFill>
            <w14:solidFill>
              <w14:schemeClr w14:val="tx1"/>
            </w14:solidFill>
          </w14:textFill>
        </w:rPr>
        <w:t>项目/合同包</w:t>
      </w:r>
      <w:r>
        <w:rPr>
          <w:rFonts w:hint="eastAsia" w:ascii="仿宋" w:hAnsi="仿宋" w:eastAsia="仿宋" w:cs="仿宋"/>
          <w:color w:val="000000" w:themeColor="text1"/>
          <w:szCs w:val="21"/>
          <w14:textFill>
            <w14:solidFill>
              <w14:schemeClr w14:val="tx1"/>
            </w14:solidFill>
          </w14:textFill>
        </w:rPr>
        <w:t>的部分非主体、非关键性工作分包给他人完成，本项目“主体和关键性工作”是指：</w:t>
      </w:r>
      <w:r>
        <w:rPr>
          <w:rFonts w:hint="eastAsia" w:ascii="仿宋" w:hAnsi="仿宋" w:eastAsia="仿宋" w:cs="仿宋"/>
          <w:color w:val="000000" w:themeColor="text1"/>
          <w:szCs w:val="21"/>
          <w:u w:val="single"/>
          <w14:textFill>
            <w14:solidFill>
              <w14:schemeClr w14:val="tx1"/>
            </w14:solidFill>
          </w14:textFill>
        </w:rPr>
        <w:t xml:space="preserve">        /     </w:t>
      </w:r>
      <w:r>
        <w:rPr>
          <w:rFonts w:hint="eastAsia" w:ascii="仿宋" w:hAnsi="仿宋" w:eastAsia="仿宋" w:cs="仿宋"/>
          <w:color w:val="000000" w:themeColor="text1"/>
          <w:szCs w:val="21"/>
          <w14:textFill>
            <w14:solidFill>
              <w14:schemeClr w14:val="tx1"/>
            </w14:solidFill>
          </w14:textFill>
        </w:rPr>
        <w:t>（根据项目具体情况确定）。</w:t>
      </w:r>
    </w:p>
    <w:p w14:paraId="323CE422">
      <w:pPr>
        <w:pStyle w:val="19"/>
        <w:spacing w:line="360" w:lineRule="auto"/>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接受分包的投标人应当具备相应的资格条件，并不得再次分包。采购合同实行分包履行的，中标人就采购项目和分包项目向采购人负责，分包投标人就分包项目承担责任。</w:t>
      </w:r>
    </w:p>
    <w:p w14:paraId="77BB7C70">
      <w:pPr>
        <w:pStyle w:val="19"/>
        <w:spacing w:line="360" w:lineRule="auto"/>
        <w:jc w:val="both"/>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九、质疑与投诉</w:t>
      </w:r>
    </w:p>
    <w:p w14:paraId="65CF2881">
      <w:pPr>
        <w:tabs>
          <w:tab w:val="left" w:pos="1155"/>
        </w:tabs>
        <w:snapToGrid w:val="0"/>
        <w:spacing w:line="360" w:lineRule="auto"/>
        <w:ind w:firstLine="211" w:firstLineChars="1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9.1、关于质疑的提出与答复：</w:t>
      </w:r>
    </w:p>
    <w:p w14:paraId="5B87130D">
      <w:pPr>
        <w:tabs>
          <w:tab w:val="left" w:pos="1155"/>
        </w:tabs>
        <w:snapToGrid w:val="0"/>
        <w:spacing w:line="360" w:lineRule="auto"/>
        <w:ind w:firstLine="630" w:firstLineChars="3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1EA829CF">
      <w:pPr>
        <w:tabs>
          <w:tab w:val="left" w:pos="1155"/>
        </w:tabs>
        <w:snapToGrid w:val="0"/>
        <w:spacing w:line="360" w:lineRule="auto"/>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联系人：王丽          联系电话：0916-8897702       </w:t>
      </w:r>
    </w:p>
    <w:p w14:paraId="7DA79086">
      <w:pPr>
        <w:tabs>
          <w:tab w:val="left" w:pos="1155"/>
        </w:tabs>
        <w:snapToGrid w:val="0"/>
        <w:spacing w:line="360" w:lineRule="auto"/>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通讯地址：同正项目管理有限公司（</w:t>
      </w:r>
      <w:r>
        <w:rPr>
          <w:rFonts w:hint="eastAsia" w:ascii="仿宋" w:hAnsi="仿宋" w:eastAsia="仿宋" w:cs="仿宋"/>
          <w:b/>
          <w:color w:val="000000" w:themeColor="text1"/>
          <w:szCs w:val="21"/>
          <w:lang w:eastAsia="zh-CN"/>
          <w14:textFill>
            <w14:solidFill>
              <w14:schemeClr w14:val="tx1"/>
            </w14:solidFill>
          </w14:textFill>
        </w:rPr>
        <w:t>汉中市汉台区西一环路蓝天御苑小区商铺二层门面房南侧</w:t>
      </w:r>
      <w:r>
        <w:rPr>
          <w:rFonts w:hint="eastAsia" w:ascii="仿宋" w:hAnsi="仿宋" w:eastAsia="仿宋" w:cs="仿宋"/>
          <w:b/>
          <w:color w:val="000000" w:themeColor="text1"/>
          <w:szCs w:val="21"/>
          <w14:textFill>
            <w14:solidFill>
              <w14:schemeClr w14:val="tx1"/>
            </w14:solidFill>
          </w14:textFill>
        </w:rPr>
        <w:t>）</w:t>
      </w:r>
    </w:p>
    <w:p w14:paraId="41423DDD">
      <w:pPr>
        <w:tabs>
          <w:tab w:val="left" w:pos="1155"/>
        </w:tabs>
        <w:snapToGrid w:val="0"/>
        <w:spacing w:line="360" w:lineRule="auto"/>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9.1.2、投标人提出质疑应当提交质疑函，质疑函应采用财政部发布的《政府采购投标人质疑函范本》（投标人可自行在</w:t>
      </w:r>
      <w:r>
        <w:rPr>
          <w:rFonts w:hint="eastAsia" w:ascii="仿宋" w:hAnsi="仿宋" w:eastAsia="仿宋" w:cs="仿宋"/>
          <w:bCs/>
          <w:color w:val="000000" w:themeColor="text1"/>
          <w:szCs w:val="21"/>
          <w:lang w:val="en-US" w:eastAsia="zh-CN"/>
          <w14:textFill>
            <w14:solidFill>
              <w14:schemeClr w14:val="tx1"/>
            </w14:solidFill>
          </w14:textFill>
        </w:rPr>
        <w:t>中国政府采购网</w:t>
      </w:r>
      <w:r>
        <w:rPr>
          <w:rFonts w:hint="eastAsia" w:ascii="仿宋" w:hAnsi="仿宋" w:eastAsia="仿宋" w:cs="仿宋"/>
          <w:bCs/>
          <w:color w:val="000000" w:themeColor="text1"/>
          <w:szCs w:val="21"/>
          <w14:textFill>
            <w14:solidFill>
              <w14:schemeClr w14:val="tx1"/>
            </w14:solidFill>
          </w14:textFill>
        </w:rPr>
        <w:t>下载范本）。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18281F7C">
      <w:pPr>
        <w:tabs>
          <w:tab w:val="left" w:pos="1155"/>
        </w:tabs>
        <w:snapToGrid w:val="0"/>
        <w:spacing w:line="360" w:lineRule="auto"/>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    9.1.3、出现投标人认为采购文件、采购过程和中标、中标结果使自己的权益受到损害的，可以在知道或者应知其权益受到损害之日起七个工作日内，以书面形式向采购人、采购代理机构提出质疑。投标人应知其权益受到损害之日，是指：对可以质疑的采购文件提出质疑的，为收到采购文件之日或者采购文件公告期限届满之日；对采购过程提出质疑的，为各采购程序环节结束之日；对中标或者中标结果提出质疑的，为中标或者中标结果公告期限届满之日（针对同一采购程序环节的质疑原则上应当一次性提出）。</w:t>
      </w:r>
    </w:p>
    <w:p w14:paraId="6FDA3389">
      <w:pPr>
        <w:tabs>
          <w:tab w:val="left" w:pos="1155"/>
        </w:tabs>
        <w:snapToGrid w:val="0"/>
        <w:spacing w:line="360" w:lineRule="auto"/>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中标候选人中另行确定中标、中标投标人的，应当依法另行确定中标、中标投标人，否则应当重新开展采购活动。质疑答复导致中标、中标结果改变的，采购人或者采购代理机构应当将有关情况书面报告本级财政部门。</w:t>
      </w:r>
    </w:p>
    <w:p w14:paraId="0D4FE9FE">
      <w:pPr>
        <w:tabs>
          <w:tab w:val="left" w:pos="1155"/>
        </w:tabs>
        <w:snapToGrid w:val="0"/>
        <w:spacing w:line="360" w:lineRule="auto"/>
        <w:ind w:firstLine="42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9.1.5、出现投标人认为采购文件、采购过程、中标和中标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0C2162A6">
      <w:pPr>
        <w:tabs>
          <w:tab w:val="left" w:pos="1155"/>
        </w:tabs>
        <w:snapToGrid w:val="0"/>
        <w:spacing w:line="360" w:lineRule="auto"/>
        <w:ind w:firstLine="211"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9.2、投诉提出</w:t>
      </w:r>
    </w:p>
    <w:p w14:paraId="4F460202">
      <w:pPr>
        <w:tabs>
          <w:tab w:val="left" w:pos="1155"/>
        </w:tabs>
        <w:snapToGrid w:val="0"/>
        <w:spacing w:line="360" w:lineRule="auto"/>
        <w:ind w:firstLine="481"/>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9.2.1、质疑投标人对采购人、采购代理机构的答复不满意，或者采购人、采购代理机构未在规定时间内作出答复的，可以在答复期满后15个工作日内向同级财政部门提起投诉。</w:t>
      </w:r>
    </w:p>
    <w:p w14:paraId="4C3CD9A0">
      <w:pPr>
        <w:tabs>
          <w:tab w:val="left" w:pos="1155"/>
        </w:tabs>
        <w:snapToGrid w:val="0"/>
        <w:spacing w:line="360" w:lineRule="auto"/>
        <w:ind w:firstLine="481"/>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9.2.2、投诉人投诉时,应当提交投诉书</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lang w:val="en-US" w:eastAsia="zh-CN"/>
          <w14:textFill>
            <w14:solidFill>
              <w14:schemeClr w14:val="tx1"/>
            </w14:solidFill>
          </w14:textFill>
        </w:rPr>
        <w:t>投标人可自行在中国政府采购网下载范本</w:t>
      </w:r>
      <w:r>
        <w:rPr>
          <w:rFonts w:hint="eastAsia" w:ascii="仿宋" w:hAnsi="仿宋" w:eastAsia="仿宋" w:cs="仿宋"/>
          <w:bCs/>
          <w:color w:val="000000" w:themeColor="text1"/>
          <w:szCs w:val="21"/>
          <w:lang w:eastAsia="zh-CN"/>
          <w14:textFill>
            <w14:solidFill>
              <w14:schemeClr w14:val="tx1"/>
            </w14:solidFill>
          </w14:textFill>
        </w:rPr>
        <w:t>）</w:t>
      </w:r>
      <w:r>
        <w:rPr>
          <w:rFonts w:hint="eastAsia" w:ascii="仿宋" w:hAnsi="仿宋" w:eastAsia="仿宋" w:cs="仿宋"/>
          <w:bCs/>
          <w:color w:val="000000" w:themeColor="text1"/>
          <w:szCs w:val="21"/>
          <w14:textFill>
            <w14:solidFill>
              <w14:schemeClr w14:val="tx1"/>
            </w14:solidFill>
          </w14:textFill>
        </w:rPr>
        <w:t>，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7EBA9ED6">
      <w:pPr>
        <w:tabs>
          <w:tab w:val="left" w:pos="1155"/>
        </w:tabs>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9.3、法律责任</w:t>
      </w:r>
    </w:p>
    <w:p w14:paraId="5815CB9D">
      <w:pPr>
        <w:tabs>
          <w:tab w:val="left" w:pos="1155"/>
        </w:tabs>
        <w:snapToGrid w:val="0"/>
        <w:spacing w:line="360" w:lineRule="auto"/>
        <w:ind w:firstLine="48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01665D5E">
      <w:pPr>
        <w:tabs>
          <w:tab w:val="left" w:pos="1155"/>
        </w:tabs>
        <w:snapToGrid w:val="0"/>
        <w:spacing w:line="360" w:lineRule="auto"/>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9.4、其他说明</w:t>
      </w:r>
    </w:p>
    <w:p w14:paraId="2C41D712">
      <w:pPr>
        <w:tabs>
          <w:tab w:val="left" w:pos="1155"/>
        </w:tabs>
        <w:snapToGrid w:val="0"/>
        <w:spacing w:line="360" w:lineRule="auto"/>
        <w:ind w:firstLine="48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2645B07C">
      <w:pPr>
        <w:tabs>
          <w:tab w:val="left" w:pos="1155"/>
        </w:tabs>
        <w:snapToGrid w:val="0"/>
        <w:spacing w:line="360" w:lineRule="auto"/>
        <w:ind w:firstLine="48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745DD206">
      <w:pPr>
        <w:pStyle w:val="2"/>
        <w:widowControl/>
        <w:snapToGrid w:val="0"/>
        <w:spacing w:line="360" w:lineRule="auto"/>
        <w:ind w:firstLine="420" w:firstLineChars="200"/>
        <w:jc w:val="left"/>
        <w:rPr>
          <w:rFonts w:ascii="楷体" w:hAnsi="楷体" w:eastAsia="楷体" w:cs="楷体"/>
          <w:color w:val="000000" w:themeColor="text1"/>
          <w:sz w:val="32"/>
          <w:szCs w:val="32"/>
          <w14:textFill>
            <w14:solidFill>
              <w14:schemeClr w14:val="tx1"/>
            </w14:solidFill>
          </w14:textFill>
        </w:rPr>
      </w:pPr>
      <w:bookmarkStart w:id="193" w:name="_Toc14209"/>
      <w:bookmarkStart w:id="194" w:name="_Toc28473"/>
      <w:bookmarkStart w:id="195" w:name="_Toc16148"/>
      <w:bookmarkStart w:id="196" w:name="_Toc29096"/>
      <w:bookmarkStart w:id="197" w:name="_Toc21260"/>
      <w:bookmarkStart w:id="198" w:name="_Toc15977"/>
      <w:bookmarkStart w:id="199" w:name="_Toc21158"/>
      <w:bookmarkStart w:id="200" w:name="_Toc10965"/>
      <w:bookmarkStart w:id="201" w:name="_Toc7240"/>
      <w:bookmarkStart w:id="202" w:name="_Toc3897"/>
      <w:bookmarkStart w:id="203" w:name="_Toc13717"/>
      <w:bookmarkStart w:id="204" w:name="_Toc5287"/>
      <w:r>
        <w:rPr>
          <w:rFonts w:hint="eastAsia" w:ascii="仿宋" w:hAnsi="仿宋" w:eastAsia="仿宋" w:cs="仿宋"/>
          <w:b w:val="0"/>
          <w:color w:val="000000" w:themeColor="text1"/>
          <w:sz w:val="21"/>
          <w:szCs w:val="21"/>
          <w14:textFill>
            <w14:solidFill>
              <w14:schemeClr w14:val="tx1"/>
            </w14:solidFill>
          </w14:textFill>
        </w:rPr>
        <w:t>9.4.3、质疑与投诉事宜依据《中华人民共和国政府采购法》、《政府采购法实施条例（国务院第658号令）》、《中华人民共和国财政部令第94号--政府采购质疑和投诉办法》及《陕财办采资（2016）53号》规定执行。</w:t>
      </w:r>
      <w:bookmarkEnd w:id="39"/>
      <w:bookmarkEnd w:id="40"/>
      <w:bookmarkEnd w:id="41"/>
      <w:bookmarkEnd w:id="42"/>
      <w:bookmarkEnd w:id="43"/>
      <w:bookmarkEnd w:id="44"/>
      <w:bookmarkEnd w:id="45"/>
      <w:bookmarkEnd w:id="46"/>
      <w:bookmarkEnd w:id="47"/>
      <w:bookmarkEnd w:id="48"/>
      <w:bookmarkEnd w:id="49"/>
      <w:bookmarkEnd w:id="50"/>
      <w:bookmarkEnd w:id="193"/>
      <w:bookmarkEnd w:id="194"/>
      <w:bookmarkEnd w:id="195"/>
      <w:bookmarkEnd w:id="196"/>
      <w:bookmarkEnd w:id="197"/>
      <w:bookmarkEnd w:id="198"/>
      <w:bookmarkEnd w:id="199"/>
      <w:bookmarkEnd w:id="200"/>
      <w:bookmarkEnd w:id="201"/>
      <w:bookmarkEnd w:id="202"/>
      <w:bookmarkEnd w:id="203"/>
      <w:bookmarkEnd w:id="204"/>
      <w:bookmarkStart w:id="205" w:name="_Toc8932"/>
      <w:bookmarkStart w:id="206" w:name="_Toc17139"/>
      <w:bookmarkStart w:id="207" w:name="_Toc4277"/>
      <w:bookmarkStart w:id="208" w:name="_Toc16168_WPSOffice_Level1"/>
      <w:bookmarkStart w:id="209" w:name="_Toc17928_WPSOffice_Level1"/>
      <w:bookmarkStart w:id="210" w:name="_Toc17517"/>
      <w:bookmarkStart w:id="211" w:name="_Toc32693"/>
      <w:bookmarkStart w:id="212" w:name="_Toc11152"/>
      <w:bookmarkStart w:id="213" w:name="_Toc27805"/>
      <w:bookmarkStart w:id="214" w:name="_Toc10133"/>
      <w:bookmarkStart w:id="215" w:name="_Toc16587"/>
      <w:bookmarkStart w:id="216" w:name="_Toc28762"/>
    </w:p>
    <w:p w14:paraId="2201451A">
      <w:pPr>
        <w:widowControl w:val="0"/>
        <w:tabs>
          <w:tab w:val="left" w:pos="3310"/>
          <w:tab w:val="center" w:pos="4213"/>
        </w:tabs>
        <w:ind w:firstLine="2249" w:firstLineChars="800"/>
        <w:jc w:val="both"/>
        <w:outlineLvl w:val="9"/>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附件一、质疑函范本</w:t>
      </w:r>
    </w:p>
    <w:p w14:paraId="323C2B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4"/>
          <w:szCs w:val="24"/>
          <w14:textFill>
            <w14:solidFill>
              <w14:schemeClr w14:val="tx1"/>
            </w14:solidFill>
          </w14:textFill>
        </w:rPr>
      </w:pPr>
    </w:p>
    <w:p w14:paraId="5CCE9FD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bookmarkStart w:id="217" w:name="_Toc31378"/>
      <w:r>
        <w:rPr>
          <w:rFonts w:hint="eastAsia" w:ascii="仿宋" w:hAnsi="仿宋" w:eastAsia="仿宋" w:cs="仿宋"/>
          <w:bCs/>
          <w:color w:val="000000" w:themeColor="text1"/>
          <w:kern w:val="2"/>
          <w:sz w:val="22"/>
          <w:szCs w:val="22"/>
          <w14:textFill>
            <w14:solidFill>
              <w14:schemeClr w14:val="tx1"/>
            </w14:solidFill>
          </w14:textFill>
        </w:rPr>
        <w:t>一、质疑</w:t>
      </w:r>
      <w:r>
        <w:rPr>
          <w:rFonts w:hint="eastAsia" w:ascii="仿宋" w:hAnsi="仿宋" w:eastAsia="仿宋" w:cs="仿宋"/>
          <w:bCs/>
          <w:color w:val="000000" w:themeColor="text1"/>
          <w:kern w:val="2"/>
          <w:sz w:val="22"/>
          <w:szCs w:val="22"/>
          <w:lang w:val="en-US" w:eastAsia="zh-CN"/>
          <w14:textFill>
            <w14:solidFill>
              <w14:schemeClr w14:val="tx1"/>
            </w14:solidFill>
          </w14:textFill>
        </w:rPr>
        <w:t>投标人</w:t>
      </w:r>
      <w:r>
        <w:rPr>
          <w:rFonts w:hint="eastAsia" w:ascii="仿宋" w:hAnsi="仿宋" w:eastAsia="仿宋" w:cs="仿宋"/>
          <w:bCs/>
          <w:color w:val="000000" w:themeColor="text1"/>
          <w:kern w:val="2"/>
          <w:sz w:val="22"/>
          <w:szCs w:val="22"/>
          <w14:textFill>
            <w14:solidFill>
              <w14:schemeClr w14:val="tx1"/>
            </w14:solidFill>
          </w14:textFill>
        </w:rPr>
        <w:t>基本信息</w:t>
      </w:r>
      <w:bookmarkEnd w:id="217"/>
    </w:p>
    <w:p w14:paraId="63B77A4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w:t>
      </w:r>
      <w:r>
        <w:rPr>
          <w:rFonts w:hint="eastAsia" w:ascii="仿宋" w:hAnsi="仿宋" w:eastAsia="仿宋" w:cs="仿宋"/>
          <w:color w:val="000000" w:themeColor="text1"/>
          <w:kern w:val="2"/>
          <w:sz w:val="22"/>
          <w:szCs w:val="22"/>
          <w:lang w:val="en-US" w:eastAsia="zh-CN"/>
          <w14:textFill>
            <w14:solidFill>
              <w14:schemeClr w14:val="tx1"/>
            </w14:solidFill>
          </w14:textFill>
        </w:rPr>
        <w:t>投标人</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2AB27F9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1DE5283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E58AA2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授权代表：</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152CF75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4A2A7AD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地址： </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bookmarkStart w:id="218" w:name="_Toc23620"/>
    </w:p>
    <w:p w14:paraId="03B9594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r>
        <w:rPr>
          <w:rFonts w:hint="eastAsia" w:ascii="仿宋" w:hAnsi="仿宋" w:eastAsia="仿宋" w:cs="仿宋"/>
          <w:bCs/>
          <w:color w:val="000000" w:themeColor="text1"/>
          <w:kern w:val="2"/>
          <w:sz w:val="22"/>
          <w:szCs w:val="22"/>
          <w14:textFill>
            <w14:solidFill>
              <w14:schemeClr w14:val="tx1"/>
            </w14:solidFill>
          </w14:textFill>
        </w:rPr>
        <w:t>二、质疑项目基本情况</w:t>
      </w:r>
      <w:bookmarkEnd w:id="218"/>
    </w:p>
    <w:p w14:paraId="3385B21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质疑项目的名称：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239585D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质疑项目的编号：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包号：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1548E16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采购人名称：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1238213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采购文件获取日期：</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5A65EAC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bookmarkStart w:id="219" w:name="_Toc4224"/>
      <w:r>
        <w:rPr>
          <w:rFonts w:hint="eastAsia" w:ascii="仿宋" w:hAnsi="仿宋" w:eastAsia="仿宋" w:cs="仿宋"/>
          <w:bCs/>
          <w:color w:val="000000" w:themeColor="text1"/>
          <w:kern w:val="2"/>
          <w:sz w:val="22"/>
          <w:szCs w:val="22"/>
          <w14:textFill>
            <w14:solidFill>
              <w14:schemeClr w14:val="tx1"/>
            </w14:solidFill>
          </w14:textFill>
        </w:rPr>
        <w:t>三、质疑事项具体内容</w:t>
      </w:r>
      <w:bookmarkEnd w:id="219"/>
    </w:p>
    <w:p w14:paraId="0BFF76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质疑事项1：</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09AA956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事实依据：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01B6B07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lang w:val="en-US" w:eastAsia="zh-CN"/>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法律依据：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val="en-US" w:eastAsia="zh-CN"/>
          <w14:textFill>
            <w14:solidFill>
              <w14:schemeClr w14:val="tx1"/>
            </w14:solidFill>
          </w14:textFill>
        </w:rPr>
        <w:t xml:space="preserve"> </w:t>
      </w:r>
    </w:p>
    <w:p w14:paraId="09B6932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质疑事项2</w:t>
      </w:r>
    </w:p>
    <w:p w14:paraId="5B2C94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w:t>
      </w:r>
    </w:p>
    <w:p w14:paraId="75B0B4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color w:val="000000" w:themeColor="text1"/>
          <w:kern w:val="2"/>
          <w:sz w:val="22"/>
          <w:szCs w:val="22"/>
          <w14:textFill>
            <w14:solidFill>
              <w14:schemeClr w14:val="tx1"/>
            </w14:solidFill>
          </w14:textFill>
        </w:rPr>
      </w:pPr>
      <w:bookmarkStart w:id="220" w:name="_Toc26949"/>
      <w:r>
        <w:rPr>
          <w:rFonts w:hint="eastAsia" w:ascii="仿宋" w:hAnsi="仿宋" w:eastAsia="仿宋" w:cs="仿宋"/>
          <w:bCs/>
          <w:color w:val="000000" w:themeColor="text1"/>
          <w:kern w:val="2"/>
          <w:sz w:val="22"/>
          <w:szCs w:val="22"/>
          <w14:textFill>
            <w14:solidFill>
              <w14:schemeClr w14:val="tx1"/>
            </w14:solidFill>
          </w14:textFill>
        </w:rPr>
        <w:t>四、与质疑事项相关的质疑请求</w:t>
      </w:r>
      <w:bookmarkEnd w:id="220"/>
    </w:p>
    <w:p w14:paraId="1E1A93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请求：</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3E301B6D">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p>
    <w:p w14:paraId="6447CE90">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签字(签章)：                   公章：                      </w:t>
      </w:r>
    </w:p>
    <w:p w14:paraId="2ECBDC83">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日期：    </w:t>
      </w:r>
    </w:p>
    <w:p w14:paraId="4B116592">
      <w:pPr>
        <w:outlineLvl w:val="9"/>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br w:type="page"/>
      </w:r>
    </w:p>
    <w:p w14:paraId="7C060D6C">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color w:val="000000" w:themeColor="text1"/>
          <w:kern w:val="2"/>
          <w:sz w:val="21"/>
          <w:szCs w:val="21"/>
          <w14:textFill>
            <w14:solidFill>
              <w14:schemeClr w14:val="tx1"/>
            </w14:solidFill>
          </w14:textFill>
        </w:rPr>
      </w:pPr>
      <w:r>
        <w:rPr>
          <w:rFonts w:hint="eastAsia" w:ascii="仿宋" w:hAnsi="仿宋" w:eastAsia="仿宋" w:cs="仿宋"/>
          <w:b/>
          <w:color w:val="000000" w:themeColor="text1"/>
          <w:kern w:val="2"/>
          <w:sz w:val="21"/>
          <w:szCs w:val="21"/>
          <w14:textFill>
            <w14:solidFill>
              <w14:schemeClr w14:val="tx1"/>
            </w14:solidFill>
          </w14:textFill>
        </w:rPr>
        <w:t>质疑函制作说明：</w:t>
      </w:r>
    </w:p>
    <w:p w14:paraId="11014912">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1.</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提出质疑时，应提交质疑函和必要的证明材料。</w:t>
      </w:r>
    </w:p>
    <w:p w14:paraId="57AC9E5C">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若委托代理人进行质疑的，质疑函应按要求列明“授权代表”的有关内容，并在附件中提交由质疑</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签署的授权委托书。授权委托书应载明代理人的姓名或者名称、代理事项、具体权限、期限和相关事项。</w:t>
      </w:r>
    </w:p>
    <w:p w14:paraId="3C6738F0">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若对项目的某一分包进行质疑，质疑函中应列明具体分包号。</w:t>
      </w:r>
    </w:p>
    <w:p w14:paraId="22D64DC1">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4.质疑函的质疑事项应具体、明确，并有必要的事实依据和法律依据。</w:t>
      </w:r>
    </w:p>
    <w:p w14:paraId="082F8BF2">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5.质疑函的质疑请求应与质疑事项相关。</w:t>
      </w:r>
    </w:p>
    <w:p w14:paraId="503B45DF">
      <w:pPr>
        <w:keepNext w:val="0"/>
        <w:keepLines w:val="0"/>
        <w:pageBreakBefore w:val="0"/>
        <w:widowControl w:val="0"/>
        <w:kinsoku/>
        <w:wordWrap/>
        <w:overflowPunct/>
        <w:topLinePunct w:val="0"/>
        <w:autoSpaceDE/>
        <w:autoSpaceDN/>
        <w:bidi w:val="0"/>
        <w:spacing w:line="360" w:lineRule="auto"/>
        <w:ind w:firstLine="420" w:firstLineChars="200"/>
        <w:textAlignment w:val="auto"/>
        <w:outlineLvl w:val="9"/>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6.质疑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为自然人的，质疑函应由本人签字；质疑</w:t>
      </w:r>
      <w:r>
        <w:rPr>
          <w:rFonts w:hint="eastAsia" w:ascii="仿宋" w:hAnsi="仿宋" w:eastAsia="仿宋" w:cs="仿宋"/>
          <w:color w:val="000000" w:themeColor="text1"/>
          <w:kern w:val="2"/>
          <w:sz w:val="21"/>
          <w:szCs w:val="21"/>
          <w:lang w:val="en-US" w:eastAsia="zh-CN"/>
          <w14:textFill>
            <w14:solidFill>
              <w14:schemeClr w14:val="tx1"/>
            </w14:solidFill>
          </w14:textFill>
        </w:rPr>
        <w:t>投标人</w:t>
      </w:r>
      <w:r>
        <w:rPr>
          <w:rFonts w:hint="eastAsia" w:ascii="仿宋" w:hAnsi="仿宋" w:eastAsia="仿宋" w:cs="仿宋"/>
          <w:color w:val="000000" w:themeColor="text1"/>
          <w:kern w:val="2"/>
          <w:sz w:val="21"/>
          <w:szCs w:val="21"/>
          <w14:textFill>
            <w14:solidFill>
              <w14:schemeClr w14:val="tx1"/>
            </w14:solidFill>
          </w14:textFill>
        </w:rPr>
        <w:t>为法人或者其他组织的，质疑函应由法定代表人、主要负责人，或者其授权代表签字或者盖章，并加盖公章。</w:t>
      </w:r>
    </w:p>
    <w:p w14:paraId="51812FE6">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65E1FB80">
      <w:pPr>
        <w:shd w:val="clear"/>
        <w:spacing w:afterLines="50" w:line="360" w:lineRule="auto"/>
        <w:jc w:val="center"/>
        <w:outlineLvl w:val="9"/>
        <w:rPr>
          <w:rFonts w:hint="eastAsia" w:ascii="仿宋" w:hAnsi="仿宋" w:eastAsia="仿宋" w:cs="仿宋"/>
          <w:b/>
          <w:color w:val="000000" w:themeColor="text1"/>
          <w:sz w:val="21"/>
          <w:szCs w:val="21"/>
          <w:highlight w:val="none"/>
          <w14:textFill>
            <w14:solidFill>
              <w14:schemeClr w14:val="tx1"/>
            </w14:solidFill>
          </w14:textFill>
        </w:rPr>
      </w:pPr>
    </w:p>
    <w:p w14:paraId="5F91D09D">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645D5289">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C72BACD">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586FD612">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1F491260">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543EB5D8">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312EA108">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0CA8845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2A576B7A">
      <w:pPr>
        <w:shd w:val="clear"/>
        <w:spacing w:afterLines="50" w:line="360" w:lineRule="auto"/>
        <w:jc w:val="center"/>
        <w:outlineLvl w:val="9"/>
        <w:rPr>
          <w:rFonts w:hint="eastAsia" w:ascii="仿宋" w:hAnsi="仿宋" w:eastAsia="仿宋" w:cs="仿宋"/>
          <w:b/>
          <w:color w:val="000000" w:themeColor="text1"/>
          <w:sz w:val="36"/>
          <w:szCs w:val="36"/>
          <w:highlight w:val="none"/>
          <w14:textFill>
            <w14:solidFill>
              <w14:schemeClr w14:val="tx1"/>
            </w14:solidFill>
          </w14:textFill>
        </w:rPr>
      </w:pPr>
    </w:p>
    <w:p w14:paraId="7FDAEB80">
      <w:pPr>
        <w:outlineLvl w:val="9"/>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pPr>
      <w:bookmarkStart w:id="221" w:name="_Toc3319"/>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br w:type="page"/>
      </w:r>
    </w:p>
    <w:p w14:paraId="0ACEC94D">
      <w:pPr>
        <w:widowControl w:val="0"/>
        <w:tabs>
          <w:tab w:val="left" w:pos="3310"/>
          <w:tab w:val="center" w:pos="4213"/>
        </w:tabs>
        <w:jc w:val="center"/>
        <w:outlineLvl w:val="9"/>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28"/>
          <w:lang w:val="en-US" w:eastAsia="zh-CN" w:bidi="ar-SA"/>
          <w14:textFill>
            <w14:solidFill>
              <w14:schemeClr w14:val="tx1"/>
            </w14:solidFill>
          </w14:textFill>
        </w:rPr>
        <w:t>附件二、投诉书范本</w:t>
      </w:r>
      <w:bookmarkEnd w:id="221"/>
    </w:p>
    <w:p w14:paraId="1B0539E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2" w:name="_Toc17047"/>
      <w:r>
        <w:rPr>
          <w:rFonts w:hint="eastAsia" w:ascii="仿宋" w:hAnsi="仿宋" w:eastAsia="仿宋" w:cs="仿宋"/>
          <w:color w:val="000000" w:themeColor="text1"/>
          <w:kern w:val="2"/>
          <w:sz w:val="22"/>
          <w:szCs w:val="22"/>
          <w14:textFill>
            <w14:solidFill>
              <w14:schemeClr w14:val="tx1"/>
            </w14:solidFill>
          </w14:textFill>
        </w:rPr>
        <w:t>一、投诉相关主体基本情况</w:t>
      </w:r>
      <w:bookmarkEnd w:id="222"/>
    </w:p>
    <w:p w14:paraId="38DEA20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439016B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24EF9C67">
      <w:pPr>
        <w:keepNext w:val="0"/>
        <w:keepLines w:val="0"/>
        <w:pageBreakBefore w:val="0"/>
        <w:widowControl w:val="0"/>
        <w:tabs>
          <w:tab w:val="left" w:pos="6510"/>
        </w:tabs>
        <w:kinsoku/>
        <w:wordWrap/>
        <w:overflowPunct/>
        <w:topLinePunct w:val="0"/>
        <w:autoSpaceDE/>
        <w:autoSpaceDN/>
        <w:bidi w:val="0"/>
        <w:adjustRightInd/>
        <w:snapToGrid/>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法定代表人/主要负责人：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23649A67">
      <w:pPr>
        <w:keepNext w:val="0"/>
        <w:keepLines w:val="0"/>
        <w:pageBreakBefore w:val="0"/>
        <w:widowControl w:val="0"/>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7070773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授权代表：</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74D7726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4D04442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被投诉人1：</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114CD7B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797D095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5421D1B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被投诉人2</w:t>
      </w:r>
    </w:p>
    <w:p w14:paraId="682EAAF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w:t>
      </w:r>
    </w:p>
    <w:p w14:paraId="5D6F956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相关</w:t>
      </w:r>
      <w:r>
        <w:rPr>
          <w:rFonts w:hint="eastAsia" w:ascii="仿宋" w:hAnsi="仿宋" w:eastAsia="仿宋" w:cs="仿宋"/>
          <w:color w:val="000000" w:themeColor="text1"/>
          <w:kern w:val="2"/>
          <w:sz w:val="22"/>
          <w:szCs w:val="22"/>
          <w:lang w:val="en-US" w:eastAsia="zh-CN"/>
          <w14:textFill>
            <w14:solidFill>
              <w14:schemeClr w14:val="tx1"/>
            </w14:solidFill>
          </w14:textFill>
        </w:rPr>
        <w:t>投标人</w:t>
      </w:r>
      <w:r>
        <w:rPr>
          <w:rFonts w:hint="eastAsia" w:ascii="仿宋" w:hAnsi="仿宋" w:eastAsia="仿宋" w:cs="仿宋"/>
          <w:color w:val="000000" w:themeColor="text1"/>
          <w:kern w:val="2"/>
          <w:sz w:val="22"/>
          <w:szCs w:val="22"/>
          <w14:textFill>
            <w14:solidFill>
              <w14:schemeClr w14:val="tx1"/>
            </w14:solidFill>
          </w14:textFill>
        </w:rPr>
        <w:t>：</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6604B4B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地     址：</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邮编：</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78249D8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联系人：</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联系电话：</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600C625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3" w:name="_Toc20743"/>
      <w:r>
        <w:rPr>
          <w:rFonts w:hint="eastAsia" w:ascii="仿宋" w:hAnsi="仿宋" w:eastAsia="仿宋" w:cs="仿宋"/>
          <w:color w:val="000000" w:themeColor="text1"/>
          <w:kern w:val="2"/>
          <w:sz w:val="22"/>
          <w:szCs w:val="22"/>
          <w14:textFill>
            <w14:solidFill>
              <w14:schemeClr w14:val="tx1"/>
            </w14:solidFill>
          </w14:textFill>
        </w:rPr>
        <w:t>二、投诉项目基本情况</w:t>
      </w:r>
      <w:bookmarkEnd w:id="223"/>
    </w:p>
    <w:p w14:paraId="121A1A8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投诉</w:t>
      </w:r>
      <w:r>
        <w:rPr>
          <w:rFonts w:hint="eastAsia" w:ascii="仿宋" w:hAnsi="仿宋" w:eastAsia="仿宋" w:cs="仿宋"/>
          <w:color w:val="000000" w:themeColor="text1"/>
          <w:kern w:val="2"/>
          <w:sz w:val="22"/>
          <w:szCs w:val="22"/>
          <w14:textFill>
            <w14:solidFill>
              <w14:schemeClr w14:val="tx1"/>
            </w14:solidFill>
          </w14:textFill>
        </w:rPr>
        <w:t>项目名称：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75C0905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投诉</w:t>
      </w:r>
      <w:r>
        <w:rPr>
          <w:rFonts w:hint="eastAsia" w:ascii="仿宋" w:hAnsi="仿宋" w:eastAsia="仿宋" w:cs="仿宋"/>
          <w:color w:val="000000" w:themeColor="text1"/>
          <w:kern w:val="2"/>
          <w:sz w:val="22"/>
          <w:szCs w:val="22"/>
          <w14:textFill>
            <w14:solidFill>
              <w14:schemeClr w14:val="tx1"/>
            </w14:solidFill>
          </w14:textFill>
        </w:rPr>
        <w:t>项目编号：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包号：</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23F4DA6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采购人</w:t>
      </w:r>
      <w:r>
        <w:rPr>
          <w:rFonts w:hint="eastAsia" w:ascii="仿宋" w:hAnsi="仿宋" w:eastAsia="仿宋" w:cs="仿宋"/>
          <w:color w:val="000000" w:themeColor="text1"/>
          <w:kern w:val="2"/>
          <w:sz w:val="22"/>
          <w:szCs w:val="22"/>
          <w14:textFill>
            <w14:solidFill>
              <w14:schemeClr w14:val="tx1"/>
            </w14:solidFill>
          </w14:textFill>
        </w:rPr>
        <w:t>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single"/>
          <w14:textFill>
            <w14:solidFill>
              <w14:schemeClr w14:val="tx1"/>
            </w14:solidFill>
          </w14:textFill>
        </w:rPr>
        <w:t xml:space="preserve">  </w:t>
      </w:r>
    </w:p>
    <w:p w14:paraId="354B3F5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代理机构名称：</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866407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招标</w:t>
      </w:r>
      <w:r>
        <w:rPr>
          <w:rFonts w:hint="eastAsia" w:ascii="仿宋" w:hAnsi="仿宋" w:eastAsia="仿宋" w:cs="仿宋"/>
          <w:color w:val="000000" w:themeColor="text1"/>
          <w:kern w:val="2"/>
          <w:sz w:val="22"/>
          <w:szCs w:val="22"/>
          <w14:textFill>
            <w14:solidFill>
              <w14:schemeClr w14:val="tx1"/>
            </w14:solidFill>
          </w14:textFill>
        </w:rPr>
        <w:t>文件公告:</w:t>
      </w:r>
      <w:r>
        <w:rPr>
          <w:rFonts w:hint="eastAsia" w:ascii="仿宋" w:hAnsi="仿宋" w:eastAsia="仿宋" w:cs="仿宋"/>
          <w:color w:val="000000" w:themeColor="text1"/>
          <w:kern w:val="2"/>
          <w:sz w:val="22"/>
          <w:szCs w:val="22"/>
          <w:u w:val="dotted"/>
          <w14:textFill>
            <w14:solidFill>
              <w14:schemeClr w14:val="tx1"/>
            </w14:solidFill>
          </w14:textFill>
        </w:rPr>
        <w:t xml:space="preserve">是/否 </w:t>
      </w:r>
      <w:r>
        <w:rPr>
          <w:rFonts w:hint="eastAsia" w:ascii="仿宋" w:hAnsi="仿宋" w:eastAsia="仿宋" w:cs="仿宋"/>
          <w:color w:val="000000" w:themeColor="text1"/>
          <w:kern w:val="2"/>
          <w:sz w:val="22"/>
          <w:szCs w:val="22"/>
          <w14:textFill>
            <w14:solidFill>
              <w14:schemeClr w14:val="tx1"/>
            </w14:solidFill>
          </w14:textFill>
        </w:rPr>
        <w:t>公告期限：</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97908C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lang w:val="en-US" w:eastAsia="zh-CN"/>
          <w14:textFill>
            <w14:solidFill>
              <w14:schemeClr w14:val="tx1"/>
            </w14:solidFill>
          </w14:textFill>
        </w:rPr>
        <w:t>中标</w:t>
      </w:r>
      <w:r>
        <w:rPr>
          <w:rFonts w:hint="eastAsia" w:ascii="仿宋" w:hAnsi="仿宋" w:eastAsia="仿宋" w:cs="仿宋"/>
          <w:color w:val="000000" w:themeColor="text1"/>
          <w:kern w:val="2"/>
          <w:sz w:val="22"/>
          <w:szCs w:val="22"/>
          <w14:textFill>
            <w14:solidFill>
              <w14:schemeClr w14:val="tx1"/>
            </w14:solidFill>
          </w14:textFill>
        </w:rPr>
        <w:t>结果公告:</w:t>
      </w:r>
      <w:r>
        <w:rPr>
          <w:rFonts w:hint="eastAsia" w:ascii="仿宋" w:hAnsi="仿宋" w:eastAsia="仿宋" w:cs="仿宋"/>
          <w:color w:val="000000" w:themeColor="text1"/>
          <w:kern w:val="2"/>
          <w:sz w:val="22"/>
          <w:szCs w:val="22"/>
          <w:u w:val="dotted"/>
          <w14:textFill>
            <w14:solidFill>
              <w14:schemeClr w14:val="tx1"/>
            </w14:solidFill>
          </w14:textFill>
        </w:rPr>
        <w:t xml:space="preserve">是/否 </w:t>
      </w:r>
      <w:r>
        <w:rPr>
          <w:rFonts w:hint="eastAsia" w:ascii="仿宋" w:hAnsi="仿宋" w:eastAsia="仿宋" w:cs="仿宋"/>
          <w:color w:val="000000" w:themeColor="text1"/>
          <w:kern w:val="2"/>
          <w:sz w:val="22"/>
          <w:szCs w:val="22"/>
          <w14:textFill>
            <w14:solidFill>
              <w14:schemeClr w14:val="tx1"/>
            </w14:solidFill>
          </w14:textFill>
        </w:rPr>
        <w:t>公告期限：</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3E467000">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4" w:name="_Toc9071"/>
      <w:r>
        <w:rPr>
          <w:rFonts w:hint="eastAsia" w:ascii="仿宋" w:hAnsi="仿宋" w:eastAsia="仿宋" w:cs="仿宋"/>
          <w:color w:val="000000" w:themeColor="text1"/>
          <w:kern w:val="2"/>
          <w:sz w:val="22"/>
          <w:szCs w:val="22"/>
          <w14:textFill>
            <w14:solidFill>
              <w14:schemeClr w14:val="tx1"/>
            </w14:solidFill>
          </w14:textFill>
        </w:rPr>
        <w:t>三、质疑基本情况</w:t>
      </w:r>
      <w:bookmarkEnd w:id="224"/>
    </w:p>
    <w:p w14:paraId="3846294E">
      <w:pPr>
        <w:keepNext w:val="0"/>
        <w:keepLines w:val="0"/>
        <w:pageBreakBefore w:val="0"/>
        <w:widowControl w:val="0"/>
        <w:kinsoku/>
        <w:wordWrap/>
        <w:overflowPunct/>
        <w:topLinePunct w:val="0"/>
        <w:autoSpaceDE/>
        <w:autoSpaceDN/>
        <w:bidi w:val="0"/>
        <w:adjustRightInd/>
        <w:snapToGrid/>
        <w:ind w:firstLine="440" w:firstLineChars="200"/>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投诉人于</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年</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月</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日,向</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u w:val="dotted"/>
          <w:lang w:eastAsia="zh-CN"/>
          <w14:textFill>
            <w14:solidFill>
              <w14:schemeClr w14:val="tx1"/>
            </w14:solidFill>
          </w14:textFill>
        </w:rPr>
        <w:t>质疑</w:t>
      </w:r>
      <w:r>
        <w:rPr>
          <w:rFonts w:hint="eastAsia" w:ascii="仿宋" w:hAnsi="仿宋" w:eastAsia="仿宋" w:cs="仿宋"/>
          <w:color w:val="000000" w:themeColor="text1"/>
          <w:kern w:val="2"/>
          <w:sz w:val="22"/>
          <w:szCs w:val="22"/>
          <w14:textFill>
            <w14:solidFill>
              <w14:schemeClr w14:val="tx1"/>
            </w14:solidFill>
          </w14:textFill>
        </w:rPr>
        <w:t>，质疑事项为：</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3D9F2B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73FB976D">
      <w:pPr>
        <w:keepNext w:val="0"/>
        <w:keepLines w:val="0"/>
        <w:pageBreakBefore w:val="0"/>
        <w:widowControl w:val="0"/>
        <w:kinsoku/>
        <w:wordWrap/>
        <w:overflowPunct/>
        <w:topLinePunct w:val="0"/>
        <w:autoSpaceDE/>
        <w:autoSpaceDN/>
        <w:bidi w:val="0"/>
        <w:adjustRightInd/>
        <w:snapToGrid/>
        <w:ind w:firstLine="330" w:firstLineChars="150"/>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u w:val="dotted"/>
          <w:lang w:val="en-US" w:eastAsia="zh-CN"/>
          <w14:textFill>
            <w14:solidFill>
              <w14:schemeClr w14:val="tx1"/>
            </w14:solidFill>
          </w14:textFill>
        </w:rPr>
        <w:t>中标人</w:t>
      </w:r>
      <w:r>
        <w:rPr>
          <w:rFonts w:hint="eastAsia" w:ascii="仿宋" w:hAnsi="仿宋" w:eastAsia="仿宋" w:cs="仿宋"/>
          <w:color w:val="000000" w:themeColor="text1"/>
          <w:kern w:val="2"/>
          <w:sz w:val="22"/>
          <w:szCs w:val="22"/>
          <w:u w:val="dotted"/>
          <w14:textFill>
            <w14:solidFill>
              <w14:schemeClr w14:val="tx1"/>
            </w14:solidFill>
          </w14:textFill>
        </w:rPr>
        <w:t>/代理机构</w:t>
      </w:r>
      <w:r>
        <w:rPr>
          <w:rFonts w:hint="eastAsia" w:ascii="仿宋" w:hAnsi="仿宋" w:eastAsia="仿宋" w:cs="仿宋"/>
          <w:color w:val="000000" w:themeColor="text1"/>
          <w:kern w:val="2"/>
          <w:sz w:val="22"/>
          <w:szCs w:val="22"/>
          <w14:textFill>
            <w14:solidFill>
              <w14:schemeClr w14:val="tx1"/>
            </w14:solidFill>
          </w14:textFill>
        </w:rPr>
        <w:t>于</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年</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月</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日,就质疑事项作出了答复/没有在法定期限内作出答复。</w:t>
      </w:r>
    </w:p>
    <w:p w14:paraId="21F457F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5" w:name="_Toc5565"/>
      <w:r>
        <w:rPr>
          <w:rFonts w:hint="eastAsia" w:ascii="仿宋" w:hAnsi="仿宋" w:eastAsia="仿宋" w:cs="仿宋"/>
          <w:color w:val="000000" w:themeColor="text1"/>
          <w:kern w:val="2"/>
          <w:sz w:val="22"/>
          <w:szCs w:val="22"/>
          <w14:textFill>
            <w14:solidFill>
              <w14:schemeClr w14:val="tx1"/>
            </w14:solidFill>
          </w14:textFill>
        </w:rPr>
        <w:t>四、投诉事项具体内容</w:t>
      </w:r>
      <w:bookmarkEnd w:id="225"/>
    </w:p>
    <w:p w14:paraId="7DAF8B2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投诉事项 1：</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0A3FBF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事实依据：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884D5C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52C2E6C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法律依据：</w:t>
      </w: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03B5E50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u w:val="dotted"/>
          <w14:textFill>
            <w14:solidFill>
              <w14:schemeClr w14:val="tx1"/>
            </w14:solidFill>
          </w14:textFill>
        </w:rPr>
        <w:t xml:space="preserve">                                                      </w:t>
      </w:r>
    </w:p>
    <w:p w14:paraId="6A4F519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投诉事项2</w:t>
      </w:r>
    </w:p>
    <w:p w14:paraId="0776FC9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dotted"/>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w:t>
      </w:r>
    </w:p>
    <w:p w14:paraId="3A83138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bookmarkStart w:id="226" w:name="_Toc6707"/>
      <w:r>
        <w:rPr>
          <w:rFonts w:hint="eastAsia" w:ascii="仿宋" w:hAnsi="仿宋" w:eastAsia="仿宋" w:cs="仿宋"/>
          <w:color w:val="000000" w:themeColor="text1"/>
          <w:kern w:val="2"/>
          <w:sz w:val="22"/>
          <w:szCs w:val="22"/>
          <w14:textFill>
            <w14:solidFill>
              <w14:schemeClr w14:val="tx1"/>
            </w14:solidFill>
          </w14:textFill>
        </w:rPr>
        <w:t>五、与投诉事项相关的投诉请求</w:t>
      </w:r>
      <w:bookmarkEnd w:id="226"/>
    </w:p>
    <w:p w14:paraId="6A16F74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请求：</w:t>
      </w:r>
      <w:r>
        <w:rPr>
          <w:rFonts w:hint="eastAsia" w:ascii="仿宋" w:hAnsi="仿宋" w:eastAsia="仿宋" w:cs="仿宋"/>
          <w:color w:val="000000" w:themeColor="text1"/>
          <w:kern w:val="2"/>
          <w:sz w:val="22"/>
          <w:szCs w:val="22"/>
          <w:u w:val="dotted"/>
          <w14:textFill>
            <w14:solidFill>
              <w14:schemeClr w14:val="tx1"/>
            </w14:solidFill>
          </w14:textFill>
        </w:rPr>
        <w:t xml:space="preserve">                                              </w:t>
      </w:r>
      <w:r>
        <w:rPr>
          <w:rFonts w:hint="eastAsia" w:ascii="仿宋" w:hAnsi="仿宋" w:eastAsia="仿宋" w:cs="仿宋"/>
          <w:color w:val="000000" w:themeColor="text1"/>
          <w:kern w:val="2"/>
          <w:sz w:val="22"/>
          <w:szCs w:val="22"/>
          <w14:textFill>
            <w14:solidFill>
              <w14:schemeClr w14:val="tx1"/>
            </w14:solidFill>
          </w14:textFill>
        </w:rPr>
        <w:t xml:space="preserve"> </w:t>
      </w:r>
    </w:p>
    <w:p w14:paraId="6663AFA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u w:val="singl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                                                                                                    </w:t>
      </w:r>
    </w:p>
    <w:p w14:paraId="3BF89A2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签字(签章)：                   公章：                      </w:t>
      </w:r>
    </w:p>
    <w:p w14:paraId="5E1A7C23">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color w:val="000000" w:themeColor="text1"/>
          <w:kern w:val="2"/>
          <w:sz w:val="22"/>
          <w:szCs w:val="22"/>
          <w14:textFill>
            <w14:solidFill>
              <w14:schemeClr w14:val="tx1"/>
            </w14:solidFill>
          </w14:textFill>
        </w:rPr>
      </w:pPr>
    </w:p>
    <w:p w14:paraId="0A84370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 xml:space="preserve">日期：    </w:t>
      </w:r>
    </w:p>
    <w:p w14:paraId="48214A15">
      <w:pPr>
        <w:spacing w:after="156" w:afterLines="50" w:line="360" w:lineRule="auto"/>
        <w:ind w:firstLine="2530" w:firstLineChars="900"/>
        <w:outlineLvl w:val="0"/>
        <w:rPr>
          <w:rFonts w:hint="eastAsia" w:ascii="黑体" w:hAnsi="黑体" w:eastAsia="黑体" w:cs="黑体"/>
          <w:b/>
          <w:color w:val="000000" w:themeColor="text1"/>
          <w:sz w:val="28"/>
          <w:szCs w:val="28"/>
          <w14:textFill>
            <w14:solidFill>
              <w14:schemeClr w14:val="tx1"/>
            </w14:solidFill>
          </w14:textFill>
        </w:rPr>
      </w:pPr>
    </w:p>
    <w:p w14:paraId="3AC4C27F">
      <w:pPr>
        <w:keepNext w:val="0"/>
        <w:keepLines w:val="0"/>
        <w:pageBreakBefore w:val="0"/>
        <w:numPr>
          <w:ilvl w:val="0"/>
          <w:numId w:val="0"/>
        </w:numPr>
        <w:shd w:val="clear"/>
        <w:kinsoku/>
        <w:wordWrap/>
        <w:overflowPunct/>
        <w:topLinePunct w:val="0"/>
        <w:bidi w:val="0"/>
        <w:adjustRightInd w:val="0"/>
        <w:snapToGrid w:val="0"/>
        <w:spacing w:line="360" w:lineRule="auto"/>
        <w:ind w:right="0" w:rightChars="0" w:firstLine="2891" w:firstLineChars="9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val="en-US" w:eastAsia="zh-CN"/>
          <w14:textFill>
            <w14:solidFill>
              <w14:schemeClr w14:val="tx1"/>
            </w14:solidFill>
          </w14:textFill>
        </w:rPr>
        <w:t>第三章</w:t>
      </w:r>
      <w:r>
        <w:rPr>
          <w:rFonts w:hint="eastAsia" w:ascii="黑体" w:hAnsi="黑体" w:eastAsia="黑体" w:cs="黑体"/>
          <w:b/>
          <w:color w:val="000000" w:themeColor="text1"/>
          <w:sz w:val="32"/>
          <w:szCs w:val="32"/>
          <w14:textFill>
            <w14:solidFill>
              <w14:schemeClr w14:val="tx1"/>
            </w14:solidFill>
          </w14:textFill>
        </w:rPr>
        <w:t xml:space="preserve">  评标办法</w:t>
      </w:r>
    </w:p>
    <w:p w14:paraId="2B9F6B83">
      <w:pPr>
        <w:keepNext w:val="0"/>
        <w:keepLines w:val="0"/>
        <w:pageBreakBefore w:val="0"/>
        <w:numPr>
          <w:ilvl w:val="0"/>
          <w:numId w:val="0"/>
        </w:numPr>
        <w:shd w:val="clear"/>
        <w:kinsoku/>
        <w:wordWrap/>
        <w:overflowPunct/>
        <w:topLinePunct w:val="0"/>
        <w:bidi w:val="0"/>
        <w:adjustRightInd w:val="0"/>
        <w:snapToGrid w:val="0"/>
        <w:spacing w:line="360" w:lineRule="auto"/>
        <w:ind w:leftChars="20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000000" w:themeColor="text1"/>
          <w:szCs w:val="21"/>
          <w:highlight w:val="none"/>
          <w:lang w:val="en-US" w:eastAsia="zh-CN"/>
          <w14:textFill>
            <w14:solidFill>
              <w14:schemeClr w14:val="tx1"/>
            </w14:solidFill>
          </w14:textFill>
        </w:rPr>
        <w:t>标</w:t>
      </w:r>
      <w:r>
        <w:rPr>
          <w:rFonts w:hint="eastAsia" w:ascii="仿宋" w:hAnsi="仿宋" w:eastAsia="仿宋" w:cs="仿宋"/>
          <w:color w:val="000000" w:themeColor="text1"/>
          <w:szCs w:val="21"/>
          <w:highlight w:val="none"/>
          <w14:textFill>
            <w14:solidFill>
              <w14:schemeClr w14:val="tx1"/>
            </w14:solidFill>
          </w14:textFill>
        </w:rPr>
        <w:t>办法。</w:t>
      </w:r>
    </w:p>
    <w:p w14:paraId="77A0AFD0">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227" w:name="_Toc19615"/>
      <w:bookmarkStart w:id="228" w:name="_Toc23484"/>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b/>
          <w:color w:val="000000" w:themeColor="text1"/>
          <w:sz w:val="24"/>
          <w:szCs w:val="24"/>
          <w:highlight w:val="none"/>
          <w14:textFill>
            <w14:solidFill>
              <w14:schemeClr w14:val="tx1"/>
            </w14:solidFill>
          </w14:textFill>
        </w:rPr>
        <w:t>总则</w:t>
      </w:r>
      <w:bookmarkEnd w:id="227"/>
      <w:bookmarkEnd w:id="228"/>
    </w:p>
    <w:p w14:paraId="0CC12978">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1.1、原则</w:t>
      </w:r>
    </w:p>
    <w:p w14:paraId="45137A8E">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1.1.1、“公平、公正、择优、效益”为本次评审的基本原则，评标委员会按照这一原则的要求，公正、平等地对待各投标人。同时，在评审中恪守以下原则：</w:t>
      </w:r>
    </w:p>
    <w:p w14:paraId="45FFC62B">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1.1.1.1、统一性原则：评标委员会将按照统一的原则和方法，用统一标准进行评审。</w:t>
      </w:r>
    </w:p>
    <w:p w14:paraId="649FFB53">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1.1.1.2、独立性原则:评审工作在评标委员会内部独立进行，不受外界任何因素的干扰和影响。评标委员会成员对其出具的意见承担个人责任。</w:t>
      </w:r>
      <w:r>
        <w:rPr>
          <w:rFonts w:hint="eastAsia" w:ascii="仿宋" w:hAnsi="仿宋" w:eastAsia="仿宋" w:cs="仿宋"/>
          <w:color w:val="000000" w:themeColor="text1"/>
          <w:kern w:val="0"/>
          <w:szCs w:val="21"/>
          <w:highlight w:val="none"/>
          <w14:textFill>
            <w14:solidFill>
              <w14:schemeClr w14:val="tx1"/>
            </w14:solidFill>
          </w14:textFill>
        </w:rPr>
        <w:t>投标人试图影响或干预评审的任何行为，将导致其丧失投标的资格，并承担相应的法律责任。</w:t>
      </w:r>
    </w:p>
    <w:p w14:paraId="32F33AAA">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1.1.1.3、客观性原则：评标委员会将严格按照招标文件要求，对投标人的投标文件进行认真评审；评标委员会对投标文件的评审仅依据投标文件本身，而不依据招标文件以外的任何因素。</w:t>
      </w:r>
    </w:p>
    <w:p w14:paraId="4D00EC81">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7E10E4B5">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1.1.1.5、综合性原则:评标委员会将综合分析投标人的各项指标，而不以单项指标的优劣评定出中标</w:t>
      </w:r>
      <w:r>
        <w:rPr>
          <w:rFonts w:hint="eastAsia" w:ascii="仿宋" w:hAnsi="仿宋" w:eastAsia="仿宋" w:cs="仿宋"/>
          <w:color w:val="000000" w:themeColor="text1"/>
          <w:szCs w:val="21"/>
          <w:highlight w:val="none"/>
          <w:lang w:val="en-US" w:eastAsia="zh-CN"/>
          <w14:textFill>
            <w14:solidFill>
              <w14:schemeClr w14:val="tx1"/>
            </w14:solidFill>
          </w14:textFill>
        </w:rPr>
        <w:t>人</w:t>
      </w:r>
      <w:r>
        <w:rPr>
          <w:rFonts w:hint="eastAsia" w:ascii="仿宋" w:hAnsi="仿宋" w:eastAsia="仿宋" w:cs="仿宋"/>
          <w:color w:val="000000" w:themeColor="text1"/>
          <w:szCs w:val="21"/>
          <w:highlight w:val="none"/>
          <w14:textFill>
            <w14:solidFill>
              <w14:schemeClr w14:val="tx1"/>
            </w14:solidFill>
          </w14:textFill>
        </w:rPr>
        <w:t>。</w:t>
      </w:r>
    </w:p>
    <w:p w14:paraId="188D6C28">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1.1.2、评标委员会有权对整个投标和评审过程中出现的所有问题，根据《中华人民共和国政府采购法》《中华人民共和国政府采购法实施条例》（第658号）等相关规定进行处理。</w:t>
      </w:r>
    </w:p>
    <w:p w14:paraId="7DA0393D">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1.2、评标委员会职责</w:t>
      </w:r>
    </w:p>
    <w:p w14:paraId="6FAC8C14">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1.2.1、评标委员会独立履行下列职责：</w:t>
      </w:r>
    </w:p>
    <w:p w14:paraId="433A910E">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1.2.1.1、审查、评价投标文件是否符合招标文件的商务、技术、服务等实质性要求；</w:t>
      </w:r>
    </w:p>
    <w:p w14:paraId="0CB2E778">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1.2.1.2、要求投标人对投标文件有关事项作出解释或者澄清；</w:t>
      </w:r>
    </w:p>
    <w:p w14:paraId="7F8AD66E">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1.2.1.3、对通过资格审查和符合性审查的投标人进行技术和商务评审；</w:t>
      </w:r>
    </w:p>
    <w:p w14:paraId="00321261">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1.2.1.4、对投标文件进行比较和评价；</w:t>
      </w:r>
    </w:p>
    <w:p w14:paraId="4AB8183F">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1.2.1.5、推荐中标候选人名单；</w:t>
      </w:r>
    </w:p>
    <w:p w14:paraId="46EB6204">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1.2.1.6、向采购人、采购代理机构或者有关部门报告非法干预评审工作的行为。</w:t>
      </w:r>
    </w:p>
    <w:p w14:paraId="2EEBCB94">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1.2.2、采购代理机构负责组织评审工作并履行下列职责：</w:t>
      </w:r>
    </w:p>
    <w:p w14:paraId="10682B58">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1.2.2.1、核对评标委员会成员身份和采购人代表授权函；</w:t>
      </w:r>
    </w:p>
    <w:p w14:paraId="70149B92">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1.2.2.2、宣布评审纪律；</w:t>
      </w:r>
    </w:p>
    <w:p w14:paraId="39C0172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1.2.2.3、公布响应投标人名单，告知评标委员会成员应当回避的情形；</w:t>
      </w:r>
    </w:p>
    <w:p w14:paraId="50BA8919">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1.2.2.4、组织评标委员会成员推选</w:t>
      </w:r>
      <w:r>
        <w:rPr>
          <w:rFonts w:hint="eastAsia" w:ascii="仿宋" w:hAnsi="仿宋" w:eastAsia="仿宋" w:cs="仿宋"/>
          <w:color w:val="000000" w:themeColor="text1"/>
          <w:sz w:val="21"/>
          <w:szCs w:val="21"/>
          <w:highlight w:val="none"/>
          <w:lang w:val="en-US" w:eastAsia="zh-CN"/>
          <w14:textFill>
            <w14:solidFill>
              <w14:schemeClr w14:val="tx1"/>
            </w14:solidFill>
          </w14:textFill>
        </w:rPr>
        <w:t>评标委员会</w:t>
      </w:r>
      <w:r>
        <w:rPr>
          <w:rFonts w:hint="eastAsia" w:ascii="仿宋" w:hAnsi="仿宋" w:eastAsia="仿宋" w:cs="仿宋"/>
          <w:color w:val="000000" w:themeColor="text1"/>
          <w:sz w:val="21"/>
          <w:szCs w:val="21"/>
          <w:highlight w:val="none"/>
          <w14:textFill>
            <w14:solidFill>
              <w14:schemeClr w14:val="tx1"/>
            </w14:solidFill>
          </w14:textFill>
        </w:rPr>
        <w:t>组长，采购人代表不得担任组长；</w:t>
      </w:r>
    </w:p>
    <w:p w14:paraId="0518F1E4">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1.2.2.5、集中保管评标委员会成员及现场工作人员的通讯工具；</w:t>
      </w:r>
    </w:p>
    <w:p w14:paraId="3C65F4A8">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1.2.2.6、根据评标委员会的要求介绍政府采购相关政策法规、招标文件；</w:t>
      </w:r>
    </w:p>
    <w:p w14:paraId="5C0F9B01">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1.2.2.7、维护评审秩序，监督评标委员会依照招标文件规定的采购程序、评审方法和标准进行独立评审，对采购人代表、评标委员会成员的倾向性言论或违法违规行为及时制止和纠正；</w:t>
      </w:r>
    </w:p>
    <w:p w14:paraId="0DBBAE3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1.2.2.8、核对评审结果，采购过程中提交投标文件或者经评审实质性响应投标文件要求的投标</w:t>
      </w:r>
      <w:r>
        <w:rPr>
          <w:rFonts w:hint="eastAsia" w:ascii="仿宋" w:hAnsi="仿宋" w:eastAsia="仿宋" w:cs="仿宋"/>
          <w:color w:val="000000" w:themeColor="text1"/>
          <w:sz w:val="21"/>
          <w:szCs w:val="21"/>
          <w:highlight w:val="none"/>
          <w:lang w:val="en-US"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000000" w:themeColor="text1"/>
          <w:sz w:val="21"/>
          <w:szCs w:val="21"/>
          <w:highlight w:val="none"/>
          <w:lang w:eastAsia="zh-CN"/>
          <w14:textFill>
            <w14:solidFill>
              <w14:schemeClr w14:val="tx1"/>
            </w14:solidFill>
          </w14:textFill>
        </w:rPr>
        <w:t>人</w:t>
      </w:r>
      <w:r>
        <w:rPr>
          <w:rFonts w:hint="eastAsia" w:ascii="仿宋" w:hAnsi="仿宋" w:eastAsia="仿宋" w:cs="仿宋"/>
          <w:color w:val="000000" w:themeColor="text1"/>
          <w:sz w:val="21"/>
          <w:szCs w:val="21"/>
          <w:highlight w:val="none"/>
          <w14:textFill>
            <w14:solidFill>
              <w14:schemeClr w14:val="tx1"/>
            </w14:solidFill>
          </w14:textFill>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23B36F6C">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1.2.2.9、处理与评审有关的其他事项。</w:t>
      </w:r>
    </w:p>
    <w:p w14:paraId="62071633">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1.2.3、采购人可以在评审前介绍项目背景和采购需求，介绍内容不得含有歧视性、倾向性意见，不得超出招标文件所述范围。介绍应当提交书面介绍材料，并随采购文件一并存档。</w:t>
      </w:r>
    </w:p>
    <w:p w14:paraId="04128F9F">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1.2.4、评标委员会及其成员，在评审中不得有下列行为：</w:t>
      </w:r>
    </w:p>
    <w:p w14:paraId="6CBD21C9">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1.2.4.1、确定参与评审至评审结束前私自接触投标人；</w:t>
      </w:r>
    </w:p>
    <w:p w14:paraId="2F366090">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1.2.4.2、接受投标人提出的与投标文件不一致的澄清或者说明，本章第2.2.1条规定的情形除外；</w:t>
      </w:r>
    </w:p>
    <w:p w14:paraId="0614D292">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1.2.4.3、违反评审纪律发表倾向性意见或者征询采购人的倾向性意见；</w:t>
      </w:r>
    </w:p>
    <w:p w14:paraId="46F66B08">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1.2.4.4、对需要专业判断的主观评审因素协商评分；</w:t>
      </w:r>
    </w:p>
    <w:p w14:paraId="5EA19480">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1.2.4.5、在评审过程中擅离职守，影响评审程序正常进行的；</w:t>
      </w:r>
    </w:p>
    <w:p w14:paraId="21EBFB7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1.2.4.6、记录、复制或者带走任何评审资料；</w:t>
      </w:r>
    </w:p>
    <w:p w14:paraId="79A39C9D">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1.2.4.7、其他不遵守评审纪律的行为；</w:t>
      </w:r>
    </w:p>
    <w:p w14:paraId="008AAA5B">
      <w:pPr>
        <w:pStyle w:val="36"/>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1.2.4.8、评标委员会成员有前款第一至五项行为之一的，其评审意见无效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22DAC9EE">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29" w:name="_Toc19971"/>
      <w:bookmarkStart w:id="230" w:name="_Toc19187"/>
      <w:r>
        <w:rPr>
          <w:rFonts w:hint="eastAsia" w:ascii="仿宋" w:hAnsi="仿宋" w:eastAsia="仿宋" w:cs="仿宋"/>
          <w:b/>
          <w:color w:val="000000" w:themeColor="text1"/>
          <w:sz w:val="24"/>
          <w:szCs w:val="24"/>
          <w:highlight w:val="none"/>
          <w14:textFill>
            <w14:solidFill>
              <w14:schemeClr w14:val="tx1"/>
            </w14:solidFill>
          </w14:textFill>
        </w:rPr>
        <w:t>二、评审步骤与评审方法</w:t>
      </w:r>
      <w:bookmarkEnd w:id="229"/>
      <w:bookmarkEnd w:id="230"/>
    </w:p>
    <w:p w14:paraId="578C8FF1">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000000" w:themeColor="text1"/>
          <w:szCs w:val="21"/>
          <w:highlight w:val="none"/>
          <w14:textFill>
            <w14:solidFill>
              <w14:schemeClr w14:val="tx1"/>
            </w14:solidFill>
          </w14:textFill>
        </w:rPr>
      </w:pPr>
      <w:bookmarkStart w:id="231" w:name="_Toc8827"/>
      <w:r>
        <w:rPr>
          <w:rFonts w:hint="eastAsia" w:ascii="仿宋" w:hAnsi="仿宋" w:eastAsia="仿宋" w:cs="仿宋"/>
          <w:b/>
          <w:color w:val="000000" w:themeColor="text1"/>
          <w:sz w:val="24"/>
          <w:szCs w:val="24"/>
          <w:highlight w:val="none"/>
          <w:lang w:val="en-US" w:eastAsia="zh-CN"/>
          <w14:textFill>
            <w14:solidFill>
              <w14:schemeClr w14:val="tx1"/>
            </w14:solidFill>
          </w14:textFill>
        </w:rPr>
        <w:t>2.1、</w:t>
      </w:r>
      <w:r>
        <w:rPr>
          <w:rFonts w:hint="eastAsia" w:ascii="仿宋" w:hAnsi="仿宋" w:eastAsia="仿宋" w:cs="仿宋"/>
          <w:b/>
          <w:color w:val="000000" w:themeColor="text1"/>
          <w:szCs w:val="21"/>
          <w:highlight w:val="none"/>
          <w14:textFill>
            <w14:solidFill>
              <w14:schemeClr w14:val="tx1"/>
            </w14:solidFill>
          </w14:textFill>
        </w:rPr>
        <w:t>投标文件</w:t>
      </w:r>
      <w:r>
        <w:rPr>
          <w:rFonts w:hint="eastAsia" w:ascii="仿宋" w:hAnsi="仿宋" w:eastAsia="仿宋" w:cs="仿宋"/>
          <w:b/>
          <w:color w:val="000000" w:themeColor="text1"/>
          <w:szCs w:val="21"/>
          <w:highlight w:val="none"/>
          <w:lang w:val="en-US" w:eastAsia="zh-CN"/>
          <w14:textFill>
            <w14:solidFill>
              <w14:schemeClr w14:val="tx1"/>
            </w14:solidFill>
          </w14:textFill>
        </w:rPr>
        <w:t>资格</w:t>
      </w:r>
      <w:r>
        <w:rPr>
          <w:rFonts w:hint="eastAsia" w:ascii="仿宋" w:hAnsi="仿宋" w:eastAsia="仿宋" w:cs="仿宋"/>
          <w:b/>
          <w:color w:val="000000" w:themeColor="text1"/>
          <w:szCs w:val="21"/>
          <w:highlight w:val="none"/>
          <w14:textFill>
            <w14:solidFill>
              <w14:schemeClr w14:val="tx1"/>
            </w14:solidFill>
          </w14:textFill>
        </w:rPr>
        <w:t>审查</w:t>
      </w:r>
      <w:bookmarkEnd w:id="231"/>
    </w:p>
    <w:p w14:paraId="541065E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审查标准如下：</w:t>
      </w:r>
    </w:p>
    <w:p w14:paraId="12B8A80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资格审查小组将按下表所列举的审查标准对</w:t>
      </w:r>
      <w:r>
        <w:rPr>
          <w:rFonts w:hint="eastAsia" w:ascii="仿宋" w:hAnsi="仿宋" w:eastAsia="仿宋" w:cs="仿宋"/>
          <w:color w:val="000000" w:themeColor="text1"/>
          <w:kern w:val="0"/>
          <w:sz w:val="21"/>
          <w:szCs w:val="21"/>
          <w:lang w:val="en-US" w:eastAsia="zh-CN"/>
          <w14:textFill>
            <w14:solidFill>
              <w14:schemeClr w14:val="tx1"/>
            </w14:solidFill>
          </w14:textFill>
        </w:rPr>
        <w:t>投标人</w:t>
      </w:r>
      <w:r>
        <w:rPr>
          <w:rFonts w:hint="eastAsia" w:ascii="仿宋" w:hAnsi="仿宋" w:eastAsia="仿宋" w:cs="仿宋"/>
          <w:color w:val="000000" w:themeColor="text1"/>
          <w:kern w:val="0"/>
          <w:sz w:val="21"/>
          <w:szCs w:val="21"/>
          <w14:textFill>
            <w14:solidFill>
              <w14:schemeClr w14:val="tx1"/>
            </w14:solidFill>
          </w14:textFill>
        </w:rPr>
        <w:t>的基本资格条件进行</w:t>
      </w:r>
      <w:r>
        <w:rPr>
          <w:rFonts w:hint="eastAsia" w:ascii="仿宋" w:hAnsi="仿宋" w:eastAsia="仿宋" w:cs="仿宋"/>
          <w:bCs/>
          <w:color w:val="000000" w:themeColor="text1"/>
          <w:sz w:val="21"/>
          <w:szCs w:val="21"/>
          <w14:textFill>
            <w14:solidFill>
              <w14:schemeClr w14:val="tx1"/>
            </w14:solidFill>
          </w14:textFill>
        </w:rPr>
        <w:t>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有一项不合格，即判定其基本资格条件审查结果为不合格，将不具备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eastAsia="zh-CN"/>
          <w14:textFill>
            <w14:solidFill>
              <w14:schemeClr w14:val="tx1"/>
            </w14:solidFill>
          </w14:textFill>
        </w:rPr>
        <w:t>投标文件</w:t>
      </w:r>
      <w:r>
        <w:rPr>
          <w:rFonts w:hint="eastAsia" w:ascii="仿宋" w:hAnsi="仿宋" w:eastAsia="仿宋" w:cs="仿宋"/>
          <w:color w:val="000000" w:themeColor="text1"/>
          <w:kern w:val="0"/>
          <w:sz w:val="21"/>
          <w:szCs w:val="21"/>
          <w14:textFill>
            <w14:solidFill>
              <w14:schemeClr w14:val="tx1"/>
            </w14:solidFill>
          </w14:textFill>
        </w:rPr>
        <w:t>无效。</w:t>
      </w:r>
    </w:p>
    <w:tbl>
      <w:tblPr>
        <w:tblStyle w:val="42"/>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78"/>
        <w:gridCol w:w="6665"/>
      </w:tblGrid>
      <w:tr w14:paraId="0794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9" w:type="dxa"/>
            <w:vAlign w:val="center"/>
          </w:tcPr>
          <w:p w14:paraId="507FBE4F">
            <w:pPr>
              <w:shd w:val="clear"/>
              <w:tabs>
                <w:tab w:val="left" w:pos="0"/>
              </w:tabs>
              <w:adjustRightInd w:val="0"/>
              <w:snapToGrid w:val="0"/>
              <w:spacing w:line="240" w:lineRule="auto"/>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序号</w:t>
            </w:r>
          </w:p>
        </w:tc>
        <w:tc>
          <w:tcPr>
            <w:tcW w:w="1678" w:type="dxa"/>
            <w:vAlign w:val="center"/>
          </w:tcPr>
          <w:p w14:paraId="002CDB82">
            <w:pPr>
              <w:shd w:val="clear"/>
              <w:tabs>
                <w:tab w:val="left" w:pos="0"/>
              </w:tabs>
              <w:adjustRightInd w:val="0"/>
              <w:snapToGrid w:val="0"/>
              <w:spacing w:line="240" w:lineRule="auto"/>
              <w:ind w:firstLine="211" w:firstLineChars="100"/>
              <w:jc w:val="both"/>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审查因素</w:t>
            </w:r>
          </w:p>
        </w:tc>
        <w:tc>
          <w:tcPr>
            <w:tcW w:w="6665" w:type="dxa"/>
            <w:vAlign w:val="center"/>
          </w:tcPr>
          <w:p w14:paraId="26D60ABA">
            <w:pPr>
              <w:shd w:val="clear"/>
              <w:tabs>
                <w:tab w:val="left" w:pos="0"/>
              </w:tabs>
              <w:adjustRightInd w:val="0"/>
              <w:snapToGrid w:val="0"/>
              <w:spacing w:line="240" w:lineRule="auto"/>
              <w:ind w:firstLine="422" w:firstLineChars="200"/>
              <w:jc w:val="center"/>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审查标准</w:t>
            </w:r>
          </w:p>
        </w:tc>
      </w:tr>
      <w:tr w14:paraId="44F6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26DF819D">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1678" w:type="dxa"/>
            <w:vMerge w:val="restart"/>
            <w:vAlign w:val="center"/>
          </w:tcPr>
          <w:p w14:paraId="588B17AE">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满足《中华人民共和国政府采购法》第二十二条规定</w:t>
            </w:r>
          </w:p>
        </w:tc>
        <w:tc>
          <w:tcPr>
            <w:tcW w:w="6665" w:type="dxa"/>
            <w:vAlign w:val="center"/>
          </w:tcPr>
          <w:p w14:paraId="05808047">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4AC1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6771D8BF">
            <w:pPr>
              <w:shd w:val="clear"/>
              <w:tabs>
                <w:tab w:val="left" w:pos="0"/>
              </w:tabs>
              <w:adjustRightInd w:val="0"/>
              <w:snapToGrid w:val="0"/>
              <w:spacing w:line="240" w:lineRule="auto"/>
              <w:ind w:firstLine="210" w:firstLineChars="100"/>
              <w:jc w:val="both"/>
              <w:outlineLvl w:val="9"/>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1678" w:type="dxa"/>
            <w:vMerge w:val="continue"/>
            <w:vAlign w:val="center"/>
          </w:tcPr>
          <w:p w14:paraId="2D255548">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37DE0554">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FFFFFF"/>
                <w:lang w:eastAsia="zh-CN"/>
                <w14:textFill>
                  <w14:solidFill>
                    <w14:schemeClr w14:val="tx1"/>
                  </w14:solidFill>
                </w14:textFill>
              </w:rPr>
              <w:t>投标人须提供《汉中市政府采购投标人资格承诺函》。</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1EC7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restart"/>
            <w:vAlign w:val="center"/>
          </w:tcPr>
          <w:p w14:paraId="2B24804D">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678" w:type="dxa"/>
            <w:vMerge w:val="restart"/>
            <w:vAlign w:val="center"/>
          </w:tcPr>
          <w:p w14:paraId="27F9DDCB">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本项目特定资格要求</w:t>
            </w:r>
          </w:p>
        </w:tc>
        <w:tc>
          <w:tcPr>
            <w:tcW w:w="6665" w:type="dxa"/>
            <w:vAlign w:val="center"/>
          </w:tcPr>
          <w:p w14:paraId="4489747F">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1"/>
                <w:szCs w:val="21"/>
                <w:u w:val="none"/>
                <w:lang w:val="en-US" w:eastAsia="zh-CN"/>
                <w14:textFill>
                  <w14:solidFill>
                    <w14:schemeClr w14:val="tx1"/>
                  </w14:solidFill>
                </w14:textFill>
              </w:rPr>
              <w:t>（原件）</w:t>
            </w:r>
          </w:p>
        </w:tc>
      </w:tr>
      <w:tr w14:paraId="2CEF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Merge w:val="continue"/>
            <w:vAlign w:val="center"/>
          </w:tcPr>
          <w:p w14:paraId="523F74A9">
            <w:pPr>
              <w:shd w:val="clear"/>
              <w:tabs>
                <w:tab w:val="left" w:pos="0"/>
              </w:tabs>
              <w:adjustRightInd w:val="0"/>
              <w:snapToGrid w:val="0"/>
              <w:spacing w:line="240" w:lineRule="auto"/>
              <w:ind w:firstLine="210" w:firstLineChars="100"/>
              <w:jc w:val="both"/>
              <w:outlineLvl w:val="9"/>
              <w:rPr>
                <w:rFonts w:hint="eastAsia" w:ascii="仿宋" w:hAnsi="仿宋" w:eastAsia="仿宋" w:cs="仿宋"/>
                <w:color w:val="000000" w:themeColor="text1"/>
                <w:sz w:val="21"/>
                <w:szCs w:val="21"/>
                <w:lang w:val="en-US" w:eastAsia="zh-CN"/>
                <w14:textFill>
                  <w14:solidFill>
                    <w14:schemeClr w14:val="tx1"/>
                  </w14:solidFill>
                </w14:textFill>
              </w:rPr>
            </w:pPr>
          </w:p>
        </w:tc>
        <w:tc>
          <w:tcPr>
            <w:tcW w:w="1678" w:type="dxa"/>
            <w:vMerge w:val="continue"/>
            <w:vAlign w:val="center"/>
          </w:tcPr>
          <w:p w14:paraId="5F4C19A1">
            <w:pPr>
              <w:shd w:val="clear"/>
              <w:tabs>
                <w:tab w:val="left" w:pos="0"/>
              </w:tabs>
              <w:adjustRightInd w:val="0"/>
              <w:snapToGrid w:val="0"/>
              <w:spacing w:line="240" w:lineRule="auto"/>
              <w:jc w:val="center"/>
              <w:outlineLvl w:val="9"/>
              <w:rPr>
                <w:rFonts w:hint="eastAsia" w:ascii="仿宋" w:hAnsi="仿宋" w:eastAsia="仿宋" w:cs="仿宋"/>
                <w:color w:val="000000" w:themeColor="text1"/>
                <w:sz w:val="21"/>
                <w:szCs w:val="21"/>
                <w:lang w:val="en-US" w:eastAsia="zh-CN"/>
                <w14:textFill>
                  <w14:solidFill>
                    <w14:schemeClr w14:val="tx1"/>
                  </w14:solidFill>
                </w14:textFill>
              </w:rPr>
            </w:pPr>
          </w:p>
        </w:tc>
        <w:tc>
          <w:tcPr>
            <w:tcW w:w="6665" w:type="dxa"/>
            <w:vAlign w:val="center"/>
          </w:tcPr>
          <w:p w14:paraId="7BB4E2D3">
            <w:pPr>
              <w:shd w:val="clear"/>
              <w:tabs>
                <w:tab w:val="left" w:pos="0"/>
              </w:tabs>
              <w:adjustRightInd w:val="0"/>
              <w:snapToGrid w:val="0"/>
              <w:spacing w:line="240" w:lineRule="auto"/>
              <w:outlineLvl w:val="9"/>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投标人为生产厂家的须提供《食品生产许可证》及《食品经营许可证》；投标人为代理商的须提供《食品经营许可证》或食品经营备案证明。</w:t>
            </w:r>
            <w:r>
              <w:rPr>
                <w:rFonts w:hint="eastAsia" w:ascii="仿宋" w:hAnsi="仿宋" w:eastAsia="仿宋" w:cs="仿宋"/>
                <w:b/>
                <w:color w:val="000000" w:themeColor="text1"/>
                <w:sz w:val="21"/>
                <w:szCs w:val="21"/>
                <w:u w:val="none"/>
                <w14:textFill>
                  <w14:solidFill>
                    <w14:schemeClr w14:val="tx1"/>
                  </w14:solidFill>
                </w14:textFill>
              </w:rPr>
              <w:t>（材料应清晰可辨，加盖公章）</w:t>
            </w:r>
          </w:p>
        </w:tc>
      </w:tr>
      <w:tr w14:paraId="4B8E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2" w:type="dxa"/>
            <w:gridSpan w:val="3"/>
            <w:vAlign w:val="center"/>
          </w:tcPr>
          <w:p w14:paraId="153C5984">
            <w:pPr>
              <w:shd w:val="clear"/>
              <w:tabs>
                <w:tab w:val="left" w:pos="0"/>
              </w:tabs>
              <w:adjustRightInd w:val="0"/>
              <w:snapToGrid w:val="0"/>
              <w:spacing w:line="240" w:lineRule="auto"/>
              <w:ind w:firstLine="422" w:firstLineChars="200"/>
              <w:outlineLvl w:val="9"/>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注：投标人未提供资格信用承诺函的，应当按照《中华人民共和国政府采购法》及其实施条例等相关法律法规规定提供相应的证明材料。相应证明材料如下：</w:t>
            </w:r>
          </w:p>
          <w:p w14:paraId="0C44519D">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财务状况报告: 提供 2022年度或2023 年度经审计的完整有效财务报告，或其响应文件递交截止时间前三个月内基本开户银行出具的资信证明，或财政部门认可的政府采购专业担保机构出具的担保函 ( 以上三种任意一项即可 )。</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3FD25A8D">
            <w:pPr>
              <w:bidi w:val="0"/>
              <w:spacing w:line="240" w:lineRule="auto"/>
              <w:ind w:firstLine="420" w:firstLineChars="200"/>
              <w:outlineLvl w:val="9"/>
              <w:rPr>
                <w:rFonts w:hint="eastAsia"/>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税收缴纳证明:提供自202</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月1日以来已缴纳的任意1个月的依法缴纳税收的相关凭据(时间以税款所属日期为准)，凭据应有税务机关或代收机关的公章或业务专用章; 依法免税或无须缴纳税收的投标人，应提供相应证明文件。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313CE63D">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 xml:space="preserve">.社保缴纳证明: 提供自 </w:t>
            </w:r>
            <w:r>
              <w:rPr>
                <w:rFonts w:hint="eastAsia" w:ascii="仿宋" w:hAnsi="仿宋" w:eastAsia="仿宋" w:cs="仿宋"/>
                <w:color w:val="000000" w:themeColor="text1"/>
                <w:sz w:val="21"/>
                <w:szCs w:val="21"/>
                <w:lang w:eastAsia="zh-CN"/>
                <w14:textFill>
                  <w14:solidFill>
                    <w14:schemeClr w14:val="tx1"/>
                  </w14:solidFill>
                </w14:textFill>
              </w:rPr>
              <w:t>202</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月1日</w:t>
            </w:r>
            <w:r>
              <w:rPr>
                <w:rFonts w:hint="eastAsia" w:ascii="仿宋" w:hAnsi="仿宋" w:eastAsia="仿宋" w:cs="仿宋"/>
                <w:color w:val="000000" w:themeColor="text1"/>
                <w:sz w:val="21"/>
                <w:szCs w:val="21"/>
                <w14:textFill>
                  <w14:solidFill>
                    <w14:schemeClr w14:val="tx1"/>
                  </w14:solidFill>
                </w14:textFill>
              </w:rPr>
              <w:t>以来已缴存的任意 1 个月的社会保障资金缴存单据或社保机构开具的社会保险参保缴费情况证明; 依法不需要缴纳社会保障资金的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应提供相关证明文件。</w:t>
            </w:r>
            <w:r>
              <w:rPr>
                <w:rFonts w:hint="eastAsia" w:ascii="仿宋" w:hAnsi="仿宋" w:eastAsia="仿宋" w:cs="仿宋"/>
                <w:b/>
                <w:bCs/>
                <w:color w:val="000000" w:themeColor="text1"/>
                <w:sz w:val="21"/>
                <w:szCs w:val="21"/>
                <w14:textFill>
                  <w14:solidFill>
                    <w14:schemeClr w14:val="tx1"/>
                  </w14:solidFill>
                </w14:textFill>
              </w:rPr>
              <w:t>（材料应清晰可辨，加盖公章）</w:t>
            </w:r>
          </w:p>
          <w:p w14:paraId="5BBFA8E7">
            <w:pPr>
              <w:bidi w:val="0"/>
              <w:spacing w:line="240" w:lineRule="auto"/>
              <w:ind w:firstLine="420" w:firstLineChars="200"/>
              <w:outlineLvl w:val="9"/>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具有履行合同所必需的设备和专业技术能力的书面承诺。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3AF7B081">
            <w:pPr>
              <w:bidi w:val="0"/>
              <w:spacing w:line="240" w:lineRule="auto"/>
              <w:ind w:firstLine="420" w:firstLineChars="200"/>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提供参加政府采购活动前三年内在经营活动中没有重大违法记录的书面声明。</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bCs/>
                <w:color w:val="000000" w:themeColor="text1"/>
                <w:sz w:val="21"/>
                <w:szCs w:val="21"/>
                <w:lang w:eastAsia="zh-CN"/>
                <w14:textFill>
                  <w14:solidFill>
                    <w14:schemeClr w14:val="tx1"/>
                  </w14:solidFill>
                </w14:textFill>
              </w:rPr>
              <w:t>响应文件</w:t>
            </w:r>
            <w:r>
              <w:rPr>
                <w:rFonts w:hint="eastAsia" w:ascii="仿宋" w:hAnsi="仿宋" w:eastAsia="仿宋" w:cs="仿宋"/>
                <w:b/>
                <w:bCs/>
                <w:color w:val="000000" w:themeColor="text1"/>
                <w:sz w:val="21"/>
                <w:szCs w:val="21"/>
                <w14:textFill>
                  <w14:solidFill>
                    <w14:schemeClr w14:val="tx1"/>
                  </w14:solidFill>
                </w14:textFill>
              </w:rPr>
              <w:t>内附原件，格式内容自拟，加盖公章）</w:t>
            </w:r>
          </w:p>
          <w:p w14:paraId="687E82DF">
            <w:pPr>
              <w:bidi w:val="0"/>
              <w:spacing w:line="240" w:lineRule="auto"/>
              <w:ind w:firstLine="420" w:firstLineChars="200"/>
              <w:outlineLvl w:val="9"/>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b/>
                <w:bCs/>
                <w:color w:val="000000" w:themeColor="text1"/>
                <w:sz w:val="21"/>
                <w:szCs w:val="21"/>
                <w14:textFill>
                  <w14:solidFill>
                    <w14:schemeClr w14:val="tx1"/>
                  </w14:solidFill>
                </w14:textFill>
              </w:rPr>
              <w:t>（★</w:t>
            </w:r>
            <w:r>
              <w:rPr>
                <w:rFonts w:hint="eastAsia" w:ascii="仿宋" w:hAnsi="仿宋" w:eastAsia="仿宋" w:cs="仿宋"/>
                <w:b/>
                <w:color w:val="000000" w:themeColor="text1"/>
                <w:sz w:val="21"/>
                <w:szCs w:val="21"/>
                <w:u w:val="none"/>
                <w14:textFill>
                  <w14:solidFill>
                    <w14:schemeClr w14:val="tx1"/>
                  </w14:solidFill>
                </w14:textFill>
              </w:rPr>
              <w:t>此项由采购代理机构在</w:t>
            </w:r>
            <w:r>
              <w:rPr>
                <w:rFonts w:hint="eastAsia" w:ascii="仿宋" w:hAnsi="仿宋" w:eastAsia="仿宋" w:cs="仿宋"/>
                <w:b/>
                <w:color w:val="000000" w:themeColor="text1"/>
                <w:sz w:val="21"/>
                <w:szCs w:val="21"/>
                <w:u w:val="none"/>
                <w:lang w:eastAsia="zh-CN"/>
                <w14:textFill>
                  <w14:solidFill>
                    <w14:schemeClr w14:val="tx1"/>
                  </w14:solidFill>
                </w14:textFill>
              </w:rPr>
              <w:t>投标</w:t>
            </w:r>
            <w:r>
              <w:rPr>
                <w:rFonts w:hint="eastAsia" w:ascii="仿宋" w:hAnsi="仿宋" w:eastAsia="仿宋" w:cs="仿宋"/>
                <w:b/>
                <w:color w:val="000000" w:themeColor="text1"/>
                <w:sz w:val="21"/>
                <w:szCs w:val="21"/>
                <w:u w:val="none"/>
                <w14:textFill>
                  <w14:solidFill>
                    <w14:schemeClr w14:val="tx1"/>
                  </w14:solidFill>
                </w14:textFill>
              </w:rPr>
              <w:t>截止时间前3日内查询，查询结果以电子图片或者纸质版存档，如相关失信记录已失效，</w:t>
            </w:r>
            <w:r>
              <w:rPr>
                <w:rFonts w:hint="eastAsia" w:ascii="仿宋" w:hAnsi="仿宋" w:eastAsia="仿宋" w:cs="仿宋"/>
                <w:b/>
                <w:color w:val="000000" w:themeColor="text1"/>
                <w:sz w:val="21"/>
                <w:szCs w:val="21"/>
                <w:u w:val="none"/>
                <w:lang w:eastAsia="zh-CN"/>
                <w14:textFill>
                  <w14:solidFill>
                    <w14:schemeClr w14:val="tx1"/>
                  </w14:solidFill>
                </w14:textFill>
              </w:rPr>
              <w:t>投标人</w:t>
            </w:r>
            <w:r>
              <w:rPr>
                <w:rFonts w:hint="eastAsia" w:ascii="仿宋" w:hAnsi="仿宋" w:eastAsia="仿宋" w:cs="仿宋"/>
                <w:b/>
                <w:color w:val="000000" w:themeColor="text1"/>
                <w:sz w:val="21"/>
                <w:szCs w:val="21"/>
                <w:u w:val="none"/>
                <w14:textFill>
                  <w14:solidFill>
                    <w14:schemeClr w14:val="tx1"/>
                  </w14:solidFill>
                </w14:textFill>
              </w:rPr>
              <w:t>需提供相关证明资料，若没有则无需提供</w:t>
            </w:r>
            <w:r>
              <w:rPr>
                <w:rFonts w:hint="eastAsia" w:ascii="仿宋" w:hAnsi="仿宋" w:eastAsia="仿宋" w:cs="仿宋"/>
                <w:b/>
                <w:color w:val="000000" w:themeColor="text1"/>
                <w:sz w:val="21"/>
                <w:szCs w:val="21"/>
                <w:u w:val="none"/>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w:t>
            </w:r>
          </w:p>
        </w:tc>
      </w:tr>
    </w:tbl>
    <w:p w14:paraId="6537334F">
      <w:pPr>
        <w:keepNext w:val="0"/>
        <w:keepLines w:val="0"/>
        <w:pageBreakBefore w:val="0"/>
        <w:widowControl w:val="0"/>
        <w:tabs>
          <w:tab w:val="left" w:pos="0"/>
        </w:tabs>
        <w:kinsoku/>
        <w:wordWrap/>
        <w:overflowPunct/>
        <w:topLinePunct w:val="0"/>
        <w:autoSpaceDE/>
        <w:autoSpaceDN/>
        <w:bidi w:val="0"/>
        <w:adjustRightInd w:val="0"/>
        <w:snapToGrid w:val="0"/>
        <w:spacing w:before="0" w:line="360" w:lineRule="auto"/>
        <w:textAlignment w:val="auto"/>
        <w:rPr>
          <w:rFonts w:hint="eastAsia" w:ascii="仿宋" w:hAnsi="仿宋" w:eastAsia="仿宋" w:cs="仿宋"/>
          <w:b/>
          <w:color w:val="000000" w:themeColor="text1"/>
          <w:kern w:val="0"/>
          <w:sz w:val="21"/>
          <w:szCs w:val="21"/>
          <w:lang w:eastAsia="zh-CN"/>
          <w14:textFill>
            <w14:solidFill>
              <w14:schemeClr w14:val="tx1"/>
            </w14:solidFill>
          </w14:textFill>
        </w:rPr>
      </w:pPr>
      <w:r>
        <w:rPr>
          <w:rFonts w:hint="eastAsia" w:ascii="仿宋" w:hAnsi="仿宋" w:eastAsia="仿宋" w:cs="仿宋"/>
          <w:b/>
          <w:color w:val="000000" w:themeColor="text1"/>
          <w:kern w:val="0"/>
          <w:sz w:val="21"/>
          <w:szCs w:val="21"/>
          <w:lang w:val="en-US" w:eastAsia="zh-CN"/>
          <w14:textFill>
            <w14:solidFill>
              <w14:schemeClr w14:val="tx1"/>
            </w14:solidFill>
          </w14:textFill>
        </w:rPr>
        <w:t>2.1.1、</w:t>
      </w:r>
      <w:r>
        <w:rPr>
          <w:rFonts w:hint="eastAsia" w:ascii="仿宋" w:hAnsi="仿宋" w:eastAsia="仿宋" w:cs="仿宋"/>
          <w:b/>
          <w:color w:val="000000" w:themeColor="text1"/>
          <w:kern w:val="0"/>
          <w:sz w:val="21"/>
          <w:szCs w:val="21"/>
          <w14:textFill>
            <w14:solidFill>
              <w14:schemeClr w14:val="tx1"/>
            </w14:solidFill>
          </w14:textFill>
        </w:rPr>
        <w:t>落实政府采购政策资格审查</w:t>
      </w:r>
      <w:r>
        <w:rPr>
          <w:rFonts w:hint="eastAsia" w:ascii="仿宋" w:hAnsi="仿宋" w:eastAsia="仿宋" w:cs="仿宋"/>
          <w:b/>
          <w:color w:val="000000" w:themeColor="text1"/>
          <w:kern w:val="0"/>
          <w:sz w:val="21"/>
          <w:szCs w:val="21"/>
          <w:lang w:eastAsia="zh-CN"/>
          <w14:textFill>
            <w14:solidFill>
              <w14:schemeClr w14:val="tx1"/>
            </w14:solidFill>
          </w14:textFill>
        </w:rPr>
        <w:t>：</w:t>
      </w:r>
    </w:p>
    <w:p w14:paraId="6114C6BA">
      <w:pPr>
        <w:tabs>
          <w:tab w:val="left" w:pos="1080"/>
          <w:tab w:val="left" w:pos="1155"/>
        </w:tabs>
        <w:adjustRightInd w:val="0"/>
        <w:snapToGrid w:val="0"/>
        <w:spacing w:line="360" w:lineRule="auto"/>
        <w:ind w:firstLine="440" w:firstLineChars="200"/>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本合同包</w:t>
      </w:r>
      <w:r>
        <w:rPr>
          <w:rFonts w:hint="eastAsia" w:ascii="仿宋" w:hAnsi="仿宋" w:eastAsia="仿宋" w:cs="仿宋"/>
          <w:color w:val="000000" w:themeColor="text1"/>
          <w:sz w:val="22"/>
          <w:szCs w:val="22"/>
          <w14:textFill>
            <w14:solidFill>
              <w14:schemeClr w14:val="tx1"/>
            </w14:solidFill>
          </w14:textFill>
        </w:rPr>
        <w:t>专门面向中小企业采购，提供服务的投标人应为中型、小型、微型企业或监狱企业或残疾人福利性单位。投标人为中型、小型、微型企业的提供《中小企业声明函》，投标人为监狱企业的，应提供监狱企业的证明文件；投标人为残疾人福利性单位的，应提供《残疾人福利性单位声明函》(监狱企业或残疾人福利性单位视同中型、小型、微型企业)。</w:t>
      </w:r>
    </w:p>
    <w:p w14:paraId="077AAB93">
      <w:pPr>
        <w:tabs>
          <w:tab w:val="left" w:pos="1080"/>
          <w:tab w:val="left" w:pos="1155"/>
        </w:tabs>
        <w:adjustRightInd w:val="0"/>
        <w:snapToGrid w:val="0"/>
        <w:spacing w:line="360" w:lineRule="auto"/>
        <w:ind w:firstLine="440" w:firstLineChars="200"/>
        <w:outlineLvl w:val="9"/>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备注：</w:t>
      </w:r>
      <w:r>
        <w:rPr>
          <w:rFonts w:hint="eastAsia" w:ascii="仿宋" w:hAnsi="仿宋" w:eastAsia="仿宋" w:cs="仿宋"/>
          <w:color w:val="000000" w:themeColor="text1"/>
          <w:sz w:val="22"/>
          <w:szCs w:val="22"/>
          <w14:textFill>
            <w14:solidFill>
              <w14:schemeClr w14:val="tx1"/>
            </w14:solidFill>
          </w14:textFill>
        </w:rPr>
        <w:t>（1）参加政府采购活动的中小企业提交的声明函应当按</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文件中（第</w:t>
      </w:r>
      <w:r>
        <w:rPr>
          <w:rFonts w:hint="eastAsia" w:ascii="仿宋" w:hAnsi="仿宋" w:eastAsia="仿宋" w:cs="仿宋"/>
          <w:color w:val="000000" w:themeColor="text1"/>
          <w:sz w:val="22"/>
          <w:szCs w:val="22"/>
          <w:lang w:val="en-US" w:eastAsia="zh-CN"/>
          <w14:textFill>
            <w14:solidFill>
              <w14:schemeClr w14:val="tx1"/>
            </w14:solidFill>
          </w14:textFill>
        </w:rPr>
        <w:t>六</w:t>
      </w:r>
      <w:r>
        <w:rPr>
          <w:rFonts w:hint="eastAsia" w:ascii="仿宋" w:hAnsi="仿宋" w:eastAsia="仿宋" w:cs="仿宋"/>
          <w:color w:val="000000" w:themeColor="text1"/>
          <w:sz w:val="22"/>
          <w:szCs w:val="22"/>
          <w14:textFill>
            <w14:solidFill>
              <w14:schemeClr w14:val="tx1"/>
            </w14:solidFill>
          </w14:textFill>
        </w:rPr>
        <w:t xml:space="preserve">章 </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文件格式及构成）规定的统一格式填写，信息完整，不得随意增删或修改其内容。未按规定格式填写、信息不完整的声明函将其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文件作为无效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p>
    <w:p w14:paraId="543749E6">
      <w:pPr>
        <w:tabs>
          <w:tab w:val="left" w:pos="1080"/>
          <w:tab w:val="left" w:pos="1155"/>
        </w:tabs>
        <w:adjustRightInd w:val="0"/>
        <w:snapToGrid w:val="0"/>
        <w:spacing w:line="360" w:lineRule="auto"/>
        <w:ind w:firstLine="1100" w:firstLineChars="500"/>
        <w:outlineLvl w:val="9"/>
        <w:rPr>
          <w:rFonts w:hint="eastAsia" w:ascii="仿宋" w:hAnsi="仿宋" w:eastAsia="仿宋" w:cs="仿宋"/>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（2）《中小企业声明函》落款、盖章的主体应当是参加政府采购活动的</w:t>
      </w:r>
      <w:r>
        <w:rPr>
          <w:rFonts w:hint="eastAsia" w:ascii="仿宋" w:hAnsi="仿宋" w:eastAsia="仿宋" w:cs="仿宋"/>
          <w:color w:val="000000" w:themeColor="text1"/>
          <w:sz w:val="22"/>
          <w:szCs w:val="22"/>
          <w:lang w:val="en-US" w:eastAsia="zh-CN"/>
          <w14:textFill>
            <w14:solidFill>
              <w14:schemeClr w14:val="tx1"/>
            </w14:solidFill>
          </w14:textFill>
        </w:rPr>
        <w:t>投标人</w:t>
      </w:r>
      <w:r>
        <w:rPr>
          <w:rFonts w:hint="eastAsia" w:ascii="仿宋" w:hAnsi="仿宋" w:eastAsia="仿宋" w:cs="仿宋"/>
          <w:color w:val="000000" w:themeColor="text1"/>
          <w:sz w:val="22"/>
          <w:szCs w:val="22"/>
          <w14:textFill>
            <w14:solidFill>
              <w14:schemeClr w14:val="tx1"/>
            </w14:solidFill>
          </w14:textFill>
        </w:rPr>
        <w:t>，且由其承担保证信息真实性的法律责任。落款、盖章的主体与获取</w:t>
      </w:r>
      <w:r>
        <w:rPr>
          <w:rFonts w:hint="eastAsia" w:ascii="仿宋" w:hAnsi="仿宋" w:eastAsia="仿宋" w:cs="仿宋"/>
          <w:color w:val="000000" w:themeColor="text1"/>
          <w:sz w:val="22"/>
          <w:szCs w:val="22"/>
          <w:lang w:val="en-US" w:eastAsia="zh-CN"/>
          <w14:textFill>
            <w14:solidFill>
              <w14:schemeClr w14:val="tx1"/>
            </w14:solidFill>
          </w14:textFill>
        </w:rPr>
        <w:t>招标</w:t>
      </w:r>
      <w:r>
        <w:rPr>
          <w:rFonts w:hint="eastAsia" w:ascii="仿宋" w:hAnsi="仿宋" w:eastAsia="仿宋" w:cs="仿宋"/>
          <w:color w:val="000000" w:themeColor="text1"/>
          <w:sz w:val="22"/>
          <w:szCs w:val="22"/>
          <w14:textFill>
            <w14:solidFill>
              <w14:schemeClr w14:val="tx1"/>
            </w14:solidFill>
          </w14:textFill>
        </w:rPr>
        <w:t>文件的</w:t>
      </w:r>
      <w:r>
        <w:rPr>
          <w:rFonts w:hint="eastAsia" w:ascii="仿宋" w:hAnsi="仿宋" w:eastAsia="仿宋" w:cs="仿宋"/>
          <w:color w:val="000000" w:themeColor="text1"/>
          <w:sz w:val="22"/>
          <w:szCs w:val="22"/>
          <w:lang w:val="en-US" w:eastAsia="zh-CN"/>
          <w14:textFill>
            <w14:solidFill>
              <w14:schemeClr w14:val="tx1"/>
            </w14:solidFill>
          </w14:textFill>
        </w:rPr>
        <w:t>投标人</w:t>
      </w:r>
      <w:r>
        <w:rPr>
          <w:rFonts w:hint="eastAsia" w:ascii="仿宋" w:hAnsi="仿宋" w:eastAsia="仿宋" w:cs="仿宋"/>
          <w:color w:val="000000" w:themeColor="text1"/>
          <w:sz w:val="22"/>
          <w:szCs w:val="22"/>
          <w14:textFill>
            <w14:solidFill>
              <w14:schemeClr w14:val="tx1"/>
            </w14:solidFill>
          </w14:textFill>
        </w:rPr>
        <w:t>不一致时，将其</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文件作为无效</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文件处理。</w:t>
      </w:r>
    </w:p>
    <w:p w14:paraId="118410E3">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kern w:val="0"/>
          <w:sz w:val="21"/>
          <w:szCs w:val="21"/>
          <w:lang w:val="en-US" w:eastAsia="zh-CN"/>
          <w14:textFill>
            <w14:solidFill>
              <w14:schemeClr w14:val="tx1"/>
            </w14:solidFill>
          </w14:textFill>
        </w:rPr>
        <w:t>2.1.2、投标人必须提供有效的《中小企业声明函》，才可以通过资格审查。</w:t>
      </w:r>
      <w:r>
        <w:rPr>
          <w:rFonts w:hint="eastAsia" w:ascii="仿宋" w:hAnsi="仿宋" w:eastAsia="仿宋" w:cs="仿宋"/>
          <w:b/>
          <w:color w:val="000000" w:themeColor="text1"/>
          <w:sz w:val="21"/>
          <w:szCs w:val="21"/>
          <w14:textFill>
            <w14:solidFill>
              <w14:schemeClr w14:val="tx1"/>
            </w14:solidFill>
          </w14:textFill>
        </w:rPr>
        <w:t>未通过资格审查的</w:t>
      </w:r>
      <w:r>
        <w:rPr>
          <w:rFonts w:hint="eastAsia" w:ascii="仿宋" w:hAnsi="仿宋" w:eastAsia="仿宋" w:cs="仿宋"/>
          <w:b/>
          <w:color w:val="000000" w:themeColor="text1"/>
          <w:sz w:val="21"/>
          <w:szCs w:val="21"/>
          <w:lang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，不得进入后续</w:t>
      </w:r>
      <w:r>
        <w:rPr>
          <w:rFonts w:hint="eastAsia" w:ascii="仿宋" w:hAnsi="仿宋" w:eastAsia="仿宋" w:cs="仿宋"/>
          <w:b/>
          <w:color w:val="000000" w:themeColor="text1"/>
          <w:sz w:val="21"/>
          <w:szCs w:val="21"/>
          <w:lang w:val="en-US" w:eastAsia="zh-CN"/>
          <w14:textFill>
            <w14:solidFill>
              <w14:schemeClr w14:val="tx1"/>
            </w14:solidFill>
          </w14:textFill>
        </w:rPr>
        <w:t>评标</w:t>
      </w:r>
      <w:r>
        <w:rPr>
          <w:rFonts w:hint="eastAsia" w:ascii="仿宋" w:hAnsi="仿宋" w:eastAsia="仿宋" w:cs="仿宋"/>
          <w:b/>
          <w:color w:val="000000" w:themeColor="text1"/>
          <w:sz w:val="21"/>
          <w:szCs w:val="21"/>
          <w14:textFill>
            <w14:solidFill>
              <w14:schemeClr w14:val="tx1"/>
            </w14:solidFill>
          </w14:textFill>
        </w:rPr>
        <w:t>环节</w:t>
      </w:r>
      <w:r>
        <w:rPr>
          <w:rFonts w:hint="eastAsia" w:ascii="仿宋" w:hAnsi="仿宋" w:eastAsia="仿宋" w:cs="仿宋"/>
          <w:b/>
          <w:color w:val="000000" w:themeColor="text1"/>
          <w:sz w:val="21"/>
          <w:szCs w:val="21"/>
          <w:lang w:eastAsia="zh-CN"/>
          <w14:textFill>
            <w14:solidFill>
              <w14:schemeClr w14:val="tx1"/>
            </w14:solidFill>
          </w14:textFill>
        </w:rPr>
        <w:t>。</w:t>
      </w:r>
    </w:p>
    <w:p w14:paraId="6AB32E45">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2</w:t>
      </w:r>
      <w:r>
        <w:rPr>
          <w:rFonts w:hint="eastAsia" w:ascii="仿宋" w:hAnsi="仿宋" w:eastAsia="仿宋" w:cs="仿宋"/>
          <w:b/>
          <w:color w:val="000000" w:themeColor="text1"/>
          <w:sz w:val="21"/>
          <w:szCs w:val="21"/>
          <w:highlight w:val="none"/>
          <w14:textFill>
            <w14:solidFill>
              <w14:schemeClr w14:val="tx1"/>
            </w14:solidFill>
          </w14:textFill>
        </w:rPr>
        <w:t>、投标文件符合性审查</w:t>
      </w:r>
    </w:p>
    <w:p w14:paraId="7AAD8941">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2.2.1</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依法对符合资格条件的</w:t>
      </w:r>
      <w:r>
        <w:rPr>
          <w:rFonts w:hint="eastAsia" w:ascii="仿宋" w:hAnsi="仿宋" w:eastAsia="仿宋" w:cs="仿宋"/>
          <w:color w:val="000000" w:themeColor="text1"/>
          <w:sz w:val="21"/>
          <w:szCs w:val="21"/>
          <w:lang w:val="en-US" w:eastAsia="zh-CN"/>
          <w14:textFill>
            <w14:solidFill>
              <w14:schemeClr w14:val="tx1"/>
            </w14:solidFill>
          </w14:textFill>
        </w:rPr>
        <w:t>投标人投标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文件的有效性、完整性和对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文件的响应程度进行审查，以确定其是否对</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文件实质性内容作出响应，有无恶意串通行为。</w:t>
      </w:r>
    </w:p>
    <w:p w14:paraId="4E5C336C">
      <w:pPr>
        <w:keepNext w:val="0"/>
        <w:keepLines w:val="0"/>
        <w:pageBreakBefore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2.2.2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将按下列评审标准对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文件进行符合性审查，</w:t>
      </w:r>
      <w:r>
        <w:rPr>
          <w:rFonts w:hint="eastAsia" w:ascii="仿宋" w:hAnsi="仿宋" w:eastAsia="仿宋" w:cs="仿宋"/>
          <w:bCs/>
          <w:color w:val="000000" w:themeColor="text1"/>
          <w:sz w:val="21"/>
          <w:szCs w:val="21"/>
          <w:lang w:val="en-US"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若</w:t>
      </w:r>
      <w:r>
        <w:rPr>
          <w:rFonts w:hint="eastAsia" w:ascii="仿宋" w:hAnsi="仿宋" w:eastAsia="仿宋" w:cs="仿宋"/>
          <w:color w:val="000000" w:themeColor="text1"/>
          <w:kern w:val="0"/>
          <w:sz w:val="21"/>
          <w:szCs w:val="21"/>
          <w14:textFill>
            <w14:solidFill>
              <w14:schemeClr w14:val="tx1"/>
            </w14:solidFill>
          </w14:textFill>
        </w:rPr>
        <w:t>有一项不合格，即判定其符合性审查结果为不合格，将不具备</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资格，其</w:t>
      </w:r>
      <w:r>
        <w:rPr>
          <w:rFonts w:hint="eastAsia" w:ascii="仿宋" w:hAnsi="仿宋" w:eastAsia="仿宋" w:cs="仿宋"/>
          <w:color w:val="000000" w:themeColor="text1"/>
          <w:kern w:val="0"/>
          <w:sz w:val="21"/>
          <w:szCs w:val="21"/>
          <w:lang w:val="en-US" w:eastAsia="zh-CN"/>
          <w14:textFill>
            <w14:solidFill>
              <w14:schemeClr w14:val="tx1"/>
            </w14:solidFill>
          </w14:textFill>
        </w:rPr>
        <w:t>投标</w:t>
      </w:r>
      <w:r>
        <w:rPr>
          <w:rFonts w:hint="eastAsia" w:ascii="仿宋" w:hAnsi="仿宋" w:eastAsia="仿宋" w:cs="仿宋"/>
          <w:color w:val="000000" w:themeColor="text1"/>
          <w:kern w:val="0"/>
          <w:sz w:val="21"/>
          <w:szCs w:val="21"/>
          <w14:textFill>
            <w14:solidFill>
              <w14:schemeClr w14:val="tx1"/>
            </w14:solidFill>
          </w14:textFill>
        </w:rPr>
        <w:t>文件无效。</w:t>
      </w:r>
    </w:p>
    <w:p w14:paraId="64FCA173">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符合性审查标准如下：</w:t>
      </w:r>
    </w:p>
    <w:tbl>
      <w:tblPr>
        <w:tblStyle w:val="41"/>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42DF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41E31ECD">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序号</w:t>
            </w:r>
          </w:p>
        </w:tc>
        <w:tc>
          <w:tcPr>
            <w:tcW w:w="4553" w:type="dxa"/>
            <w:gridSpan w:val="2"/>
            <w:vAlign w:val="center"/>
          </w:tcPr>
          <w:p w14:paraId="50ADC223">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评审因素</w:t>
            </w:r>
          </w:p>
        </w:tc>
        <w:tc>
          <w:tcPr>
            <w:tcW w:w="4338" w:type="dxa"/>
            <w:vAlign w:val="center"/>
          </w:tcPr>
          <w:p w14:paraId="565F2462">
            <w:pPr>
              <w:shd w:val="clear"/>
              <w:tabs>
                <w:tab w:val="left" w:pos="0"/>
              </w:tabs>
              <w:adjustRightInd w:val="0"/>
              <w:snapToGrid w:val="0"/>
              <w:jc w:val="center"/>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评审标准</w:t>
            </w:r>
          </w:p>
        </w:tc>
      </w:tr>
      <w:tr w14:paraId="30EE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0E2C2BAF">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858" w:type="dxa"/>
            <w:vMerge w:val="restart"/>
            <w:vAlign w:val="center"/>
          </w:tcPr>
          <w:p w14:paraId="3EAC9AF8">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有效性审查</w:t>
            </w:r>
          </w:p>
        </w:tc>
        <w:tc>
          <w:tcPr>
            <w:tcW w:w="3695" w:type="dxa"/>
            <w:vAlign w:val="center"/>
          </w:tcPr>
          <w:p w14:paraId="4D8E1BEA">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（1）投标文件的签署盖章</w:t>
            </w:r>
          </w:p>
        </w:tc>
        <w:tc>
          <w:tcPr>
            <w:tcW w:w="4338" w:type="dxa"/>
            <w:vAlign w:val="center"/>
          </w:tcPr>
          <w:p w14:paraId="2170CED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应符合招标文件要求</w:t>
            </w:r>
          </w:p>
        </w:tc>
      </w:tr>
      <w:tr w14:paraId="5051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824" w:type="dxa"/>
            <w:vMerge w:val="continue"/>
          </w:tcPr>
          <w:p w14:paraId="246E323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4946946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4169BB3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（2）投标文件格式、语言、计量单位、报价货币</w:t>
            </w:r>
          </w:p>
        </w:tc>
        <w:tc>
          <w:tcPr>
            <w:tcW w:w="4338" w:type="dxa"/>
            <w:vAlign w:val="center"/>
          </w:tcPr>
          <w:p w14:paraId="30ABB8B2">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应符合“投标文件格式”和招标文件要求</w:t>
            </w:r>
          </w:p>
        </w:tc>
      </w:tr>
      <w:tr w14:paraId="27C0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1C8FCA5F">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1098EF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4D362A9">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（3）报价唯一</w:t>
            </w:r>
          </w:p>
        </w:tc>
        <w:tc>
          <w:tcPr>
            <w:tcW w:w="4338" w:type="dxa"/>
            <w:vAlign w:val="center"/>
          </w:tcPr>
          <w:p w14:paraId="4E7FEAC4">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只能有一个有效报价，不得提交选择性报价，且报价不超过最高限价</w:t>
            </w:r>
          </w:p>
        </w:tc>
      </w:tr>
      <w:tr w14:paraId="183E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1BBB9388">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35683D8F">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7C619B23">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（4）电子文件</w:t>
            </w:r>
          </w:p>
        </w:tc>
        <w:tc>
          <w:tcPr>
            <w:tcW w:w="4338" w:type="dxa"/>
            <w:vAlign w:val="center"/>
          </w:tcPr>
          <w:p w14:paraId="1E82CA0B">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应符合招标文件中的规定</w:t>
            </w:r>
          </w:p>
        </w:tc>
      </w:tr>
      <w:tr w14:paraId="0284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53FE11B1">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vAlign w:val="center"/>
          </w:tcPr>
          <w:p w14:paraId="328E2F00">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2D766CF6">
            <w:pPr>
              <w:tabs>
                <w:tab w:val="left" w:pos="0"/>
              </w:tabs>
              <w:adjustRightInd w:val="0"/>
              <w:snapToGrid w:val="0"/>
              <w:spacing w:line="240" w:lineRule="auto"/>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（5）不存在恶意串通的情形</w:t>
            </w:r>
          </w:p>
        </w:tc>
        <w:tc>
          <w:tcPr>
            <w:tcW w:w="4338" w:type="dxa"/>
            <w:vAlign w:val="center"/>
          </w:tcPr>
          <w:p w14:paraId="256D1591">
            <w:pPr>
              <w:keepNext w:val="0"/>
              <w:keepLines w:val="0"/>
              <w:pageBreakBefore w:val="0"/>
              <w:widowControl w:val="0"/>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不存在本章第2.2.3条款规定的任何一种情形</w:t>
            </w:r>
          </w:p>
        </w:tc>
      </w:tr>
      <w:tr w14:paraId="58A6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03128983">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858" w:type="dxa"/>
            <w:vMerge w:val="restart"/>
            <w:vAlign w:val="center"/>
          </w:tcPr>
          <w:p w14:paraId="4C40D855">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完整性审查</w:t>
            </w:r>
          </w:p>
        </w:tc>
        <w:tc>
          <w:tcPr>
            <w:tcW w:w="3695" w:type="dxa"/>
            <w:vAlign w:val="center"/>
          </w:tcPr>
          <w:p w14:paraId="50CE5F1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14:textFill>
                  <w14:solidFill>
                    <w14:schemeClr w14:val="tx1"/>
                  </w14:solidFill>
                </w14:textFill>
              </w:rPr>
              <w:t>）投标文件份数</w:t>
            </w:r>
          </w:p>
        </w:tc>
        <w:tc>
          <w:tcPr>
            <w:tcW w:w="4338" w:type="dxa"/>
            <w:vAlign w:val="center"/>
          </w:tcPr>
          <w:p w14:paraId="6675E28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应符合“投标人须知前附表”规定的正本、副本、</w:t>
            </w:r>
            <w:r>
              <w:rPr>
                <w:rFonts w:hint="eastAsia" w:ascii="仿宋" w:hAnsi="仿宋" w:eastAsia="仿宋" w:cs="仿宋"/>
                <w:color w:val="000000" w:themeColor="text1"/>
                <w:sz w:val="21"/>
                <w:szCs w:val="21"/>
                <w:highlight w:val="none"/>
                <w:lang w:val="en-US" w:eastAsia="zh-CN"/>
                <w14:textFill>
                  <w14:solidFill>
                    <w14:schemeClr w14:val="tx1"/>
                  </w14:solidFill>
                </w14:textFill>
              </w:rPr>
              <w:t>开标一览表、</w:t>
            </w:r>
            <w:r>
              <w:rPr>
                <w:rFonts w:hint="eastAsia" w:ascii="仿宋" w:hAnsi="仿宋" w:eastAsia="仿宋" w:cs="仿宋"/>
                <w:color w:val="000000" w:themeColor="text1"/>
                <w:sz w:val="21"/>
                <w:szCs w:val="21"/>
                <w:highlight w:val="none"/>
                <w14:textFill>
                  <w14:solidFill>
                    <w14:schemeClr w14:val="tx1"/>
                  </w14:solidFill>
                </w14:textFill>
              </w:rPr>
              <w:t>电子文件数量</w:t>
            </w:r>
          </w:p>
        </w:tc>
      </w:tr>
      <w:tr w14:paraId="18DF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824" w:type="dxa"/>
            <w:vMerge w:val="continue"/>
          </w:tcPr>
          <w:p w14:paraId="47FDD6C0">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63927159">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C7165E6">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r>
              <w:rPr>
                <w:rFonts w:hint="eastAsia" w:ascii="仿宋" w:hAnsi="仿宋" w:eastAsia="仿宋" w:cs="仿宋"/>
                <w:color w:val="000000" w:themeColor="text1"/>
                <w:sz w:val="21"/>
                <w:szCs w:val="21"/>
                <w:highlight w:val="none"/>
                <w14:textFill>
                  <w14:solidFill>
                    <w14:schemeClr w14:val="tx1"/>
                  </w14:solidFill>
                </w14:textFill>
              </w:rPr>
              <w:t>）投标文件内容</w:t>
            </w:r>
          </w:p>
        </w:tc>
        <w:tc>
          <w:tcPr>
            <w:tcW w:w="4338" w:type="dxa"/>
            <w:vAlign w:val="center"/>
          </w:tcPr>
          <w:p w14:paraId="495495CF">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投标文件内容齐全、无遗漏</w:t>
            </w:r>
          </w:p>
        </w:tc>
      </w:tr>
      <w:tr w14:paraId="244A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423AB64E">
            <w:pPr>
              <w:shd w:val="clear"/>
              <w:tabs>
                <w:tab w:val="left" w:pos="0"/>
              </w:tabs>
              <w:adjustRightInd w:val="0"/>
              <w:snapToGrid w:val="0"/>
              <w:spacing w:line="360" w:lineRule="auto"/>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858" w:type="dxa"/>
            <w:vMerge w:val="restart"/>
            <w:vAlign w:val="center"/>
          </w:tcPr>
          <w:p w14:paraId="2DA3A70F">
            <w:pPr>
              <w:shd w:val="clear"/>
              <w:tabs>
                <w:tab w:val="left" w:pos="0"/>
              </w:tabs>
              <w:adjustRightInd w:val="0"/>
              <w:snapToGrid w:val="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响应性审查</w:t>
            </w:r>
          </w:p>
        </w:tc>
        <w:tc>
          <w:tcPr>
            <w:tcW w:w="3695" w:type="dxa"/>
            <w:vAlign w:val="center"/>
          </w:tcPr>
          <w:p w14:paraId="209F98C7">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14:textFill>
                  <w14:solidFill>
                    <w14:schemeClr w14:val="tx1"/>
                  </w14:solidFill>
                </w14:textFill>
              </w:rPr>
              <w:t>）对招标文件响应程度</w:t>
            </w:r>
          </w:p>
        </w:tc>
        <w:tc>
          <w:tcPr>
            <w:tcW w:w="4338" w:type="dxa"/>
            <w:vAlign w:val="center"/>
          </w:tcPr>
          <w:p w14:paraId="4532CBCD">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要求全面响应，不能有任何采购人不能接受的附加条件</w:t>
            </w:r>
          </w:p>
        </w:tc>
      </w:tr>
      <w:tr w14:paraId="7687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06A2F57D">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C1DBBA3">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324ABAD3">
            <w:pPr>
              <w:shd w:val="clear"/>
              <w:tabs>
                <w:tab w:val="left" w:pos="0"/>
              </w:tabs>
              <w:adjustRightInd w:val="0"/>
              <w:snapToGrid w:val="0"/>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9</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服务周期</w:t>
            </w:r>
          </w:p>
        </w:tc>
        <w:tc>
          <w:tcPr>
            <w:tcW w:w="4338" w:type="dxa"/>
            <w:vAlign w:val="center"/>
          </w:tcPr>
          <w:p w14:paraId="1087D712">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1216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726D9A6B">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156AB265">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4CB948C8">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配送</w:t>
            </w:r>
            <w:r>
              <w:rPr>
                <w:rFonts w:hint="eastAsia" w:ascii="仿宋" w:hAnsi="仿宋" w:eastAsia="仿宋" w:cs="仿宋"/>
                <w:color w:val="000000" w:themeColor="text1"/>
                <w:sz w:val="21"/>
                <w:szCs w:val="21"/>
                <w:highlight w:val="none"/>
                <w:lang w:eastAsia="zh-CN"/>
                <w14:textFill>
                  <w14:solidFill>
                    <w14:schemeClr w14:val="tx1"/>
                  </w14:solidFill>
                </w14:textFill>
              </w:rPr>
              <w:t>地点</w:t>
            </w:r>
          </w:p>
        </w:tc>
        <w:tc>
          <w:tcPr>
            <w:tcW w:w="4338" w:type="dxa"/>
            <w:vAlign w:val="center"/>
          </w:tcPr>
          <w:p w14:paraId="7C423382">
            <w:pPr>
              <w:shd w:val="clear"/>
              <w:tabs>
                <w:tab w:val="left" w:pos="0"/>
              </w:tabs>
              <w:adjustRightInd w:val="0"/>
              <w:snapToGrid w:val="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w:t>
            </w:r>
            <w:r>
              <w:rPr>
                <w:rFonts w:hint="eastAsia" w:ascii="仿宋" w:hAnsi="仿宋" w:eastAsia="仿宋" w:cs="仿宋"/>
                <w:color w:val="000000" w:themeColor="text1"/>
                <w:sz w:val="21"/>
                <w:szCs w:val="21"/>
                <w:highlight w:val="none"/>
                <w:lang w:val="en-US" w:eastAsia="zh-CN"/>
                <w14:textFill>
                  <w14:solidFill>
                    <w14:schemeClr w14:val="tx1"/>
                  </w14:solidFill>
                </w14:textFill>
              </w:rPr>
              <w:t>的</w:t>
            </w:r>
            <w:r>
              <w:rPr>
                <w:rFonts w:hint="eastAsia" w:ascii="仿宋" w:hAnsi="仿宋" w:eastAsia="仿宋" w:cs="仿宋"/>
                <w:color w:val="000000" w:themeColor="text1"/>
                <w:sz w:val="21"/>
                <w:szCs w:val="21"/>
                <w:highlight w:val="none"/>
                <w14:textFill>
                  <w14:solidFill>
                    <w14:schemeClr w14:val="tx1"/>
                  </w14:solidFill>
                </w14:textFill>
              </w:rPr>
              <w:t>要求</w:t>
            </w:r>
          </w:p>
        </w:tc>
      </w:tr>
      <w:tr w14:paraId="512A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3C947ED2">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858" w:type="dxa"/>
            <w:vMerge w:val="continue"/>
          </w:tcPr>
          <w:p w14:paraId="56243167">
            <w:pPr>
              <w:shd w:val="clear"/>
              <w:tabs>
                <w:tab w:val="left" w:pos="0"/>
              </w:tabs>
              <w:adjustRightInd w:val="0"/>
              <w:snapToGrid w:val="0"/>
              <w:spacing w:line="360" w:lineRule="auto"/>
              <w:rPr>
                <w:rFonts w:hint="eastAsia" w:ascii="仿宋" w:hAnsi="仿宋" w:eastAsia="仿宋" w:cs="仿宋"/>
                <w:color w:val="000000" w:themeColor="text1"/>
                <w:sz w:val="21"/>
                <w:szCs w:val="21"/>
                <w:highlight w:val="none"/>
                <w14:textFill>
                  <w14:solidFill>
                    <w14:schemeClr w14:val="tx1"/>
                  </w14:solidFill>
                </w14:textFill>
              </w:rPr>
            </w:pPr>
          </w:p>
        </w:tc>
        <w:tc>
          <w:tcPr>
            <w:tcW w:w="3695" w:type="dxa"/>
            <w:vAlign w:val="center"/>
          </w:tcPr>
          <w:p w14:paraId="6F011CD8">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14:textFill>
                  <w14:solidFill>
                    <w14:schemeClr w14:val="tx1"/>
                  </w14:solidFill>
                </w14:textFill>
              </w:rPr>
              <w:t>）投标有效期</w:t>
            </w:r>
          </w:p>
        </w:tc>
        <w:tc>
          <w:tcPr>
            <w:tcW w:w="4338" w:type="dxa"/>
            <w:vAlign w:val="center"/>
          </w:tcPr>
          <w:p w14:paraId="18984D60">
            <w:pPr>
              <w:shd w:val="clear"/>
              <w:tabs>
                <w:tab w:val="left" w:pos="0"/>
              </w:tabs>
              <w:adjustRightInd w:val="0"/>
              <w:snapToGrid w:val="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应满足招标文件中的规定</w:t>
            </w:r>
          </w:p>
        </w:tc>
      </w:tr>
    </w:tbl>
    <w:p w14:paraId="5877135A">
      <w:pPr>
        <w:keepNext w:val="0"/>
        <w:keepLines w:val="0"/>
        <w:pageBreakBefore w:val="0"/>
        <w:widowControl w:val="0"/>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2.2.3</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有下列情形之一的，视为</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相互恶意串通，</w:t>
      </w:r>
      <w:r>
        <w:rPr>
          <w:rFonts w:hint="eastAsia" w:ascii="仿宋" w:hAnsi="仿宋" w:eastAsia="仿宋" w:cs="仿宋"/>
          <w:b/>
          <w:color w:val="000000" w:themeColor="text1"/>
          <w:sz w:val="21"/>
          <w:szCs w:val="21"/>
          <w:lang w:val="en-US" w:eastAsia="zh-CN"/>
          <w14:textFill>
            <w14:solidFill>
              <w14:schemeClr w14:val="tx1"/>
            </w14:solidFill>
          </w14:textFill>
        </w:rPr>
        <w:t>投标</w:t>
      </w:r>
      <w:r>
        <w:rPr>
          <w:rFonts w:hint="eastAsia" w:ascii="仿宋" w:hAnsi="仿宋" w:eastAsia="仿宋" w:cs="仿宋"/>
          <w:b/>
          <w:color w:val="000000" w:themeColor="text1"/>
          <w:sz w:val="21"/>
          <w:szCs w:val="21"/>
          <w14:textFill>
            <w14:solidFill>
              <w14:schemeClr w14:val="tx1"/>
            </w14:solidFill>
          </w14:textFill>
        </w:rPr>
        <w:t>文件无效：</w:t>
      </w:r>
    </w:p>
    <w:p w14:paraId="3454278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文件由同一单位或者个人编制；</w:t>
      </w:r>
    </w:p>
    <w:p w14:paraId="4C4925BB">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委托同一单位或者个人办理</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事宜；</w:t>
      </w:r>
    </w:p>
    <w:p w14:paraId="06D07AF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文件载明的项目管理成员为同一人；</w:t>
      </w:r>
    </w:p>
    <w:p w14:paraId="34BED75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文件异常一致或者报价呈规律性差异；</w:t>
      </w:r>
    </w:p>
    <w:p w14:paraId="27FADE83">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文件相互混装；</w:t>
      </w:r>
    </w:p>
    <w:p w14:paraId="06AFE0F9">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（6）不同</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保证金从同一单位或者个人的账户转出（仅限</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须知前附表要求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保证金的）。</w:t>
      </w:r>
    </w:p>
    <w:p w14:paraId="7715F28B">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4</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 xml:space="preserve"> 非实质性偏离</w:t>
      </w:r>
    </w:p>
    <w:p w14:paraId="13490C53">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非实质性偏离是指</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文件在实质上响应</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文件的要求，但在个别地方存在一些不规则、不一致、不完整的内容，并且澄清、说明或者补正这些内容不会改变</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的实质性内容。以下情况属于非实质性偏离：</w:t>
      </w:r>
    </w:p>
    <w:p w14:paraId="19B39635">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（1）文字表述的内容含义不明确；</w:t>
      </w:r>
    </w:p>
    <w:p w14:paraId="76210CFD">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（2）同类问题表述不一致；</w:t>
      </w:r>
    </w:p>
    <w:p w14:paraId="4762ECE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（3）有明显文字和计算错误；</w:t>
      </w:r>
    </w:p>
    <w:p w14:paraId="4C20060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）正副本数量齐全、密封完好，只是未按照</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文件要求进行分装或者统装；</w:t>
      </w:r>
    </w:p>
    <w:p w14:paraId="2718D6A5">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投标文件</w:t>
      </w:r>
      <w:r>
        <w:rPr>
          <w:rFonts w:hint="eastAsia" w:ascii="仿宋" w:hAnsi="仿宋" w:eastAsia="仿宋" w:cs="仿宋"/>
          <w:color w:val="000000" w:themeColor="text1"/>
          <w:sz w:val="21"/>
          <w:szCs w:val="21"/>
          <w14:textFill>
            <w14:solidFill>
              <w14:schemeClr w14:val="tx1"/>
            </w14:solidFill>
          </w14:textFill>
        </w:rPr>
        <w:t>未按</w:t>
      </w:r>
      <w:r>
        <w:rPr>
          <w:rFonts w:hint="eastAsia" w:ascii="仿宋" w:hAnsi="仿宋" w:eastAsia="仿宋" w:cs="仿宋"/>
          <w:color w:val="000000" w:themeColor="text1"/>
          <w:sz w:val="21"/>
          <w:szCs w:val="21"/>
          <w:lang w:val="en-US" w:eastAsia="zh-CN"/>
          <w14:textFill>
            <w14:solidFill>
              <w14:schemeClr w14:val="tx1"/>
            </w14:solidFill>
          </w14:textFill>
        </w:rPr>
        <w:t>招标</w:t>
      </w:r>
      <w:r>
        <w:rPr>
          <w:rFonts w:hint="eastAsia" w:ascii="仿宋" w:hAnsi="仿宋" w:eastAsia="仿宋" w:cs="仿宋"/>
          <w:color w:val="000000" w:themeColor="text1"/>
          <w:sz w:val="21"/>
          <w:szCs w:val="21"/>
          <w14:textFill>
            <w14:solidFill>
              <w14:schemeClr w14:val="tx1"/>
            </w14:solidFill>
          </w14:textFill>
        </w:rPr>
        <w:t>文件要求进行编制目录、页码或者页码混乱；</w:t>
      </w:r>
    </w:p>
    <w:p w14:paraId="16C41B8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认定的其他非实质性偏离。</w:t>
      </w:r>
    </w:p>
    <w:p w14:paraId="2C0B519C">
      <w:pPr>
        <w:keepNext w:val="0"/>
        <w:keepLines w:val="0"/>
        <w:pageBreakBefore w:val="0"/>
        <w:widowControl w:val="0"/>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文件有上述（1）至（</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）情形之一的，</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应当书面要求</w:t>
      </w:r>
      <w:r>
        <w:rPr>
          <w:rFonts w:hint="eastAsia" w:ascii="仿宋" w:hAnsi="仿宋" w:eastAsia="仿宋" w:cs="仿宋"/>
          <w:color w:val="000000" w:themeColor="text1"/>
          <w:sz w:val="21"/>
          <w:szCs w:val="21"/>
          <w:lang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在规定的时间内予以</w:t>
      </w:r>
      <w:r>
        <w:rPr>
          <w:rFonts w:hint="eastAsia" w:ascii="仿宋" w:hAnsi="仿宋" w:eastAsia="仿宋" w:cs="仿宋"/>
          <w:b w:val="0"/>
          <w:bCs w:val="0"/>
          <w:color w:val="000000" w:themeColor="text1"/>
          <w:sz w:val="21"/>
          <w:szCs w:val="21"/>
          <w14:textFill>
            <w14:solidFill>
              <w14:schemeClr w14:val="tx1"/>
            </w14:solidFill>
          </w14:textFill>
        </w:rPr>
        <w:t xml:space="preserve">澄清、说明或补正。 </w:t>
      </w:r>
    </w:p>
    <w:p w14:paraId="2730DDB8">
      <w:pPr>
        <w:keepNext w:val="0"/>
        <w:keepLines w:val="0"/>
        <w:pageBreakBefore w:val="0"/>
        <w:widowControl w:val="0"/>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2.2.</w:t>
      </w:r>
      <w:r>
        <w:rPr>
          <w:rFonts w:hint="eastAsia" w:ascii="仿宋" w:hAnsi="仿宋" w:eastAsia="仿宋" w:cs="仿宋"/>
          <w:b/>
          <w:color w:val="000000" w:themeColor="text1"/>
          <w:sz w:val="21"/>
          <w:szCs w:val="21"/>
          <w:lang w:val="en-US" w:eastAsia="zh-CN"/>
          <w14:textFill>
            <w14:solidFill>
              <w14:schemeClr w14:val="tx1"/>
            </w14:solidFill>
          </w14:textFill>
        </w:rPr>
        <w:t>5</w:t>
      </w:r>
      <w:r>
        <w:rPr>
          <w:rFonts w:hint="eastAsia" w:ascii="仿宋" w:hAnsi="仿宋" w:eastAsia="仿宋" w:cs="仿宋"/>
          <w:b/>
          <w:color w:val="000000" w:themeColor="text1"/>
          <w:sz w:val="21"/>
          <w:szCs w:val="21"/>
          <w:lang w:eastAsia="zh-CN"/>
          <w14:textFill>
            <w14:solidFill>
              <w14:schemeClr w14:val="tx1"/>
            </w14:solidFill>
          </w14:textFill>
        </w:rPr>
        <w:t>、</w:t>
      </w:r>
      <w:r>
        <w:rPr>
          <w:rFonts w:hint="eastAsia" w:ascii="仿宋" w:hAnsi="仿宋" w:eastAsia="仿宋" w:cs="仿宋"/>
          <w:b/>
          <w:color w:val="000000" w:themeColor="text1"/>
          <w:sz w:val="21"/>
          <w:szCs w:val="21"/>
          <w14:textFill>
            <w14:solidFill>
              <w14:schemeClr w14:val="tx1"/>
            </w14:solidFill>
          </w14:textFill>
        </w:rPr>
        <w:t>未通过符合性检查的</w:t>
      </w:r>
      <w:r>
        <w:rPr>
          <w:rFonts w:hint="eastAsia" w:ascii="仿宋" w:hAnsi="仿宋" w:eastAsia="仿宋" w:cs="仿宋"/>
          <w:b/>
          <w:color w:val="000000" w:themeColor="text1"/>
          <w:sz w:val="21"/>
          <w:szCs w:val="21"/>
          <w:lang w:val="en-US" w:eastAsia="zh-CN"/>
          <w14:textFill>
            <w14:solidFill>
              <w14:schemeClr w14:val="tx1"/>
            </w14:solidFill>
          </w14:textFill>
        </w:rPr>
        <w:t>投标人</w:t>
      </w:r>
      <w:r>
        <w:rPr>
          <w:rFonts w:hint="eastAsia" w:ascii="仿宋" w:hAnsi="仿宋" w:eastAsia="仿宋" w:cs="仿宋"/>
          <w:b/>
          <w:color w:val="000000" w:themeColor="text1"/>
          <w:sz w:val="21"/>
          <w:szCs w:val="21"/>
          <w14:textFill>
            <w14:solidFill>
              <w14:schemeClr w14:val="tx1"/>
            </w14:solidFill>
          </w14:textFill>
        </w:rPr>
        <w:t>，不得进入后续</w:t>
      </w:r>
      <w:r>
        <w:rPr>
          <w:rFonts w:hint="eastAsia" w:ascii="仿宋" w:hAnsi="仿宋" w:eastAsia="仿宋" w:cs="仿宋"/>
          <w:b/>
          <w:color w:val="000000" w:themeColor="text1"/>
          <w:sz w:val="21"/>
          <w:szCs w:val="21"/>
          <w:lang w:val="en-US" w:eastAsia="zh-CN"/>
          <w14:textFill>
            <w14:solidFill>
              <w14:schemeClr w14:val="tx1"/>
            </w14:solidFill>
          </w14:textFill>
        </w:rPr>
        <w:t>评标</w:t>
      </w:r>
      <w:r>
        <w:rPr>
          <w:rFonts w:hint="eastAsia" w:ascii="仿宋" w:hAnsi="仿宋" w:eastAsia="仿宋" w:cs="仿宋"/>
          <w:b/>
          <w:color w:val="000000" w:themeColor="text1"/>
          <w:sz w:val="21"/>
          <w:szCs w:val="21"/>
          <w14:textFill>
            <w14:solidFill>
              <w14:schemeClr w14:val="tx1"/>
            </w14:solidFill>
          </w14:textFill>
        </w:rPr>
        <w:t>环节。</w:t>
      </w:r>
    </w:p>
    <w:p w14:paraId="5C01CBDF">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2.</w:t>
      </w:r>
      <w:r>
        <w:rPr>
          <w:rFonts w:hint="eastAsia" w:ascii="仿宋" w:hAnsi="仿宋" w:eastAsia="仿宋" w:cs="仿宋"/>
          <w:b/>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color w:val="000000" w:themeColor="text1"/>
          <w:sz w:val="21"/>
          <w:szCs w:val="21"/>
          <w:highlight w:val="none"/>
          <w14:textFill>
            <w14:solidFill>
              <w14:schemeClr w14:val="tx1"/>
            </w14:solidFill>
          </w14:textFill>
        </w:rPr>
        <w:t>、投标文件的澄清</w:t>
      </w:r>
    </w:p>
    <w:p w14:paraId="671B07F8">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对于</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文件中含义不明确、同类问题表述不一致或者有明显文字和计算错误的内容，可以以书面形式要求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作出必要的澄清、说明或者补正。涉及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文件资格部分的，由资格审查小组负责组织，涉及</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文件其他部分的，由</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负责组织。</w:t>
      </w:r>
    </w:p>
    <w:p w14:paraId="5370F79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2.3.2、投标人</w:t>
      </w:r>
      <w:r>
        <w:rPr>
          <w:rFonts w:hint="eastAsia" w:ascii="仿宋" w:hAnsi="仿宋" w:eastAsia="仿宋" w:cs="仿宋"/>
          <w:color w:val="000000" w:themeColor="text1"/>
          <w:sz w:val="21"/>
          <w:szCs w:val="21"/>
          <w14:textFill>
            <w14:solidFill>
              <w14:schemeClr w14:val="tx1"/>
            </w14:solidFill>
          </w14:textFill>
        </w:rPr>
        <w:t>的澄清、说明或者补正应当采用书面形式，并加盖单位章，或者由其法定代表人或其委托代理人签名。</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的澄清、说明或者补正不得超出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文件的范围或者改变</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文件的实质性内容，并构成为</w:t>
      </w:r>
      <w:r>
        <w:rPr>
          <w:rFonts w:hint="eastAsia" w:ascii="仿宋" w:hAnsi="仿宋" w:eastAsia="仿宋" w:cs="仿宋"/>
          <w:color w:val="000000" w:themeColor="text1"/>
          <w:sz w:val="21"/>
          <w:szCs w:val="21"/>
          <w:lang w:val="en-US" w:eastAsia="zh-CN"/>
          <w14:textFill>
            <w14:solidFill>
              <w14:schemeClr w14:val="tx1"/>
            </w14:solidFill>
          </w14:textFill>
        </w:rPr>
        <w:t>投标</w:t>
      </w:r>
      <w:r>
        <w:rPr>
          <w:rFonts w:hint="eastAsia" w:ascii="仿宋" w:hAnsi="仿宋" w:eastAsia="仿宋" w:cs="仿宋"/>
          <w:color w:val="000000" w:themeColor="text1"/>
          <w:sz w:val="21"/>
          <w:szCs w:val="21"/>
          <w14:textFill>
            <w14:solidFill>
              <w14:schemeClr w14:val="tx1"/>
            </w14:solidFill>
          </w14:textFill>
        </w:rPr>
        <w:t>文件的组成部分。</w:t>
      </w:r>
    </w:p>
    <w:p w14:paraId="78EF1A1E">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对</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提交的澄清、说明或者补正有疑问的，可以要求</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进一步澄清、说明或者补正，直至满足</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的要求。</w:t>
      </w:r>
    </w:p>
    <w:p w14:paraId="4C382E66">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.3.4</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en-US" w:eastAsia="zh-CN"/>
          <w14:textFill>
            <w14:solidFill>
              <w14:schemeClr w14:val="tx1"/>
            </w14:solidFill>
          </w14:textFill>
        </w:rPr>
        <w:t>评标委员会</w:t>
      </w:r>
      <w:r>
        <w:rPr>
          <w:rFonts w:hint="eastAsia" w:ascii="仿宋" w:hAnsi="仿宋" w:eastAsia="仿宋" w:cs="仿宋"/>
          <w:color w:val="000000" w:themeColor="text1"/>
          <w:sz w:val="21"/>
          <w:szCs w:val="21"/>
          <w14:textFill>
            <w14:solidFill>
              <w14:schemeClr w14:val="tx1"/>
            </w14:solidFill>
          </w14:textFill>
        </w:rPr>
        <w:t>不得暗示或诱导</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作出澄清、说明或者更正，不得接受</w:t>
      </w:r>
      <w:r>
        <w:rPr>
          <w:rFonts w:hint="eastAsia" w:ascii="仿宋" w:hAnsi="仿宋" w:eastAsia="仿宋" w:cs="仿宋"/>
          <w:color w:val="000000" w:themeColor="text1"/>
          <w:sz w:val="21"/>
          <w:szCs w:val="21"/>
          <w:lang w:val="en-US" w:eastAsia="zh-CN"/>
          <w14:textFill>
            <w14:solidFill>
              <w14:schemeClr w14:val="tx1"/>
            </w14:solidFill>
          </w14:textFill>
        </w:rPr>
        <w:t>投标人</w:t>
      </w:r>
      <w:r>
        <w:rPr>
          <w:rFonts w:hint="eastAsia" w:ascii="仿宋" w:hAnsi="仿宋" w:eastAsia="仿宋" w:cs="仿宋"/>
          <w:color w:val="000000" w:themeColor="text1"/>
          <w:sz w:val="21"/>
          <w:szCs w:val="21"/>
          <w14:textFill>
            <w14:solidFill>
              <w14:schemeClr w14:val="tx1"/>
            </w14:solidFill>
          </w14:textFill>
        </w:rPr>
        <w:t>主动提出的澄清、说明或者补正。</w:t>
      </w:r>
    </w:p>
    <w:p w14:paraId="2221AD94">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w:t>
      </w:r>
      <w:r>
        <w:rPr>
          <w:rFonts w:hint="eastAsia" w:ascii="仿宋" w:hAnsi="仿宋" w:eastAsia="仿宋" w:cs="仿宋"/>
          <w:b/>
          <w:color w:val="000000" w:themeColor="text1"/>
          <w:szCs w:val="21"/>
          <w:highlight w:val="none"/>
          <w:lang w:val="en-US" w:eastAsia="zh-CN"/>
          <w14:textFill>
            <w14:solidFill>
              <w14:schemeClr w14:val="tx1"/>
            </w14:solidFill>
          </w14:textFill>
        </w:rPr>
        <w:t>4</w:t>
      </w:r>
      <w:r>
        <w:rPr>
          <w:rFonts w:hint="eastAsia" w:ascii="仿宋" w:hAnsi="仿宋" w:eastAsia="仿宋" w:cs="仿宋"/>
          <w:b/>
          <w:color w:val="000000" w:themeColor="text1"/>
          <w:szCs w:val="21"/>
          <w:highlight w:val="none"/>
          <w14:textFill>
            <w14:solidFill>
              <w14:schemeClr w14:val="tx1"/>
            </w14:solidFill>
          </w14:textFill>
        </w:rPr>
        <w:t>、投标文件详细评审</w:t>
      </w:r>
    </w:p>
    <w:p w14:paraId="53A12539">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szCs w:val="21"/>
          <w:highlight w:val="none"/>
          <w:lang w:val="en-US" w:eastAsia="zh-CN"/>
          <w14:textFill>
            <w14:solidFill>
              <w14:schemeClr w14:val="tx1"/>
            </w14:solidFill>
          </w14:textFill>
        </w:rPr>
        <w:t>4</w:t>
      </w:r>
      <w:r>
        <w:rPr>
          <w:rFonts w:hint="eastAsia" w:ascii="仿宋" w:hAnsi="仿宋" w:eastAsia="仿宋" w:cs="仿宋"/>
          <w:color w:val="000000" w:themeColor="text1"/>
          <w:szCs w:val="21"/>
          <w:highlight w:val="none"/>
          <w14:textFill>
            <w14:solidFill>
              <w14:schemeClr w14:val="tx1"/>
            </w14:solidFill>
          </w14:textFill>
        </w:rPr>
        <w:t>.1</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kern w:val="1"/>
          <w:szCs w:val="21"/>
          <w:highlight w:val="none"/>
          <w14:textFill>
            <w14:solidFill>
              <w14:schemeClr w14:val="tx1"/>
            </w14:solidFill>
          </w14:textFill>
        </w:rPr>
        <w:t>比较与评价。评标委员会应当按照投标文件中规定的评审方法和标准，只对资格审查和符合性审查合格的投标文件进行商务和技术评估，综合比较与评价，不合格的投标人不再参与评审。</w:t>
      </w:r>
    </w:p>
    <w:p w14:paraId="5A646DA0">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.2、评审因素的设定与</w:t>
      </w: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1"/>
          <w:szCs w:val="21"/>
          <w:highlight w:val="none"/>
          <w14:textFill>
            <w14:solidFill>
              <w14:schemeClr w14:val="tx1"/>
            </w14:solidFill>
          </w14:textFill>
        </w:rPr>
        <w:t>所提供</w:t>
      </w:r>
      <w:r>
        <w:rPr>
          <w:rFonts w:hint="eastAsia" w:ascii="仿宋" w:hAnsi="仿宋" w:eastAsia="仿宋" w:cs="仿宋"/>
          <w:color w:val="000000" w:themeColor="text1"/>
          <w:kern w:val="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1"/>
          <w:szCs w:val="21"/>
          <w:highlight w:val="none"/>
          <w14:textFill>
            <w14:solidFill>
              <w14:schemeClr w14:val="tx1"/>
            </w14:solidFill>
          </w14:textFill>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78E1E69C">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、由评标委员会成员独立地根据各项因素的评分标准，结合各投标人的实际情况，分别就报价以外的各项评审因素对各投标人独立评审赋分。</w:t>
      </w:r>
    </w:p>
    <w:p w14:paraId="3E7C843F">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、当排序推荐候选中标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4C0CF3C4">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color w:val="000000" w:themeColor="text1"/>
          <w:kern w:val="1"/>
          <w:szCs w:val="21"/>
          <w:highlight w:val="none"/>
          <w:lang w:val="en-US" w:eastAsia="zh-CN"/>
          <w14:textFill>
            <w14:solidFill>
              <w14:schemeClr w14:val="tx1"/>
            </w14:solidFill>
          </w14:textFill>
        </w:rPr>
        <w:t>4</w:t>
      </w:r>
      <w:r>
        <w:rPr>
          <w:rFonts w:hint="eastAsia" w:ascii="仿宋" w:hAnsi="仿宋" w:eastAsia="仿宋" w:cs="仿宋"/>
          <w:color w:val="000000" w:themeColor="text1"/>
          <w:kern w:val="1"/>
          <w:szCs w:val="21"/>
          <w:highlight w:val="none"/>
          <w14:textFill>
            <w14:solidFill>
              <w14:schemeClr w14:val="tx1"/>
            </w14:solidFill>
          </w14:textFill>
        </w:rPr>
        <w:t>.</w:t>
      </w:r>
      <w:r>
        <w:rPr>
          <w:rFonts w:hint="eastAsia" w:ascii="仿宋" w:hAnsi="仿宋" w:eastAsia="仿宋" w:cs="仿宋"/>
          <w:color w:val="000000" w:themeColor="text1"/>
          <w:kern w:val="1"/>
          <w:szCs w:val="21"/>
          <w:highlight w:val="none"/>
          <w:lang w:val="en-US" w:eastAsia="zh-CN"/>
          <w14:textFill>
            <w14:solidFill>
              <w14:schemeClr w14:val="tx1"/>
            </w14:solidFill>
          </w14:textFill>
        </w:rPr>
        <w:t>5</w:t>
      </w:r>
      <w:r>
        <w:rPr>
          <w:rFonts w:hint="eastAsia" w:ascii="仿宋" w:hAnsi="仿宋" w:eastAsia="仿宋" w:cs="仿宋"/>
          <w:color w:val="000000" w:themeColor="text1"/>
          <w:kern w:val="1"/>
          <w:szCs w:val="21"/>
          <w:highlight w:val="none"/>
          <w14:textFill>
            <w14:solidFill>
              <w14:schemeClr w14:val="tx1"/>
            </w14:solidFill>
          </w14:textFill>
        </w:rPr>
        <w:t>、评标委员会成员对需要共同认定的事项存在争议的，应当按照少数服从多数的原则作出结论。持不同意见的评标委员会成员应当在评审报告上签署不同意见及理由，否则视为同意评审报告。</w:t>
      </w:r>
    </w:p>
    <w:p w14:paraId="61637318">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000000" w:themeColor="text1"/>
          <w:sz w:val="24"/>
          <w:szCs w:val="24"/>
          <w:highlight w:val="none"/>
          <w14:textFill>
            <w14:solidFill>
              <w14:schemeClr w14:val="tx1"/>
            </w14:solidFill>
          </w14:textFill>
        </w:rPr>
      </w:pPr>
      <w:bookmarkStart w:id="232" w:name="_Toc12782"/>
      <w:bookmarkStart w:id="233" w:name="_Toc18650"/>
      <w:r>
        <w:rPr>
          <w:rFonts w:hint="eastAsia" w:ascii="仿宋" w:hAnsi="仿宋" w:eastAsia="仿宋" w:cs="仿宋"/>
          <w:b/>
          <w:color w:val="000000" w:themeColor="text1"/>
          <w:sz w:val="24"/>
          <w:szCs w:val="24"/>
          <w:highlight w:val="none"/>
          <w14:textFill>
            <w14:solidFill>
              <w14:schemeClr w14:val="tx1"/>
            </w14:solidFill>
          </w14:textFill>
        </w:rPr>
        <w:t>三、评审细则及标准</w:t>
      </w:r>
      <w:bookmarkEnd w:id="232"/>
      <w:bookmarkEnd w:id="233"/>
    </w:p>
    <w:p w14:paraId="64137044">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3.1、综合评分法</w:t>
      </w:r>
    </w:p>
    <w:p w14:paraId="46CE0ED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3.1.1、本采购项目评审方法采用综合评分法。即投标文件能够最大限度的满足招标文件规定的各项综合评分标准，且经评审得分最高的投标人为中标候选人。</w:t>
      </w:r>
    </w:p>
    <w:p w14:paraId="62F53C70">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3.2.2、综合评分法评审标准中的分值设置应当与评审因素的量化指标相对应。招标文件中没有规定的评审标准不得作为评审依据。</w:t>
      </w:r>
    </w:p>
    <w:p w14:paraId="337D39E3">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3.2.评审细则及标准</w:t>
      </w:r>
    </w:p>
    <w:p w14:paraId="75FF2CFE">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3.2.1、评标委员会将综合分析投标人的各项评审因素，而不以单项评审因素的优劣评选出中标</w:t>
      </w:r>
      <w:r>
        <w:rPr>
          <w:rFonts w:hint="eastAsia" w:ascii="仿宋" w:hAnsi="仿宋" w:eastAsia="仿宋" w:cs="仿宋"/>
          <w:color w:val="000000" w:themeColor="text1"/>
          <w:kern w:val="1"/>
          <w:szCs w:val="21"/>
          <w:highlight w:val="none"/>
          <w:lang w:eastAsia="zh-CN"/>
          <w14:textFill>
            <w14:solidFill>
              <w14:schemeClr w14:val="tx1"/>
            </w14:solidFill>
          </w14:textFill>
        </w:rPr>
        <w:t>人</w:t>
      </w:r>
      <w:r>
        <w:rPr>
          <w:rFonts w:hint="eastAsia" w:ascii="仿宋" w:hAnsi="仿宋" w:eastAsia="仿宋" w:cs="仿宋"/>
          <w:color w:val="000000" w:themeColor="text1"/>
          <w:kern w:val="1"/>
          <w:szCs w:val="21"/>
          <w:highlight w:val="none"/>
          <w14:textFill>
            <w14:solidFill>
              <w14:schemeClr w14:val="tx1"/>
            </w14:solidFill>
          </w14:textFill>
        </w:rPr>
        <w:t xml:space="preserve"> 。对所有投标人的响应评估，都采用相同的程序和标准，严格按照招标文件的要求和条件进行。</w:t>
      </w:r>
    </w:p>
    <w:p w14:paraId="1499EAC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3.2.2、评审因素包括：报价、技术</w:t>
      </w:r>
      <w:r>
        <w:rPr>
          <w:rFonts w:hint="eastAsia" w:ascii="仿宋" w:hAnsi="仿宋" w:eastAsia="仿宋" w:cs="仿宋"/>
          <w:color w:val="000000" w:themeColor="text1"/>
          <w:kern w:val="1"/>
          <w:szCs w:val="21"/>
          <w:highlight w:val="none"/>
          <w:lang w:val="en-US" w:eastAsia="zh-CN"/>
          <w14:textFill>
            <w14:solidFill>
              <w14:schemeClr w14:val="tx1"/>
            </w14:solidFill>
          </w14:textFill>
        </w:rPr>
        <w:t>服务</w:t>
      </w:r>
      <w:r>
        <w:rPr>
          <w:rFonts w:hint="eastAsia" w:ascii="仿宋" w:hAnsi="仿宋" w:eastAsia="仿宋" w:cs="仿宋"/>
          <w:color w:val="000000" w:themeColor="text1"/>
          <w:kern w:val="1"/>
          <w:szCs w:val="21"/>
          <w:highlight w:val="none"/>
          <w14:textFill>
            <w14:solidFill>
              <w14:schemeClr w14:val="tx1"/>
            </w14:solidFill>
          </w14:textFill>
        </w:rPr>
        <w:t>、商务及对招标文件的响应程度。</w:t>
      </w:r>
    </w:p>
    <w:p w14:paraId="2E354F06">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3.2.</w:t>
      </w:r>
      <w:r>
        <w:rPr>
          <w:rFonts w:hint="eastAsia" w:ascii="仿宋" w:hAnsi="仿宋" w:eastAsia="仿宋" w:cs="仿宋"/>
          <w:color w:val="000000" w:themeColor="text1"/>
          <w:kern w:val="1"/>
          <w:szCs w:val="21"/>
          <w:highlight w:val="none"/>
          <w:lang w:val="en-US" w:eastAsia="zh-CN"/>
          <w14:textFill>
            <w14:solidFill>
              <w14:schemeClr w14:val="tx1"/>
            </w14:solidFill>
          </w14:textFill>
        </w:rPr>
        <w:t>3</w:t>
      </w:r>
      <w:r>
        <w:rPr>
          <w:rFonts w:hint="eastAsia" w:ascii="仿宋" w:hAnsi="仿宋" w:eastAsia="仿宋" w:cs="仿宋"/>
          <w:color w:val="000000" w:themeColor="text1"/>
          <w:kern w:val="1"/>
          <w:szCs w:val="21"/>
          <w:highlight w:val="none"/>
          <w14:textFill>
            <w14:solidFill>
              <w14:schemeClr w14:val="tx1"/>
            </w14:solidFill>
          </w14:textFill>
        </w:rPr>
        <w:t>、评审要素一览表如下：</w:t>
      </w:r>
    </w:p>
    <w:p w14:paraId="6DA84317">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000000" w:themeColor="text1"/>
          <w:kern w:val="1"/>
          <w:szCs w:val="21"/>
          <w:highlight w:val="none"/>
          <w14:textFill>
            <w14:solidFill>
              <w14:schemeClr w14:val="tx1"/>
            </w14:solidFill>
          </w14:textFill>
        </w:rPr>
      </w:pPr>
      <w:r>
        <w:rPr>
          <w:rFonts w:hint="eastAsia" w:ascii="仿宋" w:hAnsi="仿宋" w:eastAsia="仿宋" w:cs="仿宋"/>
          <w:color w:val="000000" w:themeColor="text1"/>
          <w:kern w:val="1"/>
          <w:szCs w:val="21"/>
          <w:highlight w:val="none"/>
          <w14:textFill>
            <w14:solidFill>
              <w14:schemeClr w14:val="tx1"/>
            </w14:solidFill>
          </w14:textFill>
        </w:rPr>
        <w:t>评审指标分值构成（总计100分）</w:t>
      </w:r>
    </w:p>
    <w:p w14:paraId="792A28F3">
      <w:pPr>
        <w:spacing w:after="156" w:afterLines="50" w:line="360" w:lineRule="auto"/>
        <w:ind w:firstLine="2249" w:firstLineChars="700"/>
        <w:outlineLvl w:val="0"/>
        <w:rPr>
          <w:rFonts w:ascii="黑体" w:hAnsi="黑体" w:eastAsia="黑体" w:cs="黑体"/>
          <w:b/>
          <w:color w:val="000000" w:themeColor="text1"/>
          <w:sz w:val="32"/>
          <w:szCs w:val="32"/>
          <w14:textFill>
            <w14:solidFill>
              <w14:schemeClr w14:val="tx1"/>
            </w14:solidFill>
          </w14:textFill>
        </w:rPr>
      </w:pPr>
    </w:p>
    <w:tbl>
      <w:tblPr>
        <w:tblStyle w:val="41"/>
        <w:tblpPr w:leftFromText="180" w:rightFromText="180" w:vertAnchor="text" w:horzAnchor="page" w:tblpX="1291" w:tblpY="-106"/>
        <w:tblOverlap w:val="never"/>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065"/>
        <w:gridCol w:w="7811"/>
      </w:tblGrid>
      <w:tr w14:paraId="3042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68" w:type="dxa"/>
            <w:noWrap w:val="0"/>
            <w:vAlign w:val="center"/>
          </w:tcPr>
          <w:p w14:paraId="121D4B98">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报价</w:t>
            </w:r>
          </w:p>
        </w:tc>
        <w:tc>
          <w:tcPr>
            <w:tcW w:w="1065" w:type="dxa"/>
            <w:noWrap w:val="0"/>
            <w:vAlign w:val="center"/>
          </w:tcPr>
          <w:p w14:paraId="724ED266">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20</w:t>
            </w:r>
            <w:r>
              <w:rPr>
                <w:rFonts w:hint="eastAsia" w:ascii="仿宋" w:hAnsi="仿宋" w:eastAsia="仿宋" w:cs="仿宋"/>
                <w:color w:val="000000" w:themeColor="text1"/>
                <w:sz w:val="22"/>
                <w:szCs w:val="22"/>
                <w14:textFill>
                  <w14:solidFill>
                    <w14:schemeClr w14:val="tx1"/>
                  </w14:solidFill>
                </w14:textFill>
              </w:rPr>
              <w:t>分</w:t>
            </w:r>
          </w:p>
        </w:tc>
        <w:tc>
          <w:tcPr>
            <w:tcW w:w="7811" w:type="dxa"/>
            <w:noWrap w:val="0"/>
            <w:vAlign w:val="center"/>
          </w:tcPr>
          <w:p w14:paraId="3E87F8DC">
            <w:pPr>
              <w:jc w:val="left"/>
              <w:rPr>
                <w:rFonts w:hint="eastAsia" w:ascii="仿宋" w:hAnsi="仿宋" w:eastAsia="仿宋" w:cs="仿宋"/>
                <w:color w:val="000000" w:themeColor="text1"/>
                <w:kern w:val="0"/>
                <w:sz w:val="21"/>
                <w:szCs w:val="21"/>
                <w:highlight w:val="none"/>
                <w:lang w:bidi="ar"/>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价格分统一采用低价优先法</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 w:val="21"/>
                <w:szCs w:val="21"/>
                <w:highlight w:val="none"/>
                <w:lang w:bidi="ar"/>
                <w14:textFill>
                  <w14:solidFill>
                    <w14:schemeClr w14:val="tx1"/>
                  </w14:solidFill>
                </w14:textFill>
              </w:rPr>
              <w:t>，即满足招标文件要求且</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投标报价（折扣率）</w:t>
            </w:r>
            <w:r>
              <w:rPr>
                <w:rFonts w:hint="eastAsia" w:ascii="仿宋" w:hAnsi="仿宋" w:eastAsia="仿宋" w:cs="仿宋"/>
                <w:color w:val="000000" w:themeColor="text1"/>
                <w:kern w:val="0"/>
                <w:sz w:val="21"/>
                <w:szCs w:val="21"/>
                <w:highlight w:val="none"/>
                <w:lang w:bidi="ar"/>
                <w14:textFill>
                  <w14:solidFill>
                    <w14:schemeClr w14:val="tx1"/>
                  </w14:solidFill>
                </w14:textFill>
              </w:rPr>
              <w:t>最</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低</w:t>
            </w:r>
            <w:r>
              <w:rPr>
                <w:rFonts w:hint="eastAsia" w:ascii="仿宋" w:hAnsi="仿宋" w:eastAsia="仿宋" w:cs="仿宋"/>
                <w:color w:val="000000" w:themeColor="text1"/>
                <w:kern w:val="0"/>
                <w:sz w:val="21"/>
                <w:szCs w:val="21"/>
                <w:highlight w:val="none"/>
                <w:lang w:bidi="ar"/>
                <w14:textFill>
                  <w14:solidFill>
                    <w14:schemeClr w14:val="tx1"/>
                  </w14:solidFill>
                </w14:textFill>
              </w:rPr>
              <w:t>的报价为评标基准价，其价格分为满分。其他投标人的价格分统一按照下列公式</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计算</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p>
          <w:p w14:paraId="448B9F07">
            <w:pPr>
              <w:shd w:val="clear" w:color="auto" w:fill="auto"/>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bidi="ar"/>
                <w14:textFill>
                  <w14:solidFill>
                    <w14:schemeClr w14:val="tx1"/>
                  </w14:solidFill>
                </w14:textFill>
              </w:rPr>
              <w:t>报价得分=</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评标基准价</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投标</w:t>
            </w:r>
            <w:r>
              <w:rPr>
                <w:rFonts w:hint="eastAsia" w:ascii="仿宋" w:hAnsi="仿宋" w:eastAsia="仿宋" w:cs="仿宋"/>
                <w:color w:val="000000" w:themeColor="text1"/>
                <w:kern w:val="0"/>
                <w:sz w:val="21"/>
                <w:szCs w:val="21"/>
                <w:highlight w:val="none"/>
                <w:lang w:bidi="ar"/>
                <w14:textFill>
                  <w14:solidFill>
                    <w14:schemeClr w14:val="tx1"/>
                  </w14:solidFill>
                </w14:textFill>
              </w:rPr>
              <w:t>报价</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折扣率</w:t>
            </w:r>
            <w:r>
              <w:rPr>
                <w:rFonts w:hint="eastAsia" w:ascii="仿宋" w:hAnsi="仿宋" w:eastAsia="仿宋" w:cs="仿宋"/>
                <w:color w:val="000000" w:themeColor="text1"/>
                <w:kern w:val="0"/>
                <w:sz w:val="21"/>
                <w:szCs w:val="21"/>
                <w:highlight w:val="none"/>
                <w:lang w:eastAsia="zh-CN" w:bidi="ar"/>
                <w14:textFill>
                  <w14:solidFill>
                    <w14:schemeClr w14:val="tx1"/>
                  </w14:solidFill>
                </w14:textFill>
              </w:rPr>
              <w:t>）】</w:t>
            </w:r>
            <w:r>
              <w:rPr>
                <w:rFonts w:hint="eastAsia" w:ascii="仿宋" w:hAnsi="仿宋" w:eastAsia="仿宋" w:cs="仿宋"/>
                <w:color w:val="000000" w:themeColor="text1"/>
                <w:kern w:val="0"/>
                <w:sz w:val="21"/>
                <w:szCs w:val="21"/>
                <w:highlight w:val="none"/>
                <w:lang w:bidi="ar"/>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ar"/>
                <w14:textFill>
                  <w14:solidFill>
                    <w14:schemeClr w14:val="tx1"/>
                  </w14:solidFill>
                </w14:textFill>
              </w:rPr>
              <w:t>20</w:t>
            </w:r>
          </w:p>
        </w:tc>
      </w:tr>
      <w:tr w14:paraId="4E6E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68" w:type="dxa"/>
            <w:vMerge w:val="restart"/>
            <w:noWrap w:val="0"/>
            <w:vAlign w:val="center"/>
          </w:tcPr>
          <w:p w14:paraId="607C2A7E">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技术</w:t>
            </w:r>
          </w:p>
          <w:p w14:paraId="6224E367">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服务部分50</w:t>
            </w:r>
            <w:r>
              <w:rPr>
                <w:rFonts w:hint="eastAsia" w:ascii="仿宋" w:hAnsi="仿宋" w:eastAsia="仿宋" w:cs="仿宋"/>
                <w:color w:val="000000" w:themeColor="text1"/>
                <w:sz w:val="22"/>
                <w:szCs w:val="22"/>
                <w14:textFill>
                  <w14:solidFill>
                    <w14:schemeClr w14:val="tx1"/>
                  </w14:solidFill>
                </w14:textFill>
              </w:rPr>
              <w:t>分</w:t>
            </w:r>
          </w:p>
        </w:tc>
        <w:tc>
          <w:tcPr>
            <w:tcW w:w="1065" w:type="dxa"/>
            <w:noWrap w:val="0"/>
            <w:vAlign w:val="center"/>
          </w:tcPr>
          <w:p w14:paraId="2FA02235">
            <w:pPr>
              <w:shd w:val="clear" w:color="auto" w:fill="auto"/>
              <w:ind w:firstLine="220" w:firstLineChars="100"/>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配送</w:t>
            </w:r>
          </w:p>
          <w:p w14:paraId="44F9CC36">
            <w:pPr>
              <w:shd w:val="clear" w:color="auto" w:fill="auto"/>
              <w:ind w:firstLine="220" w:firstLineChars="100"/>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方案</w:t>
            </w:r>
          </w:p>
          <w:p w14:paraId="5CBF809A">
            <w:pPr>
              <w:shd w:val="clear" w:color="auto" w:fill="auto"/>
              <w:ind w:firstLine="220" w:firstLineChars="1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12分</w:t>
            </w:r>
          </w:p>
        </w:tc>
        <w:tc>
          <w:tcPr>
            <w:tcW w:w="7811" w:type="dxa"/>
            <w:noWrap w:val="0"/>
            <w:vAlign w:val="top"/>
          </w:tcPr>
          <w:p w14:paraId="378F3A52">
            <w:pPr>
              <w:pStyle w:val="4"/>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u w:val="none"/>
                <w:lang w:val="en-US" w:eastAsia="zh-CN" w:bidi="ar-SA"/>
                <w14:textFill>
                  <w14:solidFill>
                    <w14:schemeClr w14:val="tx1"/>
                  </w14:solidFill>
                </w14:textFill>
              </w:rPr>
              <w:t>根据投标人提供的配送方案进行评审：①运输计划；②流程控制；③食材数量管理；④食材种类管理；⑤送货时间；⑥验货标准。从方案全面性、科学合理性、可操作性等方面综合评价，提供1项得1.1-2分，最高得12分。</w:t>
            </w:r>
          </w:p>
        </w:tc>
      </w:tr>
      <w:tr w14:paraId="5626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68" w:type="dxa"/>
            <w:vMerge w:val="continue"/>
            <w:noWrap w:val="0"/>
            <w:vAlign w:val="center"/>
          </w:tcPr>
          <w:p w14:paraId="0EF1776D">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09800152">
            <w:pPr>
              <w:keepNext w:val="0"/>
              <w:keepLines w:val="0"/>
              <w:pageBreakBefore w:val="0"/>
              <w:kinsoku/>
              <w:wordWrap/>
              <w:overflowPunct/>
              <w:topLinePunct w:val="0"/>
              <w:autoSpaceDE/>
              <w:autoSpaceDN/>
              <w:bidi w:val="0"/>
              <w:adjustRightInd/>
              <w:snapToGrid/>
              <w:spacing w:line="360" w:lineRule="auto"/>
              <w:ind w:right="-94" w:rightChars="-45" w:firstLine="220" w:firstLineChars="100"/>
              <w:jc w:val="both"/>
              <w:textAlignment w:val="auto"/>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管理</w:t>
            </w:r>
          </w:p>
          <w:p w14:paraId="45B76B11">
            <w:pPr>
              <w:keepNext w:val="0"/>
              <w:keepLines w:val="0"/>
              <w:pageBreakBefore w:val="0"/>
              <w:kinsoku/>
              <w:wordWrap/>
              <w:overflowPunct/>
              <w:topLinePunct w:val="0"/>
              <w:autoSpaceDE/>
              <w:autoSpaceDN/>
              <w:bidi w:val="0"/>
              <w:adjustRightInd/>
              <w:snapToGrid/>
              <w:spacing w:line="360" w:lineRule="auto"/>
              <w:ind w:right="-94" w:rightChars="-45" w:firstLine="220" w:firstLineChars="100"/>
              <w:jc w:val="both"/>
              <w:textAlignment w:val="auto"/>
              <w:rPr>
                <w:rFonts w:hint="eastAsia" w:ascii="仿宋" w:hAnsi="仿宋" w:eastAsia="仿宋" w:cs="仿宋"/>
                <w:b w:val="0"/>
                <w:color w:val="000000" w:themeColor="text1"/>
                <w:kern w:val="2"/>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制度</w:t>
            </w:r>
          </w:p>
          <w:p w14:paraId="3344B3D2">
            <w:pPr>
              <w:keepNext w:val="0"/>
              <w:keepLines w:val="0"/>
              <w:pageBreakBefore w:val="0"/>
              <w:kinsoku/>
              <w:wordWrap/>
              <w:overflowPunct/>
              <w:topLinePunct w:val="0"/>
              <w:autoSpaceDE/>
              <w:autoSpaceDN/>
              <w:bidi w:val="0"/>
              <w:adjustRightInd/>
              <w:snapToGrid/>
              <w:spacing w:line="360" w:lineRule="auto"/>
              <w:ind w:right="-94" w:rightChars="-45" w:firstLine="220" w:firstLineChars="100"/>
              <w:jc w:val="both"/>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12分</w:t>
            </w:r>
          </w:p>
        </w:tc>
        <w:tc>
          <w:tcPr>
            <w:tcW w:w="7811" w:type="dxa"/>
            <w:noWrap w:val="0"/>
            <w:vAlign w:val="top"/>
          </w:tcPr>
          <w:p w14:paraId="4E67BC42">
            <w:pPr>
              <w:pStyle w:val="4"/>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val="0"/>
                <w:color w:val="000000" w:themeColor="text1"/>
                <w:kern w:val="2"/>
                <w:sz w:val="22"/>
                <w:szCs w:val="22"/>
                <w:u w:val="none"/>
                <w:lang w:val="en-US" w:eastAsia="zh-CN" w:bidi="ar-SA"/>
                <w14:textFill>
                  <w14:solidFill>
                    <w14:schemeClr w14:val="tx1"/>
                  </w14:solidFill>
                </w14:textFill>
              </w:rPr>
              <w:t>根据投标人提供的管理方案进行评审：①质量管理制度；②食材安全管理制度；③经营管理制度；④物流配送管理制度；⑤档案管理制度；⑥食材储存管理制度。从制度的全面性、科学合理性、可操作性等方面综合评价，提供1项得1.1-2分，最高得12分。</w:t>
            </w:r>
          </w:p>
        </w:tc>
      </w:tr>
      <w:tr w14:paraId="6BF8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68" w:type="dxa"/>
            <w:vMerge w:val="continue"/>
            <w:noWrap w:val="0"/>
            <w:vAlign w:val="center"/>
          </w:tcPr>
          <w:p w14:paraId="4851198F">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6DD9BCAB">
            <w:pPr>
              <w:keepNext w:val="0"/>
              <w:keepLines w:val="0"/>
              <w:pageBreakBefore w:val="0"/>
              <w:kinsoku/>
              <w:wordWrap/>
              <w:overflowPunct/>
              <w:topLinePunct w:val="0"/>
              <w:autoSpaceDE/>
              <w:autoSpaceDN/>
              <w:bidi w:val="0"/>
              <w:adjustRightInd/>
              <w:snapToGrid/>
              <w:spacing w:line="360" w:lineRule="auto"/>
              <w:ind w:right="-94" w:rightChars="-45"/>
              <w:jc w:val="center"/>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农残检测设备5分</w:t>
            </w:r>
          </w:p>
        </w:tc>
        <w:tc>
          <w:tcPr>
            <w:tcW w:w="7811" w:type="dxa"/>
            <w:noWrap w:val="0"/>
            <w:vAlign w:val="center"/>
          </w:tcPr>
          <w:p w14:paraId="3732E80D">
            <w:pPr>
              <w:keepNext w:val="0"/>
              <w:keepLines w:val="0"/>
              <w:pageBreakBefore w:val="0"/>
              <w:kinsoku/>
              <w:wordWrap/>
              <w:overflowPunct/>
              <w:topLinePunct w:val="0"/>
              <w:autoSpaceDE/>
              <w:autoSpaceDN/>
              <w:bidi w:val="0"/>
              <w:adjustRightInd/>
              <w:snapToGrid/>
              <w:spacing w:line="360" w:lineRule="auto"/>
              <w:ind w:right="-94" w:rightChars="-45"/>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投标人根据采购需求须提供农残检测设备并附设备相关证明材料,提供得5分，未提供得0分。</w:t>
            </w:r>
          </w:p>
        </w:tc>
      </w:tr>
      <w:tr w14:paraId="2D5F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8" w:type="dxa"/>
            <w:vMerge w:val="continue"/>
            <w:noWrap w:val="0"/>
            <w:vAlign w:val="center"/>
          </w:tcPr>
          <w:p w14:paraId="02EDA9C4">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49652DE0">
            <w:pPr>
              <w:shd w:val="clear" w:color="auto" w:fill="auto"/>
              <w:jc w:val="left"/>
              <w:rPr>
                <w:rFonts w:hint="eastAsia" w:ascii="仿宋" w:hAnsi="仿宋" w:eastAsia="仿宋" w:cs="仿宋"/>
                <w:color w:val="000000" w:themeColor="text1"/>
                <w:spacing w:val="-7"/>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配送车辆8分</w:t>
            </w:r>
          </w:p>
        </w:tc>
        <w:tc>
          <w:tcPr>
            <w:tcW w:w="7811" w:type="dxa"/>
            <w:noWrap w:val="0"/>
            <w:vAlign w:val="center"/>
          </w:tcPr>
          <w:p w14:paraId="12CC3AF1">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投标人结合本项目采购内容须提供符合食品安全运输标准的专用运输车辆（冷藏、恒温）相关配送设备。</w:t>
            </w:r>
          </w:p>
          <w:p w14:paraId="538B8F0D">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每具有一辆配送车辆得2分，最高得 8分。</w:t>
            </w:r>
          </w:p>
          <w:p w14:paraId="6D9A2AC8">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注：企业自有的运输配送车辆需提供车辆行驶证复印件；租赁车辆需提供车辆租赁合同复印件。</w:t>
            </w:r>
          </w:p>
          <w:p w14:paraId="5D78FD55">
            <w:pPr>
              <w:shd w:val="clear" w:color="auto" w:fill="auto"/>
              <w:adjustRightInd w:val="0"/>
              <w:snapToGrid w:val="0"/>
              <w:spacing w:line="360" w:lineRule="auto"/>
              <w:rPr>
                <w:rFonts w:hint="eastAsia" w:ascii="仿宋" w:hAnsi="仿宋" w:eastAsia="仿宋" w:cs="仿宋"/>
                <w:color w:val="000000" w:themeColor="text1"/>
                <w:spacing w:val="-4"/>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未提供不得分。</w:t>
            </w:r>
          </w:p>
        </w:tc>
      </w:tr>
      <w:tr w14:paraId="4B6F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8" w:type="dxa"/>
            <w:vMerge w:val="continue"/>
            <w:noWrap w:val="0"/>
            <w:vAlign w:val="center"/>
          </w:tcPr>
          <w:p w14:paraId="38475087">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73B442E0">
            <w:pPr>
              <w:shd w:val="clear" w:color="auto" w:fill="auto"/>
              <w:jc w:val="center"/>
              <w:rPr>
                <w:rFonts w:hint="eastAsia" w:ascii="仿宋" w:hAnsi="仿宋" w:eastAsia="仿宋" w:cs="仿宋"/>
                <w:color w:val="000000" w:themeColor="text1"/>
                <w:spacing w:val="-7"/>
                <w:sz w:val="21"/>
                <w:szCs w:val="24"/>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食品安全及储存条件5分</w:t>
            </w:r>
          </w:p>
        </w:tc>
        <w:tc>
          <w:tcPr>
            <w:tcW w:w="7811" w:type="dxa"/>
            <w:noWrap w:val="0"/>
            <w:vAlign w:val="center"/>
          </w:tcPr>
          <w:p w14:paraId="0DFECD2C">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具有可靠的产品储藏、保鲜体系和储存场所，空间能够保证空气良好的流通性、适宜储藏的温度等，要定期检查维护，提供相关证明文件（包括租赁合同或购房合同、储存场所照片及相应储存设备购置发票或现场实地设备照片等）：</w:t>
            </w:r>
          </w:p>
          <w:p w14:paraId="111482B4">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①</w:t>
            </w:r>
            <w:r>
              <w:rPr>
                <w:rFonts w:hint="eastAsia" w:ascii="仿宋" w:hAnsi="仿宋" w:eastAsia="仿宋" w:cs="仿宋"/>
                <w:color w:val="000000" w:themeColor="text1"/>
                <w:kern w:val="1"/>
                <w:sz w:val="22"/>
                <w:szCs w:val="22"/>
                <w:lang w:val="en-US" w:eastAsia="zh-CN"/>
                <w14:textFill>
                  <w14:solidFill>
                    <w14:schemeClr w14:val="tx1"/>
                  </w14:solidFill>
                </w14:textFill>
              </w:rPr>
              <w:t>储存条件正规、可靠，证明材料齐全得4.1-5分；</w:t>
            </w:r>
          </w:p>
          <w:p w14:paraId="69AD0DFA">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②</w:t>
            </w:r>
            <w:r>
              <w:rPr>
                <w:rFonts w:hint="eastAsia" w:ascii="仿宋" w:hAnsi="仿宋" w:eastAsia="仿宋" w:cs="仿宋"/>
                <w:color w:val="000000" w:themeColor="text1"/>
                <w:kern w:val="1"/>
                <w:sz w:val="22"/>
                <w:szCs w:val="22"/>
                <w:lang w:val="en-US" w:eastAsia="zh-CN" w:bidi="ar-SA"/>
                <w14:textFill>
                  <w14:solidFill>
                    <w14:schemeClr w14:val="tx1"/>
                  </w14:solidFill>
                </w14:textFill>
              </w:rPr>
              <w:t>储存条件比较正规、可靠，证明材料较齐全得 3.1-4分；</w:t>
            </w:r>
          </w:p>
          <w:p w14:paraId="129E0635">
            <w:pPr>
              <w:pStyle w:val="107"/>
              <w:rPr>
                <w:rFonts w:hint="eastAsia" w:ascii="仿宋" w:hAnsi="仿宋" w:eastAsia="仿宋" w:cs="仿宋"/>
                <w:color w:val="000000" w:themeColor="text1"/>
                <w:kern w:val="1"/>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③</w:t>
            </w:r>
            <w:r>
              <w:rPr>
                <w:rFonts w:hint="eastAsia" w:ascii="仿宋" w:hAnsi="仿宋" w:eastAsia="仿宋" w:cs="仿宋"/>
                <w:color w:val="000000" w:themeColor="text1"/>
                <w:kern w:val="1"/>
                <w:sz w:val="22"/>
                <w:szCs w:val="22"/>
                <w:lang w:val="en-US" w:eastAsia="zh-CN" w:bidi="ar-SA"/>
                <w14:textFill>
                  <w14:solidFill>
                    <w14:schemeClr w14:val="tx1"/>
                  </w14:solidFill>
                </w14:textFill>
              </w:rPr>
              <w:t>储存条件相对正规、可靠，证明材料相对齐全得 2.1-3分；</w:t>
            </w:r>
          </w:p>
          <w:p w14:paraId="73357CC9">
            <w:pPr>
              <w:pStyle w:val="107"/>
              <w:rPr>
                <w:rFonts w:hint="eastAsia" w:ascii="仿宋" w:hAnsi="仿宋" w:eastAsia="仿宋" w:cs="仿宋"/>
                <w:color w:val="000000" w:themeColor="text1"/>
                <w:kern w:val="1"/>
                <w:sz w:val="22"/>
                <w:szCs w:val="22"/>
                <w:lang w:val="en-US" w:eastAsia="zh-CN" w:bidi="ar-SA"/>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④</w:t>
            </w:r>
            <w:r>
              <w:rPr>
                <w:rFonts w:hint="eastAsia" w:ascii="仿宋" w:hAnsi="仿宋" w:eastAsia="仿宋" w:cs="仿宋"/>
                <w:color w:val="000000" w:themeColor="text1"/>
                <w:kern w:val="1"/>
                <w:sz w:val="22"/>
                <w:szCs w:val="22"/>
                <w:lang w:val="en-US" w:eastAsia="zh-CN" w:bidi="ar-SA"/>
                <w14:textFill>
                  <w14:solidFill>
                    <w14:schemeClr w14:val="tx1"/>
                  </w14:solidFill>
                </w14:textFill>
              </w:rPr>
              <w:t>储存条件基本正规，证明材料基本齐全得 1.1-2分；</w:t>
            </w:r>
          </w:p>
          <w:p w14:paraId="39F9DD01">
            <w:pPr>
              <w:pStyle w:val="250"/>
              <w:shd w:val="clear" w:color="auto" w:fill="auto"/>
              <w:jc w:val="left"/>
              <w:rPr>
                <w:rFonts w:hint="eastAsia" w:ascii="仿宋" w:hAnsi="仿宋" w:eastAsia="仿宋" w:cs="仿宋"/>
                <w:color w:val="000000" w:themeColor="text1"/>
                <w:spacing w:val="-4"/>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⑤未提供得0分。</w:t>
            </w:r>
          </w:p>
        </w:tc>
      </w:tr>
      <w:tr w14:paraId="4F46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68" w:type="dxa"/>
            <w:vMerge w:val="continue"/>
            <w:noWrap w:val="0"/>
            <w:vAlign w:val="center"/>
          </w:tcPr>
          <w:p w14:paraId="0291BF34">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1909C8D5">
            <w:pPr>
              <w:shd w:val="clear" w:color="auto" w:fill="auto"/>
              <w:jc w:val="center"/>
              <w:rPr>
                <w:rFonts w:hint="eastAsia" w:ascii="仿宋" w:hAnsi="仿宋" w:eastAsia="仿宋" w:cs="仿宋"/>
                <w:color w:val="000000" w:themeColor="text1"/>
                <w:spacing w:val="-4"/>
                <w:sz w:val="21"/>
                <w:szCs w:val="24"/>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服务人员8分</w:t>
            </w:r>
          </w:p>
        </w:tc>
        <w:tc>
          <w:tcPr>
            <w:tcW w:w="7811" w:type="dxa"/>
            <w:noWrap w:val="0"/>
            <w:vAlign w:val="center"/>
          </w:tcPr>
          <w:p w14:paraId="0481457C">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投标人有稳定的服务人员，针对本项目的管理、质检、配送实施组建架构齐全，根据人员配置方案综合赋分。（备注：提供针对本项目所有人员的身份证、健康证及劳务合同复印件）</w:t>
            </w:r>
          </w:p>
          <w:p w14:paraId="59224216">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①</w:t>
            </w:r>
            <w:r>
              <w:rPr>
                <w:rFonts w:hint="eastAsia" w:ascii="仿宋" w:hAnsi="仿宋" w:eastAsia="仿宋" w:cs="仿宋"/>
                <w:color w:val="000000" w:themeColor="text1"/>
                <w:kern w:val="1"/>
                <w:sz w:val="22"/>
                <w:szCs w:val="22"/>
                <w:lang w:val="en-US" w:eastAsia="zh-CN"/>
                <w14:textFill>
                  <w14:solidFill>
                    <w14:schemeClr w14:val="tx1"/>
                  </w14:solidFill>
                </w14:textFill>
              </w:rPr>
              <w:t>服务人员配置合理，岗位职责明确，人员证件齐全，完全满足项目需求的得6.1-8分；</w:t>
            </w:r>
          </w:p>
          <w:p w14:paraId="14186130">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②服务人员配置相对合理，岗位职责相对明确、人员证件较齐全，可以满足项目需求的得4.1-6分；</w:t>
            </w:r>
          </w:p>
          <w:p w14:paraId="5C7D8647">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③服务人员配置合理，岗位职责明确、人员证件相对齐全，基本满足项目需求的得2.1-4分；</w:t>
            </w:r>
          </w:p>
          <w:p w14:paraId="210E04C7">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④服务人员配置合理，岗位职责明确、人员证件简陋得0.1-2 分；</w:t>
            </w:r>
          </w:p>
          <w:p w14:paraId="1AD3D522">
            <w:pPr>
              <w:shd w:val="clear" w:color="auto" w:fill="auto"/>
              <w:adjustRightInd w:val="0"/>
              <w:snapToGrid w:val="0"/>
              <w:spacing w:line="360" w:lineRule="auto"/>
              <w:rPr>
                <w:rFonts w:hint="eastAsia" w:ascii="仿宋" w:hAnsi="仿宋" w:eastAsia="仿宋" w:cs="仿宋"/>
                <w:color w:val="000000" w:themeColor="text1"/>
                <w:spacing w:val="-5"/>
                <w:sz w:val="21"/>
                <w:szCs w:val="24"/>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⑤未提供不得分。</w:t>
            </w:r>
          </w:p>
        </w:tc>
      </w:tr>
      <w:tr w14:paraId="507C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68" w:type="dxa"/>
            <w:vMerge w:val="restart"/>
            <w:noWrap w:val="0"/>
            <w:vAlign w:val="center"/>
          </w:tcPr>
          <w:p w14:paraId="43FF2189">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商务</w:t>
            </w:r>
          </w:p>
          <w:p w14:paraId="1460099B">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部分</w:t>
            </w:r>
          </w:p>
          <w:p w14:paraId="50CE223E">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30</w:t>
            </w:r>
            <w:r>
              <w:rPr>
                <w:rFonts w:hint="eastAsia" w:ascii="仿宋" w:hAnsi="仿宋" w:eastAsia="仿宋" w:cs="仿宋"/>
                <w:color w:val="000000" w:themeColor="text1"/>
                <w:sz w:val="22"/>
                <w:szCs w:val="22"/>
                <w14:textFill>
                  <w14:solidFill>
                    <w14:schemeClr w14:val="tx1"/>
                  </w14:solidFill>
                </w14:textFill>
              </w:rPr>
              <w:t>分</w:t>
            </w:r>
          </w:p>
        </w:tc>
        <w:tc>
          <w:tcPr>
            <w:tcW w:w="1065" w:type="dxa"/>
            <w:noWrap w:val="0"/>
            <w:vAlign w:val="center"/>
          </w:tcPr>
          <w:p w14:paraId="71046B2F">
            <w:pPr>
              <w:shd w:val="clear" w:color="auto" w:fill="auto"/>
              <w:snapToGrid w:val="0"/>
              <w:spacing w:line="312" w:lineRule="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业绩</w:t>
            </w:r>
          </w:p>
          <w:p w14:paraId="1B76A3CC">
            <w:pPr>
              <w:shd w:val="clear" w:color="auto" w:fill="auto"/>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w:t>
            </w:r>
            <w:r>
              <w:rPr>
                <w:rFonts w:hint="eastAsia" w:ascii="仿宋" w:hAnsi="仿宋" w:eastAsia="仿宋" w:cs="仿宋"/>
                <w:color w:val="000000" w:themeColor="text1"/>
                <w:sz w:val="22"/>
                <w:szCs w:val="22"/>
                <w14:textFill>
                  <w14:solidFill>
                    <w14:schemeClr w14:val="tx1"/>
                  </w14:solidFill>
                </w14:textFill>
              </w:rPr>
              <w:t>分</w:t>
            </w:r>
          </w:p>
        </w:tc>
        <w:tc>
          <w:tcPr>
            <w:tcW w:w="7811" w:type="dxa"/>
            <w:noWrap w:val="0"/>
            <w:vAlign w:val="center"/>
          </w:tcPr>
          <w:p w14:paraId="0C2C6FCB">
            <w:pPr>
              <w:pStyle w:val="16"/>
              <w:shd w:val="clear" w:color="auto" w:fil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eastAsia="zh-CN"/>
                <w14:textFill>
                  <w14:solidFill>
                    <w14:schemeClr w14:val="tx1"/>
                  </w14:solidFill>
                </w14:textFill>
              </w:rPr>
              <w:t>提供202</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lang w:eastAsia="zh-CN"/>
                <w14:textFill>
                  <w14:solidFill>
                    <w14:schemeClr w14:val="tx1"/>
                  </w14:solidFill>
                </w14:textFill>
              </w:rPr>
              <w:t>年</w:t>
            </w:r>
            <w:r>
              <w:rPr>
                <w:rFonts w:hint="eastAsia" w:ascii="仿宋" w:hAnsi="仿宋" w:eastAsia="仿宋" w:cs="仿宋"/>
                <w:color w:val="000000" w:themeColor="text1"/>
                <w:sz w:val="22"/>
                <w:szCs w:val="22"/>
                <w:lang w:val="en-US" w:eastAsia="zh-CN"/>
                <w14:textFill>
                  <w14:solidFill>
                    <w14:schemeClr w14:val="tx1"/>
                  </w14:solidFill>
                </w14:textFill>
              </w:rPr>
              <w:t>1</w:t>
            </w:r>
            <w:r>
              <w:rPr>
                <w:rFonts w:hint="eastAsia" w:ascii="仿宋" w:hAnsi="仿宋" w:eastAsia="仿宋" w:cs="仿宋"/>
                <w:color w:val="000000" w:themeColor="text1"/>
                <w:sz w:val="22"/>
                <w:szCs w:val="22"/>
                <w:lang w:eastAsia="zh-CN"/>
                <w14:textFill>
                  <w14:solidFill>
                    <w14:schemeClr w14:val="tx1"/>
                  </w14:solidFill>
                </w14:textFill>
              </w:rPr>
              <w:t>月1日以来完成的类似项目业绩</w:t>
            </w: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提供一个</w:t>
            </w:r>
            <w:r>
              <w:rPr>
                <w:rFonts w:hint="eastAsia" w:ascii="仿宋" w:hAnsi="仿宋" w:eastAsia="仿宋" w:cs="仿宋"/>
                <w:color w:val="000000" w:themeColor="text1"/>
                <w:sz w:val="22"/>
                <w:szCs w:val="22"/>
                <w14:textFill>
                  <w14:solidFill>
                    <w14:schemeClr w14:val="tx1"/>
                  </w14:solidFill>
                </w14:textFill>
              </w:rPr>
              <w:t>类似项目业绩得</w:t>
            </w:r>
            <w:r>
              <w:rPr>
                <w:rFonts w:hint="eastAsia" w:ascii="仿宋" w:hAnsi="仿宋" w:eastAsia="仿宋" w:cs="仿宋"/>
                <w:color w:val="000000" w:themeColor="text1"/>
                <w:sz w:val="22"/>
                <w:szCs w:val="22"/>
                <w:lang w:val="en-US" w:eastAsia="zh-CN"/>
                <w14:textFill>
                  <w14:solidFill>
                    <w14:schemeClr w14:val="tx1"/>
                  </w14:solidFill>
                </w14:textFill>
              </w:rPr>
              <w:t>2.5</w:t>
            </w:r>
            <w:r>
              <w:rPr>
                <w:rFonts w:hint="eastAsia" w:ascii="仿宋" w:hAnsi="仿宋" w:eastAsia="仿宋" w:cs="仿宋"/>
                <w:color w:val="000000" w:themeColor="text1"/>
                <w:sz w:val="22"/>
                <w:szCs w:val="22"/>
                <w14:textFill>
                  <w14:solidFill>
                    <w14:schemeClr w14:val="tx1"/>
                  </w14:solidFill>
                </w14:textFill>
              </w:rPr>
              <w:t>分,最高</w:t>
            </w:r>
            <w:r>
              <w:rPr>
                <w:rFonts w:hint="eastAsia" w:ascii="仿宋" w:hAnsi="仿宋" w:eastAsia="仿宋" w:cs="仿宋"/>
                <w:color w:val="000000" w:themeColor="text1"/>
                <w:sz w:val="22"/>
                <w:szCs w:val="22"/>
                <w:lang w:val="en-US" w:eastAsia="zh-CN"/>
                <w14:textFill>
                  <w14:solidFill>
                    <w14:schemeClr w14:val="tx1"/>
                  </w14:solidFill>
                </w14:textFill>
              </w:rPr>
              <w:t>5</w:t>
            </w:r>
            <w:r>
              <w:rPr>
                <w:rFonts w:hint="eastAsia" w:ascii="仿宋" w:hAnsi="仿宋" w:eastAsia="仿宋" w:cs="仿宋"/>
                <w:color w:val="000000" w:themeColor="text1"/>
                <w:sz w:val="22"/>
                <w:szCs w:val="22"/>
                <w14:textFill>
                  <w14:solidFill>
                    <w14:schemeClr w14:val="tx1"/>
                  </w14:solidFill>
                </w14:textFill>
              </w:rPr>
              <w:t>分。无此项内容不得分。</w:t>
            </w:r>
          </w:p>
          <w:p w14:paraId="1A429B6C">
            <w:pPr>
              <w:pStyle w:val="16"/>
              <w:shd w:val="clear" w:color="auto" w:fil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（业绩证明材料以中标/成交通知书或合同为准，</w:t>
            </w:r>
            <w:r>
              <w:rPr>
                <w:rFonts w:hint="eastAsia" w:ascii="仿宋" w:hAnsi="仿宋" w:eastAsia="仿宋" w:cs="仿宋"/>
                <w:color w:val="000000" w:themeColor="text1"/>
                <w:sz w:val="22"/>
                <w:szCs w:val="22"/>
                <w:lang w:val="en-US" w:eastAsia="zh-CN"/>
                <w14:textFill>
                  <w14:solidFill>
                    <w14:schemeClr w14:val="tx1"/>
                  </w14:solidFill>
                </w14:textFill>
              </w:rPr>
              <w:t>投标</w:t>
            </w:r>
            <w:r>
              <w:rPr>
                <w:rFonts w:hint="eastAsia" w:ascii="仿宋" w:hAnsi="仿宋" w:eastAsia="仿宋" w:cs="仿宋"/>
                <w:color w:val="000000" w:themeColor="text1"/>
                <w:sz w:val="22"/>
                <w:szCs w:val="22"/>
                <w14:textFill>
                  <w14:solidFill>
                    <w14:schemeClr w14:val="tx1"/>
                  </w14:solidFill>
                </w14:textFill>
              </w:rPr>
              <w:t>文件中附中标/成交通知书或合同复印件并加盖企业鲜章）</w:t>
            </w:r>
          </w:p>
        </w:tc>
      </w:tr>
      <w:tr w14:paraId="3A92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8" w:type="dxa"/>
            <w:vMerge w:val="continue"/>
            <w:noWrap w:val="0"/>
            <w:vAlign w:val="center"/>
          </w:tcPr>
          <w:p w14:paraId="3739006B">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36425EA7">
            <w:pPr>
              <w:pStyle w:val="19"/>
              <w:shd w:val="clear" w:color="auto" w:fill="auto"/>
              <w:spacing w:after="0"/>
              <w:jc w:val="center"/>
              <w:rPr>
                <w:rFonts w:hint="eastAsia" w:ascii="仿宋" w:hAnsi="仿宋" w:eastAsia="仿宋" w:cs="仿宋"/>
                <w:color w:val="000000" w:themeColor="text1"/>
                <w:sz w:val="22"/>
                <w:szCs w:val="22"/>
                <w:lang w:val="en-US"/>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培训方案5分</w:t>
            </w:r>
          </w:p>
        </w:tc>
        <w:tc>
          <w:tcPr>
            <w:tcW w:w="7811" w:type="dxa"/>
            <w:noWrap w:val="0"/>
            <w:vAlign w:val="center"/>
          </w:tcPr>
          <w:p w14:paraId="6971C2E6">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投标人具有完善的培训方案，对操作、配送、管理等人员进行专业化培训，有完善的服务业务培训管理制度方案。</w:t>
            </w:r>
          </w:p>
          <w:p w14:paraId="7AC311F0">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①方案全面、合理、规范得4.1-5分；</w:t>
            </w:r>
          </w:p>
          <w:p w14:paraId="1DE6E80C">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②方案比较合理得3.1-4分；</w:t>
            </w:r>
          </w:p>
          <w:p w14:paraId="543B1337">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③方案简陋得 2.1-3分；</w:t>
            </w:r>
          </w:p>
          <w:p w14:paraId="755FC148">
            <w:pPr>
              <w:shd w:val="clear" w:color="auto" w:fill="auto"/>
              <w:adjustRightInd w:val="0"/>
              <w:snapToGrid w:val="0"/>
              <w:spacing w:line="360" w:lineRule="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④未提供不得分。</w:t>
            </w:r>
          </w:p>
        </w:tc>
      </w:tr>
      <w:tr w14:paraId="2B3D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8" w:type="dxa"/>
            <w:vMerge w:val="continue"/>
            <w:noWrap w:val="0"/>
            <w:vAlign w:val="center"/>
          </w:tcPr>
          <w:p w14:paraId="638DC328">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23595957">
            <w:pPr>
              <w:pStyle w:val="19"/>
              <w:shd w:val="clear" w:color="auto" w:fill="auto"/>
              <w:spacing w:after="0"/>
              <w:jc w:val="center"/>
              <w:rPr>
                <w:rFonts w:hint="eastAsia" w:ascii="仿宋" w:hAnsi="仿宋" w:eastAsia="仿宋" w:cs="仿宋"/>
                <w:color w:val="000000" w:themeColor="text1"/>
                <w:spacing w:val="-7"/>
                <w:sz w:val="21"/>
                <w:szCs w:val="24"/>
                <w:lang w:val="en-US"/>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服务承诺12分</w:t>
            </w:r>
          </w:p>
        </w:tc>
        <w:tc>
          <w:tcPr>
            <w:tcW w:w="7811" w:type="dxa"/>
            <w:noWrap w:val="0"/>
            <w:vAlign w:val="center"/>
          </w:tcPr>
          <w:p w14:paraId="34CA56C0">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投标人提供详细的服务承诺：①食材保鲜承诺、②出现质量问题退换承诺、③食材安全保证承诺、④配送时限保证承诺、⑤工作配合及服务态度承诺、⑥所供食材不高于市场价及每周公布的食材指导价保证承诺。</w:t>
            </w:r>
          </w:p>
          <w:p w14:paraId="587D0A61">
            <w:pPr>
              <w:shd w:val="clear" w:color="auto" w:fill="auto"/>
              <w:adjustRightInd w:val="0"/>
              <w:snapToGrid w:val="0"/>
              <w:spacing w:line="360" w:lineRule="auto"/>
              <w:rPr>
                <w:rFonts w:hint="eastAsia" w:ascii="仿宋" w:hAnsi="仿宋" w:eastAsia="仿宋" w:cs="仿宋"/>
                <w:color w:val="000000" w:themeColor="text1"/>
                <w:spacing w:val="-5"/>
                <w:sz w:val="21"/>
                <w:szCs w:val="24"/>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根据承诺的全面性、合理性等方面综合评审，提供1项得1.1-2分，最高得12分，</w:t>
            </w:r>
            <w:r>
              <w:rPr>
                <w:rFonts w:hint="eastAsia" w:ascii="仿宋" w:hAnsi="仿宋" w:eastAsia="仿宋" w:cs="仿宋"/>
                <w:color w:val="000000" w:themeColor="text1"/>
                <w:kern w:val="1"/>
                <w:sz w:val="22"/>
                <w:szCs w:val="22"/>
                <w:lang w:val="en-US" w:eastAsia="zh-CN"/>
                <w14:textFill>
                  <w14:solidFill>
                    <w14:schemeClr w14:val="tx1"/>
                  </w14:solidFill>
                </w14:textFill>
              </w:rPr>
              <w:t>未提供不得分。</w:t>
            </w:r>
          </w:p>
        </w:tc>
      </w:tr>
      <w:tr w14:paraId="6845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8" w:type="dxa"/>
            <w:vMerge w:val="continue"/>
            <w:noWrap w:val="0"/>
            <w:vAlign w:val="center"/>
          </w:tcPr>
          <w:p w14:paraId="554B9680">
            <w:pPr>
              <w:shd w:val="clear" w:color="auto" w:fill="auto"/>
              <w:jc w:val="center"/>
              <w:rPr>
                <w:rFonts w:hint="eastAsia" w:ascii="仿宋" w:hAnsi="仿宋" w:eastAsia="仿宋" w:cs="仿宋"/>
                <w:color w:val="000000" w:themeColor="text1"/>
                <w:sz w:val="22"/>
                <w:szCs w:val="22"/>
                <w14:textFill>
                  <w14:solidFill>
                    <w14:schemeClr w14:val="tx1"/>
                  </w14:solidFill>
                </w14:textFill>
              </w:rPr>
            </w:pPr>
          </w:p>
        </w:tc>
        <w:tc>
          <w:tcPr>
            <w:tcW w:w="1065" w:type="dxa"/>
            <w:noWrap w:val="0"/>
            <w:vAlign w:val="center"/>
          </w:tcPr>
          <w:p w14:paraId="73E9FC4A">
            <w:pPr>
              <w:pStyle w:val="19"/>
              <w:shd w:val="clear" w:color="auto" w:fill="auto"/>
              <w:spacing w:after="0"/>
              <w:jc w:val="center"/>
              <w:rPr>
                <w:rFonts w:hint="eastAsia" w:ascii="仿宋" w:hAnsi="仿宋" w:eastAsia="仿宋" w:cs="仿宋"/>
                <w:color w:val="000000" w:themeColor="text1"/>
                <w:spacing w:val="-7"/>
                <w:sz w:val="21"/>
                <w:szCs w:val="24"/>
                <w:lang w:val="en-US"/>
                <w14:textFill>
                  <w14:solidFill>
                    <w14:schemeClr w14:val="tx1"/>
                  </w14:solidFill>
                </w14:textFill>
              </w:rPr>
            </w:pPr>
            <w:r>
              <w:rPr>
                <w:rFonts w:hint="eastAsia" w:ascii="仿宋" w:hAnsi="仿宋" w:eastAsia="仿宋" w:cs="仿宋"/>
                <w:color w:val="000000" w:themeColor="text1"/>
                <w:kern w:val="1"/>
                <w:sz w:val="22"/>
                <w:szCs w:val="22"/>
                <w:lang w:val="en-US" w:eastAsia="zh-CN" w:bidi="ar-SA"/>
                <w14:textFill>
                  <w14:solidFill>
                    <w14:schemeClr w14:val="tx1"/>
                  </w14:solidFill>
                </w14:textFill>
              </w:rPr>
              <w:t>突发事件处理方案8分</w:t>
            </w:r>
          </w:p>
        </w:tc>
        <w:tc>
          <w:tcPr>
            <w:tcW w:w="7811" w:type="dxa"/>
            <w:noWrap w:val="0"/>
            <w:vAlign w:val="center"/>
          </w:tcPr>
          <w:p w14:paraId="1E234509">
            <w:pPr>
              <w:shd w:val="clear" w:color="auto" w:fill="auto"/>
              <w:adjustRightInd w:val="0"/>
              <w:snapToGrid w:val="0"/>
              <w:spacing w:line="360" w:lineRule="auto"/>
              <w:rPr>
                <w:rFonts w:hint="eastAsia" w:ascii="仿宋" w:hAnsi="仿宋" w:eastAsia="仿宋" w:cs="仿宋"/>
                <w:color w:val="000000" w:themeColor="text1"/>
                <w:kern w:val="1"/>
                <w:sz w:val="22"/>
                <w:szCs w:val="22"/>
                <w:lang w:val="en-US" w:eastAsia="zh-CN"/>
                <w14:textFill>
                  <w14:solidFill>
                    <w14:schemeClr w14:val="tx1"/>
                  </w14:solidFill>
                </w14:textFill>
              </w:rPr>
            </w:pPr>
            <w:r>
              <w:rPr>
                <w:rFonts w:hint="eastAsia" w:ascii="仿宋" w:hAnsi="仿宋" w:eastAsia="仿宋" w:cs="仿宋"/>
                <w:color w:val="000000" w:themeColor="text1"/>
                <w:kern w:val="1"/>
                <w:sz w:val="22"/>
                <w:szCs w:val="22"/>
                <w:lang w:val="en-US" w:eastAsia="zh-CN"/>
                <w14:textFill>
                  <w14:solidFill>
                    <w14:schemeClr w14:val="tx1"/>
                  </w14:solidFill>
                </w14:textFill>
              </w:rPr>
              <w:t>投标人针对本项目制定突发事件处理方案：①针对恶劣天气影响、②问题食材更换、③食物中毒等重大突发公共卫生事件特殊情况、④紧急缺货补货（1小时之内送到）</w:t>
            </w:r>
          </w:p>
          <w:p w14:paraId="7914BB36">
            <w:pPr>
              <w:shd w:val="clear" w:color="auto" w:fill="auto"/>
              <w:adjustRightInd w:val="0"/>
              <w:snapToGrid w:val="0"/>
              <w:spacing w:line="360" w:lineRule="auto"/>
              <w:rPr>
                <w:rFonts w:hint="eastAsia" w:ascii="仿宋" w:hAnsi="仿宋" w:eastAsia="仿宋" w:cs="仿宋"/>
                <w:color w:val="000000" w:themeColor="text1"/>
                <w:spacing w:val="-4"/>
                <w:sz w:val="21"/>
                <w:szCs w:val="24"/>
                <w14:textFill>
                  <w14:solidFill>
                    <w14:schemeClr w14:val="tx1"/>
                  </w14:solidFill>
                </w14:textFill>
              </w:rPr>
            </w:pPr>
            <w:r>
              <w:rPr>
                <w:rFonts w:hint="eastAsia" w:ascii="仿宋" w:hAnsi="仿宋" w:eastAsia="仿宋" w:cs="仿宋"/>
                <w:b w:val="0"/>
                <w:color w:val="000000" w:themeColor="text1"/>
                <w:kern w:val="2"/>
                <w:sz w:val="22"/>
                <w:szCs w:val="22"/>
                <w:lang w:val="en-US" w:eastAsia="zh-CN" w:bidi="ar-SA"/>
                <w14:textFill>
                  <w14:solidFill>
                    <w14:schemeClr w14:val="tx1"/>
                  </w14:solidFill>
                </w14:textFill>
              </w:rPr>
              <w:t>根据方案的全面性、合理性等方面综合评审，提供1项得1.1-2分，最高得8分，</w:t>
            </w:r>
            <w:r>
              <w:rPr>
                <w:rFonts w:hint="eastAsia" w:ascii="仿宋" w:hAnsi="仿宋" w:eastAsia="仿宋" w:cs="仿宋"/>
                <w:color w:val="000000" w:themeColor="text1"/>
                <w:kern w:val="1"/>
                <w:sz w:val="22"/>
                <w:szCs w:val="22"/>
                <w:lang w:val="en-US" w:eastAsia="zh-CN"/>
                <w14:textFill>
                  <w14:solidFill>
                    <w14:schemeClr w14:val="tx1"/>
                  </w14:solidFill>
                </w14:textFill>
              </w:rPr>
              <w:t>未提供不得分。</w:t>
            </w:r>
          </w:p>
        </w:tc>
      </w:tr>
    </w:tbl>
    <w:p w14:paraId="1B5D323E">
      <w:pPr>
        <w:snapToGrid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p w14:paraId="62D0C7AF">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 若出现综合得分并列时，比较技术得分，此分项得分高者排序在前；若技术得分仍相同，比较价格得分，此分项得分高者排序在前；若投标报价得分仍相同，则由评标委员会无记名投票，得票高者排序在前；</w:t>
      </w:r>
    </w:p>
    <w:p w14:paraId="4D63D850">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 评委打分超过得分界限或未按本方法赋分时，该评委的打分按废票处理；</w:t>
      </w:r>
    </w:p>
    <w:p w14:paraId="64D48FC8">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 各种计算采用插入法，数字均保留两位小数，第三位“四舍五入”；</w:t>
      </w:r>
    </w:p>
    <w:p w14:paraId="4B63400E">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4）投标文件对评标内容无响应的，该项评分按照0分计算；</w:t>
      </w:r>
    </w:p>
    <w:p w14:paraId="4F44B024">
      <w:pPr>
        <w:snapToGrid w:val="0"/>
        <w:spacing w:line="360" w:lineRule="auto"/>
        <w:ind w:firstLine="210" w:firstLineChars="1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5）本项目以</w:t>
      </w:r>
      <w:r>
        <w:rPr>
          <w:rFonts w:hint="eastAsia" w:ascii="仿宋" w:hAnsi="仿宋" w:eastAsia="仿宋" w:cs="仿宋"/>
          <w:color w:val="000000" w:themeColor="text1"/>
          <w:szCs w:val="21"/>
          <w:lang w:val="en-US" w:eastAsia="zh-CN"/>
          <w14:textFill>
            <w14:solidFill>
              <w14:schemeClr w14:val="tx1"/>
            </w14:solidFill>
          </w14:textFill>
        </w:rPr>
        <w:t>费率（%）</w:t>
      </w:r>
      <w:r>
        <w:rPr>
          <w:rFonts w:hint="eastAsia" w:ascii="仿宋" w:hAnsi="仿宋" w:eastAsia="仿宋" w:cs="仿宋"/>
          <w:color w:val="000000" w:themeColor="text1"/>
          <w:szCs w:val="21"/>
          <w14:textFill>
            <w14:solidFill>
              <w14:schemeClr w14:val="tx1"/>
            </w14:solidFill>
          </w14:textFill>
        </w:rPr>
        <w:t>为计量进行评标。</w:t>
      </w:r>
    </w:p>
    <w:p w14:paraId="53FAAD51">
      <w:pPr>
        <w:snapToGrid w:val="0"/>
        <w:spacing w:line="360" w:lineRule="auto"/>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kern w:val="1"/>
          <w:szCs w:val="21"/>
          <w14:textFill>
            <w14:solidFill>
              <w14:schemeClr w14:val="tx1"/>
            </w14:solidFill>
          </w14:textFill>
        </w:rPr>
        <w:t>3.</w:t>
      </w:r>
      <w:r>
        <w:rPr>
          <w:rFonts w:hint="eastAsia" w:ascii="仿宋" w:hAnsi="仿宋" w:eastAsia="仿宋" w:cs="仿宋"/>
          <w:b/>
          <w:bCs/>
          <w:color w:val="000000" w:themeColor="text1"/>
          <w:szCs w:val="21"/>
          <w14:textFill>
            <w14:solidFill>
              <w14:schemeClr w14:val="tx1"/>
            </w14:solidFill>
          </w14:textFill>
        </w:rPr>
        <w:t>3、无效投标文件的认定</w:t>
      </w:r>
    </w:p>
    <w:p w14:paraId="0187111B">
      <w:pPr>
        <w:pStyle w:val="20"/>
        <w:tabs>
          <w:tab w:val="left" w:pos="600"/>
        </w:tabs>
        <w:snapToGrid w:val="0"/>
        <w:spacing w:after="0" w:line="360" w:lineRule="auto"/>
        <w:ind w:left="0" w:leftChars="0"/>
        <w:jc w:val="left"/>
        <w:rPr>
          <w:rFonts w:ascii="仿宋" w:hAnsi="仿宋" w:eastAsia="仿宋" w:cs="仿宋"/>
          <w:color w:val="000000" w:themeColor="text1"/>
          <w:kern w:val="2"/>
          <w:sz w:val="21"/>
          <w:szCs w:val="21"/>
          <w:lang w:val="zh-CN"/>
          <w14:textFill>
            <w14:solidFill>
              <w14:schemeClr w14:val="tx1"/>
            </w14:solidFill>
          </w14:textFill>
        </w:rPr>
      </w:pPr>
      <w:r>
        <w:rPr>
          <w:rFonts w:hint="eastAsia" w:ascii="仿宋" w:hAnsi="仿宋" w:eastAsia="仿宋" w:cs="仿宋"/>
          <w:color w:val="000000" w:themeColor="text1"/>
          <w:kern w:val="1"/>
          <w:sz w:val="21"/>
          <w:szCs w:val="21"/>
          <w14:textFill>
            <w14:solidFill>
              <w14:schemeClr w14:val="tx1"/>
            </w14:solidFill>
          </w14:textFill>
        </w:rPr>
        <w:t>3.</w:t>
      </w:r>
      <w:r>
        <w:rPr>
          <w:rFonts w:hint="eastAsia" w:ascii="仿宋" w:hAnsi="仿宋" w:eastAsia="仿宋" w:cs="仿宋"/>
          <w:color w:val="000000" w:themeColor="text1"/>
          <w:kern w:val="2"/>
          <w:sz w:val="21"/>
          <w:szCs w:val="21"/>
          <w14:textFill>
            <w14:solidFill>
              <w14:schemeClr w14:val="tx1"/>
            </w14:solidFill>
          </w14:textFill>
        </w:rPr>
        <w:t>3</w:t>
      </w:r>
      <w:r>
        <w:rPr>
          <w:rFonts w:hint="eastAsia" w:ascii="仿宋" w:hAnsi="仿宋" w:eastAsia="仿宋" w:cs="仿宋"/>
          <w:color w:val="000000" w:themeColor="text1"/>
          <w:kern w:val="2"/>
          <w:sz w:val="21"/>
          <w:szCs w:val="21"/>
          <w:lang w:val="zh-CN"/>
          <w14:textFill>
            <w14:solidFill>
              <w14:schemeClr w14:val="tx1"/>
            </w14:solidFill>
          </w14:textFill>
        </w:rPr>
        <w:t>.1、在评审过程中，出现下列情形之一的，应作为无效投标文件：</w:t>
      </w:r>
    </w:p>
    <w:p w14:paraId="5474D286">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.1.1、投标人未经过正常渠道获取招标文件的；</w:t>
      </w:r>
    </w:p>
    <w:p w14:paraId="46451D31">
      <w:pPr>
        <w:pStyle w:val="33"/>
        <w:snapToGrid w:val="0"/>
        <w:spacing w:after="0" w:line="360" w:lineRule="auto"/>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kern w:val="1"/>
          <w:sz w:val="21"/>
          <w:szCs w:val="21"/>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3</w:t>
      </w:r>
      <w:r>
        <w:rPr>
          <w:rFonts w:hint="eastAsia" w:ascii="仿宋" w:hAnsi="仿宋" w:eastAsia="仿宋" w:cs="仿宋"/>
          <w:color w:val="000000" w:themeColor="text1"/>
          <w:sz w:val="21"/>
          <w:szCs w:val="21"/>
          <w:lang w:val="zh-CN"/>
          <w14:textFill>
            <w14:solidFill>
              <w14:schemeClr w14:val="tx1"/>
            </w14:solidFill>
          </w14:textFill>
        </w:rPr>
        <w:t>.1.2、投标人名称与登记获取招标文件单位的名称不一致的；</w:t>
      </w:r>
    </w:p>
    <w:p w14:paraId="4FF4A6D6">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bookmarkStart w:id="234" w:name="_Toc455956649"/>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.1.3、未按照招标文件规定和要求签署、盖章的;</w:t>
      </w:r>
    </w:p>
    <w:p w14:paraId="575469D1">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zh-CN"/>
          <w14:textFill>
            <w14:solidFill>
              <w14:schemeClr w14:val="tx1"/>
            </w14:solidFill>
          </w14:textFill>
        </w:rPr>
        <w:t>、不具备招标文件中规定的资格条件和资格审查要求的;</w:t>
      </w:r>
    </w:p>
    <w:p w14:paraId="05A4DB63">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szCs w:val="21"/>
          <w:lang w:val="zh-CN"/>
          <w14:textFill>
            <w14:solidFill>
              <w14:schemeClr w14:val="tx1"/>
            </w14:solidFill>
          </w14:textFill>
        </w:rPr>
        <w:t>、未按照招标文件规定的格式要求编制的；</w:t>
      </w:r>
    </w:p>
    <w:p w14:paraId="3EF56953">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6</w:t>
      </w:r>
      <w:r>
        <w:rPr>
          <w:rFonts w:hint="eastAsia" w:ascii="仿宋" w:hAnsi="仿宋" w:eastAsia="仿宋" w:cs="仿宋"/>
          <w:color w:val="000000" w:themeColor="text1"/>
          <w:szCs w:val="21"/>
          <w:lang w:val="zh-CN"/>
          <w14:textFill>
            <w14:solidFill>
              <w14:schemeClr w14:val="tx1"/>
            </w14:solidFill>
          </w14:textFill>
        </w:rPr>
        <w:t>、未按</w:t>
      </w:r>
      <w:r>
        <w:rPr>
          <w:rFonts w:hint="eastAsia" w:ascii="仿宋" w:hAnsi="仿宋" w:eastAsia="仿宋" w:cs="仿宋"/>
          <w:color w:val="000000" w:themeColor="text1"/>
          <w:szCs w:val="21"/>
          <w14:textFill>
            <w14:solidFill>
              <w14:schemeClr w14:val="tx1"/>
            </w14:solidFill>
          </w14:textFill>
        </w:rPr>
        <w:t>招标文件</w:t>
      </w:r>
      <w:r>
        <w:rPr>
          <w:rFonts w:hint="eastAsia" w:ascii="仿宋" w:hAnsi="仿宋" w:eastAsia="仿宋" w:cs="仿宋"/>
          <w:color w:val="000000" w:themeColor="text1"/>
          <w:szCs w:val="21"/>
          <w:lang w:val="zh-CN"/>
          <w14:textFill>
            <w14:solidFill>
              <w14:schemeClr w14:val="tx1"/>
            </w14:solidFill>
          </w14:textFill>
        </w:rPr>
        <w:t>要求提交投标文件的；</w:t>
      </w:r>
    </w:p>
    <w:p w14:paraId="69EB4839">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7</w:t>
      </w:r>
      <w:r>
        <w:rPr>
          <w:rFonts w:hint="eastAsia" w:ascii="仿宋" w:hAnsi="仿宋" w:eastAsia="仿宋" w:cs="仿宋"/>
          <w:color w:val="000000" w:themeColor="text1"/>
          <w:szCs w:val="21"/>
          <w:lang w:val="zh-CN"/>
          <w14:textFill>
            <w14:solidFill>
              <w14:schemeClr w14:val="tx1"/>
            </w14:solidFill>
          </w14:textFill>
        </w:rPr>
        <w:t>、进口货物（产品）未办理正常进口手续的（如有）；</w:t>
      </w:r>
    </w:p>
    <w:p w14:paraId="46B0E38A">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szCs w:val="21"/>
          <w:lang w:val="zh-CN"/>
          <w14:textFill>
            <w14:solidFill>
              <w14:schemeClr w14:val="tx1"/>
            </w14:solidFill>
          </w14:textFill>
        </w:rPr>
        <w:t>、提供响应内容出现漏项或数量与要求不符的；</w:t>
      </w:r>
    </w:p>
    <w:p w14:paraId="4BF9EC19">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9</w:t>
      </w:r>
      <w:r>
        <w:rPr>
          <w:rFonts w:hint="eastAsia" w:ascii="仿宋" w:hAnsi="仿宋" w:eastAsia="仿宋" w:cs="仿宋"/>
          <w:color w:val="000000" w:themeColor="text1"/>
          <w:szCs w:val="21"/>
          <w:lang w:val="zh-CN"/>
          <w14:textFill>
            <w14:solidFill>
              <w14:schemeClr w14:val="tx1"/>
            </w14:solidFill>
          </w14:textFill>
        </w:rPr>
        <w:t>、响应的</w:t>
      </w:r>
      <w:r>
        <w:rPr>
          <w:rFonts w:hint="eastAsia" w:ascii="仿宋" w:hAnsi="仿宋" w:eastAsia="仿宋" w:cs="仿宋"/>
          <w:color w:val="000000" w:themeColor="text1"/>
          <w:szCs w:val="21"/>
          <w:lang w:eastAsia="zh-CN"/>
          <w14:textFill>
            <w14:solidFill>
              <w14:schemeClr w14:val="tx1"/>
            </w14:solidFill>
          </w14:textFill>
        </w:rPr>
        <w:t>服务</w:t>
      </w:r>
      <w:r>
        <w:rPr>
          <w:rFonts w:hint="eastAsia" w:ascii="仿宋" w:hAnsi="仿宋" w:eastAsia="仿宋" w:cs="仿宋"/>
          <w:color w:val="000000" w:themeColor="text1"/>
          <w:szCs w:val="21"/>
          <w:lang w:val="en-US" w:eastAsia="zh-CN"/>
          <w14:textFill>
            <w14:solidFill>
              <w14:schemeClr w14:val="tx1"/>
            </w14:solidFill>
          </w14:textFill>
        </w:rPr>
        <w:t>周期</w:t>
      </w:r>
      <w:r>
        <w:rPr>
          <w:rFonts w:hint="eastAsia" w:ascii="仿宋" w:hAnsi="仿宋" w:eastAsia="仿宋" w:cs="仿宋"/>
          <w:color w:val="000000" w:themeColor="text1"/>
          <w:szCs w:val="21"/>
          <w:lang w:val="zh-CN"/>
          <w14:textFill>
            <w14:solidFill>
              <w14:schemeClr w14:val="tx1"/>
            </w14:solidFill>
          </w14:textFill>
        </w:rPr>
        <w:t>等商务条款不能满足招标要求的；</w:t>
      </w:r>
    </w:p>
    <w:p w14:paraId="63F428D4">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0</w:t>
      </w:r>
      <w:r>
        <w:rPr>
          <w:rFonts w:hint="eastAsia" w:ascii="仿宋" w:hAnsi="仿宋" w:eastAsia="仿宋" w:cs="仿宋"/>
          <w:color w:val="000000" w:themeColor="text1"/>
          <w:szCs w:val="21"/>
          <w:lang w:val="zh-CN"/>
          <w14:textFill>
            <w14:solidFill>
              <w14:schemeClr w14:val="tx1"/>
            </w14:solidFill>
          </w14:textFill>
        </w:rPr>
        <w:t>、投标人的报价超过了采购人的</w:t>
      </w:r>
      <w:r>
        <w:rPr>
          <w:rFonts w:hint="eastAsia" w:ascii="仿宋" w:hAnsi="仿宋" w:eastAsia="仿宋" w:cs="仿宋"/>
          <w:color w:val="000000" w:themeColor="text1"/>
          <w:szCs w:val="21"/>
          <w14:textFill>
            <w14:solidFill>
              <w14:schemeClr w14:val="tx1"/>
            </w14:solidFill>
          </w14:textFill>
        </w:rPr>
        <w:t>最高限价</w:t>
      </w:r>
      <w:r>
        <w:rPr>
          <w:rFonts w:hint="eastAsia" w:ascii="仿宋" w:hAnsi="仿宋" w:eastAsia="仿宋" w:cs="仿宋"/>
          <w:color w:val="000000" w:themeColor="text1"/>
          <w:szCs w:val="21"/>
          <w:lang w:val="zh-CN"/>
          <w14:textFill>
            <w14:solidFill>
              <w14:schemeClr w14:val="tx1"/>
            </w14:solidFill>
          </w14:textFill>
        </w:rPr>
        <w:t>；</w:t>
      </w:r>
    </w:p>
    <w:p w14:paraId="515F7169">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kern w:val="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lang w:val="zh-CN"/>
          <w14:textFill>
            <w14:solidFill>
              <w14:schemeClr w14:val="tx1"/>
            </w14:solidFill>
          </w14:textFill>
        </w:rPr>
        <w:t>.1.1</w:t>
      </w: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val="zh-CN"/>
          <w14:textFill>
            <w14:solidFill>
              <w14:schemeClr w14:val="tx1"/>
            </w14:solidFill>
          </w14:textFill>
        </w:rPr>
        <w:t>、投标文件中附有采购人不能接受的条件；</w:t>
      </w:r>
    </w:p>
    <w:p w14:paraId="33DC77C7">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14:textFill>
            <w14:solidFill>
              <w14:schemeClr w14:val="tx1"/>
            </w14:solidFill>
          </w14:textFill>
        </w:rPr>
        <w:t>2</w:t>
      </w:r>
      <w:r>
        <w:rPr>
          <w:rFonts w:hint="eastAsia" w:ascii="仿宋" w:hAnsi="仿宋" w:eastAsia="仿宋" w:cs="仿宋"/>
          <w:b w:val="0"/>
          <w:color w:val="000000" w:themeColor="text1"/>
          <w:kern w:val="2"/>
          <w:sz w:val="21"/>
          <w:szCs w:val="21"/>
          <w:lang w:val="zh-CN"/>
          <w14:textFill>
            <w14:solidFill>
              <w14:schemeClr w14:val="tx1"/>
            </w14:solidFill>
          </w14:textFill>
        </w:rPr>
        <w:t>、未载明或者载明的采购项目履约时间、方式、质量标准及其他政府采购合同实质性内容与招标文件要求不一致；</w:t>
      </w:r>
    </w:p>
    <w:p w14:paraId="35638B52">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lang w:val="en-US" w:eastAsia="zh-CN"/>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、投标文件的关键内容字迹模糊和无法辨认的；</w:t>
      </w:r>
    </w:p>
    <w:p w14:paraId="3683761C">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lang w:val="en-US" w:eastAsia="zh-CN"/>
          <w14:textFill>
            <w14:solidFill>
              <w14:schemeClr w14:val="tx1"/>
            </w14:solidFill>
          </w14:textFill>
        </w:rPr>
        <w:t>4</w:t>
      </w:r>
      <w:r>
        <w:rPr>
          <w:rFonts w:hint="eastAsia" w:ascii="仿宋" w:hAnsi="仿宋" w:eastAsia="仿宋" w:cs="仿宋"/>
          <w:b w:val="0"/>
          <w:color w:val="000000" w:themeColor="text1"/>
          <w:kern w:val="2"/>
          <w:sz w:val="21"/>
          <w:szCs w:val="21"/>
          <w:lang w:val="zh-CN"/>
          <w14:textFill>
            <w14:solidFill>
              <w14:schemeClr w14:val="tx1"/>
            </w14:solidFill>
          </w14:textFill>
        </w:rPr>
        <w:t>、投标文件不符合招标文件规定的其他情形的；</w:t>
      </w:r>
    </w:p>
    <w:p w14:paraId="6F28B633">
      <w:pPr>
        <w:pStyle w:val="20"/>
        <w:tabs>
          <w:tab w:val="left" w:pos="600"/>
        </w:tabs>
        <w:snapToGrid w:val="0"/>
        <w:spacing w:after="0" w:line="360" w:lineRule="auto"/>
        <w:ind w:left="0" w:leftChars="0" w:firstLine="420" w:firstLineChars="200"/>
        <w:rPr>
          <w:rFonts w:ascii="仿宋" w:hAnsi="仿宋" w:eastAsia="仿宋" w:cs="仿宋"/>
          <w:b w:val="0"/>
          <w:color w:val="000000" w:themeColor="text1"/>
          <w:kern w:val="2"/>
          <w:sz w:val="21"/>
          <w:szCs w:val="21"/>
          <w:lang w:val="zh-CN"/>
          <w14:textFill>
            <w14:solidFill>
              <w14:schemeClr w14:val="tx1"/>
            </w14:solidFill>
          </w14:textFill>
        </w:rPr>
      </w:pPr>
      <w:r>
        <w:rPr>
          <w:rFonts w:hint="eastAsia" w:ascii="仿宋" w:hAnsi="仿宋" w:eastAsia="仿宋" w:cs="仿宋"/>
          <w:b w:val="0"/>
          <w:color w:val="000000" w:themeColor="text1"/>
          <w:kern w:val="1"/>
          <w:sz w:val="21"/>
          <w:szCs w:val="21"/>
          <w14:textFill>
            <w14:solidFill>
              <w14:schemeClr w14:val="tx1"/>
            </w14:solidFill>
          </w14:textFill>
        </w:rPr>
        <w:t>3.</w:t>
      </w:r>
      <w:r>
        <w:rPr>
          <w:rFonts w:hint="eastAsia" w:ascii="仿宋" w:hAnsi="仿宋" w:eastAsia="仿宋" w:cs="仿宋"/>
          <w:b w:val="0"/>
          <w:color w:val="000000" w:themeColor="text1"/>
          <w:kern w:val="2"/>
          <w:sz w:val="21"/>
          <w:szCs w:val="21"/>
          <w14:textFill>
            <w14:solidFill>
              <w14:schemeClr w14:val="tx1"/>
            </w14:solidFill>
          </w14:textFill>
        </w:rPr>
        <w:t>3</w:t>
      </w:r>
      <w:r>
        <w:rPr>
          <w:rFonts w:hint="eastAsia" w:ascii="仿宋" w:hAnsi="仿宋" w:eastAsia="仿宋" w:cs="仿宋"/>
          <w:b w:val="0"/>
          <w:color w:val="000000" w:themeColor="text1"/>
          <w:kern w:val="2"/>
          <w:sz w:val="21"/>
          <w:szCs w:val="21"/>
          <w:lang w:val="zh-CN"/>
          <w14:textFill>
            <w14:solidFill>
              <w14:schemeClr w14:val="tx1"/>
            </w14:solidFill>
          </w14:textFill>
        </w:rPr>
        <w:t>.1.1</w:t>
      </w:r>
      <w:r>
        <w:rPr>
          <w:rFonts w:hint="eastAsia" w:ascii="仿宋" w:hAnsi="仿宋" w:eastAsia="仿宋" w:cs="仿宋"/>
          <w:b w:val="0"/>
          <w:color w:val="000000" w:themeColor="text1"/>
          <w:kern w:val="2"/>
          <w:sz w:val="21"/>
          <w:szCs w:val="21"/>
          <w:lang w:val="en-US" w:eastAsia="zh-CN"/>
          <w14:textFill>
            <w14:solidFill>
              <w14:schemeClr w14:val="tx1"/>
            </w14:solidFill>
          </w14:textFill>
        </w:rPr>
        <w:t>5</w:t>
      </w:r>
      <w:r>
        <w:rPr>
          <w:rFonts w:hint="eastAsia" w:ascii="仿宋" w:hAnsi="仿宋" w:eastAsia="仿宋" w:cs="仿宋"/>
          <w:b w:val="0"/>
          <w:color w:val="000000" w:themeColor="text1"/>
          <w:kern w:val="2"/>
          <w:sz w:val="21"/>
          <w:szCs w:val="21"/>
          <w:lang w:val="zh-CN"/>
          <w14:textFill>
            <w14:solidFill>
              <w14:schemeClr w14:val="tx1"/>
            </w14:solidFill>
          </w14:textFill>
        </w:rPr>
        <w:t>、投标文件不符合法律法规要求的。</w:t>
      </w:r>
    </w:p>
    <w:p w14:paraId="4C194CF2">
      <w:pPr>
        <w:widowControl/>
        <w:autoSpaceDE w:val="0"/>
        <w:autoSpaceDN w:val="0"/>
        <w:snapToGrid w:val="0"/>
        <w:spacing w:line="360" w:lineRule="auto"/>
        <w:textAlignment w:val="bottom"/>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3.4、特殊情况的处理</w:t>
      </w:r>
    </w:p>
    <w:p w14:paraId="5D745039">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.1、投标文件中如果出现前后不一致的，按照下列规定修正：</w:t>
      </w:r>
    </w:p>
    <w:p w14:paraId="6AB66E21">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.1.1、投标文件中的大写金额与小写金额不一致的，以大写金额为准；</w:t>
      </w:r>
    </w:p>
    <w:p w14:paraId="507EAB47">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.1.2、投标文件中的总报价与按单价计算的汇总报价不一致的，以单价计算的汇总报价为准；</w:t>
      </w:r>
    </w:p>
    <w:p w14:paraId="37A01361">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.1.3、投标文件中的报价有明显小数点错误的，以总报价为准，并修改报价；</w:t>
      </w:r>
    </w:p>
    <w:p w14:paraId="6F465822">
      <w:pPr>
        <w:snapToGrid w:val="0"/>
        <w:spacing w:line="360" w:lineRule="auto"/>
        <w:ind w:firstLine="420"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.1.4、投标文件中图表与文字表述不一致的，以文字表述为准；</w:t>
      </w:r>
    </w:p>
    <w:p w14:paraId="69755F86">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.1.5、投标文件正本与副本不一致的，以正本为准；</w:t>
      </w:r>
    </w:p>
    <w:p w14:paraId="3E1754E5">
      <w:pPr>
        <w:pStyle w:val="12"/>
        <w:snapToGrid w:val="0"/>
        <w:spacing w:line="360" w:lineRule="auto"/>
        <w:ind w:firstLineChars="200"/>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.1.6、对不同文字文本投标文件的解释发生异议的，以中文文本为准。</w:t>
      </w:r>
    </w:p>
    <w:p w14:paraId="4B33ADB9">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.1.7、按上述修正错误的方法调整的报价应对投标人具有约束力。如果投标人不接受修正后的价格，投标文件按无效处理。</w:t>
      </w:r>
    </w:p>
    <w:p w14:paraId="1F867037">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.2、 投标文件中，若某项内容为零报价、无报价，经评标委员会评审后，报价得分为零，不参与投标报价分值的计算。</w:t>
      </w:r>
    </w:p>
    <w:p w14:paraId="67D5E9F7">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.3、评标过程中，若出现本评审办法以外的特殊情况时，将暂停评标，待评标委员会商榷后，再进行评定。</w:t>
      </w:r>
    </w:p>
    <w:p w14:paraId="29F53E90">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.4、评标结果汇总完成后，除下列情形外，任何人不得修改评标结果：</w:t>
      </w:r>
    </w:p>
    <w:p w14:paraId="3AD3CE91">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.4.1、分值汇总计算错误的；</w:t>
      </w:r>
    </w:p>
    <w:p w14:paraId="308840D8">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.4.2、分项评分超出评分标准范围的；</w:t>
      </w:r>
    </w:p>
    <w:p w14:paraId="20A07680">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.4.3、评标委员会对客观评标因素评分不一致的；</w:t>
      </w:r>
    </w:p>
    <w:p w14:paraId="08C11532">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.4.4、经评标委员会认定评分畸高、畸低的。</w:t>
      </w:r>
    </w:p>
    <w:p w14:paraId="719A9EEE">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本级财政部门认定。</w:t>
      </w:r>
    </w:p>
    <w:p w14:paraId="722D4AFE">
      <w:pPr>
        <w:widowControl/>
        <w:autoSpaceDE w:val="0"/>
        <w:autoSpaceDN w:val="0"/>
        <w:snapToGrid w:val="0"/>
        <w:spacing w:line="360" w:lineRule="auto"/>
        <w:ind w:right="53" w:firstLine="420" w:firstLineChars="20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w:t>
      </w:r>
      <w:r>
        <w:rPr>
          <w:rFonts w:hint="eastAsia" w:ascii="仿宋" w:hAnsi="仿宋" w:eastAsia="仿宋" w:cs="仿宋"/>
          <w:color w:val="000000" w:themeColor="text1"/>
          <w:szCs w:val="21"/>
          <w:lang w:val="zh-CN"/>
          <w14:textFill>
            <w14:solidFill>
              <w14:schemeClr w14:val="tx1"/>
            </w14:solidFill>
          </w14:textFill>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4EB48209">
      <w:pPr>
        <w:widowControl/>
        <w:autoSpaceDE w:val="0"/>
        <w:autoSpaceDN w:val="0"/>
        <w:snapToGrid w:val="0"/>
        <w:spacing w:line="360" w:lineRule="auto"/>
        <w:ind w:firstLine="361" w:firstLineChars="150"/>
        <w:textAlignment w:val="bottom"/>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四、中标结果</w:t>
      </w:r>
      <w:bookmarkEnd w:id="234"/>
    </w:p>
    <w:p w14:paraId="56CB498A">
      <w:pPr>
        <w:widowControl/>
        <w:snapToGrid w:val="0"/>
        <w:spacing w:line="360" w:lineRule="auto"/>
        <w:ind w:firstLine="316" w:firstLineChars="15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4.1、中标原则</w:t>
      </w:r>
    </w:p>
    <w:p w14:paraId="553A3EAA">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采购人从</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报告中推荐的中标候选人中，按照排序由高到低的原则确定中标人。</w:t>
      </w:r>
    </w:p>
    <w:p w14:paraId="4D19CC32">
      <w:pPr>
        <w:widowControl/>
        <w:snapToGrid w:val="0"/>
        <w:spacing w:line="360" w:lineRule="auto"/>
        <w:ind w:firstLine="316" w:firstLineChars="150"/>
        <w:jc w:val="left"/>
        <w:rPr>
          <w:rFonts w:ascii="仿宋" w:hAnsi="仿宋" w:eastAsia="仿宋" w:cs="仿宋"/>
          <w:b/>
          <w:color w:val="000000" w:themeColor="text1"/>
          <w:szCs w:val="21"/>
          <w14:textFill>
            <w14:solidFill>
              <w14:schemeClr w14:val="tx1"/>
            </w14:solidFill>
          </w14:textFill>
        </w:rPr>
      </w:pPr>
      <w:bookmarkStart w:id="235" w:name="_Toc183582238"/>
      <w:bookmarkStart w:id="236" w:name="_Toc217446063"/>
      <w:bookmarkStart w:id="237" w:name="_Toc183682375"/>
      <w:r>
        <w:rPr>
          <w:rFonts w:hint="eastAsia" w:ascii="仿宋" w:hAnsi="仿宋" w:eastAsia="仿宋" w:cs="仿宋"/>
          <w:b/>
          <w:color w:val="000000" w:themeColor="text1"/>
          <w:szCs w:val="21"/>
          <w14:textFill>
            <w14:solidFill>
              <w14:schemeClr w14:val="tx1"/>
            </w14:solidFill>
          </w14:textFill>
        </w:rPr>
        <w:t>4.2、确定中标候选人</w:t>
      </w:r>
    </w:p>
    <w:p w14:paraId="0EBDC3F8">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.1、评标委员会将</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情况写出书面报告，至少推荐3名以上中标候选人 ，并按照综合得分高低标明排列顺序，综合得分相同的，按投标报价由低到高顺序排列；得分且投标报价相同的，按技术指标优劣顺序排列，以上全部相同的，由评标委员会投票决定。</w:t>
      </w:r>
    </w:p>
    <w:p w14:paraId="799A92F5">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.2、采购代理机构应当在</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结束后2个工作日内将</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报告送采购人确认。</w:t>
      </w:r>
    </w:p>
    <w:p w14:paraId="4723196E">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.3、采购人在收到</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报告后5个工作日内，按照</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报告推荐的中标候选人顺序和有关规定确定中标人。</w:t>
      </w:r>
    </w:p>
    <w:p w14:paraId="52017CB6">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.4、</w:t>
      </w:r>
      <w:r>
        <w:rPr>
          <w:rFonts w:hint="eastAsia" w:ascii="仿宋" w:hAnsi="仿宋" w:eastAsia="仿宋" w:cs="仿宋"/>
          <w:color w:val="000000" w:themeColor="text1"/>
          <w:szCs w:val="21"/>
          <w14:textFill>
            <w14:solidFill>
              <w14:schemeClr w14:val="tx1"/>
            </w14:solidFill>
          </w14:textFill>
        </w:rPr>
        <w:t>采购人或者</w:t>
      </w:r>
      <w:r>
        <w:rPr>
          <w:rFonts w:hint="eastAsia" w:ascii="仿宋" w:hAnsi="仿宋" w:eastAsia="仿宋" w:cs="仿宋"/>
          <w:color w:val="000000" w:themeColor="text1"/>
          <w:szCs w:val="21"/>
          <w:lang w:val="zh-CN"/>
          <w14:textFill>
            <w14:solidFill>
              <w14:schemeClr w14:val="tx1"/>
            </w14:solidFill>
          </w14:textFill>
        </w:rPr>
        <w:t>采购代理机构</w:t>
      </w:r>
      <w:r>
        <w:rPr>
          <w:rFonts w:hint="eastAsia" w:ascii="仿宋" w:hAnsi="仿宋" w:eastAsia="仿宋" w:cs="仿宋"/>
          <w:color w:val="000000" w:themeColor="text1"/>
          <w:szCs w:val="21"/>
          <w14:textFill>
            <w14:solidFill>
              <w14:schemeClr w14:val="tx1"/>
            </w14:solidFill>
          </w14:textFill>
        </w:rPr>
        <w:t>应当自</w:t>
      </w:r>
      <w:r>
        <w:rPr>
          <w:rFonts w:hint="eastAsia" w:ascii="仿宋" w:hAnsi="仿宋" w:eastAsia="仿宋" w:cs="仿宋"/>
          <w:color w:val="000000" w:themeColor="text1"/>
          <w:szCs w:val="21"/>
          <w:lang w:val="zh-CN"/>
          <w14:textFill>
            <w14:solidFill>
              <w14:schemeClr w14:val="tx1"/>
            </w14:solidFill>
          </w14:textFill>
        </w:rPr>
        <w:t>中标人</w:t>
      </w:r>
      <w:r>
        <w:rPr>
          <w:rFonts w:hint="eastAsia" w:ascii="仿宋" w:hAnsi="仿宋" w:eastAsia="仿宋" w:cs="仿宋"/>
          <w:color w:val="000000" w:themeColor="text1"/>
          <w:szCs w:val="21"/>
          <w14:textFill>
            <w14:solidFill>
              <w14:schemeClr w14:val="tx1"/>
            </w14:solidFill>
          </w14:textFill>
        </w:rPr>
        <w:t>确定</w:t>
      </w:r>
      <w:r>
        <w:rPr>
          <w:rFonts w:hint="eastAsia" w:ascii="仿宋" w:hAnsi="仿宋" w:eastAsia="仿宋" w:cs="仿宋"/>
          <w:color w:val="000000" w:themeColor="text1"/>
          <w:szCs w:val="21"/>
          <w:lang w:val="zh-CN"/>
          <w14:textFill>
            <w14:solidFill>
              <w14:schemeClr w14:val="tx1"/>
            </w14:solidFill>
          </w14:textFill>
        </w:rPr>
        <w:t>之日起2个工作日内，在财政部门指定的媒体《陕西省政府采购网》发布采购结果公告，同时向中标人发出《中标通知书》。</w:t>
      </w:r>
    </w:p>
    <w:p w14:paraId="44B677D8">
      <w:pPr>
        <w:snapToGrid w:val="0"/>
        <w:spacing w:line="360" w:lineRule="auto"/>
        <w:ind w:firstLine="315"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w:t>
      </w:r>
      <w:r>
        <w:rPr>
          <w:rFonts w:hint="eastAsia" w:ascii="仿宋" w:hAnsi="仿宋" w:eastAsia="仿宋" w:cs="仿宋"/>
          <w:color w:val="000000" w:themeColor="text1"/>
          <w:szCs w:val="21"/>
          <w:lang w:val="zh-CN"/>
          <w14:textFill>
            <w14:solidFill>
              <w14:schemeClr w14:val="tx1"/>
            </w14:solidFill>
          </w14:textFill>
        </w:rPr>
        <w:t>.5、采购代理机构将</w:t>
      </w:r>
      <w:r>
        <w:rPr>
          <w:rFonts w:hint="eastAsia" w:ascii="仿宋" w:hAnsi="仿宋" w:eastAsia="仿宋" w:cs="仿宋"/>
          <w:color w:val="000000" w:themeColor="text1"/>
          <w:szCs w:val="21"/>
          <w14:textFill>
            <w14:solidFill>
              <w14:schemeClr w14:val="tx1"/>
            </w14:solidFill>
          </w14:textFill>
        </w:rPr>
        <w:t>评标</w:t>
      </w:r>
      <w:r>
        <w:rPr>
          <w:rFonts w:hint="eastAsia" w:ascii="仿宋" w:hAnsi="仿宋" w:eastAsia="仿宋" w:cs="仿宋"/>
          <w:color w:val="000000" w:themeColor="text1"/>
          <w:szCs w:val="21"/>
          <w:lang w:val="zh-CN"/>
          <w14:textFill>
            <w14:solidFill>
              <w14:schemeClr w14:val="tx1"/>
            </w14:solidFill>
          </w14:textFill>
        </w:rPr>
        <w:t>过程与采购人情况书面报送有关监督机构备案</w:t>
      </w:r>
      <w:r>
        <w:rPr>
          <w:rFonts w:hint="eastAsia" w:ascii="仿宋" w:hAnsi="仿宋" w:eastAsia="仿宋" w:cs="仿宋"/>
          <w:color w:val="000000" w:themeColor="text1"/>
          <w:szCs w:val="21"/>
          <w14:textFill>
            <w14:solidFill>
              <w14:schemeClr w14:val="tx1"/>
            </w14:solidFill>
          </w14:textFill>
        </w:rPr>
        <w:t>。</w:t>
      </w:r>
    </w:p>
    <w:bookmarkEnd w:id="235"/>
    <w:bookmarkEnd w:id="236"/>
    <w:bookmarkEnd w:id="237"/>
    <w:p w14:paraId="74A7E11E">
      <w:pPr>
        <w:widowControl/>
        <w:snapToGrid w:val="0"/>
        <w:spacing w:line="360" w:lineRule="auto"/>
        <w:ind w:firstLine="316" w:firstLineChars="15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4.3、中标通知书</w:t>
      </w:r>
    </w:p>
    <w:p w14:paraId="30EDEA53">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w:t>
      </w:r>
      <w:r>
        <w:rPr>
          <w:rFonts w:hint="eastAsia" w:ascii="仿宋" w:hAnsi="仿宋" w:eastAsia="仿宋" w:cs="仿宋"/>
          <w:color w:val="000000" w:themeColor="text1"/>
          <w:szCs w:val="21"/>
          <w:lang w:val="zh-CN"/>
          <w14:textFill>
            <w14:solidFill>
              <w14:schemeClr w14:val="tx1"/>
            </w14:solidFill>
          </w14:textFill>
        </w:rPr>
        <w:t>.1、中标通知书是合同文件的组成部分，对采购人和中标人 具有同等法律效力。中标通知书发出后，采购人改变中标结果或者中标人放弃</w:t>
      </w:r>
      <w:r>
        <w:rPr>
          <w:rFonts w:hint="eastAsia" w:ascii="仿宋" w:hAnsi="仿宋" w:eastAsia="仿宋" w:cs="仿宋"/>
          <w:color w:val="000000" w:themeColor="text1"/>
          <w:szCs w:val="21"/>
          <w14:textFill>
            <w14:solidFill>
              <w14:schemeClr w14:val="tx1"/>
            </w14:solidFill>
          </w14:textFill>
        </w:rPr>
        <w:t>中标</w:t>
      </w:r>
      <w:r>
        <w:rPr>
          <w:rFonts w:hint="eastAsia" w:ascii="仿宋" w:hAnsi="仿宋" w:eastAsia="仿宋" w:cs="仿宋"/>
          <w:color w:val="000000" w:themeColor="text1"/>
          <w:szCs w:val="21"/>
          <w:lang w:val="zh-CN"/>
          <w14:textFill>
            <w14:solidFill>
              <w14:schemeClr w14:val="tx1"/>
            </w14:solidFill>
          </w14:textFill>
        </w:rPr>
        <w:t>，应按相关法律、规章、规范性文件的要求承担相应的法律责任。</w:t>
      </w:r>
    </w:p>
    <w:p w14:paraId="252F9B5D">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w:t>
      </w:r>
      <w:r>
        <w:rPr>
          <w:rFonts w:hint="eastAsia" w:ascii="仿宋" w:hAnsi="仿宋" w:eastAsia="仿宋" w:cs="仿宋"/>
          <w:color w:val="000000" w:themeColor="text1"/>
          <w:szCs w:val="21"/>
          <w:lang w:val="zh-CN"/>
          <w14:textFill>
            <w14:solidFill>
              <w14:schemeClr w14:val="tx1"/>
            </w14:solidFill>
          </w14:textFill>
        </w:rPr>
        <w:t>.2、中标人应当在接到采购代理机构通知之日起5个工作日内，领取《中标通知书》。</w:t>
      </w:r>
    </w:p>
    <w:p w14:paraId="1B7D7A7E">
      <w:pPr>
        <w:widowControl/>
        <w:autoSpaceDE w:val="0"/>
        <w:autoSpaceDN w:val="0"/>
        <w:snapToGrid w:val="0"/>
        <w:spacing w:line="360" w:lineRule="auto"/>
        <w:ind w:firstLine="315" w:firstLineChars="150"/>
        <w:textAlignment w:val="bottom"/>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w:t>
      </w:r>
      <w:r>
        <w:rPr>
          <w:rFonts w:hint="eastAsia" w:ascii="仿宋" w:hAnsi="仿宋" w:eastAsia="仿宋" w:cs="仿宋"/>
          <w:color w:val="000000" w:themeColor="text1"/>
          <w:szCs w:val="21"/>
          <w:lang w:val="zh-CN"/>
          <w14:textFill>
            <w14:solidFill>
              <w14:schemeClr w14:val="tx1"/>
            </w14:solidFill>
          </w14:textFill>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p w14:paraId="29A9AD47">
      <w:pPr>
        <w:pStyle w:val="2"/>
        <w:spacing w:line="360" w:lineRule="auto"/>
        <w:ind w:firstLine="1807" w:firstLineChars="500"/>
        <w:jc w:val="both"/>
        <w:rPr>
          <w:rFonts w:hint="eastAsia" w:ascii="黑体" w:hAnsi="黑体" w:eastAsia="黑体" w:cs="黑体"/>
          <w:color w:val="000000" w:themeColor="text1"/>
          <w:szCs w:val="36"/>
          <w14:textFill>
            <w14:solidFill>
              <w14:schemeClr w14:val="tx1"/>
            </w14:solidFill>
          </w14:textFill>
        </w:rPr>
      </w:pPr>
    </w:p>
    <w:p w14:paraId="20A801FE">
      <w:pPr>
        <w:pStyle w:val="2"/>
        <w:spacing w:line="360" w:lineRule="auto"/>
        <w:ind w:firstLine="1807" w:firstLineChars="500"/>
        <w:jc w:val="both"/>
        <w:rPr>
          <w:rFonts w:hint="eastAsia" w:ascii="黑体" w:hAnsi="黑体" w:eastAsia="黑体" w:cs="黑体"/>
          <w:color w:val="000000" w:themeColor="text1"/>
          <w:szCs w:val="36"/>
          <w14:textFill>
            <w14:solidFill>
              <w14:schemeClr w14:val="tx1"/>
            </w14:solidFill>
          </w14:textFill>
        </w:rPr>
      </w:pPr>
    </w:p>
    <w:p w14:paraId="13883797">
      <w:pPr>
        <w:pStyle w:val="2"/>
        <w:spacing w:line="360" w:lineRule="auto"/>
        <w:ind w:firstLine="1807" w:firstLineChars="500"/>
        <w:jc w:val="both"/>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Cs w:val="36"/>
          <w14:textFill>
            <w14:solidFill>
              <w14:schemeClr w14:val="tx1"/>
            </w14:solidFill>
          </w14:textFill>
        </w:rPr>
        <w:t xml:space="preserve">第四章 </w:t>
      </w:r>
      <w:bookmarkStart w:id="238" w:name="_Toc21079"/>
      <w:bookmarkStart w:id="239" w:name="_Toc7827"/>
      <w:r>
        <w:rPr>
          <w:rFonts w:hint="eastAsia" w:ascii="黑体" w:hAnsi="黑体" w:eastAsia="黑体" w:cs="黑体"/>
          <w:color w:val="000000" w:themeColor="text1"/>
          <w:szCs w:val="36"/>
          <w14:textFill>
            <w14:solidFill>
              <w14:schemeClr w14:val="tx1"/>
            </w14:solidFill>
          </w14:textFill>
        </w:rPr>
        <w:t>采购内容及</w:t>
      </w:r>
      <w:bookmarkEnd w:id="51"/>
      <w:bookmarkEnd w:id="52"/>
      <w:bookmarkStart w:id="240" w:name="_Toc531189844"/>
      <w:bookmarkStart w:id="241" w:name="_Toc105649520"/>
      <w:bookmarkStart w:id="242" w:name="_Toc175973405"/>
      <w:bookmarkStart w:id="243" w:name="_Toc105649645"/>
      <w:r>
        <w:rPr>
          <w:rFonts w:hint="eastAsia" w:ascii="黑体" w:hAnsi="黑体" w:eastAsia="黑体" w:cs="黑体"/>
          <w:color w:val="000000" w:themeColor="text1"/>
          <w:szCs w:val="36"/>
          <w14:textFill>
            <w14:solidFill>
              <w14:schemeClr w14:val="tx1"/>
            </w14:solidFill>
          </w14:textFill>
        </w:rPr>
        <w:t>具体要求</w:t>
      </w:r>
      <w:bookmarkEnd w:id="53"/>
      <w:bookmarkEnd w:id="54"/>
      <w:bookmarkEnd w:id="205"/>
      <w:bookmarkEnd w:id="206"/>
      <w:bookmarkEnd w:id="207"/>
      <w:bookmarkEnd w:id="208"/>
      <w:bookmarkEnd w:id="209"/>
      <w:bookmarkEnd w:id="210"/>
      <w:bookmarkEnd w:id="211"/>
      <w:bookmarkEnd w:id="212"/>
      <w:bookmarkEnd w:id="213"/>
      <w:bookmarkEnd w:id="214"/>
      <w:bookmarkEnd w:id="215"/>
      <w:bookmarkEnd w:id="216"/>
      <w:bookmarkEnd w:id="238"/>
      <w:bookmarkEnd w:id="239"/>
      <w:bookmarkEnd w:id="240"/>
      <w:bookmarkStart w:id="244" w:name="_Toc244931129"/>
      <w:bookmarkStart w:id="245" w:name="_Toc531189845"/>
    </w:p>
    <w:p w14:paraId="6CA93DA2">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410" w:firstLineChars="150"/>
        <w:textAlignment w:val="auto"/>
        <w:rPr>
          <w:rFonts w:hint="eastAsia" w:ascii="仿宋" w:hAnsi="仿宋" w:eastAsia="仿宋" w:cs="仿宋"/>
          <w:color w:val="000000" w:themeColor="text1"/>
          <w:spacing w:val="-4"/>
          <w:sz w:val="28"/>
          <w:szCs w:val="28"/>
          <w14:textFill>
            <w14:solidFill>
              <w14:schemeClr w14:val="tx1"/>
            </w14:solidFill>
          </w14:textFill>
        </w:rPr>
      </w:pPr>
      <w:bookmarkStart w:id="246" w:name="_Toc12748"/>
      <w:bookmarkStart w:id="247" w:name="_Toc25000"/>
      <w:bookmarkStart w:id="248" w:name="_Toc16567_WPSOffice_Level1"/>
      <w:bookmarkStart w:id="249" w:name="_Toc21609"/>
      <w:bookmarkStart w:id="250" w:name="_Toc5561"/>
      <w:bookmarkStart w:id="251" w:name="_Toc8012_WPSOffice_Level1"/>
      <w:bookmarkStart w:id="252" w:name="_Toc27066"/>
      <w:bookmarkStart w:id="253" w:name="_Toc14220"/>
      <w:bookmarkStart w:id="254" w:name="_Toc8778"/>
      <w:bookmarkStart w:id="255" w:name="_Toc25746"/>
      <w:bookmarkStart w:id="256" w:name="_Toc4796"/>
      <w:bookmarkStart w:id="257" w:name="_Toc31891"/>
      <w:bookmarkStart w:id="258" w:name="_Toc14038"/>
      <w:bookmarkStart w:id="259" w:name="_Toc4553_WPSOffice_Level1"/>
      <w:bookmarkStart w:id="260" w:name="_Toc30115"/>
      <w:bookmarkStart w:id="261" w:name="_Toc2462"/>
      <w:r>
        <w:rPr>
          <w:rFonts w:hint="eastAsia" w:ascii="仿宋" w:hAnsi="仿宋" w:eastAsia="仿宋" w:cs="仿宋"/>
          <w:color w:val="000000" w:themeColor="text1"/>
          <w:spacing w:val="-4"/>
          <w:sz w:val="28"/>
          <w:szCs w:val="28"/>
          <w14:textFill>
            <w14:solidFill>
              <w14:schemeClr w14:val="tx1"/>
            </w14:solidFill>
          </w14:textFill>
        </w:rPr>
        <w:t>一、项目概况</w:t>
      </w:r>
    </w:p>
    <w:p w14:paraId="430153F9">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24" w:firstLineChars="150"/>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供应商</w:t>
      </w:r>
      <w:r>
        <w:rPr>
          <w:rFonts w:hint="eastAsia" w:ascii="仿宋" w:hAnsi="仿宋" w:eastAsia="仿宋" w:cs="仿宋"/>
          <w:b w:val="0"/>
          <w:bCs w:val="0"/>
          <w:color w:val="000000" w:themeColor="text1"/>
          <w:spacing w:val="3"/>
          <w:sz w:val="21"/>
          <w:szCs w:val="21"/>
          <w14:textFill>
            <w14:solidFill>
              <w14:schemeClr w14:val="tx1"/>
            </w14:solidFill>
          </w14:textFill>
        </w:rPr>
        <w:t>负责日常原材料的采购和配送，主要内容为学校所需的</w:t>
      </w:r>
      <w:r>
        <w:rPr>
          <w:rFonts w:hint="eastAsia" w:ascii="仿宋" w:hAnsi="仿宋" w:eastAsia="仿宋" w:cs="仿宋"/>
          <w:b w:val="0"/>
          <w:bCs w:val="0"/>
          <w:color w:val="000000" w:themeColor="text1"/>
          <w:spacing w:val="3"/>
          <w:sz w:val="21"/>
          <w:szCs w:val="21"/>
          <w:lang w:eastAsia="zh-CN"/>
          <w14:textFill>
            <w14:solidFill>
              <w14:schemeClr w14:val="tx1"/>
            </w14:solidFill>
          </w14:textFill>
        </w:rPr>
        <w:t>蔬菜</w:t>
      </w:r>
      <w:r>
        <w:rPr>
          <w:rFonts w:hint="eastAsia" w:ascii="仿宋" w:hAnsi="仿宋" w:eastAsia="仿宋" w:cs="仿宋"/>
          <w:b w:val="0"/>
          <w:bCs w:val="0"/>
          <w:color w:val="000000" w:themeColor="text1"/>
          <w:spacing w:val="3"/>
          <w:sz w:val="21"/>
          <w:szCs w:val="21"/>
          <w14:textFill>
            <w14:solidFill>
              <w14:schemeClr w14:val="tx1"/>
            </w14:solidFill>
          </w14:textFill>
        </w:rPr>
        <w:t>、调料的采购及配送服务。</w:t>
      </w:r>
    </w:p>
    <w:p w14:paraId="6C04F729">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410" w:firstLineChars="150"/>
        <w:textAlignment w:val="auto"/>
        <w:rPr>
          <w:rFonts w:hint="eastAsia" w:ascii="仿宋" w:hAnsi="仿宋" w:eastAsia="仿宋" w:cs="仿宋"/>
          <w:color w:val="000000" w:themeColor="text1"/>
          <w:spacing w:val="-4"/>
          <w:sz w:val="28"/>
          <w:szCs w:val="28"/>
          <w:lang w:val="en-US" w:eastAsia="zh-CN"/>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二、服务要求</w:t>
      </w:r>
    </w:p>
    <w:p w14:paraId="17748DFD">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一</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14:textFill>
            <w14:solidFill>
              <w14:schemeClr w14:val="tx1"/>
            </w14:solidFill>
          </w14:textFill>
        </w:rPr>
        <w:t>配送</w:t>
      </w:r>
      <w:r>
        <w:rPr>
          <w:rFonts w:hint="eastAsia" w:ascii="仿宋" w:hAnsi="仿宋" w:eastAsia="仿宋" w:cs="仿宋"/>
          <w:color w:val="000000" w:themeColor="text1"/>
          <w:spacing w:val="-4"/>
          <w:sz w:val="21"/>
          <w:szCs w:val="21"/>
          <w:lang w:val="en-US" w:eastAsia="zh-CN"/>
          <w14:textFill>
            <w14:solidFill>
              <w14:schemeClr w14:val="tx1"/>
            </w14:solidFill>
          </w14:textFill>
        </w:rPr>
        <w:t>区域信息</w:t>
      </w:r>
    </w:p>
    <w:tbl>
      <w:tblPr>
        <w:tblStyle w:val="41"/>
        <w:tblW w:w="8582"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1"/>
        <w:gridCol w:w="4291"/>
      </w:tblGrid>
      <w:tr w14:paraId="2D1C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291" w:type="dxa"/>
            <w:noWrap w:val="0"/>
            <w:vAlign w:val="top"/>
          </w:tcPr>
          <w:p w14:paraId="51A0325A">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4" w:firstLineChars="15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pacing w:val="-4"/>
                <w:sz w:val="21"/>
                <w:szCs w:val="21"/>
                <w14:textFill>
                  <w14:solidFill>
                    <w14:schemeClr w14:val="tx1"/>
                  </w14:solidFill>
                </w14:textFill>
              </w:rPr>
              <w:t>配送区域</w:t>
            </w:r>
          </w:p>
        </w:tc>
        <w:tc>
          <w:tcPr>
            <w:tcW w:w="4291" w:type="dxa"/>
            <w:noWrap w:val="0"/>
            <w:vAlign w:val="top"/>
          </w:tcPr>
          <w:p w14:paraId="222831F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4" w:firstLineChars="150"/>
              <w:jc w:val="center"/>
              <w:textAlignment w:val="auto"/>
              <w:rPr>
                <w:rFonts w:hint="default" w:ascii="仿宋" w:hAnsi="仿宋" w:eastAsia="仿宋" w:cs="仿宋"/>
                <w:b/>
                <w:color w:val="000000" w:themeColor="text1"/>
                <w:spacing w:val="-4"/>
                <w:sz w:val="21"/>
                <w:szCs w:val="21"/>
                <w:lang w:val="en-US" w:eastAsia="zh-CN"/>
                <w14:textFill>
                  <w14:solidFill>
                    <w14:schemeClr w14:val="tx1"/>
                  </w14:solidFill>
                </w14:textFill>
              </w:rPr>
            </w:pPr>
            <w:r>
              <w:rPr>
                <w:rFonts w:hint="eastAsia" w:ascii="仿宋" w:hAnsi="仿宋" w:eastAsia="仿宋" w:cs="仿宋"/>
                <w:b/>
                <w:color w:val="000000" w:themeColor="text1"/>
                <w:spacing w:val="-4"/>
                <w:sz w:val="21"/>
                <w:szCs w:val="21"/>
                <w:lang w:val="en-US" w:eastAsia="zh-CN"/>
                <w14:textFill>
                  <w14:solidFill>
                    <w14:schemeClr w14:val="tx1"/>
                  </w14:solidFill>
                </w14:textFill>
              </w:rPr>
              <w:t>就餐人数</w:t>
            </w:r>
          </w:p>
        </w:tc>
      </w:tr>
      <w:tr w14:paraId="7AEA6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291" w:type="dxa"/>
            <w:noWrap w:val="0"/>
            <w:vAlign w:val="center"/>
          </w:tcPr>
          <w:p w14:paraId="3AAB41AA">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湘水镇初级中学</w:t>
            </w:r>
          </w:p>
        </w:tc>
        <w:tc>
          <w:tcPr>
            <w:tcW w:w="4291" w:type="dxa"/>
            <w:noWrap w:val="0"/>
            <w:vAlign w:val="center"/>
          </w:tcPr>
          <w:p w14:paraId="54AF85FC">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157</w:t>
            </w:r>
          </w:p>
        </w:tc>
      </w:tr>
      <w:tr w14:paraId="0D6EF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291" w:type="dxa"/>
            <w:noWrap w:val="0"/>
            <w:vAlign w:val="center"/>
          </w:tcPr>
          <w:p w14:paraId="1450BFFC">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法镇九年制学校</w:t>
            </w:r>
          </w:p>
        </w:tc>
        <w:tc>
          <w:tcPr>
            <w:tcW w:w="4291" w:type="dxa"/>
            <w:noWrap w:val="0"/>
            <w:vAlign w:val="center"/>
          </w:tcPr>
          <w:p w14:paraId="6BD8041B">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632</w:t>
            </w:r>
          </w:p>
        </w:tc>
      </w:tr>
      <w:tr w14:paraId="554EE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291" w:type="dxa"/>
            <w:noWrap w:val="0"/>
            <w:vAlign w:val="center"/>
          </w:tcPr>
          <w:p w14:paraId="47FF697D">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湘水镇中心小学</w:t>
            </w:r>
          </w:p>
        </w:tc>
        <w:tc>
          <w:tcPr>
            <w:tcW w:w="4291" w:type="dxa"/>
            <w:noWrap w:val="0"/>
            <w:vAlign w:val="center"/>
          </w:tcPr>
          <w:p w14:paraId="18D88DEF">
            <w:pPr>
              <w:keepNext w:val="0"/>
              <w:keepLines w:val="0"/>
              <w:widowControl/>
              <w:suppressLineNumbers w:val="0"/>
              <w:jc w:val="center"/>
              <w:textAlignment w:val="cente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kern w:val="2"/>
                <w:sz w:val="21"/>
                <w:szCs w:val="21"/>
                <w:lang w:val="en-US" w:eastAsia="zh-CN" w:bidi="ar-SA"/>
                <w14:textFill>
                  <w14:solidFill>
                    <w14:schemeClr w14:val="tx1"/>
                  </w14:solidFill>
                </w14:textFill>
              </w:rPr>
              <w:t>192</w:t>
            </w:r>
          </w:p>
        </w:tc>
      </w:tr>
    </w:tbl>
    <w:p w14:paraId="6A2BF06E">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color w:val="000000" w:themeColor="text1"/>
          <w:spacing w:val="-4"/>
          <w:sz w:val="21"/>
          <w:szCs w:val="21"/>
          <w:lang w:eastAsia="zh-CN"/>
          <w14:textFill>
            <w14:solidFill>
              <w14:schemeClr w14:val="tx1"/>
            </w14:solidFill>
          </w14:textFill>
        </w:rPr>
      </w:pP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二</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14:textFill>
            <w14:solidFill>
              <w14:schemeClr w14:val="tx1"/>
            </w14:solidFill>
          </w14:textFill>
        </w:rPr>
        <w:t>食材</w:t>
      </w:r>
      <w:r>
        <w:rPr>
          <w:rFonts w:hint="eastAsia" w:ascii="仿宋" w:hAnsi="仿宋" w:eastAsia="仿宋" w:cs="仿宋"/>
          <w:color w:val="000000" w:themeColor="text1"/>
          <w:spacing w:val="-4"/>
          <w:sz w:val="21"/>
          <w:szCs w:val="21"/>
          <w:lang w:val="en-US" w:eastAsia="zh-CN"/>
          <w14:textFill>
            <w14:solidFill>
              <w14:schemeClr w14:val="tx1"/>
            </w14:solidFill>
          </w14:textFill>
        </w:rPr>
        <w:t>要求</w:t>
      </w:r>
    </w:p>
    <w:p w14:paraId="0C12A5BB">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1</w:t>
      </w:r>
      <w:r>
        <w:rPr>
          <w:rFonts w:hint="eastAsia" w:ascii="仿宋" w:hAnsi="仿宋" w:eastAsia="仿宋" w:cs="仿宋"/>
          <w:color w:val="000000" w:themeColor="text1"/>
          <w:spacing w:val="-4"/>
          <w:sz w:val="21"/>
          <w:szCs w:val="21"/>
          <w14:textFill>
            <w14:solidFill>
              <w14:schemeClr w14:val="tx1"/>
            </w14:solidFill>
          </w14:textFill>
        </w:rPr>
        <w:t>.原材料质量标准</w:t>
      </w:r>
    </w:p>
    <w:p w14:paraId="5E5E2610">
      <w:pPr>
        <w:pStyle w:val="71"/>
        <w:keepNext w:val="0"/>
        <w:keepLines w:val="0"/>
        <w:pageBreakBefore w:val="0"/>
        <w:widowControl w:val="0"/>
        <w:numPr>
          <w:ilvl w:val="0"/>
          <w:numId w:val="0"/>
        </w:numPr>
        <w:tabs>
          <w:tab w:val="left" w:pos="1324"/>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采购带包装的食品时，禁止采购“三无”产品，即无“生产日期、保质期或有效食用截止日期、生产厂家”，三者缺一不可。</w:t>
      </w:r>
    </w:p>
    <w:p w14:paraId="1B172A96">
      <w:pPr>
        <w:pStyle w:val="71"/>
        <w:keepNext w:val="0"/>
        <w:keepLines w:val="0"/>
        <w:pageBreakBefore w:val="0"/>
        <w:widowControl w:val="0"/>
        <w:numPr>
          <w:ilvl w:val="0"/>
          <w:numId w:val="0"/>
        </w:numPr>
        <w:tabs>
          <w:tab w:val="left" w:pos="1324"/>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lang w:eastAsia="zh-CN"/>
          <w14:textFill>
            <w14:solidFill>
              <w14:schemeClr w14:val="tx1"/>
            </w14:solidFill>
          </w14:textFill>
        </w:rPr>
        <w:t>）蔬菜</w:t>
      </w:r>
      <w:r>
        <w:rPr>
          <w:rFonts w:hint="eastAsia" w:ascii="仿宋" w:hAnsi="仿宋" w:eastAsia="仿宋" w:cs="仿宋"/>
          <w:color w:val="000000" w:themeColor="text1"/>
          <w:spacing w:val="-2"/>
          <w:sz w:val="21"/>
          <w:szCs w:val="21"/>
          <w14:textFill>
            <w14:solidFill>
              <w14:schemeClr w14:val="tx1"/>
            </w14:solidFill>
          </w14:textFill>
        </w:rPr>
        <w:t>类标准：</w:t>
      </w:r>
    </w:p>
    <w:p w14:paraId="766A2C8D">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left"/>
        <w:textAlignment w:val="auto"/>
        <w:rPr>
          <w:rFonts w:hint="eastAsia" w:ascii="仿宋" w:hAnsi="仿宋" w:eastAsia="仿宋" w:cs="仿宋"/>
          <w:color w:val="000000" w:themeColor="text1"/>
          <w:spacing w:val="-30"/>
          <w:sz w:val="21"/>
          <w:szCs w:val="21"/>
          <w14:textFill>
            <w14:solidFill>
              <w14:schemeClr w14:val="tx1"/>
            </w14:solidFill>
          </w14:textFill>
        </w:rPr>
      </w:pPr>
      <w:r>
        <w:rPr>
          <w:rFonts w:hint="eastAsia" w:ascii="仿宋" w:hAnsi="仿宋" w:eastAsia="仿宋" w:cs="仿宋"/>
          <w:color w:val="000000" w:themeColor="text1"/>
          <w:spacing w:val="-1"/>
          <w:sz w:val="21"/>
          <w:szCs w:val="21"/>
          <w14:textFill>
            <w14:solidFill>
              <w14:schemeClr w14:val="tx1"/>
            </w14:solidFill>
          </w14:textFill>
        </w:rPr>
        <w:t>①</w:t>
      </w:r>
      <w:r>
        <w:rPr>
          <w:rFonts w:hint="eastAsia" w:ascii="仿宋" w:hAnsi="仿宋" w:eastAsia="仿宋" w:cs="仿宋"/>
          <w:color w:val="000000" w:themeColor="text1"/>
          <w:spacing w:val="-1"/>
          <w:sz w:val="21"/>
          <w:szCs w:val="21"/>
          <w:lang w:eastAsia="zh-CN"/>
          <w14:textFill>
            <w14:solidFill>
              <w14:schemeClr w14:val="tx1"/>
            </w14:solidFill>
          </w14:textFill>
        </w:rPr>
        <w:t>蔬菜</w:t>
      </w:r>
      <w:r>
        <w:rPr>
          <w:rFonts w:hint="eastAsia" w:ascii="仿宋" w:hAnsi="仿宋" w:eastAsia="仿宋" w:cs="仿宋"/>
          <w:color w:val="000000" w:themeColor="text1"/>
          <w:spacing w:val="-1"/>
          <w:sz w:val="21"/>
          <w:szCs w:val="21"/>
          <w:lang w:val="en-US" w:eastAsia="zh-CN"/>
          <w14:textFill>
            <w14:solidFill>
              <w14:schemeClr w14:val="tx1"/>
            </w14:solidFill>
          </w14:textFill>
        </w:rPr>
        <w:t>要求为新鲜、安全、成熟度适中的无公害产品，无烂枯叶、黄叶、霉变、腐烂、异味、萎蔫、枯塌、损伤、病变、虫害侵蚀等，②按要求去皮、去壳、去叶、去泥等，③农</w:t>
      </w:r>
      <w:r>
        <w:rPr>
          <w:rFonts w:hint="eastAsia" w:ascii="仿宋" w:hAnsi="仿宋" w:eastAsia="仿宋" w:cs="仿宋"/>
          <w:color w:val="000000" w:themeColor="text1"/>
          <w:spacing w:val="-1"/>
          <w:sz w:val="21"/>
          <w:szCs w:val="21"/>
          <w14:textFill>
            <w14:solidFill>
              <w14:schemeClr w14:val="tx1"/>
            </w14:solidFill>
          </w14:textFill>
        </w:rPr>
        <w:t xml:space="preserve">残要求符合 </w:t>
      </w:r>
      <w:r>
        <w:rPr>
          <w:rFonts w:hint="eastAsia" w:ascii="仿宋" w:hAnsi="仿宋" w:eastAsia="仿宋" w:cs="仿宋"/>
          <w:color w:val="000000" w:themeColor="text1"/>
          <w:sz w:val="21"/>
          <w:szCs w:val="21"/>
          <w:lang w:val="en-US" w:eastAsia="zh-CN"/>
          <w14:textFill>
            <w14:solidFill>
              <w14:schemeClr w14:val="tx1"/>
            </w14:solidFill>
          </w14:textFill>
        </w:rPr>
        <w:t>GB-2763-2021</w:t>
      </w:r>
      <w:r>
        <w:rPr>
          <w:rFonts w:hint="eastAsia" w:ascii="仿宋" w:hAnsi="仿宋" w:eastAsia="仿宋" w:cs="仿宋"/>
          <w:color w:val="000000" w:themeColor="text1"/>
          <w:spacing w:val="-3"/>
          <w:sz w:val="21"/>
          <w:szCs w:val="21"/>
          <w14:textFill>
            <w14:solidFill>
              <w14:schemeClr w14:val="tx1"/>
            </w14:solidFill>
          </w14:textFill>
        </w:rPr>
        <w:t xml:space="preserve"> 农产品安全质量无公害蔬菜安全要求中最大</w:t>
      </w:r>
      <w:r>
        <w:rPr>
          <w:rFonts w:hint="eastAsia" w:ascii="仿宋" w:hAnsi="仿宋" w:eastAsia="仿宋" w:cs="仿宋"/>
          <w:color w:val="000000" w:themeColor="text1"/>
          <w:spacing w:val="-2"/>
          <w:sz w:val="21"/>
          <w:szCs w:val="21"/>
          <w14:textFill>
            <w14:solidFill>
              <w14:schemeClr w14:val="tx1"/>
            </w14:solidFill>
          </w14:textFill>
        </w:rPr>
        <w:t>限量标准。检验项目及标准如下：</w:t>
      </w:r>
      <w:r>
        <w:rPr>
          <w:rFonts w:hint="eastAsia" w:ascii="仿宋" w:hAnsi="仿宋" w:eastAsia="仿宋" w:cs="仿宋"/>
          <w:color w:val="000000" w:themeColor="text1"/>
          <w:spacing w:val="-2"/>
          <w:sz w:val="21"/>
          <w:szCs w:val="21"/>
          <w:lang w:eastAsia="zh-CN"/>
          <w14:textFill>
            <w14:solidFill>
              <w14:schemeClr w14:val="tx1"/>
            </w14:solidFill>
          </w14:textFill>
        </w:rPr>
        <w:t>蔬菜</w:t>
      </w:r>
      <w:r>
        <w:rPr>
          <w:rFonts w:hint="eastAsia" w:ascii="仿宋" w:hAnsi="仿宋" w:eastAsia="仿宋" w:cs="仿宋"/>
          <w:color w:val="000000" w:themeColor="text1"/>
          <w:spacing w:val="-2"/>
          <w:sz w:val="21"/>
          <w:szCs w:val="21"/>
          <w14:textFill>
            <w14:solidFill>
              <w14:schemeClr w14:val="tx1"/>
            </w14:solidFill>
          </w14:textFill>
        </w:rPr>
        <w:t>中重金属、农药等有害物质最大限量。</w:t>
      </w:r>
    </w:p>
    <w:p w14:paraId="05130081">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22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0"/>
          <w:sz w:val="21"/>
          <w:szCs w:val="21"/>
          <w14:textFill>
            <w14:solidFill>
              <w14:schemeClr w14:val="tx1"/>
            </w14:solidFill>
          </w14:textFill>
        </w:rPr>
        <w:t xml:space="preserve">表 </w:t>
      </w: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pacing w:val="-1"/>
          <w:sz w:val="21"/>
          <w:szCs w:val="21"/>
          <w14:textFill>
            <w14:solidFill>
              <w14:schemeClr w14:val="tx1"/>
            </w14:solidFill>
          </w14:textFill>
        </w:rPr>
        <w:t>重金属及有害物质限量</w:t>
      </w:r>
    </w:p>
    <w:tbl>
      <w:tblPr>
        <w:tblStyle w:val="41"/>
        <w:tblW w:w="10574" w:type="dxa"/>
        <w:tblInd w:w="-1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8090"/>
      </w:tblGrid>
      <w:tr w14:paraId="1D15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4BE9CE4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项目</w:t>
            </w:r>
          </w:p>
        </w:tc>
        <w:tc>
          <w:tcPr>
            <w:tcW w:w="8090" w:type="dxa"/>
            <w:noWrap w:val="0"/>
            <w:vAlign w:val="top"/>
          </w:tcPr>
          <w:p w14:paraId="1D785E7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指标</w:t>
            </w:r>
            <w:r>
              <w:rPr>
                <w:rFonts w:hint="eastAsia" w:ascii="仿宋" w:hAnsi="仿宋" w:eastAsia="仿宋" w:cs="仿宋"/>
                <w:color w:val="000000" w:themeColor="text1"/>
                <w:spacing w:val="-2"/>
                <w:sz w:val="21"/>
                <w:szCs w:val="21"/>
                <w14:textFill>
                  <w14:solidFill>
                    <w14:schemeClr w14:val="tx1"/>
                  </w14:solidFill>
                </w14:textFill>
              </w:rPr>
              <w:t>（mg/Kg）</w:t>
            </w:r>
          </w:p>
        </w:tc>
      </w:tr>
      <w:tr w14:paraId="0AA2D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84" w:type="dxa"/>
            <w:noWrap w:val="0"/>
            <w:vAlign w:val="top"/>
          </w:tcPr>
          <w:p w14:paraId="5F4E7FB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汞（</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Hg</w:t>
            </w:r>
            <w:r>
              <w:rPr>
                <w:rFonts w:hint="eastAsia" w:ascii="仿宋" w:hAnsi="仿宋" w:eastAsia="仿宋" w:cs="仿宋"/>
                <w:color w:val="000000" w:themeColor="text1"/>
                <w:spacing w:val="-30"/>
                <w:sz w:val="21"/>
                <w:szCs w:val="21"/>
                <w14:textFill>
                  <w14:solidFill>
                    <w14:schemeClr w14:val="tx1"/>
                  </w14:solidFill>
                </w14:textFill>
              </w:rPr>
              <w:t xml:space="preserve"> 计</w:t>
            </w:r>
            <w:r>
              <w:rPr>
                <w:rFonts w:hint="eastAsia" w:ascii="仿宋" w:hAnsi="仿宋" w:eastAsia="仿宋" w:cs="仿宋"/>
                <w:color w:val="000000" w:themeColor="text1"/>
                <w:spacing w:val="-10"/>
                <w:sz w:val="21"/>
                <w:szCs w:val="21"/>
                <w14:textFill>
                  <w14:solidFill>
                    <w14:schemeClr w14:val="tx1"/>
                  </w14:solidFill>
                </w14:textFill>
              </w:rPr>
              <w:t>）</w:t>
            </w:r>
          </w:p>
        </w:tc>
        <w:tc>
          <w:tcPr>
            <w:tcW w:w="8090" w:type="dxa"/>
            <w:noWrap w:val="0"/>
            <w:vAlign w:val="top"/>
          </w:tcPr>
          <w:p w14:paraId="564EEC1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≤0.01</w:t>
            </w:r>
          </w:p>
        </w:tc>
      </w:tr>
      <w:tr w14:paraId="4340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208D47B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砷（</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As</w:t>
            </w:r>
            <w:r>
              <w:rPr>
                <w:rFonts w:hint="eastAsia" w:ascii="仿宋" w:hAnsi="仿宋" w:eastAsia="仿宋" w:cs="仿宋"/>
                <w:color w:val="000000" w:themeColor="text1"/>
                <w:spacing w:val="-30"/>
                <w:sz w:val="21"/>
                <w:szCs w:val="21"/>
                <w14:textFill>
                  <w14:solidFill>
                    <w14:schemeClr w14:val="tx1"/>
                  </w14:solidFill>
                </w14:textFill>
              </w:rPr>
              <w:t xml:space="preserve"> 计</w:t>
            </w:r>
            <w:r>
              <w:rPr>
                <w:rFonts w:hint="eastAsia" w:ascii="仿宋" w:hAnsi="仿宋" w:eastAsia="仿宋" w:cs="仿宋"/>
                <w:color w:val="000000" w:themeColor="text1"/>
                <w:spacing w:val="-10"/>
                <w:sz w:val="21"/>
                <w:szCs w:val="21"/>
                <w14:textFill>
                  <w14:solidFill>
                    <w14:schemeClr w14:val="tx1"/>
                  </w14:solidFill>
                </w14:textFill>
              </w:rPr>
              <w:t>）</w:t>
            </w:r>
          </w:p>
        </w:tc>
        <w:tc>
          <w:tcPr>
            <w:tcW w:w="8090" w:type="dxa"/>
            <w:noWrap w:val="0"/>
            <w:vAlign w:val="top"/>
          </w:tcPr>
          <w:p w14:paraId="6014ACCC">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≤0.5</w:t>
            </w:r>
          </w:p>
        </w:tc>
      </w:tr>
      <w:tr w14:paraId="79559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84" w:type="dxa"/>
            <w:noWrap w:val="0"/>
            <w:vAlign w:val="top"/>
          </w:tcPr>
          <w:p w14:paraId="071D644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铅（</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P</w:t>
            </w:r>
            <w:r>
              <w:rPr>
                <w:rFonts w:hint="eastAsia" w:ascii="仿宋" w:hAnsi="仿宋" w:eastAsia="仿宋" w:cs="仿宋"/>
                <w:color w:val="000000" w:themeColor="text1"/>
                <w:spacing w:val="-30"/>
                <w:sz w:val="21"/>
                <w:szCs w:val="21"/>
                <w14:textFill>
                  <w14:solidFill>
                    <w14:schemeClr w14:val="tx1"/>
                  </w14:solidFill>
                </w14:textFill>
              </w:rPr>
              <w:t xml:space="preserve"> 计</w:t>
            </w:r>
            <w:r>
              <w:rPr>
                <w:rFonts w:hint="eastAsia" w:ascii="仿宋" w:hAnsi="仿宋" w:eastAsia="仿宋" w:cs="仿宋"/>
                <w:color w:val="000000" w:themeColor="text1"/>
                <w:spacing w:val="-10"/>
                <w:sz w:val="21"/>
                <w:szCs w:val="21"/>
                <w14:textFill>
                  <w14:solidFill>
                    <w14:schemeClr w14:val="tx1"/>
                  </w14:solidFill>
                </w14:textFill>
              </w:rPr>
              <w:t>）</w:t>
            </w:r>
          </w:p>
        </w:tc>
        <w:tc>
          <w:tcPr>
            <w:tcW w:w="8090" w:type="dxa"/>
            <w:noWrap w:val="0"/>
            <w:vAlign w:val="top"/>
          </w:tcPr>
          <w:p w14:paraId="3989B80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≤0.2</w:t>
            </w:r>
          </w:p>
        </w:tc>
      </w:tr>
      <w:tr w14:paraId="5D96B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4FD8529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亚硝酸盐（</w:t>
            </w:r>
            <w:r>
              <w:rPr>
                <w:rFonts w:hint="eastAsia" w:ascii="仿宋" w:hAnsi="仿宋" w:eastAsia="仿宋" w:cs="仿宋"/>
                <w:color w:val="000000" w:themeColor="text1"/>
                <w:spacing w:val="-30"/>
                <w:sz w:val="21"/>
                <w:szCs w:val="21"/>
                <w14:textFill>
                  <w14:solidFill>
                    <w14:schemeClr w14:val="tx1"/>
                  </w14:solidFill>
                </w14:textFill>
              </w:rPr>
              <w:t xml:space="preserve">以 </w:t>
            </w:r>
            <w:r>
              <w:rPr>
                <w:rFonts w:hint="eastAsia" w:ascii="仿宋" w:hAnsi="仿宋" w:eastAsia="仿宋" w:cs="仿宋"/>
                <w:color w:val="000000" w:themeColor="text1"/>
                <w:sz w:val="21"/>
                <w:szCs w:val="21"/>
                <w14:textFill>
                  <w14:solidFill>
                    <w14:schemeClr w14:val="tx1"/>
                  </w14:solidFill>
                </w14:textFill>
              </w:rPr>
              <w:t xml:space="preserve">Na </w:t>
            </w:r>
            <w:r>
              <w:rPr>
                <w:rFonts w:hint="eastAsia" w:ascii="仿宋" w:hAnsi="仿宋" w:eastAsia="仿宋" w:cs="仿宋"/>
                <w:color w:val="000000" w:themeColor="text1"/>
                <w:spacing w:val="-10"/>
                <w:sz w:val="21"/>
                <w:szCs w:val="21"/>
                <w14:textFill>
                  <w14:solidFill>
                    <w14:schemeClr w14:val="tx1"/>
                  </w14:solidFill>
                </w14:textFill>
              </w:rPr>
              <w:t>N</w:t>
            </w:r>
            <w:r>
              <w:rPr>
                <w:rFonts w:hint="eastAsia" w:ascii="仿宋" w:hAnsi="仿宋" w:eastAsia="仿宋" w:cs="仿宋"/>
                <w:color w:val="000000" w:themeColor="text1"/>
                <w:spacing w:val="-10"/>
                <w:sz w:val="21"/>
                <w:szCs w:val="21"/>
                <w:lang w:eastAsia="zh-CN"/>
                <w14:textFill>
                  <w14:solidFill>
                    <w14:schemeClr w14:val="tx1"/>
                  </w14:solidFill>
                </w14:textFill>
              </w:rPr>
              <w:t>）</w:t>
            </w:r>
          </w:p>
        </w:tc>
        <w:tc>
          <w:tcPr>
            <w:tcW w:w="8090" w:type="dxa"/>
            <w:noWrap w:val="0"/>
            <w:vAlign w:val="top"/>
          </w:tcPr>
          <w:p w14:paraId="05417E7D">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≤4.0</w:t>
            </w:r>
          </w:p>
        </w:tc>
      </w:tr>
      <w:tr w14:paraId="4DE5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2484" w:type="dxa"/>
            <w:noWrap w:val="0"/>
            <w:vAlign w:val="top"/>
          </w:tcPr>
          <w:p w14:paraId="43C32CFE">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硝酸盐</w:t>
            </w:r>
          </w:p>
        </w:tc>
        <w:tc>
          <w:tcPr>
            <w:tcW w:w="8090" w:type="dxa"/>
            <w:noWrap w:val="0"/>
            <w:vAlign w:val="top"/>
          </w:tcPr>
          <w:p w14:paraId="62BF359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≤600（瓜果类）≤1200（根茎类）≤3000（叶菜类</w:t>
            </w:r>
            <w:r>
              <w:rPr>
                <w:rFonts w:hint="eastAsia" w:ascii="仿宋" w:hAnsi="仿宋" w:eastAsia="仿宋" w:cs="仿宋"/>
                <w:color w:val="000000" w:themeColor="text1"/>
                <w:spacing w:val="-10"/>
                <w:sz w:val="21"/>
                <w:szCs w:val="21"/>
                <w14:textFill>
                  <w14:solidFill>
                    <w14:schemeClr w14:val="tx1"/>
                  </w14:solidFill>
                </w14:textFill>
              </w:rPr>
              <w:t>）</w:t>
            </w:r>
          </w:p>
        </w:tc>
      </w:tr>
    </w:tbl>
    <w:p w14:paraId="0DBCD049">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225" w:firstLineChars="150"/>
        <w:textAlignment w:val="auto"/>
        <w:rPr>
          <w:rFonts w:hint="eastAsia" w:ascii="仿宋" w:hAnsi="仿宋" w:eastAsia="仿宋" w:cs="仿宋"/>
          <w:color w:val="000000" w:themeColor="text1"/>
          <w:spacing w:val="-30"/>
          <w:sz w:val="21"/>
          <w:szCs w:val="21"/>
          <w14:textFill>
            <w14:solidFill>
              <w14:schemeClr w14:val="tx1"/>
            </w14:solidFill>
          </w14:textFill>
        </w:rPr>
      </w:pPr>
    </w:p>
    <w:p w14:paraId="7D37EF2A">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22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0"/>
          <w:sz w:val="21"/>
          <w:szCs w:val="21"/>
          <w14:textFill>
            <w14:solidFill>
              <w14:schemeClr w14:val="tx1"/>
            </w14:solidFill>
          </w14:textFill>
        </w:rPr>
        <w:t xml:space="preserve">表 </w:t>
      </w:r>
      <w:r>
        <w:rPr>
          <w:rFonts w:hint="eastAsia" w:ascii="仿宋" w:hAnsi="仿宋" w:eastAsia="仿宋" w:cs="仿宋"/>
          <w:color w:val="000000" w:themeColor="text1"/>
          <w:sz w:val="21"/>
          <w:szCs w:val="21"/>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农药最大残留限量</w:t>
      </w:r>
    </w:p>
    <w:p w14:paraId="36F66A9D">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p>
    <w:tbl>
      <w:tblPr>
        <w:tblStyle w:val="41"/>
        <w:tblW w:w="10560" w:type="dxa"/>
        <w:tblInd w:w="-1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962"/>
        <w:gridCol w:w="2146"/>
        <w:gridCol w:w="3544"/>
      </w:tblGrid>
      <w:tr w14:paraId="1EB96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908" w:type="dxa"/>
            <w:noWrap w:val="0"/>
            <w:vAlign w:val="top"/>
          </w:tcPr>
          <w:p w14:paraId="1E08F41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通用名称</w:t>
            </w:r>
          </w:p>
        </w:tc>
        <w:tc>
          <w:tcPr>
            <w:tcW w:w="1962" w:type="dxa"/>
            <w:noWrap w:val="0"/>
            <w:vAlign w:val="top"/>
          </w:tcPr>
          <w:p w14:paraId="4A0BC5EA">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毒性</w:t>
            </w:r>
          </w:p>
        </w:tc>
        <w:tc>
          <w:tcPr>
            <w:tcW w:w="2146" w:type="dxa"/>
            <w:noWrap w:val="0"/>
            <w:vAlign w:val="top"/>
          </w:tcPr>
          <w:p w14:paraId="159F4FCA">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作物</w:t>
            </w:r>
          </w:p>
        </w:tc>
        <w:tc>
          <w:tcPr>
            <w:tcW w:w="3544" w:type="dxa"/>
            <w:noWrap w:val="0"/>
            <w:vAlign w:val="top"/>
          </w:tcPr>
          <w:p w14:paraId="650F309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最高残留限量（mk/kg）</w:t>
            </w:r>
          </w:p>
        </w:tc>
      </w:tr>
      <w:tr w14:paraId="5661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790768E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马拉硫磷</w:t>
            </w:r>
          </w:p>
        </w:tc>
        <w:tc>
          <w:tcPr>
            <w:tcW w:w="1962" w:type="dxa"/>
            <w:noWrap w:val="0"/>
            <w:vAlign w:val="top"/>
          </w:tcPr>
          <w:p w14:paraId="2BF4965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低</w:t>
            </w:r>
          </w:p>
        </w:tc>
        <w:tc>
          <w:tcPr>
            <w:tcW w:w="2146" w:type="dxa"/>
            <w:noWrap w:val="0"/>
            <w:vAlign w:val="top"/>
          </w:tcPr>
          <w:p w14:paraId="640CFFEB">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6B730C9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78DD3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908" w:type="dxa"/>
            <w:noWrap w:val="0"/>
            <w:vAlign w:val="top"/>
          </w:tcPr>
          <w:p w14:paraId="597BA60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对硫磷</w:t>
            </w:r>
          </w:p>
        </w:tc>
        <w:tc>
          <w:tcPr>
            <w:tcW w:w="1962" w:type="dxa"/>
            <w:noWrap w:val="0"/>
            <w:vAlign w:val="top"/>
          </w:tcPr>
          <w:p w14:paraId="470A42F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515A960C">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4A9604DC">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113F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74B052C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甲拌磷</w:t>
            </w:r>
          </w:p>
        </w:tc>
        <w:tc>
          <w:tcPr>
            <w:tcW w:w="1962" w:type="dxa"/>
            <w:noWrap w:val="0"/>
            <w:vAlign w:val="top"/>
          </w:tcPr>
          <w:p w14:paraId="5A993BFE">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21F11EA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381BD0D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732AB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2FAE893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甲胺磷</w:t>
            </w:r>
          </w:p>
        </w:tc>
        <w:tc>
          <w:tcPr>
            <w:tcW w:w="1962" w:type="dxa"/>
            <w:noWrap w:val="0"/>
            <w:vAlign w:val="top"/>
          </w:tcPr>
          <w:p w14:paraId="0869E47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5B04BB2F">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2A5FFC8D">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06C6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908" w:type="dxa"/>
            <w:noWrap w:val="0"/>
            <w:vAlign w:val="top"/>
          </w:tcPr>
          <w:p w14:paraId="65DF5A0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久效磷</w:t>
            </w:r>
          </w:p>
        </w:tc>
        <w:tc>
          <w:tcPr>
            <w:tcW w:w="1962" w:type="dxa"/>
            <w:noWrap w:val="0"/>
            <w:vAlign w:val="top"/>
          </w:tcPr>
          <w:p w14:paraId="4B0B0F27">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6AB23A46">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0411BAD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08145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524E54F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氧化乐果</w:t>
            </w:r>
          </w:p>
        </w:tc>
        <w:tc>
          <w:tcPr>
            <w:tcW w:w="1962" w:type="dxa"/>
            <w:noWrap w:val="0"/>
            <w:vAlign w:val="top"/>
          </w:tcPr>
          <w:p w14:paraId="39C21543">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7C155B7D">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6DE5977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6426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007EFC45">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克百威</w:t>
            </w:r>
          </w:p>
        </w:tc>
        <w:tc>
          <w:tcPr>
            <w:tcW w:w="1962" w:type="dxa"/>
            <w:noWrap w:val="0"/>
            <w:vAlign w:val="top"/>
          </w:tcPr>
          <w:p w14:paraId="647FD7C9">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04CAD9C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5355FEF8">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2F7AA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7205215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涕灭威</w:t>
            </w:r>
          </w:p>
        </w:tc>
        <w:tc>
          <w:tcPr>
            <w:tcW w:w="1962" w:type="dxa"/>
            <w:noWrap w:val="0"/>
            <w:vAlign w:val="top"/>
          </w:tcPr>
          <w:p w14:paraId="7D22D74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5701A795">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0A534FC2">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6"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14:textFill>
                  <w14:solidFill>
                    <w14:schemeClr w14:val="tx1"/>
                  </w14:solidFill>
                </w14:textFill>
              </w:rPr>
              <w:t>不得检出</w:t>
            </w:r>
          </w:p>
        </w:tc>
      </w:tr>
      <w:tr w14:paraId="4FD06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08" w:type="dxa"/>
            <w:noWrap w:val="0"/>
            <w:vAlign w:val="top"/>
          </w:tcPr>
          <w:p w14:paraId="0617D42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六六六</w:t>
            </w:r>
          </w:p>
        </w:tc>
        <w:tc>
          <w:tcPr>
            <w:tcW w:w="1962" w:type="dxa"/>
            <w:noWrap w:val="0"/>
            <w:vAlign w:val="top"/>
          </w:tcPr>
          <w:p w14:paraId="36C1A1F1">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w:t>
            </w:r>
          </w:p>
        </w:tc>
        <w:tc>
          <w:tcPr>
            <w:tcW w:w="2146" w:type="dxa"/>
            <w:noWrap w:val="0"/>
            <w:vAlign w:val="top"/>
          </w:tcPr>
          <w:p w14:paraId="2CCF5F70">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14E4F174">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0.2</w:t>
            </w:r>
          </w:p>
        </w:tc>
      </w:tr>
      <w:tr w14:paraId="1314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908" w:type="dxa"/>
            <w:noWrap w:val="0"/>
            <w:vAlign w:val="top"/>
          </w:tcPr>
          <w:p w14:paraId="6E2BECE7">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3"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14:textFill>
                  <w14:solidFill>
                    <w14:schemeClr w14:val="tx1"/>
                  </w14:solidFill>
                </w14:textFill>
              </w:rPr>
              <w:t>滴滴涕</w:t>
            </w:r>
          </w:p>
        </w:tc>
        <w:tc>
          <w:tcPr>
            <w:tcW w:w="1962" w:type="dxa"/>
            <w:noWrap w:val="0"/>
            <w:vAlign w:val="top"/>
          </w:tcPr>
          <w:p w14:paraId="3A26E7E5">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5"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w:t>
            </w:r>
          </w:p>
        </w:tc>
        <w:tc>
          <w:tcPr>
            <w:tcW w:w="2146" w:type="dxa"/>
            <w:noWrap w:val="0"/>
            <w:vAlign w:val="top"/>
          </w:tcPr>
          <w:p w14:paraId="1BB03E1E">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蔬菜</w:t>
            </w:r>
          </w:p>
        </w:tc>
        <w:tc>
          <w:tcPr>
            <w:tcW w:w="3544" w:type="dxa"/>
            <w:noWrap w:val="0"/>
            <w:vAlign w:val="top"/>
          </w:tcPr>
          <w:p w14:paraId="41A8FF37">
            <w:pPr>
              <w:pStyle w:val="107"/>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0" w:firstLineChars="15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5"/>
                <w:sz w:val="21"/>
                <w:szCs w:val="21"/>
                <w14:textFill>
                  <w14:solidFill>
                    <w14:schemeClr w14:val="tx1"/>
                  </w14:solidFill>
                </w14:textFill>
              </w:rPr>
              <w:t>0.1</w:t>
            </w:r>
          </w:p>
        </w:tc>
      </w:tr>
    </w:tbl>
    <w:p w14:paraId="14FC5FD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pacing w:val="-1"/>
          <w:sz w:val="21"/>
          <w:szCs w:val="21"/>
          <w:lang w:val="en-US" w:eastAsia="zh-CN"/>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3</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bidi="ar-SA"/>
          <w14:textFill>
            <w14:solidFill>
              <w14:schemeClr w14:val="tx1"/>
            </w14:solidFill>
          </w14:textFill>
        </w:rPr>
        <w:t>调料类标准</w:t>
      </w:r>
    </w:p>
    <w:p w14:paraId="5BA1E9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val="en-US" w:eastAsia="zh-CN" w:bidi="ar-SA"/>
          <w14:textFill>
            <w14:solidFill>
              <w14:schemeClr w14:val="tx1"/>
            </w14:solidFill>
          </w14:textFill>
        </w:rPr>
      </w:pPr>
      <w:r>
        <w:rPr>
          <w:rFonts w:hint="eastAsia" w:ascii="仿宋" w:hAnsi="仿宋" w:eastAsia="仿宋" w:cs="仿宋"/>
          <w:color w:val="000000" w:themeColor="text1"/>
          <w:spacing w:val="-2"/>
          <w:sz w:val="21"/>
          <w:szCs w:val="21"/>
          <w:lang w:val="en-US" w:eastAsia="zh-CN" w:bidi="ar-SA"/>
          <w14:textFill>
            <w14:solidFill>
              <w14:schemeClr w14:val="tx1"/>
            </w14:solidFill>
          </w14:textFill>
        </w:rPr>
        <w:t>①佐料、辅料须确保新鲜、无霉变、无变质、过期，无掺杂充假，无蛀虫，符合国家食品卫生标准，须具有“QS”食品质量安全认证。</w:t>
      </w:r>
    </w:p>
    <w:p w14:paraId="26B44A45">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三</w:t>
      </w:r>
      <w:r>
        <w:rPr>
          <w:rFonts w:hint="eastAsia" w:ascii="仿宋" w:hAnsi="仿宋" w:eastAsia="仿宋" w:cs="仿宋"/>
          <w:color w:val="000000" w:themeColor="text1"/>
          <w:spacing w:val="-4"/>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14:textFill>
            <w14:solidFill>
              <w14:schemeClr w14:val="tx1"/>
            </w14:solidFill>
          </w14:textFill>
        </w:rPr>
        <w:t>质量标准要求</w:t>
      </w:r>
    </w:p>
    <w:p w14:paraId="56AA708E">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1.总体质量要求</w:t>
      </w:r>
      <w:r>
        <w:rPr>
          <w:rFonts w:hint="eastAsia" w:ascii="仿宋" w:hAnsi="仿宋" w:eastAsia="仿宋" w:cs="仿宋"/>
          <w:b/>
          <w:color w:val="000000" w:themeColor="text1"/>
          <w:spacing w:val="-2"/>
          <w:sz w:val="21"/>
          <w:szCs w:val="21"/>
          <w14:textFill>
            <w14:solidFill>
              <w14:schemeClr w14:val="tx1"/>
            </w14:solidFill>
          </w14:textFill>
        </w:rPr>
        <w:t>（如国家标准修订或变更，按最新标准执行</w:t>
      </w:r>
      <w:r>
        <w:rPr>
          <w:rFonts w:hint="eastAsia" w:ascii="仿宋" w:hAnsi="仿宋" w:eastAsia="仿宋" w:cs="仿宋"/>
          <w:b/>
          <w:color w:val="000000" w:themeColor="text1"/>
          <w:spacing w:val="-5"/>
          <w:sz w:val="21"/>
          <w:szCs w:val="21"/>
          <w14:textFill>
            <w14:solidFill>
              <w14:schemeClr w14:val="tx1"/>
            </w14:solidFill>
          </w14:textFill>
        </w:rPr>
        <w:t>）</w:t>
      </w:r>
      <w:r>
        <w:rPr>
          <w:rFonts w:hint="eastAsia" w:ascii="仿宋" w:hAnsi="仿宋" w:eastAsia="仿宋" w:cs="仿宋"/>
          <w:color w:val="000000" w:themeColor="text1"/>
          <w:spacing w:val="-5"/>
          <w:sz w:val="21"/>
          <w:szCs w:val="21"/>
          <w14:textFill>
            <w14:solidFill>
              <w14:schemeClr w14:val="tx1"/>
            </w14:solidFill>
          </w14:textFill>
        </w:rPr>
        <w:t>：</w:t>
      </w:r>
    </w:p>
    <w:p w14:paraId="7287BC74">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满足现行的食用农产品质量安全标准、食品卫生标准、食品质量标准和有关食品的行业标准中强制执行的标准；</w:t>
      </w:r>
    </w:p>
    <w:p w14:paraId="2A01C5C8">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食品中真菌毒素限量》（GB 2761-</w:t>
      </w:r>
      <w:r>
        <w:rPr>
          <w:rFonts w:hint="eastAsia" w:ascii="仿宋" w:hAnsi="仿宋" w:eastAsia="仿宋" w:cs="仿宋"/>
          <w:color w:val="000000" w:themeColor="text1"/>
          <w:spacing w:val="-2"/>
          <w:sz w:val="21"/>
          <w:szCs w:val="21"/>
          <w14:textFill>
            <w14:solidFill>
              <w14:schemeClr w14:val="tx1"/>
            </w14:solidFill>
          </w14:textFill>
        </w:rPr>
        <w:t>2017）</w:t>
      </w:r>
    </w:p>
    <w:p w14:paraId="5E81F2A9">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食品中污染物限量》（GB 2762-</w:t>
      </w:r>
      <w:r>
        <w:rPr>
          <w:rFonts w:hint="eastAsia" w:ascii="仿宋" w:hAnsi="仿宋" w:eastAsia="仿宋" w:cs="仿宋"/>
          <w:color w:val="000000" w:themeColor="text1"/>
          <w:spacing w:val="-2"/>
          <w:sz w:val="21"/>
          <w:szCs w:val="21"/>
          <w14:textFill>
            <w14:solidFill>
              <w14:schemeClr w14:val="tx1"/>
            </w14:solidFill>
          </w14:textFill>
        </w:rPr>
        <w:t>20</w:t>
      </w:r>
      <w:r>
        <w:rPr>
          <w:rFonts w:hint="eastAsia" w:ascii="仿宋" w:hAnsi="仿宋" w:eastAsia="仿宋" w:cs="仿宋"/>
          <w:color w:val="000000" w:themeColor="text1"/>
          <w:spacing w:val="-2"/>
          <w:sz w:val="21"/>
          <w:szCs w:val="21"/>
          <w:lang w:val="en-US" w:eastAsia="zh-CN"/>
          <w14:textFill>
            <w14:solidFill>
              <w14:schemeClr w14:val="tx1"/>
            </w14:solidFill>
          </w14:textFill>
        </w:rPr>
        <w:t>22</w:t>
      </w:r>
      <w:r>
        <w:rPr>
          <w:rFonts w:hint="eastAsia" w:ascii="仿宋" w:hAnsi="仿宋" w:eastAsia="仿宋" w:cs="仿宋"/>
          <w:color w:val="000000" w:themeColor="text1"/>
          <w:spacing w:val="-2"/>
          <w:sz w:val="21"/>
          <w:szCs w:val="21"/>
          <w14:textFill>
            <w14:solidFill>
              <w14:schemeClr w14:val="tx1"/>
            </w14:solidFill>
          </w14:textFill>
        </w:rPr>
        <w:t>）</w:t>
      </w:r>
    </w:p>
    <w:p w14:paraId="56B1C65A">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食品中农药最大残留限量》（GB 2763-</w:t>
      </w:r>
      <w:r>
        <w:rPr>
          <w:rFonts w:hint="eastAsia" w:ascii="仿宋" w:hAnsi="仿宋" w:eastAsia="仿宋" w:cs="仿宋"/>
          <w:color w:val="000000" w:themeColor="text1"/>
          <w:spacing w:val="-2"/>
          <w:sz w:val="21"/>
          <w:szCs w:val="21"/>
          <w14:textFill>
            <w14:solidFill>
              <w14:schemeClr w14:val="tx1"/>
            </w14:solidFill>
          </w14:textFill>
        </w:rPr>
        <w:t>2021）</w:t>
      </w:r>
    </w:p>
    <w:p w14:paraId="7292BBC0">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《食品安全国家标准 食品中致病菌限量》（GB 29921-</w:t>
      </w:r>
      <w:r>
        <w:rPr>
          <w:rFonts w:hint="eastAsia" w:ascii="仿宋" w:hAnsi="仿宋" w:eastAsia="仿宋" w:cs="仿宋"/>
          <w:color w:val="000000" w:themeColor="text1"/>
          <w:spacing w:val="-2"/>
          <w:sz w:val="21"/>
          <w:szCs w:val="21"/>
          <w14:textFill>
            <w14:solidFill>
              <w14:schemeClr w14:val="tx1"/>
            </w14:solidFill>
          </w14:textFill>
        </w:rPr>
        <w:t>2021）</w:t>
      </w:r>
    </w:p>
    <w:p w14:paraId="146228F5">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6</w:t>
      </w:r>
      <w:r>
        <w:rPr>
          <w:rFonts w:hint="eastAsia" w:ascii="仿宋" w:hAnsi="仿宋" w:eastAsia="仿宋" w:cs="仿宋"/>
          <w:color w:val="000000" w:themeColor="text1"/>
          <w:spacing w:val="-2"/>
          <w:sz w:val="21"/>
          <w:szCs w:val="21"/>
          <w:lang w:eastAsia="zh-CN"/>
          <w14:textFill>
            <w14:solidFill>
              <w14:schemeClr w14:val="tx1"/>
            </w14:solidFill>
          </w14:textFill>
        </w:rPr>
        <w:t>）调料产品</w:t>
      </w:r>
      <w:r>
        <w:rPr>
          <w:rFonts w:hint="eastAsia" w:ascii="仿宋" w:hAnsi="仿宋" w:eastAsia="仿宋" w:cs="仿宋"/>
          <w:color w:val="000000" w:themeColor="text1"/>
          <w:spacing w:val="-2"/>
          <w:sz w:val="21"/>
          <w:szCs w:val="21"/>
          <w14:textFill>
            <w14:solidFill>
              <w14:schemeClr w14:val="tx1"/>
            </w14:solidFill>
          </w14:textFill>
        </w:rPr>
        <w:t>必须在</w:t>
      </w:r>
      <w:r>
        <w:rPr>
          <w:rFonts w:hint="eastAsia" w:ascii="仿宋" w:hAnsi="仿宋" w:eastAsia="仿宋" w:cs="仿宋"/>
          <w:color w:val="000000" w:themeColor="text1"/>
          <w:spacing w:val="-2"/>
          <w:sz w:val="21"/>
          <w:szCs w:val="21"/>
          <w:lang w:eastAsia="zh-CN"/>
          <w14:textFill>
            <w14:solidFill>
              <w14:schemeClr w14:val="tx1"/>
            </w14:solidFill>
          </w14:textFill>
        </w:rPr>
        <w:t>保质期</w:t>
      </w:r>
      <w:r>
        <w:rPr>
          <w:rFonts w:hint="eastAsia" w:ascii="仿宋" w:hAnsi="仿宋" w:eastAsia="仿宋" w:cs="仿宋"/>
          <w:color w:val="000000" w:themeColor="text1"/>
          <w:spacing w:val="-2"/>
          <w:sz w:val="21"/>
          <w:szCs w:val="21"/>
          <w14:textFill>
            <w14:solidFill>
              <w14:schemeClr w14:val="tx1"/>
            </w14:solidFill>
          </w14:textFill>
        </w:rPr>
        <w:t>内，且生产日期距供货日期的日历天数不得超过</w:t>
      </w:r>
      <w:r>
        <w:rPr>
          <w:rFonts w:hint="eastAsia" w:ascii="仿宋" w:hAnsi="仿宋" w:eastAsia="仿宋" w:cs="仿宋"/>
          <w:color w:val="000000" w:themeColor="text1"/>
          <w:spacing w:val="-2"/>
          <w:sz w:val="21"/>
          <w:szCs w:val="21"/>
          <w:lang w:eastAsia="zh-CN"/>
          <w14:textFill>
            <w14:solidFill>
              <w14:schemeClr w14:val="tx1"/>
            </w14:solidFill>
          </w14:textFill>
        </w:rPr>
        <w:t>保质期</w:t>
      </w:r>
      <w:r>
        <w:rPr>
          <w:rFonts w:hint="eastAsia" w:ascii="仿宋" w:hAnsi="仿宋" w:eastAsia="仿宋" w:cs="仿宋"/>
          <w:color w:val="000000" w:themeColor="text1"/>
          <w:spacing w:val="-3"/>
          <w:sz w:val="21"/>
          <w:szCs w:val="21"/>
          <w14:textFill>
            <w14:solidFill>
              <w14:schemeClr w14:val="tx1"/>
            </w14:solidFill>
          </w14:textFill>
        </w:rPr>
        <w:t xml:space="preserve">日历天数的 </w:t>
      </w:r>
      <w:r>
        <w:rPr>
          <w:rFonts w:hint="eastAsia" w:ascii="仿宋" w:hAnsi="仿宋" w:eastAsia="仿宋" w:cs="仿宋"/>
          <w:color w:val="000000" w:themeColor="text1"/>
          <w:sz w:val="21"/>
          <w:szCs w:val="21"/>
          <w14:textFill>
            <w14:solidFill>
              <w14:schemeClr w14:val="tx1"/>
            </w14:solidFill>
          </w14:textFill>
        </w:rPr>
        <w:t>1/3</w:t>
      </w:r>
      <w:r>
        <w:rPr>
          <w:rFonts w:hint="eastAsia" w:ascii="仿宋" w:hAnsi="仿宋" w:eastAsia="仿宋" w:cs="仿宋"/>
          <w:color w:val="000000" w:themeColor="text1"/>
          <w:sz w:val="21"/>
          <w:szCs w:val="21"/>
          <w:lang w:eastAsia="zh-CN"/>
          <w14:textFill>
            <w14:solidFill>
              <w14:schemeClr w14:val="tx1"/>
            </w14:solidFill>
          </w14:textFill>
        </w:rPr>
        <w:t>。</w:t>
      </w:r>
    </w:p>
    <w:p w14:paraId="7257771E">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15"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7</w:t>
      </w:r>
      <w:r>
        <w:rPr>
          <w:rFonts w:hint="eastAsia" w:ascii="仿宋" w:hAnsi="仿宋" w:eastAsia="仿宋" w:cs="仿宋"/>
          <w:color w:val="000000" w:themeColor="text1"/>
          <w:sz w:val="21"/>
          <w:szCs w:val="21"/>
          <w:lang w:eastAsia="zh-CN"/>
          <w14:textFill>
            <w14:solidFill>
              <w14:schemeClr w14:val="tx1"/>
            </w14:solidFill>
          </w14:textFill>
        </w:rPr>
        <w:t>）调料产品</w:t>
      </w:r>
      <w:r>
        <w:rPr>
          <w:rFonts w:hint="eastAsia" w:ascii="仿宋" w:hAnsi="仿宋" w:eastAsia="仿宋" w:cs="仿宋"/>
          <w:color w:val="000000" w:themeColor="text1"/>
          <w:sz w:val="21"/>
          <w:szCs w:val="21"/>
          <w14:textFill>
            <w14:solidFill>
              <w14:schemeClr w14:val="tx1"/>
            </w14:solidFill>
          </w14:textFill>
        </w:rPr>
        <w:t>属于“SC”认证范围的产品，必须通过“SC”</w:t>
      </w:r>
      <w:r>
        <w:rPr>
          <w:rFonts w:hint="eastAsia" w:ascii="仿宋" w:hAnsi="仿宋" w:eastAsia="仿宋" w:cs="仿宋"/>
          <w:color w:val="000000" w:themeColor="text1"/>
          <w:spacing w:val="-2"/>
          <w:sz w:val="21"/>
          <w:szCs w:val="21"/>
          <w14:textFill>
            <w14:solidFill>
              <w14:schemeClr w14:val="tx1"/>
            </w14:solidFill>
          </w14:textFill>
        </w:rPr>
        <w:t>食品质量安全认证。</w:t>
      </w:r>
    </w:p>
    <w:p w14:paraId="35A185EA">
      <w:pPr>
        <w:pStyle w:val="71"/>
        <w:keepNext w:val="0"/>
        <w:keepLines w:val="0"/>
        <w:pageBreakBefore w:val="0"/>
        <w:widowControl w:val="0"/>
        <w:numPr>
          <w:ilvl w:val="0"/>
          <w:numId w:val="0"/>
        </w:numPr>
        <w:tabs>
          <w:tab w:val="left" w:pos="131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8</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必须符合卫生，不得有腐烂、变质、油脂酸败、霉变、生虫、污秽不结、混有异物或者其他感官性状异常，并可能对人体健康有害的物质。</w:t>
      </w:r>
    </w:p>
    <w:p w14:paraId="3A637523">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9</w:t>
      </w:r>
      <w:r>
        <w:rPr>
          <w:rFonts w:hint="eastAsia" w:ascii="仿宋" w:hAnsi="仿宋" w:eastAsia="仿宋" w:cs="仿宋"/>
          <w:color w:val="000000" w:themeColor="text1"/>
          <w:spacing w:val="-2"/>
          <w:sz w:val="21"/>
          <w:szCs w:val="21"/>
          <w:lang w:eastAsia="zh-CN"/>
          <w14:textFill>
            <w14:solidFill>
              <w14:schemeClr w14:val="tx1"/>
            </w14:solidFill>
          </w14:textFill>
        </w:rPr>
        <w:t>）蔬菜类</w:t>
      </w:r>
      <w:r>
        <w:rPr>
          <w:rFonts w:hint="eastAsia" w:ascii="仿宋" w:hAnsi="仿宋" w:eastAsia="仿宋" w:cs="仿宋"/>
          <w:color w:val="000000" w:themeColor="text1"/>
          <w:spacing w:val="-2"/>
          <w:sz w:val="21"/>
          <w:szCs w:val="21"/>
          <w14:textFill>
            <w14:solidFill>
              <w14:schemeClr w14:val="tx1"/>
            </w14:solidFill>
          </w14:textFill>
        </w:rPr>
        <w:t>每次送货时须提供送货单及第三方的</w:t>
      </w:r>
      <w:r>
        <w:rPr>
          <w:rFonts w:hint="eastAsia" w:ascii="仿宋" w:hAnsi="仿宋" w:eastAsia="仿宋" w:cs="仿宋"/>
          <w:color w:val="000000" w:themeColor="text1"/>
          <w:spacing w:val="-2"/>
          <w:sz w:val="21"/>
          <w:szCs w:val="21"/>
          <w:lang w:eastAsia="zh-CN"/>
          <w14:textFill>
            <w14:solidFill>
              <w14:schemeClr w14:val="tx1"/>
            </w14:solidFill>
          </w14:textFill>
        </w:rPr>
        <w:t>蔬菜</w:t>
      </w:r>
      <w:r>
        <w:rPr>
          <w:rFonts w:hint="eastAsia" w:ascii="仿宋" w:hAnsi="仿宋" w:eastAsia="仿宋" w:cs="仿宋"/>
          <w:color w:val="000000" w:themeColor="text1"/>
          <w:spacing w:val="-2"/>
          <w:sz w:val="21"/>
          <w:szCs w:val="21"/>
          <w14:textFill>
            <w14:solidFill>
              <w14:schemeClr w14:val="tx1"/>
            </w14:solidFill>
          </w14:textFill>
        </w:rPr>
        <w:t>农药残留检测合格</w:t>
      </w:r>
      <w:r>
        <w:rPr>
          <w:rFonts w:hint="eastAsia" w:ascii="仿宋" w:hAnsi="仿宋" w:eastAsia="仿宋" w:cs="仿宋"/>
          <w:color w:val="000000" w:themeColor="text1"/>
          <w:spacing w:val="-4"/>
          <w:sz w:val="21"/>
          <w:szCs w:val="21"/>
          <w14:textFill>
            <w14:solidFill>
              <w14:schemeClr w14:val="tx1"/>
            </w14:solidFill>
          </w14:textFill>
        </w:rPr>
        <w:t>报告</w:t>
      </w:r>
      <w:r>
        <w:rPr>
          <w:rFonts w:hint="eastAsia" w:ascii="仿宋" w:hAnsi="仿宋" w:eastAsia="仿宋" w:cs="仿宋"/>
          <w:color w:val="000000" w:themeColor="text1"/>
          <w:spacing w:val="-4"/>
          <w:sz w:val="21"/>
          <w:szCs w:val="21"/>
          <w:lang w:val="en-US" w:eastAsia="zh-CN"/>
          <w14:textFill>
            <w14:solidFill>
              <w14:schemeClr w14:val="tx1"/>
            </w14:solidFill>
          </w14:textFill>
        </w:rPr>
        <w:t>和自检合格报告</w:t>
      </w:r>
      <w:r>
        <w:rPr>
          <w:rFonts w:hint="eastAsia" w:ascii="仿宋" w:hAnsi="仿宋" w:eastAsia="仿宋" w:cs="仿宋"/>
          <w:color w:val="000000" w:themeColor="text1"/>
          <w:spacing w:val="-4"/>
          <w:sz w:val="21"/>
          <w:szCs w:val="21"/>
          <w14:textFill>
            <w14:solidFill>
              <w14:schemeClr w14:val="tx1"/>
            </w14:solidFill>
          </w14:textFill>
        </w:rPr>
        <w:t>。</w:t>
      </w:r>
    </w:p>
    <w:p w14:paraId="6708AF0F">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10</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产品必须符合国家所制定的行业标准、证件齐全。严格执行“一批一检一报告”要求，并随</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向采购人提供相关检测、检疫报告。</w:t>
      </w:r>
    </w:p>
    <w:p w14:paraId="014ED042">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eastAsia="zh-CN"/>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11</w:t>
      </w:r>
      <w:r>
        <w:rPr>
          <w:rFonts w:hint="eastAsia" w:ascii="仿宋" w:hAnsi="仿宋" w:eastAsia="仿宋" w:cs="仿宋"/>
          <w:color w:val="000000" w:themeColor="text1"/>
          <w:spacing w:val="-2"/>
          <w:sz w:val="21"/>
          <w:szCs w:val="21"/>
          <w:lang w:eastAsia="zh-CN"/>
          <w14:textFill>
            <w14:solidFill>
              <w14:schemeClr w14:val="tx1"/>
            </w14:solidFill>
          </w14:textFill>
        </w:rPr>
        <w:t>）每个品种留样量不少于125克，由专用留样冰箱冷藏（0℃～8℃）保存48小时以上，并有留样记录。</w:t>
      </w:r>
    </w:p>
    <w:p w14:paraId="574013CD">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(12) 留样冰箱“双人双锁”，专人负责留样管理。</w:t>
      </w:r>
    </w:p>
    <w:p w14:paraId="11CBB3A4">
      <w:pPr>
        <w:pStyle w:val="71"/>
        <w:keepNext w:val="0"/>
        <w:keepLines w:val="0"/>
        <w:pageBreakBefore w:val="0"/>
        <w:widowControl w:val="0"/>
        <w:numPr>
          <w:ilvl w:val="0"/>
          <w:numId w:val="0"/>
        </w:numPr>
        <w:tabs>
          <w:tab w:val="left" w:pos="143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13</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所有食材均须符合《中华人民共和国食品安全法》，</w:t>
      </w:r>
      <w:r>
        <w:rPr>
          <w:rFonts w:hint="eastAsia" w:ascii="仿宋" w:hAnsi="仿宋" w:eastAsia="仿宋" w:cs="仿宋"/>
          <w:color w:val="000000" w:themeColor="text1"/>
          <w:spacing w:val="-2"/>
          <w:sz w:val="21"/>
          <w:szCs w:val="21"/>
          <w:lang w:val="en-US" w:eastAsia="zh-CN"/>
          <w14:textFill>
            <w14:solidFill>
              <w14:schemeClr w14:val="tx1"/>
            </w14:solidFill>
          </w14:textFill>
        </w:rPr>
        <w:t>配送时</w:t>
      </w:r>
      <w:r>
        <w:rPr>
          <w:rFonts w:hint="eastAsia" w:ascii="仿宋" w:hAnsi="仿宋" w:eastAsia="仿宋" w:cs="仿宋"/>
          <w:color w:val="000000" w:themeColor="text1"/>
          <w:spacing w:val="-2"/>
          <w:sz w:val="21"/>
          <w:szCs w:val="21"/>
          <w14:textFill>
            <w14:solidFill>
              <w14:schemeClr w14:val="tx1"/>
            </w14:solidFill>
          </w14:textFill>
        </w:rPr>
        <w:t>须具备产品的检测报告或食品检验合格证</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如国家制定新的食品安全标准，即按新标准执行。</w:t>
      </w:r>
    </w:p>
    <w:p w14:paraId="29D2BC1D">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7"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四</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食材配送及验收</w:t>
      </w:r>
    </w:p>
    <w:p w14:paraId="439B8A3C">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 xml:space="preserve"> 1、</w:t>
      </w:r>
      <w:r>
        <w:rPr>
          <w:rFonts w:hint="eastAsia" w:ascii="仿宋" w:hAnsi="仿宋" w:eastAsia="仿宋" w:cs="仿宋"/>
          <w:color w:val="000000" w:themeColor="text1"/>
          <w:spacing w:val="-3"/>
          <w:sz w:val="21"/>
          <w:szCs w:val="21"/>
          <w14:textFill>
            <w14:solidFill>
              <w14:schemeClr w14:val="tx1"/>
            </w14:solidFill>
          </w14:textFill>
        </w:rPr>
        <w:t>原材料配送时间要求</w:t>
      </w:r>
    </w:p>
    <w:p w14:paraId="38CE51D8">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（1）所有产品</w:t>
      </w:r>
      <w:r>
        <w:rPr>
          <w:rFonts w:hint="eastAsia" w:ascii="仿宋" w:hAnsi="仿宋" w:eastAsia="仿宋" w:cs="仿宋"/>
          <w:color w:val="000000" w:themeColor="text1"/>
          <w:spacing w:val="-2"/>
          <w:sz w:val="21"/>
          <w:szCs w:val="21"/>
          <w14:textFill>
            <w14:solidFill>
              <w14:schemeClr w14:val="tx1"/>
            </w14:solidFill>
          </w14:textFill>
        </w:rPr>
        <w:t>配送时间：蔬菜</w:t>
      </w:r>
      <w:r>
        <w:rPr>
          <w:rFonts w:hint="eastAsia" w:ascii="仿宋" w:hAnsi="仿宋" w:eastAsia="仿宋" w:cs="仿宋"/>
          <w:color w:val="000000" w:themeColor="text1"/>
          <w:spacing w:val="-2"/>
          <w:sz w:val="21"/>
          <w:szCs w:val="21"/>
          <w:lang w:val="en-US" w:eastAsia="zh-CN"/>
          <w14:textFill>
            <w14:solidFill>
              <w14:schemeClr w14:val="tx1"/>
            </w14:solidFill>
          </w14:textFill>
        </w:rPr>
        <w:t>原则上</w:t>
      </w:r>
      <w:r>
        <w:rPr>
          <w:rFonts w:hint="eastAsia" w:ascii="仿宋" w:hAnsi="仿宋" w:eastAsia="仿宋" w:cs="仿宋"/>
          <w:color w:val="000000" w:themeColor="text1"/>
          <w:spacing w:val="-2"/>
          <w:sz w:val="21"/>
          <w:szCs w:val="21"/>
          <w14:textFill>
            <w14:solidFill>
              <w14:schemeClr w14:val="tx1"/>
            </w14:solidFill>
          </w14:textFill>
        </w:rPr>
        <w:t>应当天配送，采购人提前下采购单（书写或表格形式）</w:t>
      </w:r>
      <w:r>
        <w:rPr>
          <w:rFonts w:hint="eastAsia" w:ascii="仿宋" w:hAnsi="仿宋" w:eastAsia="仿宋" w:cs="仿宋"/>
          <w:color w:val="000000" w:themeColor="text1"/>
          <w:spacing w:val="-4"/>
          <w:sz w:val="21"/>
          <w:szCs w:val="21"/>
          <w14:textFill>
            <w14:solidFill>
              <w14:schemeClr w14:val="tx1"/>
            </w14:solidFill>
          </w14:textFill>
        </w:rPr>
        <w:t>告知供应方，供应方保证</w:t>
      </w:r>
      <w:r>
        <w:rPr>
          <w:rFonts w:hint="eastAsia" w:ascii="仿宋" w:hAnsi="仿宋" w:eastAsia="仿宋" w:cs="仿宋"/>
          <w:color w:val="000000" w:themeColor="text1"/>
          <w:spacing w:val="-4"/>
          <w:sz w:val="21"/>
          <w:szCs w:val="21"/>
          <w:lang w:eastAsia="zh-CN"/>
          <w14:textFill>
            <w14:solidFill>
              <w14:schemeClr w14:val="tx1"/>
            </w14:solidFill>
          </w14:textFill>
        </w:rPr>
        <w:t>在采购人要求时间内</w:t>
      </w:r>
      <w:r>
        <w:rPr>
          <w:rFonts w:hint="eastAsia" w:ascii="仿宋" w:hAnsi="仿宋" w:eastAsia="仿宋" w:cs="仿宋"/>
          <w:color w:val="000000" w:themeColor="text1"/>
          <w:spacing w:val="-2"/>
          <w:sz w:val="21"/>
          <w:szCs w:val="21"/>
          <w14:textFill>
            <w14:solidFill>
              <w14:schemeClr w14:val="tx1"/>
            </w14:solidFill>
          </w14:textFill>
        </w:rPr>
        <w:t>将产品配送至采购人指定地点（</w:t>
      </w:r>
      <w:r>
        <w:rPr>
          <w:rFonts w:hint="eastAsia" w:ascii="仿宋" w:hAnsi="仿宋" w:eastAsia="仿宋" w:cs="仿宋"/>
          <w:color w:val="000000" w:themeColor="text1"/>
          <w:spacing w:val="-2"/>
          <w:sz w:val="21"/>
          <w:szCs w:val="21"/>
          <w:lang w:val="en-US" w:eastAsia="zh-CN"/>
          <w14:textFill>
            <w14:solidFill>
              <w14:schemeClr w14:val="tx1"/>
            </w14:solidFill>
          </w14:textFill>
        </w:rPr>
        <w:t>含学校辖区教学点，</w:t>
      </w:r>
      <w:r>
        <w:rPr>
          <w:rFonts w:hint="eastAsia" w:ascii="仿宋" w:hAnsi="仿宋" w:eastAsia="仿宋" w:cs="仿宋"/>
          <w:color w:val="000000" w:themeColor="text1"/>
          <w:spacing w:val="-2"/>
          <w:sz w:val="21"/>
          <w:szCs w:val="21"/>
          <w14:textFill>
            <w14:solidFill>
              <w14:schemeClr w14:val="tx1"/>
            </w14:solidFill>
          </w14:textFill>
        </w:rPr>
        <w:t>遇法定节假日双方协商解决）。</w:t>
      </w:r>
    </w:p>
    <w:p w14:paraId="12D2A5A5">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0"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pacing w:val="-2"/>
          <w:sz w:val="21"/>
          <w:szCs w:val="21"/>
          <w:lang w:val="en-US" w:eastAsia="zh-CN"/>
          <w14:textFill>
            <w14:solidFill>
              <w14:schemeClr w14:val="tx1"/>
            </w14:solidFill>
          </w14:textFill>
        </w:rPr>
        <w:t>2、</w:t>
      </w:r>
      <w:r>
        <w:rPr>
          <w:rFonts w:hint="eastAsia" w:ascii="仿宋" w:hAnsi="仿宋" w:eastAsia="仿宋" w:cs="仿宋"/>
          <w:b/>
          <w:color w:val="000000" w:themeColor="text1"/>
          <w:spacing w:val="-2"/>
          <w:sz w:val="21"/>
          <w:szCs w:val="21"/>
          <w14:textFill>
            <w14:solidFill>
              <w14:schemeClr w14:val="tx1"/>
            </w14:solidFill>
          </w14:textFill>
        </w:rPr>
        <w:t>配送品目及数量：</w:t>
      </w:r>
      <w:r>
        <w:rPr>
          <w:rFonts w:hint="eastAsia" w:ascii="仿宋" w:hAnsi="仿宋" w:eastAsia="仿宋" w:cs="仿宋"/>
          <w:color w:val="000000" w:themeColor="text1"/>
          <w:spacing w:val="-2"/>
          <w:sz w:val="21"/>
          <w:szCs w:val="21"/>
          <w14:textFill>
            <w14:solidFill>
              <w14:schemeClr w14:val="tx1"/>
            </w14:solidFill>
          </w14:textFill>
        </w:rPr>
        <w:t>配送种类与数量以采购人通知（书写或表格形式）为准，采购人根据需求开出每日</w:t>
      </w:r>
      <w:r>
        <w:rPr>
          <w:rFonts w:hint="eastAsia" w:ascii="仿宋" w:hAnsi="仿宋" w:eastAsia="仿宋" w:cs="仿宋"/>
          <w:color w:val="000000" w:themeColor="text1"/>
          <w:spacing w:val="-2"/>
          <w:sz w:val="21"/>
          <w:szCs w:val="21"/>
          <w:lang w:val="en-US" w:eastAsia="zh-CN"/>
          <w14:textFill>
            <w14:solidFill>
              <w14:schemeClr w14:val="tx1"/>
            </w14:solidFill>
          </w14:textFill>
        </w:rPr>
        <w:t>产品种类</w:t>
      </w:r>
      <w:r>
        <w:rPr>
          <w:rFonts w:hint="eastAsia" w:ascii="仿宋" w:hAnsi="仿宋" w:eastAsia="仿宋" w:cs="仿宋"/>
          <w:color w:val="000000" w:themeColor="text1"/>
          <w:spacing w:val="-2"/>
          <w:sz w:val="21"/>
          <w:szCs w:val="21"/>
          <w14:textFill>
            <w14:solidFill>
              <w14:schemeClr w14:val="tx1"/>
            </w14:solidFill>
          </w14:textFill>
        </w:rPr>
        <w:t>及数量，供应方须在当日内做出响应，如有某些菜品出现市场断档，应当日及时告知采购人，以便采购人根据实际情况做出必要调整。</w:t>
      </w:r>
    </w:p>
    <w:p w14:paraId="2ACC3838">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4"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4"/>
          <w:sz w:val="21"/>
          <w:szCs w:val="21"/>
          <w:lang w:val="en-US" w:eastAsia="zh-CN"/>
          <w14:textFill>
            <w14:solidFill>
              <w14:schemeClr w14:val="tx1"/>
            </w14:solidFill>
          </w14:textFill>
        </w:rPr>
        <w:t>3、</w:t>
      </w:r>
      <w:r>
        <w:rPr>
          <w:rFonts w:hint="eastAsia" w:ascii="仿宋" w:hAnsi="仿宋" w:eastAsia="仿宋" w:cs="仿宋"/>
          <w:color w:val="000000" w:themeColor="text1"/>
          <w:spacing w:val="-4"/>
          <w:sz w:val="21"/>
          <w:szCs w:val="21"/>
          <w14:textFill>
            <w14:solidFill>
              <w14:schemeClr w14:val="tx1"/>
            </w14:solidFill>
          </w14:textFill>
        </w:rPr>
        <w:t>供货要求</w:t>
      </w:r>
    </w:p>
    <w:p w14:paraId="1CB0A9E7">
      <w:pPr>
        <w:pStyle w:val="71"/>
        <w:keepNext w:val="0"/>
        <w:keepLines w:val="0"/>
        <w:pageBreakBefore w:val="0"/>
        <w:widowControl w:val="0"/>
        <w:numPr>
          <w:ilvl w:val="0"/>
          <w:numId w:val="0"/>
        </w:numPr>
        <w:tabs>
          <w:tab w:val="left" w:pos="961"/>
        </w:tabs>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1</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一般供货要求：</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须按采购人指定配送时间，将所订购的</w:t>
      </w:r>
      <w:r>
        <w:rPr>
          <w:rFonts w:hint="eastAsia" w:ascii="仿宋" w:hAnsi="仿宋" w:eastAsia="仿宋" w:cs="仿宋"/>
          <w:color w:val="000000" w:themeColor="text1"/>
          <w:spacing w:val="3"/>
          <w:sz w:val="21"/>
          <w:szCs w:val="21"/>
          <w:lang w:eastAsia="zh-CN"/>
          <w14:textFill>
            <w14:solidFill>
              <w14:schemeClr w14:val="tx1"/>
            </w14:solidFill>
          </w14:textFill>
        </w:rPr>
        <w:t>产品</w:t>
      </w:r>
      <w:r>
        <w:rPr>
          <w:rFonts w:hint="eastAsia" w:ascii="仿宋" w:hAnsi="仿宋" w:eastAsia="仿宋" w:cs="仿宋"/>
          <w:color w:val="000000" w:themeColor="text1"/>
          <w:spacing w:val="3"/>
          <w:sz w:val="21"/>
          <w:szCs w:val="21"/>
          <w14:textFill>
            <w14:solidFill>
              <w14:schemeClr w14:val="tx1"/>
            </w14:solidFill>
          </w14:textFill>
        </w:rPr>
        <w:t>送至采购人</w:t>
      </w:r>
      <w:r>
        <w:rPr>
          <w:rFonts w:hint="eastAsia" w:ascii="仿宋" w:hAnsi="仿宋" w:eastAsia="仿宋" w:cs="仿宋"/>
          <w:color w:val="000000" w:themeColor="text1"/>
          <w:spacing w:val="4"/>
          <w:sz w:val="21"/>
          <w:szCs w:val="21"/>
          <w14:textFill>
            <w14:solidFill>
              <w14:schemeClr w14:val="tx1"/>
            </w14:solidFill>
          </w14:textFill>
        </w:rPr>
        <w:t>指定地点（遇法定节假日双方协商解决）</w:t>
      </w:r>
      <w:r>
        <w:rPr>
          <w:rFonts w:hint="eastAsia" w:ascii="仿宋" w:hAnsi="仿宋" w:eastAsia="仿宋" w:cs="仿宋"/>
          <w:color w:val="000000" w:themeColor="text1"/>
          <w:spacing w:val="3"/>
          <w:sz w:val="21"/>
          <w:szCs w:val="21"/>
          <w14:textFill>
            <w14:solidFill>
              <w14:schemeClr w14:val="tx1"/>
            </w14:solidFill>
          </w14:textFill>
        </w:rPr>
        <w:t>。</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所供的货品必须按采购人所规定的配送时间准时送达，到货后</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需协助</w:t>
      </w:r>
      <w:r>
        <w:rPr>
          <w:rFonts w:hint="eastAsia" w:ascii="仿宋" w:hAnsi="仿宋" w:eastAsia="仿宋" w:cs="仿宋"/>
          <w:color w:val="000000" w:themeColor="text1"/>
          <w:spacing w:val="3"/>
          <w:sz w:val="21"/>
          <w:szCs w:val="21"/>
          <w:lang w:val="en-US" w:eastAsia="zh-CN"/>
          <w14:textFill>
            <w14:solidFill>
              <w14:schemeClr w14:val="tx1"/>
            </w14:solidFill>
          </w14:textFill>
        </w:rPr>
        <w:t>所供片区</w:t>
      </w:r>
      <w:r>
        <w:rPr>
          <w:rFonts w:hint="eastAsia" w:ascii="仿宋" w:hAnsi="仿宋" w:eastAsia="仿宋" w:cs="仿宋"/>
          <w:color w:val="000000" w:themeColor="text1"/>
          <w:spacing w:val="3"/>
          <w:sz w:val="21"/>
          <w:szCs w:val="21"/>
          <w14:textFill>
            <w14:solidFill>
              <w14:schemeClr w14:val="tx1"/>
            </w14:solidFill>
          </w14:textFill>
        </w:rPr>
        <w:t>的工作人员过秤入库。因运输装卸过</w:t>
      </w:r>
      <w:r>
        <w:rPr>
          <w:rFonts w:hint="eastAsia" w:ascii="仿宋" w:hAnsi="仿宋" w:eastAsia="仿宋" w:cs="仿宋"/>
          <w:color w:val="000000" w:themeColor="text1"/>
          <w:spacing w:val="4"/>
          <w:sz w:val="21"/>
          <w:szCs w:val="21"/>
          <w14:textFill>
            <w14:solidFill>
              <w14:schemeClr w14:val="tx1"/>
            </w14:solidFill>
          </w14:textFill>
        </w:rPr>
        <w:t>程中造成的损耗（例如包装严重变形、破损、食品污染、变异等）</w:t>
      </w:r>
      <w:r>
        <w:rPr>
          <w:rFonts w:hint="eastAsia" w:ascii="仿宋" w:hAnsi="仿宋" w:eastAsia="仿宋" w:cs="仿宋"/>
          <w:color w:val="000000" w:themeColor="text1"/>
          <w:spacing w:val="3"/>
          <w:sz w:val="21"/>
          <w:szCs w:val="21"/>
          <w14:textFill>
            <w14:solidFill>
              <w14:schemeClr w14:val="tx1"/>
            </w14:solidFill>
          </w14:textFill>
        </w:rPr>
        <w:t>、发现的破损、变异食品必须无条件在两个小时内更换并送到指定地点。</w:t>
      </w:r>
    </w:p>
    <w:p w14:paraId="3495DE2D">
      <w:pPr>
        <w:pStyle w:val="71"/>
        <w:keepNext w:val="0"/>
        <w:keepLines w:val="0"/>
        <w:pageBreakBefore w:val="0"/>
        <w:widowControl w:val="0"/>
        <w:numPr>
          <w:ilvl w:val="0"/>
          <w:numId w:val="0"/>
        </w:numPr>
        <w:tabs>
          <w:tab w:val="left" w:pos="961"/>
        </w:tabs>
        <w:kinsoku/>
        <w:wordWrap/>
        <w:overflowPunct/>
        <w:topLinePunct w:val="0"/>
        <w:autoSpaceDE w:val="0"/>
        <w:autoSpaceDN w:val="0"/>
        <w:bidi w:val="0"/>
        <w:adjustRightInd w:val="0"/>
        <w:snapToGrid w:val="0"/>
        <w:spacing w:line="360" w:lineRule="auto"/>
        <w:ind w:left="0" w:leftChars="0" w:right="0" w:rightChars="0" w:firstLine="324"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2</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紧急供货要求：在收到采购人发出紧急供货通知后，</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须按采购人所规定时间内将原材料配送到位，所送</w:t>
      </w:r>
      <w:r>
        <w:rPr>
          <w:rFonts w:hint="eastAsia" w:ascii="仿宋" w:hAnsi="仿宋" w:eastAsia="仿宋" w:cs="仿宋"/>
          <w:color w:val="000000" w:themeColor="text1"/>
          <w:spacing w:val="3"/>
          <w:sz w:val="21"/>
          <w:szCs w:val="21"/>
          <w:lang w:val="en-US" w:eastAsia="zh-CN"/>
          <w14:textFill>
            <w14:solidFill>
              <w14:schemeClr w14:val="tx1"/>
            </w14:solidFill>
          </w14:textFill>
        </w:rPr>
        <w:t>产品</w:t>
      </w:r>
      <w:r>
        <w:rPr>
          <w:rFonts w:hint="eastAsia" w:ascii="仿宋" w:hAnsi="仿宋" w:eastAsia="仿宋" w:cs="仿宋"/>
          <w:color w:val="000000" w:themeColor="text1"/>
          <w:spacing w:val="3"/>
          <w:sz w:val="21"/>
          <w:szCs w:val="21"/>
          <w14:textFill>
            <w14:solidFill>
              <w14:schemeClr w14:val="tx1"/>
            </w14:solidFill>
          </w14:textFill>
        </w:rPr>
        <w:t>必须达到采购人要求，如果因食材质量未达到采购人要求和送货时间延迟未送达到采购人指定地点，累计超过3</w:t>
      </w:r>
      <w:r>
        <w:rPr>
          <w:rFonts w:hint="eastAsia" w:ascii="仿宋" w:hAnsi="仿宋" w:eastAsia="仿宋" w:cs="仿宋"/>
          <w:color w:val="000000" w:themeColor="text1"/>
          <w:spacing w:val="1"/>
          <w:sz w:val="21"/>
          <w:szCs w:val="21"/>
          <w14:textFill>
            <w14:solidFill>
              <w14:schemeClr w14:val="tx1"/>
            </w14:solidFill>
          </w14:textFill>
        </w:rPr>
        <w:t>次采购人有权解除合同，</w:t>
      </w:r>
      <w:r>
        <w:rPr>
          <w:rFonts w:hint="eastAsia" w:ascii="仿宋" w:hAnsi="仿宋" w:eastAsia="仿宋" w:cs="仿宋"/>
          <w:color w:val="000000" w:themeColor="text1"/>
          <w:sz w:val="21"/>
          <w:szCs w:val="21"/>
          <w14:textFill>
            <w14:solidFill>
              <w14:schemeClr w14:val="tx1"/>
            </w14:solidFill>
          </w14:textFill>
        </w:rPr>
        <w:t>乙方还需承担采购人所有损失。</w:t>
      </w:r>
    </w:p>
    <w:p w14:paraId="29DB50C8">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4、</w:t>
      </w:r>
      <w:r>
        <w:rPr>
          <w:rFonts w:hint="eastAsia" w:ascii="仿宋" w:hAnsi="仿宋" w:eastAsia="仿宋" w:cs="仿宋"/>
          <w:color w:val="000000" w:themeColor="text1"/>
          <w:spacing w:val="-4"/>
          <w:sz w:val="21"/>
          <w:szCs w:val="21"/>
          <w14:textFill>
            <w14:solidFill>
              <w14:schemeClr w14:val="tx1"/>
            </w14:solidFill>
          </w14:textFill>
        </w:rPr>
        <w:t>原材料验收</w:t>
      </w:r>
    </w:p>
    <w:p w14:paraId="6803A829">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原材料验收由供应方、使用方，</w:t>
      </w:r>
      <w:r>
        <w:rPr>
          <w:rFonts w:hint="eastAsia" w:ascii="仿宋" w:hAnsi="仿宋" w:eastAsia="仿宋" w:cs="仿宋"/>
          <w:color w:val="000000" w:themeColor="text1"/>
          <w:spacing w:val="-2"/>
          <w:sz w:val="21"/>
          <w:szCs w:val="21"/>
          <w:lang w:val="en-US" w:eastAsia="zh-CN"/>
          <w14:textFill>
            <w14:solidFill>
              <w14:schemeClr w14:val="tx1"/>
            </w14:solidFill>
          </w14:textFill>
        </w:rPr>
        <w:t>双</w:t>
      </w:r>
      <w:r>
        <w:rPr>
          <w:rFonts w:hint="eastAsia" w:ascii="仿宋" w:hAnsi="仿宋" w:eastAsia="仿宋" w:cs="仿宋"/>
          <w:color w:val="000000" w:themeColor="text1"/>
          <w:spacing w:val="-2"/>
          <w:sz w:val="21"/>
          <w:szCs w:val="21"/>
          <w14:textFill>
            <w14:solidFill>
              <w14:schemeClr w14:val="tx1"/>
            </w14:solidFill>
          </w14:textFill>
        </w:rPr>
        <w:t>方现场检验，对供应产品的质量无异议数量准确无误后，</w:t>
      </w:r>
      <w:r>
        <w:rPr>
          <w:rFonts w:hint="eastAsia" w:ascii="仿宋" w:hAnsi="仿宋" w:eastAsia="仿宋" w:cs="仿宋"/>
          <w:color w:val="000000" w:themeColor="text1"/>
          <w:spacing w:val="-2"/>
          <w:sz w:val="21"/>
          <w:szCs w:val="21"/>
          <w:lang w:val="en-US" w:eastAsia="zh-CN"/>
          <w14:textFill>
            <w14:solidFill>
              <w14:schemeClr w14:val="tx1"/>
            </w14:solidFill>
          </w14:textFill>
        </w:rPr>
        <w:t>双</w:t>
      </w:r>
      <w:r>
        <w:rPr>
          <w:rFonts w:hint="eastAsia" w:ascii="仿宋" w:hAnsi="仿宋" w:eastAsia="仿宋" w:cs="仿宋"/>
          <w:color w:val="000000" w:themeColor="text1"/>
          <w:spacing w:val="-2"/>
          <w:sz w:val="21"/>
          <w:szCs w:val="21"/>
          <w14:textFill>
            <w14:solidFill>
              <w14:schemeClr w14:val="tx1"/>
            </w14:solidFill>
          </w14:textFill>
        </w:rPr>
        <w:t>方签字，各自留存。</w:t>
      </w:r>
    </w:p>
    <w:p w14:paraId="5CCB712D">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原材料在验收时有不符合要求的，一律退回，供应商无条件重新更换配送</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，更换后仍然不符合标准的采购人有权对</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处以一定金额的罚款。</w:t>
      </w:r>
    </w:p>
    <w:p w14:paraId="69495E17">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5、</w:t>
      </w:r>
      <w:r>
        <w:rPr>
          <w:rFonts w:hint="eastAsia" w:ascii="仿宋" w:hAnsi="仿宋" w:eastAsia="仿宋" w:cs="仿宋"/>
          <w:color w:val="000000" w:themeColor="text1"/>
          <w:spacing w:val="-2"/>
          <w:sz w:val="21"/>
          <w:szCs w:val="21"/>
          <w14:textFill>
            <w14:solidFill>
              <w14:schemeClr w14:val="tx1"/>
            </w14:solidFill>
          </w14:textFill>
        </w:rPr>
        <w:t>原料贮存设施</w:t>
      </w:r>
      <w:r>
        <w:rPr>
          <w:rFonts w:hint="eastAsia" w:ascii="仿宋" w:hAnsi="仿宋" w:eastAsia="仿宋" w:cs="仿宋"/>
          <w:color w:val="000000" w:themeColor="text1"/>
          <w:spacing w:val="-2"/>
          <w:sz w:val="21"/>
          <w:szCs w:val="21"/>
          <w:lang w:eastAsia="zh-CN"/>
          <w14:textFill>
            <w14:solidFill>
              <w14:schemeClr w14:val="tx1"/>
            </w14:solidFill>
          </w14:textFill>
        </w:rPr>
        <w:t>要求</w:t>
      </w:r>
    </w:p>
    <w:p w14:paraId="15A13EC0">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　</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应根据原料的贮存要求，</w:t>
      </w:r>
      <w:r>
        <w:rPr>
          <w:rFonts w:hint="eastAsia" w:ascii="仿宋" w:hAnsi="仿宋" w:eastAsia="仿宋" w:cs="仿宋"/>
          <w:color w:val="000000" w:themeColor="text1"/>
          <w:spacing w:val="-2"/>
          <w:sz w:val="21"/>
          <w:szCs w:val="21"/>
          <w:lang w:val="en-US" w:eastAsia="zh-CN"/>
          <w14:textFill>
            <w14:solidFill>
              <w14:schemeClr w14:val="tx1"/>
            </w14:solidFill>
          </w14:textFill>
        </w:rPr>
        <w:t>配备</w:t>
      </w:r>
      <w:r>
        <w:rPr>
          <w:rFonts w:hint="eastAsia" w:ascii="仿宋" w:hAnsi="仿宋" w:eastAsia="仿宋" w:cs="仿宋"/>
          <w:color w:val="000000" w:themeColor="text1"/>
          <w:spacing w:val="-2"/>
          <w:sz w:val="21"/>
          <w:szCs w:val="21"/>
          <w14:textFill>
            <w14:solidFill>
              <w14:schemeClr w14:val="tx1"/>
            </w14:solidFill>
          </w14:textFill>
        </w:rPr>
        <w:t>相应的食品库房或贮存场所以及贮存设施</w:t>
      </w:r>
      <w:r>
        <w:rPr>
          <w:rFonts w:hint="eastAsia" w:ascii="仿宋" w:hAnsi="仿宋" w:eastAsia="仿宋" w:cs="仿宋"/>
          <w:color w:val="000000" w:themeColor="text1"/>
          <w:spacing w:val="-2"/>
          <w:sz w:val="21"/>
          <w:szCs w:val="21"/>
          <w:lang w:val="en-US" w:eastAsia="zh-CN"/>
          <w14:textFill>
            <w14:solidFill>
              <w14:schemeClr w14:val="tx1"/>
            </w14:solidFill>
          </w14:textFill>
        </w:rPr>
        <w:t>及时</w:t>
      </w:r>
      <w:r>
        <w:rPr>
          <w:rFonts w:hint="eastAsia" w:ascii="仿宋" w:hAnsi="仿宋" w:eastAsia="仿宋" w:cs="仿宋"/>
          <w:color w:val="000000" w:themeColor="text1"/>
          <w:spacing w:val="-2"/>
          <w:sz w:val="21"/>
          <w:szCs w:val="21"/>
          <w14:textFill>
            <w14:solidFill>
              <w14:schemeClr w14:val="tx1"/>
            </w14:solidFill>
          </w14:textFill>
        </w:rPr>
        <w:t>冷冻、冷藏设施。</w:t>
      </w:r>
    </w:p>
    <w:p w14:paraId="584CBF1F">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库房应设有通风、防潮及防止有害生物侵入的设施。</w:t>
      </w:r>
    </w:p>
    <w:p w14:paraId="10FE878A">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　</w:t>
      </w:r>
      <w:r>
        <w:rPr>
          <w:rFonts w:hint="eastAsia" w:ascii="仿宋" w:hAnsi="仿宋" w:eastAsia="仿宋" w:cs="仿宋"/>
          <w:color w:val="000000" w:themeColor="text1"/>
          <w:spacing w:val="-2"/>
          <w:sz w:val="21"/>
          <w:szCs w:val="21"/>
          <w:lang w:val="en-US" w:eastAsia="zh-CN"/>
          <w14:textFill>
            <w14:solidFill>
              <w14:schemeClr w14:val="tx1"/>
            </w14:solidFill>
          </w14:textFill>
        </w:rPr>
        <w:t>(3)</w:t>
      </w:r>
      <w:r>
        <w:rPr>
          <w:rFonts w:hint="eastAsia" w:ascii="仿宋" w:hAnsi="仿宋" w:eastAsia="仿宋" w:cs="仿宋"/>
          <w:color w:val="000000" w:themeColor="text1"/>
          <w:spacing w:val="-2"/>
          <w:sz w:val="21"/>
          <w:szCs w:val="21"/>
          <w14:textFill>
            <w14:solidFill>
              <w14:schemeClr w14:val="tx1"/>
            </w14:solidFill>
          </w14:textFill>
        </w:rPr>
        <w:t xml:space="preserve"> 库房内应设置足够数量的存放架，其结构及位置能使贮存的食品和物品离墙离地。</w:t>
      </w:r>
    </w:p>
    <w:p w14:paraId="693310F8">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(4)</w:t>
      </w:r>
      <w:r>
        <w:rPr>
          <w:rFonts w:hint="eastAsia" w:ascii="仿宋" w:hAnsi="仿宋" w:eastAsia="仿宋" w:cs="仿宋"/>
          <w:color w:val="000000" w:themeColor="text1"/>
          <w:spacing w:val="-2"/>
          <w:sz w:val="21"/>
          <w:szCs w:val="21"/>
          <w14:textFill>
            <w14:solidFill>
              <w14:schemeClr w14:val="tx1"/>
            </w14:solidFill>
          </w14:textFill>
        </w:rPr>
        <w:t>冷藏（冻）设施正常运转，配备温度显示装置，确保贮存条件。</w:t>
      </w:r>
    </w:p>
    <w:p w14:paraId="1E5EF595">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6、原料贮存</w:t>
      </w:r>
    </w:p>
    <w:p w14:paraId="15A5FB0F">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(1)除蔬菜外其他原料</w:t>
      </w:r>
      <w:r>
        <w:rPr>
          <w:rFonts w:hint="eastAsia" w:ascii="仿宋" w:hAnsi="仿宋" w:eastAsia="仿宋" w:cs="仿宋"/>
          <w:color w:val="000000" w:themeColor="text1"/>
          <w:spacing w:val="-2"/>
          <w:sz w:val="21"/>
          <w:szCs w:val="21"/>
          <w14:textFill>
            <w14:solidFill>
              <w14:schemeClr w14:val="tx1"/>
            </w14:solidFill>
          </w14:textFill>
        </w:rPr>
        <w:t>应在贮存位置上标明食品名称、生产日期或生产批号、使用期限等信息。宜使用密闭容器贮存。</w:t>
      </w:r>
    </w:p>
    <w:p w14:paraId="0AD7456E">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 xml:space="preserve"> 贮存不同类别食</w:t>
      </w:r>
      <w:r>
        <w:rPr>
          <w:rFonts w:hint="eastAsia" w:ascii="仿宋" w:hAnsi="仿宋" w:eastAsia="仿宋" w:cs="仿宋"/>
          <w:color w:val="000000" w:themeColor="text1"/>
          <w:spacing w:val="-2"/>
          <w:sz w:val="21"/>
          <w:szCs w:val="21"/>
          <w:lang w:val="en-US" w:eastAsia="zh-CN"/>
          <w14:textFill>
            <w14:solidFill>
              <w14:schemeClr w14:val="tx1"/>
            </w14:solidFill>
          </w14:textFill>
        </w:rPr>
        <w:t>材</w:t>
      </w:r>
      <w:r>
        <w:rPr>
          <w:rFonts w:hint="eastAsia" w:ascii="仿宋" w:hAnsi="仿宋" w:eastAsia="仿宋" w:cs="仿宋"/>
          <w:color w:val="000000" w:themeColor="text1"/>
          <w:spacing w:val="-2"/>
          <w:sz w:val="21"/>
          <w:szCs w:val="21"/>
          <w14:textFill>
            <w14:solidFill>
              <w14:schemeClr w14:val="tx1"/>
            </w14:solidFill>
          </w14:textFill>
        </w:rPr>
        <w:t>，应分设存放区域，不同区域有明显的区分标识。</w:t>
      </w:r>
    </w:p>
    <w:p w14:paraId="27E905F1">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(3)</w:t>
      </w:r>
      <w:r>
        <w:rPr>
          <w:rFonts w:hint="eastAsia" w:ascii="仿宋" w:hAnsi="仿宋" w:eastAsia="仿宋" w:cs="仿宋"/>
          <w:color w:val="000000" w:themeColor="text1"/>
          <w:spacing w:val="-2"/>
          <w:sz w:val="21"/>
          <w:szCs w:val="21"/>
          <w14:textFill>
            <w14:solidFill>
              <w14:schemeClr w14:val="tx1"/>
            </w14:solidFill>
          </w14:textFill>
        </w:rPr>
        <w:t xml:space="preserve"> 贮存的食品和物品离墙、离地，距离墙壁和地面均应在10cm以上。</w:t>
      </w:r>
    </w:p>
    <w:p w14:paraId="5BD7E932">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07"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lang w:val="en-US" w:eastAsia="zh-CN"/>
          <w14:textFill>
            <w14:solidFill>
              <w14:schemeClr w14:val="tx1"/>
            </w14:solidFill>
          </w14:textFill>
        </w:rPr>
        <w:t>五</w:t>
      </w:r>
      <w:r>
        <w:rPr>
          <w:rFonts w:hint="eastAsia" w:ascii="仿宋" w:hAnsi="仿宋" w:eastAsia="仿宋" w:cs="仿宋"/>
          <w:color w:val="000000" w:themeColor="text1"/>
          <w:spacing w:val="-3"/>
          <w:sz w:val="21"/>
          <w:szCs w:val="21"/>
          <w:lang w:eastAsia="zh-CN"/>
          <w14:textFill>
            <w14:solidFill>
              <w14:schemeClr w14:val="tx1"/>
            </w14:solidFill>
          </w14:textFill>
        </w:rPr>
        <w:t>）</w:t>
      </w:r>
      <w:r>
        <w:rPr>
          <w:rFonts w:hint="eastAsia" w:ascii="仿宋" w:hAnsi="仿宋" w:eastAsia="仿宋" w:cs="仿宋"/>
          <w:color w:val="000000" w:themeColor="text1"/>
          <w:spacing w:val="-3"/>
          <w:sz w:val="21"/>
          <w:szCs w:val="21"/>
          <w14:textFill>
            <w14:solidFill>
              <w14:schemeClr w14:val="tx1"/>
            </w14:solidFill>
          </w14:textFill>
        </w:rPr>
        <w:t>配送要求及责任</w:t>
      </w:r>
    </w:p>
    <w:p w14:paraId="5EF27FA5">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14:textFill>
            <w14:solidFill>
              <w14:schemeClr w14:val="tx1"/>
            </w14:solidFill>
          </w14:textFill>
        </w:rPr>
        <w:t>原材料</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须保证所供原材料均为符合国家卫生、质量检验标准的正规产品，保证配送品种、数量、质量完全满足采购人要求</w:t>
      </w:r>
      <w:r>
        <w:rPr>
          <w:rFonts w:hint="eastAsia" w:ascii="仿宋" w:hAnsi="仿宋" w:eastAsia="仿宋" w:cs="仿宋"/>
          <w:color w:val="000000" w:themeColor="text1"/>
          <w:spacing w:val="-2"/>
          <w:sz w:val="21"/>
          <w:szCs w:val="21"/>
          <w:lang w:eastAsia="zh-CN"/>
          <w14:textFill>
            <w14:solidFill>
              <w14:schemeClr w14:val="tx1"/>
            </w14:solidFill>
          </w14:textFill>
        </w:rPr>
        <w:t>。</w:t>
      </w:r>
    </w:p>
    <w:p w14:paraId="4FE93898">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按照《中华人民共和国食品安全法》、《农产品质量安全法》等规定，提供有关的证明材料和证件是供应商的义务，在合同期内</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应提供产品检验合格证等相关证明，无证产品采购人不予接受。</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要保证产品质量稳定，符合国家相关技术标准，未发生过重大产品质量安全事故，</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对最终的产品质量负完全责任，由食品质量问题和安全问题造成的损失由</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承担。</w:t>
      </w:r>
    </w:p>
    <w:p w14:paraId="2A9059F1">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3、</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不得差量供货和超量供货，不得擅自更改采购人确认后的</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品种和</w:t>
      </w:r>
      <w:r>
        <w:rPr>
          <w:rFonts w:hint="eastAsia" w:ascii="仿宋" w:hAnsi="仿宋" w:eastAsia="仿宋" w:cs="仿宋"/>
          <w:color w:val="000000" w:themeColor="text1"/>
          <w:spacing w:val="-4"/>
          <w:sz w:val="21"/>
          <w:szCs w:val="21"/>
          <w14:textFill>
            <w14:solidFill>
              <w14:schemeClr w14:val="tx1"/>
            </w14:solidFill>
          </w14:textFill>
        </w:rPr>
        <w:t>数量。</w:t>
      </w:r>
    </w:p>
    <w:p w14:paraId="3C611B47">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4、</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必须建立配送、验收台帐，注明配送时间、数量、规格、货源、送货人、验收人、验收情况等相关信息；建立一套完善、科学的管理制度，并指定专人负责，定期检查执行情况，及时解决存在的问题，确保产品及服务质量。</w:t>
      </w:r>
    </w:p>
    <w:p w14:paraId="67CC4137">
      <w:pPr>
        <w:keepNext w:val="0"/>
        <w:keepLines w:val="0"/>
        <w:pageBreakBefore w:val="0"/>
        <w:widowControl w:val="0"/>
        <w:kinsoku/>
        <w:wordWrap/>
        <w:overflowPunct/>
        <w:topLinePunct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 xml:space="preserve"> 5、进货查验记录和相关凭证的保存期限不少于产品保质期满后6个月；无明确保质期的，保存期限不少于2年。其他各项记录保存期限宜为2年。</w:t>
      </w:r>
    </w:p>
    <w:p w14:paraId="5B9D3BF6">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6、</w:t>
      </w:r>
      <w:r>
        <w:rPr>
          <w:rFonts w:hint="eastAsia" w:ascii="仿宋" w:hAnsi="仿宋" w:eastAsia="仿宋" w:cs="仿宋"/>
          <w:color w:val="000000" w:themeColor="text1"/>
          <w:spacing w:val="-2"/>
          <w:sz w:val="21"/>
          <w:szCs w:val="21"/>
          <w14:textFill>
            <w14:solidFill>
              <w14:schemeClr w14:val="tx1"/>
            </w14:solidFill>
          </w14:textFill>
        </w:rPr>
        <w:t>原材料</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对于自身原材料生产、外部原材料的采购、销售，其合格标准与检验标准。</w:t>
      </w:r>
    </w:p>
    <w:p w14:paraId="3DEEEC3D">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val="en-US" w:eastAsia="zh-CN"/>
          <w14:textFill>
            <w14:solidFill>
              <w14:schemeClr w14:val="tx1"/>
            </w14:solidFill>
          </w14:textFill>
        </w:rPr>
        <w:t>7、</w:t>
      </w:r>
      <w:r>
        <w:rPr>
          <w:rFonts w:hint="eastAsia" w:ascii="仿宋" w:hAnsi="仿宋" w:eastAsia="仿宋" w:cs="仿宋"/>
          <w:color w:val="000000" w:themeColor="text1"/>
          <w:spacing w:val="-1"/>
          <w:sz w:val="21"/>
          <w:szCs w:val="21"/>
          <w14:textFill>
            <w14:solidFill>
              <w14:schemeClr w14:val="tx1"/>
            </w14:solidFill>
          </w14:textFill>
        </w:rPr>
        <w:t>原材料</w:t>
      </w:r>
      <w:r>
        <w:rPr>
          <w:rFonts w:hint="eastAsia" w:ascii="仿宋" w:hAnsi="仿宋" w:eastAsia="仿宋" w:cs="仿宋"/>
          <w:color w:val="000000" w:themeColor="text1"/>
          <w:spacing w:val="-1"/>
          <w:sz w:val="21"/>
          <w:szCs w:val="21"/>
          <w:lang w:eastAsia="zh-CN"/>
          <w14:textFill>
            <w14:solidFill>
              <w14:schemeClr w14:val="tx1"/>
            </w14:solidFill>
          </w14:textFill>
        </w:rPr>
        <w:t>供应商</w:t>
      </w:r>
      <w:r>
        <w:rPr>
          <w:rFonts w:hint="eastAsia" w:ascii="仿宋" w:hAnsi="仿宋" w:eastAsia="仿宋" w:cs="仿宋"/>
          <w:color w:val="000000" w:themeColor="text1"/>
          <w:spacing w:val="-1"/>
          <w:sz w:val="21"/>
          <w:szCs w:val="21"/>
          <w14:textFill>
            <w14:solidFill>
              <w14:schemeClr w14:val="tx1"/>
            </w14:solidFill>
          </w14:textFill>
        </w:rPr>
        <w:t>对于可能的违约责任或食品安全承担说明及责任。</w:t>
      </w:r>
    </w:p>
    <w:p w14:paraId="7CE3F832">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8、</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所供</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供货延迟或所供</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达不到有关食品卫生要求，经有关机构鉴定造成食品质量安全事故或其他经济损失的，由</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依法按自身责任比例承担事故责任。</w:t>
      </w:r>
    </w:p>
    <w:p w14:paraId="69FF90C0">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9、</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所供</w:t>
      </w:r>
      <w:r>
        <w:rPr>
          <w:rFonts w:hint="eastAsia" w:ascii="仿宋" w:hAnsi="仿宋" w:eastAsia="仿宋" w:cs="仿宋"/>
          <w:color w:val="000000" w:themeColor="text1"/>
          <w:spacing w:val="-2"/>
          <w:sz w:val="21"/>
          <w:szCs w:val="21"/>
          <w:lang w:eastAsia="zh-CN"/>
          <w14:textFill>
            <w14:solidFill>
              <w14:schemeClr w14:val="tx1"/>
            </w14:solidFill>
          </w14:textFill>
        </w:rPr>
        <w:t>产品</w:t>
      </w:r>
      <w:r>
        <w:rPr>
          <w:rFonts w:hint="eastAsia" w:ascii="仿宋" w:hAnsi="仿宋" w:eastAsia="仿宋" w:cs="仿宋"/>
          <w:color w:val="000000" w:themeColor="text1"/>
          <w:spacing w:val="-2"/>
          <w:sz w:val="21"/>
          <w:szCs w:val="21"/>
          <w14:textFill>
            <w14:solidFill>
              <w14:schemeClr w14:val="tx1"/>
            </w14:solidFill>
          </w14:textFill>
        </w:rPr>
        <w:t>须经过采购方指定人员验收，若不能达到供货要求，采购人有权当即拒收。造成餐厅工作不能正常运行，以当日需求计划总量两倍价款赔付当日损失，同时采购人将对责任原材料</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进行处罚。</w:t>
      </w:r>
    </w:p>
    <w:p w14:paraId="42384EC1">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pacing w:val="-4"/>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10、</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必须确定本公司固定人员长期送货，不得指派身份或单位不明的人</w:t>
      </w:r>
      <w:r>
        <w:rPr>
          <w:rFonts w:hint="eastAsia" w:ascii="仿宋" w:hAnsi="仿宋" w:eastAsia="仿宋" w:cs="仿宋"/>
          <w:color w:val="000000" w:themeColor="text1"/>
          <w:spacing w:val="-4"/>
          <w:sz w:val="21"/>
          <w:szCs w:val="21"/>
          <w14:textFill>
            <w14:solidFill>
              <w14:schemeClr w14:val="tx1"/>
            </w14:solidFill>
          </w14:textFill>
        </w:rPr>
        <w:t>员送货。配送人员应具备有效健康证明</w:t>
      </w:r>
      <w:r>
        <w:rPr>
          <w:rFonts w:hint="eastAsia" w:ascii="仿宋" w:hAnsi="仿宋" w:eastAsia="仿宋" w:cs="仿宋"/>
          <w:color w:val="000000" w:themeColor="text1"/>
          <w:spacing w:val="-4"/>
          <w:sz w:val="21"/>
          <w:szCs w:val="21"/>
          <w:lang w:val="en-US" w:eastAsia="zh-CN"/>
          <w14:textFill>
            <w14:solidFill>
              <w14:schemeClr w14:val="tx1"/>
            </w14:solidFill>
          </w14:textFill>
        </w:rPr>
        <w:t>和无犯罪记录证明。</w:t>
      </w:r>
    </w:p>
    <w:p w14:paraId="58BD5199">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11、</w:t>
      </w:r>
      <w:r>
        <w:rPr>
          <w:rFonts w:hint="eastAsia" w:ascii="仿宋" w:hAnsi="仿宋" w:eastAsia="仿宋" w:cs="仿宋"/>
          <w:color w:val="000000" w:themeColor="text1"/>
          <w:spacing w:val="-2"/>
          <w:sz w:val="21"/>
          <w:szCs w:val="21"/>
          <w14:textFill>
            <w14:solidFill>
              <w14:schemeClr w14:val="tx1"/>
            </w14:solidFill>
          </w14:textFill>
        </w:rPr>
        <w:t>对于仅从外观无法辨别的商品质量问题，例如外观完好无暇，采购人在加工过程中发现商品内瓤存在发黑、过生、过熟的情况，</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应以不影响甲方正常开餐时间为基准进行商品更换。</w:t>
      </w:r>
    </w:p>
    <w:p w14:paraId="12DEE118">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12、</w:t>
      </w:r>
      <w:r>
        <w:rPr>
          <w:rFonts w:hint="eastAsia" w:ascii="仿宋" w:hAnsi="仿宋" w:eastAsia="仿宋" w:cs="仿宋"/>
          <w:color w:val="000000" w:themeColor="text1"/>
          <w:spacing w:val="-2"/>
          <w:sz w:val="21"/>
          <w:szCs w:val="21"/>
          <w14:textFill>
            <w14:solidFill>
              <w14:schemeClr w14:val="tx1"/>
            </w14:solidFill>
          </w14:textFill>
        </w:rPr>
        <w:t>任何因原材料质量问题导致的食品安全或食物中毒责任，在确认导致问</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pacing w:val="-2"/>
          <w:sz w:val="21"/>
          <w:szCs w:val="21"/>
          <w14:textFill>
            <w14:solidFill>
              <w14:schemeClr w14:val="tx1"/>
            </w14:solidFill>
          </w14:textFill>
        </w:rPr>
        <w:t>题的原材料品种后，由该</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承担除依法按自身责任比例承担医疗及赔偿等费用外，还应承担给甲方造成的损失。同时，甲方可立即单方解除本合同。</w:t>
      </w:r>
    </w:p>
    <w:p w14:paraId="26B74266">
      <w:pPr>
        <w:pStyle w:val="19"/>
        <w:keepNext w:val="0"/>
        <w:keepLines w:val="0"/>
        <w:pageBreakBefore w:val="0"/>
        <w:widowControl w:val="0"/>
        <w:tabs>
          <w:tab w:val="left" w:pos="6600"/>
        </w:tabs>
        <w:kinsoku/>
        <w:wordWrap/>
        <w:overflowPunct/>
        <w:topLinePunct w:val="0"/>
        <w:autoSpaceDE w:val="0"/>
        <w:autoSpaceDN w:val="0"/>
        <w:bidi w:val="0"/>
        <w:adjustRightInd w:val="0"/>
        <w:snapToGrid w:val="0"/>
        <w:spacing w:line="360" w:lineRule="auto"/>
        <w:ind w:left="0" w:leftChars="0" w:right="0" w:rightChars="0" w:firstLine="310" w:firstLineChars="150"/>
        <w:jc w:val="left"/>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pacing w:val="-2"/>
          <w:sz w:val="21"/>
          <w:szCs w:val="21"/>
          <w:lang w:eastAsia="zh-CN"/>
          <w14:textFill>
            <w14:solidFill>
              <w14:schemeClr w14:val="tx1"/>
            </w14:solidFill>
          </w14:textFill>
        </w:rPr>
        <w:t>（</w:t>
      </w:r>
      <w:r>
        <w:rPr>
          <w:rFonts w:hint="eastAsia" w:ascii="仿宋" w:hAnsi="仿宋" w:eastAsia="仿宋" w:cs="仿宋"/>
          <w:b/>
          <w:color w:val="000000" w:themeColor="text1"/>
          <w:spacing w:val="-2"/>
          <w:sz w:val="21"/>
          <w:szCs w:val="21"/>
          <w:lang w:val="en-US" w:eastAsia="zh-CN"/>
          <w14:textFill>
            <w14:solidFill>
              <w14:schemeClr w14:val="tx1"/>
            </w14:solidFill>
          </w14:textFill>
        </w:rPr>
        <w:t>六</w:t>
      </w:r>
      <w:r>
        <w:rPr>
          <w:rFonts w:hint="eastAsia" w:ascii="仿宋" w:hAnsi="仿宋" w:eastAsia="仿宋" w:cs="仿宋"/>
          <w:b/>
          <w:color w:val="000000" w:themeColor="text1"/>
          <w:spacing w:val="-2"/>
          <w:sz w:val="21"/>
          <w:szCs w:val="21"/>
          <w:lang w:eastAsia="zh-CN"/>
          <w14:textFill>
            <w14:solidFill>
              <w14:schemeClr w14:val="tx1"/>
            </w14:solidFill>
          </w14:textFill>
        </w:rPr>
        <w:t>）</w:t>
      </w:r>
      <w:r>
        <w:rPr>
          <w:rFonts w:hint="eastAsia" w:ascii="仿宋" w:hAnsi="仿宋" w:eastAsia="仿宋" w:cs="仿宋"/>
          <w:b/>
          <w:color w:val="000000" w:themeColor="text1"/>
          <w:spacing w:val="-2"/>
          <w:sz w:val="21"/>
          <w:szCs w:val="21"/>
          <w:lang w:val="en-US" w:eastAsia="zh-CN"/>
          <w14:textFill>
            <w14:solidFill>
              <w14:schemeClr w14:val="tx1"/>
            </w14:solidFill>
          </w14:textFill>
        </w:rPr>
        <w:t>配送服务</w:t>
      </w:r>
      <w:r>
        <w:rPr>
          <w:rFonts w:hint="eastAsia" w:ascii="仿宋" w:hAnsi="仿宋" w:eastAsia="仿宋" w:cs="仿宋"/>
          <w:b/>
          <w:color w:val="000000" w:themeColor="text1"/>
          <w:spacing w:val="-2"/>
          <w:sz w:val="21"/>
          <w:szCs w:val="21"/>
          <w14:textFill>
            <w14:solidFill>
              <w14:schemeClr w14:val="tx1"/>
            </w14:solidFill>
          </w14:textFill>
        </w:rPr>
        <w:t>其他要求</w:t>
      </w:r>
    </w:p>
    <w:p w14:paraId="0E7288CB">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09" w:firstLineChars="15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lang w:val="en-US" w:eastAsia="zh-CN"/>
          <w14:textFill>
            <w14:solidFill>
              <w14:schemeClr w14:val="tx1"/>
            </w14:solidFill>
          </w14:textFill>
        </w:rPr>
        <w:t>应</w:t>
      </w:r>
      <w:r>
        <w:rPr>
          <w:rFonts w:hint="eastAsia" w:ascii="仿宋" w:hAnsi="仿宋" w:eastAsia="仿宋" w:cs="仿宋"/>
          <w:color w:val="000000" w:themeColor="text1"/>
          <w:spacing w:val="-2"/>
          <w:sz w:val="21"/>
          <w:szCs w:val="21"/>
          <w14:textFill>
            <w14:solidFill>
              <w14:schemeClr w14:val="tx1"/>
            </w14:solidFill>
          </w14:textFill>
        </w:rPr>
        <w:t>自备运输车辆（冷藏</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恒温），运输车辆应当保持清洁，无霉斑、鼠迹、苍蝇、蟑螂，不得将食品与有毒有害物品混装配送，运输食品和运输有毒有害物品的车辆不得混用</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14:textFill>
            <w14:solidFill>
              <w14:schemeClr w14:val="tx1"/>
            </w14:solidFill>
          </w14:textFill>
        </w:rPr>
        <w:t>不得存放有毒、有害物品及个人生活用品，做到专货专用，确保食材运输中无被污染等情况</w:t>
      </w:r>
      <w:r>
        <w:rPr>
          <w:rFonts w:hint="eastAsia" w:ascii="仿宋" w:hAnsi="仿宋" w:eastAsia="仿宋" w:cs="仿宋"/>
          <w:color w:val="000000" w:themeColor="text1"/>
          <w:spacing w:val="-2"/>
          <w:sz w:val="21"/>
          <w:szCs w:val="21"/>
          <w:lang w:eastAsia="zh-CN"/>
          <w14:textFill>
            <w14:solidFill>
              <w14:schemeClr w14:val="tx1"/>
            </w14:solidFill>
          </w14:textFill>
        </w:rPr>
        <w:t>。应保持运输车辆的清洁，每次运输食品前和运输食品后应进行清洗消毒。</w:t>
      </w:r>
      <w:r>
        <w:rPr>
          <w:rFonts w:hint="eastAsia" w:ascii="仿宋" w:hAnsi="仿宋" w:eastAsia="仿宋" w:cs="仿宋"/>
          <w:color w:val="000000" w:themeColor="text1"/>
          <w:spacing w:val="-2"/>
          <w:sz w:val="21"/>
          <w:szCs w:val="21"/>
          <w14:textFill>
            <w14:solidFill>
              <w14:schemeClr w14:val="tx1"/>
            </w14:solidFill>
          </w14:textFill>
        </w:rPr>
        <w:t>安排专人及时供货，装卸费、送货费用及运输安全由供货方承担。</w:t>
      </w:r>
      <w:r>
        <w:rPr>
          <w:rFonts w:hint="eastAsia" w:ascii="仿宋" w:hAnsi="仿宋" w:eastAsia="仿宋" w:cs="仿宋"/>
          <w:color w:val="000000" w:themeColor="text1"/>
          <w:spacing w:val="-2"/>
          <w:sz w:val="21"/>
          <w:szCs w:val="21"/>
          <w:lang w:val="en-US" w:eastAsia="zh-CN"/>
          <w14:textFill>
            <w14:solidFill>
              <w14:schemeClr w14:val="tx1"/>
            </w14:solidFill>
          </w14:textFill>
        </w:rPr>
        <w:t>供应商须具备农残检测设备，</w:t>
      </w:r>
      <w:r>
        <w:rPr>
          <w:rFonts w:hint="eastAsia" w:ascii="仿宋" w:hAnsi="仿宋" w:eastAsia="仿宋" w:cs="仿宋"/>
          <w:color w:val="000000" w:themeColor="text1"/>
          <w:spacing w:val="-2"/>
          <w:sz w:val="21"/>
          <w:szCs w:val="21"/>
          <w14:textFill>
            <w14:solidFill>
              <w14:schemeClr w14:val="tx1"/>
            </w14:solidFill>
          </w14:textFill>
        </w:rPr>
        <w:t>所需配送人员必须符合《中华人民共和国劳动合同法》要求，按劳动法规定与工作人员签订劳动合同并按相关规定缴纳社保，如发生</w:t>
      </w:r>
      <w:r>
        <w:rPr>
          <w:rFonts w:hint="eastAsia" w:ascii="仿宋" w:hAnsi="仿宋" w:eastAsia="仿宋" w:cs="仿宋"/>
          <w:color w:val="000000" w:themeColor="text1"/>
          <w:spacing w:val="-2"/>
          <w:sz w:val="21"/>
          <w:szCs w:val="21"/>
          <w:lang w:val="en-US" w:eastAsia="zh-CN"/>
          <w14:textFill>
            <w14:solidFill>
              <w14:schemeClr w14:val="tx1"/>
            </w14:solidFill>
          </w14:textFill>
        </w:rPr>
        <w:t>劳务</w:t>
      </w:r>
      <w:r>
        <w:rPr>
          <w:rFonts w:hint="eastAsia" w:ascii="仿宋" w:hAnsi="仿宋" w:eastAsia="仿宋" w:cs="仿宋"/>
          <w:color w:val="000000" w:themeColor="text1"/>
          <w:spacing w:val="-2"/>
          <w:sz w:val="21"/>
          <w:szCs w:val="21"/>
          <w14:textFill>
            <w14:solidFill>
              <w14:schemeClr w14:val="tx1"/>
            </w14:solidFill>
          </w14:textFill>
        </w:rPr>
        <w:t>纠纷，由</w:t>
      </w:r>
      <w:r>
        <w:rPr>
          <w:rFonts w:hint="eastAsia" w:ascii="仿宋" w:hAnsi="仿宋" w:eastAsia="仿宋" w:cs="仿宋"/>
          <w:color w:val="000000" w:themeColor="text1"/>
          <w:spacing w:val="-2"/>
          <w:sz w:val="21"/>
          <w:szCs w:val="21"/>
          <w:lang w:eastAsia="zh-CN"/>
          <w14:textFill>
            <w14:solidFill>
              <w14:schemeClr w14:val="tx1"/>
            </w14:solidFill>
          </w14:textFill>
        </w:rPr>
        <w:t>供应商</w:t>
      </w:r>
      <w:r>
        <w:rPr>
          <w:rFonts w:hint="eastAsia" w:ascii="仿宋" w:hAnsi="仿宋" w:eastAsia="仿宋" w:cs="仿宋"/>
          <w:color w:val="000000" w:themeColor="text1"/>
          <w:spacing w:val="-2"/>
          <w:sz w:val="21"/>
          <w:szCs w:val="21"/>
          <w14:textFill>
            <w14:solidFill>
              <w14:schemeClr w14:val="tx1"/>
            </w14:solidFill>
          </w14:textFill>
        </w:rPr>
        <w:t>自行承担责任</w:t>
      </w:r>
      <w:r>
        <w:rPr>
          <w:rFonts w:hint="eastAsia" w:ascii="仿宋" w:hAnsi="仿宋" w:eastAsia="仿宋" w:cs="仿宋"/>
          <w:color w:val="000000" w:themeColor="text1"/>
          <w:spacing w:val="-2"/>
          <w:sz w:val="21"/>
          <w:szCs w:val="21"/>
          <w:lang w:val="en-US" w:eastAsia="zh-CN"/>
          <w14:textFill>
            <w14:solidFill>
              <w14:schemeClr w14:val="tx1"/>
            </w14:solidFill>
          </w14:textFill>
        </w:rPr>
        <w:t xml:space="preserve"> 。</w:t>
      </w:r>
    </w:p>
    <w:p w14:paraId="63B4B3C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2、</w:t>
      </w:r>
      <w:r>
        <w:rPr>
          <w:rFonts w:hint="eastAsia" w:ascii="仿宋" w:hAnsi="仿宋" w:eastAsia="仿宋" w:cs="仿宋"/>
          <w:color w:val="000000" w:themeColor="text1"/>
          <w:spacing w:val="-2"/>
          <w:sz w:val="21"/>
          <w:szCs w:val="21"/>
          <w14:textFill>
            <w14:solidFill>
              <w14:schemeClr w14:val="tx1"/>
            </w14:solidFill>
          </w14:textFill>
        </w:rPr>
        <w:t>所有食材采购均以采购方通知为准，采购方有权根据实际需求量随时调整采购计划及供货时间段。</w:t>
      </w:r>
    </w:p>
    <w:p w14:paraId="2934A7AB">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pacing w:val="-6"/>
          <w:sz w:val="21"/>
          <w:szCs w:val="21"/>
          <w14:textFill>
            <w14:solidFill>
              <w14:schemeClr w14:val="tx1"/>
            </w14:solidFill>
          </w14:textFill>
        </w:rPr>
      </w:pPr>
      <w:r>
        <w:rPr>
          <w:rFonts w:hint="eastAsia" w:ascii="仿宋" w:hAnsi="仿宋" w:eastAsia="仿宋" w:cs="仿宋"/>
          <w:color w:val="000000" w:themeColor="text1"/>
          <w:spacing w:val="3"/>
          <w:sz w:val="21"/>
          <w:szCs w:val="21"/>
          <w:lang w:val="en-US" w:eastAsia="zh-CN"/>
          <w14:textFill>
            <w14:solidFill>
              <w14:schemeClr w14:val="tx1"/>
            </w14:solidFill>
          </w14:textFill>
        </w:rPr>
        <w:t>3、</w:t>
      </w:r>
      <w:r>
        <w:rPr>
          <w:rFonts w:hint="eastAsia" w:ascii="仿宋" w:hAnsi="仿宋" w:eastAsia="仿宋" w:cs="仿宋"/>
          <w:color w:val="000000" w:themeColor="text1"/>
          <w:spacing w:val="3"/>
          <w:sz w:val="21"/>
          <w:szCs w:val="21"/>
          <w14:textFill>
            <w14:solidFill>
              <w14:schemeClr w14:val="tx1"/>
            </w14:solidFill>
          </w14:textFill>
        </w:rPr>
        <w:t>原材料</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应严格遵守《中华人民共和国食品安全法》等相关规定，为采购人提供安全、卫生、优质的产品，切实要履行自己的承诺。如果</w:t>
      </w:r>
      <w:r>
        <w:rPr>
          <w:rFonts w:hint="eastAsia" w:ascii="仿宋" w:hAnsi="仿宋" w:eastAsia="仿宋" w:cs="仿宋"/>
          <w:color w:val="000000" w:themeColor="text1"/>
          <w:spacing w:val="3"/>
          <w:sz w:val="21"/>
          <w:szCs w:val="21"/>
          <w:lang w:eastAsia="zh-CN"/>
          <w14:textFill>
            <w14:solidFill>
              <w14:schemeClr w14:val="tx1"/>
            </w14:solidFill>
          </w14:textFill>
        </w:rPr>
        <w:t>供应商</w:t>
      </w:r>
      <w:r>
        <w:rPr>
          <w:rFonts w:hint="eastAsia" w:ascii="仿宋" w:hAnsi="仿宋" w:eastAsia="仿宋" w:cs="仿宋"/>
          <w:color w:val="000000" w:themeColor="text1"/>
          <w:spacing w:val="3"/>
          <w:sz w:val="21"/>
          <w:szCs w:val="21"/>
          <w14:textFill>
            <w14:solidFill>
              <w14:schemeClr w14:val="tx1"/>
            </w14:solidFill>
          </w14:textFill>
        </w:rPr>
        <w:t>提供</w:t>
      </w:r>
      <w:r>
        <w:rPr>
          <w:rFonts w:hint="eastAsia" w:ascii="仿宋" w:hAnsi="仿宋" w:eastAsia="仿宋" w:cs="仿宋"/>
          <w:color w:val="000000" w:themeColor="text1"/>
          <w:spacing w:val="-3"/>
          <w:sz w:val="21"/>
          <w:szCs w:val="21"/>
          <w14:textFill>
            <w14:solidFill>
              <w14:schemeClr w14:val="tx1"/>
            </w14:solidFill>
          </w14:textFill>
        </w:rPr>
        <w:t xml:space="preserve">的产品出现质量问题，在收到采购人通知后 </w:t>
      </w:r>
      <w:r>
        <w:rPr>
          <w:rFonts w:hint="eastAsia" w:ascii="仿宋" w:hAnsi="仿宋" w:eastAsia="仿宋" w:cs="仿宋"/>
          <w:color w:val="000000" w:themeColor="text1"/>
          <w:sz w:val="21"/>
          <w:szCs w:val="21"/>
          <w14:textFill>
            <w14:solidFill>
              <w14:schemeClr w14:val="tx1"/>
            </w14:solidFill>
          </w14:textFill>
        </w:rPr>
        <w:t>24</w:t>
      </w:r>
      <w:r>
        <w:rPr>
          <w:rFonts w:hint="eastAsia" w:ascii="仿宋" w:hAnsi="仿宋" w:eastAsia="仿宋" w:cs="仿宋"/>
          <w:color w:val="000000" w:themeColor="text1"/>
          <w:spacing w:val="-6"/>
          <w:sz w:val="21"/>
          <w:szCs w:val="21"/>
          <w14:textFill>
            <w14:solidFill>
              <w14:schemeClr w14:val="tx1"/>
            </w14:solidFill>
          </w14:textFill>
        </w:rPr>
        <w:t xml:space="preserve"> 小时内没有弥补缺陷，采购人可采取必要的补救措施，但其风险和费用将由</w:t>
      </w:r>
      <w:r>
        <w:rPr>
          <w:rFonts w:hint="eastAsia" w:ascii="仿宋" w:hAnsi="仿宋" w:eastAsia="仿宋" w:cs="仿宋"/>
          <w:color w:val="000000" w:themeColor="text1"/>
          <w:spacing w:val="-6"/>
          <w:sz w:val="21"/>
          <w:szCs w:val="21"/>
          <w:lang w:eastAsia="zh-CN"/>
          <w14:textFill>
            <w14:solidFill>
              <w14:schemeClr w14:val="tx1"/>
            </w14:solidFill>
          </w14:textFill>
        </w:rPr>
        <w:t>供应商</w:t>
      </w:r>
      <w:r>
        <w:rPr>
          <w:rFonts w:hint="eastAsia" w:ascii="仿宋" w:hAnsi="仿宋" w:eastAsia="仿宋" w:cs="仿宋"/>
          <w:color w:val="000000" w:themeColor="text1"/>
          <w:spacing w:val="-6"/>
          <w:sz w:val="21"/>
          <w:szCs w:val="21"/>
          <w14:textFill>
            <w14:solidFill>
              <w14:schemeClr w14:val="tx1"/>
            </w14:solidFill>
          </w14:textFill>
        </w:rPr>
        <w:t>承担。</w:t>
      </w:r>
    </w:p>
    <w:p w14:paraId="1CBC9FC0">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pacing w:val="3"/>
          <w:sz w:val="21"/>
          <w:szCs w:val="21"/>
          <w14:textFill>
            <w14:solidFill>
              <w14:schemeClr w14:val="tx1"/>
            </w14:solidFill>
          </w14:textFill>
        </w:rPr>
      </w:pPr>
      <w:r>
        <w:rPr>
          <w:rFonts w:hint="eastAsia" w:ascii="仿宋" w:hAnsi="仿宋" w:eastAsia="仿宋" w:cs="仿宋"/>
          <w:color w:val="000000" w:themeColor="text1"/>
          <w:spacing w:val="3"/>
          <w:sz w:val="21"/>
          <w:szCs w:val="21"/>
          <w:lang w:val="en-US" w:eastAsia="zh-CN"/>
          <w14:textFill>
            <w14:solidFill>
              <w14:schemeClr w14:val="tx1"/>
            </w14:solidFill>
          </w14:textFill>
        </w:rPr>
        <w:t>4、</w:t>
      </w:r>
      <w:r>
        <w:rPr>
          <w:rFonts w:hint="eastAsia" w:ascii="仿宋" w:hAnsi="仿宋" w:eastAsia="仿宋" w:cs="仿宋"/>
          <w:color w:val="000000" w:themeColor="text1"/>
          <w:spacing w:val="3"/>
          <w:sz w:val="21"/>
          <w:szCs w:val="21"/>
          <w14:textFill>
            <w14:solidFill>
              <w14:schemeClr w14:val="tx1"/>
            </w14:solidFill>
          </w14:textFill>
        </w:rPr>
        <w:t>乙方如违反以下任意一项规定，甲方有权解除合同，并由乙方承担因此产生的经济责任和法律责任。</w:t>
      </w:r>
    </w:p>
    <w:p w14:paraId="4F9598E8">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24" w:firstLineChars="150"/>
        <w:jc w:val="both"/>
        <w:textAlignment w:val="auto"/>
        <w:rPr>
          <w:rFonts w:hint="eastAsia" w:ascii="仿宋" w:hAnsi="仿宋" w:eastAsia="仿宋" w:cs="仿宋"/>
          <w:color w:val="000000" w:themeColor="text1"/>
          <w:spacing w:val="3"/>
          <w:sz w:val="21"/>
          <w:szCs w:val="21"/>
          <w14:textFill>
            <w14:solidFill>
              <w14:schemeClr w14:val="tx1"/>
            </w14:solidFill>
          </w14:textFill>
        </w:rPr>
      </w:pPr>
      <w:r>
        <w:rPr>
          <w:rFonts w:hint="eastAsia" w:ascii="仿宋" w:hAnsi="仿宋" w:eastAsia="仿宋" w:cs="仿宋"/>
          <w:color w:val="000000" w:themeColor="text1"/>
          <w:spacing w:val="3"/>
          <w:sz w:val="21"/>
          <w:szCs w:val="21"/>
          <w:lang w:val="en-US" w:eastAsia="zh-CN"/>
          <w14:textFill>
            <w14:solidFill>
              <w14:schemeClr w14:val="tx1"/>
            </w14:solidFill>
          </w14:textFill>
        </w:rPr>
        <w:t>（1）</w:t>
      </w:r>
      <w:r>
        <w:rPr>
          <w:rFonts w:hint="eastAsia" w:ascii="仿宋" w:hAnsi="仿宋" w:eastAsia="仿宋" w:cs="仿宋"/>
          <w:color w:val="000000" w:themeColor="text1"/>
          <w:spacing w:val="3"/>
          <w:sz w:val="21"/>
          <w:szCs w:val="21"/>
          <w14:textFill>
            <w14:solidFill>
              <w14:schemeClr w14:val="tx1"/>
            </w14:solidFill>
          </w14:textFill>
        </w:rPr>
        <w:t>腐败变质、油脂酸败、霉变、生虫、污秽不洁、混有异物或者其他感官性状异常，对人体健康有害的；</w:t>
      </w:r>
    </w:p>
    <w:p w14:paraId="550798E3">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both"/>
        <w:textAlignment w:val="auto"/>
        <w:rPr>
          <w:rFonts w:hint="eastAsia" w:ascii="仿宋" w:hAnsi="仿宋" w:eastAsia="仿宋" w:cs="仿宋"/>
          <w:color w:val="000000" w:themeColor="text1"/>
          <w:spacing w:val="-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2</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含有毒、有害物质或者被有害物质污染，对人体健康有害的；</w:t>
      </w:r>
    </w:p>
    <w:p w14:paraId="4818BE15">
      <w:pPr>
        <w:pStyle w:val="19"/>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312" w:firstLineChars="15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3</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含有致病性寄生虫、微生物或者微生物含量超过国家限定标准的；</w:t>
      </w:r>
    </w:p>
    <w:p w14:paraId="624CD031">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pacing w:val="-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4</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掺假、掺杂、伪造，影响营养、卫生的；</w:t>
      </w:r>
    </w:p>
    <w:p w14:paraId="11F5E9E6">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5</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用非食品原料加工的，加入非食品用化学物质或者将非食品当作食品的；</w:t>
      </w:r>
    </w:p>
    <w:p w14:paraId="3B8002B7">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6</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乙方不能按时、按要求供货或不能及时退、换货；</w:t>
      </w:r>
    </w:p>
    <w:p w14:paraId="2629F12B">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lang w:val="en-US" w:eastAsia="zh-CN"/>
          <w14:textFill>
            <w14:solidFill>
              <w14:schemeClr w14:val="tx1"/>
            </w14:solidFill>
          </w14:textFill>
        </w:rPr>
        <w:t>7</w:t>
      </w:r>
      <w:r>
        <w:rPr>
          <w:rFonts w:hint="eastAsia" w:ascii="仿宋" w:hAnsi="仿宋" w:eastAsia="仿宋" w:cs="仿宋"/>
          <w:color w:val="000000" w:themeColor="text1"/>
          <w:spacing w:val="-1"/>
          <w:sz w:val="21"/>
          <w:szCs w:val="21"/>
          <w:lang w:eastAsia="zh-CN"/>
          <w14:textFill>
            <w14:solidFill>
              <w14:schemeClr w14:val="tx1"/>
            </w14:solidFill>
          </w14:textFill>
        </w:rPr>
        <w:t>）</w:t>
      </w:r>
      <w:r>
        <w:rPr>
          <w:rFonts w:hint="eastAsia" w:ascii="仿宋" w:hAnsi="仿宋" w:eastAsia="仿宋" w:cs="仿宋"/>
          <w:color w:val="000000" w:themeColor="text1"/>
          <w:spacing w:val="-1"/>
          <w:sz w:val="21"/>
          <w:szCs w:val="21"/>
          <w14:textFill>
            <w14:solidFill>
              <w14:schemeClr w14:val="tx1"/>
            </w14:solidFill>
          </w14:textFill>
        </w:rPr>
        <w:t>不经双方协商，乙方向甲方提供不符合合同规定的产品；</w:t>
      </w:r>
    </w:p>
    <w:p w14:paraId="1C9F978C">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2" w:firstLineChars="150"/>
        <w:textAlignment w:val="auto"/>
        <w:rPr>
          <w:rFonts w:hint="eastAsia" w:ascii="仿宋" w:hAnsi="仿宋" w:eastAsia="仿宋" w:cs="仿宋"/>
          <w:color w:val="000000" w:themeColor="text1"/>
          <w:spacing w:val="-2"/>
          <w:sz w:val="21"/>
          <w:szCs w:val="21"/>
          <w14:textFill>
            <w14:solidFill>
              <w14:schemeClr w14:val="tx1"/>
            </w14:solidFill>
          </w14:textFill>
        </w:rPr>
      </w:pPr>
      <w:r>
        <w:rPr>
          <w:rFonts w:hint="eastAsia" w:ascii="仿宋" w:hAnsi="仿宋" w:eastAsia="仿宋" w:cs="仿宋"/>
          <w:b w:val="0"/>
          <w:bCs w:val="0"/>
          <w:color w:val="000000" w:themeColor="text1"/>
          <w:spacing w:val="-1"/>
          <w:sz w:val="21"/>
          <w:szCs w:val="21"/>
          <w:lang w:val="en-US" w:eastAsia="zh-CN" w:bidi="ar-SA"/>
          <w14:textFill>
            <w14:solidFill>
              <w14:schemeClr w14:val="tx1"/>
            </w14:solidFill>
          </w14:textFill>
        </w:rPr>
        <w:t>（8）超过保质期限的</w:t>
      </w:r>
      <w:r>
        <w:rPr>
          <w:rFonts w:hint="eastAsia" w:ascii="仿宋" w:hAnsi="仿宋" w:eastAsia="仿宋" w:cs="仿宋"/>
          <w:color w:val="000000" w:themeColor="text1"/>
          <w:spacing w:val="-2"/>
          <w:sz w:val="21"/>
          <w:szCs w:val="21"/>
          <w14:textFill>
            <w14:solidFill>
              <w14:schemeClr w14:val="tx1"/>
            </w14:solidFill>
          </w14:textFill>
        </w:rPr>
        <w:t>。</w:t>
      </w:r>
    </w:p>
    <w:p w14:paraId="258EDEF9">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12" w:firstLineChars="150"/>
        <w:textAlignment w:val="auto"/>
        <w:rPr>
          <w:rFonts w:hint="eastAsia" w:ascii="仿宋" w:hAnsi="仿宋" w:eastAsia="仿宋" w:cs="仿宋"/>
          <w:color w:val="000000" w:themeColor="text1"/>
          <w:spacing w:val="-1"/>
          <w:sz w:val="21"/>
          <w:szCs w:val="21"/>
          <w:lang w:val="en-US" w:eastAsia="zh-CN"/>
          <w14:textFill>
            <w14:solidFill>
              <w14:schemeClr w14:val="tx1"/>
            </w14:solidFill>
          </w14:textFill>
        </w:rPr>
      </w:pPr>
      <w:r>
        <w:rPr>
          <w:rFonts w:hint="eastAsia" w:ascii="仿宋" w:hAnsi="仿宋" w:eastAsia="仿宋" w:cs="仿宋"/>
          <w:color w:val="000000" w:themeColor="text1"/>
          <w:spacing w:val="-1"/>
          <w:sz w:val="21"/>
          <w:szCs w:val="21"/>
          <w:lang w:val="en-US" w:eastAsia="zh-CN"/>
          <w14:textFill>
            <w14:solidFill>
              <w14:schemeClr w14:val="tx1"/>
            </w14:solidFill>
          </w14:textFill>
        </w:rPr>
        <w:t>（9)在合同期内受到监管部门行政处罚的。</w:t>
      </w:r>
    </w:p>
    <w:p w14:paraId="2C9465F9">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410" w:firstLineChars="15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三</w:t>
      </w:r>
      <w:r>
        <w:rPr>
          <w:rFonts w:hint="eastAsia" w:ascii="仿宋" w:hAnsi="仿宋" w:eastAsia="仿宋" w:cs="仿宋"/>
          <w:color w:val="000000" w:themeColor="text1"/>
          <w:spacing w:val="-4"/>
          <w:sz w:val="28"/>
          <w:szCs w:val="28"/>
          <w14:textFill>
            <w14:solidFill>
              <w14:schemeClr w14:val="tx1"/>
            </w14:solidFill>
          </w14:textFill>
        </w:rPr>
        <w:t>、商务要求</w:t>
      </w:r>
    </w:p>
    <w:p w14:paraId="75A1B87A">
      <w:pPr>
        <w:pStyle w:val="8"/>
        <w:keepNext w:val="0"/>
        <w:keepLines w:val="0"/>
        <w:pageBreakBefore w:val="0"/>
        <w:widowControl w:val="0"/>
        <w:tabs>
          <w:tab w:val="left" w:pos="9460"/>
        </w:tabs>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（一）</w:t>
      </w:r>
      <w:r>
        <w:rPr>
          <w:rFonts w:hint="eastAsia" w:ascii="仿宋" w:hAnsi="仿宋" w:eastAsia="仿宋" w:cs="仿宋"/>
          <w:color w:val="000000" w:themeColor="text1"/>
          <w:spacing w:val="-6"/>
          <w:sz w:val="21"/>
          <w:szCs w:val="21"/>
          <w:lang w:eastAsia="zh-CN"/>
          <w14:textFill>
            <w14:solidFill>
              <w14:schemeClr w14:val="tx1"/>
            </w14:solidFill>
          </w14:textFill>
        </w:rPr>
        <w:t>服务周期</w:t>
      </w:r>
      <w:r>
        <w:rPr>
          <w:rFonts w:hint="eastAsia" w:ascii="仿宋" w:hAnsi="仿宋" w:eastAsia="仿宋" w:cs="仿宋"/>
          <w:color w:val="000000" w:themeColor="text1"/>
          <w:spacing w:val="-6"/>
          <w:sz w:val="21"/>
          <w:szCs w:val="21"/>
          <w14:textFill>
            <w14:solidFill>
              <w14:schemeClr w14:val="tx1"/>
            </w14:solidFill>
          </w14:textFill>
        </w:rPr>
        <w:t>：</w:t>
      </w:r>
      <w:r>
        <w:rPr>
          <w:rFonts w:hint="eastAsia" w:ascii="仿宋" w:hAnsi="仿宋" w:eastAsia="仿宋" w:cs="仿宋"/>
          <w:b w:val="0"/>
          <w:bCs/>
          <w:color w:val="000000" w:themeColor="text1"/>
          <w:spacing w:val="-6"/>
          <w:sz w:val="21"/>
          <w:szCs w:val="21"/>
          <w:lang w:val="en-US" w:eastAsia="zh-CN"/>
          <w14:textFill>
            <w14:solidFill>
              <w14:schemeClr w14:val="tx1"/>
            </w14:solidFill>
          </w14:textFill>
        </w:rPr>
        <w:t>自合同签订之日起1年</w:t>
      </w:r>
      <w:r>
        <w:rPr>
          <w:rFonts w:hint="eastAsia" w:ascii="仿宋" w:hAnsi="仿宋" w:eastAsia="仿宋" w:cs="仿宋"/>
          <w:b w:val="0"/>
          <w:bCs/>
          <w:color w:val="000000" w:themeColor="text1"/>
          <w:spacing w:val="-2"/>
          <w:sz w:val="21"/>
          <w:szCs w:val="21"/>
          <w14:textFill>
            <w14:solidFill>
              <w14:schemeClr w14:val="tx1"/>
            </w14:solidFill>
          </w14:textFill>
        </w:rPr>
        <w:t>。</w:t>
      </w:r>
    </w:p>
    <w:p w14:paraId="56A15A2B">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default" w:ascii="仿宋" w:hAnsi="仿宋" w:eastAsia="仿宋" w:cs="仿宋"/>
          <w:color w:val="000000" w:themeColor="text1"/>
          <w:spacing w:val="-2"/>
          <w:sz w:val="21"/>
          <w:szCs w:val="21"/>
          <w:lang w:val="en-US" w:eastAsia="zh-CN"/>
          <w14:textFill>
            <w14:solidFill>
              <w14:schemeClr w14:val="tx1"/>
            </w14:solidFill>
          </w14:textFill>
        </w:rPr>
      </w:pP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二</w:t>
      </w:r>
      <w:r>
        <w:rPr>
          <w:rFonts w:hint="eastAsia" w:ascii="仿宋" w:hAnsi="仿宋" w:eastAsia="仿宋" w:cs="仿宋"/>
          <w:color w:val="000000" w:themeColor="text1"/>
          <w:spacing w:val="-2"/>
          <w:sz w:val="21"/>
          <w:szCs w:val="21"/>
          <w:lang w:eastAsia="zh-CN"/>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配送地点：</w:t>
      </w:r>
      <w:r>
        <w:rPr>
          <w:rFonts w:hint="eastAsia" w:ascii="仿宋" w:hAnsi="仿宋" w:eastAsia="仿宋" w:cs="仿宋"/>
          <w:b w:val="0"/>
          <w:bCs/>
          <w:color w:val="000000" w:themeColor="text1"/>
          <w:spacing w:val="-2"/>
          <w:sz w:val="21"/>
          <w:szCs w:val="21"/>
          <w:lang w:val="en-US" w:eastAsia="zh-CN"/>
          <w14:textFill>
            <w14:solidFill>
              <w14:schemeClr w14:val="tx1"/>
            </w14:solidFill>
          </w14:textFill>
        </w:rPr>
        <w:t>采购人指定地点。</w:t>
      </w:r>
    </w:p>
    <w:p w14:paraId="59DE0D0D">
      <w:pPr>
        <w:pStyle w:val="8"/>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leftChars="0" w:right="0" w:rightChars="0" w:firstLine="310"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三</w:t>
      </w:r>
      <w:r>
        <w:rPr>
          <w:rFonts w:hint="eastAsia" w:ascii="仿宋" w:hAnsi="仿宋" w:eastAsia="仿宋" w:cs="仿宋"/>
          <w:color w:val="000000" w:themeColor="text1"/>
          <w:spacing w:val="-2"/>
          <w:sz w:val="21"/>
          <w:szCs w:val="21"/>
          <w14:textFill>
            <w14:solidFill>
              <w14:schemeClr w14:val="tx1"/>
            </w14:solidFill>
          </w14:textFill>
        </w:rPr>
        <w:t>）</w:t>
      </w:r>
      <w:r>
        <w:rPr>
          <w:rFonts w:hint="eastAsia" w:ascii="仿宋" w:hAnsi="仿宋" w:eastAsia="仿宋" w:cs="仿宋"/>
          <w:color w:val="000000" w:themeColor="text1"/>
          <w:spacing w:val="-2"/>
          <w:sz w:val="21"/>
          <w:szCs w:val="21"/>
          <w:lang w:val="en-US" w:eastAsia="zh-CN"/>
          <w14:textFill>
            <w14:solidFill>
              <w14:schemeClr w14:val="tx1"/>
            </w14:solidFill>
          </w14:textFill>
        </w:rPr>
        <w:t>付款及</w:t>
      </w:r>
      <w:r>
        <w:rPr>
          <w:rFonts w:hint="eastAsia" w:ascii="仿宋" w:hAnsi="仿宋" w:eastAsia="仿宋" w:cs="仿宋"/>
          <w:color w:val="000000" w:themeColor="text1"/>
          <w:spacing w:val="-4"/>
          <w:sz w:val="21"/>
          <w:szCs w:val="21"/>
          <w14:textFill>
            <w14:solidFill>
              <w14:schemeClr w14:val="tx1"/>
            </w14:solidFill>
          </w14:textFill>
        </w:rPr>
        <w:t>结算要求：</w:t>
      </w:r>
    </w:p>
    <w:p w14:paraId="09A7DA75">
      <w:pPr>
        <w:pStyle w:val="71"/>
        <w:keepNext w:val="0"/>
        <w:keepLines w:val="0"/>
        <w:pageBreakBefore w:val="0"/>
        <w:widowControl w:val="0"/>
        <w:numPr>
          <w:ilvl w:val="0"/>
          <w:numId w:val="0"/>
        </w:numPr>
        <w:tabs>
          <w:tab w:val="left" w:pos="957"/>
        </w:tabs>
        <w:kinsoku/>
        <w:wordWrap/>
        <w:overflowPunct/>
        <w:topLinePunct w:val="0"/>
        <w:autoSpaceDE w:val="0"/>
        <w:autoSpaceDN w:val="0"/>
        <w:bidi w:val="0"/>
        <w:adjustRightInd w:val="0"/>
        <w:snapToGrid w:val="0"/>
        <w:spacing w:line="360" w:lineRule="auto"/>
        <w:ind w:left="0" w:leftChars="0" w:right="0" w:rightChars="0" w:firstLine="309"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pacing w:val="-2"/>
          <w:sz w:val="21"/>
          <w:szCs w:val="21"/>
          <w:lang w:val="en-US" w:eastAsia="zh-CN"/>
          <w14:textFill>
            <w14:solidFill>
              <w14:schemeClr w14:val="tx1"/>
            </w14:solidFill>
          </w14:textFill>
        </w:rPr>
        <w:t>1、</w:t>
      </w:r>
      <w:r>
        <w:rPr>
          <w:rFonts w:hint="eastAsia" w:ascii="仿宋" w:hAnsi="仿宋" w:eastAsia="仿宋" w:cs="仿宋"/>
          <w:color w:val="000000" w:themeColor="text1"/>
          <w:spacing w:val="-2"/>
          <w:sz w:val="21"/>
          <w:szCs w:val="21"/>
          <w14:textFill>
            <w14:solidFill>
              <w14:schemeClr w14:val="tx1"/>
            </w14:solidFill>
          </w14:textFill>
        </w:rPr>
        <w:t>具体配送种类以采购人的采购单为准，食材到达现场后使用单位根据采购单及配送单进行食材验收，</w:t>
      </w:r>
      <w:r>
        <w:rPr>
          <w:rFonts w:hint="eastAsia" w:ascii="仿宋" w:hAnsi="仿宋" w:eastAsia="仿宋" w:cs="仿宋"/>
          <w:color w:val="000000" w:themeColor="text1"/>
          <w:spacing w:val="-2"/>
          <w:sz w:val="21"/>
          <w:szCs w:val="21"/>
          <w:lang w:val="en-US" w:eastAsia="zh-CN"/>
          <w14:textFill>
            <w14:solidFill>
              <w14:schemeClr w14:val="tx1"/>
            </w14:solidFill>
          </w14:textFill>
        </w:rPr>
        <w:t>配送单位须</w:t>
      </w:r>
      <w:r>
        <w:rPr>
          <w:rFonts w:hint="eastAsia" w:ascii="仿宋" w:hAnsi="仿宋" w:eastAsia="仿宋" w:cs="仿宋"/>
          <w:color w:val="000000" w:themeColor="text1"/>
          <w:spacing w:val="-2"/>
          <w:sz w:val="21"/>
          <w:szCs w:val="21"/>
          <w14:textFill>
            <w14:solidFill>
              <w14:schemeClr w14:val="tx1"/>
            </w14:solidFill>
          </w14:textFill>
        </w:rPr>
        <w:t>在验收单上签字</w:t>
      </w:r>
      <w:r>
        <w:rPr>
          <w:rFonts w:hint="eastAsia" w:ascii="仿宋" w:hAnsi="仿宋" w:eastAsia="仿宋" w:cs="仿宋"/>
          <w:color w:val="000000" w:themeColor="text1"/>
          <w:spacing w:val="-2"/>
          <w:sz w:val="21"/>
          <w:szCs w:val="21"/>
          <w:lang w:val="en-US" w:eastAsia="zh-CN"/>
          <w14:textFill>
            <w14:solidFill>
              <w14:schemeClr w14:val="tx1"/>
            </w14:solidFill>
          </w14:textFill>
        </w:rPr>
        <w:t>盖章</w:t>
      </w:r>
      <w:r>
        <w:rPr>
          <w:rFonts w:hint="eastAsia" w:ascii="仿宋" w:hAnsi="仿宋" w:eastAsia="仿宋" w:cs="仿宋"/>
          <w:color w:val="000000" w:themeColor="text1"/>
          <w:spacing w:val="-2"/>
          <w:sz w:val="21"/>
          <w:szCs w:val="21"/>
          <w14:textFill>
            <w14:solidFill>
              <w14:schemeClr w14:val="tx1"/>
            </w14:solidFill>
          </w14:textFill>
        </w:rPr>
        <w:t>留存。</w:t>
      </w:r>
    </w:p>
    <w:p w14:paraId="569663ED">
      <w:pPr>
        <w:pStyle w:val="71"/>
        <w:keepNext w:val="0"/>
        <w:keepLines w:val="0"/>
        <w:pageBreakBefore w:val="0"/>
        <w:widowControl w:val="0"/>
        <w:numPr>
          <w:ilvl w:val="0"/>
          <w:numId w:val="0"/>
        </w:numPr>
        <w:tabs>
          <w:tab w:val="left" w:pos="961"/>
        </w:tabs>
        <w:kinsoku/>
        <w:wordWrap/>
        <w:overflowPunct/>
        <w:topLinePunct w:val="0"/>
        <w:autoSpaceDE w:val="0"/>
        <w:autoSpaceDN w:val="0"/>
        <w:bidi w:val="0"/>
        <w:adjustRightInd w:val="0"/>
        <w:snapToGrid w:val="0"/>
        <w:spacing w:line="360" w:lineRule="auto"/>
        <w:ind w:left="0" w:leftChars="0" w:right="0" w:rightChars="0" w:firstLine="316" w:firstLineChars="150"/>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2、</w:t>
      </w:r>
      <w:r>
        <w:rPr>
          <w:rFonts w:hint="eastAsia" w:ascii="仿宋" w:hAnsi="仿宋" w:eastAsia="仿宋" w:cs="仿宋"/>
          <w:b/>
          <w:bCs/>
          <w:color w:val="000000" w:themeColor="text1"/>
          <w:sz w:val="21"/>
          <w:szCs w:val="21"/>
          <w:lang w:eastAsia="zh-CN"/>
          <w14:textFill>
            <w14:solidFill>
              <w14:schemeClr w14:val="tx1"/>
            </w14:solidFill>
          </w14:textFill>
        </w:rPr>
        <w:t>付款方式</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pacing w:val="4"/>
          <w:sz w:val="21"/>
          <w:szCs w:val="21"/>
          <w:lang w:val="en-US" w:eastAsia="zh-CN"/>
          <w14:textFill>
            <w14:solidFill>
              <w14:schemeClr w14:val="tx1"/>
            </w14:solidFill>
          </w14:textFill>
        </w:rPr>
        <w:t>按月核算、付款</w:t>
      </w:r>
      <w:r>
        <w:rPr>
          <w:rFonts w:hint="eastAsia" w:ascii="仿宋" w:hAnsi="仿宋" w:eastAsia="仿宋" w:cs="仿宋"/>
          <w:color w:val="000000" w:themeColor="text1"/>
          <w:sz w:val="21"/>
          <w:szCs w:val="21"/>
          <w14:textFill>
            <w14:solidFill>
              <w14:schemeClr w14:val="tx1"/>
            </w14:solidFill>
          </w14:textFill>
        </w:rPr>
        <w:t>。</w:t>
      </w:r>
    </w:p>
    <w:p w14:paraId="2E4CD9C3">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28" w:firstLineChars="150"/>
        <w:jc w:val="left"/>
        <w:textAlignment w:val="auto"/>
        <w:outlineLvl w:val="9"/>
        <w:rPr>
          <w:rFonts w:hint="default" w:ascii="仿宋" w:hAnsi="仿宋" w:eastAsia="仿宋" w:cs="仿宋"/>
          <w:b/>
          <w:bCs/>
          <w:color w:val="000000" w:themeColor="text1"/>
          <w:spacing w:val="4"/>
          <w:sz w:val="21"/>
          <w:szCs w:val="21"/>
          <w:lang w:val="en-US" w:eastAsia="zh-CN" w:bidi="ar-SA"/>
          <w14:textFill>
            <w14:solidFill>
              <w14:schemeClr w14:val="tx1"/>
            </w14:solidFill>
          </w14:textFill>
        </w:rPr>
      </w:pPr>
      <w:r>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t>3、结算：</w:t>
      </w:r>
      <w:r>
        <w:rPr>
          <w:rFonts w:hint="eastAsia" w:ascii="仿宋" w:hAnsi="仿宋" w:eastAsia="仿宋" w:cs="仿宋"/>
          <w:color w:val="000000" w:themeColor="text1"/>
          <w:spacing w:val="4"/>
          <w:kern w:val="2"/>
          <w:sz w:val="21"/>
          <w:szCs w:val="21"/>
          <w:lang w:val="en-US" w:eastAsia="zh-CN" w:bidi="ar-SA"/>
          <w14:textFill>
            <w14:solidFill>
              <w14:schemeClr w14:val="tx1"/>
            </w14:solidFill>
          </w14:textFill>
        </w:rPr>
        <w:t>最终以实际供应量×折扣率结算。</w:t>
      </w:r>
    </w:p>
    <w:p w14:paraId="0A1F6DA6">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28" w:firstLineChars="150"/>
        <w:jc w:val="left"/>
        <w:textAlignment w:val="auto"/>
        <w:outlineLvl w:val="9"/>
        <w:rPr>
          <w:rFonts w:hint="eastAsia" w:ascii="仿宋" w:hAnsi="仿宋" w:eastAsia="仿宋" w:cs="仿宋"/>
          <w:color w:val="000000" w:themeColor="text1"/>
          <w:spacing w:val="4"/>
          <w:sz w:val="21"/>
          <w:szCs w:val="21"/>
          <w:lang w:val="en-US" w:eastAsia="zh-CN" w:bidi="ar-SA"/>
          <w14:textFill>
            <w14:solidFill>
              <w14:schemeClr w14:val="tx1"/>
            </w14:solidFill>
          </w14:textFill>
        </w:rPr>
      </w:pPr>
      <w:r>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t>（四）价格：</w:t>
      </w:r>
      <w:r>
        <w:rPr>
          <w:rFonts w:hint="eastAsia" w:ascii="仿宋" w:hAnsi="仿宋" w:eastAsia="仿宋" w:cs="仿宋"/>
          <w:color w:val="000000" w:themeColor="text1"/>
          <w:spacing w:val="4"/>
          <w:sz w:val="21"/>
          <w:szCs w:val="21"/>
          <w:lang w:val="en-US" w:eastAsia="zh-CN" w:bidi="ar-SA"/>
          <w14:textFill>
            <w14:solidFill>
              <w14:schemeClr w14:val="tx1"/>
            </w14:solidFill>
          </w14:textFill>
        </w:rPr>
        <w:t>服务周期内所供食材不得高于市场价及每周公布的食材指导价。</w:t>
      </w:r>
    </w:p>
    <w:p w14:paraId="0EEBB4F7">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28" w:firstLineChars="150"/>
        <w:jc w:val="left"/>
        <w:textAlignment w:val="auto"/>
        <w:outlineLvl w:val="9"/>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pPr>
      <w:r>
        <w:rPr>
          <w:rFonts w:hint="eastAsia" w:ascii="仿宋" w:hAnsi="仿宋" w:eastAsia="仿宋" w:cs="仿宋"/>
          <w:b/>
          <w:bCs/>
          <w:color w:val="000000" w:themeColor="text1"/>
          <w:spacing w:val="4"/>
          <w:sz w:val="21"/>
          <w:szCs w:val="21"/>
          <w:lang w:val="en-US" w:eastAsia="zh-CN" w:bidi="ar-SA"/>
          <w14:textFill>
            <w14:solidFill>
              <w14:schemeClr w14:val="tx1"/>
            </w14:solidFill>
          </w14:textFill>
        </w:rPr>
        <w:t>（五）合同的变更、中止、终止及争议的解决</w:t>
      </w:r>
    </w:p>
    <w:p w14:paraId="43B2FA31">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15" w:firstLineChars="150"/>
        <w:jc w:val="left"/>
        <w:textAlignment w:val="auto"/>
        <w:outlineLvl w:val="9"/>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1、</w:t>
      </w:r>
      <w:r>
        <w:rPr>
          <w:rFonts w:hint="eastAsia" w:ascii="仿宋" w:hAnsi="仿宋" w:eastAsia="仿宋" w:cs="仿宋"/>
          <w:color w:val="000000" w:themeColor="text1"/>
          <w:kern w:val="0"/>
          <w:sz w:val="21"/>
          <w:szCs w:val="21"/>
          <w14:textFill>
            <w14:solidFill>
              <w14:schemeClr w14:val="tx1"/>
            </w14:solidFill>
          </w14:textFill>
        </w:rPr>
        <w:t>合同一经签订，不得擅自变更、中止或者终止合同。对确需变更、调整或者中止、终止合同的，由双方协商解决。</w:t>
      </w:r>
    </w:p>
    <w:p w14:paraId="7A46A1F1">
      <w:pPr>
        <w:pStyle w:val="39"/>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315" w:firstLineChars="150"/>
        <w:jc w:val="left"/>
        <w:textAlignment w:val="auto"/>
        <w:outlineLvl w:val="9"/>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w:t>
      </w:r>
      <w:r>
        <w:rPr>
          <w:rFonts w:hint="eastAsia" w:ascii="仿宋" w:hAnsi="仿宋" w:eastAsia="仿宋" w:cs="仿宋"/>
          <w:color w:val="000000" w:themeColor="text1"/>
          <w:kern w:val="0"/>
          <w:sz w:val="21"/>
          <w:szCs w:val="21"/>
          <w14:textFill>
            <w14:solidFill>
              <w14:schemeClr w14:val="tx1"/>
            </w14:solidFill>
          </w14:textFill>
        </w:rPr>
        <w:t>合同在履行过程中发生的争议，当事人双方应协商解决，协商达不成一致时，可向采购方所在地仲裁委员会申请仲裁或者向人民法院提请诉讼。</w:t>
      </w:r>
    </w:p>
    <w:p w14:paraId="174F1372">
      <w:pPr>
        <w:keepNext w:val="0"/>
        <w:keepLines w:val="0"/>
        <w:pageBreakBefore w:val="0"/>
        <w:widowControl w:val="0"/>
        <w:kinsoku/>
        <w:wordWrap/>
        <w:overflowPunct/>
        <w:topLinePunct w:val="0"/>
        <w:bidi w:val="0"/>
        <w:adjustRightInd w:val="0"/>
        <w:snapToGrid w:val="0"/>
        <w:spacing w:line="360" w:lineRule="auto"/>
        <w:ind w:left="0" w:leftChars="0" w:right="0" w:rightChars="0" w:firstLine="422" w:firstLineChars="15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注</w:t>
      </w: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商务要求</w:t>
      </w:r>
      <w:r>
        <w:rPr>
          <w:rFonts w:hint="eastAsia" w:ascii="仿宋" w:hAnsi="仿宋" w:eastAsia="仿宋" w:cs="仿宋"/>
          <w:b/>
          <w:bCs/>
          <w:color w:val="000000" w:themeColor="text1"/>
          <w:kern w:val="2"/>
          <w:sz w:val="28"/>
          <w:szCs w:val="28"/>
          <w14:textFill>
            <w14:solidFill>
              <w14:schemeClr w14:val="tx1"/>
            </w14:solidFill>
          </w14:textFill>
        </w:rPr>
        <w:t>不得负偏离</w:t>
      </w:r>
    </w:p>
    <w:p w14:paraId="255FA488">
      <w:pPr>
        <w:pStyle w:val="55"/>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000000" w:themeColor="text1"/>
          <w:kern w:val="2"/>
          <w:sz w:val="21"/>
          <w:szCs w:val="21"/>
          <w14:textFill>
            <w14:solidFill>
              <w14:schemeClr w14:val="tx1"/>
            </w14:solidFill>
          </w14:textFill>
        </w:rPr>
      </w:pPr>
    </w:p>
    <w:p w14:paraId="1FECE8E4">
      <w:pPr>
        <w:pStyle w:val="55"/>
        <w:rPr>
          <w:rFonts w:hint="eastAsia" w:ascii="仿宋" w:hAnsi="仿宋" w:eastAsia="仿宋" w:cs="仿宋"/>
          <w:color w:val="000000" w:themeColor="text1"/>
          <w:kern w:val="2"/>
          <w:sz w:val="28"/>
          <w:szCs w:val="28"/>
          <w14:textFill>
            <w14:solidFill>
              <w14:schemeClr w14:val="tx1"/>
            </w14:solidFill>
          </w14:textFill>
        </w:rPr>
      </w:pPr>
    </w:p>
    <w:p w14:paraId="7EC52F99">
      <w:pPr>
        <w:pStyle w:val="40"/>
        <w:ind w:left="0" w:leftChars="0" w:firstLine="0" w:firstLineChars="0"/>
        <w:rPr>
          <w:rFonts w:hint="eastAsia" w:ascii="仿宋" w:hAnsi="仿宋" w:eastAsia="仿宋" w:cs="仿宋"/>
          <w:color w:val="000000" w:themeColor="text1"/>
          <w:sz w:val="21"/>
          <w:szCs w:val="21"/>
          <w14:textFill>
            <w14:solidFill>
              <w14:schemeClr w14:val="tx1"/>
            </w14:solidFill>
          </w14:textFill>
        </w:rPr>
      </w:pPr>
    </w:p>
    <w:p w14:paraId="439EBF94">
      <w:pPr>
        <w:pStyle w:val="2"/>
        <w:ind w:firstLine="1265" w:firstLineChars="600"/>
        <w:jc w:val="both"/>
        <w:rPr>
          <w:rFonts w:hint="eastAsia" w:ascii="仿宋" w:hAnsi="仿宋" w:eastAsia="仿宋" w:cs="仿宋"/>
          <w:bCs/>
          <w:color w:val="000000" w:themeColor="text1"/>
          <w:sz w:val="21"/>
          <w:szCs w:val="21"/>
          <w14:textFill>
            <w14:solidFill>
              <w14:schemeClr w14:val="tx1"/>
            </w14:solidFill>
          </w14:textFill>
        </w:rPr>
      </w:pPr>
    </w:p>
    <w:p w14:paraId="7508CE88">
      <w:pPr>
        <w:rPr>
          <w:rFonts w:ascii="楷体" w:hAnsi="楷体" w:eastAsia="楷体" w:cs="楷体"/>
          <w:bCs/>
          <w:color w:val="000000" w:themeColor="text1"/>
          <w:szCs w:val="36"/>
          <w14:textFill>
            <w14:solidFill>
              <w14:schemeClr w14:val="tx1"/>
            </w14:solidFill>
          </w14:textFill>
        </w:rPr>
      </w:pPr>
    </w:p>
    <w:p w14:paraId="644D57CF">
      <w:pPr>
        <w:rPr>
          <w:rFonts w:ascii="楷体" w:hAnsi="楷体" w:eastAsia="楷体" w:cs="楷体"/>
          <w:bCs/>
          <w:color w:val="000000" w:themeColor="text1"/>
          <w:szCs w:val="36"/>
          <w14:textFill>
            <w14:solidFill>
              <w14:schemeClr w14:val="tx1"/>
            </w14:solidFill>
          </w14:textFill>
        </w:rPr>
      </w:pPr>
    </w:p>
    <w:bookmarkEnd w:id="24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F11EA71">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bookmarkStart w:id="262" w:name="_Toc5366"/>
      <w:bookmarkStart w:id="263" w:name="_Toc5237"/>
      <w:bookmarkStart w:id="264" w:name="_Toc8771"/>
      <w:bookmarkStart w:id="265" w:name="_Toc8008"/>
      <w:bookmarkStart w:id="266" w:name="_Toc15866"/>
      <w:bookmarkStart w:id="267" w:name="_Toc12023"/>
      <w:bookmarkStart w:id="268" w:name="_Toc24958"/>
      <w:bookmarkStart w:id="269" w:name="_Toc12252"/>
      <w:bookmarkStart w:id="270" w:name="_Toc19784_WPSOffice_Level1"/>
      <w:bookmarkStart w:id="271" w:name="_Toc10376"/>
      <w:bookmarkStart w:id="272" w:name="_Toc6969"/>
      <w:bookmarkStart w:id="273" w:name="_Toc7100_WPSOffice_Level1"/>
      <w:bookmarkStart w:id="274" w:name="_Toc24517_WPSOffice_Level1"/>
    </w:p>
    <w:p w14:paraId="71650D15">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59EC50C0">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4612E073">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024B4BB7">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C90B872">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6DAA7EB1">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4F2D3DF5">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1FD9E5C9">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436166A">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0B710B23">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55D39CBA">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75A751CC">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035FBB7">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3EF888C1">
      <w:pPr>
        <w:ind w:firstLine="2000" w:firstLineChars="500"/>
        <w:jc w:val="both"/>
        <w:rPr>
          <w:rFonts w:hint="eastAsia" w:ascii="黑体" w:hAnsi="黑体" w:eastAsia="黑体" w:cs="黑体"/>
          <w:b w:val="0"/>
          <w:bCs/>
          <w:color w:val="000000" w:themeColor="text1"/>
          <w:sz w:val="40"/>
          <w:szCs w:val="40"/>
          <w14:textFill>
            <w14:solidFill>
              <w14:schemeClr w14:val="tx1"/>
            </w14:solidFill>
          </w14:textFill>
        </w:rPr>
      </w:pPr>
    </w:p>
    <w:p w14:paraId="46CF1DF2">
      <w:pPr>
        <w:ind w:firstLine="1600" w:firstLineChars="400"/>
        <w:jc w:val="both"/>
        <w:rPr>
          <w:rFonts w:hint="default"/>
          <w:b w:val="0"/>
          <w:bCs/>
          <w:color w:val="000000" w:themeColor="text1"/>
          <w:sz w:val="40"/>
          <w:szCs w:val="40"/>
          <w:lang w:val="en-US" w:eastAsia="zh-CN"/>
          <w14:textFill>
            <w14:solidFill>
              <w14:schemeClr w14:val="tx1"/>
            </w14:solidFill>
          </w14:textFill>
        </w:rPr>
      </w:pPr>
      <w:r>
        <w:rPr>
          <w:rFonts w:hint="eastAsia" w:ascii="黑体" w:hAnsi="黑体" w:eastAsia="黑体" w:cs="黑体"/>
          <w:b w:val="0"/>
          <w:bCs/>
          <w:color w:val="000000" w:themeColor="text1"/>
          <w:sz w:val="40"/>
          <w:szCs w:val="40"/>
          <w14:textFill>
            <w14:solidFill>
              <w14:schemeClr w14:val="tx1"/>
            </w14:solidFill>
          </w14:textFill>
        </w:rPr>
        <w:t>第五章</w:t>
      </w:r>
      <w:r>
        <w:rPr>
          <w:rFonts w:hint="eastAsia" w:ascii="黑体" w:hAnsi="黑体" w:eastAsia="黑体" w:cs="黑体"/>
          <w:b w:val="0"/>
          <w:bCs/>
          <w:color w:val="000000" w:themeColor="text1"/>
          <w:sz w:val="40"/>
          <w:szCs w:val="40"/>
          <w:lang w:val="en-US" w:eastAsia="zh-CN"/>
          <w14:textFill>
            <w14:solidFill>
              <w14:schemeClr w14:val="tx1"/>
            </w14:solidFill>
          </w14:textFill>
        </w:rPr>
        <w:t xml:space="preserve"> </w:t>
      </w:r>
      <w:r>
        <w:rPr>
          <w:rFonts w:hint="eastAsia" w:ascii="黑体" w:hAnsi="黑体" w:eastAsia="黑体" w:cs="黑体"/>
          <w:b w:val="0"/>
          <w:bCs/>
          <w:color w:val="000000" w:themeColor="text1"/>
          <w:sz w:val="40"/>
          <w:szCs w:val="40"/>
          <w14:textFill>
            <w14:solidFill>
              <w14:schemeClr w14:val="tx1"/>
            </w14:solidFill>
          </w14:textFill>
        </w:rPr>
        <w:t>拟签订的合同文本</w:t>
      </w:r>
    </w:p>
    <w:p w14:paraId="39A8E402">
      <w:pPr>
        <w:snapToGrid w:val="0"/>
        <w:spacing w:line="288" w:lineRule="auto"/>
        <w:jc w:val="center"/>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南郑区学校蔬菜、辅料等食材配送服务采购项目（三次）</w:t>
      </w:r>
    </w:p>
    <w:p w14:paraId="6F545F62">
      <w:pPr>
        <w:snapToGrid w:val="0"/>
        <w:spacing w:line="288" w:lineRule="auto"/>
        <w:jc w:val="cente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合同包</w:t>
      </w:r>
      <w:r>
        <w:rPr>
          <w:rFonts w:hint="eastAsia" w:ascii="黑体" w:hAnsi="黑体" w:eastAsia="黑体" w:cs="黑体"/>
          <w:color w:val="000000" w:themeColor="text1"/>
          <w:kern w:val="2"/>
          <w:sz w:val="32"/>
          <w:szCs w:val="32"/>
          <w:u w:val="single"/>
          <w:lang w:val="en-US" w:eastAsia="zh-CN" w:bidi="ar-SA"/>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采购合同</w:t>
      </w:r>
    </w:p>
    <w:p w14:paraId="11D527A3">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（注：本合同作为合同的基本格式，甲方有权在签订合同时对合同的相关条款及内容作进一步细化和修改）</w:t>
      </w:r>
    </w:p>
    <w:p w14:paraId="5A60713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合同编号： </w:t>
      </w:r>
    </w:p>
    <w:p w14:paraId="29B9622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签订地点： </w:t>
      </w:r>
    </w:p>
    <w:p w14:paraId="48AD3BBC">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签订时间：</w:t>
      </w:r>
    </w:p>
    <w:p w14:paraId="04AB7C4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采购人（甲方）：</w:t>
      </w:r>
    </w:p>
    <w:p w14:paraId="4856254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供应商（乙方）：</w:t>
      </w:r>
    </w:p>
    <w:p w14:paraId="336A8B7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根据《中华人民共和国政府采购法》及实施条例、《中华人民共和国民法典》和</w:t>
      </w:r>
      <w:r>
        <w:rPr>
          <w:rFonts w:hint="eastAsia" w:ascii="仿宋" w:hAnsi="仿宋" w:eastAsia="仿宋" w:cs="仿宋"/>
          <w:bCs/>
          <w:color w:val="000000" w:themeColor="text1"/>
          <w:sz w:val="22"/>
          <w:szCs w:val="22"/>
          <w:u w:val="single"/>
          <w:lang w:eastAsia="zh-CN"/>
          <w14:textFill>
            <w14:solidFill>
              <w14:schemeClr w14:val="tx1"/>
            </w14:solidFill>
          </w14:textFill>
        </w:rPr>
        <w:t>南郑区学校蔬菜、辅料等食材配送服务采购项目（三次）</w:t>
      </w:r>
      <w:r>
        <w:rPr>
          <w:rFonts w:hint="eastAsia" w:ascii="仿宋" w:hAnsi="仿宋" w:eastAsia="仿宋" w:cs="仿宋"/>
          <w:bCs/>
          <w:color w:val="000000" w:themeColor="text1"/>
          <w:sz w:val="22"/>
          <w:szCs w:val="22"/>
          <w:u w:val="single"/>
          <w:lang w:val="en-US" w:eastAsia="zh-CN"/>
          <w14:textFill>
            <w14:solidFill>
              <w14:schemeClr w14:val="tx1"/>
            </w14:solidFill>
          </w14:textFill>
        </w:rPr>
        <w:t xml:space="preserve">合同包   </w:t>
      </w:r>
      <w:r>
        <w:rPr>
          <w:rFonts w:hint="eastAsia" w:ascii="仿宋" w:hAnsi="仿宋" w:eastAsia="仿宋" w:cs="仿宋"/>
          <w:bCs/>
          <w:color w:val="000000" w:themeColor="text1"/>
          <w:sz w:val="22"/>
          <w:szCs w:val="22"/>
          <w14:textFill>
            <w14:solidFill>
              <w14:schemeClr w14:val="tx1"/>
            </w14:solidFill>
          </w14:textFill>
        </w:rPr>
        <w:t>（采购项目编号：</w:t>
      </w:r>
      <w:r>
        <w:rPr>
          <w:rFonts w:hint="eastAsia" w:ascii="仿宋" w:hAnsi="仿宋" w:eastAsia="仿宋" w:cs="仿宋"/>
          <w:bCs/>
          <w:color w:val="000000" w:themeColor="text1"/>
          <w:sz w:val="22"/>
          <w:szCs w:val="22"/>
          <w:u w:val="single"/>
          <w:lang w:eastAsia="zh-CN"/>
          <w14:textFill>
            <w14:solidFill>
              <w14:schemeClr w14:val="tx1"/>
            </w14:solidFill>
          </w14:textFill>
        </w:rPr>
        <w:t>TZZB-HZ-2025078C-3</w:t>
      </w:r>
      <w:r>
        <w:rPr>
          <w:rFonts w:hint="eastAsia" w:ascii="仿宋" w:hAnsi="仿宋" w:eastAsia="仿宋" w:cs="仿宋"/>
          <w:bCs/>
          <w:color w:val="000000" w:themeColor="text1"/>
          <w:sz w:val="22"/>
          <w:szCs w:val="22"/>
          <w14:textFill>
            <w14:solidFill>
              <w14:schemeClr w14:val="tx1"/>
            </w14:solidFill>
          </w14:textFill>
        </w:rPr>
        <w:t>）的</w:t>
      </w:r>
      <w:r>
        <w:rPr>
          <w:rFonts w:hint="eastAsia" w:ascii="仿宋" w:hAnsi="仿宋" w:eastAsia="仿宋" w:cs="仿宋"/>
          <w:bCs/>
          <w:color w:val="000000" w:themeColor="text1"/>
          <w:sz w:val="22"/>
          <w:szCs w:val="22"/>
          <w:lang w:val="en-US" w:eastAsia="zh-CN"/>
          <w14:textFill>
            <w14:solidFill>
              <w14:schemeClr w14:val="tx1"/>
            </w14:solidFill>
          </w14:textFill>
        </w:rPr>
        <w:t>招标</w:t>
      </w:r>
      <w:r>
        <w:rPr>
          <w:rFonts w:hint="eastAsia" w:ascii="仿宋" w:hAnsi="仿宋" w:eastAsia="仿宋" w:cs="仿宋"/>
          <w:bCs/>
          <w:color w:val="000000" w:themeColor="text1"/>
          <w:sz w:val="22"/>
          <w:szCs w:val="22"/>
          <w14:textFill>
            <w14:solidFill>
              <w14:schemeClr w14:val="tx1"/>
            </w14:solidFill>
          </w14:textFill>
        </w:rPr>
        <w:t>文件、</w:t>
      </w:r>
      <w:r>
        <w:rPr>
          <w:rFonts w:hint="eastAsia" w:ascii="仿宋" w:hAnsi="仿宋" w:eastAsia="仿宋" w:cs="仿宋"/>
          <w:bCs/>
          <w:color w:val="000000" w:themeColor="text1"/>
          <w:sz w:val="22"/>
          <w:szCs w:val="22"/>
          <w:lang w:val="en-US" w:eastAsia="zh-CN"/>
          <w14:textFill>
            <w14:solidFill>
              <w14:schemeClr w14:val="tx1"/>
            </w14:solidFill>
          </w14:textFill>
        </w:rPr>
        <w:t>投标文件</w:t>
      </w:r>
      <w:r>
        <w:rPr>
          <w:rFonts w:hint="eastAsia" w:ascii="仿宋" w:hAnsi="仿宋" w:eastAsia="仿宋" w:cs="仿宋"/>
          <w:bCs/>
          <w:color w:val="000000" w:themeColor="text1"/>
          <w:sz w:val="22"/>
          <w:szCs w:val="22"/>
          <w14:textFill>
            <w14:solidFill>
              <w14:schemeClr w14:val="tx1"/>
            </w14:solidFill>
          </w14:textFill>
        </w:rPr>
        <w:t>文件等有关规定，为确保甲方采购项目的顺利实施，甲、乙双方在平等自愿原则下签订本合同，并共同遵守如下条款：</w:t>
      </w:r>
    </w:p>
    <w:p w14:paraId="2DE1800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第一条 项目基本情况</w:t>
      </w:r>
    </w:p>
    <w:p w14:paraId="6CC8602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第二条 合同期限</w:t>
      </w:r>
    </w:p>
    <w:p w14:paraId="5C822B6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bookmarkStart w:id="275" w:name="_Toc185395249"/>
      <w:bookmarkStart w:id="276" w:name="_Toc237145406"/>
      <w:bookmarkStart w:id="277" w:name="_Toc232492928"/>
      <w:bookmarkStart w:id="278" w:name="_Toc251768862"/>
      <w:bookmarkStart w:id="279" w:name="_Toc282696226"/>
      <w:bookmarkStart w:id="280" w:name="_Toc239233914"/>
      <w:bookmarkStart w:id="281" w:name="_Toc211911348"/>
      <w:bookmarkStart w:id="282" w:name="_Toc225654644"/>
      <w:bookmarkStart w:id="283" w:name="_Toc225244852"/>
      <w:bookmarkStart w:id="284" w:name="_Toc241833903"/>
      <w:bookmarkStart w:id="285" w:name="_Toc212019594"/>
      <w:bookmarkStart w:id="286" w:name="_Toc239568418"/>
      <w:bookmarkStart w:id="287" w:name="_Toc283019214"/>
      <w:bookmarkStart w:id="288" w:name="_Toc247334841"/>
      <w:bookmarkStart w:id="289" w:name="_Toc211854449"/>
      <w:bookmarkStart w:id="290" w:name="_Toc238984975"/>
      <w:bookmarkStart w:id="291" w:name="_Toc225670751"/>
      <w:bookmarkStart w:id="292" w:name="_Toc286993786"/>
      <w:r>
        <w:rPr>
          <w:rFonts w:hint="eastAsia" w:ascii="仿宋" w:hAnsi="仿宋" w:eastAsia="仿宋" w:cs="仿宋"/>
          <w:bCs/>
          <w:color w:val="000000" w:themeColor="text1"/>
          <w:sz w:val="22"/>
          <w:szCs w:val="22"/>
          <w14:textFill>
            <w14:solidFill>
              <w14:schemeClr w14:val="tx1"/>
            </w14:solidFill>
          </w14:textFill>
        </w:rPr>
        <w:t>第三条 服务内容与质量标准</w:t>
      </w:r>
    </w:p>
    <w:p w14:paraId="0237DC5E">
      <w:pPr>
        <w:shd w:val="clear"/>
        <w:snapToGrid w:val="0"/>
        <w:spacing w:line="360" w:lineRule="auto"/>
        <w:ind w:firstLine="482"/>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本合同所提供的服务项目内容：</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（与响应文件中服务及设备明细表一致）。</w:t>
      </w:r>
    </w:p>
    <w:p w14:paraId="404D2E81">
      <w:pPr>
        <w:shd w:val="clear"/>
        <w:snapToGrid w:val="0"/>
        <w:spacing w:line="360" w:lineRule="auto"/>
        <w:ind w:firstLine="482"/>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w:t>
      </w:r>
      <w:r>
        <w:rPr>
          <w:rFonts w:hint="eastAsia" w:ascii="仿宋" w:hAnsi="仿宋" w:eastAsia="仿宋" w:cs="仿宋"/>
          <w:bCs/>
          <w:color w:val="000000" w:themeColor="text1"/>
          <w:sz w:val="22"/>
          <w:szCs w:val="22"/>
          <w:lang w:eastAsia="zh-CN"/>
          <w14:textFill>
            <w14:solidFill>
              <w14:schemeClr w14:val="tx1"/>
            </w14:solidFill>
          </w14:textFill>
        </w:rPr>
        <w:t>服务</w:t>
      </w:r>
      <w:r>
        <w:rPr>
          <w:rFonts w:hint="eastAsia" w:ascii="仿宋" w:hAnsi="仿宋" w:eastAsia="仿宋" w:cs="仿宋"/>
          <w:bCs/>
          <w:color w:val="000000" w:themeColor="text1"/>
          <w:sz w:val="22"/>
          <w:szCs w:val="22"/>
          <w:lang w:val="en-US" w:eastAsia="zh-CN"/>
          <w14:textFill>
            <w14:solidFill>
              <w14:schemeClr w14:val="tx1"/>
            </w14:solidFill>
          </w14:textFill>
        </w:rPr>
        <w:t>周</w:t>
      </w:r>
      <w:r>
        <w:rPr>
          <w:rFonts w:hint="eastAsia" w:ascii="仿宋" w:hAnsi="仿宋" w:eastAsia="仿宋" w:cs="仿宋"/>
          <w:bCs/>
          <w:color w:val="000000" w:themeColor="text1"/>
          <w:sz w:val="22"/>
          <w:szCs w:val="22"/>
          <w:lang w:eastAsia="zh-CN"/>
          <w14:textFill>
            <w14:solidFill>
              <w14:schemeClr w14:val="tx1"/>
            </w14:solidFill>
          </w14:textFill>
        </w:rPr>
        <w:t>期</w:t>
      </w:r>
      <w:r>
        <w:rPr>
          <w:rFonts w:hint="eastAsia" w:ascii="仿宋" w:hAnsi="仿宋" w:eastAsia="仿宋" w:cs="仿宋"/>
          <w:bCs/>
          <w:color w:val="000000" w:themeColor="text1"/>
          <w:sz w:val="22"/>
          <w:szCs w:val="22"/>
          <w14:textFill>
            <w14:solidFill>
              <w14:schemeClr w14:val="tx1"/>
            </w14:solidFill>
          </w14:textFill>
        </w:rPr>
        <w:t>：</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w:t>
      </w:r>
    </w:p>
    <w:p w14:paraId="3C0711F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w:t>
      </w:r>
    </w:p>
    <w:p w14:paraId="7EB807EA">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第四条 服务费用</w:t>
      </w:r>
    </w:p>
    <w:p w14:paraId="11F1AA1E">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1、服务总费用为人民币大写：</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元， RMB¥</w:t>
      </w:r>
      <w:r>
        <w:rPr>
          <w:rFonts w:hint="eastAsia" w:ascii="仿宋" w:hAnsi="仿宋" w:eastAsia="仿宋" w:cs="仿宋"/>
          <w:bCs/>
          <w:color w:val="000000" w:themeColor="text1"/>
          <w:sz w:val="22"/>
          <w:szCs w:val="22"/>
          <w:u w:val="single"/>
          <w14:textFill>
            <w14:solidFill>
              <w14:schemeClr w14:val="tx1"/>
            </w14:solidFill>
          </w14:textFill>
        </w:rPr>
        <w:t xml:space="preserve">       </w:t>
      </w:r>
      <w:r>
        <w:rPr>
          <w:rFonts w:hint="eastAsia" w:ascii="仿宋" w:hAnsi="仿宋" w:eastAsia="仿宋" w:cs="仿宋"/>
          <w:bCs/>
          <w:color w:val="000000" w:themeColor="text1"/>
          <w:sz w:val="22"/>
          <w:szCs w:val="22"/>
          <w14:textFill>
            <w14:solidFill>
              <w14:schemeClr w14:val="tx1"/>
            </w14:solidFill>
          </w14:textFill>
        </w:rPr>
        <w:t xml:space="preserve"> 。</w:t>
      </w:r>
    </w:p>
    <w:p w14:paraId="39B5434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2、本项目服务费用由以下组成：</w:t>
      </w:r>
    </w:p>
    <w:p w14:paraId="4D59611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（1）XX万元；</w:t>
      </w:r>
    </w:p>
    <w:p w14:paraId="1A7E3FB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（2）XX万元；</w:t>
      </w:r>
    </w:p>
    <w:p w14:paraId="2B4F039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w:t>
      </w:r>
    </w:p>
    <w:p w14:paraId="24D3F79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3、本合同执行期间服务总费用不变，甲方无须另向乙方支付本合同规定之外的其他任何费用。</w:t>
      </w:r>
    </w:p>
    <w:p w14:paraId="24DCF3EF">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第五条  服务费支付方式</w:t>
      </w:r>
    </w:p>
    <w:p w14:paraId="780B4B8B">
      <w:pPr>
        <w:shd w:val="clear"/>
        <w:autoSpaceDE w:val="0"/>
        <w:autoSpaceDN w:val="0"/>
        <w:adjustRightInd w:val="0"/>
        <w:snapToGrid w:val="0"/>
        <w:spacing w:line="360" w:lineRule="auto"/>
        <w:ind w:firstLine="440" w:firstLineChars="200"/>
        <w:jc w:val="left"/>
        <w:outlineLvl w:val="0"/>
        <w:rPr>
          <w:rFonts w:hint="eastAsia" w:ascii="仿宋" w:hAnsi="仿宋" w:eastAsia="仿宋" w:cs="仿宋"/>
          <w:bCs/>
          <w:color w:val="000000" w:themeColor="text1"/>
          <w:sz w:val="22"/>
          <w:szCs w:val="22"/>
          <w:lang w:val="en-US" w:eastAsia="zh-CN"/>
          <w14:textFill>
            <w14:solidFill>
              <w14:schemeClr w14:val="tx1"/>
            </w14:solidFill>
          </w14:textFill>
        </w:rPr>
      </w:pPr>
      <w:r>
        <w:rPr>
          <w:rFonts w:hint="eastAsia" w:ascii="仿宋" w:hAnsi="仿宋" w:eastAsia="仿宋" w:cs="仿宋"/>
          <w:bCs/>
          <w:color w:val="000000" w:themeColor="text1"/>
          <w:sz w:val="22"/>
          <w:szCs w:val="22"/>
          <w:lang w:val="en-US" w:eastAsia="zh-CN"/>
          <w14:textFill>
            <w14:solidFill>
              <w14:schemeClr w14:val="tx1"/>
            </w14:solidFill>
          </w14:textFill>
        </w:rPr>
        <w:t>执行招标文件内标准</w:t>
      </w:r>
    </w:p>
    <w:p w14:paraId="05EBBEA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第六条   知识产权</w:t>
      </w:r>
    </w:p>
    <w:p w14:paraId="5C8F6A34">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乙方应保证所提供的服务或其任何一部分均不会侵犯任何第三方的专利权、商标权或著作权。</w:t>
      </w:r>
    </w:p>
    <w:p w14:paraId="319D948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第七条  无产权瑕疵条款</w:t>
      </w:r>
    </w:p>
    <w:p w14:paraId="19E9FC3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5DA904A7">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第八条  甲方的权利和义务</w:t>
      </w:r>
    </w:p>
    <w:p w14:paraId="2FD1E4CF">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14:paraId="6AB58B4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2、甲方有权依据双方签订的考评办法对乙方提供的服务进行定期考评。</w:t>
      </w:r>
    </w:p>
    <w:p w14:paraId="0C36C74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3、负责检查监督乙方管理工作的实施及制度的执行情况。</w:t>
      </w:r>
    </w:p>
    <w:p w14:paraId="18B20EB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4、根据本合同规定，按时向乙方支付应付服务费用。</w:t>
      </w:r>
    </w:p>
    <w:p w14:paraId="0931CC63">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5、国家法律、法规所规定由甲方承担的其它责任。</w:t>
      </w:r>
    </w:p>
    <w:p w14:paraId="73BD7F8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第九条  乙方的权利和义务</w:t>
      </w:r>
    </w:p>
    <w:p w14:paraId="23D8697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1、对本合同规定的委托服务范围内的项目享有管理权及服务义务。</w:t>
      </w:r>
    </w:p>
    <w:p w14:paraId="09C9F1E5">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2、根据本合同的规定向甲方收取相关服务费用，并有权在本项目管理范围内管理及合理使用。</w:t>
      </w:r>
    </w:p>
    <w:p w14:paraId="1D16061F">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3、及时向甲方通告本项目服务范围内有关服务的重大事项，及时配合处理投诉。</w:t>
      </w:r>
    </w:p>
    <w:p w14:paraId="5F27C541">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4、接受项目行业管理部门及政府有关部门的指导，接受甲方的监督。</w:t>
      </w:r>
    </w:p>
    <w:p w14:paraId="6BEEE28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5、国家法律、法规所规定由乙方承担的其它责任。</w:t>
      </w:r>
    </w:p>
    <w:p w14:paraId="1927B967">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第十条  违约责任</w:t>
      </w:r>
    </w:p>
    <w:p w14:paraId="7C7612A9">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1、甲乙双方必须遵守本合同并执行合同中的各项规定，保证本合同的正常履行。</w:t>
      </w:r>
    </w:p>
    <w:p w14:paraId="2EC26388">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236C40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第十一条  不可抗力事件处理</w:t>
      </w:r>
    </w:p>
    <w:p w14:paraId="19454BC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1、在合同有效期内，任何一方因不可抗力事件导致不能履行合同，则合同履行期可延长，其延长期与不可抗力影响期相同。</w:t>
      </w:r>
    </w:p>
    <w:p w14:paraId="730709B5">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2、不可抗力事件发生后，应立即通知对方，并寄送有关权威机构出具的证明。</w:t>
      </w:r>
    </w:p>
    <w:p w14:paraId="62A12945">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3、不可抗力事件延续XX天以上，双方应通过友好协商，确定是否继续履行合同。</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0275719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bookmarkStart w:id="293" w:name="_Toc241833908"/>
      <w:bookmarkStart w:id="294" w:name="_Toc212019599"/>
      <w:bookmarkStart w:id="295" w:name="_Toc225654649"/>
      <w:bookmarkStart w:id="296" w:name="_Toc247334846"/>
      <w:bookmarkStart w:id="297" w:name="_Toc225670756"/>
      <w:bookmarkStart w:id="298" w:name="_Toc286993792"/>
      <w:bookmarkStart w:id="299" w:name="_Toc239233919"/>
      <w:bookmarkStart w:id="300" w:name="_Toc211854454"/>
      <w:bookmarkStart w:id="301" w:name="_Toc211911353"/>
      <w:bookmarkStart w:id="302" w:name="_Toc185395254"/>
      <w:bookmarkStart w:id="303" w:name="_Toc232492933"/>
      <w:bookmarkStart w:id="304" w:name="_Toc237145411"/>
      <w:bookmarkStart w:id="305" w:name="_Toc238984980"/>
      <w:bookmarkStart w:id="306" w:name="_Toc251768867"/>
      <w:bookmarkStart w:id="307" w:name="_Toc239568423"/>
      <w:bookmarkStart w:id="308" w:name="_Toc225244857"/>
      <w:r>
        <w:rPr>
          <w:rFonts w:hint="eastAsia" w:ascii="仿宋" w:hAnsi="仿宋" w:eastAsia="仿宋" w:cs="仿宋"/>
          <w:bCs/>
          <w:color w:val="000000" w:themeColor="text1"/>
          <w:sz w:val="22"/>
          <w:szCs w:val="22"/>
          <w14:textFill>
            <w14:solidFill>
              <w14:schemeClr w14:val="tx1"/>
            </w14:solidFill>
          </w14:textFill>
        </w:rPr>
        <w:t>第十二条  合同的变更和终止</w:t>
      </w:r>
    </w:p>
    <w:p w14:paraId="14B8DE5E">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除《中华人民共和国政府采购法》第49条、第50条第二款规定的情形外，本合同一经签订，甲乙双方不得擅自变更、中止或终止合同。</w:t>
      </w:r>
    </w:p>
    <w:p w14:paraId="0516579A">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第十三条  解决合同纠纷的方式</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71A487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1、在执行本合同中发生的或与本合同有关的争端，双方应通过友好协商解决，经协商在XX天内不能达成协议时，则采取以下第____种方式解决争议：</w:t>
      </w:r>
    </w:p>
    <w:p w14:paraId="3DA186F3">
      <w:pPr>
        <w:shd w:val="clear"/>
        <w:autoSpaceDE w:val="0"/>
        <w:autoSpaceDN w:val="0"/>
        <w:adjustRightInd w:val="0"/>
        <w:snapToGrid w:val="0"/>
        <w:spacing w:line="360" w:lineRule="auto"/>
        <w:ind w:firstLine="220" w:firstLineChars="1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（1）向甲方所在地有管辖权的人民法院提起诉讼；</w:t>
      </w:r>
    </w:p>
    <w:p w14:paraId="391C0572">
      <w:pPr>
        <w:shd w:val="clear"/>
        <w:autoSpaceDE w:val="0"/>
        <w:autoSpaceDN w:val="0"/>
        <w:adjustRightInd w:val="0"/>
        <w:snapToGrid w:val="0"/>
        <w:spacing w:line="360" w:lineRule="auto"/>
        <w:ind w:firstLine="220" w:firstLineChars="1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（2）向____________仲裁委员会按其仲裁规则申请仲裁。</w:t>
      </w:r>
    </w:p>
    <w:p w14:paraId="0C903EAC">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2、在仲裁期间，本合同应继续履行。</w:t>
      </w:r>
    </w:p>
    <w:p w14:paraId="42E1311B">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bookmarkStart w:id="309" w:name="_Toc239568424"/>
      <w:bookmarkStart w:id="310" w:name="_Toc241833909"/>
      <w:bookmarkStart w:id="311" w:name="_Toc211854455"/>
      <w:bookmarkStart w:id="312" w:name="_Toc286993793"/>
      <w:bookmarkStart w:id="313" w:name="_Toc225654650"/>
      <w:bookmarkStart w:id="314" w:name="_Toc239233920"/>
      <w:bookmarkStart w:id="315" w:name="_Toc212019600"/>
      <w:bookmarkStart w:id="316" w:name="_Toc185395255"/>
      <w:bookmarkStart w:id="317" w:name="_Toc247334847"/>
      <w:bookmarkStart w:id="318" w:name="_Toc251768868"/>
      <w:bookmarkStart w:id="319" w:name="_Toc232492934"/>
      <w:bookmarkStart w:id="320" w:name="_Toc225244858"/>
      <w:bookmarkStart w:id="321" w:name="_Toc211911354"/>
      <w:bookmarkStart w:id="322" w:name="_Toc237145412"/>
      <w:bookmarkStart w:id="323" w:name="_Toc238984981"/>
      <w:bookmarkStart w:id="324" w:name="_Toc283019219"/>
      <w:bookmarkStart w:id="325" w:name="_Toc282696231"/>
      <w:bookmarkStart w:id="326" w:name="_Toc225670757"/>
      <w:r>
        <w:rPr>
          <w:rFonts w:hint="eastAsia" w:ascii="仿宋" w:hAnsi="仿宋" w:eastAsia="仿宋" w:cs="仿宋"/>
          <w:bCs/>
          <w:color w:val="000000" w:themeColor="text1"/>
          <w:sz w:val="22"/>
          <w:szCs w:val="22"/>
          <w14:textFill>
            <w14:solidFill>
              <w14:schemeClr w14:val="tx1"/>
            </w14:solidFill>
          </w14:textFill>
        </w:rPr>
        <w:t>第十四条  合同</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ascii="仿宋" w:hAnsi="仿宋" w:eastAsia="仿宋" w:cs="仿宋"/>
          <w:bCs/>
          <w:color w:val="000000" w:themeColor="text1"/>
          <w:sz w:val="22"/>
          <w:szCs w:val="22"/>
          <w14:textFill>
            <w14:solidFill>
              <w14:schemeClr w14:val="tx1"/>
            </w14:solidFill>
          </w14:textFill>
        </w:rPr>
        <w:t>生效及其他</w:t>
      </w:r>
    </w:p>
    <w:p w14:paraId="08C88411">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1、合同经双方法定代表人或授权委托代理人签字并加盖单位公章后生效。</w:t>
      </w:r>
    </w:p>
    <w:p w14:paraId="595C6490">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2、合同执行中涉及采购资金和采购内容修改或补充的，须经政府采购监管部门审批，并签书面补充协议报政府采购监督管理部门备案，方可作为主合同不可分割的一部分。</w:t>
      </w:r>
    </w:p>
    <w:p w14:paraId="1EC284D2">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3、本合同一式XX份，自双方签章之日起起效。甲方XX份，乙方XX份，政府采购代理机构XX份，同级财政部门备案XX份，具有同等法律效力。</w:t>
      </w:r>
    </w:p>
    <w:p w14:paraId="57ED0FF4">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第十五条  附件</w:t>
      </w:r>
    </w:p>
    <w:p w14:paraId="5088EA1A">
      <w:pPr>
        <w:shd w:val="clear"/>
        <w:autoSpaceDE w:val="0"/>
        <w:autoSpaceDN w:val="0"/>
        <w:adjustRightInd w:val="0"/>
        <w:snapToGrid w:val="0"/>
        <w:spacing w:line="360" w:lineRule="auto"/>
        <w:ind w:firstLine="440" w:firstLineChars="200"/>
        <w:jc w:val="left"/>
        <w:outlineLvl w:val="0"/>
        <w:rPr>
          <w:rFonts w:hint="eastAsia" w:ascii="仿宋" w:hAnsi="仿宋" w:eastAsia="仿宋" w:cs="仿宋"/>
          <w:bCs/>
          <w:color w:val="000000" w:themeColor="text1"/>
          <w:sz w:val="22"/>
          <w:szCs w:val="22"/>
          <w:lang w:eastAsia="zh-CN"/>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1、项目</w:t>
      </w:r>
      <w:r>
        <w:rPr>
          <w:rFonts w:hint="eastAsia" w:ascii="仿宋" w:hAnsi="仿宋" w:eastAsia="仿宋" w:cs="仿宋"/>
          <w:bCs/>
          <w:color w:val="000000" w:themeColor="text1"/>
          <w:sz w:val="22"/>
          <w:szCs w:val="22"/>
          <w:lang w:eastAsia="zh-CN"/>
          <w14:textFill>
            <w14:solidFill>
              <w14:schemeClr w14:val="tx1"/>
            </w14:solidFill>
          </w14:textFill>
        </w:rPr>
        <w:t>招标文件</w:t>
      </w:r>
    </w:p>
    <w:p w14:paraId="21C9D46D">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2、项目修改澄清文件</w:t>
      </w:r>
    </w:p>
    <w:p w14:paraId="11837F63">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3、项目响应文件</w:t>
      </w:r>
    </w:p>
    <w:p w14:paraId="618572B1">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4、成交通知书</w:t>
      </w:r>
    </w:p>
    <w:p w14:paraId="5D9DEDD6">
      <w:pPr>
        <w:shd w:val="clear"/>
        <w:autoSpaceDE w:val="0"/>
        <w:autoSpaceDN w:val="0"/>
        <w:adjustRightInd w:val="0"/>
        <w:snapToGrid w:val="0"/>
        <w:spacing w:line="360" w:lineRule="auto"/>
        <w:ind w:firstLine="440" w:firstLineChars="200"/>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5、其他</w:t>
      </w:r>
    </w:p>
    <w:p w14:paraId="4F85F9A8">
      <w:pPr>
        <w:pStyle w:val="40"/>
        <w:shd w:val="clear"/>
        <w:snapToGrid w:val="0"/>
        <w:spacing w:after="0" w:line="360" w:lineRule="auto"/>
        <w:ind w:left="0" w:leftChars="0" w:firstLine="0" w:firstLineChars="0"/>
        <w:rPr>
          <w:rFonts w:ascii="仿宋" w:hAnsi="仿宋" w:eastAsia="仿宋" w:cs="仿宋"/>
          <w:bCs/>
          <w:color w:val="000000" w:themeColor="text1"/>
          <w:sz w:val="22"/>
          <w:szCs w:val="22"/>
          <w14:textFill>
            <w14:solidFill>
              <w14:schemeClr w14:val="tx1"/>
            </w14:solidFill>
          </w14:textFill>
        </w:rPr>
      </w:pPr>
    </w:p>
    <w:p w14:paraId="45637000">
      <w:pPr>
        <w:shd w:val="clear"/>
        <w:rPr>
          <w:rFonts w:ascii="仿宋" w:hAnsi="仿宋" w:eastAsia="仿宋" w:cs="仿宋"/>
          <w:bCs/>
          <w:color w:val="000000" w:themeColor="text1"/>
          <w:sz w:val="22"/>
          <w:szCs w:val="22"/>
          <w14:textFill>
            <w14:solidFill>
              <w14:schemeClr w14:val="tx1"/>
            </w14:solidFill>
          </w14:textFill>
        </w:rPr>
      </w:pPr>
    </w:p>
    <w:p w14:paraId="606DB310">
      <w:pPr>
        <w:shd w:val="clear"/>
        <w:rPr>
          <w:rFonts w:ascii="仿宋" w:hAnsi="仿宋" w:eastAsia="仿宋" w:cs="仿宋"/>
          <w:bCs/>
          <w:color w:val="000000" w:themeColor="text1"/>
          <w:sz w:val="22"/>
          <w:szCs w:val="22"/>
          <w14:textFill>
            <w14:solidFill>
              <w14:schemeClr w14:val="tx1"/>
            </w14:solidFill>
          </w14:textFill>
        </w:rPr>
      </w:pPr>
    </w:p>
    <w:p w14:paraId="7A4D8967">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甲方：   （盖章）   </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 xml:space="preserve">       乙方：   （盖章）</w:t>
      </w:r>
    </w:p>
    <w:p w14:paraId="3F31752C">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法定代表人（授权代表）：              法定代表人（授权代表）：</w:t>
      </w:r>
    </w:p>
    <w:p w14:paraId="44F0D1F2">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地    址：                            地    址：</w:t>
      </w:r>
    </w:p>
    <w:p w14:paraId="22ABCF7F">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开户银行：                            开户银行：</w:t>
      </w:r>
    </w:p>
    <w:p w14:paraId="5161A719">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账号：                                账号：</w:t>
      </w:r>
    </w:p>
    <w:p w14:paraId="728EBF24">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电    话：                            电    话：</w:t>
      </w:r>
    </w:p>
    <w:p w14:paraId="0420F46A">
      <w:pPr>
        <w:shd w:val="clear"/>
        <w:autoSpaceDE w:val="0"/>
        <w:autoSpaceDN w:val="0"/>
        <w:adjustRightInd w:val="0"/>
        <w:snapToGrid w:val="0"/>
        <w:spacing w:line="360" w:lineRule="auto"/>
        <w:jc w:val="left"/>
        <w:outlineLvl w:val="0"/>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传    真：                            传    真：</w:t>
      </w:r>
    </w:p>
    <w:p w14:paraId="4AAC11B1">
      <w:pPr>
        <w:shd w:val="clear"/>
        <w:autoSpaceDE w:val="0"/>
        <w:autoSpaceDN w:val="0"/>
        <w:adjustRightInd w:val="0"/>
        <w:snapToGrid w:val="0"/>
        <w:spacing w:line="360" w:lineRule="auto"/>
        <w:jc w:val="left"/>
        <w:outlineLvl w:val="0"/>
        <w:rPr>
          <w:rFonts w:ascii="黑体" w:hAnsi="黑体" w:eastAsia="黑体" w:cs="黑体"/>
          <w:b/>
          <w:bCs/>
          <w:color w:val="000000" w:themeColor="text1"/>
          <w:sz w:val="36"/>
          <w:szCs w:val="36"/>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 xml:space="preserve">签约日期：  年  月  日 </w:t>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ab/>
      </w:r>
      <w:r>
        <w:rPr>
          <w:rFonts w:hint="eastAsia" w:ascii="仿宋" w:hAnsi="仿宋" w:eastAsia="仿宋" w:cs="仿宋"/>
          <w:bCs/>
          <w:color w:val="000000" w:themeColor="text1"/>
          <w:sz w:val="22"/>
          <w:szCs w:val="22"/>
          <w14:textFill>
            <w14:solidFill>
              <w14:schemeClr w14:val="tx1"/>
            </w14:solidFill>
          </w14:textFill>
        </w:rPr>
        <w:t xml:space="preserve">    签约日期：  年  月  日</w:t>
      </w:r>
    </w:p>
    <w:p w14:paraId="70FA1B10">
      <w:pPr>
        <w:snapToGrid w:val="0"/>
        <w:spacing w:line="360" w:lineRule="auto"/>
        <w:ind w:firstLine="482"/>
        <w:rPr>
          <w:rFonts w:ascii="楷体" w:hAnsi="楷体" w:eastAsia="楷体" w:cs="楷体"/>
          <w:color w:val="000000" w:themeColor="text1"/>
          <w:szCs w:val="21"/>
          <w14:textFill>
            <w14:solidFill>
              <w14:schemeClr w14:val="tx1"/>
            </w14:solidFill>
          </w14:textFill>
        </w:rPr>
      </w:pPr>
    </w:p>
    <w:p w14:paraId="6DE0AE00">
      <w:pPr>
        <w:rPr>
          <w:rFonts w:ascii="黑体" w:hAnsi="黑体" w:eastAsia="黑体" w:cs="黑体"/>
          <w:color w:val="000000" w:themeColor="text1"/>
          <w14:textFill>
            <w14:solidFill>
              <w14:schemeClr w14:val="tx1"/>
            </w14:solidFill>
          </w14:textFill>
        </w:rPr>
      </w:pPr>
      <w:bookmarkStart w:id="327" w:name="_Toc20503"/>
      <w:bookmarkStart w:id="328" w:name="_Toc3774"/>
      <w:bookmarkStart w:id="329" w:name="_Toc84"/>
    </w:p>
    <w:bookmarkEnd w:id="241"/>
    <w:bookmarkEnd w:id="242"/>
    <w:bookmarkEnd w:id="243"/>
    <w:bookmarkEnd w:id="245"/>
    <w:bookmarkEnd w:id="262"/>
    <w:bookmarkEnd w:id="263"/>
    <w:bookmarkEnd w:id="264"/>
    <w:bookmarkEnd w:id="265"/>
    <w:bookmarkEnd w:id="266"/>
    <w:bookmarkEnd w:id="267"/>
    <w:bookmarkEnd w:id="268"/>
    <w:bookmarkEnd w:id="269"/>
    <w:bookmarkEnd w:id="270"/>
    <w:bookmarkEnd w:id="271"/>
    <w:bookmarkEnd w:id="272"/>
    <w:bookmarkEnd w:id="273"/>
    <w:bookmarkEnd w:id="274"/>
    <w:bookmarkEnd w:id="327"/>
    <w:bookmarkEnd w:id="328"/>
    <w:bookmarkEnd w:id="329"/>
    <w:p w14:paraId="269EA2CA">
      <w:pPr>
        <w:pStyle w:val="2"/>
        <w:ind w:firstLine="1800" w:firstLineChars="500"/>
        <w:jc w:val="both"/>
        <w:rPr>
          <w:rFonts w:ascii="黑体" w:hAnsi="黑体" w:eastAsia="黑体" w:cs="黑体"/>
          <w:b w:val="0"/>
          <w:bCs/>
          <w:color w:val="000000" w:themeColor="text1"/>
          <w14:textFill>
            <w14:solidFill>
              <w14:schemeClr w14:val="tx1"/>
            </w14:solidFill>
          </w14:textFill>
        </w:rPr>
      </w:pPr>
      <w:r>
        <w:rPr>
          <w:rFonts w:hint="eastAsia" w:ascii="黑体" w:hAnsi="黑体" w:eastAsia="黑体" w:cs="黑体"/>
          <w:b w:val="0"/>
          <w:bCs/>
          <w:color w:val="000000" w:themeColor="text1"/>
          <w14:textFill>
            <w14:solidFill>
              <w14:schemeClr w14:val="tx1"/>
            </w14:solidFill>
          </w14:textFill>
        </w:rPr>
        <w:t>第六章   投标文件格式及构成</w:t>
      </w:r>
    </w:p>
    <w:p w14:paraId="64FFA6CE">
      <w:pPr>
        <w:spacing w:line="360" w:lineRule="auto"/>
        <w:ind w:firstLine="2891" w:firstLineChars="900"/>
        <w:outlineLvl w:val="9"/>
        <w:rPr>
          <w:rFonts w:ascii="仿宋" w:hAnsi="仿宋" w:eastAsia="仿宋" w:cs="仿宋"/>
          <w:b/>
          <w:color w:val="000000" w:themeColor="text1"/>
          <w:sz w:val="22"/>
          <w:szCs w:val="2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投标文件编制说明</w:t>
      </w:r>
    </w:p>
    <w:p w14:paraId="68EDA156">
      <w:pPr>
        <w:numPr>
          <w:ilvl w:val="0"/>
          <w:numId w:val="5"/>
        </w:numPr>
        <w:autoSpaceDE w:val="0"/>
        <w:autoSpaceDN w:val="0"/>
        <w:adjustRightInd w:val="0"/>
        <w:spacing w:line="360" w:lineRule="auto"/>
        <w:ind w:firstLine="480"/>
        <w:outlineLvl w:val="9"/>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15BC6494">
      <w:pPr>
        <w:autoSpaceDE w:val="0"/>
        <w:autoSpaceDN w:val="0"/>
        <w:adjustRightInd w:val="0"/>
        <w:spacing w:line="360" w:lineRule="auto"/>
        <w:ind w:firstLine="440" w:firstLineChars="200"/>
        <w:outlineLvl w:val="9"/>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2、纸质投标文件均须A4纸打印（提倡双面打印），分别各自装订成册并编制目录和页码。</w:t>
      </w:r>
    </w:p>
    <w:p w14:paraId="19D273EA">
      <w:pPr>
        <w:autoSpaceDE w:val="0"/>
        <w:autoSpaceDN w:val="0"/>
        <w:adjustRightInd w:val="0"/>
        <w:spacing w:line="360" w:lineRule="auto"/>
        <w:ind w:left="0" w:leftChars="0" w:firstLine="420" w:firstLineChars="0"/>
        <w:outlineLvl w:val="9"/>
        <w:rPr>
          <w:rFonts w:ascii="仿宋" w:hAnsi="仿宋" w:eastAsia="仿宋" w:cs="仿宋"/>
          <w:b/>
          <w:bCs/>
          <w:color w:val="000000" w:themeColor="text1"/>
          <w:sz w:val="22"/>
          <w:szCs w:val="22"/>
          <w:lang w:val="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3、投标文件中的法人授权书及相关声明承诺须为原件。</w:t>
      </w:r>
    </w:p>
    <w:p w14:paraId="5EC04056">
      <w:pPr>
        <w:rPr>
          <w:rFonts w:hint="eastAsia" w:ascii="仿宋" w:hAnsi="仿宋" w:eastAsia="仿宋" w:cs="仿宋"/>
          <w:b/>
          <w:color w:val="000000" w:themeColor="text1"/>
          <w:sz w:val="28"/>
          <w:szCs w:val="28"/>
          <w14:textFill>
            <w14:solidFill>
              <w14:schemeClr w14:val="tx1"/>
            </w14:solidFill>
          </w14:textFill>
        </w:rPr>
      </w:pPr>
      <w:bookmarkStart w:id="330" w:name="_Toc568"/>
      <w:bookmarkStart w:id="331" w:name="_Toc5957"/>
      <w:bookmarkStart w:id="332" w:name="_Toc2465"/>
      <w:bookmarkStart w:id="333" w:name="_Toc27567"/>
      <w:bookmarkStart w:id="334" w:name="_Toc24237_WPSOffice_Level1"/>
      <w:bookmarkStart w:id="335" w:name="_Toc28277"/>
      <w:bookmarkStart w:id="336" w:name="_Toc13880"/>
      <w:bookmarkStart w:id="337" w:name="_Toc30817_WPSOffice_Level1"/>
      <w:bookmarkStart w:id="338" w:name="_Toc28156"/>
      <w:bookmarkStart w:id="339" w:name="_Toc5230"/>
      <w:bookmarkStart w:id="340" w:name="_Toc15316"/>
      <w:bookmarkStart w:id="341" w:name="_Toc27208"/>
      <w:bookmarkStart w:id="342" w:name="_Toc29912"/>
      <w:bookmarkStart w:id="343" w:name="_Toc24126_WPSOffice_Level1"/>
      <w:bookmarkStart w:id="344" w:name="_Toc17925"/>
      <w:bookmarkStart w:id="345" w:name="_Toc30921"/>
      <w:r>
        <w:rPr>
          <w:rFonts w:hint="eastAsia" w:ascii="仿宋" w:hAnsi="仿宋" w:eastAsia="仿宋" w:cs="仿宋"/>
          <w:b/>
          <w:color w:val="000000" w:themeColor="text1"/>
          <w:sz w:val="28"/>
          <w:szCs w:val="28"/>
          <w14:textFill>
            <w14:solidFill>
              <w14:schemeClr w14:val="tx1"/>
            </w14:solidFill>
          </w14:textFill>
        </w:rPr>
        <w:br w:type="page"/>
      </w:r>
    </w:p>
    <w:p w14:paraId="5E04DC1B">
      <w:pPr>
        <w:jc w:val="left"/>
        <w:outlineLvl w:val="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项目编号：</w:t>
      </w:r>
      <w:r>
        <w:rPr>
          <w:rFonts w:hint="eastAsia" w:ascii="仿宋" w:hAnsi="仿宋" w:eastAsia="仿宋" w:cs="仿宋"/>
          <w:b/>
          <w:color w:val="000000" w:themeColor="text1"/>
          <w:sz w:val="28"/>
          <w:szCs w:val="28"/>
          <w:lang w:eastAsia="zh-CN"/>
          <w14:textFill>
            <w14:solidFill>
              <w14:schemeClr w14:val="tx1"/>
            </w14:solidFill>
          </w14:textFill>
        </w:rPr>
        <w:t>TZZB-HZ-2025078C-3</w:t>
      </w: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（正本或副本）</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4F5C75CF">
      <w:pPr>
        <w:outlineLvl w:val="9"/>
        <w:rPr>
          <w:rFonts w:hint="eastAsia" w:ascii="仿宋" w:hAnsi="仿宋" w:eastAsia="仿宋" w:cs="仿宋"/>
          <w:b/>
          <w:color w:val="000000" w:themeColor="text1"/>
          <w:sz w:val="36"/>
          <w:szCs w:val="10"/>
          <w14:textFill>
            <w14:solidFill>
              <w14:schemeClr w14:val="tx1"/>
            </w14:solidFill>
          </w14:textFill>
        </w:rPr>
      </w:pPr>
    </w:p>
    <w:p w14:paraId="4DD6FCF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b/>
          <w:color w:val="000000" w:themeColor="text1"/>
          <w:sz w:val="44"/>
          <w:szCs w:val="44"/>
          <w:lang w:eastAsia="zh-CN"/>
          <w14:textFill>
            <w14:solidFill>
              <w14:schemeClr w14:val="tx1"/>
            </w14:solidFill>
          </w14:textFill>
        </w:rPr>
      </w:pPr>
      <w:bookmarkStart w:id="346" w:name="_Toc18819"/>
      <w:bookmarkStart w:id="347" w:name="_Toc8889"/>
      <w:bookmarkStart w:id="348" w:name="_Toc25183"/>
      <w:bookmarkStart w:id="349" w:name="_Toc21875"/>
      <w:bookmarkStart w:id="350" w:name="_Toc23447"/>
      <w:bookmarkStart w:id="351" w:name="_Toc3120"/>
      <w:bookmarkStart w:id="352" w:name="_Toc8883"/>
      <w:bookmarkStart w:id="353" w:name="_Toc23631"/>
      <w:bookmarkStart w:id="354" w:name="_Toc27564"/>
      <w:bookmarkStart w:id="355" w:name="_Toc18750"/>
      <w:bookmarkStart w:id="356" w:name="_Toc31903"/>
      <w:bookmarkStart w:id="357" w:name="_Toc7836"/>
      <w:r>
        <w:rPr>
          <w:rFonts w:hint="eastAsia" w:ascii="仿宋" w:hAnsi="仿宋" w:eastAsia="仿宋" w:cs="仿宋"/>
          <w:b/>
          <w:color w:val="000000" w:themeColor="text1"/>
          <w:sz w:val="44"/>
          <w:szCs w:val="44"/>
          <w:lang w:eastAsia="zh-CN"/>
          <w14:textFill>
            <w14:solidFill>
              <w14:schemeClr w14:val="tx1"/>
            </w14:solidFill>
          </w14:textFill>
        </w:rPr>
        <w:t>南郑区学校蔬菜、辅料等食材配送服务</w:t>
      </w:r>
    </w:p>
    <w:p w14:paraId="0F3C579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 w:hAnsi="仿宋" w:eastAsia="仿宋" w:cs="仿宋"/>
          <w:b/>
          <w:color w:val="000000" w:themeColor="text1"/>
          <w:sz w:val="44"/>
          <w:szCs w:val="44"/>
          <w:lang w:val="en-US" w:eastAsia="zh-CN"/>
          <w14:textFill>
            <w14:solidFill>
              <w14:schemeClr w14:val="tx1"/>
            </w14:solidFill>
          </w14:textFill>
        </w:rPr>
      </w:pPr>
      <w:r>
        <w:rPr>
          <w:rFonts w:hint="eastAsia" w:ascii="仿宋" w:hAnsi="仿宋" w:eastAsia="仿宋" w:cs="仿宋"/>
          <w:b/>
          <w:color w:val="000000" w:themeColor="text1"/>
          <w:sz w:val="44"/>
          <w:szCs w:val="44"/>
          <w:lang w:eastAsia="zh-CN"/>
          <w14:textFill>
            <w14:solidFill>
              <w14:schemeClr w14:val="tx1"/>
            </w14:solidFill>
          </w14:textFill>
        </w:rPr>
        <w:t>采购项目（</w:t>
      </w:r>
      <w:r>
        <w:rPr>
          <w:rFonts w:hint="eastAsia" w:ascii="仿宋" w:hAnsi="仿宋" w:eastAsia="仿宋" w:cs="仿宋"/>
          <w:b/>
          <w:color w:val="000000" w:themeColor="text1"/>
          <w:sz w:val="44"/>
          <w:szCs w:val="44"/>
          <w:lang w:val="en-US" w:eastAsia="zh-CN"/>
          <w14:textFill>
            <w14:solidFill>
              <w14:schemeClr w14:val="tx1"/>
            </w14:solidFill>
          </w14:textFill>
        </w:rPr>
        <w:t>三次</w:t>
      </w:r>
      <w:r>
        <w:rPr>
          <w:rFonts w:hint="eastAsia" w:ascii="仿宋" w:hAnsi="仿宋" w:eastAsia="仿宋" w:cs="仿宋"/>
          <w:b/>
          <w:color w:val="000000" w:themeColor="text1"/>
          <w:sz w:val="44"/>
          <w:szCs w:val="44"/>
          <w:lang w:eastAsia="zh-CN"/>
          <w14:textFill>
            <w14:solidFill>
              <w14:schemeClr w14:val="tx1"/>
            </w14:solidFill>
          </w14:textFill>
        </w:rPr>
        <w:t>）合同包</w:t>
      </w:r>
      <w:r>
        <w:rPr>
          <w:rFonts w:hint="eastAsia" w:ascii="仿宋" w:hAnsi="仿宋" w:eastAsia="仿宋" w:cs="仿宋"/>
          <w:b/>
          <w:color w:val="000000" w:themeColor="text1"/>
          <w:sz w:val="44"/>
          <w:szCs w:val="44"/>
          <w:u w:val="single"/>
          <w:lang w:val="en-US" w:eastAsia="zh-CN"/>
          <w14:textFill>
            <w14:solidFill>
              <w14:schemeClr w14:val="tx1"/>
            </w14:solidFill>
          </w14:textFill>
        </w:rPr>
        <w:t xml:space="preserve">     </w:t>
      </w:r>
      <w:r>
        <w:rPr>
          <w:rFonts w:hint="eastAsia" w:ascii="仿宋" w:hAnsi="仿宋" w:eastAsia="仿宋" w:cs="仿宋"/>
          <w:b/>
          <w:color w:val="000000" w:themeColor="text1"/>
          <w:sz w:val="44"/>
          <w:szCs w:val="44"/>
          <w:lang w:eastAsia="zh-CN"/>
          <w14:textFill>
            <w14:solidFill>
              <w14:schemeClr w14:val="tx1"/>
            </w14:solidFill>
          </w14:textFill>
        </w:rPr>
        <w:t xml:space="preserve">     </w:t>
      </w:r>
      <w:r>
        <w:rPr>
          <w:rFonts w:hint="eastAsia" w:ascii="仿宋" w:hAnsi="仿宋" w:eastAsia="仿宋" w:cs="仿宋"/>
          <w:b/>
          <w:color w:val="000000" w:themeColor="text1"/>
          <w:sz w:val="44"/>
          <w:szCs w:val="44"/>
          <w:lang w:val="en-US" w:eastAsia="zh-CN"/>
          <w14:textFill>
            <w14:solidFill>
              <w14:schemeClr w14:val="tx1"/>
            </w14:solidFill>
          </w14:textFill>
        </w:rPr>
        <w:t xml:space="preserve">    </w:t>
      </w:r>
    </w:p>
    <w:p w14:paraId="0673E671">
      <w:pPr>
        <w:pStyle w:val="56"/>
        <w:outlineLvl w:val="9"/>
        <w:rPr>
          <w:rFonts w:hint="eastAsia" w:ascii="仿宋" w:hAnsi="仿宋" w:eastAsia="仿宋" w:cs="仿宋"/>
          <w:b/>
          <w:color w:val="000000" w:themeColor="text1"/>
          <w:sz w:val="36"/>
          <w:szCs w:val="10"/>
          <w14:textFill>
            <w14:solidFill>
              <w14:schemeClr w14:val="tx1"/>
            </w14:solidFill>
          </w14:textFill>
        </w:rPr>
      </w:pPr>
    </w:p>
    <w:p w14:paraId="2CDC4A8B">
      <w:pPr>
        <w:pStyle w:val="56"/>
        <w:outlineLvl w:val="9"/>
        <w:rPr>
          <w:rFonts w:hint="eastAsia" w:ascii="仿宋" w:hAnsi="仿宋" w:eastAsia="仿宋" w:cs="仿宋"/>
          <w:b/>
          <w:color w:val="000000" w:themeColor="text1"/>
          <w:sz w:val="36"/>
          <w:szCs w:val="10"/>
          <w14:textFill>
            <w14:solidFill>
              <w14:schemeClr w14:val="tx1"/>
            </w14:solidFill>
          </w14:textFill>
        </w:rPr>
      </w:pPr>
    </w:p>
    <w:p w14:paraId="33DA3F9C">
      <w:pPr>
        <w:pStyle w:val="56"/>
        <w:outlineLvl w:val="9"/>
        <w:rPr>
          <w:rFonts w:hint="eastAsia" w:ascii="仿宋" w:hAnsi="仿宋" w:eastAsia="仿宋" w:cs="仿宋"/>
          <w:b/>
          <w:color w:val="000000" w:themeColor="text1"/>
          <w:sz w:val="36"/>
          <w:szCs w:val="10"/>
          <w14:textFill>
            <w14:solidFill>
              <w14:schemeClr w14:val="tx1"/>
            </w14:solidFill>
          </w14:textFill>
        </w:rPr>
      </w:pPr>
    </w:p>
    <w:p w14:paraId="71ADB58F">
      <w:pPr>
        <w:pStyle w:val="56"/>
        <w:outlineLvl w:val="9"/>
        <w:rPr>
          <w:rFonts w:hint="eastAsia" w:ascii="仿宋" w:hAnsi="仿宋" w:eastAsia="仿宋" w:cs="仿宋"/>
          <w:b/>
          <w:color w:val="000000" w:themeColor="text1"/>
          <w:sz w:val="36"/>
          <w:szCs w:val="10"/>
          <w14:textFill>
            <w14:solidFill>
              <w14:schemeClr w14:val="tx1"/>
            </w14:solidFill>
          </w14:textFill>
        </w:rPr>
      </w:pPr>
    </w:p>
    <w:p w14:paraId="52DB2055">
      <w:pPr>
        <w:pStyle w:val="56"/>
        <w:outlineLvl w:val="9"/>
        <w:rPr>
          <w:rFonts w:hint="eastAsia" w:ascii="仿宋" w:hAnsi="仿宋" w:eastAsia="仿宋" w:cs="仿宋"/>
          <w:b/>
          <w:color w:val="000000" w:themeColor="text1"/>
          <w:sz w:val="36"/>
          <w:szCs w:val="10"/>
          <w14:textFill>
            <w14:solidFill>
              <w14:schemeClr w14:val="tx1"/>
            </w14:solidFill>
          </w14:textFill>
        </w:rPr>
      </w:pPr>
    </w:p>
    <w:p w14:paraId="0C8D3EC6">
      <w:pPr>
        <w:jc w:val="center"/>
        <w:outlineLvl w:val="9"/>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投 标 文 件</w:t>
      </w:r>
      <w:bookmarkEnd w:id="346"/>
      <w:bookmarkEnd w:id="347"/>
      <w:bookmarkEnd w:id="348"/>
      <w:bookmarkEnd w:id="349"/>
      <w:bookmarkEnd w:id="350"/>
      <w:bookmarkEnd w:id="351"/>
      <w:bookmarkEnd w:id="352"/>
      <w:bookmarkEnd w:id="353"/>
      <w:bookmarkEnd w:id="354"/>
      <w:bookmarkEnd w:id="355"/>
      <w:bookmarkEnd w:id="356"/>
      <w:bookmarkEnd w:id="357"/>
    </w:p>
    <w:p w14:paraId="56A69EFE">
      <w:pPr>
        <w:tabs>
          <w:tab w:val="left" w:pos="2520"/>
        </w:tabs>
        <w:ind w:firstLine="211"/>
        <w:outlineLvl w:val="9"/>
        <w:rPr>
          <w:rFonts w:hint="eastAsia" w:ascii="仿宋" w:hAnsi="仿宋" w:eastAsia="仿宋" w:cs="仿宋"/>
          <w:color w:val="000000" w:themeColor="text1"/>
          <w:sz w:val="40"/>
          <w:szCs w:val="40"/>
          <w14:textFill>
            <w14:solidFill>
              <w14:schemeClr w14:val="tx1"/>
            </w14:solidFill>
          </w14:textFill>
        </w:rPr>
      </w:pPr>
    </w:p>
    <w:p w14:paraId="4B1B6A00">
      <w:pPr>
        <w:ind w:firstLine="211"/>
        <w:jc w:val="center"/>
        <w:outlineLvl w:val="9"/>
        <w:rPr>
          <w:rFonts w:hint="eastAsia" w:ascii="仿宋" w:hAnsi="仿宋" w:eastAsia="仿宋" w:cs="仿宋"/>
          <w:color w:val="000000" w:themeColor="text1"/>
          <w:sz w:val="24"/>
          <w14:textFill>
            <w14:solidFill>
              <w14:schemeClr w14:val="tx1"/>
            </w14:solidFill>
          </w14:textFill>
        </w:rPr>
      </w:pPr>
    </w:p>
    <w:p w14:paraId="72BFB320">
      <w:pPr>
        <w:ind w:firstLine="211"/>
        <w:jc w:val="center"/>
        <w:outlineLvl w:val="9"/>
        <w:rPr>
          <w:rFonts w:hint="eastAsia" w:ascii="仿宋" w:hAnsi="仿宋" w:eastAsia="仿宋" w:cs="仿宋"/>
          <w:color w:val="000000" w:themeColor="text1"/>
          <w:sz w:val="24"/>
          <w14:textFill>
            <w14:solidFill>
              <w14:schemeClr w14:val="tx1"/>
            </w14:solidFill>
          </w14:textFill>
        </w:rPr>
      </w:pPr>
    </w:p>
    <w:p w14:paraId="0A449C18">
      <w:pPr>
        <w:ind w:firstLine="211"/>
        <w:jc w:val="center"/>
        <w:outlineLvl w:val="9"/>
        <w:rPr>
          <w:rFonts w:hint="eastAsia" w:ascii="仿宋" w:hAnsi="仿宋" w:eastAsia="仿宋" w:cs="仿宋"/>
          <w:color w:val="000000" w:themeColor="text1"/>
          <w:sz w:val="24"/>
          <w14:textFill>
            <w14:solidFill>
              <w14:schemeClr w14:val="tx1"/>
            </w14:solidFill>
          </w14:textFill>
        </w:rPr>
      </w:pPr>
    </w:p>
    <w:p w14:paraId="55624CF7">
      <w:pPr>
        <w:pStyle w:val="56"/>
        <w:outlineLvl w:val="9"/>
        <w:rPr>
          <w:rFonts w:hint="eastAsia" w:ascii="仿宋" w:hAnsi="仿宋" w:eastAsia="仿宋" w:cs="仿宋"/>
          <w:color w:val="000000" w:themeColor="text1"/>
          <w14:textFill>
            <w14:solidFill>
              <w14:schemeClr w14:val="tx1"/>
            </w14:solidFill>
          </w14:textFill>
        </w:rPr>
      </w:pPr>
    </w:p>
    <w:p w14:paraId="5F6C32D3">
      <w:pPr>
        <w:pStyle w:val="56"/>
        <w:outlineLvl w:val="9"/>
        <w:rPr>
          <w:rFonts w:hint="eastAsia" w:ascii="仿宋" w:hAnsi="仿宋" w:eastAsia="仿宋" w:cs="仿宋"/>
          <w:color w:val="000000" w:themeColor="text1"/>
          <w14:textFill>
            <w14:solidFill>
              <w14:schemeClr w14:val="tx1"/>
            </w14:solidFill>
          </w14:textFill>
        </w:rPr>
      </w:pPr>
    </w:p>
    <w:p w14:paraId="0E2D8EDB">
      <w:pPr>
        <w:pStyle w:val="56"/>
        <w:outlineLvl w:val="9"/>
        <w:rPr>
          <w:rFonts w:hint="eastAsia" w:ascii="仿宋" w:hAnsi="仿宋" w:eastAsia="仿宋" w:cs="仿宋"/>
          <w:color w:val="000000" w:themeColor="text1"/>
          <w14:textFill>
            <w14:solidFill>
              <w14:schemeClr w14:val="tx1"/>
            </w14:solidFill>
          </w14:textFill>
        </w:rPr>
      </w:pPr>
    </w:p>
    <w:p w14:paraId="2F0641B4">
      <w:pPr>
        <w:pStyle w:val="56"/>
        <w:outlineLvl w:val="9"/>
        <w:rPr>
          <w:rFonts w:hint="eastAsia" w:ascii="仿宋" w:hAnsi="仿宋" w:eastAsia="仿宋" w:cs="仿宋"/>
          <w:color w:val="000000" w:themeColor="text1"/>
          <w14:textFill>
            <w14:solidFill>
              <w14:schemeClr w14:val="tx1"/>
            </w14:solidFill>
          </w14:textFill>
        </w:rPr>
      </w:pPr>
    </w:p>
    <w:p w14:paraId="11A0EB0B">
      <w:pPr>
        <w:pStyle w:val="56"/>
        <w:outlineLvl w:val="9"/>
        <w:rPr>
          <w:rFonts w:hint="eastAsia" w:ascii="仿宋" w:hAnsi="仿宋" w:eastAsia="仿宋" w:cs="仿宋"/>
          <w:color w:val="000000" w:themeColor="text1"/>
          <w14:textFill>
            <w14:solidFill>
              <w14:schemeClr w14:val="tx1"/>
            </w14:solidFill>
          </w14:textFill>
        </w:rPr>
      </w:pPr>
    </w:p>
    <w:p w14:paraId="3CB9445F">
      <w:pPr>
        <w:pStyle w:val="56"/>
        <w:outlineLvl w:val="9"/>
        <w:rPr>
          <w:rFonts w:hint="eastAsia" w:ascii="仿宋" w:hAnsi="仿宋" w:eastAsia="仿宋" w:cs="仿宋"/>
          <w:color w:val="000000" w:themeColor="text1"/>
          <w14:textFill>
            <w14:solidFill>
              <w14:schemeClr w14:val="tx1"/>
            </w14:solidFill>
          </w14:textFill>
        </w:rPr>
      </w:pPr>
    </w:p>
    <w:p w14:paraId="5D2A0A3B">
      <w:pPr>
        <w:pStyle w:val="56"/>
        <w:outlineLvl w:val="9"/>
        <w:rPr>
          <w:rFonts w:hint="eastAsia" w:ascii="仿宋" w:hAnsi="仿宋" w:eastAsia="仿宋" w:cs="仿宋"/>
          <w:color w:val="000000" w:themeColor="text1"/>
          <w14:textFill>
            <w14:solidFill>
              <w14:schemeClr w14:val="tx1"/>
            </w14:solidFill>
          </w14:textFill>
        </w:rPr>
      </w:pPr>
    </w:p>
    <w:p w14:paraId="125B1C50">
      <w:pPr>
        <w:spacing w:line="480" w:lineRule="auto"/>
        <w:ind w:firstLine="321" w:firstLineChars="100"/>
        <w:outlineLvl w:val="9"/>
        <w:rPr>
          <w:rFonts w:hint="eastAsia" w:ascii="仿宋" w:hAnsi="仿宋" w:eastAsia="仿宋" w:cs="仿宋"/>
          <w:b/>
          <w:color w:val="000000" w:themeColor="text1"/>
          <w:sz w:val="32"/>
          <w:szCs w:val="32"/>
          <w14:textFill>
            <w14:solidFill>
              <w14:schemeClr w14:val="tx1"/>
            </w14:solidFill>
          </w14:textFill>
        </w:rPr>
      </w:pPr>
      <w:bookmarkStart w:id="358" w:name="_Toc22634"/>
      <w:bookmarkStart w:id="359" w:name="_Toc5217"/>
      <w:bookmarkStart w:id="360" w:name="_Toc28749"/>
      <w:bookmarkStart w:id="361" w:name="_Toc8670"/>
      <w:bookmarkStart w:id="362" w:name="_Toc6562"/>
      <w:bookmarkStart w:id="363" w:name="_Toc20301"/>
      <w:bookmarkStart w:id="364" w:name="_Toc345"/>
      <w:bookmarkStart w:id="365" w:name="_Toc8379"/>
      <w:bookmarkStart w:id="366" w:name="_Toc8896"/>
      <w:bookmarkStart w:id="367" w:name="_Toc20098"/>
      <w:bookmarkStart w:id="368" w:name="_Toc9137"/>
      <w:bookmarkStart w:id="369" w:name="_Toc20665"/>
      <w:r>
        <w:rPr>
          <w:rFonts w:hint="eastAsia" w:ascii="仿宋" w:hAnsi="仿宋" w:eastAsia="仿宋" w:cs="仿宋"/>
          <w:b/>
          <w:color w:val="000000" w:themeColor="text1"/>
          <w:sz w:val="32"/>
          <w:szCs w:val="32"/>
          <w14:textFill>
            <w14:solidFill>
              <w14:schemeClr w14:val="tx1"/>
            </w14:solidFill>
          </w14:textFill>
        </w:rPr>
        <w:t>投    标    人：</w:t>
      </w:r>
      <w:r>
        <w:rPr>
          <w:rFonts w:hint="eastAsia" w:ascii="仿宋" w:hAnsi="仿宋" w:eastAsia="仿宋" w:cs="仿宋"/>
          <w:b/>
          <w:color w:val="000000" w:themeColor="text1"/>
          <w:sz w:val="32"/>
          <w:szCs w:val="32"/>
          <w:u w:val="single"/>
          <w14:textFill>
            <w14:solidFill>
              <w14:schemeClr w14:val="tx1"/>
            </w14:solidFill>
          </w14:textFill>
        </w:rPr>
        <w:t xml:space="preserve">                      （公章）</w:t>
      </w:r>
      <w:bookmarkEnd w:id="358"/>
      <w:bookmarkEnd w:id="359"/>
      <w:bookmarkEnd w:id="360"/>
      <w:bookmarkEnd w:id="361"/>
      <w:bookmarkEnd w:id="362"/>
      <w:bookmarkEnd w:id="363"/>
      <w:bookmarkEnd w:id="364"/>
      <w:bookmarkEnd w:id="365"/>
      <w:bookmarkEnd w:id="366"/>
      <w:bookmarkEnd w:id="367"/>
      <w:bookmarkEnd w:id="368"/>
      <w:bookmarkEnd w:id="369"/>
    </w:p>
    <w:p w14:paraId="5C1B9504">
      <w:pPr>
        <w:pStyle w:val="56"/>
        <w:spacing w:line="480" w:lineRule="auto"/>
        <w:ind w:firstLine="321" w:firstLineChars="100"/>
        <w:outlineLvl w:val="9"/>
        <w:rPr>
          <w:rFonts w:hint="eastAsia" w:ascii="仿宋" w:hAnsi="仿宋" w:eastAsia="仿宋" w:cs="仿宋"/>
          <w:b/>
          <w:color w:val="000000" w:themeColor="text1"/>
          <w:kern w:val="2"/>
          <w:sz w:val="32"/>
          <w:szCs w:val="32"/>
          <w14:textFill>
            <w14:solidFill>
              <w14:schemeClr w14:val="tx1"/>
            </w14:solidFill>
          </w14:textFill>
        </w:rPr>
      </w:pPr>
      <w:bookmarkStart w:id="370" w:name="_Toc14313"/>
      <w:bookmarkStart w:id="371" w:name="_Toc9466"/>
      <w:bookmarkStart w:id="372" w:name="_Toc16111"/>
      <w:bookmarkStart w:id="373" w:name="_Toc23371"/>
      <w:bookmarkStart w:id="374" w:name="_Toc16444"/>
      <w:bookmarkStart w:id="375" w:name="_Toc1223"/>
      <w:bookmarkStart w:id="376" w:name="_Toc6819"/>
      <w:bookmarkStart w:id="377" w:name="_Toc11921"/>
      <w:bookmarkStart w:id="378" w:name="_Toc21282"/>
      <w:bookmarkStart w:id="379" w:name="_Toc27648"/>
      <w:bookmarkStart w:id="380" w:name="_Toc20062"/>
      <w:bookmarkStart w:id="381" w:name="_Toc14125"/>
    </w:p>
    <w:p w14:paraId="56C92BBC">
      <w:pPr>
        <w:pStyle w:val="56"/>
        <w:spacing w:line="480" w:lineRule="auto"/>
        <w:ind w:firstLine="321" w:firstLineChars="100"/>
        <w:outlineLvl w:val="9"/>
        <w:rPr>
          <w:rFonts w:hint="eastAsia" w:ascii="仿宋" w:hAnsi="仿宋" w:eastAsia="仿宋" w:cs="仿宋"/>
          <w:b/>
          <w:color w:val="000000" w:themeColor="text1"/>
          <w:kern w:val="2"/>
          <w:sz w:val="32"/>
          <w:szCs w:val="32"/>
          <w:u w:val="single"/>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法定代表人或其被授权委托代理人 ：</w:t>
      </w:r>
      <w:r>
        <w:rPr>
          <w:rFonts w:hint="eastAsia" w:ascii="仿宋" w:hAnsi="仿宋" w:eastAsia="仿宋" w:cs="仿宋"/>
          <w:b/>
          <w:color w:val="000000" w:themeColor="text1"/>
          <w:kern w:val="2"/>
          <w:sz w:val="32"/>
          <w:szCs w:val="32"/>
          <w:u w:val="single"/>
          <w14:textFill>
            <w14:solidFill>
              <w14:schemeClr w14:val="tx1"/>
            </w14:solidFill>
          </w14:textFill>
        </w:rPr>
        <w:t xml:space="preserve">     （签字）</w:t>
      </w:r>
      <w:bookmarkEnd w:id="370"/>
      <w:bookmarkEnd w:id="371"/>
      <w:bookmarkEnd w:id="372"/>
      <w:bookmarkEnd w:id="373"/>
      <w:bookmarkEnd w:id="374"/>
      <w:bookmarkEnd w:id="375"/>
      <w:bookmarkEnd w:id="376"/>
      <w:bookmarkEnd w:id="377"/>
      <w:bookmarkEnd w:id="378"/>
      <w:bookmarkEnd w:id="379"/>
      <w:bookmarkEnd w:id="380"/>
      <w:bookmarkEnd w:id="381"/>
    </w:p>
    <w:p w14:paraId="57EA755F">
      <w:pPr>
        <w:spacing w:line="480" w:lineRule="auto"/>
        <w:ind w:firstLine="2249" w:firstLineChars="700"/>
        <w:outlineLvl w:val="9"/>
        <w:rPr>
          <w:rFonts w:hint="eastAsia" w:ascii="仿宋" w:hAnsi="仿宋" w:eastAsia="仿宋" w:cs="仿宋"/>
          <w:b/>
          <w:color w:val="000000" w:themeColor="text1"/>
          <w:sz w:val="32"/>
          <w:szCs w:val="32"/>
          <w14:textFill>
            <w14:solidFill>
              <w14:schemeClr w14:val="tx1"/>
            </w14:solidFill>
          </w14:textFill>
        </w:rPr>
      </w:pPr>
      <w:bookmarkStart w:id="382" w:name="_Toc542"/>
      <w:bookmarkStart w:id="383" w:name="_Toc6135"/>
      <w:bookmarkStart w:id="384" w:name="_Toc26886"/>
      <w:bookmarkStart w:id="385" w:name="_Toc805"/>
      <w:bookmarkStart w:id="386" w:name="_Toc4051"/>
      <w:bookmarkStart w:id="387" w:name="_Toc17633"/>
      <w:bookmarkStart w:id="388" w:name="_Toc4493"/>
      <w:bookmarkStart w:id="389" w:name="_Toc15860"/>
      <w:bookmarkStart w:id="390" w:name="_Toc31173"/>
      <w:bookmarkStart w:id="391" w:name="_Toc12642"/>
      <w:bookmarkStart w:id="392" w:name="_Toc32195"/>
      <w:bookmarkStart w:id="393" w:name="_Toc27525"/>
    </w:p>
    <w:p w14:paraId="5CB259C7">
      <w:pPr>
        <w:spacing w:line="480" w:lineRule="auto"/>
        <w:ind w:firstLine="1928" w:firstLineChars="600"/>
        <w:outlineLvl w:val="9"/>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日    期：     年 </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 xml:space="preserve"> 月  日</w:t>
      </w:r>
      <w:bookmarkEnd w:id="382"/>
      <w:bookmarkEnd w:id="383"/>
      <w:bookmarkEnd w:id="384"/>
      <w:bookmarkEnd w:id="385"/>
      <w:bookmarkEnd w:id="386"/>
      <w:bookmarkEnd w:id="387"/>
      <w:bookmarkEnd w:id="388"/>
      <w:bookmarkEnd w:id="389"/>
      <w:bookmarkEnd w:id="390"/>
      <w:bookmarkEnd w:id="391"/>
      <w:bookmarkEnd w:id="392"/>
      <w:bookmarkEnd w:id="393"/>
    </w:p>
    <w:p w14:paraId="793E9FA5">
      <w:pPr>
        <w:rPr>
          <w:rFonts w:hint="eastAsia" w:ascii="仿宋" w:hAnsi="仿宋" w:eastAsia="仿宋" w:cs="仿宋"/>
          <w:b/>
          <w:color w:val="000000" w:themeColor="text1"/>
          <w:sz w:val="32"/>
          <w:szCs w:val="32"/>
          <w14:textFill>
            <w14:solidFill>
              <w14:schemeClr w14:val="tx1"/>
            </w14:solidFill>
          </w14:textFill>
        </w:rPr>
      </w:pPr>
      <w:bookmarkStart w:id="394" w:name="_Toc5604"/>
      <w:bookmarkEnd w:id="394"/>
      <w:bookmarkStart w:id="395" w:name="_Toc2275"/>
      <w:bookmarkEnd w:id="395"/>
      <w:bookmarkStart w:id="396" w:name="_Toc13984_WPSOffice_Level1"/>
      <w:bookmarkEnd w:id="396"/>
      <w:bookmarkStart w:id="397" w:name="_Toc23210"/>
      <w:bookmarkEnd w:id="397"/>
      <w:bookmarkStart w:id="398" w:name="_Toc8980"/>
      <w:bookmarkEnd w:id="398"/>
      <w:bookmarkStart w:id="399" w:name="_Toc11228"/>
      <w:bookmarkEnd w:id="399"/>
      <w:bookmarkStart w:id="400" w:name="_Toc28704"/>
      <w:bookmarkEnd w:id="400"/>
      <w:bookmarkStart w:id="401" w:name="_Toc13104"/>
      <w:bookmarkEnd w:id="401"/>
      <w:bookmarkStart w:id="402" w:name="_Toc5206_WPSOffice_Level1"/>
      <w:bookmarkEnd w:id="402"/>
      <w:bookmarkStart w:id="403" w:name="_Toc10461_WPSOffice_Level1"/>
      <w:bookmarkEnd w:id="403"/>
      <w:bookmarkStart w:id="404" w:name="_Toc32417"/>
      <w:bookmarkEnd w:id="404"/>
      <w:bookmarkStart w:id="405" w:name="_Toc18085"/>
      <w:bookmarkEnd w:id="405"/>
      <w:bookmarkStart w:id="406" w:name="_Toc4824"/>
      <w:bookmarkEnd w:id="406"/>
      <w:bookmarkStart w:id="407" w:name="_Toc9386"/>
      <w:bookmarkEnd w:id="407"/>
      <w:r>
        <w:rPr>
          <w:rFonts w:hint="eastAsia" w:ascii="仿宋" w:hAnsi="仿宋" w:eastAsia="仿宋" w:cs="仿宋"/>
          <w:b/>
          <w:color w:val="000000" w:themeColor="text1"/>
          <w:sz w:val="32"/>
          <w:szCs w:val="32"/>
          <w14:textFill>
            <w14:solidFill>
              <w14:schemeClr w14:val="tx1"/>
            </w14:solidFill>
          </w14:textFill>
        </w:rPr>
        <w:br w:type="page"/>
      </w:r>
    </w:p>
    <w:p w14:paraId="778DDA1F">
      <w:pPr>
        <w:pStyle w:val="39"/>
        <w:spacing w:after="0" w:line="480" w:lineRule="auto"/>
        <w:ind w:left="0" w:leftChars="0" w:firstLine="3855" w:firstLineChars="1200"/>
        <w:jc w:val="both"/>
        <w:outlineLvl w:val="9"/>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目  录</w:t>
      </w:r>
    </w:p>
    <w:p w14:paraId="19332B25">
      <w:pPr>
        <w:pStyle w:val="39"/>
        <w:spacing w:after="0" w:line="360" w:lineRule="auto"/>
        <w:ind w:firstLine="210"/>
        <w:jc w:val="both"/>
        <w:outlineLvl w:val="9"/>
        <w:rPr>
          <w:rFonts w:ascii="仿宋" w:hAnsi="仿宋" w:eastAsia="仿宋" w:cs="仿宋"/>
          <w:bCs/>
          <w:color w:val="000000" w:themeColor="text1"/>
          <w:sz w:val="21"/>
          <w:szCs w:val="21"/>
          <w14:textFill>
            <w14:solidFill>
              <w14:schemeClr w14:val="tx1"/>
            </w14:solidFill>
          </w14:textFill>
        </w:rPr>
      </w:pPr>
    </w:p>
    <w:p w14:paraId="750A89BA">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08" w:name="_Toc16394"/>
      <w:bookmarkStart w:id="409" w:name="_Toc22720"/>
      <w:bookmarkStart w:id="410" w:name="_Toc13659"/>
      <w:bookmarkStart w:id="411" w:name="_Toc2582"/>
      <w:bookmarkStart w:id="412" w:name="_Toc12818"/>
      <w:bookmarkStart w:id="413" w:name="_Toc11323"/>
      <w:bookmarkStart w:id="414" w:name="_Toc19976"/>
      <w:bookmarkStart w:id="415" w:name="_Toc24872"/>
      <w:bookmarkStart w:id="416" w:name="_Toc17963"/>
      <w:bookmarkStart w:id="417" w:name="_Toc7595_WPSOffice_Level1"/>
      <w:bookmarkStart w:id="418" w:name="_Toc23361"/>
      <w:bookmarkStart w:id="419" w:name="_Toc22149"/>
      <w:bookmarkStart w:id="420" w:name="_Toc13717_WPSOffice_Level1"/>
      <w:bookmarkStart w:id="421" w:name="_Toc9795"/>
      <w:bookmarkStart w:id="422" w:name="_Toc15443"/>
      <w:bookmarkStart w:id="423" w:name="_Toc2877_WPSOffice_Level1"/>
      <w:bookmarkStart w:id="424" w:name="_Toc10929"/>
      <w:bookmarkStart w:id="425" w:name="_Toc32681"/>
      <w:r>
        <w:rPr>
          <w:rFonts w:hint="eastAsia" w:ascii="仿宋" w:hAnsi="仿宋" w:eastAsia="仿宋" w:cs="仿宋"/>
          <w:bCs/>
          <w:color w:val="000000" w:themeColor="text1"/>
          <w:sz w:val="22"/>
          <w:szCs w:val="22"/>
          <w:highlight w:val="none"/>
          <w14:textFill>
            <w14:solidFill>
              <w14:schemeClr w14:val="tx1"/>
            </w14:solidFill>
          </w14:textFill>
        </w:rPr>
        <w:t>一、投标函 ……………………………………………………………页码</w:t>
      </w:r>
      <w:bookmarkEnd w:id="408"/>
      <w:bookmarkEnd w:id="409"/>
    </w:p>
    <w:p w14:paraId="2D4A241E">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26" w:name="_Toc23626"/>
      <w:bookmarkStart w:id="427" w:name="_Toc17591"/>
      <w:r>
        <w:rPr>
          <w:rFonts w:hint="eastAsia" w:ascii="仿宋" w:hAnsi="仿宋" w:eastAsia="仿宋" w:cs="仿宋"/>
          <w:bCs/>
          <w:color w:val="000000" w:themeColor="text1"/>
          <w:sz w:val="22"/>
          <w:szCs w:val="22"/>
          <w:highlight w:val="none"/>
          <w14:textFill>
            <w14:solidFill>
              <w14:schemeClr w14:val="tx1"/>
            </w14:solidFill>
          </w14:textFill>
        </w:rPr>
        <w:t>二、开标一览表 ………………………………………………………</w:t>
      </w:r>
      <w:bookmarkEnd w:id="426"/>
      <w:bookmarkEnd w:id="427"/>
    </w:p>
    <w:p w14:paraId="68A246B1">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left"/>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28" w:name="_Toc17320"/>
      <w:bookmarkStart w:id="429" w:name="_Toc24927"/>
      <w:r>
        <w:rPr>
          <w:rFonts w:hint="eastAsia" w:ascii="仿宋" w:hAnsi="仿宋" w:eastAsia="仿宋" w:cs="仿宋"/>
          <w:bCs/>
          <w:color w:val="000000" w:themeColor="text1"/>
          <w:sz w:val="22"/>
          <w:szCs w:val="22"/>
          <w:highlight w:val="none"/>
          <w14:textFill>
            <w14:solidFill>
              <w14:schemeClr w14:val="tx1"/>
            </w14:solidFill>
          </w14:textFill>
        </w:rPr>
        <w:t>三、分项报价表 ………………………………………………………</w:t>
      </w:r>
      <w:bookmarkEnd w:id="428"/>
      <w:bookmarkEnd w:id="429"/>
    </w:p>
    <w:p w14:paraId="46B7949A">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30" w:name="_Toc8695"/>
      <w:bookmarkStart w:id="431" w:name="_Toc1310"/>
      <w:r>
        <w:rPr>
          <w:rFonts w:hint="eastAsia" w:ascii="仿宋" w:hAnsi="仿宋" w:eastAsia="仿宋" w:cs="仿宋"/>
          <w:bCs/>
          <w:color w:val="000000" w:themeColor="text1"/>
          <w:sz w:val="22"/>
          <w:szCs w:val="22"/>
          <w:highlight w:val="none"/>
          <w:lang w:val="en-US" w:eastAsia="zh-CN"/>
          <w14:textFill>
            <w14:solidFill>
              <w14:schemeClr w14:val="tx1"/>
            </w14:solidFill>
          </w14:textFill>
        </w:rPr>
        <w:t>四</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商务部分</w:t>
      </w:r>
      <w:r>
        <w:rPr>
          <w:rFonts w:hint="eastAsia" w:ascii="仿宋" w:hAnsi="仿宋" w:eastAsia="仿宋" w:cs="仿宋"/>
          <w:bCs/>
          <w:color w:val="000000" w:themeColor="text1"/>
          <w:sz w:val="22"/>
          <w:szCs w:val="22"/>
          <w:highlight w:val="none"/>
          <w14:textFill>
            <w14:solidFill>
              <w14:schemeClr w14:val="tx1"/>
            </w14:solidFill>
          </w14:textFill>
        </w:rPr>
        <w:t xml:space="preserve"> …………………………………………</w:t>
      </w:r>
      <w:bookmarkStart w:id="432" w:name="OLE_LINK2"/>
      <w:r>
        <w:rPr>
          <w:rFonts w:hint="eastAsia" w:ascii="仿宋" w:hAnsi="仿宋" w:eastAsia="仿宋" w:cs="仿宋"/>
          <w:bCs/>
          <w:color w:val="000000" w:themeColor="text1"/>
          <w:sz w:val="22"/>
          <w:szCs w:val="22"/>
          <w:highlight w:val="none"/>
          <w14:textFill>
            <w14:solidFill>
              <w14:schemeClr w14:val="tx1"/>
            </w14:solidFill>
          </w14:textFill>
        </w:rPr>
        <w:t>………</w:t>
      </w:r>
      <w:bookmarkEnd w:id="430"/>
      <w:bookmarkEnd w:id="431"/>
      <w:bookmarkEnd w:id="432"/>
      <w:bookmarkStart w:id="433" w:name="_Toc5710"/>
      <w:bookmarkStart w:id="434" w:name="_Toc13274"/>
      <w:r>
        <w:rPr>
          <w:rFonts w:hint="eastAsia" w:ascii="仿宋" w:hAnsi="仿宋" w:eastAsia="仿宋" w:cs="仿宋"/>
          <w:bCs/>
          <w:color w:val="000000" w:themeColor="text1"/>
          <w:sz w:val="22"/>
          <w:szCs w:val="22"/>
          <w:highlight w:val="none"/>
          <w14:textFill>
            <w14:solidFill>
              <w14:schemeClr w14:val="tx1"/>
            </w14:solidFill>
          </w14:textFill>
        </w:rPr>
        <w:t>………</w:t>
      </w:r>
    </w:p>
    <w:bookmarkEnd w:id="433"/>
    <w:bookmarkEnd w:id="434"/>
    <w:p w14:paraId="21249654">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left"/>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bookmarkStart w:id="435" w:name="_Toc4785"/>
      <w:bookmarkStart w:id="436" w:name="_Toc28850"/>
      <w:r>
        <w:rPr>
          <w:rFonts w:hint="eastAsia" w:ascii="仿宋" w:hAnsi="仿宋" w:eastAsia="仿宋" w:cs="仿宋"/>
          <w:bCs/>
          <w:color w:val="000000" w:themeColor="text1"/>
          <w:sz w:val="22"/>
          <w:szCs w:val="22"/>
          <w:highlight w:val="none"/>
          <w:lang w:val="en-US" w:eastAsia="zh-CN"/>
          <w14:textFill>
            <w14:solidFill>
              <w14:schemeClr w14:val="tx1"/>
            </w14:solidFill>
          </w14:textFill>
        </w:rPr>
        <w:t>五</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技术服务部分</w:t>
      </w:r>
      <w:r>
        <w:rPr>
          <w:rFonts w:hint="eastAsia" w:ascii="仿宋" w:hAnsi="仿宋" w:eastAsia="仿宋" w:cs="仿宋"/>
          <w:bCs/>
          <w:color w:val="000000" w:themeColor="text1"/>
          <w:sz w:val="22"/>
          <w:szCs w:val="22"/>
          <w:highlight w:val="none"/>
          <w14:textFill>
            <w14:solidFill>
              <w14:schemeClr w14:val="tx1"/>
            </w14:solidFill>
          </w14:textFill>
        </w:rPr>
        <w:t>………………………………………</w:t>
      </w:r>
      <w:bookmarkEnd w:id="435"/>
      <w:bookmarkEnd w:id="436"/>
      <w:bookmarkStart w:id="437" w:name="_Toc12871"/>
      <w:r>
        <w:rPr>
          <w:rFonts w:hint="eastAsia" w:ascii="仿宋" w:hAnsi="仿宋" w:eastAsia="仿宋" w:cs="仿宋"/>
          <w:bCs/>
          <w:color w:val="000000" w:themeColor="text1"/>
          <w:sz w:val="22"/>
          <w:szCs w:val="22"/>
          <w:highlight w:val="none"/>
          <w14:textFill>
            <w14:solidFill>
              <w14:schemeClr w14:val="tx1"/>
            </w14:solidFill>
          </w14:textFill>
        </w:rPr>
        <w:t>……………</w:t>
      </w:r>
    </w:p>
    <w:bookmarkEnd w:id="437"/>
    <w:p w14:paraId="5A4B9973">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left"/>
        <w:textAlignment w:val="auto"/>
        <w:outlineLvl w:val="9"/>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lang w:val="en-US" w:eastAsia="zh-CN"/>
          <w14:textFill>
            <w14:solidFill>
              <w14:schemeClr w14:val="tx1"/>
            </w14:solidFill>
          </w14:textFill>
        </w:rPr>
        <w:t>六</w:t>
      </w:r>
      <w:r>
        <w:rPr>
          <w:rFonts w:hint="eastAsia" w:ascii="仿宋" w:hAnsi="仿宋" w:eastAsia="仿宋" w:cs="仿宋"/>
          <w:bCs/>
          <w:color w:val="000000" w:themeColor="text1"/>
          <w:sz w:val="22"/>
          <w:szCs w:val="22"/>
          <w:highlight w:val="none"/>
          <w14:textFill>
            <w14:solidFill>
              <w14:schemeClr w14:val="tx1"/>
            </w14:solidFill>
          </w14:textFill>
        </w:rPr>
        <w:t>、</w:t>
      </w:r>
      <w:r>
        <w:rPr>
          <w:rFonts w:hint="eastAsia" w:ascii="仿宋" w:hAnsi="仿宋" w:eastAsia="仿宋" w:cs="仿宋"/>
          <w:bCs/>
          <w:color w:val="000000" w:themeColor="text1"/>
          <w:sz w:val="22"/>
          <w:szCs w:val="22"/>
          <w:highlight w:val="none"/>
          <w:lang w:val="en-US" w:eastAsia="zh-CN"/>
          <w14:textFill>
            <w14:solidFill>
              <w14:schemeClr w14:val="tx1"/>
            </w14:solidFill>
          </w14:textFill>
        </w:rPr>
        <w:t>投标人认为有必要说明、阐述的事项或其他材料</w:t>
      </w:r>
      <w:r>
        <w:rPr>
          <w:rFonts w:hint="eastAsia" w:ascii="仿宋" w:hAnsi="仿宋" w:eastAsia="仿宋" w:cs="仿宋"/>
          <w:bCs/>
          <w:color w:val="000000" w:themeColor="text1"/>
          <w:sz w:val="22"/>
          <w:szCs w:val="22"/>
          <w:highlight w:val="none"/>
          <w14:textFill>
            <w14:solidFill>
              <w14:schemeClr w14:val="tx1"/>
            </w14:solidFill>
          </w14:textFill>
        </w:rPr>
        <w:t>……………</w:t>
      </w:r>
    </w:p>
    <w:p w14:paraId="43DA5E74">
      <w:pPr>
        <w:pStyle w:val="39"/>
        <w:keepNext w:val="0"/>
        <w:keepLines w:val="0"/>
        <w:pageBreakBefore w:val="0"/>
        <w:widowControl w:val="0"/>
        <w:kinsoku/>
        <w:wordWrap/>
        <w:overflowPunct/>
        <w:topLinePunct w:val="0"/>
        <w:autoSpaceDE/>
        <w:autoSpaceDN/>
        <w:bidi w:val="0"/>
        <w:adjustRightInd/>
        <w:snapToGrid w:val="0"/>
        <w:spacing w:after="0" w:line="480" w:lineRule="auto"/>
        <w:ind w:firstLine="440" w:firstLineChars="200"/>
        <w:jc w:val="both"/>
        <w:textAlignment w:val="auto"/>
        <w:outlineLvl w:val="9"/>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t>七、投标人资格证明文件</w:t>
      </w:r>
      <w:r>
        <w:rPr>
          <w:rFonts w:hint="eastAsia" w:ascii="仿宋" w:hAnsi="仿宋" w:eastAsia="仿宋" w:cs="仿宋"/>
          <w:bCs/>
          <w:color w:val="000000" w:themeColor="text1"/>
          <w:sz w:val="22"/>
          <w:szCs w:val="22"/>
          <w:highlight w:val="none"/>
          <w14:textFill>
            <w14:solidFill>
              <w14:schemeClr w14:val="tx1"/>
            </w14:solidFill>
          </w14:textFill>
        </w:rPr>
        <w:t>……………………………………………</w:t>
      </w:r>
    </w:p>
    <w:p w14:paraId="22AFB75F">
      <w:pPr>
        <w:keepNext w:val="0"/>
        <w:keepLines w:val="0"/>
        <w:pageBreakBefore w:val="0"/>
        <w:widowControl w:val="0"/>
        <w:kinsoku/>
        <w:wordWrap/>
        <w:overflowPunct/>
        <w:topLinePunct w:val="0"/>
        <w:autoSpaceDE/>
        <w:autoSpaceDN/>
        <w:bidi w:val="0"/>
        <w:adjustRightInd/>
        <w:snapToGrid w:val="0"/>
        <w:spacing w:line="480" w:lineRule="auto"/>
        <w:ind w:firstLine="440" w:firstLineChars="200"/>
        <w:jc w:val="left"/>
        <w:textAlignment w:val="auto"/>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t>八、落实政府采购政策需满足的资格要求 ………………………</w:t>
      </w:r>
    </w:p>
    <w:p w14:paraId="1ED87C1D">
      <w:pPr>
        <w:keepNext w:val="0"/>
        <w:keepLines w:val="0"/>
        <w:pageBreakBefore w:val="0"/>
        <w:widowControl w:val="0"/>
        <w:kinsoku/>
        <w:wordWrap/>
        <w:overflowPunct/>
        <w:topLinePunct w:val="0"/>
        <w:autoSpaceDE/>
        <w:autoSpaceDN/>
        <w:bidi w:val="0"/>
        <w:adjustRightInd/>
        <w:snapToGrid w:val="0"/>
        <w:spacing w:line="480" w:lineRule="auto"/>
        <w:ind w:firstLine="440" w:firstLineChars="200"/>
        <w:textAlignment w:val="auto"/>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t>投标人可进一步细化目录</w:t>
      </w:r>
    </w:p>
    <w:p w14:paraId="581A5F75">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2"/>
          <w:szCs w:val="22"/>
          <w:highlight w:val="none"/>
          <w:lang w:val="en-US" w:eastAsia="zh-CN" w:bidi="ar-SA"/>
          <w14:textFill>
            <w14:solidFill>
              <w14:schemeClr w14:val="tx1"/>
            </w14:solidFill>
          </w14:textFill>
        </w:rPr>
        <w:br w:type="page"/>
      </w:r>
    </w:p>
    <w:p w14:paraId="609ED62E">
      <w:pPr>
        <w:spacing w:after="468" w:afterLines="150" w:line="360" w:lineRule="auto"/>
        <w:jc w:val="center"/>
        <w:outlineLvl w:val="0"/>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b/>
          <w:bCs w:val="0"/>
          <w:color w:val="000000" w:themeColor="text1"/>
          <w:sz w:val="32"/>
          <w14:textFill>
            <w14:solidFill>
              <w14:schemeClr w14:val="tx1"/>
            </w14:solidFill>
          </w14:textFill>
        </w:rPr>
        <w:t>一、投标函</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Start w:id="438" w:name="_Toc23412"/>
      <w:bookmarkStart w:id="439" w:name="_Toc12932"/>
      <w:bookmarkStart w:id="440" w:name="_Toc2867_WPSOffice_Level1"/>
      <w:bookmarkStart w:id="441" w:name="_Toc26428"/>
      <w:bookmarkStart w:id="442" w:name="_Toc31162_WPSOffice_Level1"/>
      <w:bookmarkStart w:id="443" w:name="_Toc23969"/>
      <w:bookmarkStart w:id="444" w:name="_Toc15529"/>
      <w:bookmarkStart w:id="445" w:name="_Toc3600"/>
      <w:bookmarkStart w:id="446" w:name="_Toc565"/>
      <w:bookmarkStart w:id="447" w:name="_Toc17648_WPSOffice_Level1"/>
      <w:bookmarkStart w:id="448" w:name="_Toc1469"/>
      <w:bookmarkStart w:id="449" w:name="_Toc24827"/>
      <w:bookmarkStart w:id="450" w:name="_Toc19462"/>
    </w:p>
    <w:p w14:paraId="41D768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致：</w:t>
      </w:r>
      <w:r>
        <w:rPr>
          <w:rFonts w:hint="eastAsia" w:ascii="仿宋" w:hAnsi="仿宋" w:eastAsia="仿宋" w:cs="仿宋"/>
          <w:color w:val="000000" w:themeColor="text1"/>
          <w:spacing w:val="4"/>
          <w:szCs w:val="21"/>
          <w:u w:val="single"/>
          <w:lang w:eastAsia="zh-CN"/>
          <w14:textFill>
            <w14:solidFill>
              <w14:schemeClr w14:val="tx1"/>
            </w14:solidFill>
          </w14:textFill>
        </w:rPr>
        <w:t>汉中市南郑区教育体育局</w:t>
      </w:r>
      <w:r>
        <w:rPr>
          <w:rFonts w:hint="eastAsia" w:ascii="仿宋" w:hAnsi="仿宋" w:eastAsia="仿宋" w:cs="仿宋"/>
          <w:color w:val="000000" w:themeColor="text1"/>
          <w:spacing w:val="4"/>
          <w:szCs w:val="21"/>
          <w:u w:val="single"/>
          <w14:textFill>
            <w14:solidFill>
              <w14:schemeClr w14:val="tx1"/>
            </w14:solidFill>
          </w14:textFill>
        </w:rPr>
        <w:t xml:space="preserve">/同正项目管理有限公司 </w:t>
      </w:r>
    </w:p>
    <w:p w14:paraId="47F20E14">
      <w:pPr>
        <w:keepNext w:val="0"/>
        <w:keepLines w:val="0"/>
        <w:pageBreakBefore w:val="0"/>
        <w:widowControl w:val="0"/>
        <w:kinsoku/>
        <w:wordWrap/>
        <w:overflowPunct/>
        <w:topLinePunct w:val="0"/>
        <w:autoSpaceDE/>
        <w:autoSpaceDN/>
        <w:bidi w:val="0"/>
        <w:adjustRightInd/>
        <w:snapToGrid/>
        <w:spacing w:line="360" w:lineRule="auto"/>
        <w:ind w:left="6" w:firstLine="518" w:firstLineChars="238"/>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根据贵方“</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 xml:space="preserve"> ”项目</w:t>
      </w:r>
      <w:r>
        <w:rPr>
          <w:rFonts w:hint="eastAsia" w:ascii="仿宋" w:hAnsi="仿宋" w:eastAsia="仿宋" w:cs="仿宋"/>
          <w:color w:val="000000" w:themeColor="text1"/>
          <w:spacing w:val="4"/>
          <w:szCs w:val="21"/>
          <w:u w:val="single"/>
          <w:lang w:val="en-US" w:eastAsia="zh-CN"/>
          <w14:textFill>
            <w14:solidFill>
              <w14:schemeClr w14:val="tx1"/>
            </w14:solidFill>
          </w14:textFill>
        </w:rPr>
        <w:t xml:space="preserve">     合同包  </w:t>
      </w:r>
      <w:r>
        <w:rPr>
          <w:rFonts w:hint="eastAsia" w:ascii="仿宋" w:hAnsi="仿宋" w:eastAsia="仿宋" w:cs="仿宋"/>
          <w:color w:val="000000" w:themeColor="text1"/>
          <w:spacing w:val="4"/>
          <w:szCs w:val="21"/>
          <w:u w:val="single"/>
          <w14:textFill>
            <w14:solidFill>
              <w14:schemeClr w14:val="tx1"/>
            </w14:solidFill>
          </w14:textFill>
        </w:rPr>
        <w:t>(</w:t>
      </w:r>
      <w:r>
        <w:rPr>
          <w:rFonts w:hint="eastAsia" w:ascii="仿宋" w:hAnsi="仿宋" w:eastAsia="仿宋" w:cs="仿宋"/>
          <w:color w:val="000000" w:themeColor="text1"/>
          <w:spacing w:val="4"/>
          <w:szCs w:val="21"/>
          <w:u w:val="single"/>
          <w:lang w:val="en-US" w:eastAsia="zh-CN"/>
          <w14:textFill>
            <w14:solidFill>
              <w14:schemeClr w14:val="tx1"/>
            </w14:solidFill>
          </w14:textFill>
        </w:rPr>
        <w:t>项目</w:t>
      </w:r>
      <w:r>
        <w:rPr>
          <w:rFonts w:hint="eastAsia" w:ascii="仿宋" w:hAnsi="仿宋" w:eastAsia="仿宋" w:cs="仿宋"/>
          <w:color w:val="000000" w:themeColor="text1"/>
          <w:spacing w:val="4"/>
          <w:szCs w:val="21"/>
          <w:u w:val="single"/>
          <w14:textFill>
            <w14:solidFill>
              <w14:schemeClr w14:val="tx1"/>
            </w14:solidFill>
          </w14:textFill>
        </w:rPr>
        <w:t>编号：           )</w:t>
      </w:r>
      <w:r>
        <w:rPr>
          <w:rFonts w:hint="eastAsia" w:ascii="仿宋" w:hAnsi="仿宋" w:eastAsia="仿宋" w:cs="仿宋"/>
          <w:color w:val="000000" w:themeColor="text1"/>
          <w:spacing w:val="4"/>
          <w:szCs w:val="21"/>
          <w14:textFill>
            <w14:solidFill>
              <w14:schemeClr w14:val="tx1"/>
            </w14:solidFill>
          </w14:textFill>
        </w:rPr>
        <w:t>，签字代表</w:t>
      </w:r>
      <w:r>
        <w:rPr>
          <w:rFonts w:hint="eastAsia" w:ascii="仿宋" w:hAnsi="仿宋" w:eastAsia="仿宋" w:cs="仿宋"/>
          <w:color w:val="000000" w:themeColor="text1"/>
          <w:spacing w:val="4"/>
          <w:szCs w:val="21"/>
          <w:u w:val="single"/>
          <w14:textFill>
            <w14:solidFill>
              <w14:schemeClr w14:val="tx1"/>
            </w14:solidFill>
          </w14:textFill>
        </w:rPr>
        <w:t>（全名、职务）</w:t>
      </w:r>
      <w:r>
        <w:rPr>
          <w:rFonts w:hint="eastAsia" w:ascii="仿宋" w:hAnsi="仿宋" w:eastAsia="仿宋" w:cs="仿宋"/>
          <w:color w:val="000000" w:themeColor="text1"/>
          <w:spacing w:val="4"/>
          <w:szCs w:val="21"/>
          <w14:textFill>
            <w14:solidFill>
              <w14:schemeClr w14:val="tx1"/>
            </w14:solidFill>
          </w14:textFill>
        </w:rPr>
        <w:t>经正式授权并代表我方</w:t>
      </w:r>
      <w:r>
        <w:rPr>
          <w:rFonts w:hint="eastAsia" w:ascii="仿宋" w:hAnsi="仿宋" w:eastAsia="仿宋" w:cs="仿宋"/>
          <w:color w:val="000000" w:themeColor="text1"/>
          <w:spacing w:val="4"/>
          <w:szCs w:val="21"/>
          <w:u w:val="single"/>
          <w14:textFill>
            <w14:solidFill>
              <w14:schemeClr w14:val="tx1"/>
            </w14:solidFill>
          </w14:textFill>
        </w:rPr>
        <w:t xml:space="preserve">    (投标人名称)</w:t>
      </w:r>
      <w:r>
        <w:rPr>
          <w:rFonts w:hint="eastAsia" w:ascii="仿宋" w:hAnsi="仿宋" w:eastAsia="仿宋" w:cs="仿宋"/>
          <w:color w:val="000000" w:themeColor="text1"/>
          <w:spacing w:val="4"/>
          <w:szCs w:val="21"/>
          <w14:textFill>
            <w14:solidFill>
              <w14:schemeClr w14:val="tx1"/>
            </w14:solidFill>
          </w14:textFill>
        </w:rPr>
        <w:t xml:space="preserve"> 提交投标文件正本</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份、副本</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份、开标一览表</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份、电子版投标文件</w:t>
      </w:r>
      <w:r>
        <w:rPr>
          <w:rFonts w:hint="eastAsia" w:ascii="仿宋" w:hAnsi="仿宋" w:eastAsia="仿宋" w:cs="仿宋"/>
          <w:color w:val="000000" w:themeColor="text1"/>
          <w:spacing w:val="4"/>
          <w:szCs w:val="21"/>
          <w:u w:val="single"/>
          <w14:textFill>
            <w14:solidFill>
              <w14:schemeClr w14:val="tx1"/>
            </w14:solidFill>
          </w14:textFill>
        </w:rPr>
        <w:t xml:space="preserve">  </w:t>
      </w:r>
      <w:r>
        <w:rPr>
          <w:rFonts w:hint="eastAsia" w:ascii="仿宋" w:hAnsi="仿宋" w:eastAsia="仿宋" w:cs="仿宋"/>
          <w:color w:val="000000" w:themeColor="text1"/>
          <w:spacing w:val="4"/>
          <w:szCs w:val="21"/>
          <w14:textFill>
            <w14:solidFill>
              <w14:schemeClr w14:val="tx1"/>
            </w14:solidFill>
          </w14:textFill>
        </w:rPr>
        <w:t>份。</w:t>
      </w:r>
    </w:p>
    <w:p w14:paraId="741780DD">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1）投标报价</w:t>
      </w:r>
      <w:r>
        <w:rPr>
          <w:rFonts w:hint="eastAsia" w:ascii="仿宋" w:hAnsi="仿宋" w:eastAsia="仿宋" w:cs="仿宋"/>
          <w:color w:val="000000" w:themeColor="text1"/>
          <w:spacing w:val="4"/>
          <w:szCs w:val="21"/>
          <w:lang w:eastAsia="zh-CN"/>
          <w14:textFill>
            <w14:solidFill>
              <w14:schemeClr w14:val="tx1"/>
            </w14:solidFill>
          </w14:textFill>
        </w:rPr>
        <w:t>（</w:t>
      </w:r>
      <w:r>
        <w:rPr>
          <w:rFonts w:hint="eastAsia" w:ascii="仿宋" w:hAnsi="仿宋" w:eastAsia="仿宋" w:cs="仿宋"/>
          <w:color w:val="000000" w:themeColor="text1"/>
          <w:spacing w:val="4"/>
          <w:szCs w:val="21"/>
          <w:lang w:val="en-US" w:eastAsia="zh-CN"/>
          <w14:textFill>
            <w14:solidFill>
              <w14:schemeClr w14:val="tx1"/>
            </w14:solidFill>
          </w14:textFill>
        </w:rPr>
        <w:t>折扣率</w:t>
      </w:r>
      <w:r>
        <w:rPr>
          <w:rFonts w:hint="eastAsia" w:ascii="仿宋" w:hAnsi="仿宋" w:eastAsia="仿宋" w:cs="仿宋"/>
          <w:color w:val="000000" w:themeColor="text1"/>
          <w:spacing w:val="4"/>
          <w:szCs w:val="21"/>
          <w:lang w:eastAsia="zh-CN"/>
          <w14:textFill>
            <w14:solidFill>
              <w14:schemeClr w14:val="tx1"/>
            </w14:solidFill>
          </w14:textFill>
        </w:rPr>
        <w:t>）</w:t>
      </w:r>
      <w:r>
        <w:rPr>
          <w:rFonts w:hint="eastAsia" w:ascii="仿宋" w:hAnsi="仿宋" w:eastAsia="仿宋" w:cs="仿宋"/>
          <w:color w:val="000000" w:themeColor="text1"/>
          <w:spacing w:val="4"/>
          <w:szCs w:val="21"/>
          <w:lang w:val="en-US" w:eastAsia="zh-CN"/>
          <w14:textFill>
            <w14:solidFill>
              <w14:schemeClr w14:val="tx1"/>
            </w14:solidFill>
          </w14:textFill>
        </w:rPr>
        <w:t>为</w:t>
      </w:r>
      <w:r>
        <w:rPr>
          <w:rFonts w:hint="eastAsia" w:ascii="仿宋" w:hAnsi="仿宋" w:eastAsia="仿宋" w:cs="仿宋"/>
          <w:color w:val="000000" w:themeColor="text1"/>
          <w:spacing w:val="4"/>
          <w:szCs w:val="21"/>
          <w:u w:val="single"/>
          <w:lang w:val="en-US" w:eastAsia="zh-CN"/>
          <w14:textFill>
            <w14:solidFill>
              <w14:schemeClr w14:val="tx1"/>
            </w14:solidFill>
          </w14:textFill>
        </w:rPr>
        <w:t>：        %</w:t>
      </w:r>
      <w:r>
        <w:rPr>
          <w:rFonts w:hint="eastAsia" w:ascii="仿宋" w:hAnsi="仿宋" w:eastAsia="仿宋" w:cs="仿宋"/>
          <w:color w:val="000000" w:themeColor="text1"/>
          <w:spacing w:val="4"/>
          <w:szCs w:val="21"/>
          <w14:textFill>
            <w14:solidFill>
              <w14:schemeClr w14:val="tx1"/>
            </w14:solidFill>
          </w14:textFill>
        </w:rPr>
        <w:t>。</w:t>
      </w:r>
    </w:p>
    <w:p w14:paraId="02B32205">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2）如果中标，我们根据招标文件的规定，履行合同的责任和义务。</w:t>
      </w:r>
    </w:p>
    <w:p w14:paraId="7AC1C45D">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3）我方已仔细阅读了招标文件的全部内容，并同意和放弃对招标文件不明或误解而询问、质疑和投诉的权利。</w:t>
      </w:r>
    </w:p>
    <w:p w14:paraId="19CEBE3D">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4）我们同意在投标有效期内（</w:t>
      </w:r>
      <w:r>
        <w:rPr>
          <w:rFonts w:hint="eastAsia" w:ascii="仿宋" w:hAnsi="仿宋" w:eastAsia="仿宋" w:cs="仿宋"/>
          <w:color w:val="000000" w:themeColor="text1"/>
          <w:spacing w:val="4"/>
          <w:szCs w:val="21"/>
          <w:u w:val="single"/>
          <w14:textFill>
            <w14:solidFill>
              <w14:schemeClr w14:val="tx1"/>
            </w14:solidFill>
          </w14:textFill>
        </w:rPr>
        <w:t xml:space="preserve">自投标之日起  </w:t>
      </w:r>
      <w:r>
        <w:rPr>
          <w:rFonts w:hint="eastAsia" w:ascii="仿宋" w:hAnsi="仿宋" w:eastAsia="仿宋" w:cs="仿宋"/>
          <w:color w:val="000000" w:themeColor="text1"/>
          <w:spacing w:val="4"/>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pacing w:val="4"/>
          <w:szCs w:val="21"/>
          <w:u w:val="single"/>
          <w14:textFill>
            <w14:solidFill>
              <w14:schemeClr w14:val="tx1"/>
            </w14:solidFill>
          </w14:textFill>
        </w:rPr>
        <w:t xml:space="preserve"> 天</w:t>
      </w:r>
      <w:r>
        <w:rPr>
          <w:rFonts w:hint="eastAsia" w:ascii="仿宋" w:hAnsi="仿宋" w:eastAsia="仿宋" w:cs="仿宋"/>
          <w:color w:val="000000" w:themeColor="text1"/>
          <w:spacing w:val="4"/>
          <w:szCs w:val="21"/>
          <w14:textFill>
            <w14:solidFill>
              <w14:schemeClr w14:val="tx1"/>
            </w14:solidFill>
          </w14:textFill>
        </w:rPr>
        <w:t>），本投标函对我方具有约束力。</w:t>
      </w:r>
    </w:p>
    <w:p w14:paraId="0CC4191C">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5）如果在投标后规定的投标有效期内撤回投标，我们的投标保证金可被贵方没收。</w:t>
      </w:r>
    </w:p>
    <w:p w14:paraId="16A5B66F">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 xml:space="preserve">6）同意提供贵方可能另外要求的与本投标有关的任何证据和资料。 </w:t>
      </w:r>
    </w:p>
    <w:p w14:paraId="0D1B0DAC">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7）我们同意，如果中标，按招标文件要求向同正项目管理有限公司交纳招标代理服务费。</w:t>
      </w:r>
    </w:p>
    <w:p w14:paraId="4CF95A76">
      <w:pPr>
        <w:keepNext w:val="0"/>
        <w:keepLines w:val="0"/>
        <w:pageBreakBefore w:val="0"/>
        <w:widowControl w:val="0"/>
        <w:tabs>
          <w:tab w:val="left" w:pos="2160"/>
        </w:tabs>
        <w:kinsoku/>
        <w:wordWrap/>
        <w:overflowPunct/>
        <w:topLinePunct w:val="0"/>
        <w:autoSpaceDE/>
        <w:autoSpaceDN/>
        <w:bidi w:val="0"/>
        <w:adjustRightInd/>
        <w:snapToGrid/>
        <w:spacing w:line="360" w:lineRule="auto"/>
        <w:ind w:firstLine="436" w:firstLineChars="200"/>
        <w:jc w:val="left"/>
        <w:textAlignment w:val="auto"/>
        <w:rPr>
          <w:rFonts w:ascii="仿宋" w:hAnsi="仿宋" w:eastAsia="仿宋" w:cs="仿宋"/>
          <w:color w:val="000000" w:themeColor="text1"/>
          <w:spacing w:val="4"/>
          <w:szCs w:val="21"/>
          <w14:textFill>
            <w14:solidFill>
              <w14:schemeClr w14:val="tx1"/>
            </w14:solidFill>
          </w14:textFill>
        </w:rPr>
      </w:pPr>
      <w:r>
        <w:rPr>
          <w:rFonts w:hint="eastAsia" w:ascii="仿宋" w:hAnsi="仿宋" w:eastAsia="仿宋" w:cs="仿宋"/>
          <w:color w:val="000000" w:themeColor="text1"/>
          <w:spacing w:val="4"/>
          <w:szCs w:val="21"/>
          <w14:textFill>
            <w14:solidFill>
              <w14:schemeClr w14:val="tx1"/>
            </w14:solidFill>
          </w14:textFill>
        </w:rPr>
        <w:t>8）与本投标有关的一切正式往来通讯为：</w:t>
      </w:r>
    </w:p>
    <w:p w14:paraId="5C31236B">
      <w:pPr>
        <w:kinsoku w:val="0"/>
        <w:spacing w:line="360" w:lineRule="auto"/>
        <w:ind w:firstLine="84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地    址：</w:t>
      </w:r>
    </w:p>
    <w:p w14:paraId="6E29C5EE">
      <w:pPr>
        <w:pStyle w:val="25"/>
        <w:spacing w:after="0"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  系 人：</w:t>
      </w:r>
    </w:p>
    <w:p w14:paraId="246DB010">
      <w:pPr>
        <w:kinsoku w:val="0"/>
        <w:spacing w:line="360" w:lineRule="auto"/>
        <w:ind w:firstLine="84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    话：</w:t>
      </w:r>
    </w:p>
    <w:p w14:paraId="3BEB5144">
      <w:pPr>
        <w:kinsoku w:val="0"/>
        <w:spacing w:line="360" w:lineRule="auto"/>
        <w:ind w:firstLine="840"/>
        <w:rPr>
          <w:rFonts w:ascii="仿宋" w:hAnsi="仿宋" w:eastAsia="仿宋" w:cs="仿宋"/>
          <w:color w:val="000000" w:themeColor="text1"/>
          <w:szCs w:val="21"/>
          <w:u w:val="single"/>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    真：</w:t>
      </w:r>
    </w:p>
    <w:p w14:paraId="434C49FD">
      <w:pPr>
        <w:kinsoku w:val="0"/>
        <w:spacing w:line="360" w:lineRule="auto"/>
        <w:ind w:firstLine="84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    编：</w:t>
      </w:r>
    </w:p>
    <w:p w14:paraId="4A6E0157">
      <w:pPr>
        <w:kinsoku w:val="0"/>
        <w:spacing w:line="360" w:lineRule="auto"/>
        <w:ind w:firstLine="840" w:firstLineChars="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 标 人：</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 xml:space="preserve">（公章）  </w:t>
      </w:r>
    </w:p>
    <w:p w14:paraId="468DB679">
      <w:pPr>
        <w:kinsoku w:val="0"/>
        <w:spacing w:line="360" w:lineRule="auto"/>
        <w:ind w:firstLine="840" w:firstLineChars="4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法定代表人或被授权人：</w:t>
      </w:r>
      <w:r>
        <w:rPr>
          <w:rFonts w:hint="eastAsia" w:ascii="仿宋" w:hAnsi="仿宋" w:eastAsia="仿宋" w:cs="仿宋"/>
          <w:color w:val="000000" w:themeColor="text1"/>
          <w:szCs w:val="21"/>
          <w:u w:val="single"/>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（签字）</w:t>
      </w:r>
    </w:p>
    <w:p w14:paraId="4EDA9E78">
      <w:pPr>
        <w:kinsoku w:val="0"/>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年   月   日</w:t>
      </w:r>
    </w:p>
    <w:p w14:paraId="4F7573CC">
      <w:pPr>
        <w:rPr>
          <w:rFonts w:hint="eastAsia" w:ascii="仿宋" w:hAnsi="仿宋" w:eastAsia="仿宋" w:cs="仿宋"/>
          <w:b/>
          <w:color w:val="000000" w:themeColor="text1"/>
          <w:sz w:val="32"/>
          <w14:textFill>
            <w14:solidFill>
              <w14:schemeClr w14:val="tx1"/>
            </w14:solidFill>
          </w14:textFill>
        </w:rPr>
      </w:pPr>
      <w:bookmarkStart w:id="451" w:name="_Toc21004"/>
      <w:bookmarkStart w:id="452" w:name="_Toc28204"/>
      <w:bookmarkStart w:id="453" w:name="_Toc1200"/>
      <w:r>
        <w:rPr>
          <w:rFonts w:hint="eastAsia" w:ascii="仿宋" w:hAnsi="仿宋" w:eastAsia="仿宋" w:cs="仿宋"/>
          <w:b/>
          <w:color w:val="000000" w:themeColor="text1"/>
          <w:sz w:val="32"/>
          <w14:textFill>
            <w14:solidFill>
              <w14:schemeClr w14:val="tx1"/>
            </w14:solidFill>
          </w14:textFill>
        </w:rPr>
        <w:br w:type="page"/>
      </w:r>
    </w:p>
    <w:p w14:paraId="164D926F">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方正小标宋简体" w:hAnsi="方正小标宋简体" w:eastAsia="仿宋" w:cs="方正小标宋简体"/>
          <w:b w:val="0"/>
          <w:bCs/>
          <w:color w:val="000000" w:themeColor="text1"/>
          <w:sz w:val="32"/>
          <w:lang w:val="en-US" w:eastAsia="zh-CN"/>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仿宋" w:hAnsi="仿宋" w:eastAsia="仿宋" w:cs="仿宋"/>
          <w:b/>
          <w:color w:val="000000" w:themeColor="text1"/>
          <w:sz w:val="32"/>
          <w:lang w:val="en-US" w:eastAsia="zh-CN"/>
          <w14:textFill>
            <w14:solidFill>
              <w14:schemeClr w14:val="tx1"/>
            </w14:solidFill>
          </w14:textFill>
        </w:rPr>
        <w:t>开标一览表</w:t>
      </w:r>
    </w:p>
    <w:p w14:paraId="5104C050">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hint="eastAsia" w:ascii="仿宋" w:hAnsi="仿宋" w:eastAsia="仿宋" w:cs="仿宋"/>
          <w:color w:val="000000" w:themeColor="text1"/>
          <w:sz w:val="20"/>
          <w:szCs w:val="21"/>
          <w14:textFill>
            <w14:solidFill>
              <w14:schemeClr w14:val="tx1"/>
            </w14:solidFill>
          </w14:textFill>
        </w:rPr>
      </w:pPr>
      <w:r>
        <w:rPr>
          <w:rFonts w:hint="eastAsia" w:ascii="仿宋" w:hAnsi="仿宋" w:eastAsia="仿宋" w:cs="仿宋"/>
          <w:b w:val="0"/>
          <w:bCs w:val="0"/>
          <w:color w:val="000000" w:themeColor="text1"/>
          <w:spacing w:val="4"/>
          <w:kern w:val="1"/>
          <w:sz w:val="22"/>
          <w:szCs w:val="22"/>
          <w:u w:val="none"/>
          <w:lang w:val="en-US" w:eastAsia="zh-CN" w:bidi="ar-SA"/>
          <w14:textFill>
            <w14:solidFill>
              <w14:schemeClr w14:val="tx1"/>
            </w14:solidFill>
          </w14:textFill>
        </w:rPr>
        <w:t xml:space="preserve">项目名称：南郑区学校蔬菜、辅料等食材配送服务采购项目（三次） </w:t>
      </w:r>
      <w:r>
        <w:rPr>
          <w:rFonts w:hint="eastAsia" w:ascii="仿宋" w:hAnsi="仿宋" w:eastAsia="仿宋" w:cs="仿宋"/>
          <w:color w:val="000000" w:themeColor="text1"/>
          <w:sz w:val="20"/>
          <w:szCs w:val="21"/>
          <w:lang w:val="en-US" w:eastAsia="zh-CN"/>
          <w14:textFill>
            <w14:solidFill>
              <w14:schemeClr w14:val="tx1"/>
            </w14:solidFill>
          </w14:textFill>
        </w:rPr>
        <w:t xml:space="preserve">   </w:t>
      </w:r>
    </w:p>
    <w:p w14:paraId="27CFAFB6">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pacing w:val="4"/>
          <w:sz w:val="22"/>
          <w:szCs w:val="22"/>
          <w:u w:val="none"/>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single"/>
          <w:lang w:val="en-US" w:eastAsia="zh-CN"/>
          <w14:textFill>
            <w14:solidFill>
              <w14:schemeClr w14:val="tx1"/>
            </w14:solidFill>
          </w14:textFill>
        </w:rPr>
        <w:t xml:space="preserve">    </w:t>
      </w:r>
    </w:p>
    <w:p w14:paraId="28E933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项目编号：</w:t>
      </w:r>
      <w:r>
        <w:rPr>
          <w:rFonts w:hint="eastAsia" w:ascii="仿宋" w:hAnsi="仿宋" w:eastAsia="仿宋" w:cs="仿宋"/>
          <w:color w:val="000000" w:themeColor="text1"/>
          <w:sz w:val="22"/>
          <w:szCs w:val="22"/>
          <w:lang w:eastAsia="zh-CN"/>
          <w14:textFill>
            <w14:solidFill>
              <w14:schemeClr w14:val="tx1"/>
            </w14:solidFill>
          </w14:textFill>
        </w:rPr>
        <w:t>TZZB-HZ-2025078C-3</w:t>
      </w:r>
    </w:p>
    <w:tbl>
      <w:tblPr>
        <w:tblStyle w:val="41"/>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2415"/>
        <w:gridCol w:w="1945"/>
        <w:gridCol w:w="2098"/>
        <w:gridCol w:w="1281"/>
      </w:tblGrid>
      <w:tr w14:paraId="661C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521" w:type="dxa"/>
            <w:tcBorders>
              <w:tl2br w:val="single" w:color="auto" w:sz="4" w:space="0"/>
            </w:tcBorders>
          </w:tcPr>
          <w:p w14:paraId="17CB5DD3">
            <w:pPr>
              <w:spacing w:line="520" w:lineRule="exact"/>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投标内容</w:t>
            </w:r>
          </w:p>
          <w:p w14:paraId="3C52282A">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投标人名称</w:t>
            </w:r>
          </w:p>
        </w:tc>
        <w:tc>
          <w:tcPr>
            <w:tcW w:w="2415" w:type="dxa"/>
            <w:vAlign w:val="center"/>
          </w:tcPr>
          <w:p w14:paraId="36529EB9">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投标总报价</w:t>
            </w:r>
          </w:p>
          <w:p w14:paraId="1404B1C5">
            <w:pPr>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折扣率：%</w:t>
            </w:r>
            <w:r>
              <w:rPr>
                <w:rFonts w:hint="eastAsia" w:ascii="仿宋" w:hAnsi="仿宋" w:eastAsia="仿宋" w:cs="仿宋"/>
                <w:color w:val="000000" w:themeColor="text1"/>
                <w:sz w:val="24"/>
                <w:szCs w:val="24"/>
                <w14:textFill>
                  <w14:solidFill>
                    <w14:schemeClr w14:val="tx1"/>
                  </w14:solidFill>
                </w14:textFill>
              </w:rPr>
              <w:t>）</w:t>
            </w:r>
          </w:p>
        </w:tc>
        <w:tc>
          <w:tcPr>
            <w:tcW w:w="1945" w:type="dxa"/>
            <w:vAlign w:val="center"/>
          </w:tcPr>
          <w:p w14:paraId="38B7295C">
            <w:pPr>
              <w:spacing w:line="360" w:lineRule="auto"/>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服务周期</w:t>
            </w:r>
          </w:p>
        </w:tc>
        <w:tc>
          <w:tcPr>
            <w:tcW w:w="2098" w:type="dxa"/>
            <w:vAlign w:val="center"/>
          </w:tcPr>
          <w:p w14:paraId="4B633831">
            <w:pPr>
              <w:spacing w:line="36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配送地点</w:t>
            </w:r>
          </w:p>
        </w:tc>
        <w:tc>
          <w:tcPr>
            <w:tcW w:w="1281" w:type="dxa"/>
            <w:vAlign w:val="center"/>
          </w:tcPr>
          <w:p w14:paraId="44DFA601">
            <w:pPr>
              <w:spacing w:line="36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备注</w:t>
            </w:r>
          </w:p>
        </w:tc>
      </w:tr>
      <w:tr w14:paraId="1E94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521" w:type="dxa"/>
            <w:vAlign w:val="center"/>
          </w:tcPr>
          <w:p w14:paraId="271DC893">
            <w:pPr>
              <w:spacing w:line="360" w:lineRule="auto"/>
              <w:rPr>
                <w:rFonts w:hint="eastAsia" w:ascii="仿宋" w:hAnsi="仿宋" w:eastAsia="仿宋" w:cs="仿宋"/>
                <w:color w:val="000000" w:themeColor="text1"/>
                <w:sz w:val="24"/>
                <w:szCs w:val="24"/>
                <w14:textFill>
                  <w14:solidFill>
                    <w14:schemeClr w14:val="tx1"/>
                  </w14:solidFill>
                </w14:textFill>
              </w:rPr>
            </w:pPr>
          </w:p>
        </w:tc>
        <w:tc>
          <w:tcPr>
            <w:tcW w:w="2415" w:type="dxa"/>
            <w:vAlign w:val="center"/>
          </w:tcPr>
          <w:p w14:paraId="3D79C240">
            <w:pPr>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1945" w:type="dxa"/>
            <w:vAlign w:val="center"/>
          </w:tcPr>
          <w:p w14:paraId="06395855">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2098" w:type="dxa"/>
            <w:vAlign w:val="center"/>
          </w:tcPr>
          <w:p w14:paraId="713E8FB6">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c>
          <w:tcPr>
            <w:tcW w:w="1281" w:type="dxa"/>
            <w:vAlign w:val="center"/>
          </w:tcPr>
          <w:p w14:paraId="74EDC79D">
            <w:pPr>
              <w:spacing w:line="360" w:lineRule="auto"/>
              <w:jc w:val="center"/>
              <w:rPr>
                <w:rFonts w:hint="eastAsia" w:ascii="仿宋" w:hAnsi="仿宋" w:eastAsia="仿宋" w:cs="仿宋"/>
                <w:color w:val="000000" w:themeColor="text1"/>
                <w:sz w:val="24"/>
                <w:szCs w:val="24"/>
                <w14:textFill>
                  <w14:solidFill>
                    <w14:schemeClr w14:val="tx1"/>
                  </w14:solidFill>
                </w14:textFill>
              </w:rPr>
            </w:pPr>
          </w:p>
        </w:tc>
      </w:tr>
      <w:tr w14:paraId="5129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0260" w:type="dxa"/>
            <w:gridSpan w:val="5"/>
            <w:vAlign w:val="center"/>
          </w:tcPr>
          <w:p w14:paraId="4D980510">
            <w:pPr>
              <w:pStyle w:val="25"/>
              <w:spacing w:after="0" w:line="360" w:lineRule="auto"/>
              <w:ind w:left="0" w:left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备注：</w:t>
            </w:r>
          </w:p>
          <w:p w14:paraId="18D30A7E">
            <w:pPr>
              <w:pStyle w:val="25"/>
              <w:spacing w:after="0" w:line="360" w:lineRule="auto"/>
              <w:ind w:left="0" w:left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1.报价应按费率填写；</w:t>
            </w:r>
          </w:p>
          <w:p w14:paraId="5AD70CC1">
            <w:pPr>
              <w:pStyle w:val="25"/>
              <w:spacing w:after="0" w:line="360" w:lineRule="auto"/>
              <w:ind w:left="0" w:leftChars="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2.“开标一览表”以合同包为单位填写；</w:t>
            </w:r>
          </w:p>
          <w:p w14:paraId="42921001">
            <w:pPr>
              <w:spacing w:line="360" w:lineRule="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3.本表所列各项数据与投标文件其他地方表述不一致时，以本表为准。</w:t>
            </w:r>
          </w:p>
        </w:tc>
      </w:tr>
    </w:tbl>
    <w:p w14:paraId="210FD4BF">
      <w:pPr>
        <w:spacing w:line="360" w:lineRule="auto"/>
        <w:rPr>
          <w:rFonts w:hint="eastAsia" w:ascii="仿宋" w:hAnsi="仿宋" w:eastAsia="仿宋" w:cs="仿宋"/>
          <w:color w:val="000000" w:themeColor="text1"/>
          <w:sz w:val="24"/>
          <w:szCs w:val="24"/>
          <w:lang w:val="zh-CN"/>
          <w14:textFill>
            <w14:solidFill>
              <w14:schemeClr w14:val="tx1"/>
            </w14:solidFill>
          </w14:textFill>
        </w:rPr>
      </w:pPr>
    </w:p>
    <w:p w14:paraId="01C06E3B">
      <w:pPr>
        <w:pStyle w:val="40"/>
        <w:rPr>
          <w:rFonts w:hint="eastAsia" w:ascii="仿宋" w:hAnsi="仿宋" w:eastAsia="仿宋" w:cs="仿宋"/>
          <w:color w:val="000000" w:themeColor="text1"/>
          <w:sz w:val="24"/>
          <w:szCs w:val="24"/>
          <w:lang w:val="zh-CN"/>
          <w14:textFill>
            <w14:solidFill>
              <w14:schemeClr w14:val="tx1"/>
            </w14:solidFill>
          </w14:textFill>
        </w:rPr>
      </w:pPr>
    </w:p>
    <w:p w14:paraId="1C892CD3">
      <w:pPr>
        <w:rPr>
          <w:rFonts w:hint="eastAsia" w:ascii="仿宋" w:hAnsi="仿宋" w:eastAsia="仿宋" w:cs="仿宋"/>
          <w:color w:val="000000" w:themeColor="text1"/>
          <w:lang w:val="zh-CN"/>
          <w14:textFill>
            <w14:solidFill>
              <w14:schemeClr w14:val="tx1"/>
            </w14:solidFill>
          </w14:textFill>
        </w:rPr>
      </w:pPr>
    </w:p>
    <w:p w14:paraId="0A9DBF85">
      <w:pPr>
        <w:keepNext w:val="0"/>
        <w:keepLines w:val="0"/>
        <w:pageBreakBefore w:val="0"/>
        <w:widowControl w:val="0"/>
        <w:kinsoku/>
        <w:wordWrap/>
        <w:overflowPunct/>
        <w:topLinePunct w:val="0"/>
        <w:autoSpaceDE/>
        <w:autoSpaceDN/>
        <w:bidi w:val="0"/>
        <w:adjustRightInd/>
        <w:snapToGrid/>
        <w:spacing w:line="480" w:lineRule="auto"/>
        <w:ind w:firstLine="720" w:firstLineChars="300"/>
        <w:jc w:val="right"/>
        <w:textAlignment w:val="auto"/>
        <w:outlineLvl w:val="9"/>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投 标 人：</w:t>
      </w:r>
      <w:r>
        <w:rPr>
          <w:rFonts w:hint="eastAsia" w:ascii="仿宋" w:hAnsi="仿宋" w:eastAsia="仿宋" w:cs="仿宋"/>
          <w:b w:val="0"/>
          <w:bCs/>
          <w:color w:val="000000" w:themeColor="text1"/>
          <w:sz w:val="24"/>
          <w:szCs w:val="24"/>
          <w:u w:val="single"/>
          <w14:textFill>
            <w14:solidFill>
              <w14:schemeClr w14:val="tx1"/>
            </w14:solidFill>
          </w14:textFill>
        </w:rPr>
        <w:t xml:space="preserve">                  </w:t>
      </w:r>
      <w:r>
        <w:rPr>
          <w:rFonts w:hint="eastAsia" w:ascii="仿宋" w:hAnsi="仿宋" w:eastAsia="仿宋" w:cs="仿宋"/>
          <w:b w:val="0"/>
          <w:bCs/>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u w:val="single"/>
          <w14:textFill>
            <w14:solidFill>
              <w14:schemeClr w14:val="tx1"/>
            </w14:solidFill>
          </w14:textFill>
        </w:rPr>
        <w:t xml:space="preserve">  （公章）</w:t>
      </w:r>
    </w:p>
    <w:p w14:paraId="2BE104A6">
      <w:pPr>
        <w:pStyle w:val="56"/>
        <w:keepNext w:val="0"/>
        <w:keepLines w:val="0"/>
        <w:pageBreakBefore w:val="0"/>
        <w:widowControl w:val="0"/>
        <w:kinsoku/>
        <w:wordWrap/>
        <w:overflowPunct/>
        <w:topLinePunct w:val="0"/>
        <w:autoSpaceDE/>
        <w:autoSpaceDN/>
        <w:bidi w:val="0"/>
        <w:adjustRightInd/>
        <w:snapToGrid/>
        <w:spacing w:line="480" w:lineRule="auto"/>
        <w:ind w:firstLine="708" w:firstLineChars="295"/>
        <w:jc w:val="right"/>
        <w:textAlignment w:val="auto"/>
        <w:outlineLvl w:val="9"/>
        <w:rPr>
          <w:rFonts w:hint="eastAsia" w:ascii="仿宋" w:hAnsi="仿宋" w:eastAsia="仿宋" w:cs="仿宋"/>
          <w:b w:val="0"/>
          <w:bCs/>
          <w:color w:val="000000" w:themeColor="text1"/>
          <w:kern w:val="2"/>
          <w:sz w:val="24"/>
          <w:szCs w:val="24"/>
          <w:u w:val="single"/>
          <w14:textFill>
            <w14:solidFill>
              <w14:schemeClr w14:val="tx1"/>
            </w14:solidFill>
          </w14:textFill>
        </w:rPr>
      </w:pPr>
      <w:r>
        <w:rPr>
          <w:rFonts w:hint="eastAsia" w:ascii="仿宋" w:hAnsi="仿宋" w:eastAsia="仿宋" w:cs="仿宋"/>
          <w:b w:val="0"/>
          <w:bCs/>
          <w:color w:val="000000" w:themeColor="text1"/>
          <w:kern w:val="2"/>
          <w:sz w:val="24"/>
          <w:szCs w:val="24"/>
          <w14:textFill>
            <w14:solidFill>
              <w14:schemeClr w14:val="tx1"/>
            </w14:solidFill>
          </w14:textFill>
        </w:rPr>
        <w:t>法定代表人或其被授权委托代理人 ：</w:t>
      </w:r>
      <w:r>
        <w:rPr>
          <w:rFonts w:hint="eastAsia" w:ascii="仿宋" w:hAnsi="仿宋" w:eastAsia="仿宋" w:cs="仿宋"/>
          <w:b w:val="0"/>
          <w:bCs/>
          <w:color w:val="000000" w:themeColor="text1"/>
          <w:kern w:val="2"/>
          <w:sz w:val="24"/>
          <w:szCs w:val="24"/>
          <w:u w:val="single"/>
          <w14:textFill>
            <w14:solidFill>
              <w14:schemeClr w14:val="tx1"/>
            </w14:solidFill>
          </w14:textFill>
        </w:rPr>
        <w:t xml:space="preserve">    （签字）</w:t>
      </w:r>
    </w:p>
    <w:p w14:paraId="0B8ACC94">
      <w:pPr>
        <w:keepNext w:val="0"/>
        <w:keepLines w:val="0"/>
        <w:pageBreakBefore w:val="0"/>
        <w:widowControl w:val="0"/>
        <w:kinsoku/>
        <w:wordWrap/>
        <w:overflowPunct/>
        <w:topLinePunct w:val="0"/>
        <w:autoSpaceDE/>
        <w:autoSpaceDN/>
        <w:bidi w:val="0"/>
        <w:adjustRightInd/>
        <w:snapToGrid/>
        <w:spacing w:line="480" w:lineRule="auto"/>
        <w:ind w:firstLine="1920" w:firstLineChars="800"/>
        <w:jc w:val="center"/>
        <w:textAlignment w:val="auto"/>
        <w:outlineLvl w:val="9"/>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14:textFill>
            <w14:solidFill>
              <w14:schemeClr w14:val="tx1"/>
            </w14:solidFill>
          </w14:textFill>
        </w:rPr>
        <w:t>日  期：  年  月  日</w:t>
      </w:r>
    </w:p>
    <w:p w14:paraId="7F2A49DC">
      <w:pPr>
        <w:spacing w:line="360" w:lineRule="auto"/>
        <w:ind w:firstLine="630" w:firstLineChars="300"/>
        <w:rPr>
          <w:rFonts w:hint="eastAsia" w:ascii="仿宋" w:hAnsi="仿宋" w:eastAsia="仿宋" w:cs="仿宋"/>
          <w:color w:val="000000" w:themeColor="text1"/>
          <w:szCs w:val="21"/>
          <w:lang w:val="zh-CN"/>
          <w14:textFill>
            <w14:solidFill>
              <w14:schemeClr w14:val="tx1"/>
            </w14:solidFill>
          </w14:textFill>
        </w:rPr>
      </w:pPr>
    </w:p>
    <w:p w14:paraId="35AA855E">
      <w:pPr>
        <w:spacing w:line="360" w:lineRule="auto"/>
        <w:ind w:firstLine="2730" w:firstLineChars="1300"/>
        <w:rPr>
          <w:rFonts w:hint="eastAsia" w:ascii="仿宋" w:hAnsi="仿宋" w:eastAsia="仿宋" w:cs="仿宋"/>
          <w:color w:val="000000" w:themeColor="text1"/>
          <w:szCs w:val="21"/>
          <w:lang w:val="zh-CN"/>
          <w14:textFill>
            <w14:solidFill>
              <w14:schemeClr w14:val="tx1"/>
            </w14:solidFill>
          </w14:textFill>
        </w:rPr>
      </w:pPr>
    </w:p>
    <w:p w14:paraId="042A899C">
      <w:pPr>
        <w:spacing w:line="360" w:lineRule="auto"/>
        <w:ind w:firstLine="2730" w:firstLineChars="1300"/>
        <w:rPr>
          <w:rFonts w:hint="eastAsia" w:ascii="仿宋" w:hAnsi="仿宋" w:eastAsia="仿宋" w:cs="仿宋"/>
          <w:color w:val="000000" w:themeColor="text1"/>
          <w:szCs w:val="21"/>
          <w:lang w:val="zh-CN"/>
          <w14:textFill>
            <w14:solidFill>
              <w14:schemeClr w14:val="tx1"/>
            </w14:solidFill>
          </w14:textFill>
        </w:rPr>
      </w:pPr>
    </w:p>
    <w:p w14:paraId="7B662B86">
      <w:pPr>
        <w:spacing w:line="360" w:lineRule="auto"/>
        <w:ind w:firstLine="2730" w:firstLineChars="1300"/>
        <w:rPr>
          <w:rFonts w:hint="eastAsia" w:ascii="仿宋" w:hAnsi="仿宋" w:eastAsia="仿宋" w:cs="仿宋"/>
          <w:color w:val="000000" w:themeColor="text1"/>
          <w:szCs w:val="21"/>
          <w:lang w:val="zh-CN"/>
          <w14:textFill>
            <w14:solidFill>
              <w14:schemeClr w14:val="tx1"/>
            </w14:solidFill>
          </w14:textFill>
        </w:rPr>
      </w:pPr>
    </w:p>
    <w:p w14:paraId="3124EF0B">
      <w:pPr>
        <w:spacing w:line="360" w:lineRule="auto"/>
        <w:ind w:firstLine="2730" w:firstLineChars="1300"/>
        <w:rPr>
          <w:rFonts w:ascii="仿宋" w:hAnsi="仿宋" w:eastAsia="仿宋" w:cs="仿宋"/>
          <w:color w:val="000000" w:themeColor="text1"/>
          <w:szCs w:val="21"/>
          <w:lang w:val="zh-CN"/>
          <w14:textFill>
            <w14:solidFill>
              <w14:schemeClr w14:val="tx1"/>
            </w14:solidFill>
          </w14:textFill>
        </w:rPr>
      </w:pPr>
    </w:p>
    <w:p w14:paraId="006B95B7">
      <w:pPr>
        <w:rPr>
          <w:rFonts w:hint="eastAsia" w:ascii="仿宋" w:hAnsi="仿宋" w:eastAsia="仿宋" w:cs="仿宋"/>
          <w:b/>
          <w:color w:val="000000" w:themeColor="text1"/>
          <w:sz w:val="32"/>
          <w14:textFill>
            <w14:solidFill>
              <w14:schemeClr w14:val="tx1"/>
            </w14:solidFill>
          </w14:textFill>
        </w:rPr>
      </w:pPr>
      <w:bookmarkStart w:id="454" w:name="_Toc1640"/>
      <w:bookmarkStart w:id="455" w:name="_Toc30668"/>
      <w:bookmarkStart w:id="456" w:name="_Toc24922"/>
      <w:bookmarkStart w:id="457" w:name="_Toc12929"/>
      <w:bookmarkStart w:id="458" w:name="_Toc23970"/>
      <w:bookmarkStart w:id="459" w:name="_Toc14392"/>
      <w:bookmarkStart w:id="460" w:name="_Toc9652"/>
      <w:r>
        <w:rPr>
          <w:rFonts w:hint="eastAsia" w:ascii="仿宋" w:hAnsi="仿宋" w:eastAsia="仿宋" w:cs="仿宋"/>
          <w:b/>
          <w:color w:val="000000" w:themeColor="text1"/>
          <w:sz w:val="32"/>
          <w14:textFill>
            <w14:solidFill>
              <w14:schemeClr w14:val="tx1"/>
            </w14:solidFill>
          </w14:textFill>
        </w:rPr>
        <w:br w:type="page"/>
      </w:r>
    </w:p>
    <w:p w14:paraId="7EAAD82E">
      <w:pPr>
        <w:jc w:val="center"/>
        <w:outlineLvl w:val="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三、分项报价表</w:t>
      </w:r>
    </w:p>
    <w:p w14:paraId="0C4F77C7">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项目名称：</w:t>
      </w:r>
      <w:r>
        <w:rPr>
          <w:rFonts w:hint="eastAsia" w:ascii="仿宋" w:hAnsi="仿宋" w:eastAsia="仿宋" w:cs="仿宋"/>
          <w:color w:val="000000" w:themeColor="text1"/>
          <w:sz w:val="22"/>
          <w:szCs w:val="22"/>
          <w:lang w:eastAsia="zh-CN"/>
          <w14:textFill>
            <w14:solidFill>
              <w14:schemeClr w14:val="tx1"/>
            </w14:solidFill>
          </w14:textFill>
        </w:rPr>
        <w:t>南郑区学校蔬菜、辅料等食材配送服务采购项目（三次）</w:t>
      </w:r>
    </w:p>
    <w:p w14:paraId="7A5B1EE9">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none"/>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single"/>
          <w:lang w:val="en-US" w:eastAsia="zh-CN"/>
          <w14:textFill>
            <w14:solidFill>
              <w14:schemeClr w14:val="tx1"/>
            </w14:solidFill>
          </w14:textFill>
        </w:rPr>
        <w:t xml:space="preserve">    </w:t>
      </w:r>
    </w:p>
    <w:p w14:paraId="0BBD40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项目编号：</w:t>
      </w:r>
      <w:r>
        <w:rPr>
          <w:rFonts w:hint="eastAsia" w:ascii="仿宋" w:hAnsi="仿宋" w:eastAsia="仿宋" w:cs="仿宋"/>
          <w:color w:val="000000" w:themeColor="text1"/>
          <w:sz w:val="22"/>
          <w:szCs w:val="22"/>
          <w:lang w:eastAsia="zh-CN"/>
          <w14:textFill>
            <w14:solidFill>
              <w14:schemeClr w14:val="tx1"/>
            </w14:solidFill>
          </w14:textFill>
        </w:rPr>
        <w:t>TZZB-HZ-2025078C-3</w:t>
      </w:r>
    </w:p>
    <w:bookmarkEnd w:id="454"/>
    <w:bookmarkEnd w:id="455"/>
    <w:bookmarkEnd w:id="456"/>
    <w:bookmarkEnd w:id="457"/>
    <w:bookmarkEnd w:id="458"/>
    <w:bookmarkEnd w:id="459"/>
    <w:bookmarkEnd w:id="460"/>
    <w:p w14:paraId="625BD132">
      <w:pPr>
        <w:rPr>
          <w:rFonts w:hint="eastAsia" w:ascii="仿宋" w:hAnsi="仿宋" w:eastAsia="仿宋" w:cs="仿宋"/>
          <w:b/>
          <w:color w:val="000000" w:themeColor="text1"/>
          <w:sz w:val="32"/>
          <w:lang w:val="en-US" w:eastAsia="zh-CN"/>
          <w14:textFill>
            <w14:solidFill>
              <w14:schemeClr w14:val="tx1"/>
            </w14:solidFill>
          </w14:textFill>
        </w:rPr>
      </w:pPr>
      <w:bookmarkStart w:id="461" w:name="_Toc30531"/>
      <w:bookmarkStart w:id="462" w:name="_Toc21590"/>
      <w:bookmarkStart w:id="463" w:name="_Toc19156"/>
      <w:bookmarkStart w:id="464" w:name="_Toc777"/>
      <w:bookmarkStart w:id="465" w:name="_Toc7687"/>
      <w:bookmarkStart w:id="466" w:name="_Toc6138"/>
      <w:bookmarkStart w:id="467" w:name="_Toc9966"/>
      <w:r>
        <w:rPr>
          <w:rFonts w:hint="eastAsia" w:ascii="仿宋" w:hAnsi="仿宋" w:eastAsia="仿宋" w:cs="仿宋"/>
          <w:color w:val="000000" w:themeColor="text1"/>
          <w:kern w:val="1"/>
          <w:sz w:val="22"/>
          <w:szCs w:val="22"/>
          <w:lang w:val="en-US" w:eastAsia="zh-CN" w:bidi="ar-SA"/>
          <w14:textFill>
            <w14:solidFill>
              <w14:schemeClr w14:val="tx1"/>
            </w14:solidFill>
          </w14:textFill>
        </w:rPr>
        <w:t>投标人结合本项目服务要求自行编制</w:t>
      </w:r>
      <w:r>
        <w:rPr>
          <w:rFonts w:hint="eastAsia" w:ascii="仿宋" w:hAnsi="仿宋" w:eastAsia="仿宋" w:cs="仿宋"/>
          <w:b/>
          <w:color w:val="000000" w:themeColor="text1"/>
          <w:sz w:val="32"/>
          <w:lang w:val="en-US" w:eastAsia="zh-CN"/>
          <w14:textFill>
            <w14:solidFill>
              <w14:schemeClr w14:val="tx1"/>
            </w14:solidFill>
          </w14:textFill>
        </w:rPr>
        <w:br w:type="page"/>
      </w:r>
    </w:p>
    <w:p w14:paraId="26A6C5D6">
      <w:pPr>
        <w:ind w:firstLine="3213" w:firstLineChars="100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t>四</w:t>
      </w:r>
      <w:r>
        <w:rPr>
          <w:rFonts w:hint="eastAsia" w:ascii="仿宋" w:hAnsi="仿宋" w:eastAsia="仿宋" w:cs="仿宋"/>
          <w:b/>
          <w:color w:val="000000" w:themeColor="text1"/>
          <w:sz w:val="32"/>
          <w14:textFill>
            <w14:solidFill>
              <w14:schemeClr w14:val="tx1"/>
            </w14:solidFill>
          </w14:textFill>
        </w:rPr>
        <w:t>、商务</w:t>
      </w:r>
      <w:r>
        <w:rPr>
          <w:rFonts w:hint="eastAsia" w:ascii="仿宋" w:hAnsi="仿宋" w:eastAsia="仿宋" w:cs="仿宋"/>
          <w:b/>
          <w:color w:val="000000" w:themeColor="text1"/>
          <w:sz w:val="32"/>
          <w:lang w:val="en-US" w:eastAsia="zh-CN"/>
          <w14:textFill>
            <w14:solidFill>
              <w14:schemeClr w14:val="tx1"/>
            </w14:solidFill>
          </w14:textFill>
        </w:rPr>
        <w:t>部分</w:t>
      </w:r>
    </w:p>
    <w:p w14:paraId="5D2A39AF">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项目名称：</w:t>
      </w:r>
      <w:r>
        <w:rPr>
          <w:rFonts w:hint="eastAsia" w:ascii="仿宋" w:hAnsi="仿宋" w:eastAsia="仿宋" w:cs="仿宋"/>
          <w:color w:val="000000" w:themeColor="text1"/>
          <w:sz w:val="22"/>
          <w:szCs w:val="22"/>
          <w:lang w:eastAsia="zh-CN"/>
          <w14:textFill>
            <w14:solidFill>
              <w14:schemeClr w14:val="tx1"/>
            </w14:solidFill>
          </w14:textFill>
        </w:rPr>
        <w:t>南郑区学校蔬菜、辅料等食材配送服务采购项目（三次）</w:t>
      </w:r>
    </w:p>
    <w:p w14:paraId="661A9618">
      <w:pPr>
        <w:pStyle w:val="56"/>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none"/>
          <w:lang w:val="en-US" w:eastAsia="zh-CN"/>
          <w14:textFill>
            <w14:solidFill>
              <w14:schemeClr w14:val="tx1"/>
            </w14:solidFill>
          </w14:textFill>
        </w:rPr>
        <w:t>合同包</w:t>
      </w:r>
      <w:r>
        <w:rPr>
          <w:rFonts w:hint="eastAsia" w:ascii="仿宋" w:hAnsi="仿宋" w:eastAsia="仿宋" w:cs="仿宋"/>
          <w:b w:val="0"/>
          <w:bCs w:val="0"/>
          <w:color w:val="000000" w:themeColor="text1"/>
          <w:spacing w:val="4"/>
          <w:sz w:val="22"/>
          <w:szCs w:val="22"/>
          <w:u w:val="single"/>
          <w:lang w:val="en-US" w:eastAsia="zh-CN"/>
          <w14:textFill>
            <w14:solidFill>
              <w14:schemeClr w14:val="tx1"/>
            </w14:solidFill>
          </w14:textFill>
        </w:rPr>
        <w:t xml:space="preserve">    </w:t>
      </w:r>
    </w:p>
    <w:p w14:paraId="28ACF5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项目编号：</w:t>
      </w:r>
      <w:r>
        <w:rPr>
          <w:rFonts w:hint="eastAsia" w:ascii="仿宋" w:hAnsi="仿宋" w:eastAsia="仿宋" w:cs="仿宋"/>
          <w:color w:val="000000" w:themeColor="text1"/>
          <w:sz w:val="22"/>
          <w:szCs w:val="22"/>
          <w:lang w:eastAsia="zh-CN"/>
          <w14:textFill>
            <w14:solidFill>
              <w14:schemeClr w14:val="tx1"/>
            </w14:solidFill>
          </w14:textFill>
        </w:rPr>
        <w:t>TZZB-HZ-2025078C-3</w:t>
      </w:r>
    </w:p>
    <w:p w14:paraId="23B30DF1">
      <w:pPr>
        <w:shd w:val="clear"/>
        <w:spacing w:line="360" w:lineRule="auto"/>
        <w:jc w:val="left"/>
        <w:rPr>
          <w:rFonts w:ascii="仿宋" w:hAnsi="仿宋" w:eastAsia="仿宋" w:cs="仿宋"/>
          <w:bCs/>
          <w:color w:val="000000" w:themeColor="text1"/>
          <w:sz w:val="22"/>
          <w:szCs w:val="22"/>
          <w14:textFill>
            <w14:solidFill>
              <w14:schemeClr w14:val="tx1"/>
            </w14:solidFill>
          </w14:textFill>
        </w:rPr>
      </w:pPr>
      <w:r>
        <w:rPr>
          <w:rFonts w:hint="eastAsia" w:ascii="仿宋" w:hAnsi="仿宋" w:eastAsia="仿宋" w:cs="仿宋"/>
          <w:bCs/>
          <w:color w:val="000000" w:themeColor="text1"/>
          <w:sz w:val="22"/>
          <w:szCs w:val="22"/>
          <w14:textFill>
            <w14:solidFill>
              <w14:schemeClr w14:val="tx1"/>
            </w14:solidFill>
          </w14:textFill>
        </w:rPr>
        <w:t>说明：由供应商根据第三章 《评</w:t>
      </w:r>
      <w:r>
        <w:rPr>
          <w:rFonts w:hint="eastAsia" w:ascii="仿宋" w:hAnsi="仿宋" w:eastAsia="仿宋" w:cs="仿宋"/>
          <w:bCs/>
          <w:color w:val="000000" w:themeColor="text1"/>
          <w:sz w:val="22"/>
          <w:szCs w:val="22"/>
          <w:lang w:val="en-US" w:eastAsia="zh-CN"/>
          <w14:textFill>
            <w14:solidFill>
              <w14:schemeClr w14:val="tx1"/>
            </w14:solidFill>
          </w14:textFill>
        </w:rPr>
        <w:t>标办法</w:t>
      </w:r>
      <w:r>
        <w:rPr>
          <w:rFonts w:hint="eastAsia" w:ascii="仿宋" w:hAnsi="仿宋" w:eastAsia="仿宋" w:cs="仿宋"/>
          <w:bCs/>
          <w:color w:val="000000" w:themeColor="text1"/>
          <w:sz w:val="22"/>
          <w:szCs w:val="22"/>
          <w14:textFill>
            <w14:solidFill>
              <w14:schemeClr w14:val="tx1"/>
            </w14:solidFill>
          </w14:textFill>
        </w:rPr>
        <w:t>》内评审要素一览表</w:t>
      </w:r>
      <w:r>
        <w:rPr>
          <w:rFonts w:hint="eastAsia" w:ascii="仿宋" w:hAnsi="仿宋" w:eastAsia="仿宋" w:cs="仿宋"/>
          <w:bCs/>
          <w:color w:val="000000" w:themeColor="text1"/>
          <w:sz w:val="22"/>
          <w:szCs w:val="22"/>
          <w:lang w:val="en-US" w:eastAsia="zh-CN"/>
          <w14:textFill>
            <w14:solidFill>
              <w14:schemeClr w14:val="tx1"/>
            </w14:solidFill>
          </w14:textFill>
        </w:rPr>
        <w:t>商务</w:t>
      </w:r>
      <w:r>
        <w:rPr>
          <w:rFonts w:hint="eastAsia" w:ascii="仿宋" w:hAnsi="仿宋" w:eastAsia="仿宋" w:cs="仿宋"/>
          <w:bCs/>
          <w:color w:val="000000" w:themeColor="text1"/>
          <w:sz w:val="22"/>
          <w:szCs w:val="22"/>
          <w14:textFill>
            <w14:solidFill>
              <w14:schemeClr w14:val="tx1"/>
            </w14:solidFill>
          </w14:textFill>
        </w:rPr>
        <w:t>部分的评审标准，结合第四章《采购内容及具体要求》等进行编制，格式内容自拟。</w:t>
      </w:r>
    </w:p>
    <w:p w14:paraId="7BF9E769">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1826AB93">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48E1DA81">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6149A8C0">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5D8E578E">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16B1E6D6">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6CA7DC22">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12EAB4B4">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371A7FE9">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23B9A0E5">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71BC871B">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3EF9EE93">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0A37B23D">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575383F5">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7C467BC2">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46265CAD">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6588041F">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4F4F3D53">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p>
    <w:p w14:paraId="787201C2">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附表一</w:t>
      </w:r>
    </w:p>
    <w:p w14:paraId="0AEAE507">
      <w:pPr>
        <w:pStyle w:val="55"/>
        <w:ind w:left="0" w:leftChars="0" w:firstLine="0" w:firstLineChars="0"/>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 xml:space="preserve">                         商务偏离表</w:t>
      </w:r>
    </w:p>
    <w:tbl>
      <w:tblPr>
        <w:tblStyle w:val="41"/>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70809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01D42083">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序号</w:t>
            </w:r>
          </w:p>
        </w:tc>
        <w:tc>
          <w:tcPr>
            <w:tcW w:w="2107" w:type="dxa"/>
            <w:vAlign w:val="center"/>
          </w:tcPr>
          <w:p w14:paraId="32D1856B">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招标文件商务要求</w:t>
            </w:r>
          </w:p>
        </w:tc>
        <w:tc>
          <w:tcPr>
            <w:tcW w:w="2443" w:type="dxa"/>
            <w:vAlign w:val="center"/>
          </w:tcPr>
          <w:p w14:paraId="492F18BD">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投标文件商务响应</w:t>
            </w:r>
          </w:p>
        </w:tc>
        <w:tc>
          <w:tcPr>
            <w:tcW w:w="1586" w:type="dxa"/>
            <w:vAlign w:val="center"/>
          </w:tcPr>
          <w:p w14:paraId="41032F16">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偏离情况</w:t>
            </w:r>
          </w:p>
        </w:tc>
        <w:tc>
          <w:tcPr>
            <w:tcW w:w="1943" w:type="dxa"/>
            <w:vAlign w:val="center"/>
          </w:tcPr>
          <w:p w14:paraId="06A0F1DE">
            <w:pPr>
              <w:adjustRightInd w:val="0"/>
              <w:snapToGrid w:val="0"/>
              <w:ind w:right="23"/>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说明</w:t>
            </w:r>
          </w:p>
        </w:tc>
      </w:tr>
      <w:tr w14:paraId="4176D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230505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4B8A0C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1B2414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461309F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13C936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42A9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F3E256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44A23B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229F149A">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09E5AE6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58A1CD7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76694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3AB0C3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23C50277">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304D49D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202B6E5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A1CD11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229FF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2F9B5E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6418A0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ED0209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38FEA5A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8C748A7">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9599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7FB7AF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8F3C79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043B389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735208F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5E4327C0">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5140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4EF6D8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3A7E42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2D418F0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15CFCD9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F60F2C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0A523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C47928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06E182E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55A41EA">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710A3F3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3FFACE5">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5AFD1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21DE8A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4D6022D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57C4098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56CF827B">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331E22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68D96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D8D8763">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89BC135">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A1C8E2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5197DA1B">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6E69483">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00A66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EACB1D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11902A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04E9616D">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06E8ED5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8E6BCB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11373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34A14B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6884C0FE">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77A2BF6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6F30BC4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55215041">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4221C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C5C0C1A">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54BDE64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6857492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3345A13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22103743">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3DF89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F657C38">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7BB21B56">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275298A9">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1F3002B7">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043E0C4F">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r w14:paraId="06B6B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56C0D1C">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107" w:type="dxa"/>
          </w:tcPr>
          <w:p w14:paraId="5D709F4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2443" w:type="dxa"/>
          </w:tcPr>
          <w:p w14:paraId="4BAAFA2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586" w:type="dxa"/>
          </w:tcPr>
          <w:p w14:paraId="7FFBACF4">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c>
          <w:tcPr>
            <w:tcW w:w="1943" w:type="dxa"/>
          </w:tcPr>
          <w:p w14:paraId="445B69F2">
            <w:pPr>
              <w:adjustRightInd w:val="0"/>
              <w:snapToGrid w:val="0"/>
              <w:spacing w:line="360" w:lineRule="auto"/>
              <w:ind w:right="24"/>
              <w:rPr>
                <w:rFonts w:ascii="仿宋" w:hAnsi="仿宋" w:eastAsia="仿宋" w:cs="仿宋"/>
                <w:bCs/>
                <w:color w:val="000000" w:themeColor="text1"/>
                <w:sz w:val="24"/>
                <w14:textFill>
                  <w14:solidFill>
                    <w14:schemeClr w14:val="tx1"/>
                  </w14:solidFill>
                </w14:textFill>
              </w:rPr>
            </w:pPr>
          </w:p>
        </w:tc>
      </w:tr>
    </w:tbl>
    <w:p w14:paraId="1546DD2F">
      <w:pPr>
        <w:spacing w:before="156" w:beforeLines="50" w:line="400" w:lineRule="exact"/>
        <w:ind w:left="735" w:leftChars="50" w:hanging="630" w:hanging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说明：1.该表必须按照招标文件商务要求逐条如实填报，根据情况在“偏离情况”项填写正偏离或负偏离或无偏离，在“说明”项填写正偏离或负偏离原因。</w:t>
      </w:r>
    </w:p>
    <w:p w14:paraId="013B222C">
      <w:pPr>
        <w:keepNext w:val="0"/>
        <w:keepLines w:val="0"/>
        <w:pageBreakBefore w:val="0"/>
        <w:widowControl w:val="0"/>
        <w:kinsoku/>
        <w:wordWrap/>
        <w:overflowPunct/>
        <w:topLinePunct w:val="0"/>
        <w:autoSpaceDE/>
        <w:autoSpaceDN/>
        <w:bidi w:val="0"/>
        <w:adjustRightInd/>
        <w:snapToGrid/>
        <w:spacing w:line="480" w:lineRule="auto"/>
        <w:ind w:firstLine="630" w:firstLineChars="300"/>
        <w:jc w:val="right"/>
        <w:textAlignment w:val="auto"/>
        <w:outlineLvl w:val="9"/>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14:textFill>
            <w14:solidFill>
              <w14:schemeClr w14:val="tx1"/>
            </w14:solidFill>
          </w14:textFill>
        </w:rPr>
        <w:t>投 标 人：</w:t>
      </w:r>
      <w:r>
        <w:rPr>
          <w:rFonts w:hint="eastAsia" w:ascii="仿宋" w:hAnsi="仿宋" w:eastAsia="仿宋" w:cs="仿宋"/>
          <w:b w:val="0"/>
          <w:bCs/>
          <w:color w:val="000000" w:themeColor="text1"/>
          <w:sz w:val="21"/>
          <w:szCs w:val="21"/>
          <w:u w:val="single"/>
          <w14:textFill>
            <w14:solidFill>
              <w14:schemeClr w14:val="tx1"/>
            </w14:solidFill>
          </w14:textFill>
        </w:rPr>
        <w:t xml:space="preserve">                  </w:t>
      </w:r>
      <w:r>
        <w:rPr>
          <w:rFonts w:hint="eastAsia" w:ascii="仿宋" w:hAnsi="仿宋" w:eastAsia="仿宋" w:cs="仿宋"/>
          <w:b w:val="0"/>
          <w:bCs/>
          <w:color w:val="000000" w:themeColor="text1"/>
          <w:sz w:val="21"/>
          <w:szCs w:val="21"/>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1"/>
          <w:szCs w:val="21"/>
          <w:u w:val="single"/>
          <w14:textFill>
            <w14:solidFill>
              <w14:schemeClr w14:val="tx1"/>
            </w14:solidFill>
          </w14:textFill>
        </w:rPr>
        <w:t xml:space="preserve">  （公章）</w:t>
      </w:r>
    </w:p>
    <w:p w14:paraId="6852D473">
      <w:pPr>
        <w:pStyle w:val="56"/>
        <w:keepNext w:val="0"/>
        <w:keepLines w:val="0"/>
        <w:pageBreakBefore w:val="0"/>
        <w:widowControl w:val="0"/>
        <w:kinsoku/>
        <w:wordWrap/>
        <w:overflowPunct/>
        <w:topLinePunct w:val="0"/>
        <w:autoSpaceDE/>
        <w:autoSpaceDN/>
        <w:bidi w:val="0"/>
        <w:adjustRightInd/>
        <w:snapToGrid/>
        <w:spacing w:line="480" w:lineRule="auto"/>
        <w:ind w:firstLine="619" w:firstLineChars="295"/>
        <w:jc w:val="right"/>
        <w:textAlignment w:val="auto"/>
        <w:outlineLvl w:val="9"/>
        <w:rPr>
          <w:rFonts w:hint="eastAsia" w:ascii="仿宋" w:hAnsi="仿宋" w:eastAsia="仿宋" w:cs="仿宋"/>
          <w:b w:val="0"/>
          <w:bCs/>
          <w:color w:val="000000" w:themeColor="text1"/>
          <w:kern w:val="2"/>
          <w:sz w:val="21"/>
          <w:szCs w:val="21"/>
          <w:u w:val="single"/>
          <w14:textFill>
            <w14:solidFill>
              <w14:schemeClr w14:val="tx1"/>
            </w14:solidFill>
          </w14:textFill>
        </w:rPr>
      </w:pPr>
      <w:r>
        <w:rPr>
          <w:rFonts w:hint="eastAsia" w:ascii="仿宋" w:hAnsi="仿宋" w:eastAsia="仿宋" w:cs="仿宋"/>
          <w:b w:val="0"/>
          <w:bCs/>
          <w:color w:val="000000" w:themeColor="text1"/>
          <w:kern w:val="2"/>
          <w:sz w:val="21"/>
          <w:szCs w:val="21"/>
          <w14:textFill>
            <w14:solidFill>
              <w14:schemeClr w14:val="tx1"/>
            </w14:solidFill>
          </w14:textFill>
        </w:rPr>
        <w:t>法定代表人或其被授权委托代理人 ：</w:t>
      </w:r>
      <w:r>
        <w:rPr>
          <w:rFonts w:hint="eastAsia" w:ascii="仿宋" w:hAnsi="仿宋" w:eastAsia="仿宋" w:cs="仿宋"/>
          <w:b w:val="0"/>
          <w:bCs/>
          <w:color w:val="000000" w:themeColor="text1"/>
          <w:kern w:val="2"/>
          <w:sz w:val="21"/>
          <w:szCs w:val="21"/>
          <w:u w:val="single"/>
          <w14:textFill>
            <w14:solidFill>
              <w14:schemeClr w14:val="tx1"/>
            </w14:solidFill>
          </w14:textFill>
        </w:rPr>
        <w:t xml:space="preserve">    （签字）</w:t>
      </w:r>
    </w:p>
    <w:p w14:paraId="27880E12">
      <w:pPr>
        <w:rPr>
          <w:rFonts w:hint="eastAsia" w:ascii="仿宋" w:hAnsi="仿宋" w:eastAsia="仿宋" w:cs="仿宋"/>
          <w:b w:val="0"/>
          <w:bCs/>
          <w:color w:val="000000" w:themeColor="text1"/>
          <w:sz w:val="21"/>
          <w:szCs w:val="21"/>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szCs w:val="21"/>
          <w14:textFill>
            <w14:solidFill>
              <w14:schemeClr w14:val="tx1"/>
            </w14:solidFill>
          </w14:textFill>
        </w:rPr>
        <w:t>日  期：  年  月  日</w:t>
      </w:r>
    </w:p>
    <w:p w14:paraId="59AB90EC">
      <w:pPr>
        <w:rPr>
          <w:rFonts w:hint="eastAsia" w:ascii="仿宋" w:hAnsi="仿宋" w:eastAsia="仿宋" w:cs="仿宋"/>
          <w:b/>
          <w:color w:val="000000" w:themeColor="text1"/>
          <w:sz w:val="32"/>
          <w:lang w:val="en-US" w:eastAsia="zh-CN"/>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br w:type="page"/>
      </w:r>
    </w:p>
    <w:p w14:paraId="42F7115C">
      <w:pPr>
        <w:pStyle w:val="19"/>
        <w:jc w:val="both"/>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附表二</w:t>
      </w:r>
    </w:p>
    <w:p w14:paraId="26B6409A">
      <w:pPr>
        <w:widowControl/>
        <w:ind w:firstLine="3080" w:firstLineChars="1100"/>
        <w:outlineLvl w:val="9"/>
        <w:rPr>
          <w:rFonts w:hint="eastAsia" w:ascii="仿宋" w:hAnsi="仿宋" w:eastAsia="仿宋" w:cs="仿宋"/>
          <w:color w:val="000000" w:themeColor="text1"/>
          <w:kern w:val="1"/>
          <w:sz w:val="28"/>
          <w:szCs w:val="28"/>
          <w:lang w:val="en-US" w:eastAsia="zh-CN" w:bidi="ar-SA"/>
          <w14:textFill>
            <w14:solidFill>
              <w14:schemeClr w14:val="tx1"/>
            </w14:solidFill>
          </w14:textFill>
        </w:rPr>
      </w:pPr>
      <w:r>
        <w:rPr>
          <w:rFonts w:hint="eastAsia" w:ascii="仿宋" w:hAnsi="仿宋" w:eastAsia="仿宋" w:cs="仿宋"/>
          <w:color w:val="000000" w:themeColor="text1"/>
          <w:kern w:val="1"/>
          <w:sz w:val="28"/>
          <w:szCs w:val="28"/>
          <w:lang w:val="en-US" w:eastAsia="zh-CN" w:bidi="ar-SA"/>
          <w14:textFill>
            <w14:solidFill>
              <w14:schemeClr w14:val="tx1"/>
            </w14:solidFill>
          </w14:textFill>
        </w:rPr>
        <w:t>类似项目业绩</w:t>
      </w:r>
    </w:p>
    <w:tbl>
      <w:tblPr>
        <w:tblStyle w:val="41"/>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9"/>
        <w:gridCol w:w="1097"/>
        <w:gridCol w:w="2179"/>
        <w:gridCol w:w="1243"/>
        <w:gridCol w:w="1196"/>
        <w:gridCol w:w="1953"/>
        <w:gridCol w:w="1078"/>
      </w:tblGrid>
      <w:tr w14:paraId="40A7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6248060">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序号</w:t>
            </w:r>
          </w:p>
        </w:tc>
        <w:tc>
          <w:tcPr>
            <w:tcW w:w="1097" w:type="dxa"/>
            <w:vAlign w:val="center"/>
          </w:tcPr>
          <w:p w14:paraId="6852E120">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2179" w:type="dxa"/>
            <w:vAlign w:val="center"/>
          </w:tcPr>
          <w:p w14:paraId="5967CB6D">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项目内容</w:t>
            </w:r>
          </w:p>
        </w:tc>
        <w:tc>
          <w:tcPr>
            <w:tcW w:w="1243" w:type="dxa"/>
            <w:tcBorders>
              <w:left w:val="single" w:color="auto" w:sz="4" w:space="0"/>
              <w:right w:val="single" w:color="auto" w:sz="4" w:space="0"/>
            </w:tcBorders>
            <w:vAlign w:val="center"/>
          </w:tcPr>
          <w:p w14:paraId="26473E21">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w:t>
            </w:r>
          </w:p>
        </w:tc>
        <w:tc>
          <w:tcPr>
            <w:tcW w:w="1196" w:type="dxa"/>
            <w:tcBorders>
              <w:left w:val="single" w:color="auto" w:sz="4" w:space="0"/>
              <w:right w:val="single" w:color="auto" w:sz="4" w:space="0"/>
            </w:tcBorders>
            <w:vAlign w:val="center"/>
          </w:tcPr>
          <w:p w14:paraId="5E8F01F4">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客户</w:t>
            </w:r>
          </w:p>
        </w:tc>
        <w:tc>
          <w:tcPr>
            <w:tcW w:w="1953" w:type="dxa"/>
            <w:tcBorders>
              <w:left w:val="single" w:color="auto" w:sz="4" w:space="0"/>
              <w:right w:val="single" w:color="auto" w:sz="4" w:space="0"/>
            </w:tcBorders>
            <w:vAlign w:val="center"/>
          </w:tcPr>
          <w:p w14:paraId="09781CE2">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实施日期</w:t>
            </w:r>
          </w:p>
        </w:tc>
        <w:tc>
          <w:tcPr>
            <w:tcW w:w="1078" w:type="dxa"/>
            <w:vAlign w:val="center"/>
          </w:tcPr>
          <w:p w14:paraId="0EF52E41">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475EF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708FB263">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097" w:type="dxa"/>
            <w:vAlign w:val="center"/>
          </w:tcPr>
          <w:p w14:paraId="3EC6CF7E">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4D4CA3B5">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5599D4A7">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7E88222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0961817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4BED0302">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4BE57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6CF9030">
            <w:pPr>
              <w:spacing w:line="360" w:lineRule="auto"/>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097" w:type="dxa"/>
            <w:vAlign w:val="center"/>
          </w:tcPr>
          <w:p w14:paraId="7679D227">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7FDADCEF">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1EB292F8">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7A9B6F25">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0F858C1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62A2B9A3">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11C6D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527977B4">
            <w:pPr>
              <w:spacing w:line="360" w:lineRule="auto"/>
              <w:jc w:val="center"/>
              <w:outlineLvl w:val="9"/>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1097" w:type="dxa"/>
            <w:vAlign w:val="center"/>
          </w:tcPr>
          <w:p w14:paraId="17FF722C">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7CDF2591">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04B385ED">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06295B08">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693D41FA">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7CCE4966">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2A18B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079F9B0F">
            <w:pPr>
              <w:spacing w:line="360" w:lineRule="auto"/>
              <w:jc w:val="center"/>
              <w:outlineLvl w:val="9"/>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1097" w:type="dxa"/>
            <w:vAlign w:val="center"/>
          </w:tcPr>
          <w:p w14:paraId="00922D7D">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3CB4B763">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3AEF9FC2">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442B6AB0">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03CD2D0C">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tcPr>
          <w:p w14:paraId="3C5927DB">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r w14:paraId="02C24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227D7874">
            <w:pPr>
              <w:spacing w:line="360" w:lineRule="auto"/>
              <w:ind w:left="120"/>
              <w:jc w:val="center"/>
              <w:outlineLvl w:val="9"/>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p>
        </w:tc>
        <w:tc>
          <w:tcPr>
            <w:tcW w:w="1097" w:type="dxa"/>
            <w:vAlign w:val="center"/>
          </w:tcPr>
          <w:p w14:paraId="3979D462">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2179" w:type="dxa"/>
            <w:vAlign w:val="center"/>
          </w:tcPr>
          <w:p w14:paraId="531DF0EC">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243" w:type="dxa"/>
            <w:tcBorders>
              <w:left w:val="single" w:color="auto" w:sz="4" w:space="0"/>
              <w:right w:val="single" w:color="auto" w:sz="4" w:space="0"/>
            </w:tcBorders>
            <w:vAlign w:val="center"/>
          </w:tcPr>
          <w:p w14:paraId="650DD66E">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196" w:type="dxa"/>
            <w:tcBorders>
              <w:left w:val="single" w:color="auto" w:sz="4" w:space="0"/>
              <w:right w:val="single" w:color="auto" w:sz="4" w:space="0"/>
            </w:tcBorders>
            <w:vAlign w:val="center"/>
          </w:tcPr>
          <w:p w14:paraId="50322D4A">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953" w:type="dxa"/>
            <w:tcBorders>
              <w:left w:val="single" w:color="auto" w:sz="4" w:space="0"/>
              <w:right w:val="single" w:color="auto" w:sz="4" w:space="0"/>
            </w:tcBorders>
            <w:vAlign w:val="center"/>
          </w:tcPr>
          <w:p w14:paraId="4AD88C66">
            <w:pPr>
              <w:spacing w:line="360" w:lineRule="auto"/>
              <w:jc w:val="center"/>
              <w:outlineLvl w:val="9"/>
              <w:rPr>
                <w:rFonts w:ascii="仿宋" w:hAnsi="仿宋" w:eastAsia="仿宋" w:cs="仿宋"/>
                <w:color w:val="000000" w:themeColor="text1"/>
                <w:szCs w:val="21"/>
                <w14:textFill>
                  <w14:solidFill>
                    <w14:schemeClr w14:val="tx1"/>
                  </w14:solidFill>
                </w14:textFill>
              </w:rPr>
            </w:pPr>
          </w:p>
        </w:tc>
        <w:tc>
          <w:tcPr>
            <w:tcW w:w="1078" w:type="dxa"/>
            <w:vAlign w:val="center"/>
          </w:tcPr>
          <w:p w14:paraId="619C8F74">
            <w:pPr>
              <w:spacing w:line="360" w:lineRule="auto"/>
              <w:jc w:val="center"/>
              <w:outlineLvl w:val="9"/>
              <w:rPr>
                <w:rFonts w:ascii="仿宋" w:hAnsi="仿宋" w:eastAsia="仿宋" w:cs="仿宋"/>
                <w:color w:val="000000" w:themeColor="text1"/>
                <w:szCs w:val="21"/>
                <w14:textFill>
                  <w14:solidFill>
                    <w14:schemeClr w14:val="tx1"/>
                  </w14:solidFill>
                </w14:textFill>
              </w:rPr>
            </w:pPr>
          </w:p>
        </w:tc>
      </w:tr>
    </w:tbl>
    <w:p w14:paraId="6311266F">
      <w:pPr>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注：表后按填报的业绩顺序附中标/</w:t>
      </w:r>
      <w:r>
        <w:rPr>
          <w:rFonts w:hint="eastAsia" w:ascii="仿宋" w:hAnsi="仿宋" w:eastAsia="仿宋" w:cs="仿宋"/>
          <w:color w:val="000000" w:themeColor="text1"/>
          <w:lang w:val="en-US" w:eastAsia="zh-CN"/>
          <w14:textFill>
            <w14:solidFill>
              <w14:schemeClr w14:val="tx1"/>
            </w14:solidFill>
          </w14:textFill>
        </w:rPr>
        <w:t>成交</w:t>
      </w:r>
      <w:r>
        <w:rPr>
          <w:rFonts w:hint="eastAsia" w:ascii="仿宋" w:hAnsi="仿宋" w:eastAsia="仿宋" w:cs="仿宋"/>
          <w:color w:val="000000" w:themeColor="text1"/>
          <w14:textFill>
            <w14:solidFill>
              <w14:schemeClr w14:val="tx1"/>
            </w14:solidFill>
          </w14:textFill>
        </w:rPr>
        <w:t>通知书或合同加盖公章，材料应清晰可辨认。</w:t>
      </w:r>
    </w:p>
    <w:p w14:paraId="6F7267BD">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4AC33FB2">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6A66AC28">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22AEF58B">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38974755">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44646D64">
      <w:pPr>
        <w:jc w:val="center"/>
        <w:outlineLvl w:val="0"/>
        <w:rPr>
          <w:rFonts w:hint="eastAsia" w:ascii="仿宋" w:hAnsi="仿宋" w:eastAsia="仿宋" w:cs="仿宋"/>
          <w:b/>
          <w:color w:val="000000" w:themeColor="text1"/>
          <w:sz w:val="32"/>
          <w:lang w:val="en-US" w:eastAsia="zh-CN"/>
          <w14:textFill>
            <w14:solidFill>
              <w14:schemeClr w14:val="tx1"/>
            </w14:solidFill>
          </w14:textFill>
        </w:rPr>
      </w:pPr>
    </w:p>
    <w:p w14:paraId="7EEC522E">
      <w:pPr>
        <w:jc w:val="center"/>
        <w:outlineLvl w:val="0"/>
        <w:rPr>
          <w:rFonts w:hint="eastAsia" w:ascii="仿宋" w:hAnsi="仿宋" w:eastAsia="仿宋" w:cs="仿宋"/>
          <w:b/>
          <w:color w:val="000000" w:themeColor="text1"/>
          <w:sz w:val="32"/>
          <w:lang w:eastAsia="zh-CN"/>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t>五</w:t>
      </w:r>
      <w:r>
        <w:rPr>
          <w:rFonts w:hint="eastAsia" w:ascii="仿宋" w:hAnsi="仿宋" w:eastAsia="仿宋" w:cs="仿宋"/>
          <w:b/>
          <w:color w:val="000000" w:themeColor="text1"/>
          <w:sz w:val="32"/>
          <w14:textFill>
            <w14:solidFill>
              <w14:schemeClr w14:val="tx1"/>
            </w14:solidFill>
          </w14:textFill>
        </w:rPr>
        <w:t>、</w:t>
      </w:r>
      <w:r>
        <w:rPr>
          <w:rFonts w:hint="eastAsia" w:ascii="仿宋" w:hAnsi="仿宋" w:eastAsia="仿宋" w:cs="仿宋"/>
          <w:b/>
          <w:color w:val="000000" w:themeColor="text1"/>
          <w:sz w:val="32"/>
          <w:lang w:val="en-US" w:eastAsia="zh-CN"/>
          <w14:textFill>
            <w14:solidFill>
              <w14:schemeClr w14:val="tx1"/>
            </w14:solidFill>
          </w14:textFill>
        </w:rPr>
        <w:t>技术</w:t>
      </w:r>
      <w:r>
        <w:rPr>
          <w:rFonts w:hint="eastAsia" w:ascii="仿宋" w:hAnsi="仿宋" w:eastAsia="仿宋" w:cs="仿宋"/>
          <w:b/>
          <w:color w:val="000000" w:themeColor="text1"/>
          <w:sz w:val="32"/>
          <w14:textFill>
            <w14:solidFill>
              <w14:schemeClr w14:val="tx1"/>
            </w14:solidFill>
          </w14:textFill>
        </w:rPr>
        <w:t>服务</w:t>
      </w:r>
      <w:r>
        <w:rPr>
          <w:rFonts w:hint="eastAsia" w:ascii="仿宋" w:hAnsi="仿宋" w:eastAsia="仿宋" w:cs="仿宋"/>
          <w:b/>
          <w:color w:val="000000" w:themeColor="text1"/>
          <w:sz w:val="32"/>
          <w:lang w:val="en-US" w:eastAsia="zh-CN"/>
          <w14:textFill>
            <w14:solidFill>
              <w14:schemeClr w14:val="tx1"/>
            </w14:solidFill>
          </w14:textFill>
        </w:rPr>
        <w:t>部分</w:t>
      </w:r>
    </w:p>
    <w:p w14:paraId="0A3E1880">
      <w:pPr>
        <w:adjustRightInd w:val="0"/>
        <w:spacing w:line="400" w:lineRule="exact"/>
        <w:ind w:firstLine="420" w:firstLineChars="200"/>
        <w:jc w:val="left"/>
        <w:rPr>
          <w:rFonts w:ascii="仿宋" w:hAnsi="仿宋" w:eastAsia="仿宋" w:cs="仿宋"/>
          <w:bCs/>
          <w:iCs/>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说明：由投标人根据第三章《评标办法》内评标要素一览表</w:t>
      </w:r>
      <w:r>
        <w:rPr>
          <w:rFonts w:hint="eastAsia" w:ascii="仿宋" w:hAnsi="仿宋" w:eastAsia="仿宋" w:cs="仿宋"/>
          <w:color w:val="000000" w:themeColor="text1"/>
          <w:szCs w:val="21"/>
          <w:lang w:val="en-US" w:eastAsia="zh-CN"/>
          <w14:textFill>
            <w14:solidFill>
              <w14:schemeClr w14:val="tx1"/>
            </w14:solidFill>
          </w14:textFill>
        </w:rPr>
        <w:t>内技术服务部分</w:t>
      </w:r>
      <w:r>
        <w:rPr>
          <w:rFonts w:hint="eastAsia" w:ascii="仿宋" w:hAnsi="仿宋" w:eastAsia="仿宋" w:cs="仿宋"/>
          <w:color w:val="000000" w:themeColor="text1"/>
          <w:szCs w:val="21"/>
          <w14:textFill>
            <w14:solidFill>
              <w14:schemeClr w14:val="tx1"/>
            </w14:solidFill>
          </w14:textFill>
        </w:rPr>
        <w:t>，结合本项目采购内容及要求编制，格式自拟。</w:t>
      </w:r>
    </w:p>
    <w:p w14:paraId="7CB106F7">
      <w:pPr>
        <w:pStyle w:val="19"/>
        <w:rPr>
          <w:rFonts w:ascii="仿宋" w:hAnsi="仿宋" w:eastAsia="仿宋" w:cs="仿宋"/>
          <w:color w:val="000000" w:themeColor="text1"/>
          <w14:textFill>
            <w14:solidFill>
              <w14:schemeClr w14:val="tx1"/>
            </w14:solidFill>
          </w14:textFill>
        </w:rPr>
      </w:pPr>
    </w:p>
    <w:p w14:paraId="1446EDE3">
      <w:pPr>
        <w:rPr>
          <w:rFonts w:ascii="仿宋" w:hAnsi="仿宋" w:eastAsia="仿宋" w:cs="仿宋"/>
          <w:color w:val="000000" w:themeColor="text1"/>
          <w14:textFill>
            <w14:solidFill>
              <w14:schemeClr w14:val="tx1"/>
            </w14:solidFill>
          </w14:textFill>
        </w:rPr>
      </w:pPr>
    </w:p>
    <w:p w14:paraId="523766D0">
      <w:pPr>
        <w:pStyle w:val="21"/>
        <w:ind w:left="1470" w:right="1470"/>
        <w:rPr>
          <w:rFonts w:ascii="仿宋" w:hAnsi="仿宋" w:eastAsia="仿宋" w:cs="仿宋"/>
          <w:color w:val="000000" w:themeColor="text1"/>
          <w14:textFill>
            <w14:solidFill>
              <w14:schemeClr w14:val="tx1"/>
            </w14:solidFill>
          </w14:textFill>
        </w:rPr>
      </w:pPr>
    </w:p>
    <w:p w14:paraId="15D17781">
      <w:pPr>
        <w:pStyle w:val="22"/>
        <w:rPr>
          <w:rFonts w:ascii="仿宋" w:hAnsi="仿宋" w:eastAsia="仿宋" w:cs="仿宋"/>
          <w:color w:val="000000" w:themeColor="text1"/>
          <w14:textFill>
            <w14:solidFill>
              <w14:schemeClr w14:val="tx1"/>
            </w14:solidFill>
          </w14:textFill>
        </w:rPr>
      </w:pPr>
    </w:p>
    <w:p w14:paraId="711E25B7">
      <w:pPr>
        <w:pStyle w:val="22"/>
        <w:rPr>
          <w:rFonts w:ascii="仿宋" w:hAnsi="仿宋" w:eastAsia="仿宋" w:cs="仿宋"/>
          <w:color w:val="000000" w:themeColor="text1"/>
          <w14:textFill>
            <w14:solidFill>
              <w14:schemeClr w14:val="tx1"/>
            </w14:solidFill>
          </w14:textFill>
        </w:rPr>
      </w:pPr>
    </w:p>
    <w:p w14:paraId="79978C58">
      <w:pPr>
        <w:pStyle w:val="19"/>
        <w:jc w:val="both"/>
        <w:rPr>
          <w:rFonts w:ascii="仿宋" w:hAnsi="仿宋" w:eastAsia="仿宋" w:cs="仿宋"/>
          <w:color w:val="000000" w:themeColor="text1"/>
          <w14:textFill>
            <w14:solidFill>
              <w14:schemeClr w14:val="tx1"/>
            </w14:solidFill>
          </w14:textFill>
        </w:rPr>
      </w:pPr>
    </w:p>
    <w:p w14:paraId="5303E9FF">
      <w:pPr>
        <w:adjustRightInd w:val="0"/>
        <w:snapToGrid w:val="0"/>
        <w:spacing w:line="360" w:lineRule="auto"/>
        <w:ind w:firstLine="525" w:firstLineChars="250"/>
        <w:rPr>
          <w:rFonts w:ascii="仿宋" w:hAnsi="仿宋" w:eastAsia="仿宋" w:cs="仿宋"/>
          <w:bCs/>
          <w:color w:val="000000" w:themeColor="text1"/>
          <w:szCs w:val="21"/>
          <w14:textFill>
            <w14:solidFill>
              <w14:schemeClr w14:val="tx1"/>
            </w14:solidFill>
          </w14:textFill>
        </w:rPr>
      </w:pPr>
    </w:p>
    <w:p w14:paraId="7369F1C9">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1712AD37">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CE5BFED">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16E169D">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D78C452">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0084863">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2E3599D">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52141D47">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7E4C9141">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3D583EFA">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149A4F3">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0346C2B">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FABBC5A">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2BE434BC">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4F93EB4C">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4424396">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14384362">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8D57233">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6AD1D867">
      <w:pPr>
        <w:spacing w:line="360" w:lineRule="auto"/>
        <w:jc w:val="center"/>
        <w:rPr>
          <w:rFonts w:ascii="仿宋" w:hAnsi="仿宋" w:eastAsia="仿宋" w:cs="仿宋"/>
          <w:b/>
          <w:bCs/>
          <w:color w:val="000000" w:themeColor="text1"/>
          <w:sz w:val="24"/>
          <w:szCs w:val="24"/>
          <w14:textFill>
            <w14:solidFill>
              <w14:schemeClr w14:val="tx1"/>
            </w14:solidFill>
          </w14:textFill>
        </w:rPr>
      </w:pPr>
    </w:p>
    <w:p w14:paraId="05D6B3D9">
      <w:pPr>
        <w:rPr>
          <w:rFonts w:hint="eastAsia" w:ascii="仿宋" w:hAnsi="仿宋" w:eastAsia="仿宋" w:cs="仿宋"/>
          <w:b/>
          <w:color w:val="000000" w:themeColor="text1"/>
          <w:sz w:val="32"/>
          <w:lang w:val="en-US" w:eastAsia="zh-CN"/>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br w:type="page"/>
      </w:r>
    </w:p>
    <w:p w14:paraId="6D99FC9F">
      <w:pPr>
        <w:pStyle w:val="126"/>
        <w:spacing w:line="400" w:lineRule="exact"/>
        <w:jc w:val="center"/>
        <w:outlineLvl w:val="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sz w:val="32"/>
          <w:szCs w:val="20"/>
          <w:lang w:val="en-US" w:eastAsia="zh-CN"/>
          <w14:textFill>
            <w14:solidFill>
              <w14:schemeClr w14:val="tx1"/>
            </w14:solidFill>
          </w14:textFill>
        </w:rPr>
        <w:t>六</w:t>
      </w:r>
      <w:r>
        <w:rPr>
          <w:rFonts w:hint="eastAsia" w:ascii="仿宋" w:hAnsi="仿宋" w:eastAsia="仿宋" w:cs="仿宋"/>
          <w:b/>
          <w:color w:val="000000" w:themeColor="text1"/>
          <w:sz w:val="32"/>
          <w:szCs w:val="20"/>
          <w14:textFill>
            <w14:solidFill>
              <w14:schemeClr w14:val="tx1"/>
            </w14:solidFill>
          </w14:textFill>
        </w:rPr>
        <w:t>、投标人认为有必要说明、阐述的事项或其他材料</w:t>
      </w:r>
    </w:p>
    <w:p w14:paraId="7BF91731">
      <w:pPr>
        <w:pStyle w:val="126"/>
        <w:spacing w:before="624" w:beforeLines="200" w:line="400" w:lineRule="exac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说明：本节无格式要求，格式自拟</w:t>
      </w:r>
    </w:p>
    <w:p w14:paraId="34A495A3">
      <w:pP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br w:type="page"/>
      </w:r>
    </w:p>
    <w:p w14:paraId="325B4899">
      <w:pPr>
        <w:pStyle w:val="19"/>
        <w:outlineLvl w:val="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lang w:val="en-US" w:eastAsia="zh-CN"/>
          <w14:textFill>
            <w14:solidFill>
              <w14:schemeClr w14:val="tx1"/>
            </w14:solidFill>
          </w14:textFill>
        </w:rPr>
        <w:t>七</w:t>
      </w:r>
      <w:r>
        <w:rPr>
          <w:rFonts w:hint="eastAsia" w:ascii="仿宋" w:hAnsi="仿宋" w:eastAsia="仿宋" w:cs="仿宋"/>
          <w:b/>
          <w:color w:val="000000" w:themeColor="text1"/>
          <w:sz w:val="32"/>
          <w14:textFill>
            <w14:solidFill>
              <w14:schemeClr w14:val="tx1"/>
            </w14:solidFill>
          </w14:textFill>
        </w:rPr>
        <w:t>、投标人资格证明文件</w:t>
      </w:r>
    </w:p>
    <w:p w14:paraId="1FEADD03">
      <w:pPr>
        <w:rPr>
          <w:rFonts w:ascii="仿宋" w:hAnsi="仿宋" w:eastAsia="仿宋" w:cs="仿宋"/>
          <w:color w:val="000000" w:themeColor="text1"/>
          <w14:textFill>
            <w14:solidFill>
              <w14:schemeClr w14:val="tx1"/>
            </w14:solidFill>
          </w14:textFill>
        </w:rPr>
      </w:pPr>
    </w:p>
    <w:bookmarkEnd w:id="461"/>
    <w:bookmarkEnd w:id="462"/>
    <w:bookmarkEnd w:id="463"/>
    <w:bookmarkEnd w:id="464"/>
    <w:bookmarkEnd w:id="465"/>
    <w:bookmarkEnd w:id="466"/>
    <w:bookmarkEnd w:id="467"/>
    <w:p w14:paraId="5603F210">
      <w:pPr>
        <w:shd w:val="clear"/>
        <w:rPr>
          <w:rFonts w:hint="eastAsia" w:ascii="楷体" w:hAnsi="楷体" w:eastAsia="楷体" w:cs="楷体"/>
          <w:color w:val="000000" w:themeColor="text1"/>
          <w:highlight w:val="none"/>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说明：投标人根据下列资格要求按序提供资格证明文件，本节提供部分格式，格式之外的自行编辑。</w:t>
      </w:r>
    </w:p>
    <w:p w14:paraId="22A53CFC">
      <w:pPr>
        <w:pStyle w:val="19"/>
        <w:shd w:val="clear"/>
        <w:jc w:val="center"/>
        <w:outlineLvl w:val="1"/>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468" w:name="_Toc26424"/>
      <w:bookmarkStart w:id="469" w:name="_Toc6291"/>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1.投标人基本情况表</w:t>
      </w:r>
      <w:bookmarkEnd w:id="468"/>
      <w:bookmarkEnd w:id="469"/>
    </w:p>
    <w:tbl>
      <w:tblPr>
        <w:tblStyle w:val="41"/>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19CA2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51FEB23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p>
        </w:tc>
        <w:tc>
          <w:tcPr>
            <w:tcW w:w="7016" w:type="dxa"/>
            <w:gridSpan w:val="9"/>
            <w:vAlign w:val="center"/>
          </w:tcPr>
          <w:p w14:paraId="2DAC256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E0F5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516BED7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1416" w:type="dxa"/>
            <w:vAlign w:val="center"/>
          </w:tcPr>
          <w:p w14:paraId="49D87222">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457987E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注册资金</w:t>
            </w:r>
          </w:p>
        </w:tc>
        <w:tc>
          <w:tcPr>
            <w:tcW w:w="1418" w:type="dxa"/>
            <w:vAlign w:val="center"/>
          </w:tcPr>
          <w:p w14:paraId="243B5F6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7C9A2820">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成立时间</w:t>
            </w:r>
          </w:p>
        </w:tc>
        <w:tc>
          <w:tcPr>
            <w:tcW w:w="1382" w:type="dxa"/>
            <w:vAlign w:val="center"/>
          </w:tcPr>
          <w:p w14:paraId="156ABBB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F04C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6E14D07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注册地址</w:t>
            </w:r>
          </w:p>
        </w:tc>
        <w:tc>
          <w:tcPr>
            <w:tcW w:w="4253" w:type="dxa"/>
            <w:gridSpan w:val="5"/>
            <w:vAlign w:val="center"/>
          </w:tcPr>
          <w:p w14:paraId="516F7A4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09062618">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资产总额</w:t>
            </w:r>
          </w:p>
        </w:tc>
        <w:tc>
          <w:tcPr>
            <w:tcW w:w="1382" w:type="dxa"/>
            <w:vAlign w:val="center"/>
          </w:tcPr>
          <w:p w14:paraId="5BFF42CE">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B704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7C1A861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上年营业额</w:t>
            </w:r>
          </w:p>
        </w:tc>
        <w:tc>
          <w:tcPr>
            <w:tcW w:w="1416" w:type="dxa"/>
            <w:vAlign w:val="center"/>
          </w:tcPr>
          <w:p w14:paraId="5D76981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Align w:val="center"/>
          </w:tcPr>
          <w:p w14:paraId="1F59EDC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员工总人数</w:t>
            </w:r>
          </w:p>
        </w:tc>
        <w:tc>
          <w:tcPr>
            <w:tcW w:w="1418" w:type="dxa"/>
            <w:vAlign w:val="center"/>
          </w:tcPr>
          <w:p w14:paraId="6D13901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6F1CF57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企业类型</w:t>
            </w:r>
          </w:p>
        </w:tc>
        <w:tc>
          <w:tcPr>
            <w:tcW w:w="1382" w:type="dxa"/>
            <w:vAlign w:val="center"/>
          </w:tcPr>
          <w:p w14:paraId="4187C4A4">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66F44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1712B7B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3A3B3EB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（单位负责人）</w:t>
            </w:r>
          </w:p>
        </w:tc>
        <w:tc>
          <w:tcPr>
            <w:tcW w:w="1416" w:type="dxa"/>
            <w:vMerge w:val="restart"/>
            <w:vAlign w:val="center"/>
          </w:tcPr>
          <w:p w14:paraId="7685D26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姓名</w:t>
            </w:r>
          </w:p>
        </w:tc>
        <w:tc>
          <w:tcPr>
            <w:tcW w:w="1419" w:type="dxa"/>
            <w:gridSpan w:val="3"/>
            <w:vMerge w:val="restart"/>
            <w:vAlign w:val="center"/>
          </w:tcPr>
          <w:p w14:paraId="4088A10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restart"/>
            <w:vAlign w:val="center"/>
          </w:tcPr>
          <w:p w14:paraId="0584EF4D">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1381" w:type="dxa"/>
            <w:gridSpan w:val="3"/>
            <w:vAlign w:val="center"/>
          </w:tcPr>
          <w:p w14:paraId="2C4CCD8E">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手机</w:t>
            </w:r>
          </w:p>
        </w:tc>
        <w:tc>
          <w:tcPr>
            <w:tcW w:w="1382" w:type="dxa"/>
            <w:vAlign w:val="center"/>
          </w:tcPr>
          <w:p w14:paraId="77F9A343">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43B9B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66774F4F">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234F55E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18CC577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Merge w:val="continue"/>
            <w:vAlign w:val="center"/>
          </w:tcPr>
          <w:p w14:paraId="4A8C2B6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381" w:type="dxa"/>
            <w:gridSpan w:val="3"/>
            <w:vAlign w:val="center"/>
          </w:tcPr>
          <w:p w14:paraId="20E4459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办公</w:t>
            </w:r>
          </w:p>
        </w:tc>
        <w:tc>
          <w:tcPr>
            <w:tcW w:w="1382" w:type="dxa"/>
            <w:vAlign w:val="center"/>
          </w:tcPr>
          <w:p w14:paraId="124FF52D">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28EA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5836BCE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联系方式</w:t>
            </w:r>
          </w:p>
        </w:tc>
        <w:tc>
          <w:tcPr>
            <w:tcW w:w="1416" w:type="dxa"/>
            <w:vMerge w:val="restart"/>
            <w:vAlign w:val="center"/>
          </w:tcPr>
          <w:p w14:paraId="52EFFD4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联系人</w:t>
            </w:r>
          </w:p>
        </w:tc>
        <w:tc>
          <w:tcPr>
            <w:tcW w:w="1419" w:type="dxa"/>
            <w:gridSpan w:val="3"/>
            <w:vMerge w:val="restart"/>
            <w:vAlign w:val="center"/>
          </w:tcPr>
          <w:p w14:paraId="55A8A79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7604EF7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电话</w:t>
            </w:r>
          </w:p>
        </w:tc>
        <w:tc>
          <w:tcPr>
            <w:tcW w:w="2763" w:type="dxa"/>
            <w:gridSpan w:val="4"/>
            <w:vAlign w:val="center"/>
          </w:tcPr>
          <w:p w14:paraId="4E71C78A">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C954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79205F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6" w:type="dxa"/>
            <w:vMerge w:val="continue"/>
            <w:vAlign w:val="center"/>
          </w:tcPr>
          <w:p w14:paraId="0960D66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9" w:type="dxa"/>
            <w:gridSpan w:val="3"/>
            <w:vMerge w:val="continue"/>
            <w:vAlign w:val="center"/>
          </w:tcPr>
          <w:p w14:paraId="3B4FC67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418" w:type="dxa"/>
            <w:vAlign w:val="center"/>
          </w:tcPr>
          <w:p w14:paraId="146DD47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邮箱</w:t>
            </w:r>
          </w:p>
        </w:tc>
        <w:tc>
          <w:tcPr>
            <w:tcW w:w="2763" w:type="dxa"/>
            <w:gridSpan w:val="4"/>
            <w:vAlign w:val="center"/>
          </w:tcPr>
          <w:p w14:paraId="4E78E1DE">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084F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3FC8764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基本账户开户银行</w:t>
            </w:r>
          </w:p>
        </w:tc>
        <w:tc>
          <w:tcPr>
            <w:tcW w:w="2835" w:type="dxa"/>
            <w:gridSpan w:val="4"/>
            <w:vAlign w:val="center"/>
          </w:tcPr>
          <w:p w14:paraId="37954D7B">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1985" w:type="dxa"/>
            <w:gridSpan w:val="3"/>
            <w:vAlign w:val="center"/>
          </w:tcPr>
          <w:p w14:paraId="14716E77">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基本账户银行账号</w:t>
            </w:r>
          </w:p>
        </w:tc>
        <w:tc>
          <w:tcPr>
            <w:tcW w:w="2196" w:type="dxa"/>
            <w:gridSpan w:val="2"/>
            <w:vAlign w:val="center"/>
          </w:tcPr>
          <w:p w14:paraId="0663CA9C">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2A3B7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6A9734D6">
            <w:pPr>
              <w:shd w:val="clear"/>
              <w:topLinePunct/>
              <w:spacing w:line="36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投标人关联企业情况（包括但不限于与投标人法定代表人为同一人或者存在控股、管理关系的不同单位）</w:t>
            </w:r>
          </w:p>
        </w:tc>
        <w:tc>
          <w:tcPr>
            <w:tcW w:w="7016" w:type="dxa"/>
            <w:gridSpan w:val="9"/>
            <w:vAlign w:val="center"/>
          </w:tcPr>
          <w:p w14:paraId="0DC616F6">
            <w:pPr>
              <w:shd w:val="clear"/>
              <w:topLinePunct/>
              <w:spacing w:line="44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3875F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5F9CE28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投标人应具备的资质证书</w:t>
            </w:r>
          </w:p>
        </w:tc>
        <w:tc>
          <w:tcPr>
            <w:tcW w:w="1068" w:type="dxa"/>
            <w:vAlign w:val="center"/>
          </w:tcPr>
          <w:p w14:paraId="25B7AC5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1880DEA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3969927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6EDB6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1C5F6CF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62D05B6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16B977EA">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CB0918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9638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52DEE8F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641E6E1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380357E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54255C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3858B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43BAA13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41FC2C0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F4E2A4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3D1FC41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4294E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0251F57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投标产品制造商名称</w:t>
            </w:r>
          </w:p>
        </w:tc>
        <w:tc>
          <w:tcPr>
            <w:tcW w:w="5392" w:type="dxa"/>
            <w:gridSpan w:val="7"/>
            <w:vAlign w:val="center"/>
          </w:tcPr>
          <w:p w14:paraId="6CAA18B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7B8FF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0878223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投标产品制造商应具备的资质证书</w:t>
            </w:r>
          </w:p>
        </w:tc>
        <w:tc>
          <w:tcPr>
            <w:tcW w:w="1068" w:type="dxa"/>
            <w:vAlign w:val="center"/>
          </w:tcPr>
          <w:p w14:paraId="2722E100">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等级</w:t>
            </w:r>
          </w:p>
        </w:tc>
        <w:tc>
          <w:tcPr>
            <w:tcW w:w="1701" w:type="dxa"/>
            <w:gridSpan w:val="3"/>
            <w:vAlign w:val="center"/>
          </w:tcPr>
          <w:p w14:paraId="75BFF1AC">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类型</w:t>
            </w:r>
          </w:p>
        </w:tc>
        <w:tc>
          <w:tcPr>
            <w:tcW w:w="2623" w:type="dxa"/>
            <w:gridSpan w:val="3"/>
            <w:vAlign w:val="center"/>
          </w:tcPr>
          <w:p w14:paraId="270F1443">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证书号</w:t>
            </w:r>
          </w:p>
        </w:tc>
      </w:tr>
      <w:tr w14:paraId="10FF8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3103CB8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BE3A192">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2CC96FC8">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0660AD3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02932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16A21759">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05B651B1">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0716B667">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4CDBC6EB">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r w14:paraId="686AC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09AE1B34">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068" w:type="dxa"/>
            <w:vAlign w:val="center"/>
          </w:tcPr>
          <w:p w14:paraId="665E8DA6">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1701" w:type="dxa"/>
            <w:gridSpan w:val="3"/>
            <w:vAlign w:val="center"/>
          </w:tcPr>
          <w:p w14:paraId="14059505">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c>
          <w:tcPr>
            <w:tcW w:w="2623" w:type="dxa"/>
            <w:gridSpan w:val="3"/>
            <w:vAlign w:val="center"/>
          </w:tcPr>
          <w:p w14:paraId="7032EE9E">
            <w:pPr>
              <w:shd w:val="clear"/>
              <w:topLinePunct/>
              <w:jc w:val="center"/>
              <w:rPr>
                <w:rFonts w:hint="eastAsia" w:ascii="仿宋" w:hAnsi="仿宋" w:eastAsia="仿宋" w:cs="仿宋"/>
                <w:color w:val="000000" w:themeColor="text1"/>
                <w:szCs w:val="21"/>
                <w:highlight w:val="none"/>
                <w14:textFill>
                  <w14:solidFill>
                    <w14:schemeClr w14:val="tx1"/>
                  </w14:solidFill>
                </w14:textFill>
              </w:rPr>
            </w:pPr>
          </w:p>
        </w:tc>
      </w:tr>
    </w:tbl>
    <w:p w14:paraId="59C60D9F">
      <w:pPr>
        <w:shd w:val="clear"/>
        <w:adjustRightInd w:val="0"/>
        <w:snapToGrid w:val="0"/>
        <w:spacing w:beforeLines="50"/>
        <w:ind w:left="630" w:hanging="630" w:hanging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说明：企业类型指大型、中型、小型、微型；上年营业收入、资产总额应与财务报表中的数据一致， 金额单位为万元。</w:t>
      </w:r>
    </w:p>
    <w:p w14:paraId="59CFADA8">
      <w:pPr>
        <w:pStyle w:val="19"/>
        <w:shd w:val="clear"/>
        <w:spacing w:line="360" w:lineRule="auto"/>
        <w:jc w:val="left"/>
        <w:rPr>
          <w:rFonts w:hint="eastAsia" w:ascii="楷体" w:hAnsi="楷体" w:eastAsia="楷体" w:cs="楷体"/>
          <w:b/>
          <w:color w:val="000000" w:themeColor="text1"/>
          <w:szCs w:val="21"/>
          <w:highlight w:val="none"/>
          <w14:textFill>
            <w14:solidFill>
              <w14:schemeClr w14:val="tx1"/>
            </w14:solidFill>
          </w14:textFill>
        </w:rPr>
      </w:pPr>
    </w:p>
    <w:p w14:paraId="07CDCEAD">
      <w:pPr>
        <w:pStyle w:val="19"/>
        <w:shd w:val="clear"/>
        <w:spacing w:line="360" w:lineRule="auto"/>
        <w:jc w:val="left"/>
        <w:rPr>
          <w:rFonts w:hint="eastAsia" w:ascii="楷体" w:hAnsi="楷体" w:eastAsia="楷体" w:cs="楷体"/>
          <w:b/>
          <w:color w:val="000000" w:themeColor="text1"/>
          <w:szCs w:val="21"/>
          <w:highlight w:val="none"/>
          <w14:textFill>
            <w14:solidFill>
              <w14:schemeClr w14:val="tx1"/>
            </w14:solidFill>
          </w14:textFill>
        </w:rPr>
      </w:pPr>
    </w:p>
    <w:p w14:paraId="19842EFA">
      <w:pPr>
        <w:shd w:val="clear"/>
        <w:adjustRightInd w:val="0"/>
        <w:snapToGrid w:val="0"/>
        <w:spacing w:line="360" w:lineRule="auto"/>
        <w:jc w:val="both"/>
        <w:rPr>
          <w:rFonts w:hint="eastAsia" w:ascii="楷体" w:hAnsi="楷体" w:eastAsia="楷体" w:cs="楷体"/>
          <w:b/>
          <w:bCs/>
          <w:color w:val="000000" w:themeColor="text1"/>
          <w:sz w:val="24"/>
          <w:szCs w:val="24"/>
          <w:highlight w:val="none"/>
          <w14:textFill>
            <w14:solidFill>
              <w14:schemeClr w14:val="tx1"/>
            </w14:solidFill>
          </w14:textFill>
        </w:rPr>
      </w:pPr>
    </w:p>
    <w:p w14:paraId="08623BAC">
      <w:pPr>
        <w:shd w:val="clear"/>
        <w:adjustRightInd w:val="0"/>
        <w:snapToGrid w:val="0"/>
        <w:spacing w:line="360" w:lineRule="auto"/>
        <w:jc w:val="center"/>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470" w:name="_Toc23020"/>
      <w:r>
        <w:rPr>
          <w:rFonts w:hint="eastAsia" w:ascii="仿宋" w:hAnsi="仿宋" w:eastAsia="仿宋" w:cs="仿宋"/>
          <w:b/>
          <w:bCs/>
          <w:color w:val="000000" w:themeColor="text1"/>
          <w:sz w:val="24"/>
          <w:szCs w:val="24"/>
          <w:highlight w:val="none"/>
          <w14:textFill>
            <w14:solidFill>
              <w14:schemeClr w14:val="tx1"/>
            </w14:solidFill>
          </w14:textFill>
        </w:rPr>
        <w:t>2.法定代表人（单位负责人）身份证明</w:t>
      </w:r>
      <w:bookmarkEnd w:id="470"/>
    </w:p>
    <w:p w14:paraId="17691542">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B520426">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w:t>
      </w:r>
      <w:r>
        <w:rPr>
          <w:rFonts w:hint="eastAsia" w:ascii="仿宋" w:hAnsi="仿宋" w:eastAsia="仿宋" w:cs="仿宋"/>
          <w:color w:val="000000" w:themeColor="text1"/>
          <w:kern w:val="0"/>
          <w:szCs w:val="21"/>
          <w:highlight w:val="none"/>
          <w14:textFill>
            <w14:solidFill>
              <w14:schemeClr w14:val="tx1"/>
            </w14:solidFill>
          </w14:textFill>
        </w:rPr>
        <w:t>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65790C3F">
      <w:pPr>
        <w:shd w:val="clear"/>
        <w:autoSpaceDE w:val="0"/>
        <w:autoSpaceDN w:val="0"/>
        <w:adjustRightInd w:val="0"/>
        <w:snapToGrid w:val="0"/>
        <w:spacing w:beforeLines="50" w:line="360" w:lineRule="auto"/>
        <w:jc w:val="left"/>
        <w:rPr>
          <w:rFonts w:hint="default"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统一社会信用代码：</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5214D5FE">
      <w:pPr>
        <w:shd w:val="clear"/>
        <w:autoSpaceDE w:val="0"/>
        <w:autoSpaceDN w:val="0"/>
        <w:adjustRightInd w:val="0"/>
        <w:snapToGrid w:val="0"/>
        <w:spacing w:beforeLines="50" w:line="360" w:lineRule="auto"/>
        <w:jc w:val="left"/>
        <w:rPr>
          <w:rFonts w:hint="default" w:ascii="仿宋" w:hAnsi="仿宋" w:eastAsia="仿宋" w:cs="仿宋"/>
          <w:color w:val="000000" w:themeColor="text1"/>
          <w:kern w:val="0"/>
          <w:szCs w:val="21"/>
          <w:highlight w:val="none"/>
          <w:lang w:val="en-US"/>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姓名：</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性别：</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年龄：</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职务：</w:t>
      </w:r>
      <w:r>
        <w:rPr>
          <w:rFonts w:hint="eastAsia" w:ascii="仿宋" w:hAnsi="仿宋" w:eastAsia="仿宋" w:cs="仿宋"/>
          <w:color w:val="000000" w:themeColor="text1"/>
          <w:kern w:val="0"/>
          <w:szCs w:val="21"/>
          <w:highlight w:val="none"/>
          <w:u w:val="single"/>
          <w:lang w:val="en-US" w:eastAsia="zh-CN"/>
          <w14:textFill>
            <w14:solidFill>
              <w14:schemeClr w14:val="tx1"/>
            </w14:solidFill>
          </w14:textFill>
        </w:rPr>
        <w:t xml:space="preserve">        </w:t>
      </w:r>
    </w:p>
    <w:p w14:paraId="2DDE7BB2">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系（投标</w:t>
      </w:r>
      <w:r>
        <w:rPr>
          <w:rFonts w:hint="eastAsia" w:ascii="仿宋" w:hAnsi="仿宋" w:eastAsia="仿宋" w:cs="仿宋"/>
          <w:color w:val="000000" w:themeColor="text1"/>
          <w:szCs w:val="21"/>
          <w:highlight w:val="none"/>
          <w14:textFill>
            <w14:solidFill>
              <w14:schemeClr w14:val="tx1"/>
            </w14:solidFill>
          </w14:textFill>
        </w:rPr>
        <w:t>人</w:t>
      </w:r>
      <w:r>
        <w:rPr>
          <w:rFonts w:hint="eastAsia" w:ascii="仿宋" w:hAnsi="仿宋" w:eastAsia="仿宋" w:cs="仿宋"/>
          <w:color w:val="000000" w:themeColor="text1"/>
          <w:kern w:val="0"/>
          <w:szCs w:val="21"/>
          <w:highlight w:val="none"/>
          <w14:textFill>
            <w14:solidFill>
              <w14:schemeClr w14:val="tx1"/>
            </w14:solidFill>
          </w14:textFill>
        </w:rPr>
        <w:t>名称）的法定代表人（单位负责人）。</w:t>
      </w:r>
    </w:p>
    <w:p w14:paraId="0EE716AF">
      <w:pPr>
        <w:shd w:val="clear"/>
        <w:autoSpaceDE w:val="0"/>
        <w:autoSpaceDN w:val="0"/>
        <w:adjustRightInd w:val="0"/>
        <w:snapToGrid w:val="0"/>
        <w:spacing w:beforeLines="50" w:line="360" w:lineRule="auto"/>
        <w:jc w:val="lef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特此证明。</w:t>
      </w:r>
    </w:p>
    <w:p w14:paraId="2F56726E">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p>
    <w:p w14:paraId="3AD2C5F1">
      <w:pPr>
        <w:shd w:val="clear"/>
        <w:autoSpaceDE w:val="0"/>
        <w:autoSpaceDN w:val="0"/>
        <w:adjustRightInd w:val="0"/>
        <w:snapToGrid w:val="0"/>
        <w:spacing w:beforeLines="50" w:line="360" w:lineRule="auto"/>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附：法定代表人（单位负责人）身份证复印件</w:t>
      </w:r>
    </w:p>
    <w:tbl>
      <w:tblPr>
        <w:tblStyle w:val="41"/>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4F07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BFE289F">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423EBA95">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64F25CA8">
            <w:pPr>
              <w:shd w:val="clear"/>
              <w:autoSpaceDE w:val="0"/>
              <w:autoSpaceDN w:val="0"/>
              <w:adjustRightInd w:val="0"/>
              <w:snapToGrid w:val="0"/>
              <w:spacing w:beforeLines="50" w:line="360" w:lineRule="auto"/>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法定代表人（单位负责人）身份证复印件粘贴处</w:t>
            </w:r>
          </w:p>
          <w:p w14:paraId="7E977A86">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p w14:paraId="3249F046">
            <w:pPr>
              <w:shd w:val="clear"/>
              <w:snapToGrid w:val="0"/>
              <w:spacing w:line="480" w:lineRule="auto"/>
              <w:jc w:val="center"/>
              <w:rPr>
                <w:rFonts w:hint="eastAsia" w:ascii="仿宋" w:hAnsi="仿宋" w:eastAsia="仿宋" w:cs="仿宋"/>
                <w:color w:val="000000" w:themeColor="text1"/>
                <w:szCs w:val="21"/>
                <w:highlight w:val="none"/>
                <w14:textFill>
                  <w14:solidFill>
                    <w14:schemeClr w14:val="tx1"/>
                  </w14:solidFill>
                </w14:textFill>
              </w:rPr>
            </w:pPr>
          </w:p>
        </w:tc>
      </w:tr>
    </w:tbl>
    <w:p w14:paraId="42D1B731">
      <w:pPr>
        <w:shd w:val="clear"/>
        <w:snapToGrid w:val="0"/>
        <w:spacing w:line="480" w:lineRule="auto"/>
        <w:rPr>
          <w:rFonts w:hint="eastAsia" w:ascii="仿宋" w:hAnsi="仿宋" w:eastAsia="仿宋" w:cs="仿宋"/>
          <w:color w:val="000000" w:themeColor="text1"/>
          <w:szCs w:val="21"/>
          <w:highlight w:val="none"/>
          <w14:textFill>
            <w14:solidFill>
              <w14:schemeClr w14:val="tx1"/>
            </w14:solidFill>
          </w14:textFill>
        </w:rPr>
      </w:pPr>
    </w:p>
    <w:p w14:paraId="6D9FC7E5">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38B0B529">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4980F323">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7A8ACFD3">
      <w:pPr>
        <w:shd w:val="clear"/>
        <w:snapToGrid w:val="0"/>
        <w:rPr>
          <w:rFonts w:hint="eastAsia" w:ascii="仿宋" w:hAnsi="仿宋" w:eastAsia="仿宋" w:cs="仿宋"/>
          <w:color w:val="000000" w:themeColor="text1"/>
          <w:szCs w:val="21"/>
          <w:highlight w:val="none"/>
          <w14:textFill>
            <w14:solidFill>
              <w14:schemeClr w14:val="tx1"/>
            </w14:solidFill>
          </w14:textFill>
        </w:rPr>
      </w:pPr>
    </w:p>
    <w:p w14:paraId="261BA618">
      <w:pPr>
        <w:shd w:val="clear"/>
        <w:adjustRightInd w:val="0"/>
        <w:snapToGrid w:val="0"/>
        <w:spacing w:line="360" w:lineRule="auto"/>
        <w:rPr>
          <w:rFonts w:hint="eastAsia" w:ascii="仿宋" w:hAnsi="仿宋" w:eastAsia="仿宋" w:cs="仿宋"/>
          <w:color w:val="000000" w:themeColor="text1"/>
          <w:szCs w:val="21"/>
          <w:highlight w:val="none"/>
          <w14:textFill>
            <w14:solidFill>
              <w14:schemeClr w14:val="tx1"/>
            </w14:solidFill>
          </w14:textFill>
        </w:rPr>
      </w:pPr>
    </w:p>
    <w:p w14:paraId="22FCE9F5">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730DE64B">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708C72B4">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4104C334">
      <w:pPr>
        <w:shd w:val="clear"/>
        <w:adjustRightInd w:val="0"/>
        <w:snapToGrid w:val="0"/>
        <w:spacing w:line="360" w:lineRule="auto"/>
        <w:ind w:right="420"/>
        <w:rPr>
          <w:rFonts w:hint="eastAsia" w:ascii="仿宋" w:hAnsi="仿宋" w:eastAsia="仿宋" w:cs="仿宋"/>
          <w:color w:val="000000" w:themeColor="text1"/>
          <w:szCs w:val="21"/>
          <w:highlight w:val="none"/>
          <w14:textFill>
            <w14:solidFill>
              <w14:schemeClr w14:val="tx1"/>
            </w14:solidFill>
          </w14:textFill>
        </w:rPr>
      </w:pPr>
    </w:p>
    <w:p w14:paraId="662699C0">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3182D5A0">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14:textFill>
            <w14:solidFill>
              <w14:schemeClr w14:val="tx1"/>
            </w14:solidFill>
          </w14:textFill>
        </w:rPr>
      </w:pPr>
    </w:p>
    <w:p w14:paraId="5B250507">
      <w:pPr>
        <w:shd w:val="clear"/>
        <w:adjustRightInd w:val="0"/>
        <w:snapToGrid w:val="0"/>
        <w:spacing w:line="360" w:lineRule="auto"/>
        <w:ind w:right="420" w:firstLine="3255" w:firstLineChars="15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投标人名称：</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（盖单位章）</w:t>
      </w:r>
    </w:p>
    <w:p w14:paraId="57D384F8">
      <w:pPr>
        <w:shd w:val="clear"/>
        <w:adjustRightInd w:val="0"/>
        <w:snapToGrid w:val="0"/>
        <w:spacing w:line="360" w:lineRule="auto"/>
        <w:ind w:right="420" w:firstLine="4830" w:firstLineChars="2300"/>
        <w:rPr>
          <w:rFonts w:hint="eastAsia" w:ascii="仿宋" w:hAnsi="仿宋" w:eastAsia="仿宋" w:cs="仿宋"/>
          <w:color w:val="000000" w:themeColor="text1"/>
          <w:szCs w:val="21"/>
          <w:highlight w:val="none"/>
          <w14:textFill>
            <w14:solidFill>
              <w14:schemeClr w14:val="tx1"/>
            </w14:solidFill>
          </w14:textFill>
        </w:rPr>
      </w:pPr>
    </w:p>
    <w:p w14:paraId="07D87E01">
      <w:pPr>
        <w:shd w:val="clear"/>
        <w:adjustRightInd w:val="0"/>
        <w:snapToGrid w:val="0"/>
        <w:spacing w:line="360" w:lineRule="auto"/>
        <w:ind w:right="420" w:firstLine="4252" w:firstLineChars="2025"/>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日期：20  年  月  日</w:t>
      </w:r>
    </w:p>
    <w:p w14:paraId="047523EB">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42AE6E86">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635BD350">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p>
    <w:p w14:paraId="197A7CB5">
      <w:pPr>
        <w:shd w:val="clear"/>
        <w:adjustRightInd w:val="0"/>
        <w:snapToGrid w:val="0"/>
        <w:spacing w:line="360" w:lineRule="auto"/>
        <w:ind w:right="420"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说明：仅限法定代表人（单位负责人）参加投标时提供</w:t>
      </w:r>
    </w:p>
    <w:p w14:paraId="4BBF5CB3">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73A66053">
      <w:pPr>
        <w:shd w:val="clear"/>
        <w:adjustRightInd w:val="0"/>
        <w:snapToGrid w:val="0"/>
        <w:spacing w:line="360" w:lineRule="auto"/>
        <w:ind w:right="420" w:firstLine="2168" w:firstLineChars="900"/>
        <w:rPr>
          <w:rFonts w:hint="eastAsia" w:ascii="仿宋" w:hAnsi="仿宋" w:eastAsia="仿宋" w:cs="仿宋"/>
          <w:b/>
          <w:bCs/>
          <w:color w:val="000000" w:themeColor="text1"/>
          <w:sz w:val="24"/>
          <w:szCs w:val="24"/>
          <w:highlight w:val="none"/>
          <w14:textFill>
            <w14:solidFill>
              <w14:schemeClr w14:val="tx1"/>
            </w14:solidFill>
          </w14:textFill>
        </w:rPr>
      </w:pPr>
    </w:p>
    <w:p w14:paraId="0A2EC2D0">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bookmarkStart w:id="471" w:name="_Toc24227"/>
    </w:p>
    <w:p w14:paraId="37D04D39">
      <w:pPr>
        <w:shd w:val="clear"/>
        <w:adjustRightInd w:val="0"/>
        <w:snapToGrid w:val="0"/>
        <w:spacing w:line="360" w:lineRule="auto"/>
        <w:ind w:right="420" w:firstLine="2891" w:firstLineChars="1200"/>
        <w:outlineLvl w:val="1"/>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3.法定代表人授权委托书</w:t>
      </w:r>
      <w:bookmarkEnd w:id="471"/>
    </w:p>
    <w:p w14:paraId="2CDBFA4B">
      <w:pPr>
        <w:shd w:val="clear"/>
        <w:spacing w:line="4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09D0D484">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本人</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系</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（投标人名称）</w:t>
      </w:r>
      <w:r>
        <w:rPr>
          <w:rFonts w:hint="eastAsia" w:ascii="仿宋" w:hAnsi="仿宋" w:eastAsia="仿宋" w:cs="仿宋"/>
          <w:color w:val="000000" w:themeColor="text1"/>
          <w:szCs w:val="21"/>
          <w:highlight w:val="none"/>
          <w:lang w:val="zh-CN"/>
          <w14:textFill>
            <w14:solidFill>
              <w14:schemeClr w14:val="tx1"/>
            </w14:solidFill>
          </w14:textFill>
        </w:rPr>
        <w:t>的法定代表人（单位负责人），现委托</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（姓名）</w:t>
      </w:r>
      <w:r>
        <w:rPr>
          <w:rFonts w:hint="eastAsia" w:ascii="仿宋" w:hAnsi="仿宋" w:eastAsia="仿宋" w:cs="仿宋"/>
          <w:color w:val="000000" w:themeColor="text1"/>
          <w:szCs w:val="21"/>
          <w:highlight w:val="none"/>
          <w:lang w:val="zh-CN"/>
          <w14:textFill>
            <w14:solidFill>
              <w14:schemeClr w14:val="tx1"/>
            </w14:solidFill>
          </w14:textFill>
        </w:rPr>
        <w:t>为我方代理人。代理人根据授权，以我方的名义签署、澄清确认、递交、撤回、修改</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lang w:val="zh-CN"/>
          <w14:textFill>
            <w14:solidFill>
              <w14:schemeClr w14:val="tx1"/>
            </w14:solidFill>
          </w14:textFill>
        </w:rPr>
        <w:t>（采购项目（</w:t>
      </w:r>
      <w:r>
        <w:rPr>
          <w:rFonts w:hint="eastAsia" w:ascii="仿宋" w:hAnsi="仿宋" w:eastAsia="仿宋" w:cs="仿宋"/>
          <w:color w:val="000000" w:themeColor="text1"/>
          <w:szCs w:val="21"/>
          <w:highlight w:val="none"/>
          <w:u w:val="single"/>
          <w:lang w:val="en-US" w:eastAsia="zh-CN"/>
          <w14:textFill>
            <w14:solidFill>
              <w14:schemeClr w14:val="tx1"/>
            </w14:solidFill>
          </w14:textFill>
        </w:rPr>
        <w:t>三次</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合同包  </w:t>
      </w:r>
      <w:r>
        <w:rPr>
          <w:rFonts w:hint="eastAsia" w:ascii="仿宋" w:hAnsi="仿宋" w:eastAsia="仿宋" w:cs="仿宋"/>
          <w:color w:val="000000" w:themeColor="text1"/>
          <w:szCs w:val="21"/>
          <w:highlight w:val="none"/>
          <w:u w:val="single"/>
          <w:lang w:val="zh-CN"/>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投标文件、签订合同和全权处理一切与之有关的事宜，</w:t>
      </w:r>
      <w:r>
        <w:rPr>
          <w:rFonts w:hint="eastAsia" w:ascii="仿宋" w:hAnsi="仿宋" w:eastAsia="仿宋" w:cs="仿宋"/>
          <w:color w:val="000000" w:themeColor="text1"/>
          <w:kern w:val="0"/>
          <w:szCs w:val="21"/>
          <w:highlight w:val="none"/>
          <w14:textFill>
            <w14:solidFill>
              <w14:schemeClr w14:val="tx1"/>
            </w14:solidFill>
          </w14:textFill>
        </w:rPr>
        <w:t>其法律后果由我方承担。</w:t>
      </w:r>
    </w:p>
    <w:p w14:paraId="5F3131BD">
      <w:pPr>
        <w:shd w:val="clear"/>
        <w:spacing w:line="48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委托期限</w:t>
      </w: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日至</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年</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月</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lang w:val="zh-CN"/>
          <w14:textFill>
            <w14:solidFill>
              <w14:schemeClr w14:val="tx1"/>
            </w14:solidFill>
          </w14:textFill>
        </w:rPr>
        <w:t>日。</w:t>
      </w:r>
    </w:p>
    <w:p w14:paraId="60863D66">
      <w:pPr>
        <w:shd w:val="clear"/>
        <w:spacing w:line="480" w:lineRule="auto"/>
        <w:ind w:firstLine="420" w:firstLineChars="200"/>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代理人无转委托权。</w:t>
      </w:r>
    </w:p>
    <w:p w14:paraId="27269EE3">
      <w:pPr>
        <w:shd w:val="clear"/>
        <w:spacing w:line="36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6365E1C9">
      <w:pPr>
        <w:shd w:val="clear"/>
        <w:spacing w:line="360" w:lineRule="auto"/>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附：法定代表人（单位负责人）身份证复印件</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bl>
      <w:tblPr>
        <w:tblStyle w:val="41"/>
        <w:tblW w:w="7996" w:type="dxa"/>
        <w:tblInd w:w="540" w:type="dxa"/>
        <w:tblLayout w:type="fixed"/>
        <w:tblCellMar>
          <w:top w:w="0" w:type="dxa"/>
          <w:left w:w="108" w:type="dxa"/>
          <w:bottom w:w="0" w:type="dxa"/>
          <w:right w:w="108" w:type="dxa"/>
        </w:tblCellMar>
      </w:tblPr>
      <w:tblGrid>
        <w:gridCol w:w="4081"/>
        <w:gridCol w:w="3915"/>
      </w:tblGrid>
      <w:tr w14:paraId="49637A25">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77CECD5C">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58792DB1">
            <w:pPr>
              <w:shd w:val="clear"/>
              <w:spacing w:line="360" w:lineRule="auto"/>
              <w:jc w:val="center"/>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lang w:val="zh-CN"/>
                <w14:textFill>
                  <w14:solidFill>
                    <w14:schemeClr w14:val="tx1"/>
                  </w14:solidFill>
                </w14:textFill>
              </w:rPr>
              <w:t>委托代理人身份证复印件</w:t>
            </w:r>
          </w:p>
        </w:tc>
      </w:tr>
    </w:tbl>
    <w:p w14:paraId="32C47F7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4EE9EAF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28D43824">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D117EC6">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投 标 人：</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（盖单位章） </w:t>
      </w:r>
    </w:p>
    <w:p w14:paraId="08EE1CCA">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06145D4">
      <w:pPr>
        <w:shd w:val="clear"/>
        <w:ind w:firstLine="2835" w:firstLineChars="13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法定代表人（单位负责人）: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（签字）</w:t>
      </w:r>
    </w:p>
    <w:p w14:paraId="71927D9A">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5BE7F7DD">
      <w:pPr>
        <w:shd w:val="clear"/>
        <w:ind w:firstLine="2835" w:firstLineChars="1350"/>
        <w:jc w:val="left"/>
        <w:rPr>
          <w:rFonts w:hint="default" w:ascii="仿宋" w:hAnsi="仿宋" w:eastAsia="仿宋" w:cs="仿宋"/>
          <w:color w:val="000000" w:themeColor="text1"/>
          <w:szCs w:val="21"/>
          <w:highlight w:val="none"/>
          <w:u w:val="singl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身份证号：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15E2E254">
      <w:pPr>
        <w:shd w:val="clear"/>
        <w:ind w:firstLine="3465" w:firstLineChars="1650"/>
        <w:rPr>
          <w:rFonts w:hint="eastAsia" w:ascii="仿宋" w:hAnsi="仿宋" w:eastAsia="仿宋" w:cs="仿宋"/>
          <w:color w:val="000000" w:themeColor="text1"/>
          <w:szCs w:val="21"/>
          <w:highlight w:val="none"/>
          <w14:textFill>
            <w14:solidFill>
              <w14:schemeClr w14:val="tx1"/>
            </w14:solidFill>
          </w14:textFill>
        </w:rPr>
      </w:pPr>
    </w:p>
    <w:p w14:paraId="741914CB">
      <w:pPr>
        <w:shd w:val="clear"/>
        <w:ind w:firstLine="2835" w:firstLineChars="13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委托代理人：</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（签字）  </w:t>
      </w:r>
      <w:r>
        <w:rPr>
          <w:rFonts w:hint="eastAsia" w:ascii="仿宋" w:hAnsi="仿宋" w:eastAsia="仿宋" w:cs="仿宋"/>
          <w:color w:val="000000" w:themeColor="text1"/>
          <w:szCs w:val="21"/>
          <w:highlight w:val="none"/>
          <w14:textFill>
            <w14:solidFill>
              <w14:schemeClr w14:val="tx1"/>
            </w14:solidFill>
          </w14:textFill>
        </w:rPr>
        <w:t xml:space="preserve">   </w:t>
      </w:r>
    </w:p>
    <w:p w14:paraId="5E473542">
      <w:pPr>
        <w:shd w:val="clear"/>
        <w:ind w:firstLine="2835" w:firstLineChars="1350"/>
        <w:jc w:val="left"/>
        <w:rPr>
          <w:rFonts w:hint="eastAsia" w:ascii="仿宋" w:hAnsi="仿宋" w:eastAsia="仿宋" w:cs="仿宋"/>
          <w:color w:val="000000" w:themeColor="text1"/>
          <w:szCs w:val="21"/>
          <w:highlight w:val="none"/>
          <w14:textFill>
            <w14:solidFill>
              <w14:schemeClr w14:val="tx1"/>
            </w14:solidFill>
          </w14:textFill>
        </w:rPr>
      </w:pPr>
    </w:p>
    <w:p w14:paraId="35A79C0F">
      <w:pPr>
        <w:shd w:val="clear"/>
        <w:ind w:firstLine="2835" w:firstLineChars="135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身 份 证 号：</w:t>
      </w:r>
      <w:r>
        <w:rPr>
          <w:rFonts w:hint="eastAsia" w:ascii="仿宋" w:hAnsi="仿宋" w:eastAsia="仿宋" w:cs="仿宋"/>
          <w:color w:val="000000" w:themeColor="text1"/>
          <w:szCs w:val="21"/>
          <w:highlight w:val="none"/>
          <w:u w:val="single"/>
          <w:lang w:val="en-US" w:eastAsia="zh-CN"/>
          <w14:textFill>
            <w14:solidFill>
              <w14:schemeClr w14:val="tx1"/>
            </w14:solidFill>
          </w14:textFill>
        </w:rPr>
        <w:t xml:space="preserve">                   </w:t>
      </w:r>
    </w:p>
    <w:p w14:paraId="68CE73E2">
      <w:pPr>
        <w:shd w:val="clear"/>
        <w:ind w:firstLine="420" w:firstLineChars="200"/>
        <w:rPr>
          <w:rFonts w:hint="eastAsia" w:ascii="仿宋" w:hAnsi="仿宋" w:eastAsia="仿宋" w:cs="仿宋"/>
          <w:color w:val="000000" w:themeColor="text1"/>
          <w:szCs w:val="21"/>
          <w:highlight w:val="none"/>
          <w14:textFill>
            <w14:solidFill>
              <w14:schemeClr w14:val="tx1"/>
            </w14:solidFill>
          </w14:textFill>
        </w:rPr>
      </w:pPr>
    </w:p>
    <w:p w14:paraId="0869F02D">
      <w:pPr>
        <w:shd w:val="clear"/>
        <w:ind w:firstLine="2730" w:firstLineChars="13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授权委托日期：20 年 月 日</w:t>
      </w:r>
    </w:p>
    <w:p w14:paraId="1CC1F364">
      <w:pPr>
        <w:shd w:val="clear"/>
        <w:ind w:firstLine="420" w:firstLineChars="200"/>
        <w:rPr>
          <w:rFonts w:hint="eastAsia" w:ascii="仿宋" w:hAnsi="仿宋" w:eastAsia="仿宋" w:cs="仿宋"/>
          <w:color w:val="000000" w:themeColor="text1"/>
          <w:highlight w:val="none"/>
          <w:lang w:val="zh-CN"/>
          <w14:textFill>
            <w14:solidFill>
              <w14:schemeClr w14:val="tx1"/>
            </w14:solidFill>
          </w14:textFill>
        </w:rPr>
      </w:pPr>
    </w:p>
    <w:p w14:paraId="2E812A59">
      <w:pPr>
        <w:shd w:val="clea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说明：本授权委托书有效期自开标之日起不得少于</w:t>
      </w:r>
      <w:r>
        <w:rPr>
          <w:rFonts w:hint="eastAsia" w:ascii="仿宋" w:hAnsi="仿宋" w:eastAsia="仿宋" w:cs="仿宋"/>
          <w:color w:val="000000" w:themeColor="text1"/>
          <w:highlight w:val="none"/>
          <w14:textFill>
            <w14:solidFill>
              <w14:schemeClr w14:val="tx1"/>
            </w14:solidFill>
          </w14:textFill>
        </w:rPr>
        <w:t>90</w:t>
      </w:r>
      <w:r>
        <w:rPr>
          <w:rFonts w:hint="eastAsia" w:ascii="仿宋" w:hAnsi="仿宋" w:eastAsia="仿宋" w:cs="仿宋"/>
          <w:color w:val="000000" w:themeColor="text1"/>
          <w:highlight w:val="none"/>
          <w:lang w:val="zh-CN"/>
          <w14:textFill>
            <w14:solidFill>
              <w14:schemeClr w14:val="tx1"/>
            </w14:solidFill>
          </w14:textFill>
        </w:rPr>
        <w:t>天，仅限委托代理人参加投标时提供。</w:t>
      </w:r>
    </w:p>
    <w:p w14:paraId="061F56C6">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7ADBB034">
      <w:pPr>
        <w:shd w:val="clear"/>
        <w:snapToGrid w:val="0"/>
        <w:spacing w:line="360" w:lineRule="auto"/>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p>
    <w:p w14:paraId="230002B7">
      <w:pPr>
        <w:shd w:val="clear"/>
        <w:snapToGrid w:val="0"/>
        <w:spacing w:line="360" w:lineRule="auto"/>
        <w:rPr>
          <w:rFonts w:hint="eastAsia" w:ascii="仿宋" w:hAnsi="仿宋" w:eastAsia="仿宋" w:cs="仿宋"/>
          <w:b/>
          <w:bCs/>
          <w:color w:val="000000" w:themeColor="text1"/>
          <w:szCs w:val="21"/>
          <w:highlight w:val="none"/>
          <w14:textFill>
            <w14:solidFill>
              <w14:schemeClr w14:val="tx1"/>
            </w14:solidFill>
          </w14:textFill>
        </w:rPr>
      </w:pPr>
    </w:p>
    <w:p w14:paraId="3A70F559">
      <w:pPr>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b/>
          <w:bCs/>
          <w:color w:val="000000" w:themeColor="text1"/>
          <w:sz w:val="24"/>
          <w:szCs w:val="24"/>
          <w:highlight w:val="none"/>
          <w:u w:val="doubl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4</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投标人须为具有独立承担民事责任能力的法人、其他组织或自然人;出具合法有效的营业执照或事业单位法人证书等国家规定的相关证明，自然人参与的提供其身份证明；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b/>
          <w:color w:val="000000" w:themeColor="text1"/>
          <w:sz w:val="24"/>
          <w:szCs w:val="24"/>
          <w:u w:val="double"/>
          <w14:textFill>
            <w14:solidFill>
              <w14:schemeClr w14:val="tx1"/>
            </w14:solidFill>
          </w14:textFill>
        </w:rPr>
        <w:t>（材料应清晰可辨，加盖公章）</w:t>
      </w:r>
    </w:p>
    <w:p w14:paraId="0236989F">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30A0A1D9">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5F456D10">
      <w:pPr>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5</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投标人须提供</w:t>
      </w:r>
      <w:r>
        <w:rPr>
          <w:rFonts w:hint="eastAsia" w:ascii="仿宋" w:hAnsi="仿宋" w:eastAsia="仿宋" w:cs="仿宋"/>
          <w:b/>
          <w:bCs/>
          <w:color w:val="000000" w:themeColor="text1"/>
          <w:sz w:val="24"/>
          <w:szCs w:val="24"/>
          <w:lang w:val="en-US" w:eastAsia="zh-CN"/>
          <w14:textFill>
            <w14:solidFill>
              <w14:schemeClr w14:val="tx1"/>
            </w14:solidFill>
          </w14:textFill>
        </w:rPr>
        <w:t>《汉中市政府采购投标人资格承诺函》</w:t>
      </w:r>
      <w:r>
        <w:rPr>
          <w:rFonts w:hint="eastAsia" w:ascii="仿宋" w:hAnsi="仿宋" w:eastAsia="仿宋" w:cs="仿宋"/>
          <w:color w:val="000000" w:themeColor="text1"/>
          <w:sz w:val="24"/>
          <w:szCs w:val="24"/>
          <w:highlight w:val="none"/>
          <w:shd w:val="clear" w:color="auto" w:fill="FFFFFF"/>
          <w:lang w:eastAsia="zh-CN"/>
          <w14:textFill>
            <w14:solidFill>
              <w14:schemeClr w14:val="tx1"/>
            </w14:solidFill>
          </w14:textFill>
        </w:rPr>
        <w:t>。</w:t>
      </w:r>
      <w:r>
        <w:rPr>
          <w:rFonts w:hint="eastAsia" w:ascii="仿宋" w:hAnsi="仿宋" w:eastAsia="仿宋" w:cs="仿宋"/>
          <w:b/>
          <w:color w:val="000000" w:themeColor="text1"/>
          <w:sz w:val="24"/>
          <w:szCs w:val="24"/>
          <w:u w:val="double"/>
          <w:lang w:val="en-US" w:eastAsia="zh-CN"/>
          <w14:textFill>
            <w14:solidFill>
              <w14:schemeClr w14:val="tx1"/>
            </w14:solidFill>
          </w14:textFill>
        </w:rPr>
        <w:t>（原件）</w:t>
      </w:r>
    </w:p>
    <w:p w14:paraId="66EFBBE3">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728D22EE">
      <w:pPr>
        <w:pStyle w:val="149"/>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color w:val="000000" w:themeColor="text1"/>
          <w:sz w:val="24"/>
          <w:szCs w:val="24"/>
          <w:highlight w:val="none"/>
          <w14:textFill>
            <w14:solidFill>
              <w14:schemeClr w14:val="tx1"/>
            </w14:solidFill>
          </w14:textFill>
        </w:rPr>
      </w:pPr>
    </w:p>
    <w:p w14:paraId="630B02B1">
      <w:pPr>
        <w:keepNext w:val="0"/>
        <w:keepLines w:val="0"/>
        <w:pageBreakBefore w:val="0"/>
        <w:shd w:val="clear"/>
        <w:kinsoku/>
        <w:overflowPunct/>
        <w:topLinePunct w:val="0"/>
        <w:autoSpaceDE/>
        <w:autoSpaceDN/>
        <w:bidi w:val="0"/>
        <w:adjustRightInd w:val="0"/>
        <w:snapToGrid w:val="0"/>
        <w:spacing w:line="336" w:lineRule="auto"/>
        <w:ind w:firstLine="333"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6</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法定代表人直接参加投标的，须出具法人身份证；法定代表人授权代表参加投标的，须出具法定代表人授权书及授权代表身份证；</w:t>
      </w:r>
      <w:r>
        <w:rPr>
          <w:rFonts w:hint="eastAsia" w:ascii="仿宋" w:hAnsi="仿宋" w:eastAsia="仿宋" w:cs="仿宋"/>
          <w:b/>
          <w:color w:val="000000" w:themeColor="text1"/>
          <w:sz w:val="24"/>
          <w:szCs w:val="24"/>
          <w:u w:val="double"/>
          <w:lang w:val="en-US" w:eastAsia="zh-CN"/>
          <w14:textFill>
            <w14:solidFill>
              <w14:schemeClr w14:val="tx1"/>
            </w14:solidFill>
          </w14:textFill>
        </w:rPr>
        <w:t>（原件）</w:t>
      </w:r>
    </w:p>
    <w:p w14:paraId="0F464E82">
      <w:pPr>
        <w:keepNext w:val="0"/>
        <w:keepLines w:val="0"/>
        <w:pageBreakBefore w:val="0"/>
        <w:shd w:val="clear"/>
        <w:kinsoku/>
        <w:overflowPunct/>
        <w:topLinePunct w:val="0"/>
        <w:autoSpaceDE/>
        <w:autoSpaceDN/>
        <w:bidi w:val="0"/>
        <w:adjustRightInd w:val="0"/>
        <w:snapToGrid w:val="0"/>
        <w:spacing w:line="336" w:lineRule="auto"/>
        <w:ind w:firstLine="335"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50C07C8B">
      <w:pPr>
        <w:keepNext w:val="0"/>
        <w:keepLines w:val="0"/>
        <w:pageBreakBefore w:val="0"/>
        <w:shd w:val="clear"/>
        <w:kinsoku/>
        <w:overflowPunct/>
        <w:topLinePunct w:val="0"/>
        <w:autoSpaceDE/>
        <w:autoSpaceDN/>
        <w:bidi w:val="0"/>
        <w:adjustRightInd w:val="0"/>
        <w:snapToGrid w:val="0"/>
        <w:spacing w:line="336" w:lineRule="auto"/>
        <w:ind w:firstLine="335" w:firstLineChars="139"/>
        <w:textAlignment w:val="auto"/>
        <w:rPr>
          <w:rFonts w:hint="eastAsia" w:ascii="仿宋" w:hAnsi="仿宋" w:eastAsia="仿宋" w:cs="仿宋"/>
          <w:b/>
          <w:bCs/>
          <w:color w:val="000000" w:themeColor="text1"/>
          <w:sz w:val="24"/>
          <w:szCs w:val="24"/>
          <w:highlight w:val="none"/>
          <w14:textFill>
            <w14:solidFill>
              <w14:schemeClr w14:val="tx1"/>
            </w14:solidFill>
          </w14:textFill>
        </w:rPr>
      </w:pPr>
    </w:p>
    <w:p w14:paraId="69942317">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4"/>
          <w:szCs w:val="24"/>
          <w:u w:val="double"/>
          <w:lang w:val="en-US" w:eastAsia="zh-CN"/>
          <w14:textFill>
            <w14:solidFill>
              <w14:schemeClr w14:val="tx1"/>
            </w14:solidFill>
          </w14:textFill>
        </w:rPr>
      </w:pPr>
    </w:p>
    <w:p w14:paraId="30B1777F">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7.</w:t>
      </w:r>
      <w:r>
        <w:rPr>
          <w:rFonts w:hint="eastAsia" w:ascii="仿宋" w:hAnsi="仿宋" w:eastAsia="仿宋" w:cs="仿宋"/>
          <w:color w:val="000000" w:themeColor="text1"/>
          <w:sz w:val="24"/>
          <w:szCs w:val="24"/>
          <w:lang w:val="en-US" w:eastAsia="zh-CN"/>
          <w14:textFill>
            <w14:solidFill>
              <w14:schemeClr w14:val="tx1"/>
            </w14:solidFill>
          </w14:textFill>
        </w:rPr>
        <w:t>投标人为生产厂家的须提供《食品生产许可证》及《食品经营许可证》；投标人为代理商的须提供《食品经营许可证》或食品经营备案证明</w:t>
      </w: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color w:val="000000" w:themeColor="text1"/>
          <w:sz w:val="24"/>
          <w:szCs w:val="24"/>
          <w:u w:val="double"/>
          <w:lang w:val="en-US" w:eastAsia="zh-CN"/>
          <w14:textFill>
            <w14:solidFill>
              <w14:schemeClr w14:val="tx1"/>
            </w14:solidFill>
          </w14:textFill>
        </w:rPr>
        <w:t>（材料应清晰可辨并加盖公章）</w:t>
      </w:r>
    </w:p>
    <w:p w14:paraId="24A09051">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4"/>
          <w:szCs w:val="24"/>
          <w:u w:val="double"/>
          <w:lang w:val="en-US" w:eastAsia="zh-CN"/>
          <w14:textFill>
            <w14:solidFill>
              <w14:schemeClr w14:val="tx1"/>
            </w14:solidFill>
          </w14:textFill>
        </w:rPr>
      </w:pPr>
    </w:p>
    <w:p w14:paraId="0BA47D72">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530422DA">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125EA737">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2C41E4C6">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1EB22366">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4CEB0583">
      <w:pPr>
        <w:pStyle w:val="3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rightChars="0"/>
        <w:jc w:val="both"/>
        <w:textAlignment w:val="auto"/>
        <w:rPr>
          <w:rFonts w:hint="eastAsia" w:ascii="仿宋" w:hAnsi="仿宋" w:eastAsia="仿宋" w:cs="仿宋"/>
          <w:b/>
          <w:color w:val="000000" w:themeColor="text1"/>
          <w:sz w:val="21"/>
          <w:szCs w:val="21"/>
          <w:u w:val="double"/>
          <w:lang w:val="en-US" w:eastAsia="zh-CN"/>
          <w14:textFill>
            <w14:solidFill>
              <w14:schemeClr w14:val="tx1"/>
            </w14:solidFill>
          </w14:textFill>
        </w:rPr>
      </w:pPr>
    </w:p>
    <w:p w14:paraId="55DDFDB1">
      <w:pPr>
        <w:bidi w:val="0"/>
        <w:spacing w:line="360" w:lineRule="auto"/>
        <w:ind w:firstLine="482" w:firstLineChars="200"/>
        <w:outlineLvl w:val="9"/>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注：投标人</w:t>
      </w:r>
      <w:r>
        <w:rPr>
          <w:rFonts w:hint="eastAsia" w:ascii="仿宋" w:hAnsi="仿宋" w:eastAsia="仿宋" w:cs="仿宋"/>
          <w:b/>
          <w:bCs/>
          <w:color w:val="000000" w:themeColor="text1"/>
          <w:sz w:val="24"/>
          <w:szCs w:val="24"/>
          <w14:textFill>
            <w14:solidFill>
              <w14:schemeClr w14:val="tx1"/>
            </w14:solidFill>
          </w14:textFill>
        </w:rPr>
        <w:t>未提供</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《汉中市政府采购投标人资格承诺函》</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的，应当按照《中华人民共和国政府采购法》及其实施条例等相关法律法规规定提供相应的证明材料。相应证明材料</w:t>
      </w:r>
      <w:r>
        <w:rPr>
          <w:rFonts w:hint="eastAsia" w:ascii="仿宋" w:hAnsi="仿宋" w:eastAsia="仿宋" w:cs="仿宋"/>
          <w:b/>
          <w:bCs/>
          <w:color w:val="000000" w:themeColor="text1"/>
          <w:sz w:val="24"/>
          <w:szCs w:val="24"/>
          <w:lang w:val="en-US" w:eastAsia="zh-CN"/>
          <w14:textFill>
            <w14:solidFill>
              <w14:schemeClr w14:val="tx1"/>
            </w14:solidFill>
          </w14:textFill>
        </w:rPr>
        <w:t>详见《第三章 评标办法》2.1、投标文件资格审查。若已提供</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《汉中市政府采购投标人资格承诺函》</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的，</w:t>
      </w:r>
      <w:r>
        <w:rPr>
          <w:rFonts w:hint="eastAsia" w:ascii="仿宋" w:hAnsi="仿宋" w:eastAsia="仿宋" w:cs="仿宋"/>
          <w:b/>
          <w:bCs/>
          <w:color w:val="000000" w:themeColor="text1"/>
          <w:sz w:val="24"/>
          <w:szCs w:val="24"/>
          <w:lang w:val="en-US" w:eastAsia="zh-CN"/>
          <w14:textFill>
            <w14:solidFill>
              <w14:schemeClr w14:val="tx1"/>
            </w14:solidFill>
          </w14:textFill>
        </w:rPr>
        <w:t>无须再</w:t>
      </w:r>
      <w:r>
        <w:rPr>
          <w:rFonts w:hint="eastAsia" w:ascii="仿宋" w:hAnsi="仿宋" w:eastAsia="仿宋" w:cs="仿宋"/>
          <w:b/>
          <w:bCs/>
          <w:color w:val="000000" w:themeColor="text1"/>
          <w:sz w:val="24"/>
          <w:szCs w:val="24"/>
          <w14:textFill>
            <w14:solidFill>
              <w14:schemeClr w14:val="tx1"/>
            </w14:solidFill>
          </w14:textFill>
        </w:rPr>
        <w:t>提供相应证明材料。</w:t>
      </w:r>
    </w:p>
    <w:p w14:paraId="46491BCA">
      <w:p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Cs w:val="21"/>
          <w:u w:val="double"/>
          <w14:textFill>
            <w14:solidFill>
              <w14:schemeClr w14:val="tx1"/>
            </w14:solidFill>
          </w14:textFill>
        </w:rPr>
        <w:br w:type="page"/>
      </w:r>
      <w:bookmarkStart w:id="472" w:name="_Toc4300"/>
      <w:bookmarkStart w:id="473" w:name="_Toc27524"/>
      <w:bookmarkStart w:id="474" w:name="_Toc26157"/>
    </w:p>
    <w:bookmarkEnd w:id="472"/>
    <w:bookmarkEnd w:id="473"/>
    <w:bookmarkEnd w:id="474"/>
    <w:p w14:paraId="2D8664E3">
      <w:pPr>
        <w:keepLines w:val="0"/>
        <w:pageBreakBefore w:val="0"/>
        <w:widowControl w:val="0"/>
        <w:numPr>
          <w:ilvl w:val="0"/>
          <w:numId w:val="0"/>
        </w:numPr>
        <w:kinsoku/>
        <w:wordWrap/>
        <w:overflowPunct/>
        <w:topLinePunct w:val="0"/>
        <w:bidi w:val="0"/>
        <w:outlineLvl w:val="9"/>
        <w:rPr>
          <w:rFonts w:hint="eastAsia" w:ascii="仿宋" w:hAnsi="仿宋" w:eastAsia="仿宋" w:cs="仿宋"/>
          <w:b/>
          <w:bCs/>
          <w:color w:val="000000" w:themeColor="text1"/>
          <w:sz w:val="28"/>
          <w:szCs w:val="28"/>
          <w:lang w:val="en-US" w:eastAsia="zh-CN"/>
          <w14:textFill>
            <w14:solidFill>
              <w14:schemeClr w14:val="tx1"/>
            </w14:solidFill>
          </w14:textFill>
        </w:rPr>
      </w:pPr>
      <w:bookmarkStart w:id="475" w:name="_Toc5301"/>
      <w:bookmarkStart w:id="476" w:name="_Toc4524"/>
      <w:bookmarkStart w:id="477" w:name="_Toc8338"/>
      <w:bookmarkStart w:id="478" w:name="_Toc28652"/>
      <w:r>
        <w:rPr>
          <w:rFonts w:hint="eastAsia" w:ascii="仿宋" w:hAnsi="仿宋" w:eastAsia="仿宋" w:cs="仿宋"/>
          <w:b/>
          <w:bCs/>
          <w:color w:val="000000" w:themeColor="text1"/>
          <w:sz w:val="28"/>
          <w:szCs w:val="28"/>
          <w:lang w:val="en-US" w:eastAsia="zh-CN"/>
          <w14:textFill>
            <w14:solidFill>
              <w14:schemeClr w14:val="tx1"/>
            </w14:solidFill>
          </w14:textFill>
        </w:rPr>
        <w:t>格式3：</w:t>
      </w:r>
    </w:p>
    <w:bookmarkEnd w:id="475"/>
    <w:bookmarkEnd w:id="476"/>
    <w:bookmarkEnd w:id="477"/>
    <w:bookmarkEnd w:id="478"/>
    <w:p w14:paraId="741F6EDA">
      <w:pPr>
        <w:bidi w:val="0"/>
        <w:jc w:val="center"/>
        <w:outlineLvl w:val="1"/>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政府采购投标人资格承诺函</w:t>
      </w:r>
    </w:p>
    <w:p w14:paraId="228A6C69">
      <w:pPr>
        <w:bidi w:val="0"/>
        <w:spacing w:line="360" w:lineRule="auto"/>
        <w:outlineLvl w:val="9"/>
        <w:rPr>
          <w:rFonts w:hint="default" w:ascii="仿宋" w:hAnsi="仿宋" w:eastAsia="仿宋" w:cs="仿宋"/>
          <w:color w:val="000000" w:themeColor="text1"/>
          <w:sz w:val="24"/>
          <w:szCs w:val="24"/>
          <w:lang w:val="en-US" w:eastAsia="zh-CN"/>
          <w14:textFill>
            <w14:solidFill>
              <w14:schemeClr w14:val="tx1"/>
            </w14:solidFill>
          </w14:textFill>
        </w:rPr>
      </w:pPr>
    </w:p>
    <w:p w14:paraId="1FDA7642">
      <w:pPr>
        <w:bidi w:val="0"/>
        <w:spacing w:line="360" w:lineRule="auto"/>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致:</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default" w:ascii="仿宋" w:hAnsi="仿宋" w:eastAsia="仿宋" w:cs="仿宋"/>
          <w:color w:val="000000" w:themeColor="text1"/>
          <w:sz w:val="24"/>
          <w:szCs w:val="24"/>
          <w:u w:val="single"/>
          <w:lang w:val="en-US" w:eastAsia="zh-CN"/>
          <w14:textFill>
            <w14:solidFill>
              <w14:schemeClr w14:val="tx1"/>
            </w14:solidFill>
          </w14:textFill>
        </w:rPr>
        <w:t>采购人</w:t>
      </w:r>
      <w:r>
        <w:rPr>
          <w:rFonts w:hint="eastAsia" w:ascii="仿宋" w:hAnsi="仿宋" w:eastAsia="仿宋" w:cs="仿宋"/>
          <w:color w:val="000000" w:themeColor="text1"/>
          <w:sz w:val="24"/>
          <w:szCs w:val="24"/>
          <w:u w:val="single"/>
          <w:lang w:val="en-US" w:eastAsia="zh-CN"/>
          <w14:textFill>
            <w14:solidFill>
              <w14:schemeClr w14:val="tx1"/>
            </w14:solidFill>
          </w14:textFill>
        </w:rPr>
        <w:t>名称）</w:t>
      </w:r>
      <w:r>
        <w:rPr>
          <w:rFonts w:hint="default" w:ascii="仿宋" w:hAnsi="仿宋" w:eastAsia="仿宋" w:cs="仿宋"/>
          <w:color w:val="000000" w:themeColor="text1"/>
          <w:sz w:val="24"/>
          <w:szCs w:val="24"/>
          <w:u w:val="single"/>
          <w:lang w:val="en-US" w:eastAsia="zh-CN"/>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default" w:ascii="仿宋" w:hAnsi="仿宋" w:eastAsia="仿宋" w:cs="仿宋"/>
          <w:color w:val="000000" w:themeColor="text1"/>
          <w:sz w:val="24"/>
          <w:szCs w:val="24"/>
          <w:u w:val="single"/>
          <w:lang w:val="en-US" w:eastAsia="zh-CN"/>
          <w14:textFill>
            <w14:solidFill>
              <w14:schemeClr w14:val="tx1"/>
            </w14:solidFill>
          </w14:textFill>
        </w:rPr>
        <w:t>采购代理机构名称</w:t>
      </w:r>
      <w:r>
        <w:rPr>
          <w:rFonts w:hint="eastAsia" w:ascii="仿宋" w:hAnsi="仿宋" w:eastAsia="仿宋" w:cs="仿宋"/>
          <w:color w:val="000000" w:themeColor="text1"/>
          <w:sz w:val="24"/>
          <w:szCs w:val="24"/>
          <w:u w:val="single"/>
          <w:lang w:val="en-US" w:eastAsia="zh-CN"/>
          <w14:textFill>
            <w14:solidFill>
              <w14:schemeClr w14:val="tx1"/>
            </w14:solidFill>
          </w14:textFill>
        </w:rPr>
        <w:t>）</w:t>
      </w:r>
    </w:p>
    <w:p w14:paraId="78C6B8AE">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（投标人</w:t>
      </w:r>
      <w:r>
        <w:rPr>
          <w:rFonts w:hint="default" w:ascii="仿宋" w:hAnsi="仿宋" w:eastAsia="仿宋" w:cs="仿宋"/>
          <w:color w:val="000000" w:themeColor="text1"/>
          <w:sz w:val="24"/>
          <w:szCs w:val="24"/>
          <w:u w:val="single"/>
          <w:lang w:val="en-US" w:eastAsia="zh-CN"/>
          <w14:textFill>
            <w14:solidFill>
              <w14:schemeClr w14:val="tx1"/>
            </w14:solidFill>
          </w14:textFill>
        </w:rPr>
        <w:t>名称)</w:t>
      </w:r>
      <w:r>
        <w:rPr>
          <w:rFonts w:hint="default" w:ascii="仿宋" w:hAnsi="仿宋" w:eastAsia="仿宋" w:cs="仿宋"/>
          <w:color w:val="000000" w:themeColor="text1"/>
          <w:sz w:val="24"/>
          <w:szCs w:val="24"/>
          <w:lang w:val="en-US" w:eastAsia="zh-CN"/>
          <w14:textFill>
            <w14:solidFill>
              <w14:schemeClr w14:val="tx1"/>
            </w14:solidFill>
          </w14:textFill>
        </w:rPr>
        <w:t>郑重承诺:</w:t>
      </w:r>
    </w:p>
    <w:p w14:paraId="316D2873">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14:paraId="22CDF01D">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2.我方未列入在信用中国网站“失信被执行人”、“重大税收违法案件当事人名单”中</w:t>
      </w:r>
      <w:r>
        <w:rPr>
          <w:rFonts w:hint="default" w:ascii="仿宋" w:hAnsi="仿宋" w:eastAsia="仿宋" w:cs="仿宋"/>
          <w:color w:val="000000" w:themeColor="text1"/>
          <w:sz w:val="24"/>
          <w:szCs w:val="24"/>
          <w:u w:val="single"/>
          <w:lang w:val="en-US" w:eastAsia="zh-CN"/>
          <w14:textFill>
            <w14:solidFill>
              <w14:schemeClr w14:val="tx1"/>
            </w14:solidFill>
          </w14:textFill>
        </w:rPr>
        <w:t>(www.</w:t>
      </w:r>
      <w:r>
        <w:rPr>
          <w:rFonts w:hint="default" w:ascii="仿宋" w:hAnsi="仿宋" w:eastAsia="仿宋" w:cs="仿宋"/>
          <w:b w:val="0"/>
          <w:bCs w:val="0"/>
          <w:color w:val="000000" w:themeColor="text1"/>
          <w:sz w:val="24"/>
          <w:szCs w:val="24"/>
          <w:u w:val="single"/>
          <w:lang w:val="en-US" w:eastAsia="zh-CN"/>
          <w14:textFill>
            <w14:solidFill>
              <w14:schemeClr w14:val="tx1"/>
            </w14:solidFill>
          </w14:textFill>
        </w:rPr>
        <w:t>creditchina</w:t>
      </w:r>
      <w:r>
        <w:rPr>
          <w:rFonts w:hint="default" w:ascii="仿宋" w:hAnsi="仿宋" w:eastAsia="仿宋" w:cs="仿宋"/>
          <w:color w:val="000000" w:themeColor="text1"/>
          <w:sz w:val="24"/>
          <w:szCs w:val="24"/>
          <w:u w:val="single"/>
          <w:lang w:val="en-US" w:eastAsia="zh-CN"/>
          <w14:textFill>
            <w14:solidFill>
              <w14:schemeClr w14:val="tx1"/>
            </w14:solidFill>
          </w14:textFill>
        </w:rPr>
        <w:t>.gov.cn)</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也未列入中国政府采购网“政府采购严重违法失信行为记录名单”中</w:t>
      </w:r>
      <w:r>
        <w:rPr>
          <w:rFonts w:hint="default" w:ascii="仿宋" w:hAnsi="仿宋" w:eastAsia="仿宋" w:cs="仿宋"/>
          <w:color w:val="000000" w:themeColor="text1"/>
          <w:sz w:val="24"/>
          <w:szCs w:val="24"/>
          <w:u w:val="single"/>
          <w:lang w:val="en-US" w:eastAsia="zh-CN"/>
          <w14:textFill>
            <w14:solidFill>
              <w14:schemeClr w14:val="tx1"/>
            </w14:solidFill>
          </w14:textFill>
        </w:rPr>
        <w:t>(www.ccgp.gov.cn)</w:t>
      </w:r>
      <w:r>
        <w:rPr>
          <w:rFonts w:hint="eastAsia" w:ascii="仿宋" w:hAnsi="仿宋" w:eastAsia="仿宋" w:cs="仿宋"/>
          <w:color w:val="000000" w:themeColor="text1"/>
          <w:sz w:val="24"/>
          <w:szCs w:val="24"/>
          <w:u w:val="none"/>
          <w:lang w:val="en-US" w:eastAsia="zh-CN"/>
          <w14:textFill>
            <w14:solidFill>
              <w14:schemeClr w14:val="tx1"/>
            </w14:solidFill>
          </w14:textFill>
        </w:rPr>
        <w:t>。</w:t>
      </w:r>
    </w:p>
    <w:p w14:paraId="1F1C902A">
      <w:pPr>
        <w:bidi w:val="0"/>
        <w:spacing w:line="360" w:lineRule="auto"/>
        <w:ind w:firstLine="480" w:firstLineChars="200"/>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3.我方在采购项目评标环节结束后，随时接受采购人，采购代理机构的检查验证，配合提供相关证明材料</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证明符合《中华人民共和国政府采购法》规定的投标人基本资格条件。</w:t>
      </w:r>
    </w:p>
    <w:p w14:paraId="62DC6A6D">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default" w:ascii="仿宋" w:hAnsi="仿宋" w:eastAsia="仿宋" w:cs="仿宋"/>
          <w:color w:val="000000" w:themeColor="text1"/>
          <w:sz w:val="24"/>
          <w:szCs w:val="24"/>
          <w:lang w:val="en-US" w:eastAsia="zh-CN"/>
          <w14:textFill>
            <w14:solidFill>
              <w14:schemeClr w14:val="tx1"/>
            </w14:solidFill>
          </w14:textFill>
        </w:rPr>
        <w:t>我方对以上承诺负全部法律责任</w:t>
      </w:r>
      <w:r>
        <w:rPr>
          <w:rFonts w:hint="eastAsia" w:ascii="仿宋" w:hAnsi="仿宋" w:eastAsia="仿宋" w:cs="仿宋"/>
          <w:color w:val="000000" w:themeColor="text1"/>
          <w:sz w:val="24"/>
          <w:szCs w:val="24"/>
          <w:lang w:val="en-US" w:eastAsia="zh-CN"/>
          <w14:textFill>
            <w14:solidFill>
              <w14:schemeClr w14:val="tx1"/>
            </w14:solidFill>
          </w14:textFill>
        </w:rPr>
        <w:t>。</w:t>
      </w:r>
    </w:p>
    <w:p w14:paraId="5D78ED9E">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特此承诺。</w:t>
      </w:r>
    </w:p>
    <w:p w14:paraId="42BBBA77">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083EF273">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18B946B0">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7D20D697">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3C76D931">
      <w:pPr>
        <w:bidi w:val="0"/>
        <w:spacing w:line="360" w:lineRule="auto"/>
        <w:ind w:firstLine="480" w:firstLineChars="200"/>
        <w:outlineLvl w:val="9"/>
        <w:rPr>
          <w:rFonts w:hint="eastAsia" w:ascii="仿宋" w:hAnsi="仿宋" w:eastAsia="仿宋" w:cs="仿宋"/>
          <w:color w:val="000000" w:themeColor="text1"/>
          <w:sz w:val="24"/>
          <w:szCs w:val="24"/>
          <w:lang w:val="en-US" w:eastAsia="zh-CN"/>
          <w14:textFill>
            <w14:solidFill>
              <w14:schemeClr w14:val="tx1"/>
            </w14:solidFill>
          </w14:textFill>
        </w:rPr>
      </w:pPr>
    </w:p>
    <w:p w14:paraId="52558E15">
      <w:pPr>
        <w:bidi w:val="0"/>
        <w:spacing w:line="360" w:lineRule="auto"/>
        <w:ind w:firstLine="2880" w:firstLineChars="1200"/>
        <w:outlineLvl w:val="9"/>
        <w:rPr>
          <w:rFonts w:hint="eastAsia" w:ascii="仿宋" w:hAnsi="仿宋" w:eastAsia="仿宋" w:cs="仿宋"/>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投标人名称：</w:t>
      </w:r>
      <w:r>
        <w:rPr>
          <w:rFonts w:hint="eastAsia" w:ascii="仿宋" w:hAnsi="仿宋" w:eastAsia="仿宋" w:cs="仿宋"/>
          <w:color w:val="000000" w:themeColor="text1"/>
          <w:sz w:val="24"/>
          <w:szCs w:val="24"/>
          <w:u w:val="single"/>
          <w:lang w:val="en-US" w:eastAsia="zh-CN"/>
          <w14:textFill>
            <w14:solidFill>
              <w14:schemeClr w14:val="tx1"/>
            </w14:solidFill>
          </w14:textFill>
        </w:rPr>
        <w:t>填写全称并加盖公章</w:t>
      </w:r>
    </w:p>
    <w:p w14:paraId="584ABCDE">
      <w:pPr>
        <w:pStyle w:val="19"/>
        <w:shd w:val="clear"/>
        <w:ind w:firstLine="3120" w:firstLineChars="1300"/>
        <w:jc w:val="both"/>
        <w:rPr>
          <w:rFonts w:hint="eastAsia" w:ascii="仿宋" w:hAnsi="仿宋" w:eastAsia="仿宋" w:cs="仿宋"/>
          <w:color w:val="000000" w:themeColor="text1"/>
          <w:sz w:val="24"/>
          <w:szCs w:val="24"/>
          <w:u w:val="none"/>
          <w:lang w:val="en-US" w:eastAsia="zh-CN"/>
          <w14:textFill>
            <w14:solidFill>
              <w14:schemeClr w14:val="tx1"/>
            </w14:solidFill>
          </w14:textFill>
        </w:rPr>
      </w:pPr>
    </w:p>
    <w:p w14:paraId="42C2F4F1">
      <w:pPr>
        <w:pStyle w:val="19"/>
        <w:shd w:val="clear"/>
        <w:ind w:firstLine="3120" w:firstLineChars="130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u w:val="none"/>
          <w:lang w:val="en-US" w:eastAsia="zh-CN"/>
          <w14:textFill>
            <w14:solidFill>
              <w14:schemeClr w14:val="tx1"/>
            </w14:solidFill>
          </w14:textFill>
        </w:rPr>
        <w:t>日期：    年   月   日</w:t>
      </w:r>
    </w:p>
    <w:p w14:paraId="4CD3EFD1">
      <w:pPr>
        <w:keepLines w:val="0"/>
        <w:pageBreakBefore w:val="0"/>
        <w:widowControl w:val="0"/>
        <w:kinsoku/>
        <w:wordWrap/>
        <w:overflowPunct/>
        <w:topLinePunct w:val="0"/>
        <w:bidi w:val="0"/>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14:paraId="4697B84C">
      <w:pPr>
        <w:pStyle w:val="29"/>
        <w:jc w:val="left"/>
        <w:rPr>
          <w:rFonts w:hint="eastAsia" w:ascii="仿宋" w:hAnsi="仿宋" w:eastAsia="仿宋" w:cs="仿宋"/>
          <w:color w:val="000000" w:themeColor="text1"/>
          <w:sz w:val="24"/>
          <w:szCs w:val="24"/>
          <w14:textFill>
            <w14:solidFill>
              <w14:schemeClr w14:val="tx1"/>
            </w14:solidFill>
          </w14:textFill>
        </w:rPr>
      </w:pPr>
    </w:p>
    <w:p w14:paraId="2EA581E3">
      <w:pPr>
        <w:widowControl/>
        <w:ind w:firstLine="1285" w:firstLineChars="400"/>
        <w:jc w:val="both"/>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color w:val="000000" w:themeColor="text1"/>
          <w:kern w:val="2"/>
          <w:sz w:val="32"/>
          <w:szCs w:val="20"/>
          <w:lang w:val="en-US" w:eastAsia="zh-CN" w:bidi="ar-SA"/>
          <w14:textFill>
            <w14:solidFill>
              <w14:schemeClr w14:val="tx1"/>
            </w14:solidFill>
          </w14:textFill>
        </w:rPr>
        <w:t>八、落实政府采购政策需满足的资格要求</w:t>
      </w:r>
    </w:p>
    <w:p w14:paraId="7555E2EF">
      <w:pPr>
        <w:widowControl/>
        <w:ind w:firstLine="2650" w:firstLineChars="1100"/>
        <w:jc w:val="both"/>
        <w:rPr>
          <w:rFonts w:hint="eastAsia" w:ascii="仿宋" w:hAnsi="仿宋" w:eastAsia="仿宋" w:cs="仿宋"/>
          <w:b/>
          <w:bCs/>
          <w:color w:val="000000" w:themeColor="text1"/>
          <w:sz w:val="24"/>
          <w:szCs w:val="24"/>
          <w14:textFill>
            <w14:solidFill>
              <w14:schemeClr w14:val="tx1"/>
            </w14:solidFill>
          </w14:textFill>
        </w:rPr>
      </w:pPr>
    </w:p>
    <w:p w14:paraId="21B6F10B">
      <w:pPr>
        <w:shd w:val="clear"/>
        <w:tabs>
          <w:tab w:val="left" w:pos="3600"/>
        </w:tabs>
        <w:adjustRightInd w:val="0"/>
        <w:snapToGrid w:val="0"/>
        <w:jc w:val="center"/>
        <w:outlineLvl w:val="1"/>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格式一：中小企业声明函</w:t>
      </w:r>
    </w:p>
    <w:p w14:paraId="434EF8E7">
      <w:pPr>
        <w:shd w:val="clear"/>
        <w:adjustRightInd w:val="0"/>
        <w:snapToGrid w:val="0"/>
        <w:spacing w:line="360" w:lineRule="auto"/>
        <w:ind w:firstLine="440" w:firstLineChars="200"/>
        <w:rPr>
          <w:rFonts w:ascii="仿宋" w:hAnsi="仿宋" w:eastAsia="仿宋" w:cs="仿宋"/>
          <w:color w:val="000000" w:themeColor="text1"/>
          <w:sz w:val="22"/>
          <w:szCs w:val="22"/>
          <w14:textFill>
            <w14:solidFill>
              <w14:schemeClr w14:val="tx1"/>
            </w14:solidFill>
          </w14:textFill>
        </w:rPr>
      </w:pPr>
    </w:p>
    <w:p w14:paraId="6E23D80C">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本公司郑重声明，根据《政府采购促进中小企业发展管理办法》（财库﹝2020﹞46 号）的规定，本公司参加</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val="en-US" w:eastAsia="zh-CN"/>
          <w14:textFill>
            <w14:solidFill>
              <w14:schemeClr w14:val="tx1"/>
            </w14:solidFill>
          </w14:textFill>
        </w:rPr>
        <w:t>汉中市南郑区教育体育局</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的</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eastAsia="zh-CN"/>
          <w14:textFill>
            <w14:solidFill>
              <w14:schemeClr w14:val="tx1"/>
            </w14:solidFill>
          </w14:textFill>
        </w:rPr>
        <w:t xml:space="preserve">南郑区学校蔬菜、辅料等食材配送服务采购项目（三次）合同包        </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采购活动，服务全部由符合政策要求的中小企业承接。相关企业的具体情况如下：</w:t>
      </w:r>
    </w:p>
    <w:p w14:paraId="348BDF0F">
      <w:pPr>
        <w:shd w:val="clear"/>
        <w:spacing w:line="360" w:lineRule="auto"/>
        <w:ind w:firstLine="660" w:firstLineChars="3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eastAsia="zh-CN"/>
          <w14:textFill>
            <w14:solidFill>
              <w14:schemeClr w14:val="tx1"/>
            </w14:solidFill>
          </w14:textFill>
        </w:rPr>
        <w:t>蔬菜、辅料等食材配送采购</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，属于</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u w:val="single"/>
          <w:shd w:val="clear" w:color="auto" w:fill="FFFFFF"/>
          <w:lang w:val="en-US" w:eastAsia="zh-CN"/>
          <w14:textFill>
            <w14:solidFill>
              <w14:schemeClr w14:val="tx1"/>
            </w14:solidFill>
          </w14:textFill>
        </w:rPr>
        <w:t>餐饮业</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行业；承接企业为</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（企业名称）</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 xml:space="preserve">，从业人员 </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 xml:space="preserve">      </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 xml:space="preserve">人，营业收入为 </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 xml:space="preserve">       </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万元，资产总额为</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 xml:space="preserve">      </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万元，属于（</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sym w:font="Wingdings" w:char="00A8"/>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中型企业、</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sym w:font="Wingdings" w:char="00A8"/>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小型企业、</w:t>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sym w:font="Wingdings" w:char="00A8"/>
      </w:r>
      <w:r>
        <w:rPr>
          <w:rFonts w:hint="eastAsia" w:ascii="仿宋" w:hAnsi="仿宋" w:eastAsia="仿宋" w:cs="仿宋"/>
          <w:bCs/>
          <w:color w:val="000000" w:themeColor="text1"/>
          <w:kern w:val="0"/>
          <w:sz w:val="22"/>
          <w:szCs w:val="22"/>
          <w:u w:val="single"/>
          <w:shd w:val="clear" w:color="auto" w:fill="FFFFFF"/>
          <w14:textFill>
            <w14:solidFill>
              <w14:schemeClr w14:val="tx1"/>
            </w14:solidFill>
          </w14:textFill>
        </w:rPr>
        <w:t>微型企业</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w:t>
      </w:r>
    </w:p>
    <w:p w14:paraId="72D5A104">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以上企业，不属于大企业的分支机构，不存在控股股东为大企业的情形，也不存在与大企业的负责人为同一人的情形。</w:t>
      </w:r>
    </w:p>
    <w:p w14:paraId="586A8E92">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本企业对上述声明内容的真实性负责。如有虚假，将依法承担相应责任。</w:t>
      </w:r>
    </w:p>
    <w:p w14:paraId="18329BA7">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p>
    <w:p w14:paraId="065BF6C4">
      <w:pPr>
        <w:pStyle w:val="39"/>
        <w:shd w:val="clear"/>
        <w:ind w:firstLine="0" w:firstLineChars="0"/>
        <w:rPr>
          <w:rFonts w:ascii="仿宋" w:hAnsi="仿宋" w:eastAsia="仿宋" w:cs="仿宋"/>
          <w:bCs/>
          <w:color w:val="000000" w:themeColor="text1"/>
          <w:kern w:val="0"/>
          <w:sz w:val="22"/>
          <w:szCs w:val="22"/>
          <w:shd w:val="clear" w:color="auto" w:fill="FFFFFF"/>
          <w14:textFill>
            <w14:solidFill>
              <w14:schemeClr w14:val="tx1"/>
            </w14:solidFill>
          </w14:textFill>
        </w:rPr>
      </w:pPr>
    </w:p>
    <w:p w14:paraId="452D4FAC">
      <w:pPr>
        <w:pStyle w:val="40"/>
        <w:shd w:val="clear"/>
        <w:ind w:firstLine="440"/>
        <w:rPr>
          <w:rFonts w:ascii="仿宋" w:hAnsi="仿宋" w:eastAsia="仿宋" w:cs="仿宋"/>
          <w:color w:val="000000" w:themeColor="text1"/>
          <w:sz w:val="22"/>
          <w:szCs w:val="22"/>
          <w14:textFill>
            <w14:solidFill>
              <w14:schemeClr w14:val="tx1"/>
            </w14:solidFill>
          </w14:textFill>
        </w:rPr>
      </w:pPr>
    </w:p>
    <w:p w14:paraId="17F1F666">
      <w:pPr>
        <w:shd w:val="clear"/>
        <w:spacing w:line="360" w:lineRule="auto"/>
        <w:ind w:firstLine="3740" w:firstLineChars="17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企业名称（盖章）：</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ab/>
      </w:r>
    </w:p>
    <w:p w14:paraId="0C25DA97">
      <w:pPr>
        <w:shd w:val="clear"/>
        <w:spacing w:line="360" w:lineRule="auto"/>
        <w:ind w:firstLine="440" w:firstLineChars="200"/>
        <w:jc w:val="left"/>
        <w:rPr>
          <w:rFonts w:ascii="仿宋" w:hAnsi="仿宋" w:eastAsia="仿宋" w:cs="仿宋"/>
          <w:bCs/>
          <w:color w:val="000000" w:themeColor="text1"/>
          <w:kern w:val="0"/>
          <w:sz w:val="22"/>
          <w:szCs w:val="22"/>
          <w:shd w:val="clear" w:color="auto" w:fill="FFFFFF"/>
          <w14:textFill>
            <w14:solidFill>
              <w14:schemeClr w14:val="tx1"/>
            </w14:solidFill>
          </w14:textFill>
        </w:rPr>
      </w:pPr>
    </w:p>
    <w:p w14:paraId="04135FAA">
      <w:pPr>
        <w:shd w:val="clear"/>
        <w:spacing w:line="360" w:lineRule="auto"/>
        <w:ind w:firstLine="3740" w:firstLineChars="1700"/>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日期：</w:t>
      </w:r>
      <w:r>
        <w:rPr>
          <w:rFonts w:hint="eastAsia" w:ascii="仿宋" w:hAnsi="仿宋" w:eastAsia="仿宋" w:cs="仿宋"/>
          <w:bCs/>
          <w:color w:val="000000" w:themeColor="text1"/>
          <w:kern w:val="0"/>
          <w:sz w:val="22"/>
          <w:szCs w:val="22"/>
          <w:shd w:val="clear" w:color="auto" w:fill="FFFFFF"/>
          <w14:textFill>
            <w14:solidFill>
              <w14:schemeClr w14:val="tx1"/>
            </w14:solidFill>
          </w14:textFill>
        </w:rPr>
        <w:tab/>
      </w:r>
    </w:p>
    <w:p w14:paraId="35CE9C3C">
      <w:pPr>
        <w:pStyle w:val="56"/>
        <w:shd w:val="clear"/>
        <w:rPr>
          <w:rFonts w:ascii="仿宋" w:hAnsi="仿宋" w:eastAsia="仿宋" w:cs="仿宋"/>
          <w:bCs/>
          <w:color w:val="000000" w:themeColor="text1"/>
          <w:kern w:val="0"/>
          <w:shd w:val="clear" w:color="auto" w:fill="FFFFFF"/>
          <w14:textFill>
            <w14:solidFill>
              <w14:schemeClr w14:val="tx1"/>
            </w14:solidFill>
          </w14:textFill>
        </w:rPr>
      </w:pPr>
    </w:p>
    <w:p w14:paraId="589C6AE7">
      <w:pPr>
        <w:pStyle w:val="56"/>
        <w:shd w:val="clear"/>
        <w:ind w:firstLine="0"/>
        <w:rPr>
          <w:rFonts w:ascii="仿宋" w:hAnsi="仿宋" w:eastAsia="仿宋" w:cs="仿宋"/>
          <w:bCs/>
          <w:color w:val="000000" w:themeColor="text1"/>
          <w:kern w:val="0"/>
          <w:shd w:val="clear" w:color="auto" w:fill="FFFFFF"/>
          <w14:textFill>
            <w14:solidFill>
              <w14:schemeClr w14:val="tx1"/>
            </w14:solidFill>
          </w14:textFill>
        </w:rPr>
      </w:pPr>
    </w:p>
    <w:p w14:paraId="79F61EF7">
      <w:pPr>
        <w:pStyle w:val="56"/>
        <w:shd w:val="clear"/>
        <w:ind w:firstLine="0"/>
        <w:rPr>
          <w:rFonts w:ascii="仿宋" w:hAnsi="仿宋" w:eastAsia="仿宋" w:cs="仿宋"/>
          <w:bCs/>
          <w:color w:val="000000" w:themeColor="text1"/>
          <w:kern w:val="0"/>
          <w:shd w:val="clear" w:color="auto" w:fill="FFFFFF"/>
          <w14:textFill>
            <w14:solidFill>
              <w14:schemeClr w14:val="tx1"/>
            </w14:solidFill>
          </w14:textFill>
        </w:rPr>
      </w:pPr>
    </w:p>
    <w:p w14:paraId="4A13CDDE">
      <w:pPr>
        <w:pStyle w:val="56"/>
        <w:shd w:val="clear"/>
        <w:ind w:firstLine="0"/>
        <w:rPr>
          <w:rFonts w:ascii="仿宋" w:hAnsi="仿宋" w:eastAsia="仿宋" w:cs="仿宋"/>
          <w:bCs/>
          <w:color w:val="000000" w:themeColor="text1"/>
          <w:kern w:val="0"/>
          <w:shd w:val="clear" w:color="auto" w:fill="FFFFFF"/>
          <w14:textFill>
            <w14:solidFill>
              <w14:schemeClr w14:val="tx1"/>
            </w14:solidFill>
          </w14:textFill>
        </w:rPr>
      </w:pPr>
    </w:p>
    <w:p w14:paraId="3964E024">
      <w:pPr>
        <w:pStyle w:val="56"/>
        <w:shd w:val="clear"/>
        <w:rPr>
          <w:rFonts w:ascii="仿宋" w:hAnsi="仿宋" w:eastAsia="仿宋" w:cs="仿宋"/>
          <w:bCs/>
          <w:color w:val="000000" w:themeColor="text1"/>
          <w:kern w:val="0"/>
          <w:shd w:val="clear" w:color="auto" w:fill="FFFFFF"/>
          <w14:textFill>
            <w14:solidFill>
              <w14:schemeClr w14:val="tx1"/>
            </w14:solidFill>
          </w14:textFill>
        </w:rPr>
      </w:pPr>
    </w:p>
    <w:p w14:paraId="30D92AF7">
      <w:pPr>
        <w:shd w:val="clear"/>
        <w:spacing w:line="360" w:lineRule="auto"/>
        <w:jc w:val="left"/>
        <w:rPr>
          <w:rFonts w:ascii="仿宋" w:hAnsi="仿宋" w:eastAsia="仿宋" w:cs="仿宋"/>
          <w:bCs/>
          <w:color w:val="000000" w:themeColor="text1"/>
          <w:kern w:val="0"/>
          <w:sz w:val="22"/>
          <w:szCs w:val="22"/>
          <w:shd w:val="clear" w:color="auto" w:fill="FFFFFF"/>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说明：</w:t>
      </w:r>
    </w:p>
    <w:p w14:paraId="51F12FC4">
      <w:pPr>
        <w:pStyle w:val="56"/>
        <w:shd w:val="clear"/>
        <w:ind w:firstLine="440" w:firstLineChars="200"/>
        <w:rPr>
          <w:rFonts w:ascii="仿宋" w:hAnsi="仿宋" w:eastAsia="仿宋" w:cs="仿宋"/>
          <w:b/>
          <w:bCs/>
          <w:color w:val="000000" w:themeColor="text1"/>
          <w:sz w:val="22"/>
          <w:szCs w:val="22"/>
          <w14:textFill>
            <w14:solidFill>
              <w14:schemeClr w14:val="tx1"/>
            </w14:solidFill>
          </w14:textFill>
        </w:rPr>
      </w:pPr>
      <w:r>
        <w:rPr>
          <w:rFonts w:hint="eastAsia" w:ascii="仿宋" w:hAnsi="仿宋" w:eastAsia="仿宋" w:cs="仿宋"/>
          <w:bCs/>
          <w:color w:val="000000" w:themeColor="text1"/>
          <w:kern w:val="0"/>
          <w:sz w:val="22"/>
          <w:szCs w:val="22"/>
          <w:shd w:val="clear" w:color="auto" w:fill="FFFFFF"/>
          <w14:textFill>
            <w14:solidFill>
              <w14:schemeClr w14:val="tx1"/>
            </w14:solidFill>
          </w14:textFill>
        </w:rPr>
        <w:t>填写前请认真阅读《工业和信息化部、国家统计局、国家发展和改革委员会、财政部关于印发中小企业划型标准规定的通知》（工信部联企业[2011]300号）和《政府采购促进中小企业发展管理办法》(财库〔2020〕46号相关规定。</w:t>
      </w:r>
    </w:p>
    <w:p w14:paraId="20497B9A">
      <w:pPr>
        <w:pStyle w:val="19"/>
        <w:numPr>
          <w:ilvl w:val="0"/>
          <w:numId w:val="0"/>
        </w:numPr>
        <w:jc w:val="both"/>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lang w:val="en-US" w:eastAsia="zh-CN"/>
          <w14:textFill>
            <w14:solidFill>
              <w14:schemeClr w14:val="tx1"/>
            </w14:solidFill>
          </w14:textFill>
        </w:rPr>
        <w:t xml:space="preserve">   </w:t>
      </w:r>
    </w:p>
    <w:p w14:paraId="13562830">
      <w:pPr>
        <w:adjustRightInd w:val="0"/>
        <w:snapToGrid w:val="0"/>
        <w:spacing w:before="50" w:line="360" w:lineRule="auto"/>
        <w:jc w:val="center"/>
        <w:outlineLvl w:val="9"/>
        <w:rPr>
          <w:rFonts w:hint="eastAsia" w:ascii="仿宋" w:hAnsi="仿宋" w:eastAsia="仿宋" w:cs="仿宋"/>
          <w:b/>
          <w:bCs/>
          <w:color w:val="000000" w:themeColor="text1"/>
          <w:sz w:val="24"/>
          <w:szCs w:val="24"/>
          <w14:textFill>
            <w14:solidFill>
              <w14:schemeClr w14:val="tx1"/>
            </w14:solidFill>
          </w14:textFill>
        </w:rPr>
      </w:pPr>
    </w:p>
    <w:p w14:paraId="69C6EBED">
      <w:pPr>
        <w:adjustRightInd w:val="0"/>
        <w:snapToGrid w:val="0"/>
        <w:spacing w:before="50" w:line="360" w:lineRule="auto"/>
        <w:jc w:val="center"/>
        <w:outlineLvl w:val="9"/>
        <w:rPr>
          <w:rFonts w:hint="eastAsia" w:ascii="仿宋" w:hAnsi="仿宋" w:eastAsia="仿宋" w:cs="仿宋"/>
          <w:b/>
          <w:bCs/>
          <w:color w:val="000000" w:themeColor="text1"/>
          <w:sz w:val="24"/>
          <w:szCs w:val="24"/>
          <w14:textFill>
            <w14:solidFill>
              <w14:schemeClr w14:val="tx1"/>
            </w14:solidFill>
          </w14:textFill>
        </w:rPr>
      </w:pPr>
    </w:p>
    <w:p w14:paraId="28807842">
      <w:pPr>
        <w:shd w:val="clear"/>
        <w:tabs>
          <w:tab w:val="left" w:pos="3600"/>
        </w:tabs>
        <w:adjustRightInd w:val="0"/>
        <w:snapToGrid w:val="0"/>
        <w:ind w:firstLine="1606" w:firstLineChars="500"/>
        <w:jc w:val="both"/>
        <w:outlineLvl w:val="1"/>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格式二： 残疾人福利性单位声明函</w:t>
      </w:r>
    </w:p>
    <w:p w14:paraId="18BA12DB">
      <w:pPr>
        <w:pStyle w:val="40"/>
        <w:ind w:firstLine="422"/>
        <w:outlineLvl w:val="9"/>
        <w:rPr>
          <w:color w:val="000000" w:themeColor="text1"/>
          <w14:textFill>
            <w14:solidFill>
              <w14:schemeClr w14:val="tx1"/>
            </w14:solidFill>
          </w14:textFill>
        </w:rPr>
      </w:pPr>
    </w:p>
    <w:p w14:paraId="1D0DF9C2">
      <w:pPr>
        <w:shd w:val="clear"/>
        <w:spacing w:line="360" w:lineRule="auto"/>
        <w:ind w:firstLine="464" w:firstLineChars="200"/>
        <w:rPr>
          <w:rFonts w:ascii="仿宋" w:hAnsi="仿宋" w:eastAsia="仿宋" w:cs="仿宋"/>
          <w:color w:val="000000" w:themeColor="text1"/>
          <w:spacing w:val="6"/>
          <w:sz w:val="22"/>
          <w:szCs w:val="22"/>
          <w14:textFill>
            <w14:solidFill>
              <w14:schemeClr w14:val="tx1"/>
            </w14:solidFill>
          </w14:textFill>
        </w:rPr>
      </w:pPr>
      <w:r>
        <w:rPr>
          <w:rFonts w:hint="eastAsia" w:ascii="仿宋" w:hAnsi="仿宋" w:eastAsia="仿宋" w:cs="仿宋"/>
          <w:color w:val="000000" w:themeColor="text1"/>
          <w:spacing w:val="6"/>
          <w:sz w:val="22"/>
          <w:szCs w:val="22"/>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14:paraId="650E8D61">
      <w:pPr>
        <w:shd w:val="clear"/>
        <w:spacing w:line="360" w:lineRule="auto"/>
        <w:ind w:firstLine="464" w:firstLineChars="200"/>
        <w:rPr>
          <w:rFonts w:ascii="仿宋" w:hAnsi="仿宋" w:eastAsia="仿宋" w:cs="仿宋"/>
          <w:color w:val="000000" w:themeColor="text1"/>
          <w:spacing w:val="6"/>
          <w:sz w:val="22"/>
          <w:szCs w:val="22"/>
          <w14:textFill>
            <w14:solidFill>
              <w14:schemeClr w14:val="tx1"/>
            </w14:solidFill>
          </w14:textFill>
        </w:rPr>
      </w:pPr>
      <w:r>
        <w:rPr>
          <w:rFonts w:hint="eastAsia" w:ascii="仿宋" w:hAnsi="仿宋" w:eastAsia="仿宋" w:cs="仿宋"/>
          <w:color w:val="000000" w:themeColor="text1"/>
          <w:spacing w:val="6"/>
          <w:sz w:val="22"/>
          <w:szCs w:val="22"/>
          <w14:textFill>
            <w14:solidFill>
              <w14:schemeClr w14:val="tx1"/>
            </w14:solidFill>
          </w14:textFill>
        </w:rPr>
        <w:t>本单位对上述声明的真实性负责。如有虚假，将依法承担相应责任</w:t>
      </w:r>
    </w:p>
    <w:p w14:paraId="1FAAD0EF">
      <w:pPr>
        <w:shd w:val="clear"/>
        <w:spacing w:line="360" w:lineRule="auto"/>
        <w:ind w:firstLine="464" w:firstLineChars="200"/>
        <w:rPr>
          <w:rFonts w:ascii="仿宋" w:hAnsi="仿宋" w:eastAsia="仿宋" w:cs="仿宋"/>
          <w:color w:val="000000" w:themeColor="text1"/>
          <w:spacing w:val="6"/>
          <w:sz w:val="22"/>
          <w:szCs w:val="22"/>
          <w14:textFill>
            <w14:solidFill>
              <w14:schemeClr w14:val="tx1"/>
            </w14:solidFill>
          </w14:textFill>
        </w:rPr>
      </w:pPr>
    </w:p>
    <w:p w14:paraId="18B3D7C6">
      <w:pPr>
        <w:pStyle w:val="12"/>
        <w:shd w:val="clear"/>
        <w:spacing w:line="360" w:lineRule="auto"/>
        <w:ind w:firstLine="3016" w:firstLineChars="13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pacing w:val="6"/>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单位名称(盖章):</w:t>
      </w:r>
    </w:p>
    <w:p w14:paraId="21C476D8">
      <w:pPr>
        <w:pStyle w:val="12"/>
        <w:shd w:val="clear"/>
        <w:spacing w:line="360" w:lineRule="auto"/>
        <w:ind w:firstLine="0"/>
        <w:rPr>
          <w:rFonts w:ascii="仿宋" w:hAnsi="仿宋" w:eastAsia="仿宋" w:cs="仿宋"/>
          <w:color w:val="000000" w:themeColor="text1"/>
          <w:sz w:val="24"/>
          <w:szCs w:val="24"/>
          <w14:textFill>
            <w14:solidFill>
              <w14:schemeClr w14:val="tx1"/>
            </w14:solidFill>
          </w14:textFill>
        </w:rPr>
      </w:pPr>
    </w:p>
    <w:p w14:paraId="53A40C9B">
      <w:pPr>
        <w:pStyle w:val="12"/>
        <w:shd w:val="clear"/>
        <w:spacing w:line="360" w:lineRule="auto"/>
        <w:ind w:firstLine="3300" w:firstLineChars="150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日   期：</w:t>
      </w:r>
    </w:p>
    <w:p w14:paraId="58A3F637">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657DB9EB">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08A42D4C">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3CC6C4C3">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33FF5677">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0B057E1E">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38026300">
      <w:pPr>
        <w:shd w:val="clear"/>
        <w:adjustRightInd w:val="0"/>
        <w:snapToGrid w:val="0"/>
        <w:spacing w:before="50" w:line="360" w:lineRule="auto"/>
        <w:jc w:val="left"/>
        <w:rPr>
          <w:rFonts w:ascii="仿宋" w:hAnsi="仿宋" w:eastAsia="仿宋" w:cs="仿宋"/>
          <w:b/>
          <w:color w:val="000000" w:themeColor="text1"/>
          <w:sz w:val="24"/>
          <w14:textFill>
            <w14:solidFill>
              <w14:schemeClr w14:val="tx1"/>
            </w14:solidFill>
          </w14:textFill>
        </w:rPr>
      </w:pPr>
    </w:p>
    <w:p w14:paraId="6C6D9B6E">
      <w:pPr>
        <w:pStyle w:val="4"/>
        <w:shd w:val="clear"/>
        <w:rPr>
          <w:color w:val="000000" w:themeColor="text1"/>
          <w:sz w:val="28"/>
          <w:szCs w:val="21"/>
          <w14:textFill>
            <w14:solidFill>
              <w14:schemeClr w14:val="tx1"/>
            </w14:solidFill>
          </w14:textFill>
        </w:rPr>
      </w:pPr>
    </w:p>
    <w:p w14:paraId="071E8176">
      <w:pPr>
        <w:pStyle w:val="28"/>
        <w:shd w:val="clear"/>
        <w:rPr>
          <w:rFonts w:ascii="仿宋" w:hAnsi="仿宋" w:eastAsia="仿宋" w:cs="仿宋"/>
          <w:b/>
          <w:color w:val="000000" w:themeColor="text1"/>
          <w:sz w:val="24"/>
          <w14:textFill>
            <w14:solidFill>
              <w14:schemeClr w14:val="tx1"/>
            </w14:solidFill>
          </w14:textFill>
        </w:rPr>
      </w:pPr>
    </w:p>
    <w:p w14:paraId="01E50166">
      <w:pPr>
        <w:pStyle w:val="28"/>
        <w:shd w:val="clear"/>
        <w:rPr>
          <w:rFonts w:ascii="仿宋" w:hAnsi="仿宋" w:eastAsia="仿宋" w:cs="仿宋"/>
          <w:b/>
          <w:color w:val="000000" w:themeColor="text1"/>
          <w:sz w:val="24"/>
          <w14:textFill>
            <w14:solidFill>
              <w14:schemeClr w14:val="tx1"/>
            </w14:solidFill>
          </w14:textFill>
        </w:rPr>
      </w:pPr>
    </w:p>
    <w:p w14:paraId="57B425BE">
      <w:pPr>
        <w:pStyle w:val="28"/>
        <w:shd w:val="clear"/>
        <w:rPr>
          <w:rFonts w:ascii="仿宋" w:hAnsi="仿宋" w:eastAsia="仿宋" w:cs="仿宋"/>
          <w:b/>
          <w:color w:val="000000" w:themeColor="text1"/>
          <w:sz w:val="24"/>
          <w14:textFill>
            <w14:solidFill>
              <w14:schemeClr w14:val="tx1"/>
            </w14:solidFill>
          </w14:textFill>
        </w:rPr>
      </w:pPr>
    </w:p>
    <w:p w14:paraId="5B5E7B24">
      <w:pPr>
        <w:pStyle w:val="28"/>
        <w:shd w:val="clear"/>
        <w:rPr>
          <w:rFonts w:ascii="仿宋" w:hAnsi="仿宋" w:eastAsia="仿宋" w:cs="仿宋"/>
          <w:b/>
          <w:color w:val="000000" w:themeColor="text1"/>
          <w:sz w:val="24"/>
          <w14:textFill>
            <w14:solidFill>
              <w14:schemeClr w14:val="tx1"/>
            </w14:solidFill>
          </w14:textFill>
        </w:rPr>
      </w:pPr>
    </w:p>
    <w:p w14:paraId="571332E7">
      <w:pPr>
        <w:pStyle w:val="28"/>
        <w:shd w:val="clear"/>
        <w:rPr>
          <w:rFonts w:ascii="仿宋" w:hAnsi="仿宋" w:eastAsia="仿宋" w:cs="仿宋"/>
          <w:b/>
          <w:color w:val="000000" w:themeColor="text1"/>
          <w:sz w:val="24"/>
          <w14:textFill>
            <w14:solidFill>
              <w14:schemeClr w14:val="tx1"/>
            </w14:solidFill>
          </w14:textFill>
        </w:rPr>
      </w:pPr>
    </w:p>
    <w:p w14:paraId="3FE8296A">
      <w:pPr>
        <w:pStyle w:val="28"/>
        <w:shd w:val="clear"/>
        <w:rPr>
          <w:rFonts w:ascii="仿宋" w:hAnsi="仿宋" w:eastAsia="仿宋" w:cs="仿宋"/>
          <w:b/>
          <w:color w:val="000000" w:themeColor="text1"/>
          <w:sz w:val="24"/>
          <w14:textFill>
            <w14:solidFill>
              <w14:schemeClr w14:val="tx1"/>
            </w14:solidFill>
          </w14:textFill>
        </w:rPr>
      </w:pPr>
    </w:p>
    <w:p w14:paraId="68C34125">
      <w:pPr>
        <w:shd w:val="clear"/>
        <w:adjustRightInd w:val="0"/>
        <w:snapToGrid w:val="0"/>
        <w:spacing w:line="360" w:lineRule="exac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说明：供应商不属于残疾人福利单位的，无须提供；</w:t>
      </w:r>
    </w:p>
    <w:p w14:paraId="4D79A554">
      <w:pPr>
        <w:shd w:val="clear"/>
        <w:adjustRightInd w:val="0"/>
        <w:snapToGrid w:val="0"/>
        <w:spacing w:before="50" w:line="360" w:lineRule="auto"/>
        <w:jc w:val="center"/>
        <w:outlineLvl w:val="1"/>
        <w:rPr>
          <w:rFonts w:ascii="仿宋" w:hAnsi="仿宋" w:eastAsia="仿宋" w:cs="仿宋"/>
          <w:b/>
          <w:bCs/>
          <w:color w:val="000000" w:themeColor="text1"/>
          <w:sz w:val="28"/>
          <w:szCs w:val="28"/>
          <w14:textFill>
            <w14:solidFill>
              <w14:schemeClr w14:val="tx1"/>
            </w14:solidFill>
          </w14:textFill>
        </w:rPr>
      </w:pPr>
    </w:p>
    <w:p w14:paraId="69C33CF4">
      <w:pPr>
        <w:outlineLvl w:val="9"/>
        <w:rPr>
          <w:rFonts w:ascii="仿宋" w:hAnsi="仿宋" w:eastAsia="仿宋" w:cs="仿宋"/>
          <w:color w:val="000000" w:themeColor="text1"/>
          <w14:textFill>
            <w14:solidFill>
              <w14:schemeClr w14:val="tx1"/>
            </w14:solidFill>
          </w14:textFill>
        </w:rPr>
      </w:pPr>
    </w:p>
    <w:p w14:paraId="363D4E1A">
      <w:pPr>
        <w:adjustRightInd w:val="0"/>
        <w:snapToGrid w:val="0"/>
        <w:spacing w:before="50" w:line="360" w:lineRule="auto"/>
        <w:outlineLvl w:val="9"/>
        <w:rPr>
          <w:rFonts w:ascii="仿宋" w:hAnsi="仿宋" w:eastAsia="仿宋" w:cs="仿宋"/>
          <w:b/>
          <w:bCs/>
          <w:color w:val="000000" w:themeColor="text1"/>
          <w:sz w:val="24"/>
          <w:szCs w:val="24"/>
          <w14:textFill>
            <w14:solidFill>
              <w14:schemeClr w14:val="tx1"/>
            </w14:solidFill>
          </w14:textFill>
        </w:rPr>
      </w:pPr>
    </w:p>
    <w:p w14:paraId="4BEC7899">
      <w:pPr>
        <w:pStyle w:val="40"/>
        <w:ind w:firstLine="422"/>
        <w:outlineLvl w:val="9"/>
        <w:rPr>
          <w:color w:val="000000" w:themeColor="text1"/>
          <w14:textFill>
            <w14:solidFill>
              <w14:schemeClr w14:val="tx1"/>
            </w14:solidFill>
          </w14:textFill>
        </w:rPr>
      </w:pPr>
    </w:p>
    <w:p w14:paraId="46A45045">
      <w:pPr>
        <w:shd w:val="clear"/>
        <w:tabs>
          <w:tab w:val="left" w:pos="3600"/>
        </w:tabs>
        <w:adjustRightInd w:val="0"/>
        <w:snapToGrid w:val="0"/>
        <w:ind w:firstLine="2249" w:firstLineChars="700"/>
        <w:jc w:val="both"/>
        <w:outlineLvl w:val="1"/>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格式三：监狱企业证明</w:t>
      </w:r>
    </w:p>
    <w:p w14:paraId="4D344E26">
      <w:pPr>
        <w:pStyle w:val="40"/>
        <w:ind w:firstLine="422"/>
        <w:outlineLvl w:val="9"/>
        <w:rPr>
          <w:color w:val="000000" w:themeColor="text1"/>
          <w14:textFill>
            <w14:solidFill>
              <w14:schemeClr w14:val="tx1"/>
            </w14:solidFill>
          </w14:textFill>
        </w:rPr>
      </w:pPr>
    </w:p>
    <w:p w14:paraId="09CFD309">
      <w:pPr>
        <w:shd w:val="clear"/>
        <w:adjustRightInd w:val="0"/>
        <w:snapToGrid w:val="0"/>
        <w:spacing w:before="50" w:line="360" w:lineRule="auto"/>
        <w:ind w:firstLine="440" w:firstLineChars="200"/>
        <w:jc w:val="left"/>
        <w:outlineLvl w:val="1"/>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根据财政部、司法部《关于政府采购支持监狱企业发展有关问题的通知》（财库〔2014〕68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8BCC037">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监狱企业参加政府采购活动时，应当提供由省级以上监狱管理局、戒毒管理局（含新疆生产建设兵团）出具的属于监狱企业的证明文件，非监狱企业无需提供。</w:t>
      </w:r>
    </w:p>
    <w:p w14:paraId="1F7C21D4">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p>
    <w:p w14:paraId="52F69F8E">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p>
    <w:p w14:paraId="01B4FC9B">
      <w:pPr>
        <w:spacing w:line="360" w:lineRule="auto"/>
        <w:jc w:val="left"/>
        <w:outlineLvl w:val="9"/>
        <w:rPr>
          <w:rFonts w:ascii="仿宋" w:hAnsi="仿宋" w:eastAsia="仿宋" w:cs="仿宋"/>
          <w:b/>
          <w:color w:val="000000" w:themeColor="text1"/>
          <w:sz w:val="28"/>
          <w:szCs w:val="21"/>
          <w14:textFill>
            <w14:solidFill>
              <w14:schemeClr w14:val="tx1"/>
            </w14:solidFill>
          </w14:textFill>
        </w:rPr>
      </w:pPr>
    </w:p>
    <w:p w14:paraId="59BDC503">
      <w:pPr>
        <w:pStyle w:val="12"/>
        <w:outlineLvl w:val="9"/>
        <w:rPr>
          <w:rFonts w:ascii="仿宋" w:hAnsi="仿宋" w:eastAsia="仿宋" w:cs="仿宋"/>
          <w:b/>
          <w:color w:val="000000" w:themeColor="text1"/>
          <w:sz w:val="28"/>
          <w:szCs w:val="21"/>
          <w14:textFill>
            <w14:solidFill>
              <w14:schemeClr w14:val="tx1"/>
            </w14:solidFill>
          </w14:textFill>
        </w:rPr>
      </w:pPr>
    </w:p>
    <w:p w14:paraId="47303574">
      <w:pPr>
        <w:pStyle w:val="40"/>
        <w:ind w:firstLine="562"/>
        <w:outlineLvl w:val="9"/>
        <w:rPr>
          <w:rFonts w:ascii="仿宋" w:hAnsi="仿宋" w:eastAsia="仿宋" w:cs="仿宋"/>
          <w:color w:val="000000" w:themeColor="text1"/>
          <w:sz w:val="28"/>
          <w:szCs w:val="21"/>
          <w14:textFill>
            <w14:solidFill>
              <w14:schemeClr w14:val="tx1"/>
            </w14:solidFill>
          </w14:textFill>
        </w:rPr>
      </w:pPr>
    </w:p>
    <w:p w14:paraId="486CD479">
      <w:pPr>
        <w:outlineLvl w:val="9"/>
        <w:rPr>
          <w:rFonts w:ascii="仿宋" w:hAnsi="仿宋" w:eastAsia="仿宋" w:cs="仿宋"/>
          <w:b/>
          <w:color w:val="000000" w:themeColor="text1"/>
          <w:sz w:val="28"/>
          <w:szCs w:val="21"/>
          <w14:textFill>
            <w14:solidFill>
              <w14:schemeClr w14:val="tx1"/>
            </w14:solidFill>
          </w14:textFill>
        </w:rPr>
      </w:pPr>
    </w:p>
    <w:p w14:paraId="1BC7FC3A">
      <w:pPr>
        <w:pStyle w:val="12"/>
        <w:outlineLvl w:val="9"/>
        <w:rPr>
          <w:rFonts w:ascii="仿宋" w:hAnsi="仿宋" w:eastAsia="仿宋" w:cs="仿宋"/>
          <w:b/>
          <w:color w:val="000000" w:themeColor="text1"/>
          <w:sz w:val="28"/>
          <w:szCs w:val="21"/>
          <w14:textFill>
            <w14:solidFill>
              <w14:schemeClr w14:val="tx1"/>
            </w14:solidFill>
          </w14:textFill>
        </w:rPr>
      </w:pPr>
    </w:p>
    <w:p w14:paraId="345977BA">
      <w:pPr>
        <w:outlineLvl w:val="9"/>
        <w:rPr>
          <w:color w:val="000000" w:themeColor="text1"/>
          <w14:textFill>
            <w14:solidFill>
              <w14:schemeClr w14:val="tx1"/>
            </w14:solidFill>
          </w14:textFill>
        </w:rPr>
      </w:pPr>
      <w:bookmarkStart w:id="479" w:name="_GoBack"/>
      <w:bookmarkEnd w:id="479"/>
    </w:p>
    <w:p w14:paraId="5F0616C5">
      <w:pPr>
        <w:pStyle w:val="40"/>
        <w:ind w:firstLine="562"/>
        <w:outlineLvl w:val="9"/>
        <w:rPr>
          <w:rFonts w:ascii="仿宋" w:hAnsi="仿宋" w:eastAsia="仿宋" w:cs="仿宋"/>
          <w:color w:val="000000" w:themeColor="text1"/>
          <w:sz w:val="28"/>
          <w:szCs w:val="21"/>
          <w14:textFill>
            <w14:solidFill>
              <w14:schemeClr w14:val="tx1"/>
            </w14:solidFill>
          </w14:textFill>
        </w:rPr>
      </w:pPr>
    </w:p>
    <w:p w14:paraId="0B439034">
      <w:pPr>
        <w:outlineLvl w:val="9"/>
        <w:rPr>
          <w:rFonts w:ascii="仿宋" w:hAnsi="仿宋" w:eastAsia="仿宋" w:cs="仿宋"/>
          <w:color w:val="000000" w:themeColor="text1"/>
          <w14:textFill>
            <w14:solidFill>
              <w14:schemeClr w14:val="tx1"/>
            </w14:solidFill>
          </w14:textFill>
        </w:rPr>
      </w:pPr>
    </w:p>
    <w:p w14:paraId="57D2515D">
      <w:pPr>
        <w:spacing w:line="360" w:lineRule="auto"/>
        <w:outlineLvl w:val="9"/>
        <w:rPr>
          <w:rFonts w:hint="eastAsia" w:ascii="仿宋" w:hAnsi="仿宋" w:eastAsia="仿宋" w:cs="仿宋"/>
          <w:bCs/>
          <w:color w:val="000000" w:themeColor="text1"/>
          <w:szCs w:val="21"/>
          <w14:textFill>
            <w14:solidFill>
              <w14:schemeClr w14:val="tx1"/>
            </w14:solidFill>
          </w14:textFill>
        </w:rPr>
      </w:pPr>
    </w:p>
    <w:p w14:paraId="4D7BB77C">
      <w:pPr>
        <w:spacing w:line="360" w:lineRule="auto"/>
        <w:outlineLvl w:val="9"/>
        <w:rPr>
          <w:rFonts w:hint="eastAsia" w:ascii="仿宋" w:hAnsi="仿宋" w:eastAsia="仿宋" w:cs="仿宋"/>
          <w:bCs/>
          <w:color w:val="000000" w:themeColor="text1"/>
          <w:szCs w:val="21"/>
          <w14:textFill>
            <w14:solidFill>
              <w14:schemeClr w14:val="tx1"/>
            </w14:solidFill>
          </w14:textFill>
        </w:rPr>
      </w:pPr>
    </w:p>
    <w:p w14:paraId="22371F31">
      <w:pPr>
        <w:spacing w:line="360" w:lineRule="auto"/>
        <w:outlineLvl w:val="9"/>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说明：</w:t>
      </w:r>
    </w:p>
    <w:p w14:paraId="33294D52">
      <w:pPr>
        <w:spacing w:line="360" w:lineRule="auto"/>
        <w:ind w:firstLine="420" w:firstLineChars="200"/>
        <w:outlineLvl w:val="9"/>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1、证明无格式要求，由出具监狱企业证明的单位自行拟定；</w:t>
      </w:r>
    </w:p>
    <w:p w14:paraId="7175A731">
      <w:pPr>
        <w:keepLines w:val="0"/>
        <w:pageBreakBefore w:val="0"/>
        <w:widowControl w:val="0"/>
        <w:kinsoku/>
        <w:wordWrap/>
        <w:overflowPunct/>
        <w:topLinePunct w:val="0"/>
        <w:bidi w:val="0"/>
        <w:adjustRightInd w:val="0"/>
        <w:snapToGrid w:val="0"/>
        <w:spacing w:line="360" w:lineRule="auto"/>
        <w:jc w:val="both"/>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2、投标人不属于监狱企业的，无须提供。</w:t>
      </w:r>
    </w:p>
    <w:p w14:paraId="497581BD">
      <w:pPr>
        <w:pStyle w:val="29"/>
        <w:jc w:val="left"/>
        <w:rPr>
          <w:rFonts w:hint="eastAsia" w:ascii="仿宋" w:hAnsi="仿宋" w:eastAsia="仿宋" w:cs="仿宋"/>
          <w:color w:val="000000" w:themeColor="text1"/>
          <w:sz w:val="24"/>
          <w:szCs w:val="24"/>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D94A">
    <w:pPr>
      <w:pStyle w:val="28"/>
      <w:tabs>
        <w:tab w:val="left" w:pos="3407"/>
        <w:tab w:val="left" w:pos="5256"/>
        <w:tab w:val="clear" w:pos="4153"/>
        <w:tab w:val="clear" w:pos="8306"/>
      </w:tabs>
      <w:rPr>
        <w:rFonts w:ascii="方正粗黑宋简体" w:hAnsi="方正粗黑宋简体" w:eastAsia="方正粗黑宋简体" w:cs="方正粗黑宋简体"/>
        <w:b/>
        <w:bCs/>
        <w:u w:val="doub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AF22">
    <w:pPr>
      <w:pStyle w:val="28"/>
      <w:jc w:val="center"/>
    </w:pPr>
    <w:r>
      <mc:AlternateContent>
        <mc:Choice Requires="wps">
          <w:drawing>
            <wp:anchor distT="0" distB="0" distL="114300" distR="114300" simplePos="0" relativeHeight="251660288" behindDoc="0" locked="0" layoutInCell="1" allowOverlap="1">
              <wp:simplePos x="0" y="0"/>
              <wp:positionH relativeFrom="margin">
                <wp:posOffset>2606040</wp:posOffset>
              </wp:positionH>
              <wp:positionV relativeFrom="paragraph">
                <wp:posOffset>-3810</wp:posOffset>
              </wp:positionV>
              <wp:extent cx="651510" cy="308610"/>
              <wp:effectExtent l="0" t="0" r="15240" b="15240"/>
              <wp:wrapNone/>
              <wp:docPr id="3" name="文本框 59"/>
              <wp:cNvGraphicFramePr/>
              <a:graphic xmlns:a="http://schemas.openxmlformats.org/drawingml/2006/main">
                <a:graphicData uri="http://schemas.microsoft.com/office/word/2010/wordprocessingShape">
                  <wps:wsp>
                    <wps:cNvSpPr txBox="1"/>
                    <wps:spPr>
                      <a:xfrm>
                        <a:off x="0" y="0"/>
                        <a:ext cx="651510" cy="308610"/>
                      </a:xfrm>
                      <a:prstGeom prst="rect">
                        <a:avLst/>
                      </a:prstGeom>
                      <a:noFill/>
                      <a:ln>
                        <a:noFill/>
                      </a:ln>
                      <a:effectLst/>
                    </wps:spPr>
                    <wps:txbx>
                      <w:txbxContent>
                        <w:p w14:paraId="4801B956">
                          <w:pPr>
                            <w:pStyle w:val="28"/>
                          </w:pPr>
                          <w:r>
                            <w:fldChar w:fldCharType="begin"/>
                          </w:r>
                          <w:r>
                            <w:instrText xml:space="preserve"> PAGE  \* MERGEFORMAT </w:instrText>
                          </w:r>
                          <w:r>
                            <w:fldChar w:fldCharType="separate"/>
                          </w:r>
                          <w:r>
                            <w:t>72</w:t>
                          </w:r>
                          <w:r>
                            <w:fldChar w:fldCharType="end"/>
                          </w:r>
                        </w:p>
                      </w:txbxContent>
                    </wps:txbx>
                    <wps:bodyPr wrap="square" lIns="0" tIns="0" rIns="0" bIns="0">
                      <a:noAutofit/>
                    </wps:bodyPr>
                  </wps:wsp>
                </a:graphicData>
              </a:graphic>
            </wp:anchor>
          </w:drawing>
        </mc:Choice>
        <mc:Fallback>
          <w:pict>
            <v:shape id="文本框 59" o:spid="_x0000_s1026" o:spt="202" type="#_x0000_t202" style="position:absolute;left:0pt;margin-left:205.2pt;margin-top:-0.3pt;height:24.3pt;width:51.3pt;mso-position-horizontal-relative:margin;z-index:251660288;mso-width-relative:page;mso-height-relative:page;" filled="f" stroked="f" coordsize="21600,21600" o:gfxdata="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SWWyo1gAAAAgBAAAPAAAAAAAAAAEAIAAAACIAAABkcnMv&#10;ZG93bnJldi54bWxQSwECFAAUAAAACACHTuJARr1r6MwBAACcAwAADgAAAAAAAAABACAAAAAlAQAA&#10;ZHJzL2Uyb0RvYy54bWxQSwUGAAAAAAYABgBZAQAAYwUAAAAA&#10;">
              <v:fill on="f" focussize="0,0"/>
              <v:stroke on="f"/>
              <v:imagedata o:title=""/>
              <o:lock v:ext="edit" aspectratio="f"/>
              <v:textbox inset="0mm,0mm,0mm,0mm">
                <w:txbxContent>
                  <w:p w14:paraId="4801B956">
                    <w:pPr>
                      <w:pStyle w:val="28"/>
                    </w:pPr>
                    <w:r>
                      <w:fldChar w:fldCharType="begin"/>
                    </w:r>
                    <w:r>
                      <w:instrText xml:space="preserve"> PAGE  \* MERGEFORMAT </w:instrText>
                    </w:r>
                    <w:r>
                      <w:fldChar w:fldCharType="separate"/>
                    </w:r>
                    <w:r>
                      <w:t>72</w:t>
                    </w:r>
                    <w:r>
                      <w:fldChar w:fldCharType="end"/>
                    </w:r>
                  </w:p>
                </w:txbxContent>
              </v:textbox>
            </v:shape>
          </w:pict>
        </mc:Fallback>
      </mc:AlternateContent>
    </w:r>
  </w:p>
  <w:p w14:paraId="694EB83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388B">
    <w:pPr>
      <w:pStyle w:val="30"/>
      <w:pBdr>
        <w:bottom w:val="none" w:color="auto" w:sz="0" w:space="1"/>
      </w:pBdr>
      <w:tabs>
        <w:tab w:val="left" w:pos="5380"/>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7A8F3">
    <w:pPr>
      <w:pStyle w:val="30"/>
      <w:pBdr>
        <w:bottom w:val="none" w:color="auto" w:sz="0" w:space="1"/>
      </w:pBdr>
      <w:tabs>
        <w:tab w:val="right" w:pos="0"/>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29BA1E1C"/>
    <w:multiLevelType w:val="singleLevel"/>
    <w:tmpl w:val="29BA1E1C"/>
    <w:lvl w:ilvl="0" w:tentative="0">
      <w:start w:val="1"/>
      <w:numFmt w:val="chineseCounting"/>
      <w:suff w:val="space"/>
      <w:lvlText w:val="第%1章"/>
      <w:lvlJc w:val="left"/>
      <w:rPr>
        <w:rFonts w:hint="eastAsia"/>
      </w:rPr>
    </w:lvl>
  </w:abstractNum>
  <w:abstractNum w:abstractNumId="2">
    <w:nsid w:val="433192AB"/>
    <w:multiLevelType w:val="singleLevel"/>
    <w:tmpl w:val="433192AB"/>
    <w:lvl w:ilvl="0" w:tentative="0">
      <w:start w:val="8"/>
      <w:numFmt w:val="decimal"/>
      <w:suff w:val="space"/>
      <w:lvlText w:val="（%1）"/>
      <w:lvlJc w:val="left"/>
    </w:lvl>
  </w:abstractNum>
  <w:abstractNum w:abstractNumId="3">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39"/>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33937FA"/>
    <w:multiLevelType w:val="singleLevel"/>
    <w:tmpl w:val="633937FA"/>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mQ3ZDM3ZmE2ZTc5ZjEwNThhZDZiNmIxMDAwOWUifQ=="/>
    <w:docVar w:name="KSO_WPS_MARK_KEY" w:val="8c7e8c30-de3d-4d87-a947-c290ba7e4744"/>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70817"/>
    <w:rsid w:val="00172A27"/>
    <w:rsid w:val="0018539E"/>
    <w:rsid w:val="00190A60"/>
    <w:rsid w:val="00190D7C"/>
    <w:rsid w:val="0019653E"/>
    <w:rsid w:val="001A0968"/>
    <w:rsid w:val="001A4DBA"/>
    <w:rsid w:val="001A722B"/>
    <w:rsid w:val="001B1981"/>
    <w:rsid w:val="001B55DB"/>
    <w:rsid w:val="001B6E59"/>
    <w:rsid w:val="001C04AD"/>
    <w:rsid w:val="001C5971"/>
    <w:rsid w:val="001C59BE"/>
    <w:rsid w:val="001C7AB4"/>
    <w:rsid w:val="001D15B2"/>
    <w:rsid w:val="001E0075"/>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0AC9"/>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1E1"/>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1094B"/>
    <w:rsid w:val="00512F09"/>
    <w:rsid w:val="005138F7"/>
    <w:rsid w:val="00514B25"/>
    <w:rsid w:val="00521B18"/>
    <w:rsid w:val="00522102"/>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C5F6D"/>
    <w:rsid w:val="005D1FA6"/>
    <w:rsid w:val="005D5F44"/>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5991"/>
    <w:rsid w:val="00646B40"/>
    <w:rsid w:val="006474BF"/>
    <w:rsid w:val="006507A3"/>
    <w:rsid w:val="0065523A"/>
    <w:rsid w:val="00672E1A"/>
    <w:rsid w:val="0067342F"/>
    <w:rsid w:val="00676A6B"/>
    <w:rsid w:val="00677485"/>
    <w:rsid w:val="00681115"/>
    <w:rsid w:val="00686E32"/>
    <w:rsid w:val="00687E93"/>
    <w:rsid w:val="00693C54"/>
    <w:rsid w:val="006A51BD"/>
    <w:rsid w:val="006B2DEB"/>
    <w:rsid w:val="006B39BE"/>
    <w:rsid w:val="006D2A98"/>
    <w:rsid w:val="006D5089"/>
    <w:rsid w:val="006D787E"/>
    <w:rsid w:val="006E52A9"/>
    <w:rsid w:val="006E6D69"/>
    <w:rsid w:val="006F0CF3"/>
    <w:rsid w:val="006F5041"/>
    <w:rsid w:val="00704F31"/>
    <w:rsid w:val="00706557"/>
    <w:rsid w:val="00710D5A"/>
    <w:rsid w:val="007221CC"/>
    <w:rsid w:val="00725983"/>
    <w:rsid w:val="007322C9"/>
    <w:rsid w:val="0073324F"/>
    <w:rsid w:val="00733B64"/>
    <w:rsid w:val="0073493A"/>
    <w:rsid w:val="0073688F"/>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8001D2"/>
    <w:rsid w:val="00800AF1"/>
    <w:rsid w:val="008051AE"/>
    <w:rsid w:val="0081426F"/>
    <w:rsid w:val="00816D81"/>
    <w:rsid w:val="00822B85"/>
    <w:rsid w:val="0082316D"/>
    <w:rsid w:val="00823688"/>
    <w:rsid w:val="00834949"/>
    <w:rsid w:val="00836DC5"/>
    <w:rsid w:val="00845926"/>
    <w:rsid w:val="008501C1"/>
    <w:rsid w:val="008503E7"/>
    <w:rsid w:val="00850DEF"/>
    <w:rsid w:val="008542D5"/>
    <w:rsid w:val="0085579A"/>
    <w:rsid w:val="008643F1"/>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0752F"/>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A88"/>
    <w:rsid w:val="009A2F9C"/>
    <w:rsid w:val="009B32BB"/>
    <w:rsid w:val="009C1497"/>
    <w:rsid w:val="009C2DE3"/>
    <w:rsid w:val="009C41B0"/>
    <w:rsid w:val="009C5392"/>
    <w:rsid w:val="009C5A2A"/>
    <w:rsid w:val="009C614F"/>
    <w:rsid w:val="009C7915"/>
    <w:rsid w:val="009D0EA3"/>
    <w:rsid w:val="009D299C"/>
    <w:rsid w:val="009E0214"/>
    <w:rsid w:val="009E2393"/>
    <w:rsid w:val="009F1EFC"/>
    <w:rsid w:val="00A02D3B"/>
    <w:rsid w:val="00A07F6F"/>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87CBC"/>
    <w:rsid w:val="00A90A2C"/>
    <w:rsid w:val="00A93F7F"/>
    <w:rsid w:val="00A945D0"/>
    <w:rsid w:val="00A966BD"/>
    <w:rsid w:val="00A97B83"/>
    <w:rsid w:val="00AA6108"/>
    <w:rsid w:val="00AB4EDF"/>
    <w:rsid w:val="00AB518A"/>
    <w:rsid w:val="00AB5757"/>
    <w:rsid w:val="00AB68D7"/>
    <w:rsid w:val="00AC5226"/>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142A"/>
    <w:rsid w:val="00B55527"/>
    <w:rsid w:val="00B618E6"/>
    <w:rsid w:val="00B6560A"/>
    <w:rsid w:val="00B66E16"/>
    <w:rsid w:val="00B8033E"/>
    <w:rsid w:val="00B928D6"/>
    <w:rsid w:val="00B93CFD"/>
    <w:rsid w:val="00BA2477"/>
    <w:rsid w:val="00BA5904"/>
    <w:rsid w:val="00BA7E17"/>
    <w:rsid w:val="00BB182C"/>
    <w:rsid w:val="00BB2B1A"/>
    <w:rsid w:val="00BC3580"/>
    <w:rsid w:val="00BC6DDA"/>
    <w:rsid w:val="00BD3CC8"/>
    <w:rsid w:val="00BD4FB8"/>
    <w:rsid w:val="00BE46A7"/>
    <w:rsid w:val="00BE4F32"/>
    <w:rsid w:val="00BE7067"/>
    <w:rsid w:val="00BF62B9"/>
    <w:rsid w:val="00C00B9C"/>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61BDA"/>
    <w:rsid w:val="00C6210A"/>
    <w:rsid w:val="00C6305A"/>
    <w:rsid w:val="00C709E2"/>
    <w:rsid w:val="00C72FE6"/>
    <w:rsid w:val="00C76C8A"/>
    <w:rsid w:val="00C8361C"/>
    <w:rsid w:val="00C83CC6"/>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108E"/>
    <w:rsid w:val="00D91092"/>
    <w:rsid w:val="00D940BE"/>
    <w:rsid w:val="00D954C3"/>
    <w:rsid w:val="00DA1B57"/>
    <w:rsid w:val="00DA4464"/>
    <w:rsid w:val="00DA47FC"/>
    <w:rsid w:val="00DB474E"/>
    <w:rsid w:val="00DB7A71"/>
    <w:rsid w:val="00DC0BD8"/>
    <w:rsid w:val="00DC6F9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7326"/>
    <w:rsid w:val="00E42272"/>
    <w:rsid w:val="00E434D5"/>
    <w:rsid w:val="00E45A88"/>
    <w:rsid w:val="00E521C9"/>
    <w:rsid w:val="00E550FA"/>
    <w:rsid w:val="00E60070"/>
    <w:rsid w:val="00E629D3"/>
    <w:rsid w:val="00E62A9B"/>
    <w:rsid w:val="00E63F21"/>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A7970"/>
    <w:rsid w:val="00EB32F8"/>
    <w:rsid w:val="00EB4028"/>
    <w:rsid w:val="00EB6CCC"/>
    <w:rsid w:val="00EC1B97"/>
    <w:rsid w:val="00EC2D92"/>
    <w:rsid w:val="00EC76DC"/>
    <w:rsid w:val="00ED0C48"/>
    <w:rsid w:val="00ED1724"/>
    <w:rsid w:val="00ED22E5"/>
    <w:rsid w:val="00ED3543"/>
    <w:rsid w:val="00ED5CF2"/>
    <w:rsid w:val="00ED66D4"/>
    <w:rsid w:val="00EE26C4"/>
    <w:rsid w:val="00EE64FF"/>
    <w:rsid w:val="00EF1B53"/>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954FE"/>
    <w:rsid w:val="00FA34FE"/>
    <w:rsid w:val="00FA440B"/>
    <w:rsid w:val="00FA5088"/>
    <w:rsid w:val="00FB2898"/>
    <w:rsid w:val="00FB4FFC"/>
    <w:rsid w:val="00FB7BF7"/>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415A8"/>
    <w:rsid w:val="01361444"/>
    <w:rsid w:val="013B0B11"/>
    <w:rsid w:val="013C440B"/>
    <w:rsid w:val="01402D73"/>
    <w:rsid w:val="01413242"/>
    <w:rsid w:val="01473AEC"/>
    <w:rsid w:val="014837FC"/>
    <w:rsid w:val="014E1872"/>
    <w:rsid w:val="01501825"/>
    <w:rsid w:val="015D1E37"/>
    <w:rsid w:val="016632ED"/>
    <w:rsid w:val="017437DD"/>
    <w:rsid w:val="01754BC7"/>
    <w:rsid w:val="01774323"/>
    <w:rsid w:val="01777109"/>
    <w:rsid w:val="017E2A82"/>
    <w:rsid w:val="018D5596"/>
    <w:rsid w:val="018E53BB"/>
    <w:rsid w:val="018F047A"/>
    <w:rsid w:val="01A2144B"/>
    <w:rsid w:val="01A47E38"/>
    <w:rsid w:val="01A92D17"/>
    <w:rsid w:val="01AA499D"/>
    <w:rsid w:val="01AD125C"/>
    <w:rsid w:val="01BD680B"/>
    <w:rsid w:val="01BF098D"/>
    <w:rsid w:val="01BF7297"/>
    <w:rsid w:val="01C13FA1"/>
    <w:rsid w:val="01C250C8"/>
    <w:rsid w:val="01C57BC6"/>
    <w:rsid w:val="01CC68B2"/>
    <w:rsid w:val="01CF196D"/>
    <w:rsid w:val="01D325F8"/>
    <w:rsid w:val="01D74CA6"/>
    <w:rsid w:val="01D933E1"/>
    <w:rsid w:val="01E93984"/>
    <w:rsid w:val="01ED310F"/>
    <w:rsid w:val="01F45283"/>
    <w:rsid w:val="020166F4"/>
    <w:rsid w:val="02023A3D"/>
    <w:rsid w:val="02036662"/>
    <w:rsid w:val="020A7DED"/>
    <w:rsid w:val="021652D6"/>
    <w:rsid w:val="021745C2"/>
    <w:rsid w:val="021B5C89"/>
    <w:rsid w:val="02210B68"/>
    <w:rsid w:val="02243EDA"/>
    <w:rsid w:val="0225047C"/>
    <w:rsid w:val="022551F2"/>
    <w:rsid w:val="022602E1"/>
    <w:rsid w:val="02261EF1"/>
    <w:rsid w:val="0229183F"/>
    <w:rsid w:val="023A7077"/>
    <w:rsid w:val="023C4E17"/>
    <w:rsid w:val="0247567F"/>
    <w:rsid w:val="024B2775"/>
    <w:rsid w:val="02522323"/>
    <w:rsid w:val="02560D18"/>
    <w:rsid w:val="025832D3"/>
    <w:rsid w:val="025A2A63"/>
    <w:rsid w:val="0263791D"/>
    <w:rsid w:val="02660637"/>
    <w:rsid w:val="026608A3"/>
    <w:rsid w:val="02663939"/>
    <w:rsid w:val="02690DFF"/>
    <w:rsid w:val="027841F2"/>
    <w:rsid w:val="027A12B0"/>
    <w:rsid w:val="027E0D1B"/>
    <w:rsid w:val="02844D5F"/>
    <w:rsid w:val="028A598A"/>
    <w:rsid w:val="02916F11"/>
    <w:rsid w:val="029B375C"/>
    <w:rsid w:val="029C3B08"/>
    <w:rsid w:val="02A23E73"/>
    <w:rsid w:val="02A470ED"/>
    <w:rsid w:val="02AA14B7"/>
    <w:rsid w:val="02B66C79"/>
    <w:rsid w:val="02B725D1"/>
    <w:rsid w:val="02BB5ECE"/>
    <w:rsid w:val="02C71A3B"/>
    <w:rsid w:val="02C81BA4"/>
    <w:rsid w:val="02CE1346"/>
    <w:rsid w:val="02CE3699"/>
    <w:rsid w:val="02CE5187"/>
    <w:rsid w:val="02D21057"/>
    <w:rsid w:val="02D35D36"/>
    <w:rsid w:val="02D53789"/>
    <w:rsid w:val="02E01AEF"/>
    <w:rsid w:val="02E368F4"/>
    <w:rsid w:val="02F14DF7"/>
    <w:rsid w:val="02FC78AB"/>
    <w:rsid w:val="03086BBE"/>
    <w:rsid w:val="0328120C"/>
    <w:rsid w:val="032835A4"/>
    <w:rsid w:val="032F29C8"/>
    <w:rsid w:val="032F4404"/>
    <w:rsid w:val="03316FEA"/>
    <w:rsid w:val="033B12BD"/>
    <w:rsid w:val="03502D9E"/>
    <w:rsid w:val="03537909"/>
    <w:rsid w:val="03572FF7"/>
    <w:rsid w:val="03583C5B"/>
    <w:rsid w:val="03584069"/>
    <w:rsid w:val="035C330F"/>
    <w:rsid w:val="035C6F76"/>
    <w:rsid w:val="035D3297"/>
    <w:rsid w:val="03613E17"/>
    <w:rsid w:val="03657B52"/>
    <w:rsid w:val="036E6271"/>
    <w:rsid w:val="037524B1"/>
    <w:rsid w:val="0377715F"/>
    <w:rsid w:val="037E2C96"/>
    <w:rsid w:val="038A6C1D"/>
    <w:rsid w:val="038E7A37"/>
    <w:rsid w:val="03912F9C"/>
    <w:rsid w:val="03A26EFC"/>
    <w:rsid w:val="03A36CC6"/>
    <w:rsid w:val="03A81B5B"/>
    <w:rsid w:val="03AE2F25"/>
    <w:rsid w:val="03B21C17"/>
    <w:rsid w:val="03B41CB7"/>
    <w:rsid w:val="03B60BF9"/>
    <w:rsid w:val="03B72490"/>
    <w:rsid w:val="03B8645A"/>
    <w:rsid w:val="03C81B45"/>
    <w:rsid w:val="03D25005"/>
    <w:rsid w:val="03D270B5"/>
    <w:rsid w:val="03D36B41"/>
    <w:rsid w:val="03D67670"/>
    <w:rsid w:val="03DC737C"/>
    <w:rsid w:val="03DF1EFE"/>
    <w:rsid w:val="03F37B6E"/>
    <w:rsid w:val="03FC033A"/>
    <w:rsid w:val="03FC79DE"/>
    <w:rsid w:val="03FE3903"/>
    <w:rsid w:val="03FF4C47"/>
    <w:rsid w:val="04010D18"/>
    <w:rsid w:val="04060440"/>
    <w:rsid w:val="040C0CA9"/>
    <w:rsid w:val="041132F7"/>
    <w:rsid w:val="04136AEB"/>
    <w:rsid w:val="04210BD8"/>
    <w:rsid w:val="04294EA9"/>
    <w:rsid w:val="043D46F8"/>
    <w:rsid w:val="044141EF"/>
    <w:rsid w:val="04491C62"/>
    <w:rsid w:val="044E143B"/>
    <w:rsid w:val="045124FD"/>
    <w:rsid w:val="045C717F"/>
    <w:rsid w:val="04747EE2"/>
    <w:rsid w:val="04766CDF"/>
    <w:rsid w:val="047C7A9D"/>
    <w:rsid w:val="0487573F"/>
    <w:rsid w:val="048D7275"/>
    <w:rsid w:val="048E5BEE"/>
    <w:rsid w:val="048F7135"/>
    <w:rsid w:val="049A7BD3"/>
    <w:rsid w:val="049E4D12"/>
    <w:rsid w:val="04A15406"/>
    <w:rsid w:val="04A30C83"/>
    <w:rsid w:val="04A77D6F"/>
    <w:rsid w:val="04A85C50"/>
    <w:rsid w:val="04A96068"/>
    <w:rsid w:val="04AB15BC"/>
    <w:rsid w:val="04B45DFC"/>
    <w:rsid w:val="04B67A1F"/>
    <w:rsid w:val="04B807B5"/>
    <w:rsid w:val="04BF4A59"/>
    <w:rsid w:val="04C26841"/>
    <w:rsid w:val="04CE3D21"/>
    <w:rsid w:val="04D20B7C"/>
    <w:rsid w:val="04D55D20"/>
    <w:rsid w:val="04DE566C"/>
    <w:rsid w:val="04E452F2"/>
    <w:rsid w:val="04E8504B"/>
    <w:rsid w:val="04F239EA"/>
    <w:rsid w:val="04F47346"/>
    <w:rsid w:val="04F70A64"/>
    <w:rsid w:val="04F76DD4"/>
    <w:rsid w:val="04F803B4"/>
    <w:rsid w:val="04FC2084"/>
    <w:rsid w:val="051019BD"/>
    <w:rsid w:val="0518640C"/>
    <w:rsid w:val="051A565C"/>
    <w:rsid w:val="051B5E4F"/>
    <w:rsid w:val="051C42D9"/>
    <w:rsid w:val="051F77E0"/>
    <w:rsid w:val="05216AB0"/>
    <w:rsid w:val="05245316"/>
    <w:rsid w:val="05254C4B"/>
    <w:rsid w:val="05261646"/>
    <w:rsid w:val="05265C36"/>
    <w:rsid w:val="052D007E"/>
    <w:rsid w:val="052D413A"/>
    <w:rsid w:val="054C76DB"/>
    <w:rsid w:val="05553A81"/>
    <w:rsid w:val="055A4F5B"/>
    <w:rsid w:val="055F0502"/>
    <w:rsid w:val="05620EEE"/>
    <w:rsid w:val="056B3271"/>
    <w:rsid w:val="056E0FA3"/>
    <w:rsid w:val="05736A11"/>
    <w:rsid w:val="05773B83"/>
    <w:rsid w:val="057F1A68"/>
    <w:rsid w:val="0580501B"/>
    <w:rsid w:val="05846278"/>
    <w:rsid w:val="058A40EC"/>
    <w:rsid w:val="058D2915"/>
    <w:rsid w:val="058D3375"/>
    <w:rsid w:val="059A3D38"/>
    <w:rsid w:val="059F5348"/>
    <w:rsid w:val="05AB606E"/>
    <w:rsid w:val="05B6103A"/>
    <w:rsid w:val="05B67C78"/>
    <w:rsid w:val="05BA3738"/>
    <w:rsid w:val="05BC54BB"/>
    <w:rsid w:val="05BE5B43"/>
    <w:rsid w:val="05C02D78"/>
    <w:rsid w:val="05C25634"/>
    <w:rsid w:val="05C303C2"/>
    <w:rsid w:val="05C479C1"/>
    <w:rsid w:val="05C641A8"/>
    <w:rsid w:val="05D15611"/>
    <w:rsid w:val="05D60639"/>
    <w:rsid w:val="05DD3710"/>
    <w:rsid w:val="05F13345"/>
    <w:rsid w:val="05FE35CB"/>
    <w:rsid w:val="06071298"/>
    <w:rsid w:val="0607279E"/>
    <w:rsid w:val="0607620B"/>
    <w:rsid w:val="06077020"/>
    <w:rsid w:val="061206B4"/>
    <w:rsid w:val="061B42FF"/>
    <w:rsid w:val="061B4D2E"/>
    <w:rsid w:val="06212938"/>
    <w:rsid w:val="06284E73"/>
    <w:rsid w:val="06293F8D"/>
    <w:rsid w:val="062A0EF1"/>
    <w:rsid w:val="062F6A41"/>
    <w:rsid w:val="06327EAB"/>
    <w:rsid w:val="06332DD7"/>
    <w:rsid w:val="06366E1F"/>
    <w:rsid w:val="063A2B2C"/>
    <w:rsid w:val="063D2F0C"/>
    <w:rsid w:val="0640241D"/>
    <w:rsid w:val="064D5AEF"/>
    <w:rsid w:val="064E4F43"/>
    <w:rsid w:val="064E7857"/>
    <w:rsid w:val="06553DC8"/>
    <w:rsid w:val="06585F98"/>
    <w:rsid w:val="065A5F02"/>
    <w:rsid w:val="065D710A"/>
    <w:rsid w:val="06634E20"/>
    <w:rsid w:val="06650E74"/>
    <w:rsid w:val="066856F7"/>
    <w:rsid w:val="066910D6"/>
    <w:rsid w:val="06712C5C"/>
    <w:rsid w:val="06753754"/>
    <w:rsid w:val="06785CC5"/>
    <w:rsid w:val="067904D5"/>
    <w:rsid w:val="067D72CA"/>
    <w:rsid w:val="068B295C"/>
    <w:rsid w:val="068C4828"/>
    <w:rsid w:val="06924322"/>
    <w:rsid w:val="06954AF6"/>
    <w:rsid w:val="06976776"/>
    <w:rsid w:val="06986CCA"/>
    <w:rsid w:val="069F330D"/>
    <w:rsid w:val="06AB3CE9"/>
    <w:rsid w:val="06B036DE"/>
    <w:rsid w:val="06B24597"/>
    <w:rsid w:val="06B34826"/>
    <w:rsid w:val="06B354BC"/>
    <w:rsid w:val="06B372D2"/>
    <w:rsid w:val="06B9290C"/>
    <w:rsid w:val="06BC5541"/>
    <w:rsid w:val="06BD7C56"/>
    <w:rsid w:val="06C74ECC"/>
    <w:rsid w:val="06C95CD2"/>
    <w:rsid w:val="06C96A9A"/>
    <w:rsid w:val="06CE129C"/>
    <w:rsid w:val="06CE2684"/>
    <w:rsid w:val="06D023A3"/>
    <w:rsid w:val="06D039AA"/>
    <w:rsid w:val="06D070E0"/>
    <w:rsid w:val="06DC570A"/>
    <w:rsid w:val="06DF06B0"/>
    <w:rsid w:val="06E136E1"/>
    <w:rsid w:val="06E8731C"/>
    <w:rsid w:val="06E94E42"/>
    <w:rsid w:val="06EC4CA7"/>
    <w:rsid w:val="06EF2B18"/>
    <w:rsid w:val="06F17688"/>
    <w:rsid w:val="06F53406"/>
    <w:rsid w:val="07007DF2"/>
    <w:rsid w:val="07080D7E"/>
    <w:rsid w:val="070E6657"/>
    <w:rsid w:val="07107CDD"/>
    <w:rsid w:val="07155306"/>
    <w:rsid w:val="07155C37"/>
    <w:rsid w:val="07231C3E"/>
    <w:rsid w:val="072844C3"/>
    <w:rsid w:val="072C14BC"/>
    <w:rsid w:val="073D0077"/>
    <w:rsid w:val="073E594D"/>
    <w:rsid w:val="07476722"/>
    <w:rsid w:val="07527EB1"/>
    <w:rsid w:val="075F6ABF"/>
    <w:rsid w:val="07610E7C"/>
    <w:rsid w:val="076D15CF"/>
    <w:rsid w:val="076F655B"/>
    <w:rsid w:val="077641BC"/>
    <w:rsid w:val="07785D40"/>
    <w:rsid w:val="07824EA1"/>
    <w:rsid w:val="078608E3"/>
    <w:rsid w:val="0787506D"/>
    <w:rsid w:val="078C6AD1"/>
    <w:rsid w:val="078E1566"/>
    <w:rsid w:val="07944C75"/>
    <w:rsid w:val="079F5564"/>
    <w:rsid w:val="07A777F1"/>
    <w:rsid w:val="07AD5811"/>
    <w:rsid w:val="07B77FE3"/>
    <w:rsid w:val="07BA10AF"/>
    <w:rsid w:val="07BC45A2"/>
    <w:rsid w:val="07BE7320"/>
    <w:rsid w:val="07BF7A34"/>
    <w:rsid w:val="07C06E6A"/>
    <w:rsid w:val="07CF0F2B"/>
    <w:rsid w:val="07D27038"/>
    <w:rsid w:val="07D712A1"/>
    <w:rsid w:val="07E14FAC"/>
    <w:rsid w:val="07E37708"/>
    <w:rsid w:val="07E51AAD"/>
    <w:rsid w:val="07F61794"/>
    <w:rsid w:val="07F84B9D"/>
    <w:rsid w:val="07F920F7"/>
    <w:rsid w:val="07FA1338"/>
    <w:rsid w:val="07FE2B6F"/>
    <w:rsid w:val="08053EFD"/>
    <w:rsid w:val="08064B71"/>
    <w:rsid w:val="080705AC"/>
    <w:rsid w:val="080A2587"/>
    <w:rsid w:val="08180F83"/>
    <w:rsid w:val="081A5EBB"/>
    <w:rsid w:val="081A7F1A"/>
    <w:rsid w:val="082302F0"/>
    <w:rsid w:val="082F7D4E"/>
    <w:rsid w:val="083145CC"/>
    <w:rsid w:val="083550BF"/>
    <w:rsid w:val="083B1353"/>
    <w:rsid w:val="084367D4"/>
    <w:rsid w:val="084C2ADC"/>
    <w:rsid w:val="084D2AA6"/>
    <w:rsid w:val="086B2CF3"/>
    <w:rsid w:val="08710694"/>
    <w:rsid w:val="08761BAA"/>
    <w:rsid w:val="08790EE0"/>
    <w:rsid w:val="087D1EE5"/>
    <w:rsid w:val="08881CF7"/>
    <w:rsid w:val="0896772B"/>
    <w:rsid w:val="089A78D1"/>
    <w:rsid w:val="08A239EC"/>
    <w:rsid w:val="08A42432"/>
    <w:rsid w:val="08A62A3D"/>
    <w:rsid w:val="08A702C5"/>
    <w:rsid w:val="08A8408F"/>
    <w:rsid w:val="08AC4765"/>
    <w:rsid w:val="08AC4C33"/>
    <w:rsid w:val="08AD6673"/>
    <w:rsid w:val="08AE1EA5"/>
    <w:rsid w:val="08B15841"/>
    <w:rsid w:val="08B41F78"/>
    <w:rsid w:val="08B96CC2"/>
    <w:rsid w:val="08C621E3"/>
    <w:rsid w:val="08C747C6"/>
    <w:rsid w:val="08D27869"/>
    <w:rsid w:val="08D33663"/>
    <w:rsid w:val="08D37973"/>
    <w:rsid w:val="08D82B3D"/>
    <w:rsid w:val="08DE41BC"/>
    <w:rsid w:val="08E04D02"/>
    <w:rsid w:val="08E46921"/>
    <w:rsid w:val="08E76D23"/>
    <w:rsid w:val="08ED1D43"/>
    <w:rsid w:val="08EE3343"/>
    <w:rsid w:val="090053BA"/>
    <w:rsid w:val="090105A7"/>
    <w:rsid w:val="09010F98"/>
    <w:rsid w:val="090622E9"/>
    <w:rsid w:val="09070C38"/>
    <w:rsid w:val="090748EA"/>
    <w:rsid w:val="09076AF9"/>
    <w:rsid w:val="090B1D5E"/>
    <w:rsid w:val="090F0984"/>
    <w:rsid w:val="09104908"/>
    <w:rsid w:val="091D64C2"/>
    <w:rsid w:val="09265ED9"/>
    <w:rsid w:val="092709CC"/>
    <w:rsid w:val="092A5D6A"/>
    <w:rsid w:val="092E73FD"/>
    <w:rsid w:val="09325175"/>
    <w:rsid w:val="093920B1"/>
    <w:rsid w:val="093A3491"/>
    <w:rsid w:val="093A562A"/>
    <w:rsid w:val="093C2BB9"/>
    <w:rsid w:val="093F01AA"/>
    <w:rsid w:val="09405E5A"/>
    <w:rsid w:val="094573BB"/>
    <w:rsid w:val="0946032A"/>
    <w:rsid w:val="09481600"/>
    <w:rsid w:val="09491BC8"/>
    <w:rsid w:val="094E4AAC"/>
    <w:rsid w:val="0953513A"/>
    <w:rsid w:val="09550B60"/>
    <w:rsid w:val="095F164D"/>
    <w:rsid w:val="095F6932"/>
    <w:rsid w:val="09652BB3"/>
    <w:rsid w:val="096A7E55"/>
    <w:rsid w:val="096B1405"/>
    <w:rsid w:val="097717CE"/>
    <w:rsid w:val="09797D80"/>
    <w:rsid w:val="097C6C09"/>
    <w:rsid w:val="098177D2"/>
    <w:rsid w:val="098370C2"/>
    <w:rsid w:val="09857BE6"/>
    <w:rsid w:val="0988059A"/>
    <w:rsid w:val="09880765"/>
    <w:rsid w:val="0988267B"/>
    <w:rsid w:val="09886B94"/>
    <w:rsid w:val="0989460B"/>
    <w:rsid w:val="098C7D6A"/>
    <w:rsid w:val="09945775"/>
    <w:rsid w:val="09987570"/>
    <w:rsid w:val="099C0271"/>
    <w:rsid w:val="099C4235"/>
    <w:rsid w:val="09A17925"/>
    <w:rsid w:val="09A324FA"/>
    <w:rsid w:val="09AA059E"/>
    <w:rsid w:val="09AB0C6C"/>
    <w:rsid w:val="09AE7C76"/>
    <w:rsid w:val="09AF2C97"/>
    <w:rsid w:val="09B117EC"/>
    <w:rsid w:val="09BB513D"/>
    <w:rsid w:val="09BB5640"/>
    <w:rsid w:val="09C73642"/>
    <w:rsid w:val="09C97885"/>
    <w:rsid w:val="09C97FBE"/>
    <w:rsid w:val="09CB20EF"/>
    <w:rsid w:val="09CB6AFB"/>
    <w:rsid w:val="09CC3506"/>
    <w:rsid w:val="09D82239"/>
    <w:rsid w:val="09DC279A"/>
    <w:rsid w:val="09EB7F84"/>
    <w:rsid w:val="09EC69BC"/>
    <w:rsid w:val="0A0F60D3"/>
    <w:rsid w:val="0A1966F1"/>
    <w:rsid w:val="0A25317A"/>
    <w:rsid w:val="0A2F4532"/>
    <w:rsid w:val="0A303C8D"/>
    <w:rsid w:val="0A3B0B57"/>
    <w:rsid w:val="0A401D5C"/>
    <w:rsid w:val="0A414231"/>
    <w:rsid w:val="0A4800D1"/>
    <w:rsid w:val="0A4B05B2"/>
    <w:rsid w:val="0A5F52DD"/>
    <w:rsid w:val="0A6A2CE6"/>
    <w:rsid w:val="0A6F3963"/>
    <w:rsid w:val="0A702A09"/>
    <w:rsid w:val="0A716B2E"/>
    <w:rsid w:val="0A766A82"/>
    <w:rsid w:val="0A797730"/>
    <w:rsid w:val="0A7F5428"/>
    <w:rsid w:val="0A811DA6"/>
    <w:rsid w:val="0A8D1170"/>
    <w:rsid w:val="0A8F7D96"/>
    <w:rsid w:val="0A93635E"/>
    <w:rsid w:val="0A9411DC"/>
    <w:rsid w:val="0A984BB5"/>
    <w:rsid w:val="0A9B15DC"/>
    <w:rsid w:val="0A9D7A3C"/>
    <w:rsid w:val="0AA03C2F"/>
    <w:rsid w:val="0AA07B2D"/>
    <w:rsid w:val="0AA425D9"/>
    <w:rsid w:val="0AA76A5B"/>
    <w:rsid w:val="0AAA7336"/>
    <w:rsid w:val="0AB1728C"/>
    <w:rsid w:val="0AB71938"/>
    <w:rsid w:val="0ABA3BC3"/>
    <w:rsid w:val="0ABA7F8F"/>
    <w:rsid w:val="0AC215D2"/>
    <w:rsid w:val="0ACB7628"/>
    <w:rsid w:val="0ACC39CC"/>
    <w:rsid w:val="0AD06361"/>
    <w:rsid w:val="0AD14C2A"/>
    <w:rsid w:val="0AD15B6C"/>
    <w:rsid w:val="0AD2392A"/>
    <w:rsid w:val="0AD5453F"/>
    <w:rsid w:val="0AD77065"/>
    <w:rsid w:val="0ADF4592"/>
    <w:rsid w:val="0AE33188"/>
    <w:rsid w:val="0AF13F44"/>
    <w:rsid w:val="0AF21B8E"/>
    <w:rsid w:val="0AF93024"/>
    <w:rsid w:val="0AFE26FA"/>
    <w:rsid w:val="0B0018BE"/>
    <w:rsid w:val="0B02456B"/>
    <w:rsid w:val="0B0264D2"/>
    <w:rsid w:val="0B0446A8"/>
    <w:rsid w:val="0B073AE9"/>
    <w:rsid w:val="0B0D396B"/>
    <w:rsid w:val="0B0D60CD"/>
    <w:rsid w:val="0B112BB9"/>
    <w:rsid w:val="0B13687B"/>
    <w:rsid w:val="0B16128B"/>
    <w:rsid w:val="0B1748B8"/>
    <w:rsid w:val="0B1E4E7D"/>
    <w:rsid w:val="0B2372FD"/>
    <w:rsid w:val="0B250419"/>
    <w:rsid w:val="0B265C1A"/>
    <w:rsid w:val="0B2705B5"/>
    <w:rsid w:val="0B275F39"/>
    <w:rsid w:val="0B2C218C"/>
    <w:rsid w:val="0B342D2A"/>
    <w:rsid w:val="0B38256E"/>
    <w:rsid w:val="0B3A2110"/>
    <w:rsid w:val="0B3B5887"/>
    <w:rsid w:val="0B3F323F"/>
    <w:rsid w:val="0B3F7B1B"/>
    <w:rsid w:val="0B4350B5"/>
    <w:rsid w:val="0B451EB6"/>
    <w:rsid w:val="0B4C5520"/>
    <w:rsid w:val="0B4D3BF1"/>
    <w:rsid w:val="0B4F3D9B"/>
    <w:rsid w:val="0B5961F5"/>
    <w:rsid w:val="0B5B3553"/>
    <w:rsid w:val="0B5C55FA"/>
    <w:rsid w:val="0B5D7BAD"/>
    <w:rsid w:val="0B5E6917"/>
    <w:rsid w:val="0B5F5AB6"/>
    <w:rsid w:val="0B652373"/>
    <w:rsid w:val="0B666D1E"/>
    <w:rsid w:val="0B980BE5"/>
    <w:rsid w:val="0B9A409B"/>
    <w:rsid w:val="0B9F30AF"/>
    <w:rsid w:val="0BA15CEB"/>
    <w:rsid w:val="0BA615B0"/>
    <w:rsid w:val="0BA906AF"/>
    <w:rsid w:val="0BAC77A0"/>
    <w:rsid w:val="0BAD2F53"/>
    <w:rsid w:val="0BB007E1"/>
    <w:rsid w:val="0BB16B2D"/>
    <w:rsid w:val="0BB35344"/>
    <w:rsid w:val="0BB6147E"/>
    <w:rsid w:val="0BB7245D"/>
    <w:rsid w:val="0BB83010"/>
    <w:rsid w:val="0BC111A4"/>
    <w:rsid w:val="0BC244E8"/>
    <w:rsid w:val="0BC32E34"/>
    <w:rsid w:val="0BC366D3"/>
    <w:rsid w:val="0BC640B3"/>
    <w:rsid w:val="0BC82B63"/>
    <w:rsid w:val="0BD97354"/>
    <w:rsid w:val="0BE01596"/>
    <w:rsid w:val="0BE33F83"/>
    <w:rsid w:val="0BE61950"/>
    <w:rsid w:val="0BEB61F0"/>
    <w:rsid w:val="0BEC1377"/>
    <w:rsid w:val="0BF6735D"/>
    <w:rsid w:val="0BF73B5D"/>
    <w:rsid w:val="0C0036EF"/>
    <w:rsid w:val="0C062D8D"/>
    <w:rsid w:val="0C0B7609"/>
    <w:rsid w:val="0C157849"/>
    <w:rsid w:val="0C1E4EE9"/>
    <w:rsid w:val="0C2374C7"/>
    <w:rsid w:val="0C260E40"/>
    <w:rsid w:val="0C2B1B44"/>
    <w:rsid w:val="0C2F0C95"/>
    <w:rsid w:val="0C316F49"/>
    <w:rsid w:val="0C3355FF"/>
    <w:rsid w:val="0C420B00"/>
    <w:rsid w:val="0C4258DA"/>
    <w:rsid w:val="0C434BC1"/>
    <w:rsid w:val="0C4576A1"/>
    <w:rsid w:val="0C4E2BEC"/>
    <w:rsid w:val="0C5577EF"/>
    <w:rsid w:val="0C564D28"/>
    <w:rsid w:val="0C5A04F2"/>
    <w:rsid w:val="0C677E6B"/>
    <w:rsid w:val="0C694C26"/>
    <w:rsid w:val="0C6E5B73"/>
    <w:rsid w:val="0C752494"/>
    <w:rsid w:val="0C7768F3"/>
    <w:rsid w:val="0C78326A"/>
    <w:rsid w:val="0C7E7EA9"/>
    <w:rsid w:val="0C8023E5"/>
    <w:rsid w:val="0C804E0E"/>
    <w:rsid w:val="0C82079B"/>
    <w:rsid w:val="0C880C59"/>
    <w:rsid w:val="0C8873DF"/>
    <w:rsid w:val="0C92108B"/>
    <w:rsid w:val="0C944E7E"/>
    <w:rsid w:val="0CA3265E"/>
    <w:rsid w:val="0CB17F5E"/>
    <w:rsid w:val="0CB43E7E"/>
    <w:rsid w:val="0CB6331A"/>
    <w:rsid w:val="0CB769C1"/>
    <w:rsid w:val="0CB93393"/>
    <w:rsid w:val="0CBE135E"/>
    <w:rsid w:val="0CCE7382"/>
    <w:rsid w:val="0CD75147"/>
    <w:rsid w:val="0CD80E04"/>
    <w:rsid w:val="0CE1133A"/>
    <w:rsid w:val="0CE7222F"/>
    <w:rsid w:val="0CFC41A6"/>
    <w:rsid w:val="0CFD1093"/>
    <w:rsid w:val="0CFD4C0C"/>
    <w:rsid w:val="0D0062D2"/>
    <w:rsid w:val="0D027C53"/>
    <w:rsid w:val="0D055FD4"/>
    <w:rsid w:val="0D10028E"/>
    <w:rsid w:val="0D1A3FA7"/>
    <w:rsid w:val="0D1F3B01"/>
    <w:rsid w:val="0D225312"/>
    <w:rsid w:val="0D265864"/>
    <w:rsid w:val="0D266DE0"/>
    <w:rsid w:val="0D2E66FE"/>
    <w:rsid w:val="0D3144DB"/>
    <w:rsid w:val="0D3857DA"/>
    <w:rsid w:val="0D4A0077"/>
    <w:rsid w:val="0D4B7BC4"/>
    <w:rsid w:val="0D4E797E"/>
    <w:rsid w:val="0D554FDF"/>
    <w:rsid w:val="0D5648AD"/>
    <w:rsid w:val="0D5D4C67"/>
    <w:rsid w:val="0D604B44"/>
    <w:rsid w:val="0D663BA0"/>
    <w:rsid w:val="0D692839"/>
    <w:rsid w:val="0D6B5658"/>
    <w:rsid w:val="0D6C5B2E"/>
    <w:rsid w:val="0D6F5B9E"/>
    <w:rsid w:val="0D731382"/>
    <w:rsid w:val="0D794016"/>
    <w:rsid w:val="0D796532"/>
    <w:rsid w:val="0D7B0452"/>
    <w:rsid w:val="0D7B6EC0"/>
    <w:rsid w:val="0D7D405D"/>
    <w:rsid w:val="0D815DD4"/>
    <w:rsid w:val="0D8612E1"/>
    <w:rsid w:val="0D876648"/>
    <w:rsid w:val="0D89119D"/>
    <w:rsid w:val="0D976785"/>
    <w:rsid w:val="0DA12C8B"/>
    <w:rsid w:val="0DA83759"/>
    <w:rsid w:val="0DA90237"/>
    <w:rsid w:val="0DA97995"/>
    <w:rsid w:val="0DAE5B76"/>
    <w:rsid w:val="0DB027ED"/>
    <w:rsid w:val="0DB25330"/>
    <w:rsid w:val="0DB25ACF"/>
    <w:rsid w:val="0DB714F1"/>
    <w:rsid w:val="0DBB1EA3"/>
    <w:rsid w:val="0DC4468D"/>
    <w:rsid w:val="0DC61F74"/>
    <w:rsid w:val="0DD93333"/>
    <w:rsid w:val="0DE277A1"/>
    <w:rsid w:val="0DE6743C"/>
    <w:rsid w:val="0DE8376D"/>
    <w:rsid w:val="0DEC271C"/>
    <w:rsid w:val="0DF465A6"/>
    <w:rsid w:val="0E0A6FEB"/>
    <w:rsid w:val="0E100F06"/>
    <w:rsid w:val="0E15651D"/>
    <w:rsid w:val="0E204713"/>
    <w:rsid w:val="0E2511AE"/>
    <w:rsid w:val="0E290B9F"/>
    <w:rsid w:val="0E292187"/>
    <w:rsid w:val="0E3273B4"/>
    <w:rsid w:val="0E34151F"/>
    <w:rsid w:val="0E3578B3"/>
    <w:rsid w:val="0E3B0886"/>
    <w:rsid w:val="0E3B203F"/>
    <w:rsid w:val="0E3C33B1"/>
    <w:rsid w:val="0E4D2933"/>
    <w:rsid w:val="0E4D775F"/>
    <w:rsid w:val="0E4E2605"/>
    <w:rsid w:val="0E5445E3"/>
    <w:rsid w:val="0E55118D"/>
    <w:rsid w:val="0E5B3B28"/>
    <w:rsid w:val="0E5C199C"/>
    <w:rsid w:val="0E5D50EF"/>
    <w:rsid w:val="0E690E71"/>
    <w:rsid w:val="0E691818"/>
    <w:rsid w:val="0E6D0968"/>
    <w:rsid w:val="0E6D6F96"/>
    <w:rsid w:val="0E782497"/>
    <w:rsid w:val="0E783377"/>
    <w:rsid w:val="0E7C4589"/>
    <w:rsid w:val="0E7E04FE"/>
    <w:rsid w:val="0E7E443A"/>
    <w:rsid w:val="0E804564"/>
    <w:rsid w:val="0E884F40"/>
    <w:rsid w:val="0E890439"/>
    <w:rsid w:val="0E896379"/>
    <w:rsid w:val="0E8A5BD3"/>
    <w:rsid w:val="0E8D7ACF"/>
    <w:rsid w:val="0E8E36BE"/>
    <w:rsid w:val="0E9153B9"/>
    <w:rsid w:val="0E96772B"/>
    <w:rsid w:val="0E975FBA"/>
    <w:rsid w:val="0E9E70EB"/>
    <w:rsid w:val="0EA24254"/>
    <w:rsid w:val="0EA306B8"/>
    <w:rsid w:val="0EA726C2"/>
    <w:rsid w:val="0EA92C5D"/>
    <w:rsid w:val="0EAD1BBA"/>
    <w:rsid w:val="0EB34989"/>
    <w:rsid w:val="0EB52D3A"/>
    <w:rsid w:val="0EB633E8"/>
    <w:rsid w:val="0EB63D25"/>
    <w:rsid w:val="0EB702DD"/>
    <w:rsid w:val="0EB910F2"/>
    <w:rsid w:val="0EB949A7"/>
    <w:rsid w:val="0EBC4CE7"/>
    <w:rsid w:val="0EC5389B"/>
    <w:rsid w:val="0ED14AE5"/>
    <w:rsid w:val="0ED30206"/>
    <w:rsid w:val="0ED60140"/>
    <w:rsid w:val="0EDA5ECF"/>
    <w:rsid w:val="0EE304CF"/>
    <w:rsid w:val="0EEE7275"/>
    <w:rsid w:val="0EF00AAA"/>
    <w:rsid w:val="0EF122C5"/>
    <w:rsid w:val="0EF1682D"/>
    <w:rsid w:val="0EF343CB"/>
    <w:rsid w:val="0EFC6090"/>
    <w:rsid w:val="0EFD6EFA"/>
    <w:rsid w:val="0EFF6669"/>
    <w:rsid w:val="0F0410BF"/>
    <w:rsid w:val="0F046CBD"/>
    <w:rsid w:val="0F0A598E"/>
    <w:rsid w:val="0F0D10B6"/>
    <w:rsid w:val="0F113D34"/>
    <w:rsid w:val="0F131C25"/>
    <w:rsid w:val="0F16727B"/>
    <w:rsid w:val="0F17176A"/>
    <w:rsid w:val="0F1756A4"/>
    <w:rsid w:val="0F190E04"/>
    <w:rsid w:val="0F2074A2"/>
    <w:rsid w:val="0F25029A"/>
    <w:rsid w:val="0F26095E"/>
    <w:rsid w:val="0F27601A"/>
    <w:rsid w:val="0F283F67"/>
    <w:rsid w:val="0F2C2C72"/>
    <w:rsid w:val="0F2E2179"/>
    <w:rsid w:val="0F2F5C1C"/>
    <w:rsid w:val="0F315EA1"/>
    <w:rsid w:val="0F327F41"/>
    <w:rsid w:val="0F390247"/>
    <w:rsid w:val="0F3A651B"/>
    <w:rsid w:val="0F3E1872"/>
    <w:rsid w:val="0F3F2A27"/>
    <w:rsid w:val="0F410646"/>
    <w:rsid w:val="0F461D6C"/>
    <w:rsid w:val="0F47161D"/>
    <w:rsid w:val="0F495FAE"/>
    <w:rsid w:val="0F4E168D"/>
    <w:rsid w:val="0F572ADF"/>
    <w:rsid w:val="0F585CCA"/>
    <w:rsid w:val="0F5B677D"/>
    <w:rsid w:val="0F5C1F1A"/>
    <w:rsid w:val="0F60021F"/>
    <w:rsid w:val="0F6359F4"/>
    <w:rsid w:val="0F642AB0"/>
    <w:rsid w:val="0F6611E9"/>
    <w:rsid w:val="0F6F7597"/>
    <w:rsid w:val="0F792848"/>
    <w:rsid w:val="0F793457"/>
    <w:rsid w:val="0F7A20F2"/>
    <w:rsid w:val="0F7E4FDA"/>
    <w:rsid w:val="0F8108A1"/>
    <w:rsid w:val="0F815631"/>
    <w:rsid w:val="0F831E95"/>
    <w:rsid w:val="0F847455"/>
    <w:rsid w:val="0F9705F3"/>
    <w:rsid w:val="0F9A4609"/>
    <w:rsid w:val="0F9A7553"/>
    <w:rsid w:val="0F9B1CBD"/>
    <w:rsid w:val="0F9E7BE2"/>
    <w:rsid w:val="0FA770A6"/>
    <w:rsid w:val="0FA933E6"/>
    <w:rsid w:val="0FB017CD"/>
    <w:rsid w:val="0FB04B23"/>
    <w:rsid w:val="0FB122A5"/>
    <w:rsid w:val="0FB54E9A"/>
    <w:rsid w:val="0FC10769"/>
    <w:rsid w:val="0FC42F6F"/>
    <w:rsid w:val="0FCB2D53"/>
    <w:rsid w:val="0FCB3337"/>
    <w:rsid w:val="0FCB6D1B"/>
    <w:rsid w:val="0FD358EB"/>
    <w:rsid w:val="0FDE17AA"/>
    <w:rsid w:val="0FED1A64"/>
    <w:rsid w:val="0FF038FC"/>
    <w:rsid w:val="0FF26B15"/>
    <w:rsid w:val="0FFF3A48"/>
    <w:rsid w:val="0FFF56D6"/>
    <w:rsid w:val="0FFF6EF6"/>
    <w:rsid w:val="10157EC6"/>
    <w:rsid w:val="101B7032"/>
    <w:rsid w:val="101E24CF"/>
    <w:rsid w:val="10203146"/>
    <w:rsid w:val="102610C0"/>
    <w:rsid w:val="102667F4"/>
    <w:rsid w:val="10284C2D"/>
    <w:rsid w:val="102A2753"/>
    <w:rsid w:val="102B535B"/>
    <w:rsid w:val="103E4E6E"/>
    <w:rsid w:val="103E7309"/>
    <w:rsid w:val="10416089"/>
    <w:rsid w:val="104240CC"/>
    <w:rsid w:val="10497F69"/>
    <w:rsid w:val="104B4DC9"/>
    <w:rsid w:val="104C1BEC"/>
    <w:rsid w:val="105874E4"/>
    <w:rsid w:val="105E1C98"/>
    <w:rsid w:val="105F0A00"/>
    <w:rsid w:val="106F56E0"/>
    <w:rsid w:val="10700D1C"/>
    <w:rsid w:val="10705E81"/>
    <w:rsid w:val="10803FE4"/>
    <w:rsid w:val="10834B6E"/>
    <w:rsid w:val="10921EE0"/>
    <w:rsid w:val="10A122E9"/>
    <w:rsid w:val="10A96766"/>
    <w:rsid w:val="10AA0004"/>
    <w:rsid w:val="10AA7326"/>
    <w:rsid w:val="10B479E3"/>
    <w:rsid w:val="10B92487"/>
    <w:rsid w:val="10BD4993"/>
    <w:rsid w:val="10D13AAF"/>
    <w:rsid w:val="10D36F5E"/>
    <w:rsid w:val="10D40911"/>
    <w:rsid w:val="10D73F5D"/>
    <w:rsid w:val="10D876FD"/>
    <w:rsid w:val="10DF51A5"/>
    <w:rsid w:val="10E01044"/>
    <w:rsid w:val="10F1031C"/>
    <w:rsid w:val="10F178FC"/>
    <w:rsid w:val="10F9103E"/>
    <w:rsid w:val="10F91B6C"/>
    <w:rsid w:val="10FC5772"/>
    <w:rsid w:val="10FD1F56"/>
    <w:rsid w:val="10FF3248"/>
    <w:rsid w:val="110B7C52"/>
    <w:rsid w:val="11140836"/>
    <w:rsid w:val="111410DD"/>
    <w:rsid w:val="11145CD5"/>
    <w:rsid w:val="11191FB0"/>
    <w:rsid w:val="111A2154"/>
    <w:rsid w:val="111B02EE"/>
    <w:rsid w:val="111B3388"/>
    <w:rsid w:val="111D4D77"/>
    <w:rsid w:val="11232829"/>
    <w:rsid w:val="11296D7D"/>
    <w:rsid w:val="112B2D58"/>
    <w:rsid w:val="112C31EE"/>
    <w:rsid w:val="112D055E"/>
    <w:rsid w:val="112D6CCD"/>
    <w:rsid w:val="11346CBB"/>
    <w:rsid w:val="1136367A"/>
    <w:rsid w:val="113D24EE"/>
    <w:rsid w:val="1141513C"/>
    <w:rsid w:val="11421D1E"/>
    <w:rsid w:val="114C375A"/>
    <w:rsid w:val="114E30E0"/>
    <w:rsid w:val="114E3115"/>
    <w:rsid w:val="114F42AC"/>
    <w:rsid w:val="11513D10"/>
    <w:rsid w:val="11524E35"/>
    <w:rsid w:val="11553800"/>
    <w:rsid w:val="115C2B36"/>
    <w:rsid w:val="115D0F31"/>
    <w:rsid w:val="115D6662"/>
    <w:rsid w:val="1161138F"/>
    <w:rsid w:val="117143B2"/>
    <w:rsid w:val="11733C86"/>
    <w:rsid w:val="117A7B88"/>
    <w:rsid w:val="117B517F"/>
    <w:rsid w:val="117D0E6B"/>
    <w:rsid w:val="117D1F24"/>
    <w:rsid w:val="118C4D48"/>
    <w:rsid w:val="11966B9D"/>
    <w:rsid w:val="119D7CDF"/>
    <w:rsid w:val="11A55E09"/>
    <w:rsid w:val="11A774A2"/>
    <w:rsid w:val="11AD3988"/>
    <w:rsid w:val="11B13498"/>
    <w:rsid w:val="11B83F88"/>
    <w:rsid w:val="11BC7A8B"/>
    <w:rsid w:val="11BF6E86"/>
    <w:rsid w:val="11C00D3E"/>
    <w:rsid w:val="11C74789"/>
    <w:rsid w:val="11D573F1"/>
    <w:rsid w:val="11D97477"/>
    <w:rsid w:val="11DB4D5B"/>
    <w:rsid w:val="11DC17E5"/>
    <w:rsid w:val="11E62697"/>
    <w:rsid w:val="11E94164"/>
    <w:rsid w:val="11EE6709"/>
    <w:rsid w:val="11F5102E"/>
    <w:rsid w:val="11F55274"/>
    <w:rsid w:val="11F756AC"/>
    <w:rsid w:val="11FC3F74"/>
    <w:rsid w:val="11FD099E"/>
    <w:rsid w:val="12020F04"/>
    <w:rsid w:val="12030064"/>
    <w:rsid w:val="120431A6"/>
    <w:rsid w:val="120929A2"/>
    <w:rsid w:val="12131391"/>
    <w:rsid w:val="121A14D0"/>
    <w:rsid w:val="12220318"/>
    <w:rsid w:val="12264A51"/>
    <w:rsid w:val="122E5DFF"/>
    <w:rsid w:val="12331FA4"/>
    <w:rsid w:val="12337685"/>
    <w:rsid w:val="123846C6"/>
    <w:rsid w:val="123A0811"/>
    <w:rsid w:val="123A1BC7"/>
    <w:rsid w:val="123B1F06"/>
    <w:rsid w:val="123D0729"/>
    <w:rsid w:val="123E7BCF"/>
    <w:rsid w:val="12430DB7"/>
    <w:rsid w:val="12471388"/>
    <w:rsid w:val="124729AB"/>
    <w:rsid w:val="125411EE"/>
    <w:rsid w:val="12541759"/>
    <w:rsid w:val="125F4D6D"/>
    <w:rsid w:val="12614426"/>
    <w:rsid w:val="126200E0"/>
    <w:rsid w:val="126A5674"/>
    <w:rsid w:val="126F6B43"/>
    <w:rsid w:val="1270230E"/>
    <w:rsid w:val="1273125A"/>
    <w:rsid w:val="127A0E51"/>
    <w:rsid w:val="127F3FD8"/>
    <w:rsid w:val="127F4C3B"/>
    <w:rsid w:val="12844361"/>
    <w:rsid w:val="12886B37"/>
    <w:rsid w:val="128D73E2"/>
    <w:rsid w:val="128F7A85"/>
    <w:rsid w:val="12953363"/>
    <w:rsid w:val="12971DE0"/>
    <w:rsid w:val="129A5F1E"/>
    <w:rsid w:val="129C72D0"/>
    <w:rsid w:val="12B5207C"/>
    <w:rsid w:val="12C2248A"/>
    <w:rsid w:val="12C43058"/>
    <w:rsid w:val="12D1733B"/>
    <w:rsid w:val="12D469A6"/>
    <w:rsid w:val="12D7280A"/>
    <w:rsid w:val="12D90460"/>
    <w:rsid w:val="12DB0083"/>
    <w:rsid w:val="12E074EA"/>
    <w:rsid w:val="12E206CB"/>
    <w:rsid w:val="12E91757"/>
    <w:rsid w:val="12EF37E0"/>
    <w:rsid w:val="12F300FC"/>
    <w:rsid w:val="12F46CDB"/>
    <w:rsid w:val="12F64676"/>
    <w:rsid w:val="12FC7CAB"/>
    <w:rsid w:val="12FD071F"/>
    <w:rsid w:val="13066BF4"/>
    <w:rsid w:val="130C56C5"/>
    <w:rsid w:val="130D4019"/>
    <w:rsid w:val="13133314"/>
    <w:rsid w:val="13133606"/>
    <w:rsid w:val="13195901"/>
    <w:rsid w:val="131B5B61"/>
    <w:rsid w:val="13247EE9"/>
    <w:rsid w:val="13291AED"/>
    <w:rsid w:val="132A1E15"/>
    <w:rsid w:val="132F1D05"/>
    <w:rsid w:val="13313DF9"/>
    <w:rsid w:val="133178C3"/>
    <w:rsid w:val="13327A2D"/>
    <w:rsid w:val="13365156"/>
    <w:rsid w:val="13375E3E"/>
    <w:rsid w:val="13393FAE"/>
    <w:rsid w:val="133C6F2C"/>
    <w:rsid w:val="13405DEA"/>
    <w:rsid w:val="1345127B"/>
    <w:rsid w:val="1346033A"/>
    <w:rsid w:val="134B5829"/>
    <w:rsid w:val="135320A0"/>
    <w:rsid w:val="135A1054"/>
    <w:rsid w:val="135D21BD"/>
    <w:rsid w:val="1360132D"/>
    <w:rsid w:val="13652812"/>
    <w:rsid w:val="13705E8D"/>
    <w:rsid w:val="137335D6"/>
    <w:rsid w:val="13750690"/>
    <w:rsid w:val="13795C3B"/>
    <w:rsid w:val="137C0AA2"/>
    <w:rsid w:val="137C1149"/>
    <w:rsid w:val="13811D72"/>
    <w:rsid w:val="13885149"/>
    <w:rsid w:val="138B678C"/>
    <w:rsid w:val="139042E3"/>
    <w:rsid w:val="139F0672"/>
    <w:rsid w:val="13A77CA3"/>
    <w:rsid w:val="13A8796C"/>
    <w:rsid w:val="13A91391"/>
    <w:rsid w:val="13A96B18"/>
    <w:rsid w:val="13AA4A2E"/>
    <w:rsid w:val="13B4778E"/>
    <w:rsid w:val="13B64198"/>
    <w:rsid w:val="13BB1256"/>
    <w:rsid w:val="13C94031"/>
    <w:rsid w:val="13CB5055"/>
    <w:rsid w:val="13CC6FEE"/>
    <w:rsid w:val="13D32386"/>
    <w:rsid w:val="13D37F26"/>
    <w:rsid w:val="13D65414"/>
    <w:rsid w:val="13D85F33"/>
    <w:rsid w:val="13E612FE"/>
    <w:rsid w:val="13E76B83"/>
    <w:rsid w:val="13EA3F5C"/>
    <w:rsid w:val="13EC3E3F"/>
    <w:rsid w:val="13EF44E6"/>
    <w:rsid w:val="13F6735D"/>
    <w:rsid w:val="13F84916"/>
    <w:rsid w:val="13F876EB"/>
    <w:rsid w:val="14060DE1"/>
    <w:rsid w:val="14093159"/>
    <w:rsid w:val="14167D0C"/>
    <w:rsid w:val="14192C7F"/>
    <w:rsid w:val="14193DDF"/>
    <w:rsid w:val="141F6313"/>
    <w:rsid w:val="14285B9F"/>
    <w:rsid w:val="142B1B6F"/>
    <w:rsid w:val="142D0DCF"/>
    <w:rsid w:val="143A127E"/>
    <w:rsid w:val="143B682F"/>
    <w:rsid w:val="14430869"/>
    <w:rsid w:val="14432725"/>
    <w:rsid w:val="144642C2"/>
    <w:rsid w:val="14473911"/>
    <w:rsid w:val="1449056A"/>
    <w:rsid w:val="144B0486"/>
    <w:rsid w:val="145270FB"/>
    <w:rsid w:val="145D7B7C"/>
    <w:rsid w:val="1461426A"/>
    <w:rsid w:val="146243A2"/>
    <w:rsid w:val="1463562A"/>
    <w:rsid w:val="14655302"/>
    <w:rsid w:val="14663D16"/>
    <w:rsid w:val="1468208E"/>
    <w:rsid w:val="146B6E1B"/>
    <w:rsid w:val="147E2E6B"/>
    <w:rsid w:val="14804384"/>
    <w:rsid w:val="14854E20"/>
    <w:rsid w:val="148D62F6"/>
    <w:rsid w:val="14900E65"/>
    <w:rsid w:val="149061E2"/>
    <w:rsid w:val="14940A62"/>
    <w:rsid w:val="149439E8"/>
    <w:rsid w:val="14956609"/>
    <w:rsid w:val="149A6CFD"/>
    <w:rsid w:val="14A141B2"/>
    <w:rsid w:val="14A17B0B"/>
    <w:rsid w:val="14BD1EEC"/>
    <w:rsid w:val="14BF2B7A"/>
    <w:rsid w:val="14C5262D"/>
    <w:rsid w:val="14C60BDA"/>
    <w:rsid w:val="14CB5D47"/>
    <w:rsid w:val="14CB6C20"/>
    <w:rsid w:val="14D250B0"/>
    <w:rsid w:val="14D76032"/>
    <w:rsid w:val="14D92A9E"/>
    <w:rsid w:val="14E01004"/>
    <w:rsid w:val="14E2050C"/>
    <w:rsid w:val="14EA1601"/>
    <w:rsid w:val="14EA179D"/>
    <w:rsid w:val="14ED1FA1"/>
    <w:rsid w:val="14F12B8D"/>
    <w:rsid w:val="14F3527D"/>
    <w:rsid w:val="14F92392"/>
    <w:rsid w:val="14FF6FA9"/>
    <w:rsid w:val="15030F54"/>
    <w:rsid w:val="15064C19"/>
    <w:rsid w:val="15121E50"/>
    <w:rsid w:val="151503B1"/>
    <w:rsid w:val="151B18EE"/>
    <w:rsid w:val="151E643C"/>
    <w:rsid w:val="152468BB"/>
    <w:rsid w:val="15273F9C"/>
    <w:rsid w:val="15281DF5"/>
    <w:rsid w:val="15295D94"/>
    <w:rsid w:val="153070B7"/>
    <w:rsid w:val="153C4D95"/>
    <w:rsid w:val="153E533A"/>
    <w:rsid w:val="154632BC"/>
    <w:rsid w:val="154E4F2D"/>
    <w:rsid w:val="15546E88"/>
    <w:rsid w:val="15553CF3"/>
    <w:rsid w:val="155A7A47"/>
    <w:rsid w:val="155B7AE1"/>
    <w:rsid w:val="1567786F"/>
    <w:rsid w:val="15720975"/>
    <w:rsid w:val="15785D0F"/>
    <w:rsid w:val="157B6E3A"/>
    <w:rsid w:val="157C1BA6"/>
    <w:rsid w:val="15836462"/>
    <w:rsid w:val="15853F88"/>
    <w:rsid w:val="1589353B"/>
    <w:rsid w:val="158E0A15"/>
    <w:rsid w:val="159613BE"/>
    <w:rsid w:val="159E0C56"/>
    <w:rsid w:val="15A0556A"/>
    <w:rsid w:val="15A64B0B"/>
    <w:rsid w:val="15AA2092"/>
    <w:rsid w:val="15B3006A"/>
    <w:rsid w:val="15B7244E"/>
    <w:rsid w:val="15B7619F"/>
    <w:rsid w:val="15BF56EC"/>
    <w:rsid w:val="15C62C1A"/>
    <w:rsid w:val="15C7380D"/>
    <w:rsid w:val="15C7675B"/>
    <w:rsid w:val="15C92532"/>
    <w:rsid w:val="15DF0F1F"/>
    <w:rsid w:val="15DF78CC"/>
    <w:rsid w:val="15DF7B3C"/>
    <w:rsid w:val="15E20F74"/>
    <w:rsid w:val="15E51085"/>
    <w:rsid w:val="15E87E38"/>
    <w:rsid w:val="15E92732"/>
    <w:rsid w:val="15EC51EF"/>
    <w:rsid w:val="160025F7"/>
    <w:rsid w:val="16031DE7"/>
    <w:rsid w:val="16292345"/>
    <w:rsid w:val="162A0ABA"/>
    <w:rsid w:val="162E3FBD"/>
    <w:rsid w:val="16362ABF"/>
    <w:rsid w:val="16384275"/>
    <w:rsid w:val="164B4113"/>
    <w:rsid w:val="165B1291"/>
    <w:rsid w:val="165C118C"/>
    <w:rsid w:val="166107FA"/>
    <w:rsid w:val="16695657"/>
    <w:rsid w:val="16704C38"/>
    <w:rsid w:val="167067A1"/>
    <w:rsid w:val="1673211A"/>
    <w:rsid w:val="167635DC"/>
    <w:rsid w:val="16793AE2"/>
    <w:rsid w:val="167D08B8"/>
    <w:rsid w:val="167F1776"/>
    <w:rsid w:val="16894BB3"/>
    <w:rsid w:val="168A28EF"/>
    <w:rsid w:val="168B1A72"/>
    <w:rsid w:val="169619E0"/>
    <w:rsid w:val="169C19E3"/>
    <w:rsid w:val="169F123F"/>
    <w:rsid w:val="16A070E1"/>
    <w:rsid w:val="16A24727"/>
    <w:rsid w:val="16A42B33"/>
    <w:rsid w:val="16A57368"/>
    <w:rsid w:val="16A86180"/>
    <w:rsid w:val="16A9501F"/>
    <w:rsid w:val="16A967DF"/>
    <w:rsid w:val="16B24ED1"/>
    <w:rsid w:val="16B70A30"/>
    <w:rsid w:val="16BC60CF"/>
    <w:rsid w:val="16BE59A3"/>
    <w:rsid w:val="16C302B2"/>
    <w:rsid w:val="16CC3B80"/>
    <w:rsid w:val="16D109B7"/>
    <w:rsid w:val="16D2144F"/>
    <w:rsid w:val="16D663B2"/>
    <w:rsid w:val="16DC30E2"/>
    <w:rsid w:val="16DD5A00"/>
    <w:rsid w:val="16E46EAC"/>
    <w:rsid w:val="16E606C2"/>
    <w:rsid w:val="16E67B47"/>
    <w:rsid w:val="16E7513A"/>
    <w:rsid w:val="16E871EA"/>
    <w:rsid w:val="16EE0511"/>
    <w:rsid w:val="16F73C11"/>
    <w:rsid w:val="16FB22AF"/>
    <w:rsid w:val="16FB313E"/>
    <w:rsid w:val="16FD1D31"/>
    <w:rsid w:val="16FE7A78"/>
    <w:rsid w:val="17007A6D"/>
    <w:rsid w:val="17025706"/>
    <w:rsid w:val="17026E59"/>
    <w:rsid w:val="17050780"/>
    <w:rsid w:val="17095832"/>
    <w:rsid w:val="171149C8"/>
    <w:rsid w:val="17123AD5"/>
    <w:rsid w:val="171630D1"/>
    <w:rsid w:val="171A3023"/>
    <w:rsid w:val="171C4DC0"/>
    <w:rsid w:val="17261636"/>
    <w:rsid w:val="17437528"/>
    <w:rsid w:val="17464469"/>
    <w:rsid w:val="174834AA"/>
    <w:rsid w:val="17490311"/>
    <w:rsid w:val="175129AF"/>
    <w:rsid w:val="1758511E"/>
    <w:rsid w:val="175B7696"/>
    <w:rsid w:val="17614279"/>
    <w:rsid w:val="17635962"/>
    <w:rsid w:val="17645DDE"/>
    <w:rsid w:val="177230D6"/>
    <w:rsid w:val="1772642F"/>
    <w:rsid w:val="177F6718"/>
    <w:rsid w:val="17814289"/>
    <w:rsid w:val="17854E2C"/>
    <w:rsid w:val="178C46BC"/>
    <w:rsid w:val="178D5E3B"/>
    <w:rsid w:val="17923D7B"/>
    <w:rsid w:val="179A1C58"/>
    <w:rsid w:val="179E6E5A"/>
    <w:rsid w:val="17A5773A"/>
    <w:rsid w:val="17B150CB"/>
    <w:rsid w:val="17B23598"/>
    <w:rsid w:val="17B47768"/>
    <w:rsid w:val="17B85E0F"/>
    <w:rsid w:val="17BF4BF0"/>
    <w:rsid w:val="17C045CA"/>
    <w:rsid w:val="17C85CEA"/>
    <w:rsid w:val="17CE79E2"/>
    <w:rsid w:val="17D40AAA"/>
    <w:rsid w:val="17D46CD6"/>
    <w:rsid w:val="17D87834"/>
    <w:rsid w:val="17D921F0"/>
    <w:rsid w:val="17DF4479"/>
    <w:rsid w:val="17E20DEE"/>
    <w:rsid w:val="17E72060"/>
    <w:rsid w:val="17E92EF4"/>
    <w:rsid w:val="17EB564C"/>
    <w:rsid w:val="17EB5B9A"/>
    <w:rsid w:val="17EE22B8"/>
    <w:rsid w:val="17F640C6"/>
    <w:rsid w:val="17F944DD"/>
    <w:rsid w:val="18052543"/>
    <w:rsid w:val="180E18D0"/>
    <w:rsid w:val="180F4CBE"/>
    <w:rsid w:val="18125949"/>
    <w:rsid w:val="18187E60"/>
    <w:rsid w:val="181E44F2"/>
    <w:rsid w:val="182007DD"/>
    <w:rsid w:val="182C5877"/>
    <w:rsid w:val="182D428A"/>
    <w:rsid w:val="182E3DEC"/>
    <w:rsid w:val="18345F0A"/>
    <w:rsid w:val="183766B2"/>
    <w:rsid w:val="183829B7"/>
    <w:rsid w:val="183A1736"/>
    <w:rsid w:val="1843207A"/>
    <w:rsid w:val="18453F28"/>
    <w:rsid w:val="184753A6"/>
    <w:rsid w:val="18491FB8"/>
    <w:rsid w:val="184C12B5"/>
    <w:rsid w:val="184E5188"/>
    <w:rsid w:val="18523355"/>
    <w:rsid w:val="18566ECD"/>
    <w:rsid w:val="185760FC"/>
    <w:rsid w:val="185840A4"/>
    <w:rsid w:val="185B5474"/>
    <w:rsid w:val="186212BA"/>
    <w:rsid w:val="1864014C"/>
    <w:rsid w:val="187208E1"/>
    <w:rsid w:val="18754D87"/>
    <w:rsid w:val="18784278"/>
    <w:rsid w:val="187B23E5"/>
    <w:rsid w:val="187D051D"/>
    <w:rsid w:val="187D2E0E"/>
    <w:rsid w:val="187D3B10"/>
    <w:rsid w:val="187D644E"/>
    <w:rsid w:val="18820879"/>
    <w:rsid w:val="18881C67"/>
    <w:rsid w:val="18886B04"/>
    <w:rsid w:val="188E0F9F"/>
    <w:rsid w:val="189D6459"/>
    <w:rsid w:val="18A04FFD"/>
    <w:rsid w:val="18A07947"/>
    <w:rsid w:val="18A4634D"/>
    <w:rsid w:val="18A51462"/>
    <w:rsid w:val="18A7764C"/>
    <w:rsid w:val="18AB63FB"/>
    <w:rsid w:val="18AC517B"/>
    <w:rsid w:val="18AE0CBD"/>
    <w:rsid w:val="18AE5289"/>
    <w:rsid w:val="18B371A8"/>
    <w:rsid w:val="18B43502"/>
    <w:rsid w:val="18B771D9"/>
    <w:rsid w:val="18BD4376"/>
    <w:rsid w:val="18C116D2"/>
    <w:rsid w:val="18C55223"/>
    <w:rsid w:val="18C6568D"/>
    <w:rsid w:val="18C77E92"/>
    <w:rsid w:val="18C8358D"/>
    <w:rsid w:val="18C959BB"/>
    <w:rsid w:val="18CA1FE8"/>
    <w:rsid w:val="18D65581"/>
    <w:rsid w:val="18D90BFD"/>
    <w:rsid w:val="18D951B2"/>
    <w:rsid w:val="18E05C0E"/>
    <w:rsid w:val="18E06D9A"/>
    <w:rsid w:val="18E25BE7"/>
    <w:rsid w:val="18E702FB"/>
    <w:rsid w:val="18EB2C9C"/>
    <w:rsid w:val="18F00CE8"/>
    <w:rsid w:val="18FD1EF5"/>
    <w:rsid w:val="18FE4996"/>
    <w:rsid w:val="19065E45"/>
    <w:rsid w:val="190972E9"/>
    <w:rsid w:val="19166CB4"/>
    <w:rsid w:val="192132D6"/>
    <w:rsid w:val="1921612B"/>
    <w:rsid w:val="19287DCA"/>
    <w:rsid w:val="19490AB7"/>
    <w:rsid w:val="1957480F"/>
    <w:rsid w:val="19583977"/>
    <w:rsid w:val="195C2E49"/>
    <w:rsid w:val="19643E2F"/>
    <w:rsid w:val="197455B0"/>
    <w:rsid w:val="197A0717"/>
    <w:rsid w:val="197D1936"/>
    <w:rsid w:val="198253AE"/>
    <w:rsid w:val="199944A6"/>
    <w:rsid w:val="199E2772"/>
    <w:rsid w:val="19A02CD0"/>
    <w:rsid w:val="19A33352"/>
    <w:rsid w:val="19AE764D"/>
    <w:rsid w:val="19AF75D4"/>
    <w:rsid w:val="19B905BB"/>
    <w:rsid w:val="19C3282A"/>
    <w:rsid w:val="19C534ED"/>
    <w:rsid w:val="19C749D9"/>
    <w:rsid w:val="19D15A82"/>
    <w:rsid w:val="19D32BA5"/>
    <w:rsid w:val="19D8115F"/>
    <w:rsid w:val="19D95A8C"/>
    <w:rsid w:val="19DE1A34"/>
    <w:rsid w:val="19DF68D4"/>
    <w:rsid w:val="19E16672"/>
    <w:rsid w:val="19E25F19"/>
    <w:rsid w:val="19E43194"/>
    <w:rsid w:val="19E74261"/>
    <w:rsid w:val="19E930EC"/>
    <w:rsid w:val="19EA6E81"/>
    <w:rsid w:val="19FA6D1A"/>
    <w:rsid w:val="19FB2A6A"/>
    <w:rsid w:val="19FD4F93"/>
    <w:rsid w:val="19FE1B56"/>
    <w:rsid w:val="1A0A6B4F"/>
    <w:rsid w:val="1A0F1ED8"/>
    <w:rsid w:val="1A1507A3"/>
    <w:rsid w:val="1A15521C"/>
    <w:rsid w:val="1A1928B1"/>
    <w:rsid w:val="1A1B40C9"/>
    <w:rsid w:val="1A1F4187"/>
    <w:rsid w:val="1A2017A7"/>
    <w:rsid w:val="1A2053A5"/>
    <w:rsid w:val="1A217C47"/>
    <w:rsid w:val="1A237D40"/>
    <w:rsid w:val="1A266FD5"/>
    <w:rsid w:val="1A285B8C"/>
    <w:rsid w:val="1A2A420D"/>
    <w:rsid w:val="1A2C4317"/>
    <w:rsid w:val="1A2C7DFF"/>
    <w:rsid w:val="1A2D7200"/>
    <w:rsid w:val="1A2F6BB8"/>
    <w:rsid w:val="1A304070"/>
    <w:rsid w:val="1A3654F4"/>
    <w:rsid w:val="1A3A17E5"/>
    <w:rsid w:val="1A3F47B6"/>
    <w:rsid w:val="1A444280"/>
    <w:rsid w:val="1A4965F9"/>
    <w:rsid w:val="1A4C0978"/>
    <w:rsid w:val="1A537548"/>
    <w:rsid w:val="1A5D092B"/>
    <w:rsid w:val="1A5F3F04"/>
    <w:rsid w:val="1A674776"/>
    <w:rsid w:val="1A6A6DC7"/>
    <w:rsid w:val="1A6D2535"/>
    <w:rsid w:val="1A7056AF"/>
    <w:rsid w:val="1A7230CA"/>
    <w:rsid w:val="1A75353A"/>
    <w:rsid w:val="1A7622D0"/>
    <w:rsid w:val="1A782807"/>
    <w:rsid w:val="1A886E5C"/>
    <w:rsid w:val="1A892C97"/>
    <w:rsid w:val="1A8959EC"/>
    <w:rsid w:val="1A901D46"/>
    <w:rsid w:val="1A9E0E31"/>
    <w:rsid w:val="1A9F0FB4"/>
    <w:rsid w:val="1AA06A41"/>
    <w:rsid w:val="1AA519C2"/>
    <w:rsid w:val="1ABA602A"/>
    <w:rsid w:val="1ABA785B"/>
    <w:rsid w:val="1ABD2416"/>
    <w:rsid w:val="1ABD3F9F"/>
    <w:rsid w:val="1ABE55FB"/>
    <w:rsid w:val="1AC33166"/>
    <w:rsid w:val="1AC94295"/>
    <w:rsid w:val="1ACB116F"/>
    <w:rsid w:val="1ACB4062"/>
    <w:rsid w:val="1ACF3554"/>
    <w:rsid w:val="1AD02372"/>
    <w:rsid w:val="1AD5775F"/>
    <w:rsid w:val="1AE612D2"/>
    <w:rsid w:val="1AE77CF0"/>
    <w:rsid w:val="1AEC61C2"/>
    <w:rsid w:val="1AEE2E3A"/>
    <w:rsid w:val="1AF06330"/>
    <w:rsid w:val="1AF33200"/>
    <w:rsid w:val="1AF519ED"/>
    <w:rsid w:val="1AF521D1"/>
    <w:rsid w:val="1AF5342C"/>
    <w:rsid w:val="1AFD533E"/>
    <w:rsid w:val="1AFF1FA4"/>
    <w:rsid w:val="1B0C419E"/>
    <w:rsid w:val="1B157289"/>
    <w:rsid w:val="1B173817"/>
    <w:rsid w:val="1B195BAD"/>
    <w:rsid w:val="1B195FF9"/>
    <w:rsid w:val="1B22725F"/>
    <w:rsid w:val="1B2B151F"/>
    <w:rsid w:val="1B2B4944"/>
    <w:rsid w:val="1B311B22"/>
    <w:rsid w:val="1B3B1532"/>
    <w:rsid w:val="1B4668FD"/>
    <w:rsid w:val="1B47394A"/>
    <w:rsid w:val="1B4C033F"/>
    <w:rsid w:val="1B653E9B"/>
    <w:rsid w:val="1B6860E8"/>
    <w:rsid w:val="1B69390C"/>
    <w:rsid w:val="1B6B3322"/>
    <w:rsid w:val="1B6C6E70"/>
    <w:rsid w:val="1B6E1A71"/>
    <w:rsid w:val="1B702586"/>
    <w:rsid w:val="1B7116D9"/>
    <w:rsid w:val="1B7D0393"/>
    <w:rsid w:val="1B82359E"/>
    <w:rsid w:val="1B855280"/>
    <w:rsid w:val="1B8561FB"/>
    <w:rsid w:val="1B8D69DA"/>
    <w:rsid w:val="1B966BC5"/>
    <w:rsid w:val="1B9B6355"/>
    <w:rsid w:val="1B9D4814"/>
    <w:rsid w:val="1B9E5DA3"/>
    <w:rsid w:val="1B9F7111"/>
    <w:rsid w:val="1BA0313F"/>
    <w:rsid w:val="1BA11472"/>
    <w:rsid w:val="1BA70410"/>
    <w:rsid w:val="1BAA6631"/>
    <w:rsid w:val="1BBA2DB7"/>
    <w:rsid w:val="1BC703FC"/>
    <w:rsid w:val="1BCD463F"/>
    <w:rsid w:val="1BD31F37"/>
    <w:rsid w:val="1BD35A60"/>
    <w:rsid w:val="1BD91A0E"/>
    <w:rsid w:val="1BDD0D8B"/>
    <w:rsid w:val="1BE078BD"/>
    <w:rsid w:val="1BE745F6"/>
    <w:rsid w:val="1BE806B2"/>
    <w:rsid w:val="1BEB5E7E"/>
    <w:rsid w:val="1BF11408"/>
    <w:rsid w:val="1BFF62D5"/>
    <w:rsid w:val="1C027BDF"/>
    <w:rsid w:val="1C0F6F0D"/>
    <w:rsid w:val="1C145037"/>
    <w:rsid w:val="1C17662B"/>
    <w:rsid w:val="1C185919"/>
    <w:rsid w:val="1C24274C"/>
    <w:rsid w:val="1C300A90"/>
    <w:rsid w:val="1C3765F9"/>
    <w:rsid w:val="1C3E0B7F"/>
    <w:rsid w:val="1C412E6E"/>
    <w:rsid w:val="1C42342B"/>
    <w:rsid w:val="1C464756"/>
    <w:rsid w:val="1C496434"/>
    <w:rsid w:val="1C4D5CB3"/>
    <w:rsid w:val="1C4F6772"/>
    <w:rsid w:val="1C50290F"/>
    <w:rsid w:val="1C50745E"/>
    <w:rsid w:val="1C532A4B"/>
    <w:rsid w:val="1C6041F4"/>
    <w:rsid w:val="1C693341"/>
    <w:rsid w:val="1C6A04B1"/>
    <w:rsid w:val="1C6F1AE1"/>
    <w:rsid w:val="1C7469E6"/>
    <w:rsid w:val="1C7A336B"/>
    <w:rsid w:val="1C7B54B3"/>
    <w:rsid w:val="1C8262D2"/>
    <w:rsid w:val="1C836CA4"/>
    <w:rsid w:val="1C8979E9"/>
    <w:rsid w:val="1C8D63EE"/>
    <w:rsid w:val="1C915D04"/>
    <w:rsid w:val="1C986C96"/>
    <w:rsid w:val="1C9A0962"/>
    <w:rsid w:val="1C9B7162"/>
    <w:rsid w:val="1CA23D4E"/>
    <w:rsid w:val="1CA366CB"/>
    <w:rsid w:val="1CAD06B1"/>
    <w:rsid w:val="1CB464E2"/>
    <w:rsid w:val="1CB63738"/>
    <w:rsid w:val="1CB81A6B"/>
    <w:rsid w:val="1CB82E95"/>
    <w:rsid w:val="1CB90C5D"/>
    <w:rsid w:val="1CC44476"/>
    <w:rsid w:val="1CC76F56"/>
    <w:rsid w:val="1CCA04F2"/>
    <w:rsid w:val="1CD20080"/>
    <w:rsid w:val="1CE93D2A"/>
    <w:rsid w:val="1CE96A40"/>
    <w:rsid w:val="1CEB0236"/>
    <w:rsid w:val="1CF11C41"/>
    <w:rsid w:val="1CF26117"/>
    <w:rsid w:val="1CF57C45"/>
    <w:rsid w:val="1CF80A69"/>
    <w:rsid w:val="1D053115"/>
    <w:rsid w:val="1D070972"/>
    <w:rsid w:val="1D0769E7"/>
    <w:rsid w:val="1D077978"/>
    <w:rsid w:val="1D155D79"/>
    <w:rsid w:val="1D1A2745"/>
    <w:rsid w:val="1D1A6B86"/>
    <w:rsid w:val="1D1A76AB"/>
    <w:rsid w:val="1D1E66CC"/>
    <w:rsid w:val="1D215272"/>
    <w:rsid w:val="1D3249F5"/>
    <w:rsid w:val="1D3F6620"/>
    <w:rsid w:val="1D4126F8"/>
    <w:rsid w:val="1D4930D8"/>
    <w:rsid w:val="1D5223E3"/>
    <w:rsid w:val="1D5232E9"/>
    <w:rsid w:val="1D58223E"/>
    <w:rsid w:val="1D586126"/>
    <w:rsid w:val="1D5E2B03"/>
    <w:rsid w:val="1D5F5F9E"/>
    <w:rsid w:val="1D69133D"/>
    <w:rsid w:val="1D6D6AF8"/>
    <w:rsid w:val="1D6F5B7C"/>
    <w:rsid w:val="1D7D4377"/>
    <w:rsid w:val="1D7E5AA7"/>
    <w:rsid w:val="1D854F7E"/>
    <w:rsid w:val="1D880945"/>
    <w:rsid w:val="1D8944CB"/>
    <w:rsid w:val="1D8B00F7"/>
    <w:rsid w:val="1D8F1BDF"/>
    <w:rsid w:val="1D94070A"/>
    <w:rsid w:val="1D9E51F9"/>
    <w:rsid w:val="1DA3010D"/>
    <w:rsid w:val="1DA43419"/>
    <w:rsid w:val="1DAE0C00"/>
    <w:rsid w:val="1DB16A07"/>
    <w:rsid w:val="1DC44C30"/>
    <w:rsid w:val="1DC74753"/>
    <w:rsid w:val="1DCC330E"/>
    <w:rsid w:val="1DD26768"/>
    <w:rsid w:val="1DD33F61"/>
    <w:rsid w:val="1DD82332"/>
    <w:rsid w:val="1DDA3D7F"/>
    <w:rsid w:val="1DDE13F8"/>
    <w:rsid w:val="1DF1585D"/>
    <w:rsid w:val="1DF83A39"/>
    <w:rsid w:val="1DF84814"/>
    <w:rsid w:val="1DFB6E89"/>
    <w:rsid w:val="1E004AF3"/>
    <w:rsid w:val="1E070091"/>
    <w:rsid w:val="1E075E82"/>
    <w:rsid w:val="1E0A2569"/>
    <w:rsid w:val="1E146959"/>
    <w:rsid w:val="1E1B2F5F"/>
    <w:rsid w:val="1E245234"/>
    <w:rsid w:val="1E2750AE"/>
    <w:rsid w:val="1E297DBB"/>
    <w:rsid w:val="1E3851D6"/>
    <w:rsid w:val="1E484929"/>
    <w:rsid w:val="1E4F5C2D"/>
    <w:rsid w:val="1E50564D"/>
    <w:rsid w:val="1E552F80"/>
    <w:rsid w:val="1E556C74"/>
    <w:rsid w:val="1E5D0198"/>
    <w:rsid w:val="1E5E1958"/>
    <w:rsid w:val="1E60605D"/>
    <w:rsid w:val="1E6147B7"/>
    <w:rsid w:val="1E635082"/>
    <w:rsid w:val="1E653553"/>
    <w:rsid w:val="1E6A31B4"/>
    <w:rsid w:val="1E6E1784"/>
    <w:rsid w:val="1E6E7C03"/>
    <w:rsid w:val="1E71052F"/>
    <w:rsid w:val="1E71154D"/>
    <w:rsid w:val="1E761259"/>
    <w:rsid w:val="1E7828DC"/>
    <w:rsid w:val="1E790E87"/>
    <w:rsid w:val="1E7A25F2"/>
    <w:rsid w:val="1E8D4F4C"/>
    <w:rsid w:val="1E937715"/>
    <w:rsid w:val="1EA71413"/>
    <w:rsid w:val="1EAD3FA1"/>
    <w:rsid w:val="1EB24BCB"/>
    <w:rsid w:val="1EB51EBD"/>
    <w:rsid w:val="1EB5212B"/>
    <w:rsid w:val="1EBA3D0C"/>
    <w:rsid w:val="1EBE3F89"/>
    <w:rsid w:val="1EC5054E"/>
    <w:rsid w:val="1EC5318F"/>
    <w:rsid w:val="1EC6392B"/>
    <w:rsid w:val="1EC90621"/>
    <w:rsid w:val="1ECA2F21"/>
    <w:rsid w:val="1ECB24E7"/>
    <w:rsid w:val="1ECC6B68"/>
    <w:rsid w:val="1ED62E6A"/>
    <w:rsid w:val="1EDB2E6A"/>
    <w:rsid w:val="1EE260EC"/>
    <w:rsid w:val="1EE667FC"/>
    <w:rsid w:val="1EE84B34"/>
    <w:rsid w:val="1EE97F7C"/>
    <w:rsid w:val="1EEF431A"/>
    <w:rsid w:val="1EF64135"/>
    <w:rsid w:val="1EFB23A7"/>
    <w:rsid w:val="1F0650C7"/>
    <w:rsid w:val="1F0B6D61"/>
    <w:rsid w:val="1F0C0762"/>
    <w:rsid w:val="1F0E2B05"/>
    <w:rsid w:val="1F101F8D"/>
    <w:rsid w:val="1F164710"/>
    <w:rsid w:val="1F171DA0"/>
    <w:rsid w:val="1F172367"/>
    <w:rsid w:val="1F254E34"/>
    <w:rsid w:val="1F2678A3"/>
    <w:rsid w:val="1F2932A1"/>
    <w:rsid w:val="1F404217"/>
    <w:rsid w:val="1F4247F1"/>
    <w:rsid w:val="1F48621D"/>
    <w:rsid w:val="1F533118"/>
    <w:rsid w:val="1F626E72"/>
    <w:rsid w:val="1F640590"/>
    <w:rsid w:val="1F6966C8"/>
    <w:rsid w:val="1F6A2294"/>
    <w:rsid w:val="1F6D7F66"/>
    <w:rsid w:val="1F7D0404"/>
    <w:rsid w:val="1F8D282B"/>
    <w:rsid w:val="1F970130"/>
    <w:rsid w:val="1F9C5EE3"/>
    <w:rsid w:val="1F9D0A44"/>
    <w:rsid w:val="1FA51D91"/>
    <w:rsid w:val="1FAB7093"/>
    <w:rsid w:val="1FAC0548"/>
    <w:rsid w:val="1FB65F17"/>
    <w:rsid w:val="1FBE0652"/>
    <w:rsid w:val="1FC009DE"/>
    <w:rsid w:val="1FC169BD"/>
    <w:rsid w:val="1FC32C2F"/>
    <w:rsid w:val="1FC76C64"/>
    <w:rsid w:val="1FCF3A1C"/>
    <w:rsid w:val="1FD55365"/>
    <w:rsid w:val="1FD55385"/>
    <w:rsid w:val="1FD83DFD"/>
    <w:rsid w:val="1FD930B0"/>
    <w:rsid w:val="1FD9762C"/>
    <w:rsid w:val="1FE43F25"/>
    <w:rsid w:val="1FEF3071"/>
    <w:rsid w:val="1FF107B1"/>
    <w:rsid w:val="1FF11E30"/>
    <w:rsid w:val="1FF20A5C"/>
    <w:rsid w:val="1FF71F26"/>
    <w:rsid w:val="20001E8C"/>
    <w:rsid w:val="20012FD0"/>
    <w:rsid w:val="20031903"/>
    <w:rsid w:val="20067B7E"/>
    <w:rsid w:val="20075E29"/>
    <w:rsid w:val="200A3D59"/>
    <w:rsid w:val="20102A57"/>
    <w:rsid w:val="20116038"/>
    <w:rsid w:val="201523AC"/>
    <w:rsid w:val="201955DF"/>
    <w:rsid w:val="201E5EB6"/>
    <w:rsid w:val="20230F6D"/>
    <w:rsid w:val="20255669"/>
    <w:rsid w:val="202C6073"/>
    <w:rsid w:val="202D5771"/>
    <w:rsid w:val="202F5F6F"/>
    <w:rsid w:val="20301677"/>
    <w:rsid w:val="20341112"/>
    <w:rsid w:val="2059524D"/>
    <w:rsid w:val="205E1FA5"/>
    <w:rsid w:val="206406A2"/>
    <w:rsid w:val="206841DB"/>
    <w:rsid w:val="20692E24"/>
    <w:rsid w:val="20694065"/>
    <w:rsid w:val="206B3403"/>
    <w:rsid w:val="206B75C0"/>
    <w:rsid w:val="206D55DF"/>
    <w:rsid w:val="2076034B"/>
    <w:rsid w:val="20767256"/>
    <w:rsid w:val="207823E8"/>
    <w:rsid w:val="207A1ABC"/>
    <w:rsid w:val="20893FDE"/>
    <w:rsid w:val="208D3C12"/>
    <w:rsid w:val="20931E8F"/>
    <w:rsid w:val="209A3380"/>
    <w:rsid w:val="209D541E"/>
    <w:rsid w:val="20A2611A"/>
    <w:rsid w:val="20A71359"/>
    <w:rsid w:val="20B0645D"/>
    <w:rsid w:val="20B66B40"/>
    <w:rsid w:val="20BA0E51"/>
    <w:rsid w:val="20BC0C42"/>
    <w:rsid w:val="20C07BCA"/>
    <w:rsid w:val="20C5585B"/>
    <w:rsid w:val="20CA13E8"/>
    <w:rsid w:val="20CB1088"/>
    <w:rsid w:val="20CF64D3"/>
    <w:rsid w:val="20D276ED"/>
    <w:rsid w:val="20D314FF"/>
    <w:rsid w:val="20D35978"/>
    <w:rsid w:val="20D36C50"/>
    <w:rsid w:val="20D724A8"/>
    <w:rsid w:val="20DA5F09"/>
    <w:rsid w:val="20DB5E28"/>
    <w:rsid w:val="20E32E09"/>
    <w:rsid w:val="20E604A0"/>
    <w:rsid w:val="20F070A1"/>
    <w:rsid w:val="20F261A5"/>
    <w:rsid w:val="20FB39E4"/>
    <w:rsid w:val="20FE5473"/>
    <w:rsid w:val="2106633C"/>
    <w:rsid w:val="210A4B79"/>
    <w:rsid w:val="211D393E"/>
    <w:rsid w:val="211F5F23"/>
    <w:rsid w:val="21226BEF"/>
    <w:rsid w:val="212528F5"/>
    <w:rsid w:val="21332707"/>
    <w:rsid w:val="21362B20"/>
    <w:rsid w:val="21391F84"/>
    <w:rsid w:val="213B5848"/>
    <w:rsid w:val="213E521A"/>
    <w:rsid w:val="213E6B12"/>
    <w:rsid w:val="21456E23"/>
    <w:rsid w:val="214663E7"/>
    <w:rsid w:val="21484B50"/>
    <w:rsid w:val="215347EE"/>
    <w:rsid w:val="21562473"/>
    <w:rsid w:val="2158338F"/>
    <w:rsid w:val="215869A6"/>
    <w:rsid w:val="215C4D90"/>
    <w:rsid w:val="215D53B4"/>
    <w:rsid w:val="21642844"/>
    <w:rsid w:val="21772EA6"/>
    <w:rsid w:val="21822366"/>
    <w:rsid w:val="21863561"/>
    <w:rsid w:val="218F12E5"/>
    <w:rsid w:val="21925CBD"/>
    <w:rsid w:val="21935669"/>
    <w:rsid w:val="219C1508"/>
    <w:rsid w:val="21A0741E"/>
    <w:rsid w:val="21A115D9"/>
    <w:rsid w:val="21AB6CD0"/>
    <w:rsid w:val="21AE317B"/>
    <w:rsid w:val="21B01FA5"/>
    <w:rsid w:val="21BA4C58"/>
    <w:rsid w:val="21BC11F2"/>
    <w:rsid w:val="21BE4D6A"/>
    <w:rsid w:val="21C1459A"/>
    <w:rsid w:val="21C87E24"/>
    <w:rsid w:val="21CB622C"/>
    <w:rsid w:val="21D01E62"/>
    <w:rsid w:val="21D03B15"/>
    <w:rsid w:val="21DF4DFF"/>
    <w:rsid w:val="21E645E2"/>
    <w:rsid w:val="21E85460"/>
    <w:rsid w:val="21E94A97"/>
    <w:rsid w:val="21EC07B7"/>
    <w:rsid w:val="21F40328"/>
    <w:rsid w:val="21F579C8"/>
    <w:rsid w:val="21FD4613"/>
    <w:rsid w:val="221176DE"/>
    <w:rsid w:val="22122C06"/>
    <w:rsid w:val="221262C7"/>
    <w:rsid w:val="22140D92"/>
    <w:rsid w:val="22232818"/>
    <w:rsid w:val="222370DF"/>
    <w:rsid w:val="22242A1A"/>
    <w:rsid w:val="222B624F"/>
    <w:rsid w:val="222D34C5"/>
    <w:rsid w:val="222D5549"/>
    <w:rsid w:val="22340E6A"/>
    <w:rsid w:val="22387B25"/>
    <w:rsid w:val="223E5856"/>
    <w:rsid w:val="22400EBC"/>
    <w:rsid w:val="22412DE8"/>
    <w:rsid w:val="224B1D4A"/>
    <w:rsid w:val="22534DC7"/>
    <w:rsid w:val="225679C4"/>
    <w:rsid w:val="22570442"/>
    <w:rsid w:val="226642E4"/>
    <w:rsid w:val="22670040"/>
    <w:rsid w:val="22930250"/>
    <w:rsid w:val="22945AA1"/>
    <w:rsid w:val="22994A3D"/>
    <w:rsid w:val="22A16B3E"/>
    <w:rsid w:val="22AD0A60"/>
    <w:rsid w:val="22B723CD"/>
    <w:rsid w:val="22C371B4"/>
    <w:rsid w:val="22C40161"/>
    <w:rsid w:val="22C7765D"/>
    <w:rsid w:val="22CB28BB"/>
    <w:rsid w:val="22CC58EC"/>
    <w:rsid w:val="22D61F1F"/>
    <w:rsid w:val="22D84291"/>
    <w:rsid w:val="22DB2858"/>
    <w:rsid w:val="22DB3759"/>
    <w:rsid w:val="22E04EF3"/>
    <w:rsid w:val="22EE5707"/>
    <w:rsid w:val="22EF5FA2"/>
    <w:rsid w:val="22F21B90"/>
    <w:rsid w:val="22F66267"/>
    <w:rsid w:val="22F740A5"/>
    <w:rsid w:val="22FF110E"/>
    <w:rsid w:val="23003BD7"/>
    <w:rsid w:val="23013A78"/>
    <w:rsid w:val="23016467"/>
    <w:rsid w:val="23021BF0"/>
    <w:rsid w:val="230259B3"/>
    <w:rsid w:val="230340C9"/>
    <w:rsid w:val="23081DE0"/>
    <w:rsid w:val="231614AF"/>
    <w:rsid w:val="231E2482"/>
    <w:rsid w:val="232F3FCA"/>
    <w:rsid w:val="233832A5"/>
    <w:rsid w:val="23386ADD"/>
    <w:rsid w:val="233D20F9"/>
    <w:rsid w:val="233F60BE"/>
    <w:rsid w:val="23460E68"/>
    <w:rsid w:val="234642A1"/>
    <w:rsid w:val="234D545C"/>
    <w:rsid w:val="23502731"/>
    <w:rsid w:val="2351194D"/>
    <w:rsid w:val="235E7EA4"/>
    <w:rsid w:val="236478D2"/>
    <w:rsid w:val="23656043"/>
    <w:rsid w:val="2366189C"/>
    <w:rsid w:val="23694A75"/>
    <w:rsid w:val="236A241F"/>
    <w:rsid w:val="236B0C61"/>
    <w:rsid w:val="2378526F"/>
    <w:rsid w:val="237F4E56"/>
    <w:rsid w:val="2388006B"/>
    <w:rsid w:val="23895462"/>
    <w:rsid w:val="238A541C"/>
    <w:rsid w:val="23925BC3"/>
    <w:rsid w:val="23927D67"/>
    <w:rsid w:val="23953F30"/>
    <w:rsid w:val="239A5150"/>
    <w:rsid w:val="239D4DA3"/>
    <w:rsid w:val="239E64D7"/>
    <w:rsid w:val="239E6D60"/>
    <w:rsid w:val="23A62D1E"/>
    <w:rsid w:val="23A632DC"/>
    <w:rsid w:val="23AE3967"/>
    <w:rsid w:val="23B048C6"/>
    <w:rsid w:val="23B208BE"/>
    <w:rsid w:val="23B67E0E"/>
    <w:rsid w:val="23C263D2"/>
    <w:rsid w:val="23C274FE"/>
    <w:rsid w:val="23CD6B32"/>
    <w:rsid w:val="23CF3744"/>
    <w:rsid w:val="23D41292"/>
    <w:rsid w:val="23D44EBF"/>
    <w:rsid w:val="23E62BCD"/>
    <w:rsid w:val="23EB0A86"/>
    <w:rsid w:val="23F3706B"/>
    <w:rsid w:val="23F400AB"/>
    <w:rsid w:val="24094AAC"/>
    <w:rsid w:val="240A1E6F"/>
    <w:rsid w:val="240E3ECF"/>
    <w:rsid w:val="24127C13"/>
    <w:rsid w:val="241D40D6"/>
    <w:rsid w:val="241D5503"/>
    <w:rsid w:val="24262DDA"/>
    <w:rsid w:val="24263981"/>
    <w:rsid w:val="242644BF"/>
    <w:rsid w:val="24303C58"/>
    <w:rsid w:val="2431571F"/>
    <w:rsid w:val="24360A3C"/>
    <w:rsid w:val="243D71CC"/>
    <w:rsid w:val="244259D7"/>
    <w:rsid w:val="24443A64"/>
    <w:rsid w:val="244F29D5"/>
    <w:rsid w:val="24507EB3"/>
    <w:rsid w:val="245931AF"/>
    <w:rsid w:val="245B126C"/>
    <w:rsid w:val="245B41B9"/>
    <w:rsid w:val="245E1D5D"/>
    <w:rsid w:val="24643FED"/>
    <w:rsid w:val="24683E43"/>
    <w:rsid w:val="246B4C91"/>
    <w:rsid w:val="24805226"/>
    <w:rsid w:val="248C09F2"/>
    <w:rsid w:val="249011F5"/>
    <w:rsid w:val="249258B0"/>
    <w:rsid w:val="2493734E"/>
    <w:rsid w:val="24941068"/>
    <w:rsid w:val="24963F0E"/>
    <w:rsid w:val="249832A4"/>
    <w:rsid w:val="249E3FD9"/>
    <w:rsid w:val="24A25493"/>
    <w:rsid w:val="24AB2738"/>
    <w:rsid w:val="24BA242F"/>
    <w:rsid w:val="24BB4B39"/>
    <w:rsid w:val="24C128E7"/>
    <w:rsid w:val="24C26913"/>
    <w:rsid w:val="24CE5679"/>
    <w:rsid w:val="24DB1234"/>
    <w:rsid w:val="24DC6217"/>
    <w:rsid w:val="24DD371D"/>
    <w:rsid w:val="24E3339E"/>
    <w:rsid w:val="24F26082"/>
    <w:rsid w:val="24F361FA"/>
    <w:rsid w:val="24F37160"/>
    <w:rsid w:val="24FB0748"/>
    <w:rsid w:val="250C0222"/>
    <w:rsid w:val="250E6800"/>
    <w:rsid w:val="251269AA"/>
    <w:rsid w:val="251E5A26"/>
    <w:rsid w:val="25287D72"/>
    <w:rsid w:val="252F2C58"/>
    <w:rsid w:val="25311A36"/>
    <w:rsid w:val="25315208"/>
    <w:rsid w:val="25346CD3"/>
    <w:rsid w:val="25365AE4"/>
    <w:rsid w:val="253A2078"/>
    <w:rsid w:val="253B0B07"/>
    <w:rsid w:val="253B11D0"/>
    <w:rsid w:val="25417DAA"/>
    <w:rsid w:val="254433F9"/>
    <w:rsid w:val="25462EE4"/>
    <w:rsid w:val="254B3D2B"/>
    <w:rsid w:val="254E54EE"/>
    <w:rsid w:val="2550541E"/>
    <w:rsid w:val="255866A0"/>
    <w:rsid w:val="25606D83"/>
    <w:rsid w:val="25664070"/>
    <w:rsid w:val="25673937"/>
    <w:rsid w:val="25683697"/>
    <w:rsid w:val="25710085"/>
    <w:rsid w:val="257C078F"/>
    <w:rsid w:val="257F4470"/>
    <w:rsid w:val="258960E4"/>
    <w:rsid w:val="25927DA6"/>
    <w:rsid w:val="25965F62"/>
    <w:rsid w:val="25B02CAD"/>
    <w:rsid w:val="25B9554A"/>
    <w:rsid w:val="25BF57FD"/>
    <w:rsid w:val="25CC2B6C"/>
    <w:rsid w:val="25CC304D"/>
    <w:rsid w:val="25CD60DB"/>
    <w:rsid w:val="25D1410B"/>
    <w:rsid w:val="25DB1205"/>
    <w:rsid w:val="25DE675A"/>
    <w:rsid w:val="25DF0DF7"/>
    <w:rsid w:val="25E72020"/>
    <w:rsid w:val="25F0774B"/>
    <w:rsid w:val="25F609D5"/>
    <w:rsid w:val="25FA0B7A"/>
    <w:rsid w:val="25FD4957"/>
    <w:rsid w:val="25FD4F46"/>
    <w:rsid w:val="260932BF"/>
    <w:rsid w:val="26133BF3"/>
    <w:rsid w:val="26136505"/>
    <w:rsid w:val="261A700A"/>
    <w:rsid w:val="261B28E7"/>
    <w:rsid w:val="26202FCC"/>
    <w:rsid w:val="26293000"/>
    <w:rsid w:val="262F430D"/>
    <w:rsid w:val="26313B27"/>
    <w:rsid w:val="26315941"/>
    <w:rsid w:val="263F7366"/>
    <w:rsid w:val="26453127"/>
    <w:rsid w:val="26470E58"/>
    <w:rsid w:val="264734B0"/>
    <w:rsid w:val="26530D98"/>
    <w:rsid w:val="2658795F"/>
    <w:rsid w:val="265A6D6B"/>
    <w:rsid w:val="265B4400"/>
    <w:rsid w:val="265F481B"/>
    <w:rsid w:val="26622FBA"/>
    <w:rsid w:val="266269BA"/>
    <w:rsid w:val="266A209B"/>
    <w:rsid w:val="267100DA"/>
    <w:rsid w:val="26754641"/>
    <w:rsid w:val="26782D55"/>
    <w:rsid w:val="267A431E"/>
    <w:rsid w:val="267D6301"/>
    <w:rsid w:val="268062CE"/>
    <w:rsid w:val="26861921"/>
    <w:rsid w:val="26872AA1"/>
    <w:rsid w:val="268E07C6"/>
    <w:rsid w:val="269130F1"/>
    <w:rsid w:val="269C2310"/>
    <w:rsid w:val="26A32151"/>
    <w:rsid w:val="26A47779"/>
    <w:rsid w:val="26A760A9"/>
    <w:rsid w:val="26AA1D34"/>
    <w:rsid w:val="26B763D2"/>
    <w:rsid w:val="26C2163A"/>
    <w:rsid w:val="26C540B3"/>
    <w:rsid w:val="26C77332"/>
    <w:rsid w:val="26C84235"/>
    <w:rsid w:val="26DA11DF"/>
    <w:rsid w:val="26E916C7"/>
    <w:rsid w:val="26E94BB7"/>
    <w:rsid w:val="26EB2A75"/>
    <w:rsid w:val="26ED0722"/>
    <w:rsid w:val="26F0416A"/>
    <w:rsid w:val="26F163F5"/>
    <w:rsid w:val="26F83B7F"/>
    <w:rsid w:val="26F930CC"/>
    <w:rsid w:val="26FE35D8"/>
    <w:rsid w:val="27052D67"/>
    <w:rsid w:val="270B33C9"/>
    <w:rsid w:val="271167D4"/>
    <w:rsid w:val="271863D4"/>
    <w:rsid w:val="271B27F2"/>
    <w:rsid w:val="271B62A6"/>
    <w:rsid w:val="271C511B"/>
    <w:rsid w:val="271D470B"/>
    <w:rsid w:val="27205EB5"/>
    <w:rsid w:val="27256014"/>
    <w:rsid w:val="272626D1"/>
    <w:rsid w:val="27276904"/>
    <w:rsid w:val="27324B59"/>
    <w:rsid w:val="27326925"/>
    <w:rsid w:val="27353395"/>
    <w:rsid w:val="273B6B9C"/>
    <w:rsid w:val="273E5571"/>
    <w:rsid w:val="27405EAA"/>
    <w:rsid w:val="27480C39"/>
    <w:rsid w:val="2750218F"/>
    <w:rsid w:val="2754634A"/>
    <w:rsid w:val="275C05BC"/>
    <w:rsid w:val="276172CD"/>
    <w:rsid w:val="276832E7"/>
    <w:rsid w:val="276C4FA7"/>
    <w:rsid w:val="276C59F9"/>
    <w:rsid w:val="276D15DE"/>
    <w:rsid w:val="2774095F"/>
    <w:rsid w:val="27826575"/>
    <w:rsid w:val="278E3226"/>
    <w:rsid w:val="27907C7F"/>
    <w:rsid w:val="279F6F21"/>
    <w:rsid w:val="27A21C97"/>
    <w:rsid w:val="27A6495D"/>
    <w:rsid w:val="27A81CBE"/>
    <w:rsid w:val="27AB2CA6"/>
    <w:rsid w:val="27AB4C89"/>
    <w:rsid w:val="27AC7C18"/>
    <w:rsid w:val="27AD123F"/>
    <w:rsid w:val="27AD5666"/>
    <w:rsid w:val="27C064F1"/>
    <w:rsid w:val="27C66C59"/>
    <w:rsid w:val="27C748D4"/>
    <w:rsid w:val="27C81CDF"/>
    <w:rsid w:val="27C9620D"/>
    <w:rsid w:val="27CC3C98"/>
    <w:rsid w:val="27CC7BF6"/>
    <w:rsid w:val="27DC633D"/>
    <w:rsid w:val="27DF40FD"/>
    <w:rsid w:val="27E25C21"/>
    <w:rsid w:val="27E80919"/>
    <w:rsid w:val="27EA454F"/>
    <w:rsid w:val="27FB25DF"/>
    <w:rsid w:val="27FB7291"/>
    <w:rsid w:val="27FD399F"/>
    <w:rsid w:val="28004DC0"/>
    <w:rsid w:val="2801780A"/>
    <w:rsid w:val="280179BA"/>
    <w:rsid w:val="280323B3"/>
    <w:rsid w:val="28090902"/>
    <w:rsid w:val="28091AE0"/>
    <w:rsid w:val="280D4CA8"/>
    <w:rsid w:val="280F556C"/>
    <w:rsid w:val="28141908"/>
    <w:rsid w:val="2818054C"/>
    <w:rsid w:val="28180ADF"/>
    <w:rsid w:val="281E3135"/>
    <w:rsid w:val="282044D8"/>
    <w:rsid w:val="28206CB8"/>
    <w:rsid w:val="282362E4"/>
    <w:rsid w:val="28242E5B"/>
    <w:rsid w:val="28292D22"/>
    <w:rsid w:val="282E2ED2"/>
    <w:rsid w:val="283260E3"/>
    <w:rsid w:val="283667A0"/>
    <w:rsid w:val="28375FB1"/>
    <w:rsid w:val="28390684"/>
    <w:rsid w:val="283E28ED"/>
    <w:rsid w:val="28410778"/>
    <w:rsid w:val="28437830"/>
    <w:rsid w:val="2844368E"/>
    <w:rsid w:val="284969C6"/>
    <w:rsid w:val="284C4B32"/>
    <w:rsid w:val="284D0EA4"/>
    <w:rsid w:val="28520636"/>
    <w:rsid w:val="285651C9"/>
    <w:rsid w:val="28565FE4"/>
    <w:rsid w:val="285707E6"/>
    <w:rsid w:val="28592D6C"/>
    <w:rsid w:val="285F36CB"/>
    <w:rsid w:val="286214A8"/>
    <w:rsid w:val="286715E1"/>
    <w:rsid w:val="28700869"/>
    <w:rsid w:val="28733B36"/>
    <w:rsid w:val="287B413F"/>
    <w:rsid w:val="2882120E"/>
    <w:rsid w:val="2886448A"/>
    <w:rsid w:val="28881BDD"/>
    <w:rsid w:val="288B2B02"/>
    <w:rsid w:val="288F542E"/>
    <w:rsid w:val="28974EF1"/>
    <w:rsid w:val="2898046B"/>
    <w:rsid w:val="289A7D66"/>
    <w:rsid w:val="28A20FA9"/>
    <w:rsid w:val="28A23938"/>
    <w:rsid w:val="28A25BD1"/>
    <w:rsid w:val="28AA29A9"/>
    <w:rsid w:val="28AF4EC4"/>
    <w:rsid w:val="28B430AA"/>
    <w:rsid w:val="28C11423"/>
    <w:rsid w:val="28C17634"/>
    <w:rsid w:val="28C459EB"/>
    <w:rsid w:val="28C5692B"/>
    <w:rsid w:val="28CF6423"/>
    <w:rsid w:val="28D34E2F"/>
    <w:rsid w:val="28D86DBC"/>
    <w:rsid w:val="28E538B9"/>
    <w:rsid w:val="28E621F6"/>
    <w:rsid w:val="28EF40E2"/>
    <w:rsid w:val="28F31D4F"/>
    <w:rsid w:val="28F463E0"/>
    <w:rsid w:val="28F72F97"/>
    <w:rsid w:val="28F7563D"/>
    <w:rsid w:val="28FB44D6"/>
    <w:rsid w:val="2901329A"/>
    <w:rsid w:val="290336EA"/>
    <w:rsid w:val="29045B2F"/>
    <w:rsid w:val="290C4699"/>
    <w:rsid w:val="290E201D"/>
    <w:rsid w:val="291175A9"/>
    <w:rsid w:val="291458F7"/>
    <w:rsid w:val="291B0A33"/>
    <w:rsid w:val="291D3F27"/>
    <w:rsid w:val="291F1157"/>
    <w:rsid w:val="292672F1"/>
    <w:rsid w:val="292D7A53"/>
    <w:rsid w:val="29325F8D"/>
    <w:rsid w:val="29404A88"/>
    <w:rsid w:val="294837F2"/>
    <w:rsid w:val="29485E0E"/>
    <w:rsid w:val="29551409"/>
    <w:rsid w:val="295D00D2"/>
    <w:rsid w:val="2962286D"/>
    <w:rsid w:val="296543A4"/>
    <w:rsid w:val="296B731F"/>
    <w:rsid w:val="297843D7"/>
    <w:rsid w:val="297B25F8"/>
    <w:rsid w:val="297E5982"/>
    <w:rsid w:val="297F1C71"/>
    <w:rsid w:val="298729ED"/>
    <w:rsid w:val="29893098"/>
    <w:rsid w:val="298E52C4"/>
    <w:rsid w:val="299A0710"/>
    <w:rsid w:val="299D58EC"/>
    <w:rsid w:val="29A42CE5"/>
    <w:rsid w:val="29A56F9F"/>
    <w:rsid w:val="29A7021E"/>
    <w:rsid w:val="29AC26A7"/>
    <w:rsid w:val="29B21CC5"/>
    <w:rsid w:val="29B475EC"/>
    <w:rsid w:val="29C70471"/>
    <w:rsid w:val="29CC4A82"/>
    <w:rsid w:val="29D31BA8"/>
    <w:rsid w:val="29E2016D"/>
    <w:rsid w:val="29E91D93"/>
    <w:rsid w:val="29FA0F90"/>
    <w:rsid w:val="2A0170AC"/>
    <w:rsid w:val="2A026612"/>
    <w:rsid w:val="2A0D637D"/>
    <w:rsid w:val="2A1327C0"/>
    <w:rsid w:val="2A143D90"/>
    <w:rsid w:val="2A165475"/>
    <w:rsid w:val="2A1C549D"/>
    <w:rsid w:val="2A256F3B"/>
    <w:rsid w:val="2A370ABE"/>
    <w:rsid w:val="2A3E529F"/>
    <w:rsid w:val="2A4261CD"/>
    <w:rsid w:val="2A4554F8"/>
    <w:rsid w:val="2A4E0A4E"/>
    <w:rsid w:val="2A584251"/>
    <w:rsid w:val="2A5F7734"/>
    <w:rsid w:val="2A6B7798"/>
    <w:rsid w:val="2A753B41"/>
    <w:rsid w:val="2A7F00A7"/>
    <w:rsid w:val="2A7F3244"/>
    <w:rsid w:val="2A807AD5"/>
    <w:rsid w:val="2A897FDE"/>
    <w:rsid w:val="2A8B0C1E"/>
    <w:rsid w:val="2A8D7448"/>
    <w:rsid w:val="2A932B48"/>
    <w:rsid w:val="2A933BA3"/>
    <w:rsid w:val="2A984D50"/>
    <w:rsid w:val="2AA46FE2"/>
    <w:rsid w:val="2AA604D8"/>
    <w:rsid w:val="2AB23C68"/>
    <w:rsid w:val="2ABF0A75"/>
    <w:rsid w:val="2ACC3156"/>
    <w:rsid w:val="2AD5714A"/>
    <w:rsid w:val="2AD6555A"/>
    <w:rsid w:val="2AE36579"/>
    <w:rsid w:val="2AE431B2"/>
    <w:rsid w:val="2AE85BFB"/>
    <w:rsid w:val="2AE86FAA"/>
    <w:rsid w:val="2AEB3D7E"/>
    <w:rsid w:val="2AED22A5"/>
    <w:rsid w:val="2AF87AE6"/>
    <w:rsid w:val="2AFB125F"/>
    <w:rsid w:val="2AFC438B"/>
    <w:rsid w:val="2AFF0B3A"/>
    <w:rsid w:val="2AFF0D57"/>
    <w:rsid w:val="2B013CF4"/>
    <w:rsid w:val="2B084E73"/>
    <w:rsid w:val="2B0A3199"/>
    <w:rsid w:val="2B0D31C4"/>
    <w:rsid w:val="2B0F153B"/>
    <w:rsid w:val="2B123D82"/>
    <w:rsid w:val="2B132782"/>
    <w:rsid w:val="2B185B11"/>
    <w:rsid w:val="2B1A7704"/>
    <w:rsid w:val="2B1A7D60"/>
    <w:rsid w:val="2B1B499F"/>
    <w:rsid w:val="2B213062"/>
    <w:rsid w:val="2B252957"/>
    <w:rsid w:val="2B256750"/>
    <w:rsid w:val="2B26384F"/>
    <w:rsid w:val="2B295402"/>
    <w:rsid w:val="2B2A1C22"/>
    <w:rsid w:val="2B2B39AD"/>
    <w:rsid w:val="2B2C517A"/>
    <w:rsid w:val="2B2E49C5"/>
    <w:rsid w:val="2B311B81"/>
    <w:rsid w:val="2B3330AE"/>
    <w:rsid w:val="2B384D75"/>
    <w:rsid w:val="2B392BA3"/>
    <w:rsid w:val="2B413B51"/>
    <w:rsid w:val="2B433BC0"/>
    <w:rsid w:val="2B544E32"/>
    <w:rsid w:val="2B571037"/>
    <w:rsid w:val="2B583793"/>
    <w:rsid w:val="2B5A08C0"/>
    <w:rsid w:val="2B5A5DE6"/>
    <w:rsid w:val="2B5B323B"/>
    <w:rsid w:val="2B5F1223"/>
    <w:rsid w:val="2B6571B2"/>
    <w:rsid w:val="2B667F60"/>
    <w:rsid w:val="2B6C06E8"/>
    <w:rsid w:val="2B6C2BF1"/>
    <w:rsid w:val="2B6F6304"/>
    <w:rsid w:val="2B712B57"/>
    <w:rsid w:val="2B7476D4"/>
    <w:rsid w:val="2B7A5D28"/>
    <w:rsid w:val="2B7B300E"/>
    <w:rsid w:val="2B7F5FD7"/>
    <w:rsid w:val="2B8151CA"/>
    <w:rsid w:val="2B82123D"/>
    <w:rsid w:val="2B8A5E6E"/>
    <w:rsid w:val="2B8F395A"/>
    <w:rsid w:val="2B960845"/>
    <w:rsid w:val="2BA70CA4"/>
    <w:rsid w:val="2BA82862"/>
    <w:rsid w:val="2BAC1606"/>
    <w:rsid w:val="2BAF3133"/>
    <w:rsid w:val="2BB12FCD"/>
    <w:rsid w:val="2BB42415"/>
    <w:rsid w:val="2BB67139"/>
    <w:rsid w:val="2BB822A7"/>
    <w:rsid w:val="2BC02C66"/>
    <w:rsid w:val="2BC06C40"/>
    <w:rsid w:val="2BC1004E"/>
    <w:rsid w:val="2BCB7A4E"/>
    <w:rsid w:val="2BD223DC"/>
    <w:rsid w:val="2BD25787"/>
    <w:rsid w:val="2BD55931"/>
    <w:rsid w:val="2BEB1A8A"/>
    <w:rsid w:val="2BEC2295"/>
    <w:rsid w:val="2BEF14DE"/>
    <w:rsid w:val="2BF27461"/>
    <w:rsid w:val="2BF437BD"/>
    <w:rsid w:val="2BF51A0F"/>
    <w:rsid w:val="2C043D13"/>
    <w:rsid w:val="2C055387"/>
    <w:rsid w:val="2C07120E"/>
    <w:rsid w:val="2C0B7C4A"/>
    <w:rsid w:val="2C0C0B07"/>
    <w:rsid w:val="2C161986"/>
    <w:rsid w:val="2C1627B6"/>
    <w:rsid w:val="2C175F8A"/>
    <w:rsid w:val="2C186CD6"/>
    <w:rsid w:val="2C1A1AEF"/>
    <w:rsid w:val="2C1D0545"/>
    <w:rsid w:val="2C2E2294"/>
    <w:rsid w:val="2C31196C"/>
    <w:rsid w:val="2C3D7F61"/>
    <w:rsid w:val="2C407CB5"/>
    <w:rsid w:val="2C414C55"/>
    <w:rsid w:val="2C47345C"/>
    <w:rsid w:val="2C4D6B0C"/>
    <w:rsid w:val="2C5F0DF2"/>
    <w:rsid w:val="2C5F1B62"/>
    <w:rsid w:val="2C5F3333"/>
    <w:rsid w:val="2C616936"/>
    <w:rsid w:val="2C64742D"/>
    <w:rsid w:val="2C6672AF"/>
    <w:rsid w:val="2C6721E1"/>
    <w:rsid w:val="2C6E1245"/>
    <w:rsid w:val="2C7238CB"/>
    <w:rsid w:val="2C7A0C19"/>
    <w:rsid w:val="2C7A3CC3"/>
    <w:rsid w:val="2C807883"/>
    <w:rsid w:val="2C983333"/>
    <w:rsid w:val="2C9A4907"/>
    <w:rsid w:val="2CA10BFA"/>
    <w:rsid w:val="2CA304EB"/>
    <w:rsid w:val="2CA46EC2"/>
    <w:rsid w:val="2CA50079"/>
    <w:rsid w:val="2CA73D56"/>
    <w:rsid w:val="2CAA2A60"/>
    <w:rsid w:val="2CAB47C4"/>
    <w:rsid w:val="2CBB1B1D"/>
    <w:rsid w:val="2CBE6DD2"/>
    <w:rsid w:val="2CBF3182"/>
    <w:rsid w:val="2CC95FB1"/>
    <w:rsid w:val="2CC96C87"/>
    <w:rsid w:val="2CCF5A74"/>
    <w:rsid w:val="2CE850D0"/>
    <w:rsid w:val="2CEA36B2"/>
    <w:rsid w:val="2CF35DD5"/>
    <w:rsid w:val="2CF5369D"/>
    <w:rsid w:val="2CFA4A6C"/>
    <w:rsid w:val="2CFB1A93"/>
    <w:rsid w:val="2D0204E4"/>
    <w:rsid w:val="2D0339AF"/>
    <w:rsid w:val="2D043AB6"/>
    <w:rsid w:val="2D070A1A"/>
    <w:rsid w:val="2D0770F5"/>
    <w:rsid w:val="2D077F81"/>
    <w:rsid w:val="2D112F7E"/>
    <w:rsid w:val="2D1B5799"/>
    <w:rsid w:val="2D23435A"/>
    <w:rsid w:val="2D2422F5"/>
    <w:rsid w:val="2D2478F9"/>
    <w:rsid w:val="2D2836D2"/>
    <w:rsid w:val="2D29159E"/>
    <w:rsid w:val="2D2A14A3"/>
    <w:rsid w:val="2D2C3818"/>
    <w:rsid w:val="2D330825"/>
    <w:rsid w:val="2D332906"/>
    <w:rsid w:val="2D3642EE"/>
    <w:rsid w:val="2D4179CC"/>
    <w:rsid w:val="2D464245"/>
    <w:rsid w:val="2D4A4D2A"/>
    <w:rsid w:val="2D4E7C8C"/>
    <w:rsid w:val="2D50024A"/>
    <w:rsid w:val="2D552B29"/>
    <w:rsid w:val="2D601319"/>
    <w:rsid w:val="2D6334E2"/>
    <w:rsid w:val="2D6513BF"/>
    <w:rsid w:val="2D6C5C4E"/>
    <w:rsid w:val="2D6D701B"/>
    <w:rsid w:val="2D6D7CCB"/>
    <w:rsid w:val="2D6E7594"/>
    <w:rsid w:val="2D736249"/>
    <w:rsid w:val="2D736897"/>
    <w:rsid w:val="2D771BD6"/>
    <w:rsid w:val="2D7C1CBC"/>
    <w:rsid w:val="2D7F0073"/>
    <w:rsid w:val="2D7F0A19"/>
    <w:rsid w:val="2D8354A9"/>
    <w:rsid w:val="2D871974"/>
    <w:rsid w:val="2D8B17F7"/>
    <w:rsid w:val="2D8F2EC8"/>
    <w:rsid w:val="2D954B15"/>
    <w:rsid w:val="2D9729AD"/>
    <w:rsid w:val="2D98579B"/>
    <w:rsid w:val="2D9C02E9"/>
    <w:rsid w:val="2D9E000B"/>
    <w:rsid w:val="2DA0018B"/>
    <w:rsid w:val="2DA4086A"/>
    <w:rsid w:val="2DAA35F3"/>
    <w:rsid w:val="2DC00077"/>
    <w:rsid w:val="2DC47B75"/>
    <w:rsid w:val="2DCD78C7"/>
    <w:rsid w:val="2DCE674D"/>
    <w:rsid w:val="2DCF5CFD"/>
    <w:rsid w:val="2DD13DB6"/>
    <w:rsid w:val="2DD34127"/>
    <w:rsid w:val="2DD64B53"/>
    <w:rsid w:val="2DD76C09"/>
    <w:rsid w:val="2DD77049"/>
    <w:rsid w:val="2DE118D6"/>
    <w:rsid w:val="2DE55BFE"/>
    <w:rsid w:val="2DE749D0"/>
    <w:rsid w:val="2DEE32C4"/>
    <w:rsid w:val="2DF160E0"/>
    <w:rsid w:val="2DF24BA0"/>
    <w:rsid w:val="2DF33D2D"/>
    <w:rsid w:val="2DF60D4A"/>
    <w:rsid w:val="2DF74829"/>
    <w:rsid w:val="2DF811B8"/>
    <w:rsid w:val="2E0221C2"/>
    <w:rsid w:val="2E063581"/>
    <w:rsid w:val="2E07699B"/>
    <w:rsid w:val="2E09140F"/>
    <w:rsid w:val="2E0B788F"/>
    <w:rsid w:val="2E0D3348"/>
    <w:rsid w:val="2E0F6DDB"/>
    <w:rsid w:val="2E100418"/>
    <w:rsid w:val="2E12312C"/>
    <w:rsid w:val="2E150147"/>
    <w:rsid w:val="2E2A3CE5"/>
    <w:rsid w:val="2E2B30C4"/>
    <w:rsid w:val="2E2E56E6"/>
    <w:rsid w:val="2E2F6D2F"/>
    <w:rsid w:val="2E356943"/>
    <w:rsid w:val="2E3D4B5C"/>
    <w:rsid w:val="2E413CD7"/>
    <w:rsid w:val="2E4D0238"/>
    <w:rsid w:val="2E4D27DE"/>
    <w:rsid w:val="2E5004EA"/>
    <w:rsid w:val="2E504D66"/>
    <w:rsid w:val="2E620F20"/>
    <w:rsid w:val="2E623BE1"/>
    <w:rsid w:val="2E684B29"/>
    <w:rsid w:val="2E6D586C"/>
    <w:rsid w:val="2E6F5850"/>
    <w:rsid w:val="2E7637CA"/>
    <w:rsid w:val="2E792EEA"/>
    <w:rsid w:val="2E7A3BD9"/>
    <w:rsid w:val="2E7B5AD6"/>
    <w:rsid w:val="2E8A573C"/>
    <w:rsid w:val="2E8A76DC"/>
    <w:rsid w:val="2E8D4B50"/>
    <w:rsid w:val="2E8F2FC6"/>
    <w:rsid w:val="2E961681"/>
    <w:rsid w:val="2E976DAE"/>
    <w:rsid w:val="2E976EDC"/>
    <w:rsid w:val="2E9C4DDE"/>
    <w:rsid w:val="2EBE762F"/>
    <w:rsid w:val="2EC17D7C"/>
    <w:rsid w:val="2EC5279E"/>
    <w:rsid w:val="2EC643F0"/>
    <w:rsid w:val="2EC80004"/>
    <w:rsid w:val="2ED0512A"/>
    <w:rsid w:val="2EDA3568"/>
    <w:rsid w:val="2EDA6985"/>
    <w:rsid w:val="2EDB6DBC"/>
    <w:rsid w:val="2EE04780"/>
    <w:rsid w:val="2EE45B77"/>
    <w:rsid w:val="2EEC7263"/>
    <w:rsid w:val="2EF51FEB"/>
    <w:rsid w:val="2EFC3C85"/>
    <w:rsid w:val="2F013F9D"/>
    <w:rsid w:val="2F08123B"/>
    <w:rsid w:val="2F083808"/>
    <w:rsid w:val="2F087CAC"/>
    <w:rsid w:val="2F0D48CD"/>
    <w:rsid w:val="2F1672DE"/>
    <w:rsid w:val="2F1F6BF5"/>
    <w:rsid w:val="2F286E8F"/>
    <w:rsid w:val="2F294C45"/>
    <w:rsid w:val="2F2A0095"/>
    <w:rsid w:val="2F310135"/>
    <w:rsid w:val="2F3242E7"/>
    <w:rsid w:val="2F38003B"/>
    <w:rsid w:val="2F3A6C5E"/>
    <w:rsid w:val="2F3B0C54"/>
    <w:rsid w:val="2F3B4E86"/>
    <w:rsid w:val="2F3D73C9"/>
    <w:rsid w:val="2F44342B"/>
    <w:rsid w:val="2F481420"/>
    <w:rsid w:val="2F5420E7"/>
    <w:rsid w:val="2F590670"/>
    <w:rsid w:val="2F59749E"/>
    <w:rsid w:val="2F6346FF"/>
    <w:rsid w:val="2F651E4E"/>
    <w:rsid w:val="2F6D6BEF"/>
    <w:rsid w:val="2F710B77"/>
    <w:rsid w:val="2F7C6E6A"/>
    <w:rsid w:val="2F882B9B"/>
    <w:rsid w:val="2F8930C1"/>
    <w:rsid w:val="2F8B0E96"/>
    <w:rsid w:val="2F8D1F5F"/>
    <w:rsid w:val="2F8E4E49"/>
    <w:rsid w:val="2F90787C"/>
    <w:rsid w:val="2F942590"/>
    <w:rsid w:val="2F950F76"/>
    <w:rsid w:val="2FA57CD1"/>
    <w:rsid w:val="2FA92A30"/>
    <w:rsid w:val="2FA92EAB"/>
    <w:rsid w:val="2FAA30C6"/>
    <w:rsid w:val="2FAE0D43"/>
    <w:rsid w:val="2FB50062"/>
    <w:rsid w:val="2FB87D95"/>
    <w:rsid w:val="2FC73D6E"/>
    <w:rsid w:val="2FCA2075"/>
    <w:rsid w:val="2FD972AD"/>
    <w:rsid w:val="2FDC6A42"/>
    <w:rsid w:val="2FE01154"/>
    <w:rsid w:val="2FE04EFB"/>
    <w:rsid w:val="2FE52DA0"/>
    <w:rsid w:val="2FED2A41"/>
    <w:rsid w:val="2FED79EB"/>
    <w:rsid w:val="2FF169AF"/>
    <w:rsid w:val="2FF3611E"/>
    <w:rsid w:val="2FF77B8E"/>
    <w:rsid w:val="2FFD1107"/>
    <w:rsid w:val="2FFD1B52"/>
    <w:rsid w:val="2FFE4C0B"/>
    <w:rsid w:val="30007DA5"/>
    <w:rsid w:val="30103288"/>
    <w:rsid w:val="301306B6"/>
    <w:rsid w:val="301B1EF3"/>
    <w:rsid w:val="30275D16"/>
    <w:rsid w:val="302855A9"/>
    <w:rsid w:val="302877F0"/>
    <w:rsid w:val="302A47F7"/>
    <w:rsid w:val="302F493E"/>
    <w:rsid w:val="303B32CA"/>
    <w:rsid w:val="303D105A"/>
    <w:rsid w:val="303F2919"/>
    <w:rsid w:val="30465D37"/>
    <w:rsid w:val="30473907"/>
    <w:rsid w:val="30487D28"/>
    <w:rsid w:val="304E377B"/>
    <w:rsid w:val="305215E6"/>
    <w:rsid w:val="3053006C"/>
    <w:rsid w:val="30621303"/>
    <w:rsid w:val="30667A88"/>
    <w:rsid w:val="30677645"/>
    <w:rsid w:val="30697225"/>
    <w:rsid w:val="30697DB0"/>
    <w:rsid w:val="307027F0"/>
    <w:rsid w:val="307039CC"/>
    <w:rsid w:val="307A039E"/>
    <w:rsid w:val="30842714"/>
    <w:rsid w:val="30872219"/>
    <w:rsid w:val="30965933"/>
    <w:rsid w:val="3097695B"/>
    <w:rsid w:val="309D1FF7"/>
    <w:rsid w:val="309D5F8B"/>
    <w:rsid w:val="30A44754"/>
    <w:rsid w:val="30A92176"/>
    <w:rsid w:val="30AA7324"/>
    <w:rsid w:val="30AB5BDF"/>
    <w:rsid w:val="30AD3A67"/>
    <w:rsid w:val="30AD499B"/>
    <w:rsid w:val="30B82D56"/>
    <w:rsid w:val="30C379C0"/>
    <w:rsid w:val="30C56DCA"/>
    <w:rsid w:val="30CC5827"/>
    <w:rsid w:val="30D605AE"/>
    <w:rsid w:val="30E16097"/>
    <w:rsid w:val="30E36B98"/>
    <w:rsid w:val="30F163F2"/>
    <w:rsid w:val="30F3714A"/>
    <w:rsid w:val="30F44C1B"/>
    <w:rsid w:val="30F559A0"/>
    <w:rsid w:val="30FD07EF"/>
    <w:rsid w:val="310622A1"/>
    <w:rsid w:val="31097D0B"/>
    <w:rsid w:val="31172DC0"/>
    <w:rsid w:val="311B4D71"/>
    <w:rsid w:val="311C17EC"/>
    <w:rsid w:val="312F4132"/>
    <w:rsid w:val="3130258A"/>
    <w:rsid w:val="313034AA"/>
    <w:rsid w:val="3130554E"/>
    <w:rsid w:val="3130647A"/>
    <w:rsid w:val="31346121"/>
    <w:rsid w:val="313620D6"/>
    <w:rsid w:val="313E74D6"/>
    <w:rsid w:val="31405230"/>
    <w:rsid w:val="314B2F39"/>
    <w:rsid w:val="3161676A"/>
    <w:rsid w:val="31644F41"/>
    <w:rsid w:val="3165056F"/>
    <w:rsid w:val="31692558"/>
    <w:rsid w:val="316E1BA9"/>
    <w:rsid w:val="31752179"/>
    <w:rsid w:val="317C0EDE"/>
    <w:rsid w:val="317C724B"/>
    <w:rsid w:val="317D198B"/>
    <w:rsid w:val="31816A40"/>
    <w:rsid w:val="318178A1"/>
    <w:rsid w:val="31822B8C"/>
    <w:rsid w:val="31823CF4"/>
    <w:rsid w:val="3183403E"/>
    <w:rsid w:val="31845EEE"/>
    <w:rsid w:val="31922C8D"/>
    <w:rsid w:val="31974DE8"/>
    <w:rsid w:val="31992E3D"/>
    <w:rsid w:val="319B67AD"/>
    <w:rsid w:val="319D3D66"/>
    <w:rsid w:val="319F09CA"/>
    <w:rsid w:val="31AB7396"/>
    <w:rsid w:val="31B45EC9"/>
    <w:rsid w:val="31BE2A58"/>
    <w:rsid w:val="31CA45A8"/>
    <w:rsid w:val="31D11C69"/>
    <w:rsid w:val="31DC3FB0"/>
    <w:rsid w:val="31E167EA"/>
    <w:rsid w:val="31EB0625"/>
    <w:rsid w:val="31F237FB"/>
    <w:rsid w:val="31F40F98"/>
    <w:rsid w:val="31F47C1D"/>
    <w:rsid w:val="31F960C4"/>
    <w:rsid w:val="31F97D80"/>
    <w:rsid w:val="31FA277A"/>
    <w:rsid w:val="320B6605"/>
    <w:rsid w:val="320E4C55"/>
    <w:rsid w:val="321502FE"/>
    <w:rsid w:val="3215068A"/>
    <w:rsid w:val="32160A2B"/>
    <w:rsid w:val="32185EDE"/>
    <w:rsid w:val="321A63B7"/>
    <w:rsid w:val="321E10B9"/>
    <w:rsid w:val="322220B5"/>
    <w:rsid w:val="32255891"/>
    <w:rsid w:val="3227669B"/>
    <w:rsid w:val="322A400C"/>
    <w:rsid w:val="32383B13"/>
    <w:rsid w:val="32397B0D"/>
    <w:rsid w:val="324A639A"/>
    <w:rsid w:val="324D19AD"/>
    <w:rsid w:val="32565A52"/>
    <w:rsid w:val="32671142"/>
    <w:rsid w:val="326E20AB"/>
    <w:rsid w:val="327837DF"/>
    <w:rsid w:val="32791CC4"/>
    <w:rsid w:val="32812ED6"/>
    <w:rsid w:val="32850221"/>
    <w:rsid w:val="328E40FE"/>
    <w:rsid w:val="329C0D99"/>
    <w:rsid w:val="329E485B"/>
    <w:rsid w:val="329F3F55"/>
    <w:rsid w:val="32A647DA"/>
    <w:rsid w:val="32AC5F10"/>
    <w:rsid w:val="32B009DE"/>
    <w:rsid w:val="32B06690"/>
    <w:rsid w:val="32B80E85"/>
    <w:rsid w:val="32C71332"/>
    <w:rsid w:val="32C80C7B"/>
    <w:rsid w:val="32CB3EDA"/>
    <w:rsid w:val="32CF7659"/>
    <w:rsid w:val="32D075CC"/>
    <w:rsid w:val="32DD3B82"/>
    <w:rsid w:val="32E91B5D"/>
    <w:rsid w:val="32ED3B98"/>
    <w:rsid w:val="32EE43B9"/>
    <w:rsid w:val="32F8281B"/>
    <w:rsid w:val="32F9367A"/>
    <w:rsid w:val="32FF2EE8"/>
    <w:rsid w:val="33044978"/>
    <w:rsid w:val="33092F1F"/>
    <w:rsid w:val="33192395"/>
    <w:rsid w:val="331D08E7"/>
    <w:rsid w:val="332250C0"/>
    <w:rsid w:val="332B28ED"/>
    <w:rsid w:val="332B7C19"/>
    <w:rsid w:val="332E6EF4"/>
    <w:rsid w:val="332F21DB"/>
    <w:rsid w:val="3330332D"/>
    <w:rsid w:val="333504CC"/>
    <w:rsid w:val="3335572E"/>
    <w:rsid w:val="33391EF4"/>
    <w:rsid w:val="333C5CC2"/>
    <w:rsid w:val="3341447E"/>
    <w:rsid w:val="3348282F"/>
    <w:rsid w:val="334E421C"/>
    <w:rsid w:val="335658FB"/>
    <w:rsid w:val="335B78D3"/>
    <w:rsid w:val="335E64A8"/>
    <w:rsid w:val="335F3539"/>
    <w:rsid w:val="336101CF"/>
    <w:rsid w:val="3361514A"/>
    <w:rsid w:val="33647691"/>
    <w:rsid w:val="336B7771"/>
    <w:rsid w:val="336D5381"/>
    <w:rsid w:val="337338BF"/>
    <w:rsid w:val="33822C22"/>
    <w:rsid w:val="33883169"/>
    <w:rsid w:val="3390565C"/>
    <w:rsid w:val="3391496F"/>
    <w:rsid w:val="339370A9"/>
    <w:rsid w:val="33A16D7F"/>
    <w:rsid w:val="33A87C5E"/>
    <w:rsid w:val="33AB52CC"/>
    <w:rsid w:val="33AC2366"/>
    <w:rsid w:val="33B1555C"/>
    <w:rsid w:val="33B221AD"/>
    <w:rsid w:val="33B75AEE"/>
    <w:rsid w:val="33CF529C"/>
    <w:rsid w:val="33D10827"/>
    <w:rsid w:val="33D25F46"/>
    <w:rsid w:val="33D82A47"/>
    <w:rsid w:val="33E209AB"/>
    <w:rsid w:val="33E5078D"/>
    <w:rsid w:val="33E87D94"/>
    <w:rsid w:val="33E90420"/>
    <w:rsid w:val="33EC34B5"/>
    <w:rsid w:val="33EE66A6"/>
    <w:rsid w:val="33F702BA"/>
    <w:rsid w:val="34017CBD"/>
    <w:rsid w:val="34166608"/>
    <w:rsid w:val="341E1D09"/>
    <w:rsid w:val="34287CA9"/>
    <w:rsid w:val="342A5239"/>
    <w:rsid w:val="343105F8"/>
    <w:rsid w:val="34312280"/>
    <w:rsid w:val="34360E17"/>
    <w:rsid w:val="34363F6C"/>
    <w:rsid w:val="343F0918"/>
    <w:rsid w:val="3441733D"/>
    <w:rsid w:val="3443661F"/>
    <w:rsid w:val="3447358C"/>
    <w:rsid w:val="34503BC2"/>
    <w:rsid w:val="3455325A"/>
    <w:rsid w:val="34573BFE"/>
    <w:rsid w:val="345B4DE2"/>
    <w:rsid w:val="346135E4"/>
    <w:rsid w:val="34621BC6"/>
    <w:rsid w:val="346239BA"/>
    <w:rsid w:val="346E47A9"/>
    <w:rsid w:val="34706117"/>
    <w:rsid w:val="34727588"/>
    <w:rsid w:val="347425C8"/>
    <w:rsid w:val="347436ED"/>
    <w:rsid w:val="34756D66"/>
    <w:rsid w:val="34783A98"/>
    <w:rsid w:val="347A56DE"/>
    <w:rsid w:val="347B2CCE"/>
    <w:rsid w:val="347F2305"/>
    <w:rsid w:val="348A5967"/>
    <w:rsid w:val="348B6FC3"/>
    <w:rsid w:val="34944293"/>
    <w:rsid w:val="34945E6C"/>
    <w:rsid w:val="34967349"/>
    <w:rsid w:val="34992347"/>
    <w:rsid w:val="349951D3"/>
    <w:rsid w:val="349B7F45"/>
    <w:rsid w:val="349C3739"/>
    <w:rsid w:val="349E076A"/>
    <w:rsid w:val="349F6C9E"/>
    <w:rsid w:val="34A0570C"/>
    <w:rsid w:val="34A42225"/>
    <w:rsid w:val="34A570CB"/>
    <w:rsid w:val="34AF0742"/>
    <w:rsid w:val="34B443AA"/>
    <w:rsid w:val="34BB5B73"/>
    <w:rsid w:val="34BE76F7"/>
    <w:rsid w:val="34C064B9"/>
    <w:rsid w:val="34C557AB"/>
    <w:rsid w:val="34C747A1"/>
    <w:rsid w:val="34CC3D7C"/>
    <w:rsid w:val="34CD333A"/>
    <w:rsid w:val="34D449B3"/>
    <w:rsid w:val="34D86002"/>
    <w:rsid w:val="34E52C53"/>
    <w:rsid w:val="34E7122E"/>
    <w:rsid w:val="34EA406D"/>
    <w:rsid w:val="34EE2100"/>
    <w:rsid w:val="34F13E83"/>
    <w:rsid w:val="34F21601"/>
    <w:rsid w:val="34F24E7E"/>
    <w:rsid w:val="34F6201E"/>
    <w:rsid w:val="35044A71"/>
    <w:rsid w:val="35072B79"/>
    <w:rsid w:val="35164976"/>
    <w:rsid w:val="35172201"/>
    <w:rsid w:val="351A1E0C"/>
    <w:rsid w:val="351C3180"/>
    <w:rsid w:val="351E4A64"/>
    <w:rsid w:val="35211249"/>
    <w:rsid w:val="35266F44"/>
    <w:rsid w:val="352C416A"/>
    <w:rsid w:val="35345988"/>
    <w:rsid w:val="353719BF"/>
    <w:rsid w:val="353F5204"/>
    <w:rsid w:val="35412085"/>
    <w:rsid w:val="35430AD9"/>
    <w:rsid w:val="354332C6"/>
    <w:rsid w:val="35515CD9"/>
    <w:rsid w:val="355574F6"/>
    <w:rsid w:val="35577ADE"/>
    <w:rsid w:val="355A67B6"/>
    <w:rsid w:val="355F3EB4"/>
    <w:rsid w:val="35763561"/>
    <w:rsid w:val="35785E21"/>
    <w:rsid w:val="357E0820"/>
    <w:rsid w:val="35844F49"/>
    <w:rsid w:val="35887C8C"/>
    <w:rsid w:val="358B6440"/>
    <w:rsid w:val="358D4A67"/>
    <w:rsid w:val="358D5606"/>
    <w:rsid w:val="358E7772"/>
    <w:rsid w:val="359466A8"/>
    <w:rsid w:val="35954F6A"/>
    <w:rsid w:val="35957DBF"/>
    <w:rsid w:val="359E056B"/>
    <w:rsid w:val="359E6C74"/>
    <w:rsid w:val="359F6A81"/>
    <w:rsid w:val="35B42EDB"/>
    <w:rsid w:val="35BC34CC"/>
    <w:rsid w:val="35C1015C"/>
    <w:rsid w:val="35C506A4"/>
    <w:rsid w:val="35C61A03"/>
    <w:rsid w:val="35D408E8"/>
    <w:rsid w:val="35D56CB4"/>
    <w:rsid w:val="35D655F5"/>
    <w:rsid w:val="35DD4499"/>
    <w:rsid w:val="35E61D23"/>
    <w:rsid w:val="35EA3A88"/>
    <w:rsid w:val="35EE423C"/>
    <w:rsid w:val="35F01E35"/>
    <w:rsid w:val="35F47DCC"/>
    <w:rsid w:val="35F745D6"/>
    <w:rsid w:val="35F9731F"/>
    <w:rsid w:val="3601296C"/>
    <w:rsid w:val="36087EA5"/>
    <w:rsid w:val="360C09B0"/>
    <w:rsid w:val="360F590B"/>
    <w:rsid w:val="36104126"/>
    <w:rsid w:val="36153DEA"/>
    <w:rsid w:val="361753B0"/>
    <w:rsid w:val="36175E86"/>
    <w:rsid w:val="361C6A78"/>
    <w:rsid w:val="361E5532"/>
    <w:rsid w:val="36242C4C"/>
    <w:rsid w:val="36252C37"/>
    <w:rsid w:val="36293EA3"/>
    <w:rsid w:val="362949F9"/>
    <w:rsid w:val="362F123C"/>
    <w:rsid w:val="362F228B"/>
    <w:rsid w:val="36341386"/>
    <w:rsid w:val="363D1C90"/>
    <w:rsid w:val="36410959"/>
    <w:rsid w:val="364273AB"/>
    <w:rsid w:val="3644330D"/>
    <w:rsid w:val="36480096"/>
    <w:rsid w:val="364C3485"/>
    <w:rsid w:val="364E1A8D"/>
    <w:rsid w:val="36515F02"/>
    <w:rsid w:val="3652559C"/>
    <w:rsid w:val="3653022A"/>
    <w:rsid w:val="365A167E"/>
    <w:rsid w:val="365D0C8B"/>
    <w:rsid w:val="365F77CF"/>
    <w:rsid w:val="36666DDD"/>
    <w:rsid w:val="366B5E8C"/>
    <w:rsid w:val="367974B5"/>
    <w:rsid w:val="36870069"/>
    <w:rsid w:val="36873CC3"/>
    <w:rsid w:val="36892FFB"/>
    <w:rsid w:val="36906807"/>
    <w:rsid w:val="369D5193"/>
    <w:rsid w:val="369D6AA4"/>
    <w:rsid w:val="36A42362"/>
    <w:rsid w:val="36A6615F"/>
    <w:rsid w:val="36A86AA6"/>
    <w:rsid w:val="36AA33F6"/>
    <w:rsid w:val="36B3650C"/>
    <w:rsid w:val="36B666DD"/>
    <w:rsid w:val="36C002C8"/>
    <w:rsid w:val="36C34392"/>
    <w:rsid w:val="36C94C38"/>
    <w:rsid w:val="36CA623D"/>
    <w:rsid w:val="36D02926"/>
    <w:rsid w:val="36D169DF"/>
    <w:rsid w:val="36D918CE"/>
    <w:rsid w:val="36DE6396"/>
    <w:rsid w:val="36E22979"/>
    <w:rsid w:val="36F35D72"/>
    <w:rsid w:val="36FF3F4A"/>
    <w:rsid w:val="37014037"/>
    <w:rsid w:val="37053951"/>
    <w:rsid w:val="370926C4"/>
    <w:rsid w:val="37092813"/>
    <w:rsid w:val="370A5B3C"/>
    <w:rsid w:val="37113E90"/>
    <w:rsid w:val="37146EE0"/>
    <w:rsid w:val="371F2036"/>
    <w:rsid w:val="37266CF4"/>
    <w:rsid w:val="3727708F"/>
    <w:rsid w:val="372B2E07"/>
    <w:rsid w:val="3734309E"/>
    <w:rsid w:val="373D17EF"/>
    <w:rsid w:val="373F32DB"/>
    <w:rsid w:val="373F5573"/>
    <w:rsid w:val="373F7EC3"/>
    <w:rsid w:val="37464A78"/>
    <w:rsid w:val="374D28F1"/>
    <w:rsid w:val="37500E75"/>
    <w:rsid w:val="37524DB7"/>
    <w:rsid w:val="375326D6"/>
    <w:rsid w:val="3755030A"/>
    <w:rsid w:val="37551A4A"/>
    <w:rsid w:val="37565F83"/>
    <w:rsid w:val="375A6AAF"/>
    <w:rsid w:val="3764597C"/>
    <w:rsid w:val="37647E82"/>
    <w:rsid w:val="3765089F"/>
    <w:rsid w:val="376511E5"/>
    <w:rsid w:val="37661C1C"/>
    <w:rsid w:val="376A33F2"/>
    <w:rsid w:val="376A786A"/>
    <w:rsid w:val="37711C99"/>
    <w:rsid w:val="378325C5"/>
    <w:rsid w:val="378D3D30"/>
    <w:rsid w:val="378E02F2"/>
    <w:rsid w:val="378E2C57"/>
    <w:rsid w:val="3792586C"/>
    <w:rsid w:val="37936580"/>
    <w:rsid w:val="37A305D8"/>
    <w:rsid w:val="37A97E73"/>
    <w:rsid w:val="37AA15AE"/>
    <w:rsid w:val="37B9513C"/>
    <w:rsid w:val="37B971E1"/>
    <w:rsid w:val="37BF1123"/>
    <w:rsid w:val="37BF3E37"/>
    <w:rsid w:val="37C03FBA"/>
    <w:rsid w:val="37C47E91"/>
    <w:rsid w:val="37CD1A92"/>
    <w:rsid w:val="37CD6F8F"/>
    <w:rsid w:val="37D82AEA"/>
    <w:rsid w:val="37DB33F9"/>
    <w:rsid w:val="37DD71BC"/>
    <w:rsid w:val="37E50A8E"/>
    <w:rsid w:val="37FD17A7"/>
    <w:rsid w:val="37FE1C4C"/>
    <w:rsid w:val="38013108"/>
    <w:rsid w:val="38024869"/>
    <w:rsid w:val="38030A26"/>
    <w:rsid w:val="38066202"/>
    <w:rsid w:val="380B2608"/>
    <w:rsid w:val="380F3B79"/>
    <w:rsid w:val="381C00C8"/>
    <w:rsid w:val="3821525B"/>
    <w:rsid w:val="382A46B7"/>
    <w:rsid w:val="382E6895"/>
    <w:rsid w:val="382F0057"/>
    <w:rsid w:val="383A06DD"/>
    <w:rsid w:val="383A69FC"/>
    <w:rsid w:val="3842765B"/>
    <w:rsid w:val="384C3CA2"/>
    <w:rsid w:val="384D6FBD"/>
    <w:rsid w:val="385B7AD9"/>
    <w:rsid w:val="38666CA2"/>
    <w:rsid w:val="386926C1"/>
    <w:rsid w:val="386D5023"/>
    <w:rsid w:val="386E0533"/>
    <w:rsid w:val="386E19E9"/>
    <w:rsid w:val="387409D0"/>
    <w:rsid w:val="387463B2"/>
    <w:rsid w:val="38802F48"/>
    <w:rsid w:val="388257A6"/>
    <w:rsid w:val="388667B9"/>
    <w:rsid w:val="388A4429"/>
    <w:rsid w:val="389362FC"/>
    <w:rsid w:val="38951917"/>
    <w:rsid w:val="38961B7F"/>
    <w:rsid w:val="389A0FDE"/>
    <w:rsid w:val="38A038B5"/>
    <w:rsid w:val="38A5485A"/>
    <w:rsid w:val="38AB467F"/>
    <w:rsid w:val="38AC0F24"/>
    <w:rsid w:val="38B02007"/>
    <w:rsid w:val="38B130DD"/>
    <w:rsid w:val="38B25766"/>
    <w:rsid w:val="38B2661C"/>
    <w:rsid w:val="38B34D79"/>
    <w:rsid w:val="38BE4B80"/>
    <w:rsid w:val="38C062FF"/>
    <w:rsid w:val="38C43651"/>
    <w:rsid w:val="38CE0D3B"/>
    <w:rsid w:val="38D062BC"/>
    <w:rsid w:val="38D16BAC"/>
    <w:rsid w:val="38D26C34"/>
    <w:rsid w:val="38D50077"/>
    <w:rsid w:val="38D5618A"/>
    <w:rsid w:val="38E2656A"/>
    <w:rsid w:val="38E40709"/>
    <w:rsid w:val="38E770F9"/>
    <w:rsid w:val="38EC5F48"/>
    <w:rsid w:val="38F44DFD"/>
    <w:rsid w:val="38F84258"/>
    <w:rsid w:val="38FB5039"/>
    <w:rsid w:val="38FD4910"/>
    <w:rsid w:val="391022A3"/>
    <w:rsid w:val="391B7555"/>
    <w:rsid w:val="39210241"/>
    <w:rsid w:val="392431DD"/>
    <w:rsid w:val="39250638"/>
    <w:rsid w:val="3927669B"/>
    <w:rsid w:val="39282C3F"/>
    <w:rsid w:val="39287583"/>
    <w:rsid w:val="393361B1"/>
    <w:rsid w:val="393516FD"/>
    <w:rsid w:val="3936203F"/>
    <w:rsid w:val="39377FE0"/>
    <w:rsid w:val="393C32BF"/>
    <w:rsid w:val="39452567"/>
    <w:rsid w:val="39465B31"/>
    <w:rsid w:val="394D4967"/>
    <w:rsid w:val="394E09B1"/>
    <w:rsid w:val="394F734A"/>
    <w:rsid w:val="395213BF"/>
    <w:rsid w:val="39587FFC"/>
    <w:rsid w:val="39595074"/>
    <w:rsid w:val="395F49D2"/>
    <w:rsid w:val="39633132"/>
    <w:rsid w:val="396A081F"/>
    <w:rsid w:val="396D319B"/>
    <w:rsid w:val="396E010A"/>
    <w:rsid w:val="396F4EF8"/>
    <w:rsid w:val="396F5908"/>
    <w:rsid w:val="397734A4"/>
    <w:rsid w:val="39776D6F"/>
    <w:rsid w:val="397C376D"/>
    <w:rsid w:val="397F0330"/>
    <w:rsid w:val="39825504"/>
    <w:rsid w:val="39826A0B"/>
    <w:rsid w:val="398430E0"/>
    <w:rsid w:val="398B7AF0"/>
    <w:rsid w:val="3991350E"/>
    <w:rsid w:val="3995213C"/>
    <w:rsid w:val="399C41DE"/>
    <w:rsid w:val="39A22AAB"/>
    <w:rsid w:val="39A6259B"/>
    <w:rsid w:val="39A903AD"/>
    <w:rsid w:val="39AD0ADB"/>
    <w:rsid w:val="39B1604E"/>
    <w:rsid w:val="39B24FF9"/>
    <w:rsid w:val="39B76556"/>
    <w:rsid w:val="39BA7DF9"/>
    <w:rsid w:val="39C33146"/>
    <w:rsid w:val="39C55D33"/>
    <w:rsid w:val="39D00379"/>
    <w:rsid w:val="39D2128E"/>
    <w:rsid w:val="39D50425"/>
    <w:rsid w:val="39DF3995"/>
    <w:rsid w:val="39DF4D2E"/>
    <w:rsid w:val="39E075F0"/>
    <w:rsid w:val="39E300DD"/>
    <w:rsid w:val="39E6768A"/>
    <w:rsid w:val="39EB0270"/>
    <w:rsid w:val="39EE5BDD"/>
    <w:rsid w:val="39EF0F3B"/>
    <w:rsid w:val="39F058F3"/>
    <w:rsid w:val="39F552D0"/>
    <w:rsid w:val="39F678D2"/>
    <w:rsid w:val="39F70CA1"/>
    <w:rsid w:val="39F819FD"/>
    <w:rsid w:val="39F87D81"/>
    <w:rsid w:val="39FA1AAE"/>
    <w:rsid w:val="39FF1736"/>
    <w:rsid w:val="3A00630C"/>
    <w:rsid w:val="3A03755E"/>
    <w:rsid w:val="3A045513"/>
    <w:rsid w:val="3A121324"/>
    <w:rsid w:val="3A1B481E"/>
    <w:rsid w:val="3A210253"/>
    <w:rsid w:val="3A2160C5"/>
    <w:rsid w:val="3A221E95"/>
    <w:rsid w:val="3A23446A"/>
    <w:rsid w:val="3A236A5F"/>
    <w:rsid w:val="3A2C47DA"/>
    <w:rsid w:val="3A2E3312"/>
    <w:rsid w:val="3A300035"/>
    <w:rsid w:val="3A320ACC"/>
    <w:rsid w:val="3A38523C"/>
    <w:rsid w:val="3A3A5144"/>
    <w:rsid w:val="3A424542"/>
    <w:rsid w:val="3A4756F1"/>
    <w:rsid w:val="3A4D2A17"/>
    <w:rsid w:val="3A5A02B0"/>
    <w:rsid w:val="3A5F7566"/>
    <w:rsid w:val="3A670E99"/>
    <w:rsid w:val="3A68016E"/>
    <w:rsid w:val="3A680DAE"/>
    <w:rsid w:val="3A692ADF"/>
    <w:rsid w:val="3A747612"/>
    <w:rsid w:val="3A770799"/>
    <w:rsid w:val="3A7A0930"/>
    <w:rsid w:val="3A7D2AE3"/>
    <w:rsid w:val="3A7E0E22"/>
    <w:rsid w:val="3A7F2D6F"/>
    <w:rsid w:val="3A847D25"/>
    <w:rsid w:val="3A89323E"/>
    <w:rsid w:val="3A8C5F1E"/>
    <w:rsid w:val="3A8E4475"/>
    <w:rsid w:val="3A901318"/>
    <w:rsid w:val="3A9110AE"/>
    <w:rsid w:val="3A917DFB"/>
    <w:rsid w:val="3A9B5364"/>
    <w:rsid w:val="3AA804FD"/>
    <w:rsid w:val="3AAC3225"/>
    <w:rsid w:val="3AB64D17"/>
    <w:rsid w:val="3AB900AC"/>
    <w:rsid w:val="3AC0201A"/>
    <w:rsid w:val="3AC60033"/>
    <w:rsid w:val="3AC66FCA"/>
    <w:rsid w:val="3AD05784"/>
    <w:rsid w:val="3AD13F15"/>
    <w:rsid w:val="3AD90C2E"/>
    <w:rsid w:val="3ADE4835"/>
    <w:rsid w:val="3AE376FB"/>
    <w:rsid w:val="3AE55B98"/>
    <w:rsid w:val="3AEF18B4"/>
    <w:rsid w:val="3AF1786F"/>
    <w:rsid w:val="3AF25942"/>
    <w:rsid w:val="3AFF538E"/>
    <w:rsid w:val="3B005CDB"/>
    <w:rsid w:val="3B0676A6"/>
    <w:rsid w:val="3B0A12C3"/>
    <w:rsid w:val="3B0A425E"/>
    <w:rsid w:val="3B0E03F8"/>
    <w:rsid w:val="3B19064C"/>
    <w:rsid w:val="3B193A25"/>
    <w:rsid w:val="3B1D433F"/>
    <w:rsid w:val="3B215530"/>
    <w:rsid w:val="3B220ACF"/>
    <w:rsid w:val="3B25644B"/>
    <w:rsid w:val="3B280060"/>
    <w:rsid w:val="3B285FB9"/>
    <w:rsid w:val="3B292283"/>
    <w:rsid w:val="3B2A2D74"/>
    <w:rsid w:val="3B30731A"/>
    <w:rsid w:val="3B31168B"/>
    <w:rsid w:val="3B351CE2"/>
    <w:rsid w:val="3B3734A3"/>
    <w:rsid w:val="3B3B0249"/>
    <w:rsid w:val="3B4047B4"/>
    <w:rsid w:val="3B43339B"/>
    <w:rsid w:val="3B4A33FA"/>
    <w:rsid w:val="3B4A4662"/>
    <w:rsid w:val="3B534399"/>
    <w:rsid w:val="3B5424B5"/>
    <w:rsid w:val="3B562689"/>
    <w:rsid w:val="3B567FF1"/>
    <w:rsid w:val="3B5D412E"/>
    <w:rsid w:val="3B640DBE"/>
    <w:rsid w:val="3B6F5313"/>
    <w:rsid w:val="3B73452E"/>
    <w:rsid w:val="3B78793E"/>
    <w:rsid w:val="3B794982"/>
    <w:rsid w:val="3B7A2F25"/>
    <w:rsid w:val="3B7A67E7"/>
    <w:rsid w:val="3B8D1F7E"/>
    <w:rsid w:val="3B9814B7"/>
    <w:rsid w:val="3B9C619D"/>
    <w:rsid w:val="3B9D4C55"/>
    <w:rsid w:val="3BAB0584"/>
    <w:rsid w:val="3BB16FD5"/>
    <w:rsid w:val="3BB42B2B"/>
    <w:rsid w:val="3BBB29B9"/>
    <w:rsid w:val="3BBC7DBA"/>
    <w:rsid w:val="3BC97FF5"/>
    <w:rsid w:val="3BCD02B3"/>
    <w:rsid w:val="3BD4448F"/>
    <w:rsid w:val="3BD87404"/>
    <w:rsid w:val="3BD973B8"/>
    <w:rsid w:val="3BDD48F9"/>
    <w:rsid w:val="3BDF528A"/>
    <w:rsid w:val="3BE3161A"/>
    <w:rsid w:val="3BE703E9"/>
    <w:rsid w:val="3BEB7980"/>
    <w:rsid w:val="3BED54F7"/>
    <w:rsid w:val="3BF46037"/>
    <w:rsid w:val="3BFC6E7C"/>
    <w:rsid w:val="3BFD2420"/>
    <w:rsid w:val="3BFD584F"/>
    <w:rsid w:val="3BFF0776"/>
    <w:rsid w:val="3BFF6834"/>
    <w:rsid w:val="3C042928"/>
    <w:rsid w:val="3C057C49"/>
    <w:rsid w:val="3C0D6901"/>
    <w:rsid w:val="3C100CE3"/>
    <w:rsid w:val="3C123FB4"/>
    <w:rsid w:val="3C1629F6"/>
    <w:rsid w:val="3C1732DC"/>
    <w:rsid w:val="3C1B4977"/>
    <w:rsid w:val="3C1B5560"/>
    <w:rsid w:val="3C1F085F"/>
    <w:rsid w:val="3C2078B9"/>
    <w:rsid w:val="3C2613B9"/>
    <w:rsid w:val="3C2E703F"/>
    <w:rsid w:val="3C3912DA"/>
    <w:rsid w:val="3C3944C4"/>
    <w:rsid w:val="3C3B33C8"/>
    <w:rsid w:val="3C4073E3"/>
    <w:rsid w:val="3C43245D"/>
    <w:rsid w:val="3C434198"/>
    <w:rsid w:val="3C466F98"/>
    <w:rsid w:val="3C496509"/>
    <w:rsid w:val="3C4F039D"/>
    <w:rsid w:val="3C550A7D"/>
    <w:rsid w:val="3C5A1CFC"/>
    <w:rsid w:val="3C603F10"/>
    <w:rsid w:val="3C610757"/>
    <w:rsid w:val="3C696345"/>
    <w:rsid w:val="3C6A7CD7"/>
    <w:rsid w:val="3C6E10E8"/>
    <w:rsid w:val="3C6E499C"/>
    <w:rsid w:val="3C6F72B6"/>
    <w:rsid w:val="3C7127CF"/>
    <w:rsid w:val="3C7529C0"/>
    <w:rsid w:val="3C760652"/>
    <w:rsid w:val="3C7A1A68"/>
    <w:rsid w:val="3C840EE4"/>
    <w:rsid w:val="3C8C40D0"/>
    <w:rsid w:val="3C8D37E1"/>
    <w:rsid w:val="3C8F72B2"/>
    <w:rsid w:val="3C9145AA"/>
    <w:rsid w:val="3C9708C1"/>
    <w:rsid w:val="3C992016"/>
    <w:rsid w:val="3C9A569B"/>
    <w:rsid w:val="3C9B1B95"/>
    <w:rsid w:val="3C9E6C12"/>
    <w:rsid w:val="3C9F1D18"/>
    <w:rsid w:val="3CA725E5"/>
    <w:rsid w:val="3CA91DA7"/>
    <w:rsid w:val="3CAB1D45"/>
    <w:rsid w:val="3CB16EB3"/>
    <w:rsid w:val="3CB773B7"/>
    <w:rsid w:val="3CBE0C16"/>
    <w:rsid w:val="3CBE56B3"/>
    <w:rsid w:val="3CC1149A"/>
    <w:rsid w:val="3CCA2A44"/>
    <w:rsid w:val="3CD243EF"/>
    <w:rsid w:val="3CD72D15"/>
    <w:rsid w:val="3CD930DB"/>
    <w:rsid w:val="3CEC2CEF"/>
    <w:rsid w:val="3CEC3BE9"/>
    <w:rsid w:val="3CF22945"/>
    <w:rsid w:val="3CFC3787"/>
    <w:rsid w:val="3D0B3822"/>
    <w:rsid w:val="3D0D60BF"/>
    <w:rsid w:val="3D0F521E"/>
    <w:rsid w:val="3D103C1D"/>
    <w:rsid w:val="3D13000F"/>
    <w:rsid w:val="3D160348"/>
    <w:rsid w:val="3D1D196D"/>
    <w:rsid w:val="3D1D2832"/>
    <w:rsid w:val="3D1D3A0F"/>
    <w:rsid w:val="3D1E3937"/>
    <w:rsid w:val="3D206958"/>
    <w:rsid w:val="3D294D95"/>
    <w:rsid w:val="3D2B676F"/>
    <w:rsid w:val="3D2E4D81"/>
    <w:rsid w:val="3D33738A"/>
    <w:rsid w:val="3D3C271F"/>
    <w:rsid w:val="3D3D4D35"/>
    <w:rsid w:val="3D4062DB"/>
    <w:rsid w:val="3D415305"/>
    <w:rsid w:val="3D4F4CF8"/>
    <w:rsid w:val="3D586A74"/>
    <w:rsid w:val="3D5E57B5"/>
    <w:rsid w:val="3D5F758C"/>
    <w:rsid w:val="3D6320C7"/>
    <w:rsid w:val="3D653A52"/>
    <w:rsid w:val="3D7C687D"/>
    <w:rsid w:val="3D8215CC"/>
    <w:rsid w:val="3D84413D"/>
    <w:rsid w:val="3D8E0023"/>
    <w:rsid w:val="3D9E6736"/>
    <w:rsid w:val="3D9E7490"/>
    <w:rsid w:val="3DA768E2"/>
    <w:rsid w:val="3DB541C0"/>
    <w:rsid w:val="3DB60026"/>
    <w:rsid w:val="3DB61592"/>
    <w:rsid w:val="3DB9030A"/>
    <w:rsid w:val="3DB94C1D"/>
    <w:rsid w:val="3DBB2054"/>
    <w:rsid w:val="3DC3107C"/>
    <w:rsid w:val="3DC35BBB"/>
    <w:rsid w:val="3DC37DBB"/>
    <w:rsid w:val="3DC53F2C"/>
    <w:rsid w:val="3DC940CB"/>
    <w:rsid w:val="3DCA4E5A"/>
    <w:rsid w:val="3DD002A3"/>
    <w:rsid w:val="3DD07587"/>
    <w:rsid w:val="3DD07BE6"/>
    <w:rsid w:val="3DD2086E"/>
    <w:rsid w:val="3DD879A2"/>
    <w:rsid w:val="3DDD0522"/>
    <w:rsid w:val="3DE2207B"/>
    <w:rsid w:val="3DEA6E81"/>
    <w:rsid w:val="3DF31CA4"/>
    <w:rsid w:val="3DF47E41"/>
    <w:rsid w:val="3DF75981"/>
    <w:rsid w:val="3DFE2ACA"/>
    <w:rsid w:val="3DFE7A67"/>
    <w:rsid w:val="3DFF2E3A"/>
    <w:rsid w:val="3E057486"/>
    <w:rsid w:val="3E0645B8"/>
    <w:rsid w:val="3E0D28B8"/>
    <w:rsid w:val="3E11027B"/>
    <w:rsid w:val="3E117624"/>
    <w:rsid w:val="3E135119"/>
    <w:rsid w:val="3E1668AD"/>
    <w:rsid w:val="3E192FB0"/>
    <w:rsid w:val="3E1D0ED7"/>
    <w:rsid w:val="3E1F0B6E"/>
    <w:rsid w:val="3E207D67"/>
    <w:rsid w:val="3E2320B2"/>
    <w:rsid w:val="3E2A4B55"/>
    <w:rsid w:val="3E3B315E"/>
    <w:rsid w:val="3E3D5672"/>
    <w:rsid w:val="3E3D60A2"/>
    <w:rsid w:val="3E46181B"/>
    <w:rsid w:val="3E484FA9"/>
    <w:rsid w:val="3E5E50CC"/>
    <w:rsid w:val="3E614702"/>
    <w:rsid w:val="3E6350CF"/>
    <w:rsid w:val="3E64332B"/>
    <w:rsid w:val="3E6760C8"/>
    <w:rsid w:val="3E6E4385"/>
    <w:rsid w:val="3E7431E9"/>
    <w:rsid w:val="3E744FD2"/>
    <w:rsid w:val="3E78332B"/>
    <w:rsid w:val="3E7C38CA"/>
    <w:rsid w:val="3E7E2BAF"/>
    <w:rsid w:val="3E86735F"/>
    <w:rsid w:val="3E867DCA"/>
    <w:rsid w:val="3E88240C"/>
    <w:rsid w:val="3E89463E"/>
    <w:rsid w:val="3E895E2B"/>
    <w:rsid w:val="3E90687A"/>
    <w:rsid w:val="3E913ED2"/>
    <w:rsid w:val="3E9A5EEC"/>
    <w:rsid w:val="3E9F3A2D"/>
    <w:rsid w:val="3EA11583"/>
    <w:rsid w:val="3EA43665"/>
    <w:rsid w:val="3EA637B9"/>
    <w:rsid w:val="3EAD6834"/>
    <w:rsid w:val="3EB13564"/>
    <w:rsid w:val="3EB23E65"/>
    <w:rsid w:val="3EB562C8"/>
    <w:rsid w:val="3EB93255"/>
    <w:rsid w:val="3EBA0C12"/>
    <w:rsid w:val="3EBA44DD"/>
    <w:rsid w:val="3EBD6A90"/>
    <w:rsid w:val="3EC62D97"/>
    <w:rsid w:val="3EC6476E"/>
    <w:rsid w:val="3EC95630"/>
    <w:rsid w:val="3ECE0E43"/>
    <w:rsid w:val="3ECE4A4C"/>
    <w:rsid w:val="3ECF7890"/>
    <w:rsid w:val="3ECF7F21"/>
    <w:rsid w:val="3ED90ADE"/>
    <w:rsid w:val="3EE6168C"/>
    <w:rsid w:val="3EE844C9"/>
    <w:rsid w:val="3EEB0C33"/>
    <w:rsid w:val="3EEC4A1C"/>
    <w:rsid w:val="3EF22043"/>
    <w:rsid w:val="3EF43670"/>
    <w:rsid w:val="3EF47905"/>
    <w:rsid w:val="3EFB0146"/>
    <w:rsid w:val="3EFF3AA3"/>
    <w:rsid w:val="3F022457"/>
    <w:rsid w:val="3F035D9A"/>
    <w:rsid w:val="3F102382"/>
    <w:rsid w:val="3F106C22"/>
    <w:rsid w:val="3F111FEA"/>
    <w:rsid w:val="3F131916"/>
    <w:rsid w:val="3F14262E"/>
    <w:rsid w:val="3F166747"/>
    <w:rsid w:val="3F1858E5"/>
    <w:rsid w:val="3F220865"/>
    <w:rsid w:val="3F2266FA"/>
    <w:rsid w:val="3F2301EA"/>
    <w:rsid w:val="3F275298"/>
    <w:rsid w:val="3F2B2BFA"/>
    <w:rsid w:val="3F3009D6"/>
    <w:rsid w:val="3F313F9D"/>
    <w:rsid w:val="3F387B1D"/>
    <w:rsid w:val="3F3D16B2"/>
    <w:rsid w:val="3F451A0C"/>
    <w:rsid w:val="3F466C65"/>
    <w:rsid w:val="3F4861B3"/>
    <w:rsid w:val="3F5468F1"/>
    <w:rsid w:val="3F56236D"/>
    <w:rsid w:val="3F601D02"/>
    <w:rsid w:val="3F6649AC"/>
    <w:rsid w:val="3F6A5944"/>
    <w:rsid w:val="3F6C2EC4"/>
    <w:rsid w:val="3F727117"/>
    <w:rsid w:val="3F7C052D"/>
    <w:rsid w:val="3F813106"/>
    <w:rsid w:val="3F824144"/>
    <w:rsid w:val="3F886248"/>
    <w:rsid w:val="3F8D03AC"/>
    <w:rsid w:val="3F8D4D8A"/>
    <w:rsid w:val="3F8E28FC"/>
    <w:rsid w:val="3F8E7C5C"/>
    <w:rsid w:val="3F90688E"/>
    <w:rsid w:val="3F9357FF"/>
    <w:rsid w:val="3F9B4E5A"/>
    <w:rsid w:val="3F9B5174"/>
    <w:rsid w:val="3F9E00C6"/>
    <w:rsid w:val="3F9E2C84"/>
    <w:rsid w:val="3FA3278D"/>
    <w:rsid w:val="3FAF0BD1"/>
    <w:rsid w:val="3FB01E2B"/>
    <w:rsid w:val="3FB0272E"/>
    <w:rsid w:val="3FB65876"/>
    <w:rsid w:val="3FBF7FF0"/>
    <w:rsid w:val="3FC43071"/>
    <w:rsid w:val="3FC5683B"/>
    <w:rsid w:val="3FCD5832"/>
    <w:rsid w:val="3FD17545"/>
    <w:rsid w:val="3FD32A54"/>
    <w:rsid w:val="3FD467B1"/>
    <w:rsid w:val="3FDD5930"/>
    <w:rsid w:val="3FE21557"/>
    <w:rsid w:val="3FEB51AC"/>
    <w:rsid w:val="3FEE6221"/>
    <w:rsid w:val="3FF62489"/>
    <w:rsid w:val="3FFA2657"/>
    <w:rsid w:val="3FFB70C1"/>
    <w:rsid w:val="40051078"/>
    <w:rsid w:val="40061013"/>
    <w:rsid w:val="40061FE5"/>
    <w:rsid w:val="4012771F"/>
    <w:rsid w:val="40157535"/>
    <w:rsid w:val="40185875"/>
    <w:rsid w:val="401B23F1"/>
    <w:rsid w:val="401B7F59"/>
    <w:rsid w:val="402959EE"/>
    <w:rsid w:val="402C7E9E"/>
    <w:rsid w:val="40324F52"/>
    <w:rsid w:val="404A2671"/>
    <w:rsid w:val="404B7D88"/>
    <w:rsid w:val="404E397B"/>
    <w:rsid w:val="40501179"/>
    <w:rsid w:val="405169FF"/>
    <w:rsid w:val="40536C06"/>
    <w:rsid w:val="40544CE2"/>
    <w:rsid w:val="40551F62"/>
    <w:rsid w:val="40556AC9"/>
    <w:rsid w:val="405C1C05"/>
    <w:rsid w:val="405D33A6"/>
    <w:rsid w:val="4060028A"/>
    <w:rsid w:val="40624441"/>
    <w:rsid w:val="40645038"/>
    <w:rsid w:val="406500F9"/>
    <w:rsid w:val="4068232A"/>
    <w:rsid w:val="40691494"/>
    <w:rsid w:val="407231D7"/>
    <w:rsid w:val="40752CC7"/>
    <w:rsid w:val="40781753"/>
    <w:rsid w:val="40790D7F"/>
    <w:rsid w:val="40881501"/>
    <w:rsid w:val="40881812"/>
    <w:rsid w:val="408A2D9D"/>
    <w:rsid w:val="409018E3"/>
    <w:rsid w:val="40923AAA"/>
    <w:rsid w:val="40953ACA"/>
    <w:rsid w:val="409C4F35"/>
    <w:rsid w:val="409F23B1"/>
    <w:rsid w:val="40A23390"/>
    <w:rsid w:val="40A658FC"/>
    <w:rsid w:val="40AE3051"/>
    <w:rsid w:val="40B51316"/>
    <w:rsid w:val="40B55EE8"/>
    <w:rsid w:val="40B81C99"/>
    <w:rsid w:val="40BA59C9"/>
    <w:rsid w:val="40C46173"/>
    <w:rsid w:val="40C71BCD"/>
    <w:rsid w:val="40CA1918"/>
    <w:rsid w:val="40CA7373"/>
    <w:rsid w:val="40CF2E62"/>
    <w:rsid w:val="40D44847"/>
    <w:rsid w:val="40D64A42"/>
    <w:rsid w:val="40D934A8"/>
    <w:rsid w:val="40E148C3"/>
    <w:rsid w:val="40E5218B"/>
    <w:rsid w:val="40E93E87"/>
    <w:rsid w:val="40E95772"/>
    <w:rsid w:val="40EA4DD9"/>
    <w:rsid w:val="40EF4CAC"/>
    <w:rsid w:val="40FF3BDC"/>
    <w:rsid w:val="41007F98"/>
    <w:rsid w:val="410E4C13"/>
    <w:rsid w:val="410E7D80"/>
    <w:rsid w:val="410F5F95"/>
    <w:rsid w:val="41135002"/>
    <w:rsid w:val="41160006"/>
    <w:rsid w:val="41194293"/>
    <w:rsid w:val="411A0004"/>
    <w:rsid w:val="41202712"/>
    <w:rsid w:val="412626B7"/>
    <w:rsid w:val="41270465"/>
    <w:rsid w:val="412D0987"/>
    <w:rsid w:val="412D4486"/>
    <w:rsid w:val="41300928"/>
    <w:rsid w:val="413E0EB4"/>
    <w:rsid w:val="414020C9"/>
    <w:rsid w:val="41467D25"/>
    <w:rsid w:val="4147052D"/>
    <w:rsid w:val="414C0934"/>
    <w:rsid w:val="415723CD"/>
    <w:rsid w:val="4163336D"/>
    <w:rsid w:val="4164280B"/>
    <w:rsid w:val="416470BA"/>
    <w:rsid w:val="416814B6"/>
    <w:rsid w:val="41737986"/>
    <w:rsid w:val="417B2A0A"/>
    <w:rsid w:val="417C3618"/>
    <w:rsid w:val="417C4F1D"/>
    <w:rsid w:val="41864B10"/>
    <w:rsid w:val="418826F0"/>
    <w:rsid w:val="41916E61"/>
    <w:rsid w:val="41927543"/>
    <w:rsid w:val="419A41B2"/>
    <w:rsid w:val="419D4283"/>
    <w:rsid w:val="41A00071"/>
    <w:rsid w:val="41A11E72"/>
    <w:rsid w:val="41A2189A"/>
    <w:rsid w:val="41B044F0"/>
    <w:rsid w:val="41B54C3A"/>
    <w:rsid w:val="41C65ECB"/>
    <w:rsid w:val="41C7188C"/>
    <w:rsid w:val="41CA2B9F"/>
    <w:rsid w:val="41CD3834"/>
    <w:rsid w:val="41CD5FE7"/>
    <w:rsid w:val="41CF1230"/>
    <w:rsid w:val="41D07917"/>
    <w:rsid w:val="41D31431"/>
    <w:rsid w:val="41D83122"/>
    <w:rsid w:val="41DB7B60"/>
    <w:rsid w:val="41E26596"/>
    <w:rsid w:val="41E34A2C"/>
    <w:rsid w:val="41E464F5"/>
    <w:rsid w:val="41E73432"/>
    <w:rsid w:val="41EB01D0"/>
    <w:rsid w:val="41EB2983"/>
    <w:rsid w:val="41ED737D"/>
    <w:rsid w:val="41F25551"/>
    <w:rsid w:val="41F3403B"/>
    <w:rsid w:val="41FB48E8"/>
    <w:rsid w:val="41FB5D15"/>
    <w:rsid w:val="41FB6FAE"/>
    <w:rsid w:val="42042194"/>
    <w:rsid w:val="4206188F"/>
    <w:rsid w:val="421238B2"/>
    <w:rsid w:val="421409D8"/>
    <w:rsid w:val="4216324D"/>
    <w:rsid w:val="4223186B"/>
    <w:rsid w:val="42291B13"/>
    <w:rsid w:val="422B38C5"/>
    <w:rsid w:val="422E05A3"/>
    <w:rsid w:val="42384C0F"/>
    <w:rsid w:val="423E31E9"/>
    <w:rsid w:val="424232BD"/>
    <w:rsid w:val="42462ABA"/>
    <w:rsid w:val="4249759E"/>
    <w:rsid w:val="424B3CDF"/>
    <w:rsid w:val="425C481B"/>
    <w:rsid w:val="425D5562"/>
    <w:rsid w:val="42632930"/>
    <w:rsid w:val="426538A8"/>
    <w:rsid w:val="4270253C"/>
    <w:rsid w:val="4272586E"/>
    <w:rsid w:val="42740052"/>
    <w:rsid w:val="42781869"/>
    <w:rsid w:val="427D639B"/>
    <w:rsid w:val="427E71BE"/>
    <w:rsid w:val="4280395E"/>
    <w:rsid w:val="42875938"/>
    <w:rsid w:val="428B1526"/>
    <w:rsid w:val="428F7215"/>
    <w:rsid w:val="4292190E"/>
    <w:rsid w:val="42945F23"/>
    <w:rsid w:val="42976DB5"/>
    <w:rsid w:val="42976F25"/>
    <w:rsid w:val="42A03276"/>
    <w:rsid w:val="42AD1BF5"/>
    <w:rsid w:val="42AE41C8"/>
    <w:rsid w:val="42B07795"/>
    <w:rsid w:val="42B730DB"/>
    <w:rsid w:val="42BA42C4"/>
    <w:rsid w:val="42BE2214"/>
    <w:rsid w:val="42C23A75"/>
    <w:rsid w:val="42C66783"/>
    <w:rsid w:val="42CB1C43"/>
    <w:rsid w:val="42CD74E5"/>
    <w:rsid w:val="42D321A3"/>
    <w:rsid w:val="42D857F3"/>
    <w:rsid w:val="42DD327A"/>
    <w:rsid w:val="42DF2565"/>
    <w:rsid w:val="42E21EE9"/>
    <w:rsid w:val="42E628D1"/>
    <w:rsid w:val="42EF6EF9"/>
    <w:rsid w:val="42EF789F"/>
    <w:rsid w:val="42F11D19"/>
    <w:rsid w:val="42F14C19"/>
    <w:rsid w:val="42F4655F"/>
    <w:rsid w:val="42F50908"/>
    <w:rsid w:val="42F53A7D"/>
    <w:rsid w:val="42F81964"/>
    <w:rsid w:val="43001A4B"/>
    <w:rsid w:val="43005764"/>
    <w:rsid w:val="430A1DED"/>
    <w:rsid w:val="430E70E6"/>
    <w:rsid w:val="4311795F"/>
    <w:rsid w:val="431241BB"/>
    <w:rsid w:val="43173E7F"/>
    <w:rsid w:val="43236458"/>
    <w:rsid w:val="43281C79"/>
    <w:rsid w:val="4328371C"/>
    <w:rsid w:val="4329716E"/>
    <w:rsid w:val="432F1853"/>
    <w:rsid w:val="433136EE"/>
    <w:rsid w:val="433406EF"/>
    <w:rsid w:val="43363A6F"/>
    <w:rsid w:val="433E73B3"/>
    <w:rsid w:val="43406C5C"/>
    <w:rsid w:val="43427FE6"/>
    <w:rsid w:val="43432CE0"/>
    <w:rsid w:val="43442180"/>
    <w:rsid w:val="434B7778"/>
    <w:rsid w:val="43572B58"/>
    <w:rsid w:val="43622B9B"/>
    <w:rsid w:val="43642FA9"/>
    <w:rsid w:val="4369409E"/>
    <w:rsid w:val="436B29B9"/>
    <w:rsid w:val="4378537B"/>
    <w:rsid w:val="43794FF4"/>
    <w:rsid w:val="437A0B0C"/>
    <w:rsid w:val="437E3C11"/>
    <w:rsid w:val="438020CF"/>
    <w:rsid w:val="43881BE8"/>
    <w:rsid w:val="438A6919"/>
    <w:rsid w:val="438B7716"/>
    <w:rsid w:val="43903FA1"/>
    <w:rsid w:val="43945C3F"/>
    <w:rsid w:val="43962464"/>
    <w:rsid w:val="43977B2C"/>
    <w:rsid w:val="43A071A0"/>
    <w:rsid w:val="43A12CB3"/>
    <w:rsid w:val="43A238DE"/>
    <w:rsid w:val="43A32C0B"/>
    <w:rsid w:val="43A70978"/>
    <w:rsid w:val="43A96881"/>
    <w:rsid w:val="43B50996"/>
    <w:rsid w:val="43B515ED"/>
    <w:rsid w:val="43B51605"/>
    <w:rsid w:val="43B85A29"/>
    <w:rsid w:val="43BD29FA"/>
    <w:rsid w:val="43BD34BF"/>
    <w:rsid w:val="43C26584"/>
    <w:rsid w:val="43C475D9"/>
    <w:rsid w:val="43CA049A"/>
    <w:rsid w:val="43CA157C"/>
    <w:rsid w:val="43CA59D6"/>
    <w:rsid w:val="43D165F9"/>
    <w:rsid w:val="43D377DA"/>
    <w:rsid w:val="43D45027"/>
    <w:rsid w:val="43DA3936"/>
    <w:rsid w:val="43E02B4D"/>
    <w:rsid w:val="43E22C8D"/>
    <w:rsid w:val="43E32410"/>
    <w:rsid w:val="43E3619A"/>
    <w:rsid w:val="43E97C54"/>
    <w:rsid w:val="43EA6FCB"/>
    <w:rsid w:val="43EB364C"/>
    <w:rsid w:val="43ED117C"/>
    <w:rsid w:val="43F65ECD"/>
    <w:rsid w:val="43F839F3"/>
    <w:rsid w:val="43F9776B"/>
    <w:rsid w:val="43FB3116"/>
    <w:rsid w:val="43FB7B5F"/>
    <w:rsid w:val="43FC7BEA"/>
    <w:rsid w:val="44005588"/>
    <w:rsid w:val="44085B1D"/>
    <w:rsid w:val="440E40E5"/>
    <w:rsid w:val="4416031D"/>
    <w:rsid w:val="44192C16"/>
    <w:rsid w:val="441C5317"/>
    <w:rsid w:val="441F16F2"/>
    <w:rsid w:val="442574F7"/>
    <w:rsid w:val="442D2ABF"/>
    <w:rsid w:val="442F18C7"/>
    <w:rsid w:val="442F41CD"/>
    <w:rsid w:val="4430732D"/>
    <w:rsid w:val="44331FF5"/>
    <w:rsid w:val="44385A50"/>
    <w:rsid w:val="443B5FD6"/>
    <w:rsid w:val="444B77F2"/>
    <w:rsid w:val="446112B7"/>
    <w:rsid w:val="44620064"/>
    <w:rsid w:val="44680347"/>
    <w:rsid w:val="44691522"/>
    <w:rsid w:val="4469669F"/>
    <w:rsid w:val="448076A5"/>
    <w:rsid w:val="44825B5B"/>
    <w:rsid w:val="448443DE"/>
    <w:rsid w:val="448470B1"/>
    <w:rsid w:val="44861741"/>
    <w:rsid w:val="44863E9E"/>
    <w:rsid w:val="44872F17"/>
    <w:rsid w:val="44953712"/>
    <w:rsid w:val="449C24BE"/>
    <w:rsid w:val="449D2878"/>
    <w:rsid w:val="44A1047C"/>
    <w:rsid w:val="44A122DD"/>
    <w:rsid w:val="44A470EE"/>
    <w:rsid w:val="44A55A08"/>
    <w:rsid w:val="44AA1FA5"/>
    <w:rsid w:val="44AB30C7"/>
    <w:rsid w:val="44AC4C4C"/>
    <w:rsid w:val="44AE749A"/>
    <w:rsid w:val="44B26298"/>
    <w:rsid w:val="44B43896"/>
    <w:rsid w:val="44B50D14"/>
    <w:rsid w:val="44B63D6A"/>
    <w:rsid w:val="44BA7E95"/>
    <w:rsid w:val="44BB3A24"/>
    <w:rsid w:val="44BD5B69"/>
    <w:rsid w:val="44BD6207"/>
    <w:rsid w:val="44BD6356"/>
    <w:rsid w:val="44BE3C77"/>
    <w:rsid w:val="44C27A9B"/>
    <w:rsid w:val="44C51584"/>
    <w:rsid w:val="44C970D0"/>
    <w:rsid w:val="44CF7E69"/>
    <w:rsid w:val="44D178A4"/>
    <w:rsid w:val="44D524E8"/>
    <w:rsid w:val="44D634F1"/>
    <w:rsid w:val="44DB74CE"/>
    <w:rsid w:val="44DC50C3"/>
    <w:rsid w:val="44DD66EA"/>
    <w:rsid w:val="44E31B61"/>
    <w:rsid w:val="44E41E72"/>
    <w:rsid w:val="44EB3558"/>
    <w:rsid w:val="44F21FDA"/>
    <w:rsid w:val="44F6573D"/>
    <w:rsid w:val="44F95EAE"/>
    <w:rsid w:val="4500553C"/>
    <w:rsid w:val="450900CC"/>
    <w:rsid w:val="450A2026"/>
    <w:rsid w:val="450B354C"/>
    <w:rsid w:val="450D4275"/>
    <w:rsid w:val="45126D36"/>
    <w:rsid w:val="45151EAC"/>
    <w:rsid w:val="451D5249"/>
    <w:rsid w:val="45201701"/>
    <w:rsid w:val="452504BF"/>
    <w:rsid w:val="452D2431"/>
    <w:rsid w:val="45342C3E"/>
    <w:rsid w:val="45384386"/>
    <w:rsid w:val="454100D0"/>
    <w:rsid w:val="454606ED"/>
    <w:rsid w:val="454E693C"/>
    <w:rsid w:val="454F3AF6"/>
    <w:rsid w:val="455560AE"/>
    <w:rsid w:val="455706F3"/>
    <w:rsid w:val="45645F7D"/>
    <w:rsid w:val="456E13F2"/>
    <w:rsid w:val="456E19ED"/>
    <w:rsid w:val="45733E45"/>
    <w:rsid w:val="4574248F"/>
    <w:rsid w:val="45766C7A"/>
    <w:rsid w:val="45863FAA"/>
    <w:rsid w:val="45873EC7"/>
    <w:rsid w:val="458C7E02"/>
    <w:rsid w:val="45914D8D"/>
    <w:rsid w:val="45926214"/>
    <w:rsid w:val="459B02C1"/>
    <w:rsid w:val="459C2AA4"/>
    <w:rsid w:val="459E05CA"/>
    <w:rsid w:val="459F60A7"/>
    <w:rsid w:val="45A04E65"/>
    <w:rsid w:val="45A2648D"/>
    <w:rsid w:val="45A42A55"/>
    <w:rsid w:val="45A97509"/>
    <w:rsid w:val="45B40195"/>
    <w:rsid w:val="45B8663E"/>
    <w:rsid w:val="45BB01A2"/>
    <w:rsid w:val="45BE59F0"/>
    <w:rsid w:val="45C40C47"/>
    <w:rsid w:val="45C933BF"/>
    <w:rsid w:val="45CC5137"/>
    <w:rsid w:val="45CD1D7E"/>
    <w:rsid w:val="45D41C65"/>
    <w:rsid w:val="45D5025D"/>
    <w:rsid w:val="45D85CB6"/>
    <w:rsid w:val="45DA2CA5"/>
    <w:rsid w:val="45DC672A"/>
    <w:rsid w:val="45DD2CEE"/>
    <w:rsid w:val="45DF7268"/>
    <w:rsid w:val="45E51710"/>
    <w:rsid w:val="45EB517D"/>
    <w:rsid w:val="45F8129C"/>
    <w:rsid w:val="45FC4C7C"/>
    <w:rsid w:val="45FC593F"/>
    <w:rsid w:val="45FF2B4C"/>
    <w:rsid w:val="46001285"/>
    <w:rsid w:val="460726F2"/>
    <w:rsid w:val="460A5157"/>
    <w:rsid w:val="460D5F3F"/>
    <w:rsid w:val="46160AA8"/>
    <w:rsid w:val="46187E6E"/>
    <w:rsid w:val="461B0AF4"/>
    <w:rsid w:val="462816A9"/>
    <w:rsid w:val="463E621B"/>
    <w:rsid w:val="46440D8B"/>
    <w:rsid w:val="46464134"/>
    <w:rsid w:val="464F5D68"/>
    <w:rsid w:val="46511D4F"/>
    <w:rsid w:val="46525C25"/>
    <w:rsid w:val="46572B1F"/>
    <w:rsid w:val="465C05A9"/>
    <w:rsid w:val="465C653F"/>
    <w:rsid w:val="46617DC8"/>
    <w:rsid w:val="46641EB3"/>
    <w:rsid w:val="46662D74"/>
    <w:rsid w:val="466A5873"/>
    <w:rsid w:val="46707417"/>
    <w:rsid w:val="46713386"/>
    <w:rsid w:val="467A2C9B"/>
    <w:rsid w:val="467D7B5C"/>
    <w:rsid w:val="46802328"/>
    <w:rsid w:val="46860BE4"/>
    <w:rsid w:val="46873888"/>
    <w:rsid w:val="46876F49"/>
    <w:rsid w:val="468A4E8C"/>
    <w:rsid w:val="468A5022"/>
    <w:rsid w:val="46913456"/>
    <w:rsid w:val="469F6BE0"/>
    <w:rsid w:val="46A17161"/>
    <w:rsid w:val="46AA7FFF"/>
    <w:rsid w:val="46AC3AB5"/>
    <w:rsid w:val="46AE3C1D"/>
    <w:rsid w:val="46B53E1D"/>
    <w:rsid w:val="46B56C36"/>
    <w:rsid w:val="46BF36C1"/>
    <w:rsid w:val="46C14065"/>
    <w:rsid w:val="46C455B1"/>
    <w:rsid w:val="46C9790B"/>
    <w:rsid w:val="46C97B2D"/>
    <w:rsid w:val="46CA7A15"/>
    <w:rsid w:val="46D01B18"/>
    <w:rsid w:val="46D878FB"/>
    <w:rsid w:val="46DC3AA0"/>
    <w:rsid w:val="46EA3CF0"/>
    <w:rsid w:val="46EB2263"/>
    <w:rsid w:val="46F83D33"/>
    <w:rsid w:val="46F8762F"/>
    <w:rsid w:val="46F908C6"/>
    <w:rsid w:val="47087211"/>
    <w:rsid w:val="470D7F27"/>
    <w:rsid w:val="471228E8"/>
    <w:rsid w:val="47142AA5"/>
    <w:rsid w:val="47183182"/>
    <w:rsid w:val="471D245A"/>
    <w:rsid w:val="472034CE"/>
    <w:rsid w:val="472B2D3B"/>
    <w:rsid w:val="473236C0"/>
    <w:rsid w:val="473B59EA"/>
    <w:rsid w:val="473E5135"/>
    <w:rsid w:val="473F5079"/>
    <w:rsid w:val="47431515"/>
    <w:rsid w:val="47466B02"/>
    <w:rsid w:val="474E6020"/>
    <w:rsid w:val="47520728"/>
    <w:rsid w:val="47562EDB"/>
    <w:rsid w:val="47592E4E"/>
    <w:rsid w:val="475A6745"/>
    <w:rsid w:val="476870E2"/>
    <w:rsid w:val="476A5CC5"/>
    <w:rsid w:val="476E6059"/>
    <w:rsid w:val="476F2784"/>
    <w:rsid w:val="477130FF"/>
    <w:rsid w:val="4772724E"/>
    <w:rsid w:val="47743CD8"/>
    <w:rsid w:val="47843450"/>
    <w:rsid w:val="47852882"/>
    <w:rsid w:val="47883D12"/>
    <w:rsid w:val="4789459D"/>
    <w:rsid w:val="478954C6"/>
    <w:rsid w:val="478B35DA"/>
    <w:rsid w:val="4791488A"/>
    <w:rsid w:val="479557BD"/>
    <w:rsid w:val="47A05946"/>
    <w:rsid w:val="47B6609F"/>
    <w:rsid w:val="47BE5BC6"/>
    <w:rsid w:val="47BF7BAD"/>
    <w:rsid w:val="47C03032"/>
    <w:rsid w:val="47C670D9"/>
    <w:rsid w:val="47CF34A7"/>
    <w:rsid w:val="47D46DBA"/>
    <w:rsid w:val="47D51448"/>
    <w:rsid w:val="47D941A0"/>
    <w:rsid w:val="47E726FC"/>
    <w:rsid w:val="47EA41A2"/>
    <w:rsid w:val="47EE4BF1"/>
    <w:rsid w:val="47F90A49"/>
    <w:rsid w:val="47FE410E"/>
    <w:rsid w:val="48030FE7"/>
    <w:rsid w:val="48203C3B"/>
    <w:rsid w:val="48213C72"/>
    <w:rsid w:val="48254B0C"/>
    <w:rsid w:val="48274FDD"/>
    <w:rsid w:val="482B4C1E"/>
    <w:rsid w:val="482F4142"/>
    <w:rsid w:val="48301087"/>
    <w:rsid w:val="483802BB"/>
    <w:rsid w:val="483808E4"/>
    <w:rsid w:val="483A1096"/>
    <w:rsid w:val="483A1E36"/>
    <w:rsid w:val="48430C94"/>
    <w:rsid w:val="4846577D"/>
    <w:rsid w:val="4856518C"/>
    <w:rsid w:val="485A47E2"/>
    <w:rsid w:val="48631525"/>
    <w:rsid w:val="48650D3C"/>
    <w:rsid w:val="486A5A24"/>
    <w:rsid w:val="486E0728"/>
    <w:rsid w:val="48774754"/>
    <w:rsid w:val="48786194"/>
    <w:rsid w:val="487E5A01"/>
    <w:rsid w:val="4881358D"/>
    <w:rsid w:val="48832177"/>
    <w:rsid w:val="488B0A7C"/>
    <w:rsid w:val="488E2B78"/>
    <w:rsid w:val="488F3546"/>
    <w:rsid w:val="48925C56"/>
    <w:rsid w:val="48951B29"/>
    <w:rsid w:val="489A5C3B"/>
    <w:rsid w:val="48A111EC"/>
    <w:rsid w:val="48A206EE"/>
    <w:rsid w:val="48A32CEA"/>
    <w:rsid w:val="48A5146E"/>
    <w:rsid w:val="48A805E1"/>
    <w:rsid w:val="48AF2469"/>
    <w:rsid w:val="48B03E0F"/>
    <w:rsid w:val="48B0562C"/>
    <w:rsid w:val="48B0734C"/>
    <w:rsid w:val="48B24817"/>
    <w:rsid w:val="48B35D67"/>
    <w:rsid w:val="48BC181C"/>
    <w:rsid w:val="48BD66D5"/>
    <w:rsid w:val="48BF19E5"/>
    <w:rsid w:val="48C03203"/>
    <w:rsid w:val="48C03D35"/>
    <w:rsid w:val="48C1363A"/>
    <w:rsid w:val="48CA25BD"/>
    <w:rsid w:val="48D33595"/>
    <w:rsid w:val="48DA0D67"/>
    <w:rsid w:val="48DA400F"/>
    <w:rsid w:val="48E4065B"/>
    <w:rsid w:val="48E4687B"/>
    <w:rsid w:val="48E75653"/>
    <w:rsid w:val="48EA2900"/>
    <w:rsid w:val="48F13FFA"/>
    <w:rsid w:val="48F46C49"/>
    <w:rsid w:val="48F60D0E"/>
    <w:rsid w:val="48FC1266"/>
    <w:rsid w:val="490778E5"/>
    <w:rsid w:val="490B4D0F"/>
    <w:rsid w:val="490C24DE"/>
    <w:rsid w:val="490F2EE9"/>
    <w:rsid w:val="491D4BD9"/>
    <w:rsid w:val="49235AF7"/>
    <w:rsid w:val="49255D45"/>
    <w:rsid w:val="493332DD"/>
    <w:rsid w:val="493560F8"/>
    <w:rsid w:val="49402BAA"/>
    <w:rsid w:val="49437C57"/>
    <w:rsid w:val="4950166C"/>
    <w:rsid w:val="4969094F"/>
    <w:rsid w:val="496B323D"/>
    <w:rsid w:val="496F1C12"/>
    <w:rsid w:val="49715538"/>
    <w:rsid w:val="49725317"/>
    <w:rsid w:val="497351F1"/>
    <w:rsid w:val="497955D6"/>
    <w:rsid w:val="497E02DF"/>
    <w:rsid w:val="4985786B"/>
    <w:rsid w:val="49942651"/>
    <w:rsid w:val="49A05EDB"/>
    <w:rsid w:val="49A168B8"/>
    <w:rsid w:val="49AA2C41"/>
    <w:rsid w:val="49AC3638"/>
    <w:rsid w:val="49AC6842"/>
    <w:rsid w:val="49AD6AAD"/>
    <w:rsid w:val="49B01EB3"/>
    <w:rsid w:val="49B6098D"/>
    <w:rsid w:val="49B724E6"/>
    <w:rsid w:val="49B74A0A"/>
    <w:rsid w:val="49BA779E"/>
    <w:rsid w:val="49C2278B"/>
    <w:rsid w:val="49C61E5A"/>
    <w:rsid w:val="49C66E58"/>
    <w:rsid w:val="49CD464F"/>
    <w:rsid w:val="49D547D7"/>
    <w:rsid w:val="49D56585"/>
    <w:rsid w:val="49DA4047"/>
    <w:rsid w:val="49DC0448"/>
    <w:rsid w:val="49DF06EF"/>
    <w:rsid w:val="49E704A2"/>
    <w:rsid w:val="49EA6C02"/>
    <w:rsid w:val="49EB68F6"/>
    <w:rsid w:val="49EC24BE"/>
    <w:rsid w:val="49F1070A"/>
    <w:rsid w:val="49F455A7"/>
    <w:rsid w:val="49F62B58"/>
    <w:rsid w:val="49FC1171"/>
    <w:rsid w:val="49FE52F8"/>
    <w:rsid w:val="49FF0661"/>
    <w:rsid w:val="4A00000B"/>
    <w:rsid w:val="4A0103F4"/>
    <w:rsid w:val="4A104E6C"/>
    <w:rsid w:val="4A105864"/>
    <w:rsid w:val="4A136529"/>
    <w:rsid w:val="4A16422F"/>
    <w:rsid w:val="4A1C67B1"/>
    <w:rsid w:val="4A1F73DD"/>
    <w:rsid w:val="4A27646E"/>
    <w:rsid w:val="4A344AE9"/>
    <w:rsid w:val="4A413C1A"/>
    <w:rsid w:val="4A4369BA"/>
    <w:rsid w:val="4A461CEA"/>
    <w:rsid w:val="4A497BE8"/>
    <w:rsid w:val="4A4B7B6F"/>
    <w:rsid w:val="4A4C6FBE"/>
    <w:rsid w:val="4A517389"/>
    <w:rsid w:val="4A5F196C"/>
    <w:rsid w:val="4A620A0A"/>
    <w:rsid w:val="4A655134"/>
    <w:rsid w:val="4A656CC0"/>
    <w:rsid w:val="4A6B16B2"/>
    <w:rsid w:val="4A6D5080"/>
    <w:rsid w:val="4A71027A"/>
    <w:rsid w:val="4A90390A"/>
    <w:rsid w:val="4A925361"/>
    <w:rsid w:val="4A9523BA"/>
    <w:rsid w:val="4A9758BE"/>
    <w:rsid w:val="4A9E2704"/>
    <w:rsid w:val="4AA551E5"/>
    <w:rsid w:val="4AAC2AB8"/>
    <w:rsid w:val="4AAF1AD6"/>
    <w:rsid w:val="4AB11484"/>
    <w:rsid w:val="4ABF5206"/>
    <w:rsid w:val="4AC012D3"/>
    <w:rsid w:val="4AD45BE7"/>
    <w:rsid w:val="4AD67E57"/>
    <w:rsid w:val="4ADC1682"/>
    <w:rsid w:val="4ADC36A7"/>
    <w:rsid w:val="4ADD76A4"/>
    <w:rsid w:val="4AE45700"/>
    <w:rsid w:val="4AEC0E24"/>
    <w:rsid w:val="4AEE1F11"/>
    <w:rsid w:val="4AF56358"/>
    <w:rsid w:val="4AFE2B37"/>
    <w:rsid w:val="4B002DD0"/>
    <w:rsid w:val="4B0E0E20"/>
    <w:rsid w:val="4B0F322E"/>
    <w:rsid w:val="4B1027F5"/>
    <w:rsid w:val="4B104FEB"/>
    <w:rsid w:val="4B143F83"/>
    <w:rsid w:val="4B160D93"/>
    <w:rsid w:val="4B1760E2"/>
    <w:rsid w:val="4B1C32C3"/>
    <w:rsid w:val="4B272E10"/>
    <w:rsid w:val="4B29060D"/>
    <w:rsid w:val="4B29302C"/>
    <w:rsid w:val="4B2C6678"/>
    <w:rsid w:val="4B315990"/>
    <w:rsid w:val="4B315A73"/>
    <w:rsid w:val="4B386913"/>
    <w:rsid w:val="4B413ED2"/>
    <w:rsid w:val="4B490C3D"/>
    <w:rsid w:val="4B4E38DF"/>
    <w:rsid w:val="4B501B8D"/>
    <w:rsid w:val="4B5601E1"/>
    <w:rsid w:val="4B562A72"/>
    <w:rsid w:val="4B5B01EF"/>
    <w:rsid w:val="4B6127C6"/>
    <w:rsid w:val="4B6422B6"/>
    <w:rsid w:val="4B66737E"/>
    <w:rsid w:val="4B6A5083"/>
    <w:rsid w:val="4B7F73F5"/>
    <w:rsid w:val="4B811C8B"/>
    <w:rsid w:val="4B8526AE"/>
    <w:rsid w:val="4B8E28EC"/>
    <w:rsid w:val="4B906059"/>
    <w:rsid w:val="4B927F14"/>
    <w:rsid w:val="4B983265"/>
    <w:rsid w:val="4B98764D"/>
    <w:rsid w:val="4B9F3576"/>
    <w:rsid w:val="4BA20780"/>
    <w:rsid w:val="4BB2309B"/>
    <w:rsid w:val="4BBB4FEF"/>
    <w:rsid w:val="4BC11745"/>
    <w:rsid w:val="4BC15012"/>
    <w:rsid w:val="4BC7483D"/>
    <w:rsid w:val="4BCB09D3"/>
    <w:rsid w:val="4BCF29E5"/>
    <w:rsid w:val="4BCF7B1F"/>
    <w:rsid w:val="4BD011D0"/>
    <w:rsid w:val="4BD14E08"/>
    <w:rsid w:val="4BD25443"/>
    <w:rsid w:val="4BD26FC9"/>
    <w:rsid w:val="4BD3645C"/>
    <w:rsid w:val="4BD62591"/>
    <w:rsid w:val="4BD87856"/>
    <w:rsid w:val="4BDD514F"/>
    <w:rsid w:val="4BDE3E16"/>
    <w:rsid w:val="4BE32B7C"/>
    <w:rsid w:val="4BED4059"/>
    <w:rsid w:val="4BF12C1F"/>
    <w:rsid w:val="4BF414CA"/>
    <w:rsid w:val="4BF418AD"/>
    <w:rsid w:val="4BF62881"/>
    <w:rsid w:val="4BF64D73"/>
    <w:rsid w:val="4BF74DFD"/>
    <w:rsid w:val="4C101E96"/>
    <w:rsid w:val="4C147561"/>
    <w:rsid w:val="4C20075F"/>
    <w:rsid w:val="4C242F2C"/>
    <w:rsid w:val="4C2A2BB8"/>
    <w:rsid w:val="4C3149A7"/>
    <w:rsid w:val="4C343A36"/>
    <w:rsid w:val="4C375463"/>
    <w:rsid w:val="4C392DFB"/>
    <w:rsid w:val="4C3970CF"/>
    <w:rsid w:val="4C3B4DC5"/>
    <w:rsid w:val="4C3E2B07"/>
    <w:rsid w:val="4C3E6663"/>
    <w:rsid w:val="4C465589"/>
    <w:rsid w:val="4C4E0615"/>
    <w:rsid w:val="4C502A2B"/>
    <w:rsid w:val="4C5060E3"/>
    <w:rsid w:val="4C54729E"/>
    <w:rsid w:val="4C5A5668"/>
    <w:rsid w:val="4C63431C"/>
    <w:rsid w:val="4C6A6CDE"/>
    <w:rsid w:val="4C6B1B56"/>
    <w:rsid w:val="4C717308"/>
    <w:rsid w:val="4C737F5C"/>
    <w:rsid w:val="4C83090E"/>
    <w:rsid w:val="4C845DCA"/>
    <w:rsid w:val="4C892284"/>
    <w:rsid w:val="4C911CC5"/>
    <w:rsid w:val="4C9804CF"/>
    <w:rsid w:val="4C994A82"/>
    <w:rsid w:val="4C9E0AB0"/>
    <w:rsid w:val="4CA96713"/>
    <w:rsid w:val="4CAA07AD"/>
    <w:rsid w:val="4CB01CC5"/>
    <w:rsid w:val="4CB10959"/>
    <w:rsid w:val="4CB93F3C"/>
    <w:rsid w:val="4CC10FA5"/>
    <w:rsid w:val="4CC6067D"/>
    <w:rsid w:val="4CC72AFC"/>
    <w:rsid w:val="4CCA4C76"/>
    <w:rsid w:val="4CCE1172"/>
    <w:rsid w:val="4CCF45B9"/>
    <w:rsid w:val="4CD97D50"/>
    <w:rsid w:val="4CDC350A"/>
    <w:rsid w:val="4CDC3BE9"/>
    <w:rsid w:val="4CE473F9"/>
    <w:rsid w:val="4CE62E7B"/>
    <w:rsid w:val="4CEA7D39"/>
    <w:rsid w:val="4CEC0CB3"/>
    <w:rsid w:val="4CEE1E3B"/>
    <w:rsid w:val="4CF0229C"/>
    <w:rsid w:val="4CF20C8D"/>
    <w:rsid w:val="4D003B25"/>
    <w:rsid w:val="4D043409"/>
    <w:rsid w:val="4D057171"/>
    <w:rsid w:val="4D082D99"/>
    <w:rsid w:val="4D0A29E9"/>
    <w:rsid w:val="4D0B0D15"/>
    <w:rsid w:val="4D0B1724"/>
    <w:rsid w:val="4D142A27"/>
    <w:rsid w:val="4D1840C5"/>
    <w:rsid w:val="4D1A61F1"/>
    <w:rsid w:val="4D1B3A0E"/>
    <w:rsid w:val="4D1B46DC"/>
    <w:rsid w:val="4D1F7EC6"/>
    <w:rsid w:val="4D256EDE"/>
    <w:rsid w:val="4D2717ED"/>
    <w:rsid w:val="4D2A08C4"/>
    <w:rsid w:val="4D2A6BE7"/>
    <w:rsid w:val="4D3202D6"/>
    <w:rsid w:val="4D364793"/>
    <w:rsid w:val="4D3D11F9"/>
    <w:rsid w:val="4D49491A"/>
    <w:rsid w:val="4D4C2881"/>
    <w:rsid w:val="4D5A7AA9"/>
    <w:rsid w:val="4D687C5F"/>
    <w:rsid w:val="4D7955DB"/>
    <w:rsid w:val="4D8566B7"/>
    <w:rsid w:val="4D89620D"/>
    <w:rsid w:val="4D8C5DC2"/>
    <w:rsid w:val="4D8C6773"/>
    <w:rsid w:val="4D8E11DC"/>
    <w:rsid w:val="4D8F5613"/>
    <w:rsid w:val="4D925B02"/>
    <w:rsid w:val="4D934A0C"/>
    <w:rsid w:val="4D9A7366"/>
    <w:rsid w:val="4D9F4C30"/>
    <w:rsid w:val="4DAF4203"/>
    <w:rsid w:val="4DAF5830"/>
    <w:rsid w:val="4DB96D3C"/>
    <w:rsid w:val="4DC50E85"/>
    <w:rsid w:val="4DCE5F0E"/>
    <w:rsid w:val="4DD32765"/>
    <w:rsid w:val="4DD704FD"/>
    <w:rsid w:val="4DD728CB"/>
    <w:rsid w:val="4DD86E28"/>
    <w:rsid w:val="4DD93942"/>
    <w:rsid w:val="4DDE5FE8"/>
    <w:rsid w:val="4DE17EEB"/>
    <w:rsid w:val="4DE90B47"/>
    <w:rsid w:val="4DEA0ABA"/>
    <w:rsid w:val="4DF05839"/>
    <w:rsid w:val="4DF14E4D"/>
    <w:rsid w:val="4DFA5859"/>
    <w:rsid w:val="4E01726A"/>
    <w:rsid w:val="4E04435A"/>
    <w:rsid w:val="4E081D5B"/>
    <w:rsid w:val="4E151B46"/>
    <w:rsid w:val="4E153677"/>
    <w:rsid w:val="4E1B1AD4"/>
    <w:rsid w:val="4E204AB5"/>
    <w:rsid w:val="4E2256CB"/>
    <w:rsid w:val="4E24456F"/>
    <w:rsid w:val="4E337408"/>
    <w:rsid w:val="4E3D3770"/>
    <w:rsid w:val="4E3D5A9F"/>
    <w:rsid w:val="4E3F1BDF"/>
    <w:rsid w:val="4E401788"/>
    <w:rsid w:val="4E425E54"/>
    <w:rsid w:val="4E466D42"/>
    <w:rsid w:val="4E4E62F0"/>
    <w:rsid w:val="4E540588"/>
    <w:rsid w:val="4E546CF7"/>
    <w:rsid w:val="4E611E87"/>
    <w:rsid w:val="4E624E01"/>
    <w:rsid w:val="4E6D178C"/>
    <w:rsid w:val="4E7B5E4F"/>
    <w:rsid w:val="4E7D3526"/>
    <w:rsid w:val="4E842E09"/>
    <w:rsid w:val="4E871CB0"/>
    <w:rsid w:val="4E89116B"/>
    <w:rsid w:val="4E8A4BF8"/>
    <w:rsid w:val="4E8E0E60"/>
    <w:rsid w:val="4E8E281D"/>
    <w:rsid w:val="4E904841"/>
    <w:rsid w:val="4E992525"/>
    <w:rsid w:val="4E9955D3"/>
    <w:rsid w:val="4EA31E05"/>
    <w:rsid w:val="4EA50CEB"/>
    <w:rsid w:val="4EAD033E"/>
    <w:rsid w:val="4EB87E70"/>
    <w:rsid w:val="4EC34610"/>
    <w:rsid w:val="4EC632BF"/>
    <w:rsid w:val="4EC8471E"/>
    <w:rsid w:val="4ECB17EA"/>
    <w:rsid w:val="4ECC445F"/>
    <w:rsid w:val="4ECF34BC"/>
    <w:rsid w:val="4ED551B9"/>
    <w:rsid w:val="4ED8787F"/>
    <w:rsid w:val="4ED916D9"/>
    <w:rsid w:val="4EDB7EFA"/>
    <w:rsid w:val="4EDC3BA7"/>
    <w:rsid w:val="4EDF237F"/>
    <w:rsid w:val="4EE37128"/>
    <w:rsid w:val="4EEC6F74"/>
    <w:rsid w:val="4EEE2AE5"/>
    <w:rsid w:val="4EF4707B"/>
    <w:rsid w:val="4EFC2495"/>
    <w:rsid w:val="4EFE00F0"/>
    <w:rsid w:val="4F061F0F"/>
    <w:rsid w:val="4F0633A3"/>
    <w:rsid w:val="4F0D06C9"/>
    <w:rsid w:val="4F1E65C4"/>
    <w:rsid w:val="4F217639"/>
    <w:rsid w:val="4F233716"/>
    <w:rsid w:val="4F2D391B"/>
    <w:rsid w:val="4F2D4460"/>
    <w:rsid w:val="4F2E03B8"/>
    <w:rsid w:val="4F2E6E63"/>
    <w:rsid w:val="4F314074"/>
    <w:rsid w:val="4F32218F"/>
    <w:rsid w:val="4F3834F9"/>
    <w:rsid w:val="4F3F6FDA"/>
    <w:rsid w:val="4F4512A1"/>
    <w:rsid w:val="4F47131D"/>
    <w:rsid w:val="4F4A681A"/>
    <w:rsid w:val="4F4C333C"/>
    <w:rsid w:val="4F4F3A50"/>
    <w:rsid w:val="4F4F4AAC"/>
    <w:rsid w:val="4F535542"/>
    <w:rsid w:val="4F583E18"/>
    <w:rsid w:val="4F603056"/>
    <w:rsid w:val="4F67799A"/>
    <w:rsid w:val="4F6E02CE"/>
    <w:rsid w:val="4F7017AD"/>
    <w:rsid w:val="4F712267"/>
    <w:rsid w:val="4F7A7262"/>
    <w:rsid w:val="4F7C3A8C"/>
    <w:rsid w:val="4F7C6633"/>
    <w:rsid w:val="4F845BAE"/>
    <w:rsid w:val="4F891C8A"/>
    <w:rsid w:val="4F8A0700"/>
    <w:rsid w:val="4F9239DD"/>
    <w:rsid w:val="4F933090"/>
    <w:rsid w:val="4F986435"/>
    <w:rsid w:val="4F9960B4"/>
    <w:rsid w:val="4F9F038D"/>
    <w:rsid w:val="4FA15887"/>
    <w:rsid w:val="4FA5449B"/>
    <w:rsid w:val="4FA849FF"/>
    <w:rsid w:val="4FAA7DCA"/>
    <w:rsid w:val="4FAD13E9"/>
    <w:rsid w:val="4FB0116F"/>
    <w:rsid w:val="4FB16085"/>
    <w:rsid w:val="4FBA5D1B"/>
    <w:rsid w:val="4FC368A1"/>
    <w:rsid w:val="4FC6376D"/>
    <w:rsid w:val="4FC949D3"/>
    <w:rsid w:val="4FD16F4A"/>
    <w:rsid w:val="4FD712A8"/>
    <w:rsid w:val="4FD83B9A"/>
    <w:rsid w:val="4FD851F1"/>
    <w:rsid w:val="4FD923A9"/>
    <w:rsid w:val="4FE32A65"/>
    <w:rsid w:val="4FFD70C9"/>
    <w:rsid w:val="4FFF6109"/>
    <w:rsid w:val="501D38E3"/>
    <w:rsid w:val="501E2D1F"/>
    <w:rsid w:val="50201A3A"/>
    <w:rsid w:val="50240CB7"/>
    <w:rsid w:val="50322395"/>
    <w:rsid w:val="50443097"/>
    <w:rsid w:val="5045110F"/>
    <w:rsid w:val="504518F6"/>
    <w:rsid w:val="504A4FE9"/>
    <w:rsid w:val="505428F9"/>
    <w:rsid w:val="5057531D"/>
    <w:rsid w:val="50591CBD"/>
    <w:rsid w:val="505F7BA5"/>
    <w:rsid w:val="506141AF"/>
    <w:rsid w:val="50626217"/>
    <w:rsid w:val="50637781"/>
    <w:rsid w:val="506B5A22"/>
    <w:rsid w:val="506F2C48"/>
    <w:rsid w:val="50742835"/>
    <w:rsid w:val="50747317"/>
    <w:rsid w:val="50773DEE"/>
    <w:rsid w:val="50796AC0"/>
    <w:rsid w:val="507A101F"/>
    <w:rsid w:val="507E24DF"/>
    <w:rsid w:val="507F51FB"/>
    <w:rsid w:val="509506E1"/>
    <w:rsid w:val="50985133"/>
    <w:rsid w:val="509E4005"/>
    <w:rsid w:val="50A43037"/>
    <w:rsid w:val="50A46F8E"/>
    <w:rsid w:val="50A541C1"/>
    <w:rsid w:val="50AA35CF"/>
    <w:rsid w:val="50B11AF9"/>
    <w:rsid w:val="50B629AD"/>
    <w:rsid w:val="50B90185"/>
    <w:rsid w:val="50BB069A"/>
    <w:rsid w:val="50C82E81"/>
    <w:rsid w:val="50CA4969"/>
    <w:rsid w:val="50CC6933"/>
    <w:rsid w:val="50D233A0"/>
    <w:rsid w:val="50DA2EED"/>
    <w:rsid w:val="50DC4A98"/>
    <w:rsid w:val="50E20F10"/>
    <w:rsid w:val="50E472D7"/>
    <w:rsid w:val="50EB7621"/>
    <w:rsid w:val="50EC1BBB"/>
    <w:rsid w:val="50ED39A4"/>
    <w:rsid w:val="50F761F1"/>
    <w:rsid w:val="50F86986"/>
    <w:rsid w:val="51066A14"/>
    <w:rsid w:val="510947F3"/>
    <w:rsid w:val="510D66B8"/>
    <w:rsid w:val="510E2ADE"/>
    <w:rsid w:val="51146979"/>
    <w:rsid w:val="511615C1"/>
    <w:rsid w:val="511A35BB"/>
    <w:rsid w:val="511C76C2"/>
    <w:rsid w:val="51212B5C"/>
    <w:rsid w:val="5121641A"/>
    <w:rsid w:val="51291073"/>
    <w:rsid w:val="51295F2B"/>
    <w:rsid w:val="51321274"/>
    <w:rsid w:val="51337BBE"/>
    <w:rsid w:val="51391438"/>
    <w:rsid w:val="51417EA9"/>
    <w:rsid w:val="514433B9"/>
    <w:rsid w:val="5148202A"/>
    <w:rsid w:val="514B3CFC"/>
    <w:rsid w:val="514F59B8"/>
    <w:rsid w:val="51513829"/>
    <w:rsid w:val="51560987"/>
    <w:rsid w:val="515A5FD6"/>
    <w:rsid w:val="515A775F"/>
    <w:rsid w:val="515F2058"/>
    <w:rsid w:val="516011E5"/>
    <w:rsid w:val="51622E6A"/>
    <w:rsid w:val="51637002"/>
    <w:rsid w:val="51695F30"/>
    <w:rsid w:val="516C6603"/>
    <w:rsid w:val="517214F6"/>
    <w:rsid w:val="517332EE"/>
    <w:rsid w:val="5176055B"/>
    <w:rsid w:val="51761B0B"/>
    <w:rsid w:val="51772678"/>
    <w:rsid w:val="517A1F1A"/>
    <w:rsid w:val="517F1896"/>
    <w:rsid w:val="51991502"/>
    <w:rsid w:val="51995E77"/>
    <w:rsid w:val="519E45A0"/>
    <w:rsid w:val="51A72937"/>
    <w:rsid w:val="51AC6E4B"/>
    <w:rsid w:val="51AF3848"/>
    <w:rsid w:val="51B06247"/>
    <w:rsid w:val="51B16035"/>
    <w:rsid w:val="51B715A5"/>
    <w:rsid w:val="51B832DD"/>
    <w:rsid w:val="51BC398E"/>
    <w:rsid w:val="51C228AA"/>
    <w:rsid w:val="51C550B7"/>
    <w:rsid w:val="51C67FA4"/>
    <w:rsid w:val="51CB6760"/>
    <w:rsid w:val="51CE247B"/>
    <w:rsid w:val="51D63165"/>
    <w:rsid w:val="51D7423C"/>
    <w:rsid w:val="51DB7CDE"/>
    <w:rsid w:val="51DF3B2B"/>
    <w:rsid w:val="51E75F9F"/>
    <w:rsid w:val="51F872B4"/>
    <w:rsid w:val="51FE62B2"/>
    <w:rsid w:val="51FF3326"/>
    <w:rsid w:val="520A48F3"/>
    <w:rsid w:val="520A7625"/>
    <w:rsid w:val="520D286C"/>
    <w:rsid w:val="522828B0"/>
    <w:rsid w:val="522E3F69"/>
    <w:rsid w:val="522F6B53"/>
    <w:rsid w:val="52315453"/>
    <w:rsid w:val="5233680F"/>
    <w:rsid w:val="52360985"/>
    <w:rsid w:val="52390325"/>
    <w:rsid w:val="523A5457"/>
    <w:rsid w:val="523C2E68"/>
    <w:rsid w:val="52431146"/>
    <w:rsid w:val="524654D8"/>
    <w:rsid w:val="525464B1"/>
    <w:rsid w:val="525C3CE7"/>
    <w:rsid w:val="525F0C73"/>
    <w:rsid w:val="52662A7B"/>
    <w:rsid w:val="52693198"/>
    <w:rsid w:val="526F14DE"/>
    <w:rsid w:val="52700E00"/>
    <w:rsid w:val="527E4DA9"/>
    <w:rsid w:val="52857C4A"/>
    <w:rsid w:val="52900EE6"/>
    <w:rsid w:val="52964F60"/>
    <w:rsid w:val="529E79C7"/>
    <w:rsid w:val="52A54CEA"/>
    <w:rsid w:val="52A93E27"/>
    <w:rsid w:val="52AB058D"/>
    <w:rsid w:val="52AE55C9"/>
    <w:rsid w:val="52BA0903"/>
    <w:rsid w:val="52C823F6"/>
    <w:rsid w:val="52CA2036"/>
    <w:rsid w:val="52D10231"/>
    <w:rsid w:val="52D80764"/>
    <w:rsid w:val="52DA3029"/>
    <w:rsid w:val="52DF3E31"/>
    <w:rsid w:val="52E73287"/>
    <w:rsid w:val="52EC26E7"/>
    <w:rsid w:val="52EF6DF3"/>
    <w:rsid w:val="52FB474A"/>
    <w:rsid w:val="52FD6003"/>
    <w:rsid w:val="53002468"/>
    <w:rsid w:val="5301785D"/>
    <w:rsid w:val="53097478"/>
    <w:rsid w:val="530D5DA3"/>
    <w:rsid w:val="530D63A6"/>
    <w:rsid w:val="530F6D0A"/>
    <w:rsid w:val="53103867"/>
    <w:rsid w:val="53120A6B"/>
    <w:rsid w:val="531542E7"/>
    <w:rsid w:val="53216645"/>
    <w:rsid w:val="53245F24"/>
    <w:rsid w:val="533601E1"/>
    <w:rsid w:val="53383605"/>
    <w:rsid w:val="533A6331"/>
    <w:rsid w:val="534310B6"/>
    <w:rsid w:val="534E2894"/>
    <w:rsid w:val="53517349"/>
    <w:rsid w:val="53567845"/>
    <w:rsid w:val="535A4110"/>
    <w:rsid w:val="53622EAB"/>
    <w:rsid w:val="53630B05"/>
    <w:rsid w:val="53695265"/>
    <w:rsid w:val="536D3E13"/>
    <w:rsid w:val="536D43FE"/>
    <w:rsid w:val="537578D5"/>
    <w:rsid w:val="53793B31"/>
    <w:rsid w:val="537B2AFE"/>
    <w:rsid w:val="537D6236"/>
    <w:rsid w:val="53834D33"/>
    <w:rsid w:val="538476AA"/>
    <w:rsid w:val="53851298"/>
    <w:rsid w:val="53875E4B"/>
    <w:rsid w:val="538D3520"/>
    <w:rsid w:val="53917BE2"/>
    <w:rsid w:val="53961EE9"/>
    <w:rsid w:val="539E49F2"/>
    <w:rsid w:val="53A45A0C"/>
    <w:rsid w:val="53B01D26"/>
    <w:rsid w:val="53B023D3"/>
    <w:rsid w:val="53B27D03"/>
    <w:rsid w:val="53B927C7"/>
    <w:rsid w:val="53C46D04"/>
    <w:rsid w:val="53C929EF"/>
    <w:rsid w:val="53C95059"/>
    <w:rsid w:val="53D13A08"/>
    <w:rsid w:val="53D40BE1"/>
    <w:rsid w:val="53D55AFF"/>
    <w:rsid w:val="53D82074"/>
    <w:rsid w:val="53DB4428"/>
    <w:rsid w:val="53DE5242"/>
    <w:rsid w:val="53E219B9"/>
    <w:rsid w:val="53EA6792"/>
    <w:rsid w:val="53EC2E02"/>
    <w:rsid w:val="53F52A10"/>
    <w:rsid w:val="53FF23EC"/>
    <w:rsid w:val="540130B6"/>
    <w:rsid w:val="5402266C"/>
    <w:rsid w:val="54033C62"/>
    <w:rsid w:val="540E1011"/>
    <w:rsid w:val="540F5DB4"/>
    <w:rsid w:val="541A1393"/>
    <w:rsid w:val="541B7824"/>
    <w:rsid w:val="541D4F78"/>
    <w:rsid w:val="54207A3B"/>
    <w:rsid w:val="54207E4B"/>
    <w:rsid w:val="54243507"/>
    <w:rsid w:val="54266C2A"/>
    <w:rsid w:val="542E0A83"/>
    <w:rsid w:val="54351576"/>
    <w:rsid w:val="54351929"/>
    <w:rsid w:val="54362CC1"/>
    <w:rsid w:val="54365BBC"/>
    <w:rsid w:val="5437569C"/>
    <w:rsid w:val="54376B4D"/>
    <w:rsid w:val="543A339D"/>
    <w:rsid w:val="544325B5"/>
    <w:rsid w:val="54460BE9"/>
    <w:rsid w:val="54496E9B"/>
    <w:rsid w:val="544A1355"/>
    <w:rsid w:val="545011FD"/>
    <w:rsid w:val="54532829"/>
    <w:rsid w:val="54566D72"/>
    <w:rsid w:val="545C7D98"/>
    <w:rsid w:val="546504A5"/>
    <w:rsid w:val="54682D49"/>
    <w:rsid w:val="54700739"/>
    <w:rsid w:val="54712DD6"/>
    <w:rsid w:val="54734E8E"/>
    <w:rsid w:val="547370C6"/>
    <w:rsid w:val="547B1C41"/>
    <w:rsid w:val="547E67EF"/>
    <w:rsid w:val="54817224"/>
    <w:rsid w:val="54856614"/>
    <w:rsid w:val="5497251D"/>
    <w:rsid w:val="54A05F51"/>
    <w:rsid w:val="54A219CE"/>
    <w:rsid w:val="54A37F9D"/>
    <w:rsid w:val="54B06507"/>
    <w:rsid w:val="54B41BB8"/>
    <w:rsid w:val="54B84AA0"/>
    <w:rsid w:val="54B9745A"/>
    <w:rsid w:val="54BE6593"/>
    <w:rsid w:val="54C00A5A"/>
    <w:rsid w:val="54C478EC"/>
    <w:rsid w:val="54C92D26"/>
    <w:rsid w:val="54D029E6"/>
    <w:rsid w:val="54D13D7C"/>
    <w:rsid w:val="54D31CA9"/>
    <w:rsid w:val="54D83F1C"/>
    <w:rsid w:val="54D91B94"/>
    <w:rsid w:val="54E16725"/>
    <w:rsid w:val="54E5459F"/>
    <w:rsid w:val="54EA55DA"/>
    <w:rsid w:val="54EB1369"/>
    <w:rsid w:val="54ED6045"/>
    <w:rsid w:val="54F74E66"/>
    <w:rsid w:val="54F75A83"/>
    <w:rsid w:val="54F8791E"/>
    <w:rsid w:val="55022E67"/>
    <w:rsid w:val="55043DC5"/>
    <w:rsid w:val="550A5C75"/>
    <w:rsid w:val="55170AF0"/>
    <w:rsid w:val="551E2DF7"/>
    <w:rsid w:val="55304E9F"/>
    <w:rsid w:val="55396CFB"/>
    <w:rsid w:val="553B5167"/>
    <w:rsid w:val="553E1DD4"/>
    <w:rsid w:val="55406311"/>
    <w:rsid w:val="554546CA"/>
    <w:rsid w:val="55516335"/>
    <w:rsid w:val="55521D96"/>
    <w:rsid w:val="555519FA"/>
    <w:rsid w:val="55553F6C"/>
    <w:rsid w:val="555B30C2"/>
    <w:rsid w:val="555E7F1B"/>
    <w:rsid w:val="55635CE6"/>
    <w:rsid w:val="55676D13"/>
    <w:rsid w:val="557622B6"/>
    <w:rsid w:val="5576686F"/>
    <w:rsid w:val="5578459E"/>
    <w:rsid w:val="5578684A"/>
    <w:rsid w:val="557A1F96"/>
    <w:rsid w:val="557F2BF0"/>
    <w:rsid w:val="557F6A00"/>
    <w:rsid w:val="558A2ABC"/>
    <w:rsid w:val="558B3F82"/>
    <w:rsid w:val="558E5442"/>
    <w:rsid w:val="559555AE"/>
    <w:rsid w:val="55961EF1"/>
    <w:rsid w:val="559659F1"/>
    <w:rsid w:val="55A4646A"/>
    <w:rsid w:val="55AF5035"/>
    <w:rsid w:val="55BB4E7D"/>
    <w:rsid w:val="55C70849"/>
    <w:rsid w:val="55D1398B"/>
    <w:rsid w:val="55D42A82"/>
    <w:rsid w:val="55DE7B68"/>
    <w:rsid w:val="55E53764"/>
    <w:rsid w:val="55F304BE"/>
    <w:rsid w:val="55FA1ABC"/>
    <w:rsid w:val="55FC688F"/>
    <w:rsid w:val="55FD3136"/>
    <w:rsid w:val="56033C72"/>
    <w:rsid w:val="560672D5"/>
    <w:rsid w:val="560776BA"/>
    <w:rsid w:val="56093F1D"/>
    <w:rsid w:val="560B34AB"/>
    <w:rsid w:val="560F6B61"/>
    <w:rsid w:val="56127D90"/>
    <w:rsid w:val="56134F49"/>
    <w:rsid w:val="56210A17"/>
    <w:rsid w:val="562716C2"/>
    <w:rsid w:val="56316023"/>
    <w:rsid w:val="56322468"/>
    <w:rsid w:val="563665FD"/>
    <w:rsid w:val="563F7578"/>
    <w:rsid w:val="56414CB7"/>
    <w:rsid w:val="56441B9E"/>
    <w:rsid w:val="56451AD1"/>
    <w:rsid w:val="564F4502"/>
    <w:rsid w:val="564F5678"/>
    <w:rsid w:val="5655639A"/>
    <w:rsid w:val="565724C1"/>
    <w:rsid w:val="566302EC"/>
    <w:rsid w:val="566808A7"/>
    <w:rsid w:val="56680B1A"/>
    <w:rsid w:val="56706391"/>
    <w:rsid w:val="56754FB5"/>
    <w:rsid w:val="5679149C"/>
    <w:rsid w:val="568F2401"/>
    <w:rsid w:val="569312BB"/>
    <w:rsid w:val="569B1228"/>
    <w:rsid w:val="569D79A7"/>
    <w:rsid w:val="569E74BB"/>
    <w:rsid w:val="56A21304"/>
    <w:rsid w:val="56A7705B"/>
    <w:rsid w:val="56AD7F79"/>
    <w:rsid w:val="56B03C08"/>
    <w:rsid w:val="56B10558"/>
    <w:rsid w:val="56B22D69"/>
    <w:rsid w:val="56B33C58"/>
    <w:rsid w:val="56B769A3"/>
    <w:rsid w:val="56BA1C2F"/>
    <w:rsid w:val="56BA3E74"/>
    <w:rsid w:val="56BD5128"/>
    <w:rsid w:val="56C025F7"/>
    <w:rsid w:val="56C433BA"/>
    <w:rsid w:val="56C64E25"/>
    <w:rsid w:val="56CD6535"/>
    <w:rsid w:val="56D078BA"/>
    <w:rsid w:val="56D45E5C"/>
    <w:rsid w:val="56D91D97"/>
    <w:rsid w:val="56DC4469"/>
    <w:rsid w:val="56E22F03"/>
    <w:rsid w:val="56E96DDF"/>
    <w:rsid w:val="56FE2675"/>
    <w:rsid w:val="57024CA9"/>
    <w:rsid w:val="570B1A7A"/>
    <w:rsid w:val="570F7836"/>
    <w:rsid w:val="571406EC"/>
    <w:rsid w:val="571D456C"/>
    <w:rsid w:val="5720093F"/>
    <w:rsid w:val="572F29D4"/>
    <w:rsid w:val="5730692C"/>
    <w:rsid w:val="57345D28"/>
    <w:rsid w:val="57491534"/>
    <w:rsid w:val="574A6F64"/>
    <w:rsid w:val="57511940"/>
    <w:rsid w:val="57554930"/>
    <w:rsid w:val="575753D8"/>
    <w:rsid w:val="575B58D7"/>
    <w:rsid w:val="57605623"/>
    <w:rsid w:val="57723665"/>
    <w:rsid w:val="57761F9B"/>
    <w:rsid w:val="577C1325"/>
    <w:rsid w:val="577E2CCC"/>
    <w:rsid w:val="57832BB2"/>
    <w:rsid w:val="578850E6"/>
    <w:rsid w:val="578B2F90"/>
    <w:rsid w:val="578E7FF5"/>
    <w:rsid w:val="579239D5"/>
    <w:rsid w:val="57963FEF"/>
    <w:rsid w:val="57A21425"/>
    <w:rsid w:val="57A718D3"/>
    <w:rsid w:val="57A8224C"/>
    <w:rsid w:val="57AE372B"/>
    <w:rsid w:val="57B47A69"/>
    <w:rsid w:val="57B601AF"/>
    <w:rsid w:val="57B63FF7"/>
    <w:rsid w:val="57B679F5"/>
    <w:rsid w:val="57BD4097"/>
    <w:rsid w:val="57C251E5"/>
    <w:rsid w:val="57C27A4A"/>
    <w:rsid w:val="57C32C76"/>
    <w:rsid w:val="57C37B7C"/>
    <w:rsid w:val="57CE1194"/>
    <w:rsid w:val="57CF37D7"/>
    <w:rsid w:val="57DF62FB"/>
    <w:rsid w:val="57DF7CFC"/>
    <w:rsid w:val="57EB1021"/>
    <w:rsid w:val="57F01775"/>
    <w:rsid w:val="57F422C1"/>
    <w:rsid w:val="57F46733"/>
    <w:rsid w:val="57F85246"/>
    <w:rsid w:val="57FD1B47"/>
    <w:rsid w:val="580A5CD8"/>
    <w:rsid w:val="580E2A1E"/>
    <w:rsid w:val="58120418"/>
    <w:rsid w:val="58190256"/>
    <w:rsid w:val="581A1FD0"/>
    <w:rsid w:val="581D1822"/>
    <w:rsid w:val="58214D28"/>
    <w:rsid w:val="58220A53"/>
    <w:rsid w:val="58247055"/>
    <w:rsid w:val="58255662"/>
    <w:rsid w:val="58265CA2"/>
    <w:rsid w:val="58295CAB"/>
    <w:rsid w:val="582E72C4"/>
    <w:rsid w:val="58325472"/>
    <w:rsid w:val="583B5BD5"/>
    <w:rsid w:val="583C2242"/>
    <w:rsid w:val="584A0594"/>
    <w:rsid w:val="584E7218"/>
    <w:rsid w:val="585257C5"/>
    <w:rsid w:val="58644008"/>
    <w:rsid w:val="586819A5"/>
    <w:rsid w:val="58690477"/>
    <w:rsid w:val="58695AFD"/>
    <w:rsid w:val="58716063"/>
    <w:rsid w:val="58736AA2"/>
    <w:rsid w:val="587839A2"/>
    <w:rsid w:val="587F20DC"/>
    <w:rsid w:val="5884037B"/>
    <w:rsid w:val="58852A41"/>
    <w:rsid w:val="588551C2"/>
    <w:rsid w:val="58873140"/>
    <w:rsid w:val="58875A0C"/>
    <w:rsid w:val="58880A1A"/>
    <w:rsid w:val="588B516F"/>
    <w:rsid w:val="588E04FC"/>
    <w:rsid w:val="58922E4E"/>
    <w:rsid w:val="5892322A"/>
    <w:rsid w:val="5895405F"/>
    <w:rsid w:val="58997677"/>
    <w:rsid w:val="58A2421A"/>
    <w:rsid w:val="58A44D10"/>
    <w:rsid w:val="58A52F73"/>
    <w:rsid w:val="58A53206"/>
    <w:rsid w:val="58A91F0E"/>
    <w:rsid w:val="58AB15FA"/>
    <w:rsid w:val="58AB1DB2"/>
    <w:rsid w:val="58AB710B"/>
    <w:rsid w:val="58AC400B"/>
    <w:rsid w:val="58AF65F5"/>
    <w:rsid w:val="58B367AB"/>
    <w:rsid w:val="58B47A23"/>
    <w:rsid w:val="58B974BA"/>
    <w:rsid w:val="58C02FC5"/>
    <w:rsid w:val="58C723AC"/>
    <w:rsid w:val="58CB31E8"/>
    <w:rsid w:val="58D44939"/>
    <w:rsid w:val="58D75C5B"/>
    <w:rsid w:val="58DC4A1E"/>
    <w:rsid w:val="58E05334"/>
    <w:rsid w:val="58E17A5A"/>
    <w:rsid w:val="58E25D56"/>
    <w:rsid w:val="58E267D5"/>
    <w:rsid w:val="58EA0663"/>
    <w:rsid w:val="58F3600E"/>
    <w:rsid w:val="58FA1B64"/>
    <w:rsid w:val="590E7F6E"/>
    <w:rsid w:val="59124742"/>
    <w:rsid w:val="59144AEF"/>
    <w:rsid w:val="591841DB"/>
    <w:rsid w:val="592156FD"/>
    <w:rsid w:val="5922198F"/>
    <w:rsid w:val="592562E1"/>
    <w:rsid w:val="59276CA7"/>
    <w:rsid w:val="59296AD1"/>
    <w:rsid w:val="593055E0"/>
    <w:rsid w:val="593131A6"/>
    <w:rsid w:val="59356D28"/>
    <w:rsid w:val="593E3CDA"/>
    <w:rsid w:val="59453215"/>
    <w:rsid w:val="59453B20"/>
    <w:rsid w:val="594A3DB3"/>
    <w:rsid w:val="59592E7B"/>
    <w:rsid w:val="595D0CBE"/>
    <w:rsid w:val="595E36F9"/>
    <w:rsid w:val="59602C55"/>
    <w:rsid w:val="5963054E"/>
    <w:rsid w:val="59631B70"/>
    <w:rsid w:val="596B2F32"/>
    <w:rsid w:val="597647D2"/>
    <w:rsid w:val="5977223D"/>
    <w:rsid w:val="59773CBD"/>
    <w:rsid w:val="597C1838"/>
    <w:rsid w:val="597C27A0"/>
    <w:rsid w:val="59821928"/>
    <w:rsid w:val="59872692"/>
    <w:rsid w:val="598A2EE8"/>
    <w:rsid w:val="598C10A3"/>
    <w:rsid w:val="598F568D"/>
    <w:rsid w:val="599625DD"/>
    <w:rsid w:val="59981C54"/>
    <w:rsid w:val="59A12B3D"/>
    <w:rsid w:val="59A42340"/>
    <w:rsid w:val="59AF2D18"/>
    <w:rsid w:val="59AF3AF2"/>
    <w:rsid w:val="59B461B6"/>
    <w:rsid w:val="59B95A0D"/>
    <w:rsid w:val="59BA60EE"/>
    <w:rsid w:val="59BB6ECC"/>
    <w:rsid w:val="59BF5355"/>
    <w:rsid w:val="59CD2E17"/>
    <w:rsid w:val="59CF179E"/>
    <w:rsid w:val="59D10207"/>
    <w:rsid w:val="59D25759"/>
    <w:rsid w:val="59D6612D"/>
    <w:rsid w:val="59E74652"/>
    <w:rsid w:val="59E75368"/>
    <w:rsid w:val="59EA24B6"/>
    <w:rsid w:val="59F002FD"/>
    <w:rsid w:val="59F02980"/>
    <w:rsid w:val="59F17145"/>
    <w:rsid w:val="59F74B44"/>
    <w:rsid w:val="59FD5116"/>
    <w:rsid w:val="5A067105"/>
    <w:rsid w:val="5A0B56F0"/>
    <w:rsid w:val="5A132013"/>
    <w:rsid w:val="5A170827"/>
    <w:rsid w:val="5A313738"/>
    <w:rsid w:val="5A3553B3"/>
    <w:rsid w:val="5A365C4A"/>
    <w:rsid w:val="5A3B47A6"/>
    <w:rsid w:val="5A3C2295"/>
    <w:rsid w:val="5A3E2C06"/>
    <w:rsid w:val="5A403EEE"/>
    <w:rsid w:val="5A42336F"/>
    <w:rsid w:val="5A427C66"/>
    <w:rsid w:val="5A455061"/>
    <w:rsid w:val="5A4D1EC6"/>
    <w:rsid w:val="5A5076BF"/>
    <w:rsid w:val="5A5C32EE"/>
    <w:rsid w:val="5A5D190B"/>
    <w:rsid w:val="5A687CB9"/>
    <w:rsid w:val="5A6D68F3"/>
    <w:rsid w:val="5A75669D"/>
    <w:rsid w:val="5A8323EE"/>
    <w:rsid w:val="5A885AA9"/>
    <w:rsid w:val="5A89377C"/>
    <w:rsid w:val="5A8C2769"/>
    <w:rsid w:val="5A9401DD"/>
    <w:rsid w:val="5A94610F"/>
    <w:rsid w:val="5A9633D7"/>
    <w:rsid w:val="5AA136BD"/>
    <w:rsid w:val="5AA50C2E"/>
    <w:rsid w:val="5AA601F5"/>
    <w:rsid w:val="5AA77FE6"/>
    <w:rsid w:val="5AAA77DB"/>
    <w:rsid w:val="5AAE752B"/>
    <w:rsid w:val="5AB630BE"/>
    <w:rsid w:val="5AB82EC1"/>
    <w:rsid w:val="5ABE5A42"/>
    <w:rsid w:val="5ABE7AC5"/>
    <w:rsid w:val="5AC44733"/>
    <w:rsid w:val="5ACD255B"/>
    <w:rsid w:val="5AD33346"/>
    <w:rsid w:val="5AD54636"/>
    <w:rsid w:val="5AD66924"/>
    <w:rsid w:val="5ADA35B4"/>
    <w:rsid w:val="5AE51657"/>
    <w:rsid w:val="5AE8165E"/>
    <w:rsid w:val="5AEB3E5A"/>
    <w:rsid w:val="5AF73743"/>
    <w:rsid w:val="5AFA409D"/>
    <w:rsid w:val="5AFD3CCC"/>
    <w:rsid w:val="5AFE1233"/>
    <w:rsid w:val="5AFF387D"/>
    <w:rsid w:val="5B0008AA"/>
    <w:rsid w:val="5B031853"/>
    <w:rsid w:val="5B0B62AA"/>
    <w:rsid w:val="5B0D253B"/>
    <w:rsid w:val="5B1513F7"/>
    <w:rsid w:val="5B155C31"/>
    <w:rsid w:val="5B1D54B7"/>
    <w:rsid w:val="5B21162A"/>
    <w:rsid w:val="5B222596"/>
    <w:rsid w:val="5B246E44"/>
    <w:rsid w:val="5B266C40"/>
    <w:rsid w:val="5B2821AE"/>
    <w:rsid w:val="5B2829B8"/>
    <w:rsid w:val="5B295CDA"/>
    <w:rsid w:val="5B2A29B4"/>
    <w:rsid w:val="5B3551D5"/>
    <w:rsid w:val="5B364E45"/>
    <w:rsid w:val="5B3A5022"/>
    <w:rsid w:val="5B3F15ED"/>
    <w:rsid w:val="5B3F2B5A"/>
    <w:rsid w:val="5B405E90"/>
    <w:rsid w:val="5B42726A"/>
    <w:rsid w:val="5B4B1AFC"/>
    <w:rsid w:val="5B4B48F9"/>
    <w:rsid w:val="5B6065F6"/>
    <w:rsid w:val="5B656418"/>
    <w:rsid w:val="5B675B3C"/>
    <w:rsid w:val="5B681DB7"/>
    <w:rsid w:val="5B6E71D2"/>
    <w:rsid w:val="5B7159D0"/>
    <w:rsid w:val="5B730088"/>
    <w:rsid w:val="5B740991"/>
    <w:rsid w:val="5B7D5DA4"/>
    <w:rsid w:val="5B7D6314"/>
    <w:rsid w:val="5B8553DD"/>
    <w:rsid w:val="5B896C4A"/>
    <w:rsid w:val="5B8C3B8D"/>
    <w:rsid w:val="5B936E1E"/>
    <w:rsid w:val="5B9519A0"/>
    <w:rsid w:val="5B952EC4"/>
    <w:rsid w:val="5B953DC6"/>
    <w:rsid w:val="5B9D6765"/>
    <w:rsid w:val="5B9E711E"/>
    <w:rsid w:val="5BA968A1"/>
    <w:rsid w:val="5BAF16CD"/>
    <w:rsid w:val="5BB12558"/>
    <w:rsid w:val="5BB228BB"/>
    <w:rsid w:val="5BB64D50"/>
    <w:rsid w:val="5BC27A3E"/>
    <w:rsid w:val="5BC3708A"/>
    <w:rsid w:val="5BC6506B"/>
    <w:rsid w:val="5BCC27FF"/>
    <w:rsid w:val="5BCC3E36"/>
    <w:rsid w:val="5BCF1556"/>
    <w:rsid w:val="5BD57D4C"/>
    <w:rsid w:val="5BE017D7"/>
    <w:rsid w:val="5BE33A5B"/>
    <w:rsid w:val="5BE364EA"/>
    <w:rsid w:val="5BEA1AED"/>
    <w:rsid w:val="5BEB01EF"/>
    <w:rsid w:val="5BF06BE9"/>
    <w:rsid w:val="5BF64864"/>
    <w:rsid w:val="5BF6658D"/>
    <w:rsid w:val="5BFE631F"/>
    <w:rsid w:val="5BFE6FE4"/>
    <w:rsid w:val="5C003935"/>
    <w:rsid w:val="5C005573"/>
    <w:rsid w:val="5C010639"/>
    <w:rsid w:val="5C0160F9"/>
    <w:rsid w:val="5C03649B"/>
    <w:rsid w:val="5C081A8C"/>
    <w:rsid w:val="5C09327B"/>
    <w:rsid w:val="5C0C2E43"/>
    <w:rsid w:val="5C0F1DCA"/>
    <w:rsid w:val="5C112EF5"/>
    <w:rsid w:val="5C1523B5"/>
    <w:rsid w:val="5C171F2B"/>
    <w:rsid w:val="5C1D76F0"/>
    <w:rsid w:val="5C2075C5"/>
    <w:rsid w:val="5C3A6069"/>
    <w:rsid w:val="5C410A70"/>
    <w:rsid w:val="5C414B96"/>
    <w:rsid w:val="5C425D34"/>
    <w:rsid w:val="5C45636A"/>
    <w:rsid w:val="5C4D025B"/>
    <w:rsid w:val="5C4F2ABE"/>
    <w:rsid w:val="5C5030D5"/>
    <w:rsid w:val="5C560E8B"/>
    <w:rsid w:val="5C581538"/>
    <w:rsid w:val="5C5D7036"/>
    <w:rsid w:val="5C615DD6"/>
    <w:rsid w:val="5C672A94"/>
    <w:rsid w:val="5C675690"/>
    <w:rsid w:val="5C6A7000"/>
    <w:rsid w:val="5C724ECE"/>
    <w:rsid w:val="5C7310F3"/>
    <w:rsid w:val="5C776BEB"/>
    <w:rsid w:val="5C7A0780"/>
    <w:rsid w:val="5C7D022F"/>
    <w:rsid w:val="5C7D6575"/>
    <w:rsid w:val="5C7E2144"/>
    <w:rsid w:val="5C8A4C5B"/>
    <w:rsid w:val="5C8D037D"/>
    <w:rsid w:val="5C9B32C3"/>
    <w:rsid w:val="5C9B4AD0"/>
    <w:rsid w:val="5C9E7696"/>
    <w:rsid w:val="5CA06854"/>
    <w:rsid w:val="5CA11271"/>
    <w:rsid w:val="5CA5749C"/>
    <w:rsid w:val="5CAC337C"/>
    <w:rsid w:val="5CB85212"/>
    <w:rsid w:val="5CBD3A92"/>
    <w:rsid w:val="5CC5275B"/>
    <w:rsid w:val="5CC55470"/>
    <w:rsid w:val="5CC91FE6"/>
    <w:rsid w:val="5CD03307"/>
    <w:rsid w:val="5CD64696"/>
    <w:rsid w:val="5CDC656A"/>
    <w:rsid w:val="5CE53C09"/>
    <w:rsid w:val="5CEB1EEF"/>
    <w:rsid w:val="5CEC43EB"/>
    <w:rsid w:val="5CEF38B2"/>
    <w:rsid w:val="5CF04015"/>
    <w:rsid w:val="5CF15330"/>
    <w:rsid w:val="5CF25617"/>
    <w:rsid w:val="5CF314B1"/>
    <w:rsid w:val="5CFD2382"/>
    <w:rsid w:val="5CFE4292"/>
    <w:rsid w:val="5D010CDE"/>
    <w:rsid w:val="5D0721E8"/>
    <w:rsid w:val="5D0D7453"/>
    <w:rsid w:val="5D100A1E"/>
    <w:rsid w:val="5D104837"/>
    <w:rsid w:val="5D1324BB"/>
    <w:rsid w:val="5D144FBB"/>
    <w:rsid w:val="5D15731A"/>
    <w:rsid w:val="5D1719BE"/>
    <w:rsid w:val="5D1E10D6"/>
    <w:rsid w:val="5D291DEC"/>
    <w:rsid w:val="5D302B88"/>
    <w:rsid w:val="5D407DF7"/>
    <w:rsid w:val="5D42535B"/>
    <w:rsid w:val="5D43432D"/>
    <w:rsid w:val="5D4A0A83"/>
    <w:rsid w:val="5D4A3BDD"/>
    <w:rsid w:val="5D4A5585"/>
    <w:rsid w:val="5D5061F6"/>
    <w:rsid w:val="5D550D64"/>
    <w:rsid w:val="5D56381F"/>
    <w:rsid w:val="5D594602"/>
    <w:rsid w:val="5D730E85"/>
    <w:rsid w:val="5D7B40ED"/>
    <w:rsid w:val="5D7B5336"/>
    <w:rsid w:val="5D7D0750"/>
    <w:rsid w:val="5D7E3559"/>
    <w:rsid w:val="5D824E19"/>
    <w:rsid w:val="5D872699"/>
    <w:rsid w:val="5D8E4A80"/>
    <w:rsid w:val="5D903607"/>
    <w:rsid w:val="5D97482E"/>
    <w:rsid w:val="5DA41E0E"/>
    <w:rsid w:val="5DA72268"/>
    <w:rsid w:val="5DC62146"/>
    <w:rsid w:val="5DC71F6A"/>
    <w:rsid w:val="5DC862A3"/>
    <w:rsid w:val="5DCA5E64"/>
    <w:rsid w:val="5DCE258D"/>
    <w:rsid w:val="5DCF35BF"/>
    <w:rsid w:val="5DD003BA"/>
    <w:rsid w:val="5DDA038E"/>
    <w:rsid w:val="5DE354FD"/>
    <w:rsid w:val="5DE82F2E"/>
    <w:rsid w:val="5DEA42B1"/>
    <w:rsid w:val="5DEC7F96"/>
    <w:rsid w:val="5DED7EE9"/>
    <w:rsid w:val="5DF05963"/>
    <w:rsid w:val="5DF9087B"/>
    <w:rsid w:val="5DFD4F08"/>
    <w:rsid w:val="5E016CB2"/>
    <w:rsid w:val="5E026FDD"/>
    <w:rsid w:val="5E0314BA"/>
    <w:rsid w:val="5E082F75"/>
    <w:rsid w:val="5E0B036F"/>
    <w:rsid w:val="5E172F8A"/>
    <w:rsid w:val="5E333FA4"/>
    <w:rsid w:val="5E3C7CB8"/>
    <w:rsid w:val="5E3E7621"/>
    <w:rsid w:val="5E48755C"/>
    <w:rsid w:val="5E4B5FC3"/>
    <w:rsid w:val="5E4E2F15"/>
    <w:rsid w:val="5E53627F"/>
    <w:rsid w:val="5E55788C"/>
    <w:rsid w:val="5E584E27"/>
    <w:rsid w:val="5E5F20CF"/>
    <w:rsid w:val="5E653AEF"/>
    <w:rsid w:val="5E741175"/>
    <w:rsid w:val="5E775184"/>
    <w:rsid w:val="5E7E12F3"/>
    <w:rsid w:val="5E8819C0"/>
    <w:rsid w:val="5E892D83"/>
    <w:rsid w:val="5E895E64"/>
    <w:rsid w:val="5EA13E1F"/>
    <w:rsid w:val="5EA3535A"/>
    <w:rsid w:val="5EA70A2B"/>
    <w:rsid w:val="5EAE06BC"/>
    <w:rsid w:val="5EBA29B6"/>
    <w:rsid w:val="5EBD6C82"/>
    <w:rsid w:val="5EC31E1D"/>
    <w:rsid w:val="5EC450EE"/>
    <w:rsid w:val="5ECA6CBD"/>
    <w:rsid w:val="5ECD4F14"/>
    <w:rsid w:val="5ED12434"/>
    <w:rsid w:val="5ED25020"/>
    <w:rsid w:val="5EDF127E"/>
    <w:rsid w:val="5EF14E0C"/>
    <w:rsid w:val="5EF42D90"/>
    <w:rsid w:val="5EF755BD"/>
    <w:rsid w:val="5EFC0D93"/>
    <w:rsid w:val="5EFC5E7B"/>
    <w:rsid w:val="5EFF5B7D"/>
    <w:rsid w:val="5F047935"/>
    <w:rsid w:val="5F056362"/>
    <w:rsid w:val="5F091819"/>
    <w:rsid w:val="5F110760"/>
    <w:rsid w:val="5F1265AF"/>
    <w:rsid w:val="5F1332ED"/>
    <w:rsid w:val="5F1514A5"/>
    <w:rsid w:val="5F1A31D2"/>
    <w:rsid w:val="5F1E217B"/>
    <w:rsid w:val="5F1E64EB"/>
    <w:rsid w:val="5F1F78E4"/>
    <w:rsid w:val="5F206838"/>
    <w:rsid w:val="5F260AC4"/>
    <w:rsid w:val="5F266591"/>
    <w:rsid w:val="5F28678B"/>
    <w:rsid w:val="5F293A2C"/>
    <w:rsid w:val="5F2B24E7"/>
    <w:rsid w:val="5F2D46F6"/>
    <w:rsid w:val="5F385E54"/>
    <w:rsid w:val="5F395BE9"/>
    <w:rsid w:val="5F3C3AE7"/>
    <w:rsid w:val="5F3E1829"/>
    <w:rsid w:val="5F3E6B31"/>
    <w:rsid w:val="5F3F55BA"/>
    <w:rsid w:val="5F412860"/>
    <w:rsid w:val="5F422122"/>
    <w:rsid w:val="5F42674F"/>
    <w:rsid w:val="5F4F0B04"/>
    <w:rsid w:val="5F522F01"/>
    <w:rsid w:val="5F550FE6"/>
    <w:rsid w:val="5F641218"/>
    <w:rsid w:val="5F6B324B"/>
    <w:rsid w:val="5F6C7517"/>
    <w:rsid w:val="5F705205"/>
    <w:rsid w:val="5F712E5B"/>
    <w:rsid w:val="5F7327C6"/>
    <w:rsid w:val="5F750196"/>
    <w:rsid w:val="5F750588"/>
    <w:rsid w:val="5F81458B"/>
    <w:rsid w:val="5F8910B2"/>
    <w:rsid w:val="5F8D346E"/>
    <w:rsid w:val="5F995912"/>
    <w:rsid w:val="5F9E0359"/>
    <w:rsid w:val="5FA20747"/>
    <w:rsid w:val="5FA7486B"/>
    <w:rsid w:val="5FAC361E"/>
    <w:rsid w:val="5FB5402E"/>
    <w:rsid w:val="5FB73C56"/>
    <w:rsid w:val="5FB901E6"/>
    <w:rsid w:val="5FBC2D4D"/>
    <w:rsid w:val="5FBF7FC6"/>
    <w:rsid w:val="5FC14C6A"/>
    <w:rsid w:val="5FC30F01"/>
    <w:rsid w:val="5FD27396"/>
    <w:rsid w:val="5FD33CED"/>
    <w:rsid w:val="5FDD4249"/>
    <w:rsid w:val="5FDE3084"/>
    <w:rsid w:val="5FDE5D3B"/>
    <w:rsid w:val="5FDF408B"/>
    <w:rsid w:val="5FE57A85"/>
    <w:rsid w:val="5FE67C5B"/>
    <w:rsid w:val="5FE73BAF"/>
    <w:rsid w:val="5FE908F1"/>
    <w:rsid w:val="5FED58A6"/>
    <w:rsid w:val="5FF2052C"/>
    <w:rsid w:val="5FF65C5C"/>
    <w:rsid w:val="5FF76CDB"/>
    <w:rsid w:val="60052348"/>
    <w:rsid w:val="60053032"/>
    <w:rsid w:val="6018410E"/>
    <w:rsid w:val="6031180D"/>
    <w:rsid w:val="603A230F"/>
    <w:rsid w:val="603C2CFD"/>
    <w:rsid w:val="604069F6"/>
    <w:rsid w:val="60426A1E"/>
    <w:rsid w:val="604840F1"/>
    <w:rsid w:val="605018D1"/>
    <w:rsid w:val="60547ECC"/>
    <w:rsid w:val="605A0437"/>
    <w:rsid w:val="605D3104"/>
    <w:rsid w:val="60663646"/>
    <w:rsid w:val="606809C2"/>
    <w:rsid w:val="606D484F"/>
    <w:rsid w:val="606E1408"/>
    <w:rsid w:val="60713495"/>
    <w:rsid w:val="607E52DF"/>
    <w:rsid w:val="607E751E"/>
    <w:rsid w:val="60825473"/>
    <w:rsid w:val="60884FAA"/>
    <w:rsid w:val="608949A1"/>
    <w:rsid w:val="608F4044"/>
    <w:rsid w:val="60994956"/>
    <w:rsid w:val="609B1392"/>
    <w:rsid w:val="609B46CE"/>
    <w:rsid w:val="609D1736"/>
    <w:rsid w:val="609D790C"/>
    <w:rsid w:val="60A22FC2"/>
    <w:rsid w:val="60A6027A"/>
    <w:rsid w:val="60A85E9A"/>
    <w:rsid w:val="60B4503A"/>
    <w:rsid w:val="60B86D82"/>
    <w:rsid w:val="60C42FF7"/>
    <w:rsid w:val="60C95E5C"/>
    <w:rsid w:val="60CE2EE1"/>
    <w:rsid w:val="60D07E29"/>
    <w:rsid w:val="60DF62DD"/>
    <w:rsid w:val="60EA05A2"/>
    <w:rsid w:val="60F33E43"/>
    <w:rsid w:val="60FF41BB"/>
    <w:rsid w:val="6109299E"/>
    <w:rsid w:val="61112CC5"/>
    <w:rsid w:val="6129750A"/>
    <w:rsid w:val="61297FB1"/>
    <w:rsid w:val="613121CE"/>
    <w:rsid w:val="613570BC"/>
    <w:rsid w:val="613961C3"/>
    <w:rsid w:val="61406582"/>
    <w:rsid w:val="61413A23"/>
    <w:rsid w:val="61473059"/>
    <w:rsid w:val="615902D6"/>
    <w:rsid w:val="616278FA"/>
    <w:rsid w:val="616733B2"/>
    <w:rsid w:val="61674177"/>
    <w:rsid w:val="61693036"/>
    <w:rsid w:val="616C1B96"/>
    <w:rsid w:val="616D388D"/>
    <w:rsid w:val="61721B91"/>
    <w:rsid w:val="61750921"/>
    <w:rsid w:val="61766367"/>
    <w:rsid w:val="617B3EB0"/>
    <w:rsid w:val="617C64F3"/>
    <w:rsid w:val="617F70AA"/>
    <w:rsid w:val="618E0E1E"/>
    <w:rsid w:val="61952E01"/>
    <w:rsid w:val="619B714A"/>
    <w:rsid w:val="619C13C0"/>
    <w:rsid w:val="619C1EE1"/>
    <w:rsid w:val="61A3349D"/>
    <w:rsid w:val="61A41770"/>
    <w:rsid w:val="61AF33B2"/>
    <w:rsid w:val="61B51378"/>
    <w:rsid w:val="61B72CE8"/>
    <w:rsid w:val="61C171B4"/>
    <w:rsid w:val="61C77E1D"/>
    <w:rsid w:val="61CB0AE0"/>
    <w:rsid w:val="61D01F53"/>
    <w:rsid w:val="61D20D31"/>
    <w:rsid w:val="61D80E95"/>
    <w:rsid w:val="61D830B4"/>
    <w:rsid w:val="61DB02DC"/>
    <w:rsid w:val="61DB05B0"/>
    <w:rsid w:val="61E423F3"/>
    <w:rsid w:val="61E63A17"/>
    <w:rsid w:val="61E66FAD"/>
    <w:rsid w:val="61EA7A45"/>
    <w:rsid w:val="61EC4CA8"/>
    <w:rsid w:val="61EC54DC"/>
    <w:rsid w:val="61ED5EE7"/>
    <w:rsid w:val="6202758E"/>
    <w:rsid w:val="62092205"/>
    <w:rsid w:val="620F7392"/>
    <w:rsid w:val="621C3279"/>
    <w:rsid w:val="62214D5D"/>
    <w:rsid w:val="622163B3"/>
    <w:rsid w:val="622436D5"/>
    <w:rsid w:val="62256101"/>
    <w:rsid w:val="62260FED"/>
    <w:rsid w:val="62280495"/>
    <w:rsid w:val="622814F0"/>
    <w:rsid w:val="622F4FDA"/>
    <w:rsid w:val="62303EAD"/>
    <w:rsid w:val="62394D24"/>
    <w:rsid w:val="6255436D"/>
    <w:rsid w:val="62593E93"/>
    <w:rsid w:val="625D6FAB"/>
    <w:rsid w:val="62604BC8"/>
    <w:rsid w:val="6262034B"/>
    <w:rsid w:val="62653DB1"/>
    <w:rsid w:val="626A337F"/>
    <w:rsid w:val="626C3DDF"/>
    <w:rsid w:val="62766143"/>
    <w:rsid w:val="62790A24"/>
    <w:rsid w:val="62794E24"/>
    <w:rsid w:val="627B425A"/>
    <w:rsid w:val="627C0A32"/>
    <w:rsid w:val="627C7B72"/>
    <w:rsid w:val="627F6324"/>
    <w:rsid w:val="628425E8"/>
    <w:rsid w:val="62853336"/>
    <w:rsid w:val="62854AC4"/>
    <w:rsid w:val="6287633F"/>
    <w:rsid w:val="628B74D7"/>
    <w:rsid w:val="629B3D15"/>
    <w:rsid w:val="629F2C81"/>
    <w:rsid w:val="62A02BB8"/>
    <w:rsid w:val="62A47915"/>
    <w:rsid w:val="62A668AD"/>
    <w:rsid w:val="62A80347"/>
    <w:rsid w:val="62A96B96"/>
    <w:rsid w:val="62AA7813"/>
    <w:rsid w:val="62AF33EC"/>
    <w:rsid w:val="62B30F46"/>
    <w:rsid w:val="62B701F8"/>
    <w:rsid w:val="62B82C24"/>
    <w:rsid w:val="62B83AA8"/>
    <w:rsid w:val="62BC5D49"/>
    <w:rsid w:val="62BD1BF7"/>
    <w:rsid w:val="62BE5E0D"/>
    <w:rsid w:val="62C01D38"/>
    <w:rsid w:val="62C05259"/>
    <w:rsid w:val="62C0677A"/>
    <w:rsid w:val="62C54413"/>
    <w:rsid w:val="62C72673"/>
    <w:rsid w:val="62C74375"/>
    <w:rsid w:val="62C858D5"/>
    <w:rsid w:val="62CA52E5"/>
    <w:rsid w:val="62CB5EF8"/>
    <w:rsid w:val="62CD5E5E"/>
    <w:rsid w:val="62D035B4"/>
    <w:rsid w:val="62D07784"/>
    <w:rsid w:val="62D5720F"/>
    <w:rsid w:val="62D57BBC"/>
    <w:rsid w:val="62DB3373"/>
    <w:rsid w:val="62E5724A"/>
    <w:rsid w:val="62E94951"/>
    <w:rsid w:val="62EA2C49"/>
    <w:rsid w:val="62EC67D1"/>
    <w:rsid w:val="62F92060"/>
    <w:rsid w:val="62F95834"/>
    <w:rsid w:val="62FD13EB"/>
    <w:rsid w:val="6304042D"/>
    <w:rsid w:val="630A6E47"/>
    <w:rsid w:val="63135493"/>
    <w:rsid w:val="631B05C1"/>
    <w:rsid w:val="63213E09"/>
    <w:rsid w:val="632172B5"/>
    <w:rsid w:val="632234BF"/>
    <w:rsid w:val="63231877"/>
    <w:rsid w:val="63252C07"/>
    <w:rsid w:val="6326746E"/>
    <w:rsid w:val="63270031"/>
    <w:rsid w:val="63290D0E"/>
    <w:rsid w:val="632F5A78"/>
    <w:rsid w:val="63361120"/>
    <w:rsid w:val="6339025A"/>
    <w:rsid w:val="633A1A0D"/>
    <w:rsid w:val="63427369"/>
    <w:rsid w:val="6343041D"/>
    <w:rsid w:val="63453AAA"/>
    <w:rsid w:val="63456297"/>
    <w:rsid w:val="63464323"/>
    <w:rsid w:val="63490A0B"/>
    <w:rsid w:val="63522164"/>
    <w:rsid w:val="63536C60"/>
    <w:rsid w:val="63591E23"/>
    <w:rsid w:val="635A092C"/>
    <w:rsid w:val="635B0E7E"/>
    <w:rsid w:val="635B7569"/>
    <w:rsid w:val="635C4E3D"/>
    <w:rsid w:val="63625431"/>
    <w:rsid w:val="63751FA0"/>
    <w:rsid w:val="637627B1"/>
    <w:rsid w:val="637A00C6"/>
    <w:rsid w:val="63885D3E"/>
    <w:rsid w:val="638D53D7"/>
    <w:rsid w:val="638F78F2"/>
    <w:rsid w:val="63907BC8"/>
    <w:rsid w:val="63952BB5"/>
    <w:rsid w:val="639602DE"/>
    <w:rsid w:val="639C36B8"/>
    <w:rsid w:val="639E7020"/>
    <w:rsid w:val="63A12146"/>
    <w:rsid w:val="63AB1720"/>
    <w:rsid w:val="63AE352A"/>
    <w:rsid w:val="63AE36A3"/>
    <w:rsid w:val="63AF4358"/>
    <w:rsid w:val="63AF53BD"/>
    <w:rsid w:val="63B964E3"/>
    <w:rsid w:val="63C35974"/>
    <w:rsid w:val="63D513A7"/>
    <w:rsid w:val="63E6552A"/>
    <w:rsid w:val="63EA2B19"/>
    <w:rsid w:val="63EB238C"/>
    <w:rsid w:val="63ED2B9F"/>
    <w:rsid w:val="63F45328"/>
    <w:rsid w:val="63F5554C"/>
    <w:rsid w:val="63F55D49"/>
    <w:rsid w:val="63FF0976"/>
    <w:rsid w:val="640203E4"/>
    <w:rsid w:val="64021763"/>
    <w:rsid w:val="64022E4D"/>
    <w:rsid w:val="64043057"/>
    <w:rsid w:val="64093558"/>
    <w:rsid w:val="640D32C8"/>
    <w:rsid w:val="640D3C1C"/>
    <w:rsid w:val="64111A02"/>
    <w:rsid w:val="641206A9"/>
    <w:rsid w:val="641931C8"/>
    <w:rsid w:val="641B169A"/>
    <w:rsid w:val="641D46C8"/>
    <w:rsid w:val="64294BF2"/>
    <w:rsid w:val="642951CF"/>
    <w:rsid w:val="64336A57"/>
    <w:rsid w:val="643800C9"/>
    <w:rsid w:val="643979E4"/>
    <w:rsid w:val="64422899"/>
    <w:rsid w:val="644C70A9"/>
    <w:rsid w:val="644D47BC"/>
    <w:rsid w:val="645064AB"/>
    <w:rsid w:val="645C7A8E"/>
    <w:rsid w:val="645F00C7"/>
    <w:rsid w:val="64613A5C"/>
    <w:rsid w:val="646A3A2D"/>
    <w:rsid w:val="646F7DBD"/>
    <w:rsid w:val="647457FE"/>
    <w:rsid w:val="64890C5B"/>
    <w:rsid w:val="649A1D49"/>
    <w:rsid w:val="649A577A"/>
    <w:rsid w:val="649F00CF"/>
    <w:rsid w:val="64A16EE3"/>
    <w:rsid w:val="64A21A5D"/>
    <w:rsid w:val="64A26351"/>
    <w:rsid w:val="64A479EF"/>
    <w:rsid w:val="64A67D1C"/>
    <w:rsid w:val="64AA6B34"/>
    <w:rsid w:val="64B2338B"/>
    <w:rsid w:val="64B25C4D"/>
    <w:rsid w:val="64B452BD"/>
    <w:rsid w:val="64BA7677"/>
    <w:rsid w:val="64C312F4"/>
    <w:rsid w:val="64C31CAB"/>
    <w:rsid w:val="64C66C26"/>
    <w:rsid w:val="64C7375A"/>
    <w:rsid w:val="64C77667"/>
    <w:rsid w:val="64C96A46"/>
    <w:rsid w:val="64D00FF2"/>
    <w:rsid w:val="64D4770D"/>
    <w:rsid w:val="64E35D36"/>
    <w:rsid w:val="64E63BF8"/>
    <w:rsid w:val="64F074C1"/>
    <w:rsid w:val="64F817D2"/>
    <w:rsid w:val="64FC09C3"/>
    <w:rsid w:val="650407EF"/>
    <w:rsid w:val="650A1F74"/>
    <w:rsid w:val="650B415C"/>
    <w:rsid w:val="650D6B24"/>
    <w:rsid w:val="65133541"/>
    <w:rsid w:val="651A0FD2"/>
    <w:rsid w:val="652860EA"/>
    <w:rsid w:val="653470EC"/>
    <w:rsid w:val="65370D10"/>
    <w:rsid w:val="65386D76"/>
    <w:rsid w:val="653A5281"/>
    <w:rsid w:val="653E102A"/>
    <w:rsid w:val="653F54CE"/>
    <w:rsid w:val="65565168"/>
    <w:rsid w:val="655A46DF"/>
    <w:rsid w:val="655C1C24"/>
    <w:rsid w:val="65656BA2"/>
    <w:rsid w:val="656B410C"/>
    <w:rsid w:val="65784C06"/>
    <w:rsid w:val="657C3984"/>
    <w:rsid w:val="65811202"/>
    <w:rsid w:val="65827289"/>
    <w:rsid w:val="658412FD"/>
    <w:rsid w:val="658D609C"/>
    <w:rsid w:val="658E1FB1"/>
    <w:rsid w:val="6590200C"/>
    <w:rsid w:val="6591168D"/>
    <w:rsid w:val="65A143A4"/>
    <w:rsid w:val="65A30255"/>
    <w:rsid w:val="65A64DB8"/>
    <w:rsid w:val="65A97F43"/>
    <w:rsid w:val="65B23EF2"/>
    <w:rsid w:val="65CC5374"/>
    <w:rsid w:val="65D03A42"/>
    <w:rsid w:val="65DA531D"/>
    <w:rsid w:val="65DC479B"/>
    <w:rsid w:val="65DE105D"/>
    <w:rsid w:val="65F07E14"/>
    <w:rsid w:val="65F11B73"/>
    <w:rsid w:val="65F21798"/>
    <w:rsid w:val="65F86E84"/>
    <w:rsid w:val="66026F49"/>
    <w:rsid w:val="660C60E0"/>
    <w:rsid w:val="661841E1"/>
    <w:rsid w:val="661F566C"/>
    <w:rsid w:val="662B13D8"/>
    <w:rsid w:val="662D390B"/>
    <w:rsid w:val="66363793"/>
    <w:rsid w:val="66374470"/>
    <w:rsid w:val="663C4415"/>
    <w:rsid w:val="66494A65"/>
    <w:rsid w:val="664E3ADF"/>
    <w:rsid w:val="66524D8D"/>
    <w:rsid w:val="66587006"/>
    <w:rsid w:val="665D2648"/>
    <w:rsid w:val="6661150C"/>
    <w:rsid w:val="666B7133"/>
    <w:rsid w:val="667575D4"/>
    <w:rsid w:val="66780783"/>
    <w:rsid w:val="667978DA"/>
    <w:rsid w:val="667B0FBC"/>
    <w:rsid w:val="667F311D"/>
    <w:rsid w:val="66836E9B"/>
    <w:rsid w:val="66863385"/>
    <w:rsid w:val="66866545"/>
    <w:rsid w:val="668D21BE"/>
    <w:rsid w:val="66903B07"/>
    <w:rsid w:val="66910366"/>
    <w:rsid w:val="66976E3D"/>
    <w:rsid w:val="66A129E2"/>
    <w:rsid w:val="66A7761F"/>
    <w:rsid w:val="66A82F58"/>
    <w:rsid w:val="66AD6467"/>
    <w:rsid w:val="66AF04D3"/>
    <w:rsid w:val="66AF0505"/>
    <w:rsid w:val="66AF4860"/>
    <w:rsid w:val="66B04194"/>
    <w:rsid w:val="66B63460"/>
    <w:rsid w:val="66BF4948"/>
    <w:rsid w:val="66C27853"/>
    <w:rsid w:val="66C45DAA"/>
    <w:rsid w:val="66C4632F"/>
    <w:rsid w:val="66C85874"/>
    <w:rsid w:val="66C93B8F"/>
    <w:rsid w:val="66CC2D91"/>
    <w:rsid w:val="66CE7D0D"/>
    <w:rsid w:val="66D96769"/>
    <w:rsid w:val="66DB0927"/>
    <w:rsid w:val="66DB2FD4"/>
    <w:rsid w:val="66DE4B30"/>
    <w:rsid w:val="66EE50C6"/>
    <w:rsid w:val="66EE58B9"/>
    <w:rsid w:val="66F12905"/>
    <w:rsid w:val="66F804B6"/>
    <w:rsid w:val="66FA65F2"/>
    <w:rsid w:val="66FE6CC3"/>
    <w:rsid w:val="671127E7"/>
    <w:rsid w:val="67130B4C"/>
    <w:rsid w:val="67153C75"/>
    <w:rsid w:val="671A4130"/>
    <w:rsid w:val="671B59D4"/>
    <w:rsid w:val="671E3476"/>
    <w:rsid w:val="67206C55"/>
    <w:rsid w:val="6721362C"/>
    <w:rsid w:val="6722024C"/>
    <w:rsid w:val="672B0763"/>
    <w:rsid w:val="672B265C"/>
    <w:rsid w:val="672D4CE8"/>
    <w:rsid w:val="672F2C8D"/>
    <w:rsid w:val="672F6329"/>
    <w:rsid w:val="673616CF"/>
    <w:rsid w:val="673B5C55"/>
    <w:rsid w:val="67540AD0"/>
    <w:rsid w:val="675867FD"/>
    <w:rsid w:val="675D5FFF"/>
    <w:rsid w:val="675E59B4"/>
    <w:rsid w:val="676545F0"/>
    <w:rsid w:val="676D3C75"/>
    <w:rsid w:val="67727C22"/>
    <w:rsid w:val="6776192D"/>
    <w:rsid w:val="67772930"/>
    <w:rsid w:val="677821E1"/>
    <w:rsid w:val="677B41A8"/>
    <w:rsid w:val="67840C2E"/>
    <w:rsid w:val="678878D3"/>
    <w:rsid w:val="678B6429"/>
    <w:rsid w:val="67905DC8"/>
    <w:rsid w:val="679152F5"/>
    <w:rsid w:val="6798447B"/>
    <w:rsid w:val="679E22C6"/>
    <w:rsid w:val="67A1542D"/>
    <w:rsid w:val="67A23BDC"/>
    <w:rsid w:val="67A55390"/>
    <w:rsid w:val="67A7391E"/>
    <w:rsid w:val="67AC5F95"/>
    <w:rsid w:val="67AE69D9"/>
    <w:rsid w:val="67AF7891"/>
    <w:rsid w:val="67BB6E96"/>
    <w:rsid w:val="67BD5985"/>
    <w:rsid w:val="67BF0C36"/>
    <w:rsid w:val="67C6116E"/>
    <w:rsid w:val="67CE241D"/>
    <w:rsid w:val="67D23AD1"/>
    <w:rsid w:val="67D26883"/>
    <w:rsid w:val="67D94632"/>
    <w:rsid w:val="67DA3CF9"/>
    <w:rsid w:val="67DC1D21"/>
    <w:rsid w:val="67E40A16"/>
    <w:rsid w:val="67E41C88"/>
    <w:rsid w:val="67EA7D23"/>
    <w:rsid w:val="67EB56F4"/>
    <w:rsid w:val="67EC0B39"/>
    <w:rsid w:val="67FB6A66"/>
    <w:rsid w:val="6800222E"/>
    <w:rsid w:val="68051B47"/>
    <w:rsid w:val="68061586"/>
    <w:rsid w:val="680B3E54"/>
    <w:rsid w:val="6817003C"/>
    <w:rsid w:val="68176832"/>
    <w:rsid w:val="681E1D82"/>
    <w:rsid w:val="681E5F31"/>
    <w:rsid w:val="681F6FED"/>
    <w:rsid w:val="682D2573"/>
    <w:rsid w:val="683634E3"/>
    <w:rsid w:val="68401F12"/>
    <w:rsid w:val="68420E31"/>
    <w:rsid w:val="68421B8C"/>
    <w:rsid w:val="684224FF"/>
    <w:rsid w:val="684D1769"/>
    <w:rsid w:val="684F56FB"/>
    <w:rsid w:val="6855588C"/>
    <w:rsid w:val="68556441"/>
    <w:rsid w:val="68592AB6"/>
    <w:rsid w:val="685E3EBD"/>
    <w:rsid w:val="68624715"/>
    <w:rsid w:val="6864524C"/>
    <w:rsid w:val="6867242F"/>
    <w:rsid w:val="687016F7"/>
    <w:rsid w:val="687750F6"/>
    <w:rsid w:val="687A0679"/>
    <w:rsid w:val="687A6A6A"/>
    <w:rsid w:val="687B4F22"/>
    <w:rsid w:val="687D4111"/>
    <w:rsid w:val="687E00BB"/>
    <w:rsid w:val="688237E5"/>
    <w:rsid w:val="6882494B"/>
    <w:rsid w:val="688519C8"/>
    <w:rsid w:val="68894C4A"/>
    <w:rsid w:val="688C232E"/>
    <w:rsid w:val="688D537F"/>
    <w:rsid w:val="689072CA"/>
    <w:rsid w:val="6893513C"/>
    <w:rsid w:val="689561D0"/>
    <w:rsid w:val="689845BC"/>
    <w:rsid w:val="689F668A"/>
    <w:rsid w:val="68A14066"/>
    <w:rsid w:val="68A526BE"/>
    <w:rsid w:val="68AC144F"/>
    <w:rsid w:val="68B0223F"/>
    <w:rsid w:val="68B848FE"/>
    <w:rsid w:val="68B91A87"/>
    <w:rsid w:val="68B934E7"/>
    <w:rsid w:val="68C77E8E"/>
    <w:rsid w:val="68D6542B"/>
    <w:rsid w:val="68D66F36"/>
    <w:rsid w:val="68DE6FE0"/>
    <w:rsid w:val="68E048D2"/>
    <w:rsid w:val="68E07E46"/>
    <w:rsid w:val="68E22237"/>
    <w:rsid w:val="68E407DF"/>
    <w:rsid w:val="68E70243"/>
    <w:rsid w:val="68EE4550"/>
    <w:rsid w:val="68EF3417"/>
    <w:rsid w:val="68EF598D"/>
    <w:rsid w:val="68F676C1"/>
    <w:rsid w:val="69047433"/>
    <w:rsid w:val="690507DD"/>
    <w:rsid w:val="690812C7"/>
    <w:rsid w:val="69104817"/>
    <w:rsid w:val="69150204"/>
    <w:rsid w:val="69195A8A"/>
    <w:rsid w:val="691F3444"/>
    <w:rsid w:val="6921078D"/>
    <w:rsid w:val="69213A88"/>
    <w:rsid w:val="69250889"/>
    <w:rsid w:val="69272795"/>
    <w:rsid w:val="692A18A6"/>
    <w:rsid w:val="692C3B5D"/>
    <w:rsid w:val="692F7B60"/>
    <w:rsid w:val="69345FFB"/>
    <w:rsid w:val="69374285"/>
    <w:rsid w:val="69384AF9"/>
    <w:rsid w:val="693C1042"/>
    <w:rsid w:val="694035C3"/>
    <w:rsid w:val="69450FB5"/>
    <w:rsid w:val="69486DC1"/>
    <w:rsid w:val="69493DAF"/>
    <w:rsid w:val="694B7CE4"/>
    <w:rsid w:val="694E20F7"/>
    <w:rsid w:val="69516214"/>
    <w:rsid w:val="69522B37"/>
    <w:rsid w:val="69536FA2"/>
    <w:rsid w:val="6954706E"/>
    <w:rsid w:val="695817BF"/>
    <w:rsid w:val="695B5142"/>
    <w:rsid w:val="695B6C72"/>
    <w:rsid w:val="696459E5"/>
    <w:rsid w:val="696E0EA7"/>
    <w:rsid w:val="696E6EA8"/>
    <w:rsid w:val="696F20FA"/>
    <w:rsid w:val="69706825"/>
    <w:rsid w:val="6976545F"/>
    <w:rsid w:val="69797085"/>
    <w:rsid w:val="697E7B17"/>
    <w:rsid w:val="69823BDB"/>
    <w:rsid w:val="6983333C"/>
    <w:rsid w:val="698452CF"/>
    <w:rsid w:val="698535EE"/>
    <w:rsid w:val="6985524D"/>
    <w:rsid w:val="698D3D77"/>
    <w:rsid w:val="69946A6C"/>
    <w:rsid w:val="699A592F"/>
    <w:rsid w:val="699F29DF"/>
    <w:rsid w:val="69A655DA"/>
    <w:rsid w:val="69AF5B70"/>
    <w:rsid w:val="69BA535F"/>
    <w:rsid w:val="69BE15B8"/>
    <w:rsid w:val="69C60EF3"/>
    <w:rsid w:val="69C6146F"/>
    <w:rsid w:val="69C76F48"/>
    <w:rsid w:val="69CA142B"/>
    <w:rsid w:val="69CA1D32"/>
    <w:rsid w:val="69CB659D"/>
    <w:rsid w:val="69CD7EA5"/>
    <w:rsid w:val="69D6713E"/>
    <w:rsid w:val="69E31AE2"/>
    <w:rsid w:val="69EE2548"/>
    <w:rsid w:val="69EE602C"/>
    <w:rsid w:val="69EF4147"/>
    <w:rsid w:val="69F0277F"/>
    <w:rsid w:val="69F23A42"/>
    <w:rsid w:val="69F82255"/>
    <w:rsid w:val="69F97BA6"/>
    <w:rsid w:val="69FA3512"/>
    <w:rsid w:val="69FB2499"/>
    <w:rsid w:val="6A003C11"/>
    <w:rsid w:val="6A0449AB"/>
    <w:rsid w:val="6A075B13"/>
    <w:rsid w:val="6A11089C"/>
    <w:rsid w:val="6A13077F"/>
    <w:rsid w:val="6A1507A9"/>
    <w:rsid w:val="6A156A75"/>
    <w:rsid w:val="6A211646"/>
    <w:rsid w:val="6A2C306F"/>
    <w:rsid w:val="6A2F0D03"/>
    <w:rsid w:val="6A334ED5"/>
    <w:rsid w:val="6A3627A8"/>
    <w:rsid w:val="6A3B2E9F"/>
    <w:rsid w:val="6A3B423F"/>
    <w:rsid w:val="6A3C476E"/>
    <w:rsid w:val="6A3C5C50"/>
    <w:rsid w:val="6A496454"/>
    <w:rsid w:val="6A4D5FEB"/>
    <w:rsid w:val="6A4F71BD"/>
    <w:rsid w:val="6A56479B"/>
    <w:rsid w:val="6A580566"/>
    <w:rsid w:val="6A5A1A64"/>
    <w:rsid w:val="6A5B5205"/>
    <w:rsid w:val="6A654B93"/>
    <w:rsid w:val="6A707ED8"/>
    <w:rsid w:val="6A755BE3"/>
    <w:rsid w:val="6A7D43A3"/>
    <w:rsid w:val="6A82383E"/>
    <w:rsid w:val="6A834C5D"/>
    <w:rsid w:val="6A861B6A"/>
    <w:rsid w:val="6A8D7966"/>
    <w:rsid w:val="6A9637F1"/>
    <w:rsid w:val="6A990D5F"/>
    <w:rsid w:val="6A9A2F82"/>
    <w:rsid w:val="6A9C0CCD"/>
    <w:rsid w:val="6A9E67F3"/>
    <w:rsid w:val="6A9E7245"/>
    <w:rsid w:val="6AA41DD2"/>
    <w:rsid w:val="6AB41A70"/>
    <w:rsid w:val="6ABF583F"/>
    <w:rsid w:val="6AC00283"/>
    <w:rsid w:val="6AC344AB"/>
    <w:rsid w:val="6ACB1F11"/>
    <w:rsid w:val="6ACE0A84"/>
    <w:rsid w:val="6ACE5BD7"/>
    <w:rsid w:val="6ADA4C85"/>
    <w:rsid w:val="6ADD0559"/>
    <w:rsid w:val="6AE4100F"/>
    <w:rsid w:val="6AE503DD"/>
    <w:rsid w:val="6AE84AC8"/>
    <w:rsid w:val="6AEE4950"/>
    <w:rsid w:val="6AF6131B"/>
    <w:rsid w:val="6AF97ECD"/>
    <w:rsid w:val="6AFA6A28"/>
    <w:rsid w:val="6AFB11D4"/>
    <w:rsid w:val="6AFC7F36"/>
    <w:rsid w:val="6B040CBB"/>
    <w:rsid w:val="6B046CD8"/>
    <w:rsid w:val="6B06537A"/>
    <w:rsid w:val="6B0A14A9"/>
    <w:rsid w:val="6B0D7733"/>
    <w:rsid w:val="6B0E6094"/>
    <w:rsid w:val="6B1D4EBD"/>
    <w:rsid w:val="6B281980"/>
    <w:rsid w:val="6B290AE6"/>
    <w:rsid w:val="6B2C5F48"/>
    <w:rsid w:val="6B2D401B"/>
    <w:rsid w:val="6B3A3E42"/>
    <w:rsid w:val="6B434DBF"/>
    <w:rsid w:val="6B475DEB"/>
    <w:rsid w:val="6B4A6F42"/>
    <w:rsid w:val="6B4C6A0B"/>
    <w:rsid w:val="6B5A5F3A"/>
    <w:rsid w:val="6B5B0922"/>
    <w:rsid w:val="6B6A4609"/>
    <w:rsid w:val="6B713AFC"/>
    <w:rsid w:val="6B7A2D3C"/>
    <w:rsid w:val="6B7A5987"/>
    <w:rsid w:val="6B7E4615"/>
    <w:rsid w:val="6B8B0649"/>
    <w:rsid w:val="6B915AEF"/>
    <w:rsid w:val="6B923F43"/>
    <w:rsid w:val="6B9369A0"/>
    <w:rsid w:val="6B99570E"/>
    <w:rsid w:val="6B9E600C"/>
    <w:rsid w:val="6BA64AA6"/>
    <w:rsid w:val="6BAA7D79"/>
    <w:rsid w:val="6BAD3CC3"/>
    <w:rsid w:val="6BAE5124"/>
    <w:rsid w:val="6BAF689F"/>
    <w:rsid w:val="6BBF4FAC"/>
    <w:rsid w:val="6BC343D1"/>
    <w:rsid w:val="6BC435EB"/>
    <w:rsid w:val="6BC66E87"/>
    <w:rsid w:val="6BC75BA0"/>
    <w:rsid w:val="6BCF4934"/>
    <w:rsid w:val="6BD2260D"/>
    <w:rsid w:val="6BD3587A"/>
    <w:rsid w:val="6BD86F01"/>
    <w:rsid w:val="6BEC4DB1"/>
    <w:rsid w:val="6BF02587"/>
    <w:rsid w:val="6BF06CEF"/>
    <w:rsid w:val="6BF07195"/>
    <w:rsid w:val="6BF5715A"/>
    <w:rsid w:val="6BF94E42"/>
    <w:rsid w:val="6BFC2633"/>
    <w:rsid w:val="6C0A4481"/>
    <w:rsid w:val="6C0A737F"/>
    <w:rsid w:val="6C0E4447"/>
    <w:rsid w:val="6C114A6F"/>
    <w:rsid w:val="6C136B41"/>
    <w:rsid w:val="6C171153"/>
    <w:rsid w:val="6C1A17B0"/>
    <w:rsid w:val="6C201E87"/>
    <w:rsid w:val="6C2242E4"/>
    <w:rsid w:val="6C2471CC"/>
    <w:rsid w:val="6C2C2CDA"/>
    <w:rsid w:val="6C2D69BE"/>
    <w:rsid w:val="6C3118A0"/>
    <w:rsid w:val="6C352B60"/>
    <w:rsid w:val="6C365B58"/>
    <w:rsid w:val="6C3918BB"/>
    <w:rsid w:val="6C3C237F"/>
    <w:rsid w:val="6C3F2032"/>
    <w:rsid w:val="6C415269"/>
    <w:rsid w:val="6C417D7E"/>
    <w:rsid w:val="6C441487"/>
    <w:rsid w:val="6C4C3B13"/>
    <w:rsid w:val="6C504887"/>
    <w:rsid w:val="6C505E13"/>
    <w:rsid w:val="6C522A6E"/>
    <w:rsid w:val="6C531D06"/>
    <w:rsid w:val="6C5A1871"/>
    <w:rsid w:val="6C5A76D6"/>
    <w:rsid w:val="6C601482"/>
    <w:rsid w:val="6C646850"/>
    <w:rsid w:val="6C683613"/>
    <w:rsid w:val="6C7012B2"/>
    <w:rsid w:val="6C742807"/>
    <w:rsid w:val="6C7D4FCF"/>
    <w:rsid w:val="6C7E003F"/>
    <w:rsid w:val="6C802420"/>
    <w:rsid w:val="6C8514BC"/>
    <w:rsid w:val="6C9368A6"/>
    <w:rsid w:val="6C94416E"/>
    <w:rsid w:val="6C9854C4"/>
    <w:rsid w:val="6C987344"/>
    <w:rsid w:val="6C991825"/>
    <w:rsid w:val="6C994508"/>
    <w:rsid w:val="6C9F2CF6"/>
    <w:rsid w:val="6CA150BA"/>
    <w:rsid w:val="6CA33077"/>
    <w:rsid w:val="6CA916A8"/>
    <w:rsid w:val="6CC73E7F"/>
    <w:rsid w:val="6CD32ADC"/>
    <w:rsid w:val="6CD469F6"/>
    <w:rsid w:val="6CDB448E"/>
    <w:rsid w:val="6CDD25F0"/>
    <w:rsid w:val="6CE6448A"/>
    <w:rsid w:val="6CE751B3"/>
    <w:rsid w:val="6CF21078"/>
    <w:rsid w:val="6CF22A0D"/>
    <w:rsid w:val="6CF95798"/>
    <w:rsid w:val="6CFB1497"/>
    <w:rsid w:val="6D06388D"/>
    <w:rsid w:val="6D0B2A82"/>
    <w:rsid w:val="6D0B3EE8"/>
    <w:rsid w:val="6D0C6B6F"/>
    <w:rsid w:val="6D0C736B"/>
    <w:rsid w:val="6D0E08C5"/>
    <w:rsid w:val="6D0E25DA"/>
    <w:rsid w:val="6D0F4FB1"/>
    <w:rsid w:val="6D1378AB"/>
    <w:rsid w:val="6D196CE1"/>
    <w:rsid w:val="6D294397"/>
    <w:rsid w:val="6D48320F"/>
    <w:rsid w:val="6D495388"/>
    <w:rsid w:val="6D4A48C4"/>
    <w:rsid w:val="6D4B5581"/>
    <w:rsid w:val="6D4C4140"/>
    <w:rsid w:val="6D504FD7"/>
    <w:rsid w:val="6D664E65"/>
    <w:rsid w:val="6D706437"/>
    <w:rsid w:val="6D7343F4"/>
    <w:rsid w:val="6D860EF1"/>
    <w:rsid w:val="6D897659"/>
    <w:rsid w:val="6D8B5606"/>
    <w:rsid w:val="6D8D5BE7"/>
    <w:rsid w:val="6DA847F1"/>
    <w:rsid w:val="6DB16F6A"/>
    <w:rsid w:val="6DB742F9"/>
    <w:rsid w:val="6DCE2C85"/>
    <w:rsid w:val="6DD17B96"/>
    <w:rsid w:val="6DD62303"/>
    <w:rsid w:val="6DDC0FB6"/>
    <w:rsid w:val="6DDD5A49"/>
    <w:rsid w:val="6DDF754D"/>
    <w:rsid w:val="6DE917BA"/>
    <w:rsid w:val="6DF04D30"/>
    <w:rsid w:val="6E076BD0"/>
    <w:rsid w:val="6E093C5C"/>
    <w:rsid w:val="6E0C327A"/>
    <w:rsid w:val="6E0E0133"/>
    <w:rsid w:val="6E1176B9"/>
    <w:rsid w:val="6E121611"/>
    <w:rsid w:val="6E1514DC"/>
    <w:rsid w:val="6E20011E"/>
    <w:rsid w:val="6E257130"/>
    <w:rsid w:val="6E2E60E0"/>
    <w:rsid w:val="6E375275"/>
    <w:rsid w:val="6E3D54F7"/>
    <w:rsid w:val="6E3D68CE"/>
    <w:rsid w:val="6E43594F"/>
    <w:rsid w:val="6E464149"/>
    <w:rsid w:val="6E486320"/>
    <w:rsid w:val="6E4A5CF5"/>
    <w:rsid w:val="6E513B07"/>
    <w:rsid w:val="6E51534E"/>
    <w:rsid w:val="6E5556F6"/>
    <w:rsid w:val="6E577F27"/>
    <w:rsid w:val="6E6B2770"/>
    <w:rsid w:val="6E6F5A36"/>
    <w:rsid w:val="6E6F5EC6"/>
    <w:rsid w:val="6E7679A7"/>
    <w:rsid w:val="6E785ACB"/>
    <w:rsid w:val="6E7A6E47"/>
    <w:rsid w:val="6E7B04BD"/>
    <w:rsid w:val="6E7B2D8D"/>
    <w:rsid w:val="6E841BF5"/>
    <w:rsid w:val="6E881C94"/>
    <w:rsid w:val="6E8A3BC5"/>
    <w:rsid w:val="6E8E6BA7"/>
    <w:rsid w:val="6E903638"/>
    <w:rsid w:val="6E9432C9"/>
    <w:rsid w:val="6E9818FF"/>
    <w:rsid w:val="6E991D93"/>
    <w:rsid w:val="6EA31405"/>
    <w:rsid w:val="6EA57D5B"/>
    <w:rsid w:val="6EA62795"/>
    <w:rsid w:val="6EA7353C"/>
    <w:rsid w:val="6EAA4126"/>
    <w:rsid w:val="6EAC1849"/>
    <w:rsid w:val="6EAD64CB"/>
    <w:rsid w:val="6EB33CC8"/>
    <w:rsid w:val="6EB86D79"/>
    <w:rsid w:val="6EB95C61"/>
    <w:rsid w:val="6EC066F9"/>
    <w:rsid w:val="6EC06FC3"/>
    <w:rsid w:val="6EC132B1"/>
    <w:rsid w:val="6EC942F2"/>
    <w:rsid w:val="6ED14F23"/>
    <w:rsid w:val="6ED56D94"/>
    <w:rsid w:val="6EDD756E"/>
    <w:rsid w:val="6EE25B38"/>
    <w:rsid w:val="6EEC7F84"/>
    <w:rsid w:val="6EEF42DE"/>
    <w:rsid w:val="6EF043F6"/>
    <w:rsid w:val="6EF1468F"/>
    <w:rsid w:val="6EF3044D"/>
    <w:rsid w:val="6EF530A1"/>
    <w:rsid w:val="6EF95D64"/>
    <w:rsid w:val="6EFA5422"/>
    <w:rsid w:val="6F0664C1"/>
    <w:rsid w:val="6F085098"/>
    <w:rsid w:val="6F1378A3"/>
    <w:rsid w:val="6F154AE6"/>
    <w:rsid w:val="6F161DA9"/>
    <w:rsid w:val="6F1B2B08"/>
    <w:rsid w:val="6F1E2A7B"/>
    <w:rsid w:val="6F1E2AD6"/>
    <w:rsid w:val="6F290730"/>
    <w:rsid w:val="6F2A45AA"/>
    <w:rsid w:val="6F2F0361"/>
    <w:rsid w:val="6F366042"/>
    <w:rsid w:val="6F385849"/>
    <w:rsid w:val="6F4045CE"/>
    <w:rsid w:val="6F43752F"/>
    <w:rsid w:val="6F4632E7"/>
    <w:rsid w:val="6F4A5F2C"/>
    <w:rsid w:val="6F4C7376"/>
    <w:rsid w:val="6F506852"/>
    <w:rsid w:val="6F5B1D92"/>
    <w:rsid w:val="6F5C0BBA"/>
    <w:rsid w:val="6F6429C3"/>
    <w:rsid w:val="6F684202"/>
    <w:rsid w:val="6F6B2A36"/>
    <w:rsid w:val="6F7056EE"/>
    <w:rsid w:val="6F787304"/>
    <w:rsid w:val="6F7C2E7B"/>
    <w:rsid w:val="6F7D3980"/>
    <w:rsid w:val="6F7F75BF"/>
    <w:rsid w:val="6F81095A"/>
    <w:rsid w:val="6F815F0F"/>
    <w:rsid w:val="6F8A5598"/>
    <w:rsid w:val="6F907CBC"/>
    <w:rsid w:val="6F994FC3"/>
    <w:rsid w:val="6F9D556B"/>
    <w:rsid w:val="6FA05F0D"/>
    <w:rsid w:val="6FA40FBD"/>
    <w:rsid w:val="6FA52C10"/>
    <w:rsid w:val="6FA920AE"/>
    <w:rsid w:val="6FAA5C3A"/>
    <w:rsid w:val="6FAC28DD"/>
    <w:rsid w:val="6FAD533B"/>
    <w:rsid w:val="6FB05B0B"/>
    <w:rsid w:val="6FB40867"/>
    <w:rsid w:val="6FB51D19"/>
    <w:rsid w:val="6FB9221B"/>
    <w:rsid w:val="6FC37355"/>
    <w:rsid w:val="6FCC0F58"/>
    <w:rsid w:val="6FCF3E0A"/>
    <w:rsid w:val="6FD22687"/>
    <w:rsid w:val="6FDD5EAF"/>
    <w:rsid w:val="6FDE1D83"/>
    <w:rsid w:val="6FE119B9"/>
    <w:rsid w:val="6FE12A77"/>
    <w:rsid w:val="6FE949B4"/>
    <w:rsid w:val="6FF27D66"/>
    <w:rsid w:val="6FF5399F"/>
    <w:rsid w:val="6FF93C84"/>
    <w:rsid w:val="6FF944CB"/>
    <w:rsid w:val="70002350"/>
    <w:rsid w:val="7000585A"/>
    <w:rsid w:val="7006354C"/>
    <w:rsid w:val="70076BE8"/>
    <w:rsid w:val="700770A0"/>
    <w:rsid w:val="700D1D0E"/>
    <w:rsid w:val="700D5CF4"/>
    <w:rsid w:val="700E570C"/>
    <w:rsid w:val="70146F5A"/>
    <w:rsid w:val="70184F84"/>
    <w:rsid w:val="702159EF"/>
    <w:rsid w:val="7023042F"/>
    <w:rsid w:val="70247734"/>
    <w:rsid w:val="702F7850"/>
    <w:rsid w:val="70302060"/>
    <w:rsid w:val="70326667"/>
    <w:rsid w:val="7035669C"/>
    <w:rsid w:val="70377E6F"/>
    <w:rsid w:val="7039412A"/>
    <w:rsid w:val="7043050B"/>
    <w:rsid w:val="70482DE3"/>
    <w:rsid w:val="704C5AD8"/>
    <w:rsid w:val="704D0D05"/>
    <w:rsid w:val="704D1189"/>
    <w:rsid w:val="705931C7"/>
    <w:rsid w:val="705A3572"/>
    <w:rsid w:val="706856C8"/>
    <w:rsid w:val="70687328"/>
    <w:rsid w:val="70706F10"/>
    <w:rsid w:val="70777B6C"/>
    <w:rsid w:val="707D3FA2"/>
    <w:rsid w:val="707D4D7E"/>
    <w:rsid w:val="7085737F"/>
    <w:rsid w:val="708618C0"/>
    <w:rsid w:val="7087456D"/>
    <w:rsid w:val="708A3E3F"/>
    <w:rsid w:val="70931E70"/>
    <w:rsid w:val="70A33291"/>
    <w:rsid w:val="70A44B41"/>
    <w:rsid w:val="70AD38F3"/>
    <w:rsid w:val="70B02897"/>
    <w:rsid w:val="70B20091"/>
    <w:rsid w:val="70B52723"/>
    <w:rsid w:val="70BC0644"/>
    <w:rsid w:val="70BD7C14"/>
    <w:rsid w:val="70C20550"/>
    <w:rsid w:val="70C6066D"/>
    <w:rsid w:val="70C925B1"/>
    <w:rsid w:val="70CD1896"/>
    <w:rsid w:val="70D31804"/>
    <w:rsid w:val="70D425F3"/>
    <w:rsid w:val="70D80B1B"/>
    <w:rsid w:val="70DA7F54"/>
    <w:rsid w:val="70DB29ED"/>
    <w:rsid w:val="70DF74E1"/>
    <w:rsid w:val="70F02849"/>
    <w:rsid w:val="70F41D36"/>
    <w:rsid w:val="71043EBA"/>
    <w:rsid w:val="7105230D"/>
    <w:rsid w:val="710A6495"/>
    <w:rsid w:val="710F3934"/>
    <w:rsid w:val="71124BB1"/>
    <w:rsid w:val="711B1CE4"/>
    <w:rsid w:val="711F1595"/>
    <w:rsid w:val="71254EFF"/>
    <w:rsid w:val="71257102"/>
    <w:rsid w:val="71264FDA"/>
    <w:rsid w:val="712B4B58"/>
    <w:rsid w:val="712D3800"/>
    <w:rsid w:val="71306E04"/>
    <w:rsid w:val="71332DC2"/>
    <w:rsid w:val="71380F11"/>
    <w:rsid w:val="71385DEE"/>
    <w:rsid w:val="713D4675"/>
    <w:rsid w:val="713E57F4"/>
    <w:rsid w:val="7141418F"/>
    <w:rsid w:val="715E2F77"/>
    <w:rsid w:val="715F4802"/>
    <w:rsid w:val="7162147F"/>
    <w:rsid w:val="716404F1"/>
    <w:rsid w:val="71690381"/>
    <w:rsid w:val="716B1514"/>
    <w:rsid w:val="71707884"/>
    <w:rsid w:val="717178B3"/>
    <w:rsid w:val="717643C7"/>
    <w:rsid w:val="717938D8"/>
    <w:rsid w:val="71836742"/>
    <w:rsid w:val="718978AC"/>
    <w:rsid w:val="718A2427"/>
    <w:rsid w:val="718E3FD3"/>
    <w:rsid w:val="71902C0D"/>
    <w:rsid w:val="71A04FE3"/>
    <w:rsid w:val="71A23EBF"/>
    <w:rsid w:val="71A75045"/>
    <w:rsid w:val="71A94D89"/>
    <w:rsid w:val="71AA541B"/>
    <w:rsid w:val="71BA144C"/>
    <w:rsid w:val="71BB6EB3"/>
    <w:rsid w:val="71BB7BC0"/>
    <w:rsid w:val="71BC3298"/>
    <w:rsid w:val="71BF0AEE"/>
    <w:rsid w:val="71C24FA7"/>
    <w:rsid w:val="71CA79F7"/>
    <w:rsid w:val="71D177E1"/>
    <w:rsid w:val="71D353C3"/>
    <w:rsid w:val="71DA7C18"/>
    <w:rsid w:val="71DB3A54"/>
    <w:rsid w:val="71DF6A65"/>
    <w:rsid w:val="71DF6A69"/>
    <w:rsid w:val="71EE1350"/>
    <w:rsid w:val="71F153DB"/>
    <w:rsid w:val="720337ED"/>
    <w:rsid w:val="720359C7"/>
    <w:rsid w:val="72133F62"/>
    <w:rsid w:val="72163F2B"/>
    <w:rsid w:val="72205F72"/>
    <w:rsid w:val="722144EA"/>
    <w:rsid w:val="72233A82"/>
    <w:rsid w:val="722B365E"/>
    <w:rsid w:val="7230299A"/>
    <w:rsid w:val="7233656A"/>
    <w:rsid w:val="72414E18"/>
    <w:rsid w:val="72461B17"/>
    <w:rsid w:val="7246219B"/>
    <w:rsid w:val="724904F1"/>
    <w:rsid w:val="724C4346"/>
    <w:rsid w:val="72541F5C"/>
    <w:rsid w:val="72571065"/>
    <w:rsid w:val="725D17CA"/>
    <w:rsid w:val="72605C00"/>
    <w:rsid w:val="726269B9"/>
    <w:rsid w:val="726D6944"/>
    <w:rsid w:val="727E0C56"/>
    <w:rsid w:val="72806746"/>
    <w:rsid w:val="729006C4"/>
    <w:rsid w:val="7298385D"/>
    <w:rsid w:val="72A16A7D"/>
    <w:rsid w:val="72A91023"/>
    <w:rsid w:val="72B8241C"/>
    <w:rsid w:val="72B86369"/>
    <w:rsid w:val="72B8745F"/>
    <w:rsid w:val="72C0584E"/>
    <w:rsid w:val="72C13D5E"/>
    <w:rsid w:val="72C3794F"/>
    <w:rsid w:val="72C42615"/>
    <w:rsid w:val="72CE0048"/>
    <w:rsid w:val="72CF55DD"/>
    <w:rsid w:val="72D22C80"/>
    <w:rsid w:val="72D618E2"/>
    <w:rsid w:val="72D70A16"/>
    <w:rsid w:val="72DB2CB6"/>
    <w:rsid w:val="72E42B45"/>
    <w:rsid w:val="72E90827"/>
    <w:rsid w:val="72EE4F94"/>
    <w:rsid w:val="72EE637E"/>
    <w:rsid w:val="72EF3290"/>
    <w:rsid w:val="72F01BB6"/>
    <w:rsid w:val="72F06240"/>
    <w:rsid w:val="72F96A6D"/>
    <w:rsid w:val="72FA6C2B"/>
    <w:rsid w:val="73030993"/>
    <w:rsid w:val="73064D15"/>
    <w:rsid w:val="7315786E"/>
    <w:rsid w:val="73171838"/>
    <w:rsid w:val="731D5716"/>
    <w:rsid w:val="731E10E7"/>
    <w:rsid w:val="731F5F4E"/>
    <w:rsid w:val="731F774A"/>
    <w:rsid w:val="732075EA"/>
    <w:rsid w:val="732708D5"/>
    <w:rsid w:val="73277F63"/>
    <w:rsid w:val="73280DA0"/>
    <w:rsid w:val="732B3796"/>
    <w:rsid w:val="732B3D2D"/>
    <w:rsid w:val="732C61DC"/>
    <w:rsid w:val="732D3105"/>
    <w:rsid w:val="732D7DBA"/>
    <w:rsid w:val="73335F46"/>
    <w:rsid w:val="733A612A"/>
    <w:rsid w:val="733B6156"/>
    <w:rsid w:val="733C129F"/>
    <w:rsid w:val="733D635F"/>
    <w:rsid w:val="733E091D"/>
    <w:rsid w:val="73412411"/>
    <w:rsid w:val="73442AC9"/>
    <w:rsid w:val="73490EB6"/>
    <w:rsid w:val="734D2174"/>
    <w:rsid w:val="735C549D"/>
    <w:rsid w:val="735F00E2"/>
    <w:rsid w:val="735F02EA"/>
    <w:rsid w:val="735F32BD"/>
    <w:rsid w:val="735F78FC"/>
    <w:rsid w:val="73632E70"/>
    <w:rsid w:val="73685AE7"/>
    <w:rsid w:val="736967B2"/>
    <w:rsid w:val="73782D86"/>
    <w:rsid w:val="73793682"/>
    <w:rsid w:val="737C6E2F"/>
    <w:rsid w:val="737F01CC"/>
    <w:rsid w:val="73812055"/>
    <w:rsid w:val="73852C46"/>
    <w:rsid w:val="738D1994"/>
    <w:rsid w:val="739A12BD"/>
    <w:rsid w:val="739D7C9F"/>
    <w:rsid w:val="73AB1F81"/>
    <w:rsid w:val="73AD7B3F"/>
    <w:rsid w:val="73C71690"/>
    <w:rsid w:val="73C908D4"/>
    <w:rsid w:val="73CF1E23"/>
    <w:rsid w:val="73CF3B5C"/>
    <w:rsid w:val="73D5305E"/>
    <w:rsid w:val="73D678EC"/>
    <w:rsid w:val="73D73BD1"/>
    <w:rsid w:val="73DA2A93"/>
    <w:rsid w:val="73DC0984"/>
    <w:rsid w:val="73E42D5A"/>
    <w:rsid w:val="73E74D53"/>
    <w:rsid w:val="73ED2655"/>
    <w:rsid w:val="73F95753"/>
    <w:rsid w:val="73FB5A2B"/>
    <w:rsid w:val="7403480C"/>
    <w:rsid w:val="740D3898"/>
    <w:rsid w:val="740F4CA4"/>
    <w:rsid w:val="74105CDC"/>
    <w:rsid w:val="74127B91"/>
    <w:rsid w:val="74127D6E"/>
    <w:rsid w:val="74182D85"/>
    <w:rsid w:val="741F64E0"/>
    <w:rsid w:val="74276B4E"/>
    <w:rsid w:val="74285696"/>
    <w:rsid w:val="74297F0E"/>
    <w:rsid w:val="74344302"/>
    <w:rsid w:val="743554AC"/>
    <w:rsid w:val="74355F6C"/>
    <w:rsid w:val="74366164"/>
    <w:rsid w:val="743828A3"/>
    <w:rsid w:val="743C1D70"/>
    <w:rsid w:val="743E5B55"/>
    <w:rsid w:val="74497B3A"/>
    <w:rsid w:val="744A6416"/>
    <w:rsid w:val="744B344D"/>
    <w:rsid w:val="74522B4B"/>
    <w:rsid w:val="745237DB"/>
    <w:rsid w:val="74561C4F"/>
    <w:rsid w:val="74690512"/>
    <w:rsid w:val="746907DC"/>
    <w:rsid w:val="746B4E22"/>
    <w:rsid w:val="74700249"/>
    <w:rsid w:val="747C539A"/>
    <w:rsid w:val="7480089B"/>
    <w:rsid w:val="748051BB"/>
    <w:rsid w:val="748A25A0"/>
    <w:rsid w:val="74924B22"/>
    <w:rsid w:val="7492774C"/>
    <w:rsid w:val="74987C0F"/>
    <w:rsid w:val="749C2B79"/>
    <w:rsid w:val="749D5671"/>
    <w:rsid w:val="74A83421"/>
    <w:rsid w:val="74AB4EA6"/>
    <w:rsid w:val="74AE39EE"/>
    <w:rsid w:val="74AF0B63"/>
    <w:rsid w:val="74B01101"/>
    <w:rsid w:val="74B8287E"/>
    <w:rsid w:val="74B9188B"/>
    <w:rsid w:val="74B94B70"/>
    <w:rsid w:val="74BA3143"/>
    <w:rsid w:val="74BD4185"/>
    <w:rsid w:val="74C27206"/>
    <w:rsid w:val="74C43285"/>
    <w:rsid w:val="74C84C24"/>
    <w:rsid w:val="74CC09E4"/>
    <w:rsid w:val="74CD6C2B"/>
    <w:rsid w:val="74D03B5B"/>
    <w:rsid w:val="74D47F61"/>
    <w:rsid w:val="74D55403"/>
    <w:rsid w:val="74D715D2"/>
    <w:rsid w:val="74D84421"/>
    <w:rsid w:val="74DD17E9"/>
    <w:rsid w:val="74DD33CD"/>
    <w:rsid w:val="74E15DF1"/>
    <w:rsid w:val="74E43A91"/>
    <w:rsid w:val="74E91B15"/>
    <w:rsid w:val="74EB4B62"/>
    <w:rsid w:val="74F155F7"/>
    <w:rsid w:val="74F31E31"/>
    <w:rsid w:val="74F52356"/>
    <w:rsid w:val="74F7779C"/>
    <w:rsid w:val="74F77A28"/>
    <w:rsid w:val="74F92A23"/>
    <w:rsid w:val="7501360F"/>
    <w:rsid w:val="750307CC"/>
    <w:rsid w:val="75074A05"/>
    <w:rsid w:val="750C7BBC"/>
    <w:rsid w:val="75103482"/>
    <w:rsid w:val="7516629F"/>
    <w:rsid w:val="751F0F18"/>
    <w:rsid w:val="75220020"/>
    <w:rsid w:val="7527212C"/>
    <w:rsid w:val="752F3C0D"/>
    <w:rsid w:val="7538148C"/>
    <w:rsid w:val="75393465"/>
    <w:rsid w:val="75403DF3"/>
    <w:rsid w:val="7541332D"/>
    <w:rsid w:val="75443B78"/>
    <w:rsid w:val="754C3E28"/>
    <w:rsid w:val="754D1420"/>
    <w:rsid w:val="755224CE"/>
    <w:rsid w:val="75533D8A"/>
    <w:rsid w:val="75572C76"/>
    <w:rsid w:val="755831F7"/>
    <w:rsid w:val="75603FDF"/>
    <w:rsid w:val="756A75D3"/>
    <w:rsid w:val="75700484"/>
    <w:rsid w:val="757220A4"/>
    <w:rsid w:val="757C5983"/>
    <w:rsid w:val="757E0BA8"/>
    <w:rsid w:val="757E2F6B"/>
    <w:rsid w:val="757E756E"/>
    <w:rsid w:val="75840190"/>
    <w:rsid w:val="7586114C"/>
    <w:rsid w:val="758626CB"/>
    <w:rsid w:val="75933A19"/>
    <w:rsid w:val="75944BD7"/>
    <w:rsid w:val="75974B6F"/>
    <w:rsid w:val="75975F78"/>
    <w:rsid w:val="75A062DE"/>
    <w:rsid w:val="75AE4B54"/>
    <w:rsid w:val="75B311C3"/>
    <w:rsid w:val="75C1557B"/>
    <w:rsid w:val="75C57DD8"/>
    <w:rsid w:val="75C81DD2"/>
    <w:rsid w:val="75D66BDB"/>
    <w:rsid w:val="75E00A02"/>
    <w:rsid w:val="75E22EA2"/>
    <w:rsid w:val="75E722D5"/>
    <w:rsid w:val="75F0011F"/>
    <w:rsid w:val="75F2229F"/>
    <w:rsid w:val="75F42EC0"/>
    <w:rsid w:val="75F60B30"/>
    <w:rsid w:val="75F714AD"/>
    <w:rsid w:val="75F75951"/>
    <w:rsid w:val="75FF2103"/>
    <w:rsid w:val="76041F8B"/>
    <w:rsid w:val="76052539"/>
    <w:rsid w:val="7608051D"/>
    <w:rsid w:val="76085CDD"/>
    <w:rsid w:val="76114870"/>
    <w:rsid w:val="76216387"/>
    <w:rsid w:val="762802B3"/>
    <w:rsid w:val="76290195"/>
    <w:rsid w:val="763220F3"/>
    <w:rsid w:val="763406CC"/>
    <w:rsid w:val="764010A6"/>
    <w:rsid w:val="76403EEE"/>
    <w:rsid w:val="76430CF6"/>
    <w:rsid w:val="76444440"/>
    <w:rsid w:val="764E6ACD"/>
    <w:rsid w:val="765607F1"/>
    <w:rsid w:val="76562678"/>
    <w:rsid w:val="76594CF0"/>
    <w:rsid w:val="765C2BA3"/>
    <w:rsid w:val="765F3B81"/>
    <w:rsid w:val="76680883"/>
    <w:rsid w:val="76697525"/>
    <w:rsid w:val="766C7064"/>
    <w:rsid w:val="766E0DC1"/>
    <w:rsid w:val="76714747"/>
    <w:rsid w:val="767818C2"/>
    <w:rsid w:val="76784911"/>
    <w:rsid w:val="767A2B37"/>
    <w:rsid w:val="767B2FE7"/>
    <w:rsid w:val="76805425"/>
    <w:rsid w:val="768076F4"/>
    <w:rsid w:val="76832D47"/>
    <w:rsid w:val="768B5DC4"/>
    <w:rsid w:val="76915E1C"/>
    <w:rsid w:val="76947BF8"/>
    <w:rsid w:val="769D389F"/>
    <w:rsid w:val="76A8171E"/>
    <w:rsid w:val="76AF71BD"/>
    <w:rsid w:val="76BA2576"/>
    <w:rsid w:val="76BC61A3"/>
    <w:rsid w:val="76CF7544"/>
    <w:rsid w:val="76D0242A"/>
    <w:rsid w:val="76D325D0"/>
    <w:rsid w:val="76D505F5"/>
    <w:rsid w:val="76D51757"/>
    <w:rsid w:val="76D64F23"/>
    <w:rsid w:val="76DC0C05"/>
    <w:rsid w:val="76E557A9"/>
    <w:rsid w:val="76E56E55"/>
    <w:rsid w:val="76E73438"/>
    <w:rsid w:val="76E957FA"/>
    <w:rsid w:val="76EE0562"/>
    <w:rsid w:val="76EE2280"/>
    <w:rsid w:val="76F54799"/>
    <w:rsid w:val="76F56B05"/>
    <w:rsid w:val="76F91F92"/>
    <w:rsid w:val="76F94957"/>
    <w:rsid w:val="76FB67AB"/>
    <w:rsid w:val="7700485E"/>
    <w:rsid w:val="770E6AAE"/>
    <w:rsid w:val="77166ABB"/>
    <w:rsid w:val="77180D67"/>
    <w:rsid w:val="772072B5"/>
    <w:rsid w:val="772A3AE4"/>
    <w:rsid w:val="7736593E"/>
    <w:rsid w:val="773A3875"/>
    <w:rsid w:val="773C1C0E"/>
    <w:rsid w:val="7744314B"/>
    <w:rsid w:val="7746543E"/>
    <w:rsid w:val="77482D29"/>
    <w:rsid w:val="77503315"/>
    <w:rsid w:val="77552B9D"/>
    <w:rsid w:val="77592289"/>
    <w:rsid w:val="77650792"/>
    <w:rsid w:val="776668EA"/>
    <w:rsid w:val="776709B5"/>
    <w:rsid w:val="7769323E"/>
    <w:rsid w:val="776A66E6"/>
    <w:rsid w:val="776C138C"/>
    <w:rsid w:val="77777E8B"/>
    <w:rsid w:val="777C61F3"/>
    <w:rsid w:val="777F1B75"/>
    <w:rsid w:val="77854826"/>
    <w:rsid w:val="77887E1F"/>
    <w:rsid w:val="779111A1"/>
    <w:rsid w:val="77A10873"/>
    <w:rsid w:val="77AC2DFE"/>
    <w:rsid w:val="77B061D0"/>
    <w:rsid w:val="77B2559F"/>
    <w:rsid w:val="77B50A0E"/>
    <w:rsid w:val="77B54DC9"/>
    <w:rsid w:val="77B63C0B"/>
    <w:rsid w:val="77B74A88"/>
    <w:rsid w:val="77B82D36"/>
    <w:rsid w:val="77BF5FFA"/>
    <w:rsid w:val="77CC1E00"/>
    <w:rsid w:val="77E3380B"/>
    <w:rsid w:val="77EA30BD"/>
    <w:rsid w:val="77EB6A8A"/>
    <w:rsid w:val="77EB7B02"/>
    <w:rsid w:val="77ED1BEA"/>
    <w:rsid w:val="77F11B43"/>
    <w:rsid w:val="77F70518"/>
    <w:rsid w:val="77FA5414"/>
    <w:rsid w:val="77FD798D"/>
    <w:rsid w:val="780104EC"/>
    <w:rsid w:val="78024ECD"/>
    <w:rsid w:val="7807209D"/>
    <w:rsid w:val="780F55B9"/>
    <w:rsid w:val="780F64A6"/>
    <w:rsid w:val="78106C6D"/>
    <w:rsid w:val="781528BF"/>
    <w:rsid w:val="781B384F"/>
    <w:rsid w:val="781F103C"/>
    <w:rsid w:val="78237D85"/>
    <w:rsid w:val="78240B68"/>
    <w:rsid w:val="782600E5"/>
    <w:rsid w:val="782819B6"/>
    <w:rsid w:val="78295474"/>
    <w:rsid w:val="782E7802"/>
    <w:rsid w:val="782F1EFA"/>
    <w:rsid w:val="78310267"/>
    <w:rsid w:val="783A3005"/>
    <w:rsid w:val="783A5315"/>
    <w:rsid w:val="783C79AD"/>
    <w:rsid w:val="78433944"/>
    <w:rsid w:val="78470F94"/>
    <w:rsid w:val="78506296"/>
    <w:rsid w:val="785229AC"/>
    <w:rsid w:val="78526BB1"/>
    <w:rsid w:val="78536AF7"/>
    <w:rsid w:val="78621B07"/>
    <w:rsid w:val="78690F47"/>
    <w:rsid w:val="78692552"/>
    <w:rsid w:val="786D40E6"/>
    <w:rsid w:val="787212BF"/>
    <w:rsid w:val="787C2F5E"/>
    <w:rsid w:val="787C35D6"/>
    <w:rsid w:val="788D0EB9"/>
    <w:rsid w:val="78915591"/>
    <w:rsid w:val="789B6A68"/>
    <w:rsid w:val="789D682D"/>
    <w:rsid w:val="789E3A8C"/>
    <w:rsid w:val="789F1F48"/>
    <w:rsid w:val="78A20485"/>
    <w:rsid w:val="78A25098"/>
    <w:rsid w:val="78A833D9"/>
    <w:rsid w:val="78AB3B50"/>
    <w:rsid w:val="78AB3CE1"/>
    <w:rsid w:val="78B55333"/>
    <w:rsid w:val="78BB1CE2"/>
    <w:rsid w:val="78BE4E3D"/>
    <w:rsid w:val="78BF7039"/>
    <w:rsid w:val="78C9047F"/>
    <w:rsid w:val="78D51EEC"/>
    <w:rsid w:val="78D63CFA"/>
    <w:rsid w:val="78DE6ADA"/>
    <w:rsid w:val="78E462BE"/>
    <w:rsid w:val="78EC6147"/>
    <w:rsid w:val="78F93B8F"/>
    <w:rsid w:val="78FB4ABB"/>
    <w:rsid w:val="78FD0F21"/>
    <w:rsid w:val="78FE16F1"/>
    <w:rsid w:val="79012111"/>
    <w:rsid w:val="79057967"/>
    <w:rsid w:val="790749BC"/>
    <w:rsid w:val="790A4903"/>
    <w:rsid w:val="791123BF"/>
    <w:rsid w:val="79134850"/>
    <w:rsid w:val="791407B6"/>
    <w:rsid w:val="79167DFB"/>
    <w:rsid w:val="791F77FC"/>
    <w:rsid w:val="79236A25"/>
    <w:rsid w:val="7924594A"/>
    <w:rsid w:val="792720A9"/>
    <w:rsid w:val="792B57CD"/>
    <w:rsid w:val="79303F10"/>
    <w:rsid w:val="7932612A"/>
    <w:rsid w:val="79331D91"/>
    <w:rsid w:val="793927C7"/>
    <w:rsid w:val="793B7903"/>
    <w:rsid w:val="7941531A"/>
    <w:rsid w:val="794160D1"/>
    <w:rsid w:val="794530F9"/>
    <w:rsid w:val="79476F53"/>
    <w:rsid w:val="79481416"/>
    <w:rsid w:val="794873CE"/>
    <w:rsid w:val="794A2BB3"/>
    <w:rsid w:val="794C3108"/>
    <w:rsid w:val="794C6C15"/>
    <w:rsid w:val="794F114D"/>
    <w:rsid w:val="79537A79"/>
    <w:rsid w:val="795822A4"/>
    <w:rsid w:val="79645221"/>
    <w:rsid w:val="796C5854"/>
    <w:rsid w:val="797015A1"/>
    <w:rsid w:val="79783AAA"/>
    <w:rsid w:val="797F13CC"/>
    <w:rsid w:val="798C4E9C"/>
    <w:rsid w:val="79972DB7"/>
    <w:rsid w:val="7998268C"/>
    <w:rsid w:val="799847D7"/>
    <w:rsid w:val="799D7146"/>
    <w:rsid w:val="799E680F"/>
    <w:rsid w:val="79A328AA"/>
    <w:rsid w:val="79AA1FC9"/>
    <w:rsid w:val="79AA575B"/>
    <w:rsid w:val="79B471DA"/>
    <w:rsid w:val="79BB1D8B"/>
    <w:rsid w:val="79BB5EA7"/>
    <w:rsid w:val="79C066F7"/>
    <w:rsid w:val="79C10C4C"/>
    <w:rsid w:val="79C9227A"/>
    <w:rsid w:val="79C94E0D"/>
    <w:rsid w:val="79CE5CB5"/>
    <w:rsid w:val="79D16099"/>
    <w:rsid w:val="79D2552E"/>
    <w:rsid w:val="79D51B05"/>
    <w:rsid w:val="79D6394B"/>
    <w:rsid w:val="79DD0E04"/>
    <w:rsid w:val="79E07E4A"/>
    <w:rsid w:val="79E47FF3"/>
    <w:rsid w:val="79EB7EC7"/>
    <w:rsid w:val="79EF7533"/>
    <w:rsid w:val="79F237AD"/>
    <w:rsid w:val="7A025E33"/>
    <w:rsid w:val="7A0344E2"/>
    <w:rsid w:val="7A0547A5"/>
    <w:rsid w:val="7A140880"/>
    <w:rsid w:val="7A155ADF"/>
    <w:rsid w:val="7A197EEF"/>
    <w:rsid w:val="7A1F411B"/>
    <w:rsid w:val="7A233866"/>
    <w:rsid w:val="7A27424F"/>
    <w:rsid w:val="7A294988"/>
    <w:rsid w:val="7A2B454D"/>
    <w:rsid w:val="7A317848"/>
    <w:rsid w:val="7A356BD9"/>
    <w:rsid w:val="7A392099"/>
    <w:rsid w:val="7A3E2666"/>
    <w:rsid w:val="7A4B5D2D"/>
    <w:rsid w:val="7A5216AD"/>
    <w:rsid w:val="7A524FFA"/>
    <w:rsid w:val="7A532B6E"/>
    <w:rsid w:val="7A543119"/>
    <w:rsid w:val="7A580CBC"/>
    <w:rsid w:val="7A6335B5"/>
    <w:rsid w:val="7A657EA0"/>
    <w:rsid w:val="7A6A1EE6"/>
    <w:rsid w:val="7A6F5AB6"/>
    <w:rsid w:val="7A711524"/>
    <w:rsid w:val="7A721A4A"/>
    <w:rsid w:val="7A7817F2"/>
    <w:rsid w:val="7A8A4A55"/>
    <w:rsid w:val="7A8F485D"/>
    <w:rsid w:val="7A94741C"/>
    <w:rsid w:val="7A97391C"/>
    <w:rsid w:val="7AA01B0A"/>
    <w:rsid w:val="7AA23744"/>
    <w:rsid w:val="7AA30283"/>
    <w:rsid w:val="7AAF7948"/>
    <w:rsid w:val="7ABA76A7"/>
    <w:rsid w:val="7ABC7695"/>
    <w:rsid w:val="7AC70EA4"/>
    <w:rsid w:val="7ACD4328"/>
    <w:rsid w:val="7AD01F98"/>
    <w:rsid w:val="7AD13889"/>
    <w:rsid w:val="7AD46813"/>
    <w:rsid w:val="7ADC503B"/>
    <w:rsid w:val="7ADF15AD"/>
    <w:rsid w:val="7AE120C4"/>
    <w:rsid w:val="7AE26091"/>
    <w:rsid w:val="7AE35E8A"/>
    <w:rsid w:val="7AE5381B"/>
    <w:rsid w:val="7AE53D22"/>
    <w:rsid w:val="7AE829C5"/>
    <w:rsid w:val="7AEB0534"/>
    <w:rsid w:val="7AEC22FB"/>
    <w:rsid w:val="7AEF1577"/>
    <w:rsid w:val="7AEF6BF7"/>
    <w:rsid w:val="7AF012F9"/>
    <w:rsid w:val="7AF045B5"/>
    <w:rsid w:val="7AF33FC1"/>
    <w:rsid w:val="7AF8171E"/>
    <w:rsid w:val="7AF85891"/>
    <w:rsid w:val="7AF96873"/>
    <w:rsid w:val="7AFB7F56"/>
    <w:rsid w:val="7B08791E"/>
    <w:rsid w:val="7B0B4C26"/>
    <w:rsid w:val="7B113120"/>
    <w:rsid w:val="7B1168A9"/>
    <w:rsid w:val="7B16687D"/>
    <w:rsid w:val="7B1A4E11"/>
    <w:rsid w:val="7B1B4FEB"/>
    <w:rsid w:val="7B2364C0"/>
    <w:rsid w:val="7B24470B"/>
    <w:rsid w:val="7B337241"/>
    <w:rsid w:val="7B3E014C"/>
    <w:rsid w:val="7B440CFC"/>
    <w:rsid w:val="7B4E7E3B"/>
    <w:rsid w:val="7B506A29"/>
    <w:rsid w:val="7B5348F9"/>
    <w:rsid w:val="7B580C40"/>
    <w:rsid w:val="7B5A5AD3"/>
    <w:rsid w:val="7B5A6766"/>
    <w:rsid w:val="7B607B5F"/>
    <w:rsid w:val="7B631ADC"/>
    <w:rsid w:val="7B6C42EB"/>
    <w:rsid w:val="7B6D6151"/>
    <w:rsid w:val="7B6E6AE7"/>
    <w:rsid w:val="7B7B1469"/>
    <w:rsid w:val="7B7C356E"/>
    <w:rsid w:val="7B7C4082"/>
    <w:rsid w:val="7B820148"/>
    <w:rsid w:val="7B821743"/>
    <w:rsid w:val="7B826E3E"/>
    <w:rsid w:val="7B847A8A"/>
    <w:rsid w:val="7B9003DA"/>
    <w:rsid w:val="7B925CCA"/>
    <w:rsid w:val="7B971FAA"/>
    <w:rsid w:val="7BA06143"/>
    <w:rsid w:val="7BB217F7"/>
    <w:rsid w:val="7BB341E4"/>
    <w:rsid w:val="7BBA7205"/>
    <w:rsid w:val="7BBC11CF"/>
    <w:rsid w:val="7BC437E7"/>
    <w:rsid w:val="7BC550AC"/>
    <w:rsid w:val="7BD01353"/>
    <w:rsid w:val="7BD63726"/>
    <w:rsid w:val="7BD7386C"/>
    <w:rsid w:val="7BD74EAB"/>
    <w:rsid w:val="7BDB29CB"/>
    <w:rsid w:val="7BDC361F"/>
    <w:rsid w:val="7BE073E4"/>
    <w:rsid w:val="7BE167A8"/>
    <w:rsid w:val="7BE552CE"/>
    <w:rsid w:val="7BE81177"/>
    <w:rsid w:val="7BED6B5B"/>
    <w:rsid w:val="7BEE15CE"/>
    <w:rsid w:val="7BF56759"/>
    <w:rsid w:val="7BF63E4B"/>
    <w:rsid w:val="7BFD23FE"/>
    <w:rsid w:val="7BFE6CF7"/>
    <w:rsid w:val="7C01687D"/>
    <w:rsid w:val="7C075514"/>
    <w:rsid w:val="7C093CE8"/>
    <w:rsid w:val="7C0D2D5B"/>
    <w:rsid w:val="7C13579D"/>
    <w:rsid w:val="7C1A5021"/>
    <w:rsid w:val="7C1B6C68"/>
    <w:rsid w:val="7C1D74D6"/>
    <w:rsid w:val="7C1F420D"/>
    <w:rsid w:val="7C2231ED"/>
    <w:rsid w:val="7C2C0C23"/>
    <w:rsid w:val="7C2E0B57"/>
    <w:rsid w:val="7C322918"/>
    <w:rsid w:val="7C3860A1"/>
    <w:rsid w:val="7C476D8C"/>
    <w:rsid w:val="7C4C190A"/>
    <w:rsid w:val="7C4C54F4"/>
    <w:rsid w:val="7C4D4FBF"/>
    <w:rsid w:val="7C4D7B2B"/>
    <w:rsid w:val="7C58594A"/>
    <w:rsid w:val="7C5D08D4"/>
    <w:rsid w:val="7C606D2C"/>
    <w:rsid w:val="7C607BBF"/>
    <w:rsid w:val="7C66281A"/>
    <w:rsid w:val="7C6756A8"/>
    <w:rsid w:val="7C7519A6"/>
    <w:rsid w:val="7C851933"/>
    <w:rsid w:val="7C8F1C48"/>
    <w:rsid w:val="7C934AB7"/>
    <w:rsid w:val="7C940EC7"/>
    <w:rsid w:val="7C9576D2"/>
    <w:rsid w:val="7C9B6EAB"/>
    <w:rsid w:val="7C9E6B26"/>
    <w:rsid w:val="7CA1331E"/>
    <w:rsid w:val="7CA3537F"/>
    <w:rsid w:val="7CAB21F2"/>
    <w:rsid w:val="7CB71255"/>
    <w:rsid w:val="7CBA2422"/>
    <w:rsid w:val="7CBB49FB"/>
    <w:rsid w:val="7CBC40B8"/>
    <w:rsid w:val="7CBC7FB2"/>
    <w:rsid w:val="7CBD52B4"/>
    <w:rsid w:val="7CCB3D06"/>
    <w:rsid w:val="7CD8605A"/>
    <w:rsid w:val="7CD9190C"/>
    <w:rsid w:val="7CDB4082"/>
    <w:rsid w:val="7CDD0A74"/>
    <w:rsid w:val="7CDF6262"/>
    <w:rsid w:val="7CE25BA9"/>
    <w:rsid w:val="7CE37367"/>
    <w:rsid w:val="7CF64FFC"/>
    <w:rsid w:val="7CFD01CF"/>
    <w:rsid w:val="7D04304C"/>
    <w:rsid w:val="7D084EF7"/>
    <w:rsid w:val="7D0959F5"/>
    <w:rsid w:val="7D0E4148"/>
    <w:rsid w:val="7D0F5EA2"/>
    <w:rsid w:val="7D161B1F"/>
    <w:rsid w:val="7D1A67B9"/>
    <w:rsid w:val="7D21073C"/>
    <w:rsid w:val="7D2210C8"/>
    <w:rsid w:val="7D2735C5"/>
    <w:rsid w:val="7D297ADB"/>
    <w:rsid w:val="7D2C4708"/>
    <w:rsid w:val="7D3803D7"/>
    <w:rsid w:val="7D397F8C"/>
    <w:rsid w:val="7D3A6C63"/>
    <w:rsid w:val="7D401A43"/>
    <w:rsid w:val="7D453719"/>
    <w:rsid w:val="7D467A78"/>
    <w:rsid w:val="7D510BF8"/>
    <w:rsid w:val="7D56072F"/>
    <w:rsid w:val="7D5C3396"/>
    <w:rsid w:val="7D5D7CCC"/>
    <w:rsid w:val="7D5E09AC"/>
    <w:rsid w:val="7D5F766E"/>
    <w:rsid w:val="7D6405A2"/>
    <w:rsid w:val="7D6513F2"/>
    <w:rsid w:val="7D6D2B6B"/>
    <w:rsid w:val="7D796099"/>
    <w:rsid w:val="7D7D743F"/>
    <w:rsid w:val="7D832D44"/>
    <w:rsid w:val="7D8711C3"/>
    <w:rsid w:val="7D887CE6"/>
    <w:rsid w:val="7D8D2BC5"/>
    <w:rsid w:val="7D922DBB"/>
    <w:rsid w:val="7DA301D8"/>
    <w:rsid w:val="7DBB33AA"/>
    <w:rsid w:val="7DBF0BB2"/>
    <w:rsid w:val="7DC42184"/>
    <w:rsid w:val="7DC93724"/>
    <w:rsid w:val="7DCC485C"/>
    <w:rsid w:val="7DCF35BA"/>
    <w:rsid w:val="7DD5372D"/>
    <w:rsid w:val="7DDE731B"/>
    <w:rsid w:val="7DDF172D"/>
    <w:rsid w:val="7DEC570F"/>
    <w:rsid w:val="7DF0341D"/>
    <w:rsid w:val="7DF7489C"/>
    <w:rsid w:val="7DF901D8"/>
    <w:rsid w:val="7DFA4C46"/>
    <w:rsid w:val="7DFD21D7"/>
    <w:rsid w:val="7E01666E"/>
    <w:rsid w:val="7E0212A1"/>
    <w:rsid w:val="7E041741"/>
    <w:rsid w:val="7E055EE1"/>
    <w:rsid w:val="7E095F97"/>
    <w:rsid w:val="7E0B4528"/>
    <w:rsid w:val="7E0B63F7"/>
    <w:rsid w:val="7E0D389A"/>
    <w:rsid w:val="7E1C5F55"/>
    <w:rsid w:val="7E217EFC"/>
    <w:rsid w:val="7E2D4218"/>
    <w:rsid w:val="7E3039CD"/>
    <w:rsid w:val="7E3E785A"/>
    <w:rsid w:val="7E3F1C43"/>
    <w:rsid w:val="7E420F5B"/>
    <w:rsid w:val="7E431F37"/>
    <w:rsid w:val="7E495B86"/>
    <w:rsid w:val="7E4A15D1"/>
    <w:rsid w:val="7E534F52"/>
    <w:rsid w:val="7E535226"/>
    <w:rsid w:val="7E57592C"/>
    <w:rsid w:val="7E584AB3"/>
    <w:rsid w:val="7E585E0E"/>
    <w:rsid w:val="7E5A5EB6"/>
    <w:rsid w:val="7E5D24BC"/>
    <w:rsid w:val="7E661A82"/>
    <w:rsid w:val="7E6D5430"/>
    <w:rsid w:val="7E6F1098"/>
    <w:rsid w:val="7E7044F2"/>
    <w:rsid w:val="7E755665"/>
    <w:rsid w:val="7E80283D"/>
    <w:rsid w:val="7E824DF6"/>
    <w:rsid w:val="7E875255"/>
    <w:rsid w:val="7E9A3766"/>
    <w:rsid w:val="7E9C4B8F"/>
    <w:rsid w:val="7E9D6726"/>
    <w:rsid w:val="7EA26653"/>
    <w:rsid w:val="7EA8467A"/>
    <w:rsid w:val="7EAE6DDB"/>
    <w:rsid w:val="7EB01205"/>
    <w:rsid w:val="7EB01FDC"/>
    <w:rsid w:val="7EB640A0"/>
    <w:rsid w:val="7EC30D6B"/>
    <w:rsid w:val="7EC31200"/>
    <w:rsid w:val="7EC63D26"/>
    <w:rsid w:val="7EC6435A"/>
    <w:rsid w:val="7ECF1E1F"/>
    <w:rsid w:val="7ECF4F2D"/>
    <w:rsid w:val="7ED33124"/>
    <w:rsid w:val="7ED523B9"/>
    <w:rsid w:val="7ED56FFA"/>
    <w:rsid w:val="7EDA3CD5"/>
    <w:rsid w:val="7EDB2F51"/>
    <w:rsid w:val="7EDB7BBE"/>
    <w:rsid w:val="7EE175A8"/>
    <w:rsid w:val="7EE17752"/>
    <w:rsid w:val="7EE93056"/>
    <w:rsid w:val="7EF14A8E"/>
    <w:rsid w:val="7EFC7B34"/>
    <w:rsid w:val="7F061002"/>
    <w:rsid w:val="7F076C05"/>
    <w:rsid w:val="7F0D062E"/>
    <w:rsid w:val="7F173B2F"/>
    <w:rsid w:val="7F1E7DC0"/>
    <w:rsid w:val="7F202CCC"/>
    <w:rsid w:val="7F207FF4"/>
    <w:rsid w:val="7F243AD8"/>
    <w:rsid w:val="7F244CB3"/>
    <w:rsid w:val="7F2C0419"/>
    <w:rsid w:val="7F313DAF"/>
    <w:rsid w:val="7F3A2AF2"/>
    <w:rsid w:val="7F3C1055"/>
    <w:rsid w:val="7F3D246C"/>
    <w:rsid w:val="7F494D54"/>
    <w:rsid w:val="7F592109"/>
    <w:rsid w:val="7F5A0C56"/>
    <w:rsid w:val="7F6B1BBD"/>
    <w:rsid w:val="7F700858"/>
    <w:rsid w:val="7F737E3D"/>
    <w:rsid w:val="7F7A29D8"/>
    <w:rsid w:val="7F880C19"/>
    <w:rsid w:val="7F8828A7"/>
    <w:rsid w:val="7F8A609B"/>
    <w:rsid w:val="7F8D5082"/>
    <w:rsid w:val="7F8F6269"/>
    <w:rsid w:val="7F9A1DCB"/>
    <w:rsid w:val="7F9B093D"/>
    <w:rsid w:val="7F9C7BD2"/>
    <w:rsid w:val="7FA01878"/>
    <w:rsid w:val="7FA134F4"/>
    <w:rsid w:val="7FA237FE"/>
    <w:rsid w:val="7FA83872"/>
    <w:rsid w:val="7FAB7F3D"/>
    <w:rsid w:val="7FB15428"/>
    <w:rsid w:val="7FB56B75"/>
    <w:rsid w:val="7FB64187"/>
    <w:rsid w:val="7FC05006"/>
    <w:rsid w:val="7FC31CBC"/>
    <w:rsid w:val="7FC8224C"/>
    <w:rsid w:val="7FCA48B6"/>
    <w:rsid w:val="7FCC0473"/>
    <w:rsid w:val="7FCF19B5"/>
    <w:rsid w:val="7FD15A06"/>
    <w:rsid w:val="7FD24D80"/>
    <w:rsid w:val="7FD64829"/>
    <w:rsid w:val="7FE5421D"/>
    <w:rsid w:val="7FEE0E00"/>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7"/>
    <w:qFormat/>
    <w:uiPriority w:val="0"/>
    <w:pPr>
      <w:jc w:val="center"/>
      <w:outlineLvl w:val="0"/>
    </w:pPr>
    <w:rPr>
      <w:rFonts w:ascii="宋体" w:hAnsi="宋体"/>
      <w:b/>
      <w:sz w:val="36"/>
    </w:rPr>
  </w:style>
  <w:style w:type="paragraph" w:styleId="3">
    <w:name w:val="heading 2"/>
    <w:basedOn w:val="1"/>
    <w:next w:val="1"/>
    <w:link w:val="217"/>
    <w:qFormat/>
    <w:uiPriority w:val="0"/>
    <w:pPr>
      <w:spacing w:line="360" w:lineRule="auto"/>
      <w:jc w:val="center"/>
      <w:outlineLvl w:val="1"/>
    </w:pPr>
    <w:rPr>
      <w:rFonts w:ascii="Arial" w:hAnsi="Arial" w:eastAsia="黑体"/>
      <w:b/>
      <w:bCs/>
      <w:kern w:val="0"/>
      <w:sz w:val="32"/>
      <w:szCs w:val="32"/>
    </w:rPr>
  </w:style>
  <w:style w:type="paragraph" w:styleId="4">
    <w:name w:val="heading 3"/>
    <w:basedOn w:val="1"/>
    <w:next w:val="1"/>
    <w:link w:val="187"/>
    <w:qFormat/>
    <w:uiPriority w:val="0"/>
    <w:pPr>
      <w:keepNext/>
      <w:keepLines/>
      <w:autoSpaceDE w:val="0"/>
      <w:autoSpaceDN w:val="0"/>
      <w:adjustRightInd w:val="0"/>
      <w:spacing w:before="360" w:after="120"/>
      <w:jc w:val="left"/>
      <w:outlineLvl w:val="2"/>
    </w:pPr>
    <w:rPr>
      <w:rFonts w:ascii="宋体"/>
      <w:b/>
      <w:sz w:val="24"/>
      <w:u w:val="single"/>
    </w:rPr>
  </w:style>
  <w:style w:type="paragraph" w:styleId="5">
    <w:name w:val="heading 4"/>
    <w:basedOn w:val="1"/>
    <w:next w:val="1"/>
    <w:link w:val="226"/>
    <w:qFormat/>
    <w:uiPriority w:val="0"/>
    <w:pPr>
      <w:keepNext/>
      <w:outlineLvl w:val="3"/>
    </w:pPr>
    <w:rPr>
      <w:color w:val="FF0000"/>
      <w:sz w:val="28"/>
      <w:u w:val="single"/>
    </w:rPr>
  </w:style>
  <w:style w:type="paragraph" w:styleId="6">
    <w:name w:val="heading 5"/>
    <w:basedOn w:val="1"/>
    <w:next w:val="1"/>
    <w:link w:val="207"/>
    <w:qFormat/>
    <w:uiPriority w:val="0"/>
    <w:pPr>
      <w:keepNext/>
      <w:keepLines/>
      <w:spacing w:before="280" w:after="290" w:line="372" w:lineRule="auto"/>
      <w:outlineLvl w:val="4"/>
    </w:pPr>
    <w:rPr>
      <w:b/>
      <w:sz w:val="28"/>
    </w:rPr>
  </w:style>
  <w:style w:type="paragraph" w:styleId="7">
    <w:name w:val="heading 6"/>
    <w:basedOn w:val="1"/>
    <w:next w:val="1"/>
    <w:link w:val="195"/>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210"/>
    <w:qFormat/>
    <w:uiPriority w:val="0"/>
    <w:pPr>
      <w:keepNext/>
      <w:keepLines/>
      <w:spacing w:before="240" w:after="64" w:line="317" w:lineRule="auto"/>
      <w:outlineLvl w:val="6"/>
    </w:pPr>
    <w:rPr>
      <w:b/>
      <w:sz w:val="24"/>
    </w:rPr>
  </w:style>
  <w:style w:type="paragraph" w:styleId="9">
    <w:name w:val="heading 8"/>
    <w:basedOn w:val="1"/>
    <w:next w:val="1"/>
    <w:link w:val="202"/>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236"/>
    <w:qFormat/>
    <w:uiPriority w:val="0"/>
    <w:pPr>
      <w:keepNext/>
      <w:keepLines/>
      <w:spacing w:before="240" w:after="64" w:line="317"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next w:val="1"/>
    <w:qFormat/>
    <w:uiPriority w:val="0"/>
    <w:pPr>
      <w:adjustRightInd w:val="0"/>
      <w:spacing w:line="312" w:lineRule="atLeast"/>
      <w:ind w:firstLine="420"/>
      <w:textAlignment w:val="baseline"/>
    </w:pPr>
    <w:rPr>
      <w:rFonts w:ascii="宋体"/>
      <w:kern w:val="0"/>
    </w:rPr>
  </w:style>
  <w:style w:type="paragraph" w:styleId="13">
    <w:name w:val="caption"/>
    <w:basedOn w:val="1"/>
    <w:next w:val="1"/>
    <w:qFormat/>
    <w:uiPriority w:val="35"/>
    <w:rPr>
      <w:rFonts w:ascii="Calibri Light" w:hAnsi="Calibri Light" w:eastAsia="黑体"/>
      <w:sz w:val="20"/>
    </w:rPr>
  </w:style>
  <w:style w:type="paragraph" w:styleId="14">
    <w:name w:val="Document Map"/>
    <w:basedOn w:val="1"/>
    <w:link w:val="213"/>
    <w:qFormat/>
    <w:uiPriority w:val="0"/>
    <w:pPr>
      <w:shd w:val="clear" w:color="auto" w:fill="000080"/>
    </w:pPr>
  </w:style>
  <w:style w:type="paragraph" w:styleId="15">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6">
    <w:name w:val="annotation text"/>
    <w:basedOn w:val="1"/>
    <w:qFormat/>
    <w:uiPriority w:val="0"/>
    <w:pPr>
      <w:jc w:val="left"/>
    </w:pPr>
  </w:style>
  <w:style w:type="paragraph" w:styleId="17">
    <w:name w:val="Salutation"/>
    <w:basedOn w:val="1"/>
    <w:next w:val="1"/>
    <w:link w:val="245"/>
    <w:qFormat/>
    <w:uiPriority w:val="99"/>
    <w:rPr>
      <w:rFonts w:ascii="Calibri" w:hAnsi="Calibri"/>
      <w:sz w:val="24"/>
    </w:rPr>
  </w:style>
  <w:style w:type="paragraph" w:styleId="18">
    <w:name w:val="Body Text 3"/>
    <w:basedOn w:val="1"/>
    <w:qFormat/>
    <w:uiPriority w:val="0"/>
    <w:pPr>
      <w:widowControl/>
      <w:ind w:right="-108"/>
    </w:pPr>
    <w:rPr>
      <w:b/>
      <w:sz w:val="24"/>
    </w:rPr>
  </w:style>
  <w:style w:type="paragraph" w:styleId="19">
    <w:name w:val="Body Text"/>
    <w:basedOn w:val="1"/>
    <w:next w:val="1"/>
    <w:link w:val="198"/>
    <w:qFormat/>
    <w:uiPriority w:val="0"/>
    <w:pPr>
      <w:jc w:val="center"/>
    </w:pPr>
  </w:style>
  <w:style w:type="paragraph" w:styleId="20">
    <w:name w:val="Body Text Indent"/>
    <w:basedOn w:val="1"/>
    <w:link w:val="182"/>
    <w:qFormat/>
    <w:uiPriority w:val="0"/>
    <w:pPr>
      <w:spacing w:after="120"/>
      <w:ind w:left="420" w:leftChars="200"/>
    </w:pPr>
    <w:rPr>
      <w:b/>
      <w:color w:val="000000"/>
      <w:kern w:val="0"/>
      <w:sz w:val="24"/>
      <w:szCs w:val="24"/>
    </w:rPr>
  </w:style>
  <w:style w:type="paragraph" w:styleId="21">
    <w:name w:val="Block Text"/>
    <w:basedOn w:val="1"/>
    <w:next w:val="22"/>
    <w:qFormat/>
    <w:uiPriority w:val="99"/>
    <w:pPr>
      <w:spacing w:after="120"/>
      <w:ind w:left="1440" w:leftChars="700" w:right="700" w:rightChars="700"/>
    </w:pPr>
  </w:style>
  <w:style w:type="paragraph" w:styleId="22">
    <w:name w:val="Plain Text"/>
    <w:basedOn w:val="1"/>
    <w:next w:val="1"/>
    <w:link w:val="218"/>
    <w:qFormat/>
    <w:uiPriority w:val="0"/>
    <w:rPr>
      <w:rFonts w:ascii="宋体" w:hAnsi="Courier New"/>
    </w:rPr>
  </w:style>
  <w:style w:type="paragraph" w:styleId="23">
    <w:name w:val="toc 3"/>
    <w:basedOn w:val="1"/>
    <w:next w:val="1"/>
    <w:qFormat/>
    <w:uiPriority w:val="0"/>
    <w:pPr>
      <w:spacing w:beforeLines="100" w:line="360" w:lineRule="auto"/>
      <w:ind w:left="480" w:firstLine="480" w:firstLineChars="200"/>
      <w:jc w:val="left"/>
    </w:pPr>
    <w:rPr>
      <w:i/>
      <w:sz w:val="24"/>
    </w:rPr>
  </w:style>
  <w:style w:type="paragraph" w:styleId="24">
    <w:name w:val="Date"/>
    <w:basedOn w:val="1"/>
    <w:next w:val="1"/>
    <w:link w:val="185"/>
    <w:qFormat/>
    <w:uiPriority w:val="0"/>
    <w:pPr>
      <w:ind w:left="100" w:leftChars="2500"/>
    </w:pPr>
  </w:style>
  <w:style w:type="paragraph" w:styleId="25">
    <w:name w:val="Body Text Indent 2"/>
    <w:basedOn w:val="1"/>
    <w:link w:val="215"/>
    <w:qFormat/>
    <w:uiPriority w:val="0"/>
    <w:pPr>
      <w:spacing w:after="120" w:line="480" w:lineRule="auto"/>
      <w:ind w:left="420" w:leftChars="200"/>
    </w:pPr>
  </w:style>
  <w:style w:type="paragraph" w:styleId="26">
    <w:name w:val="endnote text"/>
    <w:basedOn w:val="1"/>
    <w:qFormat/>
    <w:uiPriority w:val="0"/>
    <w:pPr>
      <w:snapToGrid w:val="0"/>
      <w:jc w:val="left"/>
    </w:pPr>
  </w:style>
  <w:style w:type="paragraph" w:styleId="27">
    <w:name w:val="Balloon Text"/>
    <w:basedOn w:val="1"/>
    <w:link w:val="190"/>
    <w:qFormat/>
    <w:uiPriority w:val="0"/>
    <w:rPr>
      <w:sz w:val="18"/>
    </w:rPr>
  </w:style>
  <w:style w:type="paragraph" w:styleId="28">
    <w:name w:val="footer"/>
    <w:basedOn w:val="1"/>
    <w:next w:val="19"/>
    <w:link w:val="200"/>
    <w:qFormat/>
    <w:uiPriority w:val="0"/>
    <w:pPr>
      <w:tabs>
        <w:tab w:val="center" w:pos="4153"/>
        <w:tab w:val="right" w:pos="8306"/>
      </w:tabs>
      <w:snapToGrid w:val="0"/>
      <w:jc w:val="left"/>
    </w:pPr>
    <w:rPr>
      <w:kern w:val="0"/>
      <w:sz w:val="18"/>
    </w:rPr>
  </w:style>
  <w:style w:type="paragraph" w:styleId="29">
    <w:name w:val="envelope return"/>
    <w:basedOn w:val="1"/>
    <w:qFormat/>
    <w:uiPriority w:val="0"/>
    <w:pPr>
      <w:snapToGrid w:val="0"/>
    </w:pPr>
    <w:rPr>
      <w:rFonts w:ascii="Arial" w:hAnsi="Arial"/>
    </w:rPr>
  </w:style>
  <w:style w:type="paragraph" w:styleId="30">
    <w:name w:val="header"/>
    <w:basedOn w:val="1"/>
    <w:link w:val="209"/>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widowControl/>
      <w:jc w:val="left"/>
    </w:pPr>
    <w:rPr>
      <w:kern w:val="0"/>
      <w:sz w:val="20"/>
    </w:rPr>
  </w:style>
  <w:style w:type="paragraph" w:styleId="32">
    <w:name w:val="toc 4"/>
    <w:basedOn w:val="1"/>
    <w:next w:val="1"/>
    <w:unhideWhenUsed/>
    <w:qFormat/>
    <w:uiPriority w:val="39"/>
    <w:pPr>
      <w:ind w:left="1260" w:leftChars="600"/>
    </w:pPr>
  </w:style>
  <w:style w:type="paragraph" w:styleId="33">
    <w:name w:val="Body Text Indent 3"/>
    <w:basedOn w:val="1"/>
    <w:link w:val="203"/>
    <w:qFormat/>
    <w:uiPriority w:val="0"/>
    <w:pPr>
      <w:spacing w:after="120"/>
      <w:ind w:left="420" w:leftChars="200"/>
    </w:pPr>
    <w:rPr>
      <w:sz w:val="16"/>
    </w:rPr>
  </w:style>
  <w:style w:type="paragraph" w:styleId="34">
    <w:name w:val="toc 2"/>
    <w:basedOn w:val="1"/>
    <w:next w:val="1"/>
    <w:qFormat/>
    <w:uiPriority w:val="39"/>
    <w:pPr>
      <w:spacing w:beforeLines="100" w:line="360" w:lineRule="auto"/>
      <w:ind w:left="240" w:firstLine="480" w:firstLineChars="200"/>
      <w:jc w:val="left"/>
    </w:pPr>
    <w:rPr>
      <w:smallCaps/>
      <w:sz w:val="24"/>
    </w:rPr>
  </w:style>
  <w:style w:type="paragraph" w:styleId="35">
    <w:name w:val="Body Text 2"/>
    <w:basedOn w:val="1"/>
    <w:link w:val="227"/>
    <w:qFormat/>
    <w:uiPriority w:val="0"/>
    <w:rPr>
      <w:sz w:val="30"/>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Title"/>
    <w:basedOn w:val="1"/>
    <w:qFormat/>
    <w:uiPriority w:val="0"/>
    <w:pPr>
      <w:spacing w:before="120" w:after="120"/>
      <w:jc w:val="center"/>
    </w:pPr>
    <w:rPr>
      <w:rFonts w:eastAsia="黑体"/>
      <w:b/>
      <w:sz w:val="32"/>
    </w:rPr>
  </w:style>
  <w:style w:type="paragraph" w:styleId="38">
    <w:name w:val="annotation subject"/>
    <w:basedOn w:val="16"/>
    <w:next w:val="16"/>
    <w:qFormat/>
    <w:uiPriority w:val="0"/>
    <w:rPr>
      <w:b/>
    </w:rPr>
  </w:style>
  <w:style w:type="paragraph" w:styleId="39">
    <w:name w:val="Body Text First Indent"/>
    <w:basedOn w:val="19"/>
    <w:next w:val="40"/>
    <w:qFormat/>
    <w:uiPriority w:val="0"/>
    <w:pPr>
      <w:spacing w:after="120"/>
      <w:ind w:firstLine="420" w:firstLineChars="100"/>
    </w:pPr>
    <w:rPr>
      <w:sz w:val="18"/>
      <w:szCs w:val="18"/>
    </w:rPr>
  </w:style>
  <w:style w:type="paragraph" w:styleId="40">
    <w:name w:val="Body Text First Indent 2"/>
    <w:basedOn w:val="20"/>
    <w:next w:val="1"/>
    <w:qFormat/>
    <w:uiPriority w:val="0"/>
    <w:pPr>
      <w:ind w:firstLine="420" w:firstLineChars="200"/>
    </w:pPr>
    <w:rPr>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b/>
    </w:rPr>
  </w:style>
  <w:style w:type="character" w:styleId="45">
    <w:name w:val="endnote reference"/>
    <w:qFormat/>
    <w:uiPriority w:val="0"/>
    <w:rPr>
      <w:vertAlign w:val="superscript"/>
    </w:rPr>
  </w:style>
  <w:style w:type="character" w:styleId="46">
    <w:name w:val="page number"/>
    <w:basedOn w:val="43"/>
    <w:qFormat/>
    <w:uiPriority w:val="0"/>
  </w:style>
  <w:style w:type="character" w:styleId="47">
    <w:name w:val="FollowedHyperlink"/>
    <w:qFormat/>
    <w:uiPriority w:val="0"/>
    <w:rPr>
      <w:color w:val="333333"/>
      <w:u w:val="none"/>
    </w:rPr>
  </w:style>
  <w:style w:type="character" w:styleId="48">
    <w:name w:val="Emphasis"/>
    <w:qFormat/>
    <w:uiPriority w:val="0"/>
  </w:style>
  <w:style w:type="character" w:styleId="49">
    <w:name w:val="HTML Definition"/>
    <w:basedOn w:val="43"/>
    <w:qFormat/>
    <w:uiPriority w:val="0"/>
    <w:rPr>
      <w:i/>
    </w:rPr>
  </w:style>
  <w:style w:type="character" w:styleId="50">
    <w:name w:val="Hyperlink"/>
    <w:basedOn w:val="43"/>
    <w:qFormat/>
    <w:uiPriority w:val="0"/>
    <w:rPr>
      <w:color w:val="333333"/>
      <w:u w:val="none"/>
    </w:rPr>
  </w:style>
  <w:style w:type="character" w:styleId="51">
    <w:name w:val="HTML Code"/>
    <w:qFormat/>
    <w:uiPriority w:val="0"/>
    <w:rPr>
      <w:rFonts w:ascii="Consolas" w:hAnsi="Consolas" w:eastAsia="Consolas" w:cs="Consolas"/>
      <w:color w:val="C7254E"/>
      <w:sz w:val="21"/>
      <w:szCs w:val="21"/>
      <w:shd w:val="clear" w:color="auto" w:fill="F9F2F4"/>
    </w:rPr>
  </w:style>
  <w:style w:type="character" w:styleId="52">
    <w:name w:val="annotation reference"/>
    <w:qFormat/>
    <w:uiPriority w:val="0"/>
    <w:rPr>
      <w:sz w:val="21"/>
    </w:rPr>
  </w:style>
  <w:style w:type="character" w:styleId="53">
    <w:name w:val="HTML Keyboard"/>
    <w:qFormat/>
    <w:uiPriority w:val="0"/>
    <w:rPr>
      <w:rFonts w:hint="default" w:ascii="Consolas" w:hAnsi="Consolas" w:eastAsia="Consolas" w:cs="Consolas"/>
      <w:color w:val="FFFFFF"/>
      <w:sz w:val="21"/>
      <w:szCs w:val="21"/>
      <w:shd w:val="clear" w:color="auto" w:fill="333333"/>
    </w:rPr>
  </w:style>
  <w:style w:type="character" w:styleId="54">
    <w:name w:val="HTML Sample"/>
    <w:qFormat/>
    <w:uiPriority w:val="0"/>
    <w:rPr>
      <w:rFonts w:hint="default" w:ascii="Consolas" w:hAnsi="Consolas" w:eastAsia="Consolas" w:cs="Consolas"/>
      <w:sz w:val="21"/>
      <w:szCs w:val="21"/>
    </w:rPr>
  </w:style>
  <w:style w:type="paragraph" w:customStyle="1" w:styleId="55">
    <w:name w:val="列出段落1"/>
    <w:basedOn w:val="1"/>
    <w:qFormat/>
    <w:uiPriority w:val="0"/>
    <w:pPr>
      <w:ind w:firstLine="420" w:firstLineChars="200"/>
    </w:pPr>
    <w:rPr>
      <w:kern w:val="0"/>
      <w:sz w:val="24"/>
    </w:rPr>
  </w:style>
  <w:style w:type="paragraph" w:customStyle="1" w:styleId="56">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7">
    <w:name w:val="Char"/>
    <w:basedOn w:val="1"/>
    <w:qFormat/>
    <w:uiPriority w:val="0"/>
    <w:pPr>
      <w:spacing w:line="360" w:lineRule="auto"/>
    </w:pPr>
    <w:rPr>
      <w:rFonts w:ascii="仿宋_GB2312" w:eastAsia="仿宋_GB2312"/>
      <w:b/>
      <w:sz w:val="32"/>
    </w:rPr>
  </w:style>
  <w:style w:type="paragraph" w:customStyle="1" w:styleId="58">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5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1">
    <w:name w:val="Char3"/>
    <w:basedOn w:val="1"/>
    <w:qFormat/>
    <w:uiPriority w:val="0"/>
    <w:pPr>
      <w:widowControl/>
      <w:spacing w:after="160" w:line="240" w:lineRule="exact"/>
      <w:jc w:val="left"/>
    </w:pPr>
  </w:style>
  <w:style w:type="paragraph" w:customStyle="1" w:styleId="62">
    <w:name w:val="样式 标题 2H2l2I2 + 宋体"/>
    <w:basedOn w:val="3"/>
    <w:qFormat/>
    <w:uiPriority w:val="0"/>
    <w:pPr>
      <w:keepNext/>
      <w:keepLines/>
      <w:widowControl/>
      <w:spacing w:before="180" w:after="120"/>
      <w:ind w:left="720" w:hanging="720"/>
      <w:jc w:val="left"/>
    </w:pPr>
  </w:style>
  <w:style w:type="paragraph" w:customStyle="1" w:styleId="63">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4">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6">
    <w:name w:val="title12"/>
    <w:basedOn w:val="1"/>
    <w:qFormat/>
    <w:uiPriority w:val="0"/>
    <w:pPr>
      <w:spacing w:before="100"/>
      <w:jc w:val="left"/>
    </w:pPr>
    <w:rPr>
      <w:b/>
      <w:kern w:val="0"/>
      <w:sz w:val="15"/>
      <w:szCs w:val="15"/>
    </w:rPr>
  </w:style>
  <w:style w:type="paragraph" w:customStyle="1" w:styleId="67">
    <w:name w:val="目录"/>
    <w:basedOn w:val="1"/>
    <w:qFormat/>
    <w:uiPriority w:val="0"/>
    <w:pPr>
      <w:widowControl/>
      <w:jc w:val="center"/>
    </w:pPr>
    <w:rPr>
      <w:rFonts w:ascii="宋体"/>
      <w:b/>
      <w:kern w:val="0"/>
      <w:sz w:val="36"/>
    </w:rPr>
  </w:style>
  <w:style w:type="paragraph" w:customStyle="1" w:styleId="68">
    <w:name w:val="列表编号2"/>
    <w:basedOn w:val="69"/>
    <w:qFormat/>
    <w:uiPriority w:val="0"/>
    <w:pPr>
      <w:tabs>
        <w:tab w:val="left" w:pos="900"/>
        <w:tab w:val="left" w:pos="1588"/>
      </w:tabs>
      <w:ind w:left="1588" w:hanging="794"/>
    </w:pPr>
  </w:style>
  <w:style w:type="paragraph" w:customStyle="1" w:styleId="69">
    <w:name w:val="列表编号1"/>
    <w:basedOn w:val="1"/>
    <w:qFormat/>
    <w:uiPriority w:val="0"/>
    <w:pPr>
      <w:tabs>
        <w:tab w:val="left" w:pos="900"/>
      </w:tabs>
      <w:spacing w:beforeLines="100" w:line="360" w:lineRule="auto"/>
      <w:ind w:left="900" w:hanging="420"/>
    </w:pPr>
    <w:rPr>
      <w:sz w:val="24"/>
    </w:rPr>
  </w:style>
  <w:style w:type="paragraph" w:customStyle="1" w:styleId="70">
    <w:name w:val="正文缩进2格"/>
    <w:basedOn w:val="1"/>
    <w:link w:val="193"/>
    <w:qFormat/>
    <w:uiPriority w:val="0"/>
    <w:pPr>
      <w:spacing w:line="600" w:lineRule="exact"/>
      <w:ind w:firstLine="639" w:firstLineChars="206"/>
    </w:pPr>
    <w:rPr>
      <w:rFonts w:ascii="仿宋_GB2312" w:hAnsi="宋体" w:eastAsia="仿宋_GB2312"/>
      <w:sz w:val="31"/>
    </w:rPr>
  </w:style>
  <w:style w:type="paragraph" w:styleId="71">
    <w:name w:val="List Paragraph"/>
    <w:basedOn w:val="1"/>
    <w:qFormat/>
    <w:uiPriority w:val="0"/>
    <w:pPr>
      <w:ind w:firstLine="420" w:firstLineChars="200"/>
    </w:pPr>
    <w:rPr>
      <w:rFonts w:ascii="Calibri" w:hAnsi="Calibri"/>
      <w:sz w:val="24"/>
      <w:szCs w:val="22"/>
    </w:rPr>
  </w:style>
  <w:style w:type="paragraph" w:customStyle="1" w:styleId="72">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3">
    <w:name w:val="WPSOffice手动目录 1"/>
    <w:qFormat/>
    <w:uiPriority w:val="0"/>
    <w:rPr>
      <w:rFonts w:ascii="Times New Roman" w:hAnsi="Times New Roman" w:eastAsia="宋体" w:cs="Times New Roman"/>
      <w:lang w:val="en-US" w:eastAsia="zh-CN" w:bidi="ar-SA"/>
    </w:rPr>
  </w:style>
  <w:style w:type="paragraph" w:customStyle="1" w:styleId="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5">
    <w:name w:val="正文文本缩进 31"/>
    <w:basedOn w:val="1"/>
    <w:qFormat/>
    <w:uiPriority w:val="0"/>
    <w:pPr>
      <w:adjustRightInd w:val="0"/>
      <w:spacing w:after="240"/>
      <w:ind w:left="792" w:firstLine="480"/>
      <w:textAlignment w:val="baseline"/>
    </w:pPr>
    <w:rPr>
      <w:sz w:val="24"/>
    </w:rPr>
  </w:style>
  <w:style w:type="paragraph" w:customStyle="1" w:styleId="76">
    <w:name w:val="样式 标题 3 + 宋体"/>
    <w:basedOn w:val="4"/>
    <w:link w:val="197"/>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7">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78">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79">
    <w:name w:val="toc2"/>
    <w:basedOn w:val="2"/>
    <w:qFormat/>
    <w:uiPriority w:val="0"/>
    <w:pPr>
      <w:keepNext/>
      <w:tabs>
        <w:tab w:val="left" w:pos="840"/>
      </w:tabs>
      <w:spacing w:before="240" w:after="60"/>
      <w:jc w:val="both"/>
    </w:pPr>
    <w:rPr>
      <w:rFonts w:ascii="Arial" w:hAnsi="Arial"/>
      <w:b w:val="0"/>
      <w:kern w:val="32"/>
      <w:sz w:val="22"/>
    </w:rPr>
  </w:style>
  <w:style w:type="paragraph" w:customStyle="1" w:styleId="80">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1">
    <w:name w:val="xiao b"/>
    <w:basedOn w:val="1"/>
    <w:qFormat/>
    <w:uiPriority w:val="0"/>
    <w:pPr>
      <w:jc w:val="center"/>
    </w:pPr>
    <w:rPr>
      <w:rFonts w:eastAsia="黑体"/>
      <w:sz w:val="24"/>
    </w:rPr>
  </w:style>
  <w:style w:type="paragraph" w:customStyle="1" w:styleId="82">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3">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4">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5">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6">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7">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88">
    <w:name w:val="C503-正文格式"/>
    <w:basedOn w:val="1"/>
    <w:qFormat/>
    <w:uiPriority w:val="0"/>
    <w:pPr>
      <w:widowControl/>
      <w:ind w:firstLine="560" w:firstLineChars="200"/>
      <w:jc w:val="left"/>
    </w:pPr>
    <w:rPr>
      <w:rFonts w:ascii="仿宋" w:hAnsi="仿宋" w:eastAsia="仿宋" w:cs="宋体"/>
      <w:kern w:val="0"/>
    </w:rPr>
  </w:style>
  <w:style w:type="paragraph" w:customStyle="1" w:styleId="89">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0">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1">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2">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3">
    <w:name w:val="_Style 87"/>
    <w:basedOn w:val="2"/>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4">
    <w:name w:val="缺省文本"/>
    <w:basedOn w:val="1"/>
    <w:qFormat/>
    <w:uiPriority w:val="0"/>
    <w:pPr>
      <w:autoSpaceDE w:val="0"/>
      <w:autoSpaceDN w:val="0"/>
      <w:adjustRightInd w:val="0"/>
      <w:jc w:val="left"/>
    </w:pPr>
    <w:rPr>
      <w:kern w:val="0"/>
      <w:sz w:val="24"/>
    </w:rPr>
  </w:style>
  <w:style w:type="paragraph" w:customStyle="1" w:styleId="95">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6">
    <w:name w:val="正文 + 宋体"/>
    <w:basedOn w:val="1"/>
    <w:qFormat/>
    <w:uiPriority w:val="0"/>
    <w:pPr>
      <w:spacing w:line="380" w:lineRule="exact"/>
      <w:jc w:val="center"/>
    </w:pPr>
    <w:rPr>
      <w:sz w:val="24"/>
      <w:szCs w:val="24"/>
    </w:rPr>
  </w:style>
  <w:style w:type="paragraph" w:customStyle="1" w:styleId="97">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8">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99">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0">
    <w:name w:val="List Paragraph11"/>
    <w:basedOn w:val="1"/>
    <w:qFormat/>
    <w:uiPriority w:val="0"/>
    <w:pPr>
      <w:ind w:firstLine="420" w:firstLineChars="200"/>
    </w:pPr>
  </w:style>
  <w:style w:type="paragraph" w:customStyle="1" w:styleId="10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2">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3">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4">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5">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7">
    <w:name w:val="Table Paragraph"/>
    <w:basedOn w:val="1"/>
    <w:qFormat/>
    <w:uiPriority w:val="1"/>
    <w:rPr>
      <w:rFonts w:ascii="宋体" w:hAnsi="宋体" w:cs="宋体"/>
      <w:lang w:val="zh-CN" w:bidi="zh-CN"/>
    </w:rPr>
  </w:style>
  <w:style w:type="paragraph" w:customStyle="1" w:styleId="108">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09">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0">
    <w:name w:val="表头"/>
    <w:basedOn w:val="1"/>
    <w:qFormat/>
    <w:uiPriority w:val="0"/>
    <w:pPr>
      <w:spacing w:beforeLines="50" w:afterLines="50"/>
      <w:ind w:right="-21" w:rightChars="-21"/>
      <w:jc w:val="center"/>
    </w:pPr>
    <w:rPr>
      <w:rFonts w:ascii="宋体"/>
      <w:b/>
      <w:sz w:val="24"/>
    </w:rPr>
  </w:style>
  <w:style w:type="paragraph" w:customStyle="1" w:styleId="111">
    <w:name w:val="Char Char Char"/>
    <w:basedOn w:val="1"/>
    <w:qFormat/>
    <w:uiPriority w:val="0"/>
    <w:rPr>
      <w:rFonts w:ascii="Tahoma" w:hAnsi="Tahoma"/>
      <w:sz w:val="24"/>
    </w:rPr>
  </w:style>
  <w:style w:type="paragraph" w:customStyle="1" w:styleId="112">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3">
    <w:name w:val="图标题文字"/>
    <w:basedOn w:val="114"/>
    <w:qFormat/>
    <w:uiPriority w:val="0"/>
    <w:pPr>
      <w:spacing w:line="300" w:lineRule="exact"/>
      <w:jc w:val="center"/>
    </w:pPr>
    <w:rPr>
      <w:b/>
      <w:sz w:val="28"/>
    </w:rPr>
  </w:style>
  <w:style w:type="paragraph" w:customStyle="1" w:styleId="114">
    <w:name w:val="文本框文字"/>
    <w:basedOn w:val="1"/>
    <w:qFormat/>
    <w:uiPriority w:val="0"/>
    <w:pPr>
      <w:spacing w:line="280" w:lineRule="exact"/>
    </w:pPr>
  </w:style>
  <w:style w:type="paragraph" w:customStyle="1" w:styleId="115">
    <w:name w:val="title1"/>
    <w:basedOn w:val="1"/>
    <w:qFormat/>
    <w:uiPriority w:val="0"/>
    <w:pPr>
      <w:spacing w:before="100" w:line="300" w:lineRule="atLeast"/>
      <w:jc w:val="left"/>
    </w:pPr>
    <w:rPr>
      <w:b/>
      <w:kern w:val="0"/>
      <w:sz w:val="16"/>
      <w:szCs w:val="16"/>
    </w:rPr>
  </w:style>
  <w:style w:type="paragraph" w:customStyle="1" w:styleId="11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0">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1">
    <w:name w:val="table text contents"/>
    <w:basedOn w:val="122"/>
    <w:qFormat/>
    <w:uiPriority w:val="0"/>
    <w:pPr>
      <w:ind w:left="0" w:firstLine="0" w:firstLineChars="0"/>
      <w:jc w:val="center"/>
    </w:pPr>
  </w:style>
  <w:style w:type="paragraph" w:customStyle="1" w:styleId="122">
    <w:name w:val="table text"/>
    <w:basedOn w:val="1"/>
    <w:qFormat/>
    <w:uiPriority w:val="0"/>
    <w:pPr>
      <w:spacing w:line="0" w:lineRule="atLeast"/>
      <w:ind w:left="220" w:hanging="220" w:hangingChars="100"/>
    </w:pPr>
    <w:rPr>
      <w:sz w:val="22"/>
    </w:rPr>
  </w:style>
  <w:style w:type="paragraph" w:customStyle="1" w:styleId="123">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5">
    <w:name w:val="标题 2 + 楷体_GB2312"/>
    <w:basedOn w:val="3"/>
    <w:qFormat/>
    <w:uiPriority w:val="0"/>
    <w:pPr>
      <w:keepNext/>
      <w:ind w:firstLine="240" w:firstLineChars="100"/>
      <w:jc w:val="both"/>
    </w:pPr>
    <w:rPr>
      <w:rFonts w:ascii="楷体_GB2312" w:eastAsia="楷体_GB2312"/>
      <w:b w:val="0"/>
    </w:rPr>
  </w:style>
  <w:style w:type="paragraph" w:customStyle="1" w:styleId="126">
    <w:name w:val="Char1"/>
    <w:basedOn w:val="1"/>
    <w:qFormat/>
    <w:uiPriority w:val="0"/>
    <w:rPr>
      <w:szCs w:val="21"/>
    </w:rPr>
  </w:style>
  <w:style w:type="paragraph" w:customStyle="1" w:styleId="127">
    <w:name w:val="图"/>
    <w:basedOn w:val="1"/>
    <w:qFormat/>
    <w:uiPriority w:val="0"/>
    <w:pPr>
      <w:keepNext/>
      <w:spacing w:before="60" w:after="60" w:line="300" w:lineRule="auto"/>
      <w:jc w:val="center"/>
      <w:textAlignment w:val="center"/>
    </w:pPr>
    <w:rPr>
      <w:snapToGrid w:val="0"/>
      <w:spacing w:val="20"/>
      <w:sz w:val="24"/>
    </w:rPr>
  </w:style>
  <w:style w:type="paragraph" w:customStyle="1" w:styleId="128">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29">
    <w:name w:val="样式 标题 4 + 宋体"/>
    <w:basedOn w:val="5"/>
    <w:qFormat/>
    <w:uiPriority w:val="0"/>
    <w:pPr>
      <w:keepNext w:val="0"/>
      <w:keepLines/>
      <w:widowControl/>
      <w:spacing w:after="120"/>
      <w:ind w:left="1531" w:hanging="1077"/>
    </w:pPr>
    <w:rPr>
      <w:rFonts w:ascii="宋体" w:hAnsi="宋体"/>
      <w:color w:val="auto"/>
      <w:kern w:val="0"/>
      <w:sz w:val="24"/>
      <w:u w:val="none"/>
    </w:rPr>
  </w:style>
  <w:style w:type="paragraph" w:customStyle="1" w:styleId="130">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1">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2">
    <w:name w:val="title11"/>
    <w:basedOn w:val="1"/>
    <w:qFormat/>
    <w:uiPriority w:val="0"/>
    <w:pPr>
      <w:spacing w:before="150" w:line="450" w:lineRule="atLeast"/>
      <w:jc w:val="left"/>
    </w:pPr>
    <w:rPr>
      <w:b/>
      <w:kern w:val="0"/>
      <w:sz w:val="24"/>
      <w:szCs w:val="24"/>
    </w:r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4">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5">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6">
    <w:name w:val="正文文本缩进 21"/>
    <w:basedOn w:val="1"/>
    <w:qFormat/>
    <w:uiPriority w:val="0"/>
    <w:pPr>
      <w:adjustRightInd w:val="0"/>
      <w:spacing w:after="240"/>
      <w:ind w:left="1080" w:firstLine="480"/>
      <w:textAlignment w:val="baseline"/>
    </w:pPr>
    <w:rPr>
      <w:sz w:val="24"/>
    </w:rPr>
  </w:style>
  <w:style w:type="paragraph" w:customStyle="1" w:styleId="137">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39">
    <w:name w:val="(i)tems"/>
    <w:basedOn w:val="1"/>
    <w:qFormat/>
    <w:uiPriority w:val="0"/>
    <w:pPr>
      <w:tabs>
        <w:tab w:val="left" w:pos="360"/>
      </w:tabs>
      <w:adjustRightInd w:val="0"/>
      <w:spacing w:after="240"/>
      <w:ind w:left="360" w:hanging="360"/>
      <w:textAlignment w:val="baseline"/>
    </w:pPr>
    <w:rPr>
      <w:sz w:val="24"/>
    </w:rPr>
  </w:style>
  <w:style w:type="paragraph" w:customStyle="1" w:styleId="140">
    <w:name w:val="p0"/>
    <w:basedOn w:val="1"/>
    <w:link w:val="244"/>
    <w:qFormat/>
    <w:uiPriority w:val="0"/>
    <w:pPr>
      <w:widowControl/>
      <w:jc w:val="left"/>
    </w:pPr>
    <w:rPr>
      <w:rFonts w:ascii="Calibri" w:hAnsi="Calibri" w:cs="宋体"/>
      <w:kern w:val="0"/>
      <w:sz w:val="24"/>
      <w:szCs w:val="24"/>
    </w:rPr>
  </w:style>
  <w:style w:type="paragraph" w:customStyle="1" w:styleId="141">
    <w:name w:val="xl28"/>
    <w:basedOn w:val="1"/>
    <w:qFormat/>
    <w:uiPriority w:val="0"/>
    <w:pPr>
      <w:widowControl/>
      <w:spacing w:before="100" w:after="100"/>
      <w:jc w:val="center"/>
    </w:pPr>
    <w:rPr>
      <w:rFonts w:ascii="Arial Unicode MS" w:hAnsi="Arial Unicode MS"/>
      <w:kern w:val="0"/>
      <w:sz w:val="24"/>
    </w:rPr>
  </w:style>
  <w:style w:type="paragraph" w:customStyle="1" w:styleId="142">
    <w:name w:val="项目编号2"/>
    <w:basedOn w:val="143"/>
    <w:qFormat/>
    <w:uiPriority w:val="0"/>
    <w:pPr>
      <w:tabs>
        <w:tab w:val="left" w:pos="360"/>
        <w:tab w:val="left" w:pos="927"/>
      </w:tabs>
      <w:ind w:left="360" w:hanging="360"/>
    </w:pPr>
  </w:style>
  <w:style w:type="paragraph" w:customStyle="1" w:styleId="143">
    <w:name w:val="项目编号1"/>
    <w:basedOn w:val="1"/>
    <w:qFormat/>
    <w:uiPriority w:val="0"/>
    <w:pPr>
      <w:tabs>
        <w:tab w:val="left" w:pos="927"/>
      </w:tabs>
      <w:spacing w:beforeLines="100" w:line="360" w:lineRule="auto"/>
      <w:ind w:left="907" w:hanging="340"/>
    </w:pPr>
    <w:rPr>
      <w:sz w:val="24"/>
    </w:rPr>
  </w:style>
  <w:style w:type="paragraph" w:customStyle="1" w:styleId="144">
    <w:name w:val="基准标题"/>
    <w:basedOn w:val="19"/>
    <w:next w:val="19"/>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5">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6">
    <w:name w:val="1."/>
    <w:basedOn w:val="1"/>
    <w:qFormat/>
    <w:uiPriority w:val="0"/>
    <w:pPr>
      <w:widowControl/>
      <w:tabs>
        <w:tab w:val="left" w:pos="1134"/>
      </w:tabs>
      <w:spacing w:before="60" w:after="60" w:line="264" w:lineRule="auto"/>
      <w:ind w:left="1134" w:hanging="454"/>
    </w:pPr>
    <w:rPr>
      <w:sz w:val="22"/>
    </w:rPr>
  </w:style>
  <w:style w:type="paragraph" w:customStyle="1" w:styleId="147">
    <w:name w:val="样式 标题 5 + 宋体"/>
    <w:basedOn w:val="6"/>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48">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49">
    <w:name w:val="正文缩进1"/>
    <w:basedOn w:val="1"/>
    <w:qFormat/>
    <w:uiPriority w:val="0"/>
    <w:pPr>
      <w:ind w:firstLine="420" w:firstLineChars="200"/>
    </w:p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1">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3">
    <w:name w:val="Char2"/>
    <w:basedOn w:val="14"/>
    <w:qFormat/>
    <w:uiPriority w:val="0"/>
  </w:style>
  <w:style w:type="paragraph" w:customStyle="1" w:styleId="154">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5">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6">
    <w:name w:val="comments"/>
    <w:basedOn w:val="1"/>
    <w:qFormat/>
    <w:uiPriority w:val="0"/>
    <w:pPr>
      <w:adjustRightInd w:val="0"/>
      <w:spacing w:after="100"/>
      <w:ind w:left="2340" w:leftChars="975"/>
      <w:textAlignment w:val="baseline"/>
    </w:pPr>
    <w:rPr>
      <w:sz w:val="24"/>
    </w:rPr>
  </w:style>
  <w:style w:type="paragraph" w:customStyle="1" w:styleId="157">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58">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5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0">
    <w:name w:val="List Paragraph1"/>
    <w:basedOn w:val="1"/>
    <w:qFormat/>
    <w:uiPriority w:val="0"/>
    <w:pPr>
      <w:ind w:firstLine="420" w:firstLineChars="200"/>
    </w:pPr>
    <w:rPr>
      <w:rFonts w:ascii="Calibri" w:hAnsi="Calibri"/>
      <w:szCs w:val="22"/>
    </w:rPr>
  </w:style>
  <w:style w:type="paragraph" w:customStyle="1" w:styleId="161">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5">
    <w:name w:val="sma."/>
    <w:basedOn w:val="1"/>
    <w:qFormat/>
    <w:uiPriority w:val="0"/>
    <w:pPr>
      <w:widowControl/>
      <w:tabs>
        <w:tab w:val="left" w:pos="1588"/>
      </w:tabs>
      <w:spacing w:before="60" w:after="60" w:line="264" w:lineRule="auto"/>
      <w:ind w:left="1588" w:hanging="454"/>
    </w:pPr>
    <w:rPr>
      <w:sz w:val="22"/>
    </w:rPr>
  </w:style>
  <w:style w:type="paragraph" w:customStyle="1" w:styleId="166">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9">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2">
    <w:name w:val="图表"/>
    <w:basedOn w:val="13"/>
    <w:qFormat/>
    <w:uiPriority w:val="0"/>
    <w:pPr>
      <w:jc w:val="center"/>
    </w:pPr>
    <w:rPr>
      <w:rFonts w:ascii="Times New Roman" w:hAnsi="Times New Roman" w:eastAsia="宋体" w:cs="宋体"/>
      <w:sz w:val="21"/>
    </w:rPr>
  </w:style>
  <w:style w:type="paragraph" w:customStyle="1" w:styleId="173">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4">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5">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6">
    <w:name w:val="_Style 19"/>
    <w:basedOn w:val="1"/>
    <w:next w:val="1"/>
    <w:qFormat/>
    <w:uiPriority w:val="0"/>
    <w:pPr>
      <w:spacing w:after="120"/>
    </w:pPr>
  </w:style>
  <w:style w:type="paragraph" w:customStyle="1" w:styleId="177">
    <w:name w:val="list closer"/>
    <w:basedOn w:val="87"/>
    <w:qFormat/>
    <w:uiPriority w:val="0"/>
    <w:pPr>
      <w:ind w:left="1200" w:leftChars="1200" w:hanging="1980" w:hangingChars="825"/>
    </w:pPr>
  </w:style>
  <w:style w:type="paragraph" w:customStyle="1" w:styleId="178">
    <w:name w:val="title13"/>
    <w:basedOn w:val="1"/>
    <w:qFormat/>
    <w:uiPriority w:val="0"/>
    <w:pPr>
      <w:spacing w:before="150"/>
      <w:jc w:val="left"/>
    </w:pPr>
    <w:rPr>
      <w:b/>
      <w:kern w:val="0"/>
      <w:sz w:val="22"/>
      <w:szCs w:val="22"/>
    </w:rPr>
  </w:style>
  <w:style w:type="paragraph" w:customStyle="1" w:styleId="17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1">
    <w:name w:val="myp1111"/>
    <w:basedOn w:val="43"/>
    <w:qFormat/>
    <w:uiPriority w:val="0"/>
  </w:style>
  <w:style w:type="character" w:customStyle="1" w:styleId="182">
    <w:name w:val="正文文本缩进 字符"/>
    <w:link w:val="20"/>
    <w:qFormat/>
    <w:uiPriority w:val="0"/>
    <w:rPr>
      <w:rFonts w:ascii="Times New Roman" w:hAnsi="Times New Roman" w:eastAsia="宋体" w:cs="Times New Roman"/>
      <w:b/>
      <w:color w:val="000000"/>
      <w:sz w:val="24"/>
      <w:szCs w:val="24"/>
    </w:rPr>
  </w:style>
  <w:style w:type="character" w:customStyle="1" w:styleId="183">
    <w:name w:val="huei12b1"/>
    <w:qFormat/>
    <w:uiPriority w:val="0"/>
    <w:rPr>
      <w:b/>
      <w:color w:val="333333"/>
      <w:sz w:val="24"/>
    </w:rPr>
  </w:style>
  <w:style w:type="character" w:customStyle="1" w:styleId="184">
    <w:name w:val="标题 5 Char Char"/>
    <w:qFormat/>
    <w:uiPriority w:val="0"/>
    <w:rPr>
      <w:rFonts w:eastAsia="宋体"/>
      <w:b/>
      <w:kern w:val="2"/>
      <w:sz w:val="28"/>
      <w:lang w:val="en-US" w:eastAsia="zh-CN"/>
    </w:rPr>
  </w:style>
  <w:style w:type="character" w:customStyle="1" w:styleId="185">
    <w:name w:val="日期 字符"/>
    <w:link w:val="24"/>
    <w:qFormat/>
    <w:uiPriority w:val="0"/>
    <w:rPr>
      <w:kern w:val="2"/>
      <w:sz w:val="21"/>
      <w:lang w:bidi="ar-SA"/>
    </w:rPr>
  </w:style>
  <w:style w:type="character" w:customStyle="1" w:styleId="186">
    <w:name w:val="t151"/>
    <w:qFormat/>
    <w:uiPriority w:val="0"/>
    <w:rPr>
      <w:rFonts w:hint="default" w:ascii="ˎ̥" w:hAnsi="ˎ̥"/>
      <w:color w:val="B34300"/>
      <w:sz w:val="24"/>
    </w:rPr>
  </w:style>
  <w:style w:type="character" w:customStyle="1" w:styleId="187">
    <w:name w:val="标题 3 字符"/>
    <w:link w:val="4"/>
    <w:qFormat/>
    <w:uiPriority w:val="0"/>
    <w:rPr>
      <w:rFonts w:ascii="宋体" w:eastAsia="宋体"/>
      <w:b/>
      <w:kern w:val="2"/>
      <w:sz w:val="24"/>
      <w:u w:val="single"/>
      <w:lang w:val="en-US" w:eastAsia="zh-CN" w:bidi="ar-SA"/>
    </w:rPr>
  </w:style>
  <w:style w:type="character" w:customStyle="1" w:styleId="188">
    <w:name w:val="phone"/>
    <w:basedOn w:val="43"/>
    <w:qFormat/>
    <w:uiPriority w:val="0"/>
    <w:rPr>
      <w:color w:val="FF8833"/>
      <w:sz w:val="18"/>
      <w:szCs w:val="18"/>
    </w:rPr>
  </w:style>
  <w:style w:type="character" w:customStyle="1" w:styleId="189">
    <w:name w:val="number"/>
    <w:basedOn w:val="43"/>
    <w:qFormat/>
    <w:uiPriority w:val="0"/>
    <w:rPr>
      <w:color w:val="FF8833"/>
      <w:sz w:val="18"/>
      <w:szCs w:val="18"/>
    </w:rPr>
  </w:style>
  <w:style w:type="character" w:customStyle="1" w:styleId="190">
    <w:name w:val="批注框文本 字符"/>
    <w:link w:val="27"/>
    <w:qFormat/>
    <w:uiPriority w:val="0"/>
    <w:rPr>
      <w:rFonts w:eastAsia="宋体"/>
      <w:kern w:val="2"/>
      <w:sz w:val="18"/>
      <w:lang w:val="en-US" w:eastAsia="zh-CN" w:bidi="ar-SA"/>
    </w:rPr>
  </w:style>
  <w:style w:type="character" w:customStyle="1" w:styleId="191">
    <w:name w:val="纯文本 Char Char"/>
    <w:qFormat/>
    <w:uiPriority w:val="0"/>
    <w:rPr>
      <w:rFonts w:ascii="宋体" w:hAnsi="Courier New" w:eastAsia="宋体" w:cs="Courier New"/>
      <w:szCs w:val="21"/>
    </w:rPr>
  </w:style>
  <w:style w:type="character" w:customStyle="1" w:styleId="192">
    <w:name w:val="stclosebtn"/>
    <w:basedOn w:val="43"/>
    <w:qFormat/>
    <w:uiPriority w:val="0"/>
  </w:style>
  <w:style w:type="character" w:customStyle="1" w:styleId="193">
    <w:name w:val="正文缩进2格 Char Char"/>
    <w:link w:val="70"/>
    <w:qFormat/>
    <w:uiPriority w:val="0"/>
    <w:rPr>
      <w:rFonts w:ascii="仿宋_GB2312" w:hAnsi="宋体" w:eastAsia="仿宋_GB2312"/>
      <w:kern w:val="2"/>
      <w:sz w:val="31"/>
      <w:lang w:val="en-US" w:eastAsia="zh-CN" w:bidi="ar-SA"/>
    </w:rPr>
  </w:style>
  <w:style w:type="character" w:customStyle="1" w:styleId="194">
    <w:name w:val="beforeinfotext"/>
    <w:basedOn w:val="43"/>
    <w:qFormat/>
    <w:uiPriority w:val="0"/>
    <w:rPr>
      <w:color w:val="666666"/>
    </w:rPr>
  </w:style>
  <w:style w:type="character" w:customStyle="1" w:styleId="195">
    <w:name w:val="标题 6 字符"/>
    <w:link w:val="7"/>
    <w:qFormat/>
    <w:uiPriority w:val="0"/>
    <w:rPr>
      <w:rFonts w:ascii="Arial" w:hAnsi="Arial" w:eastAsia="黑体"/>
      <w:b/>
      <w:kern w:val="2"/>
      <w:sz w:val="24"/>
      <w:lang w:val="en-US" w:eastAsia="zh-CN" w:bidi="ar-SA"/>
    </w:rPr>
  </w:style>
  <w:style w:type="character" w:customStyle="1" w:styleId="196">
    <w:name w:val="old"/>
    <w:qFormat/>
    <w:uiPriority w:val="0"/>
    <w:rPr>
      <w:color w:val="999999"/>
    </w:rPr>
  </w:style>
  <w:style w:type="character" w:customStyle="1" w:styleId="197">
    <w:name w:val="样式 标题 3 + 宋体 Char Char"/>
    <w:link w:val="76"/>
    <w:qFormat/>
    <w:uiPriority w:val="0"/>
    <w:rPr>
      <w:rFonts w:ascii="宋体" w:hAnsi="宋体" w:eastAsia="宋体"/>
      <w:snapToGrid w:val="0"/>
      <w:sz w:val="24"/>
      <w:lang w:val="en-US" w:eastAsia="zh-CN" w:bidi="ar-SA"/>
    </w:rPr>
  </w:style>
  <w:style w:type="character" w:customStyle="1" w:styleId="198">
    <w:name w:val="正文文本 字符"/>
    <w:link w:val="19"/>
    <w:qFormat/>
    <w:uiPriority w:val="0"/>
    <w:rPr>
      <w:rFonts w:eastAsia="宋体"/>
      <w:kern w:val="2"/>
      <w:sz w:val="21"/>
      <w:lang w:val="en-US" w:eastAsia="zh-CN" w:bidi="ar-SA"/>
    </w:rPr>
  </w:style>
  <w:style w:type="character" w:customStyle="1" w:styleId="199">
    <w:name w:val="页眉 Char1"/>
    <w:qFormat/>
    <w:uiPriority w:val="0"/>
    <w:rPr>
      <w:rFonts w:ascii="Times New Roman" w:hAnsi="Times New Roman" w:eastAsia="宋体" w:cs="Times New Roman"/>
      <w:sz w:val="18"/>
      <w:szCs w:val="18"/>
    </w:rPr>
  </w:style>
  <w:style w:type="character" w:customStyle="1" w:styleId="200">
    <w:name w:val="页脚 字符"/>
    <w:link w:val="28"/>
    <w:qFormat/>
    <w:uiPriority w:val="0"/>
    <w:rPr>
      <w:rFonts w:ascii="Times New Roman" w:hAnsi="Times New Roman" w:eastAsia="宋体" w:cs="Times New Roman"/>
      <w:kern w:val="0"/>
      <w:sz w:val="18"/>
      <w:szCs w:val="20"/>
    </w:rPr>
  </w:style>
  <w:style w:type="character" w:customStyle="1" w:styleId="201">
    <w:name w:val="glyphicon4"/>
    <w:basedOn w:val="43"/>
    <w:qFormat/>
    <w:uiPriority w:val="0"/>
  </w:style>
  <w:style w:type="character" w:customStyle="1" w:styleId="202">
    <w:name w:val="标题 8 字符"/>
    <w:link w:val="9"/>
    <w:qFormat/>
    <w:uiPriority w:val="0"/>
    <w:rPr>
      <w:rFonts w:ascii="Arial" w:hAnsi="Arial" w:eastAsia="黑体"/>
      <w:kern w:val="2"/>
      <w:sz w:val="24"/>
      <w:lang w:val="en-US" w:eastAsia="zh-CN" w:bidi="ar-SA"/>
    </w:rPr>
  </w:style>
  <w:style w:type="character" w:customStyle="1" w:styleId="203">
    <w:name w:val="正文文本缩进 3 字符"/>
    <w:link w:val="33"/>
    <w:qFormat/>
    <w:uiPriority w:val="0"/>
    <w:rPr>
      <w:rFonts w:eastAsia="宋体"/>
      <w:kern w:val="2"/>
      <w:sz w:val="16"/>
      <w:lang w:val="en-US" w:eastAsia="zh-CN" w:bidi="ar-SA"/>
    </w:rPr>
  </w:style>
  <w:style w:type="character" w:customStyle="1" w:styleId="204">
    <w:name w:val="indent"/>
    <w:basedOn w:val="43"/>
    <w:qFormat/>
    <w:uiPriority w:val="0"/>
  </w:style>
  <w:style w:type="character" w:customStyle="1" w:styleId="205">
    <w:name w:val="button"/>
    <w:basedOn w:val="43"/>
    <w:qFormat/>
    <w:uiPriority w:val="0"/>
  </w:style>
  <w:style w:type="character" w:customStyle="1" w:styleId="206">
    <w:name w:val="Footer-Even Char Char"/>
    <w:qFormat/>
    <w:uiPriority w:val="0"/>
    <w:rPr>
      <w:rFonts w:eastAsia="宋体"/>
      <w:kern w:val="2"/>
      <w:sz w:val="18"/>
      <w:lang w:val="en-US" w:eastAsia="zh-CN" w:bidi="ar-SA"/>
    </w:rPr>
  </w:style>
  <w:style w:type="character" w:customStyle="1" w:styleId="207">
    <w:name w:val="标题 5 字符"/>
    <w:link w:val="6"/>
    <w:qFormat/>
    <w:uiPriority w:val="0"/>
    <w:rPr>
      <w:rFonts w:eastAsia="宋体"/>
      <w:b/>
      <w:kern w:val="2"/>
      <w:sz w:val="28"/>
      <w:lang w:val="en-US" w:eastAsia="zh-CN" w:bidi="ar-SA"/>
    </w:rPr>
  </w:style>
  <w:style w:type="character" w:customStyle="1" w:styleId="208">
    <w:name w:val="普通文字 Char"/>
    <w:qFormat/>
    <w:uiPriority w:val="0"/>
    <w:rPr>
      <w:rFonts w:ascii="宋体" w:hAnsi="Courier New" w:eastAsia="宋体" w:cs="Times New Roman"/>
      <w:szCs w:val="21"/>
    </w:rPr>
  </w:style>
  <w:style w:type="character" w:customStyle="1" w:styleId="209">
    <w:name w:val="页眉 字符"/>
    <w:link w:val="30"/>
    <w:qFormat/>
    <w:uiPriority w:val="0"/>
    <w:rPr>
      <w:kern w:val="2"/>
      <w:sz w:val="18"/>
      <w:lang w:bidi="ar-SA"/>
    </w:rPr>
  </w:style>
  <w:style w:type="character" w:customStyle="1" w:styleId="210">
    <w:name w:val="标题 7 字符"/>
    <w:link w:val="8"/>
    <w:qFormat/>
    <w:uiPriority w:val="0"/>
    <w:rPr>
      <w:rFonts w:eastAsia="宋体"/>
      <w:b/>
      <w:kern w:val="2"/>
      <w:sz w:val="24"/>
      <w:lang w:val="en-US" w:eastAsia="zh-CN" w:bidi="ar-SA"/>
    </w:rPr>
  </w:style>
  <w:style w:type="character" w:customStyle="1" w:styleId="211">
    <w:name w:val="日期 Char Char"/>
    <w:qFormat/>
    <w:uiPriority w:val="0"/>
    <w:rPr>
      <w:rFonts w:ascii="Times New Roman" w:hAnsi="Times New Roman" w:eastAsia="宋体" w:cs="Times New Roman"/>
      <w:b/>
      <w:sz w:val="32"/>
      <w:szCs w:val="20"/>
    </w:rPr>
  </w:style>
  <w:style w:type="character" w:customStyle="1" w:styleId="212">
    <w:name w:val="proollist"/>
    <w:basedOn w:val="43"/>
    <w:qFormat/>
    <w:uiPriority w:val="0"/>
  </w:style>
  <w:style w:type="character" w:customStyle="1" w:styleId="213">
    <w:name w:val="文档结构图 字符"/>
    <w:link w:val="14"/>
    <w:qFormat/>
    <w:uiPriority w:val="0"/>
    <w:rPr>
      <w:rFonts w:eastAsia="宋体"/>
      <w:kern w:val="2"/>
      <w:sz w:val="21"/>
      <w:lang w:val="en-US" w:eastAsia="zh-CN" w:bidi="ar-SA"/>
    </w:rPr>
  </w:style>
  <w:style w:type="character" w:customStyle="1" w:styleId="214">
    <w:name w:val="hour_pm"/>
    <w:basedOn w:val="43"/>
    <w:qFormat/>
    <w:uiPriority w:val="0"/>
  </w:style>
  <w:style w:type="character" w:customStyle="1" w:styleId="215">
    <w:name w:val="正文文本缩进 2 字符"/>
    <w:link w:val="25"/>
    <w:qFormat/>
    <w:uiPriority w:val="0"/>
    <w:rPr>
      <w:rFonts w:eastAsia="宋体"/>
      <w:kern w:val="2"/>
      <w:sz w:val="21"/>
      <w:lang w:val="en-US" w:eastAsia="zh-CN" w:bidi="ar-SA"/>
    </w:rPr>
  </w:style>
  <w:style w:type="character" w:customStyle="1" w:styleId="216">
    <w:name w:val="text1"/>
    <w:basedOn w:val="43"/>
    <w:qFormat/>
    <w:uiPriority w:val="0"/>
  </w:style>
  <w:style w:type="character" w:customStyle="1" w:styleId="217">
    <w:name w:val="标题 2 字符"/>
    <w:link w:val="3"/>
    <w:qFormat/>
    <w:uiPriority w:val="0"/>
    <w:rPr>
      <w:rFonts w:ascii="Arial" w:hAnsi="Arial" w:eastAsia="黑体" w:cs="Times New Roman"/>
      <w:b/>
      <w:bCs/>
      <w:sz w:val="32"/>
      <w:szCs w:val="32"/>
    </w:rPr>
  </w:style>
  <w:style w:type="character" w:customStyle="1" w:styleId="218">
    <w:name w:val="纯文本 字符"/>
    <w:link w:val="22"/>
    <w:qFormat/>
    <w:uiPriority w:val="0"/>
    <w:rPr>
      <w:rFonts w:ascii="宋体" w:hAnsi="Courier New" w:eastAsia="宋体"/>
      <w:kern w:val="2"/>
      <w:sz w:val="21"/>
      <w:lang w:val="en-US" w:eastAsia="zh-CN" w:bidi="ar-SA"/>
    </w:rPr>
  </w:style>
  <w:style w:type="character" w:customStyle="1" w:styleId="219">
    <w:name w:val="zi71"/>
    <w:qFormat/>
    <w:uiPriority w:val="0"/>
    <w:rPr>
      <w:color w:val="000000"/>
      <w:sz w:val="20"/>
      <w:u w:val="none"/>
    </w:rPr>
  </w:style>
  <w:style w:type="character" w:customStyle="1" w:styleId="220">
    <w:name w:val="Char Char2"/>
    <w:qFormat/>
    <w:uiPriority w:val="0"/>
    <w:rPr>
      <w:rFonts w:ascii="Arial" w:hAnsi="Arial" w:eastAsia="黑体"/>
      <w:b/>
      <w:bCs/>
      <w:kern w:val="2"/>
      <w:sz w:val="32"/>
      <w:szCs w:val="32"/>
      <w:lang w:val="en-US" w:eastAsia="zh-CN" w:bidi="ar-SA"/>
    </w:rPr>
  </w:style>
  <w:style w:type="character" w:customStyle="1" w:styleId="221">
    <w:name w:val="页眉 Char Char"/>
    <w:qFormat/>
    <w:uiPriority w:val="0"/>
    <w:rPr>
      <w:rFonts w:ascii="Times New Roman" w:hAnsi="Times New Roman" w:eastAsia="宋体" w:cs="Times New Roman"/>
      <w:sz w:val="18"/>
      <w:szCs w:val="18"/>
    </w:rPr>
  </w:style>
  <w:style w:type="character" w:customStyle="1" w:styleId="222">
    <w:name w:val="页码1"/>
    <w:qFormat/>
    <w:uiPriority w:val="0"/>
    <w:rPr>
      <w:rFonts w:hint="default" w:ascii="Times New Roman"/>
    </w:rPr>
  </w:style>
  <w:style w:type="character" w:customStyle="1" w:styleId="223">
    <w:name w:val="f141"/>
    <w:qFormat/>
    <w:uiPriority w:val="0"/>
    <w:rPr>
      <w:sz w:val="21"/>
    </w:rPr>
  </w:style>
  <w:style w:type="character" w:customStyle="1" w:styleId="224">
    <w:name w:val="hover3"/>
    <w:qFormat/>
    <w:uiPriority w:val="0"/>
    <w:rPr>
      <w:shd w:val="clear" w:color="auto" w:fill="EEEEEE"/>
    </w:rPr>
  </w:style>
  <w:style w:type="character" w:customStyle="1" w:styleId="225">
    <w:name w:val="tmpztreemove_arrow"/>
    <w:qFormat/>
    <w:uiPriority w:val="0"/>
    <w:rPr>
      <w:shd w:val="clear" w:color="auto" w:fill="FFFFFF"/>
    </w:rPr>
  </w:style>
  <w:style w:type="character" w:customStyle="1" w:styleId="226">
    <w:name w:val="标题 4 字符"/>
    <w:link w:val="5"/>
    <w:qFormat/>
    <w:uiPriority w:val="0"/>
    <w:rPr>
      <w:rFonts w:eastAsia="宋体"/>
      <w:color w:val="FF0000"/>
      <w:kern w:val="2"/>
      <w:sz w:val="28"/>
      <w:u w:val="single"/>
      <w:lang w:val="en-US" w:eastAsia="zh-CN" w:bidi="ar-SA"/>
    </w:rPr>
  </w:style>
  <w:style w:type="character" w:customStyle="1" w:styleId="227">
    <w:name w:val="正文文本 2 字符"/>
    <w:link w:val="35"/>
    <w:qFormat/>
    <w:uiPriority w:val="0"/>
    <w:rPr>
      <w:rFonts w:eastAsia="宋体"/>
      <w:kern w:val="2"/>
      <w:sz w:val="30"/>
      <w:lang w:val="en-US" w:eastAsia="zh-CN" w:bidi="ar-SA"/>
    </w:rPr>
  </w:style>
  <w:style w:type="character" w:customStyle="1" w:styleId="228">
    <w:name w:val="paramname3"/>
    <w:qFormat/>
    <w:uiPriority w:val="0"/>
    <w:rPr>
      <w:color w:val="999999"/>
    </w:rPr>
  </w:style>
  <w:style w:type="character" w:customStyle="1" w:styleId="229">
    <w:name w:val="Char Char7"/>
    <w:qFormat/>
    <w:uiPriority w:val="0"/>
    <w:rPr>
      <w:rFonts w:ascii="Times New Roman" w:hAnsi="Times New Roman" w:eastAsia="宋体"/>
    </w:rPr>
  </w:style>
  <w:style w:type="character" w:customStyle="1" w:styleId="230">
    <w:name w:val="标题 3 Char1 Char"/>
    <w:qFormat/>
    <w:uiPriority w:val="0"/>
    <w:rPr>
      <w:rFonts w:ascii="Times New Roman" w:hAnsi="Times New Roman" w:eastAsia="宋体"/>
      <w:b/>
      <w:sz w:val="32"/>
    </w:rPr>
  </w:style>
  <w:style w:type="character" w:customStyle="1" w:styleId="231">
    <w:name w:val="Heading 2 Char"/>
    <w:qFormat/>
    <w:locked/>
    <w:uiPriority w:val="0"/>
    <w:rPr>
      <w:rFonts w:ascii="Arial" w:hAnsi="Arial" w:eastAsia="黑体" w:cs="Times New Roman"/>
      <w:b/>
      <w:bCs/>
      <w:sz w:val="32"/>
      <w:szCs w:val="32"/>
    </w:rPr>
  </w:style>
  <w:style w:type="character" w:customStyle="1" w:styleId="232">
    <w:name w:val="hour_am"/>
    <w:basedOn w:val="43"/>
    <w:qFormat/>
    <w:uiPriority w:val="0"/>
  </w:style>
  <w:style w:type="character" w:customStyle="1" w:styleId="233">
    <w:name w:val="spantable1"/>
    <w:qFormat/>
    <w:uiPriority w:val="0"/>
    <w:rPr>
      <w:rFonts w:hint="default" w:ascii="ˎ̥" w:hAnsi="ˎ̥"/>
      <w:sz w:val="18"/>
    </w:rPr>
  </w:style>
  <w:style w:type="character" w:customStyle="1" w:styleId="234">
    <w:name w:val="标题 1 Char Char"/>
    <w:qFormat/>
    <w:uiPriority w:val="0"/>
    <w:rPr>
      <w:rFonts w:ascii="Times New Roman" w:hAnsi="Times New Roman" w:eastAsia="宋体" w:cs="Times New Roman"/>
      <w:b/>
      <w:bCs/>
      <w:kern w:val="44"/>
      <w:sz w:val="44"/>
      <w:szCs w:val="44"/>
    </w:rPr>
  </w:style>
  <w:style w:type="character" w:customStyle="1" w:styleId="235">
    <w:name w:val="正文文字 Char"/>
    <w:qFormat/>
    <w:uiPriority w:val="0"/>
    <w:rPr>
      <w:rFonts w:eastAsia="宋体"/>
      <w:kern w:val="2"/>
      <w:sz w:val="21"/>
      <w:lang w:val="en-US" w:eastAsia="zh-CN"/>
    </w:rPr>
  </w:style>
  <w:style w:type="character" w:customStyle="1" w:styleId="236">
    <w:name w:val="标题 9 字符"/>
    <w:link w:val="10"/>
    <w:qFormat/>
    <w:uiPriority w:val="0"/>
    <w:rPr>
      <w:rFonts w:ascii="Arial" w:hAnsi="Arial" w:eastAsia="黑体"/>
      <w:kern w:val="2"/>
      <w:sz w:val="21"/>
      <w:lang w:val="en-US" w:eastAsia="zh-CN" w:bidi="ar-SA"/>
    </w:rPr>
  </w:style>
  <w:style w:type="character" w:customStyle="1" w:styleId="237">
    <w:name w:val="标题 1 字符"/>
    <w:link w:val="2"/>
    <w:qFormat/>
    <w:uiPriority w:val="0"/>
    <w:rPr>
      <w:rFonts w:ascii="宋体" w:hAnsi="宋体" w:eastAsia="宋体"/>
      <w:b/>
      <w:kern w:val="2"/>
      <w:sz w:val="36"/>
      <w:lang w:val="en-US" w:eastAsia="zh-CN" w:bidi="ar-SA"/>
    </w:rPr>
  </w:style>
  <w:style w:type="paragraph" w:customStyle="1" w:styleId="238">
    <w:name w:val="title14"/>
    <w:basedOn w:val="1"/>
    <w:qFormat/>
    <w:uiPriority w:val="0"/>
    <w:pPr>
      <w:spacing w:before="100"/>
      <w:jc w:val="left"/>
    </w:pPr>
    <w:rPr>
      <w:b/>
      <w:kern w:val="0"/>
      <w:sz w:val="15"/>
      <w:szCs w:val="15"/>
    </w:rPr>
  </w:style>
  <w:style w:type="paragraph" w:customStyle="1" w:styleId="239">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0">
    <w:name w:val="font171"/>
    <w:basedOn w:val="43"/>
    <w:qFormat/>
    <w:uiPriority w:val="0"/>
    <w:rPr>
      <w:rFonts w:hint="default" w:ascii="宋体-简" w:hAnsi="宋体-简" w:eastAsia="宋体-简" w:cs="宋体-简"/>
      <w:color w:val="000000"/>
      <w:sz w:val="18"/>
      <w:szCs w:val="18"/>
      <w:u w:val="none"/>
    </w:rPr>
  </w:style>
  <w:style w:type="character" w:customStyle="1" w:styleId="241">
    <w:name w:val="font131"/>
    <w:basedOn w:val="43"/>
    <w:qFormat/>
    <w:uiPriority w:val="0"/>
    <w:rPr>
      <w:rFonts w:ascii="Calibri" w:hAnsi="Calibri" w:cs="Calibri"/>
      <w:color w:val="000000"/>
      <w:sz w:val="18"/>
      <w:szCs w:val="18"/>
      <w:u w:val="none"/>
    </w:rPr>
  </w:style>
  <w:style w:type="paragraph" w:customStyle="1" w:styleId="242">
    <w:name w:val="正文 New"/>
    <w:qFormat/>
    <w:uiPriority w:val="99"/>
    <w:pPr>
      <w:widowControl w:val="0"/>
      <w:jc w:val="both"/>
    </w:pPr>
    <w:rPr>
      <w:rFonts w:ascii="Calibri" w:hAnsi="Calibri" w:eastAsia="宋体" w:cs="Times New Roman"/>
      <w:lang w:val="en-US" w:eastAsia="zh-CN" w:bidi="ar-SA"/>
    </w:rPr>
  </w:style>
  <w:style w:type="character" w:customStyle="1" w:styleId="243">
    <w:name w:val="NormalCharacter"/>
    <w:qFormat/>
    <w:uiPriority w:val="0"/>
    <w:rPr>
      <w:rFonts w:ascii="Times New Roman" w:hAnsi="Times New Roman" w:eastAsia="宋体"/>
    </w:rPr>
  </w:style>
  <w:style w:type="character" w:customStyle="1" w:styleId="244">
    <w:name w:val="p0 Char"/>
    <w:link w:val="140"/>
    <w:qFormat/>
    <w:uiPriority w:val="0"/>
    <w:rPr>
      <w:rFonts w:ascii="Calibri" w:hAnsi="Calibri" w:cs="宋体"/>
      <w:sz w:val="24"/>
      <w:szCs w:val="24"/>
    </w:rPr>
  </w:style>
  <w:style w:type="character" w:customStyle="1" w:styleId="245">
    <w:name w:val="称呼 字符"/>
    <w:basedOn w:val="43"/>
    <w:link w:val="17"/>
    <w:qFormat/>
    <w:uiPriority w:val="99"/>
    <w:rPr>
      <w:rFonts w:ascii="Calibri" w:hAnsi="Calibri"/>
      <w:kern w:val="2"/>
      <w:sz w:val="24"/>
    </w:rPr>
  </w:style>
  <w:style w:type="character" w:customStyle="1" w:styleId="246">
    <w:name w:val="font31"/>
    <w:basedOn w:val="43"/>
    <w:qFormat/>
    <w:uiPriority w:val="0"/>
    <w:rPr>
      <w:rFonts w:hint="eastAsia" w:ascii="仿宋" w:hAnsi="仿宋" w:eastAsia="仿宋" w:cs="仿宋"/>
      <w:b/>
      <w:bCs/>
      <w:color w:val="000000"/>
      <w:sz w:val="24"/>
      <w:szCs w:val="24"/>
      <w:u w:val="none"/>
    </w:rPr>
  </w:style>
  <w:style w:type="paragraph" w:customStyle="1" w:styleId="247">
    <w:name w:val="首行缩进"/>
    <w:basedOn w:val="1"/>
    <w:qFormat/>
    <w:uiPriority w:val="0"/>
    <w:pPr>
      <w:spacing w:line="360" w:lineRule="auto"/>
      <w:ind w:firstLine="480" w:firstLineChars="200"/>
    </w:pPr>
    <w:rPr>
      <w:sz w:val="24"/>
      <w:lang w:val="zh-CN"/>
    </w:rPr>
  </w:style>
  <w:style w:type="paragraph" w:customStyle="1" w:styleId="248">
    <w:name w:val="List 2"/>
    <w:basedOn w:val="1"/>
    <w:qFormat/>
    <w:uiPriority w:val="0"/>
    <w:pPr>
      <w:ind w:left="100" w:leftChars="200" w:hanging="200" w:hangingChars="200"/>
    </w:pPr>
  </w:style>
  <w:style w:type="paragraph" w:customStyle="1" w:styleId="249">
    <w:name w:val="Table Text"/>
    <w:basedOn w:val="1"/>
    <w:semiHidden/>
    <w:qFormat/>
    <w:uiPriority w:val="0"/>
    <w:rPr>
      <w:rFonts w:ascii="宋体" w:hAnsi="宋体" w:eastAsia="宋体" w:cs="宋体"/>
      <w:sz w:val="21"/>
      <w:szCs w:val="21"/>
      <w:lang w:val="en-US" w:eastAsia="en-US" w:bidi="ar-SA"/>
    </w:rPr>
  </w:style>
  <w:style w:type="paragraph" w:customStyle="1" w:styleId="25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7519</Words>
  <Characters>8113</Characters>
  <Lines>339</Lines>
  <Paragraphs>95</Paragraphs>
  <TotalTime>61</TotalTime>
  <ScaleCrop>false</ScaleCrop>
  <LinksUpToDate>false</LinksUpToDate>
  <CharactersWithSpaces>8268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soul</cp:lastModifiedBy>
  <cp:lastPrinted>2022-09-23T00:40:00Z</cp:lastPrinted>
  <dcterms:modified xsi:type="dcterms:W3CDTF">2025-06-26T07:56:46Z</dcterms:modified>
  <dc:title>招标编号：SXLHZB2009-124</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19C3642863254AC7ADCD7B8D607E0B9B_13</vt:lpwstr>
  </property>
  <property fmtid="{D5CDD505-2E9C-101B-9397-08002B2CF9AE}" pid="4" name="KSOTemplateDocerSaveRecord">
    <vt:lpwstr>eyJoZGlkIjoiYjExMTI1OTkzMzZjM2E4ZjhjZTFjYjIwZjY5NjUzOTgiLCJ1c2VySWQiOiIzMjUzMDc2MzkifQ==</vt:lpwstr>
  </property>
</Properties>
</file>