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525729">
      <w:pPr>
        <w:spacing w:line="360" w:lineRule="auto"/>
        <w:ind w:firstLine="723" w:firstLineChars="200"/>
        <w:jc w:val="right"/>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drawing>
          <wp:anchor distT="0" distB="0" distL="114300" distR="114300" simplePos="0" relativeHeight="251669504" behindDoc="0" locked="0" layoutInCell="1" allowOverlap="1">
            <wp:simplePos x="0" y="0"/>
            <wp:positionH relativeFrom="column">
              <wp:posOffset>-605155</wp:posOffset>
            </wp:positionH>
            <wp:positionV relativeFrom="paragraph">
              <wp:posOffset>-858520</wp:posOffset>
            </wp:positionV>
            <wp:extent cx="7493635" cy="10599420"/>
            <wp:effectExtent l="0" t="0" r="12065" b="11430"/>
            <wp:wrapNone/>
            <wp:docPr id="1" name="图片 1" descr="doc0175332025070210150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1753320250702101505_01"/>
                    <pic:cNvPicPr>
                      <a:picLocks noChangeAspect="1"/>
                    </pic:cNvPicPr>
                  </pic:nvPicPr>
                  <pic:blipFill>
                    <a:blip r:embed="rId29"/>
                    <a:stretch>
                      <a:fillRect/>
                    </a:stretch>
                  </pic:blipFill>
                  <pic:spPr>
                    <a:xfrm>
                      <a:off x="0" y="0"/>
                      <a:ext cx="7493635" cy="10599420"/>
                    </a:xfrm>
                    <a:prstGeom prst="rect">
                      <a:avLst/>
                    </a:prstGeom>
                  </pic:spPr>
                </pic:pic>
              </a:graphicData>
            </a:graphic>
          </wp:anchor>
        </w:drawing>
      </w:r>
      <w:r>
        <w:rPr>
          <w:rFonts w:hint="eastAsia" w:ascii="宋体" w:hAnsi="宋体" w:eastAsia="宋体" w:cs="宋体"/>
          <w:b/>
          <w:color w:val="auto"/>
          <w:sz w:val="36"/>
          <w:szCs w:val="36"/>
          <w:highlight w:val="none"/>
          <w:bdr w:val="single" w:color="auto" w:sz="4" w:space="0"/>
          <w:shd w:val="pct10" w:color="auto" w:fill="FFFFFF"/>
        </w:rPr>
        <w:t>政府采购项目</w:t>
      </w:r>
    </w:p>
    <w:p w14:paraId="7DEF2668">
      <w:pPr>
        <w:autoSpaceDE w:val="0"/>
        <w:autoSpaceDN w:val="0"/>
        <w:adjustRightInd w:val="0"/>
        <w:snapToGrid w:val="0"/>
        <w:spacing w:line="360" w:lineRule="auto"/>
        <w:jc w:val="left"/>
        <w:rPr>
          <w:rFonts w:hint="eastAsia" w:ascii="宋体" w:hAnsi="宋体" w:eastAsia="宋体" w:cs="宋体"/>
          <w:color w:val="auto"/>
          <w:sz w:val="32"/>
          <w:szCs w:val="32"/>
          <w:highlight w:val="none"/>
          <w:lang w:val="zh-CN"/>
        </w:rPr>
      </w:pPr>
    </w:p>
    <w:p w14:paraId="3B9D0171">
      <w:pPr>
        <w:autoSpaceDE w:val="0"/>
        <w:autoSpaceDN w:val="0"/>
        <w:adjustRightInd w:val="0"/>
        <w:snapToGrid w:val="0"/>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2"/>
          <w:szCs w:val="32"/>
          <w:highlight w:val="none"/>
          <w:lang w:val="zh-CN"/>
        </w:rPr>
        <w:t>项目编号：</w:t>
      </w:r>
      <w:r>
        <w:rPr>
          <w:rFonts w:hint="eastAsia" w:ascii="宋体" w:hAnsi="宋体" w:eastAsia="宋体" w:cs="宋体"/>
          <w:b/>
          <w:bCs/>
          <w:color w:val="auto"/>
          <w:sz w:val="32"/>
          <w:szCs w:val="32"/>
          <w:highlight w:val="none"/>
          <w:lang w:val="en-US" w:eastAsia="zh-CN"/>
        </w:rPr>
        <w:t>SXJX-2025-006号</w:t>
      </w:r>
    </w:p>
    <w:p w14:paraId="4C45062D">
      <w:pPr>
        <w:spacing w:line="360" w:lineRule="auto"/>
        <w:jc w:val="center"/>
        <w:rPr>
          <w:rFonts w:hint="eastAsia" w:ascii="宋体" w:hAnsi="宋体" w:eastAsia="宋体" w:cs="宋体"/>
          <w:b/>
          <w:bCs/>
          <w:color w:val="auto"/>
          <w:sz w:val="56"/>
          <w:szCs w:val="56"/>
          <w:highlight w:val="none"/>
        </w:rPr>
      </w:pPr>
    </w:p>
    <w:p w14:paraId="4F9ED5FA">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52"/>
          <w:szCs w:val="52"/>
          <w:highlight w:val="none"/>
          <w:lang w:eastAsia="zh-CN"/>
        </w:rPr>
        <w:t>凤县2024年度自然资源卫片执法工作</w:t>
      </w:r>
    </w:p>
    <w:p w14:paraId="550D83D6">
      <w:pPr>
        <w:spacing w:line="360" w:lineRule="auto"/>
        <w:ind w:firstLine="281" w:firstLineChars="50"/>
        <w:jc w:val="center"/>
        <w:rPr>
          <w:rFonts w:hint="eastAsia" w:ascii="宋体" w:hAnsi="宋体" w:eastAsia="宋体" w:cs="宋体"/>
          <w:b/>
          <w:bCs/>
          <w:color w:val="auto"/>
          <w:sz w:val="56"/>
          <w:szCs w:val="56"/>
          <w:highlight w:val="none"/>
        </w:rPr>
      </w:pPr>
    </w:p>
    <w:p w14:paraId="3595B23D">
      <w:pPr>
        <w:spacing w:line="360" w:lineRule="auto"/>
        <w:ind w:firstLine="281" w:firstLineChars="50"/>
        <w:jc w:val="center"/>
        <w:rPr>
          <w:rFonts w:hint="eastAsia" w:ascii="宋体" w:hAnsi="宋体" w:eastAsia="宋体" w:cs="宋体"/>
          <w:b/>
          <w:bCs/>
          <w:color w:val="auto"/>
          <w:spacing w:val="4"/>
          <w:sz w:val="56"/>
          <w:szCs w:val="56"/>
          <w:highlight w:val="none"/>
        </w:rPr>
      </w:pPr>
      <w:r>
        <w:rPr>
          <w:rFonts w:hint="eastAsia" w:ascii="宋体" w:hAnsi="宋体" w:eastAsia="宋体" w:cs="宋体"/>
          <w:b/>
          <w:bCs/>
          <w:color w:val="auto"/>
          <w:sz w:val="56"/>
          <w:szCs w:val="56"/>
          <w:highlight w:val="none"/>
        </w:rPr>
        <w:t>竞争性磋商</w:t>
      </w:r>
      <w:r>
        <w:rPr>
          <w:rFonts w:hint="eastAsia" w:ascii="宋体" w:hAnsi="宋体" w:eastAsia="宋体" w:cs="宋体"/>
          <w:b/>
          <w:bCs/>
          <w:color w:val="auto"/>
          <w:spacing w:val="4"/>
          <w:sz w:val="56"/>
          <w:szCs w:val="56"/>
          <w:highlight w:val="none"/>
        </w:rPr>
        <w:t>文件</w:t>
      </w:r>
    </w:p>
    <w:p w14:paraId="313D685F">
      <w:pPr>
        <w:spacing w:line="360" w:lineRule="auto"/>
        <w:rPr>
          <w:rFonts w:hint="eastAsia" w:ascii="宋体" w:hAnsi="宋体" w:eastAsia="宋体" w:cs="宋体"/>
          <w:b/>
          <w:bCs/>
          <w:color w:val="auto"/>
          <w:spacing w:val="4"/>
          <w:highlight w:val="none"/>
        </w:rPr>
      </w:pPr>
    </w:p>
    <w:p w14:paraId="0DA9CA69">
      <w:pPr>
        <w:spacing w:line="360" w:lineRule="auto"/>
        <w:rPr>
          <w:rFonts w:hint="eastAsia" w:ascii="宋体" w:hAnsi="宋体" w:eastAsia="宋体" w:cs="宋体"/>
          <w:b/>
          <w:bCs/>
          <w:color w:val="auto"/>
          <w:spacing w:val="4"/>
          <w:highlight w:val="none"/>
        </w:rPr>
      </w:pPr>
    </w:p>
    <w:p w14:paraId="1471ED35">
      <w:pPr>
        <w:pStyle w:val="2"/>
        <w:spacing w:line="360" w:lineRule="auto"/>
        <w:ind w:left="0" w:firstLine="0" w:firstLineChars="0"/>
        <w:rPr>
          <w:rFonts w:hint="eastAsia" w:ascii="宋体" w:hAnsi="宋体" w:eastAsia="宋体" w:cs="宋体"/>
          <w:color w:val="auto"/>
          <w:highlight w:val="none"/>
        </w:rPr>
      </w:pPr>
    </w:p>
    <w:p w14:paraId="6F2F0EFA">
      <w:pPr>
        <w:spacing w:line="360" w:lineRule="auto"/>
        <w:rPr>
          <w:rFonts w:hint="eastAsia" w:ascii="宋体" w:hAnsi="宋体" w:eastAsia="宋体" w:cs="宋体"/>
          <w:color w:val="auto"/>
          <w:highlight w:val="none"/>
        </w:rPr>
      </w:pPr>
    </w:p>
    <w:p w14:paraId="266767EA">
      <w:pPr>
        <w:tabs>
          <w:tab w:val="left" w:pos="5670"/>
        </w:tabs>
        <w:autoSpaceDE w:val="0"/>
        <w:autoSpaceDN w:val="0"/>
        <w:adjustRightInd w:val="0"/>
        <w:snapToGrid w:val="0"/>
        <w:spacing w:line="360" w:lineRule="auto"/>
        <w:rPr>
          <w:rFonts w:hint="eastAsia" w:ascii="宋体" w:hAnsi="宋体" w:eastAsia="宋体" w:cs="宋体"/>
          <w:b/>
          <w:bCs/>
          <w:color w:val="auto"/>
          <w:sz w:val="32"/>
          <w:szCs w:val="32"/>
          <w:highlight w:val="none"/>
          <w:lang w:val="zh-CN"/>
        </w:rPr>
      </w:pPr>
    </w:p>
    <w:p w14:paraId="0D6F6207">
      <w:pPr>
        <w:tabs>
          <w:tab w:val="left" w:pos="5670"/>
        </w:tabs>
        <w:autoSpaceDE w:val="0"/>
        <w:autoSpaceDN w:val="0"/>
        <w:adjustRightInd w:val="0"/>
        <w:snapToGrid w:val="0"/>
        <w:spacing w:line="360" w:lineRule="auto"/>
        <w:rPr>
          <w:rFonts w:hint="eastAsia" w:ascii="宋体" w:hAnsi="宋体" w:eastAsia="宋体" w:cs="宋体"/>
          <w:b/>
          <w:bCs/>
          <w:color w:val="auto"/>
          <w:sz w:val="32"/>
          <w:szCs w:val="32"/>
          <w:highlight w:val="none"/>
          <w:lang w:val="zh-CN"/>
        </w:rPr>
      </w:pPr>
    </w:p>
    <w:p w14:paraId="27163C31">
      <w:pPr>
        <w:tabs>
          <w:tab w:val="left" w:pos="5670"/>
        </w:tabs>
        <w:autoSpaceDE w:val="0"/>
        <w:autoSpaceDN w:val="0"/>
        <w:adjustRightInd w:val="0"/>
        <w:snapToGrid w:val="0"/>
        <w:spacing w:line="360" w:lineRule="auto"/>
        <w:ind w:firstLine="643" w:firstLineChars="20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采购单位：</w:t>
      </w:r>
      <w:r>
        <w:rPr>
          <w:rFonts w:hint="eastAsia" w:ascii="宋体" w:hAnsi="宋体" w:eastAsia="宋体" w:cs="宋体"/>
          <w:b/>
          <w:bCs/>
          <w:color w:val="auto"/>
          <w:sz w:val="32"/>
          <w:szCs w:val="32"/>
          <w:highlight w:val="none"/>
          <w:lang w:eastAsia="zh-CN"/>
        </w:rPr>
        <w:t>凤县自然资源局（凤县不动产登记局）</w:t>
      </w:r>
    </w:p>
    <w:p w14:paraId="295987C7">
      <w:pPr>
        <w:pStyle w:val="12"/>
        <w:spacing w:line="360" w:lineRule="auto"/>
        <w:rPr>
          <w:rFonts w:hint="eastAsia" w:ascii="宋体" w:hAnsi="宋体" w:eastAsia="宋体" w:cs="宋体"/>
          <w:color w:val="auto"/>
          <w:highlight w:val="none"/>
        </w:rPr>
      </w:pPr>
    </w:p>
    <w:p w14:paraId="47E67D76">
      <w:pPr>
        <w:tabs>
          <w:tab w:val="left" w:pos="5670"/>
        </w:tabs>
        <w:autoSpaceDE w:val="0"/>
        <w:autoSpaceDN w:val="0"/>
        <w:adjustRightInd w:val="0"/>
        <w:snapToGrid w:val="0"/>
        <w:spacing w:line="360" w:lineRule="auto"/>
        <w:ind w:firstLine="643" w:firstLineChars="200"/>
        <w:jc w:val="both"/>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代理单位：</w:t>
      </w:r>
      <w:r>
        <w:rPr>
          <w:rFonts w:hint="eastAsia" w:ascii="宋体" w:hAnsi="宋体" w:eastAsia="宋体" w:cs="宋体"/>
          <w:b/>
          <w:bCs/>
          <w:color w:val="auto"/>
          <w:sz w:val="32"/>
          <w:szCs w:val="32"/>
          <w:highlight w:val="none"/>
          <w:lang w:val="zh-CN"/>
        </w:rPr>
        <w:t>陕西佳信项目管理有限公司</w:t>
      </w:r>
    </w:p>
    <w:p w14:paraId="71D4216E">
      <w:pPr>
        <w:tabs>
          <w:tab w:val="left" w:pos="546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lang w:val="zh-CN"/>
        </w:rPr>
      </w:pPr>
    </w:p>
    <w:p w14:paraId="0CC4F3F9">
      <w:pPr>
        <w:tabs>
          <w:tab w:val="left" w:pos="546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lang w:val="zh-CN"/>
        </w:rPr>
      </w:pPr>
    </w:p>
    <w:p w14:paraId="2F5E4941">
      <w:pPr>
        <w:tabs>
          <w:tab w:val="left" w:pos="546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lang w:val="zh-CN"/>
        </w:rPr>
        <w:sectPr>
          <w:headerReference r:id="rId4" w:type="first"/>
          <w:headerReference r:id="rId3" w:type="default"/>
          <w:footerReference r:id="rId5" w:type="default"/>
          <w:pgSz w:w="11849" w:h="16781"/>
          <w:pgMar w:top="1440" w:right="1080" w:bottom="1440" w:left="1080" w:header="720" w:footer="720" w:gutter="0"/>
          <w:cols w:space="720" w:num="1"/>
          <w:titlePg/>
          <w:docGrid w:linePitch="312" w:charSpace="0"/>
        </w:sect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二〇二</w:t>
      </w:r>
      <w:r>
        <w:rPr>
          <w:rFonts w:hint="eastAsia" w:ascii="宋体" w:hAnsi="宋体" w:eastAsia="宋体" w:cs="宋体"/>
          <w:b/>
          <w:bCs/>
          <w:color w:val="auto"/>
          <w:sz w:val="32"/>
          <w:szCs w:val="32"/>
          <w:highlight w:val="none"/>
          <w:lang w:val="zh-CN" w:eastAsia="zh-CN"/>
        </w:rPr>
        <w:t>五</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zh-CN"/>
        </w:rPr>
        <w:t>月</w:t>
      </w:r>
    </w:p>
    <w:p w14:paraId="3D267C92">
      <w:pPr>
        <w:tabs>
          <w:tab w:val="left" w:pos="5460"/>
        </w:tabs>
        <w:autoSpaceDE w:val="0"/>
        <w:autoSpaceDN w:val="0"/>
        <w:adjustRightInd w:val="0"/>
        <w:snapToGrid w:val="0"/>
        <w:spacing w:line="360" w:lineRule="auto"/>
        <w:jc w:val="center"/>
        <w:rPr>
          <w:rFonts w:hint="eastAsia" w:ascii="宋体" w:hAnsi="宋体" w:eastAsia="宋体" w:cs="宋体"/>
          <w:b/>
          <w:bCs/>
          <w:color w:val="auto"/>
          <w:kern w:val="44"/>
          <w:sz w:val="44"/>
          <w:szCs w:val="44"/>
          <w:highlight w:val="none"/>
          <w:lang w:val="zh-CN"/>
        </w:rPr>
      </w:pPr>
      <w:r>
        <w:rPr>
          <w:rFonts w:hint="eastAsia" w:ascii="宋体" w:hAnsi="宋体" w:eastAsia="宋体" w:cs="宋体"/>
          <w:b/>
          <w:bCs/>
          <w:color w:val="auto"/>
          <w:kern w:val="44"/>
          <w:sz w:val="44"/>
          <w:szCs w:val="44"/>
          <w:highlight w:val="none"/>
          <w:lang w:val="zh-CN"/>
        </w:rPr>
        <w:t>温馨提示</w:t>
      </w:r>
    </w:p>
    <w:p w14:paraId="525F08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1、请您仔细阅读磋商文件并正确理解磋商文件中各项具体要求。</w:t>
      </w:r>
    </w:p>
    <w:p w14:paraId="5CFA52E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采用不见面开标电子化投标方式磋商，投标供应商须使用数字认证证书（CA锁）对电子磋商响应文件进行签章、加密、递交、开标时解密以及二次报价等相关招投标事宜;供应商通过线上观看开标现场视频，无需到现场参加开标会议。</w:t>
      </w:r>
    </w:p>
    <w:p w14:paraId="49A76F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实施“不见面开标”，供应商应确保自己的电脑环境、CA锁、网络等状况良好，以免影响其参与交易活动。</w:t>
      </w:r>
    </w:p>
    <w:p w14:paraId="489ECF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、请您确保磋商保证金凭证已办理。</w:t>
      </w:r>
    </w:p>
    <w:p w14:paraId="0F57DD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、咨询其他问题，请与我们的工作人员联系，竭诚为您服务。</w:t>
      </w:r>
    </w:p>
    <w:p w14:paraId="3896BB3D">
      <w:pPr>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陕西佳信项目管理有限公司</w:t>
      </w:r>
    </w:p>
    <w:p w14:paraId="1BFA068E">
      <w:pPr>
        <w:spacing w:line="360" w:lineRule="auto"/>
        <w:ind w:left="358" w:leftChars="85" w:hanging="120" w:hanging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　地　　址：</w:t>
      </w:r>
      <w:r>
        <w:rPr>
          <w:rFonts w:hint="eastAsia" w:ascii="宋体" w:hAnsi="宋体" w:eastAsia="宋体" w:cs="宋体"/>
          <w:color w:val="auto"/>
          <w:sz w:val="24"/>
          <w:szCs w:val="24"/>
          <w:highlight w:val="none"/>
          <w:lang w:val="en-US" w:eastAsia="zh-CN"/>
        </w:rPr>
        <w:t>宝鸡市金台区卧龙寺街道办事处行政东路三迪金融中心8层806室</w:t>
      </w:r>
    </w:p>
    <w:p w14:paraId="3ED441B4">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严萍 0917-3213637</w:t>
      </w:r>
    </w:p>
    <w:p w14:paraId="4BCAED33">
      <w:pPr>
        <w:spacing w:line="360" w:lineRule="auto"/>
        <w:ind w:firstLine="1303" w:firstLineChars="543"/>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pict>
          <v:shape id="文本框 14" o:spid="_x0000_s2063" o:spt="202" type="#_x0000_t202" style="position:absolute;left:0pt;margin-left:11.25pt;margin-top:58.3pt;height:62.45pt;width:435.65pt;mso-wrap-distance-bottom:0pt;mso-wrap-distance-left:9pt;mso-wrap-distance-right:9pt;mso-wrap-distance-top:0pt;z-index:251668480;mso-width-relative:page;mso-height-relative:page;" fillcolor="#FFFFFF" filled="t" stroked="t" coordsize="21600,21600" o:gfxdata="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cHCdkAAAAKAQAADwAAAAAAAAABACAA&#10;AAAiAAAAZHJzL2Rvd25yZXYueG1sUEsBAhQAFAAAAAgAh07iQDOBA+0MAgAAOAQAAA4AAAAAAAAA&#10;AQAgAAAAKAEAAGRycy9lMm9Eb2MueG1sUEsFBgAAAAAGAAYAWQEAAKYFAAAAAA==&#10;">
            <v:path/>
            <v:fill on="t" focussize="0,0"/>
            <v:stroke color="#000000" joinstyle="miter"/>
            <v:imagedata o:title=""/>
            <o:lock v:ext="edit" aspectratio="f"/>
            <v:textbox>
              <w:txbxContent>
                <w:p w14:paraId="79DDD87D">
                  <w:pPr>
                    <w:spacing w:line="480" w:lineRule="auto"/>
                    <w:jc w:val="left"/>
                    <w:rPr>
                      <w:rFonts w:ascii="宋体" w:hAnsi="宋体"/>
                      <w:b/>
                      <w:sz w:val="24"/>
                    </w:rPr>
                  </w:pPr>
                  <w:r>
                    <w:rPr>
                      <w:rFonts w:hint="eastAsia" w:ascii="宋体" w:hAnsi="宋体"/>
                      <w:b/>
                      <w:sz w:val="24"/>
                    </w:rPr>
                    <w:t>温馨提示：</w:t>
                  </w:r>
                  <w:r>
                    <w:rPr>
                      <w:rFonts w:hint="eastAsia" w:ascii="宋体" w:hAnsi="宋体"/>
                      <w:b/>
                      <w:sz w:val="24"/>
                      <w:lang w:eastAsia="zh-CN"/>
                    </w:rPr>
                    <w:t>获取</w:t>
                  </w:r>
                  <w:r>
                    <w:rPr>
                      <w:rFonts w:hint="eastAsia" w:ascii="宋体" w:hAnsi="宋体"/>
                      <w:b/>
                      <w:sz w:val="24"/>
                    </w:rPr>
                    <w:t>磋商文件后，请仔细阅读，特别注意粗体及划线部分，如有疑问请来电咨询。</w:t>
                  </w:r>
                </w:p>
              </w:txbxContent>
            </v:textbox>
            <w10:wrap type="square"/>
          </v:shape>
        </w:pict>
      </w:r>
    </w:p>
    <w:p w14:paraId="1FA0D59A">
      <w:pPr>
        <w:pStyle w:val="23"/>
        <w:spacing w:line="360" w:lineRule="auto"/>
        <w:ind w:firstLine="248"/>
        <w:rPr>
          <w:rFonts w:hint="eastAsia" w:ascii="宋体" w:hAnsi="宋体" w:eastAsia="宋体" w:cs="宋体"/>
          <w:color w:val="auto"/>
          <w:spacing w:val="4"/>
          <w:sz w:val="24"/>
          <w:szCs w:val="24"/>
          <w:highlight w:val="none"/>
        </w:rPr>
      </w:pPr>
    </w:p>
    <w:p w14:paraId="3D42F979">
      <w:pPr>
        <w:pStyle w:val="23"/>
        <w:spacing w:line="360" w:lineRule="auto"/>
        <w:ind w:firstLine="248"/>
        <w:rPr>
          <w:rFonts w:hint="eastAsia" w:ascii="宋体" w:hAnsi="宋体" w:eastAsia="宋体" w:cs="宋体"/>
          <w:color w:val="auto"/>
          <w:spacing w:val="4"/>
          <w:sz w:val="24"/>
          <w:szCs w:val="24"/>
          <w:highlight w:val="none"/>
        </w:rPr>
      </w:pPr>
    </w:p>
    <w:p w14:paraId="3C39EF28">
      <w:pPr>
        <w:pStyle w:val="23"/>
        <w:spacing w:line="360" w:lineRule="auto"/>
        <w:ind w:firstLine="248"/>
        <w:rPr>
          <w:rFonts w:hint="eastAsia" w:ascii="宋体" w:hAnsi="宋体" w:eastAsia="宋体" w:cs="宋体"/>
          <w:color w:val="auto"/>
          <w:spacing w:val="4"/>
          <w:sz w:val="24"/>
          <w:szCs w:val="24"/>
          <w:highlight w:val="none"/>
        </w:rPr>
      </w:pPr>
    </w:p>
    <w:p w14:paraId="3766CC4E">
      <w:pPr>
        <w:pStyle w:val="23"/>
        <w:spacing w:line="360" w:lineRule="auto"/>
        <w:ind w:firstLine="248"/>
        <w:rPr>
          <w:rFonts w:hint="eastAsia" w:ascii="宋体" w:hAnsi="宋体" w:eastAsia="宋体" w:cs="宋体"/>
          <w:color w:val="auto"/>
          <w:spacing w:val="4"/>
          <w:sz w:val="24"/>
          <w:szCs w:val="24"/>
          <w:highlight w:val="none"/>
        </w:rPr>
      </w:pPr>
    </w:p>
    <w:p w14:paraId="57391196">
      <w:pPr>
        <w:pStyle w:val="23"/>
        <w:spacing w:line="360" w:lineRule="auto"/>
        <w:ind w:firstLine="248"/>
        <w:rPr>
          <w:rFonts w:hint="eastAsia" w:ascii="宋体" w:hAnsi="宋体" w:eastAsia="宋体" w:cs="宋体"/>
          <w:color w:val="auto"/>
          <w:spacing w:val="4"/>
          <w:sz w:val="24"/>
          <w:szCs w:val="24"/>
          <w:highlight w:val="none"/>
        </w:rPr>
      </w:pPr>
    </w:p>
    <w:p w14:paraId="6BC75408">
      <w:pPr>
        <w:spacing w:line="360" w:lineRule="auto"/>
        <w:ind w:firstLine="2432" w:firstLineChars="543"/>
        <w:rPr>
          <w:rFonts w:hint="eastAsia" w:ascii="宋体" w:hAnsi="宋体" w:eastAsia="宋体" w:cs="宋体"/>
          <w:color w:val="auto"/>
          <w:spacing w:val="4"/>
          <w:sz w:val="44"/>
          <w:highlight w:val="none"/>
        </w:rPr>
      </w:pPr>
    </w:p>
    <w:p w14:paraId="0D5A59CB">
      <w:pPr>
        <w:pStyle w:val="23"/>
        <w:spacing w:line="360" w:lineRule="auto"/>
        <w:ind w:firstLine="448"/>
        <w:rPr>
          <w:rFonts w:hint="eastAsia" w:ascii="宋体" w:hAnsi="宋体" w:eastAsia="宋体" w:cs="宋体"/>
          <w:color w:val="auto"/>
          <w:spacing w:val="4"/>
          <w:sz w:val="44"/>
          <w:highlight w:val="none"/>
        </w:rPr>
      </w:pPr>
    </w:p>
    <w:p w14:paraId="78B22E92">
      <w:pPr>
        <w:spacing w:line="360" w:lineRule="auto"/>
        <w:ind w:firstLine="2432" w:firstLineChars="543"/>
        <w:rPr>
          <w:rFonts w:hint="eastAsia" w:ascii="宋体" w:hAnsi="宋体" w:eastAsia="宋体" w:cs="宋体"/>
          <w:color w:val="auto"/>
          <w:spacing w:val="4"/>
          <w:sz w:val="44"/>
          <w:highlight w:val="none"/>
        </w:rPr>
      </w:pPr>
      <w:r>
        <w:rPr>
          <w:rFonts w:hint="eastAsia" w:ascii="宋体" w:hAnsi="宋体" w:eastAsia="宋体" w:cs="宋体"/>
          <w:color w:val="auto"/>
          <w:spacing w:val="4"/>
          <w:sz w:val="44"/>
          <w:highlight w:val="none"/>
        </w:rPr>
        <w:br w:type="page"/>
      </w:r>
    </w:p>
    <w:p w14:paraId="538CAD01">
      <w:pPr>
        <w:spacing w:line="360" w:lineRule="auto"/>
        <w:ind w:firstLine="2876" w:firstLineChars="642"/>
        <w:rPr>
          <w:rFonts w:hint="eastAsia" w:ascii="宋体" w:hAnsi="宋体" w:eastAsia="宋体" w:cs="宋体"/>
          <w:color w:val="auto"/>
          <w:spacing w:val="4"/>
          <w:sz w:val="44"/>
          <w:highlight w:val="none"/>
        </w:rPr>
      </w:pPr>
      <w:r>
        <w:rPr>
          <w:rFonts w:hint="eastAsia" w:ascii="宋体" w:hAnsi="宋体" w:eastAsia="宋体" w:cs="宋体"/>
          <w:color w:val="auto"/>
          <w:spacing w:val="4"/>
          <w:sz w:val="44"/>
          <w:highlight w:val="none"/>
        </w:rPr>
        <w:t>竞争性磋商文件目录</w:t>
      </w:r>
    </w:p>
    <w:p w14:paraId="30F0F4AA">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highlight w:val="none"/>
        </w:rPr>
        <w:fldChar w:fldCharType="begin"/>
      </w:r>
      <w:r>
        <w:rPr>
          <w:rFonts w:hint="eastAsia" w:ascii="宋体" w:hAnsi="宋体" w:eastAsia="宋体" w:cs="宋体"/>
          <w:color w:val="auto"/>
          <w:spacing w:val="4"/>
          <w:sz w:val="32"/>
          <w:highlight w:val="none"/>
        </w:rPr>
        <w:instrText xml:space="preserve">TOC \o "1-1" \h \u </w:instrText>
      </w:r>
      <w:r>
        <w:rPr>
          <w:rFonts w:hint="eastAsia" w:ascii="宋体" w:hAnsi="宋体" w:eastAsia="宋体" w:cs="宋体"/>
          <w:color w:val="auto"/>
          <w:spacing w:val="4"/>
          <w:sz w:val="32"/>
          <w:highlight w:val="none"/>
        </w:rPr>
        <w:fldChar w:fldCharType="separate"/>
      </w: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_Toc22782 </w:instrText>
      </w:r>
      <w:r>
        <w:rPr>
          <w:rFonts w:hint="eastAsia" w:ascii="宋体" w:hAnsi="宋体" w:eastAsia="宋体" w:cs="宋体"/>
          <w:spacing w:val="4"/>
          <w:sz w:val="32"/>
          <w:szCs w:val="21"/>
          <w:highlight w:val="none"/>
        </w:rPr>
        <w:fldChar w:fldCharType="separate"/>
      </w:r>
      <w:r>
        <w:rPr>
          <w:rFonts w:hint="eastAsia" w:ascii="宋体" w:hAnsi="宋体" w:eastAsia="宋体" w:cs="宋体"/>
          <w:bCs/>
          <w:sz w:val="32"/>
          <w:szCs w:val="44"/>
          <w:highlight w:val="none"/>
          <w:lang w:val="en-US" w:eastAsia="zh-CN"/>
        </w:rPr>
        <w:t xml:space="preserve">第一章 </w:t>
      </w:r>
      <w:r>
        <w:rPr>
          <w:rFonts w:hint="eastAsia" w:ascii="宋体" w:hAnsi="宋体" w:eastAsia="宋体" w:cs="宋体"/>
          <w:bCs/>
          <w:sz w:val="32"/>
          <w:szCs w:val="44"/>
          <w:highlight w:val="none"/>
        </w:rPr>
        <w:t>竞争性磋商公告</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_Toc22782 \h </w:instrText>
      </w:r>
      <w:r>
        <w:rPr>
          <w:rFonts w:hint="eastAsia" w:ascii="宋体" w:hAnsi="宋体" w:eastAsia="宋体" w:cs="宋体"/>
          <w:sz w:val="32"/>
          <w:szCs w:val="21"/>
        </w:rPr>
        <w:fldChar w:fldCharType="separate"/>
      </w:r>
      <w:r>
        <w:rPr>
          <w:rFonts w:hint="eastAsia" w:ascii="宋体" w:hAnsi="宋体" w:eastAsia="宋体" w:cs="宋体"/>
          <w:sz w:val="32"/>
          <w:szCs w:val="21"/>
        </w:rPr>
        <w:t>3</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25D3E4D1">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_Toc24375 </w:instrText>
      </w:r>
      <w:r>
        <w:rPr>
          <w:rFonts w:hint="eastAsia" w:ascii="宋体" w:hAnsi="宋体" w:eastAsia="宋体" w:cs="宋体"/>
          <w:spacing w:val="4"/>
          <w:sz w:val="32"/>
          <w:szCs w:val="21"/>
          <w:highlight w:val="none"/>
        </w:rPr>
        <w:fldChar w:fldCharType="separate"/>
      </w:r>
      <w:r>
        <w:rPr>
          <w:rFonts w:hint="eastAsia" w:ascii="宋体" w:hAnsi="宋体" w:eastAsia="宋体" w:cs="宋体"/>
          <w:bCs/>
          <w:sz w:val="32"/>
          <w:szCs w:val="48"/>
          <w:highlight w:val="none"/>
        </w:rPr>
        <w:t>第二章 竞争性磋商须知</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_Toc24375 \h </w:instrText>
      </w:r>
      <w:r>
        <w:rPr>
          <w:rFonts w:hint="eastAsia" w:ascii="宋体" w:hAnsi="宋体" w:eastAsia="宋体" w:cs="宋体"/>
          <w:sz w:val="32"/>
          <w:szCs w:val="21"/>
        </w:rPr>
        <w:fldChar w:fldCharType="separate"/>
      </w:r>
      <w:r>
        <w:rPr>
          <w:rFonts w:hint="eastAsia" w:ascii="宋体" w:hAnsi="宋体" w:eastAsia="宋体" w:cs="宋体"/>
          <w:sz w:val="32"/>
          <w:szCs w:val="21"/>
        </w:rPr>
        <w:t>8</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558C797C">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_Toc16715 </w:instrText>
      </w:r>
      <w:r>
        <w:rPr>
          <w:rFonts w:hint="eastAsia" w:ascii="宋体" w:hAnsi="宋体" w:eastAsia="宋体" w:cs="宋体"/>
          <w:spacing w:val="4"/>
          <w:sz w:val="32"/>
          <w:szCs w:val="21"/>
          <w:highlight w:val="none"/>
        </w:rPr>
        <w:fldChar w:fldCharType="separate"/>
      </w:r>
      <w:r>
        <w:rPr>
          <w:rFonts w:hint="eastAsia" w:ascii="宋体" w:hAnsi="宋体" w:eastAsia="宋体" w:cs="宋体"/>
          <w:bCs/>
          <w:kern w:val="0"/>
          <w:sz w:val="32"/>
          <w:szCs w:val="21"/>
          <w:highlight w:val="none"/>
        </w:rPr>
        <w:t>第三章 采购内</w:t>
      </w:r>
      <w:r>
        <w:rPr>
          <w:rFonts w:hint="eastAsia" w:ascii="宋体" w:hAnsi="宋体" w:eastAsia="宋体" w:cs="宋体"/>
          <w:bCs/>
          <w:kern w:val="0"/>
          <w:sz w:val="32"/>
          <w:szCs w:val="21"/>
          <w:highlight w:val="none"/>
          <w:shd w:val="clear" w:color="auto" w:fill="FFFFFF" w:themeFill="background1"/>
        </w:rPr>
        <w:t>容及要求</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_Toc16715 \h </w:instrText>
      </w:r>
      <w:r>
        <w:rPr>
          <w:rFonts w:hint="eastAsia" w:ascii="宋体" w:hAnsi="宋体" w:eastAsia="宋体" w:cs="宋体"/>
          <w:sz w:val="32"/>
          <w:szCs w:val="21"/>
        </w:rPr>
        <w:fldChar w:fldCharType="separate"/>
      </w:r>
      <w:r>
        <w:rPr>
          <w:rFonts w:hint="eastAsia" w:ascii="宋体" w:hAnsi="宋体" w:eastAsia="宋体" w:cs="宋体"/>
          <w:sz w:val="32"/>
          <w:szCs w:val="21"/>
        </w:rPr>
        <w:t>34</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20B7754C">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_Toc11523 </w:instrText>
      </w:r>
      <w:r>
        <w:rPr>
          <w:rFonts w:hint="eastAsia" w:ascii="宋体" w:hAnsi="宋体" w:eastAsia="宋体" w:cs="宋体"/>
          <w:spacing w:val="4"/>
          <w:sz w:val="32"/>
          <w:szCs w:val="21"/>
          <w:highlight w:val="none"/>
        </w:rPr>
        <w:fldChar w:fldCharType="separate"/>
      </w:r>
      <w:r>
        <w:rPr>
          <w:rFonts w:hint="eastAsia" w:ascii="宋体" w:hAnsi="宋体" w:eastAsia="宋体" w:cs="宋体"/>
          <w:bCs/>
          <w:kern w:val="0"/>
          <w:sz w:val="32"/>
          <w:szCs w:val="21"/>
          <w:highlight w:val="none"/>
          <w:lang w:eastAsia="zh-CN"/>
        </w:rPr>
        <w:t>第四章</w:t>
      </w:r>
      <w:r>
        <w:rPr>
          <w:rFonts w:hint="eastAsia" w:ascii="宋体" w:hAnsi="宋体" w:eastAsia="宋体" w:cs="宋体"/>
          <w:bCs/>
          <w:kern w:val="0"/>
          <w:sz w:val="32"/>
          <w:szCs w:val="21"/>
          <w:highlight w:val="none"/>
          <w:lang w:val="en-US" w:eastAsia="zh-CN"/>
        </w:rPr>
        <w:t xml:space="preserve"> </w:t>
      </w:r>
      <w:r>
        <w:rPr>
          <w:rFonts w:hint="eastAsia" w:ascii="宋体" w:hAnsi="宋体" w:eastAsia="宋体" w:cs="宋体"/>
          <w:bCs/>
          <w:kern w:val="0"/>
          <w:sz w:val="32"/>
          <w:szCs w:val="21"/>
          <w:highlight w:val="none"/>
        </w:rPr>
        <w:t>商务要求</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_Toc11523 \h </w:instrText>
      </w:r>
      <w:r>
        <w:rPr>
          <w:rFonts w:hint="eastAsia" w:ascii="宋体" w:hAnsi="宋体" w:eastAsia="宋体" w:cs="宋体"/>
          <w:sz w:val="32"/>
          <w:szCs w:val="21"/>
        </w:rPr>
        <w:fldChar w:fldCharType="separate"/>
      </w:r>
      <w:r>
        <w:rPr>
          <w:rFonts w:hint="eastAsia" w:ascii="宋体" w:hAnsi="宋体" w:eastAsia="宋体" w:cs="宋体"/>
          <w:sz w:val="32"/>
          <w:szCs w:val="21"/>
        </w:rPr>
        <w:t>34</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37D038C2">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_Toc9068 </w:instrText>
      </w:r>
      <w:r>
        <w:rPr>
          <w:rFonts w:hint="eastAsia" w:ascii="宋体" w:hAnsi="宋体" w:eastAsia="宋体" w:cs="宋体"/>
          <w:spacing w:val="4"/>
          <w:sz w:val="32"/>
          <w:szCs w:val="21"/>
          <w:highlight w:val="none"/>
        </w:rPr>
        <w:fldChar w:fldCharType="separate"/>
      </w:r>
      <w:r>
        <w:rPr>
          <w:rFonts w:hint="eastAsia" w:ascii="宋体" w:hAnsi="宋体" w:eastAsia="宋体" w:cs="宋体"/>
          <w:sz w:val="32"/>
          <w:szCs w:val="21"/>
          <w:highlight w:val="none"/>
        </w:rPr>
        <w:t>第五章 合同</w:t>
      </w:r>
      <w:r>
        <w:rPr>
          <w:rFonts w:hint="eastAsia" w:ascii="宋体" w:hAnsi="宋体" w:eastAsia="宋体" w:cs="宋体"/>
          <w:sz w:val="32"/>
          <w:szCs w:val="21"/>
          <w:highlight w:val="none"/>
          <w:lang w:eastAsia="zh-CN"/>
        </w:rPr>
        <w:t>示范文本</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_Toc9068 \h </w:instrText>
      </w:r>
      <w:r>
        <w:rPr>
          <w:rFonts w:hint="eastAsia" w:ascii="宋体" w:hAnsi="宋体" w:eastAsia="宋体" w:cs="宋体"/>
          <w:sz w:val="32"/>
          <w:szCs w:val="21"/>
        </w:rPr>
        <w:fldChar w:fldCharType="separate"/>
      </w:r>
      <w:r>
        <w:rPr>
          <w:rFonts w:hint="eastAsia" w:ascii="宋体" w:hAnsi="宋体" w:eastAsia="宋体" w:cs="宋体"/>
          <w:sz w:val="32"/>
          <w:szCs w:val="21"/>
        </w:rPr>
        <w:t>36</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323CA7C8">
      <w:pPr>
        <w:pStyle w:val="18"/>
        <w:tabs>
          <w:tab w:val="right" w:leader="underscore" w:pos="9689"/>
        </w:tabs>
        <w:spacing w:line="360" w:lineRule="auto"/>
        <w:rPr>
          <w:rFonts w:hint="eastAsia" w:ascii="宋体" w:hAnsi="宋体" w:eastAsia="宋体" w:cs="宋体"/>
          <w:sz w:val="32"/>
          <w:szCs w:val="21"/>
        </w:rPr>
      </w:pPr>
      <w:r>
        <w:rPr>
          <w:rFonts w:hint="eastAsia" w:ascii="宋体" w:hAnsi="宋体" w:eastAsia="宋体" w:cs="宋体"/>
          <w:color w:val="auto"/>
          <w:spacing w:val="4"/>
          <w:sz w:val="32"/>
          <w:szCs w:val="21"/>
          <w:highlight w:val="none"/>
        </w:rPr>
        <w:fldChar w:fldCharType="begin"/>
      </w:r>
      <w:r>
        <w:rPr>
          <w:rFonts w:hint="eastAsia" w:ascii="宋体" w:hAnsi="宋体" w:eastAsia="宋体" w:cs="宋体"/>
          <w:spacing w:val="4"/>
          <w:sz w:val="32"/>
          <w:szCs w:val="21"/>
          <w:highlight w:val="none"/>
        </w:rPr>
        <w:instrText xml:space="preserve"> HYPERLINK \l _Toc1328 </w:instrText>
      </w:r>
      <w:r>
        <w:rPr>
          <w:rFonts w:hint="eastAsia" w:ascii="宋体" w:hAnsi="宋体" w:eastAsia="宋体" w:cs="宋体"/>
          <w:spacing w:val="4"/>
          <w:sz w:val="32"/>
          <w:szCs w:val="21"/>
          <w:highlight w:val="none"/>
        </w:rPr>
        <w:fldChar w:fldCharType="separate"/>
      </w:r>
      <w:r>
        <w:rPr>
          <w:rFonts w:hint="eastAsia" w:ascii="宋体" w:hAnsi="宋体" w:eastAsia="宋体" w:cs="宋体"/>
          <w:sz w:val="32"/>
          <w:szCs w:val="21"/>
          <w:highlight w:val="none"/>
        </w:rPr>
        <w:t>第六章 竞争性磋商响应文件</w:t>
      </w:r>
      <w:r>
        <w:rPr>
          <w:rFonts w:hint="eastAsia" w:ascii="宋体" w:hAnsi="宋体" w:eastAsia="宋体" w:cs="宋体"/>
          <w:sz w:val="32"/>
          <w:szCs w:val="21"/>
          <w:highlight w:val="none"/>
          <w:lang w:eastAsia="zh-CN"/>
        </w:rPr>
        <w:t>组成</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_Toc1328 \h </w:instrText>
      </w:r>
      <w:r>
        <w:rPr>
          <w:rFonts w:hint="eastAsia" w:ascii="宋体" w:hAnsi="宋体" w:eastAsia="宋体" w:cs="宋体"/>
          <w:sz w:val="32"/>
          <w:szCs w:val="21"/>
        </w:rPr>
        <w:fldChar w:fldCharType="separate"/>
      </w:r>
      <w:r>
        <w:rPr>
          <w:rFonts w:hint="eastAsia" w:ascii="宋体" w:hAnsi="宋体" w:eastAsia="宋体" w:cs="宋体"/>
          <w:sz w:val="32"/>
          <w:szCs w:val="21"/>
        </w:rPr>
        <w:t>40</w:t>
      </w:r>
      <w:r>
        <w:rPr>
          <w:rFonts w:hint="eastAsia" w:ascii="宋体" w:hAnsi="宋体" w:eastAsia="宋体" w:cs="宋体"/>
          <w:sz w:val="32"/>
          <w:szCs w:val="21"/>
        </w:rPr>
        <w:fldChar w:fldCharType="end"/>
      </w:r>
      <w:r>
        <w:rPr>
          <w:rFonts w:hint="eastAsia" w:ascii="宋体" w:hAnsi="宋体" w:eastAsia="宋体" w:cs="宋体"/>
          <w:color w:val="auto"/>
          <w:spacing w:val="4"/>
          <w:sz w:val="32"/>
          <w:szCs w:val="21"/>
          <w:highlight w:val="none"/>
        </w:rPr>
        <w:fldChar w:fldCharType="end"/>
      </w:r>
    </w:p>
    <w:p w14:paraId="31B37060">
      <w:pPr>
        <w:pStyle w:val="18"/>
        <w:tabs>
          <w:tab w:val="right" w:leader="underscore" w:pos="9689"/>
        </w:tabs>
        <w:spacing w:line="360" w:lineRule="auto"/>
        <w:rPr>
          <w:rFonts w:hint="eastAsia" w:ascii="宋体" w:hAnsi="宋体" w:eastAsia="宋体" w:cs="宋体"/>
        </w:rPr>
      </w:pPr>
    </w:p>
    <w:p w14:paraId="54A4044D">
      <w:pPr>
        <w:spacing w:line="360" w:lineRule="auto"/>
        <w:ind w:firstLine="1491" w:firstLineChars="518"/>
        <w:jc w:val="left"/>
        <w:rPr>
          <w:rFonts w:hint="eastAsia" w:ascii="宋体" w:hAnsi="宋体" w:eastAsia="宋体" w:cs="宋体"/>
          <w:color w:val="auto"/>
          <w:spacing w:val="4"/>
          <w:sz w:val="32"/>
          <w:highlight w:val="none"/>
        </w:rPr>
      </w:pPr>
      <w:r>
        <w:rPr>
          <w:rFonts w:hint="eastAsia" w:ascii="宋体" w:hAnsi="宋体" w:eastAsia="宋体" w:cs="宋体"/>
          <w:color w:val="auto"/>
          <w:spacing w:val="4"/>
          <w:highlight w:val="none"/>
        </w:rPr>
        <w:fldChar w:fldCharType="end"/>
      </w:r>
    </w:p>
    <w:p w14:paraId="0F8161B5">
      <w:pPr>
        <w:spacing w:line="360" w:lineRule="auto"/>
        <w:ind w:firstLine="656" w:firstLineChars="200"/>
        <w:jc w:val="center"/>
        <w:rPr>
          <w:rFonts w:hint="eastAsia" w:ascii="宋体" w:hAnsi="宋体" w:eastAsia="宋体" w:cs="宋体"/>
          <w:color w:val="auto"/>
          <w:spacing w:val="4"/>
          <w:sz w:val="32"/>
          <w:highlight w:val="none"/>
        </w:rPr>
      </w:pPr>
    </w:p>
    <w:p w14:paraId="0467492D">
      <w:pPr>
        <w:spacing w:line="360" w:lineRule="auto"/>
        <w:ind w:firstLine="656" w:firstLineChars="200"/>
        <w:rPr>
          <w:rFonts w:hint="eastAsia" w:ascii="宋体" w:hAnsi="宋体" w:eastAsia="宋体" w:cs="宋体"/>
          <w:color w:val="auto"/>
          <w:spacing w:val="4"/>
          <w:sz w:val="32"/>
          <w:highlight w:val="none"/>
        </w:rPr>
      </w:pPr>
    </w:p>
    <w:p w14:paraId="2BE52C78">
      <w:pPr>
        <w:spacing w:line="360" w:lineRule="auto"/>
        <w:ind w:firstLine="656" w:firstLineChars="200"/>
        <w:rPr>
          <w:rFonts w:hint="eastAsia" w:ascii="宋体" w:hAnsi="宋体" w:eastAsia="宋体" w:cs="宋体"/>
          <w:color w:val="auto"/>
          <w:spacing w:val="4"/>
          <w:sz w:val="32"/>
          <w:highlight w:val="none"/>
        </w:rPr>
      </w:pPr>
    </w:p>
    <w:p w14:paraId="680D0926">
      <w:pPr>
        <w:pStyle w:val="16"/>
        <w:spacing w:line="360" w:lineRule="auto"/>
        <w:jc w:val="center"/>
        <w:rPr>
          <w:rFonts w:hint="eastAsia" w:ascii="宋体" w:hAnsi="宋体" w:eastAsia="宋体" w:cs="宋体"/>
          <w:color w:val="auto"/>
          <w:spacing w:val="4"/>
          <w:kern w:val="2"/>
          <w:sz w:val="32"/>
          <w:szCs w:val="20"/>
          <w:highlight w:val="none"/>
          <w:lang w:val="en-US" w:eastAsia="zh-CN" w:bidi="ar-SA"/>
        </w:rPr>
      </w:pPr>
    </w:p>
    <w:p w14:paraId="22ACE04A">
      <w:pPr>
        <w:spacing w:line="360" w:lineRule="auto"/>
        <w:rPr>
          <w:rFonts w:hint="eastAsia" w:ascii="宋体" w:hAnsi="宋体" w:eastAsia="宋体" w:cs="宋体"/>
          <w:color w:val="auto"/>
          <w:spacing w:val="4"/>
          <w:sz w:val="32"/>
          <w:highlight w:val="none"/>
        </w:rPr>
      </w:pPr>
    </w:p>
    <w:p w14:paraId="14E47B98">
      <w:pPr>
        <w:spacing w:line="360" w:lineRule="auto"/>
        <w:rPr>
          <w:rFonts w:hint="eastAsia" w:ascii="宋体" w:hAnsi="宋体" w:eastAsia="宋体" w:cs="宋体"/>
          <w:color w:val="auto"/>
          <w:spacing w:val="4"/>
          <w:sz w:val="32"/>
          <w:highlight w:val="none"/>
        </w:rPr>
      </w:pPr>
    </w:p>
    <w:p w14:paraId="27890B38">
      <w:pPr>
        <w:spacing w:line="360" w:lineRule="auto"/>
        <w:rPr>
          <w:rFonts w:hint="eastAsia" w:ascii="宋体" w:hAnsi="宋体" w:eastAsia="宋体" w:cs="宋体"/>
          <w:color w:val="auto"/>
          <w:spacing w:val="4"/>
          <w:sz w:val="32"/>
          <w:highlight w:val="none"/>
        </w:rPr>
      </w:pPr>
    </w:p>
    <w:p w14:paraId="1DAD918F">
      <w:pPr>
        <w:numPr>
          <w:ilvl w:val="0"/>
          <w:numId w:val="0"/>
        </w:numPr>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sz w:val="44"/>
          <w:szCs w:val="44"/>
          <w:highlight w:val="none"/>
        </w:rPr>
        <w:br w:type="page"/>
      </w:r>
      <w:bookmarkStart w:id="0" w:name="_Toc22782"/>
      <w:r>
        <w:rPr>
          <w:rFonts w:hint="eastAsia" w:ascii="宋体" w:hAnsi="宋体" w:eastAsia="宋体" w:cs="宋体"/>
          <w:b/>
          <w:bCs/>
          <w:color w:val="auto"/>
          <w:sz w:val="40"/>
          <w:szCs w:val="40"/>
          <w:highlight w:val="none"/>
          <w:lang w:val="en-US" w:eastAsia="zh-CN"/>
        </w:rPr>
        <w:t xml:space="preserve">第一章 </w:t>
      </w:r>
      <w:r>
        <w:rPr>
          <w:rFonts w:hint="eastAsia" w:ascii="宋体" w:hAnsi="宋体" w:eastAsia="宋体" w:cs="宋体"/>
          <w:b/>
          <w:bCs/>
          <w:color w:val="auto"/>
          <w:sz w:val="40"/>
          <w:szCs w:val="40"/>
          <w:highlight w:val="none"/>
        </w:rPr>
        <w:t>竞争性磋商公告</w:t>
      </w:r>
      <w:bookmarkEnd w:id="0"/>
    </w:p>
    <w:p w14:paraId="4717A230">
      <w:pPr>
        <w:spacing w:line="360" w:lineRule="auto"/>
        <w:jc w:val="center"/>
        <w:rPr>
          <w:rFonts w:hint="eastAsia" w:ascii="宋体" w:hAnsi="宋体" w:eastAsia="宋体" w:cs="宋体"/>
          <w:b/>
          <w:bCs/>
          <w:color w:val="auto"/>
          <w:sz w:val="32"/>
          <w:szCs w:val="32"/>
          <w:highlight w:val="none"/>
          <w:lang w:eastAsia="zh-CN"/>
        </w:rPr>
      </w:pPr>
      <w:r>
        <w:rPr>
          <w:rFonts w:hint="default" w:ascii="宋体" w:hAnsi="宋体" w:eastAsia="宋体" w:cs="宋体"/>
          <w:b/>
          <w:bCs/>
          <w:color w:val="auto"/>
          <w:sz w:val="32"/>
          <w:szCs w:val="32"/>
          <w:highlight w:val="none"/>
          <w:lang w:eastAsia="zh-CN"/>
        </w:rPr>
        <w:t>凤县2024年度自然资源卫片执法工作竞争性磋商公告</w:t>
      </w:r>
    </w:p>
    <w:p w14:paraId="1BED78C2">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项目概况</w:t>
      </w:r>
    </w:p>
    <w:p w14:paraId="020BDD8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凤县2024年度自然资源卫片执法工作采购项目的潜在供应商应在全国公共资源交易平台（陕西省·宝鸡市）宝鸡市公共资源交易中心（ggzy.baoji.gov.cn）自行下载获取采购文件，并于2025年07月17日 09时00分（北京时间）前提交响应文件。</w:t>
      </w:r>
    </w:p>
    <w:p w14:paraId="0C9BF308">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14:paraId="4A28F4E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项目编号：SXJX-2025-006号</w:t>
      </w:r>
    </w:p>
    <w:p w14:paraId="28B03E1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项目名称：凤县2024年度自然资源卫片执法工作</w:t>
      </w:r>
    </w:p>
    <w:p w14:paraId="417C6CF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采购方式：竞争性磋商</w:t>
      </w:r>
    </w:p>
    <w:p w14:paraId="63632DE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预算金额：293,200.00元</w:t>
      </w:r>
      <w:bookmarkStart w:id="111" w:name="_GoBack"/>
      <w:bookmarkEnd w:id="111"/>
    </w:p>
    <w:p w14:paraId="5BEDEEF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2D16620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合同包1(凤县2024年度自然资源卫片执法工作):</w:t>
      </w:r>
    </w:p>
    <w:p w14:paraId="06AAADE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合同包预算金额：293,200.00元</w:t>
      </w:r>
    </w:p>
    <w:p w14:paraId="765682F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合同包最高限价：293,200.00元</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7"/>
        <w:gridCol w:w="1618"/>
        <w:gridCol w:w="1878"/>
        <w:gridCol w:w="1096"/>
        <w:gridCol w:w="1402"/>
        <w:gridCol w:w="1440"/>
        <w:gridCol w:w="1440"/>
      </w:tblGrid>
      <w:tr w14:paraId="0FEC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5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4710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品目号</w:t>
            </w:r>
          </w:p>
        </w:tc>
        <w:tc>
          <w:tcPr>
            <w:tcW w:w="8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6D1FD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品目名称</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89F7D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采购标的</w:t>
            </w:r>
          </w:p>
        </w:tc>
        <w:tc>
          <w:tcPr>
            <w:tcW w:w="5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192C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数量（单位）</w:t>
            </w:r>
          </w:p>
        </w:tc>
        <w:tc>
          <w:tcPr>
            <w:tcW w:w="7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6F656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技术规格、参数及要求</w:t>
            </w:r>
          </w:p>
        </w:tc>
        <w:tc>
          <w:tcPr>
            <w:tcW w:w="7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0AE9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品目预算(元)</w:t>
            </w:r>
          </w:p>
        </w:tc>
        <w:tc>
          <w:tcPr>
            <w:tcW w:w="7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A724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最高限价(元)</w:t>
            </w:r>
          </w:p>
        </w:tc>
      </w:tr>
      <w:tr w14:paraId="230D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54D9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p>
        </w:tc>
        <w:tc>
          <w:tcPr>
            <w:tcW w:w="8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5DB9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其他专业技术服务</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0704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凤县2024年度自然资源卫片执法工作</w:t>
            </w:r>
          </w:p>
        </w:tc>
        <w:tc>
          <w:tcPr>
            <w:tcW w:w="5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2C6C5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1(项)</w:t>
            </w:r>
          </w:p>
        </w:tc>
        <w:tc>
          <w:tcPr>
            <w:tcW w:w="7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37AD6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详见采购文件</w:t>
            </w:r>
          </w:p>
        </w:tc>
        <w:tc>
          <w:tcPr>
            <w:tcW w:w="7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3A20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293,200.00</w:t>
            </w:r>
          </w:p>
        </w:tc>
        <w:tc>
          <w:tcPr>
            <w:tcW w:w="7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956FD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293,200.00</w:t>
            </w:r>
          </w:p>
        </w:tc>
      </w:tr>
    </w:tbl>
    <w:p w14:paraId="10C6C5B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本合同包不接受联合体投标</w:t>
      </w:r>
    </w:p>
    <w:p w14:paraId="74998F8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合同履行期限：自合同签订后60个日历日内完成。</w:t>
      </w:r>
    </w:p>
    <w:p w14:paraId="146AA79B">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二、申请人的资格要求：</w:t>
      </w:r>
    </w:p>
    <w:p w14:paraId="557FA95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3ACD369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p>
    <w:p w14:paraId="6D40D58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合同包1(凤县2024年度自然资源卫片执法工作)落实政府采购政策需满足的资格要求如下:</w:t>
      </w:r>
    </w:p>
    <w:p w14:paraId="0C10919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专门面向中小企业采购。（残疾人福利性单位、监狱企业视同小型、微型企业）；须符合《政府采购促进中小企业发展管理办法》（财库〔2020〕46号）规定的中小企业参加。本项目采购标的所属行业为：其他未列明行业。</w:t>
      </w:r>
    </w:p>
    <w:p w14:paraId="2898630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3EE84AC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合同包1(凤县2024年度自然资源卫片执法工作)特定资格要求如下:</w:t>
      </w:r>
    </w:p>
    <w:p w14:paraId="6E8D84D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（2）供应商须提供2024年度财务审计报告（成立时间至提交投标文件截止时间不足一年的可提供成立后任意时段的资产负债表）或基本账户银行出具的资信证明、基本存款账户开户许可证（基本存款账户信息）；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（3）供应商须提供2024年6月至今已缴存的至少一个月的社会保险参保缴费情况证明。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（4）供应商须提供2024年6月至今缴纳的至少一个月的纳税证明或完税证明，依法免税的单位应提供相关证明材料；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（7）企业开具的近三年在政府采购经营活动中无重大违法记录声明；（成立时间不足三年的供应商提供自成立之日起至开标截止之日止的无重大违法记录声明）；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（9）提供具有履行合同所必需的设备和专业技术能力的承诺书；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（10）供应商须具有行政主管部门颁发的测绘乙级（含乙级）及以上资质，拟派项目负责人须具有测绘及测绘相关专业中级及以上职称证书；</w:t>
      </w:r>
    </w:p>
    <w:p w14:paraId="76CA7A71">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三、获取采购文件</w:t>
      </w:r>
    </w:p>
    <w:p w14:paraId="3075633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时间：2025年07月03日至2025年07月09日，每天上午09:00:00至12:00:00，下午12:00:00至17:00:00（北京时间）</w:t>
      </w:r>
    </w:p>
    <w:p w14:paraId="186C38E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途径：全国公共资源交易平台（陕西省·宝鸡市）宝鸡市公共资源交易中心（ggzy.baoji.gov.cn）自行下载</w:t>
      </w:r>
    </w:p>
    <w:p w14:paraId="690A778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方式：在线获取</w:t>
      </w:r>
    </w:p>
    <w:p w14:paraId="786EA22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售价：0元</w:t>
      </w:r>
    </w:p>
    <w:p w14:paraId="3D570600">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四、响应文件提交</w:t>
      </w:r>
    </w:p>
    <w:p w14:paraId="0032385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截止时间：2025年07月17日 09时00分00秒 （北京时间）</w:t>
      </w:r>
    </w:p>
    <w:p w14:paraId="2A3681C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地点：全国公共资源交易平台（陕西省·宝鸡市）宝鸡市公共资源交易中心（http://ggzy.baoji.gov.cn/）在线提交</w:t>
      </w:r>
    </w:p>
    <w:p w14:paraId="7FBC3955">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五、开启</w:t>
      </w:r>
    </w:p>
    <w:p w14:paraId="5170A6B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时间：2025年07月17日 09时00分00秒 （北京时间）</w:t>
      </w:r>
    </w:p>
    <w:p w14:paraId="57A0ACA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地点：全国公共资源交易平台(陕西省·宝鸡市)宝鸡市公共资源交易中心-不见面开标</w:t>
      </w:r>
    </w:p>
    <w:p w14:paraId="4A9C897C">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六、公告期限</w:t>
      </w:r>
    </w:p>
    <w:p w14:paraId="1E78155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自本公告发布之日起3个工作日。</w:t>
      </w:r>
    </w:p>
    <w:p w14:paraId="622CD370">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七、其他补充事宜</w:t>
      </w:r>
    </w:p>
    <w:p w14:paraId="31660D5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1、落实的政府采购政策:</w:t>
      </w:r>
    </w:p>
    <w:p w14:paraId="6EE6ACC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251C632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30274E7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3、投标供应商在网上填写单位信息（单位名称、营业执照相关信息）时应与磋商文件要求及后期上传的电子投标文件中相关信息一致，否则造成资格审查不通过的后果自负；</w:t>
      </w:r>
    </w:p>
    <w:p w14:paraId="2F164FF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14:paraId="099592A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5、未完成网上投标或未在规定时间内在平台上下载电子磋商文件的，导致无法完成后续流程的责任自负；</w:t>
      </w:r>
    </w:p>
    <w:p w14:paraId="0A6EE9D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4D1EA8E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7、供应商须提前在陕西省政府采购网（http://www.ccgp-shaanxi.gov.cn/），按照“供应商注册注意事项”要求，完成注册审核，以保证后续流程的进行。</w:t>
      </w:r>
    </w:p>
    <w:p w14:paraId="541C7FB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意事项：投标供应商应随时留意可能发布的变更公告，当澄清或修改的内容影响投标文件编制时，将在交易平台上同步发布答疑文件，此时投标供应商应从“项目流程”答疑文件下载、下载最新发布的答疑文件。</w:t>
      </w:r>
    </w:p>
    <w:p w14:paraId="035D1A3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394FEBE3">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八、对本次招标提出询问，请按以下方式联系。</w:t>
      </w:r>
    </w:p>
    <w:p w14:paraId="02B3DD5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2F63C4E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名称：凤县自然资源局（凤县不动产登记局）</w:t>
      </w:r>
    </w:p>
    <w:p w14:paraId="247E6DC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地址：凤县新建路自然资源局</w:t>
      </w:r>
    </w:p>
    <w:p w14:paraId="6DE45AB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联系方式：0917-4762643</w:t>
      </w:r>
    </w:p>
    <w:p w14:paraId="591F7AF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AFC828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名称：陕西佳信项目管理有限公司</w:t>
      </w:r>
    </w:p>
    <w:p w14:paraId="1BECD68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地址：陕西省宝鸡市金台区卧龙寺街道办事处行政东路三迪金融中心8层806室</w:t>
      </w:r>
    </w:p>
    <w:p w14:paraId="482B630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联系方式：0917-3213637</w:t>
      </w:r>
    </w:p>
    <w:p w14:paraId="74DE124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61A013D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项目联系人：严萍</w:t>
      </w:r>
    </w:p>
    <w:p w14:paraId="5880E9C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电话：0917-3213637</w:t>
      </w:r>
    </w:p>
    <w:p w14:paraId="12C2E2AD">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2A0E26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333333"/>
          <w:spacing w:val="0"/>
          <w:sz w:val="20"/>
          <w:szCs w:val="20"/>
        </w:rPr>
      </w:pPr>
    </w:p>
    <w:p w14:paraId="206D348A">
      <w:pPr>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3800E3D3">
      <w:pPr>
        <w:widowControl/>
        <w:tabs>
          <w:tab w:val="center" w:pos="4466"/>
          <w:tab w:val="right" w:pos="8479"/>
        </w:tabs>
        <w:spacing w:line="360" w:lineRule="auto"/>
        <w:ind w:right="78" w:rightChars="28"/>
        <w:jc w:val="center"/>
        <w:outlineLvl w:val="0"/>
        <w:rPr>
          <w:rFonts w:hint="eastAsia" w:ascii="宋体" w:hAnsi="宋体" w:eastAsia="宋体" w:cs="宋体"/>
          <w:b/>
          <w:bCs/>
          <w:color w:val="auto"/>
          <w:sz w:val="44"/>
          <w:szCs w:val="44"/>
          <w:highlight w:val="none"/>
        </w:rPr>
      </w:pPr>
      <w:bookmarkStart w:id="1" w:name="_Toc24375"/>
      <w:r>
        <w:rPr>
          <w:rFonts w:hint="eastAsia" w:ascii="宋体" w:hAnsi="宋体" w:eastAsia="宋体" w:cs="宋体"/>
          <w:b/>
          <w:bCs/>
          <w:color w:val="auto"/>
          <w:sz w:val="44"/>
          <w:szCs w:val="44"/>
          <w:highlight w:val="none"/>
        </w:rPr>
        <w:t>第二章  竞争性磋商须知</w:t>
      </w:r>
      <w:bookmarkEnd w:id="1"/>
    </w:p>
    <w:p w14:paraId="42AFA12A">
      <w:pPr>
        <w:pStyle w:val="5"/>
        <w:spacing w:before="0"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一、供应商须知前附表</w:t>
      </w:r>
    </w:p>
    <w:tbl>
      <w:tblPr>
        <w:tblStyle w:val="2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46"/>
        <w:gridCol w:w="6276"/>
      </w:tblGrid>
      <w:tr w14:paraId="0E15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D9FF0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246" w:type="dxa"/>
            <w:vAlign w:val="center"/>
          </w:tcPr>
          <w:p w14:paraId="53F596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276" w:type="dxa"/>
          </w:tcPr>
          <w:p w14:paraId="46EE77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说明和要求</w:t>
            </w:r>
          </w:p>
        </w:tc>
      </w:tr>
      <w:tr w14:paraId="44A3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5B0B2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6" w:type="dxa"/>
            <w:vAlign w:val="center"/>
          </w:tcPr>
          <w:p w14:paraId="3A8D1D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276" w:type="dxa"/>
          </w:tcPr>
          <w:p w14:paraId="5937F6C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名称：凤县自然资源局（凤县不动产登记局）</w:t>
            </w:r>
          </w:p>
          <w:p w14:paraId="3245D52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地址：陕西省宝鸡市凤县双石铺镇新建路</w:t>
            </w:r>
          </w:p>
          <w:p w14:paraId="5D70154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董伟</w:t>
            </w:r>
          </w:p>
          <w:p w14:paraId="2B170B5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联系方式：0917-47</w:t>
            </w:r>
            <w:r>
              <w:rPr>
                <w:rFonts w:hint="eastAsia" w:ascii="宋体" w:hAnsi="宋体" w:eastAsia="宋体" w:cs="宋体"/>
                <w:color w:val="auto"/>
                <w:sz w:val="24"/>
                <w:szCs w:val="24"/>
                <w:highlight w:val="none"/>
                <w:lang w:val="en-US" w:eastAsia="zh-CN"/>
              </w:rPr>
              <w:t>62643</w:t>
            </w:r>
          </w:p>
        </w:tc>
      </w:tr>
      <w:tr w14:paraId="122C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34AAF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46" w:type="dxa"/>
            <w:vAlign w:val="center"/>
          </w:tcPr>
          <w:p w14:paraId="3094A7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276" w:type="dxa"/>
          </w:tcPr>
          <w:p w14:paraId="0445835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名称：陕西佳信项目管理有限公司</w:t>
            </w:r>
          </w:p>
          <w:p w14:paraId="40DC784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宝鸡市金台区卧龙寺街道办事处行政东路三迪金融中心8层806室</w:t>
            </w:r>
          </w:p>
          <w:p w14:paraId="3A3349BD">
            <w:pPr>
              <w:pageBreakBefore w:val="0"/>
              <w:wordWrap/>
              <w:topLinePunct w:val="0"/>
              <w:bidi w:val="0"/>
              <w:spacing w:line="360" w:lineRule="auto"/>
              <w:jc w:val="left"/>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联系人：严萍</w:t>
            </w:r>
          </w:p>
          <w:p w14:paraId="3750BF6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color="auto"/>
                <w:lang w:val="en-US" w:eastAsia="zh-CN"/>
              </w:rPr>
              <w:t>联系方式：0917-3213637</w:t>
            </w:r>
          </w:p>
        </w:tc>
      </w:tr>
      <w:tr w14:paraId="3820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38B2D8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46" w:type="dxa"/>
            <w:vAlign w:val="center"/>
          </w:tcPr>
          <w:p w14:paraId="1D9821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监督管理机构</w:t>
            </w:r>
          </w:p>
        </w:tc>
        <w:tc>
          <w:tcPr>
            <w:tcW w:w="6276" w:type="dxa"/>
          </w:tcPr>
          <w:p w14:paraId="27D4121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凤县财政局</w:t>
            </w:r>
          </w:p>
        </w:tc>
      </w:tr>
      <w:tr w14:paraId="7BAF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0833C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46" w:type="dxa"/>
            <w:vAlign w:val="center"/>
          </w:tcPr>
          <w:p w14:paraId="5EA838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76" w:type="dxa"/>
          </w:tcPr>
          <w:p w14:paraId="41517BD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凤县2024年度自然资源卫片执法工作</w:t>
            </w:r>
          </w:p>
        </w:tc>
      </w:tr>
      <w:tr w14:paraId="6A81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023526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46" w:type="dxa"/>
            <w:vAlign w:val="center"/>
          </w:tcPr>
          <w:p w14:paraId="2C5EB5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276" w:type="dxa"/>
          </w:tcPr>
          <w:p w14:paraId="60CAE03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SXJX-2025-006号</w:t>
            </w:r>
          </w:p>
        </w:tc>
      </w:tr>
      <w:tr w14:paraId="4F68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25B354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46" w:type="dxa"/>
            <w:vAlign w:val="center"/>
          </w:tcPr>
          <w:p w14:paraId="09DE65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资金性质</w:t>
            </w:r>
          </w:p>
        </w:tc>
        <w:tc>
          <w:tcPr>
            <w:tcW w:w="6276" w:type="dxa"/>
          </w:tcPr>
          <w:p w14:paraId="3586822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5A7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9" w:type="dxa"/>
            <w:vAlign w:val="center"/>
          </w:tcPr>
          <w:p w14:paraId="3CF7B3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46" w:type="dxa"/>
            <w:vAlign w:val="center"/>
          </w:tcPr>
          <w:p w14:paraId="795AED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276" w:type="dxa"/>
            <w:vAlign w:val="center"/>
          </w:tcPr>
          <w:p w14:paraId="1AA1320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采购预算：293200.00元（最高限价） </w:t>
            </w:r>
          </w:p>
        </w:tc>
      </w:tr>
      <w:tr w14:paraId="1D9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685C2C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46" w:type="dxa"/>
            <w:vAlign w:val="center"/>
          </w:tcPr>
          <w:p w14:paraId="5F1074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6276" w:type="dxa"/>
            <w:vAlign w:val="center"/>
          </w:tcPr>
          <w:p w14:paraId="6E036D6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全面做好我县自然资源卫片执法工作，严守耕地保护红线，为全年耕地保护考核工作打好基础</w:t>
            </w:r>
          </w:p>
        </w:tc>
      </w:tr>
      <w:tr w14:paraId="2BD5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A484E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46" w:type="dxa"/>
            <w:vAlign w:val="center"/>
          </w:tcPr>
          <w:p w14:paraId="11033E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采购内容和要求</w:t>
            </w:r>
          </w:p>
        </w:tc>
        <w:tc>
          <w:tcPr>
            <w:tcW w:w="6276" w:type="dxa"/>
            <w:vAlign w:val="center"/>
          </w:tcPr>
          <w:p w14:paraId="2FEABBD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详见第三章</w:t>
            </w:r>
          </w:p>
        </w:tc>
      </w:tr>
      <w:tr w14:paraId="131D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43493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246" w:type="dxa"/>
            <w:vAlign w:val="center"/>
          </w:tcPr>
          <w:p w14:paraId="1A366E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6276" w:type="dxa"/>
          </w:tcPr>
          <w:p w14:paraId="4BB84D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"http://baike.baidu.com/view/8707.htm"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并且符合竞争性磋商文件规定资格条件和参加磋商竞争的法人。</w:t>
            </w:r>
          </w:p>
        </w:tc>
      </w:tr>
      <w:tr w14:paraId="7130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72E5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246" w:type="dxa"/>
            <w:vAlign w:val="center"/>
          </w:tcPr>
          <w:p w14:paraId="780885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供应商资格要求</w:t>
            </w:r>
          </w:p>
        </w:tc>
        <w:tc>
          <w:tcPr>
            <w:tcW w:w="6276" w:type="dxa"/>
          </w:tcPr>
          <w:p w14:paraId="5D7FA7F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1.满足《中华人民共和国政府采购法》第二十二条规定;</w:t>
            </w:r>
          </w:p>
          <w:p w14:paraId="4187EBA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2.落实政府采购政策需满足的资格要求：</w:t>
            </w:r>
          </w:p>
          <w:p w14:paraId="228818F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合同包1(凤县2024年度自然资源卫片执法工作)落实政府采购政策需满足的资格要求如下:</w:t>
            </w:r>
          </w:p>
          <w:p w14:paraId="1935EB5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专门面向中小企业采购。（残疾人福利性单位、监狱企业视同小型、微型企业）；须符合《政府采购促进中小企业发展管理办法》（财库〔2020〕46号）规定的中小企业参加。本项目采购标的所属行业为：其他未列明行业。</w:t>
            </w:r>
          </w:p>
          <w:p w14:paraId="00B2859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3.本项目的特定资格要求：</w:t>
            </w:r>
          </w:p>
          <w:p w14:paraId="7DC2879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合同包1(凤县2024年度自然资源卫片执法工作)特定资格要求如下:</w:t>
            </w:r>
          </w:p>
          <w:p w14:paraId="49CCF5C3">
            <w:pPr>
              <w:spacing w:line="360" w:lineRule="auto"/>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color w:val="auto"/>
                <w:sz w:val="24"/>
                <w:szCs w:val="24"/>
                <w:highlight w:val="none"/>
                <w:lang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（2）供应商须提供2024年度财务审计报告（成立时间至提交投标文件截止时间不足一年的可提供成立后任意时段的资产负债表）或基本账户银行出具的资信证明、基本存款账户开户许可证（基本存款账户信息）；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（3）供应商须提供2024年6月至今已缴存的至少一个月的社会保险参保缴费情况证明。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（4）供应商须提供2024年6月至今缴纳的至少一个月的纳税证明或完税证明，依法免税的单位应提供相关证明材料；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（7）企业开具的近三年在政府采购经营活动中无重大违法记录声明；（成立时间不足三年的供应商提供自成立之日起至开标截止之日止的无重大违法记录声明）；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（9）提供具有履行合同所必需的设备和专业技术能力的承诺书；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（10）供应商须具有行政主管部门颁发的测绘乙级（含乙级）及以上资质，拟派项目负责人须具有测绘及测绘相关专业中级及以上职称证书；</w:t>
            </w:r>
          </w:p>
        </w:tc>
      </w:tr>
      <w:tr w14:paraId="0395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21800F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246" w:type="dxa"/>
            <w:vAlign w:val="center"/>
          </w:tcPr>
          <w:p w14:paraId="1E5FA8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地点</w:t>
            </w:r>
          </w:p>
        </w:tc>
        <w:tc>
          <w:tcPr>
            <w:tcW w:w="6276" w:type="dxa"/>
          </w:tcPr>
          <w:p w14:paraId="47BF658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highlight w:val="none"/>
                <w:lang w:eastAsia="zh-CN"/>
              </w:rPr>
              <w:t>服务期：</w:t>
            </w:r>
            <w:r>
              <w:rPr>
                <w:rFonts w:hint="eastAsia" w:ascii="宋体" w:hAnsi="宋体" w:eastAsia="宋体" w:cs="宋体"/>
                <w:color w:val="auto"/>
                <w:kern w:val="2"/>
                <w:sz w:val="24"/>
                <w:szCs w:val="20"/>
                <w:highlight w:val="none"/>
                <w:lang w:val="en-US" w:eastAsia="zh-CN" w:bidi="ar-SA"/>
              </w:rPr>
              <w:t>自合同签订后60个日历日内完成。</w:t>
            </w:r>
          </w:p>
          <w:p w14:paraId="6F29CB2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zh-CN"/>
              </w:rPr>
              <w:t>：采购人指定地点</w:t>
            </w:r>
          </w:p>
        </w:tc>
      </w:tr>
      <w:tr w14:paraId="7743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3D4845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246" w:type="dxa"/>
            <w:vAlign w:val="center"/>
          </w:tcPr>
          <w:p w14:paraId="0C17C4C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w:t>
            </w:r>
            <w:r>
              <w:rPr>
                <w:rFonts w:hint="eastAsia" w:ascii="宋体" w:hAnsi="宋体" w:eastAsia="宋体" w:cs="宋体"/>
                <w:color w:val="auto"/>
                <w:sz w:val="24"/>
                <w:highlight w:val="none"/>
                <w:lang w:eastAsia="zh-CN"/>
              </w:rPr>
              <w:t>获取</w:t>
            </w:r>
          </w:p>
        </w:tc>
        <w:tc>
          <w:tcPr>
            <w:tcW w:w="6276" w:type="dxa"/>
          </w:tcPr>
          <w:p w14:paraId="5FECA696">
            <w:pPr>
              <w:pStyle w:val="58"/>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szCs w:val="24"/>
                <w:highlight w:val="none"/>
              </w:rPr>
              <w:t>时间：</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SA"/>
              </w:rPr>
              <w:t>2025</w:t>
            </w:r>
            <w:r>
              <w:rPr>
                <w:rFonts w:hint="eastAsia" w:ascii="宋体" w:hAnsi="宋体" w:eastAsia="宋体" w:cs="宋体"/>
                <w:color w:val="auto"/>
                <w:kern w:val="2"/>
                <w:sz w:val="24"/>
                <w:szCs w:val="20"/>
                <w:highlight w:val="none"/>
                <w:lang w:val="en-US" w:eastAsia="zh-CN" w:bidi="ar-SA"/>
              </w:rPr>
              <w:t>年07月03日至2025年07月09日</w:t>
            </w:r>
            <w:r>
              <w:rPr>
                <w:rFonts w:hint="eastAsia" w:ascii="宋体" w:hAnsi="宋体" w:eastAsia="宋体" w:cs="宋体"/>
                <w:color w:val="auto"/>
                <w:sz w:val="24"/>
                <w:szCs w:val="24"/>
                <w:highlight w:val="none"/>
              </w:rPr>
              <w:t>9:00-17:00止（节假日除外）。</w:t>
            </w:r>
          </w:p>
          <w:p w14:paraId="348BAED5">
            <w:pPr>
              <w:pStyle w:val="5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szCs w:val="24"/>
                <w:highlight w:val="none"/>
              </w:rPr>
              <w:t>地点：在线获取。</w:t>
            </w:r>
          </w:p>
        </w:tc>
      </w:tr>
      <w:tr w14:paraId="736C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vAlign w:val="center"/>
          </w:tcPr>
          <w:p w14:paraId="3151BB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246" w:type="dxa"/>
            <w:vAlign w:val="center"/>
          </w:tcPr>
          <w:p w14:paraId="315786E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联合体磋商</w:t>
            </w:r>
          </w:p>
        </w:tc>
        <w:tc>
          <w:tcPr>
            <w:tcW w:w="6276" w:type="dxa"/>
          </w:tcPr>
          <w:p w14:paraId="73AE8B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不接受</w:t>
            </w:r>
          </w:p>
        </w:tc>
      </w:tr>
      <w:tr w14:paraId="2E0C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9" w:type="dxa"/>
            <w:vAlign w:val="center"/>
          </w:tcPr>
          <w:p w14:paraId="71333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246" w:type="dxa"/>
            <w:vAlign w:val="center"/>
          </w:tcPr>
          <w:p w14:paraId="3C844C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现场勘查、标前答疑会</w:t>
            </w:r>
          </w:p>
        </w:tc>
        <w:tc>
          <w:tcPr>
            <w:tcW w:w="6276" w:type="dxa"/>
            <w:vAlign w:val="center"/>
          </w:tcPr>
          <w:p w14:paraId="7CE25B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不统一组织。供应商认为有必要可自行勘查，并承担所有费用及风险。</w:t>
            </w:r>
          </w:p>
        </w:tc>
      </w:tr>
      <w:tr w14:paraId="24C7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1725D3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246" w:type="dxa"/>
            <w:vAlign w:val="center"/>
          </w:tcPr>
          <w:p w14:paraId="08D387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供应商对竞争性磋商文件提出质疑的时间</w:t>
            </w:r>
          </w:p>
        </w:tc>
        <w:tc>
          <w:tcPr>
            <w:tcW w:w="6276" w:type="dxa"/>
          </w:tcPr>
          <w:p w14:paraId="5BC359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可在领取磋商文件之日起或本项目磋商公告期限届满之日起七个工作日内，以书面形式向采购代理机构一次性提出，</w:t>
            </w:r>
            <w:r>
              <w:rPr>
                <w:rFonts w:hint="eastAsia" w:ascii="宋体" w:hAnsi="宋体" w:eastAsia="宋体" w:cs="宋体"/>
                <w:color w:val="auto"/>
                <w:sz w:val="24"/>
                <w:highlight w:val="none"/>
              </w:rPr>
              <w:t>在此之后提出的质疑无效</w:t>
            </w:r>
            <w:r>
              <w:rPr>
                <w:rFonts w:hint="eastAsia" w:ascii="宋体" w:hAnsi="宋体" w:eastAsia="宋体" w:cs="宋体"/>
                <w:color w:val="auto"/>
                <w:sz w:val="24"/>
                <w:szCs w:val="24"/>
                <w:highlight w:val="none"/>
              </w:rPr>
              <w:t>。</w:t>
            </w:r>
          </w:p>
        </w:tc>
      </w:tr>
      <w:tr w14:paraId="484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C0E01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246" w:type="dxa"/>
            <w:vAlign w:val="center"/>
          </w:tcPr>
          <w:p w14:paraId="7E609A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构成竞争性磋商文件的其他文件</w:t>
            </w:r>
          </w:p>
        </w:tc>
        <w:tc>
          <w:tcPr>
            <w:tcW w:w="6276" w:type="dxa"/>
          </w:tcPr>
          <w:p w14:paraId="6D7AC7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竞争性磋商文件的澄清、修改及有关补充通知均为竞争性磋商文件的有效组成部分。</w:t>
            </w:r>
          </w:p>
        </w:tc>
      </w:tr>
      <w:tr w14:paraId="46D4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EBF53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246" w:type="dxa"/>
            <w:vAlign w:val="center"/>
          </w:tcPr>
          <w:p w14:paraId="0C051D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磋商响应文件提交截止时间及磋商时间和地点</w:t>
            </w:r>
          </w:p>
        </w:tc>
        <w:tc>
          <w:tcPr>
            <w:tcW w:w="6276" w:type="dxa"/>
          </w:tcPr>
          <w:p w14:paraId="2F08A89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1、磋商响应文件提交截止时间：</w:t>
            </w:r>
            <w:r>
              <w:rPr>
                <w:rFonts w:hint="eastAsia" w:ascii="宋体" w:hAnsi="宋体" w:eastAsia="宋体" w:cs="宋体"/>
                <w:color w:val="auto"/>
                <w:sz w:val="24"/>
                <w:szCs w:val="24"/>
                <w:highlight w:val="none"/>
                <w:lang w:eastAsia="zh-CN"/>
              </w:rPr>
              <w:t>2025年0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日09时00分</w:t>
            </w:r>
          </w:p>
          <w:p w14:paraId="7C46DF3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2、磋商时间：</w:t>
            </w:r>
            <w:r>
              <w:rPr>
                <w:rFonts w:hint="eastAsia" w:ascii="宋体" w:hAnsi="宋体" w:eastAsia="宋体" w:cs="宋体"/>
                <w:color w:val="auto"/>
                <w:sz w:val="24"/>
                <w:szCs w:val="24"/>
                <w:highlight w:val="none"/>
                <w:lang w:eastAsia="zh-CN"/>
              </w:rPr>
              <w:t>2025年0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日09时00分</w:t>
            </w:r>
          </w:p>
          <w:p w14:paraId="2A18B515">
            <w:pPr>
              <w:pStyle w:val="22"/>
              <w:spacing w:before="0" w:beforeAutospacing="0" w:after="0" w:afterAutospacing="0" w:line="360" w:lineRule="auto"/>
              <w:jc w:val="both"/>
              <w:rPr>
                <w:rFonts w:hint="eastAsia" w:ascii="宋体" w:hAnsi="宋体" w:eastAsia="宋体" w:cs="宋体"/>
                <w:color w:val="auto"/>
                <w:kern w:val="2"/>
                <w:highlight w:val="none"/>
              </w:rPr>
            </w:pPr>
            <w:r>
              <w:rPr>
                <w:rFonts w:hint="eastAsia" w:ascii="宋体" w:hAnsi="宋体" w:eastAsia="宋体" w:cs="宋体"/>
                <w:color w:val="auto"/>
                <w:highlight w:val="none"/>
              </w:rPr>
              <w:t>3</w:t>
            </w:r>
            <w:r>
              <w:rPr>
                <w:rFonts w:hint="eastAsia" w:ascii="宋体" w:hAnsi="宋体" w:eastAsia="宋体" w:cs="宋体"/>
                <w:color w:val="auto"/>
                <w:kern w:val="2"/>
                <w:highlight w:val="none"/>
              </w:rPr>
              <w:t>、磋商响应文件提交：全国公共资源交易平台（陕西省·宝鸡市）宝鸡市公共资源交易中心（</w:t>
            </w:r>
            <w:r>
              <w:rPr>
                <w:rFonts w:hint="eastAsia" w:ascii="宋体" w:hAnsi="宋体" w:eastAsia="宋体" w:cs="宋体"/>
                <w:i w:val="0"/>
                <w:iCs w:val="0"/>
                <w:caps w:val="0"/>
                <w:color w:val="auto"/>
                <w:spacing w:val="0"/>
                <w:sz w:val="21"/>
                <w:szCs w:val="21"/>
                <w:highlight w:val="none"/>
                <w:shd w:val="clear" w:fill="FFFFFF"/>
              </w:rPr>
              <w:t>http://ggzy.baoji.gov.cn/</w:t>
            </w:r>
            <w:r>
              <w:rPr>
                <w:rFonts w:hint="eastAsia" w:ascii="宋体" w:hAnsi="宋体" w:eastAsia="宋体" w:cs="宋体"/>
                <w:color w:val="auto"/>
                <w:kern w:val="2"/>
                <w:highlight w:val="none"/>
              </w:rPr>
              <w:t>）线上提交</w:t>
            </w:r>
          </w:p>
          <w:p w14:paraId="0F646104">
            <w:pPr>
              <w:pStyle w:val="22"/>
              <w:spacing w:before="0" w:beforeAutospacing="0" w:after="0" w:afterAutospacing="0" w:line="360" w:lineRule="auto"/>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磋商地点</w:t>
            </w:r>
            <w:r>
              <w:rPr>
                <w:rFonts w:hint="eastAsia" w:ascii="宋体" w:hAnsi="宋体" w:eastAsia="宋体" w:cs="宋体"/>
                <w:color w:val="auto"/>
                <w:kern w:val="2"/>
                <w:highlight w:val="none"/>
                <w:lang w:eastAsia="zh-CN"/>
              </w:rPr>
              <w:t>：</w:t>
            </w:r>
            <w:r>
              <w:rPr>
                <w:rFonts w:hint="eastAsia" w:ascii="宋体" w:hAnsi="宋体" w:eastAsia="宋体" w:cs="宋体"/>
                <w:b w:val="0"/>
                <w:bCs w:val="0"/>
                <w:color w:val="auto"/>
                <w:kern w:val="2"/>
                <w:sz w:val="24"/>
                <w:szCs w:val="20"/>
                <w:highlight w:val="none"/>
                <w:lang w:val="en-US" w:eastAsia="zh-CN" w:bidi="ar-SA"/>
              </w:rPr>
              <w:t>全国公共资源交易平台(陕西省·宝鸡市)宝鸡市公共资源交易中心-不见面开标</w:t>
            </w:r>
          </w:p>
        </w:tc>
      </w:tr>
      <w:tr w14:paraId="2CCE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12051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2246" w:type="dxa"/>
            <w:vAlign w:val="center"/>
          </w:tcPr>
          <w:p w14:paraId="2C48E1A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磋商响应有效期</w:t>
            </w:r>
          </w:p>
        </w:tc>
        <w:tc>
          <w:tcPr>
            <w:tcW w:w="6276" w:type="dxa"/>
          </w:tcPr>
          <w:p w14:paraId="6281F0FA">
            <w:pPr>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自磋商之日起算90日历日。</w:t>
            </w:r>
          </w:p>
        </w:tc>
      </w:tr>
      <w:tr w14:paraId="588C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219233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2246" w:type="dxa"/>
            <w:vAlign w:val="center"/>
          </w:tcPr>
          <w:p w14:paraId="0B3B7B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磋商担保</w:t>
            </w:r>
          </w:p>
        </w:tc>
        <w:tc>
          <w:tcPr>
            <w:tcW w:w="6276" w:type="dxa"/>
          </w:tcPr>
          <w:p w14:paraId="6826EF04">
            <w:pPr>
              <w:spacing w:line="360" w:lineRule="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磋商保证金金额：人民币</w:t>
            </w:r>
            <w:r>
              <w:rPr>
                <w:rFonts w:hint="eastAsia" w:ascii="宋体" w:hAnsi="宋体" w:eastAsia="宋体" w:cs="宋体"/>
                <w:color w:val="auto"/>
                <w:spacing w:val="-4"/>
                <w:sz w:val="24"/>
                <w:highlight w:val="none"/>
                <w:lang w:val="en-US" w:eastAsia="zh-CN"/>
              </w:rPr>
              <w:t>伍</w:t>
            </w:r>
            <w:r>
              <w:rPr>
                <w:rFonts w:hint="eastAsia" w:ascii="宋体" w:hAnsi="宋体" w:eastAsia="宋体" w:cs="宋体"/>
                <w:color w:val="auto"/>
                <w:spacing w:val="-4"/>
                <w:sz w:val="24"/>
                <w:highlight w:val="none"/>
                <w:lang w:eastAsia="zh-CN"/>
              </w:rPr>
              <w:t>仟元整</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lang w:val="en-US" w:eastAsia="zh-CN"/>
              </w:rPr>
              <w:t>5</w:t>
            </w:r>
            <w:r>
              <w:rPr>
                <w:rFonts w:hint="eastAsia" w:ascii="宋体" w:hAnsi="宋体" w:eastAsia="宋体" w:cs="宋体"/>
                <w:color w:val="auto"/>
                <w:spacing w:val="-4"/>
                <w:sz w:val="24"/>
                <w:highlight w:val="none"/>
              </w:rPr>
              <w:t>00</w:t>
            </w:r>
            <w:r>
              <w:rPr>
                <w:rFonts w:hint="eastAsia" w:ascii="宋体" w:hAnsi="宋体" w:eastAsia="宋体" w:cs="宋体"/>
                <w:color w:val="auto"/>
                <w:spacing w:val="-4"/>
                <w:sz w:val="24"/>
                <w:highlight w:val="none"/>
                <w:lang w:val="en-US" w:eastAsia="zh-CN"/>
              </w:rPr>
              <w:t>0</w:t>
            </w:r>
            <w:r>
              <w:rPr>
                <w:rFonts w:hint="eastAsia" w:ascii="宋体" w:hAnsi="宋体" w:eastAsia="宋体" w:cs="宋体"/>
                <w:color w:val="auto"/>
                <w:spacing w:val="-4"/>
                <w:sz w:val="24"/>
                <w:highlight w:val="none"/>
              </w:rPr>
              <w:t>.00元）</w:t>
            </w:r>
          </w:p>
          <w:p w14:paraId="384ED893">
            <w:pPr>
              <w:spacing w:line="360" w:lineRule="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投标保证金的形式：银行保函或基本户转账</w:t>
            </w:r>
          </w:p>
          <w:p w14:paraId="67CD07B1">
            <w:pPr>
              <w:spacing w:line="360" w:lineRule="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投标保证金账户名：宝鸡市公共资源交易中心保证金专户</w:t>
            </w:r>
          </w:p>
          <w:p w14:paraId="1CBF23AA">
            <w:pPr>
              <w:spacing w:line="360" w:lineRule="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开户行：长安银行股份有限公司宝鸡分行营业部</w:t>
            </w:r>
          </w:p>
          <w:p w14:paraId="5084B1F0">
            <w:pPr>
              <w:spacing w:line="360" w:lineRule="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账  号：80602000142101980613995</w:t>
            </w:r>
          </w:p>
          <w:p w14:paraId="613E5C63">
            <w:pPr>
              <w:shd w:val="clear"/>
              <w:spacing w:line="360" w:lineRule="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注意事项：</w:t>
            </w:r>
          </w:p>
          <w:p w14:paraId="2C9E4871">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（1）银行保函</w:t>
            </w:r>
          </w:p>
          <w:p w14:paraId="660EC927">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lang w:val="en-US" w:eastAsia="zh-CN"/>
              </w:rPr>
              <w:t>必须为投标人基本</w:t>
            </w:r>
            <w:r>
              <w:rPr>
                <w:rFonts w:hint="eastAsia" w:ascii="宋体" w:hAnsi="宋体" w:eastAsia="宋体" w:cs="宋体"/>
                <w:b w:val="0"/>
                <w:bCs/>
                <w:color w:val="auto"/>
                <w:kern w:val="2"/>
                <w:sz w:val="24"/>
                <w:szCs w:val="24"/>
                <w:highlight w:val="none"/>
                <w:lang w:val="en-US" w:eastAsia="zh-CN" w:bidi="ar-SA"/>
              </w:rPr>
              <w:t>账户开户银行出具的银行保函，将银行保函及“基本账户开户许可证或基本存款账户信息”附在投标文件中，作为保证金缴纳凭证。以保函形式交纳保证金须在代理公司进行备案。</w:t>
            </w:r>
          </w:p>
          <w:p w14:paraId="411F7793">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注意事项：</w:t>
            </w:r>
          </w:p>
          <w:p w14:paraId="2EF5D405">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1、银行保函递交时间：所投项目开标前2-3个工作日递交至代理公司进行备案。</w:t>
            </w:r>
          </w:p>
          <w:p w14:paraId="434DBAD9">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2、需提交的备案资料：</w:t>
            </w:r>
          </w:p>
          <w:p w14:paraId="01FF1B82">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①保函正本（纸质版）</w:t>
            </w:r>
          </w:p>
          <w:p w14:paraId="1E1912C6">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②公司介绍信或委托书</w:t>
            </w:r>
          </w:p>
          <w:p w14:paraId="13D77424">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③开户许可证复印件（加盖公司公章）</w:t>
            </w:r>
          </w:p>
          <w:p w14:paraId="3EC38A26">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④法定代表人和经办人身份证复印件（加盖公司公章）</w:t>
            </w:r>
          </w:p>
          <w:p w14:paraId="211347EA">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（2）基本户转账</w:t>
            </w:r>
          </w:p>
          <w:p w14:paraId="304636F4">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rightChars="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必须为投标人基本账户以转账形式在投标截止时间前到达上述账号（以资金到账时间为确认保证金缴纳完毕时间），未按规定时间前或按额汇到指定账户的将否决其投标。投标保证金转账完成后，将“转账凭证”附在投标文件中，作为保证金缴纳的凭证。</w:t>
            </w:r>
          </w:p>
          <w:p w14:paraId="1C4917FF">
            <w:pPr>
              <w:spacing w:line="360" w:lineRule="auto"/>
              <w:rPr>
                <w:rFonts w:hint="eastAsia" w:ascii="宋体" w:hAnsi="宋体" w:eastAsia="宋体" w:cs="宋体"/>
                <w:b/>
                <w:color w:val="auto"/>
                <w:sz w:val="24"/>
                <w:highlight w:val="none"/>
              </w:rPr>
            </w:pPr>
            <w:r>
              <w:rPr>
                <w:rFonts w:hint="eastAsia" w:ascii="宋体" w:hAnsi="宋体" w:eastAsia="宋体" w:cs="宋体"/>
                <w:b/>
                <w:bCs w:val="0"/>
                <w:color w:val="auto"/>
                <w:kern w:val="2"/>
                <w:sz w:val="24"/>
                <w:szCs w:val="24"/>
                <w:highlight w:val="none"/>
                <w:lang w:val="en-US" w:eastAsia="zh-CN" w:bidi="ar-SA"/>
              </w:rPr>
              <w:t>转账时必须备注：该项目子账号后五位数字，无需填写其他内容</w:t>
            </w:r>
          </w:p>
        </w:tc>
      </w:tr>
      <w:tr w14:paraId="38B6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D7221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246" w:type="dxa"/>
            <w:vAlign w:val="center"/>
          </w:tcPr>
          <w:p w14:paraId="6AB02A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备选磋商方案</w:t>
            </w:r>
          </w:p>
          <w:p w14:paraId="1532C3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和报价</w:t>
            </w:r>
          </w:p>
        </w:tc>
        <w:tc>
          <w:tcPr>
            <w:tcW w:w="6276" w:type="dxa"/>
            <w:vAlign w:val="center"/>
          </w:tcPr>
          <w:p w14:paraId="49596459">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不接受备选磋商方案和多个报价。</w:t>
            </w:r>
          </w:p>
        </w:tc>
      </w:tr>
      <w:tr w14:paraId="3E83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34E2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2246" w:type="dxa"/>
            <w:vAlign w:val="center"/>
          </w:tcPr>
          <w:p w14:paraId="292CD5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盖章签字</w:t>
            </w:r>
          </w:p>
        </w:tc>
        <w:tc>
          <w:tcPr>
            <w:tcW w:w="6276" w:type="dxa"/>
            <w:vAlign w:val="center"/>
          </w:tcPr>
          <w:p w14:paraId="2DEE5D8F">
            <w:pPr>
              <w:tabs>
                <w:tab w:val="left" w:pos="70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必须按照竞争性磋商文件的规定和要求在竞争性磋商响应文件中指定的页面落款处加盖公章并由法定代表人或被授权人签字（或盖章），其余页面逐页加盖供应商公章，否则将作为无效磋商处理。竞争性磋商文件凡是要求法定代表人签字或盖章之处，非法人单位的负责人均参照执行。</w:t>
            </w:r>
          </w:p>
        </w:tc>
      </w:tr>
      <w:tr w14:paraId="2B5F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34D1F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2246" w:type="dxa"/>
            <w:vAlign w:val="center"/>
          </w:tcPr>
          <w:p w14:paraId="19FDE070">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竞争性磋商响应文件提交</w:t>
            </w:r>
          </w:p>
        </w:tc>
        <w:tc>
          <w:tcPr>
            <w:tcW w:w="6276" w:type="dxa"/>
            <w:vAlign w:val="center"/>
          </w:tcPr>
          <w:p w14:paraId="77E84B70">
            <w:pPr>
              <w:tabs>
                <w:tab w:val="left" w:pos="70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本项目采用电子化投标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磋商响应文件可于提交磋商响应文件截止时间前任意时段登录全国公共资源交易平台（陕西省·宝鸡市）网站[电子交易平台-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磋商响应文件（*.SXSTF），上传成功后，电子化平台将予以记录。</w:t>
            </w:r>
          </w:p>
          <w:p w14:paraId="368F0079">
            <w:pPr>
              <w:tabs>
                <w:tab w:val="left" w:pos="7013"/>
              </w:tabs>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注：由成交单位在领取成交通知书时须提供与最终上传至平台的电子版一致的纸质磋商响应文件正本一份、副本二份（按要求签字盖章）。</w:t>
            </w:r>
          </w:p>
        </w:tc>
      </w:tr>
      <w:tr w14:paraId="73C8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4A91B3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2246" w:type="dxa"/>
            <w:vAlign w:val="center"/>
          </w:tcPr>
          <w:p w14:paraId="290F7BCE">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电子磋商响应文件的制作和签署</w:t>
            </w:r>
          </w:p>
        </w:tc>
        <w:tc>
          <w:tcPr>
            <w:tcW w:w="6276" w:type="dxa"/>
            <w:vAlign w:val="center"/>
          </w:tcPr>
          <w:p w14:paraId="2EFC7581">
            <w:pPr>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编制电子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文件时，应使用最新发布的电子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文件及专用制作工具进行编制。并使用数字认证证书（CA）对电子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文件进行签署、加密、递交及开标时解密及二次报</w:t>
            </w:r>
            <w:r>
              <w:rPr>
                <w:rFonts w:hint="eastAsia" w:ascii="宋体" w:hAnsi="宋体" w:eastAsia="宋体" w:cs="宋体"/>
                <w:color w:val="auto"/>
                <w:sz w:val="24"/>
                <w:highlight w:val="none"/>
                <w:lang w:val="en-US" w:eastAsia="zh-CN"/>
              </w:rPr>
              <w:t>价</w:t>
            </w:r>
            <w:r>
              <w:rPr>
                <w:rFonts w:hint="eastAsia" w:ascii="宋体" w:hAnsi="宋体" w:eastAsia="宋体" w:cs="宋体"/>
                <w:color w:val="auto"/>
                <w:sz w:val="24"/>
                <w:highlight w:val="none"/>
                <w:lang w:eastAsia="zh-CN"/>
              </w:rPr>
              <w:t>等相关操作。</w:t>
            </w:r>
          </w:p>
          <w:p w14:paraId="1679A175">
            <w:pPr>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文件下载</w:t>
            </w:r>
          </w:p>
          <w:p w14:paraId="79BDCFF4">
            <w:pPr>
              <w:spacing w:before="0"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供应商登录全国公共资源交易平台（陕西省·宝鸡市）网站[电子交易平台-企业端]后，在[我的项目]中点击“项目流程-交易文件下载”下载电子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文件（*.SXSZF）；注意：该项目如有变更文件，则应点击“项目流程&gt;答疑文件下载”下载更新后的电子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文件（*.SXSCF），使用旧版电子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文件制作的电子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文件，系统将拒绝接收。</w:t>
            </w:r>
          </w:p>
          <w:p w14:paraId="1A765F91">
            <w:pPr>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文件需要使用专用软件打开、浏览</w:t>
            </w:r>
          </w:p>
          <w:p w14:paraId="3527DD25">
            <w:pPr>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供应商登录全国公共资源交易平台（陕西省·宝鸡市）网站[服务指南-下载专区]免费下载《陕西省公共资源交易平台政府采购电子标书制作工具(V8.0.0.2)》，并升级至最新版本，使用该客户端可以打开电子</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文件。软件操作手册详见全国公共资源交易平台（陕西省·宝鸡市）网站[服务指南-下载专区]中的《陕西省公共资源交易（政府采购类）</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文件制作软件操作手册》；</w:t>
            </w:r>
          </w:p>
          <w:p w14:paraId="34233FC4">
            <w:pPr>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制作电子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w:t>
            </w:r>
          </w:p>
          <w:p w14:paraId="67DA7A4F">
            <w:pPr>
              <w:spacing w:before="0" w:after="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文件同样需要使用上述软件进行编制。在编制过程中，如有技术性问题，请先翻阅操作手册或致电软件开发商，技术支持热线：4009280095、4009980000；</w:t>
            </w:r>
          </w:p>
          <w:p w14:paraId="639C92FC">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b/>
                <w:bCs/>
                <w:color w:val="auto"/>
                <w:kern w:val="2"/>
                <w:sz w:val="24"/>
                <w:szCs w:val="21"/>
                <w:highlight w:val="none"/>
                <w:lang w:val="en-US" w:eastAsia="zh-CN" w:bidi="ar-SA"/>
              </w:rPr>
              <w:t>注：如未按照上述要求进行响应文件制作和签署的均视其为无效响应文件。</w:t>
            </w:r>
          </w:p>
        </w:tc>
      </w:tr>
      <w:tr w14:paraId="6A62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04C33B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2246" w:type="dxa"/>
            <w:vAlign w:val="center"/>
          </w:tcPr>
          <w:p w14:paraId="1D49BC3E">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无效文件说明</w:t>
            </w:r>
          </w:p>
        </w:tc>
        <w:tc>
          <w:tcPr>
            <w:tcW w:w="6276" w:type="dxa"/>
            <w:vAlign w:val="center"/>
          </w:tcPr>
          <w:p w14:paraId="5964FB6D">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在开标环节出现下列情况之一的，其</w:t>
            </w:r>
            <w:r>
              <w:rPr>
                <w:rFonts w:hint="eastAsia" w:ascii="宋体" w:hAnsi="宋体" w:eastAsia="宋体" w:cs="宋体"/>
                <w:b/>
                <w:color w:val="auto"/>
                <w:sz w:val="24"/>
                <w:szCs w:val="22"/>
                <w:highlight w:val="none"/>
                <w:lang w:val="en-US" w:eastAsia="zh-CN"/>
              </w:rPr>
              <w:t>响应</w:t>
            </w:r>
            <w:r>
              <w:rPr>
                <w:rFonts w:hint="eastAsia" w:ascii="宋体" w:hAnsi="宋体" w:eastAsia="宋体" w:cs="宋体"/>
                <w:b/>
                <w:color w:val="auto"/>
                <w:sz w:val="24"/>
                <w:szCs w:val="22"/>
                <w:highlight w:val="none"/>
              </w:rPr>
              <w:t>文件视为无效文件：</w:t>
            </w:r>
          </w:p>
          <w:p w14:paraId="54FC85F1">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1、供应商</w:t>
            </w:r>
            <w:r>
              <w:rPr>
                <w:rFonts w:hint="eastAsia" w:ascii="宋体" w:hAnsi="宋体" w:eastAsia="宋体" w:cs="宋体"/>
                <w:b/>
                <w:color w:val="auto"/>
                <w:sz w:val="24"/>
                <w:szCs w:val="22"/>
                <w:highlight w:val="none"/>
              </w:rPr>
              <w:t>在规定时间内</w:t>
            </w:r>
            <w:r>
              <w:rPr>
                <w:rFonts w:hint="eastAsia" w:ascii="宋体" w:hAnsi="宋体" w:eastAsia="宋体" w:cs="宋体"/>
                <w:b/>
                <w:color w:val="auto"/>
                <w:sz w:val="24"/>
                <w:szCs w:val="22"/>
                <w:highlight w:val="none"/>
                <w:lang w:eastAsia="zh-CN"/>
              </w:rPr>
              <w:t>未</w:t>
            </w:r>
            <w:r>
              <w:rPr>
                <w:rFonts w:hint="eastAsia" w:ascii="宋体" w:hAnsi="宋体" w:eastAsia="宋体" w:cs="宋体"/>
                <w:b/>
                <w:color w:val="auto"/>
                <w:sz w:val="24"/>
                <w:szCs w:val="22"/>
                <w:highlight w:val="none"/>
              </w:rPr>
              <w:t>对电子</w:t>
            </w:r>
            <w:r>
              <w:rPr>
                <w:rFonts w:hint="eastAsia" w:ascii="宋体" w:hAnsi="宋体" w:eastAsia="宋体" w:cs="宋体"/>
                <w:b/>
                <w:color w:val="auto"/>
                <w:sz w:val="24"/>
                <w:szCs w:val="22"/>
                <w:highlight w:val="none"/>
                <w:lang w:val="en-US" w:eastAsia="zh-CN"/>
              </w:rPr>
              <w:t>响应</w:t>
            </w:r>
            <w:r>
              <w:rPr>
                <w:rFonts w:hint="eastAsia" w:ascii="宋体" w:hAnsi="宋体" w:eastAsia="宋体" w:cs="宋体"/>
                <w:b/>
                <w:color w:val="auto"/>
                <w:sz w:val="24"/>
                <w:szCs w:val="22"/>
                <w:highlight w:val="none"/>
              </w:rPr>
              <w:t>文件进行解密的；</w:t>
            </w:r>
          </w:p>
          <w:p w14:paraId="08A5DF9E">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2、</w:t>
            </w:r>
            <w:r>
              <w:rPr>
                <w:rFonts w:hint="eastAsia" w:ascii="宋体" w:hAnsi="宋体" w:eastAsia="宋体" w:cs="宋体"/>
                <w:b/>
                <w:color w:val="auto"/>
                <w:sz w:val="24"/>
                <w:szCs w:val="22"/>
                <w:highlight w:val="none"/>
              </w:rPr>
              <w:t>上传的电子</w:t>
            </w:r>
            <w:r>
              <w:rPr>
                <w:rFonts w:hint="eastAsia" w:ascii="宋体" w:hAnsi="宋体" w:eastAsia="宋体" w:cs="宋体"/>
                <w:b/>
                <w:color w:val="auto"/>
                <w:sz w:val="24"/>
                <w:szCs w:val="22"/>
                <w:highlight w:val="none"/>
                <w:lang w:val="en-US" w:eastAsia="zh-CN"/>
              </w:rPr>
              <w:t>响应</w:t>
            </w:r>
            <w:r>
              <w:rPr>
                <w:rFonts w:hint="eastAsia" w:ascii="宋体" w:hAnsi="宋体" w:eastAsia="宋体" w:cs="宋体"/>
                <w:b/>
                <w:color w:val="auto"/>
                <w:sz w:val="24"/>
                <w:szCs w:val="22"/>
                <w:highlight w:val="none"/>
              </w:rPr>
              <w:t>文件无法打开的；</w:t>
            </w:r>
          </w:p>
          <w:p w14:paraId="52B9A397">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3、</w:t>
            </w:r>
            <w:r>
              <w:rPr>
                <w:rFonts w:hint="eastAsia" w:ascii="宋体" w:hAnsi="宋体" w:eastAsia="宋体" w:cs="宋体"/>
                <w:b/>
                <w:color w:val="auto"/>
                <w:sz w:val="24"/>
                <w:szCs w:val="22"/>
                <w:highlight w:val="none"/>
              </w:rPr>
              <w:t>法律法规规定的其他无效情形。</w:t>
            </w:r>
          </w:p>
          <w:p w14:paraId="1AD8B11E">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4、供应商</w:t>
            </w:r>
            <w:r>
              <w:rPr>
                <w:rFonts w:hint="eastAsia" w:ascii="宋体" w:hAnsi="宋体" w:eastAsia="宋体" w:cs="宋体"/>
                <w:b/>
                <w:color w:val="auto"/>
                <w:sz w:val="24"/>
                <w:szCs w:val="22"/>
                <w:highlight w:val="none"/>
              </w:rPr>
              <w:t>拒绝对电子</w:t>
            </w:r>
            <w:r>
              <w:rPr>
                <w:rFonts w:hint="eastAsia" w:ascii="宋体" w:hAnsi="宋体" w:eastAsia="宋体" w:cs="宋体"/>
                <w:b/>
                <w:color w:val="auto"/>
                <w:sz w:val="24"/>
                <w:szCs w:val="22"/>
                <w:highlight w:val="none"/>
                <w:lang w:val="en-US" w:eastAsia="zh-CN"/>
              </w:rPr>
              <w:t>响应</w:t>
            </w:r>
            <w:r>
              <w:rPr>
                <w:rFonts w:hint="eastAsia" w:ascii="宋体" w:hAnsi="宋体" w:eastAsia="宋体" w:cs="宋体"/>
                <w:b/>
                <w:color w:val="auto"/>
                <w:sz w:val="24"/>
                <w:szCs w:val="22"/>
                <w:highlight w:val="none"/>
              </w:rPr>
              <w:t>文件进行解密的；</w:t>
            </w:r>
          </w:p>
          <w:p w14:paraId="1F4F1705">
            <w:pPr>
              <w:pageBreakBefore w:val="0"/>
              <w:wordWrap/>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5、因供应商自身原因（如未带CA锁、或所带CA锁与制作电子投标文件使用的CA锁不一致、或沿用旧版磋商文件编制响应文件等情形），导致在规定时间内无法解密响应文件的；</w:t>
            </w:r>
          </w:p>
          <w:p w14:paraId="78A2CB46">
            <w:pPr>
              <w:pageBreakBefore w:val="0"/>
              <w:wordWrap/>
              <w:topLinePunct w:val="0"/>
              <w:autoSpaceDE w:val="0"/>
              <w:autoSpaceDN w:val="0"/>
              <w:bidi w:val="0"/>
              <w:adjustRightInd w:val="0"/>
              <w:snapToGrid w:val="0"/>
              <w:spacing w:line="360" w:lineRule="auto"/>
              <w:ind w:firstLine="241" w:firstLineChars="100"/>
              <w:textAlignment w:val="auto"/>
              <w:rPr>
                <w:rFonts w:hint="eastAsia" w:ascii="宋体" w:hAnsi="宋体" w:eastAsia="宋体" w:cs="宋体"/>
                <w:b/>
                <w:color w:val="auto"/>
                <w:sz w:val="24"/>
                <w:szCs w:val="22"/>
                <w:highlight w:val="none"/>
                <w:lang w:eastAsia="zh-CN"/>
              </w:rPr>
            </w:pPr>
            <w:r>
              <w:rPr>
                <w:rFonts w:hint="eastAsia" w:ascii="宋体" w:hAnsi="宋体" w:eastAsia="宋体" w:cs="宋体"/>
                <w:b/>
                <w:color w:val="auto"/>
                <w:sz w:val="24"/>
                <w:szCs w:val="22"/>
                <w:highlight w:val="none"/>
              </w:rPr>
              <w:t>特殊情形下的应急处置</w:t>
            </w:r>
            <w:r>
              <w:rPr>
                <w:rFonts w:hint="eastAsia" w:ascii="宋体" w:hAnsi="宋体" w:eastAsia="宋体" w:cs="宋体"/>
                <w:b/>
                <w:color w:val="auto"/>
                <w:sz w:val="24"/>
                <w:szCs w:val="22"/>
                <w:highlight w:val="none"/>
                <w:lang w:eastAsia="zh-CN"/>
              </w:rPr>
              <w:t>：</w:t>
            </w:r>
          </w:p>
          <w:p w14:paraId="6ADC5AFE">
            <w:pPr>
              <w:pageBreakBefore w:val="0"/>
              <w:wordWrap/>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在开标、评审过程中，如因</w:t>
            </w:r>
            <w:r>
              <w:rPr>
                <w:rFonts w:hint="eastAsia" w:ascii="宋体" w:hAnsi="宋体" w:eastAsia="宋体" w:cs="宋体"/>
                <w:b/>
                <w:color w:val="auto"/>
                <w:sz w:val="24"/>
                <w:szCs w:val="22"/>
                <w:highlight w:val="none"/>
                <w:lang w:val="en-US" w:eastAsia="zh-CN"/>
              </w:rPr>
              <w:t>宝鸡市公共资源交易中心</w:t>
            </w:r>
            <w:r>
              <w:rPr>
                <w:rFonts w:hint="eastAsia" w:ascii="宋体" w:hAnsi="宋体" w:eastAsia="宋体" w:cs="宋体"/>
                <w:b/>
                <w:color w:val="auto"/>
                <w:sz w:val="24"/>
                <w:szCs w:val="22"/>
                <w:highlight w:val="none"/>
              </w:rPr>
              <w:t>停电、断网、电子化系统故障等特殊原因导致电子化开、评标无法正常进行时，将</w:t>
            </w:r>
            <w:r>
              <w:rPr>
                <w:rFonts w:hint="eastAsia" w:ascii="宋体" w:hAnsi="宋体" w:eastAsia="宋体" w:cs="宋体"/>
                <w:b/>
                <w:color w:val="auto"/>
                <w:sz w:val="24"/>
                <w:szCs w:val="22"/>
                <w:highlight w:val="none"/>
                <w:lang w:eastAsia="zh-CN"/>
              </w:rPr>
              <w:t>延后</w:t>
            </w:r>
            <w:r>
              <w:rPr>
                <w:rFonts w:hint="eastAsia" w:ascii="宋体" w:hAnsi="宋体" w:eastAsia="宋体" w:cs="宋体"/>
                <w:b/>
                <w:color w:val="auto"/>
                <w:sz w:val="24"/>
                <w:szCs w:val="22"/>
                <w:highlight w:val="none"/>
              </w:rPr>
              <w:t>开展后续</w:t>
            </w:r>
            <w:r>
              <w:rPr>
                <w:rFonts w:hint="eastAsia" w:ascii="宋体" w:hAnsi="宋体" w:eastAsia="宋体" w:cs="宋体"/>
                <w:b/>
                <w:color w:val="auto"/>
                <w:sz w:val="24"/>
                <w:szCs w:val="22"/>
                <w:highlight w:val="none"/>
                <w:lang w:val="en-US" w:eastAsia="zh-CN"/>
              </w:rPr>
              <w:t>招标</w:t>
            </w:r>
            <w:r>
              <w:rPr>
                <w:rFonts w:hint="eastAsia" w:ascii="宋体" w:hAnsi="宋体" w:eastAsia="宋体" w:cs="宋体"/>
                <w:b/>
                <w:color w:val="auto"/>
                <w:sz w:val="24"/>
                <w:szCs w:val="22"/>
                <w:highlight w:val="none"/>
              </w:rPr>
              <w:t>活动。</w:t>
            </w:r>
          </w:p>
        </w:tc>
      </w:tr>
      <w:tr w14:paraId="3641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0C805C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2246" w:type="dxa"/>
            <w:vAlign w:val="center"/>
          </w:tcPr>
          <w:p w14:paraId="2B7891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评标办法及标准</w:t>
            </w:r>
          </w:p>
        </w:tc>
        <w:tc>
          <w:tcPr>
            <w:tcW w:w="6276" w:type="dxa"/>
            <w:vAlign w:val="center"/>
          </w:tcPr>
          <w:p w14:paraId="29716B8E">
            <w:pPr>
              <w:pStyle w:val="58"/>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详见竞争性磋商文件第二章。</w:t>
            </w:r>
          </w:p>
        </w:tc>
      </w:tr>
      <w:tr w14:paraId="49B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7884D05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2246" w:type="dxa"/>
            <w:shd w:val="clear" w:color="auto" w:fill="auto"/>
            <w:vAlign w:val="center"/>
          </w:tcPr>
          <w:p w14:paraId="4506386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6276" w:type="dxa"/>
            <w:shd w:val="clear" w:color="auto" w:fill="auto"/>
            <w:vAlign w:val="center"/>
          </w:tcPr>
          <w:p w14:paraId="2363A764">
            <w:pPr>
              <w:numPr>
                <w:ilvl w:val="0"/>
                <w:numId w:val="0"/>
              </w:numPr>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合同签订后10天内，支付总费用的30％。审定通过的成果文件交付采购人后20天内支付剩余费用。</w:t>
            </w:r>
          </w:p>
        </w:tc>
      </w:tr>
      <w:tr w14:paraId="4260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0FC698D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2246" w:type="dxa"/>
            <w:vAlign w:val="center"/>
          </w:tcPr>
          <w:p w14:paraId="33B220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其它事项</w:t>
            </w:r>
          </w:p>
        </w:tc>
        <w:tc>
          <w:tcPr>
            <w:tcW w:w="6276" w:type="dxa"/>
            <w:vAlign w:val="center"/>
          </w:tcPr>
          <w:p w14:paraId="7B467B11">
            <w:pPr>
              <w:pStyle w:val="58"/>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宋体" w:hAnsi="宋体" w:eastAsia="宋体" w:cs="宋体"/>
                <w:color w:val="auto"/>
                <w:kern w:val="2"/>
                <w:sz w:val="24"/>
                <w:szCs w:val="24"/>
                <w:highlight w:val="none"/>
                <w:lang w:val="en-US" w:eastAsia="zh-CN"/>
              </w:rPr>
              <w:t>25</w:t>
            </w:r>
            <w:r>
              <w:rPr>
                <w:rFonts w:hint="eastAsia" w:ascii="宋体" w:hAnsi="宋体" w:eastAsia="宋体" w:cs="宋体"/>
                <w:color w:val="auto"/>
                <w:kern w:val="2"/>
                <w:sz w:val="24"/>
                <w:szCs w:val="24"/>
                <w:highlight w:val="none"/>
              </w:rPr>
              <w:t>天内签订合同，不及时签订视为自动放弃。非经采购人同意，本项目不允许成交后另行转包或者分包。成交人无正当理由不得放弃中标。</w:t>
            </w:r>
            <w:r>
              <w:rPr>
                <w:rFonts w:hint="eastAsia" w:ascii="宋体" w:hAnsi="宋体" w:eastAsia="宋体" w:cs="宋体"/>
                <w:color w:val="auto"/>
                <w:sz w:val="24"/>
                <w:szCs w:val="24"/>
                <w:highlight w:val="none"/>
              </w:rPr>
              <w:t>因自身原因拒绝签订政府采购合同的或者未按合同约定进行履约的，成交人不得参加对该项目重新开展的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w:t>
            </w:r>
          </w:p>
        </w:tc>
      </w:tr>
      <w:tr w14:paraId="57EA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1B1C5693">
            <w:pPr>
              <w:spacing w:line="360" w:lineRule="auto"/>
              <w:rPr>
                <w:rFonts w:hint="eastAsia" w:ascii="宋体" w:hAnsi="宋体" w:eastAsia="宋体" w:cs="宋体"/>
                <w:color w:val="auto"/>
                <w:sz w:val="24"/>
                <w:highlight w:val="none"/>
                <w:lang w:val="en-US" w:eastAsia="zh-CN"/>
              </w:rPr>
            </w:pPr>
            <w:bookmarkStart w:id="2" w:name="_Toc7453872"/>
            <w:r>
              <w:rPr>
                <w:rFonts w:hint="eastAsia" w:ascii="宋体" w:hAnsi="宋体" w:eastAsia="宋体" w:cs="宋体"/>
                <w:color w:val="auto"/>
                <w:sz w:val="24"/>
                <w:highlight w:val="none"/>
                <w:lang w:val="en-US" w:eastAsia="zh-CN"/>
              </w:rPr>
              <w:t>29</w:t>
            </w:r>
          </w:p>
        </w:tc>
        <w:tc>
          <w:tcPr>
            <w:tcW w:w="2246" w:type="dxa"/>
            <w:vAlign w:val="center"/>
          </w:tcPr>
          <w:p w14:paraId="0C3F48D7">
            <w:pPr>
              <w:tabs>
                <w:tab w:val="left" w:pos="7013"/>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本项目采购标的对应的中小企业划分标准所属行业</w:t>
            </w:r>
          </w:p>
        </w:tc>
        <w:tc>
          <w:tcPr>
            <w:tcW w:w="6276" w:type="dxa"/>
            <w:vAlign w:val="center"/>
          </w:tcPr>
          <w:p w14:paraId="2EE13725">
            <w:pPr>
              <w:keepNext w:val="0"/>
              <w:keepLines w:val="0"/>
              <w:widowControl/>
              <w:suppressLineNumbers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val="en-US" w:eastAsia="zh-CN"/>
              </w:rPr>
              <w:t>其他未列明行业</w:t>
            </w:r>
          </w:p>
        </w:tc>
      </w:tr>
    </w:tbl>
    <w:p w14:paraId="16ABCC7F">
      <w:pPr>
        <w:pStyle w:val="5"/>
        <w:spacing w:before="0"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二、项目说明</w:t>
      </w:r>
      <w:bookmarkEnd w:id="2"/>
    </w:p>
    <w:p w14:paraId="4DEBD0DC">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1、本项目说明详见供应商须知前附表。</w:t>
      </w:r>
    </w:p>
    <w:p w14:paraId="6713ADE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2、本项目按照《中华人民共和国政府采购法》等有关法律、行政法规和部门规章，通过竞争性磋商方式择优选定成交供应商。</w:t>
      </w:r>
    </w:p>
    <w:p w14:paraId="46F7173B">
      <w:pPr>
        <w:pStyle w:val="5"/>
        <w:spacing w:before="0" w:after="0" w:line="360" w:lineRule="auto"/>
        <w:rPr>
          <w:rFonts w:hint="eastAsia" w:ascii="宋体" w:hAnsi="宋体" w:eastAsia="宋体" w:cs="宋体"/>
          <w:color w:val="auto"/>
          <w:kern w:val="0"/>
          <w:sz w:val="24"/>
          <w:szCs w:val="24"/>
          <w:highlight w:val="none"/>
        </w:rPr>
      </w:pPr>
      <w:bookmarkStart w:id="3" w:name="_Toc458848819"/>
      <w:bookmarkStart w:id="4" w:name="_Toc458848967"/>
      <w:bookmarkStart w:id="5" w:name="_Toc7453873"/>
      <w:bookmarkStart w:id="6" w:name="_Toc458848734"/>
      <w:r>
        <w:rPr>
          <w:rFonts w:hint="eastAsia" w:ascii="宋体" w:hAnsi="宋体" w:eastAsia="宋体" w:cs="宋体"/>
          <w:color w:val="auto"/>
          <w:kern w:val="0"/>
          <w:sz w:val="24"/>
          <w:szCs w:val="24"/>
          <w:highlight w:val="none"/>
        </w:rPr>
        <w:t>三、竞争性磋商文件</w:t>
      </w:r>
      <w:bookmarkEnd w:id="3"/>
      <w:bookmarkEnd w:id="4"/>
      <w:bookmarkEnd w:id="5"/>
      <w:bookmarkEnd w:id="6"/>
    </w:p>
    <w:p w14:paraId="449698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1、竞争性磋商文件适用：仅适用于本次竞争性磋商文件所述项目。</w:t>
      </w:r>
    </w:p>
    <w:p w14:paraId="6317B9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：供应商须从采购代理机构处</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竞争性磋商文件，供应商自行转让或复制的竞争性磋商文件视为无效竞争性磋商文件。供应商名称与登记</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竞争性磋商文件的单位名称不一致的，将作为无效响应处理。</w:t>
      </w:r>
    </w:p>
    <w:p w14:paraId="4B3A66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3、竞争性磋商文件组成：包括竞争性磋商文件目录前六章。</w:t>
      </w:r>
    </w:p>
    <w:p w14:paraId="1C7355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4、供应商应详细阅读和充分理解竞争性磋商文件所有的事项、格式、条款和规范要求等，在竞争性磋商响应文件中对竞争性磋商文件的各方面都做出实质性的响应，否则将导致响应无效。</w:t>
      </w:r>
    </w:p>
    <w:p w14:paraId="4F5FAB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5、竞争性磋商文件的澄清或修改：</w:t>
      </w:r>
    </w:p>
    <w:p w14:paraId="639276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提交磋商响应文件截止时间前，采购人、采购代理机构可以以书面形式对竞争性磋商文件进行必要的澄清或修改，但不得改变采购标的和资格条件。澄清或修改的内容均为竞争性磋商文件的组成部分，并对采购人及供应商起约束作用。澄清或修改的内容可能影响响应文件编制的，都将于提交磋商响应文件截止时间5日前</w:t>
      </w:r>
      <w:r>
        <w:rPr>
          <w:rFonts w:hint="eastAsia" w:ascii="宋体" w:hAnsi="宋体" w:cs="宋体"/>
          <w:color w:val="auto"/>
          <w:sz w:val="24"/>
          <w:szCs w:val="24"/>
          <w:highlight w:val="none"/>
          <w:lang w:val="en-US" w:eastAsia="zh-CN"/>
        </w:rPr>
        <w:t>上传至</w:t>
      </w:r>
      <w:r>
        <w:rPr>
          <w:rFonts w:hint="eastAsia" w:ascii="宋体" w:hAnsi="宋体" w:eastAsia="宋体" w:cs="宋体"/>
          <w:b w:val="0"/>
          <w:color w:val="auto"/>
          <w:kern w:val="2"/>
          <w:sz w:val="24"/>
          <w:szCs w:val="20"/>
          <w:highlight w:val="none"/>
          <w:lang w:val="en-US" w:eastAsia="zh-CN" w:bidi="ar-SA"/>
        </w:rPr>
        <w:t>全国公共资源交易平台（陕西省·宝鸡市）宝鸡市公共资源交易中心（ggzy.baoji.gov.cn）</w:t>
      </w:r>
      <w:r>
        <w:rPr>
          <w:rFonts w:hint="eastAsia" w:ascii="宋体" w:hAnsi="宋体" w:cs="宋体"/>
          <w:b w:val="0"/>
          <w:color w:val="auto"/>
          <w:kern w:val="2"/>
          <w:sz w:val="24"/>
          <w:szCs w:val="20"/>
          <w:highlight w:val="none"/>
          <w:lang w:val="en-US" w:eastAsia="zh-CN" w:bidi="ar-SA"/>
        </w:rPr>
        <w:t>并通知</w:t>
      </w:r>
      <w:r>
        <w:rPr>
          <w:rFonts w:hint="eastAsia" w:ascii="宋体" w:hAnsi="宋体" w:eastAsia="宋体" w:cs="宋体"/>
          <w:color w:val="auto"/>
          <w:sz w:val="24"/>
          <w:szCs w:val="24"/>
          <w:highlight w:val="none"/>
        </w:rPr>
        <w:t>所有参加磋商的供应商</w:t>
      </w:r>
      <w:r>
        <w:rPr>
          <w:rFonts w:hint="eastAsia" w:ascii="宋体" w:hAnsi="宋体" w:cs="宋体"/>
          <w:color w:val="auto"/>
          <w:sz w:val="24"/>
          <w:szCs w:val="24"/>
          <w:highlight w:val="none"/>
          <w:lang w:val="en-US" w:eastAsia="zh-CN"/>
        </w:rPr>
        <w:t>自行下载</w:t>
      </w:r>
      <w:r>
        <w:rPr>
          <w:rFonts w:hint="eastAsia" w:ascii="宋体" w:hAnsi="宋体" w:eastAsia="宋体" w:cs="宋体"/>
          <w:color w:val="auto"/>
          <w:sz w:val="24"/>
          <w:szCs w:val="24"/>
          <w:highlight w:val="none"/>
        </w:rPr>
        <w:t>；不足5日的，采购人、采购代理机构顺延递交竞争性磋商响应文件的截止时间。</w:t>
      </w:r>
    </w:p>
    <w:p w14:paraId="412727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76C019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若对磋商文件有任何疑问，可以以书面形式（纸质版加盖公章，下同）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1AD4A4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7、供应商认为竞争性磋商文件使自己的权益受到损害的，在收到竞争性磋商文件之日起七个工作日内，以书面形式向采购代理机构提出质疑，逾期提出的无效，因此带来的一切不利后果由供应商自负。</w:t>
      </w:r>
    </w:p>
    <w:p w14:paraId="41965F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磋商截止时间前，根据采购工作进展实际情况，采购人可酌情延长递交竞争性磋商响应文件的截止时间，若延长将另行以书面形式通知各供应商。采购代理机构和供应商的权利和义务将受到新的截止期的约束。</w:t>
      </w:r>
    </w:p>
    <w:p w14:paraId="4A535E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9、竞争性磋商文件的解释权归采购代理机构，如发现竞争性磋商文件内容与现行法律法规不相符的情况，以现行法律法规为准。</w:t>
      </w:r>
    </w:p>
    <w:p w14:paraId="45FDC1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10、现场勘查、标前答疑会：见须知前附表。</w:t>
      </w:r>
    </w:p>
    <w:p w14:paraId="7FF68B61">
      <w:pPr>
        <w:pStyle w:val="5"/>
        <w:spacing w:before="0" w:after="0" w:line="360" w:lineRule="auto"/>
        <w:rPr>
          <w:rFonts w:hint="eastAsia" w:ascii="宋体" w:hAnsi="宋体" w:eastAsia="宋体" w:cs="宋体"/>
          <w:color w:val="auto"/>
          <w:kern w:val="0"/>
          <w:sz w:val="24"/>
          <w:szCs w:val="24"/>
          <w:highlight w:val="none"/>
        </w:rPr>
      </w:pPr>
      <w:bookmarkStart w:id="7" w:name="_Toc7453874"/>
      <w:bookmarkStart w:id="8" w:name="_Toc458848968"/>
      <w:bookmarkStart w:id="9" w:name="_Toc458848820"/>
      <w:bookmarkStart w:id="10" w:name="_Toc458848735"/>
      <w:r>
        <w:rPr>
          <w:rFonts w:hint="eastAsia" w:ascii="宋体" w:hAnsi="宋体" w:eastAsia="宋体" w:cs="宋体"/>
          <w:color w:val="auto"/>
          <w:kern w:val="0"/>
          <w:sz w:val="24"/>
          <w:szCs w:val="24"/>
          <w:highlight w:val="none"/>
        </w:rPr>
        <w:t>四、竞争性磋商响应文件</w:t>
      </w:r>
      <w:bookmarkEnd w:id="7"/>
      <w:bookmarkEnd w:id="8"/>
      <w:bookmarkEnd w:id="9"/>
      <w:bookmarkEnd w:id="10"/>
    </w:p>
    <w:p w14:paraId="46E112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1、供应商资格要求</w:t>
      </w:r>
    </w:p>
    <w:p w14:paraId="5F4F506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1.1.满足《中华人民共和国政府采购法》第二十二条规定;</w:t>
      </w:r>
    </w:p>
    <w:p w14:paraId="3C96936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1.2.落实政府采购政策需满足的资格要求：</w:t>
      </w:r>
    </w:p>
    <w:p w14:paraId="038926F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合同包1(凤县2024年度自然资源卫片执法工作)落实政府采购政策需满足的资格要求如下:</w:t>
      </w:r>
    </w:p>
    <w:p w14:paraId="1141974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专门面向中小企业采购。（残疾人福利性单位、监狱企业视同小型、微型企业）；须符合《政府采购促进中小企业发展管理办法》（财库〔2020〕46号）规定的中小企业参加。本项目采购标的所属行业为：其他未列明行业。</w:t>
      </w:r>
    </w:p>
    <w:p w14:paraId="16542B0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1.3.本项目的特定资格要求：</w:t>
      </w:r>
    </w:p>
    <w:p w14:paraId="5B817A5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合同包1(凤县2024年度自然资源卫片执法工作)特定资格要求如下:</w:t>
      </w:r>
    </w:p>
    <w:p w14:paraId="074FB0A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（2）供应商须提供2024年度财务审计报告（成立时间至提交投标文件截止时间不足一年的可提供成立后任意时段的资产负债表）或基本账户银行出具的资信证明、基本存款账户开户许可证（基本存款账户信息）；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（3）供应商须提供2024年6月至今已缴存的至少一个月的社会保险参保缴费情况证明。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（4）供应商须提供2024年6月至今缴纳的至少一个月的纳税证明或完税证明，依法免税的单位应提供相关证明材料；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（7）企业开具的近三年在政府采购经营活动中无重大违法记录声明；（成立时间不足三年的供应商提供自成立之日起至开标截止之日止的无重大违法记录声明）；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（9）提供具有履行合同所必需的设备和专业技术能力的承诺书；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（10）供应商须具有行政主管部门颁发的测绘乙级（含乙级）及以上资质，拟派项目负责人须具有测绘及测绘相关专业中级及以上职称证书；</w:t>
      </w:r>
    </w:p>
    <w:p w14:paraId="70D9935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2、合格供应商</w:t>
      </w:r>
    </w:p>
    <w:p w14:paraId="38AD91A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依照《中华人民共和国公司法》合法注册的法人或其他组织、符合《中华人民共和国政府采购法》</w:t>
      </w:r>
      <w:bookmarkStart w:id="11" w:name="OLE_LINK8"/>
      <w:r>
        <w:rPr>
          <w:rFonts w:hint="eastAsia" w:ascii="宋体" w:hAnsi="宋体" w:eastAsia="宋体" w:cs="宋体"/>
          <w:color w:val="auto"/>
          <w:kern w:val="2"/>
          <w:sz w:val="24"/>
          <w:szCs w:val="24"/>
          <w:highlight w:val="none"/>
          <w:lang w:val="en-US" w:eastAsia="zh-CN" w:bidi="ar-SA"/>
        </w:rPr>
        <w:t>及其实施条例等有关法律法规的规定</w:t>
      </w:r>
      <w:bookmarkEnd w:id="11"/>
      <w:r>
        <w:rPr>
          <w:rFonts w:hint="eastAsia" w:ascii="宋体" w:hAnsi="宋体" w:eastAsia="宋体" w:cs="宋体"/>
          <w:color w:val="auto"/>
          <w:kern w:val="2"/>
          <w:sz w:val="24"/>
          <w:szCs w:val="24"/>
          <w:highlight w:val="none"/>
          <w:lang w:val="en-US" w:eastAsia="zh-CN" w:bidi="ar-SA"/>
        </w:rPr>
        <w:t>并满足本项目资格条件。不符合上述规定的供应商，磋商响应无效。</w:t>
      </w:r>
    </w:p>
    <w:p w14:paraId="2E5768B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3、供应商信用信息：</w:t>
      </w:r>
    </w:p>
    <w:p w14:paraId="070194FA">
      <w:pPr>
        <w:pageBreakBefore w:val="0"/>
        <w:wordWrap/>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3-1、“信用中国”网站（www.creditchina.gov.cn）、中国政府采购网（www.ccgp.gov.cn）相关主体信用记录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供应商应提供信用承诺函，并对其承诺函的真实性负责</w:t>
      </w:r>
      <w:r>
        <w:rPr>
          <w:rFonts w:hint="eastAsia" w:ascii="宋体" w:hAnsi="宋体" w:eastAsia="宋体" w:cs="宋体"/>
          <w:color w:val="auto"/>
          <w:sz w:val="24"/>
          <w:szCs w:val="24"/>
          <w:highlight w:val="none"/>
        </w:rPr>
        <w:t>。</w:t>
      </w:r>
    </w:p>
    <w:p w14:paraId="73F7B5E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3-2、特别说明：投标人如在</w:t>
      </w:r>
      <w:r>
        <w:rPr>
          <w:rFonts w:hint="eastAsia" w:cs="宋体"/>
          <w:color w:val="auto"/>
          <w:kern w:val="2"/>
          <w:sz w:val="24"/>
          <w:szCs w:val="24"/>
          <w:highlight w:val="none"/>
          <w:lang w:val="en-US" w:eastAsia="zh-CN" w:bidi="ar-SA"/>
        </w:rPr>
        <w:t>成交</w:t>
      </w:r>
      <w:r>
        <w:rPr>
          <w:rFonts w:hint="eastAsia" w:ascii="宋体" w:hAnsi="宋体" w:eastAsia="宋体" w:cs="宋体"/>
          <w:color w:val="auto"/>
          <w:kern w:val="2"/>
          <w:sz w:val="24"/>
          <w:szCs w:val="24"/>
          <w:highlight w:val="none"/>
          <w:lang w:val="en-US" w:eastAsia="zh-CN" w:bidi="ar-SA"/>
        </w:rPr>
        <w:t>通知书发出前出现违法失信行为，采购人仍有权利提请</w:t>
      </w:r>
      <w:r>
        <w:rPr>
          <w:rFonts w:hint="eastAsia" w:cs="宋体"/>
          <w:color w:val="auto"/>
          <w:kern w:val="2"/>
          <w:sz w:val="24"/>
          <w:szCs w:val="24"/>
          <w:highlight w:val="none"/>
          <w:lang w:val="en-US" w:eastAsia="zh-CN" w:bidi="ar-SA"/>
        </w:rPr>
        <w:t>磋商小组</w:t>
      </w:r>
      <w:r>
        <w:rPr>
          <w:rFonts w:hint="eastAsia" w:ascii="宋体" w:hAnsi="宋体" w:eastAsia="宋体" w:cs="宋体"/>
          <w:color w:val="auto"/>
          <w:kern w:val="2"/>
          <w:sz w:val="24"/>
          <w:szCs w:val="24"/>
          <w:highlight w:val="none"/>
          <w:lang w:val="en-US" w:eastAsia="zh-CN" w:bidi="ar-SA"/>
        </w:rPr>
        <w:t>取消其</w:t>
      </w:r>
      <w:r>
        <w:rPr>
          <w:rFonts w:hint="eastAsia" w:cs="宋体"/>
          <w:color w:val="auto"/>
          <w:kern w:val="2"/>
          <w:sz w:val="24"/>
          <w:szCs w:val="24"/>
          <w:highlight w:val="none"/>
          <w:lang w:val="en-US" w:eastAsia="zh-CN" w:bidi="ar-SA"/>
        </w:rPr>
        <w:t>成交</w:t>
      </w:r>
      <w:r>
        <w:rPr>
          <w:rFonts w:hint="eastAsia" w:ascii="宋体" w:hAnsi="宋体" w:eastAsia="宋体" w:cs="宋体"/>
          <w:color w:val="auto"/>
          <w:kern w:val="2"/>
          <w:sz w:val="24"/>
          <w:szCs w:val="24"/>
          <w:highlight w:val="none"/>
          <w:lang w:val="en-US" w:eastAsia="zh-CN" w:bidi="ar-SA"/>
        </w:rPr>
        <w:t>资格；</w:t>
      </w:r>
    </w:p>
    <w:p w14:paraId="3AB8DAE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241" w:firstLineChars="1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4、竞争性磋商响应文件的组成：</w:t>
      </w:r>
      <w:r>
        <w:rPr>
          <w:rFonts w:hint="eastAsia" w:ascii="宋体" w:hAnsi="宋体" w:eastAsia="宋体" w:cs="宋体"/>
          <w:color w:val="auto"/>
          <w:kern w:val="2"/>
          <w:sz w:val="24"/>
          <w:szCs w:val="24"/>
          <w:highlight w:val="none"/>
          <w:lang w:val="en-US" w:eastAsia="zh-CN" w:bidi="ar-SA"/>
        </w:rPr>
        <w:t xml:space="preserve"> </w:t>
      </w:r>
    </w:p>
    <w:p w14:paraId="01992C6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4-1响应文件格式</w:t>
      </w:r>
    </w:p>
    <w:p w14:paraId="4B03D25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4-2资质证明文件</w:t>
      </w:r>
    </w:p>
    <w:p w14:paraId="4DBFBB3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4-3符合性证明文件</w:t>
      </w:r>
    </w:p>
    <w:p w14:paraId="57C6471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4-4响应方案</w:t>
      </w:r>
    </w:p>
    <w:p w14:paraId="2DE74E8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241" w:firstLineChars="10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5、竞争性磋商响应文件编写说明</w:t>
      </w:r>
    </w:p>
    <w:p w14:paraId="4F4B16E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5-1、竞争性磋商响应文件应当按照竞争性磋商文件给定的格式编制，格式之外的可自行编写。否则，将作为无效响应处理。</w:t>
      </w:r>
    </w:p>
    <w:p w14:paraId="57CED64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5-2、供应商必须按照竞争性磋商文件的规定和要求由法定代表人或被授权人签字（或盖章），并逐页加盖供应商公章，如有遗漏，将作为无效磋商响应处理。</w:t>
      </w:r>
    </w:p>
    <w:p w14:paraId="4234CE6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5-3、竞争性磋商响应文件因内容表达不清、印章或证明材料内容模糊难辨等导致的不利后果由供应商自行承担。</w:t>
      </w:r>
    </w:p>
    <w:p w14:paraId="7C14B0D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241" w:firstLineChars="10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6、磋商响应文件的制作和签署</w:t>
      </w:r>
    </w:p>
    <w:p w14:paraId="4D83EE3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登录全国公共资源交易平台（陕西省·宝鸡市）网站[服务指南-下载专区]免费下载《政府采购电子标书制作工具》。编制电子响应文件时，应使用最新发布的电子磋商文件及专用制作工具进行编制。并使用数字认证证书（CA锁）对响应文件进行签署、加密、递交、开标时解密以及二次报价等相关操作。电子磋商响应文件在编制过程中，如有技术性问题，请先翻阅操作手册或致电软件开发商，技术支持热线：4009980000。</w:t>
      </w:r>
    </w:p>
    <w:p w14:paraId="2A535435">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注：该项目如有变更文件，则应点击“项目流程答疑文件下载”下载更新后的电子磋商文件（*.SXSCF），使用旧版电子磋商文件制作的电子响应文件，系统将拒绝接收。</w:t>
      </w:r>
    </w:p>
    <w:p w14:paraId="7C47D9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7、竞争性磋商响应文件的计量单位</w:t>
      </w:r>
    </w:p>
    <w:p w14:paraId="1D23C9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竞争性磋商响应文件中所使用的计量单位，除有特殊要求外，均采用国家法定计量单位。</w:t>
      </w:r>
    </w:p>
    <w:p w14:paraId="589E80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8、磋商报价</w:t>
      </w:r>
    </w:p>
    <w:p w14:paraId="33694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8-1、磋商货币：人民币    单位：元（保留小数点后两位）。</w:t>
      </w:r>
    </w:p>
    <w:p w14:paraId="597011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8-2、供应商要按报价表内容填写</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名称、单价、总价等内容，并由法定代表人或被授权人签署。</w:t>
      </w:r>
    </w:p>
    <w:p w14:paraId="334A7BB6">
      <w:pPr>
        <w:spacing w:line="36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8-3、</w:t>
      </w:r>
      <w:r>
        <w:rPr>
          <w:rFonts w:hint="eastAsia" w:ascii="宋体" w:hAnsi="宋体" w:eastAsia="宋体" w:cs="宋体"/>
          <w:b/>
          <w:bCs/>
          <w:color w:val="auto"/>
          <w:sz w:val="24"/>
          <w:szCs w:val="24"/>
          <w:highlight w:val="none"/>
        </w:rPr>
        <w:t>磋商报价应是竞争性磋商响应文件所确定的磋商范围内的全部工作内容的价格体现，</w:t>
      </w:r>
      <w:r>
        <w:rPr>
          <w:rFonts w:hint="eastAsia" w:ascii="宋体" w:hAnsi="宋体" w:eastAsia="宋体" w:cs="宋体"/>
          <w:b/>
          <w:bCs/>
          <w:color w:val="auto"/>
          <w:sz w:val="24"/>
          <w:szCs w:val="24"/>
          <w:highlight w:val="none"/>
          <w:lang w:val="en-US" w:eastAsia="zh-CN"/>
        </w:rPr>
        <w:t>包含包括本项目所涉及的人员、设备及其他相关伴随费用的全部费用。</w:t>
      </w:r>
      <w:r>
        <w:rPr>
          <w:rFonts w:hint="eastAsia" w:ascii="宋体" w:hAnsi="宋体" w:eastAsia="宋体" w:cs="宋体"/>
          <w:b/>
          <w:bCs/>
          <w:color w:val="auto"/>
          <w:sz w:val="24"/>
          <w:szCs w:val="24"/>
          <w:highlight w:val="none"/>
        </w:rPr>
        <w:t>供应商所报的价格应考虑到可能发生的所有与完成本项目相关服务及履行合同义务有关的一切费用，任何有选择的报价将不予接受，按无效磋商处理。</w:t>
      </w:r>
    </w:p>
    <w:p w14:paraId="3B6A28F3">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24"/>
          <w:highlight w:val="none"/>
        </w:rPr>
        <w:t>注：磋商报价（首轮）超过采购预算</w:t>
      </w:r>
      <w:r>
        <w:rPr>
          <w:rFonts w:hint="eastAsia" w:ascii="宋体" w:hAnsi="宋体" w:eastAsia="宋体" w:cs="宋体"/>
          <w:b/>
          <w:color w:val="auto"/>
          <w:sz w:val="24"/>
          <w:szCs w:val="24"/>
          <w:highlight w:val="none"/>
          <w:lang w:val="en-US" w:eastAsia="zh-CN"/>
        </w:rPr>
        <w:t>或最高限价</w:t>
      </w:r>
      <w:r>
        <w:rPr>
          <w:rFonts w:hint="eastAsia" w:ascii="宋体" w:hAnsi="宋体" w:eastAsia="宋体" w:cs="宋体"/>
          <w:b/>
          <w:color w:val="auto"/>
          <w:sz w:val="24"/>
          <w:szCs w:val="24"/>
          <w:highlight w:val="none"/>
        </w:rPr>
        <w:t>的，响应无效，按废标处理;二轮报价超过首轮报价的，响应无效，按废标处理。</w:t>
      </w:r>
    </w:p>
    <w:p w14:paraId="63246E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8-4、供应商所报的磋商价在合同执行过程中是固定不变的，不得以任何理由予以变更。任何包含价格调整要求的磋商，将被认为是非响应性磋商而予以拒绝。</w:t>
      </w:r>
    </w:p>
    <w:p w14:paraId="50F287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8-5、凡磋商文件要求或允许磋商中进行报价的各项费用项目，若磋商报价时未报，采购人将按这些费用已包含在磋商报价中对待。</w:t>
      </w:r>
    </w:p>
    <w:p w14:paraId="75B11EAD">
      <w:pPr>
        <w:spacing w:line="360" w:lineRule="auto"/>
        <w:rPr>
          <w:rFonts w:hint="eastAsia" w:ascii="宋体" w:hAnsi="宋体" w:eastAsia="宋体" w:cs="宋体"/>
          <w:b/>
          <w:bCs/>
          <w:color w:val="auto"/>
          <w:sz w:val="24"/>
          <w:szCs w:val="24"/>
          <w:highlight w:val="none"/>
        </w:rPr>
      </w:pPr>
      <w:bookmarkStart w:id="12" w:name="_Toc7453875"/>
      <w:bookmarkStart w:id="13" w:name="_Toc458848821"/>
      <w:bookmarkStart w:id="14" w:name="_Toc458848736"/>
      <w:bookmarkStart w:id="15" w:name="_Toc458848969"/>
      <w:r>
        <w:rPr>
          <w:rFonts w:hint="eastAsia" w:ascii="宋体" w:hAnsi="宋体" w:eastAsia="宋体" w:cs="宋体"/>
          <w:b/>
          <w:bCs/>
          <w:color w:val="auto"/>
          <w:sz w:val="24"/>
          <w:szCs w:val="24"/>
          <w:highlight w:val="none"/>
        </w:rPr>
        <w:t>五、磋商担保</w:t>
      </w:r>
      <w:bookmarkEnd w:id="12"/>
      <w:bookmarkEnd w:id="13"/>
      <w:bookmarkEnd w:id="14"/>
      <w:bookmarkEnd w:id="15"/>
    </w:p>
    <w:p w14:paraId="74FE1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1、担保方式：见供应商须知前附表。</w:t>
      </w:r>
    </w:p>
    <w:p w14:paraId="45D1C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2、磋商担保递交截止时间：见供应商须知前附表。</w:t>
      </w:r>
    </w:p>
    <w:p w14:paraId="3C6A44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3、若采购代理机构未在磋商担保递交截止时间查询到足额磋商保证金或者有效磋商担保函的，其磋商将被拒绝。 </w:t>
      </w:r>
    </w:p>
    <w:p w14:paraId="5C9D4D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参加磋商时，必须以竞争性磋商文件规定的方式提交磋商担保，并作为其磋商响应的一部分。若未在磋商担保递交截止时间查询到到足额磋商保证金或供应商不能自行证明其足额缴纳磋商保证金的，或供应商未在响应文件中附银行汇（存）款回执单或担保机构出具的担保函，其磋商响应文件无效。</w:t>
      </w:r>
    </w:p>
    <w:p w14:paraId="5E673F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5、退还磋商保证金：</w:t>
      </w:r>
    </w:p>
    <w:p w14:paraId="58310EBF">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u w:val="single"/>
        </w:rPr>
        <w:t>在磋商截止时间前撤回已提交磋商响应文件的供应商的磋商保证金，将在采购代理机构收到供应商书面撤回通知之日起5个工作日内退还。</w:t>
      </w:r>
    </w:p>
    <w:p w14:paraId="47E2BD0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所有未成交供应商的磋商保证金，将在成交通知书发出后5个工作日内退还。</w:t>
      </w:r>
    </w:p>
    <w:p w14:paraId="192022C8">
      <w:pPr>
        <w:spacing w:line="360" w:lineRule="auto"/>
        <w:ind w:firstLine="482" w:firstLineChars="200"/>
        <w:rPr>
          <w:rFonts w:hint="eastAsia" w:ascii="宋体" w:hAnsi="宋体" w:eastAsia="宋体" w:cs="宋体"/>
          <w:b/>
          <w:color w:val="auto"/>
          <w:spacing w:val="-4"/>
          <w:sz w:val="24"/>
          <w:szCs w:val="24"/>
          <w:highlight w:val="none"/>
          <w:u w:val="single"/>
        </w:rPr>
      </w:pPr>
      <w:r>
        <w:rPr>
          <w:rFonts w:hint="eastAsia" w:ascii="宋体" w:hAnsi="宋体" w:eastAsia="宋体" w:cs="宋体"/>
          <w:b/>
          <w:color w:val="auto"/>
          <w:sz w:val="24"/>
          <w:szCs w:val="24"/>
          <w:highlight w:val="none"/>
        </w:rPr>
        <w:t>（3）</w:t>
      </w:r>
      <w:r>
        <w:rPr>
          <w:rFonts w:hint="eastAsia" w:ascii="宋体" w:hAnsi="宋体" w:eastAsia="宋体" w:cs="宋体"/>
          <w:b/>
          <w:color w:val="auto"/>
          <w:spacing w:val="-4"/>
          <w:sz w:val="24"/>
          <w:szCs w:val="24"/>
          <w:highlight w:val="none"/>
          <w:u w:val="single"/>
        </w:rPr>
        <w:t>成交的供应商的磋商保证金在签订合同后，执合同予以</w:t>
      </w:r>
      <w:r>
        <w:rPr>
          <w:rFonts w:hint="eastAsia" w:ascii="宋体" w:hAnsi="宋体" w:eastAsia="宋体" w:cs="宋体"/>
          <w:b/>
          <w:color w:val="auto"/>
          <w:sz w:val="24"/>
          <w:szCs w:val="24"/>
          <w:highlight w:val="none"/>
          <w:u w:val="single"/>
        </w:rPr>
        <w:t>5个工作日内</w:t>
      </w:r>
      <w:r>
        <w:rPr>
          <w:rFonts w:hint="eastAsia" w:ascii="宋体" w:hAnsi="宋体" w:eastAsia="宋体" w:cs="宋体"/>
          <w:b/>
          <w:color w:val="auto"/>
          <w:spacing w:val="-4"/>
          <w:sz w:val="24"/>
          <w:szCs w:val="24"/>
          <w:highlight w:val="none"/>
          <w:u w:val="single"/>
        </w:rPr>
        <w:t>退还。</w:t>
      </w:r>
    </w:p>
    <w:p w14:paraId="562C8410">
      <w:pPr>
        <w:tabs>
          <w:tab w:val="left" w:pos="27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6、如磋商发生下列情况之一时，磋商保证金将不予退还，提供担保函的供应商将由专业担保机构先行偿付采购人损失：</w:t>
      </w:r>
    </w:p>
    <w:p w14:paraId="3C4AE519">
      <w:pPr>
        <w:tabs>
          <w:tab w:val="left" w:pos="27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u w:val="single"/>
        </w:rPr>
        <w:t>供应商提供虚假资质谋取成交的；</w:t>
      </w:r>
    </w:p>
    <w:p w14:paraId="63BB17E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u w:val="single"/>
        </w:rPr>
        <w:t>供应商有围标、串标现象，经查证属实的；</w:t>
      </w:r>
    </w:p>
    <w:p w14:paraId="557B3FC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u w:val="single"/>
        </w:rPr>
        <w:t>供应商在竞争性磋商文件规定的磋商响应有效期内撤回磋商响应文件的；</w:t>
      </w:r>
    </w:p>
    <w:p w14:paraId="5851EA7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u w:val="single"/>
        </w:rPr>
        <w:t>供应商自行放弃磋商资格而未在磋商会议前一天以书面形式告知采购代理机构的；</w:t>
      </w:r>
    </w:p>
    <w:p w14:paraId="17FCF01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u w:val="single"/>
        </w:rPr>
        <w:t>供应商自行放弃成交资格的；</w:t>
      </w:r>
    </w:p>
    <w:p w14:paraId="79AE912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6-6、</w:t>
      </w:r>
      <w:r>
        <w:rPr>
          <w:rFonts w:hint="eastAsia" w:ascii="宋体" w:hAnsi="宋体" w:eastAsia="宋体" w:cs="宋体"/>
          <w:color w:val="auto"/>
          <w:sz w:val="24"/>
          <w:szCs w:val="24"/>
          <w:highlight w:val="none"/>
          <w:u w:val="single"/>
        </w:rPr>
        <w:t>成交供应商不在规定的时效内领取《成交通知书》的；</w:t>
      </w:r>
    </w:p>
    <w:p w14:paraId="322DFDB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u w:val="single"/>
        </w:rPr>
        <w:t>成交供应商不按规定支付招标服务费的；</w:t>
      </w:r>
    </w:p>
    <w:p w14:paraId="4935C1A6">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u w:val="single"/>
        </w:rPr>
        <w:t>成交供应商因自身原因未能在规定期限内与采购人签订合同的。</w:t>
      </w:r>
    </w:p>
    <w:p w14:paraId="1020DDB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u w:val="single"/>
        </w:rPr>
        <w:t>供应商无故不参加磋商活动的。</w:t>
      </w:r>
    </w:p>
    <w:p w14:paraId="1BECE7BF">
      <w:pPr>
        <w:pStyle w:val="5"/>
        <w:spacing w:before="0" w:after="0" w:line="360" w:lineRule="auto"/>
        <w:rPr>
          <w:rFonts w:hint="eastAsia" w:ascii="宋体" w:hAnsi="宋体" w:eastAsia="宋体" w:cs="宋体"/>
          <w:color w:val="auto"/>
          <w:kern w:val="0"/>
          <w:sz w:val="24"/>
          <w:szCs w:val="24"/>
          <w:highlight w:val="none"/>
        </w:rPr>
      </w:pPr>
      <w:bookmarkStart w:id="16" w:name="_Toc458848737"/>
      <w:bookmarkStart w:id="17" w:name="_Toc458848970"/>
      <w:bookmarkStart w:id="18" w:name="_Toc458848822"/>
      <w:bookmarkStart w:id="19" w:name="_Toc7453876"/>
      <w:r>
        <w:rPr>
          <w:rFonts w:hint="eastAsia" w:ascii="宋体" w:hAnsi="宋体" w:eastAsia="宋体" w:cs="宋体"/>
          <w:color w:val="auto"/>
          <w:kern w:val="0"/>
          <w:sz w:val="24"/>
          <w:szCs w:val="24"/>
          <w:highlight w:val="none"/>
        </w:rPr>
        <w:t>六、磋商响应</w:t>
      </w:r>
      <w:bookmarkEnd w:id="16"/>
      <w:bookmarkEnd w:id="17"/>
      <w:bookmarkEnd w:id="18"/>
      <w:bookmarkEnd w:id="19"/>
    </w:p>
    <w:p w14:paraId="4717FF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1、磋商响应文件的提交：</w:t>
      </w:r>
    </w:p>
    <w:p w14:paraId="53FC9FE2">
      <w:pPr>
        <w:spacing w:line="360" w:lineRule="auto"/>
        <w:ind w:firstLine="480" w:firstLineChars="200"/>
        <w:rPr>
          <w:rFonts w:hint="eastAsia" w:ascii="宋体" w:hAnsi="宋体" w:eastAsia="宋体" w:cs="宋体"/>
          <w:color w:val="auto"/>
          <w:sz w:val="24"/>
          <w:szCs w:val="24"/>
          <w:highlight w:val="none"/>
        </w:rPr>
      </w:pPr>
      <w:bookmarkStart w:id="20" w:name="_Toc458848971"/>
      <w:bookmarkStart w:id="21" w:name="_Toc458848823"/>
      <w:bookmarkStart w:id="22" w:name="_Toc458848738"/>
      <w:bookmarkStart w:id="23" w:name="_Toc7453877"/>
      <w:r>
        <w:rPr>
          <w:rFonts w:hint="eastAsia" w:ascii="宋体" w:hAnsi="宋体" w:eastAsia="宋体" w:cs="宋体"/>
          <w:color w:val="auto"/>
          <w:sz w:val="24"/>
          <w:szCs w:val="24"/>
          <w:highlight w:val="none"/>
        </w:rPr>
        <w:t>1-1、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highlight w:val="none"/>
        </w:rPr>
        <w:t>应在磋商截止时间前将响应文件</w:t>
      </w:r>
      <w:r>
        <w:rPr>
          <w:rFonts w:hint="eastAsia" w:ascii="宋体" w:hAnsi="宋体" w:eastAsia="宋体" w:cs="宋体"/>
          <w:color w:val="auto"/>
          <w:sz w:val="24"/>
          <w:szCs w:val="24"/>
          <w:highlight w:val="none"/>
          <w:lang w:eastAsia="zh-CN"/>
        </w:rPr>
        <w:t>上传</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eastAsia="zh-CN"/>
        </w:rPr>
        <w:t>交易平台</w:t>
      </w:r>
      <w:r>
        <w:rPr>
          <w:rFonts w:hint="eastAsia" w:ascii="宋体" w:hAnsi="宋体" w:eastAsia="宋体" w:cs="宋体"/>
          <w:color w:val="auto"/>
          <w:sz w:val="24"/>
          <w:szCs w:val="24"/>
          <w:highlight w:val="none"/>
        </w:rPr>
        <w:t>；</w:t>
      </w:r>
    </w:p>
    <w:p w14:paraId="7B8BD02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1-2、磋商</w:t>
      </w:r>
      <w:r>
        <w:rPr>
          <w:rFonts w:hint="eastAsia" w:ascii="宋体" w:hAnsi="宋体" w:eastAsia="宋体" w:cs="宋体"/>
          <w:color w:val="auto"/>
          <w:sz w:val="24"/>
          <w:szCs w:val="24"/>
          <w:highlight w:val="none"/>
          <w:lang w:val="zh-CN" w:eastAsia="zh-CN"/>
        </w:rPr>
        <w:t>响应文件可于提交磋商响应文件截止时间前任意时段登录全国公共资源交易平台 （</w:t>
      </w:r>
      <w:r>
        <w:rPr>
          <w:rFonts w:hint="eastAsia" w:ascii="宋体" w:hAnsi="宋体" w:eastAsia="宋体" w:cs="宋体"/>
          <w:color w:val="auto"/>
          <w:sz w:val="24"/>
          <w:szCs w:val="24"/>
          <w:highlight w:val="none"/>
          <w:lang w:val="en-US" w:eastAsia="zh-CN"/>
        </w:rPr>
        <w:t>陕西省·宝鸡市</w:t>
      </w:r>
      <w:r>
        <w:rPr>
          <w:rFonts w:hint="eastAsia" w:ascii="宋体" w:hAnsi="宋体" w:eastAsia="宋体" w:cs="宋体"/>
          <w:color w:val="auto"/>
          <w:sz w:val="24"/>
          <w:szCs w:val="24"/>
          <w:highlight w:val="none"/>
          <w:lang w:val="zh-CN" w:eastAsia="zh-CN"/>
        </w:rPr>
        <w:t>）网站[电子交易平台-企业端]进行提交，逾期系统将拒绝接收。提交时，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highlight w:val="none"/>
          <w:lang w:val="zh-CN" w:eastAsia="zh-CN"/>
        </w:rPr>
        <w:t>应登录全国公共资源交易中心平台（陕西省</w:t>
      </w:r>
      <w:r>
        <w:rPr>
          <w:rFonts w:hint="eastAsia" w:ascii="宋体" w:hAnsi="宋体" w:eastAsia="宋体" w:cs="宋体"/>
          <w:color w:val="auto"/>
          <w:sz w:val="24"/>
          <w:szCs w:val="24"/>
          <w:highlight w:val="none"/>
          <w:lang w:val="en-US" w:eastAsia="zh-CN"/>
        </w:rPr>
        <w:t>.宝鸡市</w:t>
      </w:r>
      <w:r>
        <w:rPr>
          <w:rFonts w:hint="eastAsia" w:ascii="宋体" w:hAnsi="宋体" w:eastAsia="宋体" w:cs="宋体"/>
          <w:color w:val="auto"/>
          <w:sz w:val="24"/>
          <w:szCs w:val="24"/>
          <w:highlight w:val="none"/>
          <w:lang w:val="zh-CN" w:eastAsia="zh-CN"/>
        </w:rPr>
        <w:t>），选择[“首页&gt;电子交易平台&gt;企业端&gt;我的项目]”，点击[项目流程]，在打开的[项目管理]对话框中选择[上传响应文件]，上传加密的电子响应文件（*.SXSTF），上传成功后，电子化平台将予以记录。逾期上传的将被拒绝接收。</w:t>
      </w:r>
    </w:p>
    <w:p w14:paraId="2ADACF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竞争性磋商</w:t>
      </w:r>
      <w:r>
        <w:rPr>
          <w:rFonts w:hint="eastAsia" w:ascii="宋体" w:hAnsi="宋体" w:eastAsia="宋体" w:cs="宋体"/>
          <w:color w:val="auto"/>
          <w:sz w:val="24"/>
          <w:szCs w:val="24"/>
          <w:highlight w:val="none"/>
        </w:rPr>
        <w:t>响应文件的补充、修改与撤回：</w:t>
      </w:r>
    </w:p>
    <w:p w14:paraId="1E23A8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rPr>
        <w:t>响应文件后，磋商截止时间前，可以修改或撤回其响应文件，并在规定的磋商截止期之前，将修改或撤回的响应文件</w:t>
      </w:r>
      <w:r>
        <w:rPr>
          <w:rFonts w:hint="eastAsia" w:ascii="宋体" w:hAnsi="宋体" w:eastAsia="宋体" w:cs="宋体"/>
          <w:color w:val="auto"/>
          <w:sz w:val="24"/>
          <w:szCs w:val="24"/>
          <w:highlight w:val="none"/>
          <w:lang w:eastAsia="zh-CN"/>
        </w:rPr>
        <w:t>上传</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交易平台，逾期递交的响应文件将不予受理</w:t>
      </w:r>
      <w:r>
        <w:rPr>
          <w:rFonts w:hint="eastAsia" w:ascii="宋体" w:hAnsi="宋体" w:eastAsia="宋体" w:cs="宋体"/>
          <w:color w:val="auto"/>
          <w:sz w:val="24"/>
          <w:szCs w:val="24"/>
          <w:highlight w:val="none"/>
        </w:rPr>
        <w:t>。</w:t>
      </w:r>
    </w:p>
    <w:p w14:paraId="32C76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、磋商截止时间之后，供应商不得补充、修改竞争性磋商响应文件；</w:t>
      </w:r>
    </w:p>
    <w:p w14:paraId="5B56FF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、在磋商截止时间至磋商响应有效期满之前，供应商不得撤回其竞争性磋商响应文件，否则其磋商保证金将不予退还，提供磋商担保的供应商将由专业担保机构先行偿付采购人损失。</w:t>
      </w:r>
    </w:p>
    <w:p w14:paraId="40287D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、竞争性磋商响应有效期：</w:t>
      </w:r>
    </w:p>
    <w:p w14:paraId="38D69A36">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3-1、自提交磋商响应文件的截止之日起90个日历日。竞争性磋商响应有效期短于竞争性磋商文件规定的磋商响应有效期，按无效竞争性磋商响应处理。成交单位的竞争性磋商有效期延长至合同执行完毕。</w:t>
      </w:r>
    </w:p>
    <w:p w14:paraId="30933C73">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 </w:t>
      </w:r>
    </w:p>
    <w:p w14:paraId="01469076">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4、供应商</w:t>
      </w:r>
      <w:r>
        <w:rPr>
          <w:rFonts w:hint="eastAsia" w:ascii="宋体" w:hAnsi="宋体" w:eastAsia="宋体" w:cs="宋体"/>
          <w:color w:val="auto"/>
          <w:kern w:val="2"/>
          <w:sz w:val="24"/>
          <w:szCs w:val="24"/>
          <w:highlight w:val="none"/>
        </w:rPr>
        <w:t>有下列情形之一的，属于恶意串通，对其依照《中华人民共和国政府采购法》第七十七条第一款的规定追究法律责任，响应无效：</w:t>
      </w:r>
    </w:p>
    <w:p w14:paraId="0086A84A">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4-1、供应商直接或者间接从采购人或采购代理机构处获得其他供应商的相关情况并修改其磋商响应文件；</w:t>
      </w:r>
    </w:p>
    <w:p w14:paraId="5BA09605">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4-2、供应商按照采购人或采购代理机构的授意撤换、修改磋商响应文件；</w:t>
      </w:r>
    </w:p>
    <w:p w14:paraId="4A0BDF9C">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4-3、供应商之间协商报价、技术方案等磋商响应文件的实质性内容；</w:t>
      </w:r>
    </w:p>
    <w:p w14:paraId="41FB5434">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4-4、属于同一集团、协会、商会等组织成员的供应商按照该组织要求协同参加政府采购活动；</w:t>
      </w:r>
    </w:p>
    <w:p w14:paraId="6BB5BE6C">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4-5、供应商之间事先约定由某一特定供应商成交；</w:t>
      </w:r>
    </w:p>
    <w:p w14:paraId="302B706E">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4-6、供应商之间商定部分供应商放弃参加政府采购活动或放弃成交；</w:t>
      </w:r>
    </w:p>
    <w:p w14:paraId="4F516DF2">
      <w:pPr>
        <w:pStyle w:val="43"/>
        <w:spacing w:line="360" w:lineRule="auto"/>
        <w:ind w:firstLine="48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4-7、供应商相互之间，为谋求特定供应商成交或排斥其他供应商的其他串通行为。</w:t>
      </w:r>
    </w:p>
    <w:p w14:paraId="54C393D9">
      <w:pPr>
        <w:pStyle w:val="4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5、有下列情形之一的，视为供应商串通磋商，其响应无效：</w:t>
      </w:r>
    </w:p>
    <w:p w14:paraId="316E1C2F">
      <w:pPr>
        <w:pStyle w:val="43"/>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5-1、不同供应商的磋商响应文件由同一单位或者个人编制；</w:t>
      </w:r>
    </w:p>
    <w:p w14:paraId="339F4D7C">
      <w:pPr>
        <w:pStyle w:val="43"/>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5-2、不同供应商委托同一单位或者个人办理磋商事宜；</w:t>
      </w:r>
    </w:p>
    <w:p w14:paraId="3BB671A1">
      <w:pPr>
        <w:pStyle w:val="43"/>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5-3、不同供应商的磋商响应文件载明的项目管理成员或者联系人为同一人；</w:t>
      </w:r>
    </w:p>
    <w:p w14:paraId="1ACF2D4A">
      <w:pPr>
        <w:pStyle w:val="43"/>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5-4、不同供应商的磋商响应文件异常一致或者磋商报价呈现规律性差异；</w:t>
      </w:r>
    </w:p>
    <w:p w14:paraId="7FE777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eastAsia="zh-CN"/>
        </w:rPr>
        <w:t>不同供应商的磋商保证金从同一单位或者个人的账户转出。</w:t>
      </w:r>
    </w:p>
    <w:p w14:paraId="7150418D">
      <w:pPr>
        <w:pStyle w:val="5"/>
        <w:spacing w:before="0"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七、磋商</w:t>
      </w:r>
      <w:bookmarkEnd w:id="20"/>
      <w:bookmarkEnd w:id="21"/>
      <w:bookmarkEnd w:id="22"/>
      <w:r>
        <w:rPr>
          <w:rFonts w:hint="eastAsia" w:ascii="宋体" w:hAnsi="宋体" w:eastAsia="宋体" w:cs="宋体"/>
          <w:color w:val="auto"/>
          <w:kern w:val="0"/>
          <w:sz w:val="24"/>
          <w:szCs w:val="24"/>
          <w:highlight w:val="none"/>
        </w:rPr>
        <w:t>、评审及定标</w:t>
      </w:r>
      <w:bookmarkEnd w:id="23"/>
    </w:p>
    <w:p w14:paraId="6ED9F47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w:t>
      </w:r>
    </w:p>
    <w:p w14:paraId="46DC2578">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1-1、采购代理机构按竞争性磋商文件规定的时间、地点组织磋商。所有</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kern w:val="2"/>
          <w:sz w:val="24"/>
          <w:szCs w:val="24"/>
          <w:highlight w:val="none"/>
          <w:lang w:val="en-US" w:eastAsia="zh-CN" w:bidi="ar-SA"/>
        </w:rPr>
        <w:t>应按时参加磋商会议。</w:t>
      </w:r>
    </w:p>
    <w:p w14:paraId="2677105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1-2、磋商会议由采购代理机构主持。</w:t>
      </w:r>
      <w:r>
        <w:rPr>
          <w:rFonts w:hint="eastAsia" w:ascii="宋体" w:hAnsi="宋体" w:eastAsia="宋体" w:cs="宋体"/>
          <w:color w:val="auto"/>
          <w:kern w:val="2"/>
          <w:sz w:val="24"/>
          <w:szCs w:val="24"/>
          <w:highlight w:val="none"/>
          <w:lang w:val="zh-CN" w:eastAsia="zh-CN" w:bidi="ar-SA"/>
        </w:rPr>
        <w:t>采购人、</w:t>
      </w:r>
      <w:r>
        <w:rPr>
          <w:rFonts w:hint="eastAsia" w:ascii="宋体" w:hAnsi="宋体" w:eastAsia="宋体" w:cs="宋体"/>
          <w:color w:val="auto"/>
          <w:kern w:val="2"/>
          <w:sz w:val="24"/>
          <w:szCs w:val="24"/>
          <w:highlight w:val="none"/>
          <w:lang w:val="en-US" w:eastAsia="zh-CN" w:bidi="ar-SA"/>
        </w:rPr>
        <w:t>供应商（线上）</w:t>
      </w:r>
      <w:r>
        <w:rPr>
          <w:rFonts w:hint="eastAsia" w:ascii="宋体" w:hAnsi="宋体" w:eastAsia="宋体" w:cs="宋体"/>
          <w:color w:val="auto"/>
          <w:kern w:val="2"/>
          <w:sz w:val="24"/>
          <w:szCs w:val="24"/>
          <w:highlight w:val="none"/>
          <w:lang w:val="zh-CN" w:eastAsia="zh-CN" w:bidi="ar-SA"/>
        </w:rPr>
        <w:t>和有关方面代表参加</w:t>
      </w:r>
      <w:r>
        <w:rPr>
          <w:rFonts w:hint="eastAsia" w:ascii="宋体" w:hAnsi="宋体" w:eastAsia="宋体" w:cs="宋体"/>
          <w:color w:val="auto"/>
          <w:kern w:val="2"/>
          <w:sz w:val="24"/>
          <w:szCs w:val="24"/>
          <w:highlight w:val="none"/>
          <w:lang w:val="en-US" w:eastAsia="zh-CN" w:bidi="ar-SA"/>
        </w:rPr>
        <w:t>。</w:t>
      </w:r>
    </w:p>
    <w:p w14:paraId="203B74C8">
      <w:pPr>
        <w:pStyle w:val="43"/>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1-3、开标程序</w:t>
      </w:r>
    </w:p>
    <w:p w14:paraId="5F35BB90">
      <w:pPr>
        <w:pStyle w:val="43"/>
        <w:spacing w:line="360" w:lineRule="auto"/>
        <w:ind w:firstLine="480"/>
        <w:jc w:val="left"/>
        <w:rPr>
          <w:rFonts w:hint="eastAsia" w:ascii="宋体" w:hAnsi="宋体" w:eastAsia="宋体" w:cs="宋体"/>
          <w:color w:val="auto"/>
          <w:kern w:val="2"/>
          <w:sz w:val="15"/>
          <w:szCs w:val="15"/>
          <w:highlight w:val="none"/>
        </w:rPr>
      </w:pPr>
      <w:r>
        <w:rPr>
          <w:rFonts w:hint="eastAsia" w:ascii="宋体" w:hAnsi="宋体" w:eastAsia="宋体" w:cs="宋体"/>
          <w:color w:val="auto"/>
          <w:kern w:val="2"/>
          <w:sz w:val="24"/>
          <w:szCs w:val="24"/>
          <w:highlight w:val="none"/>
          <w:lang w:val="en-US" w:eastAsia="zh-CN"/>
        </w:rPr>
        <w:t>（1）本项目采用</w:t>
      </w:r>
      <w:r>
        <w:rPr>
          <w:rFonts w:hint="eastAsia" w:ascii="宋体" w:hAnsi="宋体" w:eastAsia="宋体" w:cs="宋体"/>
          <w:color w:val="auto"/>
          <w:kern w:val="2"/>
          <w:sz w:val="24"/>
          <w:szCs w:val="24"/>
          <w:highlight w:val="none"/>
        </w:rPr>
        <w:t>“不见面开标”</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rPr>
        <w:t>“不见面开标”</w:t>
      </w:r>
      <w:r>
        <w:rPr>
          <w:rFonts w:hint="eastAsia" w:ascii="宋体" w:hAnsi="宋体" w:eastAsia="宋体" w:cs="宋体"/>
          <w:color w:val="auto"/>
          <w:kern w:val="2"/>
          <w:sz w:val="24"/>
          <w:szCs w:val="24"/>
          <w:highlight w:val="none"/>
        </w:rPr>
        <w:t>系统操作说明详见全国公共资源交易平台（陕西省·</w:t>
      </w:r>
      <w:r>
        <w:rPr>
          <w:rFonts w:hint="eastAsia" w:ascii="宋体" w:hAnsi="宋体" w:eastAsia="宋体" w:cs="宋体"/>
          <w:color w:val="auto"/>
          <w:kern w:val="2"/>
          <w:sz w:val="24"/>
          <w:szCs w:val="24"/>
          <w:highlight w:val="none"/>
          <w:lang w:val="en-US" w:eastAsia="zh-CN"/>
        </w:rPr>
        <w:t>宝鸡市</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宝鸡市公共资源交易中心</w:t>
      </w:r>
      <w:r>
        <w:rPr>
          <w:rFonts w:hint="eastAsia" w:ascii="宋体" w:hAnsi="宋体" w:eastAsia="宋体" w:cs="宋体"/>
          <w:color w:val="auto"/>
          <w:kern w:val="2"/>
          <w:sz w:val="24"/>
          <w:szCs w:val="24"/>
          <w:highlight w:val="none"/>
        </w:rPr>
        <w:t>〖首页·〉服务指南·〉下载专区〗中的</w:t>
      </w:r>
      <w:r>
        <w:rPr>
          <w:rFonts w:hint="eastAsia" w:ascii="宋体" w:hAnsi="宋体" w:eastAsia="宋体" w:cs="宋体"/>
          <w:b w:val="0"/>
          <w:bCs w:val="0"/>
          <w:color w:val="auto"/>
          <w:kern w:val="2"/>
          <w:sz w:val="24"/>
          <w:szCs w:val="24"/>
          <w:highlight w:val="none"/>
          <w:lang w:val="en-US" w:eastAsia="zh-CN" w:bidi="ar-SA"/>
        </w:rPr>
        <w:t>《政府采购电子交易-不见面系统操作手册</w:t>
      </w:r>
      <w:r>
        <w:rPr>
          <w:rFonts w:hint="eastAsia" w:ascii="宋体" w:hAnsi="宋体" w:eastAsia="宋体" w:cs="宋体"/>
          <w:color w:val="auto"/>
          <w:kern w:val="2"/>
          <w:sz w:val="24"/>
          <w:szCs w:val="24"/>
          <w:highlight w:val="none"/>
        </w:rPr>
        <w:t>》。链接地址：</w:t>
      </w:r>
      <w:r>
        <w:rPr>
          <w:rFonts w:hint="eastAsia" w:ascii="宋体" w:hAnsi="宋体" w:eastAsia="宋体" w:cs="宋体"/>
          <w:color w:val="auto"/>
          <w:kern w:val="2"/>
          <w:sz w:val="22"/>
          <w:szCs w:val="22"/>
          <w:highlight w:val="none"/>
        </w:rPr>
        <w:t>http://ggzy.baoji.gov.cn/fwzn/004003/20231123/d2048104-5dd1-4825-97f0-186cb8450ee5.html</w:t>
      </w:r>
    </w:p>
    <w:p w14:paraId="4DD602B8">
      <w:pPr>
        <w:spacing w:line="360" w:lineRule="auto"/>
        <w:ind w:firstLine="480"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en-US" w:eastAsia="zh-CN"/>
        </w:rPr>
        <w:t>（2）磋商当日，供应商不必抵达开标现场，可通过公共资源交易不见面开标系统参加磋商会议。</w:t>
      </w:r>
      <w:r>
        <w:rPr>
          <w:rFonts w:hint="eastAsia" w:ascii="宋体" w:hAnsi="宋体" w:eastAsia="宋体" w:cs="宋体"/>
          <w:color w:val="auto"/>
          <w:sz w:val="24"/>
          <w:szCs w:val="24"/>
          <w:highlight w:val="none"/>
          <w:lang w:val="zh-CN" w:eastAsia="zh-CN"/>
        </w:rPr>
        <w:t>不见面开标大厅登录方式为：</w:t>
      </w:r>
      <w:r>
        <w:rPr>
          <w:rFonts w:hint="eastAsia" w:ascii="宋体" w:hAnsi="宋体" w:eastAsia="宋体" w:cs="宋体"/>
          <w:b/>
          <w:bCs/>
          <w:color w:val="auto"/>
          <w:sz w:val="24"/>
          <w:szCs w:val="24"/>
          <w:highlight w:val="none"/>
          <w:lang w:val="zh-CN" w:eastAsia="zh-CN"/>
        </w:rPr>
        <w:t>全国公共资源交易平台（陕西省·宝鸡市）</w:t>
      </w:r>
      <w:r>
        <w:rPr>
          <w:rFonts w:hint="eastAsia" w:ascii="宋体" w:hAnsi="宋体" w:eastAsia="宋体" w:cs="宋体"/>
          <w:b/>
          <w:bCs/>
          <w:color w:val="auto"/>
          <w:kern w:val="2"/>
          <w:sz w:val="24"/>
          <w:szCs w:val="24"/>
          <w:highlight w:val="none"/>
          <w:lang w:eastAsia="zh-CN"/>
        </w:rPr>
        <w:t>宝鸡市公共资源交易中心</w:t>
      </w:r>
      <w:r>
        <w:rPr>
          <w:rFonts w:hint="eastAsia" w:ascii="宋体" w:hAnsi="宋体" w:eastAsia="宋体" w:cs="宋体"/>
          <w:b/>
          <w:bCs/>
          <w:color w:val="auto"/>
          <w:sz w:val="24"/>
          <w:szCs w:val="24"/>
          <w:highlight w:val="none"/>
          <w:lang w:val="zh-CN" w:eastAsia="zh-CN"/>
        </w:rPr>
        <w:t>→不见面开标。</w:t>
      </w:r>
    </w:p>
    <w:p w14:paraId="7FF6F940">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（3）供应商应提前1小时登录远程不见面开标大厅，调试设备至正常状态，并在远程不见面开标大厅中进行远程签到。</w:t>
      </w:r>
    </w:p>
    <w:p w14:paraId="70F6AB6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（4）开标时，供应商须使用电子响应文件加密时所用的数字认证证书（CA 锁）在规定的时间内进行远程在线解密。</w:t>
      </w:r>
    </w:p>
    <w:p w14:paraId="333D46A6">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SA"/>
        </w:rPr>
        <w:t>（5）响应文件的加密和解密应当使用同一CA锁证书，解密文件时应当使用加密电子响应文件的CA锁证书进行解密；由此导致无法解密电子响应文件造成的后果，由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kern w:val="2"/>
          <w:sz w:val="24"/>
          <w:szCs w:val="24"/>
          <w:highlight w:val="none"/>
          <w:lang w:val="en-US" w:eastAsia="zh-CN" w:bidi="ar-SA"/>
        </w:rPr>
        <w:t>自行承担。</w:t>
      </w:r>
    </w:p>
    <w:p w14:paraId="0FD70B01">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在收到主持人“开始解密”指令后，应使用“加密该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文件的CA锁在线完成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文件解密。除因【宝鸡市公共资源交易中心】断电、断网、系统故障及其他不可抗力等因素，导致“不见面开标”系统无法正常运行外，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应在规定的解密时间内完成解密。</w:t>
      </w:r>
    </w:p>
    <w:p w14:paraId="7052B446">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（7）线上</w:t>
      </w:r>
      <w:r>
        <w:rPr>
          <w:rFonts w:hint="eastAsia" w:ascii="宋体" w:hAnsi="宋体" w:eastAsia="宋体" w:cs="宋体"/>
          <w:color w:val="auto"/>
          <w:kern w:val="2"/>
          <w:sz w:val="24"/>
          <w:szCs w:val="24"/>
          <w:highlight w:val="none"/>
          <w:lang w:val="zh-CN" w:eastAsia="zh-CN" w:bidi="ar-SA"/>
        </w:rPr>
        <w:t>开标结束进入评审环节。</w:t>
      </w: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zh-CN" w:eastAsia="zh-CN" w:bidi="ar-SA"/>
        </w:rPr>
        <w:t>应保持在线因</w:t>
      </w:r>
      <w:r>
        <w:rPr>
          <w:rFonts w:hint="eastAsia" w:ascii="宋体" w:hAnsi="宋体" w:eastAsia="宋体" w:cs="宋体"/>
          <w:color w:val="auto"/>
          <w:kern w:val="2"/>
          <w:sz w:val="24"/>
          <w:szCs w:val="24"/>
          <w:highlight w:val="none"/>
          <w:lang w:val="en-US" w:eastAsia="zh-CN" w:bidi="ar-SA"/>
        </w:rPr>
        <w:t>供应</w:t>
      </w:r>
      <w:r>
        <w:rPr>
          <w:rFonts w:hint="eastAsia" w:ascii="宋体" w:hAnsi="宋体" w:eastAsia="宋体" w:cs="宋体"/>
          <w:color w:val="auto"/>
          <w:kern w:val="2"/>
          <w:sz w:val="24"/>
          <w:szCs w:val="24"/>
          <w:highlight w:val="none"/>
          <w:lang w:val="zh-CN" w:eastAsia="zh-CN" w:bidi="ar-SA"/>
        </w:rPr>
        <w:t>擅自离席造成的不利后果，由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zh-CN" w:eastAsia="zh-CN" w:bidi="ar-SA"/>
        </w:rPr>
        <w:t>自行承担。</w:t>
      </w:r>
    </w:p>
    <w:p w14:paraId="2FE3D113">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（8）线上开标流程结束后各供应商需在不见面开标系统内等待磋商小组发起在线磋商，投标供应商收到磋商小组在线磋商通知后，点击进入询标室与磋商小组连麦进行磋商。</w:t>
      </w:r>
    </w:p>
    <w:p w14:paraId="1D5C3083">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注：投标供应商在整个磋商过程中因退出不见面开标系统或未及时接受在线磋商通知或因自身原因导致无法正常进行磋商的，导致的不利后果由供应商自行承担。</w:t>
      </w:r>
    </w:p>
    <w:p w14:paraId="15A7B064">
      <w:pPr>
        <w:numPr>
          <w:ilvl w:val="0"/>
          <w:numId w:val="1"/>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磋商小组完成在线磋商后发起最后报价，投标供应商可通过“不见面开标大厅”直接跳转到二次报价页面进行报价并签章后提交。最后报价一旦提交后，供应商不得以任何理由撤回，供应商未按磋商小组要求在规定时间内提交最后报价的，视为其退出磋商。</w:t>
      </w:r>
    </w:p>
    <w:p w14:paraId="31C01670">
      <w:pPr>
        <w:pStyle w:val="43"/>
        <w:spacing w:line="360" w:lineRule="auto"/>
        <w:ind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各</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需实时在线观看音视频直播并及时互动，</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代表对开标过程和开标记录有疑义，以及认为采购人、采购代理机构相关工作人员有需要回避的情形的，应当场提出询问或者回避申请。</w:t>
      </w:r>
      <w:r>
        <w:rPr>
          <w:rFonts w:hint="eastAsia" w:ascii="宋体" w:hAnsi="宋体" w:eastAsia="宋体" w:cs="宋体"/>
          <w:color w:val="auto"/>
          <w:kern w:val="2"/>
          <w:sz w:val="24"/>
          <w:szCs w:val="24"/>
          <w:highlight w:val="none"/>
        </w:rPr>
        <w:t>未按时加入系统或未在线参与互动的，视为放弃标书解密和对开评标全过程质疑、澄清、答辩的权利，并承担由此产生的</w:t>
      </w:r>
      <w:r>
        <w:rPr>
          <w:rFonts w:hint="eastAsia" w:ascii="宋体" w:hAnsi="宋体" w:eastAsia="宋体" w:cs="宋体"/>
          <w:color w:val="auto"/>
          <w:kern w:val="2"/>
          <w:sz w:val="24"/>
          <w:szCs w:val="24"/>
          <w:highlight w:val="none"/>
          <w:lang w:val="en-US" w:eastAsia="zh-CN"/>
        </w:rPr>
        <w:t>一切</w:t>
      </w:r>
      <w:r>
        <w:rPr>
          <w:rFonts w:hint="eastAsia" w:ascii="宋体" w:hAnsi="宋体" w:eastAsia="宋体" w:cs="宋体"/>
          <w:color w:val="auto"/>
          <w:kern w:val="2"/>
          <w:sz w:val="24"/>
          <w:szCs w:val="24"/>
          <w:highlight w:val="none"/>
        </w:rPr>
        <w:t>后果。</w:t>
      </w:r>
      <w:r>
        <w:rPr>
          <w:rFonts w:hint="eastAsia" w:ascii="宋体" w:hAnsi="宋体" w:eastAsia="宋体" w:cs="宋体"/>
          <w:color w:val="auto"/>
          <w:kern w:val="2"/>
          <w:sz w:val="24"/>
          <w:szCs w:val="24"/>
          <w:highlight w:val="none"/>
          <w:lang w:val="zh-CN"/>
        </w:rPr>
        <w:t>采购代理机构对</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代表提出的询问或者回避申请应当及时处理。</w:t>
      </w:r>
    </w:p>
    <w:p w14:paraId="5701DBFD">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1-5、供应商代表对磋商过程有疑义的，以及认为采购人、采购代理机构相关工作人员有需要回避的情形的，应当在线提出询问或回避申请。</w:t>
      </w:r>
    </w:p>
    <w:p w14:paraId="10A6EE9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2、评审</w:t>
      </w:r>
    </w:p>
    <w:p w14:paraId="4DABC3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w:t>
      </w:r>
    </w:p>
    <w:p w14:paraId="151DD1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4" w:name="OLE_LINK4"/>
      <w:bookmarkStart w:id="25" w:name="OLE_LINK14"/>
      <w:r>
        <w:rPr>
          <w:rFonts w:hint="eastAsia" w:ascii="宋体" w:hAnsi="宋体" w:eastAsia="宋体" w:cs="宋体"/>
          <w:color w:val="auto"/>
          <w:sz w:val="24"/>
          <w:szCs w:val="24"/>
          <w:highlight w:val="none"/>
        </w:rPr>
        <w:t>采购代理机构根据《中华人民共和国政府采购法》及其实施条例、《政府采购竞争性磋商采购方式管理暂行办法》的通知（财库【2014】214号）等规定，依法组建磋商小组。本项目磋商小组由采购代理机构工作人员在陕西省政府采购网随机抽取评审专家2名及采购人代表1名共同组成。</w:t>
      </w:r>
    </w:p>
    <w:p w14:paraId="276811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（2）采购人派一名代表进入磋商小组，并向采购代理机构出具授权函。</w:t>
      </w:r>
      <w:bookmarkEnd w:id="24"/>
    </w:p>
    <w:p w14:paraId="37C4D2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（3）磋商小组应推荐一名评审专家担任评审组长，并由评审组长牵头组织该项目评审工作，采购人</w:t>
      </w:r>
      <w:r>
        <w:rPr>
          <w:rFonts w:hint="eastAsia" w:ascii="宋体" w:hAnsi="宋体" w:eastAsia="宋体" w:cs="宋体"/>
          <w:color w:val="auto"/>
          <w:sz w:val="24"/>
          <w:szCs w:val="24"/>
          <w:highlight w:val="none"/>
          <w:lang w:eastAsia="zh-CN"/>
        </w:rPr>
        <w:t>代表</w:t>
      </w:r>
      <w:r>
        <w:rPr>
          <w:rFonts w:hint="eastAsia" w:ascii="宋体" w:hAnsi="宋体" w:eastAsia="宋体" w:cs="宋体"/>
          <w:color w:val="auto"/>
          <w:sz w:val="24"/>
          <w:szCs w:val="24"/>
          <w:highlight w:val="none"/>
        </w:rPr>
        <w:t>不得担任评审组长。</w:t>
      </w:r>
    </w:p>
    <w:bookmarkEnd w:id="25"/>
    <w:p w14:paraId="13285D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（4）磋商小组成员应当遵守并履行下列职责义务：</w:t>
      </w:r>
    </w:p>
    <w:p w14:paraId="613386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a、遵纪守法，客观、公正、认真负责地履行职责，根据磋商文件规定的评审程序、评审方法和评审标准审查磋商响应文件；</w:t>
      </w:r>
    </w:p>
    <w:p w14:paraId="0A913E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b、资格审查、符合性审查、评价磋商响应文件是否符合磋商文件的商务、技术等实质性要求；</w:t>
      </w:r>
    </w:p>
    <w:p w14:paraId="6798FE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c、要求供应商对磋商响应文件有关事项作出澄清或者说明；</w:t>
      </w:r>
    </w:p>
    <w:p w14:paraId="6061EA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d、对磋商响应文件进行比较和评价；</w:t>
      </w:r>
    </w:p>
    <w:p w14:paraId="00EC40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e、推荐成交候选单位名单，对磋商意见承担个人责任；</w:t>
      </w:r>
    </w:p>
    <w:p w14:paraId="3D5DF5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f、拟定磋商结果；</w:t>
      </w:r>
    </w:p>
    <w:p w14:paraId="5FA032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g、对磋商过程及各供应商的商业机密予以保密；</w:t>
      </w:r>
    </w:p>
    <w:p w14:paraId="3ABFDA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h、向财政部门报告在评审过程中发现的供应商的违法违规行为；</w:t>
      </w:r>
    </w:p>
    <w:p w14:paraId="0148CF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i、配合采购人、采购代理机构答复各供应商提出的质疑；</w:t>
      </w:r>
    </w:p>
    <w:p w14:paraId="327BDA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j、配合各部门的投诉处理和监督检查工作。</w:t>
      </w:r>
    </w:p>
    <w:p w14:paraId="01DF057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2-2、在政府采购活动中，采购人员及相关人员（包括磋商小组）与供应商有下列利害关系之一的，应当回避：</w:t>
      </w:r>
    </w:p>
    <w:p w14:paraId="4ADAC7A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（1）参加采购活动前3年内与供应商存在劳动关系；</w:t>
      </w:r>
    </w:p>
    <w:p w14:paraId="1DC69BD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（2）参加采购活动前3年内担任供应商的董事、监事；</w:t>
      </w:r>
    </w:p>
    <w:p w14:paraId="3A9CB89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（3）参加采购活动前3年内是供应商的控股股东或者实际控制人；</w:t>
      </w:r>
    </w:p>
    <w:p w14:paraId="109D0BD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089EFD5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（5）与供应商有其他可能影响政府采购活动公平、公正进行的关系。</w:t>
      </w:r>
    </w:p>
    <w:p w14:paraId="78C102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2-3、磋商原则：坚持公平、公正、科学、择优原则，禁止不正当竞争。</w:t>
      </w:r>
    </w:p>
    <w:p w14:paraId="4ADE87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2-4、评审办法：本次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采用综合评分法（详见本节评分标准）。</w:t>
      </w:r>
    </w:p>
    <w:p w14:paraId="7667762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2-5、磋商工作程序：</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资格审查、符合性审查、澄清、评价、推荐成交候选人的工作程序进行评审。</w:t>
      </w:r>
    </w:p>
    <w:p w14:paraId="23544C5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2-5-1、资格审查</w:t>
      </w:r>
    </w:p>
    <w:p w14:paraId="05BFE6B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由采购人依法对供应商的资格进行审查, 审查合格的供应商方可进入下一评审阶段。缺项或一项不符合要求即不合格，不合格的供应商其响应无效。</w:t>
      </w:r>
    </w:p>
    <w:p w14:paraId="356ED71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1.满足《中华人民共和国政府采购法》第二十二条规定;</w:t>
      </w:r>
    </w:p>
    <w:p w14:paraId="4CC867C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2.落实政府采购政策需满足的资格要求：</w:t>
      </w:r>
    </w:p>
    <w:p w14:paraId="6F0E472A">
      <w:pPr>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合同包1(</w:t>
      </w:r>
      <w:r>
        <w:rPr>
          <w:rFonts w:hint="eastAsia" w:ascii="宋体" w:hAnsi="宋体" w:eastAsia="宋体" w:cs="宋体"/>
          <w:b w:val="0"/>
          <w:bCs w:val="0"/>
          <w:i w:val="0"/>
          <w:iCs w:val="0"/>
          <w:caps w:val="0"/>
          <w:color w:val="auto"/>
          <w:spacing w:val="0"/>
          <w:sz w:val="24"/>
          <w:szCs w:val="24"/>
          <w:highlight w:val="none"/>
          <w:shd w:val="clear" w:fill="FFFFFF"/>
          <w:vertAlign w:val="baseline"/>
          <w:lang w:eastAsia="zh-CN"/>
        </w:rPr>
        <w:t>凤县2024年度自然资源卫片执法工作</w:t>
      </w:r>
      <w:r>
        <w:rPr>
          <w:rFonts w:hint="eastAsia" w:ascii="宋体" w:hAnsi="宋体" w:eastAsia="宋体" w:cs="宋体"/>
          <w:b w:val="0"/>
          <w:bCs w:val="0"/>
          <w:i w:val="0"/>
          <w:iCs w:val="0"/>
          <w:caps w:val="0"/>
          <w:color w:val="auto"/>
          <w:spacing w:val="0"/>
          <w:sz w:val="24"/>
          <w:szCs w:val="24"/>
          <w:highlight w:val="none"/>
          <w:shd w:val="clear" w:fill="FFFFFF"/>
          <w:vertAlign w:val="baseline"/>
        </w:rPr>
        <w:t>)落实政府采购政策需满足的资格要求如下:</w:t>
      </w:r>
    </w:p>
    <w:p w14:paraId="40D4AE3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本项目专门面向中小企业采购。（残疾人福利性单位、监狱企业视同小型、微型企业）；须符合《政府采购促进中小企业发展管理办法》（财库〔2020〕46号）规定的中小企业参加。</w:t>
      </w:r>
      <w:r>
        <w:rPr>
          <w:rFonts w:hint="eastAsia" w:ascii="宋体" w:hAnsi="宋体" w:eastAsia="宋体" w:cs="宋体"/>
          <w:b/>
          <w:bCs/>
          <w:i w:val="0"/>
          <w:iCs w:val="0"/>
          <w:caps w:val="0"/>
          <w:color w:val="auto"/>
          <w:spacing w:val="0"/>
          <w:sz w:val="24"/>
          <w:szCs w:val="24"/>
          <w:shd w:val="clear" w:color="auto" w:fill="FFFFFF"/>
          <w:lang w:val="en-US" w:eastAsia="zh-CN"/>
        </w:rPr>
        <w:t>（提供《中小企业声明函》，式样见磋商文件格式）。</w:t>
      </w:r>
    </w:p>
    <w:p w14:paraId="76697648">
      <w:pPr>
        <w:pStyle w:val="22"/>
        <w:keepNext w:val="0"/>
        <w:keepLines w:val="0"/>
        <w:widowControl/>
        <w:suppressLineNumbers w:val="0"/>
        <w:pBdr>
          <w:top w:val="none" w:color="auto" w:sz="0" w:space="0"/>
          <w:left w:val="none" w:color="auto" w:sz="0" w:space="0"/>
          <w:bottom w:val="none" w:color="auto" w:sz="0" w:space="0"/>
          <w:right w:val="none" w:color="auto" w:sz="0" w:space="0"/>
        </w:pBdr>
        <w:tabs>
          <w:tab w:val="center" w:pos="4124"/>
        </w:tabs>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3.本项目的特定资格要求：</w:t>
      </w:r>
      <w:r>
        <w:rPr>
          <w:rFonts w:hint="eastAsia" w:ascii="宋体" w:hAnsi="宋体" w:eastAsia="宋体" w:cs="宋体"/>
          <w:i w:val="0"/>
          <w:iCs w:val="0"/>
          <w:caps w:val="0"/>
          <w:color w:val="auto"/>
          <w:spacing w:val="0"/>
          <w:sz w:val="24"/>
          <w:szCs w:val="24"/>
          <w:highlight w:val="none"/>
          <w:shd w:val="clear" w:fill="FFFFFF"/>
          <w:vertAlign w:val="baseline"/>
          <w:lang w:eastAsia="zh-CN"/>
        </w:rPr>
        <w:tab/>
      </w:r>
    </w:p>
    <w:p w14:paraId="0E847D0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合同包1(</w:t>
      </w:r>
      <w:r>
        <w:rPr>
          <w:rFonts w:hint="eastAsia" w:ascii="宋体" w:hAnsi="宋体" w:eastAsia="宋体" w:cs="宋体"/>
          <w:i w:val="0"/>
          <w:iCs w:val="0"/>
          <w:caps w:val="0"/>
          <w:color w:val="auto"/>
          <w:spacing w:val="0"/>
          <w:sz w:val="24"/>
          <w:szCs w:val="24"/>
          <w:highlight w:val="none"/>
          <w:shd w:val="clear" w:fill="FFFFFF"/>
          <w:vertAlign w:val="baseline"/>
          <w:lang w:eastAsia="zh-CN"/>
        </w:rPr>
        <w:t>凤县2024年度自然资源卫片执法工作</w:t>
      </w:r>
      <w:r>
        <w:rPr>
          <w:rFonts w:hint="eastAsia" w:ascii="宋体" w:hAnsi="宋体" w:eastAsia="宋体" w:cs="宋体"/>
          <w:i w:val="0"/>
          <w:iCs w:val="0"/>
          <w:caps w:val="0"/>
          <w:color w:val="auto"/>
          <w:spacing w:val="0"/>
          <w:sz w:val="24"/>
          <w:szCs w:val="24"/>
          <w:highlight w:val="none"/>
          <w:shd w:val="clear" w:fill="FFFFFF"/>
          <w:vertAlign w:val="baseline"/>
        </w:rPr>
        <w:t>)特定资格要求如下:</w:t>
      </w:r>
    </w:p>
    <w:p w14:paraId="237F570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（2）供应商须提供2024年度财务审计报告（成立时间至提交投标文件截止时间不足一年的可提供成立后任意时段的资产负债表）或基本账户银行出具的资信证明、基本存款账户开户许可证（基本存款账户信息）；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（3）供应商须提供2024年6月至今已缴存的至少一个月的社会保险参保缴费情况证明。</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（4）供应商须提供2024年6月至今缴纳的至少一个月的纳税证明或完税证明，依法免税的单位应提供相关证明材料；</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（7）企业开具的近三年在政府采购经营活动中无重大违法记录声明；（成立时间不足三年的供应商提供自成立之日起至开标截止之日止的无重大违法记录声明）； </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（9）提供具有履行合同所必需的设备和专业技术能力的承诺书；</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（10）供应商须具有行政主管部门颁发的测绘乙级（含乙级）及以上资质，拟派项目负责人须具有测绘及测绘相关专业中级及以上职称证书；</w:t>
      </w:r>
    </w:p>
    <w:p w14:paraId="5BA2DC8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2-5-2、符合性审查</w:t>
      </w:r>
    </w:p>
    <w:p w14:paraId="0A9191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依据磋商文件的规定，对资格合格者磋商响应文件的有效性，完整性和对磋商文件的响应程度进行审查，以确定是否对磋商文件的实质性内容做出响应，包含但不限于以下内容，未通过审查的按无效投标处理：</w:t>
      </w:r>
    </w:p>
    <w:p w14:paraId="5E477F47">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（1）供应商名称与登记领取磋商文件的单位名称</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一致；</w:t>
      </w:r>
    </w:p>
    <w:p w14:paraId="32ABF690">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按照磋商文件的要求盖章签字；</w:t>
      </w:r>
    </w:p>
    <w:p w14:paraId="76438338">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磋商保证金是否按要求提供；</w:t>
      </w:r>
    </w:p>
    <w:p w14:paraId="7F44F4F4">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内容是否有重大缺漏项；</w:t>
      </w:r>
    </w:p>
    <w:p w14:paraId="4A5DFD7F">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）磋商报价</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采购预算或最高限价</w:t>
      </w:r>
      <w:r>
        <w:rPr>
          <w:rFonts w:hint="eastAsia" w:ascii="宋体" w:hAnsi="宋体" w:eastAsia="宋体" w:cs="宋体"/>
          <w:color w:val="auto"/>
          <w:sz w:val="24"/>
          <w:szCs w:val="24"/>
          <w:highlight w:val="none"/>
        </w:rPr>
        <w:t>；</w:t>
      </w:r>
    </w:p>
    <w:p w14:paraId="73C00713">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）磋商有效期</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符合磋商文件的要求；</w:t>
      </w:r>
    </w:p>
    <w:p w14:paraId="489B9870">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）对磋商文件商务要求</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 xml:space="preserve">作出明确且实质性响应； </w:t>
      </w:r>
    </w:p>
    <w:p w14:paraId="50CB67D4">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含有采购人不能接受的附</w:t>
      </w:r>
      <w:r>
        <w:rPr>
          <w:rFonts w:hint="eastAsia" w:ascii="宋体" w:hAnsi="宋体" w:eastAsia="宋体" w:cs="宋体"/>
          <w:color w:val="auto"/>
          <w:sz w:val="24"/>
          <w:szCs w:val="24"/>
          <w:highlight w:val="none"/>
          <w:lang w:val="en-US" w:eastAsia="zh-CN"/>
        </w:rPr>
        <w:t>加</w:t>
      </w:r>
      <w:r>
        <w:rPr>
          <w:rFonts w:hint="eastAsia" w:ascii="宋体" w:hAnsi="宋体" w:eastAsia="宋体" w:cs="宋体"/>
          <w:color w:val="auto"/>
          <w:sz w:val="24"/>
          <w:szCs w:val="24"/>
          <w:highlight w:val="none"/>
        </w:rPr>
        <w:t>条件；</w:t>
      </w:r>
    </w:p>
    <w:p w14:paraId="1C4F3EC9">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是否含有</w:t>
      </w:r>
      <w:r>
        <w:rPr>
          <w:rFonts w:hint="eastAsia" w:ascii="宋体" w:hAnsi="宋体" w:eastAsia="宋体" w:cs="宋体"/>
          <w:color w:val="auto"/>
          <w:sz w:val="24"/>
          <w:szCs w:val="24"/>
          <w:highlight w:val="none"/>
        </w:rPr>
        <w:t>法律、法规和磋商文件规定的其他无效响应情形。</w:t>
      </w:r>
    </w:p>
    <w:p w14:paraId="3F70B6DA">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2-5-3、竞争性磋商响应文件的澄清：</w:t>
      </w:r>
    </w:p>
    <w:p w14:paraId="166B147B">
      <w:pPr>
        <w:overflowPunct w:val="0"/>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20F258">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（2）书写错误的评审标准：</w:t>
      </w:r>
    </w:p>
    <w:p w14:paraId="4180B7CE">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磋商小组在评审过程中，发现竞争性磋商响应文件出现下列情况之一者，按以下原则修正：</w:t>
      </w:r>
    </w:p>
    <w:p w14:paraId="0E6D38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a、磋商响应文件有关内容与“磋商报价一览表”不一致的，以“磋商报价一览表”为准；</w:t>
      </w:r>
    </w:p>
    <w:p w14:paraId="50005B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b、大写金额与小写金额不一致的，以大写金额为准；</w:t>
      </w:r>
    </w:p>
    <w:p w14:paraId="49208E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c、单价金额小数点或者百分比有明显错位的，以“磋商报价一览表”的总价为准，并修改单价；</w:t>
      </w:r>
    </w:p>
    <w:p w14:paraId="10ED6E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d、总价金额与按单价汇总金额不一致的，以单价乘以数量的计算结果为准；</w:t>
      </w:r>
    </w:p>
    <w:p w14:paraId="19D672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e、磋商响应文件图表与文字不符时，以文字为准；</w:t>
      </w:r>
    </w:p>
    <w:p w14:paraId="7F55D7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、对不同文字文本磋商响应文件的解释发生异议的，以中文文本为准；</w:t>
      </w:r>
    </w:p>
    <w:p w14:paraId="02037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h、多处内容交叉不符时，以磋商小组评审结果为准。</w:t>
      </w:r>
    </w:p>
    <w:p w14:paraId="74CB783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注：按上述方法修正的内容（其中，同时出现上述a至d两种以上不一致的，按上述规定的顺序修正），经供应商确认后产生约束力，供应商不确认的，其磋商响应无效。</w:t>
      </w:r>
    </w:p>
    <w:p w14:paraId="3C1268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（3）磋商小组认为供应商的报价明显低于其他通过符合性审查供应商的报价，有可能影响</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质量或者不能诚信履约的，应当要求其在评审现场合理的时间内提供书面说明，必要时提交相关证明材料；供应商不能证明其报价合理性的，磋商小组应当将其作为无效磋商响应处理。</w:t>
      </w:r>
    </w:p>
    <w:p w14:paraId="1A9A93E3">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2-5-4、评议：</w:t>
      </w:r>
    </w:p>
    <w:p w14:paraId="48F4E8E3">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（1）磋商小组评审竞争性磋商响应文件响应性及符合性只根据竞争性磋商响应文件本身的内容，而不寻求其他外部证据。</w:t>
      </w:r>
    </w:p>
    <w:p w14:paraId="20FF9C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（2）磋商小组所有成员应当集中与单一</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分别进行</w:t>
      </w:r>
      <w:r>
        <w:rPr>
          <w:rFonts w:hint="eastAsia" w:ascii="宋体" w:hAnsi="宋体" w:eastAsia="宋体" w:cs="宋体"/>
          <w:b w:val="0"/>
          <w:bCs w:val="0"/>
          <w:color w:val="auto"/>
          <w:sz w:val="24"/>
          <w:szCs w:val="24"/>
          <w:highlight w:val="none"/>
          <w:lang w:eastAsia="zh-CN"/>
        </w:rPr>
        <w:t>在线</w:t>
      </w:r>
      <w:r>
        <w:rPr>
          <w:rFonts w:hint="eastAsia" w:ascii="宋体" w:hAnsi="宋体" w:eastAsia="宋体" w:cs="宋体"/>
          <w:b w:val="0"/>
          <w:bCs w:val="0"/>
          <w:color w:val="auto"/>
          <w:sz w:val="24"/>
          <w:szCs w:val="24"/>
          <w:highlight w:val="none"/>
        </w:rPr>
        <w:t>磋商，并给予所有参加磋商的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平等的磋商机会</w:t>
      </w:r>
      <w:r>
        <w:rPr>
          <w:rFonts w:hint="eastAsia" w:ascii="宋体" w:hAnsi="宋体" w:eastAsia="宋体" w:cs="宋体"/>
          <w:color w:val="auto"/>
          <w:sz w:val="24"/>
          <w:szCs w:val="24"/>
          <w:highlight w:val="none"/>
        </w:rPr>
        <w:t>。</w:t>
      </w:r>
    </w:p>
    <w:p w14:paraId="6F8B8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14:paraId="53672B0B">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在线</w:t>
      </w:r>
      <w:r>
        <w:rPr>
          <w:rFonts w:hint="eastAsia" w:ascii="宋体" w:hAnsi="宋体" w:eastAsia="宋体" w:cs="宋体"/>
          <w:color w:val="auto"/>
          <w:sz w:val="24"/>
          <w:szCs w:val="24"/>
          <w:highlight w:val="none"/>
        </w:rPr>
        <w:t>磋商结束后，磋商小组应当要求所有实质性响应的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szCs w:val="24"/>
          <w:highlight w:val="none"/>
        </w:rPr>
        <w:t>在规定时间内提交最后报价。</w:t>
      </w:r>
      <w:r>
        <w:rPr>
          <w:rFonts w:hint="eastAsia" w:ascii="宋体" w:hAnsi="宋体" w:eastAsia="宋体" w:cs="宋体"/>
          <w:b/>
          <w:bCs/>
          <w:color w:val="auto"/>
          <w:sz w:val="24"/>
          <w:szCs w:val="24"/>
          <w:highlight w:val="none"/>
          <w:lang w:val="en-US" w:eastAsia="zh-CN"/>
        </w:rPr>
        <w:t>供应商须用数字认证证书（CA锁）登陆系统在线进行最后报价，在线签章提交最终报价，系统按照评标规则自动计分。</w:t>
      </w:r>
    </w:p>
    <w:p w14:paraId="2A4C4052">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采取逐项分步评审方式，每一步评审不符合者，按无效投标处理，不进入下一步评审。经磋商确定最终采购需求和提交最后报价后，由磋商小组采用综合评分法对提交最后报价的供应商的响应文件和最后报价进行综合评分。</w:t>
      </w:r>
    </w:p>
    <w:p w14:paraId="096B9FD3">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（6）其他需说明的情况：</w:t>
      </w:r>
    </w:p>
    <w:p w14:paraId="43033616">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a、对于竞争性磋商响应文件中不构成实质性偏差的小的不正规、不一致或不规则，采购人可以接受，但这种接受不能损害或影响任何供应商的相对排序；</w:t>
      </w:r>
    </w:p>
    <w:p w14:paraId="54EC58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b、最低报价不是成交的唯一条件；</w:t>
      </w:r>
    </w:p>
    <w:p w14:paraId="4D0E63F4">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c、如果磋商响应实质上没有响应竞争性磋商文件的要求，其磋商响应将被拒绝，供应商不得通过修正或</w:t>
      </w:r>
      <w:r>
        <w:rPr>
          <w:rFonts w:hint="eastAsia" w:ascii="宋体" w:hAnsi="宋体" w:eastAsia="宋体" w:cs="宋体"/>
          <w:color w:val="auto"/>
          <w:sz w:val="24"/>
          <w:szCs w:val="24"/>
          <w:highlight w:val="none"/>
          <w:lang w:eastAsia="zh-CN"/>
        </w:rPr>
        <w:t>撤销</w:t>
      </w:r>
      <w:r>
        <w:rPr>
          <w:rFonts w:hint="eastAsia" w:ascii="宋体" w:hAnsi="宋体" w:eastAsia="宋体" w:cs="宋体"/>
          <w:color w:val="auto"/>
          <w:sz w:val="24"/>
          <w:szCs w:val="24"/>
          <w:highlight w:val="none"/>
        </w:rPr>
        <w:t>不合要求的偏离或保留从而使其磋商响应成为实质上响应的磋商响应。</w:t>
      </w:r>
    </w:p>
    <w:p w14:paraId="7D78A2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d、无论磋商的结果如何，磋商期间一切费用自理。</w:t>
      </w:r>
    </w:p>
    <w:p w14:paraId="03B965C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2-6、评分标准</w:t>
      </w:r>
    </w:p>
    <w:tbl>
      <w:tblPr>
        <w:tblStyle w:val="24"/>
        <w:tblpPr w:leftFromText="180" w:rightFromText="180" w:vertAnchor="text" w:horzAnchor="page" w:tblpX="1234" w:tblpY="457"/>
        <w:tblOverlap w:val="never"/>
        <w:tblW w:w="498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3"/>
        <w:gridCol w:w="1465"/>
        <w:gridCol w:w="710"/>
        <w:gridCol w:w="6931"/>
      </w:tblGrid>
      <w:tr w14:paraId="3FA18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exact"/>
        </w:trPr>
        <w:tc>
          <w:tcPr>
            <w:tcW w:w="344" w:type="pct"/>
            <w:tcBorders>
              <w:tl2br w:val="nil"/>
              <w:tr2bl w:val="nil"/>
            </w:tcBorders>
            <w:noWrap w:val="0"/>
            <w:tcMar>
              <w:left w:w="57" w:type="dxa"/>
              <w:right w:w="57" w:type="dxa"/>
            </w:tcMar>
            <w:vAlign w:val="center"/>
          </w:tcPr>
          <w:p w14:paraId="0E1F121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24"/>
                <w:szCs w:val="24"/>
                <w:highlight w:val="none"/>
              </w:rPr>
              <w:t>序号</w:t>
            </w:r>
          </w:p>
        </w:tc>
        <w:tc>
          <w:tcPr>
            <w:tcW w:w="749" w:type="pct"/>
            <w:tcBorders>
              <w:tl2br w:val="nil"/>
              <w:tr2bl w:val="nil"/>
            </w:tcBorders>
            <w:noWrap w:val="0"/>
            <w:tcMar>
              <w:left w:w="57" w:type="dxa"/>
              <w:right w:w="57" w:type="dxa"/>
            </w:tcMar>
            <w:vAlign w:val="center"/>
          </w:tcPr>
          <w:p w14:paraId="3659CD2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363" w:type="pct"/>
            <w:tcBorders>
              <w:tl2br w:val="nil"/>
              <w:tr2bl w:val="nil"/>
            </w:tcBorders>
            <w:noWrap w:val="0"/>
            <w:tcMar>
              <w:left w:w="57" w:type="dxa"/>
              <w:right w:w="57" w:type="dxa"/>
            </w:tcMar>
            <w:vAlign w:val="center"/>
          </w:tcPr>
          <w:p w14:paraId="03BB82E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543" w:type="pct"/>
            <w:tcBorders>
              <w:tl2br w:val="nil"/>
              <w:tr2bl w:val="nil"/>
            </w:tcBorders>
            <w:noWrap w:val="0"/>
            <w:tcMar>
              <w:left w:w="57" w:type="dxa"/>
              <w:right w:w="57" w:type="dxa"/>
            </w:tcMar>
            <w:vAlign w:val="center"/>
          </w:tcPr>
          <w:p w14:paraId="47D5B00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7C3C4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44" w:type="pct"/>
            <w:tcBorders>
              <w:tl2br w:val="nil"/>
              <w:tr2bl w:val="nil"/>
            </w:tcBorders>
            <w:noWrap w:val="0"/>
            <w:tcMar>
              <w:left w:w="57" w:type="dxa"/>
              <w:right w:w="57" w:type="dxa"/>
            </w:tcMar>
            <w:vAlign w:val="center"/>
          </w:tcPr>
          <w:p w14:paraId="237459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9" w:type="pct"/>
            <w:tcBorders>
              <w:tl2br w:val="nil"/>
              <w:tr2bl w:val="nil"/>
            </w:tcBorders>
            <w:noWrap w:val="0"/>
            <w:tcMar>
              <w:left w:w="57" w:type="dxa"/>
              <w:right w:w="57" w:type="dxa"/>
            </w:tcMar>
            <w:vAlign w:val="center"/>
          </w:tcPr>
          <w:p w14:paraId="25403C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w:t>
            </w:r>
          </w:p>
        </w:tc>
        <w:tc>
          <w:tcPr>
            <w:tcW w:w="363" w:type="pct"/>
            <w:tcBorders>
              <w:tl2br w:val="nil"/>
              <w:tr2bl w:val="nil"/>
            </w:tcBorders>
            <w:noWrap w:val="0"/>
            <w:tcMar>
              <w:left w:w="57" w:type="dxa"/>
              <w:right w:w="57" w:type="dxa"/>
            </w:tcMar>
            <w:vAlign w:val="center"/>
          </w:tcPr>
          <w:p w14:paraId="275EBEA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3543" w:type="pct"/>
            <w:tcBorders>
              <w:tl2br w:val="nil"/>
              <w:tr2bl w:val="nil"/>
            </w:tcBorders>
            <w:noWrap w:val="0"/>
            <w:tcMar>
              <w:left w:w="142" w:type="dxa"/>
              <w:right w:w="142" w:type="dxa"/>
            </w:tcMar>
            <w:vAlign w:val="center"/>
          </w:tcPr>
          <w:p w14:paraId="4F416CCF">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按照财政部的有关规定：价格分采用低价优先法计算，即满足磋商文件要求且投标价格最低的报价为评标基准价，其价格分为满分。其他投标供应商的价格分统一按照下列公式计算：</w:t>
            </w:r>
          </w:p>
          <w:p w14:paraId="1B094535">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投标报价得分=（评标基准价/投标报价）×价格权值×100%</w:t>
            </w:r>
          </w:p>
          <w:p w14:paraId="2078E2E6">
            <w:pPr>
              <w:adjustRightInd w:val="0"/>
              <w:snapToGrid w:val="0"/>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color w:val="auto"/>
                <w:kern w:val="2"/>
                <w:sz w:val="24"/>
                <w:szCs w:val="24"/>
                <w:highlight w:val="none"/>
                <w:u w:val="none"/>
                <w:lang w:val="en-US" w:eastAsia="zh-CN" w:bidi="ar-SA"/>
              </w:rPr>
              <w:t>注：本项目专门面对中小企业采购，报价不再进行价格扣除优惠；</w:t>
            </w:r>
          </w:p>
        </w:tc>
      </w:tr>
      <w:tr w14:paraId="33C2A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trPr>
        <w:tc>
          <w:tcPr>
            <w:tcW w:w="344" w:type="pct"/>
            <w:vMerge w:val="restart"/>
            <w:tcBorders>
              <w:tl2br w:val="nil"/>
              <w:tr2bl w:val="nil"/>
            </w:tcBorders>
            <w:noWrap w:val="0"/>
            <w:tcMar>
              <w:left w:w="57" w:type="dxa"/>
              <w:right w:w="57" w:type="dxa"/>
            </w:tcMar>
            <w:vAlign w:val="center"/>
          </w:tcPr>
          <w:p w14:paraId="73B50D4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749" w:type="pct"/>
            <w:vMerge w:val="restart"/>
            <w:tcBorders>
              <w:tl2br w:val="nil"/>
              <w:tr2bl w:val="nil"/>
            </w:tcBorders>
            <w:shd w:val="clear" w:color="auto" w:fill="auto"/>
            <w:noWrap w:val="0"/>
            <w:tcMar>
              <w:left w:w="57" w:type="dxa"/>
              <w:right w:w="57" w:type="dxa"/>
            </w:tcMar>
            <w:vAlign w:val="center"/>
          </w:tcPr>
          <w:p w14:paraId="0D6D354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配备的人员技术力量</w:t>
            </w:r>
          </w:p>
        </w:tc>
        <w:tc>
          <w:tcPr>
            <w:tcW w:w="363" w:type="pct"/>
            <w:vMerge w:val="restart"/>
            <w:tcBorders>
              <w:tl2br w:val="nil"/>
              <w:tr2bl w:val="nil"/>
            </w:tcBorders>
            <w:shd w:val="clear" w:color="auto" w:fill="auto"/>
            <w:noWrap w:val="0"/>
            <w:tcMar>
              <w:left w:w="57" w:type="dxa"/>
              <w:right w:w="57" w:type="dxa"/>
            </w:tcMar>
            <w:vAlign w:val="center"/>
          </w:tcPr>
          <w:p w14:paraId="3185E45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543" w:type="pct"/>
            <w:tcBorders>
              <w:tl2br w:val="nil"/>
              <w:tr2bl w:val="nil"/>
            </w:tcBorders>
            <w:shd w:val="clear" w:color="auto" w:fill="auto"/>
            <w:noWrap w:val="0"/>
            <w:tcMar>
              <w:left w:w="142" w:type="dxa"/>
              <w:right w:w="142" w:type="dxa"/>
            </w:tcMar>
            <w:vAlign w:val="center"/>
          </w:tcPr>
          <w:p w14:paraId="1C2CEE7F">
            <w:pPr>
              <w:numPr>
                <w:ilvl w:val="0"/>
                <w:numId w:val="2"/>
              </w:num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项目负责人具有高级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zh-CN" w:eastAsia="zh-CN"/>
              </w:rPr>
              <w:t>职称的计</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 xml:space="preserve">其余人员具有相关专业中级及以上的职称每提供一名得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467626E">
            <w:pPr>
              <w:numPr>
                <w:ilvl w:val="0"/>
                <w:numId w:val="0"/>
              </w:numPr>
              <w:adjustRightInd w:val="0"/>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本项最高得6分。</w:t>
            </w:r>
          </w:p>
        </w:tc>
      </w:tr>
      <w:tr w14:paraId="1F5DD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344" w:type="pct"/>
            <w:vMerge w:val="continue"/>
            <w:tcBorders>
              <w:tl2br w:val="nil"/>
              <w:tr2bl w:val="nil"/>
            </w:tcBorders>
            <w:noWrap w:val="0"/>
            <w:tcMar>
              <w:left w:w="57" w:type="dxa"/>
              <w:right w:w="57" w:type="dxa"/>
            </w:tcMar>
            <w:vAlign w:val="center"/>
          </w:tcPr>
          <w:p w14:paraId="2F980D42">
            <w:pPr>
              <w:spacing w:line="360" w:lineRule="auto"/>
              <w:jc w:val="center"/>
              <w:rPr>
                <w:rFonts w:hint="eastAsia" w:ascii="宋体" w:hAnsi="宋体" w:eastAsia="宋体" w:cs="宋体"/>
                <w:color w:val="auto"/>
                <w:sz w:val="24"/>
                <w:szCs w:val="24"/>
                <w:highlight w:val="none"/>
                <w:lang w:val="en-US" w:eastAsia="zh-CN"/>
              </w:rPr>
            </w:pPr>
          </w:p>
        </w:tc>
        <w:tc>
          <w:tcPr>
            <w:tcW w:w="749" w:type="pct"/>
            <w:vMerge w:val="continue"/>
            <w:tcBorders>
              <w:tl2br w:val="nil"/>
              <w:tr2bl w:val="nil"/>
            </w:tcBorders>
            <w:shd w:val="clear" w:color="auto" w:fill="auto"/>
            <w:noWrap w:val="0"/>
            <w:tcMar>
              <w:left w:w="57" w:type="dxa"/>
              <w:right w:w="57" w:type="dxa"/>
            </w:tcMar>
            <w:vAlign w:val="center"/>
          </w:tcPr>
          <w:p w14:paraId="3FA9E98C">
            <w:pPr>
              <w:spacing w:line="360" w:lineRule="auto"/>
              <w:jc w:val="center"/>
              <w:rPr>
                <w:rFonts w:hint="eastAsia" w:ascii="宋体" w:hAnsi="宋体" w:eastAsia="宋体" w:cs="宋体"/>
                <w:color w:val="auto"/>
                <w:sz w:val="24"/>
                <w:szCs w:val="24"/>
                <w:highlight w:val="none"/>
                <w:lang w:eastAsia="zh-CN"/>
              </w:rPr>
            </w:pPr>
          </w:p>
        </w:tc>
        <w:tc>
          <w:tcPr>
            <w:tcW w:w="363" w:type="pct"/>
            <w:vMerge w:val="continue"/>
            <w:tcBorders>
              <w:tl2br w:val="nil"/>
              <w:tr2bl w:val="nil"/>
            </w:tcBorders>
            <w:shd w:val="clear" w:color="auto" w:fill="auto"/>
            <w:noWrap w:val="0"/>
            <w:tcMar>
              <w:left w:w="57" w:type="dxa"/>
              <w:right w:w="57" w:type="dxa"/>
            </w:tcMar>
            <w:vAlign w:val="center"/>
          </w:tcPr>
          <w:p w14:paraId="26ED451A">
            <w:pPr>
              <w:spacing w:line="360" w:lineRule="auto"/>
              <w:jc w:val="center"/>
              <w:rPr>
                <w:rFonts w:hint="eastAsia" w:ascii="宋体" w:hAnsi="宋体" w:eastAsia="宋体" w:cs="宋体"/>
                <w:color w:val="auto"/>
                <w:sz w:val="24"/>
                <w:szCs w:val="24"/>
                <w:highlight w:val="none"/>
                <w:lang w:eastAsia="zh-CN"/>
              </w:rPr>
            </w:pPr>
          </w:p>
        </w:tc>
        <w:tc>
          <w:tcPr>
            <w:tcW w:w="3543" w:type="pct"/>
            <w:tcBorders>
              <w:tl2br w:val="nil"/>
              <w:tr2bl w:val="nil"/>
            </w:tcBorders>
            <w:shd w:val="clear" w:color="auto" w:fill="auto"/>
            <w:noWrap w:val="0"/>
            <w:tcMar>
              <w:left w:w="142" w:type="dxa"/>
              <w:right w:w="142" w:type="dxa"/>
            </w:tcMar>
            <w:vAlign w:val="center"/>
          </w:tcPr>
          <w:p w14:paraId="3BFEA93E">
            <w:pPr>
              <w:numPr>
                <w:ilvl w:val="0"/>
                <w:numId w:val="3"/>
              </w:numPr>
              <w:spacing w:before="0" w:after="0" w:line="360" w:lineRule="auto"/>
              <w:jc w:val="left"/>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项目所配备团队人员</w:t>
            </w:r>
            <w:r>
              <w:rPr>
                <w:rFonts w:hint="eastAsia" w:ascii="宋体" w:hAnsi="宋体" w:cs="宋体"/>
                <w:color w:val="auto"/>
                <w:sz w:val="24"/>
                <w:szCs w:val="24"/>
                <w:highlight w:val="none"/>
                <w:lang w:val="en-US" w:eastAsia="zh-CN"/>
              </w:rPr>
              <w:t>构成</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数量、</w:t>
            </w:r>
            <w:r>
              <w:rPr>
                <w:rFonts w:hint="eastAsia" w:ascii="宋体" w:hAnsi="宋体" w:eastAsia="宋体" w:cs="宋体"/>
                <w:color w:val="auto"/>
                <w:sz w:val="24"/>
                <w:szCs w:val="24"/>
                <w:highlight w:val="none"/>
                <w:lang w:val="zh-CN" w:eastAsia="zh-CN"/>
              </w:rPr>
              <w:t>专业</w:t>
            </w:r>
            <w:r>
              <w:rPr>
                <w:rFonts w:hint="eastAsia" w:ascii="宋体" w:hAnsi="宋体" w:cs="宋体"/>
                <w:color w:val="auto"/>
                <w:sz w:val="24"/>
                <w:szCs w:val="24"/>
                <w:highlight w:val="none"/>
                <w:lang w:val="en-US" w:eastAsia="zh-CN"/>
              </w:rPr>
              <w:t>横向比较计分</w:t>
            </w:r>
            <w:r>
              <w:rPr>
                <w:rFonts w:hint="eastAsia" w:ascii="宋体" w:hAnsi="宋体" w:cs="宋体"/>
                <w:color w:val="auto"/>
                <w:sz w:val="24"/>
                <w:szCs w:val="24"/>
                <w:highlight w:val="none"/>
                <w:lang w:val="zh-CN" w:eastAsia="zh-CN"/>
              </w:rPr>
              <w:t>。</w:t>
            </w:r>
          </w:p>
          <w:p w14:paraId="5A89A239">
            <w:pPr>
              <w:numPr>
                <w:ilvl w:val="0"/>
                <w:numId w:val="0"/>
              </w:numPr>
              <w:spacing w:before="0" w:after="0" w:line="360" w:lineRule="auto"/>
              <w:jc w:val="left"/>
              <w:rPr>
                <w:rFonts w:hint="default"/>
                <w:lang w:val="en-US" w:eastAsia="zh-CN"/>
              </w:rPr>
            </w:pPr>
            <w:r>
              <w:rPr>
                <w:rFonts w:hint="eastAsia" w:ascii="宋体" w:hAnsi="宋体" w:cs="宋体"/>
                <w:color w:val="auto"/>
                <w:sz w:val="24"/>
                <w:szCs w:val="24"/>
                <w:highlight w:val="none"/>
                <w:lang w:val="en-US" w:eastAsia="zh-CN"/>
              </w:rPr>
              <w:t>人员配备齐全、专业符合要求计分3-5分；人员配备专业及数量基本满足要求计分1-3分；</w:t>
            </w:r>
          </w:p>
        </w:tc>
      </w:tr>
      <w:tr w14:paraId="7CB65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344" w:type="pct"/>
            <w:vMerge w:val="continue"/>
            <w:tcBorders>
              <w:tl2br w:val="nil"/>
              <w:tr2bl w:val="nil"/>
            </w:tcBorders>
            <w:noWrap w:val="0"/>
            <w:tcMar>
              <w:left w:w="57" w:type="dxa"/>
              <w:right w:w="57" w:type="dxa"/>
            </w:tcMar>
            <w:vAlign w:val="center"/>
          </w:tcPr>
          <w:p w14:paraId="0C3E8946">
            <w:pPr>
              <w:spacing w:line="360" w:lineRule="auto"/>
              <w:jc w:val="center"/>
              <w:rPr>
                <w:rFonts w:hint="eastAsia" w:ascii="宋体" w:hAnsi="宋体" w:eastAsia="宋体" w:cs="宋体"/>
                <w:color w:val="auto"/>
                <w:sz w:val="24"/>
                <w:szCs w:val="24"/>
                <w:highlight w:val="none"/>
                <w:lang w:val="en-US" w:eastAsia="zh-CN"/>
              </w:rPr>
            </w:pPr>
          </w:p>
        </w:tc>
        <w:tc>
          <w:tcPr>
            <w:tcW w:w="749" w:type="pct"/>
            <w:vMerge w:val="continue"/>
            <w:tcBorders>
              <w:tl2br w:val="nil"/>
              <w:tr2bl w:val="nil"/>
            </w:tcBorders>
            <w:shd w:val="clear" w:color="auto" w:fill="auto"/>
            <w:noWrap w:val="0"/>
            <w:tcMar>
              <w:left w:w="57" w:type="dxa"/>
              <w:right w:w="57" w:type="dxa"/>
            </w:tcMar>
            <w:vAlign w:val="center"/>
          </w:tcPr>
          <w:p w14:paraId="0CA61714">
            <w:pPr>
              <w:spacing w:line="360" w:lineRule="auto"/>
              <w:jc w:val="center"/>
              <w:rPr>
                <w:rFonts w:hint="eastAsia" w:ascii="宋体" w:hAnsi="宋体" w:eastAsia="宋体" w:cs="宋体"/>
                <w:color w:val="auto"/>
                <w:sz w:val="24"/>
                <w:szCs w:val="24"/>
                <w:highlight w:val="none"/>
                <w:lang w:eastAsia="zh-CN"/>
              </w:rPr>
            </w:pPr>
          </w:p>
        </w:tc>
        <w:tc>
          <w:tcPr>
            <w:tcW w:w="363" w:type="pct"/>
            <w:vMerge w:val="continue"/>
            <w:tcBorders>
              <w:tl2br w:val="nil"/>
              <w:tr2bl w:val="nil"/>
            </w:tcBorders>
            <w:shd w:val="clear" w:color="auto" w:fill="auto"/>
            <w:noWrap w:val="0"/>
            <w:tcMar>
              <w:left w:w="57" w:type="dxa"/>
              <w:right w:w="57" w:type="dxa"/>
            </w:tcMar>
            <w:vAlign w:val="center"/>
          </w:tcPr>
          <w:p w14:paraId="7B0D7747">
            <w:pPr>
              <w:spacing w:line="360" w:lineRule="auto"/>
              <w:jc w:val="center"/>
              <w:rPr>
                <w:rFonts w:hint="eastAsia" w:ascii="宋体" w:hAnsi="宋体" w:eastAsia="宋体" w:cs="宋体"/>
                <w:color w:val="auto"/>
                <w:sz w:val="24"/>
                <w:szCs w:val="24"/>
                <w:highlight w:val="none"/>
                <w:lang w:eastAsia="zh-CN"/>
              </w:rPr>
            </w:pPr>
          </w:p>
        </w:tc>
        <w:tc>
          <w:tcPr>
            <w:tcW w:w="3543" w:type="pct"/>
            <w:tcBorders>
              <w:tl2br w:val="nil"/>
              <w:tr2bl w:val="nil"/>
            </w:tcBorders>
            <w:shd w:val="clear" w:color="auto" w:fill="auto"/>
            <w:noWrap w:val="0"/>
            <w:tcMar>
              <w:left w:w="142" w:type="dxa"/>
              <w:right w:w="142" w:type="dxa"/>
            </w:tcMar>
            <w:vAlign w:val="center"/>
          </w:tcPr>
          <w:p w14:paraId="5C43C3EB">
            <w:pPr>
              <w:spacing w:before="0" w:after="0"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针对本项目投入的仪器、设备配表情况横向比较计分1-4分，未提供不得分。</w:t>
            </w:r>
          </w:p>
        </w:tc>
      </w:tr>
      <w:tr w14:paraId="2307A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344" w:type="pct"/>
            <w:tcBorders>
              <w:tl2br w:val="nil"/>
              <w:tr2bl w:val="nil"/>
            </w:tcBorders>
            <w:noWrap w:val="0"/>
            <w:tcMar>
              <w:left w:w="57" w:type="dxa"/>
              <w:right w:w="57" w:type="dxa"/>
            </w:tcMar>
            <w:vAlign w:val="center"/>
          </w:tcPr>
          <w:p w14:paraId="06E52CA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9" w:type="pct"/>
            <w:tcBorders>
              <w:tl2br w:val="nil"/>
              <w:tr2bl w:val="nil"/>
            </w:tcBorders>
            <w:noWrap w:val="0"/>
            <w:tcMar>
              <w:left w:w="57" w:type="dxa"/>
              <w:right w:w="57" w:type="dxa"/>
            </w:tcMar>
            <w:vAlign w:val="center"/>
          </w:tcPr>
          <w:p w14:paraId="5F6BE68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现状理解及分析</w:t>
            </w:r>
          </w:p>
        </w:tc>
        <w:tc>
          <w:tcPr>
            <w:tcW w:w="363" w:type="pct"/>
            <w:tcBorders>
              <w:tl2br w:val="nil"/>
              <w:tr2bl w:val="nil"/>
            </w:tcBorders>
            <w:noWrap w:val="0"/>
            <w:tcMar>
              <w:left w:w="57" w:type="dxa"/>
              <w:right w:w="57" w:type="dxa"/>
            </w:tcMar>
            <w:vAlign w:val="center"/>
          </w:tcPr>
          <w:p w14:paraId="510409D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3543" w:type="pct"/>
            <w:tcBorders>
              <w:tl2br w:val="nil"/>
              <w:tr2bl w:val="nil"/>
            </w:tcBorders>
            <w:noWrap w:val="0"/>
            <w:tcMar>
              <w:left w:w="142" w:type="dxa"/>
              <w:right w:w="142" w:type="dxa"/>
            </w:tcMar>
            <w:vAlign w:val="center"/>
          </w:tcPr>
          <w:p w14:paraId="224B7BF2">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对项目现状及项目背景的认识分析情况的准确程度。</w:t>
            </w:r>
          </w:p>
          <w:p w14:paraId="2F62C4F2">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项目理解到位、分析准确，掌握项目各项工作要求，任务分析全面完善，计</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 xml:space="preserve">分； </w:t>
            </w:r>
          </w:p>
          <w:p w14:paraId="70CEB32A">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项目理解基本准确，了解项目相关情况，基本掌握项目各项工作要求，任务分析基本全面，计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分；</w:t>
            </w:r>
          </w:p>
          <w:p w14:paraId="12F5857F">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项目理解有欠缺，相关情况了解有欠缺，掌握项目基础工作要求，任务分析片面，</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 未提供不得分。</w:t>
            </w:r>
          </w:p>
        </w:tc>
      </w:tr>
      <w:tr w14:paraId="36BC1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344" w:type="pct"/>
            <w:tcBorders>
              <w:tl2br w:val="nil"/>
              <w:tr2bl w:val="nil"/>
            </w:tcBorders>
            <w:noWrap w:val="0"/>
            <w:tcMar>
              <w:left w:w="57" w:type="dxa"/>
              <w:right w:w="57" w:type="dxa"/>
            </w:tcMar>
            <w:vAlign w:val="center"/>
          </w:tcPr>
          <w:p w14:paraId="4E43891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49" w:type="pct"/>
            <w:tcBorders>
              <w:tl2br w:val="nil"/>
              <w:tr2bl w:val="nil"/>
            </w:tcBorders>
            <w:noWrap w:val="0"/>
            <w:tcMar>
              <w:left w:w="57" w:type="dxa"/>
              <w:right w:w="57" w:type="dxa"/>
            </w:tcMar>
            <w:vAlign w:val="center"/>
          </w:tcPr>
          <w:p w14:paraId="4E8FCE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实施方案</w:t>
            </w:r>
          </w:p>
        </w:tc>
        <w:tc>
          <w:tcPr>
            <w:tcW w:w="363" w:type="pct"/>
            <w:tcBorders>
              <w:tl2br w:val="nil"/>
              <w:tr2bl w:val="nil"/>
            </w:tcBorders>
            <w:noWrap w:val="0"/>
            <w:tcMar>
              <w:left w:w="57" w:type="dxa"/>
              <w:right w:w="57" w:type="dxa"/>
            </w:tcMar>
            <w:vAlign w:val="center"/>
          </w:tcPr>
          <w:p w14:paraId="0945400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3543" w:type="pct"/>
            <w:tcBorders>
              <w:tl2br w:val="nil"/>
              <w:tr2bl w:val="nil"/>
            </w:tcBorders>
            <w:noWrap w:val="0"/>
            <w:tcMar>
              <w:left w:w="142" w:type="dxa"/>
              <w:right w:w="142" w:type="dxa"/>
            </w:tcMar>
            <w:vAlign w:val="center"/>
          </w:tcPr>
          <w:p w14:paraId="31FEF7AF">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对本项目制定的实施方案包括项目技术实施方案合理性、可行性、先进性、针对性，</w:t>
            </w:r>
            <w:r>
              <w:rPr>
                <w:rFonts w:hint="eastAsia" w:ascii="宋体" w:hAnsi="宋体" w:cs="宋体"/>
                <w:color w:val="auto"/>
                <w:sz w:val="24"/>
                <w:szCs w:val="24"/>
                <w:highlight w:val="none"/>
                <w:lang w:val="en-US" w:eastAsia="zh-CN"/>
              </w:rPr>
              <w:t>项目思路，</w:t>
            </w:r>
            <w:r>
              <w:rPr>
                <w:rFonts w:hint="eastAsia" w:ascii="宋体" w:hAnsi="宋体" w:eastAsia="宋体" w:cs="宋体"/>
                <w:color w:val="auto"/>
                <w:sz w:val="24"/>
                <w:szCs w:val="24"/>
                <w:highlight w:val="none"/>
                <w:lang w:val="en-US" w:eastAsia="zh-CN"/>
              </w:rPr>
              <w:t xml:space="preserve">具有合理的工作团队组织架构，合理的工作流程图。 </w:t>
            </w:r>
          </w:p>
          <w:p w14:paraId="1953E019">
            <w:pPr>
              <w:spacing w:before="0"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1.实施</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完善合理可行、针对性强，</w:t>
            </w:r>
            <w:r>
              <w:rPr>
                <w:rFonts w:hint="eastAsia" w:ascii="宋体" w:hAnsi="宋体" w:eastAsia="宋体" w:cs="宋体"/>
                <w:color w:val="auto"/>
                <w:sz w:val="24"/>
                <w:szCs w:val="24"/>
                <w:highlight w:val="none"/>
                <w:lang w:val="en-US" w:eastAsia="zh-CN"/>
              </w:rPr>
              <w:t>符合本项目特点</w:t>
            </w:r>
            <w:r>
              <w:rPr>
                <w:rFonts w:hint="eastAsia" w:ascii="宋体" w:hAnsi="宋体" w:cs="宋体"/>
                <w:color w:val="auto"/>
                <w:sz w:val="24"/>
                <w:szCs w:val="24"/>
                <w:highlight w:val="none"/>
                <w:lang w:val="en-US" w:eastAsia="zh-CN"/>
              </w:rPr>
              <w:t>计分10</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71711C66">
            <w:pPr>
              <w:spacing w:before="0" w:after="0"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基本合理、具有一定操作性可行性。计分5</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10分；</w:t>
            </w:r>
          </w:p>
          <w:p w14:paraId="7C3218E4">
            <w:pPr>
              <w:spacing w:before="0" w:after="0"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3.方案内容缺陷多，内容空泛，操作性一般计分1-5分；</w:t>
            </w:r>
            <w:r>
              <w:rPr>
                <w:rFonts w:hint="eastAsia" w:ascii="宋体" w:hAnsi="宋体" w:eastAsia="宋体" w:cs="宋体"/>
                <w:color w:val="auto"/>
                <w:sz w:val="24"/>
                <w:szCs w:val="24"/>
                <w:highlight w:val="none"/>
                <w:lang w:val="en-US" w:eastAsia="zh-CN"/>
              </w:rPr>
              <w:t>未提供不得分。</w:t>
            </w:r>
          </w:p>
        </w:tc>
      </w:tr>
      <w:tr w14:paraId="22894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4" w:hRule="exact"/>
        </w:trPr>
        <w:tc>
          <w:tcPr>
            <w:tcW w:w="344" w:type="pct"/>
            <w:tcBorders>
              <w:tl2br w:val="nil"/>
              <w:tr2bl w:val="nil"/>
            </w:tcBorders>
            <w:noWrap w:val="0"/>
            <w:tcMar>
              <w:left w:w="57" w:type="dxa"/>
              <w:right w:w="57" w:type="dxa"/>
            </w:tcMar>
            <w:vAlign w:val="center"/>
          </w:tcPr>
          <w:p w14:paraId="09C656F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49" w:type="pct"/>
            <w:tcBorders>
              <w:tl2br w:val="nil"/>
              <w:tr2bl w:val="nil"/>
            </w:tcBorders>
            <w:noWrap w:val="0"/>
            <w:tcMar>
              <w:left w:w="57" w:type="dxa"/>
              <w:right w:w="57" w:type="dxa"/>
            </w:tcMar>
            <w:vAlign w:val="center"/>
          </w:tcPr>
          <w:p w14:paraId="71EDC916">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质量管理措施与质量控制方法</w:t>
            </w:r>
          </w:p>
          <w:p w14:paraId="0E28EB74">
            <w:pPr>
              <w:spacing w:line="360" w:lineRule="auto"/>
              <w:jc w:val="center"/>
              <w:rPr>
                <w:rFonts w:hint="eastAsia" w:ascii="宋体" w:hAnsi="宋体" w:eastAsia="宋体" w:cs="宋体"/>
                <w:color w:val="auto"/>
                <w:sz w:val="24"/>
                <w:szCs w:val="24"/>
                <w:highlight w:val="none"/>
                <w:lang w:val="en-US" w:eastAsia="zh-CN"/>
              </w:rPr>
            </w:pPr>
          </w:p>
        </w:tc>
        <w:tc>
          <w:tcPr>
            <w:tcW w:w="363" w:type="pct"/>
            <w:tcBorders>
              <w:tl2br w:val="nil"/>
              <w:tr2bl w:val="nil"/>
            </w:tcBorders>
            <w:noWrap w:val="0"/>
            <w:tcMar>
              <w:left w:w="57" w:type="dxa"/>
              <w:right w:w="57" w:type="dxa"/>
            </w:tcMar>
            <w:vAlign w:val="center"/>
          </w:tcPr>
          <w:p w14:paraId="3A05CFAE">
            <w:pPr>
              <w:pStyle w:val="107"/>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12分</w:t>
            </w:r>
          </w:p>
        </w:tc>
        <w:tc>
          <w:tcPr>
            <w:tcW w:w="3543" w:type="pct"/>
            <w:tcBorders>
              <w:tl2br w:val="nil"/>
              <w:tr2bl w:val="nil"/>
            </w:tcBorders>
            <w:noWrap w:val="0"/>
            <w:tcMar>
              <w:left w:w="142" w:type="dxa"/>
              <w:right w:w="142" w:type="dxa"/>
            </w:tcMar>
            <w:vAlign w:val="center"/>
          </w:tcPr>
          <w:p w14:paraId="01AC5429">
            <w:pPr>
              <w:pStyle w:val="107"/>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根据质量管理措施及控制方法合理性、可实施性进行评分：</w:t>
            </w:r>
          </w:p>
          <w:p w14:paraId="0A783217">
            <w:pPr>
              <w:pStyle w:val="107"/>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1.措施及方法详细合理，措施及方案科学合理，完全满足项目需求计 8</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分；</w:t>
            </w:r>
          </w:p>
          <w:p w14:paraId="3C9F1C10">
            <w:pPr>
              <w:pStyle w:val="107"/>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2.措施及方法合理，基本满足项目需求计 4</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8分；</w:t>
            </w:r>
          </w:p>
          <w:p w14:paraId="79F6BA96">
            <w:pPr>
              <w:pStyle w:val="107"/>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3.措施及方法简单，不利于项目实施计1</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分，未提供不计分</w:t>
            </w:r>
          </w:p>
        </w:tc>
      </w:tr>
      <w:tr w14:paraId="6460F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4" w:hRule="exact"/>
        </w:trPr>
        <w:tc>
          <w:tcPr>
            <w:tcW w:w="344" w:type="pct"/>
            <w:tcBorders>
              <w:tl2br w:val="nil"/>
              <w:tr2bl w:val="nil"/>
            </w:tcBorders>
            <w:noWrap w:val="0"/>
            <w:tcMar>
              <w:left w:w="57" w:type="dxa"/>
              <w:right w:w="57" w:type="dxa"/>
            </w:tcMar>
            <w:vAlign w:val="center"/>
          </w:tcPr>
          <w:p w14:paraId="754AE5C6">
            <w:pPr>
              <w:pStyle w:val="107"/>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749" w:type="pct"/>
            <w:tcBorders>
              <w:tl2br w:val="nil"/>
              <w:tr2bl w:val="nil"/>
            </w:tcBorders>
            <w:noWrap w:val="0"/>
            <w:tcMar>
              <w:left w:w="57" w:type="dxa"/>
              <w:right w:w="57" w:type="dxa"/>
            </w:tcMar>
            <w:vAlign w:val="center"/>
          </w:tcPr>
          <w:p w14:paraId="1C1D8E54">
            <w:pPr>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进度计划及保障措施</w:t>
            </w:r>
          </w:p>
        </w:tc>
        <w:tc>
          <w:tcPr>
            <w:tcW w:w="363" w:type="pct"/>
            <w:tcBorders>
              <w:tl2br w:val="nil"/>
              <w:tr2bl w:val="nil"/>
            </w:tcBorders>
            <w:noWrap w:val="0"/>
            <w:tcMar>
              <w:left w:w="57" w:type="dxa"/>
              <w:right w:w="57" w:type="dxa"/>
            </w:tcMar>
            <w:vAlign w:val="center"/>
          </w:tcPr>
          <w:p w14:paraId="3F7EB294">
            <w:pPr>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9分</w:t>
            </w:r>
          </w:p>
        </w:tc>
        <w:tc>
          <w:tcPr>
            <w:tcW w:w="3543" w:type="pct"/>
            <w:tcBorders>
              <w:tl2br w:val="nil"/>
              <w:tr2bl w:val="nil"/>
            </w:tcBorders>
            <w:noWrap w:val="0"/>
            <w:tcMar>
              <w:left w:w="142" w:type="dxa"/>
              <w:right w:w="142" w:type="dxa"/>
            </w:tcMar>
            <w:vAlign w:val="center"/>
          </w:tcPr>
          <w:p w14:paraId="585A93E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根据工作进度计划安排的合理性、与本项目实际情况的符合性，进度保证措施的可靠性、可实施性进行评分： </w:t>
            </w:r>
          </w:p>
          <w:p w14:paraId="521626C0">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进度安排合理可行，进度保证措施详细、工作节点清晰，计</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zh-CN" w:eastAsia="zh-CN" w:bidi="ar-SA"/>
              </w:rPr>
              <w:t>分</w:t>
            </w:r>
            <w:r>
              <w:rPr>
                <w:rFonts w:hint="eastAsia" w:ascii="宋体" w:hAnsi="宋体" w:eastAsia="宋体" w:cs="宋体"/>
                <w:color w:val="auto"/>
                <w:kern w:val="2"/>
                <w:sz w:val="24"/>
                <w:szCs w:val="24"/>
                <w:highlight w:val="none"/>
                <w:lang w:val="en-US" w:eastAsia="zh-CN" w:bidi="ar-SA"/>
              </w:rPr>
              <w:t xml:space="preserve">； </w:t>
            </w:r>
          </w:p>
          <w:p w14:paraId="4FFA4F8F">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进度安排基本合理，进度保证措施不明确，需进一步协调，得3-</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分； </w:t>
            </w:r>
          </w:p>
          <w:p w14:paraId="2CD975E0">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进度安排不合理，进度保证措施简单，得1-3分；未提供得0分。</w:t>
            </w:r>
          </w:p>
        </w:tc>
      </w:tr>
      <w:tr w14:paraId="3F395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1" w:hRule="exact"/>
        </w:trPr>
        <w:tc>
          <w:tcPr>
            <w:tcW w:w="344" w:type="pct"/>
            <w:tcBorders>
              <w:tl2br w:val="nil"/>
              <w:tr2bl w:val="nil"/>
            </w:tcBorders>
            <w:noWrap w:val="0"/>
            <w:tcMar>
              <w:left w:w="57" w:type="dxa"/>
              <w:right w:w="57" w:type="dxa"/>
            </w:tcMar>
            <w:vAlign w:val="center"/>
          </w:tcPr>
          <w:p w14:paraId="56EB29CC">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749" w:type="pct"/>
            <w:tcBorders>
              <w:tl2br w:val="nil"/>
              <w:tr2bl w:val="nil"/>
            </w:tcBorders>
            <w:noWrap w:val="0"/>
            <w:tcMar>
              <w:left w:w="57" w:type="dxa"/>
              <w:right w:w="57" w:type="dxa"/>
            </w:tcMar>
            <w:vAlign w:val="center"/>
          </w:tcPr>
          <w:p w14:paraId="7EFC2F3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项目重难点分析与解决方案</w:t>
            </w:r>
          </w:p>
          <w:p w14:paraId="0846834B">
            <w:pPr>
              <w:spacing w:line="360" w:lineRule="auto"/>
              <w:jc w:val="center"/>
              <w:rPr>
                <w:rFonts w:hint="eastAsia" w:ascii="宋体" w:hAnsi="宋体" w:eastAsia="宋体" w:cs="宋体"/>
                <w:color w:val="auto"/>
                <w:sz w:val="24"/>
                <w:szCs w:val="24"/>
                <w:highlight w:val="none"/>
                <w:lang w:val="en-US" w:eastAsia="zh-CN"/>
              </w:rPr>
            </w:pPr>
          </w:p>
        </w:tc>
        <w:tc>
          <w:tcPr>
            <w:tcW w:w="363" w:type="pct"/>
            <w:tcBorders>
              <w:tl2br w:val="nil"/>
              <w:tr2bl w:val="nil"/>
            </w:tcBorders>
            <w:noWrap w:val="0"/>
            <w:tcMar>
              <w:left w:w="57" w:type="dxa"/>
              <w:right w:w="57" w:type="dxa"/>
            </w:tcMar>
            <w:vAlign w:val="center"/>
          </w:tcPr>
          <w:p w14:paraId="7DFE5A7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3543" w:type="pct"/>
            <w:tcBorders>
              <w:tl2br w:val="nil"/>
              <w:tr2bl w:val="nil"/>
            </w:tcBorders>
            <w:noWrap w:val="0"/>
            <w:tcMar>
              <w:left w:w="142" w:type="dxa"/>
              <w:right w:w="142" w:type="dxa"/>
            </w:tcMar>
            <w:vAlign w:val="center"/>
          </w:tcPr>
          <w:p w14:paraId="15713787">
            <w:pPr>
              <w:spacing w:line="360" w:lineRule="auto"/>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根据供应商对项目的重点、难点等分析，提出切实可行的解决方案</w:t>
            </w:r>
            <w:r>
              <w:rPr>
                <w:rFonts w:hint="eastAsia" w:ascii="宋体" w:hAnsi="宋体" w:cs="宋体"/>
                <w:color w:val="auto"/>
                <w:sz w:val="24"/>
                <w:szCs w:val="24"/>
                <w:highlight w:val="none"/>
                <w:lang w:val="en-US" w:eastAsia="zh-CN"/>
              </w:rPr>
              <w:t>。</w:t>
            </w:r>
          </w:p>
          <w:p w14:paraId="1E9B7819">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1.分析精确、解决</w:t>
            </w:r>
            <w:r>
              <w:rPr>
                <w:rFonts w:hint="eastAsia" w:ascii="宋体" w:hAnsi="宋体" w:eastAsia="宋体" w:cs="宋体"/>
                <w:color w:val="auto"/>
                <w:kern w:val="2"/>
                <w:sz w:val="24"/>
                <w:szCs w:val="24"/>
                <w:highlight w:val="none"/>
                <w:lang w:val="en-US" w:eastAsia="zh-CN" w:bidi="ar-SA"/>
              </w:rPr>
              <w:t>方案科学合理，完全满足项目需求计</w:t>
            </w:r>
            <w:r>
              <w:rPr>
                <w:rFonts w:hint="eastAsia" w:ascii="宋体" w:hAnsi="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14:paraId="077760D9">
            <w:pPr>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2.分析有偏离，解决方案基本符合要求计分3-7分；</w:t>
            </w:r>
          </w:p>
          <w:p w14:paraId="62A7A72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3.重难点分析及解决方案</w:t>
            </w:r>
            <w:r>
              <w:rPr>
                <w:rFonts w:hint="eastAsia" w:ascii="宋体" w:hAnsi="宋体" w:eastAsia="宋体" w:cs="宋体"/>
                <w:color w:val="auto"/>
                <w:kern w:val="2"/>
                <w:sz w:val="24"/>
                <w:szCs w:val="24"/>
                <w:highlight w:val="none"/>
                <w:lang w:val="en-US" w:eastAsia="zh-CN" w:bidi="ar-SA"/>
              </w:rPr>
              <w:t>不</w:t>
            </w:r>
            <w:r>
              <w:rPr>
                <w:rFonts w:hint="eastAsia" w:ascii="宋体" w:hAnsi="宋体" w:cs="宋体"/>
                <w:color w:val="auto"/>
                <w:kern w:val="2"/>
                <w:sz w:val="24"/>
                <w:szCs w:val="24"/>
                <w:highlight w:val="none"/>
                <w:lang w:val="en-US" w:eastAsia="zh-CN" w:bidi="ar-SA"/>
              </w:rPr>
              <w:t>符合</w:t>
            </w:r>
            <w:r>
              <w:rPr>
                <w:rFonts w:hint="eastAsia" w:ascii="宋体" w:hAnsi="宋体" w:eastAsia="宋体" w:cs="宋体"/>
                <w:color w:val="auto"/>
                <w:kern w:val="2"/>
                <w:sz w:val="24"/>
                <w:szCs w:val="24"/>
                <w:highlight w:val="none"/>
                <w:lang w:val="en-US" w:eastAsia="zh-CN" w:bidi="ar-SA"/>
              </w:rPr>
              <w:t>项目实施计1</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分，未提供不计分。</w:t>
            </w:r>
          </w:p>
        </w:tc>
      </w:tr>
      <w:tr w14:paraId="40AA20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4" w:hRule="exact"/>
        </w:trPr>
        <w:tc>
          <w:tcPr>
            <w:tcW w:w="344" w:type="pct"/>
            <w:tcBorders>
              <w:tl2br w:val="nil"/>
              <w:tr2bl w:val="nil"/>
            </w:tcBorders>
            <w:noWrap w:val="0"/>
            <w:tcMar>
              <w:left w:w="57" w:type="dxa"/>
              <w:right w:w="57" w:type="dxa"/>
            </w:tcMar>
            <w:vAlign w:val="center"/>
          </w:tcPr>
          <w:p w14:paraId="4792505B">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749" w:type="pct"/>
            <w:tcBorders>
              <w:tl2br w:val="nil"/>
              <w:tr2bl w:val="nil"/>
            </w:tcBorders>
            <w:noWrap w:val="0"/>
            <w:tcMar>
              <w:left w:w="57" w:type="dxa"/>
              <w:right w:w="57" w:type="dxa"/>
            </w:tcMar>
            <w:vAlign w:val="center"/>
          </w:tcPr>
          <w:p w14:paraId="6A424518">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保密措施</w:t>
            </w:r>
          </w:p>
        </w:tc>
        <w:tc>
          <w:tcPr>
            <w:tcW w:w="363" w:type="pct"/>
            <w:tcBorders>
              <w:tl2br w:val="nil"/>
              <w:tr2bl w:val="nil"/>
            </w:tcBorders>
            <w:noWrap w:val="0"/>
            <w:tcMar>
              <w:left w:w="57" w:type="dxa"/>
              <w:right w:w="57" w:type="dxa"/>
            </w:tcMar>
            <w:vAlign w:val="center"/>
          </w:tcPr>
          <w:p w14:paraId="568AE6A0">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3543" w:type="pct"/>
            <w:tcBorders>
              <w:tl2br w:val="nil"/>
              <w:tr2bl w:val="nil"/>
            </w:tcBorders>
            <w:noWrap w:val="0"/>
            <w:tcMar>
              <w:left w:w="142" w:type="dxa"/>
              <w:right w:w="142" w:type="dxa"/>
            </w:tcMar>
            <w:vAlign w:val="center"/>
          </w:tcPr>
          <w:p w14:paraId="4F3A1DA5">
            <w:pPr>
              <w:pStyle w:val="107"/>
              <w:numPr>
                <w:ilvl w:val="0"/>
                <w:numId w:val="0"/>
              </w:numPr>
              <w:spacing w:line="360" w:lineRule="auto"/>
              <w:ind w:lef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针对本项目提供详细的保密措施。措施及方案科学合理，完全满足项目需求计3</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5分；措施及方法简单，不利于项目实施计1</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分，未提供不计分。</w:t>
            </w:r>
          </w:p>
        </w:tc>
      </w:tr>
      <w:tr w14:paraId="1B9DE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9" w:hRule="exact"/>
        </w:trPr>
        <w:tc>
          <w:tcPr>
            <w:tcW w:w="344" w:type="pct"/>
            <w:tcBorders>
              <w:tl2br w:val="nil"/>
              <w:tr2bl w:val="nil"/>
            </w:tcBorders>
            <w:noWrap w:val="0"/>
            <w:tcMar>
              <w:left w:w="57" w:type="dxa"/>
              <w:right w:w="57" w:type="dxa"/>
            </w:tcMar>
            <w:vAlign w:val="center"/>
          </w:tcPr>
          <w:p w14:paraId="1E58B28C">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749" w:type="pct"/>
            <w:tcBorders>
              <w:tl2br w:val="nil"/>
              <w:tr2bl w:val="nil"/>
            </w:tcBorders>
            <w:noWrap w:val="0"/>
            <w:tcMar>
              <w:left w:w="57" w:type="dxa"/>
              <w:right w:w="57" w:type="dxa"/>
            </w:tcMar>
            <w:vAlign w:val="center"/>
          </w:tcPr>
          <w:p w14:paraId="095260FA">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后续服务</w:t>
            </w:r>
          </w:p>
        </w:tc>
        <w:tc>
          <w:tcPr>
            <w:tcW w:w="363" w:type="pct"/>
            <w:tcBorders>
              <w:tl2br w:val="nil"/>
              <w:tr2bl w:val="nil"/>
            </w:tcBorders>
            <w:noWrap w:val="0"/>
            <w:tcMar>
              <w:left w:w="57" w:type="dxa"/>
              <w:right w:w="57" w:type="dxa"/>
            </w:tcMar>
            <w:vAlign w:val="center"/>
          </w:tcPr>
          <w:p w14:paraId="1B2D7E21">
            <w:pPr>
              <w:pStyle w:val="107"/>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3543" w:type="pct"/>
            <w:tcBorders>
              <w:tl2br w:val="nil"/>
              <w:tr2bl w:val="nil"/>
            </w:tcBorders>
            <w:noWrap w:val="0"/>
            <w:tcMar>
              <w:left w:w="142" w:type="dxa"/>
              <w:right w:w="142" w:type="dxa"/>
            </w:tcMar>
            <w:vAlign w:val="center"/>
          </w:tcPr>
          <w:p w14:paraId="44EF29D3">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根据本项目提供的后续服务计划是否详细，具体、切实可行。</w:t>
            </w:r>
          </w:p>
          <w:p w14:paraId="318B42E2">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服务计划方案描述详细合理计分3-5分；</w:t>
            </w:r>
          </w:p>
          <w:p w14:paraId="59782CF9">
            <w:pPr>
              <w:keepNext w:val="0"/>
              <w:keepLines w:val="0"/>
              <w:widowControl/>
              <w:suppressLineNumbers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服务计划方案描述简单计分1-3分。未提供不得分。</w:t>
            </w:r>
          </w:p>
        </w:tc>
      </w:tr>
      <w:tr w14:paraId="7F3E0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0" w:hRule="exact"/>
        </w:trPr>
        <w:tc>
          <w:tcPr>
            <w:tcW w:w="344" w:type="pct"/>
            <w:tcBorders>
              <w:tl2br w:val="nil"/>
              <w:tr2bl w:val="nil"/>
            </w:tcBorders>
            <w:noWrap w:val="0"/>
            <w:tcMar>
              <w:left w:w="57" w:type="dxa"/>
              <w:right w:w="57" w:type="dxa"/>
            </w:tcMar>
            <w:vAlign w:val="center"/>
          </w:tcPr>
          <w:p w14:paraId="59B7D72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49" w:type="pct"/>
            <w:tcBorders>
              <w:tl2br w:val="nil"/>
              <w:tr2bl w:val="nil"/>
            </w:tcBorders>
            <w:noWrap w:val="0"/>
            <w:tcMar>
              <w:left w:w="57" w:type="dxa"/>
              <w:right w:w="57" w:type="dxa"/>
            </w:tcMar>
            <w:vAlign w:val="center"/>
          </w:tcPr>
          <w:p w14:paraId="042A74A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 绩</w:t>
            </w:r>
          </w:p>
        </w:tc>
        <w:tc>
          <w:tcPr>
            <w:tcW w:w="363" w:type="pct"/>
            <w:tcBorders>
              <w:tl2br w:val="nil"/>
              <w:tr2bl w:val="nil"/>
            </w:tcBorders>
            <w:noWrap w:val="0"/>
            <w:tcMar>
              <w:left w:w="57" w:type="dxa"/>
              <w:right w:w="57" w:type="dxa"/>
            </w:tcMar>
            <w:vAlign w:val="center"/>
          </w:tcPr>
          <w:p w14:paraId="5B16CC3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3543" w:type="pct"/>
            <w:tcBorders>
              <w:tl2br w:val="nil"/>
              <w:tr2bl w:val="nil"/>
            </w:tcBorders>
            <w:noWrap w:val="0"/>
            <w:tcMar>
              <w:left w:w="142" w:type="dxa"/>
              <w:right w:w="142" w:type="dxa"/>
            </w:tcMar>
            <w:vAlign w:val="center"/>
          </w:tcPr>
          <w:p w14:paraId="4DBCF18D">
            <w:pPr>
              <w:pStyle w:val="108"/>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提供20</w:t>
            </w: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zh-CN" w:eastAsia="zh-CN" w:bidi="ar-SA"/>
              </w:rPr>
              <w:t>年1月至今同类项目业绩证明材料每提供一个计</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分，不提供不得分。（以合同</w:t>
            </w:r>
            <w:r>
              <w:rPr>
                <w:rFonts w:hint="eastAsia" w:ascii="宋体" w:hAnsi="宋体" w:eastAsia="宋体" w:cs="宋体"/>
                <w:color w:val="auto"/>
                <w:kern w:val="2"/>
                <w:sz w:val="24"/>
                <w:szCs w:val="24"/>
                <w:highlight w:val="none"/>
                <w:lang w:val="en-US" w:eastAsia="zh-CN" w:bidi="ar-SA"/>
              </w:rPr>
              <w:t>或协议书</w:t>
            </w:r>
            <w:r>
              <w:rPr>
                <w:rFonts w:hint="eastAsia" w:ascii="宋体" w:hAnsi="宋体" w:eastAsia="宋体" w:cs="宋体"/>
                <w:color w:val="auto"/>
                <w:kern w:val="2"/>
                <w:sz w:val="24"/>
                <w:szCs w:val="24"/>
                <w:highlight w:val="none"/>
                <w:lang w:val="zh-CN" w:eastAsia="zh-CN" w:bidi="ar-SA"/>
              </w:rPr>
              <w:t>为准，时间以合同协议书</w:t>
            </w:r>
            <w:r>
              <w:rPr>
                <w:rFonts w:hint="eastAsia" w:ascii="宋体" w:hAnsi="宋体" w:eastAsia="宋体" w:cs="宋体"/>
                <w:color w:val="auto"/>
                <w:kern w:val="2"/>
                <w:sz w:val="24"/>
                <w:szCs w:val="24"/>
                <w:highlight w:val="none"/>
                <w:lang w:val="en-US" w:eastAsia="zh-CN" w:bidi="ar-SA"/>
              </w:rPr>
              <w:t>签订时间</w:t>
            </w:r>
            <w:r>
              <w:rPr>
                <w:rFonts w:hint="eastAsia" w:ascii="宋体" w:hAnsi="宋体" w:eastAsia="宋体" w:cs="宋体"/>
                <w:color w:val="auto"/>
                <w:kern w:val="2"/>
                <w:sz w:val="24"/>
                <w:szCs w:val="24"/>
                <w:highlight w:val="none"/>
                <w:lang w:val="zh-CN" w:eastAsia="zh-CN" w:bidi="ar-SA"/>
              </w:rPr>
              <w:t>为准）</w:t>
            </w:r>
          </w:p>
        </w:tc>
      </w:tr>
    </w:tbl>
    <w:p w14:paraId="0697E660">
      <w:pPr>
        <w:widowControl/>
        <w:autoSpaceDE w:val="0"/>
        <w:autoSpaceDN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注：1）评委打分超过得分界限或未按本方法赋分时，该评委的打分按废票处理。</w:t>
      </w:r>
    </w:p>
    <w:p w14:paraId="07D12F98">
      <w:pPr>
        <w:widowControl/>
        <w:autoSpaceDE w:val="0"/>
        <w:autoSpaceDN w:val="0"/>
        <w:spacing w:line="360" w:lineRule="auto"/>
        <w:ind w:firstLine="480" w:firstLineChars="200"/>
        <w:textAlignment w:val="bottom"/>
        <w:rPr>
          <w:rFonts w:hint="eastAsia" w:ascii="宋体" w:hAnsi="宋体" w:eastAsia="宋体" w:cs="宋体"/>
          <w:b/>
          <w:bCs/>
          <w:sz w:val="24"/>
          <w:szCs w:val="24"/>
        </w:rPr>
      </w:pPr>
      <w:r>
        <w:rPr>
          <w:rFonts w:hint="eastAsia" w:ascii="宋体" w:hAnsi="宋体" w:eastAsia="宋体" w:cs="宋体"/>
          <w:sz w:val="24"/>
          <w:szCs w:val="24"/>
        </w:rPr>
        <w:t>2）各种计算数字均保留两位小数，第三位“四舍五入”。</w:t>
      </w:r>
    </w:p>
    <w:p w14:paraId="390B4B6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3）特殊情况处理：</w:t>
      </w:r>
    </w:p>
    <w:p w14:paraId="22D6F3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a、当投标供应商评分项出现未报、漏报或零报价时，该分项得零分，并不参与投标报价分的计算。</w:t>
      </w:r>
    </w:p>
    <w:p w14:paraId="0BA80A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若出现综合得分相同时，投标报价得分高者为第一中标候选人，若投标报价得分相同，技术得分高者为第一中标候选人，若上述两项得分相同，则由全体磋商小组成员无记名投票，得票最高者为第一中标候选人。</w:t>
      </w:r>
    </w:p>
    <w:p w14:paraId="77F5C6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、评审过程中，若出现本评审方法以外的特殊情况时，将暂停评审，待评委商榷后再进行复会。</w:t>
      </w:r>
    </w:p>
    <w:p w14:paraId="261514C1">
      <w:pPr>
        <w:spacing w:line="360" w:lineRule="auto"/>
        <w:ind w:firstLine="120" w:firstLineChars="50"/>
        <w:rPr>
          <w:rFonts w:hint="eastAsia" w:ascii="宋体" w:hAnsi="宋体" w:eastAsia="宋体" w:cs="宋体"/>
          <w:b/>
          <w:sz w:val="24"/>
        </w:rPr>
      </w:pPr>
      <w:r>
        <w:rPr>
          <w:rFonts w:hint="eastAsia" w:ascii="宋体" w:hAnsi="宋体" w:eastAsia="宋体" w:cs="宋体"/>
          <w:b/>
          <w:sz w:val="24"/>
          <w:lang w:val="en-US" w:eastAsia="zh-CN"/>
        </w:rPr>
        <w:t>2-7</w:t>
      </w:r>
      <w:r>
        <w:rPr>
          <w:rFonts w:hint="eastAsia" w:ascii="宋体" w:hAnsi="宋体" w:eastAsia="宋体" w:cs="宋体"/>
          <w:b/>
          <w:sz w:val="24"/>
        </w:rPr>
        <w:t>、其他事项说明：（落实的相关政策）</w:t>
      </w:r>
    </w:p>
    <w:p w14:paraId="4EC9D606">
      <w:pPr>
        <w:pStyle w:val="22"/>
        <w:spacing w:before="0" w:beforeAutospacing="0" w:after="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采购项目需要落实的政府采购政策：依据《中华人民共和国政府采购法》、《中华人民共和国政府采购法实施条例》和《</w:t>
      </w:r>
      <w:r>
        <w:rPr>
          <w:rFonts w:hint="eastAsia" w:ascii="宋体" w:hAnsi="宋体" w:eastAsia="宋体" w:cs="宋体"/>
          <w:color w:val="000000"/>
        </w:rPr>
        <w:t>政府采购竞争性磋商采购方式管理暂行办法</w:t>
      </w:r>
      <w:r>
        <w:rPr>
          <w:rFonts w:hint="eastAsia" w:ascii="宋体" w:hAnsi="宋体" w:eastAsia="宋体" w:cs="宋体"/>
          <w:kern w:val="2"/>
        </w:rPr>
        <w:t xml:space="preserve">》的有关规定，落实政府采购政策。 </w:t>
      </w:r>
    </w:p>
    <w:p w14:paraId="0A59D37B">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w:t>
      </w:r>
      <w:r>
        <w:rPr>
          <w:rFonts w:hint="eastAsia" w:ascii="宋体" w:hAnsi="宋体" w:eastAsia="宋体" w:cs="宋体"/>
          <w:kern w:val="2"/>
          <w:sz w:val="24"/>
          <w:szCs w:val="20"/>
          <w:lang w:val="en-US" w:eastAsia="zh-CN" w:bidi="ar-SA"/>
        </w:rPr>
        <w:t>政部国家发展改革委关于印发〈节能产品政府采购实施意见〉的通知》（财库〔2004〕185号）；</w:t>
      </w:r>
    </w:p>
    <w:p w14:paraId="17952FE7">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（2）《国务院办公厅关于建立政府强制采购节能产品制度的通知》（国办发〔2007〕51号）；</w:t>
      </w:r>
    </w:p>
    <w:p w14:paraId="67509B45">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（3）《财政部环保总局关于环境标志产品政府采购实施的意见》（财库〔2006〕90号）；</w:t>
      </w:r>
    </w:p>
    <w:p w14:paraId="3F3F86E1">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（4）《政府采购促进中小企业发展管理办法》（财库〔2020〕46号）、关于进一步加大政府采购支持中小企业力度的通知财库〔2022〕19号；</w:t>
      </w:r>
    </w:p>
    <w:p w14:paraId="365565E2">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（5）《财政部 司法部关于政府采购支持监狱企业发展有关问题的通知》（财库〔2014〕68号）；</w:t>
      </w:r>
    </w:p>
    <w:p w14:paraId="56965A2F">
      <w:pPr>
        <w:shd w:val="clear" w:color="auto" w:fill="auto"/>
        <w:spacing w:line="36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（6）《三部门联合发布关于促进残疾人就业政府采购政策的通知》（财库〔2017〕141号）；</w:t>
      </w:r>
    </w:p>
    <w:p w14:paraId="3E73090E">
      <w:pPr>
        <w:shd w:val="clear" w:color="auto" w:fill="auto"/>
        <w:spacing w:line="36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A043EEA">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firstLine="480" w:firstLineChars="200"/>
        <w:jc w:val="both"/>
        <w:outlineLvl w:val="9"/>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（7）《财政部发展改革委生态环境部市场监管总局关于调整优化节能产品、环境标志产品政府采购执行机制的通知》（财库〔2019〕9号）；</w:t>
      </w:r>
    </w:p>
    <w:p w14:paraId="28CC4E36">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《财政部发展改革委生态环境部市场监管总局关于调整优化节能产品、环境标志产品政府采购执行机制的通知》（财库〔2019〕9号）；</w:t>
      </w:r>
    </w:p>
    <w:p w14:paraId="21D68BB0">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Chars="0" w:right="0" w:rightChars="0" w:firstLine="480" w:firstLineChars="200"/>
        <w:jc w:val="both"/>
        <w:outlineLvl w:val="9"/>
        <w:rPr>
          <w:rFonts w:hint="eastAsia" w:ascii="宋体" w:hAnsi="宋体" w:eastAsia="宋体" w:cs="宋体"/>
          <w:kern w:val="2"/>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）《陕西省中小企业政府采购信用融资办法》（陕财办采〔2018〕23号）。</w:t>
      </w:r>
    </w:p>
    <w:p w14:paraId="09E6AE6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3、定标</w:t>
      </w:r>
    </w:p>
    <w:p w14:paraId="7C7664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3-1、定标程序</w:t>
      </w:r>
    </w:p>
    <w:p w14:paraId="654866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磋商小组依据磋商文件的要求，对供应商进行认真评审。经过评审、澄清、磋商、最后报价等程序后，从响应文件满足磋商文件全部实质性要求的供应商中，按照评审得分由高到低顺序推荐3名以上成交候选供应商，并编写评审报告。</w:t>
      </w:r>
    </w:p>
    <w:p w14:paraId="4D2CA4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w:t>
      </w:r>
      <w:bookmarkStart w:id="26" w:name="OLE_LINK12"/>
      <w:r>
        <w:rPr>
          <w:rFonts w:hint="eastAsia" w:ascii="宋体" w:hAnsi="宋体" w:eastAsia="宋体" w:cs="宋体"/>
          <w:sz w:val="24"/>
          <w:szCs w:val="24"/>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6"/>
    <w:p w14:paraId="046185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代理机构应当自评审结束之日起2个工作日内将评审报告送交采购人。采购人在收到评审报告5个工作日内，根据磋商小组提交的评审报告和推荐的成交候选供应商，按照排序由高到低的原则确定成交供应商。确定结果后，采购人向采购代理机构出具《成交复函》。采购人逾期未确定成交供应商且不提出异议的，视为确定评审报告推荐的排名第一的供应商为成交供应商。</w:t>
      </w:r>
    </w:p>
    <w:p w14:paraId="018559F9">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3-2、成交供应商确定后，采购人和采购代理机构对未成交原因不作任何解释，竞争性磋商响应文件不予退还。</w:t>
      </w:r>
    </w:p>
    <w:p w14:paraId="1FEF8C88">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4、磋商无效的情形：</w:t>
      </w:r>
    </w:p>
    <w:p w14:paraId="2EC7BE4C">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4-1、未按照磋商文件的规定提交磋商保证金的；</w:t>
      </w:r>
    </w:p>
    <w:p w14:paraId="411AEB9D">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4-2、磋商响应文件未按磋商文件要求签署、盖章的；</w:t>
      </w:r>
    </w:p>
    <w:p w14:paraId="63C85125">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4-3、不具备磋商文件中规定的资格要求的；</w:t>
      </w:r>
    </w:p>
    <w:p w14:paraId="091B3FB8">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4-4、报价超过磋商文件中规定的预算金额的；</w:t>
      </w:r>
    </w:p>
    <w:p w14:paraId="7DEC03C7">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4-5、磋商响应文件含有采购人不能接受的附加条件的；</w:t>
      </w:r>
    </w:p>
    <w:p w14:paraId="7785A4F6">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4-6、提供虚假材料谋取成交的；</w:t>
      </w:r>
    </w:p>
    <w:p w14:paraId="260D8243">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4-7、采取不正当手段诋毁、排挤其他供应商的；</w:t>
      </w:r>
    </w:p>
    <w:p w14:paraId="3884D03E">
      <w:pPr>
        <w:tabs>
          <w:tab w:val="left" w:pos="27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4-8、法律、法规和磋商文件规定的其他无效情形。</w:t>
      </w:r>
    </w:p>
    <w:p w14:paraId="20C81003">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5、成交通知书</w:t>
      </w:r>
    </w:p>
    <w:p w14:paraId="0F441FE4">
      <w:pPr>
        <w:tabs>
          <w:tab w:val="left" w:pos="27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成交通知书由采购代理机构向成交人发出，成交供应商应在接到采购代理机构通知之日起七日内领取成交通知书。未在规定时间内领取成交通知书的，磋商保证金不予退还。提供磋商担保的供应商将由专业担保机构先行偿付采购人损失。</w:t>
      </w:r>
    </w:p>
    <w:p w14:paraId="54773D7C">
      <w:pPr>
        <w:pStyle w:val="43"/>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5-2、成交通知书发出后，采购人不得违法改变成交结果，成交人无正当理由不得放弃成交。</w:t>
      </w:r>
    </w:p>
    <w:p w14:paraId="47E1B898">
      <w:pPr>
        <w:pStyle w:val="5"/>
        <w:spacing w:before="0" w:after="0" w:line="360" w:lineRule="auto"/>
        <w:rPr>
          <w:rFonts w:hint="eastAsia" w:ascii="宋体" w:hAnsi="宋体" w:eastAsia="宋体" w:cs="宋体"/>
          <w:color w:val="auto"/>
          <w:sz w:val="24"/>
          <w:szCs w:val="24"/>
          <w:highlight w:val="none"/>
        </w:rPr>
      </w:pPr>
      <w:bookmarkStart w:id="27" w:name="_Toc5781523"/>
      <w:bookmarkStart w:id="28" w:name="_Toc7453878"/>
      <w:r>
        <w:rPr>
          <w:rFonts w:hint="eastAsia" w:ascii="宋体" w:hAnsi="宋体" w:eastAsia="宋体" w:cs="宋体"/>
          <w:color w:val="auto"/>
          <w:kern w:val="0"/>
          <w:sz w:val="24"/>
          <w:szCs w:val="24"/>
          <w:highlight w:val="none"/>
        </w:rPr>
        <w:t>八、</w:t>
      </w:r>
      <w:bookmarkEnd w:id="27"/>
      <w:bookmarkEnd w:id="28"/>
      <w:bookmarkStart w:id="29" w:name="_Toc7453879"/>
      <w:r>
        <w:rPr>
          <w:rFonts w:hint="eastAsia" w:ascii="宋体" w:hAnsi="宋体" w:eastAsia="宋体" w:cs="宋体"/>
          <w:color w:val="auto"/>
          <w:sz w:val="24"/>
          <w:szCs w:val="24"/>
          <w:highlight w:val="none"/>
        </w:rPr>
        <w:t>合同</w:t>
      </w:r>
      <w:bookmarkEnd w:id="29"/>
    </w:p>
    <w:p w14:paraId="77A627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1、成交供应商在收到成交通知书后</w:t>
      </w:r>
      <w:r>
        <w:rPr>
          <w:rFonts w:hint="eastAsia" w:ascii="宋体" w:hAnsi="宋体" w:eastAsia="宋体" w:cs="宋体"/>
          <w:color w:val="auto"/>
          <w:sz w:val="24"/>
          <w:szCs w:val="24"/>
          <w:highlight w:val="none"/>
          <w:lang w:eastAsia="zh-CN"/>
        </w:rPr>
        <w:t>二十五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0ECF5F3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因不可抗力或者自身原因不能履行政府采购合同的，采购人可以与排位在成交供应商之后第一位的成交候选供应商签订政府采购合同，以此类推，也可以重新开展采购活动。因自身原因拒绝签订采购合同的或者未按合同约定进行履约的，成交人不得参加对该项目重新开展的招标活动。</w:t>
      </w:r>
    </w:p>
    <w:p w14:paraId="639C47BB">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3、成交通知书将是合同的重要组成部分。竞争性磋商文件、成交供应商的竞争性磋商响应文件及评议过程中有关的澄清文件均作为合同附件。</w:t>
      </w:r>
    </w:p>
    <w:p w14:paraId="73215E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4、成交后，成交人应按照合同约定履行义务，完成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成交人不得向他人转让成交项目，也不得将成交项目肢解后分别向他人转让。成交人按照合同约定或者经采购人同意，成交人可以将成交项目的部分非主体、非关键性工作分包给他人完成。接受分包的供应商应当具备相应的资格条件，并不得再次分包。分包履行的，成交人就采购项目和分包项目向采购人负责，分包供应商就分包项目承担责任。中小企业根据《</w:t>
      </w:r>
      <w:r>
        <w:rPr>
          <w:rFonts w:hint="eastAsia" w:ascii="宋体" w:hAnsi="宋体" w:eastAsia="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财库(2020)46号</w:t>
      </w:r>
      <w:r>
        <w:rPr>
          <w:rFonts w:hint="eastAsia" w:ascii="宋体" w:hAnsi="宋体" w:eastAsia="宋体" w:cs="宋体"/>
          <w:color w:val="auto"/>
          <w:sz w:val="24"/>
          <w:szCs w:val="24"/>
          <w:highlight w:val="none"/>
        </w:rPr>
        <w:t>）规定的政策获取政府采购合同后，小型、微型企业不得分包或转包给大型、中型企业，中型企业不得分包或转包给大型企业。</w:t>
      </w:r>
    </w:p>
    <w:p w14:paraId="1BDF2E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5、所签订的合同不得对磋商文件确定的事项和成交人磋商响应文件作实质性修改。</w:t>
      </w:r>
    </w:p>
    <w:p w14:paraId="52C58F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6、采购人需追加与合同标的相同的</w:t>
      </w:r>
      <w:r>
        <w:rPr>
          <w:rFonts w:hint="eastAsia" w:ascii="宋体" w:hAnsi="宋体" w:eastAsia="宋体" w:cs="宋体"/>
          <w:color w:val="auto"/>
          <w:sz w:val="24"/>
          <w:szCs w:val="24"/>
          <w:highlight w:val="none"/>
          <w:lang w:eastAsia="zh-CN"/>
        </w:rPr>
        <w:t>货物、工程或服务的</w:t>
      </w:r>
      <w:r>
        <w:rPr>
          <w:rFonts w:hint="eastAsia" w:ascii="宋体" w:hAnsi="宋体" w:eastAsia="宋体" w:cs="宋体"/>
          <w:color w:val="auto"/>
          <w:sz w:val="24"/>
          <w:szCs w:val="24"/>
          <w:highlight w:val="none"/>
        </w:rPr>
        <w:t>，在不改变合同其他条款的前提下，可以与供应商协商签订补充合同，但所有补充合同的采购金额不得超过原合同采购金额的百分之十。</w:t>
      </w:r>
    </w:p>
    <w:p w14:paraId="47B8DCC4">
      <w:pPr>
        <w:pStyle w:val="5"/>
        <w:spacing w:before="0" w:after="0" w:line="360" w:lineRule="auto"/>
        <w:rPr>
          <w:rFonts w:hint="eastAsia" w:ascii="宋体" w:hAnsi="宋体" w:eastAsia="宋体" w:cs="宋体"/>
          <w:color w:val="auto"/>
          <w:kern w:val="0"/>
          <w:sz w:val="24"/>
          <w:szCs w:val="24"/>
          <w:highlight w:val="none"/>
        </w:rPr>
      </w:pPr>
      <w:bookmarkStart w:id="30" w:name="_Toc493247321"/>
      <w:bookmarkStart w:id="31" w:name="_Toc493074178"/>
      <w:bookmarkStart w:id="32" w:name="_Toc7453880"/>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、合同的履约</w:t>
      </w:r>
      <w:bookmarkEnd w:id="30"/>
      <w:bookmarkEnd w:id="31"/>
      <w:bookmarkEnd w:id="32"/>
    </w:p>
    <w:p w14:paraId="786015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、确定成交单位后，成交供应商因自身原因未按程序签订合同，采购人将取消其成交资格，同时报请监督机构备案，没收其保证金。在此情况下，采购人可按评审结果顺序将合同授予下一成交候选人或重新采购。</w:t>
      </w:r>
    </w:p>
    <w:p w14:paraId="476DF32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、成交供应商签订合同后，持合同到采购代理机构办理保证金退付手续。</w:t>
      </w:r>
    </w:p>
    <w:p w14:paraId="699C2350">
      <w:pPr>
        <w:spacing w:line="360" w:lineRule="auto"/>
        <w:rPr>
          <w:rFonts w:hint="eastAsia" w:ascii="宋体" w:hAnsi="宋体" w:eastAsia="宋体" w:cs="宋体"/>
          <w:b/>
          <w:bCs/>
          <w:color w:val="auto"/>
          <w:sz w:val="24"/>
          <w:szCs w:val="24"/>
          <w:highlight w:val="none"/>
        </w:rPr>
      </w:pPr>
      <w:bookmarkStart w:id="33" w:name="_Toc7453881"/>
      <w:r>
        <w:rPr>
          <w:rFonts w:hint="eastAsia" w:ascii="宋体" w:hAnsi="宋体" w:eastAsia="宋体" w:cs="宋体"/>
          <w:b/>
          <w:bCs/>
          <w:color w:val="auto"/>
          <w:sz w:val="24"/>
          <w:szCs w:val="24"/>
          <w:highlight w:val="none"/>
        </w:rPr>
        <w:t>十、招标服务费</w:t>
      </w:r>
      <w:bookmarkEnd w:id="33"/>
    </w:p>
    <w:p w14:paraId="21C4FCD0">
      <w:pPr>
        <w:spacing w:line="360" w:lineRule="auto"/>
        <w:ind w:firstLine="480" w:firstLineChars="200"/>
        <w:rPr>
          <w:rFonts w:hint="eastAsia" w:ascii="宋体" w:hAnsi="宋体" w:eastAsia="宋体" w:cs="宋体"/>
          <w:color w:val="auto"/>
          <w:sz w:val="24"/>
          <w:szCs w:val="24"/>
          <w:highlight w:val="none"/>
          <w:lang w:val="en-US" w:eastAsia="zh-CN"/>
        </w:rPr>
      </w:pPr>
      <w:bookmarkStart w:id="34" w:name="_Toc494556652"/>
      <w:bookmarkStart w:id="35" w:name="_Toc458848826"/>
      <w:bookmarkStart w:id="36" w:name="_Toc458848741"/>
      <w:bookmarkStart w:id="37" w:name="_Toc7453882"/>
      <w:bookmarkStart w:id="38" w:name="_Toc458848742"/>
      <w:bookmarkStart w:id="39" w:name="_Toc458848827"/>
      <w:bookmarkStart w:id="40" w:name="_Toc493247324"/>
      <w:r>
        <w:rPr>
          <w:rFonts w:hint="eastAsia" w:ascii="宋体" w:hAnsi="宋体" w:eastAsia="宋体" w:cs="宋体"/>
          <w:color w:val="auto"/>
          <w:sz w:val="24"/>
          <w:szCs w:val="24"/>
          <w:highlight w:val="none"/>
          <w:lang w:val="en-US" w:eastAsia="zh-CN"/>
        </w:rPr>
        <w:t>本项目代理服务费在本采购项目磋商结果公示期满后七日内,由成交单位按照合同约定一次性向采购代理机构缴纳服务费。该项费用中标人应充分考虑并包含在投标报价内，采购人不再单独列项支付。</w:t>
      </w:r>
    </w:p>
    <w:p w14:paraId="15863D44">
      <w:pPr>
        <w:pStyle w:val="5"/>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34"/>
      <w:bookmarkEnd w:id="35"/>
      <w:bookmarkEnd w:id="36"/>
      <w:r>
        <w:rPr>
          <w:rFonts w:hint="eastAsia" w:ascii="宋体" w:hAnsi="宋体" w:eastAsia="宋体" w:cs="宋体"/>
          <w:color w:val="auto"/>
          <w:sz w:val="24"/>
          <w:szCs w:val="24"/>
          <w:highlight w:val="none"/>
        </w:rPr>
        <w:t>重新开展采购活动</w:t>
      </w:r>
      <w:bookmarkEnd w:id="37"/>
    </w:p>
    <w:p w14:paraId="5FBE3B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如果发生下列情况之一的，采购人或采购代理机构将按《政府采购竞争性磋商采购方式管理暂行办法》等有关规定终止竞争性磋商采购活动，发布项目终止公告并说明原因，重新开展采购活动：</w:t>
      </w:r>
    </w:p>
    <w:p w14:paraId="7258952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43B4801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8E92C9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（3）磋商小组三分之二以上的专家认定所有磋商报价存在价格不实的现象；</w:t>
      </w:r>
    </w:p>
    <w:p w14:paraId="208DC890">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政府采购竞争性磋商采购方式管理暂行办法》（财库〔2014〕214号）除本办法第二十一条第三款规定及《财政部关于政府采购竞争性磋商采购方式管理暂行办法有关问题的补充通知》（财库〔2015〕124号）规定的情形外，在采购过程中符合要求的供应商或者报价未超过采购预算的供应商不足3家的。</w:t>
      </w:r>
    </w:p>
    <w:p w14:paraId="39D6A47D">
      <w:pPr>
        <w:pStyle w:val="5"/>
        <w:spacing w:before="0" w:after="0" w:line="360" w:lineRule="auto"/>
        <w:rPr>
          <w:rFonts w:hint="eastAsia" w:ascii="宋体" w:hAnsi="宋体" w:eastAsia="宋体" w:cs="宋体"/>
          <w:color w:val="auto"/>
          <w:sz w:val="24"/>
          <w:szCs w:val="24"/>
          <w:highlight w:val="none"/>
        </w:rPr>
      </w:pPr>
      <w:bookmarkStart w:id="41" w:name="_Toc7453883"/>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、询问、质疑与投诉</w:t>
      </w:r>
      <w:bookmarkEnd w:id="38"/>
      <w:bookmarkEnd w:id="39"/>
      <w:bookmarkEnd w:id="40"/>
      <w:bookmarkEnd w:id="41"/>
    </w:p>
    <w:p w14:paraId="43B6A420">
      <w:pPr>
        <w:spacing w:line="360" w:lineRule="auto"/>
        <w:ind w:firstLine="480" w:firstLineChars="200"/>
        <w:rPr>
          <w:rFonts w:hint="eastAsia" w:ascii="宋体" w:hAnsi="宋体" w:eastAsia="宋体" w:cs="宋体"/>
          <w:color w:val="auto"/>
          <w:sz w:val="24"/>
          <w:szCs w:val="24"/>
          <w:highlight w:val="none"/>
        </w:rPr>
      </w:pPr>
      <w:bookmarkStart w:id="42" w:name="_Toc458848828"/>
      <w:bookmarkStart w:id="43" w:name="_Toc458848743"/>
      <w:bookmarkStart w:id="44" w:name="_Toc7453884"/>
      <w:bookmarkStart w:id="45" w:name="_Toc493247325"/>
      <w:r>
        <w:rPr>
          <w:rFonts w:hint="eastAsia" w:ascii="宋体" w:hAnsi="宋体" w:eastAsia="宋体" w:cs="宋体"/>
          <w:color w:val="auto"/>
          <w:sz w:val="24"/>
          <w:szCs w:val="24"/>
          <w:highlight w:val="none"/>
        </w:rPr>
        <w:t>1.询问</w:t>
      </w:r>
    </w:p>
    <w:p w14:paraId="0732BCC5">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供应商对政府采购活动事项有疑问的，可以向采购代理机构或采购人提出询问。采购代理机构或采购人将在3个工作日内对投标供应商依法提出的询问作出答复。</w:t>
      </w:r>
    </w:p>
    <w:p w14:paraId="6DB3C6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4"/>
          <w:highlight w:val="none"/>
        </w:rPr>
        <w:t>提出的询问超出采购人对采购代理机构委托授权范围的，采购代理机构将告知</w:t>
      </w:r>
      <w:r>
        <w:rPr>
          <w:rFonts w:hint="eastAsia" w:ascii="宋体" w:hAnsi="宋体" w:eastAsia="宋体" w:cs="宋体"/>
          <w:color w:val="auto"/>
          <w:sz w:val="24"/>
          <w:szCs w:val="22"/>
          <w:highlight w:val="none"/>
        </w:rPr>
        <w:t>投标供应商</w:t>
      </w:r>
      <w:r>
        <w:rPr>
          <w:rFonts w:hint="eastAsia" w:ascii="宋体" w:hAnsi="宋体" w:eastAsia="宋体" w:cs="宋体"/>
          <w:color w:val="auto"/>
          <w:sz w:val="24"/>
          <w:szCs w:val="24"/>
          <w:highlight w:val="none"/>
        </w:rPr>
        <w:t>向采购人提出。</w:t>
      </w:r>
    </w:p>
    <w:p w14:paraId="41E7C4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2.质疑和投诉</w:t>
      </w:r>
    </w:p>
    <w:p w14:paraId="0DBF8A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4"/>
          <w:highlight w:val="none"/>
        </w:rPr>
        <w:t>认为磋商文件、磋商过程使自身的合法权益受到损害，可以在知道或者应当知道其自身权益</w:t>
      </w:r>
      <w:r>
        <w:rPr>
          <w:rFonts w:hint="eastAsia" w:ascii="宋体" w:hAnsi="宋体" w:eastAsia="宋体" w:cs="宋体"/>
          <w:color w:val="auto"/>
          <w:sz w:val="24"/>
          <w:szCs w:val="24"/>
          <w:highlight w:val="none"/>
          <w:lang w:eastAsia="zh-CN"/>
        </w:rPr>
        <w:t>受到</w:t>
      </w:r>
      <w:r>
        <w:rPr>
          <w:rFonts w:hint="eastAsia" w:ascii="宋体" w:hAnsi="宋体" w:eastAsia="宋体" w:cs="宋体"/>
          <w:color w:val="auto"/>
          <w:sz w:val="24"/>
          <w:szCs w:val="24"/>
          <w:highlight w:val="none"/>
        </w:rPr>
        <w:t>损害之日起七个工作日，以书面形式（纸质版加盖公章）向采购代理机构或采购人提出质疑。</w:t>
      </w: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4"/>
          <w:highlight w:val="none"/>
        </w:rPr>
        <w:t>认为磋商结果使自身的合法权益受到损害，可以在磋商结束后7日内前，以书面形式（纸质版加盖公章）向采购代理机构或采购人提出质疑。</w:t>
      </w:r>
    </w:p>
    <w:p w14:paraId="167671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2.1、质疑书应当包括以下主要内容：被质疑项目名称、项目编号、标段、竞争性磋商公告/中标公告发布时间、质疑事项、证据材料、法律依据（具体条款）、质疑人有效联系方式等。</w:t>
      </w:r>
    </w:p>
    <w:p w14:paraId="3E396F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7D699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2.3.有下列情形之一的，属于无效质疑，采购代理机构和采购人不予受理：</w:t>
      </w:r>
    </w:p>
    <w:p w14:paraId="26C4D2F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（1）质疑人不是参与本次政府采购项目的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/或潜在</w:t>
      </w:r>
      <w:r>
        <w:rPr>
          <w:rFonts w:hint="eastAsia" w:ascii="宋体" w:hAnsi="宋体" w:eastAsia="宋体" w:cs="宋体"/>
          <w:color w:val="auto"/>
          <w:sz w:val="24"/>
          <w:szCs w:val="24"/>
          <w:highlight w:val="none"/>
          <w:lang w:eastAsia="zh-CN"/>
        </w:rPr>
        <w:t>供应商；</w:t>
      </w:r>
    </w:p>
    <w:p w14:paraId="024630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（2）质疑人与质疑事项不存在利害关系的；</w:t>
      </w:r>
    </w:p>
    <w:p w14:paraId="361B03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（3）未在法定期限内提出质疑的；</w:t>
      </w:r>
    </w:p>
    <w:p w14:paraId="39D198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（4）质疑未以书面形式提出，或质疑书主要内容构成不完整的；</w:t>
      </w:r>
    </w:p>
    <w:p w14:paraId="430E8A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（5）质疑书没有合法有效的签字、盖章或授权的；</w:t>
      </w:r>
    </w:p>
    <w:p w14:paraId="58C83A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（6）以非法手段取得证据、材料的；</w:t>
      </w:r>
    </w:p>
    <w:p w14:paraId="1592AD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（7）质疑答复后，同一质疑人就同一事项再次提出质疑的；</w:t>
      </w:r>
    </w:p>
    <w:p w14:paraId="17A7BF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（8）不符合法律、法规、规章和监管机构规定的其他条件的。</w:t>
      </w:r>
    </w:p>
    <w:p w14:paraId="0F33A9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2.4、采购代理机构或采购人将在收到书面质疑后7个工作日内做出答复，并以书面形式通知质疑人和其他有关投标单位。</w:t>
      </w:r>
    </w:p>
    <w:p w14:paraId="65ED3E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供应商投诉的事项不得超出已质疑事项的范围。</w:t>
      </w:r>
    </w:p>
    <w:p w14:paraId="6845F3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2.6、对捏造事实、提供虚假材料进行质疑、投诉的行为予以严肃处理：</w:t>
      </w:r>
    </w:p>
    <w:p w14:paraId="512EB9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7B35D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2.7、对捏造事实诬告陷害他人、诽谤他人的法律适用：</w:t>
      </w:r>
    </w:p>
    <w:p w14:paraId="0E85B0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bookmarkEnd w:id="42"/>
    <w:bookmarkEnd w:id="43"/>
    <w:bookmarkEnd w:id="44"/>
    <w:bookmarkEnd w:id="45"/>
    <w:p w14:paraId="7C2E6F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w:t>
      </w:r>
      <w:r>
        <w:rPr>
          <w:rFonts w:hint="eastAsia" w:ascii="宋体" w:hAnsi="宋体" w:eastAsia="宋体" w:cs="宋体"/>
          <w:color w:val="auto"/>
          <w:sz w:val="24"/>
          <w:szCs w:val="24"/>
          <w:highlight w:val="none"/>
          <w:lang w:eastAsia="zh-CN"/>
        </w:rPr>
        <w:t>剥</w:t>
      </w:r>
      <w:r>
        <w:rPr>
          <w:rFonts w:hint="eastAsia" w:ascii="宋体" w:hAnsi="宋体" w:eastAsia="宋体" w:cs="宋体"/>
          <w:color w:val="auto"/>
          <w:sz w:val="24"/>
          <w:szCs w:val="24"/>
          <w:highlight w:val="none"/>
        </w:rPr>
        <w:t>夺政治权利。</w:t>
      </w:r>
    </w:p>
    <w:p w14:paraId="1A657B7C">
      <w:pPr>
        <w:pStyle w:val="5"/>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、拒绝商业贿赂</w:t>
      </w:r>
    </w:p>
    <w:p w14:paraId="2057C6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1、遵照陕西省财政厅的规定，采购人、采购代理机构、供应商和评审专家在磋商活动中，都要签订相应的《拒绝政府采购领域商业贿赂承诺书》，并对违反承诺的行为承担全部责任。</w:t>
      </w:r>
    </w:p>
    <w:p w14:paraId="1F4763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2、供应商必须填写一份《拒绝政府采购领域商业贿赂承诺书》（附件）并附在磋商响应文</w:t>
      </w:r>
      <w:r>
        <w:rPr>
          <w:rFonts w:hint="eastAsia" w:ascii="宋体" w:hAnsi="宋体" w:eastAsia="宋体" w:cs="宋体"/>
          <w:color w:val="auto"/>
          <w:sz w:val="24"/>
          <w:highlight w:val="none"/>
        </w:rPr>
        <w:t>件中。</w:t>
      </w:r>
    </w:p>
    <w:p w14:paraId="75F674E0">
      <w:pPr>
        <w:pStyle w:val="4"/>
        <w:spacing w:before="0" w:after="0" w:line="360" w:lineRule="auto"/>
        <w:jc w:val="both"/>
        <w:rPr>
          <w:rFonts w:hint="eastAsia" w:ascii="宋体" w:hAnsi="宋体" w:eastAsia="宋体" w:cs="宋体"/>
          <w:bCs/>
          <w:color w:val="auto"/>
          <w:kern w:val="0"/>
          <w:highlight w:val="none"/>
        </w:rPr>
        <w:sectPr>
          <w:footerReference r:id="rId7" w:type="first"/>
          <w:footerReference r:id="rId6" w:type="default"/>
          <w:pgSz w:w="11849" w:h="16781"/>
          <w:pgMar w:top="1440" w:right="1080" w:bottom="1440" w:left="1080" w:header="720" w:footer="720" w:gutter="0"/>
          <w:pgNumType w:start="1"/>
          <w:cols w:space="720" w:num="1"/>
          <w:docGrid w:linePitch="312" w:charSpace="0"/>
        </w:sectPr>
      </w:pPr>
    </w:p>
    <w:p w14:paraId="4C1D894F">
      <w:pPr>
        <w:pStyle w:val="4"/>
        <w:spacing w:before="0" w:after="0" w:line="360" w:lineRule="auto"/>
        <w:jc w:val="center"/>
        <w:rPr>
          <w:rFonts w:hint="eastAsia" w:ascii="宋体" w:hAnsi="宋体" w:eastAsia="宋体" w:cs="宋体"/>
          <w:color w:val="auto"/>
          <w:highlight w:val="none"/>
        </w:rPr>
      </w:pPr>
      <w:bookmarkStart w:id="46" w:name="_Toc16715"/>
      <w:r>
        <w:rPr>
          <w:rFonts w:hint="eastAsia" w:ascii="宋体" w:hAnsi="宋体" w:eastAsia="宋体" w:cs="宋体"/>
          <w:bCs/>
          <w:color w:val="auto"/>
          <w:kern w:val="0"/>
          <w:highlight w:val="none"/>
        </w:rPr>
        <w:t>第三章 采购内</w:t>
      </w:r>
      <w:r>
        <w:rPr>
          <w:rFonts w:hint="eastAsia" w:ascii="宋体" w:hAnsi="宋体" w:eastAsia="宋体" w:cs="宋体"/>
          <w:bCs/>
          <w:color w:val="auto"/>
          <w:kern w:val="0"/>
          <w:highlight w:val="none"/>
          <w:shd w:val="clear" w:color="auto" w:fill="FFFFFF" w:themeFill="background1"/>
        </w:rPr>
        <w:t>容及要求</w:t>
      </w:r>
      <w:bookmarkEnd w:id="46"/>
    </w:p>
    <w:p w14:paraId="61339A1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一、项目内容</w:t>
      </w:r>
    </w:p>
    <w:p w14:paraId="3C99A5AF">
      <w:pPr>
        <w:keepNext w:val="0"/>
        <w:keepLines w:val="0"/>
        <w:widowControl/>
        <w:suppressLineNumbers w:val="0"/>
        <w:shd w:val="clear"/>
        <w:spacing w:line="360" w:lineRule="auto"/>
        <w:ind w:firstLine="480" w:firstLineChars="2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为全面做好我县自然资源卫片执法工作，严守耕地保护红线，为全年耕地保护考核工作</w:t>
      </w:r>
      <w:r>
        <w:rPr>
          <w:rFonts w:hint="eastAsia" w:ascii="宋体" w:hAnsi="宋体" w:cs="宋体"/>
          <w:color w:val="000000"/>
          <w:kern w:val="0"/>
          <w:sz w:val="24"/>
          <w:szCs w:val="24"/>
          <w:lang w:val="en-US" w:eastAsia="zh-CN" w:bidi="ar"/>
        </w:rPr>
        <w:t>打好基础。</w:t>
      </w:r>
    </w:p>
    <w:p w14:paraId="5EE41A72">
      <w:pPr>
        <w:keepNext w:val="0"/>
        <w:keepLines w:val="0"/>
        <w:widowControl/>
        <w:suppressLineNumbers w:val="0"/>
        <w:shd w:val="clear"/>
        <w:spacing w:line="360" w:lineRule="auto"/>
        <w:ind w:firstLine="480" w:firstLineChars="2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本项目主要内容包括对2024年度部、省共下发我县土地卫片、矿产卫片、秦岭两乱图斑、殡葬专项整治等图斑1466个，进行外业举证包括初次调查举证及实地测量、数据比对、套合图斑，数据上传等工作内容。落实耕地保护工作要求，全方位夯实粮食安全根基，严厉打击违法占地行为。</w:t>
      </w:r>
    </w:p>
    <w:p w14:paraId="0D3EFF4A">
      <w:pPr>
        <w:keepNext w:val="0"/>
        <w:keepLines w:val="0"/>
        <w:widowControl/>
        <w:suppressLineNumbers w:val="0"/>
        <w:shd w:val="clear"/>
        <w:spacing w:line="360" w:lineRule="auto"/>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w:t>
      </w:r>
      <w:r>
        <w:rPr>
          <w:rFonts w:hint="eastAsia" w:ascii="宋体" w:hAnsi="宋体" w:cs="宋体"/>
          <w:b/>
          <w:bCs/>
          <w:color w:val="000000"/>
          <w:kern w:val="0"/>
          <w:sz w:val="24"/>
          <w:szCs w:val="24"/>
          <w:lang w:val="en-US" w:eastAsia="zh-CN" w:bidi="ar"/>
        </w:rPr>
        <w:t>服务</w:t>
      </w:r>
      <w:r>
        <w:rPr>
          <w:rFonts w:hint="eastAsia" w:ascii="宋体" w:hAnsi="宋体" w:eastAsia="宋体" w:cs="宋体"/>
          <w:b/>
          <w:bCs/>
          <w:color w:val="000000"/>
          <w:kern w:val="0"/>
          <w:sz w:val="24"/>
          <w:szCs w:val="24"/>
          <w:lang w:val="en-US" w:eastAsia="zh-CN" w:bidi="ar"/>
        </w:rPr>
        <w:t>要求</w:t>
      </w:r>
    </w:p>
    <w:p w14:paraId="65D735CB">
      <w:pPr>
        <w:keepNext w:val="0"/>
        <w:keepLines w:val="0"/>
        <w:widowControl/>
        <w:suppressLineNumbers w:val="0"/>
        <w:shd w:val="clear"/>
        <w:spacing w:line="360" w:lineRule="auto"/>
        <w:ind w:firstLine="240" w:firstLineChars="1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（1）配合</w:t>
      </w:r>
      <w:r>
        <w:rPr>
          <w:rFonts w:hint="eastAsia" w:ascii="宋体" w:hAnsi="宋体" w:eastAsia="宋体" w:cs="宋体"/>
          <w:color w:val="000000"/>
          <w:kern w:val="0"/>
          <w:sz w:val="24"/>
          <w:szCs w:val="24"/>
          <w:lang w:val="en-US" w:eastAsia="zh-CN" w:bidi="ar"/>
        </w:rPr>
        <w:t>卫片</w:t>
      </w:r>
      <w:r>
        <w:rPr>
          <w:rFonts w:hint="eastAsia" w:ascii="宋体" w:hAnsi="宋体" w:cs="宋体"/>
          <w:color w:val="000000"/>
          <w:kern w:val="0"/>
          <w:sz w:val="24"/>
          <w:szCs w:val="24"/>
          <w:lang w:val="en-US" w:eastAsia="zh-CN" w:bidi="ar"/>
        </w:rPr>
        <w:t>执法完成</w:t>
      </w:r>
      <w:r>
        <w:rPr>
          <w:rFonts w:hint="default" w:ascii="宋体" w:hAnsi="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4年图斑的外业核实处置，资料补充填报和退回图斑处理工作。</w:t>
      </w:r>
    </w:p>
    <w:p w14:paraId="1F532719">
      <w:pPr>
        <w:keepNext w:val="0"/>
        <w:keepLines w:val="0"/>
        <w:widowControl/>
        <w:suppressLineNumbers w:val="0"/>
        <w:shd w:val="clear"/>
        <w:spacing w:line="360" w:lineRule="auto"/>
        <w:ind w:firstLine="240" w:firstLineChars="10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w:t>
      </w:r>
      <w:r>
        <w:rPr>
          <w:rFonts w:hint="default" w:ascii="宋体" w:hAnsi="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）搜集2024年卫片图斑填报的相关资料批文等权属来源证明文件。形成2024年卫片执法台账。以报告形式提交，按采购人要求提供电子版和纸质版。</w:t>
      </w:r>
    </w:p>
    <w:p w14:paraId="133CD37C">
      <w:pPr>
        <w:keepNext w:val="0"/>
        <w:keepLines w:val="0"/>
        <w:widowControl/>
        <w:suppressLineNumbers w:val="0"/>
        <w:shd w:val="clear"/>
        <w:spacing w:line="360" w:lineRule="auto"/>
        <w:ind w:firstLine="240" w:firstLineChars="100"/>
        <w:jc w:val="left"/>
        <w:rPr>
          <w:rFonts w:hint="eastAsia" w:ascii="宋体" w:hAnsi="宋体" w:cs="宋体"/>
          <w:color w:val="000000"/>
          <w:kern w:val="0"/>
          <w:sz w:val="24"/>
          <w:szCs w:val="24"/>
          <w:lang w:val="en-US" w:eastAsia="zh-CN" w:bidi="ar"/>
        </w:rPr>
      </w:pPr>
      <w:bookmarkStart w:id="47" w:name="_Toc11523"/>
      <w:bookmarkStart w:id="48" w:name="_Toc7453886"/>
      <w:r>
        <w:rPr>
          <w:rFonts w:hint="eastAsia" w:ascii="宋体" w:hAnsi="宋体" w:cs="宋体"/>
          <w:color w:val="000000"/>
          <w:kern w:val="0"/>
          <w:sz w:val="24"/>
          <w:szCs w:val="24"/>
          <w:lang w:val="en-US" w:eastAsia="zh-CN" w:bidi="ar"/>
        </w:rPr>
        <w:t>（3）成果符合县局及上级要求；按时间节点完成。</w:t>
      </w:r>
    </w:p>
    <w:p w14:paraId="1590B859">
      <w:pPr>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lang w:eastAsia="zh-CN"/>
        </w:rPr>
        <w:br w:type="page"/>
      </w:r>
    </w:p>
    <w:p w14:paraId="454A58C0">
      <w:pPr>
        <w:pStyle w:val="4"/>
        <w:spacing w:before="0" w:after="0" w:line="360" w:lineRule="auto"/>
        <w:jc w:val="center"/>
        <w:rPr>
          <w:rFonts w:hint="eastAsia" w:ascii="宋体" w:hAnsi="宋体" w:eastAsia="宋体" w:cs="宋体"/>
          <w:bCs/>
          <w:color w:val="auto"/>
          <w:kern w:val="0"/>
          <w:highlight w:val="none"/>
        </w:rPr>
      </w:pPr>
      <w:r>
        <w:rPr>
          <w:rFonts w:hint="eastAsia" w:ascii="宋体" w:hAnsi="宋体" w:eastAsia="宋体" w:cs="宋体"/>
          <w:bCs/>
          <w:color w:val="auto"/>
          <w:kern w:val="0"/>
          <w:highlight w:val="none"/>
          <w:lang w:eastAsia="zh-CN"/>
        </w:rPr>
        <w:t>第四章</w:t>
      </w:r>
      <w:r>
        <w:rPr>
          <w:rFonts w:hint="eastAsia" w:ascii="宋体" w:hAnsi="宋体" w:eastAsia="宋体" w:cs="宋体"/>
          <w:bCs/>
          <w:color w:val="auto"/>
          <w:kern w:val="0"/>
          <w:highlight w:val="none"/>
          <w:lang w:val="en-US" w:eastAsia="zh-CN"/>
        </w:rPr>
        <w:t xml:space="preserve"> </w:t>
      </w:r>
      <w:r>
        <w:rPr>
          <w:rFonts w:hint="eastAsia" w:ascii="宋体" w:hAnsi="宋体" w:eastAsia="宋体" w:cs="宋体"/>
          <w:bCs/>
          <w:color w:val="auto"/>
          <w:kern w:val="0"/>
          <w:highlight w:val="none"/>
        </w:rPr>
        <w:t>商务要求</w:t>
      </w:r>
      <w:bookmarkEnd w:id="47"/>
      <w:bookmarkEnd w:id="48"/>
    </w:p>
    <w:p w14:paraId="4CC56DC1">
      <w:pPr>
        <w:numPr>
          <w:ilvl w:val="0"/>
          <w:numId w:val="0"/>
        </w:numPr>
        <w:spacing w:line="360" w:lineRule="auto"/>
        <w:rPr>
          <w:rFonts w:hint="eastAsia" w:ascii="宋体" w:hAnsi="宋体" w:eastAsia="宋体" w:cs="宋体"/>
          <w:color w:val="auto"/>
          <w:sz w:val="24"/>
          <w:szCs w:val="22"/>
          <w:highlight w:val="none"/>
        </w:rPr>
      </w:pPr>
      <w:bookmarkStart w:id="49" w:name="_Toc459125993"/>
      <w:bookmarkStart w:id="50" w:name="_Toc459142238"/>
      <w:bookmarkStart w:id="51" w:name="_Toc459049734"/>
      <w:bookmarkStart w:id="52" w:name="_Toc459049903"/>
      <w:bookmarkStart w:id="53" w:name="_Toc7453887"/>
      <w:r>
        <w:rPr>
          <w:rFonts w:hint="eastAsia" w:ascii="宋体" w:hAnsi="宋体" w:eastAsia="宋体" w:cs="宋体"/>
          <w:color w:val="auto"/>
          <w:sz w:val="24"/>
          <w:szCs w:val="22"/>
          <w:highlight w:val="none"/>
          <w:lang w:eastAsia="zh-CN"/>
        </w:rPr>
        <w:t>一、服务</w:t>
      </w:r>
      <w:r>
        <w:rPr>
          <w:rFonts w:hint="eastAsia" w:ascii="宋体" w:hAnsi="宋体" w:eastAsia="宋体" w:cs="宋体"/>
          <w:color w:val="auto"/>
          <w:sz w:val="24"/>
          <w:szCs w:val="22"/>
          <w:highlight w:val="none"/>
        </w:rPr>
        <w:t>期及地点：</w:t>
      </w:r>
    </w:p>
    <w:p w14:paraId="5448E700">
      <w:pPr>
        <w:shd w:val="clear" w:color="auto"/>
        <w:spacing w:line="360" w:lineRule="auto"/>
        <w:ind w:firstLine="480" w:firstLineChars="200"/>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shd w:val="clear" w:color="auto" w:fill="FFFFFF"/>
          <w:lang w:eastAsia="zh-CN"/>
        </w:rPr>
        <w:t>服务</w:t>
      </w:r>
      <w:r>
        <w:rPr>
          <w:rFonts w:hint="eastAsia" w:ascii="宋体" w:hAnsi="宋体" w:eastAsia="宋体" w:cs="宋体"/>
          <w:color w:val="auto"/>
          <w:sz w:val="24"/>
          <w:szCs w:val="22"/>
          <w:highlight w:val="none"/>
          <w:lang w:val="en-US" w:eastAsia="zh-CN"/>
        </w:rPr>
        <w:t>期：</w:t>
      </w:r>
      <w:r>
        <w:rPr>
          <w:rFonts w:hint="eastAsia" w:ascii="宋体" w:hAnsi="宋体" w:eastAsia="宋体" w:cs="宋体"/>
          <w:b w:val="0"/>
          <w:color w:val="auto"/>
          <w:kern w:val="2"/>
          <w:sz w:val="24"/>
          <w:szCs w:val="22"/>
          <w:highlight w:val="none"/>
          <w:lang w:val="en-US" w:eastAsia="zh-CN" w:bidi="ar-SA"/>
        </w:rPr>
        <w:t>自合同签订后60个日历日内完成。。</w:t>
      </w:r>
    </w:p>
    <w:p w14:paraId="728E4B3A">
      <w:pPr>
        <w:shd w:val="clea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、地  点：</w:t>
      </w:r>
      <w:r>
        <w:rPr>
          <w:rFonts w:hint="eastAsia" w:ascii="宋体" w:hAnsi="宋体" w:eastAsia="宋体" w:cs="宋体"/>
          <w:color w:val="auto"/>
          <w:sz w:val="24"/>
          <w:szCs w:val="22"/>
          <w:highlight w:val="none"/>
          <w:lang w:val="zh-CN"/>
        </w:rPr>
        <w:t>采购人</w:t>
      </w:r>
      <w:r>
        <w:rPr>
          <w:rFonts w:hint="eastAsia" w:ascii="宋体" w:hAnsi="宋体" w:eastAsia="宋体" w:cs="宋体"/>
          <w:color w:val="auto"/>
          <w:sz w:val="24"/>
          <w:szCs w:val="22"/>
          <w:highlight w:val="none"/>
        </w:rPr>
        <w:t>指定地点。</w:t>
      </w:r>
    </w:p>
    <w:p w14:paraId="76D02EF4">
      <w:pPr>
        <w:shd w:val="clear" w:color="auto"/>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二、</w:t>
      </w:r>
      <w:r>
        <w:rPr>
          <w:rFonts w:hint="eastAsia" w:ascii="宋体" w:hAnsi="宋体" w:eastAsia="宋体" w:cs="宋体"/>
          <w:color w:val="auto"/>
          <w:sz w:val="24"/>
          <w:szCs w:val="22"/>
          <w:highlight w:val="none"/>
        </w:rPr>
        <w:t>付款方式：</w:t>
      </w:r>
    </w:p>
    <w:p w14:paraId="77D535DB">
      <w:pPr>
        <w:numPr>
          <w:ilvl w:val="0"/>
          <w:numId w:val="0"/>
        </w:numPr>
        <w:spacing w:line="360" w:lineRule="auto"/>
        <w:ind w:firstLine="480" w:firstLineChars="2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合同签订后10天内，支付总费用的30％。审定通过的成果文件交付采购人后20天内支付剩余费用。</w:t>
      </w:r>
    </w:p>
    <w:p w14:paraId="1E518461">
      <w:pPr>
        <w:numPr>
          <w:ilvl w:val="0"/>
          <w:numId w:val="0"/>
        </w:num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三</w:t>
      </w:r>
      <w:r>
        <w:rPr>
          <w:rFonts w:hint="eastAsia" w:ascii="宋体" w:hAnsi="宋体" w:eastAsia="宋体" w:cs="宋体"/>
          <w:color w:val="auto"/>
          <w:sz w:val="24"/>
          <w:szCs w:val="22"/>
          <w:highlight w:val="none"/>
        </w:rPr>
        <w:t>、合同实施：</w:t>
      </w:r>
    </w:p>
    <w:p w14:paraId="7DEB347B">
      <w:pPr>
        <w:numPr>
          <w:ilvl w:val="0"/>
          <w:numId w:val="0"/>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 、成交单位应在合同签订后接采购方通知之日起与使用单位实施工作进行安排、部署、计划。</w:t>
      </w:r>
    </w:p>
    <w:p w14:paraId="7F1C8881">
      <w:pPr>
        <w:numPr>
          <w:ilvl w:val="0"/>
          <w:numId w:val="0"/>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、若未能在按照项目实际施工时间完成规定的义务，由此对采购方造成的延误和一切损失，由成交单位承担和赔偿。</w:t>
      </w:r>
    </w:p>
    <w:p w14:paraId="4B47E426">
      <w:pPr>
        <w:numPr>
          <w:ilvl w:val="0"/>
          <w:numId w:val="0"/>
        </w:num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四、</w:t>
      </w:r>
      <w:r>
        <w:rPr>
          <w:rFonts w:hint="eastAsia" w:ascii="宋体" w:hAnsi="宋体" w:eastAsia="宋体" w:cs="宋体"/>
          <w:color w:val="auto"/>
          <w:sz w:val="24"/>
          <w:szCs w:val="22"/>
          <w:highlight w:val="none"/>
        </w:rPr>
        <w:t>验 收:</w:t>
      </w:r>
    </w:p>
    <w:p w14:paraId="269BF192">
      <w:pPr>
        <w:numPr>
          <w:ilvl w:val="0"/>
          <w:numId w:val="0"/>
        </w:numPr>
        <w:spacing w:line="360" w:lineRule="auto"/>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lang w:val="zh-CN"/>
        </w:rPr>
        <w:t>成交供应商向采购人提交项目实施过程中的所有资料。</w:t>
      </w:r>
    </w:p>
    <w:p w14:paraId="18207784">
      <w:pPr>
        <w:numPr>
          <w:ilvl w:val="0"/>
          <w:numId w:val="0"/>
        </w:numPr>
        <w:spacing w:line="360" w:lineRule="auto"/>
        <w:ind w:firstLine="48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val="zh-CN"/>
        </w:rPr>
        <w:t>验收须以合同及竞争性磋商响应文件、澄清、及国家相应的标准、规范等为依据。</w:t>
      </w:r>
    </w:p>
    <w:p w14:paraId="7C4ABCC8">
      <w:pPr>
        <w:numPr>
          <w:ilvl w:val="0"/>
          <w:numId w:val="0"/>
        </w:num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五、成果归属</w:t>
      </w:r>
    </w:p>
    <w:p w14:paraId="1DD314AA">
      <w:pPr>
        <w:pStyle w:val="16"/>
        <w:spacing w:line="360" w:lineRule="auto"/>
        <w:ind w:firstLine="480" w:firstLineChars="200"/>
        <w:rPr>
          <w:rFonts w:hint="eastAsia" w:eastAsia="宋体"/>
          <w:lang w:val="en-US" w:eastAsia="zh-CN"/>
        </w:rPr>
      </w:pPr>
      <w:r>
        <w:rPr>
          <w:rFonts w:hint="eastAsia" w:ascii="宋体" w:hAnsi="宋体" w:eastAsia="宋体" w:cs="宋体"/>
          <w:bCs/>
          <w:color w:val="auto"/>
          <w:sz w:val="24"/>
          <w:szCs w:val="24"/>
          <w:highlight w:val="none"/>
          <w:lang w:val="en-US" w:eastAsia="zh-CN"/>
        </w:rPr>
        <w:t>服务成果的全部原始资料、中间过渡及最终成果所有权属于甲方。未经甲方书面许可，乙方不得擅自将原始资料，中间过渡或最终成果复制自留或提供给其他任何单位和个人，为自己或其它任何单位和个人谋取利益。</w:t>
      </w:r>
    </w:p>
    <w:p w14:paraId="10856AFB">
      <w:pPr>
        <w:numPr>
          <w:ilvl w:val="0"/>
          <w:numId w:val="0"/>
        </w:numPr>
        <w:spacing w:line="360" w:lineRule="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六</w:t>
      </w:r>
      <w:r>
        <w:rPr>
          <w:rFonts w:hint="eastAsia" w:ascii="宋体" w:hAnsi="宋体" w:eastAsia="宋体" w:cs="宋体"/>
          <w:color w:val="auto"/>
          <w:sz w:val="24"/>
          <w:szCs w:val="22"/>
          <w:highlight w:val="none"/>
        </w:rPr>
        <w:t>、违约责任：</w:t>
      </w:r>
    </w:p>
    <w:p w14:paraId="0EA422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w:t>
      </w:r>
      <w:r>
        <w:rPr>
          <w:rFonts w:hint="eastAsia" w:ascii="宋体" w:hAnsi="宋体" w:eastAsia="宋体" w:cs="宋体"/>
          <w:color w:val="auto"/>
          <w:sz w:val="24"/>
          <w:highlight w:val="none"/>
          <w:lang w:eastAsia="zh-CN"/>
        </w:rPr>
        <w:t>中华人民共和国民法典</w:t>
      </w:r>
      <w:r>
        <w:rPr>
          <w:rFonts w:hint="eastAsia" w:ascii="宋体" w:hAnsi="宋体" w:eastAsia="宋体" w:cs="宋体"/>
          <w:color w:val="auto"/>
          <w:sz w:val="24"/>
          <w:highlight w:val="none"/>
        </w:rPr>
        <w:t>》中的相关条款执行。</w:t>
      </w:r>
    </w:p>
    <w:p w14:paraId="19EDA0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2、未按合同要求提供服务或服务质量不能满足技术要求，采购人有权终止合同，并对供方违约行为进行追究，同时按《</w:t>
      </w:r>
      <w:r>
        <w:rPr>
          <w:rFonts w:hint="eastAsia" w:ascii="宋体" w:hAnsi="宋体" w:eastAsia="宋体" w:cs="宋体"/>
          <w:color w:val="auto"/>
          <w:sz w:val="24"/>
          <w:highlight w:val="none"/>
          <w:lang w:eastAsia="zh-CN"/>
        </w:rPr>
        <w:t>中华人民共和国</w:t>
      </w:r>
      <w:r>
        <w:rPr>
          <w:rFonts w:hint="eastAsia" w:ascii="宋体" w:hAnsi="宋体" w:eastAsia="宋体" w:cs="宋体"/>
          <w:color w:val="auto"/>
          <w:sz w:val="24"/>
          <w:highlight w:val="none"/>
        </w:rPr>
        <w:t>政府采购法》的有关规定进行处罚。</w:t>
      </w:r>
    </w:p>
    <w:p w14:paraId="608C789D">
      <w:pPr>
        <w:pStyle w:val="20"/>
        <w:spacing w:line="360" w:lineRule="auto"/>
        <w:rPr>
          <w:rFonts w:hint="eastAsia" w:ascii="宋体" w:hAnsi="宋体" w:eastAsia="宋体" w:cs="宋体"/>
          <w:color w:val="auto"/>
          <w:kern w:val="2"/>
          <w:sz w:val="24"/>
          <w:szCs w:val="24"/>
          <w:highlight w:val="none"/>
          <w:lang w:val="en-US" w:eastAsia="zh-CN" w:bidi="ar-SA"/>
        </w:rPr>
      </w:pPr>
    </w:p>
    <w:p w14:paraId="51447A60">
      <w:pPr>
        <w:pStyle w:val="2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pict>
          <v:shape id="Text Box 2" o:spid="_x0000_s2055" o:spt="202" type="#_x0000_t202" style="position:absolute;left:0pt;margin-left:15.8pt;margin-top:9.05pt;height:33pt;width:370.55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14:paraId="4959411B">
                  <w:pPr>
                    <w:tabs>
                      <w:tab w:val="left" w:pos="3485"/>
                    </w:tabs>
                    <w:spacing w:line="520" w:lineRule="exact"/>
                    <w:jc w:val="center"/>
                    <w:rPr>
                      <w:rFonts w:ascii="宋体" w:hAnsi="宋体" w:cs="宋体"/>
                      <w:b/>
                      <w:sz w:val="32"/>
                      <w:szCs w:val="32"/>
                    </w:rPr>
                  </w:pPr>
                  <w:r>
                    <w:rPr>
                      <w:rFonts w:hint="eastAsia" w:ascii="宋体" w:hAnsi="宋体" w:cs="宋体"/>
                      <w:b/>
                      <w:sz w:val="32"/>
                      <w:szCs w:val="32"/>
                    </w:rPr>
                    <w:t>注：商务要求为实质性要求，不得负偏离。</w:t>
                  </w:r>
                </w:p>
              </w:txbxContent>
            </v:textbox>
            <w10:wrap type="square"/>
          </v:shape>
        </w:pict>
      </w:r>
    </w:p>
    <w:p w14:paraId="669B23D3">
      <w:pPr>
        <w:pStyle w:val="20"/>
        <w:spacing w:line="360" w:lineRule="auto"/>
        <w:rPr>
          <w:rFonts w:hint="eastAsia" w:ascii="宋体" w:hAnsi="宋体" w:eastAsia="宋体" w:cs="宋体"/>
          <w:color w:val="auto"/>
          <w:kern w:val="2"/>
          <w:sz w:val="24"/>
          <w:szCs w:val="24"/>
          <w:highlight w:val="none"/>
          <w:lang w:val="en-US" w:eastAsia="zh-CN" w:bidi="ar-SA"/>
        </w:rPr>
      </w:pPr>
    </w:p>
    <w:p w14:paraId="78F899C1">
      <w:pPr>
        <w:pStyle w:val="20"/>
        <w:spacing w:line="360" w:lineRule="auto"/>
        <w:rPr>
          <w:rFonts w:hint="eastAsia" w:ascii="宋体" w:hAnsi="宋体" w:eastAsia="宋体" w:cs="宋体"/>
          <w:color w:val="auto"/>
          <w:kern w:val="2"/>
          <w:sz w:val="24"/>
          <w:szCs w:val="24"/>
          <w:highlight w:val="none"/>
          <w:lang w:val="en-US" w:eastAsia="zh-CN" w:bidi="ar-SA"/>
        </w:rPr>
        <w:sectPr>
          <w:pgSz w:w="11906" w:h="16838"/>
          <w:pgMar w:top="1440" w:right="1080" w:bottom="1440" w:left="1080" w:header="851" w:footer="992" w:gutter="0"/>
          <w:cols w:space="720" w:num="1"/>
          <w:docGrid w:type="lines" w:linePitch="312" w:charSpace="0"/>
        </w:sectPr>
      </w:pPr>
    </w:p>
    <w:p w14:paraId="7C79D5E3">
      <w:pPr>
        <w:pStyle w:val="4"/>
        <w:spacing w:before="0" w:after="0" w:line="360" w:lineRule="auto"/>
        <w:jc w:val="center"/>
        <w:rPr>
          <w:rFonts w:hint="eastAsia" w:ascii="宋体" w:hAnsi="宋体" w:eastAsia="宋体" w:cs="宋体"/>
          <w:color w:val="auto"/>
          <w:highlight w:val="none"/>
          <w:lang w:val="en-US" w:eastAsia="zh-CN"/>
        </w:rPr>
      </w:pPr>
      <w:bookmarkStart w:id="54" w:name="_Toc9068"/>
      <w:r>
        <w:rPr>
          <w:rFonts w:hint="eastAsia" w:ascii="宋体" w:hAnsi="宋体" w:eastAsia="宋体" w:cs="宋体"/>
          <w:color w:val="auto"/>
          <w:highlight w:val="none"/>
        </w:rPr>
        <w:t>第五章 合同</w:t>
      </w:r>
      <w:bookmarkEnd w:id="49"/>
      <w:bookmarkEnd w:id="50"/>
      <w:bookmarkEnd w:id="51"/>
      <w:bookmarkEnd w:id="52"/>
      <w:bookmarkEnd w:id="53"/>
      <w:r>
        <w:rPr>
          <w:rFonts w:hint="eastAsia" w:ascii="宋体" w:hAnsi="宋体" w:eastAsia="宋体" w:cs="宋体"/>
          <w:color w:val="auto"/>
          <w:highlight w:val="none"/>
          <w:lang w:eastAsia="zh-CN"/>
        </w:rPr>
        <w:t>示范文本</w:t>
      </w:r>
      <w:bookmarkEnd w:id="54"/>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参考</w:t>
      </w:r>
      <w:r>
        <w:rPr>
          <w:rFonts w:hint="eastAsia" w:ascii="宋体" w:hAnsi="宋体" w:eastAsia="宋体" w:cs="宋体"/>
          <w:color w:val="auto"/>
          <w:highlight w:val="none"/>
          <w:lang w:eastAsia="zh-CN"/>
        </w:rPr>
        <w:t>）</w:t>
      </w:r>
    </w:p>
    <w:p w14:paraId="33309AC9">
      <w:pPr>
        <w:autoSpaceDE w:val="0"/>
        <w:autoSpaceDN w:val="0"/>
        <w:adjustRightInd w:val="0"/>
        <w:spacing w:line="360" w:lineRule="auto"/>
        <w:rPr>
          <w:rFonts w:hint="eastAsia" w:ascii="宋体" w:hAnsi="宋体" w:eastAsia="宋体" w:cs="宋体"/>
          <w:bCs/>
          <w:color w:val="auto"/>
          <w:sz w:val="24"/>
          <w:szCs w:val="24"/>
          <w:highlight w:val="none"/>
        </w:rPr>
      </w:pPr>
      <w:bookmarkStart w:id="55" w:name="_Toc7453889"/>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lang w:eastAsia="zh-CN"/>
        </w:rPr>
        <w:t>（采</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购</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 xml:space="preserve">： </w:t>
      </w:r>
    </w:p>
    <w:p w14:paraId="61ED9191">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 xml:space="preserve">： </w:t>
      </w:r>
    </w:p>
    <w:p w14:paraId="4EB6150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eastAsia" w:ascii="宋体" w:hAnsi="宋体" w:eastAsia="宋体" w:cs="宋体"/>
          <w:bCs/>
          <w:color w:val="auto"/>
          <w:sz w:val="24"/>
          <w:szCs w:val="24"/>
          <w:highlight w:val="none"/>
        </w:rPr>
      </w:pPr>
      <w:r>
        <w:rPr>
          <w:rFonts w:hint="eastAsia" w:ascii="宋体" w:hAnsi="宋体" w:eastAsia="宋体" w:cs="宋体"/>
          <w:i w:val="0"/>
          <w:caps w:val="0"/>
          <w:color w:val="auto"/>
          <w:spacing w:val="0"/>
          <w:sz w:val="24"/>
          <w:szCs w:val="24"/>
          <w:highlight w:val="none"/>
          <w:u w:val="single"/>
          <w:shd w:val="clear" w:color="auto" w:fill="FFFFFF"/>
          <w:lang w:eastAsia="zh-CN"/>
        </w:rPr>
        <w:t>凤县2024年度自然资源卫片执法工作</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经组织竞争性磋商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i w:val="0"/>
          <w:caps w:val="0"/>
          <w:color w:val="auto"/>
          <w:spacing w:val="0"/>
          <w:sz w:val="24"/>
          <w:szCs w:val="24"/>
          <w:highlight w:val="none"/>
          <w:u w:val="single"/>
          <w:shd w:val="clear" w:color="auto" w:fill="FFFFFF"/>
          <w:lang w:eastAsia="zh-CN"/>
        </w:rPr>
        <w:t xml:space="preserve"> </w:t>
      </w:r>
      <w:r>
        <w:rPr>
          <w:rFonts w:hint="eastAsia" w:ascii="宋体" w:hAnsi="宋体" w:eastAsia="宋体" w:cs="宋体"/>
          <w:i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bCs/>
          <w:color w:val="auto"/>
          <w:sz w:val="24"/>
          <w:szCs w:val="24"/>
          <w:highlight w:val="none"/>
        </w:rPr>
        <w:t>(以下简称“甲方”)确定</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（以下简称“乙方”）为该项目的</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w:t>
      </w:r>
    </w:p>
    <w:p w14:paraId="01BC1C5A">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依据《</w:t>
      </w:r>
      <w:r>
        <w:rPr>
          <w:rFonts w:hint="eastAsia" w:ascii="宋体" w:hAnsi="宋体" w:eastAsia="宋体" w:cs="宋体"/>
          <w:bCs/>
          <w:color w:val="auto"/>
          <w:sz w:val="24"/>
          <w:szCs w:val="24"/>
          <w:highlight w:val="none"/>
          <w:lang w:eastAsia="zh-CN"/>
        </w:rPr>
        <w:t>中华人民共和国民法典</w:t>
      </w:r>
      <w:r>
        <w:rPr>
          <w:rFonts w:hint="eastAsia" w:ascii="宋体" w:hAnsi="宋体" w:eastAsia="宋体" w:cs="宋体"/>
          <w:bCs/>
          <w:color w:val="auto"/>
          <w:sz w:val="24"/>
          <w:szCs w:val="24"/>
          <w:highlight w:val="none"/>
        </w:rPr>
        <w:t>》和《中华人民共和国政府采购法》之规定，经双方在平等、自愿、互利的基础上，签订本合同，共同信守。</w:t>
      </w:r>
    </w:p>
    <w:p w14:paraId="3A64FDCC">
      <w:pPr>
        <w:pStyle w:val="16"/>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一、合同价款</w:t>
      </w:r>
    </w:p>
    <w:p w14:paraId="2167B4FF">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（一）合同总价款为人民币（大写）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9110E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（二）合同总价包括但不限于人工费、材料费、交通费、管理费、税金等一切相关费用。</w:t>
      </w:r>
    </w:p>
    <w:p w14:paraId="3B0E607A">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（三）合同总价一次性包死，不受市场价格变化因素的影响。</w:t>
      </w:r>
    </w:p>
    <w:p w14:paraId="5BC814FC">
      <w:pPr>
        <w:pStyle w:val="12"/>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付款方</w:t>
      </w:r>
      <w:r>
        <w:rPr>
          <w:rFonts w:hint="eastAsia" w:ascii="宋体" w:hAnsi="宋体" w:eastAsia="宋体" w:cs="宋体"/>
          <w:bCs/>
          <w:color w:val="auto"/>
          <w:kern w:val="2"/>
          <w:sz w:val="24"/>
          <w:szCs w:val="24"/>
          <w:highlight w:val="none"/>
          <w:lang w:val="en-US" w:eastAsia="zh-CN" w:bidi="ar-SA"/>
        </w:rPr>
        <w:t xml:space="preserve">式：合同签订后10天内，支付总费用的30％。审定通过的成果文件交付采购人后20天内支付剩余费用。  </w:t>
      </w:r>
      <w:r>
        <w:rPr>
          <w:rFonts w:hint="eastAsia" w:ascii="宋体" w:hAnsi="宋体" w:eastAsia="宋体" w:cs="宋体"/>
          <w:bCs/>
          <w:color w:val="auto"/>
          <w:sz w:val="24"/>
          <w:szCs w:val="24"/>
          <w:highlight w:val="none"/>
          <w:u w:val="single"/>
          <w:lang w:val="en-US" w:eastAsia="zh-CN"/>
        </w:rPr>
        <w:t xml:space="preserve">         </w:t>
      </w:r>
    </w:p>
    <w:p w14:paraId="0E7536B7">
      <w:pPr>
        <w:autoSpaceDE w:val="0"/>
        <w:autoSpaceDN w:val="0"/>
        <w:adjustRightIn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工作内容</w:t>
      </w:r>
    </w:p>
    <w:p w14:paraId="074FA999">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cs="宋体"/>
          <w:color w:val="000000"/>
          <w:kern w:val="0"/>
          <w:sz w:val="24"/>
          <w:szCs w:val="24"/>
          <w:u w:val="single"/>
          <w:lang w:val="en-US" w:eastAsia="zh-CN" w:bidi="ar"/>
        </w:rPr>
        <w:t>包括对2024年度部、省共下发我县土地卫片、矿产卫片、秦岭两乱图斑、殡葬专项整治等图斑1466个，进行外业举证包括初次调查举证及实地测量、数据比对、套合图斑，数据上传等工作内容。</w:t>
      </w:r>
    </w:p>
    <w:p w14:paraId="3013B2D6">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、服务地点及完成期</w:t>
      </w:r>
    </w:p>
    <w:p w14:paraId="36286D46">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（一）服务地点：甲方指定地点；</w:t>
      </w:r>
    </w:p>
    <w:p w14:paraId="44248D1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（二）服务周期</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color w:val="auto"/>
          <w:kern w:val="2"/>
          <w:sz w:val="24"/>
          <w:szCs w:val="22"/>
          <w:highlight w:val="none"/>
          <w:lang w:val="en-US" w:eastAsia="zh-CN" w:bidi="ar-SA"/>
        </w:rPr>
        <w:t>自合同签订后60个日历日内完成。</w:t>
      </w:r>
    </w:p>
    <w:p w14:paraId="79B5C45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四、</w:t>
      </w:r>
      <w:r>
        <w:rPr>
          <w:rFonts w:hint="eastAsia" w:ascii="宋体" w:hAnsi="宋体" w:eastAsia="宋体" w:cs="宋体"/>
          <w:b/>
          <w:color w:val="auto"/>
          <w:sz w:val="24"/>
          <w:szCs w:val="24"/>
          <w:highlight w:val="none"/>
        </w:rPr>
        <w:t>甲方义务</w:t>
      </w:r>
    </w:p>
    <w:p w14:paraId="5B55F14B">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w:t>
      </w:r>
      <w:r>
        <w:rPr>
          <w:rFonts w:hint="eastAsia" w:ascii="宋体" w:hAnsi="宋体" w:eastAsia="宋体" w:cs="宋体"/>
          <w:b w:val="0"/>
          <w:bCs/>
          <w:color w:val="auto"/>
          <w:sz w:val="24"/>
          <w:szCs w:val="24"/>
          <w:highlight w:val="none"/>
          <w:lang w:val="en-US" w:eastAsia="zh-CN"/>
        </w:rPr>
        <w:t>负责向乙方提供汇总所需的各类基础资料；</w:t>
      </w:r>
    </w:p>
    <w:p w14:paraId="3FEEACEB">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w:t>
      </w:r>
      <w:r>
        <w:rPr>
          <w:rFonts w:hint="eastAsia" w:ascii="宋体" w:hAnsi="宋体" w:eastAsia="宋体" w:cs="宋体"/>
          <w:b w:val="0"/>
          <w:bCs/>
          <w:color w:val="auto"/>
          <w:sz w:val="24"/>
          <w:szCs w:val="24"/>
          <w:highlight w:val="none"/>
          <w:lang w:val="en-US" w:eastAsia="zh-CN"/>
        </w:rPr>
        <w:t>协助乙方收集乡镇及其它部门相关数据、图件及报告资料；</w:t>
      </w:r>
    </w:p>
    <w:p w14:paraId="3C4DA8BE">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协助乙方进行外业实地摸排工作；</w:t>
      </w:r>
    </w:p>
    <w:p w14:paraId="611E2B13">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安排专人配合项目工作；</w:t>
      </w:r>
    </w:p>
    <w:p w14:paraId="39FA0F43">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负责组织项目的检查、验收；</w:t>
      </w:r>
    </w:p>
    <w:p w14:paraId="0E0266F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按本合同约定向乙方支付项目费用。</w:t>
      </w:r>
    </w:p>
    <w:p w14:paraId="3D5780EF">
      <w:pPr>
        <w:spacing w:line="360" w:lineRule="auto"/>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 xml:space="preserve"> 乙方义务</w:t>
      </w:r>
    </w:p>
    <w:p w14:paraId="076402C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1、按期向甲方汇报项目进展及质量情况</w:t>
      </w:r>
    </w:p>
    <w:p w14:paraId="2248D9DB">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2.严格按照国家和省、市的相关技术规程、细则进行项目实施，并对成果质量负责；</w:t>
      </w:r>
    </w:p>
    <w:p w14:paraId="094AFE0B">
      <w:pPr>
        <w:spacing w:line="360" w:lineRule="auto"/>
        <w:ind w:firstLine="480" w:firstLineChars="200"/>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en-US" w:eastAsia="zh-CN"/>
        </w:rPr>
        <w:t>对项目实际中出现的质量问题，应按照技术规程规定无条件修改完善；</w:t>
      </w:r>
    </w:p>
    <w:p w14:paraId="58231A19">
      <w:pPr>
        <w:spacing w:line="360" w:lineRule="auto"/>
        <w:ind w:firstLine="480" w:firstLineChars="200"/>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en-US" w:eastAsia="zh-CN"/>
        </w:rPr>
        <w:t>配合甲方做好省</w:t>
      </w:r>
      <w:r>
        <w:rPr>
          <w:rFonts w:hint="eastAsia" w:ascii="宋体" w:hAnsi="宋体" w:cs="宋体"/>
          <w:b w:val="0"/>
          <w:bCs/>
          <w:color w:val="auto"/>
          <w:sz w:val="24"/>
          <w:szCs w:val="24"/>
          <w:highlight w:val="none"/>
          <w:lang w:val="en-US" w:eastAsia="zh-CN"/>
        </w:rPr>
        <w:t>、市</w:t>
      </w:r>
      <w:r>
        <w:rPr>
          <w:rFonts w:hint="eastAsia" w:ascii="宋体" w:hAnsi="宋体" w:eastAsia="宋体" w:cs="宋体"/>
          <w:b w:val="0"/>
          <w:bCs/>
          <w:color w:val="auto"/>
          <w:sz w:val="24"/>
          <w:szCs w:val="24"/>
          <w:highlight w:val="none"/>
          <w:lang w:val="en-US" w:eastAsia="zh-CN"/>
        </w:rPr>
        <w:t>级检查和成果确认工作，其费用包含在合同总费用中；</w:t>
      </w:r>
    </w:p>
    <w:p w14:paraId="3E81561C">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en-US" w:eastAsia="zh-CN"/>
        </w:rPr>
        <w:t>严格按国家有关安全生产规范进行作业，项目实施过程中发生的安全事故责任自负；</w:t>
      </w:r>
    </w:p>
    <w:p w14:paraId="3144E404">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6.明确项目负责人，且项目负责人在项目实施期间不得更换；</w:t>
      </w:r>
    </w:p>
    <w:p w14:paraId="18FE8141">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 xml:space="preserve">凡涉及国家秘密的按《中华人民共和国保守国家秘密法》相关现定执行。按照信息安全 </w:t>
      </w:r>
    </w:p>
    <w:p w14:paraId="1DA296CC">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密的规定程序妥善保管甲方提供的资料，保守甲方的各项秘密，并不得利用知悉甲方保密资料为自己或其他任何单位和个人谋取权益；项目结束以后，乙方应当将甲方提供的数据库资料交还甲方，并不得复制自留或用于本次项目以外的其它项目。</w:t>
      </w:r>
    </w:p>
    <w:p w14:paraId="76C205B2">
      <w:pPr>
        <w:spacing w:line="360" w:lineRule="auto"/>
        <w:ind w:firstLine="480" w:firstLineChars="200"/>
        <w:rPr>
          <w:rFonts w:hint="default"/>
          <w:lang w:val="en-US"/>
        </w:rPr>
      </w:pPr>
      <w:r>
        <w:rPr>
          <w:rFonts w:hint="eastAsia" w:ascii="宋体" w:hAnsi="宋体" w:eastAsia="宋体" w:cs="宋体"/>
          <w:b w:val="0"/>
          <w:bCs/>
          <w:color w:val="auto"/>
          <w:sz w:val="24"/>
          <w:szCs w:val="24"/>
          <w:highlight w:val="none"/>
          <w:lang w:val="en-US" w:eastAsia="zh-CN"/>
        </w:rPr>
        <w:t>8.满足技术规范要求并通过验收合格</w:t>
      </w:r>
    </w:p>
    <w:p w14:paraId="191D8311">
      <w:pPr>
        <w:pStyle w:val="1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、验收</w:t>
      </w:r>
    </w:p>
    <w:p w14:paraId="64660067">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（一）甲方确认收到</w:t>
      </w:r>
      <w:r>
        <w:rPr>
          <w:rFonts w:hint="eastAsia" w:ascii="宋体" w:hAnsi="宋体" w:eastAsia="宋体" w:cs="宋体"/>
          <w:bCs/>
          <w:color w:val="auto"/>
          <w:sz w:val="24"/>
          <w:szCs w:val="24"/>
          <w:highlight w:val="none"/>
          <w:lang w:eastAsia="zh-CN"/>
        </w:rPr>
        <w:t>报告</w:t>
      </w:r>
      <w:r>
        <w:rPr>
          <w:rFonts w:hint="eastAsia" w:ascii="宋体" w:hAnsi="宋体" w:eastAsia="宋体" w:cs="宋体"/>
          <w:bCs/>
          <w:color w:val="auto"/>
          <w:sz w:val="24"/>
          <w:szCs w:val="24"/>
          <w:highlight w:val="none"/>
        </w:rPr>
        <w:t>成果后，组织乙方（必要时可请有关专家）进行验收。</w:t>
      </w:r>
    </w:p>
    <w:p w14:paraId="652280D5">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（二）乙方向甲方提交项目实施过程中的所有资料。</w:t>
      </w:r>
    </w:p>
    <w:p w14:paraId="1BC48046">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（三）验收依据</w:t>
      </w:r>
    </w:p>
    <w:p w14:paraId="40F8F762">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文件、澄清函；</w:t>
      </w:r>
    </w:p>
    <w:p w14:paraId="5EF4FF2C">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2、本合同及附件文本；</w:t>
      </w:r>
    </w:p>
    <w:p w14:paraId="4443EB35">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3、合同签订时国家及行业现行的标准和技术规范。</w:t>
      </w:r>
    </w:p>
    <w:p w14:paraId="756FB9C7">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（四）须提交的成果内容</w:t>
      </w:r>
    </w:p>
    <w:p w14:paraId="69619381">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1、项目完成后需提交所有工作</w:t>
      </w:r>
      <w:r>
        <w:rPr>
          <w:rFonts w:hint="eastAsia" w:ascii="宋体" w:hAnsi="宋体" w:eastAsia="宋体" w:cs="宋体"/>
          <w:b w:val="0"/>
          <w:bCs/>
          <w:color w:val="auto"/>
          <w:sz w:val="24"/>
          <w:szCs w:val="24"/>
          <w:highlight w:val="none"/>
        </w:rPr>
        <w:t>成果纸质版一式</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份及电子版</w:t>
      </w:r>
      <w:r>
        <w:rPr>
          <w:rFonts w:hint="eastAsia" w:ascii="宋体" w:hAnsi="宋体" w:eastAsia="宋体" w:cs="宋体"/>
          <w:bCs/>
          <w:color w:val="auto"/>
          <w:sz w:val="24"/>
          <w:szCs w:val="24"/>
          <w:highlight w:val="none"/>
        </w:rPr>
        <w:t>，同时提交项目实施过程中数据收集、整理、分析的相关资料一套。</w:t>
      </w:r>
    </w:p>
    <w:p w14:paraId="72EB0BAE">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2、在合同履行过程中，必要时，甲方可以对最终成果的构成进行调整。甲方如需乙方增加交付成果的数量，应由双方协商解决。</w:t>
      </w:r>
    </w:p>
    <w:p w14:paraId="49693129">
      <w:pPr>
        <w:autoSpaceDE w:val="0"/>
        <w:autoSpaceDN w:val="0"/>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成果归属</w:t>
      </w:r>
    </w:p>
    <w:p w14:paraId="59FF89EF">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成果的全部原始资料、中间过渡及最终成果所有权属于甲方。未经甲方书面许可，乙方不得擅自将原始资料，中间过渡或最终成果复制自留或提供给其他任何单位和个人，为自己或其它任何单位和个人谋取利益。</w:t>
      </w:r>
    </w:p>
    <w:p w14:paraId="3072157F">
      <w:pPr>
        <w:autoSpaceDE w:val="0"/>
        <w:autoSpaceDN w:val="0"/>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、保密规定</w:t>
      </w:r>
    </w:p>
    <w:p w14:paraId="75BFD92D">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14:paraId="5C1B6411">
      <w:pPr>
        <w:autoSpaceDE w:val="0"/>
        <w:autoSpaceDN w:val="0"/>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、其它事项</w:t>
      </w:r>
    </w:p>
    <w:p w14:paraId="44868D59">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（一）乙方不得转让给其它单位或个人。</w:t>
      </w:r>
    </w:p>
    <w:p w14:paraId="047CE9F6">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文件和承诺等内容将列入合同。</w:t>
      </w:r>
    </w:p>
    <w:p w14:paraId="3BA4A99E">
      <w:pPr>
        <w:autoSpaceDE w:val="0"/>
        <w:autoSpaceDN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、违约责任</w:t>
      </w:r>
    </w:p>
    <w:p w14:paraId="4C802862">
      <w:pPr>
        <w:autoSpaceDE w:val="0"/>
        <w:autoSpaceDN w:val="0"/>
        <w:adjustRightInd w:val="0"/>
        <w:snapToGrid w:val="0"/>
        <w:spacing w:line="360" w:lineRule="auto"/>
        <w:ind w:firstLine="63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（一）按《中华人民共和国民法典》中的相关条款执行。</w:t>
      </w:r>
    </w:p>
    <w:p w14:paraId="71A297B7">
      <w:pPr>
        <w:autoSpaceDE w:val="0"/>
        <w:autoSpaceDN w:val="0"/>
        <w:adjustRightInd w:val="0"/>
        <w:snapToGrid w:val="0"/>
        <w:spacing w:line="360" w:lineRule="auto"/>
        <w:ind w:firstLine="63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（二）未按合同要求提供服务或服务质量不能满足采购技术要求，乙方必须无条件提高技术，完善服务质量，否则，甲方会同监督机构、采购</w:t>
      </w:r>
      <w:r>
        <w:rPr>
          <w:rFonts w:hint="eastAsia" w:ascii="宋体" w:hAnsi="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有权终止合同并对乙方违约行为进行追究，同时按政府采购供应商管理办法进行相应的处罚。</w:t>
      </w:r>
    </w:p>
    <w:p w14:paraId="0A7F436A">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、合同争议解决的方式</w:t>
      </w:r>
    </w:p>
    <w:p w14:paraId="55A07E63">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本合同在履行过程中发生的争议，由甲、乙双方当事人协商解决，协商不成的按下列第</w:t>
      </w:r>
      <w:r>
        <w:rPr>
          <w:rFonts w:hint="eastAsia" w:ascii="宋体" w:hAnsi="宋体" w:eastAsia="宋体" w:cs="宋体"/>
          <w:bCs/>
          <w:color w:val="auto"/>
          <w:sz w:val="24"/>
          <w:szCs w:val="24"/>
          <w:highlight w:val="none"/>
          <w:u w:val="single"/>
        </w:rPr>
        <w:t>（二）</w:t>
      </w:r>
      <w:r>
        <w:rPr>
          <w:rFonts w:hint="eastAsia" w:ascii="宋体" w:hAnsi="宋体" w:eastAsia="宋体" w:cs="宋体"/>
          <w:bCs/>
          <w:color w:val="auto"/>
          <w:sz w:val="24"/>
          <w:szCs w:val="24"/>
          <w:highlight w:val="none"/>
        </w:rPr>
        <w:t>种方式解决：</w:t>
      </w:r>
    </w:p>
    <w:p w14:paraId="683D1464">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（一）提交</w:t>
      </w:r>
      <w:r>
        <w:rPr>
          <w:rFonts w:hint="eastAsia" w:ascii="宋体" w:hAnsi="宋体" w:eastAsia="宋体" w:cs="宋体"/>
          <w:bCs/>
          <w:color w:val="auto"/>
          <w:sz w:val="24"/>
          <w:szCs w:val="24"/>
          <w:highlight w:val="none"/>
          <w:lang w:eastAsia="zh-CN"/>
        </w:rPr>
        <w:t>宝鸡市</w:t>
      </w:r>
      <w:r>
        <w:rPr>
          <w:rFonts w:hint="eastAsia" w:ascii="宋体" w:hAnsi="宋体" w:eastAsia="宋体" w:cs="宋体"/>
          <w:bCs/>
          <w:color w:val="auto"/>
          <w:sz w:val="24"/>
          <w:szCs w:val="24"/>
          <w:highlight w:val="none"/>
        </w:rPr>
        <w:t>仲裁委员会仲裁；</w:t>
      </w:r>
    </w:p>
    <w:p w14:paraId="41C21653">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（二）依法向甲方所在地人民法院起诉。</w:t>
      </w:r>
    </w:p>
    <w:p w14:paraId="49B800D8">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、合同生效</w:t>
      </w:r>
    </w:p>
    <w:p w14:paraId="29E3662A">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一</w:t>
      </w:r>
      <w:r>
        <w:rPr>
          <w:rFonts w:hint="eastAsia" w:ascii="宋体" w:hAnsi="宋体" w:eastAsia="宋体" w:cs="宋体"/>
          <w:bCs/>
          <w:color w:val="auto"/>
          <w:sz w:val="24"/>
          <w:szCs w:val="24"/>
          <w:highlight w:val="none"/>
        </w:rPr>
        <w:t>）本合同须经甲、乙双方的法定代表人（授权代理人）在合同书上签字并加盖本单位公章后正式生效。</w:t>
      </w:r>
    </w:p>
    <w:p w14:paraId="320BE551">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rPr>
        <w:t>）合同生效后，甲、乙双方须严格执行本合同条款的规定，全面履行合同，违者按《</w:t>
      </w:r>
      <w:r>
        <w:rPr>
          <w:rFonts w:hint="eastAsia" w:ascii="宋体" w:hAnsi="宋体" w:eastAsia="宋体" w:cs="宋体"/>
          <w:bCs/>
          <w:color w:val="auto"/>
          <w:sz w:val="24"/>
          <w:szCs w:val="24"/>
          <w:highlight w:val="none"/>
          <w:lang w:eastAsia="zh-CN"/>
        </w:rPr>
        <w:t>中华人民共和国民法典</w:t>
      </w:r>
      <w:r>
        <w:rPr>
          <w:rFonts w:hint="eastAsia" w:ascii="宋体" w:hAnsi="宋体" w:eastAsia="宋体" w:cs="宋体"/>
          <w:bCs/>
          <w:color w:val="auto"/>
          <w:sz w:val="24"/>
          <w:szCs w:val="24"/>
          <w:highlight w:val="none"/>
        </w:rPr>
        <w:t>》的有关规定承担相应责任。</w:t>
      </w:r>
    </w:p>
    <w:p w14:paraId="2158F6C2">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10EF5BDE">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）本合同如有未尽事宜，甲、乙双方协商解决。</w:t>
      </w:r>
    </w:p>
    <w:p w14:paraId="12C44CE7">
      <w:pPr>
        <w:pStyle w:val="16"/>
        <w:spacing w:line="360" w:lineRule="auto"/>
        <w:rPr>
          <w:rFonts w:hint="eastAsia" w:ascii="宋体" w:hAnsi="宋体" w:eastAsia="宋体" w:cs="宋体"/>
          <w:color w:val="auto"/>
          <w:sz w:val="24"/>
          <w:szCs w:val="24"/>
          <w:highlight w:val="none"/>
        </w:rPr>
      </w:pPr>
    </w:p>
    <w:tbl>
      <w:tblPr>
        <w:tblStyle w:val="24"/>
        <w:tblW w:w="0" w:type="auto"/>
        <w:jc w:val="center"/>
        <w:tblLayout w:type="fixed"/>
        <w:tblCellMar>
          <w:top w:w="0" w:type="dxa"/>
          <w:left w:w="108" w:type="dxa"/>
          <w:bottom w:w="0" w:type="dxa"/>
          <w:right w:w="108" w:type="dxa"/>
        </w:tblCellMar>
      </w:tblPr>
      <w:tblGrid>
        <w:gridCol w:w="4201"/>
        <w:gridCol w:w="4202"/>
      </w:tblGrid>
      <w:tr w14:paraId="7C4759E3">
        <w:tblPrEx>
          <w:tblCellMar>
            <w:top w:w="0" w:type="dxa"/>
            <w:left w:w="108" w:type="dxa"/>
            <w:bottom w:w="0" w:type="dxa"/>
            <w:right w:w="108" w:type="dxa"/>
          </w:tblCellMar>
        </w:tblPrEx>
        <w:trPr>
          <w:trHeight w:val="663" w:hRule="exact"/>
          <w:jc w:val="center"/>
        </w:trPr>
        <w:tc>
          <w:tcPr>
            <w:tcW w:w="4201" w:type="dxa"/>
            <w:noWrap w:val="0"/>
            <w:vAlign w:val="center"/>
          </w:tcPr>
          <w:p w14:paraId="73338E1D">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甲  方</w:t>
            </w:r>
            <w:r>
              <w:rPr>
                <w:rFonts w:hint="eastAsia" w:ascii="宋体" w:hAnsi="宋体" w:eastAsia="宋体" w:cs="宋体"/>
                <w:color w:val="auto"/>
                <w:spacing w:val="-20"/>
                <w:kern w:val="0"/>
                <w:sz w:val="24"/>
                <w:szCs w:val="24"/>
                <w:highlight w:val="none"/>
                <w:lang w:eastAsia="zh-CN"/>
              </w:rPr>
              <w:t>：</w:t>
            </w:r>
            <w:r>
              <w:rPr>
                <w:rFonts w:hint="eastAsia" w:ascii="宋体" w:hAnsi="宋体" w:eastAsia="宋体" w:cs="宋体"/>
                <w:color w:val="auto"/>
                <w:spacing w:val="-20"/>
                <w:kern w:val="0"/>
                <w:sz w:val="24"/>
                <w:szCs w:val="24"/>
                <w:highlight w:val="none"/>
              </w:rPr>
              <w:t>（盖章）</w:t>
            </w:r>
          </w:p>
        </w:tc>
        <w:tc>
          <w:tcPr>
            <w:tcW w:w="4202" w:type="dxa"/>
            <w:noWrap w:val="0"/>
            <w:vAlign w:val="center"/>
          </w:tcPr>
          <w:p w14:paraId="7B489A6D">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乙  方</w:t>
            </w:r>
            <w:r>
              <w:rPr>
                <w:rFonts w:hint="eastAsia" w:ascii="宋体" w:hAnsi="宋体" w:eastAsia="宋体" w:cs="宋体"/>
                <w:color w:val="auto"/>
                <w:spacing w:val="-20"/>
                <w:kern w:val="0"/>
                <w:sz w:val="24"/>
                <w:szCs w:val="24"/>
                <w:highlight w:val="none"/>
                <w:lang w:eastAsia="zh-CN"/>
              </w:rPr>
              <w:t>：</w:t>
            </w:r>
            <w:r>
              <w:rPr>
                <w:rFonts w:hint="eastAsia" w:ascii="宋体" w:hAnsi="宋体" w:eastAsia="宋体" w:cs="宋体"/>
                <w:color w:val="auto"/>
                <w:spacing w:val="-20"/>
                <w:kern w:val="0"/>
                <w:sz w:val="24"/>
                <w:szCs w:val="24"/>
                <w:highlight w:val="none"/>
              </w:rPr>
              <w:t>（盖章）</w:t>
            </w:r>
          </w:p>
        </w:tc>
      </w:tr>
      <w:tr w14:paraId="6A1B3051">
        <w:tblPrEx>
          <w:tblCellMar>
            <w:top w:w="0" w:type="dxa"/>
            <w:left w:w="108" w:type="dxa"/>
            <w:bottom w:w="0" w:type="dxa"/>
            <w:right w:w="108" w:type="dxa"/>
          </w:tblCellMar>
        </w:tblPrEx>
        <w:trPr>
          <w:trHeight w:val="567" w:hRule="exact"/>
          <w:jc w:val="center"/>
        </w:trPr>
        <w:tc>
          <w:tcPr>
            <w:tcW w:w="4201" w:type="dxa"/>
            <w:noWrap w:val="0"/>
            <w:vAlign w:val="center"/>
          </w:tcPr>
          <w:p w14:paraId="4D7DC771">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 xml:space="preserve">地址： </w:t>
            </w:r>
          </w:p>
        </w:tc>
        <w:tc>
          <w:tcPr>
            <w:tcW w:w="4202" w:type="dxa"/>
            <w:noWrap w:val="0"/>
            <w:vAlign w:val="center"/>
          </w:tcPr>
          <w:p w14:paraId="49B86F63">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地址：</w:t>
            </w:r>
          </w:p>
        </w:tc>
      </w:tr>
      <w:tr w14:paraId="2E05B5FD">
        <w:tblPrEx>
          <w:tblCellMar>
            <w:top w:w="0" w:type="dxa"/>
            <w:left w:w="108" w:type="dxa"/>
            <w:bottom w:w="0" w:type="dxa"/>
            <w:right w:w="108" w:type="dxa"/>
          </w:tblCellMar>
        </w:tblPrEx>
        <w:trPr>
          <w:trHeight w:val="567" w:hRule="exact"/>
          <w:jc w:val="center"/>
        </w:trPr>
        <w:tc>
          <w:tcPr>
            <w:tcW w:w="4201" w:type="dxa"/>
            <w:noWrap w:val="0"/>
            <w:vAlign w:val="center"/>
          </w:tcPr>
          <w:p w14:paraId="6D91CA9D">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邮编：</w:t>
            </w:r>
          </w:p>
        </w:tc>
        <w:tc>
          <w:tcPr>
            <w:tcW w:w="4202" w:type="dxa"/>
            <w:noWrap w:val="0"/>
            <w:vAlign w:val="center"/>
          </w:tcPr>
          <w:p w14:paraId="40749FC5">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邮编：</w:t>
            </w:r>
          </w:p>
        </w:tc>
      </w:tr>
      <w:tr w14:paraId="438C71D9">
        <w:tblPrEx>
          <w:tblCellMar>
            <w:top w:w="0" w:type="dxa"/>
            <w:left w:w="108" w:type="dxa"/>
            <w:bottom w:w="0" w:type="dxa"/>
            <w:right w:w="108" w:type="dxa"/>
          </w:tblCellMar>
        </w:tblPrEx>
        <w:trPr>
          <w:trHeight w:val="567" w:hRule="exact"/>
          <w:jc w:val="center"/>
        </w:trPr>
        <w:tc>
          <w:tcPr>
            <w:tcW w:w="4201" w:type="dxa"/>
            <w:noWrap w:val="0"/>
            <w:vAlign w:val="center"/>
          </w:tcPr>
          <w:p w14:paraId="2212F895">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 xml:space="preserve">法定代表人： </w:t>
            </w:r>
          </w:p>
        </w:tc>
        <w:tc>
          <w:tcPr>
            <w:tcW w:w="4202" w:type="dxa"/>
            <w:noWrap w:val="0"/>
            <w:vAlign w:val="center"/>
          </w:tcPr>
          <w:p w14:paraId="08883CA3">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法定代表人：</w:t>
            </w:r>
          </w:p>
        </w:tc>
      </w:tr>
      <w:tr w14:paraId="7F32E602">
        <w:tblPrEx>
          <w:tblCellMar>
            <w:top w:w="0" w:type="dxa"/>
            <w:left w:w="108" w:type="dxa"/>
            <w:bottom w:w="0" w:type="dxa"/>
            <w:right w:w="108" w:type="dxa"/>
          </w:tblCellMar>
        </w:tblPrEx>
        <w:trPr>
          <w:trHeight w:val="567" w:hRule="exact"/>
          <w:jc w:val="center"/>
        </w:trPr>
        <w:tc>
          <w:tcPr>
            <w:tcW w:w="4201" w:type="dxa"/>
            <w:noWrap w:val="0"/>
            <w:vAlign w:val="center"/>
          </w:tcPr>
          <w:p w14:paraId="719BBB23">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被授权代表：</w:t>
            </w:r>
          </w:p>
        </w:tc>
        <w:tc>
          <w:tcPr>
            <w:tcW w:w="4202" w:type="dxa"/>
            <w:noWrap w:val="0"/>
            <w:vAlign w:val="center"/>
          </w:tcPr>
          <w:p w14:paraId="60DCF7B2">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被授权代表：</w:t>
            </w:r>
          </w:p>
        </w:tc>
      </w:tr>
      <w:tr w14:paraId="5C968793">
        <w:tblPrEx>
          <w:tblCellMar>
            <w:top w:w="0" w:type="dxa"/>
            <w:left w:w="108" w:type="dxa"/>
            <w:bottom w:w="0" w:type="dxa"/>
            <w:right w:w="108" w:type="dxa"/>
          </w:tblCellMar>
        </w:tblPrEx>
        <w:trPr>
          <w:trHeight w:val="567" w:hRule="exact"/>
          <w:jc w:val="center"/>
        </w:trPr>
        <w:tc>
          <w:tcPr>
            <w:tcW w:w="4201" w:type="dxa"/>
            <w:noWrap w:val="0"/>
            <w:vAlign w:val="center"/>
          </w:tcPr>
          <w:p w14:paraId="755D2D0B">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电话：</w:t>
            </w:r>
          </w:p>
        </w:tc>
        <w:tc>
          <w:tcPr>
            <w:tcW w:w="4202" w:type="dxa"/>
            <w:noWrap w:val="0"/>
            <w:vAlign w:val="center"/>
          </w:tcPr>
          <w:p w14:paraId="27BE6B5F">
            <w:pPr>
              <w:autoSpaceDE w:val="0"/>
              <w:autoSpaceDN w:val="0"/>
              <w:adjustRightInd w:val="0"/>
              <w:spacing w:line="360" w:lineRule="auto"/>
              <w:ind w:left="840" w:hanging="600" w:hangingChars="300"/>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电话：</w:t>
            </w:r>
          </w:p>
        </w:tc>
      </w:tr>
      <w:tr w14:paraId="681CBE7E">
        <w:tblPrEx>
          <w:tblCellMar>
            <w:top w:w="0" w:type="dxa"/>
            <w:left w:w="108" w:type="dxa"/>
            <w:bottom w:w="0" w:type="dxa"/>
            <w:right w:w="108" w:type="dxa"/>
          </w:tblCellMar>
        </w:tblPrEx>
        <w:trPr>
          <w:trHeight w:val="567" w:hRule="exact"/>
          <w:jc w:val="center"/>
        </w:trPr>
        <w:tc>
          <w:tcPr>
            <w:tcW w:w="4201" w:type="dxa"/>
            <w:noWrap w:val="0"/>
            <w:vAlign w:val="center"/>
          </w:tcPr>
          <w:p w14:paraId="38389129">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传真：</w:t>
            </w:r>
          </w:p>
        </w:tc>
        <w:tc>
          <w:tcPr>
            <w:tcW w:w="4202" w:type="dxa"/>
            <w:noWrap w:val="0"/>
            <w:vAlign w:val="center"/>
          </w:tcPr>
          <w:p w14:paraId="60C853AF">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传真：</w:t>
            </w:r>
          </w:p>
        </w:tc>
      </w:tr>
      <w:tr w14:paraId="2B85AF2B">
        <w:tblPrEx>
          <w:tblCellMar>
            <w:top w:w="0" w:type="dxa"/>
            <w:left w:w="108" w:type="dxa"/>
            <w:bottom w:w="0" w:type="dxa"/>
            <w:right w:w="108" w:type="dxa"/>
          </w:tblCellMar>
        </w:tblPrEx>
        <w:trPr>
          <w:trHeight w:val="567" w:hRule="exact"/>
          <w:jc w:val="center"/>
        </w:trPr>
        <w:tc>
          <w:tcPr>
            <w:tcW w:w="4201" w:type="dxa"/>
            <w:noWrap w:val="0"/>
            <w:vAlign w:val="center"/>
          </w:tcPr>
          <w:p w14:paraId="3BD12846">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开户银行：</w:t>
            </w:r>
          </w:p>
        </w:tc>
        <w:tc>
          <w:tcPr>
            <w:tcW w:w="4202" w:type="dxa"/>
            <w:noWrap w:val="0"/>
            <w:vAlign w:val="center"/>
          </w:tcPr>
          <w:p w14:paraId="193A8209">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开户银行：</w:t>
            </w:r>
          </w:p>
        </w:tc>
      </w:tr>
      <w:tr w14:paraId="00FA9F47">
        <w:tblPrEx>
          <w:tblCellMar>
            <w:top w:w="0" w:type="dxa"/>
            <w:left w:w="108" w:type="dxa"/>
            <w:bottom w:w="0" w:type="dxa"/>
            <w:right w:w="108" w:type="dxa"/>
          </w:tblCellMar>
        </w:tblPrEx>
        <w:trPr>
          <w:trHeight w:val="567" w:hRule="exact"/>
          <w:jc w:val="center"/>
        </w:trPr>
        <w:tc>
          <w:tcPr>
            <w:tcW w:w="4201" w:type="dxa"/>
            <w:noWrap w:val="0"/>
            <w:vAlign w:val="center"/>
          </w:tcPr>
          <w:p w14:paraId="06726CAE">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日期：</w:t>
            </w:r>
          </w:p>
        </w:tc>
        <w:tc>
          <w:tcPr>
            <w:tcW w:w="4202" w:type="dxa"/>
            <w:noWrap w:val="0"/>
            <w:vAlign w:val="center"/>
          </w:tcPr>
          <w:p w14:paraId="042C60AE">
            <w:pPr>
              <w:autoSpaceDE w:val="0"/>
              <w:autoSpaceDN w:val="0"/>
              <w:adjustRightInd w:val="0"/>
              <w:spacing w:line="360" w:lineRule="auto"/>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rPr>
              <w:t>日期：</w:t>
            </w:r>
          </w:p>
        </w:tc>
      </w:tr>
    </w:tbl>
    <w:p w14:paraId="1CAEAF9D">
      <w:pPr>
        <w:autoSpaceDE w:val="0"/>
        <w:autoSpaceDN w:val="0"/>
        <w:adjustRightInd w:val="0"/>
        <w:spacing w:before="100" w:after="100" w:line="360" w:lineRule="auto"/>
        <w:ind w:right="23" w:firstLine="1687" w:firstLineChars="700"/>
        <w:jc w:val="left"/>
        <w:rPr>
          <w:rFonts w:hint="eastAsia" w:ascii="宋体" w:hAnsi="宋体" w:eastAsia="宋体" w:cs="宋体"/>
          <w:color w:val="auto"/>
          <w:kern w:val="0"/>
          <w:sz w:val="28"/>
          <w:szCs w:val="28"/>
          <w:highlight w:val="none"/>
          <w:lang w:val="zh-CN"/>
        </w:rPr>
      </w:pPr>
      <w:r>
        <w:rPr>
          <w:rFonts w:hint="eastAsia" w:ascii="宋体" w:hAnsi="宋体" w:eastAsia="宋体" w:cs="宋体"/>
          <w:b/>
          <w:bCs/>
          <w:color w:val="auto"/>
          <w:sz w:val="24"/>
          <w:szCs w:val="24"/>
          <w:highlight w:val="none"/>
        </w:rPr>
        <w:t>（本合同仅为参考，合同最终签订以甲乙双方签订为准）</w:t>
      </w:r>
    </w:p>
    <w:p w14:paraId="07A3DB1F">
      <w:pPr>
        <w:widowControl w:val="0"/>
        <w:kinsoku/>
        <w:autoSpaceDE/>
        <w:autoSpaceDN/>
        <w:adjustRightInd/>
        <w:snapToGrid/>
        <w:spacing w:line="360" w:lineRule="auto"/>
        <w:ind w:firstLine="440" w:firstLineChars="200"/>
        <w:jc w:val="both"/>
        <w:textAlignment w:val="auto"/>
        <w:rPr>
          <w:rFonts w:hint="eastAsia" w:ascii="宋体" w:hAnsi="宋体" w:eastAsia="宋体" w:cs="宋体"/>
          <w:color w:val="auto"/>
          <w:sz w:val="22"/>
          <w:szCs w:val="21"/>
          <w:highlight w:val="none"/>
        </w:rPr>
      </w:pPr>
    </w:p>
    <w:p w14:paraId="487BEF05">
      <w:pPr>
        <w:spacing w:line="360" w:lineRule="auto"/>
        <w:rPr>
          <w:rFonts w:hint="eastAsia" w:ascii="宋体" w:hAnsi="宋体" w:eastAsia="宋体" w:cs="宋体"/>
          <w:color w:val="auto"/>
          <w:sz w:val="21"/>
          <w:highlight w:val="none"/>
        </w:rPr>
      </w:pPr>
    </w:p>
    <w:p w14:paraId="6E6E1712">
      <w:pPr>
        <w:adjustRightInd w:val="0"/>
        <w:snapToGrid w:val="0"/>
        <w:spacing w:line="360" w:lineRule="auto"/>
        <w:ind w:firstLine="554" w:firstLineChars="198"/>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77F25C6">
      <w:pPr>
        <w:pStyle w:val="4"/>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bookmarkStart w:id="56" w:name="_Toc1328"/>
      <w:r>
        <w:rPr>
          <w:rFonts w:hint="eastAsia" w:ascii="宋体" w:hAnsi="宋体" w:eastAsia="宋体" w:cs="宋体"/>
          <w:color w:val="auto"/>
          <w:highlight w:val="none"/>
        </w:rPr>
        <w:t>第六章 竞争性磋商响应文件</w:t>
      </w:r>
      <w:bookmarkEnd w:id="55"/>
      <w:r>
        <w:rPr>
          <w:rFonts w:hint="eastAsia" w:ascii="宋体" w:hAnsi="宋体" w:eastAsia="宋体" w:cs="宋体"/>
          <w:color w:val="auto"/>
          <w:highlight w:val="none"/>
          <w:lang w:eastAsia="zh-CN"/>
        </w:rPr>
        <w:t>组成</w:t>
      </w:r>
      <w:bookmarkEnd w:id="56"/>
    </w:p>
    <w:p w14:paraId="08FFB86C">
      <w:pPr>
        <w:spacing w:line="360" w:lineRule="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一、响应文件格式</w:t>
      </w:r>
    </w:p>
    <w:p w14:paraId="7460DFA1">
      <w:pPr>
        <w:spacing w:line="360" w:lineRule="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二、资质证明文件</w:t>
      </w:r>
    </w:p>
    <w:p w14:paraId="4EA444F9">
      <w:pPr>
        <w:spacing w:line="360" w:lineRule="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三、符合性证明文件</w:t>
      </w:r>
    </w:p>
    <w:p w14:paraId="4650471D">
      <w:pPr>
        <w:spacing w:line="360" w:lineRule="auto"/>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四、响应方案</w:t>
      </w:r>
    </w:p>
    <w:p w14:paraId="2F828B34">
      <w:pPr>
        <w:pStyle w:val="12"/>
        <w:spacing w:line="360" w:lineRule="auto"/>
        <w:rPr>
          <w:rFonts w:hint="eastAsia" w:ascii="宋体" w:hAnsi="宋体" w:eastAsia="宋体" w:cs="宋体"/>
          <w:color w:val="auto"/>
          <w:sz w:val="24"/>
          <w:highlight w:val="none"/>
        </w:rPr>
      </w:pPr>
    </w:p>
    <w:p w14:paraId="217A7FEA">
      <w:pPr>
        <w:spacing w:line="360" w:lineRule="auto"/>
        <w:rPr>
          <w:rFonts w:hint="eastAsia" w:ascii="宋体" w:hAnsi="宋体" w:eastAsia="宋体" w:cs="宋体"/>
          <w:color w:val="auto"/>
          <w:sz w:val="24"/>
          <w:highlight w:val="none"/>
        </w:rPr>
      </w:pPr>
    </w:p>
    <w:p w14:paraId="2F10FF89">
      <w:pPr>
        <w:spacing w:line="360" w:lineRule="auto"/>
        <w:rPr>
          <w:rFonts w:hint="eastAsia" w:ascii="宋体" w:hAnsi="宋体" w:eastAsia="宋体" w:cs="宋体"/>
          <w:b/>
          <w:bCs/>
          <w:color w:val="auto"/>
          <w:highlight w:val="none"/>
        </w:rPr>
      </w:pPr>
    </w:p>
    <w:p w14:paraId="3115CD97">
      <w:pPr>
        <w:spacing w:line="360" w:lineRule="auto"/>
        <w:rPr>
          <w:rFonts w:hint="eastAsia" w:ascii="宋体" w:hAnsi="宋体" w:eastAsia="宋体" w:cs="宋体"/>
          <w:b/>
          <w:bCs/>
          <w:color w:val="auto"/>
          <w:highlight w:val="none"/>
        </w:rPr>
      </w:pPr>
    </w:p>
    <w:p w14:paraId="37A1EE2A">
      <w:pPr>
        <w:spacing w:line="360" w:lineRule="auto"/>
        <w:rPr>
          <w:rFonts w:hint="eastAsia" w:ascii="宋体" w:hAnsi="宋体" w:eastAsia="宋体" w:cs="宋体"/>
          <w:b/>
          <w:bCs/>
          <w:color w:val="auto"/>
          <w:highlight w:val="none"/>
        </w:rPr>
      </w:pPr>
    </w:p>
    <w:p w14:paraId="1F9D0507">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szCs w:val="24"/>
          <w:highlight w:val="none"/>
        </w:rPr>
        <w:t>响应文件编制说明</w:t>
      </w:r>
    </w:p>
    <w:p w14:paraId="6293340F">
      <w:pPr>
        <w:spacing w:line="360" w:lineRule="auto"/>
        <w:ind w:left="280" w:leftChars="100" w:firstLine="422" w:firstLineChars="15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1、响应文件的编制应按照样本格式提供的内容，做出逐一明确的答复；供应商认为有必要，还可以做其它补充说明。</w:t>
      </w:r>
      <w:r>
        <w:rPr>
          <w:rFonts w:hint="eastAsia" w:ascii="宋体" w:hAnsi="宋体" w:eastAsia="宋体" w:cs="宋体"/>
          <w:b/>
          <w:bCs/>
          <w:color w:val="auto"/>
          <w:szCs w:val="24"/>
          <w:highlight w:val="none"/>
        </w:rPr>
        <w:cr/>
      </w:r>
      <w:r>
        <w:rPr>
          <w:rFonts w:hint="eastAsia" w:ascii="宋体" w:hAnsi="宋体" w:eastAsia="宋体" w:cs="宋体"/>
          <w:b/>
          <w:bCs/>
          <w:color w:val="auto"/>
          <w:szCs w:val="24"/>
          <w:highlight w:val="none"/>
        </w:rPr>
        <w:t xml:space="preserve">   2、供应商必须按照磋商文件的规定和要求由法定代表人或被授权人签字（或盖章），并逐页加盖供应商公章。</w:t>
      </w:r>
    </w:p>
    <w:p w14:paraId="18FFCC4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lang w:val="zh-CN"/>
        </w:rPr>
        <w:br w:type="page"/>
      </w:r>
    </w:p>
    <w:p w14:paraId="11D0344F">
      <w:pPr>
        <w:spacing w:line="360" w:lineRule="auto"/>
        <w:outlineLvl w:val="1"/>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一、响应文件格式</w:t>
      </w:r>
    </w:p>
    <w:p w14:paraId="4F599DCB">
      <w:pPr>
        <w:autoSpaceDE w:val="0"/>
        <w:autoSpaceDN w:val="0"/>
        <w:adjustRightInd w:val="0"/>
        <w:snapToGrid w:val="0"/>
        <w:spacing w:line="360" w:lineRule="auto"/>
        <w:jc w:val="left"/>
        <w:outlineLvl w:val="9"/>
        <w:rPr>
          <w:rFonts w:hint="eastAsia" w:ascii="宋体" w:hAnsi="宋体" w:eastAsia="宋体" w:cs="宋体"/>
          <w:b/>
          <w:bCs/>
          <w:color w:val="auto"/>
          <w:szCs w:val="28"/>
          <w:highlight w:val="none"/>
        </w:rPr>
      </w:pPr>
      <w:bookmarkStart w:id="57" w:name="_Toc25855"/>
      <w:bookmarkStart w:id="58" w:name="_Toc30897"/>
      <w:bookmarkStart w:id="59" w:name="_Toc341"/>
      <w:bookmarkStart w:id="60" w:name="_Toc31707"/>
      <w:r>
        <w:rPr>
          <w:rFonts w:hint="eastAsia" w:ascii="宋体" w:hAnsi="宋体" w:eastAsia="宋体" w:cs="宋体"/>
          <w:b/>
          <w:bCs/>
          <w:color w:val="auto"/>
          <w:szCs w:val="28"/>
          <w:highlight w:val="none"/>
        </w:rPr>
        <w:t>1、封面</w:t>
      </w:r>
      <w:bookmarkEnd w:id="57"/>
      <w:bookmarkEnd w:id="58"/>
      <w:bookmarkEnd w:id="59"/>
      <w:bookmarkEnd w:id="60"/>
    </w:p>
    <w:p w14:paraId="124D30C5">
      <w:pPr>
        <w:autoSpaceDE w:val="0"/>
        <w:autoSpaceDN w:val="0"/>
        <w:adjustRightInd w:val="0"/>
        <w:snapToGrid w:val="0"/>
        <w:spacing w:line="360" w:lineRule="auto"/>
        <w:jc w:val="left"/>
        <w:rPr>
          <w:rFonts w:hint="eastAsia" w:ascii="宋体" w:hAnsi="宋体" w:eastAsia="宋体" w:cs="宋体"/>
          <w:b/>
          <w:color w:val="auto"/>
          <w:sz w:val="36"/>
          <w:szCs w:val="36"/>
          <w:highlight w:val="none"/>
        </w:rPr>
      </w:pPr>
    </w:p>
    <w:p w14:paraId="0503D897">
      <w:pPr>
        <w:autoSpaceDE w:val="0"/>
        <w:autoSpaceDN w:val="0"/>
        <w:adjustRightInd w:val="0"/>
        <w:snapToGrid w:val="0"/>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6"/>
          <w:szCs w:val="36"/>
          <w:highlight w:val="none"/>
        </w:rPr>
        <w:t>文件编号:</w:t>
      </w:r>
      <w:r>
        <w:rPr>
          <w:rFonts w:hint="eastAsia" w:ascii="宋体" w:hAnsi="宋体" w:eastAsia="宋体" w:cs="宋体"/>
          <w:b/>
          <w:bCs/>
          <w:color w:val="auto"/>
          <w:sz w:val="36"/>
          <w:szCs w:val="36"/>
          <w:highlight w:val="none"/>
          <w:lang w:eastAsia="zh-CN"/>
        </w:rPr>
        <w:t>SXJX-2025-006号</w:t>
      </w:r>
    </w:p>
    <w:p w14:paraId="385D3AD2">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5F42B1B1">
      <w:pPr>
        <w:spacing w:beforeLines="50" w:line="360" w:lineRule="auto"/>
        <w:ind w:right="-1165" w:rightChars="-416"/>
        <w:rPr>
          <w:rFonts w:hint="eastAsia" w:ascii="宋体" w:hAnsi="宋体" w:eastAsia="宋体" w:cs="宋体"/>
          <w:b/>
          <w:bCs/>
          <w:color w:val="auto"/>
          <w:spacing w:val="52"/>
          <w:kern w:val="0"/>
          <w:sz w:val="15"/>
          <w:szCs w:val="15"/>
          <w:highlight w:val="none"/>
        </w:rPr>
      </w:pPr>
    </w:p>
    <w:p w14:paraId="042D4A59">
      <w:pPr>
        <w:pStyle w:val="42"/>
        <w:spacing w:line="360" w:lineRule="auto"/>
        <w:ind w:firstLine="0" w:firstLineChars="0"/>
        <w:jc w:val="center"/>
        <w:rPr>
          <w:rFonts w:hint="eastAsia" w:ascii="宋体" w:hAnsi="宋体" w:eastAsia="宋体" w:cs="宋体"/>
          <w:b/>
          <w:bCs/>
          <w:color w:val="auto"/>
          <w:spacing w:val="20"/>
          <w:kern w:val="0"/>
          <w:sz w:val="72"/>
          <w:szCs w:val="72"/>
          <w:highlight w:val="none"/>
        </w:rPr>
      </w:pPr>
      <w:r>
        <w:rPr>
          <w:rFonts w:hint="eastAsia" w:ascii="宋体" w:hAnsi="宋体" w:eastAsia="宋体" w:cs="宋体"/>
          <w:b/>
          <w:bCs/>
          <w:color w:val="auto"/>
          <w:spacing w:val="20"/>
          <w:kern w:val="0"/>
          <w:sz w:val="52"/>
          <w:szCs w:val="52"/>
          <w:highlight w:val="none"/>
          <w:lang w:eastAsia="zh-CN" w:bidi="ar-SA"/>
        </w:rPr>
        <w:t>凤县2024年度自然资源卫片执法工作</w:t>
      </w:r>
      <w:r>
        <w:rPr>
          <w:rFonts w:hint="eastAsia" w:ascii="宋体" w:hAnsi="宋体" w:eastAsia="宋体" w:cs="宋体"/>
          <w:b/>
          <w:bCs/>
          <w:color w:val="auto"/>
          <w:sz w:val="40"/>
          <w:szCs w:val="40"/>
          <w:highlight w:val="none"/>
        </w:rPr>
        <w:t xml:space="preserve"> </w:t>
      </w:r>
    </w:p>
    <w:p w14:paraId="2EB81888">
      <w:pPr>
        <w:spacing w:beforeLines="50" w:line="360" w:lineRule="auto"/>
        <w:ind w:right="-1165" w:rightChars="-416"/>
        <w:rPr>
          <w:rFonts w:hint="eastAsia" w:ascii="宋体" w:hAnsi="宋体" w:eastAsia="宋体" w:cs="宋体"/>
          <w:b/>
          <w:bCs/>
          <w:color w:val="auto"/>
          <w:spacing w:val="20"/>
          <w:kern w:val="0"/>
          <w:sz w:val="72"/>
          <w:szCs w:val="72"/>
          <w:highlight w:val="none"/>
        </w:rPr>
      </w:pPr>
    </w:p>
    <w:p w14:paraId="439FE8B8">
      <w:pPr>
        <w:spacing w:beforeLines="50" w:line="360" w:lineRule="auto"/>
        <w:ind w:right="-1165" w:rightChars="-416" w:firstLine="3051" w:firstLineChars="400"/>
        <w:rPr>
          <w:rFonts w:hint="eastAsia" w:ascii="宋体" w:hAnsi="宋体" w:eastAsia="宋体" w:cs="宋体"/>
          <w:b/>
          <w:bCs/>
          <w:color w:val="auto"/>
          <w:spacing w:val="20"/>
          <w:kern w:val="0"/>
          <w:sz w:val="72"/>
          <w:szCs w:val="72"/>
          <w:highlight w:val="none"/>
        </w:rPr>
      </w:pPr>
      <w:r>
        <w:rPr>
          <w:rFonts w:hint="eastAsia" w:ascii="宋体" w:hAnsi="宋体" w:eastAsia="宋体" w:cs="宋体"/>
          <w:b/>
          <w:bCs/>
          <w:color w:val="auto"/>
          <w:spacing w:val="20"/>
          <w:kern w:val="0"/>
          <w:sz w:val="72"/>
          <w:szCs w:val="72"/>
          <w:highlight w:val="none"/>
        </w:rPr>
        <w:t>磋商响应文件</w:t>
      </w:r>
    </w:p>
    <w:p w14:paraId="407BC86A">
      <w:pPr>
        <w:spacing w:line="360" w:lineRule="auto"/>
        <w:rPr>
          <w:rFonts w:hint="eastAsia" w:ascii="宋体" w:hAnsi="宋体" w:eastAsia="宋体" w:cs="宋体"/>
          <w:color w:val="auto"/>
          <w:sz w:val="32"/>
          <w:highlight w:val="none"/>
        </w:rPr>
      </w:pPr>
    </w:p>
    <w:p w14:paraId="76687203">
      <w:pPr>
        <w:spacing w:beforeLines="70" w:line="360" w:lineRule="auto"/>
        <w:rPr>
          <w:rFonts w:hint="eastAsia" w:ascii="宋体" w:hAnsi="宋体" w:eastAsia="宋体" w:cs="宋体"/>
          <w:b/>
          <w:color w:val="auto"/>
          <w:spacing w:val="8"/>
          <w:szCs w:val="28"/>
          <w:highlight w:val="none"/>
        </w:rPr>
      </w:pPr>
    </w:p>
    <w:p w14:paraId="2FA510FB">
      <w:pPr>
        <w:pStyle w:val="12"/>
        <w:spacing w:line="360" w:lineRule="auto"/>
        <w:rPr>
          <w:rFonts w:hint="eastAsia" w:ascii="宋体" w:hAnsi="宋体" w:eastAsia="宋体" w:cs="宋体"/>
          <w:b/>
          <w:color w:val="auto"/>
          <w:spacing w:val="8"/>
          <w:szCs w:val="28"/>
          <w:highlight w:val="none"/>
        </w:rPr>
      </w:pPr>
    </w:p>
    <w:p w14:paraId="79C28EB2">
      <w:pPr>
        <w:pStyle w:val="2"/>
        <w:spacing w:line="360" w:lineRule="auto"/>
        <w:ind w:left="0" w:leftChars="0" w:firstLine="0" w:firstLineChars="0"/>
        <w:rPr>
          <w:rFonts w:hint="eastAsia" w:ascii="宋体" w:hAnsi="宋体" w:eastAsia="宋体" w:cs="宋体"/>
          <w:color w:val="auto"/>
          <w:highlight w:val="none"/>
        </w:rPr>
      </w:pPr>
    </w:p>
    <w:p w14:paraId="50E5DB6B">
      <w:pPr>
        <w:spacing w:beforeLines="70" w:line="360" w:lineRule="auto"/>
        <w:ind w:firstLine="2080" w:firstLineChars="700"/>
        <w:rPr>
          <w:rFonts w:hint="eastAsia" w:ascii="宋体" w:hAnsi="宋体" w:eastAsia="宋体" w:cs="宋体"/>
          <w:b/>
          <w:color w:val="auto"/>
          <w:spacing w:val="8"/>
          <w:szCs w:val="28"/>
          <w:highlight w:val="none"/>
        </w:rPr>
      </w:pPr>
    </w:p>
    <w:p w14:paraId="231B7D22">
      <w:pPr>
        <w:spacing w:beforeLines="70" w:line="360" w:lineRule="auto"/>
        <w:ind w:firstLine="1634" w:firstLineChars="550"/>
        <w:rPr>
          <w:rFonts w:hint="eastAsia" w:ascii="宋体" w:hAnsi="宋体" w:eastAsia="宋体" w:cs="宋体"/>
          <w:b/>
          <w:bCs/>
          <w:color w:val="auto"/>
          <w:spacing w:val="8"/>
          <w:szCs w:val="28"/>
          <w:highlight w:val="none"/>
          <w:u w:val="single"/>
        </w:rPr>
      </w:pPr>
      <w:r>
        <w:rPr>
          <w:rFonts w:hint="eastAsia" w:ascii="宋体" w:hAnsi="宋体" w:eastAsia="宋体" w:cs="宋体"/>
          <w:b/>
          <w:color w:val="auto"/>
          <w:spacing w:val="8"/>
          <w:szCs w:val="28"/>
          <w:highlight w:val="none"/>
        </w:rPr>
        <w:t>供应商：</w:t>
      </w:r>
      <w:r>
        <w:rPr>
          <w:rFonts w:hint="eastAsia" w:ascii="宋体" w:hAnsi="宋体" w:eastAsia="宋体" w:cs="宋体"/>
          <w:b/>
          <w:color w:val="auto"/>
          <w:spacing w:val="8"/>
          <w:szCs w:val="28"/>
          <w:highlight w:val="none"/>
          <w:u w:val="single"/>
        </w:rPr>
        <w:t xml:space="preserve">               </w:t>
      </w:r>
      <w:r>
        <w:rPr>
          <w:rFonts w:hint="eastAsia" w:ascii="宋体" w:hAnsi="宋体" w:eastAsia="宋体" w:cs="宋体"/>
          <w:b/>
          <w:color w:val="auto"/>
          <w:spacing w:val="8"/>
          <w:szCs w:val="28"/>
          <w:highlight w:val="none"/>
        </w:rPr>
        <w:t>（盖单位章）</w:t>
      </w:r>
    </w:p>
    <w:p w14:paraId="69C5A2A8">
      <w:pPr>
        <w:spacing w:line="360" w:lineRule="auto"/>
        <w:ind w:firstLine="1661" w:firstLineChars="591"/>
        <w:rPr>
          <w:rFonts w:hint="eastAsia" w:ascii="宋体" w:hAnsi="宋体" w:eastAsia="宋体" w:cs="宋体"/>
          <w:b/>
          <w:color w:val="auto"/>
          <w:szCs w:val="28"/>
          <w:highlight w:val="none"/>
        </w:rPr>
      </w:pPr>
    </w:p>
    <w:p w14:paraId="6957D748">
      <w:pPr>
        <w:spacing w:line="240" w:lineRule="auto"/>
        <w:ind w:firstLine="1687" w:firstLineChars="600"/>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Cs w:val="28"/>
          <w:highlight w:val="none"/>
        </w:rPr>
        <w:t>时  间：</w:t>
      </w:r>
      <w:r>
        <w:rPr>
          <w:rFonts w:hint="eastAsia" w:ascii="宋体" w:hAnsi="宋体" w:eastAsia="宋体" w:cs="宋体"/>
          <w:b/>
          <w:color w:val="auto"/>
          <w:szCs w:val="28"/>
          <w:highlight w:val="none"/>
          <w:u w:val="single"/>
          <w:lang w:val="en-US" w:eastAsia="zh-CN"/>
        </w:rPr>
        <w:t xml:space="preserve">  </w:t>
      </w:r>
      <w:r>
        <w:rPr>
          <w:rFonts w:hint="eastAsia" w:ascii="宋体" w:hAnsi="宋体" w:eastAsia="宋体" w:cs="宋体"/>
          <w:b/>
          <w:color w:val="auto"/>
          <w:spacing w:val="8"/>
          <w:szCs w:val="28"/>
          <w:highlight w:val="none"/>
          <w:u w:val="single"/>
        </w:rPr>
        <w:t xml:space="preserve">               </w:t>
      </w:r>
      <w:r>
        <w:rPr>
          <w:rFonts w:hint="eastAsia" w:ascii="宋体" w:hAnsi="宋体" w:eastAsia="宋体" w:cs="宋体"/>
          <w:b/>
          <w:color w:val="auto"/>
          <w:szCs w:val="28"/>
          <w:highlight w:val="none"/>
          <w:u w:val="single"/>
          <w:lang w:val="en-US" w:eastAsia="zh-CN"/>
        </w:rPr>
        <w:t xml:space="preserve">     </w:t>
      </w:r>
    </w:p>
    <w:p w14:paraId="4C4FD9DF">
      <w:pPr>
        <w:spacing w:line="360" w:lineRule="auto"/>
        <w:rPr>
          <w:rFonts w:hint="eastAsia" w:ascii="宋体" w:hAnsi="宋体" w:eastAsia="宋体" w:cs="宋体"/>
          <w:b/>
          <w:bCs/>
          <w:color w:val="auto"/>
          <w:szCs w:val="28"/>
          <w:highlight w:val="none"/>
        </w:rPr>
      </w:pPr>
      <w:bookmarkStart w:id="61" w:name="_Toc175032437"/>
      <w:bookmarkStart w:id="62" w:name="_Toc169846776"/>
      <w:bookmarkStart w:id="63" w:name="_Toc167591043"/>
      <w:bookmarkStart w:id="64" w:name="_Toc170980453"/>
      <w:bookmarkStart w:id="65" w:name="_Toc175033592"/>
      <w:bookmarkStart w:id="66" w:name="_Toc193126881"/>
      <w:bookmarkStart w:id="67" w:name="_Toc167849360"/>
      <w:bookmarkStart w:id="68" w:name="_Toc188808833"/>
      <w:bookmarkStart w:id="69" w:name="_Toc193187097"/>
      <w:bookmarkStart w:id="70" w:name="_Toc167591492"/>
      <w:bookmarkStart w:id="71" w:name="_Toc154482479"/>
      <w:bookmarkStart w:id="72" w:name="_Toc169846873"/>
      <w:bookmarkStart w:id="73" w:name="_Toc170980552"/>
      <w:bookmarkStart w:id="74" w:name="_Toc194663918"/>
      <w:bookmarkStart w:id="75" w:name="_Toc169838532"/>
      <w:bookmarkStart w:id="76" w:name="_Toc167591330"/>
      <w:bookmarkStart w:id="77" w:name="_Toc167591144"/>
      <w:bookmarkStart w:id="78" w:name="_Toc167590775"/>
      <w:bookmarkStart w:id="79" w:name="_Toc173549978"/>
    </w:p>
    <w:p w14:paraId="6AE0CD1B">
      <w:pPr>
        <w:spacing w:line="360" w:lineRule="auto"/>
        <w:rPr>
          <w:rFonts w:hint="eastAsia" w:ascii="宋体" w:hAnsi="宋体" w:eastAsia="宋体" w:cs="宋体"/>
          <w:color w:val="auto"/>
          <w:highlight w:val="none"/>
        </w:rPr>
      </w:pPr>
    </w:p>
    <w:p w14:paraId="55EC7A47">
      <w:pPr>
        <w:spacing w:line="360" w:lineRule="auto"/>
        <w:outlineLvl w:val="1"/>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二、资质证明文件</w:t>
      </w:r>
    </w:p>
    <w:p w14:paraId="3AC2B3DF">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1.营业执照等主体资格证明文件</w:t>
      </w:r>
    </w:p>
    <w:p w14:paraId="75639060">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2.财务状况报告或资信证明</w:t>
      </w:r>
    </w:p>
    <w:p w14:paraId="6E9E087B">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3.社保缴纳证明</w:t>
      </w:r>
    </w:p>
    <w:p w14:paraId="52908530">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4.税收缴纳证明</w:t>
      </w:r>
    </w:p>
    <w:p w14:paraId="325EBACF">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5.信用记录承诺</w:t>
      </w:r>
    </w:p>
    <w:p w14:paraId="0EC098E1">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6.控股管理关系承诺</w:t>
      </w:r>
    </w:p>
    <w:p w14:paraId="0D90C712">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7.书面声明（格式见附件一）</w:t>
      </w:r>
    </w:p>
    <w:p w14:paraId="4AD4E114">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8.法定代表人授权委托书（格式见附件二）</w:t>
      </w:r>
    </w:p>
    <w:p w14:paraId="5387CAB7">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9.所必需的设备和专业技术能力的承诺书</w:t>
      </w:r>
    </w:p>
    <w:p w14:paraId="744DFF27">
      <w:pPr>
        <w:spacing w:line="360" w:lineRule="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10.企业资质及项目负责人资格证明文件</w:t>
      </w:r>
    </w:p>
    <w:p w14:paraId="58047C1F">
      <w:pPr>
        <w:spacing w:line="360" w:lineRule="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11.中小企业声明函（格式见附件三）</w:t>
      </w:r>
    </w:p>
    <w:p w14:paraId="73514ABE">
      <w:pPr>
        <w:spacing w:line="360" w:lineRule="auto"/>
        <w:outlineLvl w:val="9"/>
        <w:rPr>
          <w:rFonts w:hint="eastAsia" w:ascii="宋体" w:hAnsi="宋体" w:eastAsia="宋体" w:cs="宋体"/>
          <w:b w:val="0"/>
          <w:bCs w:val="0"/>
          <w:color w:val="auto"/>
          <w:sz w:val="28"/>
          <w:szCs w:val="28"/>
          <w:highlight w:val="none"/>
          <w:lang w:val="en-US" w:eastAsia="zh-CN"/>
        </w:rPr>
      </w:pPr>
    </w:p>
    <w:p w14:paraId="42D7BD1B">
      <w:pPr>
        <w:tabs>
          <w:tab w:val="left" w:pos="2153"/>
        </w:tabs>
        <w:spacing w:line="360" w:lineRule="auto"/>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ab/>
      </w:r>
    </w:p>
    <w:p w14:paraId="47FA1396">
      <w:pPr>
        <w:spacing w:line="360" w:lineRule="auto"/>
        <w:rPr>
          <w:rFonts w:hint="eastAsia" w:ascii="宋体" w:hAnsi="宋体" w:eastAsia="宋体" w:cs="宋体"/>
          <w:b w:val="0"/>
          <w:color w:val="auto"/>
          <w:sz w:val="28"/>
          <w:szCs w:val="28"/>
          <w:highlight w:val="none"/>
          <w:lang w:val="en-US" w:eastAsia="zh-CN"/>
        </w:rPr>
      </w:pPr>
    </w:p>
    <w:p w14:paraId="60121FEE">
      <w:pPr>
        <w:pStyle w:val="2"/>
        <w:spacing w:line="360" w:lineRule="auto"/>
        <w:rPr>
          <w:rFonts w:hint="eastAsia" w:ascii="宋体" w:hAnsi="宋体" w:eastAsia="宋体" w:cs="宋体"/>
          <w:b w:val="0"/>
          <w:color w:val="auto"/>
          <w:sz w:val="28"/>
          <w:szCs w:val="28"/>
          <w:highlight w:val="none"/>
          <w:lang w:val="en-US" w:eastAsia="zh-CN"/>
        </w:rPr>
      </w:pPr>
    </w:p>
    <w:p w14:paraId="3108B78B">
      <w:pPr>
        <w:spacing w:line="360" w:lineRule="auto"/>
        <w:rPr>
          <w:rFonts w:hint="eastAsia" w:ascii="宋体" w:hAnsi="宋体" w:eastAsia="宋体" w:cs="宋体"/>
          <w:color w:val="auto"/>
          <w:highlight w:val="none"/>
          <w:lang w:val="en-US" w:eastAsia="zh-CN"/>
        </w:rPr>
      </w:pPr>
    </w:p>
    <w:p w14:paraId="48874528">
      <w:pPr>
        <w:spacing w:line="360" w:lineRule="auto"/>
        <w:rPr>
          <w:rFonts w:hint="eastAsia" w:ascii="宋体" w:hAnsi="宋体" w:eastAsia="宋体" w:cs="宋体"/>
          <w:color w:val="auto"/>
          <w:szCs w:val="28"/>
          <w:highlight w:val="none"/>
        </w:rPr>
      </w:pPr>
    </w:p>
    <w:p w14:paraId="5557C157">
      <w:pPr>
        <w:spacing w:line="360" w:lineRule="auto"/>
        <w:rPr>
          <w:rFonts w:hint="eastAsia" w:ascii="宋体" w:hAnsi="宋体" w:eastAsia="宋体" w:cs="宋体"/>
          <w:color w:val="auto"/>
          <w:szCs w:val="28"/>
          <w:highlight w:val="none"/>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CD65BE2">
      <w:pPr>
        <w:pStyle w:val="9"/>
        <w:spacing w:line="360" w:lineRule="auto"/>
        <w:ind w:firstLine="0"/>
        <w:jc w:val="both"/>
        <w:outlineLvl w:val="9"/>
        <w:rPr>
          <w:rFonts w:hint="eastAsia" w:ascii="宋体" w:hAnsi="宋体" w:eastAsia="宋体" w:cs="宋体"/>
          <w:color w:val="auto"/>
          <w:szCs w:val="28"/>
          <w:highlight w:val="none"/>
          <w:lang w:eastAsia="zh-CN"/>
        </w:rPr>
      </w:pPr>
    </w:p>
    <w:p w14:paraId="05EE6865">
      <w:pPr>
        <w:spacing w:line="360" w:lineRule="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br w:type="page"/>
      </w:r>
    </w:p>
    <w:p w14:paraId="3DBA4D8B">
      <w:pPr>
        <w:pStyle w:val="9"/>
        <w:spacing w:line="360" w:lineRule="auto"/>
        <w:ind w:firstLine="0"/>
        <w:jc w:val="both"/>
        <w:outlineLvl w:val="9"/>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附件一：</w:t>
      </w:r>
    </w:p>
    <w:p w14:paraId="6AEE2B7B">
      <w:pPr>
        <w:pStyle w:val="9"/>
        <w:spacing w:line="360" w:lineRule="auto"/>
        <w:ind w:firstLine="0"/>
        <w:jc w:val="center"/>
        <w:outlineLvl w:val="9"/>
        <w:rPr>
          <w:rFonts w:hint="eastAsia" w:ascii="宋体" w:hAnsi="宋体" w:eastAsia="宋体" w:cs="宋体"/>
          <w:b/>
          <w:color w:val="auto"/>
          <w:sz w:val="28"/>
          <w:szCs w:val="28"/>
          <w:highlight w:val="none"/>
          <w:lang w:eastAsia="zh-CN"/>
        </w:rPr>
      </w:pPr>
    </w:p>
    <w:p w14:paraId="487FAB70">
      <w:pPr>
        <w:pStyle w:val="9"/>
        <w:spacing w:line="360" w:lineRule="auto"/>
        <w:ind w:firstLine="0"/>
        <w:jc w:val="center"/>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无重大违法记录声明</w:t>
      </w:r>
    </w:p>
    <w:p w14:paraId="0B275EC0">
      <w:pPr>
        <w:spacing w:line="360" w:lineRule="auto"/>
        <w:ind w:firstLine="240" w:firstLineChars="100"/>
        <w:outlineLvl w:val="9"/>
        <w:rPr>
          <w:rFonts w:hint="eastAsia" w:ascii="宋体" w:hAnsi="宋体" w:eastAsia="宋体" w:cs="宋体"/>
          <w:color w:val="auto"/>
          <w:sz w:val="24"/>
          <w:highlight w:val="none"/>
        </w:rPr>
      </w:pPr>
    </w:p>
    <w:p w14:paraId="3EA2F542">
      <w:pPr>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陕西佳信项目管理有限公司</w:t>
      </w:r>
    </w:p>
    <w:p w14:paraId="541633C6">
      <w:pPr>
        <w:spacing w:line="360" w:lineRule="auto"/>
        <w:ind w:firstLine="480" w:firstLineChars="200"/>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   </w:t>
      </w:r>
    </w:p>
    <w:p w14:paraId="1FF859C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（供应商名称）郑重声明，我方参加贵公司组织的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活动前三年内无重大违法活动记录，符合《中华人民共和国政府采购法》规定的供应商资格条件。我方对此声明负全部法律责任。</w:t>
      </w:r>
    </w:p>
    <w:p w14:paraId="3EFB21F3">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特此声明。</w:t>
      </w:r>
    </w:p>
    <w:p w14:paraId="6704D17E">
      <w:pPr>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注：成立不足三年的供应商提供自成立之日起至</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之日止的无重大违法记录声明。</w:t>
      </w:r>
    </w:p>
    <w:p w14:paraId="26151A89">
      <w:pPr>
        <w:spacing w:line="360" w:lineRule="auto"/>
        <w:ind w:firstLine="4759" w:firstLineChars="1983"/>
        <w:outlineLvl w:val="9"/>
        <w:rPr>
          <w:rFonts w:hint="eastAsia" w:ascii="宋体" w:hAnsi="宋体" w:eastAsia="宋体" w:cs="宋体"/>
          <w:color w:val="auto"/>
          <w:sz w:val="24"/>
          <w:szCs w:val="28"/>
          <w:highlight w:val="none"/>
        </w:rPr>
      </w:pPr>
    </w:p>
    <w:p w14:paraId="49F877D2">
      <w:pPr>
        <w:spacing w:line="360" w:lineRule="auto"/>
        <w:ind w:firstLine="4759" w:firstLineChars="1983"/>
        <w:outlineLvl w:val="9"/>
        <w:rPr>
          <w:rFonts w:hint="eastAsia" w:ascii="宋体" w:hAnsi="宋体" w:eastAsia="宋体" w:cs="宋体"/>
          <w:color w:val="auto"/>
          <w:sz w:val="24"/>
          <w:szCs w:val="28"/>
          <w:highlight w:val="none"/>
        </w:rPr>
      </w:pPr>
    </w:p>
    <w:p w14:paraId="7996F0CE">
      <w:pPr>
        <w:spacing w:line="360" w:lineRule="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供应商全称(盖章)：</w:t>
      </w:r>
    </w:p>
    <w:p w14:paraId="4C14A804">
      <w:pPr>
        <w:spacing w:line="360" w:lineRule="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法定代表人或授权代表人(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8"/>
          <w:highlight w:val="none"/>
        </w:rPr>
        <w:t>)：</w:t>
      </w:r>
    </w:p>
    <w:p w14:paraId="1C9CE099">
      <w:pPr>
        <w:spacing w:line="360" w:lineRule="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  期：</w:t>
      </w:r>
    </w:p>
    <w:p w14:paraId="7516A715">
      <w:pPr>
        <w:spacing w:line="360" w:lineRule="auto"/>
        <w:outlineLvl w:val="9"/>
        <w:rPr>
          <w:rFonts w:hint="eastAsia" w:ascii="宋体" w:hAnsi="宋体" w:eastAsia="宋体" w:cs="宋体"/>
          <w:color w:val="auto"/>
          <w:highlight w:val="none"/>
        </w:rPr>
      </w:pPr>
    </w:p>
    <w:p w14:paraId="5C7D1BA6">
      <w:pPr>
        <w:spacing w:line="360" w:lineRule="auto"/>
        <w:ind w:left="280" w:leftChars="100"/>
        <w:jc w:val="left"/>
        <w:rPr>
          <w:rFonts w:hint="eastAsia" w:ascii="宋体" w:hAnsi="宋体" w:eastAsia="宋体" w:cs="宋体"/>
          <w:color w:val="auto"/>
          <w:szCs w:val="28"/>
          <w:highlight w:val="none"/>
          <w:lang w:eastAsia="zh-CN"/>
        </w:rPr>
        <w:sectPr>
          <w:headerReference r:id="rId8" w:type="default"/>
          <w:footerReference r:id="rId9" w:type="default"/>
          <w:pgSz w:w="11906" w:h="16838"/>
          <w:pgMar w:top="1440" w:right="1080" w:bottom="1440" w:left="1080" w:header="851" w:footer="992" w:gutter="0"/>
          <w:cols w:space="720" w:num="1"/>
        </w:sectPr>
      </w:pPr>
    </w:p>
    <w:p w14:paraId="3006F490">
      <w:pPr>
        <w:spacing w:line="360" w:lineRule="auto"/>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t>附</w:t>
      </w:r>
      <w:r>
        <w:rPr>
          <w:rFonts w:hint="eastAsia" w:ascii="宋体" w:hAnsi="宋体" w:eastAsia="宋体" w:cs="宋体"/>
          <w:color w:val="auto"/>
          <w:szCs w:val="28"/>
          <w:highlight w:val="none"/>
          <w:lang w:eastAsia="zh-CN"/>
        </w:rPr>
        <w:t>件二</w:t>
      </w:r>
      <w:r>
        <w:rPr>
          <w:rFonts w:hint="eastAsia" w:ascii="宋体" w:hAnsi="宋体" w:eastAsia="宋体" w:cs="宋体"/>
          <w:color w:val="auto"/>
          <w:szCs w:val="28"/>
          <w:highlight w:val="none"/>
        </w:rPr>
        <w:t>：</w:t>
      </w:r>
    </w:p>
    <w:p w14:paraId="3254E210">
      <w:pPr>
        <w:spacing w:line="360" w:lineRule="auto"/>
        <w:ind w:left="280" w:leftChars="10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法定代表人资格证明书</w:t>
      </w:r>
    </w:p>
    <w:tbl>
      <w:tblPr>
        <w:tblStyle w:val="2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64"/>
        <w:gridCol w:w="1960"/>
        <w:gridCol w:w="1333"/>
        <w:gridCol w:w="2417"/>
      </w:tblGrid>
      <w:tr w14:paraId="0EED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80" w:type="dxa"/>
            <w:gridSpan w:val="5"/>
            <w:noWrap/>
          </w:tcPr>
          <w:p w14:paraId="23BBD3FC">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lang w:eastAsia="zh-CN"/>
              </w:rPr>
            </w:pPr>
            <w:r>
              <w:rPr>
                <w:rFonts w:hint="eastAsia" w:ascii="宋体" w:hAnsi="宋体" w:eastAsia="宋体" w:cs="宋体"/>
                <w:bCs/>
                <w:caps/>
                <w:color w:val="auto"/>
                <w:sz w:val="24"/>
                <w:szCs w:val="24"/>
                <w:highlight w:val="none"/>
              </w:rPr>
              <w:t xml:space="preserve">致： </w:t>
            </w:r>
            <w:r>
              <w:rPr>
                <w:rFonts w:hint="eastAsia" w:ascii="宋体" w:hAnsi="宋体" w:eastAsia="宋体" w:cs="宋体"/>
                <w:bCs/>
                <w:caps/>
                <w:color w:val="auto"/>
                <w:sz w:val="24"/>
                <w:szCs w:val="24"/>
                <w:highlight w:val="none"/>
                <w:lang w:eastAsia="zh-CN"/>
              </w:rPr>
              <w:t>陕西佳信项目管理有限公司</w:t>
            </w:r>
          </w:p>
        </w:tc>
      </w:tr>
      <w:tr w14:paraId="25FD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20D40FAD">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项目名称</w:t>
            </w:r>
          </w:p>
        </w:tc>
        <w:tc>
          <w:tcPr>
            <w:tcW w:w="8174" w:type="dxa"/>
            <w:gridSpan w:val="4"/>
            <w:noWrap/>
          </w:tcPr>
          <w:p w14:paraId="5F742338">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1A78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0AC09AD4">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文件编号</w:t>
            </w:r>
          </w:p>
        </w:tc>
        <w:tc>
          <w:tcPr>
            <w:tcW w:w="8174" w:type="dxa"/>
            <w:gridSpan w:val="4"/>
            <w:noWrap/>
          </w:tcPr>
          <w:p w14:paraId="4AC590E5">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76C0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6" w:type="dxa"/>
            <w:noWrap/>
            <w:vAlign w:val="center"/>
          </w:tcPr>
          <w:p w14:paraId="02647CBB">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权   限</w:t>
            </w:r>
          </w:p>
        </w:tc>
        <w:tc>
          <w:tcPr>
            <w:tcW w:w="8174" w:type="dxa"/>
            <w:gridSpan w:val="4"/>
            <w:noWrap/>
            <w:vAlign w:val="center"/>
          </w:tcPr>
          <w:p w14:paraId="1DCF762B">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办理本次采购项目的磋商、联系、洽谈、签约、执行等具体事务，签署全部有关文件、文书、协议及合同。</w:t>
            </w:r>
          </w:p>
        </w:tc>
      </w:tr>
      <w:tr w14:paraId="7E48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03AEF7DA">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有效期</w:t>
            </w:r>
          </w:p>
        </w:tc>
        <w:tc>
          <w:tcPr>
            <w:tcW w:w="8174" w:type="dxa"/>
            <w:gridSpan w:val="4"/>
            <w:noWrap/>
            <w:vAlign w:val="center"/>
          </w:tcPr>
          <w:p w14:paraId="57F01BE3">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color w:val="auto"/>
                <w:sz w:val="24"/>
                <w:szCs w:val="24"/>
                <w:highlight w:val="none"/>
              </w:rPr>
              <w:t>自提交磋商响应文件的截止之日起90个日历日</w:t>
            </w:r>
          </w:p>
        </w:tc>
      </w:tr>
      <w:tr w14:paraId="2B07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1BFDD935">
            <w:pPr>
              <w:tabs>
                <w:tab w:val="right" w:leader="dot" w:pos="9022"/>
              </w:tabs>
              <w:autoSpaceDE w:val="0"/>
              <w:autoSpaceDN w:val="0"/>
              <w:adjustRightInd w:val="0"/>
              <w:spacing w:line="360" w:lineRule="auto"/>
              <w:ind w:firstLine="240" w:firstLineChars="100"/>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企业</w:t>
            </w:r>
          </w:p>
          <w:p w14:paraId="53EE6D7C">
            <w:pPr>
              <w:tabs>
                <w:tab w:val="right" w:leader="dot" w:pos="9022"/>
              </w:tabs>
              <w:autoSpaceDE w:val="0"/>
              <w:autoSpaceDN w:val="0"/>
              <w:adjustRightInd w:val="0"/>
              <w:spacing w:line="360" w:lineRule="auto"/>
              <w:ind w:firstLine="240" w:firstLineChars="100"/>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信息</w:t>
            </w:r>
          </w:p>
        </w:tc>
        <w:tc>
          <w:tcPr>
            <w:tcW w:w="2464" w:type="dxa"/>
            <w:noWrap/>
          </w:tcPr>
          <w:p w14:paraId="53412EDF">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 xml:space="preserve">企 业 名 称 </w:t>
            </w:r>
          </w:p>
        </w:tc>
        <w:tc>
          <w:tcPr>
            <w:tcW w:w="5710" w:type="dxa"/>
            <w:gridSpan w:val="3"/>
            <w:noWrap/>
          </w:tcPr>
          <w:p w14:paraId="1977CA59">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5A09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5203DA66">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43E29437">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 定 地 址</w:t>
            </w:r>
          </w:p>
        </w:tc>
        <w:tc>
          <w:tcPr>
            <w:tcW w:w="5710" w:type="dxa"/>
            <w:gridSpan w:val="3"/>
            <w:noWrap/>
          </w:tcPr>
          <w:p w14:paraId="1DB563DB">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52D6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5474FCDE">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07EC764A">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统一社会信用代码</w:t>
            </w:r>
          </w:p>
        </w:tc>
        <w:tc>
          <w:tcPr>
            <w:tcW w:w="5710" w:type="dxa"/>
            <w:gridSpan w:val="3"/>
            <w:noWrap/>
          </w:tcPr>
          <w:p w14:paraId="02137428">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675B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4E32640D">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142A3B72">
            <w:pPr>
              <w:tabs>
                <w:tab w:val="right" w:leader="dot" w:pos="9022"/>
              </w:tabs>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工商登记机关</w:t>
            </w:r>
          </w:p>
        </w:tc>
        <w:tc>
          <w:tcPr>
            <w:tcW w:w="5710" w:type="dxa"/>
            <w:gridSpan w:val="3"/>
            <w:noWrap/>
          </w:tcPr>
          <w:p w14:paraId="09143F15">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0AF9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558659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47A5C9D6">
            <w:pPr>
              <w:tabs>
                <w:tab w:val="right" w:leader="dot" w:pos="9022"/>
              </w:tabs>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网        址</w:t>
            </w:r>
          </w:p>
        </w:tc>
        <w:tc>
          <w:tcPr>
            <w:tcW w:w="5710" w:type="dxa"/>
            <w:gridSpan w:val="3"/>
            <w:noWrap/>
          </w:tcPr>
          <w:p w14:paraId="7E61D992">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766B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2EDBB8AF">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法定代</w:t>
            </w:r>
          </w:p>
          <w:p w14:paraId="77B2A622">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表人</w:t>
            </w:r>
          </w:p>
        </w:tc>
        <w:tc>
          <w:tcPr>
            <w:tcW w:w="2464" w:type="dxa"/>
            <w:noWrap/>
          </w:tcPr>
          <w:p w14:paraId="05FE20CB">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姓    名</w:t>
            </w:r>
          </w:p>
        </w:tc>
        <w:tc>
          <w:tcPr>
            <w:tcW w:w="1960" w:type="dxa"/>
            <w:noWrap/>
          </w:tcPr>
          <w:p w14:paraId="6F088CE7">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333" w:type="dxa"/>
            <w:noWrap/>
          </w:tcPr>
          <w:p w14:paraId="627302BC">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性    别</w:t>
            </w:r>
          </w:p>
        </w:tc>
        <w:tc>
          <w:tcPr>
            <w:tcW w:w="2417" w:type="dxa"/>
            <w:noWrap/>
          </w:tcPr>
          <w:p w14:paraId="09613E98">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7117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0D8C5EC3">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60CEC1A5">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职    务</w:t>
            </w:r>
          </w:p>
        </w:tc>
        <w:tc>
          <w:tcPr>
            <w:tcW w:w="1960" w:type="dxa"/>
            <w:noWrap/>
          </w:tcPr>
          <w:p w14:paraId="0F3E070F">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333" w:type="dxa"/>
            <w:noWrap/>
          </w:tcPr>
          <w:p w14:paraId="48813194">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联系电话</w:t>
            </w:r>
          </w:p>
        </w:tc>
        <w:tc>
          <w:tcPr>
            <w:tcW w:w="2417" w:type="dxa"/>
            <w:noWrap/>
          </w:tcPr>
          <w:p w14:paraId="196B97E4">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34FF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257B4CD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3604DF94">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传    真</w:t>
            </w:r>
          </w:p>
        </w:tc>
        <w:tc>
          <w:tcPr>
            <w:tcW w:w="5710" w:type="dxa"/>
            <w:gridSpan w:val="3"/>
            <w:noWrap/>
          </w:tcPr>
          <w:p w14:paraId="4AD9372B">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77F8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478AF98D">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2464" w:type="dxa"/>
            <w:noWrap/>
          </w:tcPr>
          <w:p w14:paraId="6564F367">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通讯地址</w:t>
            </w:r>
          </w:p>
        </w:tc>
        <w:tc>
          <w:tcPr>
            <w:tcW w:w="5710" w:type="dxa"/>
            <w:gridSpan w:val="3"/>
            <w:noWrap/>
          </w:tcPr>
          <w:p w14:paraId="2D6578A0">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2C01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9380" w:type="dxa"/>
            <w:gridSpan w:val="5"/>
            <w:noWrap/>
          </w:tcPr>
          <w:p w14:paraId="19325830">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p w14:paraId="77F3729C">
            <w:pPr>
              <w:tabs>
                <w:tab w:val="right" w:leader="dot" w:pos="9022"/>
              </w:tabs>
              <w:autoSpaceDE w:val="0"/>
              <w:autoSpaceDN w:val="0"/>
              <w:adjustRightInd w:val="0"/>
              <w:spacing w:line="360" w:lineRule="auto"/>
              <w:jc w:val="center"/>
              <w:rPr>
                <w:rFonts w:hint="eastAsia" w:ascii="宋体" w:hAnsi="宋体" w:eastAsia="宋体" w:cs="宋体"/>
                <w:color w:val="auto"/>
                <w:spacing w:val="-4"/>
                <w:sz w:val="24"/>
                <w:szCs w:val="24"/>
                <w:highlight w:val="none"/>
              </w:rPr>
            </w:pPr>
            <w:r>
              <w:rPr>
                <w:rFonts w:hint="eastAsia" w:ascii="宋体" w:hAnsi="宋体" w:eastAsia="宋体" w:cs="宋体"/>
                <w:bCs/>
                <w:caps/>
                <w:color w:val="auto"/>
                <w:sz w:val="24"/>
                <w:szCs w:val="24"/>
                <w:highlight w:val="none"/>
              </w:rPr>
              <w:t>法定代表人身份证</w:t>
            </w:r>
            <w:r>
              <w:rPr>
                <w:rFonts w:hint="eastAsia" w:ascii="宋体" w:hAnsi="宋体" w:eastAsia="宋体" w:cs="宋体"/>
                <w:bCs/>
                <w:caps/>
                <w:color w:val="auto"/>
                <w:sz w:val="24"/>
                <w:szCs w:val="24"/>
                <w:highlight w:val="none"/>
                <w:lang w:val="en-US" w:eastAsia="zh-CN"/>
              </w:rPr>
              <w:t>正反面</w:t>
            </w:r>
            <w:r>
              <w:rPr>
                <w:rFonts w:hint="eastAsia" w:ascii="宋体" w:hAnsi="宋体" w:eastAsia="宋体" w:cs="宋体"/>
                <w:bCs/>
                <w:caps/>
                <w:color w:val="auto"/>
                <w:sz w:val="24"/>
                <w:szCs w:val="24"/>
                <w:highlight w:val="none"/>
              </w:rPr>
              <w:t>复印件</w:t>
            </w:r>
          </w:p>
          <w:p w14:paraId="58847D1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（粘贴处）</w:t>
            </w:r>
          </w:p>
          <w:p w14:paraId="3926296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p w14:paraId="49196C06">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p w14:paraId="2D6F5EE3">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p w14:paraId="760EB506">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r>
      <w:tr w14:paraId="21ED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80" w:type="dxa"/>
            <w:gridSpan w:val="5"/>
            <w:noWrap/>
          </w:tcPr>
          <w:p w14:paraId="15B4B2DA">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法定代表人签字及盖章：</w:t>
            </w:r>
          </w:p>
        </w:tc>
      </w:tr>
    </w:tbl>
    <w:p w14:paraId="4D9B18C1">
      <w:pPr>
        <w:spacing w:line="360" w:lineRule="auto"/>
        <w:ind w:firstLine="240" w:firstLineChars="100"/>
        <w:rPr>
          <w:rFonts w:hint="eastAsia" w:ascii="宋体" w:hAnsi="宋体" w:eastAsia="宋体" w:cs="宋体"/>
          <w:b/>
          <w:bCs/>
          <w:color w:val="auto"/>
          <w:szCs w:val="24"/>
          <w:highlight w:val="none"/>
        </w:rPr>
      </w:pPr>
      <w:r>
        <w:rPr>
          <w:rFonts w:hint="eastAsia" w:ascii="宋体" w:hAnsi="宋体" w:eastAsia="宋体" w:cs="宋体"/>
          <w:color w:val="auto"/>
          <w:sz w:val="24"/>
          <w:szCs w:val="22"/>
          <w:highlight w:val="none"/>
        </w:rPr>
        <w:t>供应商名称：</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（供应商单位公章）      日 期：</w:t>
      </w:r>
    </w:p>
    <w:p w14:paraId="3BA5948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03F8C9A">
      <w:pPr>
        <w:spacing w:line="360" w:lineRule="auto"/>
        <w:ind w:left="280" w:left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tbl>
      <w:tblPr>
        <w:tblStyle w:val="2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87"/>
        <w:gridCol w:w="1134"/>
        <w:gridCol w:w="1064"/>
        <w:gridCol w:w="495"/>
        <w:gridCol w:w="1559"/>
        <w:gridCol w:w="2414"/>
      </w:tblGrid>
      <w:tr w14:paraId="67EB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25" w:type="dxa"/>
            <w:gridSpan w:val="7"/>
            <w:noWrap/>
          </w:tcPr>
          <w:p w14:paraId="73CBC44F">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lang w:eastAsia="zh-CN"/>
              </w:rPr>
            </w:pPr>
            <w:r>
              <w:rPr>
                <w:rFonts w:hint="eastAsia" w:ascii="宋体" w:hAnsi="宋体" w:eastAsia="宋体" w:cs="宋体"/>
                <w:bCs/>
                <w:caps/>
                <w:color w:val="auto"/>
                <w:sz w:val="24"/>
                <w:szCs w:val="24"/>
                <w:highlight w:val="none"/>
              </w:rPr>
              <w:t xml:space="preserve">致： </w:t>
            </w:r>
            <w:r>
              <w:rPr>
                <w:rFonts w:hint="eastAsia" w:ascii="宋体" w:hAnsi="宋体" w:eastAsia="宋体" w:cs="宋体"/>
                <w:bCs/>
                <w:caps/>
                <w:color w:val="auto"/>
                <w:sz w:val="24"/>
                <w:szCs w:val="24"/>
                <w:highlight w:val="none"/>
                <w:lang w:eastAsia="zh-CN"/>
              </w:rPr>
              <w:t>陕西佳信项目管理有限公司</w:t>
            </w:r>
          </w:p>
        </w:tc>
      </w:tr>
      <w:tr w14:paraId="0A4E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65FB7B9B">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被授权项目与内容</w:t>
            </w:r>
          </w:p>
        </w:tc>
        <w:tc>
          <w:tcPr>
            <w:tcW w:w="1187" w:type="dxa"/>
            <w:noWrap/>
          </w:tcPr>
          <w:p w14:paraId="33F446E2">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项目名称</w:t>
            </w:r>
          </w:p>
        </w:tc>
        <w:tc>
          <w:tcPr>
            <w:tcW w:w="6666" w:type="dxa"/>
            <w:gridSpan w:val="5"/>
            <w:noWrap/>
          </w:tcPr>
          <w:p w14:paraId="45D023BE">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7454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4D36926E">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tcPr>
          <w:p w14:paraId="1C105300">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文件编号</w:t>
            </w:r>
          </w:p>
        </w:tc>
        <w:tc>
          <w:tcPr>
            <w:tcW w:w="6666" w:type="dxa"/>
            <w:gridSpan w:val="5"/>
            <w:noWrap/>
          </w:tcPr>
          <w:p w14:paraId="2F2123F7">
            <w:pPr>
              <w:tabs>
                <w:tab w:val="right" w:leader="dot" w:pos="9022"/>
              </w:tabs>
              <w:autoSpaceDE w:val="0"/>
              <w:autoSpaceDN w:val="0"/>
              <w:adjustRightInd w:val="0"/>
              <w:spacing w:line="360" w:lineRule="auto"/>
              <w:ind w:firstLine="1200" w:firstLineChars="500"/>
              <w:jc w:val="left"/>
              <w:rPr>
                <w:rFonts w:hint="eastAsia" w:ascii="宋体" w:hAnsi="宋体" w:eastAsia="宋体" w:cs="宋体"/>
                <w:bCs/>
                <w:caps/>
                <w:color w:val="auto"/>
                <w:sz w:val="24"/>
                <w:szCs w:val="24"/>
                <w:highlight w:val="none"/>
              </w:rPr>
            </w:pPr>
          </w:p>
        </w:tc>
      </w:tr>
      <w:tr w14:paraId="43C3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72" w:type="dxa"/>
            <w:vMerge w:val="continue"/>
            <w:noWrap/>
          </w:tcPr>
          <w:p w14:paraId="12F550AE">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vAlign w:val="center"/>
          </w:tcPr>
          <w:p w14:paraId="24F0147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授权范围</w:t>
            </w:r>
          </w:p>
        </w:tc>
        <w:tc>
          <w:tcPr>
            <w:tcW w:w="6666" w:type="dxa"/>
            <w:gridSpan w:val="5"/>
            <w:noWrap/>
          </w:tcPr>
          <w:p w14:paraId="557D660D">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全权办理本次采购项目的磋商、联系、洽谈、签约、执行等具体事务，签署全部有关文件、文书、协议及合同。</w:t>
            </w:r>
          </w:p>
        </w:tc>
      </w:tr>
      <w:tr w14:paraId="75F2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72A8A62B">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tcPr>
          <w:p w14:paraId="79DE2806">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法律责任</w:t>
            </w:r>
          </w:p>
        </w:tc>
        <w:tc>
          <w:tcPr>
            <w:tcW w:w="6666" w:type="dxa"/>
            <w:gridSpan w:val="5"/>
            <w:noWrap/>
          </w:tcPr>
          <w:p w14:paraId="2FBD3A45">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本公司对被授权人在本项目中的签名承担全部法律责任。</w:t>
            </w:r>
          </w:p>
        </w:tc>
      </w:tr>
      <w:tr w14:paraId="25BB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6DC8E84A">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vAlign w:val="center"/>
          </w:tcPr>
          <w:p w14:paraId="208B02E6">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授权期限</w:t>
            </w:r>
          </w:p>
        </w:tc>
        <w:tc>
          <w:tcPr>
            <w:tcW w:w="6666" w:type="dxa"/>
            <w:gridSpan w:val="5"/>
            <w:noWrap/>
            <w:vAlign w:val="center"/>
          </w:tcPr>
          <w:p w14:paraId="22FDE208">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本授权书</w:t>
            </w:r>
            <w:r>
              <w:rPr>
                <w:rFonts w:hint="eastAsia" w:ascii="宋体" w:hAnsi="宋体" w:eastAsia="宋体" w:cs="宋体"/>
                <w:color w:val="auto"/>
                <w:sz w:val="24"/>
                <w:szCs w:val="24"/>
                <w:highlight w:val="none"/>
              </w:rPr>
              <w:t>自提交供应商的截止之日起90个日历日</w:t>
            </w:r>
          </w:p>
        </w:tc>
      </w:tr>
      <w:tr w14:paraId="696D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restart"/>
            <w:noWrap/>
            <w:vAlign w:val="center"/>
          </w:tcPr>
          <w:p w14:paraId="73781688">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企业信息</w:t>
            </w:r>
          </w:p>
        </w:tc>
        <w:tc>
          <w:tcPr>
            <w:tcW w:w="2321" w:type="dxa"/>
            <w:gridSpan w:val="2"/>
            <w:noWrap/>
          </w:tcPr>
          <w:p w14:paraId="3A9C7CBD">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 xml:space="preserve">企 业 名 称 </w:t>
            </w:r>
          </w:p>
        </w:tc>
        <w:tc>
          <w:tcPr>
            <w:tcW w:w="5532" w:type="dxa"/>
            <w:gridSpan w:val="4"/>
            <w:noWrap/>
            <w:vAlign w:val="center"/>
          </w:tcPr>
          <w:p w14:paraId="1C2B0239">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p>
        </w:tc>
      </w:tr>
      <w:tr w14:paraId="0730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79E1E079">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2321" w:type="dxa"/>
            <w:gridSpan w:val="2"/>
            <w:noWrap/>
          </w:tcPr>
          <w:p w14:paraId="79F92D60">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 定 地 址</w:t>
            </w:r>
          </w:p>
        </w:tc>
        <w:tc>
          <w:tcPr>
            <w:tcW w:w="5532" w:type="dxa"/>
            <w:gridSpan w:val="4"/>
            <w:noWrap/>
            <w:vAlign w:val="center"/>
          </w:tcPr>
          <w:p w14:paraId="33C37DA3">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p>
        </w:tc>
      </w:tr>
      <w:tr w14:paraId="62E8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0DF9802F">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2321" w:type="dxa"/>
            <w:gridSpan w:val="2"/>
            <w:noWrap/>
          </w:tcPr>
          <w:p w14:paraId="28A110FA">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统一社会信用代码</w:t>
            </w:r>
          </w:p>
        </w:tc>
        <w:tc>
          <w:tcPr>
            <w:tcW w:w="5532" w:type="dxa"/>
            <w:gridSpan w:val="4"/>
            <w:noWrap/>
            <w:vAlign w:val="center"/>
          </w:tcPr>
          <w:p w14:paraId="4F3616CF">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p>
        </w:tc>
      </w:tr>
      <w:tr w14:paraId="4202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225B5472">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法定代表人</w:t>
            </w:r>
          </w:p>
        </w:tc>
        <w:tc>
          <w:tcPr>
            <w:tcW w:w="1187" w:type="dxa"/>
            <w:noWrap/>
            <w:vAlign w:val="center"/>
          </w:tcPr>
          <w:p w14:paraId="00826FBF">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姓名</w:t>
            </w:r>
          </w:p>
        </w:tc>
        <w:tc>
          <w:tcPr>
            <w:tcW w:w="2693" w:type="dxa"/>
            <w:gridSpan w:val="3"/>
            <w:noWrap/>
            <w:vAlign w:val="center"/>
          </w:tcPr>
          <w:p w14:paraId="567F8398">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1559" w:type="dxa"/>
            <w:noWrap/>
            <w:vAlign w:val="center"/>
          </w:tcPr>
          <w:p w14:paraId="307B15C8">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性    别</w:t>
            </w:r>
          </w:p>
        </w:tc>
        <w:tc>
          <w:tcPr>
            <w:tcW w:w="2414" w:type="dxa"/>
            <w:noWrap/>
            <w:vAlign w:val="center"/>
          </w:tcPr>
          <w:p w14:paraId="27E8A9C4">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r>
      <w:tr w14:paraId="5765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vAlign w:val="center"/>
          </w:tcPr>
          <w:p w14:paraId="792FFB0D">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vAlign w:val="center"/>
          </w:tcPr>
          <w:p w14:paraId="22185CF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职务</w:t>
            </w:r>
          </w:p>
        </w:tc>
        <w:tc>
          <w:tcPr>
            <w:tcW w:w="2693" w:type="dxa"/>
            <w:gridSpan w:val="3"/>
            <w:noWrap/>
            <w:vAlign w:val="center"/>
          </w:tcPr>
          <w:p w14:paraId="322685DF">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1559" w:type="dxa"/>
            <w:noWrap/>
            <w:vAlign w:val="center"/>
          </w:tcPr>
          <w:p w14:paraId="70332EA5">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联系电话</w:t>
            </w:r>
          </w:p>
        </w:tc>
        <w:tc>
          <w:tcPr>
            <w:tcW w:w="2414" w:type="dxa"/>
            <w:noWrap/>
            <w:vAlign w:val="center"/>
          </w:tcPr>
          <w:p w14:paraId="249F8978">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p>
        </w:tc>
      </w:tr>
      <w:tr w14:paraId="0975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5B5D0F0C">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被授权人</w:t>
            </w:r>
          </w:p>
        </w:tc>
        <w:tc>
          <w:tcPr>
            <w:tcW w:w="1187" w:type="dxa"/>
            <w:noWrap/>
            <w:vAlign w:val="center"/>
          </w:tcPr>
          <w:p w14:paraId="6018EEF2">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姓名</w:t>
            </w:r>
          </w:p>
        </w:tc>
        <w:tc>
          <w:tcPr>
            <w:tcW w:w="2693" w:type="dxa"/>
            <w:gridSpan w:val="3"/>
            <w:noWrap/>
            <w:vAlign w:val="center"/>
          </w:tcPr>
          <w:p w14:paraId="427F0278">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1559" w:type="dxa"/>
            <w:noWrap/>
            <w:vAlign w:val="center"/>
          </w:tcPr>
          <w:p w14:paraId="4B0950BB">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性    别</w:t>
            </w:r>
          </w:p>
        </w:tc>
        <w:tc>
          <w:tcPr>
            <w:tcW w:w="2414" w:type="dxa"/>
            <w:noWrap/>
            <w:vAlign w:val="center"/>
          </w:tcPr>
          <w:p w14:paraId="4446FB9C">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r>
      <w:tr w14:paraId="02DB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5FF2D801">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c>
          <w:tcPr>
            <w:tcW w:w="1187" w:type="dxa"/>
            <w:noWrap/>
            <w:vAlign w:val="center"/>
          </w:tcPr>
          <w:p w14:paraId="0D3A4024">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职务</w:t>
            </w:r>
          </w:p>
        </w:tc>
        <w:tc>
          <w:tcPr>
            <w:tcW w:w="2693" w:type="dxa"/>
            <w:gridSpan w:val="3"/>
            <w:noWrap/>
            <w:vAlign w:val="center"/>
          </w:tcPr>
          <w:p w14:paraId="2489CE16">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p>
        </w:tc>
        <w:tc>
          <w:tcPr>
            <w:tcW w:w="1559" w:type="dxa"/>
            <w:noWrap/>
            <w:vAlign w:val="center"/>
          </w:tcPr>
          <w:p w14:paraId="0F6C39DF">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联系电话</w:t>
            </w:r>
          </w:p>
        </w:tc>
        <w:tc>
          <w:tcPr>
            <w:tcW w:w="2414" w:type="dxa"/>
            <w:noWrap/>
          </w:tcPr>
          <w:p w14:paraId="50119340">
            <w:pPr>
              <w:tabs>
                <w:tab w:val="right" w:leader="dot" w:pos="9022"/>
              </w:tabs>
              <w:autoSpaceDE w:val="0"/>
              <w:autoSpaceDN w:val="0"/>
              <w:adjustRightInd w:val="0"/>
              <w:spacing w:line="360" w:lineRule="auto"/>
              <w:rPr>
                <w:rFonts w:hint="eastAsia" w:ascii="宋体" w:hAnsi="宋体" w:eastAsia="宋体" w:cs="宋体"/>
                <w:bCs/>
                <w:caps/>
                <w:color w:val="auto"/>
                <w:sz w:val="24"/>
                <w:szCs w:val="24"/>
                <w:highlight w:val="none"/>
              </w:rPr>
            </w:pPr>
          </w:p>
        </w:tc>
      </w:tr>
      <w:tr w14:paraId="04A4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noWrap/>
          </w:tcPr>
          <w:p w14:paraId="6651A48E">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通讯地址</w:t>
            </w:r>
          </w:p>
        </w:tc>
        <w:tc>
          <w:tcPr>
            <w:tcW w:w="7853" w:type="dxa"/>
            <w:gridSpan w:val="6"/>
            <w:noWrap/>
          </w:tcPr>
          <w:p w14:paraId="57D12364">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tc>
      </w:tr>
      <w:tr w14:paraId="1F23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4957" w:type="dxa"/>
            <w:gridSpan w:val="4"/>
            <w:noWrap/>
            <w:vAlign w:val="center"/>
          </w:tcPr>
          <w:p w14:paraId="6C141278">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法定代表人身份证</w:t>
            </w:r>
            <w:r>
              <w:rPr>
                <w:rFonts w:hint="eastAsia" w:ascii="宋体" w:hAnsi="宋体" w:eastAsia="宋体" w:cs="宋体"/>
                <w:bCs/>
                <w:caps/>
                <w:color w:val="auto"/>
                <w:sz w:val="24"/>
                <w:szCs w:val="24"/>
                <w:highlight w:val="none"/>
                <w:lang w:val="en-US" w:eastAsia="zh-CN"/>
              </w:rPr>
              <w:t>正反面</w:t>
            </w:r>
            <w:r>
              <w:rPr>
                <w:rFonts w:hint="eastAsia" w:ascii="宋体" w:hAnsi="宋体" w:eastAsia="宋体" w:cs="宋体"/>
                <w:bCs/>
                <w:caps/>
                <w:color w:val="auto"/>
                <w:sz w:val="24"/>
                <w:szCs w:val="24"/>
                <w:highlight w:val="none"/>
              </w:rPr>
              <w:t>复印件</w:t>
            </w:r>
          </w:p>
          <w:p w14:paraId="08CE137F">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p w14:paraId="56E76930">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（粘贴处）</w:t>
            </w:r>
          </w:p>
        </w:tc>
        <w:tc>
          <w:tcPr>
            <w:tcW w:w="4468" w:type="dxa"/>
            <w:gridSpan w:val="3"/>
            <w:noWrap/>
            <w:vAlign w:val="center"/>
          </w:tcPr>
          <w:p w14:paraId="0F921D10">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被授权人身份证</w:t>
            </w:r>
            <w:r>
              <w:rPr>
                <w:rFonts w:hint="eastAsia" w:ascii="宋体" w:hAnsi="宋体" w:eastAsia="宋体" w:cs="宋体"/>
                <w:bCs/>
                <w:caps/>
                <w:color w:val="auto"/>
                <w:sz w:val="24"/>
                <w:szCs w:val="24"/>
                <w:highlight w:val="none"/>
                <w:lang w:val="en-US" w:eastAsia="zh-CN"/>
              </w:rPr>
              <w:t>正反面</w:t>
            </w:r>
            <w:r>
              <w:rPr>
                <w:rFonts w:hint="eastAsia" w:ascii="宋体" w:hAnsi="宋体" w:eastAsia="宋体" w:cs="宋体"/>
                <w:bCs/>
                <w:caps/>
                <w:color w:val="auto"/>
                <w:sz w:val="24"/>
                <w:szCs w:val="24"/>
                <w:highlight w:val="none"/>
              </w:rPr>
              <w:t>复印件</w:t>
            </w:r>
          </w:p>
          <w:p w14:paraId="3EFD929A">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p>
          <w:p w14:paraId="6408D41C">
            <w:pPr>
              <w:tabs>
                <w:tab w:val="right" w:leader="dot" w:pos="9022"/>
              </w:tabs>
              <w:autoSpaceDE w:val="0"/>
              <w:autoSpaceDN w:val="0"/>
              <w:adjustRightInd w:val="0"/>
              <w:spacing w:line="360" w:lineRule="auto"/>
              <w:jc w:val="center"/>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（粘贴处）</w:t>
            </w:r>
          </w:p>
        </w:tc>
      </w:tr>
      <w:tr w14:paraId="4625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5" w:type="dxa"/>
            <w:gridSpan w:val="7"/>
            <w:tcBorders>
              <w:bottom w:val="single" w:color="auto" w:sz="4" w:space="0"/>
            </w:tcBorders>
            <w:noWrap/>
            <w:vAlign w:val="center"/>
          </w:tcPr>
          <w:p w14:paraId="1BF57639">
            <w:pPr>
              <w:tabs>
                <w:tab w:val="right" w:leader="dot" w:pos="9022"/>
              </w:tabs>
              <w:autoSpaceDE w:val="0"/>
              <w:autoSpaceDN w:val="0"/>
              <w:adjustRightInd w:val="0"/>
              <w:spacing w:line="360" w:lineRule="auto"/>
              <w:jc w:val="left"/>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法定代表人及被授权人签字或盖章：</w:t>
            </w:r>
          </w:p>
        </w:tc>
      </w:tr>
    </w:tbl>
    <w:p w14:paraId="4F6EF0F3">
      <w:pPr>
        <w:autoSpaceDE w:val="0"/>
        <w:autoSpaceDN w:val="0"/>
        <w:adjustRightInd w:val="0"/>
        <w:snapToGrid w:val="0"/>
        <w:spacing w:line="360" w:lineRule="auto"/>
        <w:ind w:firstLine="240" w:firstLineChars="100"/>
        <w:rPr>
          <w:rFonts w:hint="eastAsia" w:ascii="宋体" w:hAnsi="宋体" w:eastAsia="宋体" w:cs="宋体"/>
          <w:bCs/>
          <w:caps/>
          <w:color w:val="auto"/>
          <w:sz w:val="24"/>
          <w:szCs w:val="24"/>
          <w:highlight w:val="none"/>
        </w:rPr>
      </w:pPr>
      <w:r>
        <w:rPr>
          <w:rFonts w:hint="eastAsia" w:ascii="宋体" w:hAnsi="宋体" w:eastAsia="宋体" w:cs="宋体"/>
          <w:bCs/>
          <w:caps/>
          <w:color w:val="auto"/>
          <w:sz w:val="24"/>
          <w:szCs w:val="24"/>
          <w:highlight w:val="none"/>
        </w:rPr>
        <w:t>供应商名称：</w:t>
      </w:r>
      <w:r>
        <w:rPr>
          <w:rFonts w:hint="eastAsia" w:ascii="宋体" w:hAnsi="宋体" w:eastAsia="宋体" w:cs="宋体"/>
          <w:bCs/>
          <w:caps/>
          <w:color w:val="auto"/>
          <w:sz w:val="24"/>
          <w:szCs w:val="24"/>
          <w:highlight w:val="none"/>
          <w:u w:val="single"/>
        </w:rPr>
        <w:t xml:space="preserve">              </w:t>
      </w:r>
      <w:r>
        <w:rPr>
          <w:rFonts w:hint="eastAsia" w:ascii="宋体" w:hAnsi="宋体" w:eastAsia="宋体" w:cs="宋体"/>
          <w:bCs/>
          <w:caps/>
          <w:color w:val="auto"/>
          <w:sz w:val="24"/>
          <w:szCs w:val="24"/>
          <w:highlight w:val="none"/>
        </w:rPr>
        <w:t xml:space="preserve"> （供应商单位公章）     日 期：  </w:t>
      </w:r>
    </w:p>
    <w:p w14:paraId="458B3DD0">
      <w:pPr>
        <w:spacing w:line="360" w:lineRule="auto"/>
        <w:rPr>
          <w:rFonts w:hint="eastAsia" w:ascii="宋体" w:hAnsi="宋体" w:eastAsia="宋体" w:cs="宋体"/>
          <w:color w:val="auto"/>
          <w:highlight w:val="none"/>
        </w:rPr>
        <w:sectPr>
          <w:pgSz w:w="11906" w:h="16838"/>
          <w:pgMar w:top="1440" w:right="1080" w:bottom="1440" w:left="1080" w:header="851" w:footer="992" w:gutter="0"/>
          <w:cols w:space="720" w:num="1"/>
        </w:sectPr>
      </w:pPr>
    </w:p>
    <w:p w14:paraId="1E8F98F4">
      <w:pPr>
        <w:spacing w:before="162" w:line="360" w:lineRule="auto"/>
        <w:jc w:val="both"/>
        <w:rPr>
          <w:rFonts w:hint="eastAsia" w:ascii="宋体" w:hAnsi="宋体" w:eastAsia="宋体" w:cs="宋体"/>
          <w:sz w:val="24"/>
          <w:szCs w:val="24"/>
        </w:rPr>
      </w:pPr>
      <w:r>
        <w:rPr>
          <w:rFonts w:hint="eastAsia" w:ascii="宋体" w:hAnsi="宋体" w:eastAsia="宋体" w:cs="宋体"/>
          <w:szCs w:val="28"/>
          <w:lang w:val="en-US" w:eastAsia="zh-CN"/>
        </w:rPr>
        <w:t>附件三：《中小企业声明函》</w:t>
      </w:r>
    </w:p>
    <w:p w14:paraId="4D344307">
      <w:pPr>
        <w:spacing w:line="360" w:lineRule="auto"/>
        <w:ind w:firstLine="482" w:firstLineChars="200"/>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lang w:eastAsia="zh-CN"/>
        </w:rPr>
        <w:t>）</w:t>
      </w:r>
    </w:p>
    <w:p w14:paraId="2E40A9B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 （联合体）参加</w:t>
      </w:r>
      <w:r>
        <w:rPr>
          <w:rFonts w:hint="eastAsia" w:ascii="宋体" w:hAnsi="宋体" w:eastAsia="宋体" w:cs="宋体"/>
          <w:color w:val="auto"/>
          <w:sz w:val="24"/>
          <w:szCs w:val="24"/>
          <w:highlight w:val="none"/>
          <w:u w:val="single"/>
        </w:rPr>
        <w:t>（单位名称）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C4D9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010889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546073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 </w:t>
      </w:r>
    </w:p>
    <w:p w14:paraId="290639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2D94EED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14:paraId="33F141AB">
      <w:pPr>
        <w:spacing w:before="156" w:beforeLines="50" w:after="156" w:afterLines="50"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供应商</w:t>
      </w:r>
      <w:r>
        <w:rPr>
          <w:rFonts w:hint="eastAsia" w:ascii="宋体" w:hAnsi="宋体" w:eastAsia="宋体" w:cs="宋体"/>
          <w:color w:val="auto"/>
          <w:sz w:val="24"/>
          <w:szCs w:val="24"/>
          <w:highlight w:val="none"/>
        </w:rPr>
        <w:t>名</w:t>
      </w:r>
      <w:r>
        <w:rPr>
          <w:rFonts w:hint="eastAsia" w:ascii="宋体" w:hAnsi="宋体" w:eastAsia="宋体" w:cs="宋体"/>
          <w:color w:val="auto"/>
          <w:spacing w:val="4"/>
          <w:sz w:val="24"/>
          <w:szCs w:val="24"/>
          <w:highlight w:val="none"/>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432F0ECB">
      <w:pPr>
        <w:adjustRightInd w:val="0"/>
        <w:snapToGrid w:val="0"/>
        <w:spacing w:line="360" w:lineRule="auto"/>
        <w:ind w:right="420"/>
        <w:jc w:val="center"/>
        <w:rPr>
          <w:rFonts w:hint="eastAsia" w:ascii="宋体" w:hAnsi="宋体" w:eastAsia="宋体" w:cs="宋体"/>
          <w:sz w:val="22"/>
          <w:szCs w:val="22"/>
          <w:vertAlign w:val="superscript"/>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04C3FBA6">
      <w:pPr>
        <w:pStyle w:val="12"/>
        <w:spacing w:line="360" w:lineRule="auto"/>
        <w:rPr>
          <w:rFonts w:hint="eastAsia" w:ascii="宋体" w:hAnsi="宋体" w:eastAsia="宋体" w:cs="宋体"/>
        </w:rPr>
      </w:pPr>
    </w:p>
    <w:p w14:paraId="4647BC9D">
      <w:pPr>
        <w:spacing w:line="360" w:lineRule="auto"/>
        <w:rPr>
          <w:rFonts w:hint="eastAsia" w:ascii="宋体" w:hAnsi="宋体" w:eastAsia="宋体" w:cs="宋体"/>
          <w:sz w:val="22"/>
          <w:szCs w:val="22"/>
          <w:vertAlign w:val="superscript"/>
        </w:rPr>
      </w:pPr>
    </w:p>
    <w:p w14:paraId="59DFE6A8">
      <w:pPr>
        <w:spacing w:line="360" w:lineRule="auto"/>
        <w:rPr>
          <w:rFonts w:hint="eastAsia" w:ascii="宋体" w:hAnsi="宋体" w:eastAsia="宋体" w:cs="宋体"/>
          <w:sz w:val="22"/>
          <w:szCs w:val="22"/>
          <w:vertAlign w:val="superscript"/>
        </w:rPr>
      </w:pPr>
    </w:p>
    <w:p w14:paraId="7509F148">
      <w:pPr>
        <w:pStyle w:val="43"/>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备注：</w:t>
      </w:r>
    </w:p>
    <w:p w14:paraId="6EA93D5E">
      <w:pPr>
        <w:pStyle w:val="4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1.从业人员、营业收入、资产总额填报上一年度数据，无上一年度数据的新成立企业可不填报。</w:t>
      </w:r>
    </w:p>
    <w:p w14:paraId="566EC3EA">
      <w:pPr>
        <w:pStyle w:val="4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D563AD">
      <w:pPr>
        <w:spacing w:line="360" w:lineRule="auto"/>
        <w:rPr>
          <w:rFonts w:hint="eastAsia" w:ascii="宋体" w:hAnsi="宋体" w:eastAsia="宋体" w:cs="宋体"/>
          <w:b/>
          <w:bCs/>
          <w:sz w:val="18"/>
          <w:szCs w:val="18"/>
        </w:rPr>
      </w:pPr>
      <w:r>
        <w:rPr>
          <w:rFonts w:hint="eastAsia" w:ascii="宋体" w:hAnsi="宋体" w:eastAsia="宋体" w:cs="宋体"/>
          <w:b/>
          <w:bCs/>
          <w:color w:val="auto"/>
          <w:kern w:val="2"/>
          <w:sz w:val="22"/>
          <w:szCs w:val="22"/>
          <w:highlight w:val="none"/>
          <w:lang w:val="en-US" w:eastAsia="zh-CN" w:bidi="ar-SA"/>
        </w:rPr>
        <w:t>3.本项目采购标的对应的中小企业划分标准所属行业为其他未列明行业。（所属行业类别供应商不得更改，否则，造成不利影响供应商自行承担）</w:t>
      </w:r>
      <w:r>
        <w:rPr>
          <w:rFonts w:hint="eastAsia" w:ascii="宋体" w:hAnsi="宋体" w:eastAsia="宋体" w:cs="宋体"/>
          <w:b/>
          <w:bCs/>
          <w:sz w:val="18"/>
          <w:szCs w:val="18"/>
        </w:rPr>
        <w:br w:type="page"/>
      </w:r>
    </w:p>
    <w:p w14:paraId="1FCF385B">
      <w:pPr>
        <w:spacing w:line="360" w:lineRule="auto"/>
        <w:rPr>
          <w:rFonts w:hint="eastAsia" w:ascii="宋体" w:hAnsi="宋体" w:eastAsia="宋体" w:cs="宋体"/>
          <w:b/>
          <w:bCs/>
          <w:sz w:val="24"/>
          <w:szCs w:val="24"/>
        </w:rPr>
        <w:sectPr>
          <w:headerReference r:id="rId11" w:type="first"/>
          <w:footerReference r:id="rId13" w:type="first"/>
          <w:headerReference r:id="rId10" w:type="default"/>
          <w:footerReference r:id="rId12" w:type="default"/>
          <w:pgSz w:w="11905" w:h="16838"/>
          <w:pgMar w:top="1440" w:right="1080" w:bottom="1440" w:left="1080" w:header="935" w:footer="771" w:gutter="567"/>
          <w:cols w:space="0" w:num="1"/>
          <w:titlePg/>
          <w:docGrid w:linePitch="312" w:charSpace="0"/>
        </w:sectPr>
      </w:pPr>
    </w:p>
    <w:p w14:paraId="719715A9">
      <w:pPr>
        <w:spacing w:line="360" w:lineRule="auto"/>
        <w:jc w:val="center"/>
        <w:rPr>
          <w:rFonts w:hint="eastAsia" w:ascii="宋体" w:hAnsi="宋体" w:eastAsia="宋体" w:cs="宋体"/>
          <w:b/>
          <w:bCs/>
          <w:color w:val="auto"/>
          <w:kern w:val="2"/>
          <w:sz w:val="24"/>
          <w:szCs w:val="24"/>
          <w:highlight w:val="none"/>
          <w:lang w:val="en-US" w:eastAsia="en-US" w:bidi="ar-SA"/>
        </w:rPr>
      </w:pPr>
      <w:r>
        <w:rPr>
          <w:rFonts w:hint="eastAsia" w:ascii="宋体" w:hAnsi="宋体" w:eastAsia="宋体" w:cs="宋体"/>
          <w:b/>
          <w:bCs/>
          <w:color w:val="auto"/>
          <w:kern w:val="2"/>
          <w:sz w:val="24"/>
          <w:szCs w:val="24"/>
          <w:highlight w:val="none"/>
          <w:lang w:val="en-US" w:eastAsia="en-US" w:bidi="ar-SA"/>
        </w:rPr>
        <w:t>残疾人福利性单位声明函</w:t>
      </w:r>
      <w:r>
        <w:rPr>
          <w:rFonts w:hint="eastAsia" w:ascii="宋体" w:hAnsi="宋体" w:eastAsia="宋体" w:cs="宋体"/>
          <w:b/>
          <w:sz w:val="24"/>
        </w:rPr>
        <w:t>（若有）</w:t>
      </w:r>
    </w:p>
    <w:p w14:paraId="12437FCD">
      <w:pPr>
        <w:spacing w:line="360" w:lineRule="auto"/>
        <w:rPr>
          <w:rFonts w:hint="eastAsia" w:ascii="宋体" w:hAnsi="宋体" w:eastAsia="宋体" w:cs="宋体"/>
          <w:b/>
          <w:bCs/>
          <w:color w:val="auto"/>
          <w:kern w:val="2"/>
          <w:sz w:val="24"/>
          <w:szCs w:val="24"/>
          <w:highlight w:val="none"/>
          <w:lang w:val="en-US" w:eastAsia="en-US" w:bidi="ar-SA"/>
        </w:rPr>
      </w:pPr>
    </w:p>
    <w:p w14:paraId="620C07BD">
      <w:pPr>
        <w:spacing w:line="360" w:lineRule="auto"/>
        <w:ind w:firstLine="504" w:firstLineChars="200"/>
        <w:rPr>
          <w:rFonts w:hint="eastAsia" w:ascii="宋体" w:hAnsi="宋体" w:eastAsia="宋体" w:cs="宋体"/>
          <w:color w:val="auto"/>
          <w:spacing w:val="6"/>
          <w:sz w:val="24"/>
          <w:szCs w:val="22"/>
          <w:highlight w:val="none"/>
        </w:rPr>
      </w:pPr>
      <w:r>
        <w:rPr>
          <w:rFonts w:hint="eastAsia" w:ascii="宋体" w:hAnsi="宋体" w:eastAsia="宋体" w:cs="宋体"/>
          <w:color w:val="auto"/>
          <w:spacing w:val="6"/>
          <w:sz w:val="24"/>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2"/>
          <w:highlight w:val="none"/>
        </w:rPr>
        <w:t>〔2017〕 141</w:t>
      </w:r>
      <w:r>
        <w:rPr>
          <w:rFonts w:hint="eastAsia" w:ascii="宋体" w:hAnsi="宋体" w:eastAsia="宋体" w:cs="宋体"/>
          <w:color w:val="auto"/>
          <w:spacing w:val="6"/>
          <w:sz w:val="24"/>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132234">
      <w:pPr>
        <w:spacing w:line="360" w:lineRule="auto"/>
        <w:ind w:firstLine="504" w:firstLineChars="200"/>
        <w:rPr>
          <w:rFonts w:hint="eastAsia" w:ascii="宋体" w:hAnsi="宋体" w:eastAsia="宋体" w:cs="宋体"/>
          <w:color w:val="auto"/>
          <w:spacing w:val="6"/>
          <w:sz w:val="24"/>
          <w:szCs w:val="22"/>
          <w:highlight w:val="none"/>
        </w:rPr>
      </w:pPr>
      <w:r>
        <w:rPr>
          <w:rFonts w:hint="eastAsia" w:ascii="宋体" w:hAnsi="宋体" w:eastAsia="宋体" w:cs="宋体"/>
          <w:color w:val="auto"/>
          <w:spacing w:val="6"/>
          <w:sz w:val="24"/>
          <w:szCs w:val="22"/>
          <w:highlight w:val="none"/>
        </w:rPr>
        <w:t>本单位对上述声明的真实性负责。如有虚假，将依法承担相应责任。</w:t>
      </w:r>
    </w:p>
    <w:p w14:paraId="7A21E5DF">
      <w:pPr>
        <w:spacing w:line="360" w:lineRule="auto"/>
        <w:ind w:firstLine="584" w:firstLineChars="200"/>
        <w:rPr>
          <w:rFonts w:hint="eastAsia" w:ascii="宋体" w:hAnsi="宋体" w:eastAsia="宋体" w:cs="宋体"/>
          <w:color w:val="auto"/>
          <w:spacing w:val="6"/>
          <w:szCs w:val="24"/>
          <w:highlight w:val="none"/>
        </w:rPr>
      </w:pPr>
    </w:p>
    <w:p w14:paraId="5E98D890">
      <w:pPr>
        <w:spacing w:line="360" w:lineRule="auto"/>
        <w:ind w:firstLine="584" w:firstLineChars="200"/>
        <w:rPr>
          <w:rFonts w:hint="eastAsia" w:ascii="宋体" w:hAnsi="宋体" w:eastAsia="宋体" w:cs="宋体"/>
          <w:color w:val="auto"/>
          <w:spacing w:val="6"/>
          <w:szCs w:val="24"/>
          <w:highlight w:val="none"/>
        </w:rPr>
      </w:pPr>
    </w:p>
    <w:p w14:paraId="0D2C252E">
      <w:pPr>
        <w:spacing w:before="156" w:beforeLines="50" w:after="156" w:afterLines="50"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供应商</w:t>
      </w:r>
      <w:r>
        <w:rPr>
          <w:rFonts w:hint="eastAsia" w:ascii="宋体" w:hAnsi="宋体" w:eastAsia="宋体" w:cs="宋体"/>
          <w:bCs/>
          <w:color w:val="auto"/>
          <w:sz w:val="24"/>
          <w:szCs w:val="24"/>
          <w:highlight w:val="none"/>
        </w:rPr>
        <w:t>名称</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1F0AAB7D">
      <w:pPr>
        <w:adjustRightInd w:val="0"/>
        <w:snapToGrid w:val="0"/>
        <w:spacing w:line="360" w:lineRule="auto"/>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0870235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77AEBCB">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三、符合性证明文件</w:t>
      </w:r>
    </w:p>
    <w:p w14:paraId="2AEB0570">
      <w:pPr>
        <w:pStyle w:val="52"/>
        <w:autoSpaceDE w:val="0"/>
        <w:autoSpaceDN w:val="0"/>
        <w:adjustRightInd w:val="0"/>
        <w:snapToGrid w:val="0"/>
        <w:spacing w:line="360" w:lineRule="auto"/>
        <w:ind w:firstLine="0" w:firstLineChars="0"/>
        <w:outlineLvl w:val="2"/>
        <w:rPr>
          <w:rFonts w:hint="eastAsia" w:ascii="宋体" w:hAnsi="宋体" w:eastAsia="宋体" w:cs="宋体"/>
          <w:b/>
          <w:color w:val="auto"/>
          <w:szCs w:val="24"/>
          <w:highlight w:val="none"/>
        </w:rPr>
      </w:pPr>
      <w:bookmarkStart w:id="80" w:name="_Toc8436"/>
      <w:bookmarkStart w:id="81" w:name="_Toc1949"/>
      <w:bookmarkStart w:id="82" w:name="_Toc6042"/>
      <w:bookmarkStart w:id="83" w:name="_Toc17191"/>
      <w:bookmarkStart w:id="84" w:name="_Toc6482"/>
      <w:bookmarkStart w:id="85" w:name="_Toc27820"/>
      <w:bookmarkStart w:id="86" w:name="_Toc721"/>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zh-CN"/>
        </w:rPr>
        <w:t>响应</w:t>
      </w:r>
      <w:bookmarkEnd w:id="80"/>
      <w:bookmarkEnd w:id="81"/>
      <w:bookmarkEnd w:id="82"/>
      <w:bookmarkStart w:id="87" w:name="_Toc403027470"/>
      <w:bookmarkStart w:id="88" w:name="_Toc7447441"/>
      <w:r>
        <w:rPr>
          <w:rFonts w:hint="eastAsia" w:ascii="宋体" w:hAnsi="宋体" w:eastAsia="宋体" w:cs="宋体"/>
          <w:b/>
          <w:color w:val="auto"/>
          <w:szCs w:val="24"/>
          <w:highlight w:val="none"/>
        </w:rPr>
        <w:t>函</w:t>
      </w:r>
      <w:bookmarkEnd w:id="83"/>
      <w:bookmarkEnd w:id="84"/>
      <w:bookmarkEnd w:id="85"/>
      <w:bookmarkEnd w:id="86"/>
    </w:p>
    <w:p w14:paraId="52DF6B00">
      <w:pPr>
        <w:pStyle w:val="52"/>
        <w:autoSpaceDE w:val="0"/>
        <w:autoSpaceDN w:val="0"/>
        <w:adjustRightInd w:val="0"/>
        <w:snapToGrid w:val="0"/>
        <w:spacing w:line="360" w:lineRule="auto"/>
        <w:ind w:firstLine="0" w:firstLineChars="0"/>
        <w:outlineLvl w:val="9"/>
        <w:rPr>
          <w:rFonts w:hint="eastAsia" w:ascii="宋体" w:hAnsi="宋体" w:eastAsia="宋体" w:cs="宋体"/>
          <w:color w:val="auto"/>
          <w:szCs w:val="24"/>
          <w:highlight w:val="none"/>
          <w:lang w:eastAsia="zh-CN"/>
        </w:rPr>
      </w:pPr>
      <w:bookmarkStart w:id="89" w:name="_Toc30197"/>
      <w:bookmarkStart w:id="90" w:name="_Toc14203"/>
      <w:bookmarkStart w:id="91" w:name="_Toc10099"/>
      <w:bookmarkStart w:id="92" w:name="_Toc11722"/>
      <w:r>
        <w:rPr>
          <w:rFonts w:hint="eastAsia" w:ascii="宋体" w:hAnsi="宋体" w:eastAsia="宋体" w:cs="宋体"/>
          <w:color w:val="auto"/>
          <w:szCs w:val="24"/>
          <w:highlight w:val="none"/>
        </w:rPr>
        <w:t>致：</w:t>
      </w:r>
      <w:bookmarkEnd w:id="89"/>
      <w:bookmarkEnd w:id="90"/>
      <w:bookmarkEnd w:id="91"/>
      <w:r>
        <w:rPr>
          <w:rFonts w:hint="eastAsia" w:ascii="宋体" w:hAnsi="宋体" w:eastAsia="宋体" w:cs="宋体"/>
          <w:color w:val="auto"/>
          <w:szCs w:val="24"/>
          <w:highlight w:val="none"/>
          <w:lang w:eastAsia="zh-CN"/>
        </w:rPr>
        <w:t>陕西佳信项目管理有限公司</w:t>
      </w:r>
      <w:bookmarkEnd w:id="92"/>
    </w:p>
    <w:p w14:paraId="2426EB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rPr>
        <w:t xml:space="preserve">    （项目名称、项目编号）    </w:t>
      </w:r>
      <w:r>
        <w:rPr>
          <w:rFonts w:hint="eastAsia" w:ascii="宋体" w:hAnsi="宋体" w:eastAsia="宋体" w:cs="宋体"/>
          <w:color w:val="auto"/>
          <w:sz w:val="24"/>
          <w:szCs w:val="24"/>
          <w:highlight w:val="none"/>
        </w:rPr>
        <w:t>竞争性磋商文件，经详细研究，我们决定参加组织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）的竞争性磋商活动，为此，我方郑重声明如下：</w:t>
      </w:r>
    </w:p>
    <w:p w14:paraId="2DD371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1、愿意按照磋商文件中的全部要求，提供符合采购内容要求的服务，履行合同的责任和义务。</w:t>
      </w:r>
    </w:p>
    <w:p w14:paraId="3F3CB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2、按照磋商文件的规定，磋商</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0D0C9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3、我方提交</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份。</w:t>
      </w:r>
    </w:p>
    <w:p w14:paraId="075CAB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4、如果我单位成交，我们将履行磋商文件中规定的每一项要求，完成项目采购内容。</w:t>
      </w:r>
    </w:p>
    <w:p w14:paraId="1C2FA5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5、我们理解，最低报价不是成交的唯一条件，你们有选择供应商中标的权力。</w:t>
      </w:r>
    </w:p>
    <w:p w14:paraId="7F4071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6、我方愿意按《中华人民共和国民法典》履行自己的全部义务和责任。</w:t>
      </w:r>
    </w:p>
    <w:p w14:paraId="7CA620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7、我方的磋商响文件有效期为磋商截止之日起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日历日，若我方成交，磋商响文件有效期延长至合同执行完毕。</w:t>
      </w:r>
    </w:p>
    <w:p w14:paraId="17F655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8、我方已按磋商文件要求提交磋商保证金金额（大写）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，磋商保证金提交方式为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8130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9、我方同意贵方可能另外要求的与本磋商有关的任何证据和资料的提交。</w:t>
      </w:r>
    </w:p>
    <w:p w14:paraId="7D99BE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我们同意，如果成交，向</w:t>
      </w:r>
      <w:r>
        <w:rPr>
          <w:rFonts w:hint="eastAsia" w:ascii="宋体" w:hAnsi="宋体" w:eastAsia="宋体" w:cs="宋体"/>
          <w:color w:val="auto"/>
          <w:sz w:val="24"/>
          <w:szCs w:val="24"/>
          <w:highlight w:val="none"/>
          <w:lang w:eastAsia="zh-CN"/>
        </w:rPr>
        <w:t>陕西佳信项目管理有限公司</w:t>
      </w:r>
      <w:r>
        <w:rPr>
          <w:rFonts w:hint="eastAsia" w:ascii="宋体" w:hAnsi="宋体" w:eastAsia="宋体" w:cs="宋体"/>
          <w:color w:val="auto"/>
          <w:sz w:val="24"/>
          <w:szCs w:val="24"/>
          <w:highlight w:val="none"/>
        </w:rPr>
        <w:t>缴纳成交服务费。</w:t>
      </w:r>
    </w:p>
    <w:p w14:paraId="277F73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11、所有关于本次磋商的函电，请按下列地址联系。</w:t>
      </w:r>
    </w:p>
    <w:p w14:paraId="4674FBF3">
      <w:pPr>
        <w:spacing w:line="360" w:lineRule="auto"/>
        <w:ind w:firstLine="40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注</w:t>
      </w:r>
      <w:r>
        <w:rPr>
          <w:rFonts w:hint="eastAsia" w:ascii="宋体" w:hAnsi="宋体" w:eastAsia="宋体" w:cs="宋体"/>
          <w:color w:val="auto"/>
          <w:sz w:val="24"/>
          <w:highlight w:val="none"/>
        </w:rPr>
        <w:t>：磋商报价应与清单的报价汇总表数字一致。精确到元.角.分。</w:t>
      </w:r>
    </w:p>
    <w:p w14:paraId="020DCDBF">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供  应  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（盖章）   </w:t>
      </w:r>
    </w:p>
    <w:p w14:paraId="2127AD36">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单 位 地 址：</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p>
    <w:p w14:paraId="5C5D0D2B">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BF490C3">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2D1BC2A">
      <w:pPr>
        <w:spacing w:line="360"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bookmarkEnd w:id="87"/>
    <w:bookmarkEnd w:id="88"/>
    <w:p w14:paraId="616568F2">
      <w:pPr>
        <w:autoSpaceDE w:val="0"/>
        <w:autoSpaceDN w:val="0"/>
        <w:adjustRightInd w:val="0"/>
        <w:snapToGrid w:val="0"/>
        <w:spacing w:line="360" w:lineRule="auto"/>
        <w:outlineLvl w:val="9"/>
        <w:rPr>
          <w:rFonts w:hint="eastAsia" w:ascii="宋体" w:hAnsi="宋体" w:eastAsia="宋体" w:cs="宋体"/>
          <w:b/>
          <w:bCs/>
          <w:color w:val="auto"/>
          <w:sz w:val="24"/>
          <w:szCs w:val="24"/>
          <w:highlight w:val="none"/>
        </w:rPr>
      </w:pPr>
      <w:bookmarkStart w:id="93" w:name="_Toc31858"/>
      <w:bookmarkStart w:id="94" w:name="_Toc26930"/>
      <w:bookmarkStart w:id="95" w:name="_Toc5315"/>
      <w:bookmarkStart w:id="96" w:name="_Toc7447442"/>
    </w:p>
    <w:p w14:paraId="1F0DF1A3">
      <w:pPr>
        <w:autoSpaceDE w:val="0"/>
        <w:autoSpaceDN w:val="0"/>
        <w:adjustRightInd w:val="0"/>
        <w:snapToGrid w:val="0"/>
        <w:spacing w:line="360" w:lineRule="auto"/>
        <w:outlineLvl w:val="9"/>
        <w:rPr>
          <w:rFonts w:hint="eastAsia" w:ascii="宋体" w:hAnsi="宋体" w:eastAsia="宋体" w:cs="宋体"/>
          <w:b/>
          <w:bCs/>
          <w:color w:val="auto"/>
          <w:sz w:val="24"/>
          <w:szCs w:val="24"/>
          <w:highlight w:val="none"/>
        </w:rPr>
      </w:pPr>
    </w:p>
    <w:p w14:paraId="5B1A0F28">
      <w:pPr>
        <w:pStyle w:val="12"/>
        <w:outlineLvl w:val="9"/>
        <w:rPr>
          <w:rFonts w:hint="eastAsia"/>
        </w:rPr>
      </w:pPr>
    </w:p>
    <w:p w14:paraId="3B30F6A0">
      <w:pPr>
        <w:autoSpaceDE w:val="0"/>
        <w:autoSpaceDN w:val="0"/>
        <w:adjustRightInd w:val="0"/>
        <w:snapToGrid w:val="0"/>
        <w:spacing w:line="360" w:lineRule="auto"/>
        <w:outlineLvl w:val="2"/>
        <w:rPr>
          <w:rFonts w:hint="eastAsia" w:ascii="宋体" w:hAnsi="宋体" w:eastAsia="宋体" w:cs="宋体"/>
          <w:b/>
          <w:bCs/>
          <w:color w:val="auto"/>
          <w:sz w:val="24"/>
          <w:szCs w:val="24"/>
          <w:highlight w:val="none"/>
        </w:rPr>
      </w:pPr>
      <w:bookmarkStart w:id="97" w:name="_Toc28855"/>
      <w:bookmarkStart w:id="98" w:name="_Toc4268"/>
      <w:bookmarkStart w:id="99" w:name="_Toc569"/>
      <w:bookmarkStart w:id="100" w:name="_Toc9469"/>
      <w:r>
        <w:rPr>
          <w:rFonts w:hint="eastAsia" w:ascii="宋体" w:hAnsi="宋体" w:eastAsia="宋体" w:cs="宋体"/>
          <w:b/>
          <w:bCs/>
          <w:color w:val="auto"/>
          <w:sz w:val="24"/>
          <w:szCs w:val="24"/>
          <w:highlight w:val="none"/>
        </w:rPr>
        <w:t>2、第一次磋商报价表</w:t>
      </w:r>
      <w:bookmarkEnd w:id="93"/>
      <w:bookmarkEnd w:id="94"/>
      <w:bookmarkEnd w:id="95"/>
      <w:bookmarkEnd w:id="97"/>
      <w:bookmarkEnd w:id="98"/>
      <w:bookmarkEnd w:id="99"/>
      <w:bookmarkEnd w:id="100"/>
    </w:p>
    <w:p w14:paraId="3D1F999E">
      <w:p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磋商报价表</w:t>
      </w:r>
      <w:bookmarkEnd w:id="96"/>
    </w:p>
    <w:p w14:paraId="0C448E07">
      <w:pPr>
        <w:pStyle w:val="13"/>
        <w:spacing w:line="360" w:lineRule="auto"/>
        <w:rPr>
          <w:rFonts w:hint="eastAsia" w:ascii="宋体" w:hAnsi="宋体" w:eastAsia="宋体" w:cs="宋体"/>
          <w:color w:val="auto"/>
          <w:sz w:val="24"/>
          <w:highlight w:val="none"/>
        </w:rPr>
      </w:pPr>
    </w:p>
    <w:p w14:paraId="2619665F">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r>
        <w:rPr>
          <w:rFonts w:hint="eastAsia" w:ascii="宋体" w:hAnsi="宋体" w:eastAsia="宋体" w:cs="宋体"/>
          <w:color w:val="auto"/>
          <w:sz w:val="24"/>
          <w:highlight w:val="none"/>
          <w:u w:val="single"/>
        </w:rPr>
        <w:t xml:space="preserve">                          </w:t>
      </w:r>
    </w:p>
    <w:p w14:paraId="4A089512">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C3795BB">
      <w:pPr>
        <w:spacing w:line="360" w:lineRule="auto"/>
        <w:jc w:val="right"/>
        <w:rPr>
          <w:rFonts w:hint="eastAsia" w:ascii="宋体" w:hAnsi="宋体" w:eastAsia="宋体" w:cs="宋体"/>
          <w:bCs/>
          <w:color w:val="auto"/>
          <w:sz w:val="32"/>
          <w:szCs w:val="32"/>
          <w:highlight w:val="none"/>
        </w:rPr>
      </w:pPr>
      <w:r>
        <w:rPr>
          <w:rFonts w:hint="eastAsia" w:ascii="宋体" w:hAnsi="宋体" w:eastAsia="宋体" w:cs="宋体"/>
          <w:color w:val="auto"/>
          <w:sz w:val="24"/>
          <w:highlight w:val="none"/>
        </w:rPr>
        <w:t>单位 ：元（保留小数点后两位）</w:t>
      </w:r>
    </w:p>
    <w:tbl>
      <w:tblPr>
        <w:tblStyle w:val="24"/>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060"/>
      </w:tblGrid>
      <w:tr w14:paraId="68B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110BBE8B">
            <w:pPr>
              <w:pStyle w:val="48"/>
              <w:tabs>
                <w:tab w:val="left" w:pos="1860"/>
                <w:tab w:val="center" w:pos="4680"/>
              </w:tabs>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磋商报价</w:t>
            </w:r>
          </w:p>
          <w:p w14:paraId="6A12C6B5">
            <w:pPr>
              <w:pStyle w:val="48"/>
              <w:tabs>
                <w:tab w:val="left" w:pos="1860"/>
                <w:tab w:val="center" w:pos="4680"/>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（人民币:元）</w:t>
            </w:r>
          </w:p>
        </w:tc>
        <w:tc>
          <w:tcPr>
            <w:tcW w:w="7060" w:type="dxa"/>
          </w:tcPr>
          <w:p w14:paraId="4302B08E">
            <w:pPr>
              <w:pStyle w:val="48"/>
              <w:tabs>
                <w:tab w:val="left" w:pos="1860"/>
                <w:tab w:val="center" w:pos="4680"/>
              </w:tabs>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大  写：</w:t>
            </w:r>
          </w:p>
          <w:p w14:paraId="209BCB0F">
            <w:pPr>
              <w:pStyle w:val="48"/>
              <w:tabs>
                <w:tab w:val="left" w:pos="1860"/>
                <w:tab w:val="center" w:pos="468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小  写：</w:t>
            </w:r>
          </w:p>
        </w:tc>
      </w:tr>
      <w:tr w14:paraId="2AE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6E6EE56D">
            <w:pPr>
              <w:pStyle w:val="48"/>
              <w:tabs>
                <w:tab w:val="left" w:pos="1860"/>
                <w:tab w:val="center" w:pos="4680"/>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eastAsia="zh-CN"/>
              </w:rPr>
              <w:t>服务期</w:t>
            </w:r>
          </w:p>
        </w:tc>
        <w:tc>
          <w:tcPr>
            <w:tcW w:w="7060" w:type="dxa"/>
          </w:tcPr>
          <w:p w14:paraId="7C46AD6F">
            <w:pPr>
              <w:pStyle w:val="48"/>
              <w:tabs>
                <w:tab w:val="left" w:pos="1860"/>
                <w:tab w:val="center" w:pos="4680"/>
              </w:tabs>
              <w:spacing w:line="360" w:lineRule="auto"/>
              <w:jc w:val="both"/>
              <w:rPr>
                <w:rFonts w:hint="eastAsia" w:ascii="宋体" w:hAnsi="宋体" w:eastAsia="宋体" w:cs="宋体"/>
                <w:color w:val="auto"/>
                <w:sz w:val="24"/>
                <w:szCs w:val="24"/>
                <w:highlight w:val="none"/>
              </w:rPr>
            </w:pPr>
          </w:p>
        </w:tc>
      </w:tr>
      <w:tr w14:paraId="60E1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05" w:type="dxa"/>
            <w:gridSpan w:val="2"/>
          </w:tcPr>
          <w:p w14:paraId="7EB57EEF">
            <w:pPr>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说明：1、</w:t>
            </w:r>
            <w:r>
              <w:rPr>
                <w:rFonts w:hint="eastAsia" w:ascii="宋体" w:hAnsi="宋体" w:eastAsia="宋体" w:cs="宋体"/>
                <w:color w:val="auto"/>
                <w:kern w:val="0"/>
                <w:sz w:val="22"/>
                <w:szCs w:val="22"/>
                <w:highlight w:val="none"/>
                <w:lang w:val="en-US" w:eastAsia="zh-CN"/>
              </w:rPr>
              <w:t>竞争性磋商响应文件所确定的磋商范围内的全部工作内容的价格体现，包括本项目所涉及的人员、设备及其他相关伴随费用的全部费用。</w:t>
            </w:r>
          </w:p>
          <w:p w14:paraId="43C99B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rPr>
              <w:t>2、所有报价保留小数点后两位，第三位按四舍五入计。</w:t>
            </w:r>
            <w:r>
              <w:rPr>
                <w:rFonts w:hint="eastAsia" w:ascii="宋体" w:hAnsi="宋体" w:eastAsia="宋体" w:cs="宋体"/>
                <w:color w:val="auto"/>
                <w:kern w:val="0"/>
                <w:sz w:val="22"/>
                <w:szCs w:val="22"/>
                <w:highlight w:val="none"/>
                <w:lang w:eastAsia="zh-CN"/>
              </w:rPr>
              <w:t>大小写不一致时，以大写为准。</w:t>
            </w:r>
          </w:p>
        </w:tc>
      </w:tr>
    </w:tbl>
    <w:p w14:paraId="6AF655D7">
      <w:pPr>
        <w:spacing w:beforeLines="50" w:line="360" w:lineRule="auto"/>
        <w:ind w:left="470" w:hanging="470" w:hangingChars="196"/>
        <w:jc w:val="left"/>
        <w:rPr>
          <w:rFonts w:hint="eastAsia" w:ascii="宋体" w:hAnsi="宋体" w:eastAsia="宋体" w:cs="宋体"/>
          <w:color w:val="auto"/>
          <w:sz w:val="24"/>
          <w:szCs w:val="24"/>
          <w:highlight w:val="none"/>
        </w:rPr>
      </w:pPr>
      <w:bookmarkStart w:id="101" w:name="_Toc7447443"/>
      <w:bookmarkStart w:id="102" w:name="_Toc433961643"/>
    </w:p>
    <w:p w14:paraId="3DFBFA9E">
      <w:pPr>
        <w:spacing w:beforeLines="50" w:line="360" w:lineRule="auto"/>
        <w:ind w:firstLine="720" w:firstLineChars="300"/>
        <w:jc w:val="left"/>
        <w:rPr>
          <w:rFonts w:hint="eastAsia" w:ascii="宋体" w:hAnsi="宋体" w:eastAsia="宋体" w:cs="宋体"/>
          <w:color w:val="auto"/>
          <w:sz w:val="24"/>
          <w:szCs w:val="24"/>
          <w:highlight w:val="none"/>
        </w:rPr>
      </w:pPr>
    </w:p>
    <w:p w14:paraId="4CBF6DA7">
      <w:pPr>
        <w:spacing w:line="360" w:lineRule="auto"/>
        <w:rPr>
          <w:rFonts w:hint="eastAsia" w:ascii="宋体" w:hAnsi="宋体" w:eastAsia="宋体" w:cs="宋体"/>
          <w:color w:val="auto"/>
          <w:sz w:val="24"/>
          <w:szCs w:val="28"/>
          <w:highlight w:val="none"/>
        </w:rPr>
      </w:pPr>
    </w:p>
    <w:p w14:paraId="0B4B2DAD">
      <w:pPr>
        <w:spacing w:line="360" w:lineRule="auto"/>
        <w:rPr>
          <w:rFonts w:hint="eastAsia" w:ascii="宋体" w:hAnsi="宋体" w:eastAsia="宋体" w:cs="宋体"/>
          <w:color w:val="auto"/>
          <w:sz w:val="24"/>
          <w:szCs w:val="28"/>
          <w:highlight w:val="none"/>
        </w:rPr>
      </w:pPr>
    </w:p>
    <w:p w14:paraId="24BA87A6">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8"/>
          <w:highlight w:val="none"/>
        </w:rPr>
        <w:t>全称(盖章)：</w:t>
      </w:r>
    </w:p>
    <w:p w14:paraId="4827C5D4">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法定代表人或授权代表人(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8"/>
          <w:highlight w:val="none"/>
        </w:rPr>
        <w:t>)：</w:t>
      </w:r>
    </w:p>
    <w:p w14:paraId="542B89D5">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  期：</w:t>
      </w:r>
    </w:p>
    <w:p w14:paraId="04F4CC64">
      <w:pPr>
        <w:spacing w:line="360" w:lineRule="auto"/>
        <w:rPr>
          <w:rFonts w:hint="eastAsia" w:ascii="宋体" w:hAnsi="宋体" w:eastAsia="宋体" w:cs="宋体"/>
          <w:color w:val="auto"/>
          <w:szCs w:val="28"/>
          <w:highlight w:val="none"/>
        </w:rPr>
        <w:sectPr>
          <w:headerReference r:id="rId15" w:type="first"/>
          <w:footerReference r:id="rId17" w:type="first"/>
          <w:headerReference r:id="rId14" w:type="default"/>
          <w:footerReference r:id="rId16" w:type="default"/>
          <w:pgSz w:w="11905" w:h="16838"/>
          <w:pgMar w:top="1440" w:right="1080" w:bottom="1440" w:left="1080" w:header="935" w:footer="771" w:gutter="567"/>
          <w:cols w:space="0" w:num="1"/>
          <w:titlePg/>
          <w:docGrid w:linePitch="312" w:charSpace="0"/>
        </w:sectPr>
      </w:pPr>
      <w:r>
        <w:rPr>
          <w:rFonts w:hint="eastAsia" w:ascii="宋体" w:hAnsi="宋体" w:eastAsia="宋体" w:cs="宋体"/>
          <w:color w:val="auto"/>
          <w:szCs w:val="28"/>
          <w:highlight w:val="none"/>
        </w:rPr>
        <w:br w:type="page"/>
      </w:r>
      <w:bookmarkEnd w:id="101"/>
      <w:bookmarkEnd w:id="102"/>
      <w:bookmarkStart w:id="103" w:name="_Toc467246302"/>
    </w:p>
    <w:p w14:paraId="2CD5CCD3">
      <w:pPr>
        <w:numPr>
          <w:ilvl w:val="0"/>
          <w:numId w:val="4"/>
        </w:numPr>
        <w:spacing w:line="360" w:lineRule="auto"/>
        <w:outlineLvl w:val="2"/>
        <w:rPr>
          <w:rFonts w:hint="eastAsia" w:ascii="宋体" w:hAnsi="宋体" w:eastAsia="宋体" w:cs="宋体"/>
          <w:b/>
          <w:bCs/>
          <w:color w:val="auto"/>
          <w:sz w:val="24"/>
          <w:szCs w:val="24"/>
          <w:highlight w:val="none"/>
        </w:rPr>
      </w:pPr>
      <w:bookmarkStart w:id="104" w:name="_Toc7447445"/>
      <w:r>
        <w:rPr>
          <w:rFonts w:hint="eastAsia" w:ascii="宋体" w:hAnsi="宋体" w:eastAsia="宋体" w:cs="宋体"/>
          <w:b/>
          <w:bCs/>
          <w:color w:val="auto"/>
          <w:sz w:val="24"/>
          <w:szCs w:val="24"/>
          <w:highlight w:val="none"/>
        </w:rPr>
        <w:t>磋商保证金缴纳凭证</w:t>
      </w:r>
    </w:p>
    <w:p w14:paraId="7B7B7352">
      <w:pPr>
        <w:numPr>
          <w:ilvl w:val="0"/>
          <w:numId w:val="0"/>
        </w:numPr>
        <w:spacing w:line="360" w:lineRule="auto"/>
        <w:rPr>
          <w:rFonts w:hint="eastAsia" w:ascii="宋体" w:hAnsi="宋体" w:eastAsia="宋体" w:cs="宋体"/>
          <w:color w:val="auto"/>
          <w:sz w:val="24"/>
          <w:szCs w:val="28"/>
          <w:highlight w:val="none"/>
        </w:rPr>
      </w:pPr>
    </w:p>
    <w:p w14:paraId="18FDF63B">
      <w:pPr>
        <w:numPr>
          <w:ilvl w:val="0"/>
          <w:numId w:val="0"/>
        </w:numPr>
        <w:spacing w:line="360" w:lineRule="auto"/>
        <w:rPr>
          <w:rFonts w:hint="eastAsia" w:ascii="宋体" w:hAnsi="宋体" w:eastAsia="宋体" w:cs="宋体"/>
          <w:color w:val="auto"/>
          <w:sz w:val="24"/>
          <w:szCs w:val="28"/>
          <w:highlight w:val="none"/>
        </w:rPr>
      </w:pPr>
    </w:p>
    <w:p w14:paraId="7875C5D0">
      <w:pPr>
        <w:numPr>
          <w:ilvl w:val="0"/>
          <w:numId w:val="0"/>
        </w:numPr>
        <w:spacing w:line="360" w:lineRule="auto"/>
        <w:rPr>
          <w:rFonts w:hint="eastAsia" w:ascii="宋体" w:hAnsi="宋体" w:eastAsia="宋体" w:cs="宋体"/>
          <w:color w:val="auto"/>
          <w:sz w:val="24"/>
          <w:szCs w:val="28"/>
          <w:highlight w:val="none"/>
        </w:rPr>
      </w:pPr>
    </w:p>
    <w:p w14:paraId="782D9A6B">
      <w:pPr>
        <w:numPr>
          <w:ilvl w:val="0"/>
          <w:numId w:val="0"/>
        </w:numPr>
        <w:spacing w:line="360" w:lineRule="auto"/>
        <w:rPr>
          <w:rFonts w:hint="eastAsia" w:ascii="宋体" w:hAnsi="宋体" w:eastAsia="宋体" w:cs="宋体"/>
          <w:color w:val="auto"/>
          <w:sz w:val="24"/>
          <w:szCs w:val="28"/>
          <w:highlight w:val="none"/>
        </w:rPr>
      </w:pPr>
    </w:p>
    <w:p w14:paraId="14710D19">
      <w:pPr>
        <w:numPr>
          <w:ilvl w:val="0"/>
          <w:numId w:val="4"/>
        </w:numPr>
        <w:spacing w:line="360" w:lineRule="auto"/>
        <w:rPr>
          <w:rFonts w:hint="eastAsia" w:ascii="宋体" w:hAnsi="宋体" w:eastAsia="宋体" w:cs="宋体"/>
          <w:color w:val="auto"/>
          <w:sz w:val="24"/>
          <w:szCs w:val="28"/>
          <w:highlight w:val="none"/>
        </w:rPr>
      </w:pPr>
      <w:r>
        <w:rPr>
          <w:rFonts w:hint="eastAsia" w:ascii="宋体" w:hAnsi="宋体" w:eastAsia="宋体" w:cs="宋体"/>
          <w:bCs/>
          <w:color w:val="auto"/>
          <w:kern w:val="0"/>
          <w:sz w:val="22"/>
          <w:szCs w:val="22"/>
          <w:highlight w:val="none"/>
        </w:rPr>
        <w:br w:type="page"/>
      </w:r>
      <w:bookmarkEnd w:id="103"/>
      <w:bookmarkEnd w:id="104"/>
    </w:p>
    <w:p w14:paraId="02A901D8">
      <w:pPr>
        <w:spacing w:line="360" w:lineRule="auto"/>
        <w:rPr>
          <w:rFonts w:hint="eastAsia" w:ascii="宋体" w:hAnsi="宋体" w:eastAsia="宋体" w:cs="宋体"/>
          <w:b/>
          <w:bCs/>
          <w:color w:val="auto"/>
          <w:sz w:val="24"/>
          <w:szCs w:val="24"/>
          <w:highlight w:val="none"/>
          <w:lang w:val="zh-CN"/>
        </w:rPr>
        <w:sectPr>
          <w:headerReference r:id="rId19" w:type="first"/>
          <w:footerReference r:id="rId21" w:type="first"/>
          <w:headerReference r:id="rId18" w:type="default"/>
          <w:footerReference r:id="rId20" w:type="default"/>
          <w:pgSz w:w="11905" w:h="16838"/>
          <w:pgMar w:top="1440" w:right="1080" w:bottom="1440" w:left="1080" w:header="935" w:footer="771" w:gutter="567"/>
          <w:cols w:space="0" w:num="1"/>
          <w:titlePg/>
          <w:docGrid w:linePitch="312" w:charSpace="0"/>
        </w:sectPr>
      </w:pPr>
    </w:p>
    <w:p w14:paraId="6BAF2BA7">
      <w:pPr>
        <w:widowControl/>
        <w:spacing w:line="360" w:lineRule="auto"/>
        <w:outlineLvl w:val="2"/>
        <w:rPr>
          <w:rFonts w:hint="eastAsia" w:ascii="宋体" w:hAnsi="宋体" w:eastAsia="宋体" w:cs="宋体"/>
          <w:color w:val="auto"/>
          <w:sz w:val="24"/>
          <w:highlight w:val="none"/>
          <w:lang w:val="en-US" w:eastAsia="zh-CN"/>
        </w:rPr>
      </w:pPr>
      <w:bookmarkStart w:id="105" w:name="_Toc7447451"/>
      <w:r>
        <w:rPr>
          <w:rFonts w:hint="eastAsia" w:ascii="宋体" w:hAnsi="宋体" w:eastAsia="宋体" w:cs="宋体"/>
          <w:b/>
          <w:bCs/>
          <w:color w:val="auto"/>
          <w:sz w:val="24"/>
          <w:highlight w:val="none"/>
          <w:lang w:val="en-US" w:eastAsia="zh-CN"/>
        </w:rPr>
        <w:t>4、供应商承诺书</w:t>
      </w:r>
      <w:r>
        <w:rPr>
          <w:rFonts w:hint="eastAsia" w:ascii="宋体" w:hAnsi="宋体" w:eastAsia="宋体" w:cs="宋体"/>
          <w:color w:val="auto"/>
          <w:sz w:val="24"/>
          <w:highlight w:val="none"/>
          <w:lang w:val="en-US" w:eastAsia="zh-CN"/>
        </w:rPr>
        <w:t xml:space="preserve">        </w:t>
      </w:r>
    </w:p>
    <w:p w14:paraId="706CBBF3">
      <w:pPr>
        <w:widowControl/>
        <w:spacing w:line="360" w:lineRule="auto"/>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eastAsia="宋体" w:cs="宋体"/>
          <w:b/>
          <w:bCs/>
          <w:color w:val="auto"/>
          <w:kern w:val="0"/>
          <w:sz w:val="28"/>
          <w:szCs w:val="28"/>
          <w:highlight w:val="none"/>
          <w:lang w:eastAsia="zh-CN"/>
        </w:rPr>
        <w:t>供应商</w:t>
      </w:r>
    </w:p>
    <w:p w14:paraId="2C748FA0">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09A825BE">
      <w:pPr>
        <w:spacing w:line="360" w:lineRule="auto"/>
        <w:jc w:val="center"/>
        <w:outlineLvl w:val="9"/>
        <w:rPr>
          <w:rFonts w:hint="eastAsia" w:ascii="宋体" w:hAnsi="宋体" w:eastAsia="宋体" w:cs="宋体"/>
          <w:b/>
          <w:bCs/>
          <w:color w:val="auto"/>
          <w:sz w:val="28"/>
          <w:szCs w:val="28"/>
          <w:highlight w:val="none"/>
        </w:rPr>
      </w:pPr>
    </w:p>
    <w:p w14:paraId="73F2D515">
      <w:pPr>
        <w:pStyle w:val="51"/>
        <w:spacing w:line="360" w:lineRule="auto"/>
        <w:ind w:left="239" w:firstLine="470"/>
        <w:jc w:val="left"/>
        <w:outlineLvl w:val="9"/>
        <w:rPr>
          <w:rFonts w:hint="eastAsia" w:ascii="宋体" w:hAnsi="宋体" w:eastAsia="宋体" w:cs="宋体"/>
          <w:color w:val="auto"/>
          <w:sz w:val="24"/>
          <w:szCs w:val="24"/>
          <w:highlight w:val="none"/>
        </w:rPr>
      </w:pPr>
    </w:p>
    <w:p w14:paraId="1159AF52">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33A4A76E">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405143A1">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13B0F2EF">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37FD1232">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4、不采取“围标、陪标”等商业欺诈手段获得政府采购定单。</w:t>
      </w:r>
    </w:p>
    <w:p w14:paraId="78CE051B">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5、不采取不正当手段诋毁、排挤其他供应商。</w:t>
      </w:r>
    </w:p>
    <w:p w14:paraId="7158A299">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6、不在提供商品和服务时“偷梁换柱、以次充好”损害采购人的合法权益。</w:t>
      </w:r>
    </w:p>
    <w:p w14:paraId="15721CD9">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7、不与采购人、采购代理机构政府采购评审专家或其它供应商恶意串通，进行质疑和投诉，维护政府采购市场秩序。</w:t>
      </w:r>
    </w:p>
    <w:p w14:paraId="2E2D0E01">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5E1E53D5">
      <w:pPr>
        <w:pStyle w:val="51"/>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6D7384EA">
      <w:pPr>
        <w:pStyle w:val="51"/>
        <w:spacing w:line="360" w:lineRule="auto"/>
        <w:jc w:val="left"/>
        <w:outlineLvl w:val="9"/>
        <w:rPr>
          <w:rFonts w:hint="eastAsia" w:ascii="宋体" w:hAnsi="宋体" w:eastAsia="宋体" w:cs="宋体"/>
          <w:color w:val="auto"/>
          <w:sz w:val="24"/>
          <w:szCs w:val="24"/>
          <w:highlight w:val="none"/>
        </w:rPr>
      </w:pPr>
    </w:p>
    <w:p w14:paraId="0D805A90">
      <w:pPr>
        <w:pStyle w:val="51"/>
        <w:spacing w:line="360" w:lineRule="auto"/>
        <w:jc w:val="left"/>
        <w:outlineLvl w:val="9"/>
        <w:rPr>
          <w:rFonts w:hint="eastAsia" w:ascii="宋体" w:hAnsi="宋体" w:eastAsia="宋体" w:cs="宋体"/>
          <w:color w:val="auto"/>
          <w:sz w:val="24"/>
          <w:szCs w:val="24"/>
          <w:highlight w:val="none"/>
        </w:rPr>
      </w:pPr>
    </w:p>
    <w:p w14:paraId="7A84341C">
      <w:pPr>
        <w:spacing w:line="360" w:lineRule="auto"/>
        <w:ind w:firstLine="480" w:firstLineChars="20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承诺单位：　</w:t>
      </w:r>
      <w:r>
        <w:rPr>
          <w:rFonts w:hint="eastAsia" w:ascii="宋体" w:hAnsi="宋体" w:eastAsia="宋体" w:cs="宋体"/>
          <w:color w:val="auto"/>
          <w:kern w:val="0"/>
          <w:szCs w:val="24"/>
          <w:highlight w:val="none"/>
          <w:u w:val="single"/>
        </w:rPr>
        <w:t>　                 　</w:t>
      </w:r>
      <w:r>
        <w:rPr>
          <w:rFonts w:hint="eastAsia" w:ascii="宋体" w:hAnsi="宋体" w:eastAsia="宋体" w:cs="宋体"/>
          <w:color w:val="auto"/>
          <w:kern w:val="0"/>
          <w:sz w:val="24"/>
          <w:szCs w:val="24"/>
          <w:highlight w:val="none"/>
          <w:lang w:val="en-US" w:eastAsia="zh-CN" w:bidi="ar-SA"/>
        </w:rPr>
        <w:t>（盖章）</w:t>
      </w:r>
    </w:p>
    <w:p w14:paraId="6B808BDD">
      <w:pPr>
        <w:widowControl w:val="0"/>
        <w:numPr>
          <w:ilvl w:val="0"/>
          <w:numId w:val="0"/>
        </w:numPr>
        <w:spacing w:line="360" w:lineRule="auto"/>
        <w:jc w:val="center"/>
        <w:outlineLvl w:val="9"/>
        <w:rPr>
          <w:rFonts w:hint="eastAsia" w:ascii="宋体" w:hAnsi="宋体" w:eastAsia="宋体" w:cs="宋体"/>
          <w:b/>
          <w:bCs/>
          <w:color w:val="auto"/>
          <w:sz w:val="28"/>
          <w:szCs w:val="28"/>
          <w:highlight w:val="none"/>
          <w:lang w:eastAsia="zh-CN"/>
        </w:rPr>
      </w:pPr>
      <w:bookmarkStart w:id="106" w:name="_Toc7447450"/>
    </w:p>
    <w:p w14:paraId="56FD71E9">
      <w:pPr>
        <w:spacing w:line="360" w:lineRule="auto"/>
        <w:ind w:firstLine="2160" w:firstLineChars="900"/>
        <w:rPr>
          <w:rFonts w:hint="eastAsia" w:ascii="宋体" w:hAnsi="宋体" w:eastAsia="宋体" w:cs="宋体"/>
          <w:color w:val="auto"/>
          <w:kern w:val="0"/>
          <w:sz w:val="24"/>
          <w:szCs w:val="24"/>
          <w:highlight w:val="none"/>
          <w:lang w:val="en-US" w:eastAsia="zh-CN" w:bidi="ar-SA"/>
        </w:rPr>
        <w:sectPr>
          <w:headerReference r:id="rId23" w:type="first"/>
          <w:footerReference r:id="rId25" w:type="first"/>
          <w:headerReference r:id="rId22" w:type="default"/>
          <w:footerReference r:id="rId24" w:type="default"/>
          <w:pgSz w:w="11905" w:h="16838"/>
          <w:pgMar w:top="1440" w:right="1080" w:bottom="1440" w:left="1080" w:header="935" w:footer="1020"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szCs w:val="24"/>
          <w:highlight w:val="none"/>
          <w:lang w:val="en-US" w:eastAsia="zh-CN" w:bidi="ar-SA"/>
        </w:rPr>
        <w:t xml:space="preserve">年　　月　　日 </w:t>
      </w:r>
    </w:p>
    <w:bookmarkEnd w:id="105"/>
    <w:bookmarkEnd w:id="106"/>
    <w:p w14:paraId="3198DDAC">
      <w:pPr>
        <w:spacing w:line="360" w:lineRule="auto"/>
        <w:outlineLvl w:val="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商务响应</w:t>
      </w:r>
      <w:r>
        <w:rPr>
          <w:rFonts w:hint="eastAsia" w:ascii="宋体" w:hAnsi="宋体" w:eastAsia="宋体" w:cs="宋体"/>
          <w:b/>
          <w:bCs/>
          <w:color w:val="auto"/>
          <w:sz w:val="24"/>
          <w:szCs w:val="24"/>
          <w:highlight w:val="none"/>
          <w:lang w:val="en-US" w:eastAsia="zh-CN"/>
        </w:rPr>
        <w:t>偏离</w:t>
      </w:r>
      <w:r>
        <w:rPr>
          <w:rFonts w:hint="eastAsia" w:ascii="宋体" w:hAnsi="宋体" w:eastAsia="宋体" w:cs="宋体"/>
          <w:b/>
          <w:bCs/>
          <w:color w:val="auto"/>
          <w:sz w:val="24"/>
          <w:szCs w:val="24"/>
          <w:highlight w:val="none"/>
        </w:rPr>
        <w:t>表</w:t>
      </w:r>
    </w:p>
    <w:p w14:paraId="52D9B092">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r>
        <w:rPr>
          <w:rFonts w:hint="eastAsia" w:ascii="宋体" w:hAnsi="宋体" w:eastAsia="宋体" w:cs="宋体"/>
          <w:color w:val="auto"/>
          <w:sz w:val="24"/>
          <w:highlight w:val="none"/>
          <w:u w:val="single"/>
        </w:rPr>
        <w:t xml:space="preserve">                          </w:t>
      </w:r>
    </w:p>
    <w:p w14:paraId="3F2A3540">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F44D6FB">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bl>
      <w:tblPr>
        <w:tblStyle w:val="2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3054"/>
        <w:gridCol w:w="3986"/>
        <w:gridCol w:w="1215"/>
      </w:tblGrid>
      <w:tr w14:paraId="4F3A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528" w:type="pct"/>
            <w:vAlign w:val="center"/>
          </w:tcPr>
          <w:p w14:paraId="01632C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54" w:type="pct"/>
            <w:vAlign w:val="center"/>
          </w:tcPr>
          <w:p w14:paraId="5CC9F9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磋商文件商务要求</w:t>
            </w:r>
          </w:p>
        </w:tc>
        <w:tc>
          <w:tcPr>
            <w:tcW w:w="2159" w:type="pct"/>
            <w:vAlign w:val="center"/>
          </w:tcPr>
          <w:p w14:paraId="45BB66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磋商响应文件商务响应描述</w:t>
            </w:r>
          </w:p>
        </w:tc>
        <w:tc>
          <w:tcPr>
            <w:tcW w:w="657" w:type="pct"/>
            <w:vAlign w:val="center"/>
          </w:tcPr>
          <w:p w14:paraId="500E5FB9">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偏离</w:t>
            </w:r>
            <w:r>
              <w:rPr>
                <w:rFonts w:hint="eastAsia" w:ascii="宋体" w:hAnsi="宋体" w:eastAsia="宋体" w:cs="宋体"/>
                <w:color w:val="auto"/>
                <w:sz w:val="24"/>
                <w:highlight w:val="none"/>
                <w:lang w:val="en-US" w:eastAsia="zh-CN"/>
              </w:rPr>
              <w:t>情况</w:t>
            </w:r>
          </w:p>
        </w:tc>
      </w:tr>
      <w:tr w14:paraId="567A0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3111CF81">
            <w:pPr>
              <w:spacing w:line="360" w:lineRule="auto"/>
              <w:jc w:val="center"/>
              <w:rPr>
                <w:rFonts w:hint="eastAsia" w:ascii="宋体" w:hAnsi="宋体" w:eastAsia="宋体" w:cs="宋体"/>
                <w:color w:val="auto"/>
                <w:sz w:val="24"/>
                <w:highlight w:val="none"/>
              </w:rPr>
            </w:pPr>
          </w:p>
        </w:tc>
        <w:tc>
          <w:tcPr>
            <w:tcW w:w="1654" w:type="pct"/>
            <w:vAlign w:val="center"/>
          </w:tcPr>
          <w:p w14:paraId="0FAB43C4">
            <w:pPr>
              <w:spacing w:line="360" w:lineRule="auto"/>
              <w:jc w:val="center"/>
              <w:rPr>
                <w:rFonts w:hint="eastAsia" w:ascii="宋体" w:hAnsi="宋体" w:eastAsia="宋体" w:cs="宋体"/>
                <w:color w:val="auto"/>
                <w:sz w:val="24"/>
                <w:highlight w:val="none"/>
              </w:rPr>
            </w:pPr>
          </w:p>
        </w:tc>
        <w:tc>
          <w:tcPr>
            <w:tcW w:w="2159" w:type="pct"/>
            <w:vAlign w:val="center"/>
          </w:tcPr>
          <w:p w14:paraId="658997D9">
            <w:pPr>
              <w:spacing w:line="360" w:lineRule="auto"/>
              <w:jc w:val="center"/>
              <w:rPr>
                <w:rFonts w:hint="eastAsia" w:ascii="宋体" w:hAnsi="宋体" w:eastAsia="宋体" w:cs="宋体"/>
                <w:color w:val="auto"/>
                <w:sz w:val="24"/>
                <w:highlight w:val="none"/>
              </w:rPr>
            </w:pPr>
          </w:p>
        </w:tc>
        <w:tc>
          <w:tcPr>
            <w:tcW w:w="657" w:type="pct"/>
            <w:vAlign w:val="center"/>
          </w:tcPr>
          <w:p w14:paraId="7C7E08CE">
            <w:pPr>
              <w:spacing w:line="360" w:lineRule="auto"/>
              <w:jc w:val="center"/>
              <w:rPr>
                <w:rFonts w:hint="eastAsia" w:ascii="宋体" w:hAnsi="宋体" w:eastAsia="宋体" w:cs="宋体"/>
                <w:b/>
                <w:color w:val="auto"/>
                <w:sz w:val="24"/>
                <w:highlight w:val="none"/>
              </w:rPr>
            </w:pPr>
          </w:p>
        </w:tc>
      </w:tr>
      <w:tr w14:paraId="2217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8" w:type="pct"/>
            <w:vAlign w:val="center"/>
          </w:tcPr>
          <w:p w14:paraId="75C0430E">
            <w:pPr>
              <w:spacing w:line="360" w:lineRule="auto"/>
              <w:jc w:val="center"/>
              <w:rPr>
                <w:rFonts w:hint="eastAsia" w:ascii="宋体" w:hAnsi="宋体" w:eastAsia="宋体" w:cs="宋体"/>
                <w:color w:val="auto"/>
                <w:sz w:val="24"/>
                <w:highlight w:val="none"/>
              </w:rPr>
            </w:pPr>
          </w:p>
        </w:tc>
        <w:tc>
          <w:tcPr>
            <w:tcW w:w="1654" w:type="pct"/>
            <w:vAlign w:val="center"/>
          </w:tcPr>
          <w:p w14:paraId="784A4E5C">
            <w:pPr>
              <w:spacing w:line="360" w:lineRule="auto"/>
              <w:jc w:val="center"/>
              <w:rPr>
                <w:rFonts w:hint="eastAsia" w:ascii="宋体" w:hAnsi="宋体" w:eastAsia="宋体" w:cs="宋体"/>
                <w:color w:val="auto"/>
                <w:sz w:val="24"/>
                <w:highlight w:val="none"/>
              </w:rPr>
            </w:pPr>
          </w:p>
        </w:tc>
        <w:tc>
          <w:tcPr>
            <w:tcW w:w="2159" w:type="pct"/>
            <w:vAlign w:val="center"/>
          </w:tcPr>
          <w:p w14:paraId="40BF7561">
            <w:pPr>
              <w:spacing w:line="360" w:lineRule="auto"/>
              <w:jc w:val="center"/>
              <w:rPr>
                <w:rFonts w:hint="eastAsia" w:ascii="宋体" w:hAnsi="宋体" w:eastAsia="宋体" w:cs="宋体"/>
                <w:color w:val="auto"/>
                <w:sz w:val="24"/>
                <w:highlight w:val="none"/>
              </w:rPr>
            </w:pPr>
          </w:p>
        </w:tc>
        <w:tc>
          <w:tcPr>
            <w:tcW w:w="657" w:type="pct"/>
            <w:vAlign w:val="center"/>
          </w:tcPr>
          <w:p w14:paraId="3337F275">
            <w:pPr>
              <w:spacing w:line="360" w:lineRule="auto"/>
              <w:jc w:val="center"/>
              <w:rPr>
                <w:rFonts w:hint="eastAsia" w:ascii="宋体" w:hAnsi="宋体" w:eastAsia="宋体" w:cs="宋体"/>
                <w:b/>
                <w:color w:val="auto"/>
                <w:sz w:val="24"/>
                <w:highlight w:val="none"/>
              </w:rPr>
            </w:pPr>
          </w:p>
        </w:tc>
      </w:tr>
      <w:tr w14:paraId="1520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06E89273">
            <w:pPr>
              <w:spacing w:line="360" w:lineRule="auto"/>
              <w:jc w:val="center"/>
              <w:rPr>
                <w:rFonts w:hint="eastAsia" w:ascii="宋体" w:hAnsi="宋体" w:eastAsia="宋体" w:cs="宋体"/>
                <w:color w:val="auto"/>
                <w:sz w:val="24"/>
                <w:highlight w:val="none"/>
              </w:rPr>
            </w:pPr>
          </w:p>
        </w:tc>
        <w:tc>
          <w:tcPr>
            <w:tcW w:w="1654" w:type="pct"/>
            <w:vAlign w:val="center"/>
          </w:tcPr>
          <w:p w14:paraId="0644893C">
            <w:pPr>
              <w:spacing w:line="360" w:lineRule="auto"/>
              <w:jc w:val="center"/>
              <w:rPr>
                <w:rFonts w:hint="eastAsia" w:ascii="宋体" w:hAnsi="宋体" w:eastAsia="宋体" w:cs="宋体"/>
                <w:color w:val="auto"/>
                <w:sz w:val="24"/>
                <w:highlight w:val="none"/>
              </w:rPr>
            </w:pPr>
          </w:p>
        </w:tc>
        <w:tc>
          <w:tcPr>
            <w:tcW w:w="2159" w:type="pct"/>
            <w:vAlign w:val="center"/>
          </w:tcPr>
          <w:p w14:paraId="358C95C5">
            <w:pPr>
              <w:spacing w:line="360" w:lineRule="auto"/>
              <w:jc w:val="center"/>
              <w:rPr>
                <w:rFonts w:hint="eastAsia" w:ascii="宋体" w:hAnsi="宋体" w:eastAsia="宋体" w:cs="宋体"/>
                <w:color w:val="auto"/>
                <w:sz w:val="24"/>
                <w:highlight w:val="none"/>
              </w:rPr>
            </w:pPr>
          </w:p>
        </w:tc>
        <w:tc>
          <w:tcPr>
            <w:tcW w:w="657" w:type="pct"/>
            <w:vAlign w:val="center"/>
          </w:tcPr>
          <w:p w14:paraId="1FDE4DAE">
            <w:pPr>
              <w:spacing w:line="360" w:lineRule="auto"/>
              <w:jc w:val="center"/>
              <w:rPr>
                <w:rFonts w:hint="eastAsia" w:ascii="宋体" w:hAnsi="宋体" w:eastAsia="宋体" w:cs="宋体"/>
                <w:b/>
                <w:color w:val="auto"/>
                <w:sz w:val="24"/>
                <w:highlight w:val="none"/>
              </w:rPr>
            </w:pPr>
          </w:p>
        </w:tc>
      </w:tr>
      <w:tr w14:paraId="598C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2D70643A">
            <w:pPr>
              <w:spacing w:line="360" w:lineRule="auto"/>
              <w:jc w:val="center"/>
              <w:rPr>
                <w:rFonts w:hint="eastAsia" w:ascii="宋体" w:hAnsi="宋体" w:eastAsia="宋体" w:cs="宋体"/>
                <w:color w:val="auto"/>
                <w:sz w:val="24"/>
                <w:highlight w:val="none"/>
              </w:rPr>
            </w:pPr>
          </w:p>
        </w:tc>
        <w:tc>
          <w:tcPr>
            <w:tcW w:w="1654" w:type="pct"/>
            <w:vAlign w:val="center"/>
          </w:tcPr>
          <w:p w14:paraId="5358E486">
            <w:pPr>
              <w:spacing w:line="360" w:lineRule="auto"/>
              <w:jc w:val="center"/>
              <w:rPr>
                <w:rFonts w:hint="eastAsia" w:ascii="宋体" w:hAnsi="宋体" w:eastAsia="宋体" w:cs="宋体"/>
                <w:color w:val="auto"/>
                <w:sz w:val="24"/>
                <w:highlight w:val="none"/>
              </w:rPr>
            </w:pPr>
          </w:p>
        </w:tc>
        <w:tc>
          <w:tcPr>
            <w:tcW w:w="2159" w:type="pct"/>
            <w:vAlign w:val="center"/>
          </w:tcPr>
          <w:p w14:paraId="5E45C7AC">
            <w:pPr>
              <w:spacing w:line="360" w:lineRule="auto"/>
              <w:jc w:val="center"/>
              <w:rPr>
                <w:rFonts w:hint="eastAsia" w:ascii="宋体" w:hAnsi="宋体" w:eastAsia="宋体" w:cs="宋体"/>
                <w:color w:val="auto"/>
                <w:sz w:val="24"/>
                <w:highlight w:val="none"/>
              </w:rPr>
            </w:pPr>
          </w:p>
        </w:tc>
        <w:tc>
          <w:tcPr>
            <w:tcW w:w="657" w:type="pct"/>
            <w:vAlign w:val="center"/>
          </w:tcPr>
          <w:p w14:paraId="0520B51D">
            <w:pPr>
              <w:spacing w:line="360" w:lineRule="auto"/>
              <w:jc w:val="center"/>
              <w:rPr>
                <w:rFonts w:hint="eastAsia" w:ascii="宋体" w:hAnsi="宋体" w:eastAsia="宋体" w:cs="宋体"/>
                <w:b/>
                <w:color w:val="auto"/>
                <w:sz w:val="24"/>
                <w:highlight w:val="none"/>
              </w:rPr>
            </w:pPr>
          </w:p>
        </w:tc>
      </w:tr>
      <w:tr w14:paraId="6B00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528" w:type="pct"/>
            <w:vAlign w:val="center"/>
          </w:tcPr>
          <w:p w14:paraId="12C6CA71">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4471" w:type="pct"/>
            <w:gridSpan w:val="3"/>
            <w:vAlign w:val="center"/>
          </w:tcPr>
          <w:p w14:paraId="5E6220B7">
            <w:pPr>
              <w:spacing w:line="360" w:lineRule="auto"/>
              <w:jc w:val="center"/>
              <w:rPr>
                <w:rFonts w:hint="eastAsia" w:ascii="宋体" w:hAnsi="宋体" w:eastAsia="宋体" w:cs="宋体"/>
                <w:b/>
                <w:color w:val="auto"/>
                <w:sz w:val="24"/>
                <w:highlight w:val="none"/>
              </w:rPr>
            </w:pPr>
          </w:p>
        </w:tc>
      </w:tr>
    </w:tbl>
    <w:p w14:paraId="5B4C0F87">
      <w:pPr>
        <w:autoSpaceDE w:val="0"/>
        <w:autoSpaceDN w:val="0"/>
        <w:adjustRightInd w:val="0"/>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w:t>
      </w:r>
      <w:r>
        <w:rPr>
          <w:rFonts w:hint="eastAsia" w:ascii="宋体" w:hAnsi="宋体" w:eastAsia="宋体" w:cs="宋体"/>
          <w:color w:val="auto"/>
          <w:sz w:val="24"/>
          <w:highlight w:val="none"/>
        </w:rPr>
        <w:t>商务合同条款各条目是对供应商提出的最低要求，将作为采购人与成交人签定合同的基本要求。</w:t>
      </w:r>
    </w:p>
    <w:p w14:paraId="6AE2F410">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2、凡是磋商响应文件的商务条款与磋商文件的商务条款之间存在负偏离（即不能满足磋商文件要求）的，按无效响应处理。</w:t>
      </w:r>
    </w:p>
    <w:p w14:paraId="2F9A068C">
      <w:pPr>
        <w:pStyle w:val="13"/>
        <w:spacing w:line="360" w:lineRule="auto"/>
        <w:rPr>
          <w:rFonts w:hint="eastAsia" w:ascii="宋体" w:hAnsi="宋体" w:eastAsia="宋体" w:cs="宋体"/>
          <w:color w:val="auto"/>
          <w:sz w:val="24"/>
          <w:highlight w:val="none"/>
        </w:rPr>
      </w:pPr>
    </w:p>
    <w:p w14:paraId="1ADA01A1">
      <w:pPr>
        <w:spacing w:line="360" w:lineRule="auto"/>
        <w:ind w:firstLine="4759" w:firstLineChars="1983"/>
        <w:rPr>
          <w:rFonts w:hint="eastAsia" w:ascii="宋体" w:hAnsi="宋体" w:eastAsia="宋体" w:cs="宋体"/>
          <w:color w:val="auto"/>
          <w:sz w:val="24"/>
          <w:szCs w:val="28"/>
          <w:highlight w:val="none"/>
        </w:rPr>
      </w:pPr>
    </w:p>
    <w:p w14:paraId="5507ADAA">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8"/>
          <w:highlight w:val="none"/>
        </w:rPr>
        <w:t>全称(盖章)：</w:t>
      </w:r>
    </w:p>
    <w:p w14:paraId="48F18F8A">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  期：</w:t>
      </w:r>
    </w:p>
    <w:p w14:paraId="420A6D5E">
      <w:pPr>
        <w:pStyle w:val="12"/>
        <w:spacing w:line="360" w:lineRule="auto"/>
        <w:rPr>
          <w:rFonts w:hint="eastAsia" w:ascii="宋体" w:hAnsi="宋体" w:eastAsia="宋体" w:cs="宋体"/>
          <w:color w:val="auto"/>
          <w:highlight w:val="none"/>
          <w:lang w:val="en-US" w:eastAsia="zh-CN"/>
        </w:rPr>
        <w:sectPr>
          <w:pgSz w:w="11905" w:h="16838"/>
          <w:pgMar w:top="1440" w:right="1080" w:bottom="1440" w:left="1080" w:header="935" w:footer="771" w:gutter="567"/>
          <w:cols w:space="0" w:num="1"/>
          <w:titlePg/>
          <w:docGrid w:linePitch="312" w:charSpace="0"/>
        </w:sectPr>
      </w:pPr>
    </w:p>
    <w:p w14:paraId="484B73D4">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四、响应方案</w:t>
      </w:r>
    </w:p>
    <w:p w14:paraId="22FFA3E3">
      <w:pPr>
        <w:spacing w:line="360" w:lineRule="auto"/>
        <w:outlineLvl w:val="2"/>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4"/>
          <w:szCs w:val="24"/>
          <w:highlight w:val="none"/>
        </w:rPr>
        <w:t>1、供应商概况</w:t>
      </w:r>
      <w:r>
        <w:rPr>
          <w:rFonts w:hint="eastAsia" w:ascii="宋体" w:hAnsi="宋体" w:eastAsia="宋体" w:cs="宋体"/>
          <w:b/>
          <w:bCs/>
          <w:color w:val="auto"/>
          <w:sz w:val="24"/>
          <w:szCs w:val="24"/>
          <w:highlight w:val="none"/>
          <w:lang w:eastAsia="zh-CN"/>
        </w:rPr>
        <w:t>及其性质</w:t>
      </w:r>
    </w:p>
    <w:tbl>
      <w:tblPr>
        <w:tblStyle w:val="24"/>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88"/>
        <w:gridCol w:w="1536"/>
        <w:gridCol w:w="1925"/>
        <w:gridCol w:w="1428"/>
        <w:gridCol w:w="2462"/>
      </w:tblGrid>
      <w:tr w14:paraId="042BD9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488" w:type="dxa"/>
            <w:vAlign w:val="center"/>
          </w:tcPr>
          <w:p w14:paraId="2DE68A2F">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7351" w:type="dxa"/>
            <w:gridSpan w:val="4"/>
            <w:vAlign w:val="center"/>
          </w:tcPr>
          <w:p w14:paraId="7A43FA38">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p>
        </w:tc>
      </w:tr>
      <w:tr w14:paraId="5DC6EB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4C48CB11">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461" w:type="dxa"/>
            <w:gridSpan w:val="2"/>
            <w:vAlign w:val="center"/>
          </w:tcPr>
          <w:p w14:paraId="0BAEA1A3">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62ABEE35">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462" w:type="dxa"/>
            <w:vAlign w:val="center"/>
          </w:tcPr>
          <w:p w14:paraId="2E88BFF3">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p>
        </w:tc>
      </w:tr>
      <w:tr w14:paraId="5B502D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Merge w:val="restart"/>
            <w:vAlign w:val="center"/>
          </w:tcPr>
          <w:p w14:paraId="76BD78A8">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536" w:type="dxa"/>
            <w:vAlign w:val="center"/>
          </w:tcPr>
          <w:p w14:paraId="15662E80">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925" w:type="dxa"/>
            <w:vAlign w:val="center"/>
          </w:tcPr>
          <w:p w14:paraId="0E691D75">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358A8BB6">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62" w:type="dxa"/>
            <w:vAlign w:val="center"/>
          </w:tcPr>
          <w:p w14:paraId="069F8C95">
            <w:pPr>
              <w:keepNext/>
              <w:keepLines/>
              <w:autoSpaceDE w:val="0"/>
              <w:autoSpaceDN w:val="0"/>
              <w:adjustRightInd w:val="0"/>
              <w:spacing w:line="360" w:lineRule="auto"/>
              <w:jc w:val="center"/>
              <w:rPr>
                <w:rFonts w:hint="eastAsia" w:ascii="宋体" w:hAnsi="宋体" w:eastAsia="宋体" w:cs="宋体"/>
                <w:color w:val="auto"/>
                <w:kern w:val="0"/>
                <w:sz w:val="24"/>
                <w:szCs w:val="24"/>
                <w:highlight w:val="none"/>
              </w:rPr>
            </w:pPr>
          </w:p>
        </w:tc>
      </w:tr>
      <w:tr w14:paraId="3B2A48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88" w:type="dxa"/>
            <w:vMerge w:val="continue"/>
            <w:vAlign w:val="center"/>
          </w:tcPr>
          <w:p w14:paraId="143019D1">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536" w:type="dxa"/>
            <w:vAlign w:val="center"/>
          </w:tcPr>
          <w:p w14:paraId="30CA43E2">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1925" w:type="dxa"/>
            <w:vAlign w:val="center"/>
          </w:tcPr>
          <w:p w14:paraId="2B1B2372">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2124468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462" w:type="dxa"/>
            <w:vAlign w:val="center"/>
          </w:tcPr>
          <w:p w14:paraId="20FB1786">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r>
      <w:tr w14:paraId="7DF849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88" w:type="dxa"/>
            <w:vAlign w:val="center"/>
          </w:tcPr>
          <w:p w14:paraId="2F9D4BCF">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536" w:type="dxa"/>
            <w:vAlign w:val="center"/>
          </w:tcPr>
          <w:p w14:paraId="50199B9D">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925" w:type="dxa"/>
            <w:vAlign w:val="center"/>
          </w:tcPr>
          <w:p w14:paraId="170DC877">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4AF8C5A2">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62" w:type="dxa"/>
            <w:vAlign w:val="center"/>
          </w:tcPr>
          <w:p w14:paraId="4CB28F2A">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p>
        </w:tc>
      </w:tr>
      <w:tr w14:paraId="180CC6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488" w:type="dxa"/>
            <w:vAlign w:val="center"/>
          </w:tcPr>
          <w:p w14:paraId="18689FB4">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eastAsia="zh-CN"/>
              </w:rPr>
              <w:t>负责人</w:t>
            </w:r>
          </w:p>
        </w:tc>
        <w:tc>
          <w:tcPr>
            <w:tcW w:w="1536" w:type="dxa"/>
            <w:vAlign w:val="center"/>
          </w:tcPr>
          <w:p w14:paraId="1E08395C">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925" w:type="dxa"/>
            <w:vAlign w:val="center"/>
          </w:tcPr>
          <w:p w14:paraId="11EB83AB">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46505938">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62" w:type="dxa"/>
            <w:vAlign w:val="center"/>
          </w:tcPr>
          <w:p w14:paraId="28AF4C1B">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p>
        </w:tc>
      </w:tr>
      <w:tr w14:paraId="5B8314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0D98529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3461" w:type="dxa"/>
            <w:gridSpan w:val="2"/>
            <w:vAlign w:val="center"/>
          </w:tcPr>
          <w:p w14:paraId="42CC633D">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79D2F2E5">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62" w:type="dxa"/>
            <w:vAlign w:val="center"/>
          </w:tcPr>
          <w:p w14:paraId="792910FA">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p>
        </w:tc>
      </w:tr>
      <w:tr w14:paraId="709625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Align w:val="center"/>
          </w:tcPr>
          <w:p w14:paraId="7488A49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统一社会信用代码</w:t>
            </w:r>
          </w:p>
        </w:tc>
        <w:tc>
          <w:tcPr>
            <w:tcW w:w="3461" w:type="dxa"/>
            <w:gridSpan w:val="2"/>
            <w:vAlign w:val="center"/>
          </w:tcPr>
          <w:p w14:paraId="2FEC845C">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1428" w:type="dxa"/>
            <w:vAlign w:val="center"/>
          </w:tcPr>
          <w:p w14:paraId="6372E9C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tc>
        <w:tc>
          <w:tcPr>
            <w:tcW w:w="2462" w:type="dxa"/>
            <w:vAlign w:val="center"/>
          </w:tcPr>
          <w:p w14:paraId="4D14400D">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p>
        </w:tc>
      </w:tr>
      <w:tr w14:paraId="0C1C50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1488" w:type="dxa"/>
            <w:vAlign w:val="center"/>
          </w:tcPr>
          <w:p w14:paraId="50B7EA7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51" w:type="dxa"/>
            <w:gridSpan w:val="4"/>
            <w:vAlign w:val="center"/>
          </w:tcPr>
          <w:p w14:paraId="09BDC2BF">
            <w:pPr>
              <w:autoSpaceDE w:val="0"/>
              <w:autoSpaceDN w:val="0"/>
              <w:adjustRightInd w:val="0"/>
              <w:spacing w:line="360" w:lineRule="auto"/>
              <w:rPr>
                <w:rFonts w:hint="eastAsia" w:ascii="宋体" w:hAnsi="宋体" w:eastAsia="宋体" w:cs="宋体"/>
                <w:b/>
                <w:bCs/>
                <w:color w:val="auto"/>
                <w:kern w:val="0"/>
                <w:sz w:val="24"/>
                <w:szCs w:val="24"/>
                <w:highlight w:val="none"/>
              </w:rPr>
            </w:pPr>
          </w:p>
        </w:tc>
      </w:tr>
      <w:tr w14:paraId="65208F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488" w:type="dxa"/>
          </w:tcPr>
          <w:p w14:paraId="1EF11C0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51" w:type="dxa"/>
            <w:gridSpan w:val="4"/>
          </w:tcPr>
          <w:p w14:paraId="57B89505">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r>
    </w:tbl>
    <w:p w14:paraId="41CD6075">
      <w:pPr>
        <w:spacing w:line="360" w:lineRule="auto"/>
        <w:rPr>
          <w:rFonts w:hint="eastAsia" w:ascii="宋体" w:hAnsi="宋体" w:eastAsia="宋体" w:cs="宋体"/>
          <w:b/>
          <w:color w:val="auto"/>
          <w:sz w:val="32"/>
          <w:szCs w:val="32"/>
          <w:highlight w:val="none"/>
        </w:rPr>
      </w:pPr>
    </w:p>
    <w:p w14:paraId="2AF02014">
      <w:pPr>
        <w:pStyle w:val="23"/>
        <w:spacing w:line="360" w:lineRule="auto"/>
        <w:ind w:firstLine="0" w:firstLineChars="0"/>
        <w:rPr>
          <w:rFonts w:hint="eastAsia" w:ascii="宋体" w:hAnsi="宋体" w:eastAsia="宋体" w:cs="宋体"/>
          <w:color w:val="auto"/>
          <w:sz w:val="24"/>
          <w:szCs w:val="22"/>
          <w:highlight w:val="none"/>
        </w:rPr>
      </w:pPr>
    </w:p>
    <w:p w14:paraId="429576C4">
      <w:pPr>
        <w:pStyle w:val="23"/>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szCs w:val="22"/>
          <w:highlight w:val="none"/>
        </w:rPr>
        <w:t xml:space="preserve">供应商名称： </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8"/>
          <w:highlight w:val="none"/>
        </w:rPr>
        <w:t>加盖公</w:t>
      </w:r>
      <w:r>
        <w:rPr>
          <w:rFonts w:hint="eastAsia" w:ascii="宋体" w:hAnsi="宋体" w:eastAsia="宋体" w:cs="宋体"/>
          <w:color w:val="auto"/>
          <w:sz w:val="24"/>
          <w:szCs w:val="22"/>
          <w:highlight w:val="none"/>
        </w:rPr>
        <w:t xml:space="preserve">章）  </w:t>
      </w:r>
    </w:p>
    <w:p w14:paraId="7E3C7500">
      <w:pPr>
        <w:autoSpaceDE w:val="0"/>
        <w:autoSpaceDN w:val="0"/>
        <w:adjustRightInd w:val="0"/>
        <w:snapToGrid w:val="0"/>
        <w:spacing w:line="360" w:lineRule="auto"/>
        <w:outlineLvl w:val="9"/>
        <w:rPr>
          <w:rFonts w:hint="eastAsia" w:ascii="宋体" w:hAnsi="宋体" w:eastAsia="宋体" w:cs="宋体"/>
          <w:b/>
          <w:bCs/>
          <w:color w:val="auto"/>
          <w:szCs w:val="28"/>
          <w:highlight w:val="none"/>
        </w:rPr>
      </w:pPr>
      <w:bookmarkStart w:id="107" w:name="_Toc554"/>
      <w:bookmarkStart w:id="108" w:name="_Toc4945"/>
      <w:bookmarkStart w:id="109" w:name="_Toc6950"/>
      <w:bookmarkStart w:id="110" w:name="_Toc28670"/>
      <w:r>
        <w:rPr>
          <w:rFonts w:hint="eastAsia" w:ascii="宋体" w:hAnsi="宋体" w:eastAsia="宋体" w:cs="宋体"/>
          <w:color w:val="auto"/>
          <w:sz w:val="24"/>
          <w:szCs w:val="22"/>
          <w:highlight w:val="none"/>
        </w:rPr>
        <w:t>日  期：</w:t>
      </w:r>
      <w:bookmarkEnd w:id="107"/>
      <w:bookmarkEnd w:id="108"/>
      <w:bookmarkEnd w:id="109"/>
      <w:bookmarkEnd w:id="110"/>
      <w:r>
        <w:rPr>
          <w:rFonts w:hint="eastAsia" w:ascii="宋体" w:hAnsi="宋体" w:eastAsia="宋体" w:cs="宋体"/>
          <w:color w:val="auto"/>
          <w:sz w:val="24"/>
          <w:szCs w:val="22"/>
          <w:highlight w:val="none"/>
        </w:rPr>
        <w:t xml:space="preserve"> </w:t>
      </w:r>
      <w:r>
        <w:rPr>
          <w:rFonts w:hint="eastAsia" w:ascii="宋体" w:hAnsi="宋体" w:eastAsia="宋体" w:cs="宋体"/>
          <w:color w:val="auto"/>
          <w:sz w:val="24"/>
          <w:szCs w:val="22"/>
          <w:highlight w:val="none"/>
          <w:u w:val="single"/>
        </w:rPr>
        <w:t xml:space="preserve">                 </w:t>
      </w:r>
    </w:p>
    <w:p w14:paraId="13F636C0">
      <w:pPr>
        <w:spacing w:line="360" w:lineRule="auto"/>
        <w:rPr>
          <w:rFonts w:hint="eastAsia" w:ascii="宋体" w:hAnsi="宋体" w:eastAsia="宋体" w:cs="宋体"/>
          <w:color w:val="auto"/>
          <w:kern w:val="2"/>
          <w:sz w:val="24"/>
          <w:szCs w:val="24"/>
          <w:highlight w:val="none"/>
          <w:lang w:val="en-US" w:eastAsia="en-US" w:bidi="ar-SA"/>
        </w:rPr>
      </w:pPr>
    </w:p>
    <w:p w14:paraId="683E8817">
      <w:pPr>
        <w:pStyle w:val="23"/>
        <w:spacing w:line="360" w:lineRule="auto"/>
        <w:rPr>
          <w:rFonts w:hint="eastAsia" w:ascii="宋体" w:hAnsi="宋体" w:eastAsia="宋体" w:cs="宋体"/>
          <w:color w:val="auto"/>
          <w:highlight w:val="none"/>
        </w:rPr>
      </w:pPr>
    </w:p>
    <w:p w14:paraId="76C83BAC">
      <w:pPr>
        <w:pStyle w:val="43"/>
        <w:spacing w:line="360" w:lineRule="auto"/>
        <w:ind w:firstLine="173" w:firstLineChars="62"/>
        <w:jc w:val="left"/>
        <w:outlineLvl w:val="9"/>
        <w:rPr>
          <w:rFonts w:hint="eastAsia" w:ascii="宋体" w:hAnsi="宋体" w:eastAsia="宋体" w:cs="宋体"/>
          <w:b/>
          <w:bCs/>
          <w:color w:val="auto"/>
          <w:sz w:val="18"/>
          <w:szCs w:val="18"/>
          <w:highlight w:val="none"/>
        </w:rPr>
      </w:pPr>
      <w:r>
        <w:rPr>
          <w:rFonts w:hint="eastAsia" w:ascii="宋体" w:hAnsi="宋体" w:eastAsia="宋体" w:cs="宋体"/>
          <w:color w:val="auto"/>
          <w:highlight w:val="none"/>
        </w:rPr>
        <w:br w:type="page"/>
      </w:r>
    </w:p>
    <w:p w14:paraId="77D00333">
      <w:pPr>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方案</w:t>
      </w:r>
    </w:p>
    <w:p w14:paraId="459551F6">
      <w:pPr>
        <w:spacing w:line="360" w:lineRule="auto"/>
        <w:ind w:firstLine="2409" w:firstLineChars="10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（供应商根据评标办法及评分标准所有细则自拟、自行阐述）</w:t>
      </w:r>
    </w:p>
    <w:p w14:paraId="2AFE1A3E">
      <w:pPr>
        <w:spacing w:line="360" w:lineRule="auto"/>
        <w:rPr>
          <w:rFonts w:hint="eastAsia" w:ascii="宋体" w:hAnsi="宋体" w:eastAsia="宋体" w:cs="宋体"/>
          <w:color w:val="auto"/>
          <w:highlight w:val="none"/>
        </w:rPr>
      </w:pPr>
    </w:p>
    <w:p w14:paraId="51E01337">
      <w:pPr>
        <w:pStyle w:val="20"/>
        <w:spacing w:line="360" w:lineRule="auto"/>
        <w:rPr>
          <w:rFonts w:hint="eastAsia" w:ascii="宋体" w:hAnsi="宋体" w:eastAsia="宋体" w:cs="宋体"/>
          <w:color w:val="auto"/>
          <w:sz w:val="24"/>
          <w:szCs w:val="28"/>
          <w:highlight w:val="none"/>
        </w:rPr>
      </w:pPr>
    </w:p>
    <w:p w14:paraId="554DDD5E">
      <w:pPr>
        <w:pStyle w:val="20"/>
        <w:spacing w:line="360" w:lineRule="auto"/>
        <w:rPr>
          <w:rFonts w:hint="eastAsia" w:ascii="宋体" w:hAnsi="宋体" w:eastAsia="宋体" w:cs="宋体"/>
          <w:color w:val="auto"/>
          <w:sz w:val="24"/>
          <w:szCs w:val="28"/>
          <w:highlight w:val="none"/>
        </w:rPr>
      </w:pPr>
    </w:p>
    <w:p w14:paraId="115DF283">
      <w:pPr>
        <w:pStyle w:val="20"/>
        <w:spacing w:line="360" w:lineRule="auto"/>
        <w:rPr>
          <w:rFonts w:hint="eastAsia" w:ascii="宋体" w:hAnsi="宋体" w:eastAsia="宋体" w:cs="宋体"/>
          <w:color w:val="auto"/>
          <w:sz w:val="24"/>
          <w:szCs w:val="28"/>
          <w:highlight w:val="none"/>
        </w:rPr>
      </w:pPr>
    </w:p>
    <w:p w14:paraId="06D94FBA">
      <w:pPr>
        <w:pStyle w:val="20"/>
        <w:spacing w:line="360" w:lineRule="auto"/>
        <w:rPr>
          <w:rFonts w:hint="eastAsia" w:ascii="宋体" w:hAnsi="宋体" w:eastAsia="宋体" w:cs="宋体"/>
          <w:color w:val="auto"/>
          <w:sz w:val="24"/>
          <w:szCs w:val="28"/>
          <w:highlight w:val="none"/>
        </w:rPr>
      </w:pPr>
    </w:p>
    <w:p w14:paraId="411EECD4">
      <w:pPr>
        <w:pStyle w:val="20"/>
        <w:spacing w:line="360" w:lineRule="auto"/>
        <w:rPr>
          <w:rFonts w:hint="eastAsia" w:ascii="宋体" w:hAnsi="宋体" w:eastAsia="宋体" w:cs="宋体"/>
          <w:color w:val="auto"/>
          <w:sz w:val="24"/>
          <w:szCs w:val="28"/>
          <w:highlight w:val="none"/>
        </w:rPr>
      </w:pPr>
    </w:p>
    <w:p w14:paraId="654B0BEC">
      <w:pPr>
        <w:pStyle w:val="12"/>
        <w:spacing w:line="360" w:lineRule="auto"/>
        <w:rPr>
          <w:rFonts w:hint="eastAsia" w:ascii="宋体" w:hAnsi="宋体" w:eastAsia="宋体" w:cs="宋体"/>
          <w:b/>
          <w:color w:val="auto"/>
          <w:sz w:val="44"/>
          <w:szCs w:val="44"/>
          <w:highlight w:val="none"/>
        </w:rPr>
      </w:pPr>
    </w:p>
    <w:p w14:paraId="0167F76D">
      <w:pPr>
        <w:spacing w:line="360" w:lineRule="auto"/>
        <w:rPr>
          <w:rFonts w:hint="eastAsia" w:ascii="宋体" w:hAnsi="宋体" w:eastAsia="宋体" w:cs="宋体"/>
          <w:b/>
          <w:color w:val="auto"/>
          <w:sz w:val="44"/>
          <w:szCs w:val="44"/>
          <w:highlight w:val="none"/>
        </w:rPr>
      </w:pPr>
    </w:p>
    <w:p w14:paraId="1BCDEEFC">
      <w:pPr>
        <w:pStyle w:val="2"/>
        <w:spacing w:line="360" w:lineRule="auto"/>
        <w:rPr>
          <w:rFonts w:hint="eastAsia" w:ascii="宋体" w:hAnsi="宋体" w:eastAsia="宋体" w:cs="宋体"/>
          <w:b/>
          <w:color w:val="auto"/>
          <w:sz w:val="44"/>
          <w:szCs w:val="44"/>
          <w:highlight w:val="none"/>
        </w:rPr>
      </w:pPr>
    </w:p>
    <w:p w14:paraId="6781DA70">
      <w:pPr>
        <w:pStyle w:val="23"/>
        <w:spacing w:line="360" w:lineRule="auto"/>
        <w:rPr>
          <w:rFonts w:hint="eastAsia" w:ascii="宋体" w:hAnsi="宋体" w:eastAsia="宋体" w:cs="宋体"/>
          <w:b/>
          <w:color w:val="auto"/>
          <w:sz w:val="44"/>
          <w:szCs w:val="44"/>
          <w:highlight w:val="none"/>
        </w:rPr>
      </w:pPr>
    </w:p>
    <w:p w14:paraId="10DE6609">
      <w:pPr>
        <w:pStyle w:val="2"/>
        <w:spacing w:line="360" w:lineRule="auto"/>
        <w:rPr>
          <w:rFonts w:hint="eastAsia" w:ascii="宋体" w:hAnsi="宋体" w:eastAsia="宋体" w:cs="宋体"/>
          <w:b/>
          <w:color w:val="auto"/>
          <w:sz w:val="44"/>
          <w:szCs w:val="44"/>
          <w:highlight w:val="none"/>
        </w:rPr>
      </w:pPr>
    </w:p>
    <w:p w14:paraId="08BF230A">
      <w:pPr>
        <w:pStyle w:val="23"/>
        <w:spacing w:line="360" w:lineRule="auto"/>
        <w:rPr>
          <w:rFonts w:hint="eastAsia" w:ascii="宋体" w:hAnsi="宋体" w:eastAsia="宋体" w:cs="宋体"/>
          <w:b/>
          <w:color w:val="auto"/>
          <w:sz w:val="44"/>
          <w:szCs w:val="44"/>
          <w:highlight w:val="none"/>
        </w:rPr>
      </w:pPr>
    </w:p>
    <w:p w14:paraId="144B0F0D">
      <w:pPr>
        <w:pStyle w:val="2"/>
        <w:spacing w:line="360" w:lineRule="auto"/>
        <w:rPr>
          <w:rFonts w:hint="eastAsia" w:ascii="宋体" w:hAnsi="宋体" w:eastAsia="宋体" w:cs="宋体"/>
          <w:b/>
          <w:color w:val="auto"/>
          <w:sz w:val="44"/>
          <w:szCs w:val="44"/>
          <w:highlight w:val="none"/>
        </w:rPr>
      </w:pPr>
    </w:p>
    <w:p w14:paraId="4E048984">
      <w:pPr>
        <w:pStyle w:val="23"/>
        <w:spacing w:line="360" w:lineRule="auto"/>
        <w:rPr>
          <w:rFonts w:hint="eastAsia" w:ascii="宋体" w:hAnsi="宋体" w:eastAsia="宋体" w:cs="宋体"/>
          <w:b/>
          <w:color w:val="auto"/>
          <w:sz w:val="44"/>
          <w:szCs w:val="44"/>
          <w:highlight w:val="none"/>
        </w:rPr>
      </w:pPr>
    </w:p>
    <w:p w14:paraId="774EB2FB">
      <w:pPr>
        <w:pStyle w:val="2"/>
        <w:spacing w:line="360" w:lineRule="auto"/>
        <w:rPr>
          <w:rFonts w:hint="eastAsia" w:ascii="宋体" w:hAnsi="宋体" w:eastAsia="宋体" w:cs="宋体"/>
          <w:b/>
          <w:color w:val="auto"/>
          <w:sz w:val="44"/>
          <w:szCs w:val="44"/>
          <w:highlight w:val="none"/>
        </w:rPr>
      </w:pPr>
    </w:p>
    <w:p w14:paraId="0284B4D9">
      <w:pPr>
        <w:pStyle w:val="23"/>
        <w:spacing w:line="360" w:lineRule="auto"/>
        <w:rPr>
          <w:rFonts w:hint="eastAsia" w:ascii="宋体" w:hAnsi="宋体" w:eastAsia="宋体" w:cs="宋体"/>
          <w:b/>
          <w:color w:val="auto"/>
          <w:sz w:val="44"/>
          <w:szCs w:val="44"/>
          <w:highlight w:val="none"/>
        </w:rPr>
      </w:pPr>
    </w:p>
    <w:p w14:paraId="23982A4A">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53DDBA78">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拟投入的仪器、设备一览表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747"/>
        <w:gridCol w:w="1981"/>
        <w:gridCol w:w="1981"/>
        <w:gridCol w:w="1981"/>
      </w:tblGrid>
      <w:tr w14:paraId="5EC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45E6B671">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1387" w:type="pct"/>
            <w:vAlign w:val="center"/>
          </w:tcPr>
          <w:p w14:paraId="2E321D61">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设备名称</w:t>
            </w:r>
          </w:p>
        </w:tc>
        <w:tc>
          <w:tcPr>
            <w:tcW w:w="1000" w:type="pct"/>
            <w:vAlign w:val="center"/>
          </w:tcPr>
          <w:p w14:paraId="591FC80D">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数量</w:t>
            </w:r>
          </w:p>
        </w:tc>
        <w:tc>
          <w:tcPr>
            <w:tcW w:w="1000" w:type="pct"/>
            <w:vAlign w:val="center"/>
          </w:tcPr>
          <w:p w14:paraId="3BAA9A32">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用途</w:t>
            </w:r>
          </w:p>
        </w:tc>
        <w:tc>
          <w:tcPr>
            <w:tcW w:w="1000" w:type="pct"/>
            <w:vAlign w:val="center"/>
          </w:tcPr>
          <w:p w14:paraId="33AFE6DE">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备注</w:t>
            </w:r>
          </w:p>
        </w:tc>
      </w:tr>
      <w:tr w14:paraId="70B3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BDB9DE9">
            <w:pPr>
              <w:pStyle w:val="12"/>
              <w:spacing w:line="360" w:lineRule="auto"/>
              <w:jc w:val="center"/>
              <w:rPr>
                <w:sz w:val="24"/>
                <w:szCs w:val="24"/>
                <w:vertAlign w:val="baseline"/>
              </w:rPr>
            </w:pPr>
          </w:p>
        </w:tc>
        <w:tc>
          <w:tcPr>
            <w:tcW w:w="1387" w:type="pct"/>
            <w:vAlign w:val="center"/>
          </w:tcPr>
          <w:p w14:paraId="6C401530">
            <w:pPr>
              <w:pStyle w:val="12"/>
              <w:spacing w:line="360" w:lineRule="auto"/>
              <w:jc w:val="center"/>
              <w:rPr>
                <w:sz w:val="24"/>
                <w:szCs w:val="24"/>
                <w:vertAlign w:val="baseline"/>
              </w:rPr>
            </w:pPr>
          </w:p>
        </w:tc>
        <w:tc>
          <w:tcPr>
            <w:tcW w:w="1000" w:type="pct"/>
            <w:vAlign w:val="center"/>
          </w:tcPr>
          <w:p w14:paraId="6A49B2E2">
            <w:pPr>
              <w:pStyle w:val="12"/>
              <w:spacing w:line="360" w:lineRule="auto"/>
              <w:jc w:val="center"/>
              <w:rPr>
                <w:sz w:val="24"/>
                <w:szCs w:val="24"/>
                <w:vertAlign w:val="baseline"/>
              </w:rPr>
            </w:pPr>
          </w:p>
        </w:tc>
        <w:tc>
          <w:tcPr>
            <w:tcW w:w="1000" w:type="pct"/>
            <w:vAlign w:val="center"/>
          </w:tcPr>
          <w:p w14:paraId="545B9BFD">
            <w:pPr>
              <w:pStyle w:val="12"/>
              <w:spacing w:line="360" w:lineRule="auto"/>
              <w:jc w:val="center"/>
              <w:rPr>
                <w:sz w:val="24"/>
                <w:szCs w:val="24"/>
                <w:vertAlign w:val="baseline"/>
              </w:rPr>
            </w:pPr>
          </w:p>
        </w:tc>
        <w:tc>
          <w:tcPr>
            <w:tcW w:w="1000" w:type="pct"/>
            <w:vAlign w:val="center"/>
          </w:tcPr>
          <w:p w14:paraId="28DCF254">
            <w:pPr>
              <w:pStyle w:val="12"/>
              <w:spacing w:line="360" w:lineRule="auto"/>
              <w:jc w:val="center"/>
              <w:rPr>
                <w:sz w:val="24"/>
                <w:szCs w:val="24"/>
                <w:vertAlign w:val="baseline"/>
              </w:rPr>
            </w:pPr>
          </w:p>
        </w:tc>
      </w:tr>
      <w:tr w14:paraId="7996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0D7C58F">
            <w:pPr>
              <w:pStyle w:val="12"/>
              <w:spacing w:line="360" w:lineRule="auto"/>
              <w:jc w:val="center"/>
              <w:rPr>
                <w:sz w:val="24"/>
                <w:szCs w:val="24"/>
                <w:vertAlign w:val="baseline"/>
              </w:rPr>
            </w:pPr>
          </w:p>
        </w:tc>
        <w:tc>
          <w:tcPr>
            <w:tcW w:w="1387" w:type="pct"/>
            <w:vAlign w:val="center"/>
          </w:tcPr>
          <w:p w14:paraId="10509E19">
            <w:pPr>
              <w:pStyle w:val="12"/>
              <w:spacing w:line="360" w:lineRule="auto"/>
              <w:jc w:val="center"/>
              <w:rPr>
                <w:sz w:val="24"/>
                <w:szCs w:val="24"/>
                <w:vertAlign w:val="baseline"/>
              </w:rPr>
            </w:pPr>
          </w:p>
        </w:tc>
        <w:tc>
          <w:tcPr>
            <w:tcW w:w="1000" w:type="pct"/>
            <w:vAlign w:val="center"/>
          </w:tcPr>
          <w:p w14:paraId="397BDAE5">
            <w:pPr>
              <w:pStyle w:val="12"/>
              <w:spacing w:line="360" w:lineRule="auto"/>
              <w:jc w:val="center"/>
              <w:rPr>
                <w:sz w:val="24"/>
                <w:szCs w:val="24"/>
                <w:vertAlign w:val="baseline"/>
              </w:rPr>
            </w:pPr>
          </w:p>
        </w:tc>
        <w:tc>
          <w:tcPr>
            <w:tcW w:w="1000" w:type="pct"/>
            <w:vAlign w:val="center"/>
          </w:tcPr>
          <w:p w14:paraId="2724354F">
            <w:pPr>
              <w:pStyle w:val="12"/>
              <w:spacing w:line="360" w:lineRule="auto"/>
              <w:jc w:val="center"/>
              <w:rPr>
                <w:sz w:val="24"/>
                <w:szCs w:val="24"/>
                <w:vertAlign w:val="baseline"/>
              </w:rPr>
            </w:pPr>
          </w:p>
        </w:tc>
        <w:tc>
          <w:tcPr>
            <w:tcW w:w="1000" w:type="pct"/>
            <w:vAlign w:val="center"/>
          </w:tcPr>
          <w:p w14:paraId="4E8E6E3D">
            <w:pPr>
              <w:pStyle w:val="12"/>
              <w:spacing w:line="360" w:lineRule="auto"/>
              <w:jc w:val="center"/>
              <w:rPr>
                <w:sz w:val="24"/>
                <w:szCs w:val="24"/>
                <w:vertAlign w:val="baseline"/>
              </w:rPr>
            </w:pPr>
          </w:p>
        </w:tc>
      </w:tr>
      <w:tr w14:paraId="273C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EB9F733">
            <w:pPr>
              <w:pStyle w:val="12"/>
              <w:spacing w:line="360" w:lineRule="auto"/>
              <w:jc w:val="center"/>
              <w:rPr>
                <w:sz w:val="24"/>
                <w:szCs w:val="24"/>
                <w:vertAlign w:val="baseline"/>
              </w:rPr>
            </w:pPr>
          </w:p>
        </w:tc>
        <w:tc>
          <w:tcPr>
            <w:tcW w:w="1387" w:type="pct"/>
            <w:vAlign w:val="center"/>
          </w:tcPr>
          <w:p w14:paraId="0FCA391E">
            <w:pPr>
              <w:pStyle w:val="12"/>
              <w:spacing w:line="360" w:lineRule="auto"/>
              <w:jc w:val="center"/>
              <w:rPr>
                <w:sz w:val="24"/>
                <w:szCs w:val="24"/>
                <w:vertAlign w:val="baseline"/>
              </w:rPr>
            </w:pPr>
          </w:p>
        </w:tc>
        <w:tc>
          <w:tcPr>
            <w:tcW w:w="1000" w:type="pct"/>
            <w:vAlign w:val="center"/>
          </w:tcPr>
          <w:p w14:paraId="5B11CDF4">
            <w:pPr>
              <w:pStyle w:val="12"/>
              <w:spacing w:line="360" w:lineRule="auto"/>
              <w:jc w:val="center"/>
              <w:rPr>
                <w:sz w:val="24"/>
                <w:szCs w:val="24"/>
                <w:vertAlign w:val="baseline"/>
              </w:rPr>
            </w:pPr>
          </w:p>
        </w:tc>
        <w:tc>
          <w:tcPr>
            <w:tcW w:w="1000" w:type="pct"/>
            <w:vAlign w:val="center"/>
          </w:tcPr>
          <w:p w14:paraId="0153666D">
            <w:pPr>
              <w:pStyle w:val="12"/>
              <w:spacing w:line="360" w:lineRule="auto"/>
              <w:jc w:val="center"/>
              <w:rPr>
                <w:sz w:val="24"/>
                <w:szCs w:val="24"/>
                <w:vertAlign w:val="baseline"/>
              </w:rPr>
            </w:pPr>
          </w:p>
        </w:tc>
        <w:tc>
          <w:tcPr>
            <w:tcW w:w="1000" w:type="pct"/>
            <w:vAlign w:val="center"/>
          </w:tcPr>
          <w:p w14:paraId="16D2CE3B">
            <w:pPr>
              <w:pStyle w:val="12"/>
              <w:spacing w:line="360" w:lineRule="auto"/>
              <w:jc w:val="center"/>
              <w:rPr>
                <w:sz w:val="24"/>
                <w:szCs w:val="24"/>
                <w:vertAlign w:val="baseline"/>
              </w:rPr>
            </w:pPr>
          </w:p>
        </w:tc>
      </w:tr>
      <w:tr w14:paraId="286F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16889063">
            <w:pPr>
              <w:pStyle w:val="12"/>
              <w:spacing w:line="360" w:lineRule="auto"/>
              <w:jc w:val="center"/>
              <w:rPr>
                <w:sz w:val="24"/>
                <w:szCs w:val="24"/>
                <w:vertAlign w:val="baseline"/>
              </w:rPr>
            </w:pPr>
          </w:p>
        </w:tc>
        <w:tc>
          <w:tcPr>
            <w:tcW w:w="1387" w:type="pct"/>
            <w:vAlign w:val="center"/>
          </w:tcPr>
          <w:p w14:paraId="6901F241">
            <w:pPr>
              <w:pStyle w:val="12"/>
              <w:spacing w:line="360" w:lineRule="auto"/>
              <w:jc w:val="center"/>
              <w:rPr>
                <w:sz w:val="24"/>
                <w:szCs w:val="24"/>
                <w:vertAlign w:val="baseline"/>
              </w:rPr>
            </w:pPr>
          </w:p>
        </w:tc>
        <w:tc>
          <w:tcPr>
            <w:tcW w:w="1000" w:type="pct"/>
            <w:vAlign w:val="center"/>
          </w:tcPr>
          <w:p w14:paraId="54AE72D2">
            <w:pPr>
              <w:pStyle w:val="12"/>
              <w:spacing w:line="360" w:lineRule="auto"/>
              <w:jc w:val="center"/>
              <w:rPr>
                <w:sz w:val="24"/>
                <w:szCs w:val="24"/>
                <w:vertAlign w:val="baseline"/>
              </w:rPr>
            </w:pPr>
          </w:p>
        </w:tc>
        <w:tc>
          <w:tcPr>
            <w:tcW w:w="1000" w:type="pct"/>
            <w:vAlign w:val="center"/>
          </w:tcPr>
          <w:p w14:paraId="2B6E5969">
            <w:pPr>
              <w:pStyle w:val="12"/>
              <w:spacing w:line="360" w:lineRule="auto"/>
              <w:jc w:val="center"/>
              <w:rPr>
                <w:sz w:val="24"/>
                <w:szCs w:val="24"/>
                <w:vertAlign w:val="baseline"/>
              </w:rPr>
            </w:pPr>
          </w:p>
        </w:tc>
        <w:tc>
          <w:tcPr>
            <w:tcW w:w="1000" w:type="pct"/>
            <w:vAlign w:val="center"/>
          </w:tcPr>
          <w:p w14:paraId="595FC766">
            <w:pPr>
              <w:pStyle w:val="12"/>
              <w:spacing w:line="360" w:lineRule="auto"/>
              <w:jc w:val="center"/>
              <w:rPr>
                <w:sz w:val="24"/>
                <w:szCs w:val="24"/>
                <w:vertAlign w:val="baseline"/>
              </w:rPr>
            </w:pPr>
          </w:p>
        </w:tc>
      </w:tr>
      <w:tr w14:paraId="3243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3B9C243">
            <w:pPr>
              <w:pStyle w:val="12"/>
              <w:spacing w:line="360" w:lineRule="auto"/>
              <w:jc w:val="center"/>
              <w:rPr>
                <w:sz w:val="24"/>
                <w:szCs w:val="24"/>
                <w:vertAlign w:val="baseline"/>
              </w:rPr>
            </w:pPr>
          </w:p>
        </w:tc>
        <w:tc>
          <w:tcPr>
            <w:tcW w:w="1387" w:type="pct"/>
            <w:vAlign w:val="center"/>
          </w:tcPr>
          <w:p w14:paraId="16FE7003">
            <w:pPr>
              <w:pStyle w:val="12"/>
              <w:spacing w:line="360" w:lineRule="auto"/>
              <w:jc w:val="center"/>
              <w:rPr>
                <w:sz w:val="24"/>
                <w:szCs w:val="24"/>
                <w:vertAlign w:val="baseline"/>
              </w:rPr>
            </w:pPr>
          </w:p>
        </w:tc>
        <w:tc>
          <w:tcPr>
            <w:tcW w:w="1000" w:type="pct"/>
            <w:vAlign w:val="center"/>
          </w:tcPr>
          <w:p w14:paraId="346DBCFB">
            <w:pPr>
              <w:pStyle w:val="12"/>
              <w:spacing w:line="360" w:lineRule="auto"/>
              <w:jc w:val="center"/>
              <w:rPr>
                <w:sz w:val="24"/>
                <w:szCs w:val="24"/>
                <w:vertAlign w:val="baseline"/>
              </w:rPr>
            </w:pPr>
          </w:p>
        </w:tc>
        <w:tc>
          <w:tcPr>
            <w:tcW w:w="1000" w:type="pct"/>
            <w:vAlign w:val="center"/>
          </w:tcPr>
          <w:p w14:paraId="5E7AFA26">
            <w:pPr>
              <w:pStyle w:val="12"/>
              <w:spacing w:line="360" w:lineRule="auto"/>
              <w:jc w:val="center"/>
              <w:rPr>
                <w:sz w:val="24"/>
                <w:szCs w:val="24"/>
                <w:vertAlign w:val="baseline"/>
              </w:rPr>
            </w:pPr>
          </w:p>
        </w:tc>
        <w:tc>
          <w:tcPr>
            <w:tcW w:w="1000" w:type="pct"/>
            <w:vAlign w:val="center"/>
          </w:tcPr>
          <w:p w14:paraId="592C5FEB">
            <w:pPr>
              <w:pStyle w:val="12"/>
              <w:spacing w:line="360" w:lineRule="auto"/>
              <w:jc w:val="center"/>
              <w:rPr>
                <w:sz w:val="24"/>
                <w:szCs w:val="24"/>
                <w:vertAlign w:val="baseline"/>
              </w:rPr>
            </w:pPr>
          </w:p>
        </w:tc>
      </w:tr>
      <w:tr w14:paraId="47B9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619665AB">
            <w:pPr>
              <w:pStyle w:val="12"/>
              <w:spacing w:line="360" w:lineRule="auto"/>
              <w:jc w:val="center"/>
              <w:rPr>
                <w:sz w:val="24"/>
                <w:szCs w:val="24"/>
                <w:vertAlign w:val="baseline"/>
              </w:rPr>
            </w:pPr>
          </w:p>
        </w:tc>
        <w:tc>
          <w:tcPr>
            <w:tcW w:w="1387" w:type="pct"/>
            <w:vAlign w:val="center"/>
          </w:tcPr>
          <w:p w14:paraId="4C8D3C12">
            <w:pPr>
              <w:pStyle w:val="12"/>
              <w:spacing w:line="360" w:lineRule="auto"/>
              <w:jc w:val="center"/>
              <w:rPr>
                <w:sz w:val="24"/>
                <w:szCs w:val="24"/>
                <w:vertAlign w:val="baseline"/>
              </w:rPr>
            </w:pPr>
          </w:p>
        </w:tc>
        <w:tc>
          <w:tcPr>
            <w:tcW w:w="1000" w:type="pct"/>
            <w:vAlign w:val="center"/>
          </w:tcPr>
          <w:p w14:paraId="173FD2AA">
            <w:pPr>
              <w:pStyle w:val="12"/>
              <w:spacing w:line="360" w:lineRule="auto"/>
              <w:jc w:val="center"/>
              <w:rPr>
                <w:sz w:val="24"/>
                <w:szCs w:val="24"/>
                <w:vertAlign w:val="baseline"/>
              </w:rPr>
            </w:pPr>
          </w:p>
        </w:tc>
        <w:tc>
          <w:tcPr>
            <w:tcW w:w="1000" w:type="pct"/>
            <w:vAlign w:val="center"/>
          </w:tcPr>
          <w:p w14:paraId="16E04CDA">
            <w:pPr>
              <w:pStyle w:val="12"/>
              <w:spacing w:line="360" w:lineRule="auto"/>
              <w:jc w:val="center"/>
              <w:rPr>
                <w:sz w:val="24"/>
                <w:szCs w:val="24"/>
                <w:vertAlign w:val="baseline"/>
              </w:rPr>
            </w:pPr>
          </w:p>
        </w:tc>
        <w:tc>
          <w:tcPr>
            <w:tcW w:w="1000" w:type="pct"/>
            <w:vAlign w:val="center"/>
          </w:tcPr>
          <w:p w14:paraId="6635A04E">
            <w:pPr>
              <w:pStyle w:val="12"/>
              <w:spacing w:line="360" w:lineRule="auto"/>
              <w:jc w:val="center"/>
              <w:rPr>
                <w:sz w:val="24"/>
                <w:szCs w:val="24"/>
                <w:vertAlign w:val="baseline"/>
              </w:rPr>
            </w:pPr>
          </w:p>
        </w:tc>
      </w:tr>
      <w:tr w14:paraId="6664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Align w:val="center"/>
          </w:tcPr>
          <w:p w14:paraId="2178C22C">
            <w:pPr>
              <w:pStyle w:val="12"/>
              <w:spacing w:line="360" w:lineRule="auto"/>
              <w:jc w:val="center"/>
              <w:rPr>
                <w:sz w:val="24"/>
                <w:szCs w:val="24"/>
                <w:vertAlign w:val="baseline"/>
              </w:rPr>
            </w:pPr>
          </w:p>
        </w:tc>
        <w:tc>
          <w:tcPr>
            <w:tcW w:w="1387" w:type="pct"/>
            <w:vAlign w:val="center"/>
          </w:tcPr>
          <w:p w14:paraId="56D14103">
            <w:pPr>
              <w:pStyle w:val="12"/>
              <w:spacing w:line="360" w:lineRule="auto"/>
              <w:jc w:val="center"/>
              <w:rPr>
                <w:sz w:val="24"/>
                <w:szCs w:val="24"/>
                <w:vertAlign w:val="baseline"/>
              </w:rPr>
            </w:pPr>
          </w:p>
        </w:tc>
        <w:tc>
          <w:tcPr>
            <w:tcW w:w="1000" w:type="pct"/>
            <w:vAlign w:val="center"/>
          </w:tcPr>
          <w:p w14:paraId="2996DCA7">
            <w:pPr>
              <w:pStyle w:val="12"/>
              <w:spacing w:line="360" w:lineRule="auto"/>
              <w:jc w:val="center"/>
              <w:rPr>
                <w:sz w:val="24"/>
                <w:szCs w:val="24"/>
                <w:vertAlign w:val="baseline"/>
              </w:rPr>
            </w:pPr>
          </w:p>
        </w:tc>
        <w:tc>
          <w:tcPr>
            <w:tcW w:w="1000" w:type="pct"/>
            <w:vAlign w:val="center"/>
          </w:tcPr>
          <w:p w14:paraId="0C1A8B5F">
            <w:pPr>
              <w:pStyle w:val="12"/>
              <w:spacing w:line="360" w:lineRule="auto"/>
              <w:jc w:val="center"/>
              <w:rPr>
                <w:sz w:val="24"/>
                <w:szCs w:val="24"/>
                <w:vertAlign w:val="baseline"/>
              </w:rPr>
            </w:pPr>
          </w:p>
        </w:tc>
        <w:tc>
          <w:tcPr>
            <w:tcW w:w="1000" w:type="pct"/>
            <w:vAlign w:val="center"/>
          </w:tcPr>
          <w:p w14:paraId="71D5488E">
            <w:pPr>
              <w:pStyle w:val="12"/>
              <w:spacing w:line="360" w:lineRule="auto"/>
              <w:jc w:val="center"/>
              <w:rPr>
                <w:sz w:val="24"/>
                <w:szCs w:val="24"/>
                <w:vertAlign w:val="baseline"/>
              </w:rPr>
            </w:pPr>
          </w:p>
        </w:tc>
      </w:tr>
    </w:tbl>
    <w:p w14:paraId="54B1E684">
      <w:pPr>
        <w:pStyle w:val="12"/>
      </w:pPr>
    </w:p>
    <w:p w14:paraId="601A9F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7143118E">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项目人员组成一览表</w:t>
      </w:r>
    </w:p>
    <w:p w14:paraId="0B29D15D">
      <w:pPr>
        <w:pStyle w:val="12"/>
        <w:rPr>
          <w:rFonts w:hint="eastAsia"/>
          <w:lang w:val="en-US" w:eastAsia="zh-CN"/>
        </w:rPr>
      </w:pP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343"/>
        <w:gridCol w:w="1426"/>
        <w:gridCol w:w="1753"/>
        <w:gridCol w:w="1682"/>
        <w:gridCol w:w="1427"/>
        <w:gridCol w:w="1362"/>
      </w:tblGrid>
      <w:tr w14:paraId="74AB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52DA1A4D">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678" w:type="pct"/>
            <w:vAlign w:val="center"/>
          </w:tcPr>
          <w:p w14:paraId="03DAA091">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姓名</w:t>
            </w:r>
          </w:p>
        </w:tc>
        <w:tc>
          <w:tcPr>
            <w:tcW w:w="720" w:type="pct"/>
            <w:vAlign w:val="center"/>
          </w:tcPr>
          <w:p w14:paraId="7CCDA36E">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职称</w:t>
            </w:r>
          </w:p>
        </w:tc>
        <w:tc>
          <w:tcPr>
            <w:tcW w:w="885" w:type="pct"/>
            <w:vAlign w:val="center"/>
          </w:tcPr>
          <w:p w14:paraId="55AA8F3C">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专业</w:t>
            </w:r>
          </w:p>
        </w:tc>
        <w:tc>
          <w:tcPr>
            <w:tcW w:w="849" w:type="pct"/>
            <w:vAlign w:val="center"/>
          </w:tcPr>
          <w:p w14:paraId="7553B43A">
            <w:pPr>
              <w:pStyle w:val="12"/>
              <w:spacing w:line="360" w:lineRule="auto"/>
              <w:jc w:val="center"/>
              <w:rPr>
                <w:rFonts w:hint="default" w:eastAsia="宋体"/>
                <w:sz w:val="24"/>
                <w:szCs w:val="24"/>
                <w:vertAlign w:val="baseline"/>
                <w:lang w:val="en-US" w:eastAsia="zh-CN"/>
              </w:rPr>
            </w:pPr>
            <w:r>
              <w:rPr>
                <w:rFonts w:hint="eastAsia"/>
                <w:sz w:val="24"/>
                <w:szCs w:val="24"/>
                <w:vertAlign w:val="baseline"/>
                <w:lang w:val="en-US" w:eastAsia="zh-CN"/>
              </w:rPr>
              <w:t>证书名称</w:t>
            </w:r>
          </w:p>
        </w:tc>
        <w:tc>
          <w:tcPr>
            <w:tcW w:w="720" w:type="pct"/>
            <w:vAlign w:val="center"/>
          </w:tcPr>
          <w:p w14:paraId="00FDBC34">
            <w:pPr>
              <w:pStyle w:val="12"/>
              <w:spacing w:line="360" w:lineRule="auto"/>
              <w:jc w:val="center"/>
              <w:rPr>
                <w:sz w:val="24"/>
                <w:szCs w:val="24"/>
                <w:vertAlign w:val="baseline"/>
              </w:rPr>
            </w:pPr>
            <w:r>
              <w:rPr>
                <w:rFonts w:hint="eastAsia"/>
                <w:sz w:val="24"/>
                <w:szCs w:val="24"/>
                <w:vertAlign w:val="baseline"/>
                <w:lang w:val="en-US" w:eastAsia="zh-CN"/>
              </w:rPr>
              <w:t>职务</w:t>
            </w:r>
          </w:p>
        </w:tc>
        <w:tc>
          <w:tcPr>
            <w:tcW w:w="687" w:type="pct"/>
            <w:vAlign w:val="center"/>
          </w:tcPr>
          <w:p w14:paraId="18C42EBC">
            <w:pPr>
              <w:pStyle w:val="12"/>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备注</w:t>
            </w:r>
          </w:p>
        </w:tc>
      </w:tr>
      <w:tr w14:paraId="3754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3BBE41A3">
            <w:pPr>
              <w:pStyle w:val="12"/>
              <w:spacing w:line="360" w:lineRule="auto"/>
              <w:jc w:val="center"/>
              <w:rPr>
                <w:sz w:val="24"/>
                <w:szCs w:val="24"/>
                <w:vertAlign w:val="baseline"/>
              </w:rPr>
            </w:pPr>
          </w:p>
        </w:tc>
        <w:tc>
          <w:tcPr>
            <w:tcW w:w="678" w:type="pct"/>
            <w:vAlign w:val="center"/>
          </w:tcPr>
          <w:p w14:paraId="22090646">
            <w:pPr>
              <w:pStyle w:val="12"/>
              <w:spacing w:line="360" w:lineRule="auto"/>
              <w:jc w:val="center"/>
              <w:rPr>
                <w:sz w:val="24"/>
                <w:szCs w:val="24"/>
                <w:vertAlign w:val="baseline"/>
              </w:rPr>
            </w:pPr>
          </w:p>
        </w:tc>
        <w:tc>
          <w:tcPr>
            <w:tcW w:w="720" w:type="pct"/>
            <w:vAlign w:val="center"/>
          </w:tcPr>
          <w:p w14:paraId="2C3C9153">
            <w:pPr>
              <w:pStyle w:val="12"/>
              <w:spacing w:line="360" w:lineRule="auto"/>
              <w:jc w:val="center"/>
              <w:rPr>
                <w:sz w:val="24"/>
                <w:szCs w:val="24"/>
                <w:vertAlign w:val="baseline"/>
              </w:rPr>
            </w:pPr>
          </w:p>
        </w:tc>
        <w:tc>
          <w:tcPr>
            <w:tcW w:w="885" w:type="pct"/>
            <w:vAlign w:val="center"/>
          </w:tcPr>
          <w:p w14:paraId="593F03C5">
            <w:pPr>
              <w:pStyle w:val="12"/>
              <w:spacing w:line="360" w:lineRule="auto"/>
              <w:jc w:val="center"/>
              <w:rPr>
                <w:sz w:val="24"/>
                <w:szCs w:val="24"/>
                <w:vertAlign w:val="baseline"/>
              </w:rPr>
            </w:pPr>
          </w:p>
        </w:tc>
        <w:tc>
          <w:tcPr>
            <w:tcW w:w="849" w:type="pct"/>
            <w:vAlign w:val="center"/>
          </w:tcPr>
          <w:p w14:paraId="73CB91AA">
            <w:pPr>
              <w:pStyle w:val="12"/>
              <w:spacing w:line="360" w:lineRule="auto"/>
              <w:jc w:val="center"/>
              <w:rPr>
                <w:sz w:val="24"/>
                <w:szCs w:val="24"/>
                <w:vertAlign w:val="baseline"/>
              </w:rPr>
            </w:pPr>
          </w:p>
        </w:tc>
        <w:tc>
          <w:tcPr>
            <w:tcW w:w="720" w:type="pct"/>
            <w:vAlign w:val="center"/>
          </w:tcPr>
          <w:p w14:paraId="3A452179">
            <w:pPr>
              <w:pStyle w:val="12"/>
              <w:spacing w:line="360" w:lineRule="auto"/>
              <w:jc w:val="center"/>
              <w:rPr>
                <w:sz w:val="24"/>
                <w:szCs w:val="24"/>
                <w:vertAlign w:val="baseline"/>
              </w:rPr>
            </w:pPr>
          </w:p>
        </w:tc>
        <w:tc>
          <w:tcPr>
            <w:tcW w:w="687" w:type="pct"/>
            <w:vAlign w:val="center"/>
          </w:tcPr>
          <w:p w14:paraId="19CD777B">
            <w:pPr>
              <w:pStyle w:val="12"/>
              <w:spacing w:line="360" w:lineRule="auto"/>
              <w:jc w:val="center"/>
              <w:rPr>
                <w:sz w:val="24"/>
                <w:szCs w:val="24"/>
                <w:vertAlign w:val="baseline"/>
              </w:rPr>
            </w:pPr>
          </w:p>
        </w:tc>
      </w:tr>
      <w:tr w14:paraId="12FC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20189BC9">
            <w:pPr>
              <w:pStyle w:val="12"/>
              <w:spacing w:line="360" w:lineRule="auto"/>
              <w:jc w:val="center"/>
              <w:rPr>
                <w:sz w:val="24"/>
                <w:szCs w:val="24"/>
                <w:vertAlign w:val="baseline"/>
              </w:rPr>
            </w:pPr>
          </w:p>
        </w:tc>
        <w:tc>
          <w:tcPr>
            <w:tcW w:w="678" w:type="pct"/>
            <w:vAlign w:val="center"/>
          </w:tcPr>
          <w:p w14:paraId="4D0CAF7B">
            <w:pPr>
              <w:pStyle w:val="12"/>
              <w:spacing w:line="360" w:lineRule="auto"/>
              <w:jc w:val="center"/>
              <w:rPr>
                <w:sz w:val="24"/>
                <w:szCs w:val="24"/>
                <w:vertAlign w:val="baseline"/>
              </w:rPr>
            </w:pPr>
          </w:p>
        </w:tc>
        <w:tc>
          <w:tcPr>
            <w:tcW w:w="720" w:type="pct"/>
            <w:vAlign w:val="center"/>
          </w:tcPr>
          <w:p w14:paraId="7199E055">
            <w:pPr>
              <w:pStyle w:val="12"/>
              <w:spacing w:line="360" w:lineRule="auto"/>
              <w:jc w:val="center"/>
              <w:rPr>
                <w:sz w:val="24"/>
                <w:szCs w:val="24"/>
                <w:vertAlign w:val="baseline"/>
              </w:rPr>
            </w:pPr>
          </w:p>
        </w:tc>
        <w:tc>
          <w:tcPr>
            <w:tcW w:w="885" w:type="pct"/>
            <w:vAlign w:val="center"/>
          </w:tcPr>
          <w:p w14:paraId="3AEAD651">
            <w:pPr>
              <w:pStyle w:val="12"/>
              <w:spacing w:line="360" w:lineRule="auto"/>
              <w:jc w:val="center"/>
              <w:rPr>
                <w:sz w:val="24"/>
                <w:szCs w:val="24"/>
                <w:vertAlign w:val="baseline"/>
              </w:rPr>
            </w:pPr>
          </w:p>
        </w:tc>
        <w:tc>
          <w:tcPr>
            <w:tcW w:w="849" w:type="pct"/>
            <w:vAlign w:val="center"/>
          </w:tcPr>
          <w:p w14:paraId="2D526D6B">
            <w:pPr>
              <w:pStyle w:val="12"/>
              <w:spacing w:line="360" w:lineRule="auto"/>
              <w:jc w:val="center"/>
              <w:rPr>
                <w:sz w:val="24"/>
                <w:szCs w:val="24"/>
                <w:vertAlign w:val="baseline"/>
              </w:rPr>
            </w:pPr>
          </w:p>
        </w:tc>
        <w:tc>
          <w:tcPr>
            <w:tcW w:w="720" w:type="pct"/>
            <w:vAlign w:val="center"/>
          </w:tcPr>
          <w:p w14:paraId="4201373E">
            <w:pPr>
              <w:pStyle w:val="12"/>
              <w:spacing w:line="360" w:lineRule="auto"/>
              <w:jc w:val="center"/>
              <w:rPr>
                <w:sz w:val="24"/>
                <w:szCs w:val="24"/>
                <w:vertAlign w:val="baseline"/>
              </w:rPr>
            </w:pPr>
          </w:p>
        </w:tc>
        <w:tc>
          <w:tcPr>
            <w:tcW w:w="687" w:type="pct"/>
            <w:vAlign w:val="center"/>
          </w:tcPr>
          <w:p w14:paraId="004F177E">
            <w:pPr>
              <w:pStyle w:val="12"/>
              <w:spacing w:line="360" w:lineRule="auto"/>
              <w:jc w:val="center"/>
              <w:rPr>
                <w:sz w:val="24"/>
                <w:szCs w:val="24"/>
                <w:vertAlign w:val="baseline"/>
              </w:rPr>
            </w:pPr>
          </w:p>
        </w:tc>
      </w:tr>
      <w:tr w14:paraId="397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33560D5A">
            <w:pPr>
              <w:pStyle w:val="12"/>
              <w:spacing w:line="360" w:lineRule="auto"/>
              <w:jc w:val="center"/>
              <w:rPr>
                <w:sz w:val="24"/>
                <w:szCs w:val="24"/>
                <w:vertAlign w:val="baseline"/>
              </w:rPr>
            </w:pPr>
          </w:p>
        </w:tc>
        <w:tc>
          <w:tcPr>
            <w:tcW w:w="678" w:type="pct"/>
            <w:vAlign w:val="center"/>
          </w:tcPr>
          <w:p w14:paraId="4455C0AE">
            <w:pPr>
              <w:pStyle w:val="12"/>
              <w:spacing w:line="360" w:lineRule="auto"/>
              <w:jc w:val="center"/>
              <w:rPr>
                <w:sz w:val="24"/>
                <w:szCs w:val="24"/>
                <w:vertAlign w:val="baseline"/>
              </w:rPr>
            </w:pPr>
          </w:p>
        </w:tc>
        <w:tc>
          <w:tcPr>
            <w:tcW w:w="720" w:type="pct"/>
            <w:vAlign w:val="center"/>
          </w:tcPr>
          <w:p w14:paraId="2D450E03">
            <w:pPr>
              <w:pStyle w:val="12"/>
              <w:spacing w:line="360" w:lineRule="auto"/>
              <w:jc w:val="center"/>
              <w:rPr>
                <w:sz w:val="24"/>
                <w:szCs w:val="24"/>
                <w:vertAlign w:val="baseline"/>
              </w:rPr>
            </w:pPr>
          </w:p>
        </w:tc>
        <w:tc>
          <w:tcPr>
            <w:tcW w:w="885" w:type="pct"/>
            <w:vAlign w:val="center"/>
          </w:tcPr>
          <w:p w14:paraId="152539C7">
            <w:pPr>
              <w:pStyle w:val="12"/>
              <w:spacing w:line="360" w:lineRule="auto"/>
              <w:jc w:val="center"/>
              <w:rPr>
                <w:sz w:val="24"/>
                <w:szCs w:val="24"/>
                <w:vertAlign w:val="baseline"/>
              </w:rPr>
            </w:pPr>
          </w:p>
        </w:tc>
        <w:tc>
          <w:tcPr>
            <w:tcW w:w="849" w:type="pct"/>
            <w:vAlign w:val="center"/>
          </w:tcPr>
          <w:p w14:paraId="0E920176">
            <w:pPr>
              <w:pStyle w:val="12"/>
              <w:spacing w:line="360" w:lineRule="auto"/>
              <w:jc w:val="center"/>
              <w:rPr>
                <w:sz w:val="24"/>
                <w:szCs w:val="24"/>
                <w:vertAlign w:val="baseline"/>
              </w:rPr>
            </w:pPr>
          </w:p>
        </w:tc>
        <w:tc>
          <w:tcPr>
            <w:tcW w:w="720" w:type="pct"/>
            <w:vAlign w:val="center"/>
          </w:tcPr>
          <w:p w14:paraId="1CA26780">
            <w:pPr>
              <w:pStyle w:val="12"/>
              <w:spacing w:line="360" w:lineRule="auto"/>
              <w:jc w:val="center"/>
              <w:rPr>
                <w:sz w:val="24"/>
                <w:szCs w:val="24"/>
                <w:vertAlign w:val="baseline"/>
              </w:rPr>
            </w:pPr>
          </w:p>
        </w:tc>
        <w:tc>
          <w:tcPr>
            <w:tcW w:w="687" w:type="pct"/>
            <w:vAlign w:val="center"/>
          </w:tcPr>
          <w:p w14:paraId="70638B79">
            <w:pPr>
              <w:pStyle w:val="12"/>
              <w:spacing w:line="360" w:lineRule="auto"/>
              <w:jc w:val="center"/>
              <w:rPr>
                <w:sz w:val="24"/>
                <w:szCs w:val="24"/>
                <w:vertAlign w:val="baseline"/>
              </w:rPr>
            </w:pPr>
          </w:p>
        </w:tc>
      </w:tr>
      <w:tr w14:paraId="1809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4FAABD75">
            <w:pPr>
              <w:pStyle w:val="12"/>
              <w:spacing w:line="360" w:lineRule="auto"/>
              <w:jc w:val="center"/>
              <w:rPr>
                <w:sz w:val="24"/>
                <w:szCs w:val="24"/>
                <w:vertAlign w:val="baseline"/>
              </w:rPr>
            </w:pPr>
          </w:p>
        </w:tc>
        <w:tc>
          <w:tcPr>
            <w:tcW w:w="678" w:type="pct"/>
            <w:vAlign w:val="center"/>
          </w:tcPr>
          <w:p w14:paraId="42E88C87">
            <w:pPr>
              <w:pStyle w:val="12"/>
              <w:spacing w:line="360" w:lineRule="auto"/>
              <w:jc w:val="center"/>
              <w:rPr>
                <w:sz w:val="24"/>
                <w:szCs w:val="24"/>
                <w:vertAlign w:val="baseline"/>
              </w:rPr>
            </w:pPr>
          </w:p>
        </w:tc>
        <w:tc>
          <w:tcPr>
            <w:tcW w:w="720" w:type="pct"/>
            <w:vAlign w:val="center"/>
          </w:tcPr>
          <w:p w14:paraId="436E5D20">
            <w:pPr>
              <w:pStyle w:val="12"/>
              <w:spacing w:line="360" w:lineRule="auto"/>
              <w:jc w:val="center"/>
              <w:rPr>
                <w:sz w:val="24"/>
                <w:szCs w:val="24"/>
                <w:vertAlign w:val="baseline"/>
              </w:rPr>
            </w:pPr>
          </w:p>
        </w:tc>
        <w:tc>
          <w:tcPr>
            <w:tcW w:w="885" w:type="pct"/>
            <w:vAlign w:val="center"/>
          </w:tcPr>
          <w:p w14:paraId="0E111B6C">
            <w:pPr>
              <w:pStyle w:val="12"/>
              <w:spacing w:line="360" w:lineRule="auto"/>
              <w:jc w:val="center"/>
              <w:rPr>
                <w:sz w:val="24"/>
                <w:szCs w:val="24"/>
                <w:vertAlign w:val="baseline"/>
              </w:rPr>
            </w:pPr>
          </w:p>
        </w:tc>
        <w:tc>
          <w:tcPr>
            <w:tcW w:w="849" w:type="pct"/>
            <w:vAlign w:val="center"/>
          </w:tcPr>
          <w:p w14:paraId="243A4E04">
            <w:pPr>
              <w:pStyle w:val="12"/>
              <w:spacing w:line="360" w:lineRule="auto"/>
              <w:jc w:val="center"/>
              <w:rPr>
                <w:sz w:val="24"/>
                <w:szCs w:val="24"/>
                <w:vertAlign w:val="baseline"/>
              </w:rPr>
            </w:pPr>
          </w:p>
        </w:tc>
        <w:tc>
          <w:tcPr>
            <w:tcW w:w="720" w:type="pct"/>
            <w:vAlign w:val="center"/>
          </w:tcPr>
          <w:p w14:paraId="229D6290">
            <w:pPr>
              <w:pStyle w:val="12"/>
              <w:spacing w:line="360" w:lineRule="auto"/>
              <w:jc w:val="center"/>
              <w:rPr>
                <w:sz w:val="24"/>
                <w:szCs w:val="24"/>
                <w:vertAlign w:val="baseline"/>
              </w:rPr>
            </w:pPr>
          </w:p>
        </w:tc>
        <w:tc>
          <w:tcPr>
            <w:tcW w:w="687" w:type="pct"/>
            <w:vAlign w:val="center"/>
          </w:tcPr>
          <w:p w14:paraId="0FA4A7C4">
            <w:pPr>
              <w:pStyle w:val="12"/>
              <w:spacing w:line="360" w:lineRule="auto"/>
              <w:jc w:val="center"/>
              <w:rPr>
                <w:sz w:val="24"/>
                <w:szCs w:val="24"/>
                <w:vertAlign w:val="baseline"/>
              </w:rPr>
            </w:pPr>
          </w:p>
        </w:tc>
      </w:tr>
      <w:tr w14:paraId="66E1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5FBFE1B8">
            <w:pPr>
              <w:pStyle w:val="12"/>
              <w:spacing w:line="360" w:lineRule="auto"/>
              <w:jc w:val="center"/>
              <w:rPr>
                <w:sz w:val="24"/>
                <w:szCs w:val="24"/>
                <w:vertAlign w:val="baseline"/>
              </w:rPr>
            </w:pPr>
          </w:p>
        </w:tc>
        <w:tc>
          <w:tcPr>
            <w:tcW w:w="678" w:type="pct"/>
            <w:vAlign w:val="center"/>
          </w:tcPr>
          <w:p w14:paraId="3ABB3336">
            <w:pPr>
              <w:pStyle w:val="12"/>
              <w:spacing w:line="360" w:lineRule="auto"/>
              <w:jc w:val="center"/>
              <w:rPr>
                <w:sz w:val="24"/>
                <w:szCs w:val="24"/>
                <w:vertAlign w:val="baseline"/>
              </w:rPr>
            </w:pPr>
          </w:p>
        </w:tc>
        <w:tc>
          <w:tcPr>
            <w:tcW w:w="720" w:type="pct"/>
            <w:vAlign w:val="center"/>
          </w:tcPr>
          <w:p w14:paraId="3C0B33CF">
            <w:pPr>
              <w:pStyle w:val="12"/>
              <w:spacing w:line="360" w:lineRule="auto"/>
              <w:jc w:val="center"/>
              <w:rPr>
                <w:sz w:val="24"/>
                <w:szCs w:val="24"/>
                <w:vertAlign w:val="baseline"/>
              </w:rPr>
            </w:pPr>
          </w:p>
        </w:tc>
        <w:tc>
          <w:tcPr>
            <w:tcW w:w="885" w:type="pct"/>
            <w:vAlign w:val="center"/>
          </w:tcPr>
          <w:p w14:paraId="057E8E45">
            <w:pPr>
              <w:pStyle w:val="12"/>
              <w:spacing w:line="360" w:lineRule="auto"/>
              <w:jc w:val="center"/>
              <w:rPr>
                <w:sz w:val="24"/>
                <w:szCs w:val="24"/>
                <w:vertAlign w:val="baseline"/>
              </w:rPr>
            </w:pPr>
          </w:p>
        </w:tc>
        <w:tc>
          <w:tcPr>
            <w:tcW w:w="849" w:type="pct"/>
            <w:vAlign w:val="center"/>
          </w:tcPr>
          <w:p w14:paraId="360142C6">
            <w:pPr>
              <w:pStyle w:val="12"/>
              <w:spacing w:line="360" w:lineRule="auto"/>
              <w:jc w:val="center"/>
              <w:rPr>
                <w:sz w:val="24"/>
                <w:szCs w:val="24"/>
                <w:vertAlign w:val="baseline"/>
              </w:rPr>
            </w:pPr>
          </w:p>
        </w:tc>
        <w:tc>
          <w:tcPr>
            <w:tcW w:w="720" w:type="pct"/>
            <w:vAlign w:val="center"/>
          </w:tcPr>
          <w:p w14:paraId="69CAEF28">
            <w:pPr>
              <w:pStyle w:val="12"/>
              <w:spacing w:line="360" w:lineRule="auto"/>
              <w:jc w:val="center"/>
              <w:rPr>
                <w:sz w:val="24"/>
                <w:szCs w:val="24"/>
                <w:vertAlign w:val="baseline"/>
              </w:rPr>
            </w:pPr>
          </w:p>
        </w:tc>
        <w:tc>
          <w:tcPr>
            <w:tcW w:w="687" w:type="pct"/>
            <w:vAlign w:val="center"/>
          </w:tcPr>
          <w:p w14:paraId="5A1AF88B">
            <w:pPr>
              <w:pStyle w:val="12"/>
              <w:spacing w:line="360" w:lineRule="auto"/>
              <w:jc w:val="center"/>
              <w:rPr>
                <w:sz w:val="24"/>
                <w:szCs w:val="24"/>
                <w:vertAlign w:val="baseline"/>
              </w:rPr>
            </w:pPr>
          </w:p>
        </w:tc>
      </w:tr>
      <w:tr w14:paraId="29D4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74EA239D">
            <w:pPr>
              <w:pStyle w:val="12"/>
              <w:spacing w:line="360" w:lineRule="auto"/>
              <w:jc w:val="center"/>
              <w:rPr>
                <w:sz w:val="24"/>
                <w:szCs w:val="24"/>
                <w:vertAlign w:val="baseline"/>
              </w:rPr>
            </w:pPr>
          </w:p>
        </w:tc>
        <w:tc>
          <w:tcPr>
            <w:tcW w:w="678" w:type="pct"/>
            <w:vAlign w:val="center"/>
          </w:tcPr>
          <w:p w14:paraId="2CA60BB2">
            <w:pPr>
              <w:pStyle w:val="12"/>
              <w:spacing w:line="360" w:lineRule="auto"/>
              <w:jc w:val="center"/>
              <w:rPr>
                <w:sz w:val="24"/>
                <w:szCs w:val="24"/>
                <w:vertAlign w:val="baseline"/>
              </w:rPr>
            </w:pPr>
          </w:p>
        </w:tc>
        <w:tc>
          <w:tcPr>
            <w:tcW w:w="720" w:type="pct"/>
            <w:vAlign w:val="center"/>
          </w:tcPr>
          <w:p w14:paraId="2E24786A">
            <w:pPr>
              <w:pStyle w:val="12"/>
              <w:spacing w:line="360" w:lineRule="auto"/>
              <w:jc w:val="center"/>
              <w:rPr>
                <w:sz w:val="24"/>
                <w:szCs w:val="24"/>
                <w:vertAlign w:val="baseline"/>
              </w:rPr>
            </w:pPr>
          </w:p>
        </w:tc>
        <w:tc>
          <w:tcPr>
            <w:tcW w:w="885" w:type="pct"/>
            <w:vAlign w:val="center"/>
          </w:tcPr>
          <w:p w14:paraId="1677FE7E">
            <w:pPr>
              <w:pStyle w:val="12"/>
              <w:spacing w:line="360" w:lineRule="auto"/>
              <w:jc w:val="center"/>
              <w:rPr>
                <w:sz w:val="24"/>
                <w:szCs w:val="24"/>
                <w:vertAlign w:val="baseline"/>
              </w:rPr>
            </w:pPr>
          </w:p>
        </w:tc>
        <w:tc>
          <w:tcPr>
            <w:tcW w:w="849" w:type="pct"/>
            <w:vAlign w:val="center"/>
          </w:tcPr>
          <w:p w14:paraId="31B27ADA">
            <w:pPr>
              <w:pStyle w:val="12"/>
              <w:spacing w:line="360" w:lineRule="auto"/>
              <w:jc w:val="center"/>
              <w:rPr>
                <w:sz w:val="24"/>
                <w:szCs w:val="24"/>
                <w:vertAlign w:val="baseline"/>
              </w:rPr>
            </w:pPr>
          </w:p>
        </w:tc>
        <w:tc>
          <w:tcPr>
            <w:tcW w:w="720" w:type="pct"/>
            <w:vAlign w:val="center"/>
          </w:tcPr>
          <w:p w14:paraId="259707FD">
            <w:pPr>
              <w:pStyle w:val="12"/>
              <w:spacing w:line="360" w:lineRule="auto"/>
              <w:jc w:val="center"/>
              <w:rPr>
                <w:sz w:val="24"/>
                <w:szCs w:val="24"/>
                <w:vertAlign w:val="baseline"/>
              </w:rPr>
            </w:pPr>
          </w:p>
        </w:tc>
        <w:tc>
          <w:tcPr>
            <w:tcW w:w="687" w:type="pct"/>
            <w:vAlign w:val="center"/>
          </w:tcPr>
          <w:p w14:paraId="668225F5">
            <w:pPr>
              <w:pStyle w:val="12"/>
              <w:spacing w:line="360" w:lineRule="auto"/>
              <w:jc w:val="center"/>
              <w:rPr>
                <w:sz w:val="24"/>
                <w:szCs w:val="24"/>
                <w:vertAlign w:val="baseline"/>
              </w:rPr>
            </w:pPr>
          </w:p>
        </w:tc>
      </w:tr>
      <w:tr w14:paraId="33A3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509398BF">
            <w:pPr>
              <w:pStyle w:val="12"/>
              <w:spacing w:line="360" w:lineRule="auto"/>
              <w:jc w:val="center"/>
              <w:rPr>
                <w:sz w:val="24"/>
                <w:szCs w:val="24"/>
                <w:vertAlign w:val="baseline"/>
              </w:rPr>
            </w:pPr>
          </w:p>
        </w:tc>
        <w:tc>
          <w:tcPr>
            <w:tcW w:w="678" w:type="pct"/>
            <w:vAlign w:val="center"/>
          </w:tcPr>
          <w:p w14:paraId="12EC77F2">
            <w:pPr>
              <w:pStyle w:val="12"/>
              <w:spacing w:line="360" w:lineRule="auto"/>
              <w:jc w:val="center"/>
              <w:rPr>
                <w:sz w:val="24"/>
                <w:szCs w:val="24"/>
                <w:vertAlign w:val="baseline"/>
              </w:rPr>
            </w:pPr>
          </w:p>
        </w:tc>
        <w:tc>
          <w:tcPr>
            <w:tcW w:w="720" w:type="pct"/>
            <w:vAlign w:val="center"/>
          </w:tcPr>
          <w:p w14:paraId="3C2F0929">
            <w:pPr>
              <w:pStyle w:val="12"/>
              <w:spacing w:line="360" w:lineRule="auto"/>
              <w:jc w:val="center"/>
              <w:rPr>
                <w:sz w:val="24"/>
                <w:szCs w:val="24"/>
                <w:vertAlign w:val="baseline"/>
              </w:rPr>
            </w:pPr>
          </w:p>
        </w:tc>
        <w:tc>
          <w:tcPr>
            <w:tcW w:w="885" w:type="pct"/>
            <w:vAlign w:val="center"/>
          </w:tcPr>
          <w:p w14:paraId="4B8BD00D">
            <w:pPr>
              <w:pStyle w:val="12"/>
              <w:spacing w:line="360" w:lineRule="auto"/>
              <w:jc w:val="center"/>
              <w:rPr>
                <w:sz w:val="24"/>
                <w:szCs w:val="24"/>
                <w:vertAlign w:val="baseline"/>
              </w:rPr>
            </w:pPr>
          </w:p>
        </w:tc>
        <w:tc>
          <w:tcPr>
            <w:tcW w:w="849" w:type="pct"/>
            <w:vAlign w:val="center"/>
          </w:tcPr>
          <w:p w14:paraId="7B3A722B">
            <w:pPr>
              <w:pStyle w:val="12"/>
              <w:spacing w:line="360" w:lineRule="auto"/>
              <w:jc w:val="center"/>
              <w:rPr>
                <w:sz w:val="24"/>
                <w:szCs w:val="24"/>
                <w:vertAlign w:val="baseline"/>
              </w:rPr>
            </w:pPr>
          </w:p>
        </w:tc>
        <w:tc>
          <w:tcPr>
            <w:tcW w:w="720" w:type="pct"/>
            <w:vAlign w:val="center"/>
          </w:tcPr>
          <w:p w14:paraId="2775D874">
            <w:pPr>
              <w:pStyle w:val="12"/>
              <w:spacing w:line="360" w:lineRule="auto"/>
              <w:jc w:val="center"/>
              <w:rPr>
                <w:sz w:val="24"/>
                <w:szCs w:val="24"/>
                <w:vertAlign w:val="baseline"/>
              </w:rPr>
            </w:pPr>
          </w:p>
        </w:tc>
        <w:tc>
          <w:tcPr>
            <w:tcW w:w="687" w:type="pct"/>
            <w:vAlign w:val="center"/>
          </w:tcPr>
          <w:p w14:paraId="6CF4435B">
            <w:pPr>
              <w:pStyle w:val="12"/>
              <w:spacing w:line="360" w:lineRule="auto"/>
              <w:jc w:val="center"/>
              <w:rPr>
                <w:sz w:val="24"/>
                <w:szCs w:val="24"/>
                <w:vertAlign w:val="baseline"/>
              </w:rPr>
            </w:pPr>
          </w:p>
        </w:tc>
      </w:tr>
      <w:tr w14:paraId="101C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3484D6C1">
            <w:pPr>
              <w:pStyle w:val="12"/>
              <w:spacing w:line="360" w:lineRule="auto"/>
              <w:jc w:val="center"/>
              <w:rPr>
                <w:sz w:val="24"/>
                <w:szCs w:val="24"/>
                <w:vertAlign w:val="baseline"/>
              </w:rPr>
            </w:pPr>
          </w:p>
        </w:tc>
        <w:tc>
          <w:tcPr>
            <w:tcW w:w="678" w:type="pct"/>
            <w:vAlign w:val="center"/>
          </w:tcPr>
          <w:p w14:paraId="116634D4">
            <w:pPr>
              <w:pStyle w:val="12"/>
              <w:spacing w:line="360" w:lineRule="auto"/>
              <w:jc w:val="center"/>
              <w:rPr>
                <w:sz w:val="24"/>
                <w:szCs w:val="24"/>
                <w:vertAlign w:val="baseline"/>
              </w:rPr>
            </w:pPr>
          </w:p>
        </w:tc>
        <w:tc>
          <w:tcPr>
            <w:tcW w:w="720" w:type="pct"/>
            <w:vAlign w:val="center"/>
          </w:tcPr>
          <w:p w14:paraId="4C1FBF31">
            <w:pPr>
              <w:pStyle w:val="12"/>
              <w:spacing w:line="360" w:lineRule="auto"/>
              <w:jc w:val="center"/>
              <w:rPr>
                <w:sz w:val="24"/>
                <w:szCs w:val="24"/>
                <w:vertAlign w:val="baseline"/>
              </w:rPr>
            </w:pPr>
          </w:p>
        </w:tc>
        <w:tc>
          <w:tcPr>
            <w:tcW w:w="885" w:type="pct"/>
            <w:vAlign w:val="center"/>
          </w:tcPr>
          <w:p w14:paraId="39EE31DD">
            <w:pPr>
              <w:pStyle w:val="12"/>
              <w:spacing w:line="360" w:lineRule="auto"/>
              <w:jc w:val="center"/>
              <w:rPr>
                <w:sz w:val="24"/>
                <w:szCs w:val="24"/>
                <w:vertAlign w:val="baseline"/>
              </w:rPr>
            </w:pPr>
          </w:p>
        </w:tc>
        <w:tc>
          <w:tcPr>
            <w:tcW w:w="849" w:type="pct"/>
            <w:vAlign w:val="center"/>
          </w:tcPr>
          <w:p w14:paraId="7D824DAF">
            <w:pPr>
              <w:pStyle w:val="12"/>
              <w:spacing w:line="360" w:lineRule="auto"/>
              <w:jc w:val="center"/>
              <w:rPr>
                <w:sz w:val="24"/>
                <w:szCs w:val="24"/>
                <w:vertAlign w:val="baseline"/>
              </w:rPr>
            </w:pPr>
          </w:p>
        </w:tc>
        <w:tc>
          <w:tcPr>
            <w:tcW w:w="720" w:type="pct"/>
            <w:vAlign w:val="center"/>
          </w:tcPr>
          <w:p w14:paraId="24957795">
            <w:pPr>
              <w:pStyle w:val="12"/>
              <w:spacing w:line="360" w:lineRule="auto"/>
              <w:jc w:val="center"/>
              <w:rPr>
                <w:sz w:val="24"/>
                <w:szCs w:val="24"/>
                <w:vertAlign w:val="baseline"/>
              </w:rPr>
            </w:pPr>
          </w:p>
        </w:tc>
        <w:tc>
          <w:tcPr>
            <w:tcW w:w="687" w:type="pct"/>
            <w:vAlign w:val="center"/>
          </w:tcPr>
          <w:p w14:paraId="66B8F1D3">
            <w:pPr>
              <w:pStyle w:val="12"/>
              <w:spacing w:line="360" w:lineRule="auto"/>
              <w:jc w:val="center"/>
              <w:rPr>
                <w:sz w:val="24"/>
                <w:szCs w:val="24"/>
                <w:vertAlign w:val="baseline"/>
              </w:rPr>
            </w:pPr>
          </w:p>
        </w:tc>
      </w:tr>
    </w:tbl>
    <w:p w14:paraId="105B31DC">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072F6E43">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备注：人员应附资格证或职称职称证、学历证、身份证等复印件。</w:t>
      </w:r>
    </w:p>
    <w:p w14:paraId="2065BA3D">
      <w:pPr>
        <w:pStyle w:val="12"/>
      </w:pPr>
    </w:p>
    <w:p w14:paraId="46E6044E">
      <w:pPr>
        <w:rPr>
          <w:rFonts w:hint="eastAsia" w:ascii="宋体" w:hAnsi="宋体" w:eastAsia="宋体" w:cs="宋体"/>
          <w:b/>
          <w:bCs/>
          <w:color w:val="auto"/>
          <w:kern w:val="2"/>
          <w:sz w:val="24"/>
          <w:szCs w:val="24"/>
          <w:highlight w:val="none"/>
          <w:lang w:val="en-US" w:eastAsia="zh-CN" w:bidi="ar-SA"/>
        </w:rPr>
      </w:pPr>
    </w:p>
    <w:p w14:paraId="241D99A8">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681DC532">
      <w:pPr>
        <w:pStyle w:val="2"/>
        <w:spacing w:line="360" w:lineRule="auto"/>
        <w:ind w:left="0" w:leftChars="0" w:firstLine="0" w:firstLineChars="0"/>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zh-CN" w:eastAsia="zh-CN" w:bidi="ar-SA"/>
        </w:rPr>
        <w:t>提供20</w:t>
      </w:r>
      <w:r>
        <w:rPr>
          <w:rFonts w:hint="eastAsia" w:ascii="宋体" w:hAnsi="宋体" w:eastAsia="宋体" w:cs="宋体"/>
          <w:b/>
          <w:bCs/>
          <w:color w:val="auto"/>
          <w:kern w:val="2"/>
          <w:sz w:val="24"/>
          <w:szCs w:val="24"/>
          <w:highlight w:val="none"/>
          <w:lang w:val="en-US" w:eastAsia="zh-CN" w:bidi="ar-SA"/>
        </w:rPr>
        <w:t>22</w:t>
      </w:r>
      <w:r>
        <w:rPr>
          <w:rFonts w:hint="eastAsia" w:ascii="宋体" w:hAnsi="宋体" w:eastAsia="宋体" w:cs="宋体"/>
          <w:b/>
          <w:bCs/>
          <w:color w:val="auto"/>
          <w:kern w:val="2"/>
          <w:sz w:val="24"/>
          <w:szCs w:val="24"/>
          <w:highlight w:val="none"/>
          <w:lang w:val="zh-CN" w:eastAsia="zh-CN" w:bidi="ar-SA"/>
        </w:rPr>
        <w:t>年</w:t>
      </w:r>
      <w:r>
        <w:rPr>
          <w:rFonts w:hint="eastAsia" w:ascii="宋体" w:hAnsi="宋体" w:eastAsia="宋体" w:cs="宋体"/>
          <w:b/>
          <w:bCs/>
          <w:color w:val="auto"/>
          <w:kern w:val="2"/>
          <w:sz w:val="24"/>
          <w:szCs w:val="24"/>
          <w:highlight w:val="none"/>
          <w:lang w:val="en-US" w:eastAsia="zh-CN" w:bidi="ar-SA"/>
        </w:rPr>
        <w:t>01月</w:t>
      </w:r>
      <w:r>
        <w:rPr>
          <w:rFonts w:hint="eastAsia" w:ascii="宋体" w:hAnsi="宋体" w:eastAsia="宋体" w:cs="宋体"/>
          <w:b/>
          <w:bCs/>
          <w:color w:val="auto"/>
          <w:kern w:val="2"/>
          <w:sz w:val="24"/>
          <w:szCs w:val="24"/>
          <w:highlight w:val="none"/>
          <w:lang w:val="zh-CN" w:eastAsia="zh-CN" w:bidi="ar-SA"/>
        </w:rPr>
        <w:t>至今</w:t>
      </w:r>
      <w:r>
        <w:rPr>
          <w:rFonts w:hint="eastAsia" w:ascii="宋体" w:hAnsi="宋体" w:eastAsia="宋体" w:cs="宋体"/>
          <w:b/>
          <w:bCs/>
          <w:color w:val="auto"/>
          <w:kern w:val="2"/>
          <w:sz w:val="24"/>
          <w:szCs w:val="24"/>
          <w:highlight w:val="none"/>
          <w:lang w:val="en-US" w:eastAsia="zh-CN" w:bidi="ar-SA"/>
        </w:rPr>
        <w:t>完成的类似业绩证明材料</w:t>
      </w:r>
    </w:p>
    <w:p w14:paraId="299B570E">
      <w:pPr>
        <w:pStyle w:val="23"/>
        <w:spacing w:line="360" w:lineRule="auto"/>
        <w:rPr>
          <w:rFonts w:hint="eastAsia" w:ascii="宋体" w:hAnsi="宋体" w:eastAsia="宋体" w:cs="宋体"/>
          <w:b/>
          <w:color w:val="auto"/>
          <w:sz w:val="44"/>
          <w:szCs w:val="44"/>
          <w:highlight w:val="none"/>
        </w:rPr>
      </w:pPr>
    </w:p>
    <w:p w14:paraId="707E4EDB">
      <w:pPr>
        <w:pStyle w:val="2"/>
        <w:spacing w:line="360" w:lineRule="auto"/>
        <w:rPr>
          <w:rFonts w:hint="eastAsia" w:ascii="宋体" w:hAnsi="宋体" w:eastAsia="宋体" w:cs="宋体"/>
          <w:b/>
          <w:color w:val="auto"/>
          <w:sz w:val="44"/>
          <w:szCs w:val="44"/>
          <w:highlight w:val="none"/>
        </w:rPr>
      </w:pPr>
    </w:p>
    <w:p w14:paraId="3CAA26DA">
      <w:pPr>
        <w:pStyle w:val="23"/>
        <w:spacing w:line="360" w:lineRule="auto"/>
        <w:rPr>
          <w:rFonts w:hint="eastAsia" w:ascii="宋体" w:hAnsi="宋体" w:eastAsia="宋体" w:cs="宋体"/>
          <w:b/>
          <w:color w:val="auto"/>
          <w:sz w:val="44"/>
          <w:szCs w:val="44"/>
          <w:highlight w:val="none"/>
        </w:rPr>
      </w:pPr>
    </w:p>
    <w:p w14:paraId="2FA64A04">
      <w:pPr>
        <w:pStyle w:val="2"/>
        <w:spacing w:line="360" w:lineRule="auto"/>
        <w:rPr>
          <w:rFonts w:hint="eastAsia" w:ascii="宋体" w:hAnsi="宋体" w:eastAsia="宋体" w:cs="宋体"/>
          <w:color w:val="auto"/>
          <w:highlight w:val="none"/>
        </w:rPr>
      </w:pPr>
    </w:p>
    <w:p w14:paraId="6279384B">
      <w:pPr>
        <w:pStyle w:val="12"/>
        <w:spacing w:line="360" w:lineRule="auto"/>
        <w:rPr>
          <w:rFonts w:hint="eastAsia" w:ascii="宋体" w:hAnsi="宋体" w:eastAsia="宋体" w:cs="宋体"/>
          <w:b/>
          <w:color w:val="auto"/>
          <w:sz w:val="44"/>
          <w:szCs w:val="44"/>
          <w:highlight w:val="none"/>
        </w:rPr>
      </w:pPr>
    </w:p>
    <w:p w14:paraId="706524C6">
      <w:pPr>
        <w:spacing w:line="360" w:lineRule="auto"/>
        <w:rPr>
          <w:rFonts w:hint="eastAsia" w:ascii="宋体" w:hAnsi="宋体" w:eastAsia="宋体" w:cs="宋体"/>
          <w:b/>
          <w:color w:val="auto"/>
          <w:sz w:val="44"/>
          <w:szCs w:val="44"/>
          <w:highlight w:val="none"/>
        </w:rPr>
      </w:pPr>
    </w:p>
    <w:p w14:paraId="034C6483">
      <w:pPr>
        <w:pStyle w:val="12"/>
        <w:spacing w:line="360" w:lineRule="auto"/>
        <w:rPr>
          <w:rFonts w:hint="eastAsia" w:ascii="宋体" w:hAnsi="宋体" w:eastAsia="宋体" w:cs="宋体"/>
          <w:color w:val="auto"/>
          <w:highlight w:val="none"/>
        </w:rPr>
      </w:pPr>
    </w:p>
    <w:p w14:paraId="5BE5EBF9">
      <w:pPr>
        <w:pStyle w:val="12"/>
        <w:spacing w:line="360" w:lineRule="auto"/>
        <w:rPr>
          <w:rFonts w:hint="eastAsia" w:ascii="宋体" w:hAnsi="宋体" w:eastAsia="宋体" w:cs="宋体"/>
          <w:b/>
          <w:color w:val="auto"/>
          <w:sz w:val="44"/>
          <w:szCs w:val="44"/>
          <w:highlight w:val="none"/>
        </w:rPr>
      </w:pPr>
    </w:p>
    <w:p w14:paraId="1360BB5B">
      <w:pPr>
        <w:spacing w:line="360" w:lineRule="auto"/>
        <w:jc w:val="center"/>
        <w:rPr>
          <w:rFonts w:hint="eastAsia" w:ascii="宋体" w:hAnsi="宋体" w:eastAsia="宋体" w:cs="宋体"/>
          <w:b/>
          <w:color w:val="auto"/>
          <w:sz w:val="44"/>
          <w:szCs w:val="44"/>
          <w:highlight w:val="none"/>
        </w:rPr>
      </w:pPr>
    </w:p>
    <w:p w14:paraId="07EC7A8B">
      <w:pPr>
        <w:spacing w:line="360" w:lineRule="auto"/>
        <w:jc w:val="center"/>
        <w:rPr>
          <w:rFonts w:hint="eastAsia" w:ascii="宋体" w:hAnsi="宋体" w:eastAsia="宋体" w:cs="宋体"/>
          <w:b/>
          <w:color w:val="auto"/>
          <w:sz w:val="44"/>
          <w:szCs w:val="44"/>
          <w:highlight w:val="none"/>
        </w:rPr>
      </w:pPr>
    </w:p>
    <w:p w14:paraId="494B8BF2">
      <w:pPr>
        <w:spacing w:line="360" w:lineRule="auto"/>
        <w:jc w:val="center"/>
        <w:rPr>
          <w:rFonts w:hint="eastAsia" w:ascii="宋体" w:hAnsi="宋体" w:eastAsia="宋体" w:cs="宋体"/>
          <w:b/>
          <w:color w:val="auto"/>
          <w:sz w:val="44"/>
          <w:szCs w:val="44"/>
          <w:highlight w:val="none"/>
        </w:rPr>
      </w:pPr>
    </w:p>
    <w:p w14:paraId="1AED4F4D">
      <w:pPr>
        <w:spacing w:line="360" w:lineRule="auto"/>
        <w:jc w:val="center"/>
        <w:rPr>
          <w:rFonts w:hint="eastAsia" w:ascii="宋体" w:hAnsi="宋体" w:eastAsia="宋体" w:cs="宋体"/>
          <w:b/>
          <w:color w:val="auto"/>
          <w:sz w:val="44"/>
          <w:szCs w:val="44"/>
          <w:highlight w:val="none"/>
        </w:rPr>
      </w:pPr>
    </w:p>
    <w:p w14:paraId="130D5A1E">
      <w:pPr>
        <w:spacing w:line="360" w:lineRule="auto"/>
        <w:jc w:val="center"/>
        <w:rPr>
          <w:rFonts w:hint="eastAsia" w:ascii="宋体" w:hAnsi="宋体" w:eastAsia="宋体" w:cs="宋体"/>
          <w:b/>
          <w:color w:val="auto"/>
          <w:sz w:val="44"/>
          <w:szCs w:val="44"/>
          <w:highlight w:val="none"/>
        </w:rPr>
      </w:pPr>
    </w:p>
    <w:p w14:paraId="1D3A3783">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本页以下无内容</w:t>
      </w:r>
    </w:p>
    <w:sectPr>
      <w:headerReference r:id="rId26" w:type="default"/>
      <w:footerReference r:id="rId27" w:type="default"/>
      <w:pgSz w:w="11850" w:h="16783"/>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647A">
    <w:pPr>
      <w:spacing w:line="280" w:lineRule="exact"/>
      <w:jc w:val="center"/>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B026">
    <w:pPr>
      <w:pStyle w:val="16"/>
      <w:rPr>
        <w:rFonts w:hint="eastAsia" w:ascii="楷体" w:hAnsi="楷体" w:eastAsia="楷体" w:cs="楷体"/>
        <w:b/>
      </w:rPr>
    </w:pPr>
    <w:r>
      <w:rPr>
        <w:sz w:val="18"/>
      </w:rPr>
      <w:pict>
        <v:shape id="文本框 15" o:spid="_x0000_s308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v:imagedata o:title=""/>
          <o:lock v:ext="edit" aspectratio="f"/>
          <v:textbox inset="0mm,0mm,0mm,0mm" style="mso-fit-shape-to-text:t;">
            <w:txbxContent>
              <w:p w14:paraId="44869581">
                <w:pPr>
                  <w:pStyle w:val="16"/>
                </w:pPr>
                <w:r>
                  <w:fldChar w:fldCharType="begin"/>
                </w:r>
                <w:r>
                  <w:instrText xml:space="preserve"> PAGE  \* MERGEFORMAT </w:instrText>
                </w:r>
                <w:r>
                  <w:fldChar w:fldCharType="separate"/>
                </w:r>
                <w:r>
                  <w:t>62</w:t>
                </w:r>
                <w:r>
                  <w:fldChar w:fldCharType="end"/>
                </w:r>
              </w:p>
            </w:txbxContent>
          </v:textbox>
        </v:shape>
      </w:pict>
    </w:r>
  </w:p>
  <w:p w14:paraId="7D9C98EC">
    <w:pPr>
      <w:pStyle w:val="16"/>
      <w:tabs>
        <w:tab w:val="left" w:pos="8415"/>
        <w:tab w:val="clear" w:pos="4153"/>
      </w:tabs>
      <w:rPr>
        <w:rFonts w:hint="eastAsia" w:ascii="楷体" w:hAnsi="楷体" w:eastAsia="楷体" w:cs="楷体"/>
        <w:b/>
        <w:sz w:val="18"/>
        <w:szCs w:val="18"/>
        <w:u w:val="single"/>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1196C">
    <w:pPr>
      <w:pStyle w:val="16"/>
      <w:rPr>
        <w:rFonts w:hint="eastAsia" w:ascii="宋体" w:hAnsi="宋体"/>
        <w:b/>
      </w:rPr>
    </w:pPr>
    <w:r>
      <w:rPr>
        <w:sz w:val="18"/>
      </w:rPr>
      <w:pict>
        <v:shape id="文本框 19"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v:imagedata o:title=""/>
          <o:lock v:ext="edit" aspectratio="f"/>
          <v:textbox inset="0mm,0mm,0mm,0mm" style="mso-fit-shape-to-text:t;">
            <w:txbxContent>
              <w:p w14:paraId="0807DF1E">
                <w:pPr>
                  <w:pStyle w:val="16"/>
                </w:pPr>
                <w:r>
                  <w:fldChar w:fldCharType="begin"/>
                </w:r>
                <w:r>
                  <w:instrText xml:space="preserve"> PAGE  \* MERGEFORMAT </w:instrText>
                </w:r>
                <w:r>
                  <w:fldChar w:fldCharType="separate"/>
                </w:r>
                <w:r>
                  <w:t>48</w:t>
                </w:r>
                <w:r>
                  <w:fldChar w:fldCharType="end"/>
                </w:r>
              </w:p>
            </w:txbxContent>
          </v:textbox>
        </v:shape>
      </w:pict>
    </w:r>
  </w:p>
  <w:p w14:paraId="0199D77A">
    <w:pPr>
      <w:spacing w:line="280" w:lineRule="exact"/>
      <w:jc w:val="left"/>
      <w:rPr>
        <w:rFonts w:hint="eastAsia" w:ascii="楷体" w:hAnsi="楷体" w:eastAsia="楷体" w:cs="楷体"/>
        <w:b/>
        <w:sz w:val="18"/>
        <w:szCs w:val="18"/>
        <w:u w:val="single"/>
        <w:lang w:val="en-US"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6AD08">
    <w:pPr>
      <w:pStyle w:val="16"/>
      <w:rPr>
        <w:rFonts w:hint="eastAsia" w:ascii="楷体" w:hAnsi="楷体" w:eastAsia="楷体" w:cs="楷体"/>
        <w:b/>
      </w:rPr>
    </w:pPr>
    <w:r>
      <w:rPr>
        <w:sz w:val="18"/>
      </w:rPr>
      <w:pict>
        <v:shape id="文本框 20" o:spid="_x0000_s308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v:imagedata o:title=""/>
          <o:lock v:ext="edit" aspectratio="f"/>
          <v:textbox inset="0mm,0mm,0mm,0mm" style="mso-fit-shape-to-text:t;">
            <w:txbxContent>
              <w:p w14:paraId="64B8893B">
                <w:pPr>
                  <w:pStyle w:val="16"/>
                </w:pPr>
                <w:r>
                  <w:fldChar w:fldCharType="begin"/>
                </w:r>
                <w:r>
                  <w:instrText xml:space="preserve"> PAGE  \* MERGEFORMAT </w:instrText>
                </w:r>
                <w:r>
                  <w:fldChar w:fldCharType="separate"/>
                </w:r>
                <w:r>
                  <w:t>46</w:t>
                </w:r>
                <w:r>
                  <w:fldChar w:fldCharType="end"/>
                </w:r>
              </w:p>
            </w:txbxContent>
          </v:textbox>
        </v:shape>
      </w:pict>
    </w:r>
  </w:p>
  <w:p w14:paraId="09750D57">
    <w:pPr>
      <w:pStyle w:val="16"/>
      <w:tabs>
        <w:tab w:val="left" w:pos="8415"/>
        <w:tab w:val="clear" w:pos="4153"/>
      </w:tabs>
      <w:rPr>
        <w:rFonts w:hint="eastAsia" w:ascii="楷体" w:hAnsi="楷体" w:eastAsia="楷体" w:cs="楷体"/>
        <w:b/>
        <w:sz w:val="18"/>
        <w:szCs w:val="18"/>
        <w:u w:val="single"/>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A37B">
    <w:pPr>
      <w:pStyle w:val="16"/>
      <w:ind w:right="360"/>
    </w:pPr>
    <w:r>
      <w:pict>
        <v:shape id="文本框 5"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qJ8EtABAACkAwAADgAAAAAAAAABACAAAAAeAQAAZHJz&#10;L2Uyb0RvYy54bWxQSwUGAAAAAAYABgBZAQAAYAUAAAAA&#10;">
          <v:path/>
          <v:fill on="f" focussize="0,0"/>
          <v:stroke on="f" joinstyle="miter"/>
          <v:imagedata o:title=""/>
          <o:lock v:ext="edit"/>
          <v:textbox inset="0mm,0mm,0mm,0mm" style="mso-fit-shape-to-text:t;">
            <w:txbxContent>
              <w:p w14:paraId="665C9389">
                <w:pPr>
                  <w:pStyle w:val="16"/>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E761">
    <w:pPr>
      <w:spacing w:line="280" w:lineRule="exact"/>
      <w:jc w:val="center"/>
      <w:rPr>
        <w:rFonts w:ascii="宋体" w:hAnsi="宋体"/>
        <w:b/>
        <w:sz w:val="18"/>
        <w:szCs w:val="18"/>
      </w:rPr>
    </w:pPr>
    <w:r>
      <w:rPr>
        <w:sz w:val="18"/>
      </w:rPr>
      <w:pict>
        <v:shape id="_x0000_s3083" o:spid="_x0000_s308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path/>
          <v:fill on="f" focussize="0,0"/>
          <v:stroke on="f" joinstyle="miter"/>
          <v:imagedata o:title=""/>
          <o:lock v:ext="edit"/>
          <v:textbox inset="0mm,0mm,0mm,0mm" style="mso-fit-shape-to-text:t;">
            <w:txbxContent>
              <w:p w14:paraId="00BB5FB0">
                <w:pPr>
                  <w:pStyle w:val="16"/>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CAC2">
    <w:pPr>
      <w:pStyle w:val="16"/>
    </w:pPr>
    <w:r>
      <w:pict>
        <v:shape id="_x0000_s3084" o:spid="_x0000_s308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71AE8DB">
                <w:pPr>
                  <w:pStyle w:val="16"/>
                </w:pPr>
                <w:r>
                  <w:fldChar w:fldCharType="begin"/>
                </w:r>
                <w:r>
                  <w:instrText xml:space="preserve"> PAGE  \* MERGEFORMAT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9ABD">
    <w:pPr>
      <w:pStyle w:val="16"/>
      <w:tabs>
        <w:tab w:val="center" w:pos="4588"/>
        <w:tab w:val="clear" w:pos="4153"/>
        <w:tab w:val="clear" w:pos="8306"/>
      </w:tabs>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41C92C1C">
                <w:pPr>
                  <w:pStyle w:val="1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A2D8">
    <w:pPr>
      <w:pStyle w:val="16"/>
      <w:rPr>
        <w:rFonts w:ascii="宋体" w:hAnsi="宋体" w:cs="宋体"/>
        <w:b/>
        <w:u w:val="single"/>
      </w:rPr>
    </w:pPr>
    <w:r>
      <w:pict>
        <v:shape id="_x0000_s3090" o:spid="_x0000_s3090"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joinstyle="miter"/>
          <v:imagedata o:title=""/>
          <o:lock v:ext="edit"/>
          <v:textbox inset="0mm,0mm,0mm,0mm" style="mso-fit-shape-to-text:t;">
            <w:txbxContent>
              <w:p w14:paraId="1A353FF8">
                <w:pPr>
                  <w:pStyle w:val="16"/>
                </w:pPr>
                <w:r>
                  <w:fldChar w:fldCharType="begin"/>
                </w:r>
                <w:r>
                  <w:instrText xml:space="preserve"> PAGE  \* MERGEFORMAT </w:instrText>
                </w:r>
                <w:r>
                  <w:fldChar w:fldCharType="separate"/>
                </w:r>
                <w:r>
                  <w:t>66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E095">
    <w:pPr>
      <w:pStyle w:val="16"/>
      <w:jc w:val="center"/>
      <w:rPr>
        <w:rFonts w:ascii="宋体" w:hAnsi="宋体" w:cs="宋体"/>
        <w:b/>
      </w:rPr>
    </w:pPr>
    <w:r>
      <w:pict>
        <v:shape id="_x0000_s3089" o:spid="_x0000_s3089"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path/>
          <v:fill on="f" focussize="0,0"/>
          <v:stroke on="f" weight="0.5pt" joinstyle="miter"/>
          <v:imagedata o:title=""/>
          <o:lock v:ext="edit"/>
          <v:textbox inset="0mm,0mm,0mm,0mm" style="mso-fit-shape-to-text:t;">
            <w:txbxContent>
              <w:p w14:paraId="618695AE">
                <w:pPr>
                  <w:pStyle w:val="16"/>
                </w:pPr>
                <w:r>
                  <w:fldChar w:fldCharType="begin"/>
                </w:r>
                <w:r>
                  <w:instrText xml:space="preserve"> PAGE  \* MERGEFORMAT </w:instrText>
                </w:r>
                <w:r>
                  <w:fldChar w:fldCharType="separate"/>
                </w:r>
                <w:r>
                  <w:t>62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7773">
    <w:pPr>
      <w:pStyle w:val="16"/>
      <w:rPr>
        <w:rFonts w:ascii="宋体" w:hAnsi="宋体" w:cs="宋体"/>
        <w:b/>
        <w:u w:val="single"/>
      </w:rPr>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joinstyle="miter"/>
          <v:imagedata o:title=""/>
          <o:lock v:ext="edit"/>
          <v:textbox inset="0mm,0mm,0mm,0mm" style="mso-fit-shape-to-text:t;">
            <w:txbxContent>
              <w:p w14:paraId="5FDFF1A9">
                <w:pPr>
                  <w:pStyle w:val="16"/>
                </w:pPr>
                <w:r>
                  <w:fldChar w:fldCharType="begin"/>
                </w:r>
                <w:r>
                  <w:instrText xml:space="preserve"> PAGE  \* MERGEFORMAT </w:instrText>
                </w:r>
                <w:r>
                  <w:fldChar w:fldCharType="separate"/>
                </w:r>
                <w:r>
                  <w:t>66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CCAD">
    <w:pPr>
      <w:pStyle w:val="16"/>
      <w:jc w:val="center"/>
      <w:rPr>
        <w:rFonts w:ascii="宋体" w:hAnsi="宋体" w:cs="宋体"/>
        <w:b/>
      </w:rPr>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path/>
          <v:fill on="f" focussize="0,0"/>
          <v:stroke on="f" weight="0.5pt" joinstyle="miter"/>
          <v:imagedata o:title=""/>
          <o:lock v:ext="edit"/>
          <v:textbox inset="0mm,0mm,0mm,0mm" style="mso-fit-shape-to-text:t;">
            <w:txbxContent>
              <w:p w14:paraId="62D8A367">
                <w:pPr>
                  <w:pStyle w:val="16"/>
                </w:pPr>
                <w:r>
                  <w:fldChar w:fldCharType="begin"/>
                </w:r>
                <w:r>
                  <w:instrText xml:space="preserve"> PAGE  \* MERGEFORMAT </w:instrText>
                </w:r>
                <w:r>
                  <w:fldChar w:fldCharType="separate"/>
                </w:r>
                <w:r>
                  <w:t>62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89F8">
    <w:pPr>
      <w:pStyle w:val="16"/>
      <w:rPr>
        <w:rFonts w:hint="eastAsia" w:ascii="宋体" w:hAnsi="宋体"/>
        <w:b/>
      </w:rPr>
    </w:pPr>
    <w:r>
      <w:rPr>
        <w:sz w:val="18"/>
      </w:rPr>
      <w:pict>
        <v:shape id="文本框 13" o:spid="_x0000_s307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v:imagedata o:title=""/>
          <o:lock v:ext="edit" aspectratio="f"/>
          <v:textbox inset="0mm,0mm,0mm,0mm" style="mso-fit-shape-to-text:t;">
            <w:txbxContent>
              <w:p w14:paraId="741A439D">
                <w:pPr>
                  <w:pStyle w:val="16"/>
                </w:pPr>
                <w:r>
                  <w:fldChar w:fldCharType="begin"/>
                </w:r>
                <w:r>
                  <w:instrText xml:space="preserve"> PAGE  \* MERGEFORMAT </w:instrText>
                </w:r>
                <w:r>
                  <w:fldChar w:fldCharType="separate"/>
                </w:r>
                <w:r>
                  <w:t>63</w:t>
                </w:r>
                <w:r>
                  <w:fldChar w:fldCharType="end"/>
                </w:r>
              </w:p>
            </w:txbxContent>
          </v:textbox>
        </v:shape>
      </w:pict>
    </w:r>
  </w:p>
  <w:p w14:paraId="3B1FB5DF">
    <w:pPr>
      <w:spacing w:line="280" w:lineRule="exact"/>
      <w:jc w:val="left"/>
      <w:rPr>
        <w:rFonts w:hint="eastAsia" w:ascii="楷体" w:hAnsi="楷体" w:eastAsia="楷体" w:cs="楷体"/>
        <w:b/>
        <w:sz w:val="18"/>
        <w:szCs w:val="18"/>
        <w:u w:val="single"/>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4EA7">
    <w:pPr>
      <w:spacing w:line="480" w:lineRule="exact"/>
      <w:rPr>
        <w:rFonts w:hint="eastAsia" w:ascii="宋体" w:hAnsi="宋体" w:cs="宋体"/>
        <w:bCs/>
        <w:sz w:val="16"/>
        <w:szCs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7CBC">
    <w:pPr>
      <w:spacing w:line="480" w:lineRule="exact"/>
      <w:jc w:val="left"/>
      <w:rPr>
        <w:rFonts w:hint="eastAsia"/>
        <w:u w:val="non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E045">
    <w:pPr>
      <w:spacing w:line="480" w:lineRule="exact"/>
      <w:rPr>
        <w:rFonts w:hint="eastAsia" w:ascii="宋体" w:hAnsi="宋体" w:eastAsia="宋体" w:cs="宋体"/>
        <w:b/>
        <w:sz w:val="18"/>
        <w:szCs w:val="18"/>
        <w:u w:val="single"/>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1479">
    <w:pPr>
      <w:spacing w:line="480" w:lineRule="exact"/>
      <w:rPr>
        <w:rFonts w:ascii="黑体" w:hAnsi="黑体" w:eastAsia="黑体"/>
        <w:bCs/>
        <w:color w:val="000000"/>
        <w:sz w:val="20"/>
        <w:szCs w:val="3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A35D">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AEDE">
    <w:pPr>
      <w:autoSpaceDE w:val="0"/>
      <w:autoSpaceDN w:val="0"/>
      <w:adjustRightInd w:val="0"/>
      <w:snapToGrid w:val="0"/>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3EAC">
    <w:pPr>
      <w:spacing w:line="48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1882">
    <w:pPr>
      <w:spacing w:line="480" w:lineRule="exact"/>
      <w:rPr>
        <w:rFonts w:hint="eastAsia" w:ascii="宋体" w:hAnsi="宋体" w:eastAsia="宋体" w:cs="宋体"/>
        <w:b/>
        <w:sz w:val="18"/>
        <w:szCs w:val="18"/>
        <w:u w:val="single"/>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2468">
    <w:pPr>
      <w:spacing w:line="48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BE1D">
    <w:pPr>
      <w:spacing w:line="480" w:lineRule="exact"/>
      <w:rPr>
        <w:rFonts w:hint="eastAsia" w:ascii="宋体" w:hAnsi="宋体" w:eastAsia="宋体" w:cs="宋体"/>
        <w:b/>
        <w:sz w:val="18"/>
        <w:szCs w:val="18"/>
        <w:u w:val="single"/>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5C4B">
    <w:pPr>
      <w:spacing w:line="480" w:lineRule="exact"/>
      <w:jc w:val="left"/>
      <w:rPr>
        <w:rFonts w:hint="eastAsia"/>
        <w:u w:val="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79AC">
    <w:pPr>
      <w:spacing w:line="480" w:lineRule="exact"/>
      <w:rPr>
        <w:rFonts w:hint="eastAsia" w:ascii="宋体" w:hAnsi="宋体" w:eastAsia="宋体" w:cs="宋体"/>
        <w:b/>
        <w:sz w:val="18"/>
        <w:szCs w:val="18"/>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08634"/>
    <w:multiLevelType w:val="singleLevel"/>
    <w:tmpl w:val="A1608634"/>
    <w:lvl w:ilvl="0" w:tentative="0">
      <w:start w:val="2"/>
      <w:numFmt w:val="decimal"/>
      <w:lvlText w:val="%1."/>
      <w:lvlJc w:val="left"/>
      <w:pPr>
        <w:tabs>
          <w:tab w:val="left" w:pos="312"/>
        </w:tabs>
      </w:pPr>
    </w:lvl>
  </w:abstractNum>
  <w:abstractNum w:abstractNumId="1">
    <w:nsid w:val="EF3A47E8"/>
    <w:multiLevelType w:val="singleLevel"/>
    <w:tmpl w:val="EF3A47E8"/>
    <w:lvl w:ilvl="0" w:tentative="0">
      <w:start w:val="1"/>
      <w:numFmt w:val="decimal"/>
      <w:lvlText w:val="%1."/>
      <w:lvlJc w:val="left"/>
      <w:pPr>
        <w:tabs>
          <w:tab w:val="left" w:pos="312"/>
        </w:tabs>
      </w:pPr>
    </w:lvl>
  </w:abstractNum>
  <w:abstractNum w:abstractNumId="2">
    <w:nsid w:val="44B6A82E"/>
    <w:multiLevelType w:val="singleLevel"/>
    <w:tmpl w:val="44B6A82E"/>
    <w:lvl w:ilvl="0" w:tentative="0">
      <w:start w:val="3"/>
      <w:numFmt w:val="decimal"/>
      <w:suff w:val="nothing"/>
      <w:lvlText w:val="%1、"/>
      <w:lvlJc w:val="left"/>
    </w:lvl>
  </w:abstractNum>
  <w:abstractNum w:abstractNumId="3">
    <w:nsid w:val="74466E67"/>
    <w:multiLevelType w:val="singleLevel"/>
    <w:tmpl w:val="74466E67"/>
    <w:lvl w:ilvl="0" w:tentative="0">
      <w:start w:val="9"/>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4ZGQ1MjJmNGM4MzBhZTVkM2UyYzdkYzIxMmYwNDcifQ=="/>
  </w:docVars>
  <w:rsids>
    <w:rsidRoot w:val="00172A27"/>
    <w:rsid w:val="000327F6"/>
    <w:rsid w:val="00045065"/>
    <w:rsid w:val="000727C9"/>
    <w:rsid w:val="000A5622"/>
    <w:rsid w:val="000B6C73"/>
    <w:rsid w:val="000C2BD6"/>
    <w:rsid w:val="000C4415"/>
    <w:rsid w:val="00100064"/>
    <w:rsid w:val="00115AAC"/>
    <w:rsid w:val="0011644B"/>
    <w:rsid w:val="00122C37"/>
    <w:rsid w:val="00171711"/>
    <w:rsid w:val="00172A27"/>
    <w:rsid w:val="00185B7D"/>
    <w:rsid w:val="0019698F"/>
    <w:rsid w:val="001B22D4"/>
    <w:rsid w:val="001C06FB"/>
    <w:rsid w:val="001C1ABD"/>
    <w:rsid w:val="001D2BD3"/>
    <w:rsid w:val="001D426C"/>
    <w:rsid w:val="001E4660"/>
    <w:rsid w:val="0020267C"/>
    <w:rsid w:val="002033ED"/>
    <w:rsid w:val="00207591"/>
    <w:rsid w:val="0022181C"/>
    <w:rsid w:val="002235CA"/>
    <w:rsid w:val="00226DAE"/>
    <w:rsid w:val="00240E88"/>
    <w:rsid w:val="002535DB"/>
    <w:rsid w:val="0027327C"/>
    <w:rsid w:val="002838FF"/>
    <w:rsid w:val="002A34CB"/>
    <w:rsid w:val="002B4F45"/>
    <w:rsid w:val="002F0354"/>
    <w:rsid w:val="002F2353"/>
    <w:rsid w:val="003002FF"/>
    <w:rsid w:val="00343467"/>
    <w:rsid w:val="003B0418"/>
    <w:rsid w:val="003C12E5"/>
    <w:rsid w:val="003D6B36"/>
    <w:rsid w:val="004154A2"/>
    <w:rsid w:val="0042300E"/>
    <w:rsid w:val="004240D3"/>
    <w:rsid w:val="00440BD6"/>
    <w:rsid w:val="00451D19"/>
    <w:rsid w:val="0049673E"/>
    <w:rsid w:val="004A15BB"/>
    <w:rsid w:val="004A1C92"/>
    <w:rsid w:val="004A2CEB"/>
    <w:rsid w:val="004B0F3F"/>
    <w:rsid w:val="004F2018"/>
    <w:rsid w:val="0050445E"/>
    <w:rsid w:val="0050638A"/>
    <w:rsid w:val="005212ED"/>
    <w:rsid w:val="005322C2"/>
    <w:rsid w:val="005614EC"/>
    <w:rsid w:val="00561A71"/>
    <w:rsid w:val="005644F0"/>
    <w:rsid w:val="00593135"/>
    <w:rsid w:val="00593DC2"/>
    <w:rsid w:val="005D40F4"/>
    <w:rsid w:val="005D4C63"/>
    <w:rsid w:val="005D6F65"/>
    <w:rsid w:val="005E6C89"/>
    <w:rsid w:val="005E73F8"/>
    <w:rsid w:val="00612345"/>
    <w:rsid w:val="00670BE6"/>
    <w:rsid w:val="00696295"/>
    <w:rsid w:val="006D228F"/>
    <w:rsid w:val="006D7968"/>
    <w:rsid w:val="0071157D"/>
    <w:rsid w:val="00716C3B"/>
    <w:rsid w:val="00717621"/>
    <w:rsid w:val="00764BA1"/>
    <w:rsid w:val="00773939"/>
    <w:rsid w:val="007807AC"/>
    <w:rsid w:val="007848F5"/>
    <w:rsid w:val="0078569D"/>
    <w:rsid w:val="007A5641"/>
    <w:rsid w:val="007C661F"/>
    <w:rsid w:val="007E2899"/>
    <w:rsid w:val="007F0790"/>
    <w:rsid w:val="007F728E"/>
    <w:rsid w:val="0080580E"/>
    <w:rsid w:val="00815F66"/>
    <w:rsid w:val="008233A0"/>
    <w:rsid w:val="00827953"/>
    <w:rsid w:val="008367A0"/>
    <w:rsid w:val="00836F53"/>
    <w:rsid w:val="00841734"/>
    <w:rsid w:val="00852266"/>
    <w:rsid w:val="008540C9"/>
    <w:rsid w:val="008624DE"/>
    <w:rsid w:val="00873D7C"/>
    <w:rsid w:val="008A5B2E"/>
    <w:rsid w:val="008C0B23"/>
    <w:rsid w:val="008C4A57"/>
    <w:rsid w:val="008F2B4E"/>
    <w:rsid w:val="0090097E"/>
    <w:rsid w:val="00953321"/>
    <w:rsid w:val="00975801"/>
    <w:rsid w:val="00987446"/>
    <w:rsid w:val="009C06B1"/>
    <w:rsid w:val="009D02D1"/>
    <w:rsid w:val="009E68AC"/>
    <w:rsid w:val="009F2E6D"/>
    <w:rsid w:val="00A3396F"/>
    <w:rsid w:val="00A33C3E"/>
    <w:rsid w:val="00A54F18"/>
    <w:rsid w:val="00A64246"/>
    <w:rsid w:val="00A77550"/>
    <w:rsid w:val="00A83DDA"/>
    <w:rsid w:val="00A948D4"/>
    <w:rsid w:val="00AB1812"/>
    <w:rsid w:val="00AB4B44"/>
    <w:rsid w:val="00AB7CBD"/>
    <w:rsid w:val="00AD2ECE"/>
    <w:rsid w:val="00AD77D4"/>
    <w:rsid w:val="00AF4AE0"/>
    <w:rsid w:val="00AF5B67"/>
    <w:rsid w:val="00B04B38"/>
    <w:rsid w:val="00B11373"/>
    <w:rsid w:val="00B12E38"/>
    <w:rsid w:val="00B5117E"/>
    <w:rsid w:val="00B83327"/>
    <w:rsid w:val="00B8680E"/>
    <w:rsid w:val="00BA0FA9"/>
    <w:rsid w:val="00BB6708"/>
    <w:rsid w:val="00BC3A6C"/>
    <w:rsid w:val="00BD09FC"/>
    <w:rsid w:val="00C45AF9"/>
    <w:rsid w:val="00C577DE"/>
    <w:rsid w:val="00C62A64"/>
    <w:rsid w:val="00CA303A"/>
    <w:rsid w:val="00CB5577"/>
    <w:rsid w:val="00CC7B04"/>
    <w:rsid w:val="00CF2944"/>
    <w:rsid w:val="00D061D0"/>
    <w:rsid w:val="00D11DA0"/>
    <w:rsid w:val="00D1355C"/>
    <w:rsid w:val="00D52F63"/>
    <w:rsid w:val="00D533F8"/>
    <w:rsid w:val="00D86811"/>
    <w:rsid w:val="00D97E9A"/>
    <w:rsid w:val="00DA2E3D"/>
    <w:rsid w:val="00DB5E90"/>
    <w:rsid w:val="00DC01F9"/>
    <w:rsid w:val="00DC6AF9"/>
    <w:rsid w:val="00E17760"/>
    <w:rsid w:val="00E17F64"/>
    <w:rsid w:val="00E2335E"/>
    <w:rsid w:val="00E255C8"/>
    <w:rsid w:val="00EA5DF1"/>
    <w:rsid w:val="00EB4222"/>
    <w:rsid w:val="00EC04CE"/>
    <w:rsid w:val="00EC4B0F"/>
    <w:rsid w:val="00EC5246"/>
    <w:rsid w:val="00ED3BFA"/>
    <w:rsid w:val="00EF5DC7"/>
    <w:rsid w:val="00F24C3F"/>
    <w:rsid w:val="00F440D8"/>
    <w:rsid w:val="00F54007"/>
    <w:rsid w:val="00F56EA8"/>
    <w:rsid w:val="00F87796"/>
    <w:rsid w:val="00FA380A"/>
    <w:rsid w:val="00FA7B49"/>
    <w:rsid w:val="00FB2306"/>
    <w:rsid w:val="00FC2388"/>
    <w:rsid w:val="00FD1BB0"/>
    <w:rsid w:val="011B6335"/>
    <w:rsid w:val="01247E92"/>
    <w:rsid w:val="012515C4"/>
    <w:rsid w:val="013531F3"/>
    <w:rsid w:val="013B0DE8"/>
    <w:rsid w:val="013C690E"/>
    <w:rsid w:val="013D01DA"/>
    <w:rsid w:val="0146666F"/>
    <w:rsid w:val="01537696"/>
    <w:rsid w:val="01626374"/>
    <w:rsid w:val="016E79BB"/>
    <w:rsid w:val="017165B7"/>
    <w:rsid w:val="017442FA"/>
    <w:rsid w:val="01787946"/>
    <w:rsid w:val="017B0014"/>
    <w:rsid w:val="017F3B76"/>
    <w:rsid w:val="0189362A"/>
    <w:rsid w:val="01957E27"/>
    <w:rsid w:val="01B85F94"/>
    <w:rsid w:val="01D3571A"/>
    <w:rsid w:val="01DB7EBC"/>
    <w:rsid w:val="01ED2EAC"/>
    <w:rsid w:val="01EE0F89"/>
    <w:rsid w:val="01F9035B"/>
    <w:rsid w:val="020E7FE4"/>
    <w:rsid w:val="021B6523"/>
    <w:rsid w:val="02330D66"/>
    <w:rsid w:val="02402483"/>
    <w:rsid w:val="025A3CA1"/>
    <w:rsid w:val="02777BFD"/>
    <w:rsid w:val="028E2239"/>
    <w:rsid w:val="028E4F47"/>
    <w:rsid w:val="029929F4"/>
    <w:rsid w:val="029B32CD"/>
    <w:rsid w:val="02B96008"/>
    <w:rsid w:val="02BA5F5E"/>
    <w:rsid w:val="02EC4D9D"/>
    <w:rsid w:val="03037514"/>
    <w:rsid w:val="03154BFE"/>
    <w:rsid w:val="031B7704"/>
    <w:rsid w:val="03284584"/>
    <w:rsid w:val="0328714A"/>
    <w:rsid w:val="032D4760"/>
    <w:rsid w:val="0337542F"/>
    <w:rsid w:val="035F26D2"/>
    <w:rsid w:val="03631A11"/>
    <w:rsid w:val="037F2CA6"/>
    <w:rsid w:val="0384101C"/>
    <w:rsid w:val="03863E70"/>
    <w:rsid w:val="0389225D"/>
    <w:rsid w:val="038A7E04"/>
    <w:rsid w:val="038B5BC4"/>
    <w:rsid w:val="03A21034"/>
    <w:rsid w:val="03B15391"/>
    <w:rsid w:val="03B64756"/>
    <w:rsid w:val="03BE185C"/>
    <w:rsid w:val="03C351AA"/>
    <w:rsid w:val="03D27EB0"/>
    <w:rsid w:val="03DB240E"/>
    <w:rsid w:val="03F54682"/>
    <w:rsid w:val="03F87596"/>
    <w:rsid w:val="04022BFE"/>
    <w:rsid w:val="044C6E68"/>
    <w:rsid w:val="046442CB"/>
    <w:rsid w:val="046D4438"/>
    <w:rsid w:val="04810C66"/>
    <w:rsid w:val="0482288A"/>
    <w:rsid w:val="04A06914"/>
    <w:rsid w:val="04A46CB4"/>
    <w:rsid w:val="04AF3C14"/>
    <w:rsid w:val="04C20084"/>
    <w:rsid w:val="04CB0091"/>
    <w:rsid w:val="04CD0710"/>
    <w:rsid w:val="04E56551"/>
    <w:rsid w:val="04E92909"/>
    <w:rsid w:val="05031C1C"/>
    <w:rsid w:val="050634BB"/>
    <w:rsid w:val="050665A2"/>
    <w:rsid w:val="050A3B09"/>
    <w:rsid w:val="050B6D23"/>
    <w:rsid w:val="051A7389"/>
    <w:rsid w:val="052C47CE"/>
    <w:rsid w:val="053D6438"/>
    <w:rsid w:val="054479A4"/>
    <w:rsid w:val="05471E36"/>
    <w:rsid w:val="054933A7"/>
    <w:rsid w:val="05745EE7"/>
    <w:rsid w:val="0583125F"/>
    <w:rsid w:val="058C5B63"/>
    <w:rsid w:val="0593682F"/>
    <w:rsid w:val="05A63BA7"/>
    <w:rsid w:val="05A90737"/>
    <w:rsid w:val="05B20F4D"/>
    <w:rsid w:val="05C018BB"/>
    <w:rsid w:val="05C56ED2"/>
    <w:rsid w:val="05CF6454"/>
    <w:rsid w:val="05DA305B"/>
    <w:rsid w:val="05DC1650"/>
    <w:rsid w:val="05E63E64"/>
    <w:rsid w:val="05EF21D2"/>
    <w:rsid w:val="05F41C11"/>
    <w:rsid w:val="05F93A16"/>
    <w:rsid w:val="05FB0B46"/>
    <w:rsid w:val="060834FC"/>
    <w:rsid w:val="06107E61"/>
    <w:rsid w:val="06152050"/>
    <w:rsid w:val="061B574F"/>
    <w:rsid w:val="062539FF"/>
    <w:rsid w:val="06313475"/>
    <w:rsid w:val="063E2174"/>
    <w:rsid w:val="06465301"/>
    <w:rsid w:val="064B142F"/>
    <w:rsid w:val="064C314F"/>
    <w:rsid w:val="065456E8"/>
    <w:rsid w:val="066761DB"/>
    <w:rsid w:val="066A5AAD"/>
    <w:rsid w:val="067F3398"/>
    <w:rsid w:val="06805006"/>
    <w:rsid w:val="0680729D"/>
    <w:rsid w:val="068F173C"/>
    <w:rsid w:val="06946962"/>
    <w:rsid w:val="06AC0092"/>
    <w:rsid w:val="06E92D95"/>
    <w:rsid w:val="06ED0F82"/>
    <w:rsid w:val="06F84E27"/>
    <w:rsid w:val="06FA011B"/>
    <w:rsid w:val="0701711F"/>
    <w:rsid w:val="070A0C8B"/>
    <w:rsid w:val="071F3C81"/>
    <w:rsid w:val="073B34E2"/>
    <w:rsid w:val="073F0AAA"/>
    <w:rsid w:val="074A2F16"/>
    <w:rsid w:val="076158D7"/>
    <w:rsid w:val="076A5EBC"/>
    <w:rsid w:val="076D638D"/>
    <w:rsid w:val="07744E5F"/>
    <w:rsid w:val="077A2252"/>
    <w:rsid w:val="0780696F"/>
    <w:rsid w:val="078337E2"/>
    <w:rsid w:val="07873D7E"/>
    <w:rsid w:val="07A07BF6"/>
    <w:rsid w:val="07A22D90"/>
    <w:rsid w:val="07A50D69"/>
    <w:rsid w:val="07B1083A"/>
    <w:rsid w:val="07B30AD6"/>
    <w:rsid w:val="07B4607E"/>
    <w:rsid w:val="07DA257E"/>
    <w:rsid w:val="07DF5C96"/>
    <w:rsid w:val="07EE10FD"/>
    <w:rsid w:val="07EF46DA"/>
    <w:rsid w:val="07FE491D"/>
    <w:rsid w:val="08074D9A"/>
    <w:rsid w:val="08147C2D"/>
    <w:rsid w:val="08237D7E"/>
    <w:rsid w:val="083509FF"/>
    <w:rsid w:val="083F4163"/>
    <w:rsid w:val="084558C8"/>
    <w:rsid w:val="08477B23"/>
    <w:rsid w:val="086D2DAD"/>
    <w:rsid w:val="088E55AF"/>
    <w:rsid w:val="08915791"/>
    <w:rsid w:val="089820E6"/>
    <w:rsid w:val="08B43636"/>
    <w:rsid w:val="08B5088C"/>
    <w:rsid w:val="08B81AB7"/>
    <w:rsid w:val="08CE4F66"/>
    <w:rsid w:val="08DB07BA"/>
    <w:rsid w:val="08EC0C19"/>
    <w:rsid w:val="08F2432F"/>
    <w:rsid w:val="08F57ACE"/>
    <w:rsid w:val="091B46C8"/>
    <w:rsid w:val="0933033E"/>
    <w:rsid w:val="093D1475"/>
    <w:rsid w:val="09447444"/>
    <w:rsid w:val="09472B84"/>
    <w:rsid w:val="09606A75"/>
    <w:rsid w:val="09717ADB"/>
    <w:rsid w:val="097C14E4"/>
    <w:rsid w:val="09B13158"/>
    <w:rsid w:val="09C35018"/>
    <w:rsid w:val="09CA0D26"/>
    <w:rsid w:val="09CB04E0"/>
    <w:rsid w:val="09DE594A"/>
    <w:rsid w:val="0A000297"/>
    <w:rsid w:val="0A0328E2"/>
    <w:rsid w:val="0A147843"/>
    <w:rsid w:val="0A193C90"/>
    <w:rsid w:val="0A2166A1"/>
    <w:rsid w:val="0A25011B"/>
    <w:rsid w:val="0A283ED3"/>
    <w:rsid w:val="0A381EFB"/>
    <w:rsid w:val="0A39513C"/>
    <w:rsid w:val="0A411229"/>
    <w:rsid w:val="0A4A67CC"/>
    <w:rsid w:val="0A4F4254"/>
    <w:rsid w:val="0A613847"/>
    <w:rsid w:val="0A6846F0"/>
    <w:rsid w:val="0A6D18E6"/>
    <w:rsid w:val="0A704A0A"/>
    <w:rsid w:val="0AA634B8"/>
    <w:rsid w:val="0AA97D04"/>
    <w:rsid w:val="0ABA1FAF"/>
    <w:rsid w:val="0AC5352E"/>
    <w:rsid w:val="0AC567DB"/>
    <w:rsid w:val="0AC97464"/>
    <w:rsid w:val="0AD54E41"/>
    <w:rsid w:val="0AE709DF"/>
    <w:rsid w:val="0AEA2F37"/>
    <w:rsid w:val="0AF67B2D"/>
    <w:rsid w:val="0AF7675C"/>
    <w:rsid w:val="0AFA72AE"/>
    <w:rsid w:val="0B0D2A56"/>
    <w:rsid w:val="0B0E58C2"/>
    <w:rsid w:val="0B200E5B"/>
    <w:rsid w:val="0B4765DB"/>
    <w:rsid w:val="0B50723E"/>
    <w:rsid w:val="0B513759"/>
    <w:rsid w:val="0B5C3E34"/>
    <w:rsid w:val="0B6E6D14"/>
    <w:rsid w:val="0B77312B"/>
    <w:rsid w:val="0B7F3FC7"/>
    <w:rsid w:val="0B884C29"/>
    <w:rsid w:val="0B9C6927"/>
    <w:rsid w:val="0BAD28E2"/>
    <w:rsid w:val="0BCC2F96"/>
    <w:rsid w:val="0BD04822"/>
    <w:rsid w:val="0BF00A21"/>
    <w:rsid w:val="0C281F69"/>
    <w:rsid w:val="0C2F012D"/>
    <w:rsid w:val="0C3B56A2"/>
    <w:rsid w:val="0C3D3FF4"/>
    <w:rsid w:val="0C4D19CF"/>
    <w:rsid w:val="0C9F6722"/>
    <w:rsid w:val="0CB25A78"/>
    <w:rsid w:val="0CB4281B"/>
    <w:rsid w:val="0CBD6B55"/>
    <w:rsid w:val="0CC55A09"/>
    <w:rsid w:val="0CD77550"/>
    <w:rsid w:val="0CD96BAA"/>
    <w:rsid w:val="0CE15B30"/>
    <w:rsid w:val="0D046532"/>
    <w:rsid w:val="0D1500CF"/>
    <w:rsid w:val="0D1D75F3"/>
    <w:rsid w:val="0D3606B5"/>
    <w:rsid w:val="0D565170"/>
    <w:rsid w:val="0DA25EB9"/>
    <w:rsid w:val="0DC20E8F"/>
    <w:rsid w:val="0DC465E5"/>
    <w:rsid w:val="0DCE2718"/>
    <w:rsid w:val="0DD136ED"/>
    <w:rsid w:val="0DDC125D"/>
    <w:rsid w:val="0DE53ECB"/>
    <w:rsid w:val="0DF143AE"/>
    <w:rsid w:val="0E001623"/>
    <w:rsid w:val="0E2A6683"/>
    <w:rsid w:val="0E381816"/>
    <w:rsid w:val="0E3C2E78"/>
    <w:rsid w:val="0E457A83"/>
    <w:rsid w:val="0E547045"/>
    <w:rsid w:val="0E5F3AD9"/>
    <w:rsid w:val="0E67019E"/>
    <w:rsid w:val="0E763266"/>
    <w:rsid w:val="0E7D2086"/>
    <w:rsid w:val="0E930ADC"/>
    <w:rsid w:val="0E951C6F"/>
    <w:rsid w:val="0E9C09EC"/>
    <w:rsid w:val="0EA224A6"/>
    <w:rsid w:val="0EAF71B9"/>
    <w:rsid w:val="0EB04152"/>
    <w:rsid w:val="0EB472AB"/>
    <w:rsid w:val="0EB9334C"/>
    <w:rsid w:val="0EBA4655"/>
    <w:rsid w:val="0EBD3686"/>
    <w:rsid w:val="0EDF39E8"/>
    <w:rsid w:val="0EEE110C"/>
    <w:rsid w:val="0F136F00"/>
    <w:rsid w:val="0F153475"/>
    <w:rsid w:val="0F1A1CEB"/>
    <w:rsid w:val="0F3D5D2B"/>
    <w:rsid w:val="0F5E5D8C"/>
    <w:rsid w:val="0F6459AD"/>
    <w:rsid w:val="0F6A3D2C"/>
    <w:rsid w:val="0F706100"/>
    <w:rsid w:val="0F81189A"/>
    <w:rsid w:val="0F8366B0"/>
    <w:rsid w:val="0F9116F1"/>
    <w:rsid w:val="0F921E5B"/>
    <w:rsid w:val="0F960548"/>
    <w:rsid w:val="0F9C51B3"/>
    <w:rsid w:val="0FB241F9"/>
    <w:rsid w:val="0FB71F81"/>
    <w:rsid w:val="0FDB1E05"/>
    <w:rsid w:val="0FDC029C"/>
    <w:rsid w:val="10036F74"/>
    <w:rsid w:val="101A0148"/>
    <w:rsid w:val="10220057"/>
    <w:rsid w:val="10246EEB"/>
    <w:rsid w:val="102D5D9F"/>
    <w:rsid w:val="102E38C6"/>
    <w:rsid w:val="103E3BC2"/>
    <w:rsid w:val="10482BD9"/>
    <w:rsid w:val="104D6442"/>
    <w:rsid w:val="10502A85"/>
    <w:rsid w:val="10596B94"/>
    <w:rsid w:val="105E23FD"/>
    <w:rsid w:val="105E2D2D"/>
    <w:rsid w:val="105E41AB"/>
    <w:rsid w:val="107A5A50"/>
    <w:rsid w:val="10945E1E"/>
    <w:rsid w:val="1097352B"/>
    <w:rsid w:val="10B04957"/>
    <w:rsid w:val="10B265D2"/>
    <w:rsid w:val="10BA2E7E"/>
    <w:rsid w:val="10BC578F"/>
    <w:rsid w:val="10C135DB"/>
    <w:rsid w:val="10C347AE"/>
    <w:rsid w:val="10C44735"/>
    <w:rsid w:val="10C54721"/>
    <w:rsid w:val="10C910D8"/>
    <w:rsid w:val="10CD30DE"/>
    <w:rsid w:val="10D9656E"/>
    <w:rsid w:val="10DC65A3"/>
    <w:rsid w:val="10E52127"/>
    <w:rsid w:val="10F16E41"/>
    <w:rsid w:val="10F5774F"/>
    <w:rsid w:val="11020FDA"/>
    <w:rsid w:val="11050ACA"/>
    <w:rsid w:val="11147358"/>
    <w:rsid w:val="112076B2"/>
    <w:rsid w:val="11410EBA"/>
    <w:rsid w:val="11427674"/>
    <w:rsid w:val="11877731"/>
    <w:rsid w:val="118E6D12"/>
    <w:rsid w:val="11951E4E"/>
    <w:rsid w:val="11981101"/>
    <w:rsid w:val="11AB78C4"/>
    <w:rsid w:val="11B568C8"/>
    <w:rsid w:val="11C4650B"/>
    <w:rsid w:val="11C664AC"/>
    <w:rsid w:val="11CE5360"/>
    <w:rsid w:val="11D0238A"/>
    <w:rsid w:val="11D566EF"/>
    <w:rsid w:val="11DD1A47"/>
    <w:rsid w:val="11FD0FCC"/>
    <w:rsid w:val="121D3BF2"/>
    <w:rsid w:val="122519E7"/>
    <w:rsid w:val="122A4C8C"/>
    <w:rsid w:val="12353631"/>
    <w:rsid w:val="123A0387"/>
    <w:rsid w:val="123F1DBA"/>
    <w:rsid w:val="124D5887"/>
    <w:rsid w:val="125624A5"/>
    <w:rsid w:val="126D73FC"/>
    <w:rsid w:val="127B6546"/>
    <w:rsid w:val="127E0B34"/>
    <w:rsid w:val="12836D9F"/>
    <w:rsid w:val="12866890"/>
    <w:rsid w:val="12890C4A"/>
    <w:rsid w:val="128A0C76"/>
    <w:rsid w:val="12922832"/>
    <w:rsid w:val="1293075D"/>
    <w:rsid w:val="12A156A8"/>
    <w:rsid w:val="12B007FE"/>
    <w:rsid w:val="12B409A5"/>
    <w:rsid w:val="12B66520"/>
    <w:rsid w:val="12B97435"/>
    <w:rsid w:val="12B97DBE"/>
    <w:rsid w:val="12C74322"/>
    <w:rsid w:val="12DD347B"/>
    <w:rsid w:val="12EC1224"/>
    <w:rsid w:val="1305613B"/>
    <w:rsid w:val="13193128"/>
    <w:rsid w:val="131C52B5"/>
    <w:rsid w:val="131F54E6"/>
    <w:rsid w:val="13235868"/>
    <w:rsid w:val="13346CAC"/>
    <w:rsid w:val="1336396D"/>
    <w:rsid w:val="13533D6F"/>
    <w:rsid w:val="13596EAB"/>
    <w:rsid w:val="135E5D77"/>
    <w:rsid w:val="13643A08"/>
    <w:rsid w:val="136D627A"/>
    <w:rsid w:val="136E2957"/>
    <w:rsid w:val="138111EE"/>
    <w:rsid w:val="138A4EA7"/>
    <w:rsid w:val="138C2043"/>
    <w:rsid w:val="13B25D24"/>
    <w:rsid w:val="13C33F86"/>
    <w:rsid w:val="13C7475D"/>
    <w:rsid w:val="13E929AC"/>
    <w:rsid w:val="13E930BA"/>
    <w:rsid w:val="13F16E5E"/>
    <w:rsid w:val="13FC5058"/>
    <w:rsid w:val="1416492A"/>
    <w:rsid w:val="142C5957"/>
    <w:rsid w:val="14355A25"/>
    <w:rsid w:val="143771ED"/>
    <w:rsid w:val="1446686F"/>
    <w:rsid w:val="145E6E6F"/>
    <w:rsid w:val="14660439"/>
    <w:rsid w:val="14667AD2"/>
    <w:rsid w:val="146C35B2"/>
    <w:rsid w:val="146C5222"/>
    <w:rsid w:val="146D2ACB"/>
    <w:rsid w:val="1489757B"/>
    <w:rsid w:val="14900FF3"/>
    <w:rsid w:val="150C32EC"/>
    <w:rsid w:val="150D2643"/>
    <w:rsid w:val="151117F4"/>
    <w:rsid w:val="15167956"/>
    <w:rsid w:val="152139F9"/>
    <w:rsid w:val="153E27FD"/>
    <w:rsid w:val="15471A97"/>
    <w:rsid w:val="154D33BD"/>
    <w:rsid w:val="15500D3E"/>
    <w:rsid w:val="15512C1A"/>
    <w:rsid w:val="15545B7C"/>
    <w:rsid w:val="15690045"/>
    <w:rsid w:val="157E709D"/>
    <w:rsid w:val="15940F8F"/>
    <w:rsid w:val="15973CBB"/>
    <w:rsid w:val="159B37AB"/>
    <w:rsid w:val="15BD7BC5"/>
    <w:rsid w:val="15D37B32"/>
    <w:rsid w:val="15D72551"/>
    <w:rsid w:val="15DC3758"/>
    <w:rsid w:val="15EB77CB"/>
    <w:rsid w:val="15ED414A"/>
    <w:rsid w:val="15F03BC4"/>
    <w:rsid w:val="160550C9"/>
    <w:rsid w:val="16242ACF"/>
    <w:rsid w:val="163C264A"/>
    <w:rsid w:val="163C4F8E"/>
    <w:rsid w:val="16443E43"/>
    <w:rsid w:val="16493F29"/>
    <w:rsid w:val="164A09B4"/>
    <w:rsid w:val="16554771"/>
    <w:rsid w:val="16585CCF"/>
    <w:rsid w:val="165967D8"/>
    <w:rsid w:val="165A7400"/>
    <w:rsid w:val="165C5F4E"/>
    <w:rsid w:val="166938A9"/>
    <w:rsid w:val="16740F6D"/>
    <w:rsid w:val="168A1109"/>
    <w:rsid w:val="169225DB"/>
    <w:rsid w:val="16AE0DFA"/>
    <w:rsid w:val="16B14A23"/>
    <w:rsid w:val="16BA18F3"/>
    <w:rsid w:val="16BB7FDD"/>
    <w:rsid w:val="16C35E35"/>
    <w:rsid w:val="16C80BA2"/>
    <w:rsid w:val="16D058F4"/>
    <w:rsid w:val="16E8283F"/>
    <w:rsid w:val="16F2564D"/>
    <w:rsid w:val="16FB6BF7"/>
    <w:rsid w:val="16FD38E2"/>
    <w:rsid w:val="17035AAC"/>
    <w:rsid w:val="170F4521"/>
    <w:rsid w:val="171C4DC0"/>
    <w:rsid w:val="171E1B23"/>
    <w:rsid w:val="171F40CB"/>
    <w:rsid w:val="17255A22"/>
    <w:rsid w:val="172942B2"/>
    <w:rsid w:val="17302FB6"/>
    <w:rsid w:val="17343EB7"/>
    <w:rsid w:val="176F07FB"/>
    <w:rsid w:val="177C171E"/>
    <w:rsid w:val="178B4A91"/>
    <w:rsid w:val="17A42169"/>
    <w:rsid w:val="17AF2C3B"/>
    <w:rsid w:val="17B13C76"/>
    <w:rsid w:val="17B40C26"/>
    <w:rsid w:val="17BA0860"/>
    <w:rsid w:val="17BC1C5C"/>
    <w:rsid w:val="17C074F9"/>
    <w:rsid w:val="17C50FB3"/>
    <w:rsid w:val="17C76AD9"/>
    <w:rsid w:val="17EB1309"/>
    <w:rsid w:val="17F513E1"/>
    <w:rsid w:val="17FB00E8"/>
    <w:rsid w:val="17FC5493"/>
    <w:rsid w:val="18004664"/>
    <w:rsid w:val="18096C97"/>
    <w:rsid w:val="1812319A"/>
    <w:rsid w:val="181746F0"/>
    <w:rsid w:val="182757CA"/>
    <w:rsid w:val="182E6B59"/>
    <w:rsid w:val="183577CF"/>
    <w:rsid w:val="18433922"/>
    <w:rsid w:val="18502F88"/>
    <w:rsid w:val="187338B5"/>
    <w:rsid w:val="188C1B9A"/>
    <w:rsid w:val="18922161"/>
    <w:rsid w:val="18950986"/>
    <w:rsid w:val="18AF5EEB"/>
    <w:rsid w:val="18CE3E98"/>
    <w:rsid w:val="18F733EE"/>
    <w:rsid w:val="19124546"/>
    <w:rsid w:val="19143FA0"/>
    <w:rsid w:val="191E39FF"/>
    <w:rsid w:val="191E489B"/>
    <w:rsid w:val="19241D0A"/>
    <w:rsid w:val="19306900"/>
    <w:rsid w:val="19320D13"/>
    <w:rsid w:val="194130FD"/>
    <w:rsid w:val="194A24B2"/>
    <w:rsid w:val="195257A2"/>
    <w:rsid w:val="195C14A3"/>
    <w:rsid w:val="198146A5"/>
    <w:rsid w:val="199852BB"/>
    <w:rsid w:val="199F78EA"/>
    <w:rsid w:val="19A05834"/>
    <w:rsid w:val="19B17A41"/>
    <w:rsid w:val="19BE56ED"/>
    <w:rsid w:val="19FC3BBB"/>
    <w:rsid w:val="1A073B05"/>
    <w:rsid w:val="1A0C2EC9"/>
    <w:rsid w:val="1A135C0D"/>
    <w:rsid w:val="1A2E72EB"/>
    <w:rsid w:val="1A4968EB"/>
    <w:rsid w:val="1A6333FE"/>
    <w:rsid w:val="1A6E5932"/>
    <w:rsid w:val="1A7F6362"/>
    <w:rsid w:val="1A922568"/>
    <w:rsid w:val="1AA827BF"/>
    <w:rsid w:val="1AAC1492"/>
    <w:rsid w:val="1AAC5EFB"/>
    <w:rsid w:val="1AAE3F81"/>
    <w:rsid w:val="1ABF12A4"/>
    <w:rsid w:val="1AC165E2"/>
    <w:rsid w:val="1AC90DBB"/>
    <w:rsid w:val="1AD968F1"/>
    <w:rsid w:val="1ADA0917"/>
    <w:rsid w:val="1AED191D"/>
    <w:rsid w:val="1AEE25CF"/>
    <w:rsid w:val="1AFA293C"/>
    <w:rsid w:val="1B075D1D"/>
    <w:rsid w:val="1B141CEE"/>
    <w:rsid w:val="1B1C538E"/>
    <w:rsid w:val="1B1E69E8"/>
    <w:rsid w:val="1B24410A"/>
    <w:rsid w:val="1B2770C4"/>
    <w:rsid w:val="1B2D71D1"/>
    <w:rsid w:val="1B371349"/>
    <w:rsid w:val="1B375D24"/>
    <w:rsid w:val="1B4346C9"/>
    <w:rsid w:val="1B542B81"/>
    <w:rsid w:val="1B56062E"/>
    <w:rsid w:val="1B570174"/>
    <w:rsid w:val="1B634E28"/>
    <w:rsid w:val="1B68176B"/>
    <w:rsid w:val="1B862808"/>
    <w:rsid w:val="1B8865E6"/>
    <w:rsid w:val="1BAA0724"/>
    <w:rsid w:val="1BB80002"/>
    <w:rsid w:val="1BD21EF1"/>
    <w:rsid w:val="1BD6553D"/>
    <w:rsid w:val="1BDC68CC"/>
    <w:rsid w:val="1BF73705"/>
    <w:rsid w:val="1BFF3836"/>
    <w:rsid w:val="1C052A7D"/>
    <w:rsid w:val="1C1E0C92"/>
    <w:rsid w:val="1C2D168A"/>
    <w:rsid w:val="1C2D19DF"/>
    <w:rsid w:val="1C5015D9"/>
    <w:rsid w:val="1C5F782F"/>
    <w:rsid w:val="1C6F4E53"/>
    <w:rsid w:val="1C7B4A4F"/>
    <w:rsid w:val="1C7F5BD5"/>
    <w:rsid w:val="1C9468DC"/>
    <w:rsid w:val="1C9C6245"/>
    <w:rsid w:val="1CA75D01"/>
    <w:rsid w:val="1CAB2142"/>
    <w:rsid w:val="1CAE0268"/>
    <w:rsid w:val="1CC17F9B"/>
    <w:rsid w:val="1CC42BDF"/>
    <w:rsid w:val="1CCC4B92"/>
    <w:rsid w:val="1CE6771E"/>
    <w:rsid w:val="1CE8451F"/>
    <w:rsid w:val="1CEE2D5A"/>
    <w:rsid w:val="1D037CB9"/>
    <w:rsid w:val="1D1B65B7"/>
    <w:rsid w:val="1D2C6FF5"/>
    <w:rsid w:val="1D312395"/>
    <w:rsid w:val="1D3520E4"/>
    <w:rsid w:val="1D396D4A"/>
    <w:rsid w:val="1D3F5364"/>
    <w:rsid w:val="1D4973CD"/>
    <w:rsid w:val="1D542100"/>
    <w:rsid w:val="1D5B0857"/>
    <w:rsid w:val="1D6A3F1B"/>
    <w:rsid w:val="1D6D1775"/>
    <w:rsid w:val="1D927929"/>
    <w:rsid w:val="1DA32FFE"/>
    <w:rsid w:val="1DB52A07"/>
    <w:rsid w:val="1DB679B6"/>
    <w:rsid w:val="1DC01001"/>
    <w:rsid w:val="1DC0379C"/>
    <w:rsid w:val="1DDE06FD"/>
    <w:rsid w:val="1DE46B66"/>
    <w:rsid w:val="1DE81B9C"/>
    <w:rsid w:val="1E282DB0"/>
    <w:rsid w:val="1E283E93"/>
    <w:rsid w:val="1E320A25"/>
    <w:rsid w:val="1E334EC9"/>
    <w:rsid w:val="1E3E5514"/>
    <w:rsid w:val="1E546BED"/>
    <w:rsid w:val="1E576198"/>
    <w:rsid w:val="1E6E5F01"/>
    <w:rsid w:val="1E71154D"/>
    <w:rsid w:val="1E776FA8"/>
    <w:rsid w:val="1E976754"/>
    <w:rsid w:val="1ECB7DAD"/>
    <w:rsid w:val="1EE15B4A"/>
    <w:rsid w:val="1EE36AF5"/>
    <w:rsid w:val="1EFA59E6"/>
    <w:rsid w:val="1F09049D"/>
    <w:rsid w:val="1F182603"/>
    <w:rsid w:val="1F232988"/>
    <w:rsid w:val="1F31586A"/>
    <w:rsid w:val="1F3200E5"/>
    <w:rsid w:val="1F330EF8"/>
    <w:rsid w:val="1F39012D"/>
    <w:rsid w:val="1F3B231E"/>
    <w:rsid w:val="1F4C5B16"/>
    <w:rsid w:val="1F552C1D"/>
    <w:rsid w:val="1F774B6C"/>
    <w:rsid w:val="1F7D51C6"/>
    <w:rsid w:val="1F9C084C"/>
    <w:rsid w:val="1FB913FE"/>
    <w:rsid w:val="1FC76194"/>
    <w:rsid w:val="1FD60D4C"/>
    <w:rsid w:val="1FD61EA2"/>
    <w:rsid w:val="1FD926CB"/>
    <w:rsid w:val="1FDE0E75"/>
    <w:rsid w:val="1FE37FA8"/>
    <w:rsid w:val="1FE6737E"/>
    <w:rsid w:val="1FE87B63"/>
    <w:rsid w:val="1FF12140"/>
    <w:rsid w:val="1FF71F26"/>
    <w:rsid w:val="202251F5"/>
    <w:rsid w:val="20295438"/>
    <w:rsid w:val="202C474F"/>
    <w:rsid w:val="2035677C"/>
    <w:rsid w:val="204D4CD3"/>
    <w:rsid w:val="2059562E"/>
    <w:rsid w:val="207417C9"/>
    <w:rsid w:val="20847771"/>
    <w:rsid w:val="208A4B48"/>
    <w:rsid w:val="20B56086"/>
    <w:rsid w:val="20C216BE"/>
    <w:rsid w:val="20C5313C"/>
    <w:rsid w:val="20D67D8D"/>
    <w:rsid w:val="20DE02E1"/>
    <w:rsid w:val="20E467EA"/>
    <w:rsid w:val="20F578AD"/>
    <w:rsid w:val="210757FE"/>
    <w:rsid w:val="21113BF7"/>
    <w:rsid w:val="211C7E96"/>
    <w:rsid w:val="212A3A32"/>
    <w:rsid w:val="21465993"/>
    <w:rsid w:val="21495E9E"/>
    <w:rsid w:val="21701E78"/>
    <w:rsid w:val="217869A3"/>
    <w:rsid w:val="217B019E"/>
    <w:rsid w:val="21A8172A"/>
    <w:rsid w:val="21C36564"/>
    <w:rsid w:val="21D91DC1"/>
    <w:rsid w:val="21E1488C"/>
    <w:rsid w:val="22056B7C"/>
    <w:rsid w:val="220D4F50"/>
    <w:rsid w:val="221A59A6"/>
    <w:rsid w:val="221C3EC6"/>
    <w:rsid w:val="222839F2"/>
    <w:rsid w:val="224079F9"/>
    <w:rsid w:val="224551CB"/>
    <w:rsid w:val="22696476"/>
    <w:rsid w:val="22736D94"/>
    <w:rsid w:val="227975A9"/>
    <w:rsid w:val="227C3D97"/>
    <w:rsid w:val="227E0409"/>
    <w:rsid w:val="22844BA2"/>
    <w:rsid w:val="22965A26"/>
    <w:rsid w:val="229A08CC"/>
    <w:rsid w:val="229D6DB5"/>
    <w:rsid w:val="22BA2AC9"/>
    <w:rsid w:val="22BA4FCF"/>
    <w:rsid w:val="23111926"/>
    <w:rsid w:val="231C1863"/>
    <w:rsid w:val="231D4C95"/>
    <w:rsid w:val="232C638A"/>
    <w:rsid w:val="232F2E19"/>
    <w:rsid w:val="23492FEA"/>
    <w:rsid w:val="2371604F"/>
    <w:rsid w:val="237D6BE6"/>
    <w:rsid w:val="23955CDE"/>
    <w:rsid w:val="23957A8C"/>
    <w:rsid w:val="239E692A"/>
    <w:rsid w:val="23A46882"/>
    <w:rsid w:val="23BA683B"/>
    <w:rsid w:val="23BD043D"/>
    <w:rsid w:val="23DD1CA1"/>
    <w:rsid w:val="23F01166"/>
    <w:rsid w:val="23F24841"/>
    <w:rsid w:val="23FA1861"/>
    <w:rsid w:val="240115C5"/>
    <w:rsid w:val="2435110C"/>
    <w:rsid w:val="243769C2"/>
    <w:rsid w:val="24376D95"/>
    <w:rsid w:val="243D7A29"/>
    <w:rsid w:val="24423D78"/>
    <w:rsid w:val="24455865"/>
    <w:rsid w:val="245D6E4F"/>
    <w:rsid w:val="246A40FC"/>
    <w:rsid w:val="247E6772"/>
    <w:rsid w:val="248D2E59"/>
    <w:rsid w:val="24AA6BDC"/>
    <w:rsid w:val="24AF0749"/>
    <w:rsid w:val="24AF12B2"/>
    <w:rsid w:val="24BE0243"/>
    <w:rsid w:val="24CC0250"/>
    <w:rsid w:val="24CF3471"/>
    <w:rsid w:val="24D16FC9"/>
    <w:rsid w:val="24D3608E"/>
    <w:rsid w:val="24D701A9"/>
    <w:rsid w:val="24F0333E"/>
    <w:rsid w:val="24F370CF"/>
    <w:rsid w:val="24F55290"/>
    <w:rsid w:val="24F8107D"/>
    <w:rsid w:val="2503311B"/>
    <w:rsid w:val="25130217"/>
    <w:rsid w:val="252058E2"/>
    <w:rsid w:val="25471B1B"/>
    <w:rsid w:val="254C4AC2"/>
    <w:rsid w:val="255236F4"/>
    <w:rsid w:val="25540DD0"/>
    <w:rsid w:val="25570F74"/>
    <w:rsid w:val="255913B1"/>
    <w:rsid w:val="256A41AE"/>
    <w:rsid w:val="257432E3"/>
    <w:rsid w:val="25755904"/>
    <w:rsid w:val="2577464B"/>
    <w:rsid w:val="258204E4"/>
    <w:rsid w:val="25AA73F4"/>
    <w:rsid w:val="25B679B8"/>
    <w:rsid w:val="25DA5423"/>
    <w:rsid w:val="25ED7C21"/>
    <w:rsid w:val="260F2758"/>
    <w:rsid w:val="26137BEB"/>
    <w:rsid w:val="26197880"/>
    <w:rsid w:val="26243349"/>
    <w:rsid w:val="262D48F3"/>
    <w:rsid w:val="264F6618"/>
    <w:rsid w:val="266046AC"/>
    <w:rsid w:val="26945741"/>
    <w:rsid w:val="26AD20FF"/>
    <w:rsid w:val="26BE379D"/>
    <w:rsid w:val="26D46B1D"/>
    <w:rsid w:val="26EB3E67"/>
    <w:rsid w:val="26F431BA"/>
    <w:rsid w:val="271E1A50"/>
    <w:rsid w:val="27231852"/>
    <w:rsid w:val="27263CA1"/>
    <w:rsid w:val="272A4721"/>
    <w:rsid w:val="272C0D3F"/>
    <w:rsid w:val="272D3F2A"/>
    <w:rsid w:val="27391066"/>
    <w:rsid w:val="27547C5E"/>
    <w:rsid w:val="275B2D9A"/>
    <w:rsid w:val="275F43DA"/>
    <w:rsid w:val="27651E6B"/>
    <w:rsid w:val="276537A2"/>
    <w:rsid w:val="27732C02"/>
    <w:rsid w:val="279E4EF7"/>
    <w:rsid w:val="27A97FAA"/>
    <w:rsid w:val="27AE639B"/>
    <w:rsid w:val="27B079C1"/>
    <w:rsid w:val="27D17500"/>
    <w:rsid w:val="27D642F4"/>
    <w:rsid w:val="27E3288F"/>
    <w:rsid w:val="27E6001E"/>
    <w:rsid w:val="27E7184E"/>
    <w:rsid w:val="2801047B"/>
    <w:rsid w:val="28133675"/>
    <w:rsid w:val="281F5DBD"/>
    <w:rsid w:val="282F71E1"/>
    <w:rsid w:val="28327F9F"/>
    <w:rsid w:val="28446343"/>
    <w:rsid w:val="28577A06"/>
    <w:rsid w:val="285A74F6"/>
    <w:rsid w:val="28610762"/>
    <w:rsid w:val="286C41F3"/>
    <w:rsid w:val="287211CA"/>
    <w:rsid w:val="28757E8C"/>
    <w:rsid w:val="287E20ED"/>
    <w:rsid w:val="28811E52"/>
    <w:rsid w:val="2883240B"/>
    <w:rsid w:val="28AF2C05"/>
    <w:rsid w:val="28CB4DDC"/>
    <w:rsid w:val="28D178EA"/>
    <w:rsid w:val="28E45DF1"/>
    <w:rsid w:val="28F16720"/>
    <w:rsid w:val="28F80E75"/>
    <w:rsid w:val="29025905"/>
    <w:rsid w:val="291E3799"/>
    <w:rsid w:val="292D69B8"/>
    <w:rsid w:val="293164A9"/>
    <w:rsid w:val="29364810"/>
    <w:rsid w:val="29513E9D"/>
    <w:rsid w:val="29591D3F"/>
    <w:rsid w:val="295D729E"/>
    <w:rsid w:val="295E2A75"/>
    <w:rsid w:val="296323DF"/>
    <w:rsid w:val="29742150"/>
    <w:rsid w:val="297B5976"/>
    <w:rsid w:val="297B7724"/>
    <w:rsid w:val="298C36DF"/>
    <w:rsid w:val="2990381D"/>
    <w:rsid w:val="29905216"/>
    <w:rsid w:val="29B16187"/>
    <w:rsid w:val="29CF2848"/>
    <w:rsid w:val="29E54E2D"/>
    <w:rsid w:val="29E658FB"/>
    <w:rsid w:val="29F01EC0"/>
    <w:rsid w:val="29F8108E"/>
    <w:rsid w:val="29FE3F5A"/>
    <w:rsid w:val="2A063491"/>
    <w:rsid w:val="2A2953D2"/>
    <w:rsid w:val="2A297180"/>
    <w:rsid w:val="2A3A75DF"/>
    <w:rsid w:val="2A3C7518"/>
    <w:rsid w:val="2A3E2EBF"/>
    <w:rsid w:val="2A484A56"/>
    <w:rsid w:val="2A72150C"/>
    <w:rsid w:val="2A754076"/>
    <w:rsid w:val="2A97058D"/>
    <w:rsid w:val="2AA10AF4"/>
    <w:rsid w:val="2AC45412"/>
    <w:rsid w:val="2AD4533E"/>
    <w:rsid w:val="2ADA66CC"/>
    <w:rsid w:val="2AE141B6"/>
    <w:rsid w:val="2AF03B34"/>
    <w:rsid w:val="2B125E66"/>
    <w:rsid w:val="2B1E2CD5"/>
    <w:rsid w:val="2B275DB5"/>
    <w:rsid w:val="2B285689"/>
    <w:rsid w:val="2B303442"/>
    <w:rsid w:val="2B345CDB"/>
    <w:rsid w:val="2B37601D"/>
    <w:rsid w:val="2B451883"/>
    <w:rsid w:val="2B502995"/>
    <w:rsid w:val="2B512E9C"/>
    <w:rsid w:val="2B5F5ABE"/>
    <w:rsid w:val="2B6228C3"/>
    <w:rsid w:val="2B892DDD"/>
    <w:rsid w:val="2B9C3BB7"/>
    <w:rsid w:val="2BAA0794"/>
    <w:rsid w:val="2BAD7356"/>
    <w:rsid w:val="2BAD7CE4"/>
    <w:rsid w:val="2BBE7D9C"/>
    <w:rsid w:val="2BCA63E5"/>
    <w:rsid w:val="2BCC4C6B"/>
    <w:rsid w:val="2BD25E8D"/>
    <w:rsid w:val="2BD33847"/>
    <w:rsid w:val="2BD44863"/>
    <w:rsid w:val="2BD452E8"/>
    <w:rsid w:val="2BD85ABC"/>
    <w:rsid w:val="2BDF28B4"/>
    <w:rsid w:val="2BE91B3D"/>
    <w:rsid w:val="2C0D56DE"/>
    <w:rsid w:val="2C0F631D"/>
    <w:rsid w:val="2C153E60"/>
    <w:rsid w:val="2C195BCB"/>
    <w:rsid w:val="2C2E396A"/>
    <w:rsid w:val="2C31676C"/>
    <w:rsid w:val="2C3D3EC5"/>
    <w:rsid w:val="2C45359F"/>
    <w:rsid w:val="2C564D86"/>
    <w:rsid w:val="2C5801F0"/>
    <w:rsid w:val="2C5B4E2B"/>
    <w:rsid w:val="2C6721E1"/>
    <w:rsid w:val="2C73502A"/>
    <w:rsid w:val="2C797B17"/>
    <w:rsid w:val="2C9224AC"/>
    <w:rsid w:val="2C9B12CE"/>
    <w:rsid w:val="2CA8303D"/>
    <w:rsid w:val="2CA86A82"/>
    <w:rsid w:val="2CB35427"/>
    <w:rsid w:val="2CC46C39"/>
    <w:rsid w:val="2CC6515A"/>
    <w:rsid w:val="2CC656B3"/>
    <w:rsid w:val="2CD00DE0"/>
    <w:rsid w:val="2CD61401"/>
    <w:rsid w:val="2CF123CB"/>
    <w:rsid w:val="2D085772"/>
    <w:rsid w:val="2D0D656C"/>
    <w:rsid w:val="2D1C6DA5"/>
    <w:rsid w:val="2D1E3E67"/>
    <w:rsid w:val="2D2D0D2A"/>
    <w:rsid w:val="2D2F0ED7"/>
    <w:rsid w:val="2D452523"/>
    <w:rsid w:val="2D641E53"/>
    <w:rsid w:val="2D64734A"/>
    <w:rsid w:val="2D6A1F89"/>
    <w:rsid w:val="2D6C3387"/>
    <w:rsid w:val="2D7C0D07"/>
    <w:rsid w:val="2D964DEF"/>
    <w:rsid w:val="2D99461C"/>
    <w:rsid w:val="2DB07F59"/>
    <w:rsid w:val="2DB87198"/>
    <w:rsid w:val="2DBB27E5"/>
    <w:rsid w:val="2DCE44C2"/>
    <w:rsid w:val="2DFE26D1"/>
    <w:rsid w:val="2E13617D"/>
    <w:rsid w:val="2E151B50"/>
    <w:rsid w:val="2E1F2D74"/>
    <w:rsid w:val="2E200FA9"/>
    <w:rsid w:val="2E257331"/>
    <w:rsid w:val="2E3256A1"/>
    <w:rsid w:val="2E370DEE"/>
    <w:rsid w:val="2E382DE5"/>
    <w:rsid w:val="2E383E35"/>
    <w:rsid w:val="2E4D6547"/>
    <w:rsid w:val="2E4E3659"/>
    <w:rsid w:val="2E74387D"/>
    <w:rsid w:val="2E7D4E58"/>
    <w:rsid w:val="2E930F46"/>
    <w:rsid w:val="2E9C2616"/>
    <w:rsid w:val="2E9E2C80"/>
    <w:rsid w:val="2EA57831"/>
    <w:rsid w:val="2EAD4823"/>
    <w:rsid w:val="2EAE482B"/>
    <w:rsid w:val="2EB95320"/>
    <w:rsid w:val="2EBB4650"/>
    <w:rsid w:val="2EBD1E5E"/>
    <w:rsid w:val="2ECE640C"/>
    <w:rsid w:val="2ED0406E"/>
    <w:rsid w:val="2EE21B01"/>
    <w:rsid w:val="2EE356A6"/>
    <w:rsid w:val="2EEC0DD1"/>
    <w:rsid w:val="2EF24461"/>
    <w:rsid w:val="2EF91817"/>
    <w:rsid w:val="2EFD2D39"/>
    <w:rsid w:val="2EFF109D"/>
    <w:rsid w:val="2F0158C0"/>
    <w:rsid w:val="2F167482"/>
    <w:rsid w:val="2F236894"/>
    <w:rsid w:val="2F2E01CA"/>
    <w:rsid w:val="2F324093"/>
    <w:rsid w:val="2F3C7955"/>
    <w:rsid w:val="2F4A3E20"/>
    <w:rsid w:val="2F5C1DA5"/>
    <w:rsid w:val="2F6A2443"/>
    <w:rsid w:val="2F7A4D80"/>
    <w:rsid w:val="2F8256E8"/>
    <w:rsid w:val="2F8F217B"/>
    <w:rsid w:val="2F94032C"/>
    <w:rsid w:val="2FB36078"/>
    <w:rsid w:val="2FBD0A96"/>
    <w:rsid w:val="2FC524E1"/>
    <w:rsid w:val="2FCC5E07"/>
    <w:rsid w:val="2FDB7672"/>
    <w:rsid w:val="2FE0721C"/>
    <w:rsid w:val="300D740D"/>
    <w:rsid w:val="300F0BC6"/>
    <w:rsid w:val="301047AD"/>
    <w:rsid w:val="3015291F"/>
    <w:rsid w:val="301601A6"/>
    <w:rsid w:val="302B7D68"/>
    <w:rsid w:val="3036148E"/>
    <w:rsid w:val="303F0287"/>
    <w:rsid w:val="30420F9B"/>
    <w:rsid w:val="30567D0A"/>
    <w:rsid w:val="30600615"/>
    <w:rsid w:val="306B6744"/>
    <w:rsid w:val="307B42B2"/>
    <w:rsid w:val="307E7949"/>
    <w:rsid w:val="308A7D8A"/>
    <w:rsid w:val="30A92DC8"/>
    <w:rsid w:val="30B2178C"/>
    <w:rsid w:val="30BE41F9"/>
    <w:rsid w:val="30BF6B2B"/>
    <w:rsid w:val="30D02144"/>
    <w:rsid w:val="30DB10A6"/>
    <w:rsid w:val="30DF4157"/>
    <w:rsid w:val="30EA42FD"/>
    <w:rsid w:val="30ED7159"/>
    <w:rsid w:val="31371E66"/>
    <w:rsid w:val="313B4EF9"/>
    <w:rsid w:val="314F4AAE"/>
    <w:rsid w:val="31501496"/>
    <w:rsid w:val="3157339C"/>
    <w:rsid w:val="31633E12"/>
    <w:rsid w:val="317E61DA"/>
    <w:rsid w:val="319637E8"/>
    <w:rsid w:val="31A57A34"/>
    <w:rsid w:val="31AC5F6D"/>
    <w:rsid w:val="31B9528D"/>
    <w:rsid w:val="31BC773E"/>
    <w:rsid w:val="31C31761"/>
    <w:rsid w:val="31C5610F"/>
    <w:rsid w:val="31CC63F4"/>
    <w:rsid w:val="31D71BB7"/>
    <w:rsid w:val="31DA376C"/>
    <w:rsid w:val="31F02BF1"/>
    <w:rsid w:val="32090E37"/>
    <w:rsid w:val="32155EF0"/>
    <w:rsid w:val="322D2641"/>
    <w:rsid w:val="323B661A"/>
    <w:rsid w:val="323E0027"/>
    <w:rsid w:val="32506261"/>
    <w:rsid w:val="325B7388"/>
    <w:rsid w:val="326C191E"/>
    <w:rsid w:val="3273368E"/>
    <w:rsid w:val="32895D67"/>
    <w:rsid w:val="328E04C8"/>
    <w:rsid w:val="3293193F"/>
    <w:rsid w:val="32936E35"/>
    <w:rsid w:val="32A4602F"/>
    <w:rsid w:val="32A63A63"/>
    <w:rsid w:val="32B13C6D"/>
    <w:rsid w:val="32B83797"/>
    <w:rsid w:val="32B876D8"/>
    <w:rsid w:val="32CA6456"/>
    <w:rsid w:val="32CC7242"/>
    <w:rsid w:val="32CF18CC"/>
    <w:rsid w:val="32F07E9E"/>
    <w:rsid w:val="32FB2F34"/>
    <w:rsid w:val="330975F6"/>
    <w:rsid w:val="330D0BEB"/>
    <w:rsid w:val="330D25C6"/>
    <w:rsid w:val="330D738E"/>
    <w:rsid w:val="3314149D"/>
    <w:rsid w:val="331A2870"/>
    <w:rsid w:val="33287688"/>
    <w:rsid w:val="333F56B5"/>
    <w:rsid w:val="334024C5"/>
    <w:rsid w:val="33415D84"/>
    <w:rsid w:val="33434310"/>
    <w:rsid w:val="334B3FAB"/>
    <w:rsid w:val="33527747"/>
    <w:rsid w:val="33541711"/>
    <w:rsid w:val="335A2349"/>
    <w:rsid w:val="33635381"/>
    <w:rsid w:val="33752891"/>
    <w:rsid w:val="338656E4"/>
    <w:rsid w:val="339133B6"/>
    <w:rsid w:val="33B50C44"/>
    <w:rsid w:val="33C07AF4"/>
    <w:rsid w:val="33C5616B"/>
    <w:rsid w:val="342A5E41"/>
    <w:rsid w:val="344B6ED4"/>
    <w:rsid w:val="344C4197"/>
    <w:rsid w:val="34673B12"/>
    <w:rsid w:val="3476002E"/>
    <w:rsid w:val="34867522"/>
    <w:rsid w:val="34887B2C"/>
    <w:rsid w:val="349B16E9"/>
    <w:rsid w:val="349C3EFF"/>
    <w:rsid w:val="34A76F0A"/>
    <w:rsid w:val="34B624CD"/>
    <w:rsid w:val="34BE1690"/>
    <w:rsid w:val="34D36666"/>
    <w:rsid w:val="34DB2F73"/>
    <w:rsid w:val="34E03DB5"/>
    <w:rsid w:val="35041D35"/>
    <w:rsid w:val="35064C8D"/>
    <w:rsid w:val="350807A8"/>
    <w:rsid w:val="3510672F"/>
    <w:rsid w:val="351B1DBB"/>
    <w:rsid w:val="35224BBB"/>
    <w:rsid w:val="352819E8"/>
    <w:rsid w:val="35335357"/>
    <w:rsid w:val="35450298"/>
    <w:rsid w:val="355B616C"/>
    <w:rsid w:val="355B7C45"/>
    <w:rsid w:val="35747E49"/>
    <w:rsid w:val="35802D60"/>
    <w:rsid w:val="358D55F1"/>
    <w:rsid w:val="3590064E"/>
    <w:rsid w:val="359027A9"/>
    <w:rsid w:val="35972A5A"/>
    <w:rsid w:val="35B069A7"/>
    <w:rsid w:val="35B93CDA"/>
    <w:rsid w:val="35CF32D1"/>
    <w:rsid w:val="35E61BC9"/>
    <w:rsid w:val="35EE06C2"/>
    <w:rsid w:val="36034D29"/>
    <w:rsid w:val="360D1836"/>
    <w:rsid w:val="361A0C8A"/>
    <w:rsid w:val="362152FD"/>
    <w:rsid w:val="362241CC"/>
    <w:rsid w:val="363650FE"/>
    <w:rsid w:val="36390B9E"/>
    <w:rsid w:val="363A5D48"/>
    <w:rsid w:val="36475B14"/>
    <w:rsid w:val="36675EE2"/>
    <w:rsid w:val="36712425"/>
    <w:rsid w:val="367528E0"/>
    <w:rsid w:val="367857C3"/>
    <w:rsid w:val="369B64AE"/>
    <w:rsid w:val="369C2AC2"/>
    <w:rsid w:val="36A561C0"/>
    <w:rsid w:val="36A6210C"/>
    <w:rsid w:val="36BE599C"/>
    <w:rsid w:val="36D6690A"/>
    <w:rsid w:val="36E47938"/>
    <w:rsid w:val="36EB5659"/>
    <w:rsid w:val="36F87994"/>
    <w:rsid w:val="36FD7B0D"/>
    <w:rsid w:val="37082CF7"/>
    <w:rsid w:val="37133692"/>
    <w:rsid w:val="37135440"/>
    <w:rsid w:val="37154F64"/>
    <w:rsid w:val="37217B5C"/>
    <w:rsid w:val="37276F67"/>
    <w:rsid w:val="37277667"/>
    <w:rsid w:val="37346646"/>
    <w:rsid w:val="373C66E6"/>
    <w:rsid w:val="37464DA1"/>
    <w:rsid w:val="37621F23"/>
    <w:rsid w:val="376D0FF4"/>
    <w:rsid w:val="377D6D5D"/>
    <w:rsid w:val="37995199"/>
    <w:rsid w:val="37B564F7"/>
    <w:rsid w:val="37B81B43"/>
    <w:rsid w:val="37D5242B"/>
    <w:rsid w:val="37FD7D7C"/>
    <w:rsid w:val="381E13AC"/>
    <w:rsid w:val="38267191"/>
    <w:rsid w:val="382800C5"/>
    <w:rsid w:val="383704C4"/>
    <w:rsid w:val="383A2745"/>
    <w:rsid w:val="38404012"/>
    <w:rsid w:val="38415FDC"/>
    <w:rsid w:val="384D4981"/>
    <w:rsid w:val="38545D10"/>
    <w:rsid w:val="386A108F"/>
    <w:rsid w:val="38782A52"/>
    <w:rsid w:val="387A3DF1"/>
    <w:rsid w:val="38867B64"/>
    <w:rsid w:val="38AC78FA"/>
    <w:rsid w:val="38B70A56"/>
    <w:rsid w:val="38D536BD"/>
    <w:rsid w:val="38DC150C"/>
    <w:rsid w:val="38E31684"/>
    <w:rsid w:val="38EC419A"/>
    <w:rsid w:val="38FC59F0"/>
    <w:rsid w:val="38FE5C7B"/>
    <w:rsid w:val="39005CE7"/>
    <w:rsid w:val="39007C46"/>
    <w:rsid w:val="390B1242"/>
    <w:rsid w:val="39182A0E"/>
    <w:rsid w:val="393D67A4"/>
    <w:rsid w:val="3962620A"/>
    <w:rsid w:val="39680B72"/>
    <w:rsid w:val="398217F2"/>
    <w:rsid w:val="39850192"/>
    <w:rsid w:val="399E405C"/>
    <w:rsid w:val="39AE41DE"/>
    <w:rsid w:val="39D2513E"/>
    <w:rsid w:val="39D36E4D"/>
    <w:rsid w:val="39D709A6"/>
    <w:rsid w:val="39DB6ED1"/>
    <w:rsid w:val="39E62C55"/>
    <w:rsid w:val="39EA208D"/>
    <w:rsid w:val="39F50E33"/>
    <w:rsid w:val="3A030CCA"/>
    <w:rsid w:val="3A06784F"/>
    <w:rsid w:val="3A092EFA"/>
    <w:rsid w:val="3A3C4CAD"/>
    <w:rsid w:val="3A4A1178"/>
    <w:rsid w:val="3A576C59"/>
    <w:rsid w:val="3A6D3E8C"/>
    <w:rsid w:val="3A707CC0"/>
    <w:rsid w:val="3A77338E"/>
    <w:rsid w:val="3A851961"/>
    <w:rsid w:val="3A863A18"/>
    <w:rsid w:val="3A9875CD"/>
    <w:rsid w:val="3AB5279B"/>
    <w:rsid w:val="3AC27A31"/>
    <w:rsid w:val="3AD13648"/>
    <w:rsid w:val="3AD51B36"/>
    <w:rsid w:val="3AE93E68"/>
    <w:rsid w:val="3AEC54A8"/>
    <w:rsid w:val="3AF2458C"/>
    <w:rsid w:val="3AF30F35"/>
    <w:rsid w:val="3B051543"/>
    <w:rsid w:val="3B0D14D6"/>
    <w:rsid w:val="3B186BAE"/>
    <w:rsid w:val="3B212110"/>
    <w:rsid w:val="3B3616FD"/>
    <w:rsid w:val="3B3E47CB"/>
    <w:rsid w:val="3B415444"/>
    <w:rsid w:val="3B431FB2"/>
    <w:rsid w:val="3B44499C"/>
    <w:rsid w:val="3B4958D4"/>
    <w:rsid w:val="3B4E2997"/>
    <w:rsid w:val="3B655A3A"/>
    <w:rsid w:val="3B844B5E"/>
    <w:rsid w:val="3B954675"/>
    <w:rsid w:val="3B985F13"/>
    <w:rsid w:val="3BBF0221"/>
    <w:rsid w:val="3BCF4AA0"/>
    <w:rsid w:val="3BD62D21"/>
    <w:rsid w:val="3BDB7EAE"/>
    <w:rsid w:val="3BE15B0C"/>
    <w:rsid w:val="3BE677F1"/>
    <w:rsid w:val="3BE858FF"/>
    <w:rsid w:val="3BF523F3"/>
    <w:rsid w:val="3BFF4A3E"/>
    <w:rsid w:val="3C0F1D99"/>
    <w:rsid w:val="3C117AFC"/>
    <w:rsid w:val="3C196564"/>
    <w:rsid w:val="3C1E1F51"/>
    <w:rsid w:val="3C244F05"/>
    <w:rsid w:val="3C31002E"/>
    <w:rsid w:val="3C3927B0"/>
    <w:rsid w:val="3C626BC9"/>
    <w:rsid w:val="3C672E60"/>
    <w:rsid w:val="3C694662"/>
    <w:rsid w:val="3C8A009E"/>
    <w:rsid w:val="3C975A23"/>
    <w:rsid w:val="3CB03F3A"/>
    <w:rsid w:val="3CB44FCF"/>
    <w:rsid w:val="3CBF0DCB"/>
    <w:rsid w:val="3CCF5D27"/>
    <w:rsid w:val="3CD127FC"/>
    <w:rsid w:val="3CDE0DDF"/>
    <w:rsid w:val="3CEB6971"/>
    <w:rsid w:val="3CEE62D5"/>
    <w:rsid w:val="3D1612F6"/>
    <w:rsid w:val="3D1D0DC6"/>
    <w:rsid w:val="3D232155"/>
    <w:rsid w:val="3D242A00"/>
    <w:rsid w:val="3D2A2933"/>
    <w:rsid w:val="3D3C3AED"/>
    <w:rsid w:val="3D49491C"/>
    <w:rsid w:val="3D4C4951"/>
    <w:rsid w:val="3D4E71D1"/>
    <w:rsid w:val="3D506198"/>
    <w:rsid w:val="3D5440BC"/>
    <w:rsid w:val="3D7D1865"/>
    <w:rsid w:val="3D8166A2"/>
    <w:rsid w:val="3D822082"/>
    <w:rsid w:val="3D8C7CFA"/>
    <w:rsid w:val="3D982CB1"/>
    <w:rsid w:val="3DA51518"/>
    <w:rsid w:val="3DA74B34"/>
    <w:rsid w:val="3DAA0345"/>
    <w:rsid w:val="3DB334D8"/>
    <w:rsid w:val="3DB64C6E"/>
    <w:rsid w:val="3DBF5617"/>
    <w:rsid w:val="3DC01453"/>
    <w:rsid w:val="3DD7747B"/>
    <w:rsid w:val="3DD85298"/>
    <w:rsid w:val="3DF75171"/>
    <w:rsid w:val="3DFD1F83"/>
    <w:rsid w:val="3DFE042B"/>
    <w:rsid w:val="3E051DE8"/>
    <w:rsid w:val="3E064613"/>
    <w:rsid w:val="3E151A9D"/>
    <w:rsid w:val="3E1D67D6"/>
    <w:rsid w:val="3E3E516D"/>
    <w:rsid w:val="3E410AE4"/>
    <w:rsid w:val="3E4D2EF7"/>
    <w:rsid w:val="3E4F1453"/>
    <w:rsid w:val="3E4F60C2"/>
    <w:rsid w:val="3E684914"/>
    <w:rsid w:val="3E6D40DE"/>
    <w:rsid w:val="3E75078E"/>
    <w:rsid w:val="3EA52AE3"/>
    <w:rsid w:val="3EB017C6"/>
    <w:rsid w:val="3EB0577A"/>
    <w:rsid w:val="3EDE4585"/>
    <w:rsid w:val="3EF23B8C"/>
    <w:rsid w:val="3EF267BD"/>
    <w:rsid w:val="3EF9255F"/>
    <w:rsid w:val="3EF95FFE"/>
    <w:rsid w:val="3F0F4B6A"/>
    <w:rsid w:val="3F1D7BCF"/>
    <w:rsid w:val="3F204A99"/>
    <w:rsid w:val="3F2D7071"/>
    <w:rsid w:val="3F32132C"/>
    <w:rsid w:val="3F332837"/>
    <w:rsid w:val="3F3643C1"/>
    <w:rsid w:val="3F38621C"/>
    <w:rsid w:val="3F3D5750"/>
    <w:rsid w:val="3F57699B"/>
    <w:rsid w:val="3F5860E5"/>
    <w:rsid w:val="3F8E13DE"/>
    <w:rsid w:val="3F9907C4"/>
    <w:rsid w:val="3FA13DEA"/>
    <w:rsid w:val="3FAC1A48"/>
    <w:rsid w:val="3FB1682D"/>
    <w:rsid w:val="3FB3410F"/>
    <w:rsid w:val="3FC512A1"/>
    <w:rsid w:val="3FC84C9E"/>
    <w:rsid w:val="3FCA1B42"/>
    <w:rsid w:val="3FD41E4F"/>
    <w:rsid w:val="3FDA14C3"/>
    <w:rsid w:val="3FEC2CD2"/>
    <w:rsid w:val="3FF24437"/>
    <w:rsid w:val="3FF51B86"/>
    <w:rsid w:val="3FF651C6"/>
    <w:rsid w:val="400718BA"/>
    <w:rsid w:val="4008024D"/>
    <w:rsid w:val="40090017"/>
    <w:rsid w:val="40096AA5"/>
    <w:rsid w:val="402146F9"/>
    <w:rsid w:val="403365E8"/>
    <w:rsid w:val="40646D0C"/>
    <w:rsid w:val="40684300"/>
    <w:rsid w:val="406C464C"/>
    <w:rsid w:val="40840CD2"/>
    <w:rsid w:val="409C70B2"/>
    <w:rsid w:val="40B2779A"/>
    <w:rsid w:val="40C477AB"/>
    <w:rsid w:val="40CD59A9"/>
    <w:rsid w:val="40D53766"/>
    <w:rsid w:val="40ED4F53"/>
    <w:rsid w:val="40F94FF7"/>
    <w:rsid w:val="410302D3"/>
    <w:rsid w:val="411150E1"/>
    <w:rsid w:val="411E0EED"/>
    <w:rsid w:val="41322966"/>
    <w:rsid w:val="41342F1C"/>
    <w:rsid w:val="413A43FF"/>
    <w:rsid w:val="41452699"/>
    <w:rsid w:val="41594AAB"/>
    <w:rsid w:val="416255A9"/>
    <w:rsid w:val="416408B3"/>
    <w:rsid w:val="41746D4A"/>
    <w:rsid w:val="417B26FB"/>
    <w:rsid w:val="41967399"/>
    <w:rsid w:val="41986C6D"/>
    <w:rsid w:val="41A926E2"/>
    <w:rsid w:val="41BB0BAE"/>
    <w:rsid w:val="41C7462F"/>
    <w:rsid w:val="41C95079"/>
    <w:rsid w:val="41DA54D8"/>
    <w:rsid w:val="41DA6BD5"/>
    <w:rsid w:val="41E66E11"/>
    <w:rsid w:val="41F12FE5"/>
    <w:rsid w:val="41FA4A3C"/>
    <w:rsid w:val="42254279"/>
    <w:rsid w:val="42312482"/>
    <w:rsid w:val="4234358D"/>
    <w:rsid w:val="42424EE2"/>
    <w:rsid w:val="42483274"/>
    <w:rsid w:val="424D3EFC"/>
    <w:rsid w:val="42555CF4"/>
    <w:rsid w:val="425B0788"/>
    <w:rsid w:val="4268594D"/>
    <w:rsid w:val="426E6B65"/>
    <w:rsid w:val="42756FAE"/>
    <w:rsid w:val="42A94EAA"/>
    <w:rsid w:val="42C43F0C"/>
    <w:rsid w:val="42DB44A1"/>
    <w:rsid w:val="42DE47BD"/>
    <w:rsid w:val="42E566F8"/>
    <w:rsid w:val="42E8372F"/>
    <w:rsid w:val="42F00D2B"/>
    <w:rsid w:val="430D78C6"/>
    <w:rsid w:val="431033BD"/>
    <w:rsid w:val="43195B8C"/>
    <w:rsid w:val="434626F9"/>
    <w:rsid w:val="434A21E9"/>
    <w:rsid w:val="434B19EE"/>
    <w:rsid w:val="43584C70"/>
    <w:rsid w:val="43721740"/>
    <w:rsid w:val="43726013"/>
    <w:rsid w:val="4381785E"/>
    <w:rsid w:val="4383495D"/>
    <w:rsid w:val="438376F3"/>
    <w:rsid w:val="4387467C"/>
    <w:rsid w:val="43956DE7"/>
    <w:rsid w:val="43A11EC0"/>
    <w:rsid w:val="43A60DED"/>
    <w:rsid w:val="43A60E53"/>
    <w:rsid w:val="43B835F7"/>
    <w:rsid w:val="43BD3D85"/>
    <w:rsid w:val="43DF347A"/>
    <w:rsid w:val="43F665B9"/>
    <w:rsid w:val="44240331"/>
    <w:rsid w:val="44343752"/>
    <w:rsid w:val="443D58AA"/>
    <w:rsid w:val="444A101C"/>
    <w:rsid w:val="445E66A7"/>
    <w:rsid w:val="446F759B"/>
    <w:rsid w:val="447F09DF"/>
    <w:rsid w:val="44816F9D"/>
    <w:rsid w:val="448750D5"/>
    <w:rsid w:val="448C4B7D"/>
    <w:rsid w:val="44AB5D13"/>
    <w:rsid w:val="44B44858"/>
    <w:rsid w:val="44F91551"/>
    <w:rsid w:val="450665E4"/>
    <w:rsid w:val="45332247"/>
    <w:rsid w:val="454A0A68"/>
    <w:rsid w:val="45570BED"/>
    <w:rsid w:val="458A0FC3"/>
    <w:rsid w:val="458E23F3"/>
    <w:rsid w:val="45A35BE1"/>
    <w:rsid w:val="45AA32FA"/>
    <w:rsid w:val="45AD4CB1"/>
    <w:rsid w:val="45C34DF0"/>
    <w:rsid w:val="45C36C83"/>
    <w:rsid w:val="45CE2A73"/>
    <w:rsid w:val="45CF2E79"/>
    <w:rsid w:val="45D93CF8"/>
    <w:rsid w:val="46026DAB"/>
    <w:rsid w:val="46094EB3"/>
    <w:rsid w:val="46162E4E"/>
    <w:rsid w:val="461A17B1"/>
    <w:rsid w:val="46205E07"/>
    <w:rsid w:val="46262D58"/>
    <w:rsid w:val="46334018"/>
    <w:rsid w:val="463827CD"/>
    <w:rsid w:val="4638462A"/>
    <w:rsid w:val="464E7278"/>
    <w:rsid w:val="46517D32"/>
    <w:rsid w:val="465B53CD"/>
    <w:rsid w:val="46613679"/>
    <w:rsid w:val="468518EA"/>
    <w:rsid w:val="4689127A"/>
    <w:rsid w:val="469D20E2"/>
    <w:rsid w:val="46A77952"/>
    <w:rsid w:val="46A9191C"/>
    <w:rsid w:val="46CE47EC"/>
    <w:rsid w:val="46CE4EDF"/>
    <w:rsid w:val="46DC24F1"/>
    <w:rsid w:val="46DD20EA"/>
    <w:rsid w:val="46F47709"/>
    <w:rsid w:val="47082795"/>
    <w:rsid w:val="471144A8"/>
    <w:rsid w:val="4712301E"/>
    <w:rsid w:val="471F398D"/>
    <w:rsid w:val="47226130"/>
    <w:rsid w:val="4778684C"/>
    <w:rsid w:val="477F53F3"/>
    <w:rsid w:val="47890EBA"/>
    <w:rsid w:val="479144EB"/>
    <w:rsid w:val="47923B78"/>
    <w:rsid w:val="47A619B8"/>
    <w:rsid w:val="47AF3744"/>
    <w:rsid w:val="47B24801"/>
    <w:rsid w:val="47B265AF"/>
    <w:rsid w:val="47B623AD"/>
    <w:rsid w:val="47C54534"/>
    <w:rsid w:val="47CB7671"/>
    <w:rsid w:val="47CD6B6F"/>
    <w:rsid w:val="47D60F4A"/>
    <w:rsid w:val="47E744AA"/>
    <w:rsid w:val="47EB3DDE"/>
    <w:rsid w:val="482617AF"/>
    <w:rsid w:val="48380285"/>
    <w:rsid w:val="48401776"/>
    <w:rsid w:val="48414E86"/>
    <w:rsid w:val="48546305"/>
    <w:rsid w:val="485F5CAF"/>
    <w:rsid w:val="489B7650"/>
    <w:rsid w:val="48A56114"/>
    <w:rsid w:val="48C53DC3"/>
    <w:rsid w:val="48C96EBA"/>
    <w:rsid w:val="48CB08FD"/>
    <w:rsid w:val="48D373C6"/>
    <w:rsid w:val="48D61428"/>
    <w:rsid w:val="48D77B39"/>
    <w:rsid w:val="48DF33D4"/>
    <w:rsid w:val="48EA7681"/>
    <w:rsid w:val="49025314"/>
    <w:rsid w:val="49166B47"/>
    <w:rsid w:val="491D58A0"/>
    <w:rsid w:val="491E163A"/>
    <w:rsid w:val="492152F7"/>
    <w:rsid w:val="49275E34"/>
    <w:rsid w:val="49282FCC"/>
    <w:rsid w:val="492E0B35"/>
    <w:rsid w:val="494C4442"/>
    <w:rsid w:val="49521CA9"/>
    <w:rsid w:val="49544A87"/>
    <w:rsid w:val="495F62C2"/>
    <w:rsid w:val="4967648B"/>
    <w:rsid w:val="49870D1A"/>
    <w:rsid w:val="498A2ACB"/>
    <w:rsid w:val="498F599D"/>
    <w:rsid w:val="4998477E"/>
    <w:rsid w:val="499B5CB2"/>
    <w:rsid w:val="49A36F87"/>
    <w:rsid w:val="49A93BD9"/>
    <w:rsid w:val="49B303BC"/>
    <w:rsid w:val="49D97E23"/>
    <w:rsid w:val="49DE18DD"/>
    <w:rsid w:val="49E37654"/>
    <w:rsid w:val="49E77726"/>
    <w:rsid w:val="49EE37B0"/>
    <w:rsid w:val="49F51EDB"/>
    <w:rsid w:val="49FB10AC"/>
    <w:rsid w:val="4A0B01F8"/>
    <w:rsid w:val="4A0F5443"/>
    <w:rsid w:val="4A0F6F03"/>
    <w:rsid w:val="4A1277D9"/>
    <w:rsid w:val="4A1A56B6"/>
    <w:rsid w:val="4A256B80"/>
    <w:rsid w:val="4A2D016F"/>
    <w:rsid w:val="4A2F6758"/>
    <w:rsid w:val="4A3A2304"/>
    <w:rsid w:val="4A417D43"/>
    <w:rsid w:val="4A45195C"/>
    <w:rsid w:val="4A4B0B6E"/>
    <w:rsid w:val="4A4E2219"/>
    <w:rsid w:val="4A6B0275"/>
    <w:rsid w:val="4A791606"/>
    <w:rsid w:val="4A7B074B"/>
    <w:rsid w:val="4A8107D4"/>
    <w:rsid w:val="4A881849"/>
    <w:rsid w:val="4A885999"/>
    <w:rsid w:val="4A8E50B1"/>
    <w:rsid w:val="4A9641DF"/>
    <w:rsid w:val="4AD90A31"/>
    <w:rsid w:val="4ADF590D"/>
    <w:rsid w:val="4AE74C1E"/>
    <w:rsid w:val="4AFE6B89"/>
    <w:rsid w:val="4B097BAB"/>
    <w:rsid w:val="4B0A3436"/>
    <w:rsid w:val="4B150E0C"/>
    <w:rsid w:val="4B1D2F8C"/>
    <w:rsid w:val="4B1D4687"/>
    <w:rsid w:val="4B271062"/>
    <w:rsid w:val="4B33411D"/>
    <w:rsid w:val="4B38326F"/>
    <w:rsid w:val="4B461F2B"/>
    <w:rsid w:val="4B4A12C3"/>
    <w:rsid w:val="4B693428"/>
    <w:rsid w:val="4B6C16A6"/>
    <w:rsid w:val="4B8B5A92"/>
    <w:rsid w:val="4BA14D61"/>
    <w:rsid w:val="4BA52C90"/>
    <w:rsid w:val="4BA77ED2"/>
    <w:rsid w:val="4BA821A3"/>
    <w:rsid w:val="4BB1347D"/>
    <w:rsid w:val="4BBA72B0"/>
    <w:rsid w:val="4BBF129A"/>
    <w:rsid w:val="4BC32129"/>
    <w:rsid w:val="4BC36FDC"/>
    <w:rsid w:val="4BC54262"/>
    <w:rsid w:val="4BDA0ED5"/>
    <w:rsid w:val="4BDF599F"/>
    <w:rsid w:val="4BF46E98"/>
    <w:rsid w:val="4BFB6776"/>
    <w:rsid w:val="4C030443"/>
    <w:rsid w:val="4C040C28"/>
    <w:rsid w:val="4C097B79"/>
    <w:rsid w:val="4C0A0767"/>
    <w:rsid w:val="4C0F2222"/>
    <w:rsid w:val="4C1415E6"/>
    <w:rsid w:val="4C251A45"/>
    <w:rsid w:val="4C2537F3"/>
    <w:rsid w:val="4C3C7455"/>
    <w:rsid w:val="4C553FE1"/>
    <w:rsid w:val="4C5639AD"/>
    <w:rsid w:val="4C5D40AD"/>
    <w:rsid w:val="4C6A119A"/>
    <w:rsid w:val="4C742085"/>
    <w:rsid w:val="4C773B54"/>
    <w:rsid w:val="4C997D3D"/>
    <w:rsid w:val="4C9C45AC"/>
    <w:rsid w:val="4CA846DC"/>
    <w:rsid w:val="4CA94BB7"/>
    <w:rsid w:val="4CAF5386"/>
    <w:rsid w:val="4CB30DFF"/>
    <w:rsid w:val="4CBA50E3"/>
    <w:rsid w:val="4CC85386"/>
    <w:rsid w:val="4D037ABE"/>
    <w:rsid w:val="4D06044C"/>
    <w:rsid w:val="4D0F7FFF"/>
    <w:rsid w:val="4D3505C9"/>
    <w:rsid w:val="4D465DA8"/>
    <w:rsid w:val="4D4C6B4F"/>
    <w:rsid w:val="4D537083"/>
    <w:rsid w:val="4D554986"/>
    <w:rsid w:val="4D557D51"/>
    <w:rsid w:val="4D5932DC"/>
    <w:rsid w:val="4D7378CF"/>
    <w:rsid w:val="4D9B33CB"/>
    <w:rsid w:val="4DA82DA2"/>
    <w:rsid w:val="4DBB14D7"/>
    <w:rsid w:val="4DFC0584"/>
    <w:rsid w:val="4E0260A9"/>
    <w:rsid w:val="4E074369"/>
    <w:rsid w:val="4E143B1F"/>
    <w:rsid w:val="4E322FBF"/>
    <w:rsid w:val="4E3F0301"/>
    <w:rsid w:val="4E4F6905"/>
    <w:rsid w:val="4E6924D8"/>
    <w:rsid w:val="4E853B08"/>
    <w:rsid w:val="4E9407BC"/>
    <w:rsid w:val="4E9E23DD"/>
    <w:rsid w:val="4EA54396"/>
    <w:rsid w:val="4EA62C8C"/>
    <w:rsid w:val="4EB4216F"/>
    <w:rsid w:val="4EB86BA1"/>
    <w:rsid w:val="4EBA52B1"/>
    <w:rsid w:val="4EBC2D80"/>
    <w:rsid w:val="4EC40568"/>
    <w:rsid w:val="4F0202C8"/>
    <w:rsid w:val="4F021BCA"/>
    <w:rsid w:val="4F0F42E7"/>
    <w:rsid w:val="4F115764"/>
    <w:rsid w:val="4F371340"/>
    <w:rsid w:val="4F3D4505"/>
    <w:rsid w:val="4F546152"/>
    <w:rsid w:val="4F5C0387"/>
    <w:rsid w:val="4F6208BA"/>
    <w:rsid w:val="4F6E3703"/>
    <w:rsid w:val="4F7A3E56"/>
    <w:rsid w:val="4F7A7412"/>
    <w:rsid w:val="4F7B2E66"/>
    <w:rsid w:val="4F837021"/>
    <w:rsid w:val="4FBA3ACA"/>
    <w:rsid w:val="4FBB4517"/>
    <w:rsid w:val="4FCB3237"/>
    <w:rsid w:val="4FCE44B1"/>
    <w:rsid w:val="4FE007A6"/>
    <w:rsid w:val="4FF16AEC"/>
    <w:rsid w:val="4FFD256E"/>
    <w:rsid w:val="50037246"/>
    <w:rsid w:val="500D2F12"/>
    <w:rsid w:val="501039DF"/>
    <w:rsid w:val="50424664"/>
    <w:rsid w:val="504274B2"/>
    <w:rsid w:val="5043693E"/>
    <w:rsid w:val="504D47CC"/>
    <w:rsid w:val="50624FF5"/>
    <w:rsid w:val="507032D0"/>
    <w:rsid w:val="50715259"/>
    <w:rsid w:val="50760251"/>
    <w:rsid w:val="508769D8"/>
    <w:rsid w:val="508B02F3"/>
    <w:rsid w:val="508E7F3C"/>
    <w:rsid w:val="50927935"/>
    <w:rsid w:val="509E3B74"/>
    <w:rsid w:val="50A32F39"/>
    <w:rsid w:val="50A839D1"/>
    <w:rsid w:val="50AA3EE6"/>
    <w:rsid w:val="50D72926"/>
    <w:rsid w:val="50DE31B0"/>
    <w:rsid w:val="50E269EF"/>
    <w:rsid w:val="50EC2BCA"/>
    <w:rsid w:val="50F43794"/>
    <w:rsid w:val="510F5CB6"/>
    <w:rsid w:val="51134562"/>
    <w:rsid w:val="5126166B"/>
    <w:rsid w:val="512C2E00"/>
    <w:rsid w:val="513242BC"/>
    <w:rsid w:val="514C175F"/>
    <w:rsid w:val="515B5BEE"/>
    <w:rsid w:val="519035B6"/>
    <w:rsid w:val="5191496F"/>
    <w:rsid w:val="51951DEF"/>
    <w:rsid w:val="519B2FFB"/>
    <w:rsid w:val="51AE4DB8"/>
    <w:rsid w:val="51DC3F8A"/>
    <w:rsid w:val="51E43809"/>
    <w:rsid w:val="51E608FC"/>
    <w:rsid w:val="51ED5F84"/>
    <w:rsid w:val="51ED60AC"/>
    <w:rsid w:val="51F50FAE"/>
    <w:rsid w:val="51F903FC"/>
    <w:rsid w:val="51FB1986"/>
    <w:rsid w:val="5208399B"/>
    <w:rsid w:val="520B1386"/>
    <w:rsid w:val="5222639A"/>
    <w:rsid w:val="52272346"/>
    <w:rsid w:val="522741A6"/>
    <w:rsid w:val="52583B2C"/>
    <w:rsid w:val="52614A8E"/>
    <w:rsid w:val="52635D44"/>
    <w:rsid w:val="52776CE2"/>
    <w:rsid w:val="527F656A"/>
    <w:rsid w:val="528F1931"/>
    <w:rsid w:val="529B5B9D"/>
    <w:rsid w:val="529F5124"/>
    <w:rsid w:val="52A00ECB"/>
    <w:rsid w:val="52A70384"/>
    <w:rsid w:val="52B14033"/>
    <w:rsid w:val="52B636DD"/>
    <w:rsid w:val="52BB6C5F"/>
    <w:rsid w:val="52C43E23"/>
    <w:rsid w:val="52C71500"/>
    <w:rsid w:val="52C74E1E"/>
    <w:rsid w:val="52D03D8D"/>
    <w:rsid w:val="52D3090B"/>
    <w:rsid w:val="52E34DBC"/>
    <w:rsid w:val="52F14884"/>
    <w:rsid w:val="53001F5C"/>
    <w:rsid w:val="531A7A3B"/>
    <w:rsid w:val="53234805"/>
    <w:rsid w:val="53371F50"/>
    <w:rsid w:val="535733B5"/>
    <w:rsid w:val="53576453"/>
    <w:rsid w:val="536275BE"/>
    <w:rsid w:val="5372614B"/>
    <w:rsid w:val="537644A3"/>
    <w:rsid w:val="5387235B"/>
    <w:rsid w:val="5393457C"/>
    <w:rsid w:val="53AC1D52"/>
    <w:rsid w:val="53B05DCE"/>
    <w:rsid w:val="53B46C9D"/>
    <w:rsid w:val="53B65CA7"/>
    <w:rsid w:val="53CA4429"/>
    <w:rsid w:val="53D963A2"/>
    <w:rsid w:val="53E50B71"/>
    <w:rsid w:val="53E8662E"/>
    <w:rsid w:val="540B5711"/>
    <w:rsid w:val="54324CFF"/>
    <w:rsid w:val="54325F10"/>
    <w:rsid w:val="5440264B"/>
    <w:rsid w:val="54501629"/>
    <w:rsid w:val="545A4256"/>
    <w:rsid w:val="545E17F4"/>
    <w:rsid w:val="546143E9"/>
    <w:rsid w:val="546E1AAF"/>
    <w:rsid w:val="5475299E"/>
    <w:rsid w:val="54761801"/>
    <w:rsid w:val="547B37BB"/>
    <w:rsid w:val="54841300"/>
    <w:rsid w:val="54880DC3"/>
    <w:rsid w:val="5489250E"/>
    <w:rsid w:val="54985506"/>
    <w:rsid w:val="54A92AE8"/>
    <w:rsid w:val="54B03E76"/>
    <w:rsid w:val="54B5784B"/>
    <w:rsid w:val="54BA7EA4"/>
    <w:rsid w:val="54BF2D11"/>
    <w:rsid w:val="54E41CA2"/>
    <w:rsid w:val="54E921AD"/>
    <w:rsid w:val="54F55D2D"/>
    <w:rsid w:val="54FF79A8"/>
    <w:rsid w:val="55056BCC"/>
    <w:rsid w:val="550B5550"/>
    <w:rsid w:val="55216B22"/>
    <w:rsid w:val="552B2379"/>
    <w:rsid w:val="553D6107"/>
    <w:rsid w:val="55610682"/>
    <w:rsid w:val="559B524A"/>
    <w:rsid w:val="55AE4B76"/>
    <w:rsid w:val="55AF05D2"/>
    <w:rsid w:val="55BB5298"/>
    <w:rsid w:val="55BD52C8"/>
    <w:rsid w:val="55CC551E"/>
    <w:rsid w:val="55EC390A"/>
    <w:rsid w:val="55F06C20"/>
    <w:rsid w:val="55F32475"/>
    <w:rsid w:val="55F6001A"/>
    <w:rsid w:val="55FF3307"/>
    <w:rsid w:val="560839BA"/>
    <w:rsid w:val="560E1C75"/>
    <w:rsid w:val="56134213"/>
    <w:rsid w:val="562A168B"/>
    <w:rsid w:val="56301712"/>
    <w:rsid w:val="566861D2"/>
    <w:rsid w:val="56927CD7"/>
    <w:rsid w:val="569B72DC"/>
    <w:rsid w:val="56AB0D99"/>
    <w:rsid w:val="56BD725A"/>
    <w:rsid w:val="56BF08AB"/>
    <w:rsid w:val="56D36446"/>
    <w:rsid w:val="56D54068"/>
    <w:rsid w:val="56E61DD1"/>
    <w:rsid w:val="56F221ED"/>
    <w:rsid w:val="56F40992"/>
    <w:rsid w:val="5704678E"/>
    <w:rsid w:val="57064096"/>
    <w:rsid w:val="57182EFE"/>
    <w:rsid w:val="57316FCA"/>
    <w:rsid w:val="573E1C0D"/>
    <w:rsid w:val="574C5AC3"/>
    <w:rsid w:val="57654793"/>
    <w:rsid w:val="57743436"/>
    <w:rsid w:val="577D144A"/>
    <w:rsid w:val="577D428D"/>
    <w:rsid w:val="578E07D6"/>
    <w:rsid w:val="57A02FAD"/>
    <w:rsid w:val="57A61D96"/>
    <w:rsid w:val="57A95DBD"/>
    <w:rsid w:val="57AC4BFF"/>
    <w:rsid w:val="57B10004"/>
    <w:rsid w:val="57C00874"/>
    <w:rsid w:val="57C540DC"/>
    <w:rsid w:val="57CC4E3B"/>
    <w:rsid w:val="57E26B8D"/>
    <w:rsid w:val="57E81072"/>
    <w:rsid w:val="58123A8F"/>
    <w:rsid w:val="581559E9"/>
    <w:rsid w:val="581666E6"/>
    <w:rsid w:val="58201313"/>
    <w:rsid w:val="5824556F"/>
    <w:rsid w:val="58454D01"/>
    <w:rsid w:val="58501BF8"/>
    <w:rsid w:val="585E53D0"/>
    <w:rsid w:val="586E26F4"/>
    <w:rsid w:val="5870229A"/>
    <w:rsid w:val="58723C7C"/>
    <w:rsid w:val="58747421"/>
    <w:rsid w:val="587D4A6C"/>
    <w:rsid w:val="588949DD"/>
    <w:rsid w:val="58A62BA4"/>
    <w:rsid w:val="58C12AF6"/>
    <w:rsid w:val="58D02D39"/>
    <w:rsid w:val="58D60995"/>
    <w:rsid w:val="58D96D95"/>
    <w:rsid w:val="58E10AA2"/>
    <w:rsid w:val="58EA2684"/>
    <w:rsid w:val="58F75CB5"/>
    <w:rsid w:val="59145DC3"/>
    <w:rsid w:val="59274A42"/>
    <w:rsid w:val="592F76F7"/>
    <w:rsid w:val="593F3293"/>
    <w:rsid w:val="594B6459"/>
    <w:rsid w:val="5974265D"/>
    <w:rsid w:val="598221CE"/>
    <w:rsid w:val="598475E5"/>
    <w:rsid w:val="598B6B18"/>
    <w:rsid w:val="598B6C60"/>
    <w:rsid w:val="59A77200"/>
    <w:rsid w:val="59AF0404"/>
    <w:rsid w:val="59B811D2"/>
    <w:rsid w:val="59BE403A"/>
    <w:rsid w:val="59C14ADA"/>
    <w:rsid w:val="59C503C4"/>
    <w:rsid w:val="59D92F77"/>
    <w:rsid w:val="59E7556E"/>
    <w:rsid w:val="59F92E55"/>
    <w:rsid w:val="5A01761B"/>
    <w:rsid w:val="5A201F46"/>
    <w:rsid w:val="5A3C63D1"/>
    <w:rsid w:val="5A3D7BE8"/>
    <w:rsid w:val="5A3F1C9A"/>
    <w:rsid w:val="5A435B69"/>
    <w:rsid w:val="5A5974B5"/>
    <w:rsid w:val="5A6951F3"/>
    <w:rsid w:val="5A7F7417"/>
    <w:rsid w:val="5A8E4C59"/>
    <w:rsid w:val="5A9D4E9D"/>
    <w:rsid w:val="5AB578A0"/>
    <w:rsid w:val="5AB81209"/>
    <w:rsid w:val="5AC54F7B"/>
    <w:rsid w:val="5AC63126"/>
    <w:rsid w:val="5ACA61DE"/>
    <w:rsid w:val="5AE25D78"/>
    <w:rsid w:val="5AEB6E3E"/>
    <w:rsid w:val="5AF80757"/>
    <w:rsid w:val="5AFE2270"/>
    <w:rsid w:val="5B0359C4"/>
    <w:rsid w:val="5B0C4CAD"/>
    <w:rsid w:val="5B0E72B6"/>
    <w:rsid w:val="5B1102A4"/>
    <w:rsid w:val="5B132DCD"/>
    <w:rsid w:val="5B340E49"/>
    <w:rsid w:val="5B3F3E24"/>
    <w:rsid w:val="5B413A7A"/>
    <w:rsid w:val="5B491B70"/>
    <w:rsid w:val="5B4D241F"/>
    <w:rsid w:val="5B5C259B"/>
    <w:rsid w:val="5B6F4A8B"/>
    <w:rsid w:val="5B7871DF"/>
    <w:rsid w:val="5B830895"/>
    <w:rsid w:val="5BAF4E87"/>
    <w:rsid w:val="5BBB382C"/>
    <w:rsid w:val="5BC03756"/>
    <w:rsid w:val="5BF3378B"/>
    <w:rsid w:val="5BFF3207"/>
    <w:rsid w:val="5C063CBF"/>
    <w:rsid w:val="5C092DAD"/>
    <w:rsid w:val="5C096452"/>
    <w:rsid w:val="5C156FF2"/>
    <w:rsid w:val="5C171A1B"/>
    <w:rsid w:val="5C1902CA"/>
    <w:rsid w:val="5C1B4CCD"/>
    <w:rsid w:val="5C4833FA"/>
    <w:rsid w:val="5C6043D4"/>
    <w:rsid w:val="5C7514E3"/>
    <w:rsid w:val="5C760207"/>
    <w:rsid w:val="5C7F3569"/>
    <w:rsid w:val="5C806824"/>
    <w:rsid w:val="5CA009AE"/>
    <w:rsid w:val="5CB34038"/>
    <w:rsid w:val="5CBE5FD4"/>
    <w:rsid w:val="5CC02A2D"/>
    <w:rsid w:val="5CC10B53"/>
    <w:rsid w:val="5CD34A43"/>
    <w:rsid w:val="5CEC2016"/>
    <w:rsid w:val="5CF16BBD"/>
    <w:rsid w:val="5D015BB7"/>
    <w:rsid w:val="5D157B4B"/>
    <w:rsid w:val="5D197C22"/>
    <w:rsid w:val="5D2E4F87"/>
    <w:rsid w:val="5D3B1572"/>
    <w:rsid w:val="5D506423"/>
    <w:rsid w:val="5D8044CD"/>
    <w:rsid w:val="5D865323"/>
    <w:rsid w:val="5D8E0ABF"/>
    <w:rsid w:val="5D912BD6"/>
    <w:rsid w:val="5D944335"/>
    <w:rsid w:val="5D9B1BF7"/>
    <w:rsid w:val="5DA02272"/>
    <w:rsid w:val="5DA16A52"/>
    <w:rsid w:val="5DA362FB"/>
    <w:rsid w:val="5DA36E72"/>
    <w:rsid w:val="5DBA19EB"/>
    <w:rsid w:val="5DBC5B7A"/>
    <w:rsid w:val="5DC80482"/>
    <w:rsid w:val="5DD40BD5"/>
    <w:rsid w:val="5DD44A34"/>
    <w:rsid w:val="5DD7237A"/>
    <w:rsid w:val="5DEA5A02"/>
    <w:rsid w:val="5DF671F6"/>
    <w:rsid w:val="5DFC1EDA"/>
    <w:rsid w:val="5DFD09B2"/>
    <w:rsid w:val="5E162F9C"/>
    <w:rsid w:val="5E3E2B7D"/>
    <w:rsid w:val="5E446844"/>
    <w:rsid w:val="5E877319"/>
    <w:rsid w:val="5EA277F6"/>
    <w:rsid w:val="5EB70430"/>
    <w:rsid w:val="5EBE2B1D"/>
    <w:rsid w:val="5EC450EE"/>
    <w:rsid w:val="5EC56770"/>
    <w:rsid w:val="5ED00BDD"/>
    <w:rsid w:val="5EE70213"/>
    <w:rsid w:val="5EF56019"/>
    <w:rsid w:val="5EFD23AE"/>
    <w:rsid w:val="5F0507BC"/>
    <w:rsid w:val="5F4A1EEF"/>
    <w:rsid w:val="5F69507D"/>
    <w:rsid w:val="5F742670"/>
    <w:rsid w:val="5F8A1C50"/>
    <w:rsid w:val="5F8E0142"/>
    <w:rsid w:val="5F965F3F"/>
    <w:rsid w:val="5F9E149B"/>
    <w:rsid w:val="5F9E593F"/>
    <w:rsid w:val="5FA12037"/>
    <w:rsid w:val="5FB55316"/>
    <w:rsid w:val="5FCD1325"/>
    <w:rsid w:val="5FD72BFF"/>
    <w:rsid w:val="5FD90725"/>
    <w:rsid w:val="5FEB66AA"/>
    <w:rsid w:val="602005D7"/>
    <w:rsid w:val="602F2A3B"/>
    <w:rsid w:val="603349F6"/>
    <w:rsid w:val="60373A03"/>
    <w:rsid w:val="60485260"/>
    <w:rsid w:val="604C7106"/>
    <w:rsid w:val="60531502"/>
    <w:rsid w:val="60536017"/>
    <w:rsid w:val="60550939"/>
    <w:rsid w:val="60636507"/>
    <w:rsid w:val="60760CD7"/>
    <w:rsid w:val="607E60DD"/>
    <w:rsid w:val="60874625"/>
    <w:rsid w:val="608A1236"/>
    <w:rsid w:val="60912CAB"/>
    <w:rsid w:val="60AF6A08"/>
    <w:rsid w:val="60B028DC"/>
    <w:rsid w:val="60C30418"/>
    <w:rsid w:val="60C50EA7"/>
    <w:rsid w:val="60E8781E"/>
    <w:rsid w:val="60FD7918"/>
    <w:rsid w:val="60FF065F"/>
    <w:rsid w:val="610B51F0"/>
    <w:rsid w:val="61146CF4"/>
    <w:rsid w:val="611934DB"/>
    <w:rsid w:val="61277B90"/>
    <w:rsid w:val="612B00AD"/>
    <w:rsid w:val="6146003C"/>
    <w:rsid w:val="61516DE0"/>
    <w:rsid w:val="61534507"/>
    <w:rsid w:val="615545F7"/>
    <w:rsid w:val="615C44CF"/>
    <w:rsid w:val="61660A6E"/>
    <w:rsid w:val="61767D47"/>
    <w:rsid w:val="617912AD"/>
    <w:rsid w:val="618958B2"/>
    <w:rsid w:val="61902523"/>
    <w:rsid w:val="61A524A3"/>
    <w:rsid w:val="61BE1DA1"/>
    <w:rsid w:val="61C53457"/>
    <w:rsid w:val="61CD42B9"/>
    <w:rsid w:val="61D11C46"/>
    <w:rsid w:val="61F90087"/>
    <w:rsid w:val="622B7371"/>
    <w:rsid w:val="62326812"/>
    <w:rsid w:val="62552403"/>
    <w:rsid w:val="625737B6"/>
    <w:rsid w:val="628B309E"/>
    <w:rsid w:val="629253D6"/>
    <w:rsid w:val="629D16DF"/>
    <w:rsid w:val="62AC1B7E"/>
    <w:rsid w:val="62AE5E99"/>
    <w:rsid w:val="62CA25A7"/>
    <w:rsid w:val="62CD7D0E"/>
    <w:rsid w:val="62DE42A4"/>
    <w:rsid w:val="62DF384D"/>
    <w:rsid w:val="62FD6821"/>
    <w:rsid w:val="6306375E"/>
    <w:rsid w:val="631321A0"/>
    <w:rsid w:val="63145DAC"/>
    <w:rsid w:val="63216698"/>
    <w:rsid w:val="63350A29"/>
    <w:rsid w:val="63491078"/>
    <w:rsid w:val="634A37D1"/>
    <w:rsid w:val="634F4921"/>
    <w:rsid w:val="63605AB8"/>
    <w:rsid w:val="63620A31"/>
    <w:rsid w:val="636447A9"/>
    <w:rsid w:val="63651355"/>
    <w:rsid w:val="638210D3"/>
    <w:rsid w:val="638B43E1"/>
    <w:rsid w:val="639420DB"/>
    <w:rsid w:val="6397584A"/>
    <w:rsid w:val="63B15515"/>
    <w:rsid w:val="63B303C2"/>
    <w:rsid w:val="63B86EAA"/>
    <w:rsid w:val="63BF40D6"/>
    <w:rsid w:val="63CC1042"/>
    <w:rsid w:val="63D90944"/>
    <w:rsid w:val="64035A9B"/>
    <w:rsid w:val="640B10C9"/>
    <w:rsid w:val="640E58D1"/>
    <w:rsid w:val="641461CF"/>
    <w:rsid w:val="642D2C6F"/>
    <w:rsid w:val="64326D27"/>
    <w:rsid w:val="64374055"/>
    <w:rsid w:val="6448099E"/>
    <w:rsid w:val="6448736A"/>
    <w:rsid w:val="64504D2E"/>
    <w:rsid w:val="64650188"/>
    <w:rsid w:val="647A2F18"/>
    <w:rsid w:val="64833355"/>
    <w:rsid w:val="64913B23"/>
    <w:rsid w:val="64AC4960"/>
    <w:rsid w:val="64BE5FF1"/>
    <w:rsid w:val="64C645DF"/>
    <w:rsid w:val="64CF03AB"/>
    <w:rsid w:val="64DB0A9B"/>
    <w:rsid w:val="64DD3919"/>
    <w:rsid w:val="64FB113D"/>
    <w:rsid w:val="650136CD"/>
    <w:rsid w:val="65071890"/>
    <w:rsid w:val="651925FD"/>
    <w:rsid w:val="651F307E"/>
    <w:rsid w:val="652017A8"/>
    <w:rsid w:val="65297A59"/>
    <w:rsid w:val="65381C0E"/>
    <w:rsid w:val="654D1C9F"/>
    <w:rsid w:val="655B17E2"/>
    <w:rsid w:val="656755AB"/>
    <w:rsid w:val="656942F9"/>
    <w:rsid w:val="65716C34"/>
    <w:rsid w:val="65766A16"/>
    <w:rsid w:val="657D59D8"/>
    <w:rsid w:val="65852BD6"/>
    <w:rsid w:val="65A06CCA"/>
    <w:rsid w:val="65A672FB"/>
    <w:rsid w:val="65A96DEB"/>
    <w:rsid w:val="65AB2B63"/>
    <w:rsid w:val="65BA4B36"/>
    <w:rsid w:val="65C60C19"/>
    <w:rsid w:val="65D522B9"/>
    <w:rsid w:val="660101C9"/>
    <w:rsid w:val="660364FC"/>
    <w:rsid w:val="66100C18"/>
    <w:rsid w:val="66153231"/>
    <w:rsid w:val="66261918"/>
    <w:rsid w:val="66284820"/>
    <w:rsid w:val="662B2A66"/>
    <w:rsid w:val="662E5667"/>
    <w:rsid w:val="662F72F1"/>
    <w:rsid w:val="66401D55"/>
    <w:rsid w:val="66402691"/>
    <w:rsid w:val="666845B1"/>
    <w:rsid w:val="666F1DE3"/>
    <w:rsid w:val="66846F11"/>
    <w:rsid w:val="669335F3"/>
    <w:rsid w:val="66951DEB"/>
    <w:rsid w:val="669B1E03"/>
    <w:rsid w:val="669B2BD8"/>
    <w:rsid w:val="66AB16A8"/>
    <w:rsid w:val="66BC2660"/>
    <w:rsid w:val="66BD0D09"/>
    <w:rsid w:val="66D06C26"/>
    <w:rsid w:val="66D103A8"/>
    <w:rsid w:val="66E84077"/>
    <w:rsid w:val="66E856F1"/>
    <w:rsid w:val="66EA286B"/>
    <w:rsid w:val="66F62740"/>
    <w:rsid w:val="67065B78"/>
    <w:rsid w:val="670818F0"/>
    <w:rsid w:val="670A709F"/>
    <w:rsid w:val="67114C48"/>
    <w:rsid w:val="672A5D0A"/>
    <w:rsid w:val="67340937"/>
    <w:rsid w:val="673B1CC5"/>
    <w:rsid w:val="67441E1C"/>
    <w:rsid w:val="674F678A"/>
    <w:rsid w:val="67535248"/>
    <w:rsid w:val="67650AF0"/>
    <w:rsid w:val="676E5BF7"/>
    <w:rsid w:val="677127D1"/>
    <w:rsid w:val="6791557B"/>
    <w:rsid w:val="679B287B"/>
    <w:rsid w:val="67D64059"/>
    <w:rsid w:val="67DE35A2"/>
    <w:rsid w:val="67E34E14"/>
    <w:rsid w:val="67E46CB1"/>
    <w:rsid w:val="67F307F2"/>
    <w:rsid w:val="67FB1B8B"/>
    <w:rsid w:val="67FD7926"/>
    <w:rsid w:val="680D3662"/>
    <w:rsid w:val="68166C2B"/>
    <w:rsid w:val="68180529"/>
    <w:rsid w:val="683230C8"/>
    <w:rsid w:val="684400AB"/>
    <w:rsid w:val="68701E42"/>
    <w:rsid w:val="688A4CB2"/>
    <w:rsid w:val="68937E00"/>
    <w:rsid w:val="6898252F"/>
    <w:rsid w:val="689D55EC"/>
    <w:rsid w:val="68AB6102"/>
    <w:rsid w:val="68AF6678"/>
    <w:rsid w:val="68B34466"/>
    <w:rsid w:val="68B55D06"/>
    <w:rsid w:val="68B952A7"/>
    <w:rsid w:val="68BD37F2"/>
    <w:rsid w:val="68C83A2C"/>
    <w:rsid w:val="68E76E46"/>
    <w:rsid w:val="6906180C"/>
    <w:rsid w:val="690D484B"/>
    <w:rsid w:val="692C024E"/>
    <w:rsid w:val="69396506"/>
    <w:rsid w:val="6940217B"/>
    <w:rsid w:val="69450BD9"/>
    <w:rsid w:val="694C1F68"/>
    <w:rsid w:val="69500B79"/>
    <w:rsid w:val="695157D0"/>
    <w:rsid w:val="69584526"/>
    <w:rsid w:val="69730836"/>
    <w:rsid w:val="69766FE4"/>
    <w:rsid w:val="69A237F1"/>
    <w:rsid w:val="69A27DD9"/>
    <w:rsid w:val="69A47FF6"/>
    <w:rsid w:val="69B95123"/>
    <w:rsid w:val="69BB710C"/>
    <w:rsid w:val="69C73CE4"/>
    <w:rsid w:val="69D163C0"/>
    <w:rsid w:val="69DC1BB5"/>
    <w:rsid w:val="69E345E8"/>
    <w:rsid w:val="69EC3867"/>
    <w:rsid w:val="6A1004EA"/>
    <w:rsid w:val="6A3953BC"/>
    <w:rsid w:val="6A4031C4"/>
    <w:rsid w:val="6A49294B"/>
    <w:rsid w:val="6A5449E6"/>
    <w:rsid w:val="6A623161"/>
    <w:rsid w:val="6A7F33A9"/>
    <w:rsid w:val="6A905F36"/>
    <w:rsid w:val="6A916F52"/>
    <w:rsid w:val="6A97383E"/>
    <w:rsid w:val="6A9F1D97"/>
    <w:rsid w:val="6ACE260D"/>
    <w:rsid w:val="6B02105A"/>
    <w:rsid w:val="6B241461"/>
    <w:rsid w:val="6B525520"/>
    <w:rsid w:val="6B752EC5"/>
    <w:rsid w:val="6B7F3314"/>
    <w:rsid w:val="6B83565B"/>
    <w:rsid w:val="6B910106"/>
    <w:rsid w:val="6B9E58E7"/>
    <w:rsid w:val="6B9F3924"/>
    <w:rsid w:val="6BA3608B"/>
    <w:rsid w:val="6BB24E23"/>
    <w:rsid w:val="6BCD3880"/>
    <w:rsid w:val="6BD91E39"/>
    <w:rsid w:val="6BD9508A"/>
    <w:rsid w:val="6BDF3567"/>
    <w:rsid w:val="6BE91CF0"/>
    <w:rsid w:val="6C045B35"/>
    <w:rsid w:val="6C117498"/>
    <w:rsid w:val="6C1720CA"/>
    <w:rsid w:val="6C322A94"/>
    <w:rsid w:val="6C3E1D8C"/>
    <w:rsid w:val="6C4F1D22"/>
    <w:rsid w:val="6C53185F"/>
    <w:rsid w:val="6C5B77B1"/>
    <w:rsid w:val="6C643A6C"/>
    <w:rsid w:val="6C691082"/>
    <w:rsid w:val="6C6E7361"/>
    <w:rsid w:val="6C7C7E4B"/>
    <w:rsid w:val="6C977F2F"/>
    <w:rsid w:val="6CAD0F6F"/>
    <w:rsid w:val="6CAE0D30"/>
    <w:rsid w:val="6CB05520"/>
    <w:rsid w:val="6CB30550"/>
    <w:rsid w:val="6CB93EE7"/>
    <w:rsid w:val="6CC12AE2"/>
    <w:rsid w:val="6CC84FD3"/>
    <w:rsid w:val="6CDA55DB"/>
    <w:rsid w:val="6CE95B2F"/>
    <w:rsid w:val="6CF46B9E"/>
    <w:rsid w:val="6CF5432A"/>
    <w:rsid w:val="6D093871"/>
    <w:rsid w:val="6D21370B"/>
    <w:rsid w:val="6D3A754E"/>
    <w:rsid w:val="6D400035"/>
    <w:rsid w:val="6D573318"/>
    <w:rsid w:val="6D5767B8"/>
    <w:rsid w:val="6DAF3888"/>
    <w:rsid w:val="6DBB590E"/>
    <w:rsid w:val="6DBC2EBB"/>
    <w:rsid w:val="6DD24A05"/>
    <w:rsid w:val="6DF40E20"/>
    <w:rsid w:val="6DF8799B"/>
    <w:rsid w:val="6E014B77"/>
    <w:rsid w:val="6E0476FE"/>
    <w:rsid w:val="6E2C3AD0"/>
    <w:rsid w:val="6E5B2C4D"/>
    <w:rsid w:val="6E601A68"/>
    <w:rsid w:val="6E7770F6"/>
    <w:rsid w:val="6E873A42"/>
    <w:rsid w:val="6EC66318"/>
    <w:rsid w:val="6ED01875"/>
    <w:rsid w:val="6EDE1629"/>
    <w:rsid w:val="6EE3511C"/>
    <w:rsid w:val="6EE82E5B"/>
    <w:rsid w:val="6EF50254"/>
    <w:rsid w:val="6EF50DEC"/>
    <w:rsid w:val="6EFC14BD"/>
    <w:rsid w:val="6F046E40"/>
    <w:rsid w:val="6F0B58D2"/>
    <w:rsid w:val="6F0D666B"/>
    <w:rsid w:val="6F1352D6"/>
    <w:rsid w:val="6F1F7EE2"/>
    <w:rsid w:val="6F2430DF"/>
    <w:rsid w:val="6F250C8F"/>
    <w:rsid w:val="6F3A0AB4"/>
    <w:rsid w:val="6F6618A9"/>
    <w:rsid w:val="6F671BDB"/>
    <w:rsid w:val="6F6A4777"/>
    <w:rsid w:val="6F6F326D"/>
    <w:rsid w:val="6F777EAE"/>
    <w:rsid w:val="6F7B6482"/>
    <w:rsid w:val="6F7B7A02"/>
    <w:rsid w:val="6F806276"/>
    <w:rsid w:val="6F9D22F1"/>
    <w:rsid w:val="6FC37F08"/>
    <w:rsid w:val="6FCD36D6"/>
    <w:rsid w:val="6FF9271D"/>
    <w:rsid w:val="701B4F41"/>
    <w:rsid w:val="702F4391"/>
    <w:rsid w:val="705B5186"/>
    <w:rsid w:val="70630281"/>
    <w:rsid w:val="706A53C9"/>
    <w:rsid w:val="70704677"/>
    <w:rsid w:val="70716758"/>
    <w:rsid w:val="7096077F"/>
    <w:rsid w:val="70990584"/>
    <w:rsid w:val="70AE379B"/>
    <w:rsid w:val="70BE1773"/>
    <w:rsid w:val="70C464AE"/>
    <w:rsid w:val="70C823F9"/>
    <w:rsid w:val="70CE142D"/>
    <w:rsid w:val="70DA42FD"/>
    <w:rsid w:val="70E138DD"/>
    <w:rsid w:val="70E826D9"/>
    <w:rsid w:val="70F537D8"/>
    <w:rsid w:val="70F64F61"/>
    <w:rsid w:val="70F9789F"/>
    <w:rsid w:val="710A100B"/>
    <w:rsid w:val="71112066"/>
    <w:rsid w:val="71216126"/>
    <w:rsid w:val="713A23A1"/>
    <w:rsid w:val="71517EE3"/>
    <w:rsid w:val="717E2663"/>
    <w:rsid w:val="71863E99"/>
    <w:rsid w:val="71CD3E62"/>
    <w:rsid w:val="71CF0B0E"/>
    <w:rsid w:val="71EC078C"/>
    <w:rsid w:val="71FB5DE1"/>
    <w:rsid w:val="72035716"/>
    <w:rsid w:val="7207180A"/>
    <w:rsid w:val="721101F2"/>
    <w:rsid w:val="72146978"/>
    <w:rsid w:val="722874FA"/>
    <w:rsid w:val="722F0678"/>
    <w:rsid w:val="72477770"/>
    <w:rsid w:val="725D51E5"/>
    <w:rsid w:val="72671BC0"/>
    <w:rsid w:val="72810791"/>
    <w:rsid w:val="72A72905"/>
    <w:rsid w:val="72D229A4"/>
    <w:rsid w:val="72D27193"/>
    <w:rsid w:val="730E0277"/>
    <w:rsid w:val="7310553B"/>
    <w:rsid w:val="73243F55"/>
    <w:rsid w:val="732D4BB8"/>
    <w:rsid w:val="733D059E"/>
    <w:rsid w:val="73410663"/>
    <w:rsid w:val="73416402"/>
    <w:rsid w:val="735D61C9"/>
    <w:rsid w:val="735E7467"/>
    <w:rsid w:val="7361512A"/>
    <w:rsid w:val="73696C7E"/>
    <w:rsid w:val="736B1B84"/>
    <w:rsid w:val="737C1B7D"/>
    <w:rsid w:val="73A0012B"/>
    <w:rsid w:val="73A62BBC"/>
    <w:rsid w:val="73B21197"/>
    <w:rsid w:val="73E51333"/>
    <w:rsid w:val="73E613F5"/>
    <w:rsid w:val="73F97679"/>
    <w:rsid w:val="74025CA1"/>
    <w:rsid w:val="740A314B"/>
    <w:rsid w:val="740F0863"/>
    <w:rsid w:val="741445C2"/>
    <w:rsid w:val="7419315D"/>
    <w:rsid w:val="74341F76"/>
    <w:rsid w:val="744C64FD"/>
    <w:rsid w:val="745B11C0"/>
    <w:rsid w:val="74716BB5"/>
    <w:rsid w:val="747D3BF3"/>
    <w:rsid w:val="749420DC"/>
    <w:rsid w:val="74A40406"/>
    <w:rsid w:val="74A96AE7"/>
    <w:rsid w:val="74AE6FA0"/>
    <w:rsid w:val="74E120FE"/>
    <w:rsid w:val="74E41BEE"/>
    <w:rsid w:val="74F82FA3"/>
    <w:rsid w:val="74FE7827"/>
    <w:rsid w:val="75466405"/>
    <w:rsid w:val="756D0BFC"/>
    <w:rsid w:val="75780F08"/>
    <w:rsid w:val="757A3FB0"/>
    <w:rsid w:val="759C73E8"/>
    <w:rsid w:val="75AA5940"/>
    <w:rsid w:val="75AB0AA6"/>
    <w:rsid w:val="75C839E5"/>
    <w:rsid w:val="75CF09BA"/>
    <w:rsid w:val="75D9535A"/>
    <w:rsid w:val="75DE488F"/>
    <w:rsid w:val="75DF4163"/>
    <w:rsid w:val="75E7607C"/>
    <w:rsid w:val="75F220E9"/>
    <w:rsid w:val="76040BF4"/>
    <w:rsid w:val="7625426C"/>
    <w:rsid w:val="762C626B"/>
    <w:rsid w:val="76391AC6"/>
    <w:rsid w:val="7647766F"/>
    <w:rsid w:val="765863F0"/>
    <w:rsid w:val="766D6295"/>
    <w:rsid w:val="76764AC8"/>
    <w:rsid w:val="767856CA"/>
    <w:rsid w:val="767A1407"/>
    <w:rsid w:val="76831738"/>
    <w:rsid w:val="768A78DE"/>
    <w:rsid w:val="7692546B"/>
    <w:rsid w:val="76A21126"/>
    <w:rsid w:val="76B70F18"/>
    <w:rsid w:val="76CA684A"/>
    <w:rsid w:val="76CE0460"/>
    <w:rsid w:val="76D87B0D"/>
    <w:rsid w:val="76F8372F"/>
    <w:rsid w:val="77171366"/>
    <w:rsid w:val="771D2B87"/>
    <w:rsid w:val="771F5DAD"/>
    <w:rsid w:val="77256998"/>
    <w:rsid w:val="7730111A"/>
    <w:rsid w:val="77375CBD"/>
    <w:rsid w:val="77493F8A"/>
    <w:rsid w:val="77556600"/>
    <w:rsid w:val="77660933"/>
    <w:rsid w:val="776C1A27"/>
    <w:rsid w:val="777D3C34"/>
    <w:rsid w:val="77843214"/>
    <w:rsid w:val="779C055E"/>
    <w:rsid w:val="779F420C"/>
    <w:rsid w:val="77B45455"/>
    <w:rsid w:val="77B770C7"/>
    <w:rsid w:val="77B83E65"/>
    <w:rsid w:val="77BC475C"/>
    <w:rsid w:val="77BE6726"/>
    <w:rsid w:val="77C3668D"/>
    <w:rsid w:val="77ED0DBA"/>
    <w:rsid w:val="77FB0A5B"/>
    <w:rsid w:val="780E2EA7"/>
    <w:rsid w:val="781833D7"/>
    <w:rsid w:val="78281DF2"/>
    <w:rsid w:val="78287F4D"/>
    <w:rsid w:val="78323777"/>
    <w:rsid w:val="786100F2"/>
    <w:rsid w:val="78622141"/>
    <w:rsid w:val="78680440"/>
    <w:rsid w:val="786E00B9"/>
    <w:rsid w:val="7882385F"/>
    <w:rsid w:val="788334CC"/>
    <w:rsid w:val="788E574F"/>
    <w:rsid w:val="789161F9"/>
    <w:rsid w:val="78986E25"/>
    <w:rsid w:val="78A376CA"/>
    <w:rsid w:val="78B404DC"/>
    <w:rsid w:val="78CD7DE0"/>
    <w:rsid w:val="78E75809"/>
    <w:rsid w:val="78EA52F9"/>
    <w:rsid w:val="78EA70A7"/>
    <w:rsid w:val="78ED13FE"/>
    <w:rsid w:val="78F90A0C"/>
    <w:rsid w:val="790311D7"/>
    <w:rsid w:val="791F31F5"/>
    <w:rsid w:val="792D123F"/>
    <w:rsid w:val="79524DA4"/>
    <w:rsid w:val="79532E9E"/>
    <w:rsid w:val="7975478C"/>
    <w:rsid w:val="79796CE2"/>
    <w:rsid w:val="79812BB1"/>
    <w:rsid w:val="7984196A"/>
    <w:rsid w:val="798C5A9C"/>
    <w:rsid w:val="79A11E5C"/>
    <w:rsid w:val="79A72DAD"/>
    <w:rsid w:val="79B31B8F"/>
    <w:rsid w:val="79B778D1"/>
    <w:rsid w:val="79DA711C"/>
    <w:rsid w:val="79DF2984"/>
    <w:rsid w:val="79E13F3E"/>
    <w:rsid w:val="79F04B91"/>
    <w:rsid w:val="79F0693F"/>
    <w:rsid w:val="79FC52E4"/>
    <w:rsid w:val="7A1C2AF8"/>
    <w:rsid w:val="7A261C3A"/>
    <w:rsid w:val="7A2F5B83"/>
    <w:rsid w:val="7A3F3423"/>
    <w:rsid w:val="7A475B7A"/>
    <w:rsid w:val="7A4D387C"/>
    <w:rsid w:val="7A4E5D81"/>
    <w:rsid w:val="7A560E98"/>
    <w:rsid w:val="7A5D1F16"/>
    <w:rsid w:val="7A5F5873"/>
    <w:rsid w:val="7A78315F"/>
    <w:rsid w:val="7A802D36"/>
    <w:rsid w:val="7A8552D9"/>
    <w:rsid w:val="7A8D23E0"/>
    <w:rsid w:val="7AA37C6A"/>
    <w:rsid w:val="7AA62D8E"/>
    <w:rsid w:val="7AA95740"/>
    <w:rsid w:val="7ABA52F4"/>
    <w:rsid w:val="7AC027B5"/>
    <w:rsid w:val="7ACB1B9D"/>
    <w:rsid w:val="7AD3235D"/>
    <w:rsid w:val="7AD445A1"/>
    <w:rsid w:val="7AD85D51"/>
    <w:rsid w:val="7AE213CC"/>
    <w:rsid w:val="7AE3103E"/>
    <w:rsid w:val="7AF24A8F"/>
    <w:rsid w:val="7AF97A75"/>
    <w:rsid w:val="7B105B71"/>
    <w:rsid w:val="7B116B6D"/>
    <w:rsid w:val="7B157BF2"/>
    <w:rsid w:val="7B1E0BE4"/>
    <w:rsid w:val="7B2368A0"/>
    <w:rsid w:val="7B241EFA"/>
    <w:rsid w:val="7B346CFF"/>
    <w:rsid w:val="7B3C3442"/>
    <w:rsid w:val="7B433220"/>
    <w:rsid w:val="7B462B56"/>
    <w:rsid w:val="7B551150"/>
    <w:rsid w:val="7B5C7E9F"/>
    <w:rsid w:val="7B656EB9"/>
    <w:rsid w:val="7B746733"/>
    <w:rsid w:val="7B7A78AA"/>
    <w:rsid w:val="7B7E5ABE"/>
    <w:rsid w:val="7B8414B2"/>
    <w:rsid w:val="7B896288"/>
    <w:rsid w:val="7B9B585B"/>
    <w:rsid w:val="7BA23C69"/>
    <w:rsid w:val="7BB51EF2"/>
    <w:rsid w:val="7BBA6099"/>
    <w:rsid w:val="7BBB5161"/>
    <w:rsid w:val="7BBC4E09"/>
    <w:rsid w:val="7BC11BFB"/>
    <w:rsid w:val="7BD14D95"/>
    <w:rsid w:val="7BD34D19"/>
    <w:rsid w:val="7BEB3800"/>
    <w:rsid w:val="7C035163"/>
    <w:rsid w:val="7C0B3DB1"/>
    <w:rsid w:val="7C192DB2"/>
    <w:rsid w:val="7C2F3340"/>
    <w:rsid w:val="7C3D4512"/>
    <w:rsid w:val="7C650823"/>
    <w:rsid w:val="7C6E25C8"/>
    <w:rsid w:val="7C730367"/>
    <w:rsid w:val="7CAA1027"/>
    <w:rsid w:val="7CAB4D9F"/>
    <w:rsid w:val="7CAD6D69"/>
    <w:rsid w:val="7CAF31F7"/>
    <w:rsid w:val="7CC77E2B"/>
    <w:rsid w:val="7CED53B8"/>
    <w:rsid w:val="7CF36E72"/>
    <w:rsid w:val="7CFB5D27"/>
    <w:rsid w:val="7CFF64A5"/>
    <w:rsid w:val="7D1D3160"/>
    <w:rsid w:val="7D242E7E"/>
    <w:rsid w:val="7D6353C5"/>
    <w:rsid w:val="7D677AB7"/>
    <w:rsid w:val="7D864362"/>
    <w:rsid w:val="7DC87CFA"/>
    <w:rsid w:val="7DDF61F2"/>
    <w:rsid w:val="7DE81ADB"/>
    <w:rsid w:val="7DF72FDB"/>
    <w:rsid w:val="7E064983"/>
    <w:rsid w:val="7E1B0636"/>
    <w:rsid w:val="7E1D666F"/>
    <w:rsid w:val="7E1F3C97"/>
    <w:rsid w:val="7E372623"/>
    <w:rsid w:val="7E4C0500"/>
    <w:rsid w:val="7E6A36E6"/>
    <w:rsid w:val="7E7C2950"/>
    <w:rsid w:val="7E9958A6"/>
    <w:rsid w:val="7EAA17B2"/>
    <w:rsid w:val="7EB74AC2"/>
    <w:rsid w:val="7EB77A2B"/>
    <w:rsid w:val="7EB96B62"/>
    <w:rsid w:val="7EC550D4"/>
    <w:rsid w:val="7ECD0781"/>
    <w:rsid w:val="7ECD74CA"/>
    <w:rsid w:val="7ECF2FC7"/>
    <w:rsid w:val="7EE2275E"/>
    <w:rsid w:val="7EF94661"/>
    <w:rsid w:val="7EFC5D86"/>
    <w:rsid w:val="7F0B7D77"/>
    <w:rsid w:val="7F115112"/>
    <w:rsid w:val="7F1C2A22"/>
    <w:rsid w:val="7F2F1CB8"/>
    <w:rsid w:val="7F3C10EB"/>
    <w:rsid w:val="7F3E6020"/>
    <w:rsid w:val="7F434318"/>
    <w:rsid w:val="7F522778"/>
    <w:rsid w:val="7F5B2CBA"/>
    <w:rsid w:val="7F5C5679"/>
    <w:rsid w:val="7F771520"/>
    <w:rsid w:val="7F8F589D"/>
    <w:rsid w:val="7FB43907"/>
    <w:rsid w:val="7FBB614D"/>
    <w:rsid w:val="7FC20EB5"/>
    <w:rsid w:val="7FC407E2"/>
    <w:rsid w:val="7FC71EF0"/>
    <w:rsid w:val="7FD5285F"/>
    <w:rsid w:val="7FE24F7C"/>
    <w:rsid w:val="7FE74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8">
    <w:name w:val="heading 6"/>
    <w:basedOn w:val="1"/>
    <w:next w:val="1"/>
    <w:semiHidden/>
    <w:unhideWhenUsed/>
    <w:qFormat/>
    <w:uiPriority w:val="0"/>
    <w:pPr>
      <w:spacing w:line="17" w:lineRule="atLeast"/>
      <w:jc w:val="left"/>
      <w:outlineLvl w:val="5"/>
    </w:pPr>
    <w:rPr>
      <w:rFonts w:hint="eastAsia" w:ascii="宋体" w:hAnsi="宋体"/>
      <w:b/>
      <w:kern w:val="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widowControl/>
      <w:ind w:left="426" w:hanging="426" w:hangingChars="152"/>
      <w:jc w:val="left"/>
    </w:pPr>
    <w:rPr>
      <w:rFonts w:ascii="宋体"/>
      <w:kern w:val="0"/>
    </w:rPr>
  </w:style>
  <w:style w:type="paragraph" w:styleId="9">
    <w:name w:val="Normal Indent"/>
    <w:basedOn w:val="1"/>
    <w:next w:val="10"/>
    <w:qFormat/>
    <w:uiPriority w:val="0"/>
    <w:pPr>
      <w:ind w:firstLine="420"/>
    </w:pPr>
  </w:style>
  <w:style w:type="paragraph" w:styleId="10">
    <w:name w:val="toc 4"/>
    <w:basedOn w:val="1"/>
    <w:next w:val="1"/>
    <w:qFormat/>
    <w:uiPriority w:val="39"/>
    <w:pPr>
      <w:ind w:left="630"/>
      <w:jc w:val="left"/>
    </w:pPr>
    <w:rPr>
      <w:rFonts w:cs="Calibri"/>
      <w:sz w:val="18"/>
      <w:szCs w:val="18"/>
    </w:rPr>
  </w:style>
  <w:style w:type="paragraph" w:styleId="11">
    <w:name w:val="Salutation"/>
    <w:basedOn w:val="1"/>
    <w:next w:val="1"/>
    <w:qFormat/>
    <w:uiPriority w:val="0"/>
  </w:style>
  <w:style w:type="paragraph" w:styleId="12">
    <w:name w:val="Body Text"/>
    <w:basedOn w:val="1"/>
    <w:qFormat/>
    <w:uiPriority w:val="0"/>
    <w:pPr>
      <w:spacing w:after="120"/>
    </w:pPr>
  </w:style>
  <w:style w:type="paragraph" w:styleId="13">
    <w:name w:val="Plain Text"/>
    <w:basedOn w:val="1"/>
    <w:qFormat/>
    <w:uiPriority w:val="0"/>
    <w:rPr>
      <w:rFonts w:ascii="宋体" w:hAnsi="Courier New"/>
    </w:rPr>
  </w:style>
  <w:style w:type="paragraph" w:styleId="14">
    <w:name w:val="Date"/>
    <w:basedOn w:val="1"/>
    <w:next w:val="1"/>
    <w:link w:val="68"/>
    <w:qFormat/>
    <w:uiPriority w:val="0"/>
  </w:style>
  <w:style w:type="paragraph" w:styleId="15">
    <w:name w:val="Body Text Indent 2"/>
    <w:basedOn w:val="1"/>
    <w:next w:val="1"/>
    <w:qFormat/>
    <w:uiPriority w:val="0"/>
    <w:pPr>
      <w:spacing w:after="120" w:line="480" w:lineRule="auto"/>
      <w:ind w:left="420" w:leftChars="200"/>
    </w:pPr>
  </w:style>
  <w:style w:type="paragraph" w:styleId="16">
    <w:name w:val="footer"/>
    <w:basedOn w:val="1"/>
    <w:link w:val="66"/>
    <w:qFormat/>
    <w:uiPriority w:val="99"/>
    <w:pPr>
      <w:tabs>
        <w:tab w:val="center" w:pos="4153"/>
        <w:tab w:val="right" w:pos="8306"/>
      </w:tabs>
      <w:snapToGrid w:val="0"/>
      <w:jc w:val="left"/>
    </w:pPr>
    <w:rPr>
      <w:sz w:val="18"/>
      <w:szCs w:val="18"/>
    </w:rPr>
  </w:style>
  <w:style w:type="paragraph" w:styleId="17">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Body Text Indent 3"/>
    <w:basedOn w:val="1"/>
    <w:qFormat/>
    <w:uiPriority w:val="0"/>
    <w:pPr>
      <w:spacing w:line="440" w:lineRule="exact"/>
      <w:ind w:firstLine="480" w:firstLineChars="200"/>
    </w:pPr>
    <w:rPr>
      <w:rFonts w:ascii="宋体" w:hAnsi="宋体"/>
      <w:color w:val="000000"/>
      <w:sz w:val="24"/>
    </w:rPr>
  </w:style>
  <w:style w:type="paragraph" w:styleId="20">
    <w:name w:val="Body Text 2"/>
    <w:basedOn w:val="1"/>
    <w:unhideWhenUsed/>
    <w:qFormat/>
    <w:uiPriority w:val="99"/>
    <w:rPr>
      <w:rFonts w:ascii="楷体_GB2312" w:hAnsi="Copperplate Gothic Bold" w:eastAsia="楷体_GB2312"/>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2"/>
    <w:next w:val="2"/>
    <w:qFormat/>
    <w:uiPriority w:val="0"/>
    <w:pPr>
      <w:ind w:firstLine="420" w:firstLineChars="100"/>
    </w:pPr>
    <w:rPr>
      <w:rFonts w:eastAsia="仿宋_GB231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rPr>
      <w:rFonts w:ascii="ActionIcon ! important" w:hAnsi="ActionIcon ! important" w:eastAsia="ActionIcon ! important" w:cs="ActionIcon ! important"/>
      <w:vanish/>
      <w:color w:val="3D4B62"/>
      <w:sz w:val="24"/>
      <w:szCs w:val="24"/>
    </w:rPr>
  </w:style>
  <w:style w:type="character" w:styleId="34">
    <w:name w:val="HTML Variable"/>
    <w:basedOn w:val="26"/>
    <w:qFormat/>
    <w:uiPriority w:val="0"/>
    <w:rPr>
      <w:sz w:val="0"/>
      <w:szCs w:val="0"/>
      <w:bdr w:val="single" w:color="auto" w:sz="2" w:space="0"/>
    </w:rPr>
  </w:style>
  <w:style w:type="character" w:styleId="35">
    <w:name w:val="Hyperlink"/>
    <w:basedOn w:val="26"/>
    <w:qFormat/>
    <w:uiPriority w:val="0"/>
    <w:rPr>
      <w:color w:val="0000FF"/>
      <w:u w:val="none"/>
    </w:rPr>
  </w:style>
  <w:style w:type="character" w:styleId="36">
    <w:name w:val="HTML Code"/>
    <w:basedOn w:val="26"/>
    <w:qFormat/>
    <w:uiPriority w:val="0"/>
    <w:rPr>
      <w:rFonts w:hint="default" w:ascii="Consolas" w:hAnsi="Consolas" w:eastAsia="Consolas" w:cs="Consolas"/>
      <w:color w:val="C7254E"/>
      <w:sz w:val="21"/>
      <w:szCs w:val="21"/>
      <w:shd w:val="clear" w:color="auto" w:fill="F9F2F4"/>
    </w:rPr>
  </w:style>
  <w:style w:type="character" w:styleId="37">
    <w:name w:val="HTML Cite"/>
    <w:basedOn w:val="26"/>
    <w:qFormat/>
    <w:uiPriority w:val="0"/>
  </w:style>
  <w:style w:type="character" w:styleId="38">
    <w:name w:val="HTML Keyboard"/>
    <w:basedOn w:val="26"/>
    <w:qFormat/>
    <w:uiPriority w:val="0"/>
    <w:rPr>
      <w:rFonts w:ascii="Consolas" w:hAnsi="Consolas" w:eastAsia="Consolas" w:cs="Consolas"/>
      <w:color w:val="FFFFFF"/>
      <w:sz w:val="21"/>
      <w:szCs w:val="21"/>
      <w:shd w:val="clear" w:color="auto" w:fill="333333"/>
    </w:rPr>
  </w:style>
  <w:style w:type="character" w:styleId="39">
    <w:name w:val="HTML Sample"/>
    <w:basedOn w:val="26"/>
    <w:qFormat/>
    <w:uiPriority w:val="0"/>
    <w:rPr>
      <w:rFonts w:hint="default" w:ascii="Consolas" w:hAnsi="Consolas" w:eastAsia="Consolas" w:cs="Consolas"/>
      <w:sz w:val="21"/>
      <w:szCs w:val="21"/>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34"/>
    <w:pPr>
      <w:ind w:firstLine="420" w:firstLineChars="200"/>
      <w:jc w:val="left"/>
    </w:pPr>
    <w:rPr>
      <w:rFonts w:ascii="Times New Roman" w:hAnsi="Times New Roman"/>
      <w:szCs w:val="24"/>
    </w:rPr>
  </w:style>
  <w:style w:type="paragraph" w:customStyle="1" w:styleId="42">
    <w:name w:val="正文缩进1"/>
    <w:basedOn w:val="1"/>
    <w:qFormat/>
    <w:uiPriority w:val="0"/>
    <w:pPr>
      <w:ind w:firstLine="420" w:firstLineChars="200"/>
    </w:pPr>
  </w:style>
  <w:style w:type="paragraph" w:customStyle="1" w:styleId="43">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44">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szCs w:val="24"/>
    </w:rPr>
  </w:style>
  <w:style w:type="paragraph" w:customStyle="1" w:styleId="45">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7">
    <w:name w:val="(符号)四标题1.1"/>
    <w:basedOn w:val="1"/>
    <w:qFormat/>
    <w:uiPriority w:val="0"/>
    <w:pPr>
      <w:tabs>
        <w:tab w:val="left" w:pos="700"/>
      </w:tabs>
      <w:spacing w:line="500" w:lineRule="atLeast"/>
      <w:ind w:left="700" w:hanging="700"/>
    </w:pPr>
    <w:rPr>
      <w:rFonts w:ascii="宋体" w:hAnsi="宋体"/>
      <w:color w:val="000000"/>
      <w:kern w:val="0"/>
      <w:sz w:val="24"/>
    </w:rPr>
  </w:style>
  <w:style w:type="paragraph" w:customStyle="1" w:styleId="48">
    <w:name w:val="目录"/>
    <w:basedOn w:val="1"/>
    <w:qFormat/>
    <w:uiPriority w:val="0"/>
    <w:pPr>
      <w:widowControl/>
      <w:jc w:val="center"/>
    </w:pPr>
    <w:rPr>
      <w:rFonts w:ascii="宋体"/>
      <w:b/>
      <w:kern w:val="0"/>
      <w:sz w:val="36"/>
    </w:rPr>
  </w:style>
  <w:style w:type="paragraph" w:customStyle="1" w:styleId="49">
    <w:name w:val="目录文字"/>
    <w:basedOn w:val="1"/>
    <w:qFormat/>
    <w:uiPriority w:val="0"/>
    <w:pPr>
      <w:widowControl/>
      <w:spacing w:line="480" w:lineRule="auto"/>
      <w:jc w:val="left"/>
    </w:pPr>
    <w:rPr>
      <w:rFonts w:ascii="宋体" w:hAnsi="宋体"/>
      <w:kern w:val="0"/>
      <w:sz w:val="24"/>
    </w:rPr>
  </w:style>
  <w:style w:type="paragraph" w:customStyle="1" w:styleId="50">
    <w:name w:val="默认段落字体 Para Char Char Char Char"/>
    <w:basedOn w:val="1"/>
    <w:qFormat/>
    <w:uiPriority w:val="0"/>
  </w:style>
  <w:style w:type="paragraph" w:customStyle="1" w:styleId="51">
    <w:name w:val="p0"/>
    <w:basedOn w:val="1"/>
    <w:qFormat/>
    <w:uiPriority w:val="0"/>
    <w:pPr>
      <w:widowControl/>
    </w:pPr>
    <w:rPr>
      <w:kern w:val="0"/>
      <w:szCs w:val="21"/>
    </w:rPr>
  </w:style>
  <w:style w:type="paragraph" w:customStyle="1" w:styleId="52">
    <w:name w:val="列表段落1"/>
    <w:basedOn w:val="1"/>
    <w:qFormat/>
    <w:uiPriority w:val="0"/>
    <w:pPr>
      <w:ind w:firstLine="420" w:firstLineChars="200"/>
    </w:pPr>
    <w:rPr>
      <w:rFonts w:ascii="宋体"/>
      <w:kern w:val="0"/>
      <w:sz w:val="24"/>
    </w:rPr>
  </w:style>
  <w:style w:type="paragraph" w:customStyle="1" w:styleId="53">
    <w:name w:val="Table Paragraph"/>
    <w:basedOn w:val="1"/>
    <w:qFormat/>
    <w:uiPriority w:val="99"/>
    <w:pPr>
      <w:spacing w:before="13" w:line="192" w:lineRule="exact"/>
      <w:ind w:left="20"/>
      <w:jc w:val="center"/>
    </w:pPr>
    <w:rPr>
      <w:rFonts w:ascii="微软雅黑" w:hAnsi="微软雅黑" w:eastAsia="微软雅黑" w:cs="微软雅黑"/>
      <w:lang w:val="pt-PT" w:eastAsia="pt-PT"/>
    </w:rPr>
  </w:style>
  <w:style w:type="paragraph" w:customStyle="1" w:styleId="54">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55">
    <w:name w:val="表 靠左"/>
    <w:basedOn w:val="1"/>
    <w:qFormat/>
    <w:uiPriority w:val="0"/>
    <w:rPr>
      <w:rFonts w:ascii="宋体" w:hAnsi="宋体"/>
      <w:sz w:val="21"/>
      <w:szCs w:val="21"/>
    </w:rPr>
  </w:style>
  <w:style w:type="paragraph" w:customStyle="1" w:styleId="56">
    <w:name w:val="(符号)三标题1."/>
    <w:basedOn w:val="1"/>
    <w:qFormat/>
    <w:uiPriority w:val="0"/>
    <w:pPr>
      <w:tabs>
        <w:tab w:val="left" w:pos="420"/>
      </w:tabs>
      <w:spacing w:before="140" w:after="140" w:line="500" w:lineRule="atLeast"/>
      <w:ind w:left="430" w:hanging="430"/>
      <w:outlineLvl w:val="2"/>
    </w:pPr>
    <w:rPr>
      <w:rFonts w:ascii="楷体_GB2312" w:hAnsi="宋体" w:eastAsia="楷体_GB2312"/>
      <w:b/>
      <w:bCs/>
    </w:rPr>
  </w:style>
  <w:style w:type="paragraph" w:customStyle="1" w:styleId="57">
    <w:name w:val="xl36"/>
    <w:basedOn w:val="1"/>
    <w:qFormat/>
    <w:uiPriority w:val="0"/>
    <w:pPr>
      <w:widowControl/>
      <w:spacing w:before="100" w:after="100"/>
      <w:jc w:val="center"/>
    </w:pPr>
    <w:rPr>
      <w:rFonts w:hint="eastAsia" w:ascii="宋体" w:hAnsi="宋体"/>
      <w:kern w:val="0"/>
      <w:sz w:val="24"/>
    </w:rPr>
  </w:style>
  <w:style w:type="paragraph" w:customStyle="1" w:styleId="58">
    <w:name w:val="p15"/>
    <w:basedOn w:val="1"/>
    <w:qFormat/>
    <w:uiPriority w:val="99"/>
    <w:pPr>
      <w:widowControl/>
    </w:pPr>
    <w:rPr>
      <w:kern w:val="0"/>
      <w:szCs w:val="21"/>
    </w:rPr>
  </w:style>
  <w:style w:type="paragraph" w:customStyle="1" w:styleId="59">
    <w:name w:val="标题 11"/>
    <w:basedOn w:val="1"/>
    <w:qFormat/>
    <w:uiPriority w:val="0"/>
    <w:pPr>
      <w:autoSpaceDE w:val="0"/>
      <w:autoSpaceDN w:val="0"/>
      <w:adjustRightInd w:val="0"/>
      <w:ind w:left="1704"/>
      <w:jc w:val="left"/>
      <w:outlineLvl w:val="0"/>
    </w:pPr>
    <w:rPr>
      <w:rFonts w:ascii="黑体" w:eastAsia="黑体" w:cs="黑体"/>
      <w:b/>
      <w:bCs/>
      <w:kern w:val="0"/>
      <w:sz w:val="32"/>
      <w:szCs w:val="32"/>
    </w:rPr>
  </w:style>
  <w:style w:type="character" w:customStyle="1" w:styleId="60">
    <w:name w:val="font12"/>
    <w:basedOn w:val="26"/>
    <w:qFormat/>
    <w:uiPriority w:val="0"/>
    <w:rPr>
      <w:rFonts w:ascii="Calibri" w:hAnsi="Calibri" w:cs="Calibri"/>
      <w:color w:val="000000"/>
      <w:sz w:val="21"/>
      <w:szCs w:val="21"/>
      <w:u w:val="none"/>
    </w:rPr>
  </w:style>
  <w:style w:type="character" w:customStyle="1" w:styleId="61">
    <w:name w:val="font81"/>
    <w:basedOn w:val="26"/>
    <w:qFormat/>
    <w:uiPriority w:val="0"/>
    <w:rPr>
      <w:rFonts w:hint="eastAsia" w:ascii="宋体" w:hAnsi="宋体" w:eastAsia="宋体" w:cs="宋体"/>
      <w:color w:val="0070C0"/>
      <w:sz w:val="20"/>
      <w:szCs w:val="20"/>
      <w:u w:val="none"/>
    </w:rPr>
  </w:style>
  <w:style w:type="character" w:customStyle="1" w:styleId="62">
    <w:name w:val="font11"/>
    <w:qFormat/>
    <w:uiPriority w:val="0"/>
    <w:rPr>
      <w:rFonts w:hint="eastAsia" w:ascii="宋体" w:hAnsi="宋体" w:eastAsia="宋体" w:cs="宋体"/>
      <w:color w:val="000000"/>
      <w:sz w:val="24"/>
      <w:szCs w:val="24"/>
      <w:u w:val="none"/>
    </w:rPr>
  </w:style>
  <w:style w:type="character" w:customStyle="1" w:styleId="63">
    <w:name w:val="font41"/>
    <w:qFormat/>
    <w:uiPriority w:val="0"/>
    <w:rPr>
      <w:rFonts w:hint="eastAsia" w:ascii="仿宋" w:hAnsi="仿宋" w:eastAsia="仿宋" w:cs="仿宋"/>
      <w:color w:val="000000"/>
      <w:sz w:val="24"/>
      <w:szCs w:val="24"/>
      <w:u w:val="none"/>
    </w:rPr>
  </w:style>
  <w:style w:type="character" w:customStyle="1" w:styleId="64">
    <w:name w:val="font71"/>
    <w:qFormat/>
    <w:uiPriority w:val="0"/>
    <w:rPr>
      <w:rFonts w:hint="eastAsia" w:ascii="宋体" w:hAnsi="宋体" w:eastAsia="宋体" w:cs="宋体"/>
      <w:color w:val="000000"/>
      <w:sz w:val="20"/>
      <w:szCs w:val="20"/>
      <w:u w:val="none"/>
    </w:rPr>
  </w:style>
  <w:style w:type="character" w:customStyle="1" w:styleId="65">
    <w:name w:val="font131"/>
    <w:basedOn w:val="26"/>
    <w:qFormat/>
    <w:uiPriority w:val="0"/>
    <w:rPr>
      <w:rFonts w:hint="eastAsia" w:ascii="宋体" w:hAnsi="宋体" w:eastAsia="宋体" w:cs="宋体"/>
      <w:color w:val="000000"/>
      <w:sz w:val="20"/>
      <w:szCs w:val="20"/>
      <w:u w:val="none"/>
    </w:rPr>
  </w:style>
  <w:style w:type="character" w:customStyle="1" w:styleId="66">
    <w:name w:val="页脚 Char"/>
    <w:link w:val="16"/>
    <w:qFormat/>
    <w:uiPriority w:val="99"/>
    <w:rPr>
      <w:rFonts w:eastAsia="宋体"/>
      <w:kern w:val="2"/>
      <w:sz w:val="18"/>
      <w:szCs w:val="18"/>
      <w:lang w:val="en-US" w:eastAsia="zh-CN" w:bidi="ar-SA"/>
    </w:rPr>
  </w:style>
  <w:style w:type="character" w:customStyle="1" w:styleId="67">
    <w:name w:val="font31"/>
    <w:basedOn w:val="26"/>
    <w:qFormat/>
    <w:uiPriority w:val="0"/>
    <w:rPr>
      <w:rFonts w:hint="default" w:ascii="等线" w:hAnsi="等线" w:eastAsia="等线" w:cs="等线"/>
      <w:b/>
      <w:color w:val="000000"/>
      <w:sz w:val="20"/>
      <w:szCs w:val="20"/>
      <w:u w:val="none"/>
    </w:rPr>
  </w:style>
  <w:style w:type="character" w:customStyle="1" w:styleId="68">
    <w:name w:val="日期 Char"/>
    <w:link w:val="14"/>
    <w:qFormat/>
    <w:locked/>
    <w:uiPriority w:val="0"/>
    <w:rPr>
      <w:kern w:val="2"/>
      <w:sz w:val="28"/>
    </w:rPr>
  </w:style>
  <w:style w:type="character" w:customStyle="1" w:styleId="69">
    <w:name w:val="font51"/>
    <w:qFormat/>
    <w:uiPriority w:val="0"/>
    <w:rPr>
      <w:rFonts w:hint="eastAsia" w:ascii="宋体" w:hAnsi="宋体" w:eastAsia="宋体" w:cs="宋体"/>
      <w:color w:val="000000"/>
      <w:sz w:val="18"/>
      <w:szCs w:val="18"/>
      <w:u w:val="none"/>
    </w:rPr>
  </w:style>
  <w:style w:type="character" w:customStyle="1" w:styleId="70">
    <w:name w:val="font61"/>
    <w:qFormat/>
    <w:uiPriority w:val="0"/>
    <w:rPr>
      <w:rFonts w:hint="eastAsia" w:ascii="宋体" w:hAnsi="宋体" w:eastAsia="宋体" w:cs="宋体"/>
      <w:b/>
      <w:color w:val="000000"/>
      <w:sz w:val="28"/>
      <w:szCs w:val="28"/>
      <w:u w:val="none"/>
    </w:rPr>
  </w:style>
  <w:style w:type="character" w:customStyle="1" w:styleId="71">
    <w:name w:val="页眉 Char"/>
    <w:link w:val="17"/>
    <w:qFormat/>
    <w:uiPriority w:val="0"/>
    <w:rPr>
      <w:kern w:val="2"/>
      <w:sz w:val="18"/>
      <w:szCs w:val="18"/>
    </w:rPr>
  </w:style>
  <w:style w:type="character" w:customStyle="1" w:styleId="72">
    <w:name w:val="font141"/>
    <w:basedOn w:val="26"/>
    <w:qFormat/>
    <w:uiPriority w:val="0"/>
    <w:rPr>
      <w:rFonts w:hint="eastAsia" w:ascii="宋体" w:hAnsi="宋体" w:eastAsia="宋体" w:cs="宋体"/>
      <w:color w:val="FF0000"/>
      <w:sz w:val="20"/>
      <w:szCs w:val="20"/>
      <w:u w:val="none"/>
    </w:rPr>
  </w:style>
  <w:style w:type="character" w:customStyle="1" w:styleId="73">
    <w:name w:val="页码1"/>
    <w:basedOn w:val="26"/>
    <w:qFormat/>
    <w:uiPriority w:val="0"/>
  </w:style>
  <w:style w:type="character" w:customStyle="1" w:styleId="74">
    <w:name w:val="font01"/>
    <w:basedOn w:val="26"/>
    <w:qFormat/>
    <w:uiPriority w:val="0"/>
    <w:rPr>
      <w:rFonts w:hint="default" w:ascii="等线" w:hAnsi="等线" w:eastAsia="等线" w:cs="等线"/>
      <w:b/>
      <w:color w:val="FF0000"/>
      <w:sz w:val="20"/>
      <w:szCs w:val="20"/>
      <w:u w:val="none"/>
    </w:rPr>
  </w:style>
  <w:style w:type="paragraph" w:customStyle="1" w:styleId="75">
    <w:name w:val="12 Table Text"/>
    <w:basedOn w:val="1"/>
    <w:qFormat/>
    <w:uiPriority w:val="0"/>
    <w:pPr>
      <w:spacing w:beforeLines="10" w:afterLines="10"/>
      <w:jc w:val="left"/>
    </w:pPr>
    <w:rPr>
      <w:szCs w:val="24"/>
    </w:rPr>
  </w:style>
  <w:style w:type="character" w:customStyle="1" w:styleId="76">
    <w:name w:val="button"/>
    <w:basedOn w:val="26"/>
    <w:qFormat/>
    <w:uiPriority w:val="0"/>
  </w:style>
  <w:style w:type="character" w:customStyle="1" w:styleId="77">
    <w:name w:val="indent"/>
    <w:basedOn w:val="26"/>
    <w:qFormat/>
    <w:uiPriority w:val="0"/>
  </w:style>
  <w:style w:type="character" w:customStyle="1" w:styleId="78">
    <w:name w:val="old"/>
    <w:basedOn w:val="26"/>
    <w:qFormat/>
    <w:uiPriority w:val="0"/>
    <w:rPr>
      <w:color w:val="999999"/>
    </w:rPr>
  </w:style>
  <w:style w:type="character" w:customStyle="1" w:styleId="79">
    <w:name w:val="hour_am"/>
    <w:basedOn w:val="26"/>
    <w:qFormat/>
    <w:uiPriority w:val="0"/>
  </w:style>
  <w:style w:type="character" w:customStyle="1" w:styleId="80">
    <w:name w:val="hover3"/>
    <w:basedOn w:val="26"/>
    <w:qFormat/>
    <w:uiPriority w:val="0"/>
    <w:rPr>
      <w:shd w:val="clear" w:color="auto" w:fill="EEEEEE"/>
    </w:rPr>
  </w:style>
  <w:style w:type="character" w:customStyle="1" w:styleId="81">
    <w:name w:val="glyphicon4"/>
    <w:basedOn w:val="26"/>
    <w:qFormat/>
    <w:uiPriority w:val="0"/>
  </w:style>
  <w:style w:type="character" w:customStyle="1" w:styleId="82">
    <w:name w:val="hour_pm"/>
    <w:basedOn w:val="26"/>
    <w:qFormat/>
    <w:uiPriority w:val="0"/>
  </w:style>
  <w:style w:type="character" w:customStyle="1" w:styleId="83">
    <w:name w:val="tmpztreemove_arrow"/>
    <w:basedOn w:val="26"/>
    <w:qFormat/>
    <w:uiPriority w:val="0"/>
    <w:rPr>
      <w:shd w:val="clear" w:color="auto" w:fill="FFFFFF"/>
    </w:rPr>
  </w:style>
  <w:style w:type="character" w:customStyle="1" w:styleId="84">
    <w:name w:val="proollist"/>
    <w:basedOn w:val="26"/>
    <w:qFormat/>
    <w:uiPriority w:val="0"/>
  </w:style>
  <w:style w:type="character" w:customStyle="1" w:styleId="85">
    <w:name w:val="input-direction"/>
    <w:basedOn w:val="26"/>
    <w:qFormat/>
    <w:uiPriority w:val="0"/>
    <w:rPr>
      <w:color w:val="FF6600"/>
    </w:rPr>
  </w:style>
  <w:style w:type="character" w:customStyle="1" w:styleId="86">
    <w:name w:val="span-long"/>
    <w:basedOn w:val="26"/>
    <w:qFormat/>
    <w:uiPriority w:val="0"/>
  </w:style>
  <w:style w:type="character" w:customStyle="1" w:styleId="87">
    <w:name w:val="beforeinfotext"/>
    <w:basedOn w:val="26"/>
    <w:qFormat/>
    <w:uiPriority w:val="0"/>
    <w:rPr>
      <w:color w:val="666666"/>
    </w:rPr>
  </w:style>
  <w:style w:type="character" w:customStyle="1" w:styleId="88">
    <w:name w:val="phone"/>
    <w:basedOn w:val="26"/>
    <w:qFormat/>
    <w:uiPriority w:val="0"/>
    <w:rPr>
      <w:color w:val="FF8833"/>
      <w:sz w:val="18"/>
      <w:szCs w:val="18"/>
    </w:rPr>
  </w:style>
  <w:style w:type="character" w:customStyle="1" w:styleId="89">
    <w:name w:val="stclosebtn"/>
    <w:basedOn w:val="26"/>
    <w:qFormat/>
    <w:uiPriority w:val="0"/>
  </w:style>
  <w:style w:type="character" w:customStyle="1" w:styleId="90">
    <w:name w:val="number"/>
    <w:basedOn w:val="26"/>
    <w:qFormat/>
    <w:uiPriority w:val="0"/>
    <w:rPr>
      <w:color w:val="FF8833"/>
      <w:sz w:val="18"/>
      <w:szCs w:val="18"/>
    </w:rPr>
  </w:style>
  <w:style w:type="character" w:customStyle="1" w:styleId="91">
    <w:name w:val="hilite6"/>
    <w:basedOn w:val="26"/>
    <w:qFormat/>
    <w:uiPriority w:val="0"/>
    <w:rPr>
      <w:color w:val="FFFFFF"/>
      <w:shd w:val="clear" w:color="auto" w:fill="666677"/>
    </w:rPr>
  </w:style>
  <w:style w:type="character" w:customStyle="1" w:styleId="92">
    <w:name w:val="active6"/>
    <w:basedOn w:val="26"/>
    <w:qFormat/>
    <w:uiPriority w:val="0"/>
    <w:rPr>
      <w:color w:val="00FF00"/>
      <w:shd w:val="clear" w:color="auto" w:fill="000000"/>
    </w:rPr>
  </w:style>
  <w:style w:type="character" w:customStyle="1" w:styleId="93">
    <w:name w:val="hilite"/>
    <w:basedOn w:val="26"/>
    <w:qFormat/>
    <w:uiPriority w:val="0"/>
    <w:rPr>
      <w:color w:val="FFFFFF"/>
      <w:shd w:val="clear" w:color="auto" w:fill="666677"/>
    </w:rPr>
  </w:style>
  <w:style w:type="character" w:customStyle="1" w:styleId="94">
    <w:name w:val="button2"/>
    <w:basedOn w:val="26"/>
    <w:qFormat/>
    <w:uiPriority w:val="0"/>
  </w:style>
  <w:style w:type="character" w:customStyle="1" w:styleId="95">
    <w:name w:val="hilite5"/>
    <w:basedOn w:val="26"/>
    <w:qFormat/>
    <w:uiPriority w:val="0"/>
    <w:rPr>
      <w:color w:val="FFFFFF"/>
      <w:shd w:val="clear" w:color="auto" w:fill="666677"/>
    </w:rPr>
  </w:style>
  <w:style w:type="character" w:customStyle="1" w:styleId="96">
    <w:name w:val="active4"/>
    <w:basedOn w:val="26"/>
    <w:qFormat/>
    <w:uiPriority w:val="0"/>
    <w:rPr>
      <w:color w:val="00FF00"/>
      <w:shd w:val="clear" w:color="auto" w:fill="000000"/>
    </w:rPr>
  </w:style>
  <w:style w:type="character" w:customStyle="1" w:styleId="97">
    <w:name w:val="hilite4"/>
    <w:basedOn w:val="26"/>
    <w:qFormat/>
    <w:uiPriority w:val="0"/>
    <w:rPr>
      <w:color w:val="FFFFFF"/>
      <w:shd w:val="clear" w:color="auto" w:fill="666677"/>
    </w:rPr>
  </w:style>
  <w:style w:type="character" w:customStyle="1" w:styleId="98">
    <w:name w:val="active"/>
    <w:basedOn w:val="26"/>
    <w:qFormat/>
    <w:uiPriority w:val="0"/>
    <w:rPr>
      <w:color w:val="00FF00"/>
      <w:shd w:val="clear" w:color="auto" w:fill="000000"/>
    </w:rPr>
  </w:style>
  <w:style w:type="paragraph" w:customStyle="1" w:styleId="99">
    <w:name w:val="纯文本1"/>
    <w:basedOn w:val="1"/>
    <w:qFormat/>
    <w:uiPriority w:val="0"/>
    <w:rPr>
      <w:rFonts w:ascii="宋体" w:hAnsi="宋体" w:cs="Courier New"/>
      <w:szCs w:val="21"/>
    </w:rPr>
  </w:style>
  <w:style w:type="paragraph" w:customStyle="1" w:styleId="10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1">
    <w:name w:val="List Paragraph1"/>
    <w:qFormat/>
    <w:uiPriority w:val="99"/>
    <w:pPr>
      <w:ind w:firstLine="420" w:firstLineChars="200"/>
    </w:pPr>
    <w:rPr>
      <w:rFonts w:ascii="Calibri" w:hAnsi="Calibri" w:eastAsia="宋体" w:cs="Times New Roman"/>
      <w:sz w:val="21"/>
      <w:szCs w:val="22"/>
      <w:lang w:val="en-US" w:eastAsia="zh-CN" w:bidi="ar-SA"/>
    </w:rPr>
  </w:style>
  <w:style w:type="paragraph" w:styleId="102">
    <w:name w:val="List Paragraph"/>
    <w:basedOn w:val="1"/>
    <w:qFormat/>
    <w:uiPriority w:val="34"/>
    <w:pPr>
      <w:ind w:firstLine="420" w:firstLineChars="200"/>
    </w:pPr>
    <w:rPr>
      <w:sz w:val="21"/>
    </w:rPr>
  </w:style>
  <w:style w:type="character" w:customStyle="1" w:styleId="103">
    <w:name w:val="mini-tree-nodetext3"/>
    <w:basedOn w:val="26"/>
    <w:qFormat/>
    <w:uiPriority w:val="0"/>
  </w:style>
  <w:style w:type="character" w:customStyle="1" w:styleId="104">
    <w:name w:val="mini-tree-nodetext2"/>
    <w:basedOn w:val="26"/>
    <w:qFormat/>
    <w:uiPriority w:val="0"/>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06">
    <w:name w:val="Table Normal"/>
    <w:semiHidden/>
    <w:unhideWhenUsed/>
    <w:qFormat/>
    <w:uiPriority w:val="0"/>
    <w:tblPr>
      <w:tblCellMar>
        <w:top w:w="0" w:type="dxa"/>
        <w:left w:w="0" w:type="dxa"/>
        <w:bottom w:w="0" w:type="dxa"/>
        <w:right w:w="0" w:type="dxa"/>
      </w:tblCellMar>
    </w:tblPr>
  </w:style>
  <w:style w:type="paragraph" w:customStyle="1" w:styleId="107">
    <w:name w:val="Normal_0"/>
    <w:qFormat/>
    <w:uiPriority w:val="0"/>
    <w:rPr>
      <w:rFonts w:ascii="Times New Roman" w:hAnsi="Times New Roman" w:eastAsia="Times New Roman" w:cs="Times New Roman"/>
      <w:kern w:val="0"/>
      <w:sz w:val="24"/>
      <w:szCs w:val="24"/>
      <w:lang w:val="en-US" w:eastAsia="zh-CN" w:bidi="ar-SA"/>
    </w:rPr>
  </w:style>
  <w:style w:type="paragraph" w:customStyle="1" w:styleId="108">
    <w:name w:val="正文 New"/>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3"/>
    <customShpInfo spid="_x0000_s3084"/>
    <customShpInfo spid="_x0000_s3076"/>
    <customShpInfo spid="_x0000_s3090"/>
    <customShpInfo spid="_x0000_s3089"/>
    <customShpInfo spid="_x0000_s3074"/>
    <customShpInfo spid="_x0000_s3075"/>
    <customShpInfo spid="_x0000_s3079" textRotate="1"/>
    <customShpInfo spid="_x0000_s3080" textRotate="1"/>
    <customShpInfo spid="_x0000_s3082" textRotate="1"/>
    <customShpInfo spid="_x0000_s3081" textRotate="1"/>
    <customShpInfo spid="_x0000_s3073"/>
    <customShpInfo spid="_x0000_s2063"/>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58</Pages>
  <Words>17518</Words>
  <Characters>18900</Characters>
  <Lines>289</Lines>
  <Paragraphs>81</Paragraphs>
  <TotalTime>48</TotalTime>
  <ScaleCrop>false</ScaleCrop>
  <LinksUpToDate>false</LinksUpToDate>
  <CharactersWithSpaces>19010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2022-06-23T08:28:00Z</dcterms:created>
  <dc:creator>MC SYSTEM</dc:creator>
  <cp:lastModifiedBy>WPS_1658106135</cp:lastModifiedBy>
  <cp:lastPrinted>2025-04-23T06:02:00Z</cp:lastPrinted>
  <dcterms:modified xsi:type="dcterms:W3CDTF">2025-07-17T07:53:49Z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F7C3D392AAEA49F8A33AF0CA8E9D21F1</vt:lpwstr>
  </property>
  <property fmtid="{D5CDD505-2E9C-101B-9397-08002B2CF9AE}" pid="4" name="KSOTemplateDocerSaveRecord">
    <vt:lpwstr>eyJoZGlkIjoiZjRlN2Y2MTkzNmMwM2JjZmE2ZjhjY2Q2ZjhiMTA2OTMiLCJ1c2VySWQiOiIxMzg5MDA5NDczIn0=</vt:lpwstr>
  </property>
</Properties>
</file>