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29FF8">
      <w:pPr>
        <w:tabs>
          <w:tab w:val="left" w:pos="5670"/>
        </w:tabs>
        <w:autoSpaceDE w:val="0"/>
        <w:autoSpaceDN w:val="0"/>
        <w:adjustRightInd w:val="0"/>
        <w:snapToGrid w:val="0"/>
        <w:spacing w:line="360" w:lineRule="auto"/>
        <w:jc w:val="both"/>
        <w:rPr>
          <w:rFonts w:hint="eastAsia" w:ascii="黑体" w:hAnsi="黑体" w:eastAsia="黑体" w:cs="黑体"/>
          <w:color w:val="auto"/>
          <w:sz w:val="32"/>
          <w:szCs w:val="32"/>
          <w:highlight w:val="none"/>
        </w:rPr>
      </w:pPr>
      <w:bookmarkStart w:id="461" w:name="_GoBack"/>
      <w:bookmarkEnd w:id="461"/>
      <w:r>
        <w:rPr>
          <w:rFonts w:hint="eastAsia" w:ascii="黑体" w:hAnsi="黑体" w:eastAsia="黑体" w:cs="黑体"/>
          <w:b/>
          <w:bCs/>
          <w:color w:val="auto"/>
          <w:sz w:val="32"/>
          <w:szCs w:val="32"/>
          <w:highlight w:val="none"/>
          <w:lang w:val="zh-CN"/>
        </w:rPr>
        <w:t>采购项目编号：SXCQCGAK(2025)第17号</w:t>
      </w:r>
    </w:p>
    <w:p w14:paraId="4B3CCCB1">
      <w:pPr>
        <w:tabs>
          <w:tab w:val="left" w:pos="5670"/>
        </w:tabs>
        <w:autoSpaceDE w:val="0"/>
        <w:autoSpaceDN w:val="0"/>
        <w:adjustRightInd w:val="0"/>
        <w:snapToGrid w:val="0"/>
        <w:spacing w:line="360" w:lineRule="auto"/>
        <w:jc w:val="center"/>
        <w:rPr>
          <w:rFonts w:hint="eastAsia" w:ascii="黑体" w:hAnsi="黑体" w:eastAsia="黑体" w:cs="黑体"/>
          <w:color w:val="auto"/>
          <w:sz w:val="32"/>
          <w:szCs w:val="32"/>
          <w:highlight w:val="none"/>
        </w:rPr>
      </w:pPr>
    </w:p>
    <w:p w14:paraId="4949E120">
      <w:pPr>
        <w:tabs>
          <w:tab w:val="left" w:pos="5670"/>
        </w:tabs>
        <w:autoSpaceDE w:val="0"/>
        <w:autoSpaceDN w:val="0"/>
        <w:adjustRightInd w:val="0"/>
        <w:snapToGrid w:val="0"/>
        <w:spacing w:line="360" w:lineRule="auto"/>
        <w:jc w:val="center"/>
        <w:rPr>
          <w:rFonts w:hint="eastAsia" w:ascii="黑体" w:hAnsi="黑体" w:eastAsia="黑体" w:cs="黑体"/>
          <w:b/>
          <w:bCs/>
          <w:color w:val="auto"/>
          <w:sz w:val="40"/>
          <w:szCs w:val="40"/>
          <w:highlight w:val="none"/>
          <w:lang w:eastAsia="zh-CN"/>
        </w:rPr>
      </w:pPr>
      <w:r>
        <w:rPr>
          <w:rFonts w:hint="eastAsia" w:ascii="黑体" w:hAnsi="黑体" w:eastAsia="黑体" w:cs="黑体"/>
          <w:b/>
          <w:bCs/>
          <w:color w:val="auto"/>
          <w:sz w:val="40"/>
          <w:szCs w:val="40"/>
          <w:highlight w:val="none"/>
          <w:lang w:eastAsia="zh-CN"/>
        </w:rPr>
        <w:t>城关镇中心卫生院全自动五分类血液分析仪和多普勒肌骨超声设备购买项目</w:t>
      </w:r>
    </w:p>
    <w:p w14:paraId="385E4CE6">
      <w:pPr>
        <w:tabs>
          <w:tab w:val="left" w:pos="5670"/>
        </w:tabs>
        <w:autoSpaceDE w:val="0"/>
        <w:autoSpaceDN w:val="0"/>
        <w:adjustRightInd w:val="0"/>
        <w:snapToGrid w:val="0"/>
        <w:spacing w:line="360" w:lineRule="auto"/>
        <w:jc w:val="center"/>
        <w:rPr>
          <w:rFonts w:hint="eastAsia" w:ascii="黑体" w:hAnsi="黑体" w:eastAsia="黑体" w:cs="黑体"/>
          <w:b/>
          <w:bCs/>
          <w:color w:val="auto"/>
          <w:sz w:val="52"/>
          <w:szCs w:val="52"/>
          <w:highlight w:val="none"/>
          <w:lang w:val="zh-CN"/>
        </w:rPr>
      </w:pPr>
      <w:r>
        <w:rPr>
          <w:rFonts w:hint="eastAsia" w:ascii="黑体" w:hAnsi="黑体" w:eastAsia="黑体" w:cs="黑体"/>
          <w:b/>
          <w:bCs/>
          <w:color w:val="auto"/>
          <w:sz w:val="52"/>
          <w:szCs w:val="52"/>
          <w:highlight w:val="none"/>
          <w:lang w:val="zh-CN"/>
        </w:rPr>
        <w:t>竞争性磋商文件</w:t>
      </w:r>
    </w:p>
    <w:p w14:paraId="57628A42">
      <w:pPr>
        <w:tabs>
          <w:tab w:val="left" w:pos="5670"/>
        </w:tabs>
        <w:autoSpaceDE w:val="0"/>
        <w:autoSpaceDN w:val="0"/>
        <w:adjustRightInd w:val="0"/>
        <w:snapToGrid w:val="0"/>
        <w:spacing w:line="360" w:lineRule="auto"/>
        <w:jc w:val="center"/>
        <w:rPr>
          <w:rFonts w:hint="eastAsia" w:ascii="黑体" w:hAnsi="黑体" w:eastAsia="黑体" w:cs="黑体"/>
          <w:color w:val="auto"/>
          <w:sz w:val="48"/>
          <w:szCs w:val="48"/>
          <w:highlight w:val="none"/>
        </w:rPr>
      </w:pPr>
      <w:r>
        <w:rPr>
          <w:rFonts w:hint="eastAsia" w:ascii="Calibri" w:hAnsi="Calibri" w:cs="Times New Roman"/>
          <w:color w:val="auto"/>
          <w:sz w:val="36"/>
          <w:szCs w:val="44"/>
          <w:highlight w:val="none"/>
          <w:u w:val="none"/>
          <w:lang w:val="en-US" w:eastAsia="zh-CN"/>
        </w:rPr>
        <w:drawing>
          <wp:inline distT="0" distB="0" distL="114300" distR="114300">
            <wp:extent cx="2258695" cy="1868805"/>
            <wp:effectExtent l="0" t="0" r="825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258695" cy="1868805"/>
                    </a:xfrm>
                    <a:prstGeom prst="rect">
                      <a:avLst/>
                    </a:prstGeom>
                    <a:noFill/>
                    <a:ln>
                      <a:noFill/>
                    </a:ln>
                  </pic:spPr>
                </pic:pic>
              </a:graphicData>
            </a:graphic>
          </wp:inline>
        </w:drawing>
      </w:r>
    </w:p>
    <w:p w14:paraId="19966403">
      <w:pPr>
        <w:pStyle w:val="2"/>
        <w:rPr>
          <w:rFonts w:hint="eastAsia" w:ascii="黑体" w:hAnsi="黑体" w:eastAsia="黑体" w:cs="黑体"/>
          <w:highlight w:val="none"/>
        </w:rPr>
      </w:pPr>
    </w:p>
    <w:p w14:paraId="182B1DEA">
      <w:pPr>
        <w:rPr>
          <w:rFonts w:hint="eastAsia" w:ascii="黑体" w:hAnsi="黑体" w:eastAsia="黑体" w:cs="黑体"/>
          <w:highlight w:val="none"/>
        </w:rPr>
      </w:pPr>
    </w:p>
    <w:p w14:paraId="79F14C9A">
      <w:pPr>
        <w:tabs>
          <w:tab w:val="left" w:pos="5670"/>
        </w:tabs>
        <w:autoSpaceDE w:val="0"/>
        <w:autoSpaceDN w:val="0"/>
        <w:adjustRightInd w:val="0"/>
        <w:snapToGrid w:val="0"/>
        <w:spacing w:line="360" w:lineRule="auto"/>
        <w:jc w:val="center"/>
        <w:rPr>
          <w:rFonts w:hint="eastAsia" w:ascii="黑体" w:hAnsi="黑体" w:eastAsia="黑体" w:cs="黑体"/>
          <w:b/>
          <w:bCs/>
          <w:color w:val="auto"/>
          <w:sz w:val="28"/>
          <w:szCs w:val="28"/>
          <w:highlight w:val="none"/>
        </w:rPr>
      </w:pPr>
    </w:p>
    <w:p w14:paraId="4E504E09">
      <w:pPr>
        <w:tabs>
          <w:tab w:val="left" w:pos="5670"/>
        </w:tabs>
        <w:autoSpaceDE w:val="0"/>
        <w:autoSpaceDN w:val="0"/>
        <w:adjustRightInd w:val="0"/>
        <w:snapToGrid w:val="0"/>
        <w:spacing w:line="360" w:lineRule="auto"/>
        <w:jc w:val="center"/>
        <w:rPr>
          <w:rFonts w:hint="eastAsia" w:ascii="黑体" w:hAnsi="黑体" w:eastAsia="黑体" w:cs="黑体"/>
          <w:b/>
          <w:bCs/>
          <w:color w:val="auto"/>
          <w:sz w:val="28"/>
          <w:szCs w:val="28"/>
          <w:highlight w:val="none"/>
        </w:rPr>
      </w:pPr>
    </w:p>
    <w:p w14:paraId="542E65E4">
      <w:pPr>
        <w:rPr>
          <w:rFonts w:hint="eastAsia" w:ascii="黑体" w:hAnsi="黑体" w:eastAsia="黑体" w:cs="黑体"/>
          <w:b/>
          <w:bCs/>
          <w:color w:val="auto"/>
          <w:sz w:val="28"/>
          <w:szCs w:val="28"/>
          <w:highlight w:val="none"/>
        </w:rPr>
      </w:pPr>
    </w:p>
    <w:p w14:paraId="42C11842">
      <w:pPr>
        <w:pStyle w:val="2"/>
        <w:rPr>
          <w:rFonts w:hint="eastAsia"/>
          <w:highlight w:val="none"/>
        </w:rPr>
      </w:pPr>
    </w:p>
    <w:p w14:paraId="442800CF">
      <w:pPr>
        <w:rPr>
          <w:rFonts w:hint="eastAsia" w:ascii="黑体" w:hAnsi="黑体" w:eastAsia="黑体" w:cs="黑体"/>
          <w:highlight w:val="none"/>
        </w:rPr>
      </w:pPr>
    </w:p>
    <w:p w14:paraId="37DECBB1">
      <w:pPr>
        <w:pStyle w:val="2"/>
        <w:rPr>
          <w:rFonts w:hint="eastAsia" w:ascii="黑体" w:hAnsi="黑体" w:eastAsia="黑体" w:cs="黑体"/>
          <w:color w:val="auto"/>
          <w:sz w:val="22"/>
          <w:szCs w:val="18"/>
          <w:highlight w:val="none"/>
        </w:rPr>
      </w:pPr>
    </w:p>
    <w:p w14:paraId="27F83AD1">
      <w:pPr>
        <w:rPr>
          <w:rFonts w:hint="eastAsia"/>
          <w:highlight w:val="none"/>
        </w:rPr>
      </w:pPr>
    </w:p>
    <w:p w14:paraId="49FA0807">
      <w:pPr>
        <w:tabs>
          <w:tab w:val="left" w:pos="5670"/>
        </w:tabs>
        <w:autoSpaceDE w:val="0"/>
        <w:autoSpaceDN w:val="0"/>
        <w:adjustRightInd w:val="0"/>
        <w:snapToGrid w:val="0"/>
        <w:spacing w:line="360" w:lineRule="auto"/>
        <w:jc w:val="center"/>
        <w:rPr>
          <w:rFonts w:hint="eastAsia" w:ascii="黑体" w:hAnsi="黑体" w:eastAsia="黑体" w:cs="黑体"/>
          <w:b/>
          <w:bCs/>
          <w:color w:val="auto"/>
          <w:sz w:val="28"/>
          <w:szCs w:val="28"/>
          <w:highlight w:val="none"/>
          <w:lang w:val="zh-CN"/>
        </w:rPr>
      </w:pPr>
      <w:r>
        <w:rPr>
          <w:rFonts w:hint="eastAsia" w:ascii="黑体" w:hAnsi="黑体" w:eastAsia="黑体" w:cs="黑体"/>
          <w:b/>
          <w:bCs/>
          <w:color w:val="auto"/>
          <w:sz w:val="28"/>
          <w:szCs w:val="28"/>
          <w:highlight w:val="none"/>
          <w:lang w:val="zh-CN"/>
        </w:rPr>
        <w:t xml:space="preserve"> 采购人：汉阴县城关镇中心卫生院</w:t>
      </w:r>
    </w:p>
    <w:p w14:paraId="247CA41F">
      <w:pPr>
        <w:tabs>
          <w:tab w:val="left" w:pos="5460"/>
        </w:tabs>
        <w:autoSpaceDE w:val="0"/>
        <w:autoSpaceDN w:val="0"/>
        <w:adjustRightInd w:val="0"/>
        <w:snapToGrid w:val="0"/>
        <w:spacing w:line="360" w:lineRule="auto"/>
        <w:jc w:val="center"/>
        <w:rPr>
          <w:rFonts w:hint="eastAsia" w:ascii="黑体" w:hAnsi="黑体" w:eastAsia="黑体" w:cs="黑体"/>
          <w:b/>
          <w:bCs/>
          <w:color w:val="auto"/>
          <w:sz w:val="28"/>
          <w:szCs w:val="28"/>
          <w:highlight w:val="none"/>
          <w:lang w:val="zh-CN"/>
        </w:rPr>
      </w:pPr>
      <w:r>
        <w:rPr>
          <w:rFonts w:hint="eastAsia" w:ascii="黑体" w:hAnsi="黑体" w:eastAsia="黑体" w:cs="黑体"/>
          <w:b/>
          <w:bCs/>
          <w:color w:val="auto"/>
          <w:sz w:val="28"/>
          <w:szCs w:val="28"/>
          <w:highlight w:val="none"/>
          <w:lang w:val="zh-CN"/>
        </w:rPr>
        <w:t>代理机构：陕西春秋工程造价事务所有限公司</w:t>
      </w:r>
    </w:p>
    <w:p w14:paraId="540DA161">
      <w:pPr>
        <w:tabs>
          <w:tab w:val="left" w:pos="5460"/>
        </w:tabs>
        <w:autoSpaceDE w:val="0"/>
        <w:autoSpaceDN w:val="0"/>
        <w:adjustRightInd w:val="0"/>
        <w:snapToGrid w:val="0"/>
        <w:spacing w:line="360" w:lineRule="auto"/>
        <w:jc w:val="center"/>
        <w:rPr>
          <w:rFonts w:hint="eastAsia" w:ascii="黑体" w:hAnsi="黑体" w:eastAsia="黑体" w:cs="黑体"/>
          <w:color w:val="auto"/>
          <w:sz w:val="28"/>
          <w:szCs w:val="28"/>
          <w:highlight w:val="none"/>
        </w:rPr>
      </w:pPr>
      <w:r>
        <w:rPr>
          <w:rFonts w:hint="eastAsia" w:ascii="黑体" w:hAnsi="黑体" w:eastAsia="黑体" w:cs="黑体"/>
          <w:b/>
          <w:bCs/>
          <w:color w:val="auto"/>
          <w:sz w:val="28"/>
          <w:szCs w:val="28"/>
          <w:highlight w:val="none"/>
          <w:lang w:val="zh-CN"/>
        </w:rPr>
        <w:t>二〇二</w:t>
      </w:r>
      <w:r>
        <w:rPr>
          <w:rFonts w:hint="eastAsia" w:ascii="黑体" w:hAnsi="黑体" w:eastAsia="黑体" w:cs="黑体"/>
          <w:b/>
          <w:bCs/>
          <w:color w:val="auto"/>
          <w:sz w:val="28"/>
          <w:szCs w:val="28"/>
          <w:highlight w:val="none"/>
          <w:lang w:val="en-US" w:eastAsia="zh-CN"/>
        </w:rPr>
        <w:t>五</w:t>
      </w:r>
      <w:r>
        <w:rPr>
          <w:rFonts w:hint="eastAsia" w:ascii="黑体" w:hAnsi="黑体" w:eastAsia="黑体" w:cs="黑体"/>
          <w:b/>
          <w:bCs/>
          <w:color w:val="auto"/>
          <w:sz w:val="28"/>
          <w:szCs w:val="28"/>
          <w:highlight w:val="none"/>
          <w:lang w:val="zh-CN"/>
        </w:rPr>
        <w:t>年</w:t>
      </w:r>
      <w:r>
        <w:rPr>
          <w:rFonts w:hint="eastAsia" w:ascii="黑体" w:hAnsi="黑体" w:eastAsia="黑体" w:cs="黑体"/>
          <w:b/>
          <w:bCs/>
          <w:color w:val="auto"/>
          <w:sz w:val="28"/>
          <w:szCs w:val="28"/>
          <w:highlight w:val="none"/>
          <w:lang w:val="en-US" w:eastAsia="zh-CN"/>
        </w:rPr>
        <w:t>七</w:t>
      </w:r>
      <w:r>
        <w:rPr>
          <w:rFonts w:hint="eastAsia" w:ascii="黑体" w:hAnsi="黑体" w:eastAsia="黑体" w:cs="黑体"/>
          <w:b/>
          <w:bCs/>
          <w:color w:val="auto"/>
          <w:sz w:val="28"/>
          <w:szCs w:val="28"/>
          <w:highlight w:val="none"/>
          <w:lang w:val="zh-CN"/>
        </w:rPr>
        <w:t>月</w:t>
      </w:r>
    </w:p>
    <w:p w14:paraId="45D14D26">
      <w:pPr>
        <w:rPr>
          <w:rFonts w:hint="eastAsia" w:ascii="黑体" w:hAnsi="黑体" w:eastAsia="黑体" w:cs="黑体"/>
          <w:color w:val="auto"/>
          <w:sz w:val="20"/>
          <w:szCs w:val="22"/>
          <w:highlight w:val="none"/>
        </w:rPr>
        <w:sectPr>
          <w:headerReference r:id="rId4" w:type="first"/>
          <w:headerReference r:id="rId3" w:type="default"/>
          <w:footerReference r:id="rId5" w:type="even"/>
          <w:pgSz w:w="11906" w:h="16838"/>
          <w:pgMar w:top="1440" w:right="1423" w:bottom="1440" w:left="1423" w:header="851" w:footer="992" w:gutter="0"/>
          <w:pgNumType w:fmt="decimal" w:start="1"/>
          <w:cols w:space="720" w:num="1"/>
          <w:titlePg/>
          <w:docGrid w:linePitch="312" w:charSpace="0"/>
        </w:sectPr>
      </w:pPr>
      <w:r>
        <w:rPr>
          <w:rFonts w:hint="eastAsia" w:ascii="黑体" w:hAnsi="黑体" w:eastAsia="黑体" w:cs="黑体"/>
          <w:color w:val="auto"/>
          <w:sz w:val="28"/>
          <w:szCs w:val="28"/>
          <w:highlight w:val="none"/>
        </w:rPr>
        <w:br w:type="page"/>
      </w:r>
    </w:p>
    <w:p w14:paraId="66331AAD">
      <w:pPr>
        <w:pStyle w:val="5"/>
        <w:ind w:firstLine="0" w:firstLineChars="0"/>
        <w:jc w:val="center"/>
        <w:rPr>
          <w:rFonts w:hint="eastAsia" w:ascii="黑体" w:hAnsi="黑体" w:eastAsia="黑体" w:cs="黑体"/>
          <w:b/>
          <w:color w:val="auto"/>
          <w:sz w:val="40"/>
          <w:szCs w:val="40"/>
          <w:highlight w:val="none"/>
        </w:rPr>
      </w:pPr>
    </w:p>
    <w:p w14:paraId="66D7A084">
      <w:pPr>
        <w:pStyle w:val="5"/>
        <w:ind w:firstLine="0" w:firstLineChars="0"/>
        <w:jc w:val="center"/>
        <w:rPr>
          <w:rFonts w:hint="eastAsia" w:ascii="黑体" w:hAnsi="黑体" w:eastAsia="黑体" w:cs="黑体"/>
          <w:b/>
          <w:color w:val="auto"/>
          <w:sz w:val="40"/>
          <w:szCs w:val="40"/>
          <w:highlight w:val="none"/>
        </w:rPr>
      </w:pPr>
      <w:r>
        <w:rPr>
          <w:rFonts w:hint="eastAsia" w:ascii="黑体" w:hAnsi="黑体" w:eastAsia="黑体" w:cs="黑体"/>
          <w:b/>
          <w:color w:val="auto"/>
          <w:sz w:val="40"/>
          <w:szCs w:val="40"/>
          <w:highlight w:val="none"/>
        </w:rPr>
        <w:t>目  录</w:t>
      </w:r>
    </w:p>
    <w:p w14:paraId="3330E938">
      <w:pPr>
        <w:pStyle w:val="5"/>
        <w:ind w:firstLine="0" w:firstLineChars="0"/>
        <w:jc w:val="center"/>
        <w:rPr>
          <w:rFonts w:hint="eastAsia" w:ascii="黑体" w:hAnsi="黑体" w:eastAsia="黑体" w:cs="黑体"/>
          <w:b/>
          <w:color w:val="auto"/>
          <w:sz w:val="40"/>
          <w:szCs w:val="40"/>
          <w:highlight w:val="none"/>
        </w:rPr>
      </w:pPr>
    </w:p>
    <w:p w14:paraId="3B793115">
      <w:pPr>
        <w:pStyle w:val="2"/>
        <w:tabs>
          <w:tab w:val="right" w:leader="dot" w:pos="8306"/>
          <w:tab w:val="clear" w:pos="9344"/>
        </w:tabs>
        <w:rPr>
          <w:rFonts w:hint="eastAsia" w:ascii="黑体" w:hAnsi="黑体" w:eastAsia="黑体" w:cs="黑体"/>
          <w:color w:val="auto"/>
          <w:sz w:val="32"/>
          <w:szCs w:val="32"/>
          <w:highlight w:val="none"/>
        </w:rPr>
      </w:pPr>
      <w:r>
        <w:rPr>
          <w:rFonts w:hint="eastAsia" w:ascii="黑体" w:hAnsi="黑体" w:eastAsia="黑体" w:cs="黑体"/>
          <w:b w:val="0"/>
          <w:bCs w:val="0"/>
          <w:color w:val="auto"/>
          <w:sz w:val="22"/>
          <w:szCs w:val="22"/>
          <w:highlight w:val="none"/>
        </w:rPr>
        <w:fldChar w:fldCharType="begin"/>
      </w:r>
      <w:r>
        <w:rPr>
          <w:rFonts w:hint="eastAsia" w:ascii="黑体" w:hAnsi="黑体" w:eastAsia="黑体" w:cs="黑体"/>
          <w:b w:val="0"/>
          <w:bCs w:val="0"/>
          <w:color w:val="auto"/>
          <w:sz w:val="22"/>
          <w:szCs w:val="22"/>
          <w:highlight w:val="none"/>
        </w:rPr>
        <w:instrText xml:space="preserve"> TOC \o "1-2" \h \z \u </w:instrText>
      </w:r>
      <w:r>
        <w:rPr>
          <w:rFonts w:hint="eastAsia" w:ascii="黑体" w:hAnsi="黑体" w:eastAsia="黑体" w:cs="黑体"/>
          <w:b w:val="0"/>
          <w:bCs w:val="0"/>
          <w:color w:val="auto"/>
          <w:sz w:val="22"/>
          <w:szCs w:val="22"/>
          <w:highlight w:val="none"/>
        </w:rPr>
        <w:fldChar w:fldCharType="separate"/>
      </w:r>
      <w:r>
        <w:rPr>
          <w:rFonts w:hint="eastAsia" w:ascii="黑体" w:hAnsi="黑体" w:eastAsia="黑体" w:cs="黑体"/>
          <w:color w:val="auto"/>
          <w:sz w:val="32"/>
          <w:szCs w:val="22"/>
          <w:highlight w:val="none"/>
        </w:rPr>
        <w:fldChar w:fldCharType="begin"/>
      </w:r>
      <w:r>
        <w:rPr>
          <w:rFonts w:hint="eastAsia" w:ascii="黑体" w:hAnsi="黑体" w:eastAsia="黑体" w:cs="黑体"/>
          <w:color w:val="auto"/>
          <w:sz w:val="32"/>
          <w:szCs w:val="22"/>
          <w:highlight w:val="none"/>
        </w:rPr>
        <w:instrText xml:space="preserve"> HYPERLINK \l "_Toc12761" </w:instrText>
      </w:r>
      <w:r>
        <w:rPr>
          <w:rFonts w:hint="eastAsia" w:ascii="黑体" w:hAnsi="黑体" w:eastAsia="黑体" w:cs="黑体"/>
          <w:color w:val="auto"/>
          <w:sz w:val="32"/>
          <w:szCs w:val="22"/>
          <w:highlight w:val="none"/>
        </w:rPr>
        <w:fldChar w:fldCharType="separate"/>
      </w:r>
      <w:r>
        <w:rPr>
          <w:rFonts w:hint="eastAsia" w:ascii="黑体" w:hAnsi="黑体" w:eastAsia="黑体" w:cs="黑体"/>
          <w:color w:val="auto"/>
          <w:sz w:val="32"/>
          <w:szCs w:val="22"/>
          <w:highlight w:val="none"/>
        </w:rPr>
        <w:t>第一章 磋商公告</w:t>
      </w:r>
      <w:r>
        <w:rPr>
          <w:rFonts w:hint="eastAsia" w:ascii="黑体" w:hAnsi="黑体" w:eastAsia="黑体" w:cs="黑体"/>
          <w:color w:val="auto"/>
          <w:sz w:val="32"/>
          <w:szCs w:val="22"/>
          <w:highlight w:val="none"/>
        </w:rPr>
        <w:tab/>
      </w:r>
      <w:r>
        <w:rPr>
          <w:rFonts w:hint="eastAsia" w:ascii="黑体" w:hAnsi="黑体" w:eastAsia="黑体" w:cs="黑体"/>
          <w:color w:val="auto"/>
          <w:sz w:val="32"/>
          <w:szCs w:val="22"/>
          <w:highlight w:val="none"/>
          <w:lang w:val="en-US" w:eastAsia="zh-CN"/>
        </w:rPr>
        <w:t>2</w:t>
      </w:r>
      <w:r>
        <w:rPr>
          <w:rFonts w:hint="eastAsia" w:ascii="黑体" w:hAnsi="黑体" w:eastAsia="黑体" w:cs="黑体"/>
          <w:color w:val="auto"/>
          <w:sz w:val="32"/>
          <w:szCs w:val="22"/>
          <w:highlight w:val="none"/>
        </w:rPr>
        <w:fldChar w:fldCharType="end"/>
      </w:r>
    </w:p>
    <w:p w14:paraId="4765D9E6">
      <w:pPr>
        <w:pStyle w:val="2"/>
        <w:tabs>
          <w:tab w:val="right" w:leader="dot" w:pos="8306"/>
          <w:tab w:val="clear" w:pos="9344"/>
        </w:tabs>
        <w:rPr>
          <w:rFonts w:hint="eastAsia" w:ascii="黑体" w:hAnsi="黑体" w:eastAsia="黑体" w:cs="黑体"/>
          <w:color w:val="auto"/>
          <w:sz w:val="32"/>
          <w:szCs w:val="22"/>
          <w:highlight w:val="none"/>
        </w:rPr>
      </w:pPr>
      <w:r>
        <w:rPr>
          <w:rFonts w:hint="eastAsia" w:ascii="黑体" w:hAnsi="黑体" w:eastAsia="黑体" w:cs="黑体"/>
          <w:color w:val="auto"/>
          <w:sz w:val="32"/>
          <w:szCs w:val="22"/>
          <w:highlight w:val="none"/>
        </w:rPr>
        <w:fldChar w:fldCharType="begin"/>
      </w:r>
      <w:r>
        <w:rPr>
          <w:rFonts w:hint="eastAsia" w:ascii="黑体" w:hAnsi="黑体" w:eastAsia="黑体" w:cs="黑体"/>
          <w:color w:val="auto"/>
          <w:sz w:val="32"/>
          <w:szCs w:val="22"/>
          <w:highlight w:val="none"/>
        </w:rPr>
        <w:instrText xml:space="preserve"> HYPERLINK \l "_Toc31038" </w:instrText>
      </w:r>
      <w:r>
        <w:rPr>
          <w:rFonts w:hint="eastAsia" w:ascii="黑体" w:hAnsi="黑体" w:eastAsia="黑体" w:cs="黑体"/>
          <w:color w:val="auto"/>
          <w:sz w:val="32"/>
          <w:szCs w:val="22"/>
          <w:highlight w:val="none"/>
        </w:rPr>
        <w:fldChar w:fldCharType="separate"/>
      </w:r>
      <w:r>
        <w:rPr>
          <w:rFonts w:hint="eastAsia" w:ascii="黑体" w:hAnsi="黑体" w:eastAsia="黑体" w:cs="黑体"/>
          <w:color w:val="auto"/>
          <w:sz w:val="32"/>
          <w:szCs w:val="22"/>
          <w:highlight w:val="none"/>
        </w:rPr>
        <w:t>第二章  供应商须知</w:t>
      </w:r>
      <w:r>
        <w:rPr>
          <w:rFonts w:hint="eastAsia" w:ascii="黑体" w:hAnsi="黑体" w:eastAsia="黑体" w:cs="黑体"/>
          <w:color w:val="auto"/>
          <w:sz w:val="32"/>
          <w:szCs w:val="22"/>
          <w:highlight w:val="none"/>
        </w:rPr>
        <w:tab/>
      </w:r>
      <w:r>
        <w:rPr>
          <w:rFonts w:hint="eastAsia" w:ascii="黑体" w:hAnsi="黑体" w:eastAsia="黑体" w:cs="黑体"/>
          <w:color w:val="auto"/>
          <w:sz w:val="32"/>
          <w:szCs w:val="22"/>
          <w:highlight w:val="none"/>
          <w:lang w:val="en-US" w:eastAsia="zh-CN"/>
        </w:rPr>
        <w:t>6</w:t>
      </w:r>
      <w:r>
        <w:rPr>
          <w:rFonts w:hint="eastAsia" w:ascii="黑体" w:hAnsi="黑体" w:eastAsia="黑体" w:cs="黑体"/>
          <w:color w:val="auto"/>
          <w:sz w:val="32"/>
          <w:szCs w:val="22"/>
          <w:highlight w:val="none"/>
        </w:rPr>
        <w:fldChar w:fldCharType="end"/>
      </w:r>
    </w:p>
    <w:p w14:paraId="5F2825BD">
      <w:pPr>
        <w:pStyle w:val="2"/>
        <w:tabs>
          <w:tab w:val="right" w:leader="dot" w:pos="8306"/>
          <w:tab w:val="clear" w:pos="9344"/>
        </w:tabs>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22"/>
          <w:highlight w:val="none"/>
        </w:rPr>
        <w:fldChar w:fldCharType="begin"/>
      </w:r>
      <w:r>
        <w:rPr>
          <w:rFonts w:hint="eastAsia" w:ascii="黑体" w:hAnsi="黑体" w:eastAsia="黑体" w:cs="黑体"/>
          <w:color w:val="auto"/>
          <w:sz w:val="32"/>
          <w:szCs w:val="22"/>
          <w:highlight w:val="none"/>
        </w:rPr>
        <w:instrText xml:space="preserve"> HYPERLINK \l "_Toc23718" </w:instrText>
      </w:r>
      <w:r>
        <w:rPr>
          <w:rFonts w:hint="eastAsia" w:ascii="黑体" w:hAnsi="黑体" w:eastAsia="黑体" w:cs="黑体"/>
          <w:color w:val="auto"/>
          <w:sz w:val="32"/>
          <w:szCs w:val="22"/>
          <w:highlight w:val="none"/>
        </w:rPr>
        <w:fldChar w:fldCharType="separate"/>
      </w:r>
      <w:r>
        <w:rPr>
          <w:rFonts w:hint="eastAsia" w:ascii="黑体" w:hAnsi="黑体" w:eastAsia="黑体" w:cs="黑体"/>
          <w:color w:val="auto"/>
          <w:sz w:val="32"/>
          <w:szCs w:val="36"/>
          <w:highlight w:val="none"/>
        </w:rPr>
        <w:t>第三章  评审办法和标准</w:t>
      </w:r>
      <w:r>
        <w:rPr>
          <w:rFonts w:hint="eastAsia" w:ascii="黑体" w:hAnsi="黑体" w:eastAsia="黑体" w:cs="黑体"/>
          <w:color w:val="auto"/>
          <w:sz w:val="32"/>
          <w:szCs w:val="22"/>
          <w:highlight w:val="none"/>
        </w:rPr>
        <w:tab/>
      </w:r>
      <w:r>
        <w:rPr>
          <w:rFonts w:hint="eastAsia" w:ascii="黑体" w:hAnsi="黑体" w:eastAsia="黑体" w:cs="黑体"/>
          <w:color w:val="auto"/>
          <w:sz w:val="32"/>
          <w:szCs w:val="22"/>
          <w:highlight w:val="none"/>
          <w:lang w:val="en-US" w:eastAsia="zh-CN"/>
        </w:rPr>
        <w:t>1</w:t>
      </w:r>
      <w:r>
        <w:rPr>
          <w:rFonts w:hint="eastAsia" w:ascii="黑体" w:hAnsi="黑体" w:eastAsia="黑体" w:cs="黑体"/>
          <w:color w:val="auto"/>
          <w:sz w:val="32"/>
          <w:szCs w:val="22"/>
          <w:highlight w:val="none"/>
        </w:rPr>
        <w:fldChar w:fldCharType="end"/>
      </w:r>
      <w:r>
        <w:rPr>
          <w:rFonts w:hint="eastAsia" w:ascii="黑体" w:hAnsi="黑体" w:eastAsia="黑体" w:cs="黑体"/>
          <w:color w:val="auto"/>
          <w:sz w:val="32"/>
          <w:szCs w:val="22"/>
          <w:highlight w:val="none"/>
          <w:lang w:val="en-US" w:eastAsia="zh-CN"/>
        </w:rPr>
        <w:t>9</w:t>
      </w:r>
    </w:p>
    <w:p w14:paraId="19F50ECE">
      <w:pPr>
        <w:pStyle w:val="2"/>
        <w:tabs>
          <w:tab w:val="right" w:leader="dot" w:pos="8306"/>
          <w:tab w:val="clear" w:pos="9344"/>
        </w:tabs>
        <w:rPr>
          <w:rFonts w:hint="eastAsia" w:ascii="黑体" w:hAnsi="黑体" w:eastAsia="黑体" w:cs="黑体"/>
          <w:color w:val="auto"/>
          <w:sz w:val="32"/>
          <w:szCs w:val="22"/>
          <w:highlight w:val="none"/>
          <w:lang w:val="en-US" w:eastAsia="zh-CN"/>
        </w:rPr>
      </w:pPr>
      <w:r>
        <w:rPr>
          <w:rFonts w:hint="eastAsia" w:ascii="黑体" w:hAnsi="黑体" w:eastAsia="黑体" w:cs="黑体"/>
          <w:color w:val="auto"/>
          <w:sz w:val="32"/>
          <w:szCs w:val="22"/>
          <w:highlight w:val="none"/>
        </w:rPr>
        <w:fldChar w:fldCharType="begin"/>
      </w:r>
      <w:r>
        <w:rPr>
          <w:rFonts w:hint="eastAsia" w:ascii="黑体" w:hAnsi="黑体" w:eastAsia="黑体" w:cs="黑体"/>
          <w:color w:val="auto"/>
          <w:sz w:val="32"/>
          <w:szCs w:val="22"/>
          <w:highlight w:val="none"/>
        </w:rPr>
        <w:instrText xml:space="preserve"> HYPERLINK \l "_Toc5022" </w:instrText>
      </w:r>
      <w:r>
        <w:rPr>
          <w:rFonts w:hint="eastAsia" w:ascii="黑体" w:hAnsi="黑体" w:eastAsia="黑体" w:cs="黑体"/>
          <w:color w:val="auto"/>
          <w:sz w:val="32"/>
          <w:szCs w:val="22"/>
          <w:highlight w:val="none"/>
        </w:rPr>
        <w:fldChar w:fldCharType="separate"/>
      </w:r>
      <w:r>
        <w:rPr>
          <w:rFonts w:hint="eastAsia" w:ascii="黑体" w:hAnsi="黑体" w:eastAsia="黑体" w:cs="黑体"/>
          <w:color w:val="auto"/>
          <w:sz w:val="32"/>
          <w:szCs w:val="22"/>
          <w:highlight w:val="none"/>
        </w:rPr>
        <w:t>第四章  合同草案条款</w:t>
      </w:r>
      <w:r>
        <w:rPr>
          <w:rFonts w:hint="eastAsia" w:ascii="黑体" w:hAnsi="黑体" w:eastAsia="黑体" w:cs="黑体"/>
          <w:color w:val="auto"/>
          <w:sz w:val="32"/>
          <w:szCs w:val="22"/>
          <w:highlight w:val="none"/>
        </w:rPr>
        <w:tab/>
      </w:r>
      <w:r>
        <w:rPr>
          <w:rFonts w:hint="eastAsia" w:ascii="黑体" w:hAnsi="黑体" w:eastAsia="黑体" w:cs="黑体"/>
          <w:color w:val="auto"/>
          <w:sz w:val="32"/>
          <w:szCs w:val="22"/>
          <w:highlight w:val="none"/>
          <w:lang w:val="en-US" w:eastAsia="zh-CN"/>
        </w:rPr>
        <w:t>2</w:t>
      </w:r>
      <w:r>
        <w:rPr>
          <w:rFonts w:hint="eastAsia" w:ascii="黑体" w:hAnsi="黑体" w:eastAsia="黑体" w:cs="黑体"/>
          <w:color w:val="auto"/>
          <w:sz w:val="32"/>
          <w:szCs w:val="22"/>
          <w:highlight w:val="none"/>
        </w:rPr>
        <w:fldChar w:fldCharType="end"/>
      </w:r>
      <w:r>
        <w:rPr>
          <w:rFonts w:hint="eastAsia" w:ascii="黑体" w:hAnsi="黑体" w:eastAsia="黑体" w:cs="黑体"/>
          <w:color w:val="auto"/>
          <w:sz w:val="32"/>
          <w:szCs w:val="22"/>
          <w:highlight w:val="none"/>
          <w:lang w:val="en-US" w:eastAsia="zh-CN"/>
        </w:rPr>
        <w:t>7</w:t>
      </w:r>
    </w:p>
    <w:p w14:paraId="4F689CB2">
      <w:pPr>
        <w:pStyle w:val="2"/>
        <w:tabs>
          <w:tab w:val="right" w:leader="dot" w:pos="8306"/>
          <w:tab w:val="clear" w:pos="9344"/>
        </w:tabs>
        <w:rPr>
          <w:rFonts w:hint="eastAsia" w:ascii="黑体" w:hAnsi="黑体" w:eastAsia="黑体" w:cs="黑体"/>
          <w:color w:val="auto"/>
          <w:sz w:val="32"/>
          <w:szCs w:val="22"/>
          <w:highlight w:val="none"/>
          <w:lang w:eastAsia="zh-CN"/>
        </w:rPr>
      </w:pPr>
      <w:r>
        <w:rPr>
          <w:rFonts w:hint="eastAsia" w:ascii="黑体" w:hAnsi="黑体" w:eastAsia="黑体" w:cs="黑体"/>
          <w:color w:val="auto"/>
          <w:sz w:val="32"/>
          <w:szCs w:val="22"/>
          <w:highlight w:val="none"/>
        </w:rPr>
        <w:fldChar w:fldCharType="begin"/>
      </w:r>
      <w:r>
        <w:rPr>
          <w:rFonts w:hint="eastAsia" w:ascii="黑体" w:hAnsi="黑体" w:eastAsia="黑体" w:cs="黑体"/>
          <w:color w:val="auto"/>
          <w:sz w:val="32"/>
          <w:szCs w:val="22"/>
          <w:highlight w:val="none"/>
        </w:rPr>
        <w:instrText xml:space="preserve"> HYPERLINK \l "_Toc7964" </w:instrText>
      </w:r>
      <w:r>
        <w:rPr>
          <w:rFonts w:hint="eastAsia" w:ascii="黑体" w:hAnsi="黑体" w:eastAsia="黑体" w:cs="黑体"/>
          <w:color w:val="auto"/>
          <w:sz w:val="32"/>
          <w:szCs w:val="22"/>
          <w:highlight w:val="none"/>
        </w:rPr>
        <w:fldChar w:fldCharType="separate"/>
      </w:r>
      <w:r>
        <w:rPr>
          <w:rFonts w:hint="eastAsia" w:ascii="黑体" w:hAnsi="黑体" w:eastAsia="黑体" w:cs="黑体"/>
          <w:color w:val="auto"/>
          <w:sz w:val="32"/>
          <w:szCs w:val="22"/>
          <w:highlight w:val="none"/>
        </w:rPr>
        <w:t>第五章  采购内容及要求</w:t>
      </w:r>
      <w:r>
        <w:rPr>
          <w:rFonts w:hint="eastAsia" w:ascii="黑体" w:hAnsi="黑体" w:eastAsia="黑体" w:cs="黑体"/>
          <w:color w:val="auto"/>
          <w:sz w:val="32"/>
          <w:szCs w:val="22"/>
          <w:highlight w:val="none"/>
        </w:rPr>
        <w:tab/>
      </w:r>
      <w:r>
        <w:rPr>
          <w:rFonts w:hint="eastAsia" w:ascii="黑体" w:hAnsi="黑体" w:eastAsia="黑体" w:cs="黑体"/>
          <w:color w:val="auto"/>
          <w:sz w:val="32"/>
          <w:szCs w:val="22"/>
          <w:highlight w:val="none"/>
          <w:lang w:val="en-US" w:eastAsia="zh-CN"/>
        </w:rPr>
        <w:t>2</w:t>
      </w:r>
      <w:r>
        <w:rPr>
          <w:rFonts w:hint="eastAsia" w:ascii="黑体" w:hAnsi="黑体" w:eastAsia="黑体" w:cs="黑体"/>
          <w:color w:val="auto"/>
          <w:sz w:val="32"/>
          <w:szCs w:val="22"/>
          <w:highlight w:val="none"/>
        </w:rPr>
        <w:fldChar w:fldCharType="end"/>
      </w:r>
      <w:r>
        <w:rPr>
          <w:rFonts w:hint="eastAsia" w:ascii="黑体" w:hAnsi="黑体" w:eastAsia="黑体" w:cs="黑体"/>
          <w:color w:val="auto"/>
          <w:sz w:val="32"/>
          <w:szCs w:val="22"/>
          <w:highlight w:val="none"/>
          <w:lang w:val="en-US" w:eastAsia="zh-CN"/>
        </w:rPr>
        <w:t>9</w:t>
      </w:r>
    </w:p>
    <w:p w14:paraId="21B9DEFE">
      <w:pPr>
        <w:pStyle w:val="2"/>
        <w:tabs>
          <w:tab w:val="right" w:leader="dot" w:pos="8306"/>
          <w:tab w:val="clear" w:pos="9344"/>
        </w:tabs>
        <w:rPr>
          <w:rFonts w:hint="eastAsia" w:ascii="黑体" w:hAnsi="黑体" w:eastAsia="黑体" w:cs="黑体"/>
          <w:color w:val="auto"/>
          <w:sz w:val="32"/>
          <w:szCs w:val="22"/>
          <w:highlight w:val="none"/>
          <w:lang w:val="en-US" w:eastAsia="zh-CN"/>
        </w:rPr>
      </w:pPr>
      <w:r>
        <w:rPr>
          <w:rFonts w:hint="eastAsia" w:ascii="黑体" w:hAnsi="黑体" w:eastAsia="黑体" w:cs="黑体"/>
          <w:color w:val="auto"/>
          <w:sz w:val="32"/>
          <w:szCs w:val="22"/>
          <w:highlight w:val="none"/>
        </w:rPr>
        <w:fldChar w:fldCharType="begin"/>
      </w:r>
      <w:r>
        <w:rPr>
          <w:rFonts w:hint="eastAsia" w:ascii="黑体" w:hAnsi="黑体" w:eastAsia="黑体" w:cs="黑体"/>
          <w:color w:val="auto"/>
          <w:sz w:val="32"/>
          <w:szCs w:val="22"/>
          <w:highlight w:val="none"/>
        </w:rPr>
        <w:instrText xml:space="preserve"> HYPERLINK \l "_Toc14975" </w:instrText>
      </w:r>
      <w:r>
        <w:rPr>
          <w:rFonts w:hint="eastAsia" w:ascii="黑体" w:hAnsi="黑体" w:eastAsia="黑体" w:cs="黑体"/>
          <w:color w:val="auto"/>
          <w:sz w:val="32"/>
          <w:szCs w:val="22"/>
          <w:highlight w:val="none"/>
        </w:rPr>
        <w:fldChar w:fldCharType="separate"/>
      </w:r>
      <w:r>
        <w:rPr>
          <w:rFonts w:hint="eastAsia" w:ascii="黑体" w:hAnsi="黑体" w:eastAsia="黑体" w:cs="黑体"/>
          <w:color w:val="auto"/>
          <w:sz w:val="32"/>
          <w:szCs w:val="22"/>
          <w:highlight w:val="none"/>
        </w:rPr>
        <w:t>第六章  磋商响应文件格式</w:t>
      </w:r>
      <w:r>
        <w:rPr>
          <w:rFonts w:hint="eastAsia" w:ascii="黑体" w:hAnsi="黑体" w:eastAsia="黑体" w:cs="黑体"/>
          <w:color w:val="auto"/>
          <w:sz w:val="32"/>
          <w:szCs w:val="22"/>
          <w:highlight w:val="none"/>
        </w:rPr>
        <w:tab/>
      </w:r>
      <w:r>
        <w:rPr>
          <w:rFonts w:hint="eastAsia" w:ascii="黑体" w:hAnsi="黑体" w:eastAsia="黑体" w:cs="黑体"/>
          <w:color w:val="auto"/>
          <w:sz w:val="32"/>
          <w:szCs w:val="22"/>
          <w:highlight w:val="none"/>
          <w:lang w:val="en-US" w:eastAsia="zh-CN"/>
        </w:rPr>
        <w:t>3</w:t>
      </w:r>
      <w:r>
        <w:rPr>
          <w:rFonts w:hint="eastAsia" w:ascii="黑体" w:hAnsi="黑体" w:eastAsia="黑体" w:cs="黑体"/>
          <w:color w:val="auto"/>
          <w:sz w:val="32"/>
          <w:szCs w:val="22"/>
          <w:highlight w:val="none"/>
        </w:rPr>
        <w:fldChar w:fldCharType="end"/>
      </w:r>
      <w:r>
        <w:rPr>
          <w:rFonts w:hint="eastAsia" w:ascii="黑体" w:hAnsi="黑体" w:eastAsia="黑体" w:cs="黑体"/>
          <w:color w:val="auto"/>
          <w:sz w:val="32"/>
          <w:szCs w:val="22"/>
          <w:highlight w:val="none"/>
          <w:lang w:val="en-US" w:eastAsia="zh-CN"/>
        </w:rPr>
        <w:t>3</w:t>
      </w:r>
    </w:p>
    <w:p w14:paraId="513700B3">
      <w:pPr>
        <w:tabs>
          <w:tab w:val="center" w:pos="4677"/>
          <w:tab w:val="left" w:pos="5040"/>
        </w:tabs>
        <w:adjustRightInd w:val="0"/>
        <w:snapToGrid w:val="0"/>
        <w:spacing w:line="360" w:lineRule="auto"/>
        <w:jc w:val="left"/>
        <w:rPr>
          <w:rFonts w:hint="eastAsia" w:ascii="黑体" w:hAnsi="黑体" w:eastAsia="黑体" w:cs="黑体"/>
          <w:color w:val="auto"/>
          <w:sz w:val="20"/>
          <w:szCs w:val="18"/>
          <w:highlight w:val="none"/>
        </w:rPr>
      </w:pPr>
      <w:r>
        <w:rPr>
          <w:rFonts w:hint="eastAsia" w:ascii="黑体" w:hAnsi="黑体" w:eastAsia="黑体" w:cs="黑体"/>
          <w:color w:val="auto"/>
          <w:sz w:val="24"/>
          <w:szCs w:val="22"/>
          <w:highlight w:val="none"/>
        </w:rPr>
        <w:fldChar w:fldCharType="end"/>
      </w:r>
    </w:p>
    <w:p w14:paraId="06892403">
      <w:pPr>
        <w:rPr>
          <w:rFonts w:hint="eastAsia" w:ascii="黑体" w:hAnsi="黑体" w:eastAsia="黑体" w:cs="黑体"/>
          <w:color w:val="auto"/>
          <w:sz w:val="20"/>
          <w:szCs w:val="22"/>
          <w:highlight w:val="none"/>
        </w:rPr>
        <w:sectPr>
          <w:footerReference r:id="rId7" w:type="first"/>
          <w:footerReference r:id="rId6" w:type="default"/>
          <w:pgSz w:w="11906" w:h="16838"/>
          <w:pgMar w:top="1440" w:right="1800" w:bottom="1440" w:left="1800" w:header="851" w:footer="992" w:gutter="0"/>
          <w:pgNumType w:fmt="decimal" w:start="1"/>
          <w:cols w:space="720" w:num="1"/>
          <w:titlePg/>
          <w:docGrid w:linePitch="312" w:charSpace="0"/>
        </w:sectPr>
      </w:pPr>
      <w:r>
        <w:rPr>
          <w:rFonts w:hint="eastAsia" w:ascii="黑体" w:hAnsi="黑体" w:eastAsia="黑体" w:cs="黑体"/>
          <w:color w:val="auto"/>
          <w:sz w:val="20"/>
          <w:szCs w:val="18"/>
          <w:highlight w:val="none"/>
        </w:rPr>
        <w:br w:type="page"/>
      </w:r>
    </w:p>
    <w:p w14:paraId="722BB76A">
      <w:pPr>
        <w:pStyle w:val="46"/>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textAlignment w:val="auto"/>
        <w:rPr>
          <w:rFonts w:hint="eastAsia" w:ascii="黑体" w:hAnsi="黑体" w:eastAsia="黑体" w:cs="黑体"/>
          <w:color w:val="auto"/>
          <w:sz w:val="28"/>
          <w:szCs w:val="28"/>
          <w:highlight w:val="none"/>
        </w:rPr>
      </w:pPr>
      <w:bookmarkStart w:id="0" w:name="_Toc21755"/>
      <w:bookmarkStart w:id="1" w:name="_Toc415499894"/>
      <w:bookmarkStart w:id="2" w:name="_Toc58504445"/>
      <w:bookmarkStart w:id="3" w:name="_Toc12761"/>
      <w:bookmarkStart w:id="4" w:name="_Toc499711882"/>
      <w:bookmarkStart w:id="5" w:name="_Toc503063420"/>
      <w:bookmarkStart w:id="6" w:name="_Toc500747060"/>
      <w:bookmarkStart w:id="7" w:name="_Toc177189234"/>
      <w:bookmarkStart w:id="8" w:name="_Toc176882541"/>
      <w:bookmarkStart w:id="9" w:name="_Toc53722839"/>
      <w:bookmarkStart w:id="10" w:name="_Toc177995472"/>
      <w:bookmarkStart w:id="11" w:name="_Toc492955413"/>
      <w:bookmarkStart w:id="12" w:name="_Toc499711041"/>
      <w:bookmarkStart w:id="13" w:name="_Toc177817333"/>
      <w:bookmarkStart w:id="14" w:name="_Toc496324577"/>
      <w:bookmarkStart w:id="15" w:name="_Toc500746964"/>
      <w:bookmarkStart w:id="16" w:name="_Toc70687138"/>
      <w:bookmarkStart w:id="17" w:name="_Toc500747187"/>
      <w:bookmarkStart w:id="18" w:name="_Toc385992325"/>
      <w:bookmarkStart w:id="19" w:name="_Toc385992324"/>
      <w:r>
        <w:rPr>
          <w:rFonts w:hint="eastAsia" w:ascii="黑体" w:hAnsi="黑体" w:eastAsia="黑体" w:cs="黑体"/>
          <w:color w:val="auto"/>
          <w:sz w:val="28"/>
          <w:szCs w:val="28"/>
          <w:highlight w:val="none"/>
        </w:rPr>
        <w:t>磋商公告</w:t>
      </w:r>
      <w:bookmarkEnd w:id="0"/>
      <w:bookmarkEnd w:id="1"/>
      <w:bookmarkEnd w:id="2"/>
      <w:bookmarkEnd w:id="3"/>
    </w:p>
    <w:p w14:paraId="303C617D">
      <w:pPr>
        <w:overflowPunct w:val="0"/>
        <w:autoSpaceDE/>
        <w:autoSpaceDN/>
        <w:spacing w:before="0" w:after="0" w:line="360" w:lineRule="auto"/>
        <w:ind w:right="0"/>
        <w:jc w:val="left"/>
        <w:rPr>
          <w:rFonts w:hint="eastAsia" w:ascii="黑体" w:hAnsi="黑体" w:eastAsia="黑体" w:cs="黑体"/>
          <w:b/>
          <w:bCs/>
          <w:kern w:val="0"/>
          <w:sz w:val="24"/>
          <w:szCs w:val="21"/>
          <w:highlight w:val="none"/>
          <w:lang w:val="en-US" w:bidi="zh-CN"/>
        </w:rPr>
      </w:pPr>
      <w:r>
        <w:rPr>
          <w:rFonts w:hint="eastAsia" w:ascii="黑体" w:hAnsi="黑体" w:eastAsia="黑体" w:cs="黑体"/>
          <w:b/>
          <w:bCs/>
          <w:kern w:val="0"/>
          <w:sz w:val="24"/>
          <w:szCs w:val="21"/>
          <w:highlight w:val="none"/>
          <w:lang w:val="en-US" w:bidi="zh-CN"/>
        </w:rPr>
        <w:t>项目概况</w:t>
      </w:r>
    </w:p>
    <w:p w14:paraId="5408C8A7">
      <w:pPr>
        <w:overflowPunct w:val="0"/>
        <w:autoSpaceDE/>
        <w:autoSpaceDN/>
        <w:spacing w:before="0" w:after="0" w:line="360" w:lineRule="auto"/>
        <w:ind w:right="0" w:firstLine="480" w:firstLineChars="200"/>
        <w:jc w:val="left"/>
        <w:rPr>
          <w:rFonts w:hint="eastAsia" w:ascii="黑体" w:hAnsi="黑体" w:eastAsia="黑体" w:cs="黑体"/>
          <w:kern w:val="0"/>
          <w:sz w:val="24"/>
          <w:szCs w:val="21"/>
          <w:highlight w:val="none"/>
          <w:lang w:val="zh-CN" w:bidi="zh-CN"/>
        </w:rPr>
      </w:pPr>
      <w:r>
        <w:rPr>
          <w:rFonts w:hint="eastAsia" w:ascii="黑体" w:hAnsi="黑体" w:eastAsia="黑体" w:cs="黑体"/>
          <w:kern w:val="0"/>
          <w:sz w:val="24"/>
          <w:szCs w:val="21"/>
          <w:highlight w:val="none"/>
          <w:lang w:val="zh-CN" w:bidi="zh-CN"/>
        </w:rPr>
        <w:t>城关镇中心卫生院全自动五分类血液分析仪和多普勒肌骨超声设备购买项目采购项目的潜在供应商应在全国公共资源交易平台（陕西省.安康市）获取采购文件，并于 202</w:t>
      </w:r>
      <w:r>
        <w:rPr>
          <w:rFonts w:hint="eastAsia" w:ascii="黑体" w:hAnsi="黑体" w:eastAsia="黑体" w:cs="黑体"/>
          <w:kern w:val="0"/>
          <w:sz w:val="24"/>
          <w:szCs w:val="21"/>
          <w:highlight w:val="none"/>
          <w:lang w:val="en-US" w:bidi="zh-CN"/>
        </w:rPr>
        <w:t>5</w:t>
      </w:r>
      <w:r>
        <w:rPr>
          <w:rFonts w:hint="eastAsia" w:ascii="黑体" w:hAnsi="黑体" w:eastAsia="黑体" w:cs="黑体"/>
          <w:kern w:val="0"/>
          <w:sz w:val="24"/>
          <w:szCs w:val="21"/>
          <w:highlight w:val="none"/>
          <w:lang w:val="zh-CN" w:bidi="zh-CN"/>
        </w:rPr>
        <w:t>年</w:t>
      </w:r>
      <w:r>
        <w:rPr>
          <w:rFonts w:hint="eastAsia" w:ascii="黑体" w:hAnsi="黑体" w:eastAsia="黑体" w:cs="黑体"/>
          <w:kern w:val="0"/>
          <w:sz w:val="24"/>
          <w:szCs w:val="21"/>
          <w:highlight w:val="none"/>
          <w:lang w:val="en-US" w:bidi="zh-CN"/>
        </w:rPr>
        <w:t xml:space="preserve"> 07 </w:t>
      </w:r>
      <w:r>
        <w:rPr>
          <w:rFonts w:hint="eastAsia" w:ascii="黑体" w:hAnsi="黑体" w:eastAsia="黑体" w:cs="黑体"/>
          <w:kern w:val="0"/>
          <w:sz w:val="24"/>
          <w:szCs w:val="21"/>
          <w:highlight w:val="none"/>
          <w:lang w:val="zh-CN" w:bidi="zh-CN"/>
        </w:rPr>
        <w:t>月</w:t>
      </w:r>
      <w:r>
        <w:rPr>
          <w:rFonts w:hint="eastAsia" w:ascii="黑体" w:hAnsi="黑体" w:eastAsia="黑体" w:cs="黑体"/>
          <w:kern w:val="0"/>
          <w:sz w:val="24"/>
          <w:szCs w:val="21"/>
          <w:highlight w:val="none"/>
          <w:lang w:val="en-US" w:bidi="zh-CN"/>
        </w:rPr>
        <w:t xml:space="preserve"> 23 </w:t>
      </w:r>
      <w:r>
        <w:rPr>
          <w:rFonts w:hint="eastAsia" w:ascii="黑体" w:hAnsi="黑体" w:eastAsia="黑体" w:cs="黑体"/>
          <w:kern w:val="0"/>
          <w:sz w:val="24"/>
          <w:szCs w:val="21"/>
          <w:highlight w:val="none"/>
          <w:lang w:val="zh-CN" w:bidi="zh-CN"/>
        </w:rPr>
        <w:t>日</w:t>
      </w:r>
      <w:r>
        <w:rPr>
          <w:rFonts w:hint="eastAsia" w:ascii="黑体" w:hAnsi="黑体" w:eastAsia="黑体" w:cs="黑体"/>
          <w:kern w:val="0"/>
          <w:sz w:val="24"/>
          <w:szCs w:val="21"/>
          <w:highlight w:val="none"/>
          <w:lang w:val="en-US" w:bidi="zh-CN"/>
        </w:rPr>
        <w:t xml:space="preserve"> 15 </w:t>
      </w:r>
      <w:r>
        <w:rPr>
          <w:rFonts w:hint="eastAsia" w:ascii="黑体" w:hAnsi="黑体" w:eastAsia="黑体" w:cs="黑体"/>
          <w:kern w:val="0"/>
          <w:sz w:val="24"/>
          <w:szCs w:val="21"/>
          <w:highlight w:val="none"/>
          <w:lang w:val="zh-CN" w:bidi="zh-CN"/>
        </w:rPr>
        <w:t xml:space="preserve"> 时</w:t>
      </w:r>
      <w:r>
        <w:rPr>
          <w:rFonts w:hint="eastAsia" w:ascii="黑体" w:hAnsi="黑体" w:eastAsia="黑体" w:cs="黑体"/>
          <w:kern w:val="0"/>
          <w:sz w:val="24"/>
          <w:szCs w:val="21"/>
          <w:highlight w:val="none"/>
          <w:lang w:val="en-US" w:bidi="zh-CN"/>
        </w:rPr>
        <w:t xml:space="preserve"> 30 </w:t>
      </w:r>
      <w:r>
        <w:rPr>
          <w:rFonts w:hint="eastAsia" w:ascii="黑体" w:hAnsi="黑体" w:eastAsia="黑体" w:cs="黑体"/>
          <w:kern w:val="0"/>
          <w:sz w:val="24"/>
          <w:szCs w:val="21"/>
          <w:highlight w:val="none"/>
          <w:lang w:val="zh-CN" w:bidi="zh-CN"/>
        </w:rPr>
        <w:t>分 （北京时间）前提交响应文件。</w:t>
      </w:r>
    </w:p>
    <w:p w14:paraId="2E97368E">
      <w:pPr>
        <w:overflowPunct w:val="0"/>
        <w:autoSpaceDE/>
        <w:autoSpaceDN/>
        <w:spacing w:before="0" w:after="0" w:line="360" w:lineRule="auto"/>
        <w:ind w:left="0" w:leftChars="0" w:right="0" w:firstLine="0" w:firstLineChars="0"/>
        <w:jc w:val="left"/>
        <w:rPr>
          <w:rFonts w:hint="eastAsia" w:ascii="黑体" w:hAnsi="黑体" w:eastAsia="黑体" w:cs="黑体"/>
          <w:b/>
          <w:bCs/>
          <w:kern w:val="0"/>
          <w:sz w:val="24"/>
          <w:szCs w:val="24"/>
          <w:highlight w:val="none"/>
          <w:lang w:val="zh-CN" w:bidi="zh-CN"/>
        </w:rPr>
      </w:pPr>
      <w:r>
        <w:rPr>
          <w:rFonts w:hint="eastAsia" w:ascii="黑体" w:hAnsi="黑体" w:eastAsia="黑体" w:cs="黑体"/>
          <w:b/>
          <w:bCs/>
          <w:kern w:val="0"/>
          <w:sz w:val="24"/>
          <w:szCs w:val="21"/>
          <w:highlight w:val="none"/>
          <w:lang w:val="zh-CN" w:bidi="zh-CN"/>
        </w:rPr>
        <w:t>一、</w:t>
      </w:r>
      <w:r>
        <w:rPr>
          <w:rFonts w:hint="eastAsia" w:ascii="黑体" w:hAnsi="黑体" w:eastAsia="黑体" w:cs="黑体"/>
          <w:b/>
          <w:bCs/>
          <w:kern w:val="0"/>
          <w:sz w:val="24"/>
          <w:szCs w:val="24"/>
          <w:highlight w:val="none"/>
          <w:lang w:val="zh-CN" w:bidi="zh-CN"/>
        </w:rPr>
        <w:t>项目基本情况</w:t>
      </w:r>
    </w:p>
    <w:p w14:paraId="70B3BA56">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shd w:val="clear" w:fill="FFFFFF"/>
        </w:rPr>
        <w:t>项目编号：SXCQCGAK(2025)第17号</w:t>
      </w:r>
    </w:p>
    <w:p w14:paraId="2AABBE67">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shd w:val="clear" w:fill="FFFFFF"/>
        </w:rPr>
        <w:t>项目名称：城关镇中心卫生院全自动五分类血液分析仪和多普勒肌骨超声设备购买项目</w:t>
      </w:r>
    </w:p>
    <w:p w14:paraId="4492BA2E">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shd w:val="clear" w:fill="FFFFFF"/>
        </w:rPr>
        <w:t>采购方式：竞争性磋商</w:t>
      </w:r>
    </w:p>
    <w:p w14:paraId="5C110B9D">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shd w:val="clear" w:fill="FFFFFF"/>
        </w:rPr>
        <w:t>预算金额：413,800.00元</w:t>
      </w:r>
    </w:p>
    <w:p w14:paraId="5D854BA5">
      <w:pPr>
        <w:pStyle w:val="4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24"/>
          <w:szCs w:val="24"/>
          <w:shd w:val="clear" w:fill="FFFFFF"/>
        </w:rPr>
        <w:t>采购需求：</w:t>
      </w:r>
    </w:p>
    <w:p w14:paraId="0AE0244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shd w:val="clear" w:fill="FFFFFF"/>
        </w:rPr>
        <w:t>合同包1(城关镇中心卫生院全自动五分类血液分析仪和多普勒肌骨超声设备购买项目):</w:t>
      </w:r>
    </w:p>
    <w:p w14:paraId="473DE9F5">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shd w:val="clear" w:fill="FFFFFF"/>
        </w:rPr>
        <w:t>合同包预算金额：413,800.00元</w:t>
      </w:r>
    </w:p>
    <w:p w14:paraId="013019FA">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shd w:val="clear" w:fill="FFFFFF"/>
        </w:rPr>
        <w:t>合同包最高限价：413,800.00元</w:t>
      </w:r>
    </w:p>
    <w:tbl>
      <w:tblPr>
        <w:tblStyle w:val="50"/>
        <w:tblW w:w="5147" w:type="pct"/>
        <w:tblInd w:w="-2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8"/>
        <w:gridCol w:w="2453"/>
        <w:gridCol w:w="2454"/>
        <w:gridCol w:w="760"/>
        <w:gridCol w:w="1608"/>
        <w:gridCol w:w="1441"/>
      </w:tblGrid>
      <w:tr w14:paraId="4F50F9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5506BD">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
              </w:rPr>
              <w:t>品目号</w:t>
            </w:r>
          </w:p>
        </w:tc>
        <w:tc>
          <w:tcPr>
            <w:tcW w:w="1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7B04E">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
              </w:rPr>
              <w:t>品目名称</w:t>
            </w:r>
          </w:p>
        </w:tc>
        <w:tc>
          <w:tcPr>
            <w:tcW w:w="1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272BF0">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
              </w:rPr>
              <w:t>采购标的</w:t>
            </w:r>
          </w:p>
        </w:tc>
        <w:tc>
          <w:tcPr>
            <w:tcW w:w="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D38603">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
              </w:rPr>
              <w:t>数量（单位）</w:t>
            </w:r>
          </w:p>
        </w:tc>
        <w:tc>
          <w:tcPr>
            <w:tcW w:w="8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89E5D">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
              </w:rPr>
              <w:t>技术规格、参数及要求</w:t>
            </w:r>
          </w:p>
        </w:tc>
        <w:tc>
          <w:tcPr>
            <w:tcW w:w="7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A852CE">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
              </w:rPr>
              <w:t>品目预算(元)</w:t>
            </w:r>
          </w:p>
        </w:tc>
      </w:tr>
      <w:tr w14:paraId="040306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29D7AB">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1-1</w:t>
            </w:r>
          </w:p>
        </w:tc>
        <w:tc>
          <w:tcPr>
            <w:tcW w:w="1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6CF765">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医用超声波仪器及设备</w:t>
            </w:r>
          </w:p>
        </w:tc>
        <w:tc>
          <w:tcPr>
            <w:tcW w:w="1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56F43">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多普勒肌骨超声设备</w:t>
            </w:r>
          </w:p>
        </w:tc>
        <w:tc>
          <w:tcPr>
            <w:tcW w:w="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243D3D">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1(台)</w:t>
            </w:r>
          </w:p>
        </w:tc>
        <w:tc>
          <w:tcPr>
            <w:tcW w:w="8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EE6299">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详见采购文件</w:t>
            </w:r>
          </w:p>
        </w:tc>
        <w:tc>
          <w:tcPr>
            <w:tcW w:w="7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D4312">
            <w:pPr>
              <w:keepNext w:val="0"/>
              <w:keepLines w:val="0"/>
              <w:widowControl/>
              <w:suppressLineNumbers w:val="0"/>
              <w:wordWrap/>
              <w:spacing w:before="0" w:beforeAutospacing="0" w:after="0" w:afterAutospacing="0" w:line="360" w:lineRule="atLeast"/>
              <w:ind w:left="0" w:right="0"/>
              <w:jc w:val="right"/>
              <w:rPr>
                <w:rFonts w:hint="eastAsia" w:ascii="黑体" w:hAnsi="黑体" w:eastAsia="黑体" w:cs="黑体"/>
                <w:sz w:val="24"/>
                <w:szCs w:val="24"/>
              </w:rPr>
            </w:pPr>
            <w:r>
              <w:rPr>
                <w:rFonts w:hint="eastAsia" w:ascii="黑体" w:hAnsi="黑体" w:eastAsia="黑体" w:cs="黑体"/>
                <w:kern w:val="0"/>
                <w:sz w:val="24"/>
                <w:szCs w:val="24"/>
                <w:lang w:val="en-US" w:eastAsia="zh-CN" w:bidi="ar"/>
              </w:rPr>
              <w:t>228,800.00</w:t>
            </w:r>
          </w:p>
        </w:tc>
      </w:tr>
      <w:tr w14:paraId="51C735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34FB49">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1-2</w:t>
            </w:r>
          </w:p>
        </w:tc>
        <w:tc>
          <w:tcPr>
            <w:tcW w:w="1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7D896C">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临床检验设备</w:t>
            </w:r>
          </w:p>
        </w:tc>
        <w:tc>
          <w:tcPr>
            <w:tcW w:w="1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76BEAA">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全自动五分类血液分析仪</w:t>
            </w:r>
          </w:p>
        </w:tc>
        <w:tc>
          <w:tcPr>
            <w:tcW w:w="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35ACF3">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1(台)</w:t>
            </w:r>
          </w:p>
        </w:tc>
        <w:tc>
          <w:tcPr>
            <w:tcW w:w="8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8DD34">
            <w:pPr>
              <w:keepNext w:val="0"/>
              <w:keepLines w:val="0"/>
              <w:widowControl/>
              <w:suppressLineNumbers w:val="0"/>
              <w:wordWrap w:val="0"/>
              <w:spacing w:before="0" w:beforeAutospacing="0" w:after="0" w:afterAutospacing="0" w:line="360" w:lineRule="atLeast"/>
              <w:ind w:left="0" w:right="0"/>
              <w:jc w:val="center"/>
              <w:rPr>
                <w:rFonts w:hint="eastAsia" w:ascii="黑体" w:hAnsi="黑体" w:eastAsia="黑体" w:cs="黑体"/>
                <w:sz w:val="24"/>
                <w:szCs w:val="24"/>
              </w:rPr>
            </w:pPr>
            <w:r>
              <w:rPr>
                <w:rFonts w:hint="eastAsia" w:ascii="黑体" w:hAnsi="黑体" w:eastAsia="黑体" w:cs="黑体"/>
                <w:kern w:val="0"/>
                <w:sz w:val="24"/>
                <w:szCs w:val="24"/>
                <w:lang w:val="en-US" w:eastAsia="zh-CN" w:bidi="ar"/>
              </w:rPr>
              <w:t>详见采购文件</w:t>
            </w:r>
          </w:p>
        </w:tc>
        <w:tc>
          <w:tcPr>
            <w:tcW w:w="7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2D2DFF">
            <w:pPr>
              <w:keepNext w:val="0"/>
              <w:keepLines w:val="0"/>
              <w:widowControl/>
              <w:suppressLineNumbers w:val="0"/>
              <w:wordWrap/>
              <w:spacing w:before="0" w:beforeAutospacing="0" w:after="0" w:afterAutospacing="0" w:line="360" w:lineRule="atLeast"/>
              <w:ind w:left="0" w:right="0"/>
              <w:jc w:val="right"/>
              <w:rPr>
                <w:rFonts w:hint="eastAsia" w:ascii="黑体" w:hAnsi="黑体" w:eastAsia="黑体" w:cs="黑体"/>
                <w:sz w:val="24"/>
                <w:szCs w:val="24"/>
              </w:rPr>
            </w:pPr>
            <w:r>
              <w:rPr>
                <w:rFonts w:hint="eastAsia" w:ascii="黑体" w:hAnsi="黑体" w:eastAsia="黑体" w:cs="黑体"/>
                <w:kern w:val="0"/>
                <w:sz w:val="24"/>
                <w:szCs w:val="24"/>
                <w:lang w:val="en-US" w:eastAsia="zh-CN" w:bidi="ar"/>
              </w:rPr>
              <w:t>185,000.00</w:t>
            </w:r>
          </w:p>
        </w:tc>
      </w:tr>
    </w:tbl>
    <w:p w14:paraId="6F47EB76">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黑体" w:hAnsi="黑体" w:eastAsia="黑体" w:cs="黑体"/>
          <w:sz w:val="24"/>
          <w:szCs w:val="24"/>
          <w:highlight w:val="none"/>
        </w:rPr>
      </w:pPr>
      <w:r>
        <w:rPr>
          <w:rFonts w:hint="eastAsia" w:ascii="黑体" w:hAnsi="黑体" w:eastAsia="黑体" w:cs="黑体"/>
          <w:i w:val="0"/>
          <w:iCs w:val="0"/>
          <w:caps w:val="0"/>
          <w:color w:val="333333"/>
          <w:spacing w:val="0"/>
          <w:sz w:val="24"/>
          <w:szCs w:val="24"/>
          <w:highlight w:val="none"/>
          <w:shd w:val="clear" w:fill="FFFFFF"/>
        </w:rPr>
        <w:t>本合同包不接受联合体投标</w:t>
      </w:r>
    </w:p>
    <w:p w14:paraId="21D1DA21">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黑体" w:hAnsi="黑体" w:eastAsia="黑体" w:cs="黑体"/>
          <w:sz w:val="24"/>
          <w:szCs w:val="24"/>
          <w:highlight w:val="none"/>
        </w:rPr>
      </w:pPr>
      <w:r>
        <w:rPr>
          <w:rFonts w:hint="eastAsia" w:ascii="黑体" w:hAnsi="黑体" w:eastAsia="黑体" w:cs="黑体"/>
          <w:i w:val="0"/>
          <w:iCs w:val="0"/>
          <w:caps w:val="0"/>
          <w:color w:val="333333"/>
          <w:spacing w:val="0"/>
          <w:sz w:val="24"/>
          <w:szCs w:val="24"/>
          <w:highlight w:val="none"/>
          <w:shd w:val="clear" w:fill="FFFFFF"/>
        </w:rPr>
        <w:t>合同履行期限：30日历天</w:t>
      </w:r>
    </w:p>
    <w:p w14:paraId="3D40B517">
      <w:pPr>
        <w:overflowPunct w:val="0"/>
        <w:autoSpaceDE/>
        <w:autoSpaceDN/>
        <w:spacing w:before="0" w:after="0" w:line="360" w:lineRule="auto"/>
        <w:ind w:left="0" w:leftChars="0" w:right="0" w:firstLine="0" w:firstLineChars="0"/>
        <w:jc w:val="left"/>
        <w:rPr>
          <w:rFonts w:hint="eastAsia" w:ascii="黑体" w:hAnsi="黑体" w:eastAsia="黑体" w:cs="黑体"/>
          <w:b/>
          <w:bCs/>
          <w:kern w:val="0"/>
          <w:sz w:val="24"/>
          <w:szCs w:val="21"/>
          <w:highlight w:val="none"/>
          <w:lang w:val="zh-CN" w:bidi="zh-CN"/>
        </w:rPr>
      </w:pPr>
      <w:r>
        <w:rPr>
          <w:rFonts w:hint="eastAsia" w:ascii="黑体" w:hAnsi="黑体" w:eastAsia="黑体" w:cs="黑体"/>
          <w:b/>
          <w:bCs/>
          <w:kern w:val="0"/>
          <w:sz w:val="24"/>
          <w:szCs w:val="21"/>
          <w:highlight w:val="none"/>
          <w:lang w:val="zh-CN" w:bidi="zh-CN"/>
        </w:rPr>
        <w:t>二、申请人的资格要求：</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60B2775F">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bookmarkStart w:id="20" w:name="_Toc249515277"/>
      <w:bookmarkStart w:id="21" w:name="_Toc230013631"/>
      <w:bookmarkStart w:id="22" w:name="_Toc249525158"/>
      <w:bookmarkStart w:id="23" w:name="_Toc232176271"/>
      <w:bookmarkStart w:id="24" w:name="_Toc58504446"/>
      <w:bookmarkStart w:id="25" w:name="_Toc230583540"/>
      <w:bookmarkStart w:id="26" w:name="_Toc415499895"/>
      <w:bookmarkStart w:id="27" w:name="_Toc230099796"/>
      <w:bookmarkStart w:id="28" w:name="_Toc184043011"/>
      <w:bookmarkStart w:id="29" w:name="_Toc31038"/>
      <w:bookmarkStart w:id="30" w:name="_Toc249515389"/>
      <w:bookmarkStart w:id="31" w:name="_Toc21126"/>
      <w:bookmarkStart w:id="32" w:name="_Toc232395211"/>
      <w:bookmarkStart w:id="33" w:name="_Toc256342142"/>
      <w:bookmarkStart w:id="34" w:name="_Toc230583541"/>
      <w:bookmarkStart w:id="35" w:name="_Toc230013632"/>
      <w:bookmarkStart w:id="36" w:name="_Toc499711042"/>
      <w:bookmarkStart w:id="37" w:name="_Toc176882542"/>
      <w:bookmarkStart w:id="38" w:name="_Toc53722840"/>
      <w:bookmarkStart w:id="39" w:name="_Toc499711883"/>
      <w:bookmarkStart w:id="40" w:name="_Toc249525159"/>
      <w:bookmarkStart w:id="41" w:name="_Toc249515390"/>
      <w:bookmarkStart w:id="42" w:name="_Toc177817334"/>
      <w:bookmarkStart w:id="43" w:name="_Toc177189235"/>
      <w:bookmarkStart w:id="44" w:name="_Toc70687139"/>
      <w:bookmarkStart w:id="45" w:name="_Toc503063421"/>
      <w:bookmarkStart w:id="46" w:name="_Toc500747188"/>
      <w:bookmarkStart w:id="47" w:name="_Toc500747061"/>
      <w:bookmarkStart w:id="48" w:name="_Toc232395212"/>
      <w:bookmarkStart w:id="49" w:name="_Toc184043012"/>
      <w:bookmarkStart w:id="50" w:name="_Toc232176272"/>
      <w:bookmarkStart w:id="51" w:name="_Toc496324578"/>
      <w:bookmarkStart w:id="52" w:name="_Toc256342143"/>
      <w:bookmarkStart w:id="53" w:name="_Toc492955414"/>
      <w:bookmarkStart w:id="54" w:name="_Toc230099797"/>
      <w:bookmarkStart w:id="55" w:name="_Toc177995473"/>
      <w:bookmarkStart w:id="56" w:name="_Toc500746965"/>
      <w:bookmarkStart w:id="57" w:name="_Toc249515278"/>
      <w:r>
        <w:rPr>
          <w:rFonts w:hint="eastAsia" w:ascii="黑体" w:hAnsi="黑体" w:eastAsia="黑体" w:cs="黑体"/>
          <w:color w:val="auto"/>
          <w:kern w:val="0"/>
          <w:sz w:val="24"/>
          <w:szCs w:val="24"/>
          <w:highlight w:val="none"/>
          <w:lang w:val="zh-CN" w:bidi="zh-CN"/>
        </w:rPr>
        <w:t>1.满足《中华人民共和国政府采购法》第二十二条规定;</w:t>
      </w:r>
    </w:p>
    <w:p w14:paraId="29671413">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2.落实政府采购政策需满足的资格要求：</w:t>
      </w:r>
    </w:p>
    <w:p w14:paraId="01135FEC">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合同包1(</w:t>
      </w:r>
      <w:r>
        <w:rPr>
          <w:rFonts w:hint="eastAsia" w:ascii="黑体" w:hAnsi="黑体" w:eastAsia="黑体" w:cs="黑体"/>
          <w:color w:val="auto"/>
          <w:kern w:val="0"/>
          <w:sz w:val="24"/>
          <w:szCs w:val="21"/>
          <w:highlight w:val="none"/>
          <w:lang w:val="zh-CN" w:bidi="zh-CN"/>
        </w:rPr>
        <w:t>城关镇中心卫生院全自动五分类血液分析仪和多普勒肌骨超声设备购买项目）</w:t>
      </w:r>
      <w:r>
        <w:rPr>
          <w:rFonts w:hint="eastAsia" w:ascii="黑体" w:hAnsi="黑体" w:eastAsia="黑体" w:cs="黑体"/>
          <w:color w:val="auto"/>
          <w:kern w:val="0"/>
          <w:sz w:val="24"/>
          <w:szCs w:val="24"/>
          <w:highlight w:val="none"/>
          <w:lang w:val="zh-CN" w:bidi="zh-CN"/>
        </w:rPr>
        <w:t>落实政府采购政策需满足的资格要求如下:</w:t>
      </w:r>
    </w:p>
    <w:p w14:paraId="74CB4D66">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依据《中华人民共和国政府采购法》和《中华人民共和国政府采购法实施条例》的 有关规定，落实政府采购“优先购买节能环保产品、扶持小微企业、监狱企业、福利企 业 ”等相关政策：</w:t>
      </w:r>
    </w:p>
    <w:p w14:paraId="4E7331E4">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1</w:t>
      </w:r>
      <w:r>
        <w:rPr>
          <w:rFonts w:hint="eastAsia" w:ascii="黑体" w:hAnsi="黑体" w:eastAsia="黑体" w:cs="黑体"/>
          <w:color w:val="auto"/>
          <w:kern w:val="0"/>
          <w:sz w:val="24"/>
          <w:szCs w:val="24"/>
          <w:highlight w:val="none"/>
          <w:lang w:val="zh-CN" w:bidi="zh-CN"/>
        </w:rPr>
        <w:t>）《政府采购促进中小企业发展管理办法》（财库〔2020〕46 号）；</w:t>
      </w:r>
    </w:p>
    <w:p w14:paraId="06AD235C">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2</w:t>
      </w:r>
      <w:r>
        <w:rPr>
          <w:rFonts w:hint="eastAsia" w:ascii="黑体" w:hAnsi="黑体" w:eastAsia="黑体" w:cs="黑体"/>
          <w:color w:val="auto"/>
          <w:kern w:val="0"/>
          <w:sz w:val="24"/>
          <w:szCs w:val="24"/>
          <w:highlight w:val="none"/>
          <w:lang w:val="zh-CN" w:bidi="zh-CN"/>
        </w:rPr>
        <w:t>）《财政部司法部关于政府采购支持监狱企业发展有关问题的通知》（财库〔2014〕 68 号）；</w:t>
      </w:r>
    </w:p>
    <w:p w14:paraId="19F3669A">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3</w:t>
      </w:r>
      <w:r>
        <w:rPr>
          <w:rFonts w:hint="eastAsia" w:ascii="黑体" w:hAnsi="黑体" w:eastAsia="黑体" w:cs="黑体"/>
          <w:color w:val="auto"/>
          <w:kern w:val="0"/>
          <w:sz w:val="24"/>
          <w:szCs w:val="24"/>
          <w:highlight w:val="none"/>
          <w:lang w:val="zh-CN" w:bidi="zh-CN"/>
        </w:rPr>
        <w:t>）《财政部发展改革委生态环境部市场监管总局关于调整优化节能产品、环境标志产品政府采购执行机制的通知》（财库〔2019〕9 号）；</w:t>
      </w:r>
    </w:p>
    <w:p w14:paraId="6DB327F3">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4</w:t>
      </w:r>
      <w:r>
        <w:rPr>
          <w:rFonts w:hint="eastAsia" w:ascii="黑体" w:hAnsi="黑体" w:eastAsia="黑体" w:cs="黑体"/>
          <w:color w:val="auto"/>
          <w:kern w:val="0"/>
          <w:sz w:val="24"/>
          <w:szCs w:val="24"/>
          <w:highlight w:val="none"/>
          <w:lang w:val="zh-CN" w:bidi="zh-CN"/>
        </w:rPr>
        <w:t>）《财政部民政部中国残疾人联合会关于促进残疾人就业政府采购政策的通知》（财 库〔2017〕141 号）；</w:t>
      </w:r>
    </w:p>
    <w:p w14:paraId="7E09CCEC">
      <w:pPr>
        <w:overflowPunct w:val="0"/>
        <w:autoSpaceDE/>
        <w:autoSpaceDN/>
        <w:spacing w:before="0" w:after="0" w:line="360" w:lineRule="auto"/>
        <w:ind w:left="0" w:leftChars="0" w:right="0" w:firstLine="480" w:firstLineChars="200"/>
        <w:jc w:val="left"/>
        <w:rPr>
          <w:rFonts w:hint="default" w:ascii="黑体" w:hAnsi="黑体" w:eastAsia="黑体" w:cs="黑体"/>
          <w:color w:val="auto"/>
          <w:kern w:val="0"/>
          <w:sz w:val="24"/>
          <w:szCs w:val="24"/>
          <w:highlight w:val="none"/>
          <w:lang w:val="en-US"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5</w:t>
      </w:r>
      <w:r>
        <w:rPr>
          <w:rFonts w:hint="eastAsia" w:ascii="黑体" w:hAnsi="黑体" w:eastAsia="黑体" w:cs="黑体"/>
          <w:color w:val="auto"/>
          <w:kern w:val="0"/>
          <w:sz w:val="24"/>
          <w:szCs w:val="24"/>
          <w:highlight w:val="none"/>
          <w:lang w:val="zh-CN" w:bidi="zh-CN"/>
        </w:rPr>
        <w:t>）《陕西省财政厅关于加快推进我省中小企业政府采购信用融资工作的通知》（陕 财办采〔2020〕15 号）、陕西省财政厅关于印发《陕西省中小企业政府采购信用融资 办 法》（陕财办采〔2018〕23 号）；</w:t>
      </w:r>
    </w:p>
    <w:p w14:paraId="64D2513F">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6</w:t>
      </w:r>
      <w:r>
        <w:rPr>
          <w:rFonts w:hint="eastAsia" w:ascii="黑体" w:hAnsi="黑体" w:eastAsia="黑体" w:cs="黑体"/>
          <w:color w:val="auto"/>
          <w:kern w:val="0"/>
          <w:sz w:val="24"/>
          <w:szCs w:val="24"/>
          <w:highlight w:val="none"/>
          <w:lang w:val="zh-CN" w:bidi="zh-CN"/>
        </w:rPr>
        <w:t>）其他需要落实的政府采购政策。（如有最新颁布的政府采购政策，按最新的文件执行）；</w:t>
      </w:r>
    </w:p>
    <w:p w14:paraId="5CCF4331">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7</w:t>
      </w:r>
      <w:r>
        <w:rPr>
          <w:rFonts w:hint="eastAsia" w:ascii="黑体" w:hAnsi="黑体" w:eastAsia="黑体" w:cs="黑体"/>
          <w:color w:val="auto"/>
          <w:kern w:val="0"/>
          <w:sz w:val="24"/>
          <w:szCs w:val="24"/>
          <w:highlight w:val="none"/>
          <w:lang w:val="zh-CN" w:bidi="zh-CN"/>
        </w:rPr>
        <w:t>）本项目为（</w:t>
      </w:r>
      <w:r>
        <w:rPr>
          <w:rFonts w:hint="eastAsia" w:ascii="黑体" w:hAnsi="黑体" w:eastAsia="黑体" w:cs="黑体"/>
          <w:color w:val="auto"/>
          <w:kern w:val="0"/>
          <w:sz w:val="24"/>
          <w:szCs w:val="24"/>
          <w:highlight w:val="none"/>
          <w:lang w:val="en-US" w:bidi="zh-CN"/>
        </w:rPr>
        <w:t>非</w:t>
      </w:r>
      <w:r>
        <w:rPr>
          <w:rFonts w:hint="eastAsia" w:ascii="黑体" w:hAnsi="黑体" w:eastAsia="黑体" w:cs="黑体"/>
          <w:color w:val="auto"/>
          <w:kern w:val="0"/>
          <w:sz w:val="24"/>
          <w:szCs w:val="24"/>
          <w:highlight w:val="none"/>
          <w:lang w:val="zh-CN" w:bidi="zh-CN"/>
        </w:rPr>
        <w:t>专门）面向中小企业采购的项目。</w:t>
      </w:r>
    </w:p>
    <w:p w14:paraId="021D9FEC">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3.本项目的特定资格要求：</w:t>
      </w:r>
    </w:p>
    <w:p w14:paraId="55151644">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合同包1(</w:t>
      </w:r>
      <w:r>
        <w:rPr>
          <w:rFonts w:hint="eastAsia" w:ascii="黑体" w:hAnsi="黑体" w:eastAsia="黑体" w:cs="黑体"/>
          <w:color w:val="auto"/>
          <w:kern w:val="0"/>
          <w:sz w:val="24"/>
          <w:szCs w:val="21"/>
          <w:highlight w:val="none"/>
          <w:lang w:val="zh-CN" w:bidi="zh-CN"/>
        </w:rPr>
        <w:t>城关镇中心卫生院全自动五分类血液分析仪和多普勒肌骨超声设备购买项目）</w:t>
      </w:r>
      <w:r>
        <w:rPr>
          <w:rFonts w:hint="eastAsia" w:ascii="黑体" w:hAnsi="黑体" w:eastAsia="黑体" w:cs="黑体"/>
          <w:color w:val="auto"/>
          <w:kern w:val="0"/>
          <w:sz w:val="24"/>
          <w:szCs w:val="24"/>
          <w:highlight w:val="none"/>
          <w:lang w:val="zh-CN" w:bidi="zh-CN"/>
        </w:rPr>
        <w:t>特定资格要求如下:</w:t>
      </w:r>
    </w:p>
    <w:p w14:paraId="318FB6E5">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1</w:t>
      </w:r>
      <w:r>
        <w:rPr>
          <w:rFonts w:hint="eastAsia" w:ascii="黑体" w:hAnsi="黑体" w:eastAsia="黑体" w:cs="黑体"/>
          <w:color w:val="auto"/>
          <w:kern w:val="0"/>
          <w:sz w:val="24"/>
          <w:szCs w:val="24"/>
          <w:highlight w:val="none"/>
          <w:lang w:val="zh-CN" w:bidi="zh-CN"/>
        </w:rPr>
        <w:t>）供应商在递交投标文件截止时间前被“信用中国”网站（www.creditchina.gov.cn）和中国政府采购网（www.ccgp.gov.cn）上被列入失信被执行人、重大税收违法失信主体、政府采购严重违法失信行为记录名单的，不得参加投标；</w:t>
      </w:r>
    </w:p>
    <w:p w14:paraId="776531E4">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2</w:t>
      </w:r>
      <w:r>
        <w:rPr>
          <w:rFonts w:hint="eastAsia" w:ascii="黑体" w:hAnsi="黑体" w:eastAsia="黑体" w:cs="黑体"/>
          <w:color w:val="auto"/>
          <w:kern w:val="0"/>
          <w:sz w:val="24"/>
          <w:szCs w:val="24"/>
          <w:highlight w:val="none"/>
          <w:lang w:val="zh-CN" w:bidi="zh-CN"/>
        </w:rPr>
        <w:t>）投标人为代理商的应出具医疗器械经营许可证(或医疗器械经营备案凭证)和制造厂商的医疗器械生产许可证(或医疗器械生产备案凭证)；投标人为制造厂商的应出具医疗器械生产许可证(或医疗器械生产备案凭证)；</w:t>
      </w:r>
    </w:p>
    <w:p w14:paraId="1E30BD3E">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3</w:t>
      </w:r>
      <w:r>
        <w:rPr>
          <w:rFonts w:hint="eastAsia" w:ascii="黑体" w:hAnsi="黑体" w:eastAsia="黑体" w:cs="黑体"/>
          <w:color w:val="auto"/>
          <w:kern w:val="0"/>
          <w:sz w:val="24"/>
          <w:szCs w:val="24"/>
          <w:highlight w:val="none"/>
          <w:lang w:val="zh-CN" w:bidi="zh-CN"/>
        </w:rPr>
        <w:t>）所投产品如属于医疗器械应出具医疗器械注册证或医疗器械备案凭证；</w:t>
      </w:r>
    </w:p>
    <w:p w14:paraId="70DD9CDE">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en-US" w:bidi="zh-CN"/>
        </w:rPr>
        <w:t>（4）</w:t>
      </w:r>
      <w:r>
        <w:rPr>
          <w:rFonts w:hint="eastAsia" w:ascii="黑体" w:hAnsi="黑体" w:eastAsia="黑体" w:cs="黑体"/>
          <w:color w:val="auto"/>
          <w:kern w:val="0"/>
          <w:sz w:val="24"/>
          <w:szCs w:val="24"/>
          <w:highlight w:val="none"/>
          <w:lang w:val="zh-CN" w:bidi="zh-CN"/>
        </w:rPr>
        <w:t>法定代表人（或单位负责人）授权书及被授权人身份证、授权代表本单位证明（养老保险缴纳证明或劳动合同）；</w:t>
      </w:r>
    </w:p>
    <w:p w14:paraId="625C52DC">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5</w:t>
      </w:r>
      <w:r>
        <w:rPr>
          <w:rFonts w:hint="eastAsia" w:ascii="黑体" w:hAnsi="黑体" w:eastAsia="黑体" w:cs="黑体"/>
          <w:color w:val="auto"/>
          <w:kern w:val="0"/>
          <w:sz w:val="24"/>
          <w:szCs w:val="24"/>
          <w:highlight w:val="none"/>
          <w:lang w:val="zh-CN" w:bidi="zh-CN"/>
        </w:rPr>
        <w:t>）供应商不得存在下列情形之一：</w:t>
      </w:r>
    </w:p>
    <w:p w14:paraId="06901134">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5-1</w:t>
      </w:r>
      <w:r>
        <w:rPr>
          <w:rFonts w:hint="eastAsia" w:ascii="黑体" w:hAnsi="黑体" w:eastAsia="黑体" w:cs="黑体"/>
          <w:color w:val="auto"/>
          <w:kern w:val="0"/>
          <w:sz w:val="24"/>
          <w:szCs w:val="24"/>
          <w:highlight w:val="none"/>
          <w:lang w:val="zh-CN" w:bidi="zh-CN"/>
        </w:rPr>
        <w:t>）单位负责人为同一人或者存在直接控股、管理关系的不同供应商，不得参加本次采购活动；</w:t>
      </w:r>
    </w:p>
    <w:p w14:paraId="6C03806B">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w:t>
      </w:r>
      <w:r>
        <w:rPr>
          <w:rFonts w:hint="eastAsia" w:ascii="黑体" w:hAnsi="黑体" w:eastAsia="黑体" w:cs="黑体"/>
          <w:color w:val="auto"/>
          <w:kern w:val="0"/>
          <w:sz w:val="24"/>
          <w:szCs w:val="24"/>
          <w:highlight w:val="none"/>
          <w:lang w:val="en-US" w:bidi="zh-CN"/>
        </w:rPr>
        <w:t>5-2</w:t>
      </w:r>
      <w:r>
        <w:rPr>
          <w:rFonts w:hint="eastAsia" w:ascii="黑体" w:hAnsi="黑体" w:eastAsia="黑体" w:cs="黑体"/>
          <w:color w:val="auto"/>
          <w:kern w:val="0"/>
          <w:sz w:val="24"/>
          <w:szCs w:val="24"/>
          <w:highlight w:val="none"/>
          <w:lang w:val="zh-CN" w:bidi="zh-CN"/>
        </w:rPr>
        <w:t>）为本项目提供整体设计、规范编制或者项目管理、监理、检测等服务的供应商，不得再参加该采购项目的其他采购活动。</w:t>
      </w:r>
    </w:p>
    <w:p w14:paraId="5E4F008B">
      <w:pPr>
        <w:overflowPunct w:val="0"/>
        <w:autoSpaceDE/>
        <w:autoSpaceDN/>
        <w:spacing w:before="0" w:after="0" w:line="360" w:lineRule="auto"/>
        <w:ind w:left="0" w:leftChars="0" w:right="0" w:firstLine="0" w:firstLineChars="0"/>
        <w:jc w:val="left"/>
        <w:rPr>
          <w:rFonts w:hint="eastAsia" w:ascii="黑体" w:hAnsi="黑体" w:eastAsia="黑体" w:cs="黑体"/>
          <w:b/>
          <w:bCs/>
          <w:color w:val="auto"/>
          <w:kern w:val="0"/>
          <w:sz w:val="24"/>
          <w:szCs w:val="24"/>
          <w:highlight w:val="none"/>
          <w:lang w:val="zh-CN" w:bidi="zh-CN"/>
        </w:rPr>
      </w:pPr>
      <w:r>
        <w:rPr>
          <w:rFonts w:hint="eastAsia" w:ascii="黑体" w:hAnsi="黑体" w:eastAsia="黑体" w:cs="黑体"/>
          <w:b/>
          <w:bCs/>
          <w:color w:val="auto"/>
          <w:kern w:val="0"/>
          <w:sz w:val="24"/>
          <w:szCs w:val="24"/>
          <w:highlight w:val="none"/>
          <w:lang w:val="zh-CN" w:bidi="zh-CN"/>
        </w:rPr>
        <w:t>三、获取招标文件</w:t>
      </w:r>
    </w:p>
    <w:p w14:paraId="63BFAF25">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时间： 202</w:t>
      </w:r>
      <w:r>
        <w:rPr>
          <w:rFonts w:hint="eastAsia" w:ascii="黑体" w:hAnsi="黑体" w:eastAsia="黑体" w:cs="黑体"/>
          <w:color w:val="auto"/>
          <w:kern w:val="0"/>
          <w:sz w:val="24"/>
          <w:szCs w:val="24"/>
          <w:highlight w:val="none"/>
          <w:lang w:val="en-US" w:bidi="zh-CN"/>
        </w:rPr>
        <w:t>5</w:t>
      </w:r>
      <w:r>
        <w:rPr>
          <w:rFonts w:hint="eastAsia" w:ascii="黑体" w:hAnsi="黑体" w:eastAsia="黑体" w:cs="黑体"/>
          <w:color w:val="auto"/>
          <w:kern w:val="0"/>
          <w:sz w:val="24"/>
          <w:szCs w:val="24"/>
          <w:highlight w:val="none"/>
          <w:lang w:val="zh-CN" w:bidi="zh-CN"/>
        </w:rPr>
        <w:t>年</w:t>
      </w:r>
      <w:r>
        <w:rPr>
          <w:rFonts w:hint="eastAsia" w:ascii="黑体" w:hAnsi="黑体" w:eastAsia="黑体" w:cs="黑体"/>
          <w:color w:val="auto"/>
          <w:kern w:val="0"/>
          <w:sz w:val="24"/>
          <w:szCs w:val="24"/>
          <w:highlight w:val="none"/>
          <w:lang w:val="en-US" w:bidi="zh-CN"/>
        </w:rPr>
        <w:t xml:space="preserve">  07 </w:t>
      </w:r>
      <w:r>
        <w:rPr>
          <w:rFonts w:hint="eastAsia" w:ascii="黑体" w:hAnsi="黑体" w:eastAsia="黑体" w:cs="黑体"/>
          <w:color w:val="auto"/>
          <w:kern w:val="0"/>
          <w:sz w:val="24"/>
          <w:szCs w:val="24"/>
          <w:highlight w:val="none"/>
          <w:lang w:val="zh-CN" w:bidi="zh-CN"/>
        </w:rPr>
        <w:t>月</w:t>
      </w:r>
      <w:r>
        <w:rPr>
          <w:rFonts w:hint="eastAsia" w:ascii="黑体" w:hAnsi="黑体" w:eastAsia="黑体" w:cs="黑体"/>
          <w:color w:val="auto"/>
          <w:kern w:val="0"/>
          <w:sz w:val="24"/>
          <w:szCs w:val="24"/>
          <w:highlight w:val="none"/>
          <w:lang w:val="en-US" w:bidi="zh-CN"/>
        </w:rPr>
        <w:t xml:space="preserve"> 10   </w:t>
      </w:r>
      <w:r>
        <w:rPr>
          <w:rFonts w:hint="eastAsia" w:ascii="黑体" w:hAnsi="黑体" w:eastAsia="黑体" w:cs="黑体"/>
          <w:color w:val="auto"/>
          <w:kern w:val="0"/>
          <w:sz w:val="24"/>
          <w:szCs w:val="24"/>
          <w:highlight w:val="none"/>
          <w:lang w:val="zh-CN" w:bidi="zh-CN"/>
        </w:rPr>
        <w:t>日 至 202</w:t>
      </w:r>
      <w:r>
        <w:rPr>
          <w:rFonts w:hint="eastAsia" w:ascii="黑体" w:hAnsi="黑体" w:eastAsia="黑体" w:cs="黑体"/>
          <w:color w:val="auto"/>
          <w:kern w:val="0"/>
          <w:sz w:val="24"/>
          <w:szCs w:val="24"/>
          <w:highlight w:val="none"/>
          <w:lang w:val="en-US" w:bidi="zh-CN"/>
        </w:rPr>
        <w:t>5</w:t>
      </w:r>
      <w:r>
        <w:rPr>
          <w:rFonts w:hint="eastAsia" w:ascii="黑体" w:hAnsi="黑体" w:eastAsia="黑体" w:cs="黑体"/>
          <w:color w:val="auto"/>
          <w:kern w:val="0"/>
          <w:sz w:val="24"/>
          <w:szCs w:val="24"/>
          <w:highlight w:val="none"/>
          <w:lang w:val="zh-CN" w:bidi="zh-CN"/>
        </w:rPr>
        <w:t>年</w:t>
      </w:r>
      <w:r>
        <w:rPr>
          <w:rFonts w:hint="eastAsia" w:ascii="黑体" w:hAnsi="黑体" w:eastAsia="黑体" w:cs="黑体"/>
          <w:color w:val="auto"/>
          <w:kern w:val="0"/>
          <w:sz w:val="24"/>
          <w:szCs w:val="24"/>
          <w:highlight w:val="none"/>
          <w:lang w:val="en-US" w:bidi="zh-CN"/>
        </w:rPr>
        <w:t xml:space="preserve"> 07 </w:t>
      </w:r>
      <w:r>
        <w:rPr>
          <w:rFonts w:hint="eastAsia" w:ascii="黑体" w:hAnsi="黑体" w:eastAsia="黑体" w:cs="黑体"/>
          <w:color w:val="auto"/>
          <w:kern w:val="0"/>
          <w:sz w:val="24"/>
          <w:szCs w:val="24"/>
          <w:highlight w:val="none"/>
          <w:lang w:val="zh-CN" w:bidi="zh-CN"/>
        </w:rPr>
        <w:t>月</w:t>
      </w:r>
      <w:r>
        <w:rPr>
          <w:rFonts w:hint="eastAsia" w:ascii="黑体" w:hAnsi="黑体" w:eastAsia="黑体" w:cs="黑体"/>
          <w:color w:val="auto"/>
          <w:kern w:val="0"/>
          <w:sz w:val="24"/>
          <w:szCs w:val="24"/>
          <w:highlight w:val="none"/>
          <w:lang w:val="en-US" w:bidi="zh-CN"/>
        </w:rPr>
        <w:t xml:space="preserve"> 16 </w:t>
      </w:r>
      <w:r>
        <w:rPr>
          <w:rFonts w:hint="eastAsia" w:ascii="黑体" w:hAnsi="黑体" w:eastAsia="黑体" w:cs="黑体"/>
          <w:color w:val="auto"/>
          <w:kern w:val="0"/>
          <w:sz w:val="24"/>
          <w:szCs w:val="24"/>
          <w:highlight w:val="none"/>
          <w:lang w:val="zh-CN" w:bidi="zh-CN"/>
        </w:rPr>
        <w:t>日 ，每天上午 0</w:t>
      </w:r>
      <w:r>
        <w:rPr>
          <w:rFonts w:hint="eastAsia" w:ascii="黑体" w:hAnsi="黑体" w:eastAsia="黑体" w:cs="黑体"/>
          <w:color w:val="auto"/>
          <w:kern w:val="0"/>
          <w:sz w:val="24"/>
          <w:szCs w:val="24"/>
          <w:highlight w:val="none"/>
          <w:lang w:val="en-US" w:bidi="zh-CN"/>
        </w:rPr>
        <w:t>8</w:t>
      </w:r>
      <w:r>
        <w:rPr>
          <w:rFonts w:hint="eastAsia" w:ascii="黑体" w:hAnsi="黑体" w:eastAsia="黑体" w:cs="黑体"/>
          <w:color w:val="auto"/>
          <w:kern w:val="0"/>
          <w:sz w:val="24"/>
          <w:szCs w:val="24"/>
          <w:highlight w:val="none"/>
          <w:lang w:val="zh-CN" w:bidi="zh-CN"/>
        </w:rPr>
        <w:t>:00:00 至 12:00:00 ，下午 1</w:t>
      </w:r>
      <w:r>
        <w:rPr>
          <w:rFonts w:hint="eastAsia" w:ascii="黑体" w:hAnsi="黑体" w:eastAsia="黑体" w:cs="黑体"/>
          <w:color w:val="auto"/>
          <w:kern w:val="0"/>
          <w:sz w:val="24"/>
          <w:szCs w:val="24"/>
          <w:highlight w:val="none"/>
          <w:lang w:val="en-US" w:bidi="zh-CN"/>
        </w:rPr>
        <w:t>2</w:t>
      </w:r>
      <w:r>
        <w:rPr>
          <w:rFonts w:hint="eastAsia" w:ascii="黑体" w:hAnsi="黑体" w:eastAsia="黑体" w:cs="黑体"/>
          <w:color w:val="auto"/>
          <w:kern w:val="0"/>
          <w:sz w:val="24"/>
          <w:szCs w:val="24"/>
          <w:highlight w:val="none"/>
          <w:lang w:val="zh-CN" w:bidi="zh-CN"/>
        </w:rPr>
        <w:t>:00:00 至 18:00:00 （北京时间）</w:t>
      </w:r>
    </w:p>
    <w:p w14:paraId="12DC1B06">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途径：全国公共资源交易平台（陕西省.安康市）（http://ak.sxggzyjy.cn/）</w:t>
      </w:r>
    </w:p>
    <w:p w14:paraId="0576918A">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方式：在线获取</w:t>
      </w:r>
    </w:p>
    <w:p w14:paraId="446280F1">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售价：</w:t>
      </w:r>
      <w:r>
        <w:rPr>
          <w:rFonts w:hint="eastAsia" w:ascii="黑体" w:hAnsi="黑体" w:eastAsia="黑体" w:cs="黑体"/>
          <w:color w:val="auto"/>
          <w:kern w:val="0"/>
          <w:sz w:val="24"/>
          <w:szCs w:val="24"/>
          <w:highlight w:val="none"/>
          <w:lang w:val="en-US" w:bidi="zh-CN"/>
        </w:rPr>
        <w:t>0.00</w:t>
      </w:r>
      <w:r>
        <w:rPr>
          <w:rFonts w:hint="eastAsia" w:ascii="黑体" w:hAnsi="黑体" w:eastAsia="黑体" w:cs="黑体"/>
          <w:color w:val="auto"/>
          <w:kern w:val="0"/>
          <w:sz w:val="24"/>
          <w:szCs w:val="24"/>
          <w:highlight w:val="none"/>
          <w:lang w:val="zh-CN" w:bidi="zh-CN"/>
        </w:rPr>
        <w:t>元</w:t>
      </w:r>
    </w:p>
    <w:p w14:paraId="62CE9780">
      <w:pPr>
        <w:overflowPunct w:val="0"/>
        <w:autoSpaceDE/>
        <w:autoSpaceDN/>
        <w:spacing w:before="0" w:after="0" w:line="360" w:lineRule="auto"/>
        <w:ind w:left="0" w:leftChars="0" w:right="0" w:firstLine="0" w:firstLineChars="0"/>
        <w:jc w:val="left"/>
        <w:rPr>
          <w:rFonts w:hint="eastAsia" w:ascii="黑体" w:hAnsi="黑体" w:eastAsia="黑体" w:cs="黑体"/>
          <w:b/>
          <w:bCs/>
          <w:color w:val="auto"/>
          <w:kern w:val="0"/>
          <w:sz w:val="24"/>
          <w:szCs w:val="24"/>
          <w:highlight w:val="none"/>
          <w:lang w:val="zh-CN" w:bidi="zh-CN"/>
        </w:rPr>
      </w:pPr>
      <w:r>
        <w:rPr>
          <w:rFonts w:hint="eastAsia" w:ascii="黑体" w:hAnsi="黑体" w:eastAsia="黑体" w:cs="黑体"/>
          <w:b/>
          <w:bCs/>
          <w:color w:val="auto"/>
          <w:kern w:val="0"/>
          <w:sz w:val="24"/>
          <w:szCs w:val="24"/>
          <w:highlight w:val="none"/>
          <w:lang w:val="zh-CN" w:bidi="zh-CN"/>
        </w:rPr>
        <w:t>四、提交投标文件截止时间、开标时间和地点</w:t>
      </w:r>
    </w:p>
    <w:p w14:paraId="4D907605">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202</w:t>
      </w:r>
      <w:r>
        <w:rPr>
          <w:rFonts w:hint="eastAsia" w:ascii="黑体" w:hAnsi="黑体" w:eastAsia="黑体" w:cs="黑体"/>
          <w:color w:val="auto"/>
          <w:kern w:val="0"/>
          <w:sz w:val="24"/>
          <w:szCs w:val="24"/>
          <w:highlight w:val="none"/>
          <w:lang w:val="en-US" w:bidi="zh-CN"/>
        </w:rPr>
        <w:t>5</w:t>
      </w:r>
      <w:r>
        <w:rPr>
          <w:rFonts w:hint="eastAsia" w:ascii="黑体" w:hAnsi="黑体" w:eastAsia="黑体" w:cs="黑体"/>
          <w:color w:val="auto"/>
          <w:kern w:val="0"/>
          <w:sz w:val="24"/>
          <w:szCs w:val="24"/>
          <w:highlight w:val="none"/>
          <w:lang w:val="zh-CN" w:bidi="zh-CN"/>
        </w:rPr>
        <w:t>年</w:t>
      </w:r>
      <w:r>
        <w:rPr>
          <w:rFonts w:hint="eastAsia" w:ascii="黑体" w:hAnsi="黑体" w:eastAsia="黑体" w:cs="黑体"/>
          <w:color w:val="auto"/>
          <w:kern w:val="0"/>
          <w:sz w:val="24"/>
          <w:szCs w:val="24"/>
          <w:highlight w:val="none"/>
          <w:lang w:val="en-US" w:bidi="zh-CN"/>
        </w:rPr>
        <w:t xml:space="preserve"> 07  </w:t>
      </w:r>
      <w:r>
        <w:rPr>
          <w:rFonts w:hint="eastAsia" w:ascii="黑体" w:hAnsi="黑体" w:eastAsia="黑体" w:cs="黑体"/>
          <w:color w:val="auto"/>
          <w:kern w:val="0"/>
          <w:sz w:val="24"/>
          <w:szCs w:val="24"/>
          <w:highlight w:val="none"/>
          <w:lang w:val="zh-CN" w:bidi="zh-CN"/>
        </w:rPr>
        <w:t>月</w:t>
      </w:r>
      <w:r>
        <w:rPr>
          <w:rFonts w:hint="eastAsia" w:ascii="黑体" w:hAnsi="黑体" w:eastAsia="黑体" w:cs="黑体"/>
          <w:color w:val="auto"/>
          <w:kern w:val="0"/>
          <w:sz w:val="24"/>
          <w:szCs w:val="24"/>
          <w:highlight w:val="none"/>
          <w:lang w:val="en-US" w:bidi="zh-CN"/>
        </w:rPr>
        <w:t xml:space="preserve">  23  </w:t>
      </w:r>
      <w:r>
        <w:rPr>
          <w:rFonts w:hint="eastAsia" w:ascii="黑体" w:hAnsi="黑体" w:eastAsia="黑体" w:cs="黑体"/>
          <w:color w:val="auto"/>
          <w:kern w:val="0"/>
          <w:sz w:val="24"/>
          <w:szCs w:val="24"/>
          <w:highlight w:val="none"/>
          <w:lang w:val="zh-CN" w:bidi="zh-CN"/>
        </w:rPr>
        <w:t xml:space="preserve">日 </w:t>
      </w:r>
      <w:r>
        <w:rPr>
          <w:rFonts w:hint="eastAsia" w:ascii="黑体" w:hAnsi="黑体" w:eastAsia="黑体" w:cs="黑体"/>
          <w:color w:val="auto"/>
          <w:kern w:val="0"/>
          <w:sz w:val="24"/>
          <w:szCs w:val="24"/>
          <w:highlight w:val="none"/>
          <w:lang w:val="en-US" w:bidi="zh-CN"/>
        </w:rPr>
        <w:t xml:space="preserve"> 15 </w:t>
      </w:r>
      <w:r>
        <w:rPr>
          <w:rFonts w:hint="eastAsia" w:ascii="黑体" w:hAnsi="黑体" w:eastAsia="黑体" w:cs="黑体"/>
          <w:color w:val="auto"/>
          <w:kern w:val="0"/>
          <w:sz w:val="24"/>
          <w:szCs w:val="24"/>
          <w:highlight w:val="none"/>
          <w:lang w:val="zh-CN" w:bidi="zh-CN"/>
        </w:rPr>
        <w:t>时</w:t>
      </w:r>
      <w:r>
        <w:rPr>
          <w:rFonts w:hint="eastAsia" w:ascii="黑体" w:hAnsi="黑体" w:eastAsia="黑体" w:cs="黑体"/>
          <w:color w:val="auto"/>
          <w:kern w:val="0"/>
          <w:sz w:val="24"/>
          <w:szCs w:val="24"/>
          <w:highlight w:val="none"/>
          <w:lang w:val="en-US" w:bidi="zh-CN"/>
        </w:rPr>
        <w:t xml:space="preserve"> 30</w:t>
      </w:r>
      <w:r>
        <w:rPr>
          <w:rFonts w:hint="eastAsia" w:ascii="黑体" w:hAnsi="黑体" w:eastAsia="黑体" w:cs="黑体"/>
          <w:color w:val="auto"/>
          <w:kern w:val="0"/>
          <w:sz w:val="24"/>
          <w:szCs w:val="24"/>
          <w:highlight w:val="none"/>
          <w:lang w:val="zh-CN" w:bidi="zh-CN"/>
        </w:rPr>
        <w:t>分00秒 （北京时间）</w:t>
      </w:r>
    </w:p>
    <w:p w14:paraId="7FF8C94D">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地点：全国公共资源交易平台（陕西省.安康市）（http://ak.sxggzyjy.cn/）</w:t>
      </w:r>
    </w:p>
    <w:p w14:paraId="5F2944F2">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开标地点：安康不见面开标大厅系统</w:t>
      </w:r>
    </w:p>
    <w:p w14:paraId="1D7C0411">
      <w:pPr>
        <w:overflowPunct w:val="0"/>
        <w:autoSpaceDE/>
        <w:autoSpaceDN/>
        <w:spacing w:before="0" w:after="0" w:line="360" w:lineRule="auto"/>
        <w:ind w:left="0" w:leftChars="0" w:right="0" w:firstLine="0" w:firstLineChars="0"/>
        <w:jc w:val="left"/>
        <w:rPr>
          <w:rFonts w:hint="eastAsia" w:ascii="黑体" w:hAnsi="黑体" w:eastAsia="黑体" w:cs="黑体"/>
          <w:b/>
          <w:bCs/>
          <w:color w:val="auto"/>
          <w:kern w:val="0"/>
          <w:sz w:val="24"/>
          <w:szCs w:val="24"/>
          <w:highlight w:val="none"/>
          <w:lang w:val="zh-CN" w:bidi="zh-CN"/>
        </w:rPr>
      </w:pPr>
      <w:r>
        <w:rPr>
          <w:rFonts w:hint="eastAsia" w:ascii="黑体" w:hAnsi="黑体" w:eastAsia="黑体" w:cs="黑体"/>
          <w:b/>
          <w:bCs/>
          <w:color w:val="auto"/>
          <w:kern w:val="0"/>
          <w:sz w:val="24"/>
          <w:szCs w:val="24"/>
          <w:highlight w:val="none"/>
          <w:lang w:val="zh-CN" w:bidi="zh-CN"/>
        </w:rPr>
        <w:t>五、公告期限</w:t>
      </w:r>
    </w:p>
    <w:p w14:paraId="75AA865D">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自本公告发布之日起</w:t>
      </w:r>
      <w:r>
        <w:rPr>
          <w:rFonts w:hint="eastAsia" w:ascii="黑体" w:hAnsi="黑体" w:eastAsia="黑体" w:cs="黑体"/>
          <w:color w:val="auto"/>
          <w:kern w:val="0"/>
          <w:sz w:val="24"/>
          <w:szCs w:val="24"/>
          <w:highlight w:val="none"/>
          <w:lang w:val="en-US" w:bidi="zh-CN"/>
        </w:rPr>
        <w:t>3</w:t>
      </w:r>
      <w:r>
        <w:rPr>
          <w:rFonts w:hint="eastAsia" w:ascii="黑体" w:hAnsi="黑体" w:eastAsia="黑体" w:cs="黑体"/>
          <w:color w:val="auto"/>
          <w:kern w:val="0"/>
          <w:sz w:val="24"/>
          <w:szCs w:val="24"/>
          <w:highlight w:val="none"/>
          <w:lang w:val="zh-CN" w:bidi="zh-CN"/>
        </w:rPr>
        <w:t>个工作日。</w:t>
      </w:r>
    </w:p>
    <w:p w14:paraId="684E5D32">
      <w:pPr>
        <w:overflowPunct w:val="0"/>
        <w:autoSpaceDE/>
        <w:autoSpaceDN/>
        <w:spacing w:before="0" w:after="0" w:line="360" w:lineRule="auto"/>
        <w:ind w:left="0" w:leftChars="0" w:right="0" w:firstLine="0" w:firstLineChars="0"/>
        <w:jc w:val="left"/>
        <w:rPr>
          <w:rFonts w:hint="eastAsia" w:ascii="黑体" w:hAnsi="黑体" w:eastAsia="黑体" w:cs="黑体"/>
          <w:b/>
          <w:bCs/>
          <w:color w:val="auto"/>
          <w:kern w:val="0"/>
          <w:sz w:val="24"/>
          <w:szCs w:val="24"/>
          <w:highlight w:val="none"/>
          <w:lang w:val="zh-CN" w:bidi="zh-CN"/>
        </w:rPr>
      </w:pPr>
      <w:r>
        <w:rPr>
          <w:rFonts w:hint="eastAsia" w:ascii="黑体" w:hAnsi="黑体" w:eastAsia="黑体" w:cs="黑体"/>
          <w:b/>
          <w:bCs/>
          <w:color w:val="auto"/>
          <w:kern w:val="0"/>
          <w:sz w:val="24"/>
          <w:szCs w:val="24"/>
          <w:highlight w:val="none"/>
          <w:lang w:val="zh-CN" w:bidi="zh-CN"/>
        </w:rPr>
        <w:t>六、其他补充事宜</w:t>
      </w:r>
    </w:p>
    <w:p w14:paraId="277CB999">
      <w:pPr>
        <w:overflowPunct w:val="0"/>
        <w:autoSpaceDE/>
        <w:autoSpaceDN/>
        <w:spacing w:before="0" w:after="0" w:line="360" w:lineRule="auto"/>
        <w:ind w:left="0" w:leftChars="0" w:right="0" w:firstLine="480" w:firstLineChars="200"/>
        <w:jc w:val="left"/>
        <w:rPr>
          <w:rFonts w:hint="eastAsia" w:ascii="黑体" w:hAnsi="黑体" w:eastAsia="黑体" w:cs="黑体"/>
          <w:b/>
          <w:bCs/>
          <w:color w:val="auto"/>
          <w:kern w:val="0"/>
          <w:sz w:val="24"/>
          <w:szCs w:val="24"/>
          <w:highlight w:val="none"/>
          <w:lang w:val="zh-CN" w:bidi="zh-CN"/>
        </w:rPr>
      </w:pPr>
      <w:r>
        <w:rPr>
          <w:rFonts w:hint="eastAsia" w:ascii="黑体" w:hAnsi="黑体" w:eastAsia="黑体" w:cs="黑体"/>
          <w:b/>
          <w:bCs/>
          <w:color w:val="auto"/>
          <w:kern w:val="0"/>
          <w:sz w:val="24"/>
          <w:szCs w:val="24"/>
          <w:highlight w:val="none"/>
          <w:lang w:val="en-US" w:bidi="zh-CN"/>
        </w:rPr>
        <w:t>1</w:t>
      </w:r>
      <w:r>
        <w:rPr>
          <w:rFonts w:hint="eastAsia" w:ascii="黑体" w:hAnsi="黑体" w:eastAsia="黑体" w:cs="黑体"/>
          <w:b/>
          <w:bCs/>
          <w:color w:val="auto"/>
          <w:kern w:val="0"/>
          <w:sz w:val="24"/>
          <w:szCs w:val="24"/>
          <w:highlight w:val="none"/>
          <w:lang w:val="zh-CN" w:bidi="zh-CN"/>
        </w:rPr>
        <w:t>.本项目为</w:t>
      </w:r>
      <w:r>
        <w:rPr>
          <w:rFonts w:hint="eastAsia" w:ascii="黑体" w:hAnsi="黑体" w:eastAsia="黑体" w:cs="黑体"/>
          <w:b/>
          <w:bCs/>
          <w:color w:val="auto"/>
          <w:kern w:val="0"/>
          <w:sz w:val="24"/>
          <w:szCs w:val="24"/>
          <w:highlight w:val="none"/>
          <w:lang w:val="en-US" w:bidi="zh-CN"/>
        </w:rPr>
        <w:t>非专门</w:t>
      </w:r>
      <w:r>
        <w:rPr>
          <w:rFonts w:hint="eastAsia" w:ascii="黑体" w:hAnsi="黑体" w:eastAsia="黑体" w:cs="黑体"/>
          <w:b/>
          <w:bCs/>
          <w:color w:val="auto"/>
          <w:kern w:val="0"/>
          <w:sz w:val="24"/>
          <w:szCs w:val="24"/>
          <w:highlight w:val="none"/>
          <w:lang w:val="zh-CN" w:bidi="zh-CN"/>
        </w:rPr>
        <w:t>面向中小企业</w:t>
      </w:r>
      <w:r>
        <w:rPr>
          <w:rFonts w:hint="eastAsia" w:ascii="黑体" w:hAnsi="黑体" w:eastAsia="黑体" w:cs="黑体"/>
          <w:b/>
          <w:bCs/>
          <w:color w:val="auto"/>
          <w:kern w:val="0"/>
          <w:sz w:val="24"/>
          <w:szCs w:val="24"/>
          <w:highlight w:val="none"/>
          <w:lang w:val="en-US" w:bidi="zh-CN"/>
        </w:rPr>
        <w:t>采购</w:t>
      </w:r>
      <w:r>
        <w:rPr>
          <w:rFonts w:hint="eastAsia" w:ascii="黑体" w:hAnsi="黑体" w:eastAsia="黑体" w:cs="黑体"/>
          <w:b/>
          <w:bCs/>
          <w:color w:val="auto"/>
          <w:kern w:val="0"/>
          <w:sz w:val="24"/>
          <w:szCs w:val="24"/>
          <w:highlight w:val="none"/>
          <w:lang w:val="zh-CN" w:bidi="zh-CN"/>
        </w:rPr>
        <w:t>的项目。</w:t>
      </w:r>
    </w:p>
    <w:p w14:paraId="3366C460">
      <w:pPr>
        <w:overflowPunct w:val="0"/>
        <w:autoSpaceDE/>
        <w:autoSpaceDN/>
        <w:spacing w:before="0" w:after="0" w:line="360" w:lineRule="auto"/>
        <w:ind w:left="0" w:leftChars="0" w:right="0" w:firstLine="480" w:firstLineChars="200"/>
        <w:jc w:val="left"/>
        <w:rPr>
          <w:rFonts w:hint="eastAsia" w:ascii="黑体" w:hAnsi="黑体" w:eastAsia="黑体" w:cs="黑体"/>
          <w:b/>
          <w:bCs/>
          <w:color w:val="auto"/>
          <w:kern w:val="0"/>
          <w:sz w:val="24"/>
          <w:szCs w:val="24"/>
          <w:highlight w:val="none"/>
          <w:lang w:val="zh-CN" w:bidi="zh-CN"/>
        </w:rPr>
      </w:pPr>
      <w:r>
        <w:rPr>
          <w:rFonts w:hint="eastAsia" w:ascii="黑体" w:hAnsi="黑体" w:eastAsia="黑体" w:cs="黑体"/>
          <w:b/>
          <w:bCs/>
          <w:color w:val="auto"/>
          <w:kern w:val="0"/>
          <w:sz w:val="24"/>
          <w:szCs w:val="24"/>
          <w:highlight w:val="none"/>
          <w:lang w:val="zh-CN" w:bidi="zh-CN"/>
        </w:rPr>
        <w:t>注：1、</w:t>
      </w:r>
      <w:r>
        <w:rPr>
          <w:rFonts w:hint="eastAsia" w:ascii="黑体" w:hAnsi="黑体" w:eastAsia="黑体" w:cs="黑体"/>
          <w:b/>
          <w:bCs/>
          <w:color w:val="auto"/>
          <w:kern w:val="0"/>
          <w:sz w:val="24"/>
          <w:szCs w:val="24"/>
          <w:highlight w:val="none"/>
          <w:lang w:val="en-US" w:bidi="zh-CN"/>
        </w:rPr>
        <w:t>获取</w:t>
      </w:r>
      <w:r>
        <w:rPr>
          <w:rFonts w:hint="eastAsia" w:ascii="黑体" w:hAnsi="黑体" w:eastAsia="黑体" w:cs="黑体"/>
          <w:b/>
          <w:bCs/>
          <w:color w:val="auto"/>
          <w:kern w:val="0"/>
          <w:sz w:val="24"/>
          <w:szCs w:val="24"/>
          <w:highlight w:val="none"/>
          <w:lang w:val="zh-CN" w:bidi="zh-CN"/>
        </w:rPr>
        <w:t>须知：使用捆绑省交易平台的CA锁登录电子交易平台，通过政府采购系统企业端进入，点击我要投标，完善相关投标信息。2、采购文件获取：投标供应商须在</w:t>
      </w:r>
      <w:r>
        <w:rPr>
          <w:rFonts w:hint="eastAsia" w:ascii="黑体" w:hAnsi="黑体" w:eastAsia="黑体" w:cs="黑体"/>
          <w:b/>
          <w:bCs/>
          <w:color w:val="auto"/>
          <w:kern w:val="0"/>
          <w:sz w:val="24"/>
          <w:szCs w:val="24"/>
          <w:highlight w:val="none"/>
          <w:lang w:val="en-US" w:bidi="zh-CN"/>
        </w:rPr>
        <w:t>招标</w:t>
      </w:r>
      <w:r>
        <w:rPr>
          <w:rFonts w:hint="eastAsia" w:ascii="黑体" w:hAnsi="黑体" w:eastAsia="黑体" w:cs="黑体"/>
          <w:b/>
          <w:bCs/>
          <w:color w:val="auto"/>
          <w:kern w:val="0"/>
          <w:sz w:val="24"/>
          <w:szCs w:val="24"/>
          <w:highlight w:val="none"/>
          <w:lang w:val="zh-CN" w:bidi="zh-CN"/>
        </w:rPr>
        <w:t>文件获取截止时间前登录电子交易平台下载</w:t>
      </w:r>
      <w:r>
        <w:rPr>
          <w:rFonts w:hint="eastAsia" w:ascii="黑体" w:hAnsi="黑体" w:eastAsia="黑体" w:cs="黑体"/>
          <w:b/>
          <w:bCs/>
          <w:color w:val="auto"/>
          <w:kern w:val="0"/>
          <w:sz w:val="24"/>
          <w:szCs w:val="24"/>
          <w:highlight w:val="none"/>
          <w:lang w:val="en-US" w:bidi="zh-CN"/>
        </w:rPr>
        <w:t>招标</w:t>
      </w:r>
      <w:r>
        <w:rPr>
          <w:rFonts w:hint="eastAsia" w:ascii="黑体" w:hAnsi="黑体" w:eastAsia="黑体" w:cs="黑体"/>
          <w:b/>
          <w:bCs/>
          <w:color w:val="auto"/>
          <w:kern w:val="0"/>
          <w:sz w:val="24"/>
          <w:szCs w:val="24"/>
          <w:highlight w:val="none"/>
          <w:lang w:val="zh-CN" w:bidi="zh-CN"/>
        </w:rPr>
        <w:t>文件，否则责任自负。</w:t>
      </w:r>
      <w:r>
        <w:rPr>
          <w:rFonts w:hint="eastAsia" w:ascii="黑体" w:hAnsi="黑体" w:eastAsia="黑体" w:cs="黑体"/>
          <w:b/>
          <w:bCs/>
          <w:color w:val="auto"/>
          <w:kern w:val="0"/>
          <w:sz w:val="24"/>
          <w:szCs w:val="24"/>
          <w:highlight w:val="none"/>
          <w:lang w:val="en-US" w:bidi="zh-CN"/>
        </w:rPr>
        <w:t>3</w:t>
      </w:r>
      <w:r>
        <w:rPr>
          <w:rFonts w:hint="eastAsia" w:ascii="黑体" w:hAnsi="黑体" w:eastAsia="黑体" w:cs="黑体"/>
          <w:b/>
          <w:bCs/>
          <w:color w:val="auto"/>
          <w:kern w:val="0"/>
          <w:sz w:val="24"/>
          <w:szCs w:val="24"/>
          <w:highlight w:val="none"/>
          <w:lang w:val="zh-CN" w:bidi="zh-CN"/>
        </w:rPr>
        <w:t>、本项目采用电子化投标及不见面的方式，相关操作流程详见全国公共资源交易平台（陕西省）网站[服务指南-下载专区]中的《陕西省公共资源交易中心政府招标项目投标指南》。文件技术支持：4009280095、4009980000。</w:t>
      </w:r>
      <w:r>
        <w:rPr>
          <w:rFonts w:hint="eastAsia" w:ascii="黑体" w:hAnsi="黑体" w:eastAsia="黑体" w:cs="黑体"/>
          <w:b/>
          <w:bCs/>
          <w:color w:val="auto"/>
          <w:kern w:val="0"/>
          <w:sz w:val="24"/>
          <w:szCs w:val="24"/>
          <w:highlight w:val="none"/>
          <w:lang w:val="en-US" w:bidi="zh-CN"/>
        </w:rPr>
        <w:t>4</w:t>
      </w:r>
      <w:r>
        <w:rPr>
          <w:rFonts w:hint="eastAsia" w:ascii="黑体" w:hAnsi="黑体" w:eastAsia="黑体" w:cs="黑体"/>
          <w:b/>
          <w:bCs/>
          <w:color w:val="auto"/>
          <w:kern w:val="0"/>
          <w:sz w:val="24"/>
          <w:szCs w:val="24"/>
          <w:highlight w:val="none"/>
          <w:lang w:val="zh-CN" w:bidi="zh-CN"/>
        </w:rPr>
        <w:t>、请各投标人</w:t>
      </w:r>
      <w:r>
        <w:rPr>
          <w:rFonts w:hint="eastAsia" w:ascii="黑体" w:hAnsi="黑体" w:eastAsia="黑体" w:cs="黑体"/>
          <w:b/>
          <w:bCs/>
          <w:color w:val="auto"/>
          <w:kern w:val="0"/>
          <w:sz w:val="24"/>
          <w:szCs w:val="24"/>
          <w:highlight w:val="none"/>
          <w:lang w:val="en-US" w:bidi="zh-CN"/>
        </w:rPr>
        <w:t>获取</w:t>
      </w:r>
      <w:r>
        <w:rPr>
          <w:rFonts w:hint="eastAsia" w:ascii="黑体" w:hAnsi="黑体" w:eastAsia="黑体" w:cs="黑体"/>
          <w:b/>
          <w:bCs/>
          <w:color w:val="auto"/>
          <w:kern w:val="0"/>
          <w:sz w:val="24"/>
          <w:szCs w:val="24"/>
          <w:highlight w:val="none"/>
          <w:lang w:val="zh-CN" w:bidi="zh-CN"/>
        </w:rPr>
        <w:t>招标文件后，按照陕西省财政厅《关于政府采供应商注册登记有关事项的通知》要求，通过陕西省政府采购网注册登记加入陕西省政府采购供应商库。</w:t>
      </w:r>
    </w:p>
    <w:p w14:paraId="41794E83">
      <w:pPr>
        <w:overflowPunct w:val="0"/>
        <w:autoSpaceDE/>
        <w:autoSpaceDN/>
        <w:spacing w:before="0" w:after="0" w:line="360" w:lineRule="auto"/>
        <w:ind w:left="0" w:leftChars="0" w:right="0" w:firstLine="0" w:firstLineChars="0"/>
        <w:jc w:val="left"/>
        <w:rPr>
          <w:rFonts w:hint="eastAsia" w:ascii="黑体" w:hAnsi="黑体" w:eastAsia="黑体" w:cs="黑体"/>
          <w:b/>
          <w:bCs/>
          <w:color w:val="auto"/>
          <w:kern w:val="0"/>
          <w:sz w:val="24"/>
          <w:szCs w:val="24"/>
          <w:highlight w:val="none"/>
          <w:lang w:val="zh-CN" w:bidi="zh-CN"/>
        </w:rPr>
      </w:pPr>
      <w:r>
        <w:rPr>
          <w:rFonts w:hint="eastAsia" w:ascii="黑体" w:hAnsi="黑体" w:eastAsia="黑体" w:cs="黑体"/>
          <w:b/>
          <w:bCs/>
          <w:color w:val="auto"/>
          <w:kern w:val="0"/>
          <w:sz w:val="24"/>
          <w:szCs w:val="24"/>
          <w:highlight w:val="none"/>
          <w:lang w:val="zh-CN" w:bidi="zh-CN"/>
        </w:rPr>
        <w:t>七、对本次招标提出询问，请按以下方式联系。</w:t>
      </w:r>
    </w:p>
    <w:p w14:paraId="09BE5707">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1.采购人信息</w:t>
      </w:r>
    </w:p>
    <w:p w14:paraId="40846420">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名称：汉阴县城关镇中心卫生院</w:t>
      </w:r>
    </w:p>
    <w:p w14:paraId="5B479020">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地址：汉阴县城关镇太平村</w:t>
      </w:r>
    </w:p>
    <w:p w14:paraId="713E3CDF">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联系方式：</w:t>
      </w:r>
      <w:r>
        <w:rPr>
          <w:rFonts w:hint="eastAsia" w:ascii="黑体" w:hAnsi="黑体" w:eastAsia="黑体" w:cs="黑体"/>
          <w:color w:val="auto"/>
          <w:kern w:val="0"/>
          <w:sz w:val="24"/>
          <w:szCs w:val="24"/>
          <w:highlight w:val="none"/>
          <w:lang w:val="en-US" w:bidi="zh-CN"/>
        </w:rPr>
        <w:t>刘老师 15309155327</w:t>
      </w:r>
    </w:p>
    <w:p w14:paraId="744AAC9A">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2.采购代理机构信息</w:t>
      </w:r>
    </w:p>
    <w:p w14:paraId="4C502E4D">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名称：陕西春秋工程造价事务所有限公司</w:t>
      </w:r>
    </w:p>
    <w:p w14:paraId="0E472C3A">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地址：陕西省西安市曲江新区雁翔路2575号3幢10603室</w:t>
      </w:r>
    </w:p>
    <w:p w14:paraId="021A303C">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联系方式：19279181029</w:t>
      </w:r>
    </w:p>
    <w:p w14:paraId="4542026A">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3.项目联系方式</w:t>
      </w:r>
    </w:p>
    <w:p w14:paraId="0F95C689">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项目联系人：</w:t>
      </w:r>
      <w:r>
        <w:rPr>
          <w:rFonts w:hint="eastAsia" w:ascii="黑体" w:hAnsi="黑体" w:eastAsia="黑体" w:cs="黑体"/>
          <w:color w:val="auto"/>
          <w:kern w:val="0"/>
          <w:sz w:val="24"/>
          <w:szCs w:val="24"/>
          <w:highlight w:val="none"/>
          <w:lang w:val="en-US" w:bidi="zh-CN"/>
        </w:rPr>
        <w:t>王</w:t>
      </w:r>
      <w:r>
        <w:rPr>
          <w:rFonts w:hint="eastAsia" w:ascii="黑体" w:hAnsi="黑体" w:eastAsia="黑体" w:cs="黑体"/>
          <w:color w:val="auto"/>
          <w:kern w:val="0"/>
          <w:sz w:val="24"/>
          <w:szCs w:val="24"/>
          <w:highlight w:val="none"/>
          <w:lang w:val="zh-CN" w:bidi="zh-CN"/>
        </w:rPr>
        <w:t>工</w:t>
      </w:r>
    </w:p>
    <w:p w14:paraId="0A46531F">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电话：19279181029</w:t>
      </w:r>
    </w:p>
    <w:p w14:paraId="3626C03E">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p>
    <w:p w14:paraId="7A2D80E2">
      <w:pPr>
        <w:pStyle w:val="2"/>
        <w:ind w:left="5747" w:leftChars="2394" w:hanging="720" w:hangingChars="300"/>
        <w:rPr>
          <w:rFonts w:hint="default"/>
          <w:highlight w:val="none"/>
          <w:lang w:val="en-US"/>
        </w:rPr>
        <w:sectPr>
          <w:footerReference r:id="rId8" w:type="default"/>
          <w:pgSz w:w="11906" w:h="16838"/>
          <w:pgMar w:top="1418" w:right="1418" w:bottom="1418" w:left="1418" w:header="851" w:footer="992" w:gutter="0"/>
          <w:pgNumType w:fmt="decimal"/>
          <w:cols w:space="720" w:num="1"/>
          <w:docGrid w:type="linesAndChars" w:linePitch="312" w:charSpace="0"/>
        </w:sectPr>
      </w:pPr>
      <w:r>
        <w:rPr>
          <w:rFonts w:hint="eastAsia" w:ascii="黑体" w:hAnsi="黑体" w:eastAsia="黑体" w:cs="黑体"/>
          <w:color w:val="auto"/>
          <w:kern w:val="0"/>
          <w:sz w:val="24"/>
          <w:szCs w:val="24"/>
          <w:highlight w:val="none"/>
          <w:lang w:val="zh-CN" w:bidi="zh-CN"/>
        </w:rPr>
        <w:t>陕西春秋工程造价事务所有限公司</w:t>
      </w:r>
      <w:r>
        <w:rPr>
          <w:rFonts w:hint="eastAsia" w:ascii="黑体" w:hAnsi="黑体" w:eastAsia="黑体" w:cs="黑体"/>
          <w:color w:val="auto"/>
          <w:kern w:val="0"/>
          <w:sz w:val="24"/>
          <w:szCs w:val="24"/>
          <w:highlight w:val="none"/>
          <w:lang w:val="en-US" w:bidi="zh-CN"/>
        </w:rPr>
        <w:t xml:space="preserve">                                          2025年 07 月09  日</w:t>
      </w:r>
    </w:p>
    <w:p w14:paraId="3C9E2C74">
      <w:pPr>
        <w:pStyle w:val="46"/>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FB844E1">
      <w:pPr>
        <w:pStyle w:val="84"/>
        <w:spacing w:before="240" w:beforeLines="100" w:after="24"/>
        <w:jc w:val="center"/>
        <w:rPr>
          <w:rFonts w:hint="eastAsia" w:ascii="黑体" w:hAnsi="黑体" w:eastAsia="黑体" w:cs="黑体"/>
          <w:color w:val="auto"/>
          <w:sz w:val="24"/>
          <w:szCs w:val="24"/>
          <w:highlight w:val="none"/>
        </w:rPr>
      </w:pPr>
      <w:bookmarkStart w:id="58" w:name="_Toc19662"/>
      <w:r>
        <w:rPr>
          <w:rFonts w:hint="eastAsia" w:ascii="黑体" w:hAnsi="黑体" w:eastAsia="黑体" w:cs="黑体"/>
          <w:color w:val="auto"/>
          <w:sz w:val="24"/>
          <w:szCs w:val="24"/>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A45E66C">
      <w:pPr>
        <w:rPr>
          <w:rFonts w:hint="eastAsia" w:ascii="黑体" w:hAnsi="黑体" w:eastAsia="黑体" w:cs="黑体"/>
          <w:color w:val="auto"/>
          <w:sz w:val="24"/>
          <w:szCs w:val="24"/>
          <w:highlight w:val="none"/>
        </w:rPr>
      </w:pPr>
    </w:p>
    <w:p w14:paraId="323DDE3C">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本表是对供应商须知的具体补充和修改，如有矛盾，均以本表为准。</w:t>
      </w:r>
    </w:p>
    <w:p w14:paraId="06C86C09">
      <w:pPr>
        <w:ind w:left="964" w:hanging="826" w:hangingChars="343"/>
        <w:rPr>
          <w:rFonts w:hint="eastAsia" w:ascii="黑体" w:hAnsi="黑体" w:eastAsia="黑体" w:cs="黑体"/>
          <w:b/>
          <w:color w:val="auto"/>
          <w:sz w:val="24"/>
          <w:szCs w:val="24"/>
          <w:highlight w:val="none"/>
        </w:rPr>
      </w:pPr>
    </w:p>
    <w:bookmarkEnd w:id="18"/>
    <w:tbl>
      <w:tblPr>
        <w:tblStyle w:val="50"/>
        <w:tblW w:w="5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468"/>
      </w:tblGrid>
      <w:tr w14:paraId="2BA0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3" w:type="pct"/>
            <w:vAlign w:val="center"/>
          </w:tcPr>
          <w:p w14:paraId="2F5FFCA3">
            <w:pPr>
              <w:pStyle w:val="29"/>
              <w:adjustRightInd w:val="0"/>
              <w:snapToGrid w:val="0"/>
              <w:spacing w:line="240" w:lineRule="auto"/>
              <w:jc w:val="center"/>
              <w:rPr>
                <w:rFonts w:hint="eastAsia" w:ascii="黑体" w:hAnsi="黑体" w:eastAsia="黑体" w:cs="黑体"/>
                <w:b/>
                <w:color w:val="auto"/>
                <w:sz w:val="24"/>
                <w:szCs w:val="24"/>
                <w:highlight w:val="none"/>
              </w:rPr>
            </w:pPr>
            <w:bookmarkStart w:id="59" w:name="_Hlt14560610"/>
            <w:bookmarkEnd w:id="59"/>
            <w:bookmarkStart w:id="60" w:name="_Toc496324580"/>
            <w:bookmarkStart w:id="61" w:name="_Toc492955416"/>
            <w:bookmarkStart w:id="62" w:name="_Toc503063423"/>
            <w:bookmarkStart w:id="63" w:name="_Toc500747190"/>
            <w:bookmarkStart w:id="64" w:name="_Toc500747063"/>
            <w:bookmarkStart w:id="65" w:name="_Toc385992326"/>
            <w:bookmarkStart w:id="66" w:name="_Toc499711885"/>
            <w:bookmarkStart w:id="67" w:name="_Toc389620165"/>
            <w:bookmarkStart w:id="68" w:name="_Toc499711044"/>
            <w:bookmarkStart w:id="69" w:name="_Toc500746967"/>
            <w:r>
              <w:rPr>
                <w:rFonts w:hint="eastAsia" w:ascii="黑体" w:hAnsi="黑体" w:eastAsia="黑体" w:cs="黑体"/>
                <w:b/>
                <w:color w:val="auto"/>
                <w:sz w:val="24"/>
                <w:szCs w:val="24"/>
                <w:highlight w:val="none"/>
              </w:rPr>
              <w:t>条款号</w:t>
            </w:r>
          </w:p>
        </w:tc>
        <w:tc>
          <w:tcPr>
            <w:tcW w:w="4406" w:type="pct"/>
            <w:vAlign w:val="center"/>
          </w:tcPr>
          <w:p w14:paraId="4093BEB0">
            <w:pPr>
              <w:pStyle w:val="29"/>
              <w:adjustRightInd w:val="0"/>
              <w:snapToGrid w:val="0"/>
              <w:spacing w:line="24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内容说明</w:t>
            </w:r>
          </w:p>
        </w:tc>
      </w:tr>
      <w:tr w14:paraId="7927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93" w:type="pct"/>
            <w:vAlign w:val="center"/>
          </w:tcPr>
          <w:p w14:paraId="657C19F5">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w:t>
            </w:r>
          </w:p>
        </w:tc>
        <w:tc>
          <w:tcPr>
            <w:tcW w:w="4406" w:type="pct"/>
            <w:vAlign w:val="center"/>
          </w:tcPr>
          <w:p w14:paraId="081329B0">
            <w:pPr>
              <w:spacing w:line="360" w:lineRule="auto"/>
              <w:jc w:val="lef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采购人名称：汉阴县城关镇中心卫生院</w:t>
            </w:r>
          </w:p>
          <w:p w14:paraId="4317A364">
            <w:pPr>
              <w:overflowPunct w:val="0"/>
              <w:autoSpaceDE/>
              <w:autoSpaceDN/>
              <w:spacing w:before="0" w:after="0" w:line="360" w:lineRule="auto"/>
              <w:ind w:right="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地址：汉阴县城关镇太平村</w:t>
            </w:r>
          </w:p>
          <w:p w14:paraId="0666B7D3">
            <w:pPr>
              <w:overflowPunct w:val="0"/>
              <w:autoSpaceDE/>
              <w:autoSpaceDN/>
              <w:spacing w:before="0" w:after="0" w:line="360" w:lineRule="auto"/>
              <w:ind w:right="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zh-CN" w:bidi="zh-CN"/>
              </w:rPr>
              <w:t>联系方式：</w:t>
            </w:r>
            <w:r>
              <w:rPr>
                <w:rFonts w:hint="eastAsia" w:ascii="黑体" w:hAnsi="黑体" w:eastAsia="黑体" w:cs="黑体"/>
                <w:color w:val="auto"/>
                <w:kern w:val="0"/>
                <w:sz w:val="24"/>
                <w:szCs w:val="24"/>
                <w:highlight w:val="none"/>
                <w:lang w:val="en-US" w:bidi="zh-CN"/>
              </w:rPr>
              <w:t>刘老师 15309155327</w:t>
            </w:r>
          </w:p>
        </w:tc>
      </w:tr>
      <w:tr w14:paraId="72AA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93" w:type="pct"/>
            <w:vAlign w:val="center"/>
          </w:tcPr>
          <w:p w14:paraId="34CB8678">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w:t>
            </w:r>
          </w:p>
        </w:tc>
        <w:tc>
          <w:tcPr>
            <w:tcW w:w="4406" w:type="pct"/>
            <w:vAlign w:val="center"/>
          </w:tcPr>
          <w:p w14:paraId="3CAF2935">
            <w:pPr>
              <w:overflowPunct w:val="0"/>
              <w:autoSpaceDE/>
              <w:autoSpaceDN/>
              <w:spacing w:before="0" w:after="0" w:line="360" w:lineRule="auto"/>
              <w:ind w:right="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en-US" w:bidi="zh-CN"/>
              </w:rPr>
              <w:t>采购代理机构</w:t>
            </w:r>
            <w:r>
              <w:rPr>
                <w:rFonts w:hint="eastAsia" w:ascii="黑体" w:hAnsi="黑体" w:eastAsia="黑体" w:cs="黑体"/>
                <w:color w:val="auto"/>
                <w:kern w:val="0"/>
                <w:sz w:val="24"/>
                <w:szCs w:val="24"/>
                <w:highlight w:val="none"/>
                <w:lang w:val="zh-CN" w:bidi="zh-CN"/>
              </w:rPr>
              <w:t>名称：陕西春秋工程造价事务所有限公司</w:t>
            </w:r>
          </w:p>
          <w:p w14:paraId="32F1B290">
            <w:pPr>
              <w:overflowPunct w:val="0"/>
              <w:autoSpaceDE/>
              <w:autoSpaceDN/>
              <w:spacing w:before="0" w:after="0" w:line="360" w:lineRule="auto"/>
              <w:ind w:right="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地址：陕西省西安市曲江新区雁翔路2575号3幢10603室</w:t>
            </w:r>
          </w:p>
          <w:p w14:paraId="7ABE69B2">
            <w:pPr>
              <w:overflowPunct w:val="0"/>
              <w:autoSpaceDE/>
              <w:autoSpaceDN/>
              <w:spacing w:before="0" w:after="0" w:line="360" w:lineRule="auto"/>
              <w:ind w:right="0"/>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kern w:val="0"/>
                <w:sz w:val="24"/>
                <w:szCs w:val="24"/>
                <w:highlight w:val="none"/>
                <w:lang w:val="zh-CN" w:bidi="zh-CN"/>
              </w:rPr>
              <w:t>联系方式：</w:t>
            </w:r>
            <w:r>
              <w:rPr>
                <w:rFonts w:hint="eastAsia" w:ascii="黑体" w:hAnsi="黑体" w:eastAsia="黑体" w:cs="黑体"/>
                <w:color w:val="auto"/>
                <w:kern w:val="0"/>
                <w:sz w:val="24"/>
                <w:szCs w:val="24"/>
                <w:highlight w:val="none"/>
                <w:lang w:val="en-US" w:bidi="zh-CN"/>
              </w:rPr>
              <w:t xml:space="preserve">王工 </w:t>
            </w:r>
            <w:r>
              <w:rPr>
                <w:rFonts w:hint="eastAsia" w:ascii="黑体" w:hAnsi="黑体" w:eastAsia="黑体" w:cs="黑体"/>
                <w:color w:val="auto"/>
                <w:kern w:val="0"/>
                <w:sz w:val="24"/>
                <w:szCs w:val="24"/>
                <w:highlight w:val="none"/>
                <w:lang w:val="zh-CN" w:bidi="zh-CN"/>
              </w:rPr>
              <w:t>19279181029</w:t>
            </w:r>
          </w:p>
        </w:tc>
      </w:tr>
      <w:tr w14:paraId="2CBB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93" w:type="pct"/>
            <w:vAlign w:val="center"/>
          </w:tcPr>
          <w:p w14:paraId="110839DC">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w:t>
            </w:r>
          </w:p>
        </w:tc>
        <w:tc>
          <w:tcPr>
            <w:tcW w:w="4406" w:type="pct"/>
            <w:vAlign w:val="center"/>
          </w:tcPr>
          <w:p w14:paraId="1EB61B0E">
            <w:pPr>
              <w:pStyle w:val="29"/>
              <w:adjustRightInd w:val="0"/>
              <w:snapToGrid w:val="0"/>
              <w:spacing w:line="24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邀请供应商的方式：发布磋商公告</w:t>
            </w:r>
          </w:p>
        </w:tc>
      </w:tr>
      <w:tr w14:paraId="7183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3" w:type="pct"/>
            <w:vAlign w:val="center"/>
          </w:tcPr>
          <w:p w14:paraId="66B6BB22">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w:t>
            </w:r>
          </w:p>
        </w:tc>
        <w:tc>
          <w:tcPr>
            <w:tcW w:w="4406" w:type="pct"/>
            <w:vAlign w:val="center"/>
          </w:tcPr>
          <w:p w14:paraId="55B71971">
            <w:pPr>
              <w:widowControl/>
              <w:shd w:val="clear" w:color="auto" w:fill="FFFFFF"/>
              <w:snapToGri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对供应商的资格要求：</w:t>
            </w:r>
          </w:p>
          <w:p w14:paraId="4F824E95">
            <w:pPr>
              <w:widowControl/>
              <w:shd w:val="clear" w:color="auto" w:fill="FFFFFF"/>
              <w:snapToGri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1、基本资格条件：符合《中华人民共和国政府采购法》第二十二条的规定；</w:t>
            </w:r>
          </w:p>
          <w:p w14:paraId="44970186">
            <w:pPr>
              <w:widowControl/>
              <w:shd w:val="clear" w:color="auto" w:fill="FFFFFF"/>
              <w:snapToGri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2、特定资格条件：</w:t>
            </w:r>
          </w:p>
          <w:p w14:paraId="17888175">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en-US" w:bidi="zh-CN"/>
              </w:rPr>
              <w:t>2-1、</w:t>
            </w:r>
            <w:r>
              <w:rPr>
                <w:rFonts w:hint="eastAsia" w:ascii="黑体" w:hAnsi="黑体" w:eastAsia="黑体" w:cs="黑体"/>
                <w:color w:val="auto"/>
                <w:kern w:val="0"/>
                <w:sz w:val="24"/>
                <w:szCs w:val="24"/>
                <w:highlight w:val="none"/>
                <w:lang w:val="zh-CN" w:bidi="zh-CN"/>
              </w:rPr>
              <w:t>供应商在递交投标文件截止时间前被“信用中国”网站（www.creditchina.gov.cn）和中国政府采购网（www.ccgp.gov.cn）上被列入失信被执行人、重大税收违法失信主体、政府采购严重违法失信行为记录名单的，不得参加投标；</w:t>
            </w:r>
          </w:p>
          <w:p w14:paraId="005BAB88">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en-US" w:bidi="zh-CN"/>
              </w:rPr>
              <w:t>2-2、</w:t>
            </w:r>
            <w:r>
              <w:rPr>
                <w:rFonts w:hint="eastAsia" w:ascii="黑体" w:hAnsi="黑体" w:eastAsia="黑体" w:cs="黑体"/>
                <w:color w:val="auto"/>
                <w:kern w:val="0"/>
                <w:sz w:val="24"/>
                <w:szCs w:val="24"/>
                <w:highlight w:val="none"/>
                <w:lang w:val="zh-CN" w:bidi="zh-CN"/>
              </w:rPr>
              <w:t>投标人为代理商的应出具医疗器械经营许可证(或医疗器械经营备案凭证)和制造厂商的医疗器械生产许可证(或医疗器械生产备案凭证)；投标人为制造厂商的应出具医疗器械生产许可证(或医疗器械生产备案凭证)；</w:t>
            </w:r>
          </w:p>
          <w:p w14:paraId="4A214B3E">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en-US" w:bidi="zh-CN"/>
              </w:rPr>
              <w:t>2-3、</w:t>
            </w:r>
            <w:r>
              <w:rPr>
                <w:rFonts w:hint="eastAsia" w:ascii="黑体" w:hAnsi="黑体" w:eastAsia="黑体" w:cs="黑体"/>
                <w:color w:val="auto"/>
                <w:kern w:val="0"/>
                <w:sz w:val="24"/>
                <w:szCs w:val="24"/>
                <w:highlight w:val="none"/>
                <w:lang w:val="zh-CN" w:bidi="zh-CN"/>
              </w:rPr>
              <w:t>所投产品如属于医疗器械应出具医疗器械注册证或医疗器械备案凭证；</w:t>
            </w:r>
          </w:p>
          <w:p w14:paraId="2C64F357">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en-US" w:bidi="zh-CN"/>
              </w:rPr>
              <w:t>2-4、</w:t>
            </w:r>
            <w:r>
              <w:rPr>
                <w:rFonts w:hint="eastAsia" w:ascii="黑体" w:hAnsi="黑体" w:eastAsia="黑体" w:cs="黑体"/>
                <w:color w:val="auto"/>
                <w:kern w:val="0"/>
                <w:sz w:val="24"/>
                <w:szCs w:val="24"/>
                <w:highlight w:val="none"/>
                <w:lang w:val="zh-CN" w:bidi="zh-CN"/>
              </w:rPr>
              <w:t>法定代表人（或单位负责人）授权书及被授权人身份证、授权代表本单位证明（养老保险缴纳证明或劳动合同）；</w:t>
            </w:r>
          </w:p>
          <w:p w14:paraId="3E3626F3">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en-US" w:bidi="zh-CN"/>
              </w:rPr>
              <w:t>2-5、</w:t>
            </w:r>
            <w:r>
              <w:rPr>
                <w:rFonts w:hint="eastAsia" w:ascii="黑体" w:hAnsi="黑体" w:eastAsia="黑体" w:cs="黑体"/>
                <w:color w:val="auto"/>
                <w:kern w:val="0"/>
                <w:sz w:val="24"/>
                <w:szCs w:val="24"/>
                <w:highlight w:val="none"/>
                <w:lang w:val="zh-CN" w:bidi="zh-CN"/>
              </w:rPr>
              <w:t>供应商不得存在下列情形之一：</w:t>
            </w:r>
          </w:p>
          <w:p w14:paraId="1EDD1878">
            <w:pPr>
              <w:overflowPunct w:val="0"/>
              <w:autoSpaceDE/>
              <w:autoSpaceDN/>
              <w:spacing w:before="0" w:after="0" w:line="360" w:lineRule="auto"/>
              <w:ind w:left="0" w:leftChars="0" w:right="0" w:firstLine="480" w:firstLineChars="200"/>
              <w:jc w:val="left"/>
              <w:rPr>
                <w:rFonts w:hint="eastAsia" w:ascii="黑体" w:hAnsi="黑体" w:eastAsia="黑体" w:cs="黑体"/>
                <w:color w:val="auto"/>
                <w:kern w:val="0"/>
                <w:sz w:val="24"/>
                <w:szCs w:val="24"/>
                <w:highlight w:val="none"/>
                <w:lang w:val="zh-CN" w:bidi="zh-CN"/>
              </w:rPr>
            </w:pPr>
            <w:r>
              <w:rPr>
                <w:rFonts w:hint="eastAsia" w:ascii="黑体" w:hAnsi="黑体" w:eastAsia="黑体" w:cs="黑体"/>
                <w:color w:val="auto"/>
                <w:kern w:val="0"/>
                <w:sz w:val="24"/>
                <w:szCs w:val="24"/>
                <w:highlight w:val="none"/>
                <w:lang w:val="zh-CN" w:bidi="zh-CN"/>
              </w:rPr>
              <w:t>（1）单位负责人为同一人或者存在直接控股、管理关系的不同供应商，不得参加本次采购活动；</w:t>
            </w:r>
          </w:p>
          <w:p w14:paraId="3B9B15E5">
            <w:pPr>
              <w:overflowPunct w:val="0"/>
              <w:autoSpaceDE/>
              <w:autoSpaceDN/>
              <w:spacing w:before="0" w:after="0" w:line="360" w:lineRule="auto"/>
              <w:ind w:left="0" w:leftChars="0" w:right="0" w:firstLine="480" w:firstLineChars="200"/>
              <w:jc w:val="left"/>
              <w:rPr>
                <w:rFonts w:hint="eastAsia" w:ascii="黑体" w:hAnsi="黑体" w:eastAsia="黑体" w:cs="黑体"/>
                <w:color w:val="auto"/>
                <w:sz w:val="20"/>
                <w:szCs w:val="22"/>
                <w:highlight w:val="none"/>
                <w:lang w:eastAsia="zh-CN"/>
              </w:rPr>
            </w:pPr>
            <w:r>
              <w:rPr>
                <w:rFonts w:hint="eastAsia" w:ascii="黑体" w:hAnsi="黑体" w:eastAsia="黑体" w:cs="黑体"/>
                <w:color w:val="auto"/>
                <w:kern w:val="0"/>
                <w:sz w:val="24"/>
                <w:szCs w:val="24"/>
                <w:highlight w:val="none"/>
                <w:lang w:val="zh-CN" w:bidi="zh-CN"/>
              </w:rPr>
              <w:t>（2）为本项目提供整体设计、规范编制或者项目管理、监理、检测等服务的供应商，不得再参加该采购项目的其他采购活动。</w:t>
            </w:r>
          </w:p>
        </w:tc>
      </w:tr>
      <w:tr w14:paraId="3E63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3" w:type="pct"/>
            <w:vAlign w:val="center"/>
          </w:tcPr>
          <w:p w14:paraId="78E82CC4">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3.6</w:t>
            </w:r>
          </w:p>
        </w:tc>
        <w:tc>
          <w:tcPr>
            <w:tcW w:w="4406" w:type="pct"/>
            <w:vAlign w:val="center"/>
          </w:tcPr>
          <w:p w14:paraId="10FAF285">
            <w:pPr>
              <w:pStyle w:val="15"/>
              <w:spacing w:line="360" w:lineRule="auto"/>
              <w:jc w:val="left"/>
              <w:rPr>
                <w:rFonts w:hint="eastAsia" w:ascii="黑体" w:hAnsi="黑体" w:eastAsia="黑体" w:cs="黑体"/>
                <w:color w:val="auto"/>
                <w:kern w:val="2"/>
                <w:sz w:val="24"/>
                <w:szCs w:val="24"/>
                <w:highlight w:val="none"/>
              </w:rPr>
            </w:pPr>
            <w:r>
              <w:rPr>
                <w:rFonts w:hint="eastAsia" w:ascii="黑体" w:hAnsi="黑体" w:eastAsia="黑体" w:cs="黑体"/>
                <w:color w:val="auto"/>
                <w:kern w:val="2"/>
                <w:sz w:val="24"/>
                <w:szCs w:val="24"/>
                <w:highlight w:val="none"/>
              </w:rPr>
              <w:t>是否允许采购进口产品：</w:t>
            </w:r>
            <w:r>
              <w:rPr>
                <w:rFonts w:hint="eastAsia" w:ascii="黑体" w:hAnsi="黑体" w:eastAsia="黑体" w:cs="黑体"/>
                <w:color w:val="auto"/>
                <w:kern w:val="2"/>
                <w:sz w:val="24"/>
                <w:szCs w:val="24"/>
                <w:highlight w:val="none"/>
                <w:lang w:val="en-US" w:eastAsia="zh-CN"/>
              </w:rPr>
              <w:t>否</w:t>
            </w:r>
          </w:p>
        </w:tc>
      </w:tr>
      <w:tr w14:paraId="2BD1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39" w:type="dxa"/>
            <w:vAlign w:val="center"/>
          </w:tcPr>
          <w:p w14:paraId="0A65FAEA">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3.7</w:t>
            </w:r>
          </w:p>
        </w:tc>
        <w:tc>
          <w:tcPr>
            <w:tcW w:w="8468" w:type="dxa"/>
            <w:vAlign w:val="center"/>
          </w:tcPr>
          <w:p w14:paraId="3D1FBBE4">
            <w:pPr>
              <w:spacing w:line="360" w:lineRule="auto"/>
              <w:jc w:val="left"/>
              <w:rPr>
                <w:rFonts w:hint="eastAsia" w:ascii="黑体" w:hAnsi="黑体" w:eastAsia="黑体" w:cs="黑体"/>
                <w:color w:val="auto"/>
                <w:kern w:val="2"/>
                <w:sz w:val="24"/>
                <w:szCs w:val="24"/>
                <w:highlight w:val="none"/>
              </w:rPr>
            </w:pPr>
            <w:r>
              <w:rPr>
                <w:rFonts w:hint="eastAsia" w:ascii="黑体" w:hAnsi="黑体" w:eastAsia="黑体" w:cs="黑体"/>
                <w:b/>
                <w:bCs/>
                <w:color w:val="auto"/>
                <w:sz w:val="24"/>
                <w:highlight w:val="none"/>
              </w:rPr>
              <w:t>核心产品</w:t>
            </w:r>
            <w:r>
              <w:rPr>
                <w:rFonts w:hint="eastAsia" w:ascii="黑体" w:hAnsi="黑体" w:eastAsia="黑体" w:cs="黑体"/>
                <w:color w:val="auto"/>
                <w:sz w:val="24"/>
                <w:highlight w:val="none"/>
              </w:rPr>
              <w:t>：</w:t>
            </w:r>
            <w:r>
              <w:rPr>
                <w:rFonts w:hint="eastAsia" w:ascii="黑体" w:hAnsi="黑体" w:eastAsia="黑体" w:cs="黑体"/>
                <w:b w:val="0"/>
                <w:bCs w:val="0"/>
                <w:color w:val="auto"/>
                <w:sz w:val="24"/>
                <w:szCs w:val="32"/>
                <w:highlight w:val="none"/>
                <w:vertAlign w:val="baseline"/>
                <w:lang w:val="zh-CN"/>
              </w:rPr>
              <w:t>多普勒肌骨超声设备</w:t>
            </w:r>
          </w:p>
        </w:tc>
      </w:tr>
      <w:tr w14:paraId="682F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93" w:type="pct"/>
            <w:vAlign w:val="center"/>
          </w:tcPr>
          <w:p w14:paraId="71BEC5B6">
            <w:pPr>
              <w:pStyle w:val="29"/>
              <w:adjustRightInd w:val="0"/>
              <w:snapToGrid w:val="0"/>
              <w:spacing w:line="24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3.8</w:t>
            </w:r>
          </w:p>
        </w:tc>
        <w:tc>
          <w:tcPr>
            <w:tcW w:w="4406" w:type="pct"/>
            <w:vAlign w:val="center"/>
          </w:tcPr>
          <w:p w14:paraId="4F0CE5D6">
            <w:pPr>
              <w:pStyle w:val="29"/>
              <w:adjustRightInd w:val="0"/>
              <w:snapToGrid w:val="0"/>
              <w:spacing w:line="24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是否允许联合体磋商：否</w:t>
            </w:r>
          </w:p>
        </w:tc>
      </w:tr>
      <w:tr w14:paraId="312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93" w:type="pct"/>
            <w:vAlign w:val="center"/>
          </w:tcPr>
          <w:p w14:paraId="15AB00FF">
            <w:pPr>
              <w:pStyle w:val="29"/>
              <w:adjustRightInd w:val="0"/>
              <w:snapToGrid w:val="0"/>
              <w:spacing w:line="24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3.9</w:t>
            </w:r>
          </w:p>
        </w:tc>
        <w:tc>
          <w:tcPr>
            <w:tcW w:w="4406" w:type="pct"/>
            <w:vAlign w:val="center"/>
          </w:tcPr>
          <w:p w14:paraId="51214026">
            <w:pPr>
              <w:pStyle w:val="29"/>
              <w:adjustRightInd w:val="0"/>
              <w:snapToGrid w:val="0"/>
              <w:spacing w:line="240" w:lineRule="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是否为专门面向中小企业采购：</w:t>
            </w:r>
            <w:r>
              <w:rPr>
                <w:rFonts w:hint="eastAsia" w:ascii="黑体" w:hAnsi="黑体" w:eastAsia="黑体" w:cs="黑体"/>
                <w:color w:val="auto"/>
                <w:sz w:val="24"/>
                <w:szCs w:val="24"/>
                <w:highlight w:val="none"/>
                <w:lang w:val="en-US" w:eastAsia="zh-CN"/>
              </w:rPr>
              <w:t>否</w:t>
            </w:r>
          </w:p>
        </w:tc>
      </w:tr>
      <w:tr w14:paraId="2984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93" w:type="pct"/>
            <w:vAlign w:val="center"/>
          </w:tcPr>
          <w:p w14:paraId="0FD9D882">
            <w:pPr>
              <w:pStyle w:val="29"/>
              <w:adjustRightInd w:val="0"/>
              <w:snapToGrid w:val="0"/>
              <w:spacing w:line="24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3.10</w:t>
            </w:r>
          </w:p>
        </w:tc>
        <w:tc>
          <w:tcPr>
            <w:tcW w:w="4406" w:type="pct"/>
            <w:vAlign w:val="center"/>
          </w:tcPr>
          <w:p w14:paraId="2B8E9A0E">
            <w:pPr>
              <w:pStyle w:val="29"/>
              <w:adjustRightInd w:val="0"/>
              <w:snapToGrid w:val="0"/>
              <w:spacing w:line="240" w:lineRule="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项目所属行业：工业</w:t>
            </w:r>
          </w:p>
        </w:tc>
      </w:tr>
      <w:tr w14:paraId="2985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593" w:type="pct"/>
            <w:vAlign w:val="center"/>
          </w:tcPr>
          <w:p w14:paraId="43F7371A">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12.1</w:t>
            </w:r>
          </w:p>
        </w:tc>
        <w:tc>
          <w:tcPr>
            <w:tcW w:w="4406" w:type="pct"/>
            <w:vAlign w:val="center"/>
          </w:tcPr>
          <w:p w14:paraId="644DB600">
            <w:pPr>
              <w:autoSpaceDE w:val="0"/>
              <w:autoSpaceDN w:val="0"/>
              <w:adjustRightInd w:val="0"/>
              <w:spacing w:line="336"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响应报价为提供磋商文件要求</w:t>
            </w:r>
            <w:r>
              <w:rPr>
                <w:rFonts w:hint="eastAsia" w:ascii="黑体" w:hAnsi="黑体" w:eastAsia="黑体" w:cs="黑体"/>
                <w:color w:val="auto"/>
                <w:sz w:val="24"/>
                <w:szCs w:val="24"/>
                <w:highlight w:val="none"/>
                <w:lang w:eastAsia="zh-CN"/>
              </w:rPr>
              <w:t>服务</w:t>
            </w:r>
            <w:r>
              <w:rPr>
                <w:rFonts w:hint="eastAsia" w:ascii="黑体" w:hAnsi="黑体" w:eastAsia="黑体" w:cs="黑体"/>
                <w:color w:val="auto"/>
                <w:sz w:val="24"/>
                <w:szCs w:val="24"/>
                <w:highlight w:val="none"/>
              </w:rPr>
              <w:t>的所有费用，包括但不限于提供项目实施费、人工费、材料费、管理费等供应商应缴纳的所有税费、保险费（如果有）等全部费用。</w:t>
            </w:r>
          </w:p>
          <w:p w14:paraId="50709FAF">
            <w:pPr>
              <w:numPr>
                <w:ilvl w:val="0"/>
                <w:numId w:val="6"/>
              </w:numPr>
              <w:autoSpaceDE w:val="0"/>
              <w:autoSpaceDN w:val="0"/>
              <w:adjustRightInd w:val="0"/>
              <w:spacing w:line="336"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报价货币：人民币；</w:t>
            </w:r>
          </w:p>
          <w:p w14:paraId="12D181E3">
            <w:pPr>
              <w:pStyle w:val="2"/>
              <w:rPr>
                <w:rFonts w:hint="eastAsia"/>
              </w:rPr>
            </w:pPr>
            <w:r>
              <w:rPr>
                <w:rFonts w:hint="eastAsia" w:ascii="黑体" w:hAnsi="黑体" w:eastAsia="黑体" w:cs="黑体"/>
                <w:b/>
                <w:bCs/>
                <w:color w:val="auto"/>
                <w:sz w:val="24"/>
                <w:szCs w:val="24"/>
                <w:highlight w:val="none"/>
                <w:lang w:val="en-US" w:eastAsia="zh-CN"/>
              </w:rPr>
              <w:t>报价规则：供应商总报价既不能超过总的最高限价413800.00元，分项报价中每台设备的单价也不能超过单价限价：多普勒肌骨超声设备单价限价：228800.00元；全自动五分类血液分析仪：185000.00元；超出限价的，其响应文件按照无效文件处理。</w:t>
            </w:r>
          </w:p>
        </w:tc>
      </w:tr>
      <w:tr w14:paraId="0D2D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3" w:type="pct"/>
            <w:vAlign w:val="center"/>
          </w:tcPr>
          <w:p w14:paraId="453DE6E2">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15.1</w:t>
            </w:r>
          </w:p>
        </w:tc>
        <w:tc>
          <w:tcPr>
            <w:tcW w:w="4406" w:type="pct"/>
            <w:vAlign w:val="center"/>
          </w:tcPr>
          <w:p w14:paraId="68DF4ACE">
            <w:pPr>
              <w:pStyle w:val="29"/>
              <w:adjustRightInd w:val="0"/>
              <w:snapToGrid w:val="0"/>
              <w:spacing w:line="24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磋商有效期：自响应文件递交之</w:t>
            </w:r>
            <w:r>
              <w:rPr>
                <w:rFonts w:hint="eastAsia" w:ascii="黑体" w:hAnsi="黑体" w:eastAsia="黑体" w:cs="黑体"/>
                <w:color w:val="auto"/>
                <w:sz w:val="24"/>
                <w:szCs w:val="24"/>
                <w:highlight w:val="none"/>
                <w:shd w:val="clear" w:color="FFFFFF" w:fill="FFFFFF" w:themeFill="background1"/>
              </w:rPr>
              <w:t>日起</w:t>
            </w:r>
            <w:r>
              <w:rPr>
                <w:rFonts w:hint="eastAsia" w:ascii="黑体" w:hAnsi="黑体" w:eastAsia="黑体" w:cs="黑体"/>
                <w:color w:val="auto"/>
                <w:sz w:val="24"/>
                <w:szCs w:val="24"/>
                <w:highlight w:val="none"/>
                <w:u w:val="single"/>
                <w:shd w:val="clear" w:color="FFFFFF" w:fill="FFFFFF" w:themeFill="background1"/>
              </w:rPr>
              <w:t xml:space="preserve">  60  </w:t>
            </w:r>
            <w:r>
              <w:rPr>
                <w:rFonts w:hint="eastAsia" w:ascii="黑体" w:hAnsi="黑体" w:eastAsia="黑体" w:cs="黑体"/>
                <w:color w:val="auto"/>
                <w:sz w:val="24"/>
                <w:szCs w:val="24"/>
                <w:highlight w:val="none"/>
                <w:shd w:val="clear" w:color="FFFFFF" w:fill="FFFFFF" w:themeFill="background1"/>
              </w:rPr>
              <w:t>日历天。</w:t>
            </w:r>
          </w:p>
        </w:tc>
      </w:tr>
      <w:tr w14:paraId="45D3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93" w:type="pct"/>
            <w:vAlign w:val="center"/>
          </w:tcPr>
          <w:p w14:paraId="67D66F14">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18.1</w:t>
            </w:r>
          </w:p>
        </w:tc>
        <w:tc>
          <w:tcPr>
            <w:tcW w:w="4406" w:type="pct"/>
            <w:vAlign w:val="center"/>
          </w:tcPr>
          <w:p w14:paraId="7F5A0C8C">
            <w:pPr>
              <w:tabs>
                <w:tab w:val="left" w:pos="588"/>
              </w:tabs>
              <w:spacing w:line="360" w:lineRule="auto"/>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响应文件递交截止时间：</w:t>
            </w:r>
            <w:r>
              <w:rPr>
                <w:rFonts w:hint="eastAsia" w:ascii="黑体" w:hAnsi="黑体" w:eastAsia="黑体" w:cs="黑体"/>
                <w:color w:val="auto"/>
                <w:sz w:val="24"/>
                <w:szCs w:val="24"/>
                <w:highlight w:val="none"/>
              </w:rPr>
              <w:t>202</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07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 xml:space="preserve"> 23  </w:t>
            </w:r>
            <w:r>
              <w:rPr>
                <w:rFonts w:hint="eastAsia" w:ascii="黑体" w:hAnsi="黑体" w:eastAsia="黑体" w:cs="黑体"/>
                <w:color w:val="auto"/>
                <w:sz w:val="24"/>
                <w:szCs w:val="24"/>
                <w:highlight w:val="none"/>
              </w:rPr>
              <w:t xml:space="preserve">日 </w:t>
            </w:r>
            <w:r>
              <w:rPr>
                <w:rFonts w:hint="eastAsia" w:ascii="黑体" w:hAnsi="黑体" w:eastAsia="黑体" w:cs="黑体"/>
                <w:color w:val="auto"/>
                <w:sz w:val="24"/>
                <w:szCs w:val="24"/>
                <w:highlight w:val="none"/>
                <w:lang w:val="en-US" w:eastAsia="zh-CN"/>
              </w:rPr>
              <w:t>15 点 30</w:t>
            </w:r>
            <w:r>
              <w:rPr>
                <w:rFonts w:hint="eastAsia" w:ascii="黑体" w:hAnsi="黑体" w:eastAsia="黑体" w:cs="黑体"/>
                <w:color w:val="auto"/>
                <w:kern w:val="24"/>
                <w:sz w:val="24"/>
                <w:szCs w:val="24"/>
                <w:highlight w:val="none"/>
                <w:lang w:val="en-US" w:eastAsia="zh-CN"/>
              </w:rPr>
              <w:t>分</w:t>
            </w:r>
            <w:r>
              <w:rPr>
                <w:rFonts w:hint="eastAsia" w:ascii="黑体" w:hAnsi="黑体" w:eastAsia="黑体" w:cs="黑体"/>
                <w:color w:val="auto"/>
                <w:kern w:val="24"/>
                <w:sz w:val="24"/>
                <w:szCs w:val="24"/>
                <w:highlight w:val="none"/>
              </w:rPr>
              <w:t>（北京时间）。</w:t>
            </w:r>
          </w:p>
          <w:p w14:paraId="1E95D13A">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kern w:val="24"/>
                <w:sz w:val="24"/>
                <w:szCs w:val="24"/>
                <w:highlight w:val="none"/>
              </w:rPr>
              <w:t>响应文件递交地点：</w:t>
            </w:r>
            <w:r>
              <w:rPr>
                <w:rFonts w:hint="eastAsia" w:ascii="黑体" w:hAnsi="黑体" w:eastAsia="黑体" w:cs="黑体"/>
                <w:color w:val="auto"/>
                <w:sz w:val="24"/>
                <w:szCs w:val="24"/>
                <w:highlight w:val="none"/>
                <w:lang w:val="zh-CN"/>
              </w:rPr>
              <w:t>陕西省公共资源交易平台</w:t>
            </w:r>
            <w:r>
              <w:rPr>
                <w:rFonts w:hint="eastAsia" w:ascii="黑体" w:hAnsi="黑体" w:eastAsia="黑体" w:cs="黑体"/>
                <w:color w:val="auto"/>
                <w:kern w:val="24"/>
                <w:sz w:val="24"/>
                <w:szCs w:val="24"/>
                <w:highlight w:val="none"/>
              </w:rPr>
              <w:t>。</w:t>
            </w:r>
          </w:p>
        </w:tc>
      </w:tr>
      <w:tr w14:paraId="0B88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93" w:type="pct"/>
            <w:vAlign w:val="center"/>
          </w:tcPr>
          <w:p w14:paraId="646CE451">
            <w:pPr>
              <w:pStyle w:val="29"/>
              <w:adjustRightInd w:val="0"/>
              <w:snapToGrid w:val="0"/>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21.1</w:t>
            </w:r>
          </w:p>
        </w:tc>
        <w:tc>
          <w:tcPr>
            <w:tcW w:w="4406" w:type="pct"/>
            <w:vAlign w:val="center"/>
          </w:tcPr>
          <w:p w14:paraId="6C3EFA87">
            <w:pPr>
              <w:spacing w:line="36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磋商小组由</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3</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人组成，其中评审专家</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2</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人，采购人代表</w:t>
            </w:r>
            <w:r>
              <w:rPr>
                <w:rFonts w:hint="eastAsia" w:ascii="黑体" w:hAnsi="黑体" w:eastAsia="黑体" w:cs="黑体"/>
                <w:color w:val="auto"/>
                <w:sz w:val="24"/>
                <w:szCs w:val="24"/>
                <w:highlight w:val="none"/>
                <w:u w:val="single"/>
              </w:rPr>
              <w:t xml:space="preserve"> 1</w:t>
            </w:r>
            <w:r>
              <w:rPr>
                <w:rFonts w:hint="eastAsia" w:ascii="黑体" w:hAnsi="黑体" w:eastAsia="黑体" w:cs="黑体"/>
                <w:color w:val="auto"/>
                <w:sz w:val="24"/>
                <w:szCs w:val="24"/>
                <w:highlight w:val="none"/>
              </w:rPr>
              <w:t>人。</w:t>
            </w:r>
          </w:p>
        </w:tc>
      </w:tr>
      <w:tr w14:paraId="5B61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93" w:type="pct"/>
            <w:vAlign w:val="center"/>
          </w:tcPr>
          <w:p w14:paraId="6DA9F882">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28.1</w:t>
            </w:r>
          </w:p>
        </w:tc>
        <w:tc>
          <w:tcPr>
            <w:tcW w:w="4406" w:type="pct"/>
            <w:vAlign w:val="center"/>
          </w:tcPr>
          <w:p w14:paraId="58584924">
            <w:pPr>
              <w:jc w:val="lef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是否提交履约保证金：否</w:t>
            </w:r>
          </w:p>
        </w:tc>
      </w:tr>
      <w:tr w14:paraId="14F2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gridSpan w:val="2"/>
            <w:vAlign w:val="center"/>
          </w:tcPr>
          <w:p w14:paraId="2550798B">
            <w:pPr>
              <w:jc w:val="left"/>
              <w:rPr>
                <w:rFonts w:hint="eastAsia" w:ascii="黑体" w:hAnsi="黑体" w:eastAsia="黑体" w:cs="黑体"/>
                <w:color w:val="auto"/>
                <w:sz w:val="24"/>
                <w:szCs w:val="24"/>
                <w:highlight w:val="none"/>
                <w:lang w:eastAsia="zh-CN"/>
              </w:rPr>
            </w:pPr>
            <w:bookmarkStart w:id="70" w:name="_Toc177189236"/>
            <w:bookmarkStart w:id="71" w:name="_Toc232395213"/>
            <w:bookmarkStart w:id="72" w:name="_Toc70687140"/>
            <w:bookmarkStart w:id="73" w:name="_Toc53722841"/>
            <w:bookmarkStart w:id="74" w:name="_Toc230583542"/>
            <w:bookmarkStart w:id="75" w:name="_Toc177995474"/>
            <w:bookmarkStart w:id="76" w:name="_Toc249525160"/>
            <w:bookmarkStart w:id="77" w:name="_Toc184043013"/>
            <w:bookmarkStart w:id="78" w:name="_Toc249515391"/>
            <w:bookmarkStart w:id="79" w:name="_Toc177817335"/>
            <w:bookmarkStart w:id="80" w:name="_Toc230099798"/>
            <w:bookmarkStart w:id="81" w:name="_Toc230013633"/>
            <w:bookmarkStart w:id="82" w:name="_Toc249515279"/>
            <w:bookmarkStart w:id="83" w:name="_Toc256342144"/>
            <w:bookmarkStart w:id="84" w:name="_Toc176882543"/>
            <w:bookmarkStart w:id="85" w:name="_Toc232176273"/>
            <w:r>
              <w:rPr>
                <w:rFonts w:hint="eastAsia" w:ascii="黑体" w:hAnsi="黑体" w:eastAsia="黑体" w:cs="黑体"/>
                <w:b/>
                <w:bCs/>
                <w:color w:val="auto"/>
                <w:sz w:val="24"/>
                <w:szCs w:val="24"/>
                <w:highlight w:val="none"/>
                <w:lang w:val="en-US" w:eastAsia="zh-CN"/>
              </w:rPr>
              <w:t xml:space="preserve">适用于本投标人须知的额外增加的变动： </w:t>
            </w:r>
          </w:p>
        </w:tc>
      </w:tr>
      <w:tr w14:paraId="0612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000" w:type="pct"/>
            <w:gridSpan w:val="2"/>
            <w:vAlign w:val="center"/>
          </w:tcPr>
          <w:p w14:paraId="74320E99">
            <w:pPr>
              <w:spacing w:line="360" w:lineRule="auto"/>
              <w:ind w:firstLine="482" w:firstLineChars="200"/>
              <w:jc w:val="left"/>
              <w:rPr>
                <w:rFonts w:hint="eastAsia" w:ascii="黑体" w:hAnsi="黑体" w:eastAsia="黑体" w:cs="黑体"/>
                <w:b/>
                <w:bCs/>
                <w:snapToGrid w:val="0"/>
                <w:color w:val="auto"/>
                <w:sz w:val="24"/>
                <w:szCs w:val="24"/>
                <w:highlight w:val="none"/>
              </w:rPr>
            </w:pPr>
            <w:r>
              <w:rPr>
                <w:rFonts w:hint="eastAsia" w:ascii="黑体" w:hAnsi="黑体" w:eastAsia="黑体" w:cs="黑体"/>
                <w:b/>
                <w:bCs/>
                <w:snapToGrid w:val="0"/>
                <w:color w:val="auto"/>
                <w:sz w:val="24"/>
                <w:szCs w:val="24"/>
                <w:highlight w:val="none"/>
              </w:rPr>
              <w:t>1、本项目采用电子化</w:t>
            </w:r>
            <w:r>
              <w:rPr>
                <w:rFonts w:hint="eastAsia" w:ascii="黑体" w:hAnsi="黑体" w:eastAsia="黑体" w:cs="黑体"/>
                <w:b/>
                <w:bCs/>
                <w:snapToGrid w:val="0"/>
                <w:color w:val="auto"/>
                <w:sz w:val="24"/>
                <w:szCs w:val="24"/>
                <w:highlight w:val="none"/>
                <w:lang w:eastAsia="zh-CN"/>
              </w:rPr>
              <w:t>投标</w:t>
            </w:r>
            <w:r>
              <w:rPr>
                <w:rFonts w:hint="eastAsia" w:ascii="黑体" w:hAnsi="黑体" w:eastAsia="黑体" w:cs="黑体"/>
                <w:b/>
                <w:bCs/>
                <w:snapToGrid w:val="0"/>
                <w:color w:val="auto"/>
                <w:sz w:val="24"/>
                <w:szCs w:val="24"/>
                <w:highlight w:val="none"/>
              </w:rPr>
              <w:t>方式投标，投标人须使用数字认证证书（CA锁）对电子投标文件进行签章、加密、递交及开标时</w:t>
            </w:r>
            <w:r>
              <w:rPr>
                <w:rFonts w:hint="eastAsia" w:ascii="黑体" w:hAnsi="黑体" w:eastAsia="黑体" w:cs="黑体"/>
                <w:b/>
                <w:bCs/>
                <w:snapToGrid w:val="0"/>
                <w:color w:val="auto"/>
                <w:sz w:val="24"/>
                <w:szCs w:val="24"/>
                <w:highlight w:val="none"/>
                <w:lang w:eastAsia="zh-CN"/>
              </w:rPr>
              <w:t>签到、</w:t>
            </w:r>
            <w:r>
              <w:rPr>
                <w:rFonts w:hint="eastAsia" w:ascii="黑体" w:hAnsi="黑体" w:eastAsia="黑体" w:cs="黑体"/>
                <w:b/>
                <w:bCs/>
                <w:snapToGrid w:val="0"/>
                <w:color w:val="auto"/>
                <w:sz w:val="24"/>
                <w:szCs w:val="24"/>
                <w:highlight w:val="none"/>
              </w:rPr>
              <w:t>解密等相关招投标事宜。开标时投标人须携带数字认证证书（CA锁及CA主锁），如因投标人自身原因未</w:t>
            </w:r>
            <w:r>
              <w:rPr>
                <w:rFonts w:hint="eastAsia" w:ascii="黑体" w:hAnsi="黑体" w:eastAsia="黑体" w:cs="黑体"/>
                <w:b/>
                <w:bCs/>
                <w:snapToGrid w:val="0"/>
                <w:color w:val="auto"/>
                <w:sz w:val="24"/>
                <w:szCs w:val="24"/>
                <w:highlight w:val="none"/>
                <w:lang w:eastAsia="zh-CN"/>
              </w:rPr>
              <w:t>正确使用</w:t>
            </w:r>
            <w:r>
              <w:rPr>
                <w:rFonts w:hint="eastAsia" w:ascii="黑体" w:hAnsi="黑体" w:eastAsia="黑体" w:cs="黑体"/>
                <w:b/>
                <w:bCs/>
                <w:snapToGrid w:val="0"/>
                <w:color w:val="auto"/>
                <w:sz w:val="24"/>
                <w:szCs w:val="24"/>
                <w:highlight w:val="none"/>
              </w:rPr>
              <w:t>数字认证证书（CA锁和CA主锁）造成无法解密投标文件，按无效投标对待。</w:t>
            </w:r>
          </w:p>
          <w:p w14:paraId="3BA3D560">
            <w:pPr>
              <w:spacing w:line="360" w:lineRule="auto"/>
              <w:ind w:firstLine="482" w:firstLineChars="200"/>
              <w:jc w:val="left"/>
              <w:rPr>
                <w:rFonts w:hint="eastAsia" w:ascii="黑体" w:hAnsi="黑体" w:eastAsia="黑体" w:cs="黑体"/>
                <w:b/>
                <w:bCs/>
                <w:snapToGrid w:val="0"/>
                <w:color w:val="auto"/>
                <w:sz w:val="24"/>
                <w:szCs w:val="24"/>
                <w:highlight w:val="none"/>
              </w:rPr>
            </w:pPr>
            <w:r>
              <w:rPr>
                <w:rFonts w:hint="eastAsia" w:ascii="黑体" w:hAnsi="黑体" w:eastAsia="黑体" w:cs="黑体"/>
                <w:b/>
                <w:bCs/>
                <w:snapToGrid w:val="0"/>
                <w:color w:val="auto"/>
                <w:sz w:val="24"/>
                <w:szCs w:val="24"/>
                <w:highlight w:val="none"/>
                <w:lang w:val="en-US" w:eastAsia="zh-CN"/>
              </w:rPr>
              <w:t>2</w:t>
            </w:r>
            <w:r>
              <w:rPr>
                <w:rFonts w:hint="eastAsia" w:ascii="黑体" w:hAnsi="黑体" w:eastAsia="黑体" w:cs="黑体"/>
                <w:b/>
                <w:bCs/>
                <w:snapToGrid w:val="0"/>
                <w:color w:val="auto"/>
                <w:sz w:val="24"/>
                <w:szCs w:val="24"/>
                <w:highlight w:val="none"/>
              </w:rPr>
              <w:t>、制作电子投标文件</w:t>
            </w:r>
          </w:p>
          <w:p w14:paraId="4B1BE82F">
            <w:pPr>
              <w:spacing w:line="360" w:lineRule="auto"/>
              <w:ind w:firstLine="482" w:firstLineChars="200"/>
              <w:jc w:val="left"/>
              <w:rPr>
                <w:rFonts w:hint="eastAsia" w:ascii="黑体" w:hAnsi="黑体" w:eastAsia="黑体" w:cs="黑体"/>
                <w:b/>
                <w:bCs/>
                <w:snapToGrid w:val="0"/>
                <w:color w:val="auto"/>
                <w:sz w:val="24"/>
                <w:szCs w:val="24"/>
                <w:highlight w:val="none"/>
              </w:rPr>
            </w:pPr>
            <w:r>
              <w:rPr>
                <w:rFonts w:hint="eastAsia" w:ascii="黑体" w:hAnsi="黑体" w:eastAsia="黑体" w:cs="黑体"/>
                <w:b/>
                <w:bCs/>
                <w:snapToGrid w:val="0"/>
                <w:color w:val="auto"/>
                <w:sz w:val="24"/>
                <w:szCs w:val="24"/>
                <w:highlight w:val="none"/>
              </w:rPr>
              <w:t>电子招标文件需要使用专用软件打开、浏览</w:t>
            </w:r>
            <w:r>
              <w:rPr>
                <w:rFonts w:hint="eastAsia" w:ascii="黑体" w:hAnsi="黑体" w:eastAsia="黑体" w:cs="黑体"/>
                <w:b/>
                <w:bCs/>
                <w:snapToGrid w:val="0"/>
                <w:color w:val="auto"/>
                <w:sz w:val="24"/>
                <w:szCs w:val="24"/>
                <w:highlight w:val="none"/>
                <w:lang w:eastAsia="zh-CN"/>
              </w:rPr>
              <w:t>，</w:t>
            </w:r>
            <w:r>
              <w:rPr>
                <w:rFonts w:hint="eastAsia" w:ascii="黑体" w:hAnsi="黑体" w:eastAsia="黑体" w:cs="黑体"/>
                <w:b/>
                <w:bCs/>
                <w:snapToGrid w:val="0"/>
                <w:color w:val="auto"/>
                <w:sz w:val="24"/>
                <w:szCs w:val="24"/>
                <w:highlight w:val="none"/>
              </w:rPr>
              <w:t>供应商登录全国公共资源交易平台（陕西省）网站[服务指南-下载专区]免费下载《陕西省公共资源交易平台政府采购电子标书制作工具》，并升级至最新版本，使用该客户端可以打开电子招标文件。软件操作手册详见全国公共资源交易平台（陕西省）网站[服务指南-下载专区]中的《陕西省公共资源交易（政府采购类）投标文件制作软件操作手册》；制作工具下载地址：</w:t>
            </w:r>
            <w:r>
              <w:rPr>
                <w:rFonts w:hint="eastAsia" w:ascii="黑体" w:hAnsi="黑体" w:eastAsia="黑体" w:cs="黑体"/>
                <w:b/>
                <w:bCs/>
                <w:snapToGrid w:val="0"/>
                <w:color w:val="auto"/>
                <w:sz w:val="24"/>
                <w:szCs w:val="24"/>
                <w:highlight w:val="none"/>
                <w:lang w:eastAsia="zh-CN"/>
              </w:rPr>
              <w:t>（</w:t>
            </w:r>
            <w:r>
              <w:rPr>
                <w:rFonts w:hint="eastAsia" w:ascii="黑体" w:hAnsi="黑体" w:eastAsia="黑体" w:cs="黑体"/>
                <w:b/>
                <w:bCs/>
                <w:snapToGrid w:val="0"/>
                <w:color w:val="auto"/>
                <w:sz w:val="24"/>
                <w:szCs w:val="24"/>
                <w:highlight w:val="none"/>
              </w:rPr>
              <w:t>https://download.bqpoint.com/download/downloaddetail.html?SourceFrom=Ztb&amp;ZtbSoftXiaQuCode=1805&amp;ZtbSoftType=tballinclusive</w:t>
            </w:r>
            <w:r>
              <w:rPr>
                <w:rFonts w:hint="eastAsia" w:ascii="黑体" w:hAnsi="黑体" w:eastAsia="黑体" w:cs="黑体"/>
                <w:b/>
                <w:bCs/>
                <w:snapToGrid w:val="0"/>
                <w:color w:val="auto"/>
                <w:sz w:val="24"/>
                <w:szCs w:val="24"/>
                <w:highlight w:val="none"/>
                <w:lang w:eastAsia="zh-CN"/>
              </w:rPr>
              <w:t>）</w:t>
            </w:r>
          </w:p>
          <w:p w14:paraId="1A18BE17">
            <w:pPr>
              <w:spacing w:line="360" w:lineRule="auto"/>
              <w:ind w:firstLine="482" w:firstLineChars="200"/>
              <w:jc w:val="left"/>
              <w:rPr>
                <w:rFonts w:hint="eastAsia" w:ascii="黑体" w:hAnsi="黑体" w:eastAsia="黑体" w:cs="黑体"/>
                <w:b/>
                <w:bCs/>
                <w:snapToGrid w:val="0"/>
                <w:color w:val="auto"/>
                <w:sz w:val="24"/>
                <w:szCs w:val="24"/>
                <w:highlight w:val="none"/>
              </w:rPr>
            </w:pPr>
            <w:r>
              <w:rPr>
                <w:rFonts w:hint="eastAsia" w:ascii="黑体" w:hAnsi="黑体" w:eastAsia="黑体" w:cs="黑体"/>
                <w:b/>
                <w:bCs/>
                <w:snapToGrid w:val="0"/>
                <w:color w:val="auto"/>
                <w:sz w:val="24"/>
                <w:szCs w:val="24"/>
                <w:highlight w:val="none"/>
                <w:lang w:val="en-US" w:eastAsia="zh-CN"/>
              </w:rPr>
              <w:t>3</w:t>
            </w:r>
            <w:r>
              <w:rPr>
                <w:rFonts w:hint="eastAsia" w:ascii="黑体" w:hAnsi="黑体" w:eastAsia="黑体" w:cs="黑体"/>
                <w:b/>
                <w:bCs/>
                <w:snapToGrid w:val="0"/>
                <w:color w:val="auto"/>
                <w:sz w:val="24"/>
                <w:szCs w:val="24"/>
                <w:highlight w:val="none"/>
              </w:rPr>
              <w:t>、递交电子投标文件</w:t>
            </w:r>
          </w:p>
          <w:p w14:paraId="7A46E557">
            <w:pPr>
              <w:spacing w:line="360" w:lineRule="auto"/>
              <w:ind w:firstLine="482" w:firstLineChars="200"/>
              <w:jc w:val="left"/>
              <w:rPr>
                <w:rFonts w:hint="eastAsia" w:ascii="黑体" w:hAnsi="黑体" w:eastAsia="黑体" w:cs="黑体"/>
                <w:b/>
                <w:bCs/>
                <w:snapToGrid w:val="0"/>
                <w:color w:val="auto"/>
                <w:sz w:val="24"/>
                <w:szCs w:val="24"/>
                <w:highlight w:val="none"/>
              </w:rPr>
            </w:pPr>
            <w:r>
              <w:rPr>
                <w:rFonts w:hint="eastAsia" w:ascii="黑体" w:hAnsi="黑体" w:eastAsia="黑体" w:cs="黑体"/>
                <w:b/>
                <w:bCs/>
                <w:snapToGrid w:val="0"/>
                <w:color w:val="auto"/>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电子化平台将予以记录。</w:t>
            </w:r>
          </w:p>
          <w:p w14:paraId="607F2705">
            <w:pPr>
              <w:pStyle w:val="5"/>
              <w:ind w:firstLine="482" w:firstLineChars="200"/>
              <w:jc w:val="left"/>
              <w:rPr>
                <w:rFonts w:hint="eastAsia" w:ascii="黑体" w:hAnsi="黑体" w:eastAsia="黑体" w:cs="黑体"/>
                <w:color w:val="auto"/>
                <w:sz w:val="24"/>
                <w:szCs w:val="24"/>
                <w:highlight w:val="none"/>
                <w:lang w:eastAsia="zh-CN"/>
              </w:rPr>
            </w:pPr>
            <w:r>
              <w:rPr>
                <w:rFonts w:hint="eastAsia" w:ascii="黑体" w:hAnsi="黑体" w:eastAsia="黑体" w:cs="黑体"/>
                <w:b/>
                <w:bCs/>
                <w:snapToGrid w:val="0"/>
                <w:color w:val="auto"/>
                <w:kern w:val="2"/>
                <w:sz w:val="24"/>
                <w:szCs w:val="24"/>
                <w:highlight w:val="none"/>
                <w:lang w:val="en-US" w:eastAsia="zh-CN" w:bidi="ar-SA"/>
              </w:rPr>
              <w:t xml:space="preserve">4、评审过程中，磋商小组要求供应商提交多轮（最后）磋商报价时，供应商须登录全国公共资源交易平台（陕西省）在交易系统中提交多轮（最后）报价，并用数字认证证书（CA 锁）签章。 </w:t>
            </w:r>
          </w:p>
        </w:tc>
      </w:tr>
    </w:tbl>
    <w:p w14:paraId="6FB64182">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3DBE7FB7">
      <w:pPr>
        <w:pStyle w:val="84"/>
        <w:spacing w:before="24" w:after="24"/>
        <w:jc w:val="center"/>
        <w:rPr>
          <w:rFonts w:hint="eastAsia" w:ascii="黑体" w:hAnsi="黑体" w:eastAsia="黑体" w:cs="黑体"/>
          <w:color w:val="auto"/>
          <w:sz w:val="28"/>
          <w:szCs w:val="28"/>
          <w:highlight w:val="none"/>
        </w:rPr>
      </w:pPr>
      <w:bookmarkStart w:id="86" w:name="_Toc18628"/>
      <w:r>
        <w:rPr>
          <w:rFonts w:hint="eastAsia" w:ascii="黑体" w:hAnsi="黑体" w:eastAsia="黑体" w:cs="黑体"/>
          <w:color w:val="auto"/>
          <w:sz w:val="28"/>
          <w:szCs w:val="28"/>
          <w:highlight w:val="none"/>
        </w:rPr>
        <w:t>（二）供应商须知</w:t>
      </w:r>
      <w:bookmarkEnd w:id="86"/>
    </w:p>
    <w:p w14:paraId="138680E7">
      <w:pPr>
        <w:pStyle w:val="84"/>
        <w:spacing w:before="24" w:after="24"/>
        <w:jc w:val="center"/>
        <w:rPr>
          <w:rFonts w:hint="eastAsia" w:ascii="黑体" w:hAnsi="黑体" w:eastAsia="黑体" w:cs="黑体"/>
          <w:color w:val="auto"/>
          <w:sz w:val="28"/>
          <w:szCs w:val="28"/>
          <w:highlight w:val="none"/>
        </w:rPr>
      </w:pPr>
      <w:bookmarkStart w:id="87" w:name="_Toc29726"/>
      <w:r>
        <w:rPr>
          <w:rFonts w:hint="eastAsia" w:ascii="黑体" w:hAnsi="黑体" w:eastAsia="黑体" w:cs="黑体"/>
          <w:color w:val="auto"/>
          <w:sz w:val="28"/>
          <w:szCs w:val="28"/>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0D0875F2">
      <w:pPr>
        <w:rPr>
          <w:rFonts w:hint="eastAsia" w:ascii="黑体" w:hAnsi="黑体" w:eastAsia="黑体" w:cs="黑体"/>
          <w:color w:val="auto"/>
          <w:sz w:val="20"/>
          <w:szCs w:val="22"/>
          <w:highlight w:val="none"/>
        </w:rPr>
      </w:pPr>
    </w:p>
    <w:p w14:paraId="0CE262BE">
      <w:pPr>
        <w:pStyle w:val="6"/>
        <w:rPr>
          <w:rFonts w:hint="eastAsia" w:ascii="黑体" w:hAnsi="黑体" w:eastAsia="黑体" w:cs="黑体"/>
          <w:b/>
          <w:color w:val="auto"/>
          <w:sz w:val="24"/>
          <w:szCs w:val="24"/>
          <w:highlight w:val="none"/>
        </w:rPr>
      </w:pPr>
      <w:bookmarkStart w:id="88" w:name="_Hlt14560612"/>
      <w:bookmarkEnd w:id="88"/>
      <w:bookmarkStart w:id="89" w:name="_Toc249525161"/>
      <w:bookmarkStart w:id="90" w:name="_Toc25504"/>
      <w:bookmarkStart w:id="91" w:name="_Toc184043014"/>
      <w:bookmarkStart w:id="92" w:name="_Toc249515392"/>
      <w:bookmarkStart w:id="93" w:name="_Toc249515280"/>
      <w:r>
        <w:rPr>
          <w:rFonts w:hint="eastAsia" w:ascii="黑体" w:hAnsi="黑体" w:eastAsia="黑体" w:cs="黑体"/>
          <w:b/>
          <w:color w:val="auto"/>
          <w:sz w:val="24"/>
          <w:szCs w:val="24"/>
          <w:highlight w:val="none"/>
        </w:rPr>
        <w:t>1.     项目说明</w:t>
      </w:r>
      <w:bookmarkEnd w:id="89"/>
      <w:bookmarkEnd w:id="90"/>
      <w:bookmarkEnd w:id="91"/>
      <w:bookmarkEnd w:id="92"/>
      <w:bookmarkEnd w:id="93"/>
    </w:p>
    <w:p w14:paraId="5A534CB6">
      <w:pPr>
        <w:pStyle w:val="71"/>
        <w:widowControl w:val="0"/>
        <w:tabs>
          <w:tab w:val="left" w:pos="588"/>
        </w:tabs>
        <w:spacing w:before="0" w:beforeAutospacing="0" w:after="0" w:afterAutospacing="0"/>
        <w:textAlignment w:val="auto"/>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1.1    项目说明：</w:t>
      </w:r>
      <w:r>
        <w:rPr>
          <w:rFonts w:hint="eastAsia" w:ascii="黑体" w:hAnsi="黑体" w:eastAsia="黑体" w:cs="黑体"/>
          <w:b/>
          <w:color w:val="auto"/>
          <w:kern w:val="24"/>
          <w:sz w:val="24"/>
          <w:szCs w:val="24"/>
          <w:highlight w:val="none"/>
        </w:rPr>
        <w:t>见供应商须知前附表</w:t>
      </w:r>
      <w:r>
        <w:rPr>
          <w:rFonts w:hint="eastAsia" w:ascii="黑体" w:hAnsi="黑体" w:eastAsia="黑体" w:cs="黑体"/>
          <w:color w:val="auto"/>
          <w:kern w:val="24"/>
          <w:sz w:val="24"/>
          <w:szCs w:val="24"/>
          <w:highlight w:val="none"/>
        </w:rPr>
        <w:t>。</w:t>
      </w:r>
    </w:p>
    <w:p w14:paraId="4D3B2B1C">
      <w:pPr>
        <w:pStyle w:val="6"/>
        <w:rPr>
          <w:rFonts w:hint="eastAsia" w:ascii="黑体" w:hAnsi="黑体" w:eastAsia="黑体" w:cs="黑体"/>
          <w:b/>
          <w:color w:val="auto"/>
          <w:sz w:val="24"/>
          <w:szCs w:val="24"/>
          <w:highlight w:val="none"/>
        </w:rPr>
      </w:pPr>
      <w:bookmarkStart w:id="94" w:name="_Toc31509"/>
      <w:bookmarkStart w:id="95" w:name="_Toc249525162"/>
      <w:bookmarkStart w:id="96" w:name="_Toc249515281"/>
      <w:bookmarkStart w:id="97" w:name="_Toc70687142"/>
      <w:bookmarkStart w:id="98" w:name="_Toc184043015"/>
      <w:bookmarkStart w:id="99" w:name="_Toc249515393"/>
      <w:r>
        <w:rPr>
          <w:rFonts w:hint="eastAsia" w:ascii="黑体" w:hAnsi="黑体" w:eastAsia="黑体" w:cs="黑体"/>
          <w:b/>
          <w:color w:val="auto"/>
          <w:sz w:val="24"/>
          <w:szCs w:val="24"/>
          <w:highlight w:val="none"/>
        </w:rPr>
        <w:t>2.     定义</w:t>
      </w:r>
      <w:bookmarkEnd w:id="94"/>
      <w:bookmarkEnd w:id="95"/>
      <w:bookmarkEnd w:id="96"/>
      <w:bookmarkEnd w:id="97"/>
      <w:bookmarkEnd w:id="98"/>
      <w:bookmarkEnd w:id="99"/>
    </w:p>
    <w:p w14:paraId="77734B2D">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    采购人：</w:t>
      </w:r>
      <w:r>
        <w:rPr>
          <w:rFonts w:hint="eastAsia" w:ascii="黑体" w:hAnsi="黑体" w:eastAsia="黑体" w:cs="黑体"/>
          <w:b/>
          <w:color w:val="auto"/>
          <w:sz w:val="24"/>
          <w:szCs w:val="24"/>
          <w:highlight w:val="none"/>
          <w:lang w:eastAsia="zh-CN"/>
        </w:rPr>
        <w:t>汉阴县城关镇中心卫生院</w:t>
      </w:r>
    </w:p>
    <w:p w14:paraId="53B353BD">
      <w:pPr>
        <w:pStyle w:val="23"/>
        <w:ind w:left="980" w:hanging="840" w:hangingChars="350"/>
        <w:rPr>
          <w:rFonts w:hint="eastAsia" w:ascii="黑体" w:hAnsi="黑体" w:eastAsia="黑体" w:cs="黑体"/>
          <w:b/>
          <w:color w:val="auto"/>
          <w:kern w:val="24"/>
          <w:sz w:val="24"/>
          <w:szCs w:val="24"/>
          <w:highlight w:val="none"/>
          <w:lang w:eastAsia="zh-CN"/>
        </w:rPr>
      </w:pPr>
      <w:r>
        <w:rPr>
          <w:rFonts w:hint="eastAsia" w:ascii="黑体" w:hAnsi="黑体" w:eastAsia="黑体" w:cs="黑体"/>
          <w:color w:val="auto"/>
          <w:kern w:val="24"/>
          <w:sz w:val="24"/>
          <w:szCs w:val="24"/>
          <w:highlight w:val="none"/>
        </w:rPr>
        <w:t>2.2    采购代理机构：</w:t>
      </w:r>
      <w:r>
        <w:rPr>
          <w:rFonts w:hint="eastAsia" w:ascii="黑体" w:hAnsi="黑体" w:eastAsia="黑体" w:cs="黑体"/>
          <w:b/>
          <w:color w:val="auto"/>
          <w:kern w:val="24"/>
          <w:sz w:val="24"/>
          <w:szCs w:val="24"/>
          <w:highlight w:val="none"/>
          <w:lang w:eastAsia="zh-CN"/>
        </w:rPr>
        <w:t>陕西春秋工程造价事务所有限公司</w:t>
      </w:r>
    </w:p>
    <w:p w14:paraId="6B70A2F6">
      <w:pPr>
        <w:pStyle w:val="23"/>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    供应商：指响应磋商文件要求、参加竞争性磋商采购的法人、其他组织或者自然人。本次政府采购项目邀请供应商方式见</w:t>
      </w:r>
      <w:r>
        <w:rPr>
          <w:rFonts w:hint="eastAsia" w:ascii="黑体" w:hAnsi="黑体" w:eastAsia="黑体" w:cs="黑体"/>
          <w:b/>
          <w:color w:val="auto"/>
          <w:sz w:val="24"/>
          <w:szCs w:val="24"/>
          <w:highlight w:val="none"/>
        </w:rPr>
        <w:t>供应商须知前附表。</w:t>
      </w:r>
    </w:p>
    <w:p w14:paraId="06DD727A">
      <w:pPr>
        <w:pStyle w:val="23"/>
        <w:tabs>
          <w:tab w:val="left" w:pos="360"/>
        </w:tabs>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    磋商小组：指依据《中华人民共和国政府采购法》和财政部《政府采购竞争性磋商采购方式管理暂行办法》有关规定组建，依法依规履行其职责和义务的机构。</w:t>
      </w:r>
    </w:p>
    <w:p w14:paraId="7FAFE55A">
      <w:pPr>
        <w:pStyle w:val="6"/>
        <w:rPr>
          <w:rFonts w:hint="eastAsia" w:ascii="黑体" w:hAnsi="黑体" w:eastAsia="黑体" w:cs="黑体"/>
          <w:b/>
          <w:color w:val="auto"/>
          <w:sz w:val="24"/>
          <w:szCs w:val="24"/>
          <w:highlight w:val="none"/>
        </w:rPr>
      </w:pPr>
      <w:bookmarkStart w:id="100" w:name="_Toc184043016"/>
      <w:bookmarkStart w:id="101" w:name="_Toc385992329"/>
      <w:bookmarkStart w:id="102" w:name="_Toc249515282"/>
      <w:bookmarkStart w:id="103" w:name="_Toc249525163"/>
      <w:bookmarkStart w:id="104" w:name="_Toc389620168"/>
      <w:bookmarkStart w:id="105" w:name="_Toc23705"/>
      <w:bookmarkStart w:id="106" w:name="_Toc249515394"/>
      <w:bookmarkStart w:id="107" w:name="_Toc70687143"/>
      <w:r>
        <w:rPr>
          <w:rFonts w:hint="eastAsia" w:ascii="黑体" w:hAnsi="黑体" w:eastAsia="黑体" w:cs="黑体"/>
          <w:b/>
          <w:color w:val="auto"/>
          <w:sz w:val="24"/>
          <w:szCs w:val="24"/>
          <w:highlight w:val="none"/>
        </w:rPr>
        <w:t>3.     合格的供应商</w:t>
      </w:r>
      <w:bookmarkEnd w:id="100"/>
      <w:bookmarkEnd w:id="101"/>
      <w:bookmarkEnd w:id="102"/>
      <w:bookmarkEnd w:id="103"/>
      <w:bookmarkEnd w:id="104"/>
      <w:bookmarkEnd w:id="105"/>
      <w:bookmarkEnd w:id="106"/>
      <w:bookmarkEnd w:id="107"/>
    </w:p>
    <w:p w14:paraId="387D33BB">
      <w:pPr>
        <w:tabs>
          <w:tab w:val="left" w:pos="588"/>
        </w:tabs>
        <w:spacing w:line="360" w:lineRule="auto"/>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3.1    供应商基本资质要求详见</w:t>
      </w:r>
      <w:r>
        <w:rPr>
          <w:rFonts w:hint="eastAsia" w:ascii="黑体" w:hAnsi="黑体" w:eastAsia="黑体" w:cs="黑体"/>
          <w:b/>
          <w:color w:val="auto"/>
          <w:kern w:val="24"/>
          <w:sz w:val="24"/>
          <w:szCs w:val="24"/>
          <w:highlight w:val="none"/>
        </w:rPr>
        <w:t>供应商须知前附表</w:t>
      </w:r>
      <w:r>
        <w:rPr>
          <w:rFonts w:hint="eastAsia" w:ascii="黑体" w:hAnsi="黑体" w:eastAsia="黑体" w:cs="黑体"/>
          <w:color w:val="auto"/>
          <w:kern w:val="24"/>
          <w:sz w:val="24"/>
          <w:szCs w:val="24"/>
          <w:highlight w:val="none"/>
        </w:rPr>
        <w:t>。</w:t>
      </w:r>
    </w:p>
    <w:p w14:paraId="0AE28D7C">
      <w:pPr>
        <w:keepNext w:val="0"/>
        <w:keepLines w:val="0"/>
        <w:pageBreakBefore w:val="0"/>
        <w:widowControl w:val="0"/>
        <w:tabs>
          <w:tab w:val="left" w:pos="588"/>
        </w:tabs>
        <w:kinsoku/>
        <w:wordWrap/>
        <w:overflowPunct/>
        <w:topLinePunct w:val="0"/>
        <w:autoSpaceDE/>
        <w:autoSpaceDN/>
        <w:bidi w:val="0"/>
        <w:adjustRightInd/>
        <w:snapToGrid/>
        <w:spacing w:line="360" w:lineRule="auto"/>
        <w:ind w:left="980" w:hanging="840" w:hangingChars="350"/>
        <w:textAlignment w:val="auto"/>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3.</w:t>
      </w:r>
      <w:r>
        <w:rPr>
          <w:rFonts w:hint="eastAsia" w:ascii="黑体" w:hAnsi="黑体" w:eastAsia="黑体" w:cs="黑体"/>
          <w:color w:val="auto"/>
          <w:kern w:val="24"/>
          <w:sz w:val="24"/>
          <w:szCs w:val="24"/>
          <w:highlight w:val="none"/>
          <w:lang w:val="en-US" w:eastAsia="zh-CN"/>
        </w:rPr>
        <w:t xml:space="preserve">2    </w:t>
      </w:r>
      <w:r>
        <w:rPr>
          <w:rFonts w:hint="eastAsia" w:ascii="黑体" w:hAnsi="黑体" w:eastAsia="黑体" w:cs="黑体"/>
          <w:color w:val="auto"/>
          <w:kern w:val="24"/>
          <w:sz w:val="24"/>
          <w:szCs w:val="24"/>
          <w:highlight w:val="none"/>
        </w:rPr>
        <w:t>供应商应遵守《中华人民共和国政府采购法》及其它有关的中国法律和法规。</w:t>
      </w:r>
    </w:p>
    <w:p w14:paraId="7667D6C5">
      <w:pPr>
        <w:pStyle w:val="6"/>
        <w:rPr>
          <w:rFonts w:hint="eastAsia" w:ascii="黑体" w:hAnsi="黑体" w:eastAsia="黑体" w:cs="黑体"/>
          <w:b/>
          <w:color w:val="auto"/>
          <w:sz w:val="24"/>
          <w:szCs w:val="24"/>
          <w:highlight w:val="none"/>
        </w:rPr>
      </w:pPr>
      <w:bookmarkStart w:id="108" w:name="_Toc385992330"/>
      <w:bookmarkStart w:id="109" w:name="_Toc249515395"/>
      <w:bookmarkStart w:id="110" w:name="_Toc26580"/>
      <w:bookmarkStart w:id="111" w:name="_Toc389620169"/>
      <w:bookmarkStart w:id="112" w:name="_Toc184043017"/>
      <w:bookmarkStart w:id="113" w:name="_Toc70687144"/>
      <w:bookmarkStart w:id="114" w:name="_Toc249515283"/>
      <w:bookmarkStart w:id="115" w:name="_Toc249525164"/>
      <w:r>
        <w:rPr>
          <w:rFonts w:hint="eastAsia" w:ascii="黑体" w:hAnsi="黑体" w:eastAsia="黑体" w:cs="黑体"/>
          <w:b/>
          <w:color w:val="auto"/>
          <w:sz w:val="24"/>
          <w:szCs w:val="24"/>
          <w:highlight w:val="none"/>
        </w:rPr>
        <w:t>4.     磋商费用</w:t>
      </w:r>
      <w:bookmarkEnd w:id="108"/>
      <w:bookmarkEnd w:id="109"/>
      <w:bookmarkEnd w:id="110"/>
      <w:bookmarkEnd w:id="111"/>
      <w:bookmarkEnd w:id="112"/>
      <w:bookmarkEnd w:id="113"/>
      <w:bookmarkEnd w:id="114"/>
      <w:bookmarkEnd w:id="115"/>
    </w:p>
    <w:p w14:paraId="19FC966B">
      <w:pPr>
        <w:tabs>
          <w:tab w:val="left" w:pos="588"/>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4.1    供应商应承担所有与编写和提交响应文件有关的费用，无论磋商过程和结果如何，采购人在任何情况下均无义务和责任承担这些费用。</w:t>
      </w:r>
    </w:p>
    <w:p w14:paraId="3F8A2926">
      <w:pPr>
        <w:pStyle w:val="23"/>
        <w:rPr>
          <w:rFonts w:hint="eastAsia" w:ascii="黑体" w:hAnsi="黑体" w:eastAsia="黑体" w:cs="黑体"/>
          <w:color w:val="auto"/>
          <w:sz w:val="24"/>
          <w:szCs w:val="24"/>
          <w:highlight w:val="none"/>
        </w:rPr>
      </w:pPr>
    </w:p>
    <w:p w14:paraId="56C35101">
      <w:pPr>
        <w:pStyle w:val="84"/>
        <w:spacing w:before="24" w:after="24"/>
        <w:ind w:left="3313"/>
        <w:rPr>
          <w:rFonts w:hint="eastAsia" w:ascii="黑体" w:hAnsi="黑体" w:eastAsia="黑体" w:cs="黑体"/>
          <w:color w:val="auto"/>
          <w:sz w:val="24"/>
          <w:szCs w:val="24"/>
          <w:highlight w:val="none"/>
        </w:rPr>
      </w:pPr>
      <w:bookmarkStart w:id="116" w:name="_Toc19150"/>
      <w:r>
        <w:rPr>
          <w:rFonts w:hint="eastAsia" w:ascii="黑体" w:hAnsi="黑体" w:eastAsia="黑体" w:cs="黑体"/>
          <w:color w:val="auto"/>
          <w:sz w:val="24"/>
          <w:szCs w:val="24"/>
          <w:highlight w:val="none"/>
        </w:rPr>
        <w:t>二、磋商文件说明</w:t>
      </w:r>
      <w:bookmarkEnd w:id="116"/>
    </w:p>
    <w:p w14:paraId="506B91F4">
      <w:pPr>
        <w:rPr>
          <w:rFonts w:hint="eastAsia" w:ascii="黑体" w:hAnsi="黑体" w:eastAsia="黑体" w:cs="黑体"/>
          <w:color w:val="auto"/>
          <w:sz w:val="24"/>
          <w:szCs w:val="24"/>
          <w:highlight w:val="none"/>
        </w:rPr>
      </w:pPr>
    </w:p>
    <w:p w14:paraId="3587482C">
      <w:pPr>
        <w:pStyle w:val="6"/>
        <w:numPr>
          <w:ilvl w:val="0"/>
          <w:numId w:val="7"/>
        </w:numPr>
        <w:rPr>
          <w:rFonts w:hint="eastAsia" w:ascii="黑体" w:hAnsi="黑体" w:eastAsia="黑体" w:cs="黑体"/>
          <w:b/>
          <w:color w:val="auto"/>
          <w:sz w:val="24"/>
          <w:szCs w:val="24"/>
          <w:highlight w:val="none"/>
        </w:rPr>
      </w:pPr>
      <w:bookmarkStart w:id="117" w:name="_Toc128"/>
      <w:bookmarkStart w:id="118" w:name="_Toc249525166"/>
      <w:bookmarkStart w:id="119" w:name="_Toc389620171"/>
      <w:bookmarkStart w:id="120" w:name="_Toc184043019"/>
      <w:bookmarkStart w:id="121" w:name="_Toc70687146"/>
      <w:bookmarkStart w:id="122" w:name="_Toc249515397"/>
      <w:bookmarkStart w:id="123" w:name="_Toc385992332"/>
      <w:bookmarkStart w:id="124" w:name="_Toc249515285"/>
      <w:r>
        <w:rPr>
          <w:rFonts w:hint="eastAsia" w:ascii="黑体" w:hAnsi="黑体" w:eastAsia="黑体" w:cs="黑体"/>
          <w:b/>
          <w:color w:val="auto"/>
          <w:sz w:val="24"/>
          <w:szCs w:val="24"/>
          <w:highlight w:val="none"/>
        </w:rPr>
        <w:t xml:space="preserve">    通知</w:t>
      </w:r>
      <w:bookmarkEnd w:id="117"/>
    </w:p>
    <w:p w14:paraId="781BEF7B">
      <w:pPr>
        <w:tabs>
          <w:tab w:val="left" w:pos="588"/>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5.1    对与本项目有关的通知，采购人或采购代理机构将以书面（包括书面材料、信函、传真、电子邮件等，下同）的形式，送达所有与通知有关的</w:t>
      </w:r>
      <w:r>
        <w:rPr>
          <w:rFonts w:hint="eastAsia" w:ascii="黑体" w:hAnsi="黑体" w:eastAsia="黑体" w:cs="黑体"/>
          <w:color w:val="auto"/>
          <w:kern w:val="24"/>
          <w:sz w:val="24"/>
          <w:szCs w:val="24"/>
          <w:highlight w:val="none"/>
          <w:lang w:val="en-US" w:eastAsia="zh-CN"/>
        </w:rPr>
        <w:t>获取</w:t>
      </w:r>
      <w:r>
        <w:rPr>
          <w:rFonts w:hint="eastAsia" w:ascii="黑体" w:hAnsi="黑体" w:eastAsia="黑体" w:cs="黑体"/>
          <w:color w:val="auto"/>
          <w:kern w:val="24"/>
          <w:sz w:val="24"/>
          <w:szCs w:val="24"/>
          <w:highlight w:val="none"/>
        </w:rPr>
        <w:t>了磋商文件的供应商（潜在供应商）。</w:t>
      </w:r>
    </w:p>
    <w:p w14:paraId="21389261">
      <w:pPr>
        <w:pStyle w:val="6"/>
        <w:rPr>
          <w:rFonts w:hint="eastAsia" w:ascii="黑体" w:hAnsi="黑体" w:eastAsia="黑体" w:cs="黑体"/>
          <w:b/>
          <w:color w:val="auto"/>
          <w:sz w:val="24"/>
          <w:szCs w:val="24"/>
          <w:highlight w:val="none"/>
        </w:rPr>
      </w:pPr>
      <w:bookmarkStart w:id="125" w:name="_Toc27223"/>
      <w:r>
        <w:rPr>
          <w:rFonts w:hint="eastAsia" w:ascii="黑体" w:hAnsi="黑体" w:eastAsia="黑体" w:cs="黑体"/>
          <w:b/>
          <w:color w:val="auto"/>
          <w:sz w:val="24"/>
          <w:szCs w:val="24"/>
          <w:highlight w:val="none"/>
        </w:rPr>
        <w:t>6.     磋商文件的构成</w:t>
      </w:r>
      <w:bookmarkEnd w:id="118"/>
      <w:bookmarkEnd w:id="119"/>
      <w:bookmarkEnd w:id="120"/>
      <w:bookmarkEnd w:id="121"/>
      <w:bookmarkEnd w:id="122"/>
      <w:bookmarkEnd w:id="123"/>
      <w:bookmarkEnd w:id="124"/>
      <w:bookmarkEnd w:id="125"/>
    </w:p>
    <w:p w14:paraId="767F9EE8">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    磋商文件用以阐明供应商所需提供的</w:t>
      </w:r>
      <w:r>
        <w:rPr>
          <w:rFonts w:hint="eastAsia" w:ascii="黑体" w:hAnsi="黑体" w:eastAsia="黑体" w:cs="黑体"/>
          <w:color w:val="auto"/>
          <w:sz w:val="24"/>
          <w:szCs w:val="24"/>
          <w:highlight w:val="none"/>
          <w:lang w:eastAsia="zh-CN"/>
        </w:rPr>
        <w:t>服务</w:t>
      </w:r>
      <w:r>
        <w:rPr>
          <w:rFonts w:hint="eastAsia" w:ascii="黑体" w:hAnsi="黑体" w:eastAsia="黑体" w:cs="黑体"/>
          <w:color w:val="auto"/>
          <w:sz w:val="24"/>
          <w:szCs w:val="24"/>
          <w:highlight w:val="none"/>
        </w:rPr>
        <w:t>以及其它类似的义务、采购响应程序和合同条款。磋商文件包括如下</w:t>
      </w:r>
      <w:r>
        <w:rPr>
          <w:rFonts w:hint="eastAsia" w:ascii="黑体" w:hAnsi="黑体" w:eastAsia="黑体" w:cs="黑体"/>
          <w:color w:val="auto"/>
          <w:sz w:val="24"/>
          <w:szCs w:val="24"/>
          <w:highlight w:val="none"/>
          <w:lang w:val="en-US" w:eastAsia="zh-CN"/>
        </w:rPr>
        <w:t>六</w:t>
      </w:r>
      <w:r>
        <w:rPr>
          <w:rFonts w:hint="eastAsia" w:ascii="黑体" w:hAnsi="黑体" w:eastAsia="黑体" w:cs="黑体"/>
          <w:color w:val="auto"/>
          <w:sz w:val="24"/>
          <w:szCs w:val="24"/>
          <w:highlight w:val="none"/>
        </w:rPr>
        <w:t>章内容：</w:t>
      </w:r>
    </w:p>
    <w:p w14:paraId="55709B5A">
      <w:pPr>
        <w:pStyle w:val="23"/>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第一章</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磋商公告</w:t>
      </w:r>
    </w:p>
    <w:p w14:paraId="13DE3139">
      <w:pPr>
        <w:pStyle w:val="23"/>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第二章</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供应商须知</w:t>
      </w:r>
    </w:p>
    <w:p w14:paraId="7D10803F">
      <w:pPr>
        <w:pStyle w:val="23"/>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第三章</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评审办法和标准</w:t>
      </w:r>
    </w:p>
    <w:p w14:paraId="676EB61D">
      <w:pPr>
        <w:pStyle w:val="23"/>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第四章</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合同草案条款</w:t>
      </w:r>
    </w:p>
    <w:p w14:paraId="503E7F21">
      <w:pPr>
        <w:pStyle w:val="23"/>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第五章</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采购内容及要求</w:t>
      </w:r>
    </w:p>
    <w:p w14:paraId="377C0980">
      <w:pPr>
        <w:pStyle w:val="23"/>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第六章</w:t>
      </w:r>
      <w:r>
        <w:rPr>
          <w:rFonts w:hint="eastAsia" w:ascii="黑体" w:hAnsi="黑体" w:eastAsia="黑体" w:cs="黑体"/>
          <w:color w:val="auto"/>
          <w:sz w:val="24"/>
          <w:szCs w:val="24"/>
          <w:highlight w:val="none"/>
        </w:rPr>
        <w:tab/>
      </w:r>
      <w:r>
        <w:rPr>
          <w:rFonts w:hint="eastAsia" w:ascii="黑体" w:hAnsi="黑体" w:eastAsia="黑体" w:cs="黑体"/>
          <w:color w:val="auto"/>
          <w:sz w:val="24"/>
          <w:szCs w:val="24"/>
          <w:highlight w:val="none"/>
        </w:rPr>
        <w:t>磋商响应文件格式</w:t>
      </w:r>
    </w:p>
    <w:p w14:paraId="380A9E4B">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71006B21">
      <w:pPr>
        <w:pStyle w:val="6"/>
        <w:rPr>
          <w:rFonts w:hint="eastAsia" w:ascii="黑体" w:hAnsi="黑体" w:eastAsia="黑体" w:cs="黑体"/>
          <w:b/>
          <w:color w:val="auto"/>
          <w:sz w:val="24"/>
          <w:szCs w:val="24"/>
          <w:highlight w:val="none"/>
        </w:rPr>
      </w:pPr>
      <w:bookmarkStart w:id="126" w:name="_Toc249515286"/>
      <w:bookmarkStart w:id="127" w:name="_Toc389620172"/>
      <w:bookmarkStart w:id="128" w:name="_Toc385992333"/>
      <w:bookmarkStart w:id="129" w:name="_Toc70687147"/>
      <w:bookmarkStart w:id="130" w:name="_Toc184043020"/>
      <w:bookmarkStart w:id="131" w:name="_Toc249515398"/>
      <w:bookmarkStart w:id="132" w:name="_Toc249525167"/>
      <w:bookmarkStart w:id="133" w:name="_Toc10350"/>
      <w:r>
        <w:rPr>
          <w:rFonts w:hint="eastAsia" w:ascii="黑体" w:hAnsi="黑体" w:eastAsia="黑体" w:cs="黑体"/>
          <w:b/>
          <w:color w:val="auto"/>
          <w:sz w:val="24"/>
          <w:szCs w:val="24"/>
          <w:highlight w:val="none"/>
        </w:rPr>
        <w:t>7.     磋商文件的澄清</w:t>
      </w:r>
      <w:bookmarkEnd w:id="126"/>
      <w:bookmarkEnd w:id="127"/>
      <w:bookmarkEnd w:id="128"/>
      <w:bookmarkEnd w:id="129"/>
      <w:bookmarkEnd w:id="130"/>
      <w:bookmarkEnd w:id="131"/>
      <w:bookmarkEnd w:id="132"/>
      <w:r>
        <w:rPr>
          <w:rFonts w:hint="eastAsia" w:ascii="黑体" w:hAnsi="黑体" w:eastAsia="黑体" w:cs="黑体"/>
          <w:b/>
          <w:color w:val="auto"/>
          <w:sz w:val="24"/>
          <w:szCs w:val="24"/>
          <w:highlight w:val="none"/>
        </w:rPr>
        <w:t>和修改</w:t>
      </w:r>
      <w:bookmarkEnd w:id="133"/>
    </w:p>
    <w:p w14:paraId="23E0E5A3">
      <w:pPr>
        <w:tabs>
          <w:tab w:val="left" w:pos="588"/>
        </w:tabs>
        <w:spacing w:line="360" w:lineRule="auto"/>
        <w:ind w:left="980" w:hanging="840" w:hangingChars="350"/>
        <w:rPr>
          <w:rFonts w:hint="eastAsia" w:ascii="黑体" w:hAnsi="黑体" w:eastAsia="黑体" w:cs="黑体"/>
          <w:color w:val="auto"/>
          <w:sz w:val="24"/>
          <w:szCs w:val="24"/>
          <w:highlight w:val="none"/>
        </w:rPr>
      </w:pPr>
      <w:bookmarkStart w:id="134" w:name="_Toc499711046"/>
      <w:bookmarkStart w:id="135" w:name="_Toc500747065"/>
      <w:bookmarkStart w:id="136" w:name="_Toc500747192"/>
      <w:bookmarkStart w:id="137" w:name="_Toc53722843"/>
      <w:bookmarkStart w:id="138" w:name="_Toc500746969"/>
      <w:bookmarkStart w:id="139" w:name="_Toc496324582"/>
      <w:bookmarkStart w:id="140" w:name="_Toc503063425"/>
      <w:bookmarkStart w:id="141" w:name="_Toc492955418"/>
      <w:bookmarkStart w:id="142" w:name="_Toc389620174"/>
      <w:bookmarkStart w:id="143" w:name="_Toc385992335"/>
      <w:bookmarkStart w:id="144" w:name="_Toc499711887"/>
      <w:bookmarkStart w:id="145" w:name="_Toc70687149"/>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提交首次响应文件截止之日前，采购单位可以对已发出的磋商文件进行必要的澄清或者修改，澄清或者修改的内容作为磋商文件的组成部分。澄清或者修改的内容可能影响响应文件编制的，采购单位在提交首次文件截止时间5日前，以书面形式通知所有获取磋商文件的</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；不足5日的，采购人、采购代理机构应当顺延提交首次响应文件截止时间。</w:t>
      </w:r>
    </w:p>
    <w:p w14:paraId="25B5BDB0">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.2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任何要求对磋商文件进行澄清的</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均应在响应文件递交截止期3日前以书面形式通知采购代理机构，采购代理机构对</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所要求澄清的内容以书面形式予以答复。</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在规定的时间内未要求对磋商文件澄清或提出疑问的，将视其为无异议。对磋商文件中描述有歧义或前后不一致的地方，磋商小组有权进行评判，但对同一条款的评判应适用于每个</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w:t>
      </w:r>
    </w:p>
    <w:p w14:paraId="05BA1B7A">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.3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采购代理机构对磋商文件的修改将以书面形式发给所有磋商文件收受人，该修改书将构成磋商文件的一部分,对</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有约束力。</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在收到通知后应立即以电话、电子邮件或其他书面形式予以确认。</w:t>
      </w:r>
    </w:p>
    <w:p w14:paraId="795203F6">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.4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在磋商过程中，磋商文件如有实质性变动的，磋商小组应当以书面形式通知所有参加磋商的</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w:t>
      </w:r>
    </w:p>
    <w:p w14:paraId="6A4A05E6">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.5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招标采购单位可以视采购具体情况，延长磋商文件提交截止时间和磋商时间，并将变更时间书面通知所有磋商文件收受人。</w:t>
      </w:r>
    </w:p>
    <w:p w14:paraId="639E860B">
      <w:pPr>
        <w:pStyle w:val="84"/>
        <w:spacing w:before="24" w:after="24"/>
        <w:ind w:left="3313"/>
        <w:rPr>
          <w:rFonts w:hint="eastAsia" w:ascii="黑体" w:hAnsi="黑体" w:eastAsia="黑体" w:cs="黑体"/>
          <w:color w:val="auto"/>
          <w:sz w:val="24"/>
          <w:szCs w:val="24"/>
          <w:highlight w:val="none"/>
        </w:rPr>
      </w:pPr>
      <w:bookmarkStart w:id="146" w:name="_Toc256342146"/>
      <w:bookmarkStart w:id="147" w:name="_Toc230583544"/>
      <w:bookmarkStart w:id="148" w:name="_Toc177995476"/>
      <w:bookmarkStart w:id="149" w:name="_Toc22832"/>
      <w:bookmarkStart w:id="150" w:name="_Toc249525169"/>
      <w:bookmarkStart w:id="151" w:name="_Toc249515400"/>
      <w:bookmarkStart w:id="152" w:name="_Toc249515288"/>
      <w:bookmarkStart w:id="153" w:name="_Toc230013635"/>
      <w:bookmarkStart w:id="154" w:name="_Toc177189238"/>
      <w:bookmarkStart w:id="155" w:name="_Toc184043022"/>
      <w:bookmarkStart w:id="156" w:name="_Toc230099800"/>
      <w:bookmarkStart w:id="157" w:name="_Toc176882545"/>
      <w:bookmarkStart w:id="158" w:name="_Toc177817337"/>
      <w:bookmarkStart w:id="159" w:name="_Toc232395215"/>
      <w:bookmarkStart w:id="160" w:name="_Toc232176275"/>
      <w:r>
        <w:rPr>
          <w:rFonts w:hint="eastAsia" w:ascii="黑体" w:hAnsi="黑体" w:eastAsia="黑体" w:cs="黑体"/>
          <w:color w:val="auto"/>
          <w:sz w:val="24"/>
          <w:szCs w:val="24"/>
          <w:highlight w:val="none"/>
        </w:rPr>
        <w:t>三、响应文件的编写</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6AB9634C">
      <w:pPr>
        <w:pStyle w:val="6"/>
        <w:rPr>
          <w:rFonts w:hint="eastAsia" w:ascii="黑体" w:hAnsi="黑体" w:eastAsia="黑体" w:cs="黑体"/>
          <w:b/>
          <w:color w:val="auto"/>
          <w:sz w:val="24"/>
          <w:szCs w:val="24"/>
          <w:highlight w:val="none"/>
        </w:rPr>
      </w:pPr>
      <w:bookmarkStart w:id="161" w:name="_Toc184043023"/>
      <w:bookmarkStart w:id="162" w:name="_Toc249515289"/>
      <w:bookmarkStart w:id="163" w:name="_Toc70687150"/>
      <w:bookmarkStart w:id="164" w:name="_Toc30150"/>
      <w:bookmarkStart w:id="165" w:name="_Toc249515401"/>
      <w:bookmarkStart w:id="166" w:name="_Toc249525170"/>
      <w:bookmarkStart w:id="167" w:name="_Toc385992337"/>
      <w:bookmarkStart w:id="168" w:name="_Toc389620176"/>
      <w:r>
        <w:rPr>
          <w:rFonts w:hint="eastAsia" w:ascii="黑体" w:hAnsi="黑体" w:eastAsia="黑体" w:cs="黑体"/>
          <w:b/>
          <w:color w:val="auto"/>
          <w:sz w:val="24"/>
          <w:szCs w:val="24"/>
          <w:highlight w:val="none"/>
        </w:rPr>
        <w:t>8.     响应文件语言</w:t>
      </w:r>
      <w:bookmarkEnd w:id="161"/>
      <w:bookmarkEnd w:id="162"/>
      <w:bookmarkEnd w:id="163"/>
      <w:bookmarkEnd w:id="164"/>
      <w:bookmarkEnd w:id="165"/>
      <w:bookmarkEnd w:id="166"/>
    </w:p>
    <w:p w14:paraId="1A5B6642">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8.1    响应文件及与响应相关的所有文件均应以中文书写。</w:t>
      </w:r>
    </w:p>
    <w:p w14:paraId="67C26A3C">
      <w:pPr>
        <w:pStyle w:val="6"/>
        <w:rPr>
          <w:rFonts w:hint="eastAsia" w:ascii="黑体" w:hAnsi="黑体" w:eastAsia="黑体" w:cs="黑体"/>
          <w:b/>
          <w:color w:val="auto"/>
          <w:sz w:val="24"/>
          <w:szCs w:val="24"/>
          <w:highlight w:val="none"/>
        </w:rPr>
      </w:pPr>
      <w:bookmarkStart w:id="169" w:name="_Toc18327"/>
      <w:bookmarkStart w:id="170" w:name="_Toc249515402"/>
      <w:bookmarkStart w:id="171" w:name="_Toc249515290"/>
      <w:bookmarkStart w:id="172" w:name="_Toc184043024"/>
      <w:bookmarkStart w:id="173" w:name="_Toc70687151"/>
      <w:bookmarkStart w:id="174" w:name="_Toc249525171"/>
      <w:r>
        <w:rPr>
          <w:rFonts w:hint="eastAsia" w:ascii="黑体" w:hAnsi="黑体" w:eastAsia="黑体" w:cs="黑体"/>
          <w:b/>
          <w:color w:val="auto"/>
          <w:sz w:val="24"/>
          <w:szCs w:val="24"/>
          <w:highlight w:val="none"/>
        </w:rPr>
        <w:t>9.     计量单位</w:t>
      </w:r>
      <w:bookmarkEnd w:id="167"/>
      <w:bookmarkEnd w:id="168"/>
      <w:bookmarkEnd w:id="169"/>
      <w:bookmarkEnd w:id="170"/>
      <w:bookmarkEnd w:id="171"/>
      <w:bookmarkEnd w:id="172"/>
      <w:bookmarkEnd w:id="173"/>
      <w:bookmarkEnd w:id="174"/>
    </w:p>
    <w:p w14:paraId="41125AC3">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    除在磋商文件的技术规格中另有规定外，计量单位应使用中华人民共和国法定计量单位。</w:t>
      </w:r>
    </w:p>
    <w:p w14:paraId="6CACE9B6">
      <w:pPr>
        <w:pStyle w:val="6"/>
        <w:rPr>
          <w:rFonts w:hint="eastAsia" w:ascii="黑体" w:hAnsi="黑体" w:eastAsia="黑体" w:cs="黑体"/>
          <w:b/>
          <w:color w:val="auto"/>
          <w:sz w:val="24"/>
          <w:szCs w:val="24"/>
          <w:highlight w:val="none"/>
        </w:rPr>
      </w:pPr>
      <w:bookmarkStart w:id="175" w:name="_Toc249525172"/>
      <w:bookmarkStart w:id="176" w:name="_Toc249515291"/>
      <w:bookmarkStart w:id="177" w:name="_Toc184043025"/>
      <w:bookmarkStart w:id="178" w:name="_Toc29318"/>
      <w:bookmarkStart w:id="179" w:name="_Toc389620177"/>
      <w:bookmarkStart w:id="180" w:name="_Toc249515403"/>
      <w:bookmarkStart w:id="181" w:name="_Toc70687152"/>
      <w:bookmarkStart w:id="182" w:name="_Toc385992338"/>
      <w:r>
        <w:rPr>
          <w:rFonts w:hint="eastAsia" w:ascii="黑体" w:hAnsi="黑体" w:eastAsia="黑体" w:cs="黑体"/>
          <w:b/>
          <w:color w:val="auto"/>
          <w:sz w:val="24"/>
          <w:szCs w:val="24"/>
          <w:highlight w:val="none"/>
        </w:rPr>
        <w:t>10.    响应文件的组成</w:t>
      </w:r>
      <w:bookmarkEnd w:id="175"/>
      <w:bookmarkEnd w:id="176"/>
      <w:bookmarkEnd w:id="177"/>
      <w:bookmarkEnd w:id="178"/>
      <w:bookmarkEnd w:id="179"/>
      <w:bookmarkEnd w:id="180"/>
      <w:bookmarkEnd w:id="181"/>
      <w:bookmarkEnd w:id="182"/>
    </w:p>
    <w:p w14:paraId="71E1EA68">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   供应商编写的响应文件由以下</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rPr>
        <w:t>部分组成，应包括但不限于以下内容：</w:t>
      </w:r>
    </w:p>
    <w:p w14:paraId="001C9666">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第一部分 资格证明文件</w:t>
      </w:r>
    </w:p>
    <w:p w14:paraId="660F59E6">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第二部分 符合性证明文件</w:t>
      </w:r>
    </w:p>
    <w:p w14:paraId="16176A93">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第三部分 </w:t>
      </w:r>
      <w:r>
        <w:rPr>
          <w:rFonts w:hint="eastAsia" w:ascii="黑体" w:hAnsi="黑体" w:eastAsia="黑体" w:cs="黑体"/>
          <w:color w:val="auto"/>
          <w:sz w:val="24"/>
          <w:szCs w:val="24"/>
          <w:highlight w:val="none"/>
          <w:lang w:val="en-US" w:eastAsia="zh-CN"/>
        </w:rPr>
        <w:t>响应</w:t>
      </w:r>
      <w:r>
        <w:rPr>
          <w:rFonts w:hint="eastAsia" w:ascii="黑体" w:hAnsi="黑体" w:eastAsia="黑体" w:cs="黑体"/>
          <w:color w:val="auto"/>
          <w:sz w:val="24"/>
          <w:szCs w:val="24"/>
          <w:highlight w:val="none"/>
        </w:rPr>
        <w:t>方案</w:t>
      </w:r>
    </w:p>
    <w:p w14:paraId="47AB3347">
      <w:pPr>
        <w:keepNext w:val="0"/>
        <w:keepLines w:val="0"/>
        <w:pageBreakBefore w:val="0"/>
        <w:widowControl w:val="0"/>
        <w:tabs>
          <w:tab w:val="left" w:pos="588"/>
        </w:tabs>
        <w:kinsoku/>
        <w:wordWrap/>
        <w:overflowPunct/>
        <w:topLinePunct w:val="0"/>
        <w:autoSpaceDE/>
        <w:autoSpaceDN/>
        <w:bidi w:val="0"/>
        <w:adjustRightInd/>
        <w:snapToGrid/>
        <w:spacing w:line="360" w:lineRule="auto"/>
        <w:ind w:left="980" w:hanging="840" w:hangingChars="3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10.2   供应商提供的以上材料必须真实有效，任何一项的虚假将导致其响应被拒绝。</w:t>
      </w:r>
    </w:p>
    <w:p w14:paraId="3A45CFA5">
      <w:pPr>
        <w:pStyle w:val="6"/>
        <w:rPr>
          <w:rFonts w:hint="eastAsia" w:ascii="黑体" w:hAnsi="黑体" w:eastAsia="黑体" w:cs="黑体"/>
          <w:b/>
          <w:color w:val="auto"/>
          <w:sz w:val="24"/>
          <w:szCs w:val="24"/>
          <w:highlight w:val="none"/>
        </w:rPr>
      </w:pPr>
      <w:bookmarkStart w:id="183" w:name="_Toc249515292"/>
      <w:bookmarkStart w:id="184" w:name="_Toc184043026"/>
      <w:bookmarkStart w:id="185" w:name="_Toc249525173"/>
      <w:bookmarkStart w:id="186" w:name="_Toc389620178"/>
      <w:bookmarkStart w:id="187" w:name="_Toc385992339"/>
      <w:bookmarkStart w:id="188" w:name="_Toc70687153"/>
      <w:bookmarkStart w:id="189" w:name="_Toc249515404"/>
      <w:bookmarkStart w:id="190" w:name="_Toc26312"/>
      <w:r>
        <w:rPr>
          <w:rFonts w:hint="eastAsia" w:ascii="黑体" w:hAnsi="黑体" w:eastAsia="黑体" w:cs="黑体"/>
          <w:b/>
          <w:color w:val="auto"/>
          <w:sz w:val="24"/>
          <w:szCs w:val="24"/>
          <w:highlight w:val="none"/>
        </w:rPr>
        <w:t>11.    响应文件格式</w:t>
      </w:r>
      <w:bookmarkEnd w:id="183"/>
      <w:bookmarkEnd w:id="184"/>
      <w:bookmarkEnd w:id="185"/>
      <w:bookmarkEnd w:id="186"/>
      <w:bookmarkEnd w:id="187"/>
      <w:bookmarkEnd w:id="188"/>
      <w:bookmarkEnd w:id="189"/>
      <w:bookmarkEnd w:id="190"/>
    </w:p>
    <w:p w14:paraId="5A9FC901">
      <w:pPr>
        <w:tabs>
          <w:tab w:val="left" w:pos="588"/>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11.1   对于磋商文件第六章中已经提供了格式的响应文件内容，供应商必须按提供的响应文件格式进行填写和编制，没有提供格式的可自行设计。</w:t>
      </w:r>
    </w:p>
    <w:p w14:paraId="0E394A40">
      <w:pPr>
        <w:pStyle w:val="6"/>
        <w:rPr>
          <w:rFonts w:hint="eastAsia" w:ascii="黑体" w:hAnsi="黑体" w:eastAsia="黑体" w:cs="黑体"/>
          <w:b/>
          <w:color w:val="auto"/>
          <w:sz w:val="24"/>
          <w:szCs w:val="24"/>
          <w:highlight w:val="none"/>
        </w:rPr>
      </w:pPr>
      <w:bookmarkStart w:id="191" w:name="_Toc26688"/>
      <w:r>
        <w:rPr>
          <w:rFonts w:hint="eastAsia" w:ascii="黑体" w:hAnsi="黑体" w:eastAsia="黑体" w:cs="黑体"/>
          <w:b/>
          <w:color w:val="auto"/>
          <w:sz w:val="24"/>
          <w:szCs w:val="24"/>
          <w:highlight w:val="none"/>
        </w:rPr>
        <w:t>12.    响应报价</w:t>
      </w:r>
      <w:bookmarkEnd w:id="191"/>
    </w:p>
    <w:p w14:paraId="5CE181C2">
      <w:pPr>
        <w:tabs>
          <w:tab w:val="left" w:pos="0"/>
          <w:tab w:val="left" w:pos="540"/>
          <w:tab w:val="left" w:pos="720"/>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kern w:val="24"/>
          <w:sz w:val="24"/>
          <w:szCs w:val="24"/>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黑体" w:hAnsi="黑体" w:eastAsia="黑体" w:cs="黑体"/>
          <w:b/>
          <w:color w:val="auto"/>
          <w:kern w:val="24"/>
          <w:sz w:val="24"/>
          <w:szCs w:val="24"/>
          <w:highlight w:val="none"/>
        </w:rPr>
        <w:t>供应商须知前附表。</w:t>
      </w:r>
    </w:p>
    <w:p w14:paraId="4A7DADF0">
      <w:pPr>
        <w:tabs>
          <w:tab w:val="left" w:pos="540"/>
          <w:tab w:val="left" w:pos="840"/>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12.2   供应商应在响应分项报价表中详细列出所报货物和</w:t>
      </w:r>
      <w:r>
        <w:rPr>
          <w:rFonts w:hint="eastAsia" w:ascii="黑体" w:hAnsi="黑体" w:eastAsia="黑体" w:cs="黑体"/>
          <w:color w:val="auto"/>
          <w:sz w:val="24"/>
          <w:szCs w:val="24"/>
          <w:highlight w:val="none"/>
        </w:rPr>
        <w:t>服务</w:t>
      </w:r>
      <w:r>
        <w:rPr>
          <w:rFonts w:hint="eastAsia" w:ascii="黑体" w:hAnsi="黑体" w:eastAsia="黑体" w:cs="黑体"/>
          <w:color w:val="auto"/>
          <w:kern w:val="24"/>
          <w:sz w:val="24"/>
          <w:szCs w:val="24"/>
          <w:highlight w:val="none"/>
        </w:rPr>
        <w:t>的单价（如适用）和总价。响应分项报价表上的价格应按磋商文件第六章的格式填写。</w:t>
      </w:r>
    </w:p>
    <w:p w14:paraId="12A8DD56">
      <w:pPr>
        <w:tabs>
          <w:tab w:val="left" w:pos="180"/>
          <w:tab w:val="left" w:pos="540"/>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D7B801B">
      <w:pPr>
        <w:tabs>
          <w:tab w:val="left" w:pos="180"/>
          <w:tab w:val="left" w:pos="540"/>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12.4   供应商的所报单价在合同执行过程中是固定不变的，未经采购人许可不得以任何理由予以变更。以可调整的价格提交的响应文件将作为非实质性响应而予以拒绝。</w:t>
      </w:r>
    </w:p>
    <w:p w14:paraId="45829590">
      <w:pPr>
        <w:tabs>
          <w:tab w:val="left" w:pos="588"/>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12.5   供应商只允许有一个报价，采购人不接受有任何选择的报价。</w:t>
      </w:r>
    </w:p>
    <w:p w14:paraId="47C890EF">
      <w:pPr>
        <w:pStyle w:val="6"/>
        <w:rPr>
          <w:rFonts w:hint="eastAsia" w:ascii="黑体" w:hAnsi="黑体" w:eastAsia="黑体" w:cs="黑体"/>
          <w:b/>
          <w:color w:val="auto"/>
          <w:sz w:val="24"/>
          <w:szCs w:val="24"/>
          <w:highlight w:val="none"/>
        </w:rPr>
      </w:pPr>
      <w:bookmarkStart w:id="192" w:name="_Toc184043028"/>
      <w:bookmarkStart w:id="193" w:name="_Toc20687"/>
      <w:bookmarkStart w:id="194" w:name="_Toc249515294"/>
      <w:bookmarkStart w:id="195" w:name="_Toc249515406"/>
      <w:bookmarkStart w:id="196" w:name="_Toc389620180"/>
      <w:bookmarkStart w:id="197" w:name="_Toc249525175"/>
      <w:bookmarkStart w:id="198" w:name="_Toc70687155"/>
      <w:bookmarkStart w:id="199" w:name="_Toc385992341"/>
      <w:r>
        <w:rPr>
          <w:rFonts w:hint="eastAsia" w:ascii="黑体" w:hAnsi="黑体" w:eastAsia="黑体" w:cs="黑体"/>
          <w:b/>
          <w:color w:val="auto"/>
          <w:sz w:val="24"/>
          <w:szCs w:val="24"/>
          <w:highlight w:val="none"/>
        </w:rPr>
        <w:t>13.    报价货币</w:t>
      </w:r>
      <w:bookmarkEnd w:id="192"/>
      <w:bookmarkEnd w:id="193"/>
      <w:bookmarkEnd w:id="194"/>
      <w:bookmarkEnd w:id="195"/>
      <w:bookmarkEnd w:id="196"/>
      <w:bookmarkEnd w:id="197"/>
      <w:bookmarkEnd w:id="198"/>
      <w:bookmarkEnd w:id="199"/>
    </w:p>
    <w:p w14:paraId="52DD3FBD">
      <w:pPr>
        <w:tabs>
          <w:tab w:val="left" w:pos="180"/>
          <w:tab w:val="left" w:pos="540"/>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13.1   磋商响应函、响应报价一览表、最后报价表等所有报价一律用人民币填报。采购人不接受任何非人民币币种的报价。</w:t>
      </w:r>
      <w:bookmarkStart w:id="200" w:name="_Toc389620181"/>
      <w:bookmarkStart w:id="201" w:name="_Toc385992342"/>
    </w:p>
    <w:bookmarkEnd w:id="200"/>
    <w:bookmarkEnd w:id="201"/>
    <w:p w14:paraId="3FDEB4C8">
      <w:pPr>
        <w:pStyle w:val="6"/>
        <w:rPr>
          <w:rFonts w:hint="eastAsia" w:ascii="黑体" w:hAnsi="黑体" w:eastAsia="黑体" w:cs="黑体"/>
          <w:b/>
          <w:color w:val="auto"/>
          <w:kern w:val="24"/>
          <w:sz w:val="24"/>
          <w:szCs w:val="24"/>
          <w:highlight w:val="none"/>
        </w:rPr>
      </w:pPr>
      <w:bookmarkStart w:id="202" w:name="止观"/>
      <w:bookmarkEnd w:id="202"/>
      <w:r>
        <w:rPr>
          <w:rFonts w:hint="eastAsia" w:ascii="黑体" w:hAnsi="黑体" w:eastAsia="黑体" w:cs="黑体"/>
          <w:b/>
          <w:color w:val="auto"/>
          <w:sz w:val="24"/>
          <w:szCs w:val="24"/>
          <w:highlight w:val="none"/>
        </w:rPr>
        <w:t>14.    磋商保证金</w:t>
      </w:r>
    </w:p>
    <w:p w14:paraId="1E44BD8B">
      <w:pPr>
        <w:tabs>
          <w:tab w:val="left" w:pos="588"/>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sz w:val="24"/>
          <w:szCs w:val="24"/>
          <w:highlight w:val="none"/>
        </w:rPr>
        <w:t>14.1   本项目</w:t>
      </w:r>
      <w:r>
        <w:rPr>
          <w:rFonts w:hint="eastAsia" w:ascii="黑体" w:hAnsi="黑体" w:eastAsia="黑体" w:cs="黑体"/>
          <w:color w:val="auto"/>
          <w:sz w:val="24"/>
          <w:szCs w:val="24"/>
          <w:highlight w:val="none"/>
          <w:lang w:eastAsia="zh-CN"/>
        </w:rPr>
        <w:t>不要求磋商保证金</w:t>
      </w:r>
      <w:r>
        <w:rPr>
          <w:rFonts w:hint="eastAsia" w:ascii="黑体" w:hAnsi="黑体" w:eastAsia="黑体" w:cs="黑体"/>
          <w:color w:val="auto"/>
          <w:sz w:val="24"/>
          <w:szCs w:val="24"/>
          <w:highlight w:val="none"/>
        </w:rPr>
        <w:t>。</w:t>
      </w:r>
    </w:p>
    <w:p w14:paraId="1EBA4DC4">
      <w:pPr>
        <w:tabs>
          <w:tab w:val="left" w:pos="588"/>
        </w:tabs>
        <w:spacing w:line="360" w:lineRule="auto"/>
        <w:ind w:left="980" w:hanging="840" w:hangingChars="350"/>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14.</w:t>
      </w:r>
      <w:r>
        <w:rPr>
          <w:rFonts w:hint="eastAsia" w:ascii="黑体" w:hAnsi="黑体" w:eastAsia="黑体" w:cs="黑体"/>
          <w:color w:val="auto"/>
          <w:kern w:val="24"/>
          <w:sz w:val="24"/>
          <w:szCs w:val="24"/>
          <w:highlight w:val="none"/>
          <w:lang w:val="en-US" w:eastAsia="zh-CN"/>
        </w:rPr>
        <w:t>2</w:t>
      </w:r>
      <w:r>
        <w:rPr>
          <w:rFonts w:hint="eastAsia" w:ascii="黑体" w:hAnsi="黑体" w:eastAsia="黑体" w:cs="黑体"/>
          <w:color w:val="auto"/>
          <w:kern w:val="24"/>
          <w:sz w:val="24"/>
          <w:szCs w:val="24"/>
          <w:highlight w:val="none"/>
        </w:rPr>
        <w:t xml:space="preserve">   成交供应商有下列情形之一的，</w:t>
      </w:r>
      <w:r>
        <w:rPr>
          <w:rFonts w:hint="eastAsia" w:ascii="黑体" w:hAnsi="黑体" w:eastAsia="黑体" w:cs="黑体"/>
          <w:color w:val="auto"/>
          <w:kern w:val="24"/>
          <w:sz w:val="24"/>
          <w:szCs w:val="24"/>
          <w:highlight w:val="none"/>
          <w:lang w:eastAsia="zh-CN"/>
        </w:rPr>
        <w:t>上报</w:t>
      </w:r>
      <w:r>
        <w:rPr>
          <w:rFonts w:hint="eastAsia" w:ascii="黑体" w:hAnsi="黑体" w:eastAsia="黑体" w:cs="黑体"/>
          <w:color w:val="auto"/>
          <w:kern w:val="24"/>
          <w:sz w:val="24"/>
          <w:szCs w:val="24"/>
          <w:highlight w:val="none"/>
        </w:rPr>
        <w:t>财政主管部门备案；情节严重的，由财政部门将其列入不良行为</w:t>
      </w:r>
      <w:r>
        <w:rPr>
          <w:rFonts w:hint="eastAsia" w:ascii="黑体" w:hAnsi="黑体" w:eastAsia="黑体" w:cs="黑体"/>
          <w:color w:val="auto"/>
          <w:kern w:val="24"/>
          <w:sz w:val="24"/>
          <w:szCs w:val="24"/>
          <w:highlight w:val="none"/>
          <w:lang w:val="en-US" w:eastAsia="zh-CN"/>
        </w:rPr>
        <w:t>记录</w:t>
      </w:r>
      <w:r>
        <w:rPr>
          <w:rFonts w:hint="eastAsia" w:ascii="黑体" w:hAnsi="黑体" w:eastAsia="黑体" w:cs="黑体"/>
          <w:color w:val="auto"/>
          <w:kern w:val="24"/>
          <w:sz w:val="24"/>
          <w:szCs w:val="24"/>
          <w:highlight w:val="none"/>
        </w:rPr>
        <w:t>名单予以通报，在一至三年内禁止参加政府采购活动：</w:t>
      </w:r>
    </w:p>
    <w:p w14:paraId="20EE9686">
      <w:pPr>
        <w:numPr>
          <w:ilvl w:val="0"/>
          <w:numId w:val="8"/>
        </w:numPr>
        <w:tabs>
          <w:tab w:val="left" w:pos="588"/>
        </w:tabs>
        <w:spacing w:line="360" w:lineRule="auto"/>
        <w:ind w:hanging="5"/>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供应商在提交响应文件截止时间后撤销响应文件的；</w:t>
      </w:r>
    </w:p>
    <w:p w14:paraId="5D3B0B71">
      <w:pPr>
        <w:numPr>
          <w:ilvl w:val="0"/>
          <w:numId w:val="8"/>
        </w:numPr>
        <w:tabs>
          <w:tab w:val="left" w:pos="588"/>
        </w:tabs>
        <w:spacing w:line="360" w:lineRule="auto"/>
        <w:ind w:hanging="5"/>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供应商在响应文件中提供虚假材料的；</w:t>
      </w:r>
    </w:p>
    <w:p w14:paraId="596B94BD">
      <w:pPr>
        <w:numPr>
          <w:ilvl w:val="0"/>
          <w:numId w:val="8"/>
        </w:numPr>
        <w:tabs>
          <w:tab w:val="left" w:pos="588"/>
        </w:tabs>
        <w:spacing w:line="360" w:lineRule="auto"/>
        <w:ind w:hanging="5"/>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 xml:space="preserve">除因不可抗力外，成交供应商在规定期限内未能根据本须知第32条规定签订合同； </w:t>
      </w:r>
    </w:p>
    <w:p w14:paraId="1F2431D1">
      <w:pPr>
        <w:numPr>
          <w:ilvl w:val="0"/>
          <w:numId w:val="8"/>
        </w:numPr>
        <w:tabs>
          <w:tab w:val="left" w:pos="588"/>
        </w:tabs>
        <w:spacing w:line="360" w:lineRule="auto"/>
        <w:ind w:hanging="5"/>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供应商与采购人、其他供应商或者采购代理机构恶意串通的；</w:t>
      </w:r>
    </w:p>
    <w:p w14:paraId="319CEE3C">
      <w:pPr>
        <w:numPr>
          <w:ilvl w:val="0"/>
          <w:numId w:val="8"/>
        </w:numPr>
        <w:tabs>
          <w:tab w:val="left" w:pos="588"/>
        </w:tabs>
        <w:spacing w:line="360" w:lineRule="auto"/>
        <w:ind w:hanging="5"/>
        <w:rPr>
          <w:rFonts w:hint="eastAsia" w:ascii="黑体" w:hAnsi="黑体" w:eastAsia="黑体" w:cs="黑体"/>
          <w:color w:val="auto"/>
          <w:kern w:val="24"/>
          <w:sz w:val="24"/>
          <w:szCs w:val="24"/>
          <w:highlight w:val="none"/>
        </w:rPr>
      </w:pPr>
      <w:r>
        <w:rPr>
          <w:rFonts w:hint="eastAsia" w:ascii="黑体" w:hAnsi="黑体" w:eastAsia="黑体" w:cs="黑体"/>
          <w:color w:val="auto"/>
          <w:kern w:val="24"/>
          <w:sz w:val="24"/>
          <w:szCs w:val="24"/>
          <w:highlight w:val="none"/>
        </w:rPr>
        <w:t>成交供应商未按本须知第29条规定缴纳服务费。</w:t>
      </w:r>
    </w:p>
    <w:p w14:paraId="5A3E1942">
      <w:pPr>
        <w:pStyle w:val="6"/>
        <w:rPr>
          <w:rFonts w:hint="eastAsia" w:ascii="黑体" w:hAnsi="黑体" w:eastAsia="黑体" w:cs="黑体"/>
          <w:b/>
          <w:color w:val="auto"/>
          <w:sz w:val="24"/>
          <w:szCs w:val="24"/>
          <w:highlight w:val="none"/>
        </w:rPr>
      </w:pPr>
      <w:bookmarkStart w:id="203" w:name="_Toc249515408"/>
      <w:bookmarkStart w:id="204" w:name="_Toc7949"/>
      <w:bookmarkStart w:id="205" w:name="_Toc249515296"/>
      <w:bookmarkStart w:id="206" w:name="_Toc249525177"/>
      <w:r>
        <w:rPr>
          <w:rFonts w:hint="eastAsia" w:ascii="黑体" w:hAnsi="黑体" w:eastAsia="黑体" w:cs="黑体"/>
          <w:b/>
          <w:color w:val="auto"/>
          <w:sz w:val="24"/>
          <w:szCs w:val="24"/>
          <w:highlight w:val="none"/>
        </w:rPr>
        <w:t>15.    磋商有效期</w:t>
      </w:r>
      <w:bookmarkEnd w:id="203"/>
      <w:bookmarkEnd w:id="204"/>
      <w:bookmarkEnd w:id="205"/>
      <w:bookmarkEnd w:id="206"/>
    </w:p>
    <w:p w14:paraId="4588CFAA">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15.1   磋商有效期见</w:t>
      </w:r>
      <w:r>
        <w:rPr>
          <w:rFonts w:hint="eastAsia" w:ascii="黑体" w:hAnsi="黑体" w:eastAsia="黑体" w:cs="黑体"/>
          <w:b/>
          <w:color w:val="auto"/>
          <w:sz w:val="24"/>
          <w:szCs w:val="24"/>
          <w:highlight w:val="none"/>
        </w:rPr>
        <w:t>本须知前附表</w:t>
      </w:r>
      <w:r>
        <w:rPr>
          <w:rFonts w:hint="eastAsia" w:ascii="黑体" w:hAnsi="黑体" w:eastAsia="黑体" w:cs="黑体"/>
          <w:color w:val="auto"/>
          <w:sz w:val="24"/>
          <w:szCs w:val="24"/>
          <w:highlight w:val="none"/>
        </w:rPr>
        <w:t>。在磋商有效期内，所有响应文件均保持有效。响应文件的有效期比本须知规定的有效期短的，将被视为非实质响应，采购人有权拒绝。</w:t>
      </w:r>
    </w:p>
    <w:p w14:paraId="3565981F">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15.2   特殊情况下，采购人可于原磋商有效期满之前要求供应商同意延长有效期，要求与答复均应为书面形式。供应商可以拒绝上述要求。对于同意该要求的供应商，既不要求也不允许其修改响应文件。</w:t>
      </w:r>
    </w:p>
    <w:p w14:paraId="5E4AC39C">
      <w:pPr>
        <w:pStyle w:val="6"/>
        <w:rPr>
          <w:rFonts w:hint="eastAsia" w:ascii="黑体" w:hAnsi="黑体" w:eastAsia="黑体" w:cs="黑体"/>
          <w:b/>
          <w:color w:val="auto"/>
          <w:sz w:val="24"/>
          <w:szCs w:val="24"/>
          <w:highlight w:val="none"/>
        </w:rPr>
      </w:pPr>
      <w:bookmarkStart w:id="207" w:name="_Toc70687160"/>
      <w:bookmarkStart w:id="208" w:name="_Toc389620185"/>
      <w:bookmarkStart w:id="209" w:name="_Toc385992346"/>
      <w:bookmarkStart w:id="210" w:name="_Toc249515409"/>
      <w:bookmarkStart w:id="211" w:name="_Toc184043033"/>
      <w:bookmarkStart w:id="212" w:name="_Toc16612"/>
      <w:bookmarkStart w:id="213" w:name="_Toc249515297"/>
      <w:bookmarkStart w:id="214" w:name="_Toc249525178"/>
      <w:r>
        <w:rPr>
          <w:rFonts w:hint="eastAsia" w:ascii="黑体" w:hAnsi="黑体" w:eastAsia="黑体" w:cs="黑体"/>
          <w:b/>
          <w:color w:val="auto"/>
          <w:sz w:val="24"/>
          <w:szCs w:val="24"/>
          <w:highlight w:val="none"/>
        </w:rPr>
        <w:t>16.    响应文件的制作和签署</w:t>
      </w:r>
      <w:bookmarkEnd w:id="207"/>
      <w:bookmarkEnd w:id="208"/>
      <w:bookmarkEnd w:id="209"/>
      <w:bookmarkEnd w:id="210"/>
      <w:bookmarkEnd w:id="211"/>
      <w:bookmarkEnd w:id="212"/>
      <w:bookmarkEnd w:id="213"/>
      <w:bookmarkEnd w:id="214"/>
    </w:p>
    <w:p w14:paraId="6CD2F184">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   本项目采用电子化投标，供应商在投标时只需提供电子投标文件1份</w:t>
      </w:r>
      <w:r>
        <w:rPr>
          <w:rFonts w:hint="eastAsia" w:ascii="黑体" w:hAnsi="黑体" w:eastAsia="黑体" w:cs="黑体"/>
          <w:b/>
          <w:bCs/>
          <w:color w:val="auto"/>
          <w:sz w:val="24"/>
          <w:szCs w:val="24"/>
          <w:highlight w:val="none"/>
        </w:rPr>
        <w:t>（待采购结果公告后，由中标供应商补交一</w:t>
      </w:r>
      <w:r>
        <w:rPr>
          <w:rFonts w:hint="eastAsia" w:ascii="黑体" w:hAnsi="黑体" w:eastAsia="黑体" w:cs="黑体"/>
          <w:b/>
          <w:bCs/>
          <w:color w:val="auto"/>
          <w:sz w:val="24"/>
          <w:szCs w:val="24"/>
          <w:highlight w:val="none"/>
          <w:lang w:val="en-US" w:eastAsia="zh-CN"/>
        </w:rPr>
        <w:t>份</w:t>
      </w:r>
      <w:r>
        <w:rPr>
          <w:rFonts w:hint="eastAsia" w:ascii="黑体" w:hAnsi="黑体" w:eastAsia="黑体" w:cs="黑体"/>
          <w:b/>
          <w:bCs/>
          <w:color w:val="auto"/>
          <w:sz w:val="24"/>
          <w:szCs w:val="24"/>
          <w:highlight w:val="none"/>
        </w:rPr>
        <w:t>纸质响应文件备案用</w:t>
      </w:r>
      <w:r>
        <w:rPr>
          <w:rFonts w:hint="eastAsia" w:ascii="黑体" w:hAnsi="黑体" w:eastAsia="黑体" w:cs="黑体"/>
          <w:b/>
          <w:bCs/>
          <w:color w:val="auto"/>
          <w:sz w:val="24"/>
          <w:szCs w:val="24"/>
          <w:highlight w:val="none"/>
          <w:lang w:eastAsia="zh-CN"/>
        </w:rPr>
        <w:t>，可邮寄至代理公司</w:t>
      </w:r>
      <w:r>
        <w:rPr>
          <w:rFonts w:hint="eastAsia" w:ascii="黑体" w:hAnsi="黑体" w:eastAsia="黑体" w:cs="黑体"/>
          <w:b/>
          <w:bCs/>
          <w:color w:val="auto"/>
          <w:sz w:val="24"/>
          <w:szCs w:val="24"/>
          <w:highlight w:val="none"/>
        </w:rPr>
        <w:t>）。</w:t>
      </w:r>
    </w:p>
    <w:p w14:paraId="4D0836F9">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16.4   任何行间插字、涂改或增删，必须由响应文件签字人将姓或首字母在旁边签字才有效。</w:t>
      </w:r>
    </w:p>
    <w:p w14:paraId="56DA60B0">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16.5   采购人不接受以电报、电话、传真、电子邮件形式递交的响应文件。</w:t>
      </w:r>
    </w:p>
    <w:p w14:paraId="74CE6DBC">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8193FC2">
      <w:pPr>
        <w:rPr>
          <w:rFonts w:hint="eastAsia" w:ascii="黑体" w:hAnsi="黑体" w:eastAsia="黑体" w:cs="黑体"/>
          <w:color w:val="auto"/>
          <w:sz w:val="20"/>
          <w:szCs w:val="22"/>
          <w:highlight w:val="none"/>
        </w:rPr>
      </w:pPr>
      <w:bookmarkStart w:id="215" w:name="_Hlt491765640"/>
      <w:bookmarkEnd w:id="215"/>
      <w:bookmarkStart w:id="216" w:name="_Toc249515298"/>
      <w:bookmarkStart w:id="217" w:name="_Toc230013636"/>
      <w:bookmarkStart w:id="218" w:name="_Toc232395216"/>
      <w:bookmarkStart w:id="219" w:name="_Toc389620186"/>
      <w:bookmarkStart w:id="220" w:name="_Toc53722844"/>
      <w:bookmarkStart w:id="221" w:name="_Toc496324583"/>
      <w:bookmarkStart w:id="222" w:name="_Toc249525179"/>
      <w:bookmarkStart w:id="223" w:name="_Toc256342147"/>
      <w:bookmarkStart w:id="224" w:name="_Toc230099801"/>
      <w:bookmarkStart w:id="225" w:name="_Toc503063426"/>
      <w:bookmarkStart w:id="226" w:name="_Toc499711047"/>
      <w:bookmarkStart w:id="227" w:name="_Toc176882546"/>
      <w:bookmarkStart w:id="228" w:name="_Toc500747193"/>
      <w:bookmarkStart w:id="229" w:name="_Toc385992347"/>
      <w:bookmarkStart w:id="230" w:name="_Toc232176276"/>
      <w:bookmarkStart w:id="231" w:name="_Toc184043034"/>
      <w:bookmarkStart w:id="232" w:name="_Toc177817338"/>
      <w:bookmarkStart w:id="233" w:name="_Toc230583545"/>
      <w:bookmarkStart w:id="234" w:name="_Toc177189239"/>
      <w:bookmarkStart w:id="235" w:name="_Toc500746970"/>
      <w:bookmarkStart w:id="236" w:name="_Toc492955419"/>
      <w:bookmarkStart w:id="237" w:name="_Toc499711888"/>
      <w:bookmarkStart w:id="238" w:name="_Toc70687161"/>
      <w:bookmarkStart w:id="239" w:name="_Toc500747066"/>
      <w:bookmarkStart w:id="240" w:name="_Toc249515410"/>
      <w:bookmarkStart w:id="241" w:name="_Toc177995477"/>
    </w:p>
    <w:p w14:paraId="4DA3772A">
      <w:pPr>
        <w:pStyle w:val="84"/>
        <w:spacing w:before="24" w:after="24"/>
        <w:jc w:val="center"/>
        <w:rPr>
          <w:rFonts w:hint="eastAsia" w:ascii="黑体" w:hAnsi="黑体" w:eastAsia="黑体" w:cs="黑体"/>
          <w:color w:val="auto"/>
          <w:sz w:val="24"/>
          <w:szCs w:val="24"/>
          <w:highlight w:val="none"/>
        </w:rPr>
      </w:pPr>
      <w:bookmarkStart w:id="242" w:name="_Toc24742"/>
      <w:r>
        <w:rPr>
          <w:rFonts w:hint="eastAsia" w:ascii="黑体" w:hAnsi="黑体" w:eastAsia="黑体" w:cs="黑体"/>
          <w:color w:val="auto"/>
          <w:sz w:val="24"/>
          <w:szCs w:val="24"/>
          <w:highlight w:val="none"/>
        </w:rPr>
        <w:t>四、响应文件的</w:t>
      </w:r>
      <w:r>
        <w:rPr>
          <w:rFonts w:hint="eastAsia" w:ascii="黑体" w:hAnsi="黑体" w:eastAsia="黑体" w:cs="黑体"/>
          <w:color w:val="auto"/>
          <w:sz w:val="24"/>
          <w:szCs w:val="24"/>
          <w:highlight w:val="none"/>
          <w:lang w:eastAsia="zh-CN"/>
        </w:rPr>
        <w:t>加密</w:t>
      </w:r>
      <w:r>
        <w:rPr>
          <w:rFonts w:hint="eastAsia" w:ascii="黑体" w:hAnsi="黑体" w:eastAsia="黑体" w:cs="黑体"/>
          <w:color w:val="auto"/>
          <w:sz w:val="24"/>
          <w:szCs w:val="24"/>
          <w:highlight w:val="none"/>
        </w:rPr>
        <w:t>和递交</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96C4056">
      <w:pPr>
        <w:rPr>
          <w:rFonts w:hint="eastAsia" w:ascii="黑体" w:hAnsi="黑体" w:eastAsia="黑体" w:cs="黑体"/>
          <w:color w:val="auto"/>
          <w:sz w:val="24"/>
          <w:szCs w:val="24"/>
          <w:highlight w:val="none"/>
        </w:rPr>
      </w:pPr>
    </w:p>
    <w:p w14:paraId="42FA2E3A">
      <w:pPr>
        <w:pStyle w:val="6"/>
        <w:rPr>
          <w:rFonts w:hint="eastAsia" w:ascii="黑体" w:hAnsi="黑体" w:eastAsia="黑体" w:cs="黑体"/>
          <w:b/>
          <w:color w:val="auto"/>
          <w:sz w:val="24"/>
          <w:szCs w:val="24"/>
          <w:highlight w:val="none"/>
          <w:lang w:eastAsia="zh-CN"/>
        </w:rPr>
      </w:pPr>
      <w:bookmarkStart w:id="243" w:name="_Toc4042"/>
      <w:bookmarkStart w:id="244" w:name="_Toc385992348"/>
      <w:bookmarkStart w:id="245" w:name="_Toc184043035"/>
      <w:bookmarkStart w:id="246" w:name="_Toc70687162"/>
      <w:bookmarkStart w:id="247" w:name="_Toc249515411"/>
      <w:bookmarkStart w:id="248" w:name="_Toc389620187"/>
      <w:bookmarkStart w:id="249" w:name="_Toc249515299"/>
      <w:bookmarkStart w:id="250" w:name="_Toc249525180"/>
      <w:r>
        <w:rPr>
          <w:rFonts w:hint="eastAsia" w:ascii="黑体" w:hAnsi="黑体" w:eastAsia="黑体" w:cs="黑体"/>
          <w:b/>
          <w:color w:val="auto"/>
          <w:sz w:val="24"/>
          <w:szCs w:val="24"/>
          <w:highlight w:val="none"/>
        </w:rPr>
        <w:t>17.    响应文件的</w:t>
      </w:r>
      <w:bookmarkEnd w:id="243"/>
      <w:bookmarkEnd w:id="244"/>
      <w:bookmarkEnd w:id="245"/>
      <w:bookmarkEnd w:id="246"/>
      <w:bookmarkEnd w:id="247"/>
      <w:bookmarkEnd w:id="248"/>
      <w:bookmarkEnd w:id="249"/>
      <w:bookmarkEnd w:id="250"/>
      <w:r>
        <w:rPr>
          <w:rFonts w:hint="eastAsia" w:ascii="黑体" w:hAnsi="黑体" w:eastAsia="黑体" w:cs="黑体"/>
          <w:b/>
          <w:color w:val="auto"/>
          <w:sz w:val="24"/>
          <w:szCs w:val="24"/>
          <w:highlight w:val="none"/>
          <w:lang w:eastAsia="zh-CN"/>
        </w:rPr>
        <w:t>加密</w:t>
      </w:r>
    </w:p>
    <w:p w14:paraId="0C51A45E">
      <w:pPr>
        <w:tabs>
          <w:tab w:val="left" w:pos="588"/>
        </w:tabs>
        <w:autoSpaceDE w:val="0"/>
        <w:autoSpaceDN w:val="0"/>
        <w:adjustRightInd w:val="0"/>
        <w:spacing w:line="360" w:lineRule="auto"/>
        <w:ind w:left="980" w:hanging="840" w:hangingChars="350"/>
        <w:rPr>
          <w:rFonts w:hint="eastAsia" w:ascii="黑体" w:hAnsi="黑体" w:eastAsia="黑体" w:cs="黑体"/>
          <w:color w:val="auto"/>
          <w:sz w:val="24"/>
          <w:szCs w:val="24"/>
          <w:highlight w:val="none"/>
        </w:rPr>
      </w:pPr>
      <w:bookmarkStart w:id="251" w:name="_Toc389620188"/>
      <w:bookmarkStart w:id="252" w:name="_Toc385992349"/>
      <w:bookmarkStart w:id="253" w:name="_Toc184043036"/>
      <w:bookmarkStart w:id="254" w:name="_Toc70687163"/>
      <w:r>
        <w:rPr>
          <w:rFonts w:hint="eastAsia" w:ascii="黑体" w:hAnsi="黑体" w:eastAsia="黑体" w:cs="黑体"/>
          <w:color w:val="auto"/>
          <w:kern w:val="0"/>
          <w:sz w:val="24"/>
          <w:szCs w:val="24"/>
          <w:highlight w:val="none"/>
        </w:rPr>
        <w:t xml:space="preserve">17.1   </w:t>
      </w:r>
      <w:r>
        <w:rPr>
          <w:rFonts w:hint="eastAsia" w:ascii="黑体" w:hAnsi="黑体" w:eastAsia="黑体" w:cs="黑体"/>
          <w:color w:val="auto"/>
          <w:kern w:val="0"/>
          <w:sz w:val="24"/>
          <w:szCs w:val="24"/>
          <w:highlight w:val="none"/>
          <w:lang w:eastAsia="zh-CN"/>
        </w:rPr>
        <w:t>供应商应</w:t>
      </w:r>
      <w:r>
        <w:rPr>
          <w:rFonts w:hint="eastAsia" w:ascii="黑体" w:hAnsi="黑体" w:eastAsia="黑体" w:cs="黑体"/>
          <w:color w:val="auto"/>
          <w:kern w:val="0"/>
          <w:sz w:val="24"/>
          <w:szCs w:val="24"/>
          <w:highlight w:val="none"/>
        </w:rPr>
        <w:t>通过互联网使用CA</w:t>
      </w:r>
      <w:r>
        <w:rPr>
          <w:rFonts w:hint="eastAsia" w:ascii="黑体" w:hAnsi="黑体" w:eastAsia="黑体" w:cs="黑体"/>
          <w:color w:val="auto"/>
          <w:kern w:val="0"/>
          <w:sz w:val="24"/>
          <w:szCs w:val="24"/>
          <w:highlight w:val="none"/>
          <w:lang w:eastAsia="zh-CN"/>
        </w:rPr>
        <w:t>锁</w:t>
      </w:r>
      <w:r>
        <w:rPr>
          <w:rFonts w:hint="eastAsia" w:ascii="黑体" w:hAnsi="黑体" w:eastAsia="黑体" w:cs="黑体"/>
          <w:color w:val="auto"/>
          <w:kern w:val="0"/>
          <w:sz w:val="24"/>
          <w:szCs w:val="24"/>
          <w:highlight w:val="none"/>
        </w:rPr>
        <w:t>登录“电子交易平台”，将加密的</w:t>
      </w:r>
      <w:r>
        <w:rPr>
          <w:rFonts w:hint="eastAsia" w:ascii="黑体" w:hAnsi="黑体" w:eastAsia="黑体" w:cs="黑体"/>
          <w:color w:val="auto"/>
          <w:kern w:val="0"/>
          <w:sz w:val="24"/>
          <w:szCs w:val="24"/>
          <w:highlight w:val="none"/>
          <w:lang w:eastAsia="zh-CN"/>
        </w:rPr>
        <w:t>响应</w:t>
      </w:r>
      <w:r>
        <w:rPr>
          <w:rFonts w:hint="eastAsia" w:ascii="黑体" w:hAnsi="黑体" w:eastAsia="黑体" w:cs="黑体"/>
          <w:color w:val="auto"/>
          <w:kern w:val="0"/>
          <w:sz w:val="24"/>
          <w:szCs w:val="24"/>
          <w:highlight w:val="none"/>
        </w:rPr>
        <w:t>文件上传。</w:t>
      </w:r>
    </w:p>
    <w:bookmarkEnd w:id="251"/>
    <w:bookmarkEnd w:id="252"/>
    <w:p w14:paraId="4C0825AA">
      <w:pPr>
        <w:pStyle w:val="6"/>
        <w:rPr>
          <w:rFonts w:hint="eastAsia" w:ascii="黑体" w:hAnsi="黑体" w:eastAsia="黑体" w:cs="黑体"/>
          <w:b/>
          <w:color w:val="auto"/>
          <w:sz w:val="24"/>
          <w:szCs w:val="24"/>
          <w:highlight w:val="none"/>
        </w:rPr>
      </w:pPr>
      <w:bookmarkStart w:id="255" w:name="_Toc249525181"/>
      <w:bookmarkStart w:id="256" w:name="_Toc249515412"/>
      <w:bookmarkStart w:id="257" w:name="_Toc31171"/>
      <w:bookmarkStart w:id="258" w:name="_Toc249515300"/>
      <w:r>
        <w:rPr>
          <w:rFonts w:hint="eastAsia" w:ascii="黑体" w:hAnsi="黑体" w:eastAsia="黑体" w:cs="黑体"/>
          <w:b/>
          <w:color w:val="auto"/>
          <w:sz w:val="24"/>
          <w:szCs w:val="24"/>
          <w:highlight w:val="none"/>
        </w:rPr>
        <w:t>18.    响应文件递交截止时间</w:t>
      </w:r>
      <w:bookmarkEnd w:id="253"/>
      <w:bookmarkEnd w:id="254"/>
      <w:bookmarkEnd w:id="255"/>
      <w:bookmarkEnd w:id="256"/>
      <w:bookmarkEnd w:id="257"/>
      <w:bookmarkEnd w:id="258"/>
    </w:p>
    <w:p w14:paraId="7A02D811">
      <w:pPr>
        <w:tabs>
          <w:tab w:val="left" w:pos="588"/>
        </w:tabs>
        <w:spacing w:line="360" w:lineRule="auto"/>
        <w:rPr>
          <w:rFonts w:hint="eastAsia" w:ascii="黑体" w:hAnsi="黑体" w:eastAsia="黑体" w:cs="黑体"/>
          <w:color w:val="auto"/>
          <w:sz w:val="24"/>
          <w:szCs w:val="24"/>
          <w:highlight w:val="none"/>
        </w:rPr>
      </w:pPr>
      <w:bookmarkStart w:id="259" w:name="_Toc184043037"/>
      <w:bookmarkStart w:id="260" w:name="_Toc385992350"/>
      <w:bookmarkStart w:id="261" w:name="_Toc70687164"/>
      <w:bookmarkStart w:id="262" w:name="_Toc389620189"/>
      <w:r>
        <w:rPr>
          <w:rFonts w:hint="eastAsia" w:ascii="黑体" w:hAnsi="黑体" w:eastAsia="黑体" w:cs="黑体"/>
          <w:color w:val="auto"/>
          <w:sz w:val="24"/>
          <w:szCs w:val="24"/>
          <w:highlight w:val="none"/>
        </w:rPr>
        <w:t>18.1   响应文件递交截止时间和地点见</w:t>
      </w:r>
      <w:r>
        <w:rPr>
          <w:rFonts w:hint="eastAsia" w:ascii="黑体" w:hAnsi="黑体" w:eastAsia="黑体" w:cs="黑体"/>
          <w:b/>
          <w:color w:val="auto"/>
          <w:sz w:val="24"/>
          <w:szCs w:val="24"/>
          <w:highlight w:val="none"/>
        </w:rPr>
        <w:t>供应商须知前附表</w:t>
      </w:r>
      <w:r>
        <w:rPr>
          <w:rFonts w:hint="eastAsia" w:ascii="黑体" w:hAnsi="黑体" w:eastAsia="黑体" w:cs="黑体"/>
          <w:color w:val="auto"/>
          <w:sz w:val="24"/>
          <w:szCs w:val="24"/>
          <w:highlight w:val="none"/>
        </w:rPr>
        <w:t>。</w:t>
      </w:r>
    </w:p>
    <w:p w14:paraId="0859D58B">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18.2   供应商须由其合法的授权人在响应文件递交截止时间之前将响应文件上传</w:t>
      </w:r>
      <w:r>
        <w:rPr>
          <w:rFonts w:hint="eastAsia" w:ascii="黑体" w:hAnsi="黑体" w:eastAsia="黑体" w:cs="黑体"/>
          <w:color w:val="auto"/>
          <w:sz w:val="24"/>
          <w:szCs w:val="24"/>
          <w:highlight w:val="none"/>
          <w:lang w:eastAsia="zh-CN"/>
        </w:rPr>
        <w:t>至交易</w:t>
      </w:r>
      <w:r>
        <w:rPr>
          <w:rFonts w:hint="eastAsia" w:ascii="黑体" w:hAnsi="黑体" w:eastAsia="黑体" w:cs="黑体"/>
          <w:color w:val="auto"/>
          <w:sz w:val="24"/>
          <w:szCs w:val="24"/>
          <w:highlight w:val="none"/>
        </w:rPr>
        <w:t>平台。</w:t>
      </w:r>
    </w:p>
    <w:p w14:paraId="39DD0404">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714D8594">
      <w:pPr>
        <w:pStyle w:val="6"/>
        <w:rPr>
          <w:rFonts w:hint="eastAsia" w:ascii="黑体" w:hAnsi="黑体" w:eastAsia="黑体" w:cs="黑体"/>
          <w:b/>
          <w:color w:val="auto"/>
          <w:sz w:val="24"/>
          <w:szCs w:val="24"/>
          <w:highlight w:val="none"/>
        </w:rPr>
      </w:pPr>
      <w:bookmarkStart w:id="263" w:name="_Toc7175"/>
      <w:bookmarkStart w:id="264" w:name="_Toc249515413"/>
      <w:bookmarkStart w:id="265" w:name="_Toc249525182"/>
      <w:bookmarkStart w:id="266" w:name="_Toc249515301"/>
      <w:r>
        <w:rPr>
          <w:rFonts w:hint="eastAsia" w:ascii="黑体" w:hAnsi="黑体" w:eastAsia="黑体" w:cs="黑体"/>
          <w:b/>
          <w:color w:val="auto"/>
          <w:sz w:val="24"/>
          <w:szCs w:val="24"/>
          <w:highlight w:val="none"/>
        </w:rPr>
        <w:t>19.    迟交的响应文件</w:t>
      </w:r>
      <w:bookmarkEnd w:id="259"/>
      <w:bookmarkEnd w:id="260"/>
      <w:bookmarkEnd w:id="261"/>
      <w:bookmarkEnd w:id="262"/>
      <w:bookmarkEnd w:id="263"/>
      <w:bookmarkEnd w:id="264"/>
      <w:bookmarkEnd w:id="265"/>
      <w:bookmarkEnd w:id="266"/>
    </w:p>
    <w:p w14:paraId="301D6420">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19.1   采购人将拒绝接收第18条规定的响应文件递交截止时间后递交的任何响应文件。</w:t>
      </w:r>
    </w:p>
    <w:p w14:paraId="0A814C0E">
      <w:pPr>
        <w:pStyle w:val="6"/>
        <w:rPr>
          <w:rFonts w:hint="eastAsia" w:ascii="黑体" w:hAnsi="黑体" w:eastAsia="黑体" w:cs="黑体"/>
          <w:b/>
          <w:color w:val="auto"/>
          <w:sz w:val="24"/>
          <w:szCs w:val="24"/>
          <w:highlight w:val="none"/>
        </w:rPr>
      </w:pPr>
      <w:bookmarkStart w:id="267" w:name="_Toc184043038"/>
      <w:bookmarkStart w:id="268" w:name="_Toc70687165"/>
      <w:bookmarkStart w:id="269" w:name="_Toc10272"/>
      <w:bookmarkStart w:id="270" w:name="_Toc249515302"/>
      <w:bookmarkStart w:id="271" w:name="_Toc249515414"/>
      <w:bookmarkStart w:id="272" w:name="_Toc389620190"/>
      <w:bookmarkStart w:id="273" w:name="_Toc249525183"/>
      <w:bookmarkStart w:id="274" w:name="_Toc385992351"/>
      <w:r>
        <w:rPr>
          <w:rFonts w:hint="eastAsia" w:ascii="黑体" w:hAnsi="黑体" w:eastAsia="黑体" w:cs="黑体"/>
          <w:b/>
          <w:color w:val="auto"/>
          <w:sz w:val="24"/>
          <w:szCs w:val="24"/>
          <w:highlight w:val="none"/>
        </w:rPr>
        <w:t>20.    响应文件的修改和撤</w:t>
      </w:r>
      <w:bookmarkEnd w:id="267"/>
      <w:bookmarkEnd w:id="268"/>
      <w:bookmarkEnd w:id="269"/>
      <w:bookmarkEnd w:id="270"/>
      <w:bookmarkEnd w:id="271"/>
      <w:bookmarkEnd w:id="272"/>
      <w:bookmarkEnd w:id="273"/>
      <w:bookmarkEnd w:id="274"/>
      <w:r>
        <w:rPr>
          <w:rFonts w:hint="eastAsia" w:ascii="黑体" w:hAnsi="黑体" w:eastAsia="黑体" w:cs="黑体"/>
          <w:b/>
          <w:color w:val="auto"/>
          <w:sz w:val="24"/>
          <w:szCs w:val="24"/>
          <w:highlight w:val="none"/>
        </w:rPr>
        <w:t>回</w:t>
      </w:r>
    </w:p>
    <w:p w14:paraId="2D99BE4B">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 xml:space="preserve">20.1   </w:t>
      </w:r>
      <w:r>
        <w:rPr>
          <w:rFonts w:hint="eastAsia" w:ascii="黑体" w:hAnsi="黑体" w:eastAsia="黑体" w:cs="黑体"/>
          <w:color w:val="auto"/>
          <w:sz w:val="24"/>
          <w:szCs w:val="24"/>
          <w:highlight w:val="none"/>
        </w:rPr>
        <w:t>供应商</w:t>
      </w:r>
      <w:r>
        <w:rPr>
          <w:rFonts w:hint="eastAsia" w:ascii="黑体" w:hAnsi="黑体" w:eastAsia="黑体" w:cs="黑体"/>
          <w:color w:val="auto"/>
          <w:sz w:val="24"/>
          <w:szCs w:val="24"/>
          <w:highlight w:val="none"/>
          <w:lang w:eastAsia="zh-CN"/>
        </w:rPr>
        <w:t>在递交</w:t>
      </w:r>
      <w:r>
        <w:rPr>
          <w:rFonts w:hint="eastAsia" w:ascii="黑体" w:hAnsi="黑体" w:eastAsia="黑体" w:cs="黑体"/>
          <w:color w:val="auto"/>
          <w:sz w:val="24"/>
          <w:szCs w:val="24"/>
          <w:highlight w:val="none"/>
        </w:rPr>
        <w:t>截止时间前，可以修改或撤回其投标文件</w:t>
      </w:r>
      <w:r>
        <w:rPr>
          <w:rFonts w:hint="eastAsia" w:ascii="黑体" w:hAnsi="黑体" w:eastAsia="黑体" w:cs="黑体"/>
          <w:color w:val="auto"/>
          <w:sz w:val="24"/>
          <w:szCs w:val="24"/>
          <w:highlight w:val="none"/>
          <w:lang w:eastAsia="zh-CN"/>
        </w:rPr>
        <w:t>。</w:t>
      </w:r>
    </w:p>
    <w:p w14:paraId="35910808">
      <w:pPr>
        <w:keepNext w:val="0"/>
        <w:keepLines w:val="0"/>
        <w:pageBreakBefore w:val="0"/>
        <w:widowControl w:val="0"/>
        <w:tabs>
          <w:tab w:val="left" w:pos="588"/>
        </w:tabs>
        <w:kinsoku/>
        <w:wordWrap/>
        <w:overflowPunct/>
        <w:topLinePunct w:val="0"/>
        <w:autoSpaceDE/>
        <w:autoSpaceDN/>
        <w:bidi w:val="0"/>
        <w:adjustRightInd/>
        <w:snapToGrid/>
        <w:spacing w:line="360" w:lineRule="auto"/>
        <w:ind w:left="980" w:hanging="840" w:hangingChars="3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20.2   在响应文件递交截止时间之后，供应商不得对其响应文件做任何修改。</w:t>
      </w:r>
    </w:p>
    <w:p w14:paraId="4BB48167">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20.3   供应商不得在响应文件递交截止时间起至响应文件有效期期满前撤销其响应文件。</w:t>
      </w:r>
    </w:p>
    <w:p w14:paraId="24BDFEFE">
      <w:pPr>
        <w:pStyle w:val="84"/>
        <w:spacing w:before="24" w:after="24"/>
        <w:ind w:left="3313"/>
        <w:rPr>
          <w:rFonts w:hint="eastAsia" w:ascii="黑体" w:hAnsi="黑体" w:eastAsia="黑体" w:cs="黑体"/>
          <w:color w:val="auto"/>
          <w:sz w:val="24"/>
          <w:szCs w:val="24"/>
          <w:highlight w:val="none"/>
        </w:rPr>
      </w:pPr>
      <w:bookmarkStart w:id="275" w:name="_Hlt491765712"/>
      <w:bookmarkEnd w:id="275"/>
      <w:bookmarkStart w:id="276" w:name="_Hlt497729441"/>
      <w:bookmarkEnd w:id="276"/>
      <w:bookmarkStart w:id="277" w:name="_Toc249525184"/>
      <w:bookmarkStart w:id="278" w:name="_Toc249515303"/>
      <w:bookmarkStart w:id="279" w:name="_Toc256342148"/>
      <w:bookmarkStart w:id="280" w:name="_Toc249515415"/>
      <w:bookmarkStart w:id="281" w:name="_Toc13475"/>
      <w:bookmarkStart w:id="282" w:name="_Toc492955420"/>
      <w:bookmarkStart w:id="283" w:name="_Toc177189240"/>
      <w:bookmarkStart w:id="284" w:name="_Toc500746971"/>
      <w:bookmarkStart w:id="285" w:name="_Toc177995478"/>
      <w:bookmarkStart w:id="286" w:name="_Toc496324584"/>
      <w:bookmarkStart w:id="287" w:name="_Toc177817339"/>
      <w:bookmarkStart w:id="288" w:name="_Toc176882547"/>
      <w:bookmarkStart w:id="289" w:name="_Toc503063427"/>
      <w:bookmarkStart w:id="290" w:name="_Toc53722845"/>
      <w:bookmarkStart w:id="291" w:name="_Toc499711048"/>
      <w:bookmarkStart w:id="292" w:name="_Toc499711889"/>
      <w:bookmarkStart w:id="293" w:name="_Toc184043039"/>
      <w:bookmarkStart w:id="294" w:name="_Toc70687166"/>
      <w:bookmarkStart w:id="295" w:name="_Toc500747194"/>
      <w:bookmarkStart w:id="296" w:name="_Toc500747067"/>
      <w:bookmarkStart w:id="297" w:name="_Toc385992352"/>
      <w:bookmarkStart w:id="298" w:name="_Toc389620191"/>
      <w:r>
        <w:rPr>
          <w:rFonts w:hint="eastAsia" w:ascii="黑体" w:hAnsi="黑体" w:eastAsia="黑体" w:cs="黑体"/>
          <w:color w:val="auto"/>
          <w:sz w:val="24"/>
          <w:szCs w:val="24"/>
          <w:highlight w:val="none"/>
        </w:rPr>
        <w:t>五、评审与</w:t>
      </w:r>
      <w:bookmarkEnd w:id="277"/>
      <w:bookmarkEnd w:id="278"/>
      <w:bookmarkEnd w:id="279"/>
      <w:bookmarkEnd w:id="280"/>
      <w:r>
        <w:rPr>
          <w:rFonts w:hint="eastAsia" w:ascii="黑体" w:hAnsi="黑体" w:eastAsia="黑体" w:cs="黑体"/>
          <w:color w:val="auto"/>
          <w:sz w:val="24"/>
          <w:szCs w:val="24"/>
          <w:highlight w:val="none"/>
        </w:rPr>
        <w:t>磋商</w:t>
      </w:r>
      <w:bookmarkEnd w:id="281"/>
    </w:p>
    <w:p w14:paraId="2AF65E05">
      <w:pPr>
        <w:pStyle w:val="6"/>
        <w:numPr>
          <w:ilvl w:val="0"/>
          <w:numId w:val="9"/>
        </w:numPr>
        <w:rPr>
          <w:rFonts w:hint="eastAsia" w:ascii="黑体" w:hAnsi="黑体" w:eastAsia="黑体" w:cs="黑体"/>
          <w:b/>
          <w:color w:val="auto"/>
          <w:sz w:val="24"/>
          <w:szCs w:val="24"/>
          <w:highlight w:val="none"/>
        </w:rPr>
      </w:pPr>
      <w:bookmarkStart w:id="299" w:name="_Toc249515305"/>
      <w:bookmarkStart w:id="300" w:name="_Toc249525186"/>
      <w:bookmarkStart w:id="301" w:name="_Toc249515417"/>
      <w:bookmarkStart w:id="302" w:name="_Toc16042"/>
      <w:r>
        <w:rPr>
          <w:rFonts w:hint="eastAsia" w:ascii="黑体" w:hAnsi="黑体" w:eastAsia="黑体" w:cs="黑体"/>
          <w:b/>
          <w:color w:val="auto"/>
          <w:sz w:val="24"/>
          <w:szCs w:val="24"/>
          <w:highlight w:val="none"/>
        </w:rPr>
        <w:t xml:space="preserve">   磋商小组</w:t>
      </w:r>
      <w:bookmarkEnd w:id="299"/>
      <w:bookmarkEnd w:id="300"/>
      <w:bookmarkEnd w:id="301"/>
      <w:bookmarkEnd w:id="302"/>
    </w:p>
    <w:p w14:paraId="04C0C6EC">
      <w:pPr>
        <w:pStyle w:val="29"/>
        <w:adjustRightInd w:val="0"/>
        <w:snapToGrid w:val="0"/>
        <w:ind w:left="980" w:hanging="840" w:hangingChars="35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21.1   在磋商开始前组建磋商小组，磋商小组由采购人代表及有关专家组成。专家从政府采购评审专家库相关专业中随机抽取。磋商小组组成见</w:t>
      </w:r>
      <w:r>
        <w:rPr>
          <w:rFonts w:hint="eastAsia" w:ascii="黑体" w:hAnsi="黑体" w:eastAsia="黑体" w:cs="黑体"/>
          <w:b/>
          <w:color w:val="auto"/>
          <w:sz w:val="24"/>
          <w:szCs w:val="24"/>
          <w:highlight w:val="none"/>
        </w:rPr>
        <w:t>供应商须知前附表。</w:t>
      </w:r>
    </w:p>
    <w:p w14:paraId="11C64AB6">
      <w:pPr>
        <w:pStyle w:val="29"/>
        <w:adjustRightInd w:val="0"/>
        <w:snapToGrid w:val="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21.2   磋商小组职责</w:t>
      </w:r>
    </w:p>
    <w:p w14:paraId="6000D090">
      <w:pPr>
        <w:pStyle w:val="29"/>
        <w:adjustRightInd w:val="0"/>
        <w:snapToGrid w:val="0"/>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（1）确认竞争性磋商文件；</w:t>
      </w:r>
    </w:p>
    <w:p w14:paraId="66D569CA">
      <w:pPr>
        <w:pStyle w:val="29"/>
        <w:adjustRightInd w:val="0"/>
        <w:snapToGrid w:val="0"/>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（2）确定符合要求的供应商参加磋商；</w:t>
      </w:r>
    </w:p>
    <w:p w14:paraId="671C18FD">
      <w:pPr>
        <w:pStyle w:val="29"/>
        <w:adjustRightInd w:val="0"/>
        <w:snapToGrid w:val="0"/>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（3）审查供应商的响应文件并做出评价；</w:t>
      </w:r>
    </w:p>
    <w:p w14:paraId="354458DF">
      <w:pPr>
        <w:pStyle w:val="29"/>
        <w:adjustRightInd w:val="0"/>
        <w:snapToGrid w:val="0"/>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（4）要求供应商解释或者澄清其响应文件；</w:t>
      </w:r>
    </w:p>
    <w:p w14:paraId="0FC437DE">
      <w:pPr>
        <w:pStyle w:val="29"/>
        <w:adjustRightInd w:val="0"/>
        <w:snapToGrid w:val="0"/>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（5）编写评审报告；</w:t>
      </w:r>
    </w:p>
    <w:p w14:paraId="04B78747">
      <w:pPr>
        <w:pStyle w:val="29"/>
        <w:adjustRightInd w:val="0"/>
        <w:snapToGrid w:val="0"/>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（6）告知采购人、采购代理机构在评审过程中发现的供应商的违法违规行为。</w:t>
      </w:r>
    </w:p>
    <w:p w14:paraId="2904F1C9">
      <w:pPr>
        <w:pStyle w:val="29"/>
        <w:adjustRightInd w:val="0"/>
        <w:snapToGrid w:val="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21.3   磋商小组义务</w:t>
      </w:r>
    </w:p>
    <w:p w14:paraId="77D3C1F5">
      <w:pPr>
        <w:pStyle w:val="29"/>
        <w:adjustRightInd w:val="0"/>
        <w:snapToGrid w:val="0"/>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（1）遵纪客观、公正、审慎的原则；</w:t>
      </w:r>
    </w:p>
    <w:p w14:paraId="638BC082">
      <w:pPr>
        <w:pStyle w:val="29"/>
        <w:adjustRightInd w:val="0"/>
        <w:snapToGrid w:val="0"/>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（2）根据磋商文件的规定评审程序、评审方法和评审标准独立进行评审，对个人的评审意见承担法律责任；</w:t>
      </w:r>
    </w:p>
    <w:p w14:paraId="524DC9CC">
      <w:pPr>
        <w:pStyle w:val="29"/>
        <w:adjustRightInd w:val="0"/>
        <w:snapToGrid w:val="0"/>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（3）参与评审报告的起草；</w:t>
      </w:r>
    </w:p>
    <w:p w14:paraId="592022DF">
      <w:pPr>
        <w:pStyle w:val="29"/>
        <w:adjustRightInd w:val="0"/>
        <w:snapToGrid w:val="0"/>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（4）配合采购人、采购代理机构答复供应商提出的质疑；</w:t>
      </w:r>
    </w:p>
    <w:p w14:paraId="37D5E1CD">
      <w:pPr>
        <w:pStyle w:val="29"/>
        <w:adjustRightInd w:val="0"/>
        <w:snapToGrid w:val="0"/>
        <w:ind w:left="838" w:leftChars="39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（5）配合财政部门的投诉处理和监督检查工作。</w:t>
      </w:r>
    </w:p>
    <w:p w14:paraId="77236CA8">
      <w:pPr>
        <w:pStyle w:val="29"/>
        <w:adjustRightInd w:val="0"/>
        <w:snapToGrid w:val="0"/>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21.4   确认磋商文件：磋商小组对磋商文件进行审阅，无修改进行签字确认，有修改，修改内容经采购人确认后，磋商小组以书面形式通知所有供应商。</w:t>
      </w:r>
    </w:p>
    <w:p w14:paraId="243C236D">
      <w:pPr>
        <w:pStyle w:val="6"/>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22.    磋商小组成员有下列情形之一的，应当回避：</w:t>
      </w:r>
    </w:p>
    <w:p w14:paraId="691E850C">
      <w:pPr>
        <w:pStyle w:val="6"/>
        <w:tabs>
          <w:tab w:val="left" w:pos="360"/>
        </w:tabs>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22.1   参加采购活动前3年内与供应商存在劳动关系；</w:t>
      </w:r>
    </w:p>
    <w:p w14:paraId="5753416C">
      <w:pPr>
        <w:pStyle w:val="6"/>
        <w:tabs>
          <w:tab w:val="left" w:pos="360"/>
        </w:tabs>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22.2   参加采购活动前3年内担任供应商的董事、监事；</w:t>
      </w:r>
    </w:p>
    <w:p w14:paraId="5CF11FDA">
      <w:pPr>
        <w:pStyle w:val="6"/>
        <w:tabs>
          <w:tab w:val="left" w:pos="360"/>
        </w:tabs>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22.3   参加采购活动前3年内是供应商的控股股东或者实际控制人；</w:t>
      </w:r>
    </w:p>
    <w:p w14:paraId="2DDFE082">
      <w:pPr>
        <w:pStyle w:val="6"/>
        <w:tabs>
          <w:tab w:val="left" w:pos="360"/>
        </w:tabs>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22.4   与供应商有其他可能影响政府采购活动公平、公正进行的关系。</w:t>
      </w:r>
    </w:p>
    <w:p w14:paraId="0A9F6546">
      <w:pPr>
        <w:pStyle w:val="6"/>
        <w:rPr>
          <w:rFonts w:hint="eastAsia" w:ascii="黑体" w:hAnsi="黑体" w:eastAsia="黑体" w:cs="黑体"/>
          <w:b/>
          <w:color w:val="auto"/>
          <w:sz w:val="24"/>
          <w:szCs w:val="24"/>
          <w:highlight w:val="none"/>
        </w:rPr>
      </w:pPr>
      <w:bookmarkStart w:id="303" w:name="_Toc249515418"/>
      <w:bookmarkStart w:id="304" w:name="_Toc249525187"/>
      <w:bookmarkStart w:id="305" w:name="_Toc83547667"/>
      <w:bookmarkStart w:id="306" w:name="_Toc20608"/>
      <w:bookmarkStart w:id="307" w:name="_Toc249515306"/>
      <w:r>
        <w:rPr>
          <w:rFonts w:hint="eastAsia" w:ascii="黑体" w:hAnsi="黑体" w:eastAsia="黑体" w:cs="黑体"/>
          <w:b/>
          <w:color w:val="auto"/>
          <w:sz w:val="24"/>
          <w:szCs w:val="24"/>
          <w:highlight w:val="none"/>
        </w:rPr>
        <w:t>23.    磋商程序</w:t>
      </w:r>
    </w:p>
    <w:p w14:paraId="322A6F1A">
      <w:pPr>
        <w:pStyle w:val="6"/>
        <w:tabs>
          <w:tab w:val="left" w:pos="360"/>
        </w:tabs>
        <w:rPr>
          <w:rFonts w:hint="eastAsia" w:ascii="黑体" w:hAnsi="黑体" w:eastAsia="黑体" w:cs="黑体"/>
          <w:b/>
          <w:color w:val="auto"/>
          <w:sz w:val="24"/>
          <w:szCs w:val="24"/>
          <w:highlight w:val="none"/>
        </w:rPr>
      </w:pPr>
      <w:bookmarkStart w:id="308" w:name="_Toc58504507"/>
      <w:r>
        <w:rPr>
          <w:rFonts w:hint="eastAsia" w:ascii="黑体" w:hAnsi="黑体" w:eastAsia="黑体" w:cs="黑体"/>
          <w:b/>
          <w:color w:val="auto"/>
          <w:sz w:val="24"/>
          <w:szCs w:val="24"/>
          <w:highlight w:val="none"/>
        </w:rPr>
        <w:t>23.1   磋商会议</w:t>
      </w:r>
      <w:bookmarkEnd w:id="308"/>
    </w:p>
    <w:p w14:paraId="33D4DBED">
      <w:pPr>
        <w:pStyle w:val="23"/>
        <w:ind w:left="840" w:leftChars="400"/>
        <w:rPr>
          <w:rFonts w:hint="eastAsia" w:ascii="黑体" w:hAnsi="黑体" w:eastAsia="黑体" w:cs="黑体"/>
          <w:color w:val="auto"/>
          <w:sz w:val="24"/>
          <w:szCs w:val="24"/>
          <w:highlight w:val="none"/>
        </w:rPr>
      </w:pPr>
      <w:bookmarkStart w:id="309" w:name="_Toc58504508"/>
      <w:r>
        <w:rPr>
          <w:rFonts w:hint="eastAsia" w:ascii="黑体" w:hAnsi="黑体" w:eastAsia="黑体" w:cs="黑体"/>
          <w:color w:val="auto"/>
          <w:sz w:val="24"/>
          <w:szCs w:val="24"/>
          <w:highlight w:val="none"/>
        </w:rPr>
        <w:t>（1）在磋商文件规定的时间和地点，由采购代理机构组织磋商工作，供应商须委派代表参加，签名以证明其出席。</w:t>
      </w:r>
      <w:bookmarkEnd w:id="309"/>
    </w:p>
    <w:p w14:paraId="44D661EF">
      <w:pPr>
        <w:pStyle w:val="23"/>
        <w:ind w:left="840" w:leftChars="400"/>
        <w:rPr>
          <w:rFonts w:hint="eastAsia" w:ascii="黑体" w:hAnsi="黑体" w:eastAsia="黑体" w:cs="黑体"/>
          <w:color w:val="auto"/>
          <w:sz w:val="24"/>
          <w:szCs w:val="24"/>
          <w:highlight w:val="none"/>
        </w:rPr>
      </w:pPr>
      <w:bookmarkStart w:id="310" w:name="_Toc58504509"/>
      <w:r>
        <w:rPr>
          <w:rFonts w:hint="eastAsia" w:ascii="黑体" w:hAnsi="黑体" w:eastAsia="黑体" w:cs="黑体"/>
          <w:color w:val="auto"/>
          <w:sz w:val="24"/>
          <w:szCs w:val="24"/>
          <w:highlight w:val="none"/>
        </w:rPr>
        <w:t>（2）宣布会议纪律</w:t>
      </w:r>
      <w:r>
        <w:rPr>
          <w:rFonts w:hint="eastAsia" w:ascii="黑体" w:hAnsi="黑体" w:eastAsia="黑体" w:cs="黑体"/>
          <w:color w:val="auto"/>
          <w:sz w:val="24"/>
          <w:szCs w:val="24"/>
          <w:highlight w:val="none"/>
          <w:lang w:eastAsia="zh-CN"/>
        </w:rPr>
        <w:t>及公布投标人情况</w:t>
      </w:r>
      <w:r>
        <w:rPr>
          <w:rFonts w:hint="eastAsia" w:ascii="黑体" w:hAnsi="黑体" w:eastAsia="黑体" w:cs="黑体"/>
          <w:color w:val="auto"/>
          <w:sz w:val="24"/>
          <w:szCs w:val="24"/>
          <w:highlight w:val="none"/>
        </w:rPr>
        <w:t>。</w:t>
      </w:r>
      <w:bookmarkEnd w:id="310"/>
    </w:p>
    <w:p w14:paraId="40F05F50">
      <w:pPr>
        <w:pStyle w:val="23"/>
        <w:ind w:left="840" w:leftChars="400"/>
        <w:rPr>
          <w:rFonts w:hint="eastAsia" w:ascii="黑体" w:hAnsi="黑体" w:eastAsia="黑体" w:cs="黑体"/>
          <w:color w:val="auto"/>
          <w:sz w:val="24"/>
          <w:szCs w:val="24"/>
          <w:highlight w:val="none"/>
        </w:rPr>
      </w:pPr>
      <w:bookmarkStart w:id="311" w:name="_Toc58504510"/>
      <w:r>
        <w:rPr>
          <w:rFonts w:hint="eastAsia" w:ascii="黑体" w:hAnsi="黑体" w:eastAsia="黑体" w:cs="黑体"/>
          <w:color w:val="auto"/>
          <w:sz w:val="24"/>
          <w:szCs w:val="24"/>
          <w:highlight w:val="none"/>
        </w:rPr>
        <w:t>（3）投标人</w:t>
      </w:r>
      <w:r>
        <w:rPr>
          <w:rFonts w:hint="eastAsia" w:ascii="黑体" w:hAnsi="黑体" w:eastAsia="黑体" w:cs="黑体"/>
          <w:color w:val="auto"/>
          <w:sz w:val="24"/>
          <w:szCs w:val="24"/>
          <w:highlight w:val="none"/>
          <w:lang w:eastAsia="zh-CN"/>
        </w:rPr>
        <w:t>代表</w:t>
      </w:r>
      <w:r>
        <w:rPr>
          <w:rFonts w:hint="eastAsia" w:ascii="黑体" w:hAnsi="黑体" w:eastAsia="黑体" w:cs="黑体"/>
          <w:color w:val="auto"/>
          <w:sz w:val="24"/>
          <w:szCs w:val="24"/>
          <w:highlight w:val="none"/>
        </w:rPr>
        <w:t>解密响应文件。</w:t>
      </w:r>
      <w:bookmarkEnd w:id="311"/>
    </w:p>
    <w:p w14:paraId="6B984BF3">
      <w:pPr>
        <w:pStyle w:val="6"/>
        <w:tabs>
          <w:tab w:val="left" w:pos="360"/>
        </w:tabs>
        <w:rPr>
          <w:rFonts w:hint="eastAsia" w:ascii="黑体" w:hAnsi="黑体" w:eastAsia="黑体" w:cs="黑体"/>
          <w:b/>
          <w:color w:val="auto"/>
          <w:sz w:val="24"/>
          <w:szCs w:val="24"/>
          <w:highlight w:val="none"/>
        </w:rPr>
      </w:pPr>
      <w:bookmarkStart w:id="312" w:name="_Toc58504511"/>
      <w:r>
        <w:rPr>
          <w:rFonts w:hint="eastAsia" w:ascii="黑体" w:hAnsi="黑体" w:eastAsia="黑体" w:cs="黑体"/>
          <w:b/>
          <w:color w:val="auto"/>
          <w:sz w:val="24"/>
          <w:szCs w:val="24"/>
          <w:highlight w:val="none"/>
        </w:rPr>
        <w:t>23.2   响应文件</w:t>
      </w:r>
      <w:bookmarkEnd w:id="303"/>
      <w:bookmarkEnd w:id="304"/>
      <w:bookmarkEnd w:id="305"/>
      <w:bookmarkEnd w:id="306"/>
      <w:bookmarkEnd w:id="307"/>
      <w:r>
        <w:rPr>
          <w:rFonts w:hint="eastAsia" w:ascii="黑体" w:hAnsi="黑体" w:eastAsia="黑体" w:cs="黑体"/>
          <w:b/>
          <w:color w:val="auto"/>
          <w:sz w:val="24"/>
          <w:szCs w:val="24"/>
          <w:highlight w:val="none"/>
        </w:rPr>
        <w:t>评审</w:t>
      </w:r>
      <w:bookmarkEnd w:id="312"/>
    </w:p>
    <w:p w14:paraId="7F3B1D5B">
      <w:pPr>
        <w:tabs>
          <w:tab w:val="left" w:pos="360"/>
          <w:tab w:val="left" w:pos="588"/>
        </w:tabs>
        <w:spacing w:line="360" w:lineRule="auto"/>
        <w:ind w:left="984" w:hanging="843" w:hangingChars="350"/>
        <w:rPr>
          <w:rFonts w:hint="eastAsia" w:ascii="黑体" w:hAnsi="黑体" w:eastAsia="黑体" w:cs="黑体"/>
          <w:color w:val="auto"/>
          <w:sz w:val="24"/>
          <w:szCs w:val="24"/>
          <w:highlight w:val="none"/>
        </w:rPr>
      </w:pPr>
      <w:bookmarkStart w:id="313" w:name="_Toc83547671"/>
      <w:r>
        <w:rPr>
          <w:rFonts w:hint="eastAsia" w:ascii="黑体" w:hAnsi="黑体" w:eastAsia="黑体" w:cs="黑体"/>
          <w:b/>
          <w:color w:val="auto"/>
          <w:sz w:val="24"/>
          <w:szCs w:val="24"/>
          <w:highlight w:val="none"/>
        </w:rPr>
        <w:t>23.2.1 响应文件的资格性审查</w:t>
      </w:r>
      <w:r>
        <w:rPr>
          <w:rFonts w:hint="eastAsia" w:ascii="黑体" w:hAnsi="黑体" w:eastAsia="黑体" w:cs="黑体"/>
          <w:color w:val="auto"/>
          <w:sz w:val="24"/>
          <w:szCs w:val="24"/>
          <w:highlight w:val="none"/>
        </w:rPr>
        <w:t>。依据法律法规和磋商文件的规定，对响应文件中的资格要求文件等进行审查，以确认供应商具备相应资格。资格性审查出现下列情况者（但不限于），按无效文件处理：</w:t>
      </w:r>
    </w:p>
    <w:p w14:paraId="23B60AF2">
      <w:pPr>
        <w:pStyle w:val="23"/>
        <w:ind w:left="719" w:leftChars="228" w:hanging="240" w:hanging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基本资格条件：符合《中华人民共和国政府采购法》第二十二条的规定；</w:t>
      </w:r>
    </w:p>
    <w:p w14:paraId="051B466F">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特定资格条件：</w:t>
      </w:r>
    </w:p>
    <w:p w14:paraId="6ECB1E36">
      <w:pPr>
        <w:pStyle w:val="23"/>
        <w:ind w:left="479" w:leftChars="228" w:firstLine="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供应商在递交投标文件截止时间前被“信用中国”网站（www.creditchina.gov.cn）和中国政府采购网（www.ccgp.gov.cn）上被列入失信被执行人、重大税收违法失信主体、政府采购严重违法失信行为记录名单的，不得参加投标；</w:t>
      </w:r>
    </w:p>
    <w:p w14:paraId="5A358DD8">
      <w:pPr>
        <w:pStyle w:val="23"/>
        <w:ind w:left="479" w:leftChars="228" w:firstLine="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投标人为代理商的应出具医疗器械经营许可证(或医疗器械经营备案凭证)和制造厂商的医疗器械生产许可证(或医疗器械生产备案凭证)；投标人为制造厂商的应出具医疗器械生产许可证(或医疗器械生产备案凭证)；</w:t>
      </w:r>
    </w:p>
    <w:p w14:paraId="63891473">
      <w:pPr>
        <w:pStyle w:val="23"/>
        <w:ind w:left="479" w:leftChars="228" w:firstLine="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2-3</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所投产品如属于医疗器械应出具医疗器械注册证或医疗器械备案凭证；</w:t>
      </w:r>
    </w:p>
    <w:p w14:paraId="5122F861">
      <w:pPr>
        <w:pStyle w:val="23"/>
        <w:ind w:left="479" w:leftChars="228"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（2-4）法定代表人（或单位负责人）授权书及被授权人身份证、授权代表本单位证明（养老保险缴纳证明或劳动合同）；</w:t>
      </w:r>
    </w:p>
    <w:p w14:paraId="0F3F603E">
      <w:pPr>
        <w:pStyle w:val="23"/>
        <w:ind w:left="479" w:leftChars="228"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（2-5）供应商不得存在下列情形之一：</w:t>
      </w:r>
    </w:p>
    <w:p w14:paraId="187C01D5">
      <w:pPr>
        <w:pStyle w:val="23"/>
        <w:ind w:left="479" w:leftChars="228"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单位负责人为同一人或者存在直接控股、管理关系的不同供应商，不得参加本次采购活动；</w:t>
      </w:r>
    </w:p>
    <w:p w14:paraId="664C008C">
      <w:pPr>
        <w:pStyle w:val="23"/>
        <w:ind w:left="479" w:leftChars="228"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为本项目提供整体设计、规范编制或者项目管理、监理、检测等服务的供应商，不得再参加该采购项目的其他采购活动。</w:t>
      </w:r>
    </w:p>
    <w:p w14:paraId="2E031B9E">
      <w:pPr>
        <w:pStyle w:val="23"/>
        <w:ind w:left="723" w:hanging="723" w:hangingChars="300"/>
        <w:rPr>
          <w:rFonts w:hint="eastAsia" w:ascii="黑体" w:hAnsi="黑体" w:eastAsia="黑体" w:cs="黑体"/>
          <w:color w:val="auto"/>
          <w:sz w:val="24"/>
          <w:szCs w:val="24"/>
          <w:highlight w:val="none"/>
          <w:lang w:eastAsia="zh-CN"/>
        </w:rPr>
      </w:pPr>
      <w:r>
        <w:rPr>
          <w:rFonts w:hint="eastAsia" w:ascii="黑体" w:hAnsi="黑体" w:eastAsia="黑体" w:cs="黑体"/>
          <w:b/>
          <w:color w:val="auto"/>
          <w:sz w:val="24"/>
          <w:szCs w:val="24"/>
          <w:highlight w:val="none"/>
        </w:rPr>
        <w:t>23.2.2 磋商响应文件符合性审查：</w:t>
      </w:r>
      <w:r>
        <w:rPr>
          <w:rFonts w:hint="eastAsia" w:ascii="黑体" w:hAnsi="黑体" w:eastAsia="黑体" w:cs="黑体"/>
          <w:color w:val="auto"/>
          <w:sz w:val="24"/>
          <w:szCs w:val="24"/>
          <w:highlight w:val="none"/>
        </w:rPr>
        <w:t>依据磋商文件的规定，对响应文件的符合性进行审查，以确定是否满足磋商文件要求</w:t>
      </w:r>
      <w:r>
        <w:rPr>
          <w:rFonts w:hint="eastAsia" w:ascii="黑体" w:hAnsi="黑体" w:eastAsia="黑体" w:cs="黑体"/>
          <w:color w:val="auto"/>
          <w:sz w:val="24"/>
          <w:szCs w:val="24"/>
          <w:highlight w:val="none"/>
          <w:lang w:eastAsia="zh-CN"/>
        </w:rPr>
        <w:t>。</w:t>
      </w:r>
    </w:p>
    <w:p w14:paraId="6FF2062C">
      <w:pPr>
        <w:pStyle w:val="23"/>
        <w:ind w:left="839" w:leftChars="114" w:hanging="600" w:hanging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23.2.3</w:t>
      </w:r>
      <w:r>
        <w:rPr>
          <w:rFonts w:hint="eastAsia" w:ascii="黑体" w:hAnsi="黑体" w:eastAsia="黑体" w:cs="黑体"/>
          <w:color w:val="auto"/>
          <w:sz w:val="24"/>
          <w:szCs w:val="24"/>
          <w:highlight w:val="none"/>
        </w:rPr>
        <w:t>出现下列情况者（但不限于），按无效文件处理。</w:t>
      </w:r>
    </w:p>
    <w:p w14:paraId="0B6E8F6D">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（1）供应商未按磋商文件要求加盖单位公章；</w:t>
      </w:r>
    </w:p>
    <w:p w14:paraId="600E8E63">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（2）磋商响应文件未按磋商文件要求法定代表人或其授权代表签字；</w:t>
      </w:r>
    </w:p>
    <w:p w14:paraId="388197A4">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（3）无有效期或有效期达不到磋商文件的要求。</w:t>
      </w:r>
    </w:p>
    <w:p w14:paraId="6444D6BD">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（4）供应商首次磋商报价出现选择性报价。</w:t>
      </w:r>
    </w:p>
    <w:p w14:paraId="6231EC45">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（5）首次磋商报价超出采购预算；</w:t>
      </w:r>
    </w:p>
    <w:p w14:paraId="469C6ED0">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（6）响应文件中对合同草案条款附加了采购人难以接受的条件。</w:t>
      </w:r>
    </w:p>
    <w:p w14:paraId="402C06FC">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（7）磋商内容出现漏项或数量与要求不符，出现重大负偏差。</w:t>
      </w:r>
    </w:p>
    <w:p w14:paraId="6128338F">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（8）响应报价与市场价偏离较大，低于成本，形成不正当竞争。</w:t>
      </w:r>
    </w:p>
    <w:p w14:paraId="20E84CA1">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（9）供应商提供虚假证明，开具虚假资质，出现虚假应答或故意隐瞒行为。</w:t>
      </w:r>
    </w:p>
    <w:p w14:paraId="2E49886E">
      <w:pPr>
        <w:pStyle w:val="6"/>
        <w:tabs>
          <w:tab w:val="left" w:pos="360"/>
        </w:tabs>
        <w:rPr>
          <w:rFonts w:hint="eastAsia" w:ascii="黑体" w:hAnsi="黑体" w:eastAsia="黑体" w:cs="黑体"/>
          <w:b/>
          <w:color w:val="auto"/>
          <w:sz w:val="24"/>
          <w:szCs w:val="24"/>
          <w:highlight w:val="none"/>
        </w:rPr>
      </w:pPr>
      <w:bookmarkStart w:id="314" w:name="_Toc58504512"/>
      <w:r>
        <w:rPr>
          <w:rFonts w:hint="eastAsia" w:ascii="黑体" w:hAnsi="黑体" w:eastAsia="黑体" w:cs="黑体"/>
          <w:b/>
          <w:color w:val="auto"/>
          <w:sz w:val="24"/>
          <w:szCs w:val="24"/>
          <w:highlight w:val="none"/>
        </w:rPr>
        <w:t>23.3   磋商</w:t>
      </w:r>
      <w:bookmarkEnd w:id="314"/>
    </w:p>
    <w:p w14:paraId="4ADB9593">
      <w:pPr>
        <w:pStyle w:val="23"/>
        <w:ind w:left="980" w:hanging="840" w:hangingChars="350"/>
        <w:rPr>
          <w:rFonts w:hint="eastAsia" w:ascii="黑体" w:hAnsi="黑体" w:eastAsia="黑体" w:cs="黑体"/>
          <w:color w:val="auto"/>
          <w:sz w:val="24"/>
          <w:szCs w:val="24"/>
          <w:highlight w:val="none"/>
        </w:rPr>
      </w:pPr>
      <w:bookmarkStart w:id="315" w:name="_Toc58504513"/>
      <w:r>
        <w:rPr>
          <w:rFonts w:hint="eastAsia" w:ascii="黑体" w:hAnsi="黑体" w:eastAsia="黑体" w:cs="黑体"/>
          <w:color w:val="auto"/>
          <w:sz w:val="24"/>
          <w:szCs w:val="24"/>
          <w:highlight w:val="none"/>
        </w:rPr>
        <w:t>23.3.1 磋商小组集中与各供应商分别进行磋商，并给所有参加磋商供应商平等的磋商机会。</w:t>
      </w:r>
      <w:bookmarkEnd w:id="315"/>
    </w:p>
    <w:p w14:paraId="64764F3D">
      <w:pPr>
        <w:pStyle w:val="23"/>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23.3.2 磋商小组在对响应文件的有效性、完整性和响应程度进行审核时，以</w:t>
      </w:r>
      <w:r>
        <w:rPr>
          <w:rFonts w:hint="eastAsia" w:ascii="黑体" w:hAnsi="黑体" w:eastAsia="黑体" w:cs="黑体"/>
          <w:b/>
          <w:color w:val="auto"/>
          <w:sz w:val="24"/>
          <w:szCs w:val="24"/>
          <w:highlight w:val="none"/>
        </w:rPr>
        <w:t>书面形式</w:t>
      </w:r>
      <w:r>
        <w:rPr>
          <w:rFonts w:hint="eastAsia" w:ascii="黑体" w:hAnsi="黑体" w:eastAsia="黑体" w:cs="黑体"/>
          <w:color w:val="auto"/>
          <w:sz w:val="24"/>
          <w:szCs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20DBBE27">
      <w:pPr>
        <w:pStyle w:val="23"/>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53730575">
      <w:pPr>
        <w:pStyle w:val="23"/>
        <w:keepNext w:val="0"/>
        <w:keepLines w:val="0"/>
        <w:pageBreakBefore w:val="0"/>
        <w:widowControl w:val="0"/>
        <w:kinsoku/>
        <w:wordWrap/>
        <w:overflowPunct/>
        <w:topLinePunct w:val="0"/>
        <w:autoSpaceDE/>
        <w:autoSpaceDN/>
        <w:bidi w:val="0"/>
        <w:adjustRightInd/>
        <w:snapToGrid/>
        <w:ind w:left="980" w:hanging="840" w:hangingChars="3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23.3.4 如出现下述情形之一的，视为供应商主动退出磋商，其响应将被拒绝：</w:t>
      </w:r>
    </w:p>
    <w:p w14:paraId="4FE34B4D">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（1）供应商未按要求确认磋商小组确定的本项目最终技术需求的；</w:t>
      </w:r>
    </w:p>
    <w:p w14:paraId="55315440">
      <w:pPr>
        <w:pStyle w:val="23"/>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（2）最后报价未实质性响应磋商小组确定的本项目最终技术需求的，或附有采购人无法接受的条件的。</w:t>
      </w:r>
    </w:p>
    <w:p w14:paraId="254F3242">
      <w:pPr>
        <w:pStyle w:val="23"/>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23.4   最后报价</w:t>
      </w:r>
    </w:p>
    <w:p w14:paraId="6B7F69BC">
      <w:pPr>
        <w:pStyle w:val="23"/>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23.4.1 磋商结束后，磋商小组要求所有实质性响应的供应商在规定时间内提交最后报价，提交最后报价的供应商不少于3家。最后报价是供应商响应文件的有效组成部分。</w:t>
      </w:r>
    </w:p>
    <w:p w14:paraId="5DBD333C">
      <w:pPr>
        <w:pStyle w:val="6"/>
        <w:rPr>
          <w:rFonts w:hint="eastAsia" w:ascii="黑体" w:hAnsi="黑体" w:eastAsia="黑体" w:cs="黑体"/>
          <w:b/>
          <w:bCs/>
          <w:color w:val="auto"/>
          <w:sz w:val="24"/>
          <w:szCs w:val="24"/>
          <w:highlight w:val="none"/>
        </w:rPr>
      </w:pPr>
      <w:bookmarkStart w:id="316" w:name="_Toc150774646"/>
      <w:bookmarkStart w:id="317" w:name="_Toc151190173"/>
      <w:bookmarkStart w:id="318" w:name="_Toc164608660"/>
      <w:bookmarkStart w:id="319" w:name="_Toc151193934"/>
      <w:bookmarkStart w:id="320" w:name="_Toc249515422"/>
      <w:bookmarkStart w:id="321" w:name="_Toc150480784"/>
      <w:bookmarkStart w:id="322" w:name="_Toc149720839"/>
      <w:bookmarkStart w:id="323" w:name="_Toc13753"/>
      <w:bookmarkStart w:id="324" w:name="_Toc127161460"/>
      <w:bookmarkStart w:id="325" w:name="_Toc150774751"/>
      <w:bookmarkStart w:id="326" w:name="_Ref467307010"/>
      <w:bookmarkStart w:id="327" w:name="_Toc127151747"/>
      <w:bookmarkStart w:id="328" w:name="_Toc142311048"/>
      <w:bookmarkStart w:id="329" w:name="_Toc249515310"/>
      <w:bookmarkStart w:id="330" w:name="_Toc164229241"/>
      <w:bookmarkStart w:id="331" w:name="_Toc164351640"/>
      <w:bookmarkStart w:id="332" w:name="_Toc127151546"/>
      <w:bookmarkStart w:id="333" w:name="_Toc520356170"/>
      <w:bookmarkStart w:id="334" w:name="_Toc164608815"/>
      <w:bookmarkStart w:id="335" w:name="_Toc151193716"/>
      <w:bookmarkStart w:id="336" w:name="_Toc195842911"/>
      <w:bookmarkStart w:id="337" w:name="_Toc151193860"/>
      <w:bookmarkStart w:id="338" w:name="_Toc151193644"/>
      <w:bookmarkStart w:id="339" w:name="_Toc150509297"/>
      <w:bookmarkStart w:id="340" w:name="_Toc249525191"/>
      <w:bookmarkStart w:id="341" w:name="_Toc151193788"/>
      <w:bookmarkStart w:id="342" w:name="_Toc164229387"/>
      <w:r>
        <w:rPr>
          <w:rFonts w:hint="eastAsia" w:ascii="黑体" w:hAnsi="黑体" w:eastAsia="黑体" w:cs="黑体"/>
          <w:b/>
          <w:bCs/>
          <w:color w:val="auto"/>
          <w:sz w:val="24"/>
          <w:szCs w:val="24"/>
          <w:highlight w:val="none"/>
        </w:rPr>
        <w:t>24.    评审办法及</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hint="eastAsia" w:ascii="黑体" w:hAnsi="黑体" w:eastAsia="黑体" w:cs="黑体"/>
          <w:b/>
          <w:bCs/>
          <w:color w:val="auto"/>
          <w:sz w:val="24"/>
          <w:szCs w:val="24"/>
          <w:highlight w:val="none"/>
        </w:rPr>
        <w:t>落实政府采购政策，详见第三章。</w:t>
      </w:r>
    </w:p>
    <w:p w14:paraId="0E34990C">
      <w:pPr>
        <w:rPr>
          <w:rFonts w:hint="eastAsia" w:ascii="黑体" w:hAnsi="黑体" w:eastAsia="黑体" w:cs="黑体"/>
          <w:color w:val="auto"/>
          <w:sz w:val="24"/>
          <w:szCs w:val="24"/>
          <w:highlight w:val="none"/>
        </w:rPr>
      </w:pPr>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313"/>
    <w:p w14:paraId="1A45F55C">
      <w:pPr>
        <w:pStyle w:val="84"/>
        <w:spacing w:before="24" w:after="24"/>
        <w:jc w:val="center"/>
        <w:rPr>
          <w:rFonts w:hint="eastAsia" w:ascii="黑体" w:hAnsi="黑体" w:eastAsia="黑体" w:cs="黑体"/>
          <w:color w:val="auto"/>
          <w:sz w:val="24"/>
          <w:szCs w:val="24"/>
          <w:highlight w:val="none"/>
        </w:rPr>
      </w:pPr>
      <w:bookmarkStart w:id="343" w:name="_Hlt491765714"/>
      <w:bookmarkEnd w:id="343"/>
      <w:bookmarkStart w:id="344" w:name="_Hlt497729446"/>
      <w:bookmarkEnd w:id="344"/>
      <w:bookmarkStart w:id="345" w:name="_Toc249515423"/>
      <w:bookmarkStart w:id="346" w:name="_Toc232176278"/>
      <w:bookmarkStart w:id="347" w:name="_Toc249525192"/>
      <w:bookmarkStart w:id="348" w:name="_Toc232395218"/>
      <w:bookmarkStart w:id="349" w:name="_Toc256342149"/>
      <w:bookmarkStart w:id="350" w:name="_Toc249515311"/>
      <w:bookmarkStart w:id="351" w:name="_Toc13055"/>
      <w:bookmarkStart w:id="352" w:name="_Toc389620199"/>
      <w:bookmarkStart w:id="353" w:name="_Toc499711890"/>
      <w:bookmarkStart w:id="354" w:name="_Toc184043047"/>
      <w:bookmarkStart w:id="355" w:name="_Toc177817340"/>
      <w:bookmarkStart w:id="356" w:name="_Toc500746972"/>
      <w:bookmarkStart w:id="357" w:name="_Toc177995479"/>
      <w:bookmarkStart w:id="358" w:name="_Toc496324585"/>
      <w:bookmarkStart w:id="359" w:name="_Toc53722846"/>
      <w:bookmarkStart w:id="360" w:name="_Toc176882548"/>
      <w:bookmarkStart w:id="361" w:name="_Toc492955421"/>
      <w:bookmarkStart w:id="362" w:name="_Toc177189241"/>
      <w:bookmarkStart w:id="363" w:name="_Toc499711049"/>
      <w:bookmarkStart w:id="364" w:name="_Toc385992360"/>
      <w:bookmarkStart w:id="365" w:name="_Toc70687174"/>
      <w:bookmarkStart w:id="366" w:name="_Toc500747068"/>
      <w:bookmarkStart w:id="367" w:name="_Toc503063428"/>
      <w:bookmarkStart w:id="368" w:name="_Toc500747195"/>
      <w:r>
        <w:rPr>
          <w:rFonts w:hint="eastAsia" w:ascii="黑体" w:hAnsi="黑体" w:eastAsia="黑体" w:cs="黑体"/>
          <w:color w:val="auto"/>
          <w:sz w:val="24"/>
          <w:szCs w:val="24"/>
          <w:highlight w:val="none"/>
        </w:rPr>
        <w:t>六、确定成交单位、授予合同</w:t>
      </w:r>
      <w:bookmarkEnd w:id="345"/>
      <w:bookmarkEnd w:id="346"/>
      <w:bookmarkEnd w:id="347"/>
      <w:bookmarkEnd w:id="348"/>
      <w:bookmarkEnd w:id="349"/>
      <w:bookmarkEnd w:id="350"/>
      <w:bookmarkEnd w:id="351"/>
    </w:p>
    <w:p w14:paraId="31B7DAA9">
      <w:pPr>
        <w:rPr>
          <w:rFonts w:hint="eastAsia" w:ascii="黑体" w:hAnsi="黑体" w:eastAsia="黑体" w:cs="黑体"/>
          <w:color w:val="auto"/>
          <w:sz w:val="24"/>
          <w:szCs w:val="24"/>
          <w:highlight w:val="none"/>
        </w:rPr>
      </w:pP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14CC3FB0">
      <w:pPr>
        <w:pStyle w:val="6"/>
        <w:numPr>
          <w:ilvl w:val="0"/>
          <w:numId w:val="10"/>
        </w:numPr>
        <w:rPr>
          <w:rFonts w:hint="eastAsia" w:ascii="黑体" w:hAnsi="黑体" w:eastAsia="黑体" w:cs="黑体"/>
          <w:b/>
          <w:bCs/>
          <w:color w:val="auto"/>
          <w:sz w:val="24"/>
          <w:szCs w:val="24"/>
          <w:highlight w:val="none"/>
        </w:rPr>
      </w:pPr>
      <w:bookmarkStart w:id="369" w:name="_Toc389620200"/>
      <w:bookmarkStart w:id="370" w:name="_Toc184043048"/>
      <w:bookmarkStart w:id="371" w:name="_Toc385992361"/>
      <w:bookmarkStart w:id="372" w:name="_Toc249515424"/>
      <w:bookmarkStart w:id="373" w:name="_Toc249515312"/>
      <w:bookmarkStart w:id="374" w:name="_Toc249525193"/>
      <w:bookmarkStart w:id="375" w:name="_Toc70687175"/>
      <w:bookmarkStart w:id="376" w:name="_Toc27151"/>
      <w:r>
        <w:rPr>
          <w:rFonts w:hint="eastAsia" w:ascii="黑体" w:hAnsi="黑体" w:eastAsia="黑体" w:cs="黑体"/>
          <w:b/>
          <w:bCs/>
          <w:color w:val="auto"/>
          <w:sz w:val="24"/>
          <w:szCs w:val="24"/>
          <w:highlight w:val="none"/>
        </w:rPr>
        <w:t xml:space="preserve">   确定成交</w:t>
      </w:r>
      <w:bookmarkEnd w:id="369"/>
      <w:bookmarkEnd w:id="370"/>
      <w:bookmarkEnd w:id="371"/>
      <w:bookmarkEnd w:id="372"/>
      <w:bookmarkEnd w:id="373"/>
      <w:bookmarkEnd w:id="374"/>
      <w:bookmarkEnd w:id="375"/>
      <w:bookmarkEnd w:id="376"/>
      <w:r>
        <w:rPr>
          <w:rFonts w:hint="eastAsia" w:ascii="黑体" w:hAnsi="黑体" w:eastAsia="黑体" w:cs="黑体"/>
          <w:b/>
          <w:bCs/>
          <w:color w:val="auto"/>
          <w:sz w:val="24"/>
          <w:szCs w:val="24"/>
          <w:highlight w:val="none"/>
        </w:rPr>
        <w:t>单位</w:t>
      </w:r>
    </w:p>
    <w:p w14:paraId="4E8C17C0">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25.1   采购代理机构应在评审结束后两个工作日内，将评审报告送采购人。</w:t>
      </w:r>
    </w:p>
    <w:p w14:paraId="748F2D83">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25.2   采购人在收到评审报告后五个工作日内，根据评审报告对评审过程及结果进行严格审核后确定成交供应商，复函采购代理机构。</w:t>
      </w:r>
    </w:p>
    <w:p w14:paraId="0D09CB7E">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25.3   采购代理机构在接到采购人的成交复函后，在财政部门指定的政府采购信息发布媒体上公告，公告期限为一个工作日，并向成交供应商发出成交通知书。成交通知书是合同文件的组成部分。</w:t>
      </w:r>
    </w:p>
    <w:p w14:paraId="60CE662D">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25.4   采购代理机构将评审过程及成交供应商情况书面报监督机构备案。</w:t>
      </w:r>
      <w:bookmarkStart w:id="377" w:name="_Toc385992364"/>
      <w:bookmarkStart w:id="378" w:name="_Toc389620203"/>
    </w:p>
    <w:bookmarkEnd w:id="377"/>
    <w:bookmarkEnd w:id="378"/>
    <w:p w14:paraId="7A91FF34">
      <w:pPr>
        <w:pStyle w:val="6"/>
        <w:rPr>
          <w:rFonts w:hint="eastAsia" w:ascii="黑体" w:hAnsi="黑体" w:eastAsia="黑体" w:cs="黑体"/>
          <w:b/>
          <w:bCs/>
          <w:color w:val="auto"/>
          <w:sz w:val="24"/>
          <w:szCs w:val="24"/>
          <w:highlight w:val="none"/>
        </w:rPr>
      </w:pPr>
      <w:bookmarkStart w:id="379" w:name="_Toc389620204"/>
      <w:bookmarkStart w:id="380" w:name="_Toc385992365"/>
      <w:r>
        <w:rPr>
          <w:rFonts w:hint="eastAsia" w:ascii="黑体" w:hAnsi="黑体" w:eastAsia="黑体" w:cs="黑体"/>
          <w:b/>
          <w:bCs/>
          <w:color w:val="auto"/>
          <w:sz w:val="24"/>
          <w:szCs w:val="24"/>
          <w:highlight w:val="none"/>
        </w:rPr>
        <w:t>26.    合同</w:t>
      </w:r>
    </w:p>
    <w:p w14:paraId="54FB2D5A">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26.1   自成交通知书发出后</w:t>
      </w:r>
      <w:r>
        <w:rPr>
          <w:rFonts w:hint="eastAsia" w:ascii="黑体" w:hAnsi="黑体" w:eastAsia="黑体" w:cs="黑体"/>
          <w:color w:val="auto"/>
          <w:sz w:val="24"/>
          <w:szCs w:val="24"/>
          <w:highlight w:val="none"/>
          <w:lang w:val="en-US" w:eastAsia="zh-CN"/>
        </w:rPr>
        <w:t>二十五日</w:t>
      </w:r>
      <w:r>
        <w:rPr>
          <w:rFonts w:hint="eastAsia" w:ascii="黑体" w:hAnsi="黑体" w:eastAsia="黑体" w:cs="黑体"/>
          <w:color w:val="auto"/>
          <w:sz w:val="24"/>
          <w:szCs w:val="24"/>
          <w:highlight w:val="none"/>
        </w:rPr>
        <w:t>内，按照磋商文件和成交供应商响应文件的约定，采购人与成交供应商洽谈合同条款，并签订合同。磋商文件及成交供应商的响应文件均作为合同的组成部分。</w:t>
      </w:r>
    </w:p>
    <w:p w14:paraId="13EAEA52">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26.2   确定成交单位后，成交供应商因自身原因未按程序签订合同，采购人将取消其成交资格，同时报请监督机构备案。在此情况下，采购人可按评审结果顺序将合同授予下一成交候选人或重新采购。</w:t>
      </w:r>
    </w:p>
    <w:p w14:paraId="06C98962">
      <w:pPr>
        <w:pStyle w:val="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27.    询问与质疑 </w:t>
      </w:r>
    </w:p>
    <w:p w14:paraId="4CA87617">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27.1   供应商对政府采购活动事项有疑问的，可以向采购人提出询问。</w:t>
      </w:r>
    </w:p>
    <w:p w14:paraId="3AEDD2B1">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27.2   供应商认为采购文件、采购过程和中标、成交结果使自己的权益受到损害的，可以在知道或者应知其权益受到损害之日起七个工作日内，以书面形式向采购人提出质疑。</w:t>
      </w:r>
    </w:p>
    <w:p w14:paraId="5577198B">
      <w:pPr>
        <w:keepNext w:val="0"/>
        <w:keepLines w:val="0"/>
        <w:pageBreakBefore w:val="0"/>
        <w:widowControl w:val="0"/>
        <w:tabs>
          <w:tab w:val="left" w:pos="588"/>
        </w:tabs>
        <w:kinsoku/>
        <w:wordWrap/>
        <w:overflowPunct/>
        <w:topLinePunct w:val="0"/>
        <w:autoSpaceDE/>
        <w:autoSpaceDN/>
        <w:bidi w:val="0"/>
        <w:adjustRightInd/>
        <w:snapToGrid/>
        <w:spacing w:line="360" w:lineRule="auto"/>
        <w:ind w:left="980" w:hanging="840" w:hangingChars="3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27.3   质疑供应商在法定质疑期内须一次性提出针对同一采购程序环节的质疑。</w:t>
      </w:r>
    </w:p>
    <w:p w14:paraId="6AB0F9FC">
      <w:pPr>
        <w:keepNext w:val="0"/>
        <w:keepLines w:val="0"/>
        <w:pageBreakBefore w:val="0"/>
        <w:widowControl w:val="0"/>
        <w:tabs>
          <w:tab w:val="left" w:pos="588"/>
        </w:tabs>
        <w:kinsoku/>
        <w:wordWrap/>
        <w:overflowPunct/>
        <w:topLinePunct w:val="0"/>
        <w:autoSpaceDE/>
        <w:autoSpaceDN/>
        <w:bidi w:val="0"/>
        <w:adjustRightInd/>
        <w:snapToGrid/>
        <w:spacing w:line="360" w:lineRule="auto"/>
        <w:ind w:left="980" w:hanging="840" w:hangingChars="3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27.4   供应商提出质疑应当提交质疑函和必要的证明材料。质疑函应当包括下列内容：</w:t>
      </w:r>
    </w:p>
    <w:p w14:paraId="2E2B0B49">
      <w:pPr>
        <w:pStyle w:val="75"/>
        <w:numPr>
          <w:ilvl w:val="0"/>
          <w:numId w:val="11"/>
        </w:numPr>
        <w:tabs>
          <w:tab w:val="left" w:pos="588"/>
        </w:tabs>
        <w:spacing w:line="360" w:lineRule="auto"/>
        <w:ind w:left="846" w:hanging="6"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供应商的姓名或者名称、地址、邮编、联系人及联系电话；</w:t>
      </w:r>
    </w:p>
    <w:p w14:paraId="0171A75E">
      <w:pPr>
        <w:pStyle w:val="75"/>
        <w:numPr>
          <w:ilvl w:val="0"/>
          <w:numId w:val="11"/>
        </w:numPr>
        <w:tabs>
          <w:tab w:val="left" w:pos="588"/>
        </w:tabs>
        <w:spacing w:line="360" w:lineRule="auto"/>
        <w:ind w:left="846" w:hanging="6"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质疑项目的名称、编号；</w:t>
      </w:r>
    </w:p>
    <w:p w14:paraId="07902239">
      <w:pPr>
        <w:pStyle w:val="75"/>
        <w:numPr>
          <w:ilvl w:val="0"/>
          <w:numId w:val="11"/>
        </w:numPr>
        <w:tabs>
          <w:tab w:val="left" w:pos="588"/>
        </w:tabs>
        <w:spacing w:line="360" w:lineRule="auto"/>
        <w:ind w:left="846" w:hanging="6"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具体、明确的质疑事项和与质疑事项相关的请求；</w:t>
      </w:r>
    </w:p>
    <w:p w14:paraId="09BFEA93">
      <w:pPr>
        <w:pStyle w:val="75"/>
        <w:numPr>
          <w:ilvl w:val="0"/>
          <w:numId w:val="11"/>
        </w:numPr>
        <w:tabs>
          <w:tab w:val="left" w:pos="588"/>
        </w:tabs>
        <w:spacing w:line="360" w:lineRule="auto"/>
        <w:ind w:left="846" w:hanging="6"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事实依据；</w:t>
      </w:r>
    </w:p>
    <w:p w14:paraId="6AF4D209">
      <w:pPr>
        <w:pStyle w:val="75"/>
        <w:numPr>
          <w:ilvl w:val="0"/>
          <w:numId w:val="11"/>
        </w:numPr>
        <w:tabs>
          <w:tab w:val="left" w:pos="588"/>
        </w:tabs>
        <w:spacing w:line="360" w:lineRule="auto"/>
        <w:ind w:left="846" w:hanging="6"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必要的法律依据；</w:t>
      </w:r>
    </w:p>
    <w:p w14:paraId="7E4578EB">
      <w:pPr>
        <w:pStyle w:val="75"/>
        <w:numPr>
          <w:ilvl w:val="0"/>
          <w:numId w:val="11"/>
        </w:numPr>
        <w:tabs>
          <w:tab w:val="left" w:pos="588"/>
        </w:tabs>
        <w:spacing w:line="360" w:lineRule="auto"/>
        <w:ind w:left="846" w:hanging="6" w:firstLineChars="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提出质疑的日期。</w:t>
      </w:r>
    </w:p>
    <w:p w14:paraId="784D6FF5">
      <w:pPr>
        <w:pStyle w:val="75"/>
        <w:tabs>
          <w:tab w:val="left" w:pos="588"/>
        </w:tabs>
        <w:spacing w:line="360" w:lineRule="auto"/>
        <w:ind w:left="838" w:leftChars="399" w:firstLine="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供应商为自然人的，应当由本人签字；供应商为法人或者其他组织的，应当由法定代表人或负责人签字或盖章，同时其授权代表签字，并加盖公章。</w:t>
      </w:r>
    </w:p>
    <w:p w14:paraId="6B76C888">
      <w:pPr>
        <w:tabs>
          <w:tab w:val="left" w:pos="588"/>
        </w:tabs>
        <w:spacing w:line="360" w:lineRule="auto"/>
        <w:ind w:left="1120" w:hanging="960" w:hanging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27.5   符合要求的质疑，采购代理机构将予以受理并答复。</w:t>
      </w:r>
    </w:p>
    <w:p w14:paraId="061EB25F">
      <w:pPr>
        <w:tabs>
          <w:tab w:val="left" w:pos="588"/>
        </w:tabs>
        <w:spacing w:line="360" w:lineRule="auto"/>
        <w:ind w:left="840" w:leftChars="4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王</w:t>
      </w:r>
      <w:r>
        <w:rPr>
          <w:rFonts w:hint="eastAsia" w:ascii="黑体" w:hAnsi="黑体" w:eastAsia="黑体" w:cs="黑体"/>
          <w:color w:val="auto"/>
          <w:sz w:val="24"/>
          <w:szCs w:val="24"/>
          <w:highlight w:val="none"/>
          <w:lang w:eastAsia="zh-CN"/>
        </w:rPr>
        <w:t>工</w:t>
      </w: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lang w:val="en-US" w:eastAsia="zh-CN"/>
        </w:rPr>
        <w:t>19279181029</w:t>
      </w:r>
    </w:p>
    <w:p w14:paraId="5B6C446C">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27.6   供应商进行虚假和恶意质疑的，采购代理机构将提供相关资料报监督机构，按其情况进行相应处理。</w:t>
      </w:r>
    </w:p>
    <w:bookmarkEnd w:id="379"/>
    <w:bookmarkEnd w:id="380"/>
    <w:p w14:paraId="3666E70D">
      <w:pPr>
        <w:pStyle w:val="6"/>
        <w:rPr>
          <w:rFonts w:hint="eastAsia" w:ascii="黑体" w:hAnsi="黑体" w:eastAsia="黑体" w:cs="黑体"/>
          <w:b/>
          <w:bCs/>
          <w:color w:val="auto"/>
          <w:sz w:val="24"/>
          <w:szCs w:val="24"/>
          <w:highlight w:val="none"/>
        </w:rPr>
      </w:pPr>
      <w:bookmarkStart w:id="381" w:name="_Toc25547"/>
      <w:r>
        <w:rPr>
          <w:rFonts w:hint="eastAsia" w:ascii="黑体" w:hAnsi="黑体" w:eastAsia="黑体" w:cs="黑体"/>
          <w:b/>
          <w:bCs/>
          <w:color w:val="auto"/>
          <w:sz w:val="24"/>
          <w:szCs w:val="24"/>
          <w:highlight w:val="none"/>
        </w:rPr>
        <w:t>28.    履约保证金</w:t>
      </w:r>
    </w:p>
    <w:p w14:paraId="442E6A44">
      <w:pPr>
        <w:tabs>
          <w:tab w:val="left" w:pos="588"/>
        </w:tabs>
        <w:spacing w:line="360" w:lineRule="auto"/>
        <w:rPr>
          <w:rFonts w:hint="default" w:ascii="黑体" w:hAnsi="黑体" w:eastAsia="黑体" w:cs="黑体"/>
          <w:color w:val="auto"/>
          <w:sz w:val="24"/>
          <w:szCs w:val="24"/>
          <w:highlight w:val="none"/>
          <w:u w:val="none"/>
          <w:lang w:val="en-US"/>
        </w:rPr>
      </w:pPr>
      <w:r>
        <w:rPr>
          <w:rFonts w:hint="eastAsia" w:ascii="黑体" w:hAnsi="黑体" w:eastAsia="黑体" w:cs="黑体"/>
          <w:color w:val="auto"/>
          <w:sz w:val="24"/>
          <w:szCs w:val="24"/>
          <w:highlight w:val="none"/>
        </w:rPr>
        <w:t>28.1   履约保证金金额：</w:t>
      </w:r>
      <w:r>
        <w:rPr>
          <w:rFonts w:hint="eastAsia" w:ascii="黑体" w:hAnsi="黑体" w:eastAsia="黑体" w:cs="黑体"/>
          <w:color w:val="auto"/>
          <w:sz w:val="24"/>
          <w:szCs w:val="24"/>
          <w:highlight w:val="none"/>
          <w:u w:val="none"/>
          <w:lang w:val="en-US" w:eastAsia="zh-CN"/>
        </w:rPr>
        <w:t xml:space="preserve"> /</w:t>
      </w:r>
    </w:p>
    <w:p w14:paraId="07192D7B">
      <w:pPr>
        <w:tabs>
          <w:tab w:val="left" w:pos="588"/>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28.2   履约保证金缴纳时间：</w:t>
      </w:r>
      <w:r>
        <w:rPr>
          <w:rFonts w:hint="eastAsia" w:ascii="黑体" w:hAnsi="黑体" w:eastAsia="黑体" w:cs="黑体"/>
          <w:color w:val="auto"/>
          <w:sz w:val="24"/>
          <w:szCs w:val="24"/>
          <w:highlight w:val="none"/>
          <w:lang w:val="en-US" w:eastAsia="zh-CN"/>
        </w:rPr>
        <w:t>/</w:t>
      </w:r>
    </w:p>
    <w:p w14:paraId="79106FE9">
      <w:pPr>
        <w:tabs>
          <w:tab w:val="left" w:pos="588"/>
        </w:tabs>
        <w:spacing w:line="360" w:lineRule="auto"/>
        <w:ind w:left="980" w:hanging="840" w:hangingChars="35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28.3   履约保证金缴纳形式：</w:t>
      </w:r>
      <w:r>
        <w:rPr>
          <w:rFonts w:hint="eastAsia" w:ascii="黑体" w:hAnsi="黑体" w:eastAsia="黑体" w:cs="黑体"/>
          <w:color w:val="auto"/>
          <w:sz w:val="24"/>
          <w:szCs w:val="24"/>
          <w:highlight w:val="none"/>
          <w:lang w:val="en-US" w:eastAsia="zh-CN"/>
        </w:rPr>
        <w:t>/</w:t>
      </w:r>
    </w:p>
    <w:p w14:paraId="10DFB0AB">
      <w:pPr>
        <w:tabs>
          <w:tab w:val="left" w:pos="588"/>
        </w:tabs>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28.4   履约保证金收取单位名称：</w:t>
      </w:r>
      <w:r>
        <w:rPr>
          <w:rFonts w:hint="eastAsia" w:ascii="黑体" w:hAnsi="黑体" w:eastAsia="黑体" w:cs="黑体"/>
          <w:color w:val="auto"/>
          <w:sz w:val="24"/>
          <w:szCs w:val="24"/>
          <w:highlight w:val="none"/>
          <w:lang w:val="en-US" w:eastAsia="zh-CN"/>
        </w:rPr>
        <w:t>/</w:t>
      </w:r>
    </w:p>
    <w:p w14:paraId="4B36F2FF">
      <w:pPr>
        <w:tabs>
          <w:tab w:val="left" w:pos="588"/>
        </w:tabs>
        <w:spacing w:line="360" w:lineRule="auto"/>
        <w:ind w:left="840" w:leftChars="4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开户银行：</w:t>
      </w:r>
      <w:r>
        <w:rPr>
          <w:rFonts w:hint="eastAsia" w:ascii="黑体" w:hAnsi="黑体" w:eastAsia="黑体" w:cs="黑体"/>
          <w:color w:val="auto"/>
          <w:sz w:val="24"/>
          <w:szCs w:val="24"/>
          <w:highlight w:val="none"/>
          <w:lang w:val="en-US" w:eastAsia="zh-CN"/>
        </w:rPr>
        <w:t>/</w:t>
      </w:r>
    </w:p>
    <w:p w14:paraId="0C6F5E21">
      <w:pPr>
        <w:tabs>
          <w:tab w:val="left" w:pos="588"/>
        </w:tabs>
        <w:spacing w:line="360" w:lineRule="auto"/>
        <w:ind w:left="840" w:left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账号：</w:t>
      </w:r>
      <w:r>
        <w:rPr>
          <w:rFonts w:hint="eastAsia" w:ascii="黑体" w:hAnsi="黑体" w:eastAsia="黑体" w:cs="黑体"/>
          <w:color w:val="auto"/>
          <w:sz w:val="24"/>
          <w:szCs w:val="24"/>
          <w:highlight w:val="none"/>
          <w:lang w:val="en-US" w:eastAsia="zh-CN"/>
        </w:rPr>
        <w:t>/</w:t>
      </w:r>
    </w:p>
    <w:p w14:paraId="4947639F">
      <w:pPr>
        <w:tabs>
          <w:tab w:val="left" w:pos="588"/>
        </w:tabs>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28.5   履约保证金退还的方式、时间、条件：</w:t>
      </w:r>
      <w:r>
        <w:rPr>
          <w:rFonts w:hint="eastAsia" w:ascii="黑体" w:hAnsi="黑体" w:eastAsia="黑体" w:cs="黑体"/>
          <w:color w:val="auto"/>
          <w:sz w:val="24"/>
          <w:szCs w:val="24"/>
          <w:highlight w:val="none"/>
          <w:lang w:val="en-US" w:eastAsia="zh-CN"/>
        </w:rPr>
        <w:t>/</w:t>
      </w:r>
    </w:p>
    <w:p w14:paraId="497152E1">
      <w:pPr>
        <w:tabs>
          <w:tab w:val="left" w:pos="588"/>
        </w:tabs>
        <w:spacing w:line="360" w:lineRule="auto"/>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rPr>
        <w:t>28.6   履约保证金不予退还的情况：</w:t>
      </w:r>
      <w:r>
        <w:rPr>
          <w:rFonts w:hint="eastAsia" w:ascii="黑体" w:hAnsi="黑体" w:eastAsia="黑体" w:cs="黑体"/>
          <w:color w:val="auto"/>
          <w:sz w:val="24"/>
          <w:szCs w:val="24"/>
          <w:highlight w:val="none"/>
          <w:lang w:val="en-US" w:eastAsia="zh-CN"/>
        </w:rPr>
        <w:t>/</w:t>
      </w:r>
    </w:p>
    <w:p w14:paraId="01ABDDB2">
      <w:pPr>
        <w:tabs>
          <w:tab w:val="left" w:pos="588"/>
        </w:tabs>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28.7   逾期退还履约保证金的违约责任：</w:t>
      </w:r>
      <w:r>
        <w:rPr>
          <w:rFonts w:hint="eastAsia" w:ascii="黑体" w:hAnsi="黑体" w:eastAsia="黑体" w:cs="黑体"/>
          <w:color w:val="auto"/>
          <w:sz w:val="24"/>
          <w:szCs w:val="24"/>
          <w:highlight w:val="none"/>
          <w:lang w:val="en-US" w:eastAsia="zh-CN"/>
        </w:rPr>
        <w:t>/</w:t>
      </w:r>
    </w:p>
    <w:p w14:paraId="2DCE0F65">
      <w:pPr>
        <w:pStyle w:val="6"/>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29.    成交服务费</w:t>
      </w:r>
      <w:bookmarkEnd w:id="381"/>
    </w:p>
    <w:p w14:paraId="32702BC3">
      <w:pPr>
        <w:tabs>
          <w:tab w:val="left" w:pos="588"/>
        </w:tabs>
        <w:spacing w:line="360" w:lineRule="auto"/>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29.1   成交供应商在领取成交通知书前，须向采购代理机构支付成交服务费，服务费由采购人与采购代理机构约定：</w:t>
      </w:r>
      <w:r>
        <w:rPr>
          <w:rFonts w:hint="eastAsia" w:ascii="黑体" w:hAnsi="黑体" w:eastAsia="黑体" w:cs="黑体"/>
          <w:color w:val="auto"/>
          <w:sz w:val="24"/>
          <w:szCs w:val="24"/>
          <w:highlight w:val="none"/>
          <w:lang w:eastAsia="zh-CN"/>
        </w:rPr>
        <w:t>参照《汉阴县财政局关于印发&lt;汉阴县工程造价咨询等服务类收费项目评审最高限价及简化政府采购程序&gt;的通知》（汉财字〔2018〕99 号）文件规定标准收取。</w:t>
      </w:r>
    </w:p>
    <w:p w14:paraId="71598A75">
      <w:pPr>
        <w:pStyle w:val="6"/>
        <w:numPr>
          <w:ilvl w:val="0"/>
          <w:numId w:val="12"/>
        </w:numPr>
        <w:rPr>
          <w:rFonts w:hint="eastAsia" w:ascii="黑体" w:hAnsi="黑体" w:eastAsia="黑体" w:cs="黑体"/>
          <w:b/>
          <w:bCs/>
          <w:color w:val="auto"/>
          <w:sz w:val="24"/>
          <w:szCs w:val="24"/>
          <w:highlight w:val="none"/>
        </w:rPr>
      </w:pPr>
      <w:bookmarkStart w:id="382" w:name="_Toc1585"/>
      <w:r>
        <w:rPr>
          <w:rFonts w:hint="eastAsia" w:ascii="黑体" w:hAnsi="黑体" w:eastAsia="黑体" w:cs="黑体"/>
          <w:b/>
          <w:bCs/>
          <w:color w:val="auto"/>
          <w:sz w:val="24"/>
          <w:szCs w:val="24"/>
          <w:highlight w:val="none"/>
        </w:rPr>
        <w:t xml:space="preserve">  采购人追加采购数量的权力</w:t>
      </w:r>
      <w:bookmarkEnd w:id="382"/>
    </w:p>
    <w:p w14:paraId="2685EEAF">
      <w:pPr>
        <w:tabs>
          <w:tab w:val="left" w:pos="588"/>
        </w:tabs>
        <w:spacing w:line="360" w:lineRule="auto"/>
        <w:ind w:left="840" w:leftChars="400"/>
        <w:rPr>
          <w:rFonts w:hint="eastAsia" w:ascii="黑体" w:hAnsi="黑体" w:eastAsia="黑体" w:cs="黑体"/>
          <w:color w:val="auto"/>
          <w:sz w:val="24"/>
          <w:szCs w:val="24"/>
          <w:highlight w:val="none"/>
        </w:rPr>
      </w:pPr>
      <w:bookmarkStart w:id="383" w:name="_Toc389620205"/>
      <w:bookmarkStart w:id="384" w:name="_Toc385992366"/>
      <w:r>
        <w:rPr>
          <w:rFonts w:hint="eastAsia" w:ascii="黑体" w:hAnsi="黑体" w:eastAsia="黑体" w:cs="黑体"/>
          <w:color w:val="auto"/>
          <w:sz w:val="24"/>
          <w:szCs w:val="24"/>
          <w:highlight w:val="none"/>
        </w:rPr>
        <w:t>在合同履行中，采购人需追加与合同标的相同</w:t>
      </w:r>
      <w:r>
        <w:rPr>
          <w:rFonts w:hint="eastAsia" w:ascii="黑体" w:hAnsi="黑体" w:eastAsia="黑体" w:cs="黑体"/>
          <w:color w:val="auto"/>
          <w:sz w:val="24"/>
          <w:szCs w:val="24"/>
          <w:highlight w:val="none"/>
          <w:lang w:eastAsia="zh-CN"/>
        </w:rPr>
        <w:t>服务</w:t>
      </w:r>
      <w:r>
        <w:rPr>
          <w:rFonts w:hint="eastAsia" w:ascii="黑体" w:hAnsi="黑体" w:eastAsia="黑体" w:cs="黑体"/>
          <w:color w:val="auto"/>
          <w:sz w:val="24"/>
          <w:szCs w:val="24"/>
          <w:highlight w:val="none"/>
        </w:rPr>
        <w:t>的，在不改变合同其他条款的前提下，采购人有权与成交供应商协商签订补充合同，但所有补充合同的采购金额不得超过原合同采购金额的10%。</w:t>
      </w:r>
    </w:p>
    <w:p w14:paraId="31763C3C">
      <w:pPr>
        <w:pStyle w:val="23"/>
        <w:numPr>
          <w:ilvl w:val="0"/>
          <w:numId w:val="12"/>
        </w:numPr>
        <w:shd w:val="clear" w:color="auto" w:fill="FFFFFF" w:themeFill="background1"/>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 xml:space="preserve">   其他情况</w:t>
      </w:r>
    </w:p>
    <w:p w14:paraId="6C519C93">
      <w:pPr>
        <w:pStyle w:val="23"/>
        <w:shd w:val="clear" w:color="auto" w:fill="FFFFFF" w:themeFill="background1"/>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31.1</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磋商截止时间结束后，递交响应文件或者经评审的实质性响应磋商文件的供应商不足三家（符合《财库〔2015〕124号》的情况除外），采购代理机构应当终止竞争性磋商活动，发布项目终止公告并说明原因，重新开展采购活动。</w:t>
      </w:r>
    </w:p>
    <w:p w14:paraId="63E7DB0D">
      <w:pPr>
        <w:pStyle w:val="23"/>
        <w:shd w:val="clear" w:color="auto" w:fill="FFFFFF" w:themeFill="background1"/>
        <w:ind w:left="980" w:hanging="840" w:hangingChars="3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31.2   连续两次进行竞争性磋商活动，因符合磋商要求供应商不足3家，经请示政府采购管理部门同意后，可继续进行竞争性磋商活动。</w:t>
      </w:r>
    </w:p>
    <w:bookmarkEnd w:id="383"/>
    <w:bookmarkEnd w:id="384"/>
    <w:p w14:paraId="28F89C29">
      <w:pPr>
        <w:pStyle w:val="23"/>
        <w:numPr>
          <w:ilvl w:val="0"/>
          <w:numId w:val="0"/>
        </w:numPr>
        <w:shd w:val="clear" w:color="auto" w:fill="FFFFFF" w:themeFill="background1"/>
        <w:rPr>
          <w:rFonts w:hint="eastAsia" w:ascii="黑体" w:hAnsi="黑体" w:eastAsia="黑体" w:cs="黑体"/>
          <w:b/>
          <w:bCs/>
          <w:color w:val="auto"/>
          <w:sz w:val="24"/>
          <w:szCs w:val="24"/>
          <w:highlight w:val="none"/>
          <w:lang w:val="en-US" w:eastAsia="zh-CN"/>
        </w:rPr>
      </w:pPr>
      <w:bookmarkStart w:id="385" w:name="_Toc184025279"/>
      <w:bookmarkStart w:id="386" w:name="_Toc230013637"/>
      <w:bookmarkStart w:id="387" w:name="_Toc184114070"/>
      <w:bookmarkStart w:id="388" w:name="_Toc230099802"/>
      <w:r>
        <w:rPr>
          <w:rFonts w:hint="eastAsia" w:ascii="黑体" w:hAnsi="黑体" w:eastAsia="黑体" w:cs="黑体"/>
          <w:b/>
          <w:bCs/>
          <w:color w:val="auto"/>
          <w:sz w:val="24"/>
          <w:szCs w:val="24"/>
          <w:highlight w:val="none"/>
          <w:lang w:val="en-US" w:eastAsia="zh-CN"/>
        </w:rPr>
        <w:t>32.   政府采购信用融资</w:t>
      </w:r>
    </w:p>
    <w:p w14:paraId="5E951679">
      <w:pPr>
        <w:pStyle w:val="23"/>
        <w:ind w:left="840" w:leftChars="4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 登录陕西省政府采购信用融资平台(http://www.ccgp-shaanxi.gov.cn/zcdservice/zcd/shan xi/）在线申请，依法参加政府采购信用融资活动。</w:t>
      </w:r>
    </w:p>
    <w:bookmarkEnd w:id="385"/>
    <w:bookmarkEnd w:id="386"/>
    <w:bookmarkEnd w:id="387"/>
    <w:bookmarkEnd w:id="388"/>
    <w:p w14:paraId="5567A377">
      <w:pPr>
        <w:pStyle w:val="46"/>
        <w:jc w:val="center"/>
        <w:rPr>
          <w:rFonts w:hint="eastAsia" w:ascii="黑体" w:hAnsi="黑体" w:eastAsia="黑体" w:cs="黑体"/>
          <w:color w:val="auto"/>
          <w:sz w:val="24"/>
          <w:szCs w:val="24"/>
          <w:highlight w:val="none"/>
        </w:rPr>
      </w:pPr>
      <w:bookmarkStart w:id="389" w:name="_Toc23718"/>
      <w:bookmarkStart w:id="390" w:name="_Toc17469"/>
      <w:bookmarkStart w:id="391" w:name="_Toc58504447"/>
    </w:p>
    <w:p w14:paraId="10E16533">
      <w:pPr>
        <w:pStyle w:val="46"/>
        <w:jc w:val="center"/>
        <w:rPr>
          <w:rFonts w:hint="eastAsia" w:ascii="黑体" w:hAnsi="黑体" w:eastAsia="黑体" w:cs="黑体"/>
          <w:color w:val="auto"/>
          <w:sz w:val="24"/>
          <w:szCs w:val="24"/>
          <w:highlight w:val="none"/>
        </w:rPr>
      </w:pPr>
    </w:p>
    <w:p w14:paraId="6CD6552C">
      <w:pPr>
        <w:pStyle w:val="46"/>
        <w:jc w:val="center"/>
        <w:rPr>
          <w:rFonts w:hint="eastAsia" w:ascii="黑体" w:hAnsi="黑体" w:eastAsia="黑体" w:cs="黑体"/>
          <w:color w:val="auto"/>
          <w:sz w:val="24"/>
          <w:szCs w:val="24"/>
          <w:highlight w:val="none"/>
        </w:rPr>
      </w:pPr>
    </w:p>
    <w:p w14:paraId="4E66C9D1">
      <w:pPr>
        <w:pStyle w:val="46"/>
        <w:jc w:val="both"/>
        <w:rPr>
          <w:rFonts w:hint="eastAsia" w:ascii="黑体" w:hAnsi="黑体" w:eastAsia="黑体" w:cs="黑体"/>
          <w:color w:val="auto"/>
          <w:sz w:val="24"/>
          <w:szCs w:val="24"/>
          <w:highlight w:val="none"/>
        </w:rPr>
      </w:pPr>
    </w:p>
    <w:p w14:paraId="25A94B93">
      <w:pPr>
        <w:rPr>
          <w:rFonts w:hint="eastAsia" w:ascii="黑体" w:hAnsi="黑体" w:eastAsia="黑体" w:cs="黑体"/>
          <w:color w:val="auto"/>
          <w:sz w:val="24"/>
          <w:szCs w:val="24"/>
          <w:highlight w:val="none"/>
        </w:rPr>
      </w:pPr>
    </w:p>
    <w:p w14:paraId="7C192954">
      <w:pPr>
        <w:rPr>
          <w:rFonts w:hint="eastAsia" w:ascii="黑体" w:hAnsi="黑体" w:eastAsia="黑体" w:cs="黑体"/>
          <w:color w:val="auto"/>
          <w:sz w:val="24"/>
          <w:szCs w:val="24"/>
          <w:highlight w:val="none"/>
        </w:rPr>
      </w:pPr>
    </w:p>
    <w:p w14:paraId="017F940D">
      <w:pPr>
        <w:rPr>
          <w:rFonts w:hint="eastAsia" w:ascii="黑体" w:hAnsi="黑体" w:eastAsia="黑体" w:cs="黑体"/>
          <w:color w:val="auto"/>
          <w:sz w:val="24"/>
          <w:szCs w:val="24"/>
          <w:highlight w:val="none"/>
        </w:rPr>
      </w:pPr>
    </w:p>
    <w:p w14:paraId="795BB902">
      <w:pPr>
        <w:rPr>
          <w:rFonts w:hint="eastAsia" w:ascii="黑体" w:hAnsi="黑体" w:eastAsia="黑体" w:cs="黑体"/>
          <w:color w:val="auto"/>
          <w:sz w:val="24"/>
          <w:szCs w:val="24"/>
          <w:highlight w:val="none"/>
        </w:rPr>
      </w:pPr>
    </w:p>
    <w:p w14:paraId="37C66359">
      <w:pPr>
        <w:pStyle w:val="46"/>
        <w:jc w:val="center"/>
        <w:rPr>
          <w:rFonts w:hint="eastAsia" w:ascii="黑体" w:hAnsi="黑体" w:eastAsia="黑体" w:cs="黑体"/>
          <w:color w:val="auto"/>
          <w:sz w:val="24"/>
          <w:szCs w:val="24"/>
          <w:highlight w:val="none"/>
        </w:rPr>
      </w:pPr>
      <w:r>
        <w:rPr>
          <w:rFonts w:hint="eastAsia" w:ascii="黑体" w:hAnsi="黑体" w:eastAsia="黑体" w:cs="黑体"/>
          <w:color w:val="auto"/>
          <w:sz w:val="32"/>
          <w:szCs w:val="32"/>
          <w:highlight w:val="none"/>
        </w:rPr>
        <w:t>第三章  评审办法和标准</w:t>
      </w:r>
      <w:bookmarkEnd w:id="389"/>
    </w:p>
    <w:p w14:paraId="4D1C6529">
      <w:pPr>
        <w:pStyle w:val="84"/>
        <w:spacing w:before="24" w:after="24"/>
        <w:ind w:firstLine="482" w:firstLineChars="200"/>
        <w:rPr>
          <w:rFonts w:hint="eastAsia" w:ascii="黑体" w:hAnsi="黑体" w:eastAsia="黑体" w:cs="黑体"/>
          <w:color w:val="auto"/>
          <w:sz w:val="24"/>
          <w:szCs w:val="24"/>
          <w:highlight w:val="none"/>
        </w:rPr>
      </w:pPr>
      <w:bookmarkStart w:id="392" w:name="_Toc7005040"/>
      <w:bookmarkStart w:id="393" w:name="_Toc30317"/>
      <w:r>
        <w:rPr>
          <w:rFonts w:hint="eastAsia" w:ascii="黑体" w:hAnsi="黑体" w:eastAsia="黑体" w:cs="黑体"/>
          <w:color w:val="auto"/>
          <w:sz w:val="24"/>
          <w:szCs w:val="24"/>
          <w:highlight w:val="none"/>
        </w:rPr>
        <w:t>1.评审方法</w:t>
      </w:r>
      <w:bookmarkEnd w:id="392"/>
      <w:bookmarkEnd w:id="393"/>
    </w:p>
    <w:p w14:paraId="03B9A8F8">
      <w:pPr>
        <w:pStyle w:val="23"/>
        <w:ind w:firstLine="480" w:firstLineChars="200"/>
        <w:rPr>
          <w:rFonts w:hint="eastAsia" w:ascii="黑体" w:hAnsi="黑体" w:eastAsia="黑体" w:cs="黑体"/>
          <w:color w:val="FF0000"/>
          <w:sz w:val="24"/>
          <w:szCs w:val="24"/>
          <w:highlight w:val="none"/>
        </w:rPr>
      </w:pPr>
      <w:r>
        <w:rPr>
          <w:rFonts w:hint="eastAsia" w:ascii="黑体" w:hAnsi="黑体" w:eastAsia="黑体" w:cs="黑体"/>
          <w:color w:val="auto"/>
          <w:sz w:val="24"/>
          <w:szCs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w:t>
      </w:r>
    </w:p>
    <w:p w14:paraId="1841F831">
      <w:pPr>
        <w:pStyle w:val="84"/>
        <w:spacing w:before="24" w:after="24"/>
        <w:ind w:firstLine="482" w:firstLineChars="200"/>
        <w:rPr>
          <w:rFonts w:hint="eastAsia" w:ascii="黑体" w:hAnsi="黑体" w:eastAsia="黑体" w:cs="黑体"/>
          <w:color w:val="auto"/>
          <w:sz w:val="24"/>
          <w:szCs w:val="24"/>
          <w:highlight w:val="none"/>
        </w:rPr>
      </w:pPr>
      <w:bookmarkStart w:id="394" w:name="_Toc5656"/>
      <w:bookmarkStart w:id="395" w:name="_Toc7005041"/>
      <w:r>
        <w:rPr>
          <w:rFonts w:hint="eastAsia" w:ascii="黑体" w:hAnsi="黑体" w:eastAsia="黑体" w:cs="黑体"/>
          <w:color w:val="auto"/>
          <w:sz w:val="24"/>
          <w:szCs w:val="24"/>
          <w:highlight w:val="none"/>
        </w:rPr>
        <w:t>2.评审标准</w:t>
      </w:r>
      <w:bookmarkEnd w:id="394"/>
      <w:bookmarkEnd w:id="395"/>
    </w:p>
    <w:p w14:paraId="4A5318FA">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 资格审查和符合性评审标准：见附表一和附表二。</w:t>
      </w:r>
    </w:p>
    <w:p w14:paraId="073C1511">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 分值构成：总分100分，其中</w:t>
      </w:r>
    </w:p>
    <w:p w14:paraId="3A2F0485">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商务和技术部分分值：</w:t>
      </w:r>
      <w:r>
        <w:rPr>
          <w:rFonts w:hint="eastAsia" w:ascii="黑体" w:hAnsi="黑体" w:eastAsia="黑体" w:cs="黑体"/>
          <w:color w:val="auto"/>
          <w:sz w:val="24"/>
          <w:szCs w:val="24"/>
          <w:highlight w:val="none"/>
          <w:lang w:val="en-US" w:eastAsia="zh-CN"/>
        </w:rPr>
        <w:t>70</w:t>
      </w:r>
      <w:r>
        <w:rPr>
          <w:rFonts w:hint="eastAsia" w:ascii="黑体" w:hAnsi="黑体" w:eastAsia="黑体" w:cs="黑体"/>
          <w:color w:val="auto"/>
          <w:sz w:val="24"/>
          <w:szCs w:val="24"/>
          <w:highlight w:val="none"/>
        </w:rPr>
        <w:t xml:space="preserve">分；  </w:t>
      </w:r>
    </w:p>
    <w:p w14:paraId="527A90C4">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报价部分分值：</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rPr>
        <w:t>分。</w:t>
      </w:r>
    </w:p>
    <w:p w14:paraId="4C4C5B5D">
      <w:pPr>
        <w:pStyle w:val="23"/>
        <w:ind w:firstLine="480" w:firstLineChars="200"/>
        <w:rPr>
          <w:rFonts w:hint="eastAsia" w:ascii="黑体" w:hAnsi="黑体" w:eastAsia="黑体" w:cs="黑体"/>
          <w:color w:val="auto"/>
          <w:sz w:val="24"/>
          <w:szCs w:val="24"/>
          <w:highlight w:val="none"/>
        </w:rPr>
      </w:pPr>
      <w:bookmarkStart w:id="396" w:name="_Ref426362114"/>
      <w:r>
        <w:rPr>
          <w:rFonts w:hint="eastAsia" w:ascii="黑体" w:hAnsi="黑体" w:eastAsia="黑体" w:cs="黑体"/>
          <w:color w:val="auto"/>
          <w:sz w:val="24"/>
          <w:szCs w:val="24"/>
          <w:highlight w:val="none"/>
        </w:rPr>
        <w:t>2.3  评审</w:t>
      </w:r>
      <w:bookmarkEnd w:id="396"/>
      <w:r>
        <w:rPr>
          <w:rFonts w:hint="eastAsia" w:ascii="黑体" w:hAnsi="黑体" w:eastAsia="黑体" w:cs="黑体"/>
          <w:color w:val="auto"/>
          <w:sz w:val="24"/>
          <w:szCs w:val="24"/>
          <w:highlight w:val="none"/>
        </w:rPr>
        <w:t>细则</w:t>
      </w:r>
    </w:p>
    <w:p w14:paraId="017C92E0">
      <w:pPr>
        <w:pStyle w:val="23"/>
        <w:ind w:firstLine="480" w:firstLineChars="200"/>
        <w:rPr>
          <w:rFonts w:hint="eastAsia" w:ascii="黑体" w:hAnsi="黑体" w:eastAsia="黑体" w:cs="黑体"/>
          <w:color w:val="auto"/>
          <w:sz w:val="24"/>
          <w:szCs w:val="24"/>
          <w:highlight w:val="none"/>
        </w:rPr>
      </w:pPr>
      <w:bookmarkStart w:id="397" w:name="_Ref426362140"/>
      <w:r>
        <w:rPr>
          <w:rFonts w:hint="eastAsia" w:ascii="黑体" w:hAnsi="黑体" w:eastAsia="黑体" w:cs="黑体"/>
          <w:color w:val="auto"/>
          <w:sz w:val="24"/>
          <w:szCs w:val="24"/>
          <w:highlight w:val="none"/>
        </w:rPr>
        <w:t>2.3.1商务和技术部分评分标准：见附表</w:t>
      </w:r>
      <w:bookmarkEnd w:id="397"/>
      <w:r>
        <w:rPr>
          <w:rFonts w:hint="eastAsia" w:ascii="黑体" w:hAnsi="黑体" w:eastAsia="黑体" w:cs="黑体"/>
          <w:color w:val="auto"/>
          <w:sz w:val="24"/>
          <w:szCs w:val="24"/>
          <w:highlight w:val="none"/>
        </w:rPr>
        <w:t>三</w:t>
      </w:r>
    </w:p>
    <w:p w14:paraId="6086983E">
      <w:pPr>
        <w:pStyle w:val="23"/>
        <w:ind w:firstLine="480" w:firstLineChars="200"/>
        <w:rPr>
          <w:rFonts w:hint="eastAsia" w:ascii="黑体" w:hAnsi="黑体" w:eastAsia="黑体" w:cs="黑体"/>
          <w:color w:val="auto"/>
          <w:sz w:val="24"/>
          <w:szCs w:val="24"/>
          <w:highlight w:val="none"/>
          <w:lang w:eastAsia="zh-CN"/>
        </w:rPr>
      </w:pPr>
      <w:bookmarkStart w:id="398" w:name="_Ref426362176"/>
      <w:r>
        <w:rPr>
          <w:rFonts w:hint="eastAsia" w:ascii="黑体" w:hAnsi="黑体" w:eastAsia="黑体" w:cs="黑体"/>
          <w:color w:val="auto"/>
          <w:sz w:val="24"/>
          <w:szCs w:val="24"/>
          <w:highlight w:val="none"/>
        </w:rPr>
        <w:t>2.3.2报价评分标准：</w:t>
      </w:r>
      <w:bookmarkEnd w:id="398"/>
      <w:r>
        <w:rPr>
          <w:rFonts w:hint="eastAsia" w:ascii="黑体" w:hAnsi="黑体" w:eastAsia="黑体" w:cs="黑体"/>
          <w:color w:val="auto"/>
          <w:sz w:val="24"/>
          <w:szCs w:val="24"/>
          <w:highlight w:val="none"/>
        </w:rPr>
        <w:t>见附表</w:t>
      </w:r>
      <w:r>
        <w:rPr>
          <w:rFonts w:hint="eastAsia" w:ascii="黑体" w:hAnsi="黑体" w:eastAsia="黑体" w:cs="黑体"/>
          <w:color w:val="auto"/>
          <w:sz w:val="24"/>
          <w:szCs w:val="24"/>
          <w:highlight w:val="none"/>
          <w:lang w:eastAsia="zh-CN"/>
        </w:rPr>
        <w:t>三</w:t>
      </w:r>
    </w:p>
    <w:p w14:paraId="6B3CB587">
      <w:pPr>
        <w:tabs>
          <w:tab w:val="left" w:pos="588"/>
        </w:tabs>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响应文件出现下列情况之一者，磋商小组在评审过程中按以下原则修正：</w:t>
      </w:r>
    </w:p>
    <w:p w14:paraId="1BA8A5FD">
      <w:pPr>
        <w:tabs>
          <w:tab w:val="left" w:pos="588"/>
        </w:tabs>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（1）大写金额与小写金额不一致的，以大写金额为准；</w:t>
      </w:r>
    </w:p>
    <w:p w14:paraId="739C8EFE">
      <w:pPr>
        <w:tabs>
          <w:tab w:val="left" w:pos="588"/>
        </w:tabs>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（2）总价金额与按单价汇总金额不一致的，以单价金额计算结果为准；</w:t>
      </w:r>
    </w:p>
    <w:p w14:paraId="761CC53C">
      <w:pPr>
        <w:tabs>
          <w:tab w:val="left" w:pos="588"/>
        </w:tabs>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（3）单价金额小数点有明显错位的，应以总价为准，并修改单价；</w:t>
      </w:r>
    </w:p>
    <w:p w14:paraId="41943359">
      <w:pPr>
        <w:tabs>
          <w:tab w:val="left" w:pos="588"/>
        </w:tabs>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（4）对不同文字文本响应文件的解释发生异议的，以中文文本为准；</w:t>
      </w:r>
    </w:p>
    <w:p w14:paraId="38249F3E">
      <w:pPr>
        <w:tabs>
          <w:tab w:val="left" w:pos="588"/>
        </w:tabs>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（5）文字与图表不一致的，以文字为准；</w:t>
      </w:r>
    </w:p>
    <w:p w14:paraId="309D5BAE">
      <w:pPr>
        <w:tabs>
          <w:tab w:val="left" w:pos="588"/>
        </w:tabs>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）响应文件的文字叙述与制造厂商的产品样本/检测报告不符时，以产品样本/检测报告为准。</w:t>
      </w:r>
    </w:p>
    <w:p w14:paraId="04C27408">
      <w:pPr>
        <w:pStyle w:val="84"/>
        <w:spacing w:before="24" w:after="24"/>
        <w:ind w:firstLine="482" w:firstLineChars="200"/>
        <w:rPr>
          <w:rFonts w:hint="eastAsia" w:ascii="黑体" w:hAnsi="黑体" w:eastAsia="黑体" w:cs="黑体"/>
          <w:color w:val="auto"/>
          <w:sz w:val="24"/>
          <w:szCs w:val="24"/>
          <w:highlight w:val="none"/>
        </w:rPr>
      </w:pPr>
      <w:bookmarkStart w:id="399" w:name="_Toc7302"/>
      <w:bookmarkStart w:id="400" w:name="_Toc7005042"/>
      <w:r>
        <w:rPr>
          <w:rFonts w:hint="eastAsia" w:ascii="黑体" w:hAnsi="黑体" w:eastAsia="黑体" w:cs="黑体"/>
          <w:color w:val="auto"/>
          <w:sz w:val="24"/>
          <w:szCs w:val="24"/>
          <w:highlight w:val="none"/>
        </w:rPr>
        <w:t>3.评审程序</w:t>
      </w:r>
      <w:bookmarkEnd w:id="399"/>
      <w:bookmarkEnd w:id="400"/>
    </w:p>
    <w:p w14:paraId="2F2F05E4">
      <w:pPr>
        <w:pStyle w:val="23"/>
        <w:ind w:firstLine="482" w:firstLineChars="200"/>
        <w:rPr>
          <w:rFonts w:hint="eastAsia" w:ascii="黑体" w:hAnsi="黑体" w:eastAsia="黑体" w:cs="黑体"/>
          <w:b/>
          <w:color w:val="auto"/>
          <w:sz w:val="24"/>
          <w:szCs w:val="24"/>
          <w:highlight w:val="none"/>
        </w:rPr>
      </w:pPr>
      <w:bookmarkStart w:id="401" w:name="_Toc7005043"/>
      <w:r>
        <w:rPr>
          <w:rFonts w:hint="eastAsia" w:ascii="黑体" w:hAnsi="黑体" w:eastAsia="黑体" w:cs="黑体"/>
          <w:b/>
          <w:color w:val="auto"/>
          <w:sz w:val="24"/>
          <w:szCs w:val="24"/>
          <w:highlight w:val="none"/>
        </w:rPr>
        <w:t>3.1资格审查及符合性审查</w:t>
      </w:r>
      <w:bookmarkEnd w:id="401"/>
    </w:p>
    <w:p w14:paraId="1F850876">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3.1.1 磋商小组按附表一所列审查标准，对供应商资格进行审查，以确定供应商是否具备磋商资格。</w:t>
      </w:r>
    </w:p>
    <w:p w14:paraId="4945BB12">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3.1.2 磋商小组对符合资格要求的供应商按附表二进行符合性审查，以确定其是否满足磋商文件的实质性要求（见本章内的符合性审查表）。</w:t>
      </w:r>
    </w:p>
    <w:p w14:paraId="7C41AD08">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33EF037F">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磋商小组不接受供应商主动提出的澄清、说明或补正。</w:t>
      </w:r>
    </w:p>
    <w:p w14:paraId="75DD8E74">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供应商的书面澄清、说明和补正属于响应文件的组成部分。</w:t>
      </w:r>
    </w:p>
    <w:p w14:paraId="39CBE99A">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磋商小组对供应商提交的澄清、说明或补正有疑问的，可以要求供应商进一步澄清、说明或补正，直至满足评审小组的要求。</w:t>
      </w:r>
    </w:p>
    <w:p w14:paraId="3842FE06">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3.1.4 不具备磋商文件要求的资格或未通过符合性审查的供应商，不参与磋商，由磋商小组告知该供应商。</w:t>
      </w:r>
    </w:p>
    <w:p w14:paraId="68B9995E">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3.1.5 通过资格审查和符合性审查的合格供应商不足3家的，不再进行评审和磋商（符合《财库〔2015〕124号》的情况除外）。</w:t>
      </w:r>
    </w:p>
    <w:p w14:paraId="1D2206E2">
      <w:pPr>
        <w:pStyle w:val="23"/>
        <w:ind w:firstLine="482" w:firstLineChars="200"/>
        <w:rPr>
          <w:rFonts w:hint="eastAsia" w:ascii="黑体" w:hAnsi="黑体" w:eastAsia="黑体" w:cs="黑体"/>
          <w:b/>
          <w:color w:val="auto"/>
          <w:sz w:val="24"/>
          <w:szCs w:val="24"/>
          <w:highlight w:val="none"/>
        </w:rPr>
      </w:pPr>
      <w:bookmarkStart w:id="402" w:name="_Toc7005044"/>
      <w:r>
        <w:rPr>
          <w:rFonts w:hint="eastAsia" w:ascii="黑体" w:hAnsi="黑体" w:eastAsia="黑体" w:cs="黑体"/>
          <w:b/>
          <w:color w:val="auto"/>
          <w:sz w:val="24"/>
          <w:szCs w:val="24"/>
          <w:highlight w:val="none"/>
        </w:rPr>
        <w:t>3.2 磋商</w:t>
      </w:r>
      <w:bookmarkEnd w:id="402"/>
    </w:p>
    <w:p w14:paraId="6C59159E">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3.2.1按“供应商须知”第五条规定，由磋商小组与供应商进行磋商。</w:t>
      </w:r>
    </w:p>
    <w:p w14:paraId="1C80C46A">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2ED8E0E3">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3.2.3 磋商结束后，磋商小组可以要求所有继续参加磋商的供应商在规定时间内提交最后报价函。</w:t>
      </w:r>
    </w:p>
    <w:p w14:paraId="7A934312">
      <w:pPr>
        <w:pStyle w:val="23"/>
        <w:ind w:firstLine="482" w:firstLineChars="200"/>
        <w:rPr>
          <w:rFonts w:hint="eastAsia" w:ascii="黑体" w:hAnsi="黑体" w:eastAsia="黑体" w:cs="黑体"/>
          <w:b/>
          <w:color w:val="auto"/>
          <w:sz w:val="24"/>
          <w:szCs w:val="24"/>
          <w:highlight w:val="none"/>
        </w:rPr>
      </w:pPr>
      <w:bookmarkStart w:id="403" w:name="_Toc7005045"/>
      <w:r>
        <w:rPr>
          <w:rFonts w:hint="eastAsia" w:ascii="黑体" w:hAnsi="黑体" w:eastAsia="黑体" w:cs="黑体"/>
          <w:b/>
          <w:color w:val="auto"/>
          <w:sz w:val="24"/>
          <w:szCs w:val="24"/>
          <w:highlight w:val="none"/>
        </w:rPr>
        <w:t>3.3评审</w:t>
      </w:r>
      <w:bookmarkEnd w:id="403"/>
    </w:p>
    <w:p w14:paraId="05F17F3C">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3.3.1 比较与评价</w:t>
      </w:r>
    </w:p>
    <w:p w14:paraId="7A21AC6B">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磋商小组按本章第2.3款[商务和技术评审标准]对供应商提交的响应文件（包括最后报价函）进行商务和技术评估，综合比较与评价。</w:t>
      </w:r>
    </w:p>
    <w:p w14:paraId="22036336">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141EA0DD">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3.3.2 磋商小组按本章第2.3款规定的量化因素和分值进行打分，并计算出综合评估得分。</w:t>
      </w:r>
    </w:p>
    <w:p w14:paraId="184ADF97">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（1）按本章第2.3.1项规定的评审因素和分值对商务和技术部分计算出得分A；</w:t>
      </w:r>
    </w:p>
    <w:p w14:paraId="17C24C3E">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（2）按本章第2.3.3项规定的评审因素和分值对报价部分计算出得分B。</w:t>
      </w:r>
    </w:p>
    <w:p w14:paraId="62E77F6D">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3.3.3评分分值计算保留小数点后两位，小数点后第三位“四舍五入”。</w:t>
      </w:r>
    </w:p>
    <w:p w14:paraId="58AC0A94">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3.3.4供应商得分=A＋B</w:t>
      </w:r>
    </w:p>
    <w:p w14:paraId="11EE537D">
      <w:pPr>
        <w:pStyle w:val="23"/>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3.4 评审结果</w:t>
      </w:r>
    </w:p>
    <w:p w14:paraId="00FE431E">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3.4.1 除第二章“供应商须知”前附表授权直接确定成交供应商外，磋商小组按照得分由高到低的顺序推荐3名成交候选人。</w:t>
      </w:r>
    </w:p>
    <w:p w14:paraId="28974515">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3.4.2 磋商小组完成评审后，应当向采购人提交书面评审报告。</w:t>
      </w:r>
    </w:p>
    <w:p w14:paraId="5CB114D4">
      <w:pPr>
        <w:pStyle w:val="23"/>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3.5</w:t>
      </w:r>
      <w:r>
        <w:rPr>
          <w:rFonts w:hint="eastAsia" w:ascii="黑体" w:hAnsi="黑体" w:eastAsia="黑体" w:cs="黑体"/>
          <w:b/>
          <w:color w:val="auto"/>
          <w:sz w:val="24"/>
          <w:szCs w:val="24"/>
          <w:highlight w:val="none"/>
        </w:rPr>
        <w:t>、评审标准中应考虑下列因素：</w:t>
      </w:r>
    </w:p>
    <w:p w14:paraId="6C65B943">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1、在政府采购活动中，供应商提供的货物、工程或者服务符合下列情形的，享受《政府采购促进中小企业发展管理办法》规定的中小企业扶持政策：</w:t>
      </w:r>
    </w:p>
    <w:p w14:paraId="69D8EF35">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（1）在货物采购项目中，货物由中小企业制造，即货物由中小企业生产且使用该中小企业商号或者注册商标；</w:t>
      </w:r>
    </w:p>
    <w:p w14:paraId="2E836607">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（2）在工程采购项目中，工程由中小企业承建，即工程施工单位为中小企业；</w:t>
      </w:r>
    </w:p>
    <w:p w14:paraId="2E9508C0">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（3）在服务采购项目中，服务由中小企业承接，即提供服务的人员为中小企业依照《中华人民共和国劳动合同法》订立劳动合同的从业人员。</w:t>
      </w:r>
    </w:p>
    <w:p w14:paraId="794E4E3E">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在货物采购项目中，供应商提供的货物既有中小企业制造货物，也有大型企业制造货物的，不享受本办法规定的中小企业扶持政策。</w:t>
      </w:r>
    </w:p>
    <w:p w14:paraId="177CBCC9">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以联合体形式参加政府采购活动，联合体各方均为中小企业的，联合体视同中小企业。其中，联合体各方均为小微企业的，联合体视同小微企业。监狱企业视同小型、微型企业。残疾人福利性单位视同小型、微型企业。</w:t>
      </w:r>
    </w:p>
    <w:p w14:paraId="34742FB1">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10%</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后参与评审。对于同时属于小微企业、监狱企业或残疾人福利性单位的，不重复进行投标报价扣除。</w:t>
      </w:r>
    </w:p>
    <w:p w14:paraId="02AA1C11">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w:t>
      </w:r>
    </w:p>
    <w:p w14:paraId="161E247E">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、如投标人为提供服务所伴随的货物为政府强制采购的节能产品，投标人所投产品的品牌及型号必须为清单中有效期内产品并提供证明文件，否则其投标将作为无效投标被拒绝。</w:t>
      </w:r>
    </w:p>
    <w:p w14:paraId="178C98B2">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 xml:space="preserve"> 5</w:t>
      </w:r>
      <w:r>
        <w:rPr>
          <w:rFonts w:hint="eastAsia" w:ascii="黑体" w:hAnsi="黑体" w:eastAsia="黑体" w:cs="黑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黑体" w:hAnsi="黑体" w:eastAsia="黑体" w:cs="黑体"/>
          <w:color w:val="auto"/>
          <w:sz w:val="24"/>
          <w:szCs w:val="24"/>
          <w:highlight w:val="none"/>
          <w:lang w:val="en-US" w:eastAsia="zh-CN"/>
        </w:rPr>
        <w:t>磋商</w:t>
      </w:r>
      <w:r>
        <w:rPr>
          <w:rFonts w:hint="eastAsia" w:ascii="黑体" w:hAnsi="黑体" w:eastAsia="黑体" w:cs="黑体"/>
          <w:color w:val="auto"/>
          <w:sz w:val="24"/>
          <w:szCs w:val="24"/>
          <w:highlight w:val="none"/>
        </w:rPr>
        <w:t>文件规定的方式确定一个投标人获得中标人推荐资格，</w:t>
      </w:r>
      <w:r>
        <w:rPr>
          <w:rFonts w:hint="eastAsia" w:ascii="黑体" w:hAnsi="黑体" w:eastAsia="黑体" w:cs="黑体"/>
          <w:color w:val="auto"/>
          <w:sz w:val="24"/>
          <w:szCs w:val="24"/>
          <w:highlight w:val="none"/>
          <w:lang w:val="en-US" w:eastAsia="zh-CN"/>
        </w:rPr>
        <w:t>磋商</w:t>
      </w:r>
      <w:r>
        <w:rPr>
          <w:rFonts w:hint="eastAsia" w:ascii="黑体" w:hAnsi="黑体" w:eastAsia="黑体" w:cs="黑体"/>
          <w:color w:val="auto"/>
          <w:sz w:val="24"/>
          <w:szCs w:val="24"/>
          <w:highlight w:val="none"/>
        </w:rPr>
        <w:t>文件未规定的采取随机抽取方式确定，其他同品牌投标人不作为中标候选人。</w:t>
      </w:r>
    </w:p>
    <w:p w14:paraId="0C4E4343">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非单一产品采购项目，采购人应当根据采购项目技术构成、产品价格比重等合理确定核心产品。多家投标人提供的核心产品品牌相同的，按前款规定处理。</w:t>
      </w:r>
    </w:p>
    <w:p w14:paraId="426C6F6F">
      <w:pPr>
        <w:rPr>
          <w:rFonts w:hint="default" w:eastAsia="黑体"/>
          <w:lang w:val="en-US" w:eastAsia="zh-CN"/>
        </w:rPr>
      </w:pPr>
    </w:p>
    <w:p w14:paraId="533D0708">
      <w:pPr>
        <w:pStyle w:val="23"/>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14:paraId="2AB8945A">
      <w:pPr>
        <w:spacing w:line="360" w:lineRule="auto"/>
        <w:jc w:val="both"/>
        <w:rPr>
          <w:rFonts w:hint="eastAsia" w:ascii="黑体" w:hAnsi="黑体" w:eastAsia="黑体" w:cs="黑体"/>
          <w:b/>
          <w:color w:val="auto"/>
          <w:sz w:val="28"/>
          <w:szCs w:val="28"/>
          <w:highlight w:val="none"/>
        </w:rPr>
      </w:pPr>
      <w:bookmarkStart w:id="404" w:name="_Hlk71809519"/>
      <w:r>
        <w:rPr>
          <w:rFonts w:hint="eastAsia" w:ascii="黑体" w:hAnsi="黑体" w:eastAsia="黑体" w:cs="黑体"/>
          <w:b/>
          <w:color w:val="auto"/>
          <w:sz w:val="28"/>
          <w:szCs w:val="28"/>
          <w:highlight w:val="none"/>
        </w:rPr>
        <w:t>附表一 资格审查表</w:t>
      </w:r>
    </w:p>
    <w:tbl>
      <w:tblPr>
        <w:tblStyle w:val="5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800"/>
        <w:gridCol w:w="2636"/>
        <w:gridCol w:w="4241"/>
      </w:tblGrid>
      <w:tr w14:paraId="3B63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2" w:type="dxa"/>
            <w:vAlign w:val="center"/>
          </w:tcPr>
          <w:p w14:paraId="5C24B0F8">
            <w:pPr>
              <w:snapToGrid w:val="0"/>
              <w:jc w:val="center"/>
              <w:rPr>
                <w:rFonts w:hint="eastAsia" w:ascii="黑体" w:hAnsi="黑体" w:eastAsia="黑体" w:cs="黑体"/>
                <w:b/>
                <w:color w:val="auto"/>
                <w:sz w:val="20"/>
                <w:szCs w:val="20"/>
                <w:highlight w:val="none"/>
              </w:rPr>
            </w:pPr>
            <w:r>
              <w:rPr>
                <w:rFonts w:hint="eastAsia" w:ascii="黑体" w:hAnsi="黑体" w:eastAsia="黑体" w:cs="黑体"/>
                <w:b/>
                <w:color w:val="auto"/>
                <w:sz w:val="20"/>
                <w:szCs w:val="20"/>
                <w:highlight w:val="none"/>
              </w:rPr>
              <w:t>资格要求</w:t>
            </w:r>
          </w:p>
        </w:tc>
        <w:tc>
          <w:tcPr>
            <w:tcW w:w="800" w:type="dxa"/>
            <w:vAlign w:val="center"/>
          </w:tcPr>
          <w:p w14:paraId="0FE0584E">
            <w:pPr>
              <w:snapToGrid w:val="0"/>
              <w:jc w:val="center"/>
              <w:rPr>
                <w:rFonts w:hint="eastAsia" w:ascii="黑体" w:hAnsi="黑体" w:eastAsia="黑体" w:cs="黑体"/>
                <w:b/>
                <w:color w:val="auto"/>
                <w:sz w:val="20"/>
                <w:szCs w:val="20"/>
                <w:highlight w:val="none"/>
              </w:rPr>
            </w:pPr>
            <w:r>
              <w:rPr>
                <w:rFonts w:hint="eastAsia" w:ascii="黑体" w:hAnsi="黑体" w:eastAsia="黑体" w:cs="黑体"/>
                <w:b/>
                <w:color w:val="auto"/>
                <w:sz w:val="20"/>
                <w:szCs w:val="20"/>
                <w:highlight w:val="none"/>
              </w:rPr>
              <w:t>序号</w:t>
            </w:r>
          </w:p>
        </w:tc>
        <w:tc>
          <w:tcPr>
            <w:tcW w:w="2636" w:type="dxa"/>
            <w:vAlign w:val="center"/>
          </w:tcPr>
          <w:p w14:paraId="1EE3D79E">
            <w:pPr>
              <w:snapToGrid w:val="0"/>
              <w:jc w:val="center"/>
              <w:rPr>
                <w:rFonts w:hint="eastAsia" w:ascii="黑体" w:hAnsi="黑体" w:eastAsia="黑体" w:cs="黑体"/>
                <w:b/>
                <w:color w:val="auto"/>
                <w:sz w:val="20"/>
                <w:szCs w:val="20"/>
                <w:highlight w:val="none"/>
              </w:rPr>
            </w:pPr>
            <w:r>
              <w:rPr>
                <w:rFonts w:hint="eastAsia" w:ascii="黑体" w:hAnsi="黑体" w:eastAsia="黑体" w:cs="黑体"/>
                <w:b/>
                <w:color w:val="auto"/>
                <w:sz w:val="20"/>
                <w:szCs w:val="20"/>
                <w:highlight w:val="none"/>
              </w:rPr>
              <w:t>评审内容</w:t>
            </w:r>
          </w:p>
        </w:tc>
        <w:tc>
          <w:tcPr>
            <w:tcW w:w="4241" w:type="dxa"/>
            <w:vAlign w:val="center"/>
          </w:tcPr>
          <w:p w14:paraId="17C3FED0">
            <w:pPr>
              <w:snapToGrid w:val="0"/>
              <w:jc w:val="center"/>
              <w:rPr>
                <w:rFonts w:hint="eastAsia" w:ascii="黑体" w:hAnsi="黑体" w:eastAsia="黑体" w:cs="黑体"/>
                <w:b/>
                <w:color w:val="auto"/>
                <w:sz w:val="20"/>
                <w:szCs w:val="20"/>
                <w:highlight w:val="none"/>
              </w:rPr>
            </w:pPr>
            <w:r>
              <w:rPr>
                <w:rFonts w:hint="eastAsia" w:ascii="黑体" w:hAnsi="黑体" w:eastAsia="黑体" w:cs="黑体"/>
                <w:b/>
                <w:color w:val="auto"/>
                <w:sz w:val="20"/>
                <w:szCs w:val="20"/>
                <w:highlight w:val="none"/>
              </w:rPr>
              <w:t>评审合格标准</w:t>
            </w:r>
          </w:p>
        </w:tc>
      </w:tr>
      <w:tr w14:paraId="74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restart"/>
            <w:vAlign w:val="center"/>
          </w:tcPr>
          <w:p w14:paraId="612DA56D">
            <w:pPr>
              <w:snapToGrid w:val="0"/>
              <w:jc w:val="left"/>
              <w:rPr>
                <w:rFonts w:hint="eastAsia" w:ascii="黑体" w:hAnsi="黑体" w:eastAsia="黑体" w:cs="黑体"/>
                <w:bCs/>
                <w:color w:val="auto"/>
                <w:sz w:val="24"/>
                <w:szCs w:val="24"/>
                <w:highlight w:val="none"/>
              </w:rPr>
            </w:pPr>
            <w:r>
              <w:rPr>
                <w:rFonts w:hint="eastAsia" w:ascii="黑体" w:hAnsi="黑体" w:eastAsia="黑体" w:cs="黑体"/>
                <w:color w:val="auto"/>
                <w:kern w:val="0"/>
                <w:sz w:val="24"/>
                <w:szCs w:val="24"/>
                <w:highlight w:val="none"/>
              </w:rPr>
              <w:t>基本资格条件：符合《中华人民共和国政府采购法》第二十二条的规定</w:t>
            </w:r>
          </w:p>
        </w:tc>
        <w:tc>
          <w:tcPr>
            <w:tcW w:w="800" w:type="dxa"/>
            <w:vAlign w:val="center"/>
          </w:tcPr>
          <w:p w14:paraId="07B5F99A">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w:t>
            </w:r>
          </w:p>
        </w:tc>
        <w:tc>
          <w:tcPr>
            <w:tcW w:w="2636" w:type="dxa"/>
            <w:vAlign w:val="center"/>
          </w:tcPr>
          <w:p w14:paraId="07ED87C2">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具有独立承担民事责任的能力</w:t>
            </w:r>
          </w:p>
        </w:tc>
        <w:tc>
          <w:tcPr>
            <w:tcW w:w="4241" w:type="dxa"/>
            <w:vAlign w:val="center"/>
          </w:tcPr>
          <w:p w14:paraId="3B5C3DE4">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提供供应商合法注册的法人或其他组织的营业执照等证明文件，自然人的身份证明</w:t>
            </w:r>
          </w:p>
        </w:tc>
      </w:tr>
      <w:tr w14:paraId="0B69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02" w:type="dxa"/>
            <w:vMerge w:val="continue"/>
            <w:vAlign w:val="center"/>
          </w:tcPr>
          <w:p w14:paraId="4C957DC3">
            <w:pPr>
              <w:snapToGrid w:val="0"/>
              <w:jc w:val="left"/>
              <w:rPr>
                <w:rFonts w:hint="eastAsia" w:ascii="黑体" w:hAnsi="黑体" w:eastAsia="黑体" w:cs="黑体"/>
                <w:bCs/>
                <w:color w:val="auto"/>
                <w:sz w:val="24"/>
                <w:szCs w:val="24"/>
                <w:highlight w:val="none"/>
              </w:rPr>
            </w:pPr>
          </w:p>
        </w:tc>
        <w:tc>
          <w:tcPr>
            <w:tcW w:w="800" w:type="dxa"/>
            <w:vAlign w:val="center"/>
          </w:tcPr>
          <w:p w14:paraId="5665762B">
            <w:pPr>
              <w:snapToGrid w:val="0"/>
              <w:jc w:val="center"/>
              <w:rPr>
                <w:rFonts w:hint="eastAsia"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lang w:val="en-US" w:eastAsia="zh-CN"/>
              </w:rPr>
              <w:t>2</w:t>
            </w:r>
          </w:p>
        </w:tc>
        <w:tc>
          <w:tcPr>
            <w:tcW w:w="2636" w:type="dxa"/>
            <w:vAlign w:val="center"/>
          </w:tcPr>
          <w:p w14:paraId="15735C32">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具有良好的商业信誉和健全的财务会计制度</w:t>
            </w:r>
          </w:p>
        </w:tc>
        <w:tc>
          <w:tcPr>
            <w:tcW w:w="4241" w:type="dxa"/>
            <w:vAlign w:val="center"/>
          </w:tcPr>
          <w:p w14:paraId="5D3C6AC1">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lang w:eastAsia="zh-CN"/>
              </w:rPr>
              <w:t>提供202</w:t>
            </w:r>
            <w:r>
              <w:rPr>
                <w:rFonts w:hint="eastAsia" w:ascii="黑体" w:hAnsi="黑体" w:eastAsia="黑体" w:cs="黑体"/>
                <w:bCs/>
                <w:color w:val="auto"/>
                <w:sz w:val="24"/>
                <w:szCs w:val="24"/>
                <w:highlight w:val="none"/>
                <w:lang w:val="en-US" w:eastAsia="zh-CN"/>
              </w:rPr>
              <w:t>3</w:t>
            </w:r>
            <w:r>
              <w:rPr>
                <w:rFonts w:hint="eastAsia" w:ascii="黑体" w:hAnsi="黑体" w:eastAsia="黑体" w:cs="黑体"/>
                <w:bCs/>
                <w:color w:val="auto"/>
                <w:sz w:val="24"/>
                <w:szCs w:val="24"/>
                <w:highlight w:val="none"/>
                <w:lang w:eastAsia="zh-CN"/>
              </w:rPr>
              <w:t>或202</w:t>
            </w:r>
            <w:r>
              <w:rPr>
                <w:rFonts w:hint="eastAsia" w:ascii="黑体" w:hAnsi="黑体" w:eastAsia="黑体" w:cs="黑体"/>
                <w:bCs/>
                <w:color w:val="auto"/>
                <w:sz w:val="24"/>
                <w:szCs w:val="24"/>
                <w:highlight w:val="none"/>
                <w:lang w:val="en-US" w:eastAsia="zh-CN"/>
              </w:rPr>
              <w:t>4</w:t>
            </w:r>
            <w:r>
              <w:rPr>
                <w:rFonts w:hint="eastAsia" w:ascii="黑体" w:hAnsi="黑体" w:eastAsia="黑体" w:cs="黑体"/>
                <w:bCs/>
                <w:color w:val="auto"/>
                <w:sz w:val="24"/>
                <w:szCs w:val="24"/>
                <w:highlight w:val="none"/>
                <w:lang w:eastAsia="zh-CN"/>
              </w:rPr>
              <w:t>年度财务审计报告或本年度基本开户银行出具的资信证明；</w:t>
            </w:r>
          </w:p>
        </w:tc>
      </w:tr>
      <w:tr w14:paraId="7A9F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02" w:type="dxa"/>
            <w:vMerge w:val="continue"/>
            <w:vAlign w:val="center"/>
          </w:tcPr>
          <w:p w14:paraId="442195D1">
            <w:pPr>
              <w:snapToGrid w:val="0"/>
              <w:jc w:val="left"/>
              <w:rPr>
                <w:rFonts w:hint="eastAsia" w:ascii="黑体" w:hAnsi="黑体" w:eastAsia="黑体" w:cs="黑体"/>
                <w:bCs/>
                <w:color w:val="auto"/>
                <w:sz w:val="24"/>
                <w:szCs w:val="24"/>
                <w:highlight w:val="none"/>
              </w:rPr>
            </w:pPr>
          </w:p>
        </w:tc>
        <w:tc>
          <w:tcPr>
            <w:tcW w:w="800" w:type="dxa"/>
            <w:vAlign w:val="center"/>
          </w:tcPr>
          <w:p w14:paraId="0B4FA922">
            <w:pPr>
              <w:snapToGrid w:val="0"/>
              <w:jc w:val="center"/>
              <w:rPr>
                <w:rFonts w:hint="eastAsia"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lang w:val="en-US" w:eastAsia="zh-CN"/>
              </w:rPr>
              <w:t>3</w:t>
            </w:r>
          </w:p>
        </w:tc>
        <w:tc>
          <w:tcPr>
            <w:tcW w:w="2636" w:type="dxa"/>
            <w:vAlign w:val="center"/>
          </w:tcPr>
          <w:p w14:paraId="424E0F1C">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有依法缴纳税收和社会保障资金的良好记录</w:t>
            </w:r>
          </w:p>
        </w:tc>
        <w:tc>
          <w:tcPr>
            <w:tcW w:w="4241" w:type="dxa"/>
            <w:vAlign w:val="center"/>
          </w:tcPr>
          <w:p w14:paraId="073A63BF">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提供供应商近六个月任何一个月缴税证明和社会保障资金缴纳证明或免缴纳证明</w:t>
            </w:r>
            <w:r>
              <w:rPr>
                <w:rFonts w:hint="eastAsia" w:ascii="黑体" w:hAnsi="黑体" w:eastAsia="黑体" w:cs="黑体"/>
                <w:bCs/>
                <w:color w:val="auto"/>
                <w:sz w:val="24"/>
                <w:szCs w:val="24"/>
                <w:highlight w:val="none"/>
                <w:lang w:eastAsia="zh-CN"/>
              </w:rPr>
              <w:t>；</w:t>
            </w:r>
          </w:p>
        </w:tc>
      </w:tr>
      <w:tr w14:paraId="17A5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02" w:type="dxa"/>
            <w:vMerge w:val="continue"/>
            <w:vAlign w:val="center"/>
          </w:tcPr>
          <w:p w14:paraId="5B9F3D58">
            <w:pPr>
              <w:snapToGrid w:val="0"/>
              <w:jc w:val="left"/>
              <w:rPr>
                <w:rFonts w:hint="eastAsia" w:ascii="黑体" w:hAnsi="黑体" w:eastAsia="黑体" w:cs="黑体"/>
                <w:bCs/>
                <w:color w:val="auto"/>
                <w:sz w:val="24"/>
                <w:szCs w:val="24"/>
                <w:highlight w:val="none"/>
              </w:rPr>
            </w:pPr>
          </w:p>
        </w:tc>
        <w:tc>
          <w:tcPr>
            <w:tcW w:w="800" w:type="dxa"/>
            <w:vAlign w:val="center"/>
          </w:tcPr>
          <w:p w14:paraId="1CAA128B">
            <w:pPr>
              <w:snapToGrid w:val="0"/>
              <w:jc w:val="center"/>
              <w:rPr>
                <w:rFonts w:hint="eastAsia" w:ascii="黑体" w:hAnsi="黑体" w:eastAsia="黑体" w:cs="黑体"/>
                <w:bCs/>
                <w:color w:val="auto"/>
                <w:sz w:val="24"/>
                <w:szCs w:val="24"/>
                <w:highlight w:val="none"/>
                <w:lang w:eastAsia="zh-CN"/>
              </w:rPr>
            </w:pPr>
            <w:r>
              <w:rPr>
                <w:rFonts w:hint="eastAsia" w:ascii="黑体" w:hAnsi="黑体" w:eastAsia="黑体" w:cs="黑体"/>
                <w:bCs/>
                <w:color w:val="auto"/>
                <w:sz w:val="24"/>
                <w:szCs w:val="24"/>
                <w:highlight w:val="none"/>
                <w:lang w:val="en-US" w:eastAsia="zh-CN"/>
              </w:rPr>
              <w:t>4</w:t>
            </w:r>
          </w:p>
        </w:tc>
        <w:tc>
          <w:tcPr>
            <w:tcW w:w="2636" w:type="dxa"/>
            <w:vAlign w:val="center"/>
          </w:tcPr>
          <w:p w14:paraId="3CF087EF">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具有履行合同所必需的设备和专业技术能力</w:t>
            </w:r>
          </w:p>
        </w:tc>
        <w:tc>
          <w:tcPr>
            <w:tcW w:w="4241" w:type="dxa"/>
            <w:vAlign w:val="center"/>
          </w:tcPr>
          <w:p w14:paraId="39EE4665">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提供具备履行合同所必需的设备和专业技术能力的承诺</w:t>
            </w:r>
          </w:p>
        </w:tc>
      </w:tr>
      <w:tr w14:paraId="3E59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502" w:type="dxa"/>
            <w:vMerge w:val="continue"/>
            <w:vAlign w:val="center"/>
          </w:tcPr>
          <w:p w14:paraId="01F425D7">
            <w:pPr>
              <w:snapToGrid w:val="0"/>
              <w:jc w:val="left"/>
              <w:rPr>
                <w:rFonts w:hint="eastAsia" w:ascii="黑体" w:hAnsi="黑体" w:eastAsia="黑体" w:cs="黑体"/>
                <w:bCs/>
                <w:color w:val="auto"/>
                <w:sz w:val="24"/>
                <w:szCs w:val="24"/>
                <w:highlight w:val="none"/>
              </w:rPr>
            </w:pPr>
          </w:p>
        </w:tc>
        <w:tc>
          <w:tcPr>
            <w:tcW w:w="800" w:type="dxa"/>
            <w:vAlign w:val="center"/>
          </w:tcPr>
          <w:p w14:paraId="43B7065C">
            <w:pPr>
              <w:snapToGrid w:val="0"/>
              <w:jc w:val="center"/>
              <w:rPr>
                <w:rFonts w:hint="eastAsia" w:ascii="黑体" w:hAnsi="黑体" w:eastAsia="黑体" w:cs="黑体"/>
                <w:bCs/>
                <w:color w:val="auto"/>
                <w:sz w:val="24"/>
                <w:szCs w:val="24"/>
                <w:highlight w:val="none"/>
                <w:lang w:eastAsia="zh-CN"/>
              </w:rPr>
            </w:pPr>
            <w:r>
              <w:rPr>
                <w:rFonts w:hint="eastAsia" w:ascii="黑体" w:hAnsi="黑体" w:eastAsia="黑体" w:cs="黑体"/>
                <w:bCs/>
                <w:color w:val="auto"/>
                <w:sz w:val="24"/>
                <w:szCs w:val="24"/>
                <w:highlight w:val="none"/>
                <w:lang w:val="en-US" w:eastAsia="zh-CN"/>
              </w:rPr>
              <w:t>5</w:t>
            </w:r>
          </w:p>
        </w:tc>
        <w:tc>
          <w:tcPr>
            <w:tcW w:w="2636" w:type="dxa"/>
            <w:vAlign w:val="center"/>
          </w:tcPr>
          <w:p w14:paraId="355AA963">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参加政府采购活动前三年内，在经营活动中没有重大违法记录</w:t>
            </w:r>
          </w:p>
        </w:tc>
        <w:tc>
          <w:tcPr>
            <w:tcW w:w="4241" w:type="dxa"/>
            <w:vAlign w:val="center"/>
          </w:tcPr>
          <w:p w14:paraId="6A1A95E1">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提供参加政府采购活动前3年内在经营活动中没有重大违法记录的书面声明</w:t>
            </w:r>
          </w:p>
        </w:tc>
      </w:tr>
      <w:tr w14:paraId="1933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02" w:type="dxa"/>
            <w:vMerge w:val="continue"/>
            <w:vAlign w:val="center"/>
          </w:tcPr>
          <w:p w14:paraId="0ECD3CF6">
            <w:pPr>
              <w:snapToGrid w:val="0"/>
              <w:jc w:val="left"/>
              <w:rPr>
                <w:rFonts w:hint="eastAsia" w:ascii="黑体" w:hAnsi="黑体" w:eastAsia="黑体" w:cs="黑体"/>
                <w:bCs/>
                <w:color w:val="auto"/>
                <w:sz w:val="24"/>
                <w:szCs w:val="24"/>
                <w:highlight w:val="none"/>
              </w:rPr>
            </w:pPr>
          </w:p>
        </w:tc>
        <w:tc>
          <w:tcPr>
            <w:tcW w:w="800" w:type="dxa"/>
            <w:vAlign w:val="center"/>
          </w:tcPr>
          <w:p w14:paraId="03B6638A">
            <w:pPr>
              <w:snapToGrid w:val="0"/>
              <w:jc w:val="center"/>
              <w:rPr>
                <w:rFonts w:hint="eastAsia" w:ascii="黑体" w:hAnsi="黑体" w:eastAsia="黑体" w:cs="黑体"/>
                <w:bCs/>
                <w:color w:val="auto"/>
                <w:sz w:val="24"/>
                <w:szCs w:val="24"/>
                <w:highlight w:val="none"/>
                <w:lang w:eastAsia="zh-CN"/>
              </w:rPr>
            </w:pPr>
            <w:r>
              <w:rPr>
                <w:rFonts w:hint="eastAsia" w:ascii="黑体" w:hAnsi="黑体" w:eastAsia="黑体" w:cs="黑体"/>
                <w:bCs/>
                <w:color w:val="auto"/>
                <w:sz w:val="24"/>
                <w:szCs w:val="24"/>
                <w:highlight w:val="none"/>
                <w:lang w:val="en-US" w:eastAsia="zh-CN"/>
              </w:rPr>
              <w:t>6</w:t>
            </w:r>
          </w:p>
        </w:tc>
        <w:tc>
          <w:tcPr>
            <w:tcW w:w="2636" w:type="dxa"/>
            <w:vAlign w:val="center"/>
          </w:tcPr>
          <w:p w14:paraId="0EF4ED4E">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法律、行政法规规定的其他条件</w:t>
            </w:r>
          </w:p>
        </w:tc>
        <w:tc>
          <w:tcPr>
            <w:tcW w:w="4241" w:type="dxa"/>
            <w:vAlign w:val="center"/>
          </w:tcPr>
          <w:p w14:paraId="6CFED565">
            <w:pPr>
              <w:snapToGrid w:val="0"/>
              <w:jc w:val="left"/>
              <w:rPr>
                <w:rFonts w:hint="eastAsia" w:ascii="黑体" w:hAnsi="黑体" w:eastAsia="黑体" w:cs="黑体"/>
                <w:bCs/>
                <w:color w:val="auto"/>
                <w:sz w:val="24"/>
                <w:szCs w:val="24"/>
                <w:highlight w:val="none"/>
                <w:lang w:eastAsia="zh-CN"/>
              </w:rPr>
            </w:pPr>
            <w:r>
              <w:rPr>
                <w:rFonts w:hint="eastAsia" w:ascii="黑体" w:hAnsi="黑体" w:eastAsia="黑体" w:cs="黑体"/>
                <w:bCs/>
                <w:color w:val="auto"/>
                <w:sz w:val="24"/>
                <w:szCs w:val="24"/>
                <w:highlight w:val="none"/>
              </w:rPr>
              <w:t>提供(1)供应商控股股东名称、控股公司的名称和存在管理、被管理关系的单位名称说明</w:t>
            </w:r>
            <w:r>
              <w:rPr>
                <w:rFonts w:hint="eastAsia" w:ascii="黑体" w:hAnsi="黑体" w:eastAsia="黑体" w:cs="黑体"/>
                <w:bCs/>
                <w:color w:val="auto"/>
                <w:sz w:val="24"/>
                <w:szCs w:val="24"/>
                <w:highlight w:val="none"/>
                <w:lang w:eastAsia="zh-CN"/>
              </w:rPr>
              <w:t>；</w:t>
            </w:r>
          </w:p>
          <w:p w14:paraId="27D27343">
            <w:pPr>
              <w:snapToGrid w:val="0"/>
              <w:jc w:val="left"/>
              <w:rPr>
                <w:rFonts w:hint="eastAsia" w:ascii="黑体" w:hAnsi="黑体" w:eastAsia="黑体" w:cs="黑体"/>
                <w:bCs/>
                <w:color w:val="auto"/>
                <w:sz w:val="24"/>
                <w:szCs w:val="24"/>
                <w:highlight w:val="none"/>
                <w:lang w:eastAsia="zh-CN"/>
              </w:rPr>
            </w:pPr>
            <w:r>
              <w:rPr>
                <w:rFonts w:hint="eastAsia" w:ascii="黑体" w:hAnsi="黑体" w:eastAsia="黑体" w:cs="黑体"/>
                <w:bCs/>
                <w:color w:val="auto"/>
                <w:sz w:val="24"/>
                <w:szCs w:val="24"/>
                <w:highlight w:val="none"/>
              </w:rPr>
              <w:t>(2)供应商是否属于为本项目提供整体设计、规范编制或者项目管理、监理、检测等服务的供应商声明</w:t>
            </w:r>
            <w:r>
              <w:rPr>
                <w:rFonts w:hint="eastAsia" w:ascii="黑体" w:hAnsi="黑体" w:eastAsia="黑体" w:cs="黑体"/>
                <w:bCs/>
                <w:color w:val="auto"/>
                <w:sz w:val="24"/>
                <w:szCs w:val="24"/>
                <w:highlight w:val="none"/>
                <w:lang w:eastAsia="zh-CN"/>
              </w:rPr>
              <w:t>；</w:t>
            </w:r>
          </w:p>
        </w:tc>
      </w:tr>
      <w:tr w14:paraId="758D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502" w:type="dxa"/>
            <w:vMerge w:val="restart"/>
            <w:vAlign w:val="center"/>
          </w:tcPr>
          <w:p w14:paraId="7268D68C">
            <w:pPr>
              <w:snapToGrid w:val="0"/>
              <w:jc w:val="left"/>
              <w:rPr>
                <w:rFonts w:hint="eastAsia" w:ascii="黑体" w:hAnsi="黑体" w:eastAsia="黑体" w:cs="黑体"/>
                <w:bCs/>
                <w:color w:val="auto"/>
                <w:sz w:val="24"/>
                <w:szCs w:val="24"/>
                <w:highlight w:val="none"/>
              </w:rPr>
            </w:pPr>
            <w:r>
              <w:rPr>
                <w:rFonts w:hint="eastAsia" w:ascii="黑体" w:hAnsi="黑体" w:eastAsia="黑体" w:cs="黑体"/>
                <w:color w:val="auto"/>
                <w:kern w:val="0"/>
                <w:sz w:val="24"/>
                <w:szCs w:val="24"/>
                <w:highlight w:val="none"/>
              </w:rPr>
              <w:t>特定资格条件</w:t>
            </w:r>
          </w:p>
        </w:tc>
        <w:tc>
          <w:tcPr>
            <w:tcW w:w="800" w:type="dxa"/>
            <w:vAlign w:val="center"/>
          </w:tcPr>
          <w:p w14:paraId="40310A73">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w:t>
            </w:r>
          </w:p>
        </w:tc>
        <w:tc>
          <w:tcPr>
            <w:tcW w:w="2636" w:type="dxa"/>
            <w:vAlign w:val="center"/>
          </w:tcPr>
          <w:p w14:paraId="153BAD09">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“信用中国”网站、中国政府采购网（www.ccgp.gov.cn）查询记录</w:t>
            </w:r>
          </w:p>
        </w:tc>
        <w:tc>
          <w:tcPr>
            <w:tcW w:w="4241" w:type="dxa"/>
            <w:vAlign w:val="center"/>
          </w:tcPr>
          <w:p w14:paraId="7E2288D0">
            <w:pPr>
              <w:wordWrap w:val="0"/>
              <w:topLinePunct/>
              <w:adjustRightInd w:val="0"/>
              <w:snapToGrid w:val="0"/>
              <w:jc w:val="left"/>
              <w:rPr>
                <w:rFonts w:hint="eastAsia" w:ascii="黑体" w:hAnsi="黑体" w:eastAsia="黑体" w:cs="黑体"/>
                <w:color w:val="auto"/>
                <w:sz w:val="20"/>
                <w:szCs w:val="22"/>
                <w:highlight w:val="none"/>
              </w:rPr>
            </w:pPr>
            <w:r>
              <w:rPr>
                <w:rFonts w:hint="eastAsia" w:ascii="黑体" w:hAnsi="黑体" w:eastAsia="黑体" w:cs="黑体"/>
                <w:bCs/>
                <w:color w:val="auto"/>
                <w:sz w:val="24"/>
                <w:szCs w:val="24"/>
                <w:highlight w:val="none"/>
              </w:rPr>
              <w:t>被“信用中国”网站（www.creditchina.gov.cn）和中国政府采购网（www.ccgp.gov.cn）上被列入失信被执行人、重大税收违法失信主体、政府采购严重违法失信行为记录名单的，不得参加投标；</w:t>
            </w:r>
          </w:p>
        </w:tc>
      </w:tr>
      <w:tr w14:paraId="7960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vAlign w:val="center"/>
          </w:tcPr>
          <w:p w14:paraId="3780A37C">
            <w:pPr>
              <w:snapToGrid w:val="0"/>
              <w:jc w:val="left"/>
              <w:rPr>
                <w:rFonts w:hint="eastAsia" w:ascii="黑体" w:hAnsi="黑体" w:eastAsia="黑体" w:cs="黑体"/>
                <w:bCs/>
                <w:color w:val="auto"/>
                <w:sz w:val="24"/>
                <w:szCs w:val="24"/>
                <w:highlight w:val="none"/>
              </w:rPr>
            </w:pPr>
          </w:p>
        </w:tc>
        <w:tc>
          <w:tcPr>
            <w:tcW w:w="800" w:type="dxa"/>
            <w:vAlign w:val="center"/>
          </w:tcPr>
          <w:p w14:paraId="0E68ED36">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w:t>
            </w:r>
          </w:p>
        </w:tc>
        <w:tc>
          <w:tcPr>
            <w:tcW w:w="2636" w:type="dxa"/>
            <w:vAlign w:val="center"/>
          </w:tcPr>
          <w:p w14:paraId="68403DD3">
            <w:pPr>
              <w:snapToGrid w:val="0"/>
              <w:ind w:firstLine="240" w:firstLineChars="100"/>
              <w:jc w:val="left"/>
              <w:rPr>
                <w:rFonts w:hint="default"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lang w:val="en-US" w:eastAsia="zh-CN"/>
              </w:rPr>
              <w:t>供应商资质</w:t>
            </w:r>
          </w:p>
        </w:tc>
        <w:tc>
          <w:tcPr>
            <w:tcW w:w="4241" w:type="dxa"/>
            <w:vAlign w:val="center"/>
          </w:tcPr>
          <w:p w14:paraId="13D74D30">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投标人为代理商的应出具医疗器械经营许可证(或医疗器械经营备案凭证)和制造厂商的医疗器械生产许可证(或医疗器械生产备案凭证)；投标人为制造厂商的应出具医疗器械生产许可证(或医疗器械生产备案凭证)</w:t>
            </w:r>
          </w:p>
        </w:tc>
      </w:tr>
      <w:tr w14:paraId="160A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502" w:type="dxa"/>
            <w:vMerge w:val="continue"/>
            <w:vAlign w:val="center"/>
          </w:tcPr>
          <w:p w14:paraId="19D02FB8">
            <w:pPr>
              <w:snapToGrid w:val="0"/>
              <w:jc w:val="left"/>
              <w:rPr>
                <w:rFonts w:hint="eastAsia" w:ascii="黑体" w:hAnsi="黑体" w:eastAsia="黑体" w:cs="黑体"/>
                <w:bCs/>
                <w:color w:val="auto"/>
                <w:sz w:val="24"/>
                <w:szCs w:val="24"/>
                <w:highlight w:val="none"/>
              </w:rPr>
            </w:pPr>
          </w:p>
        </w:tc>
        <w:tc>
          <w:tcPr>
            <w:tcW w:w="800" w:type="dxa"/>
            <w:vAlign w:val="center"/>
          </w:tcPr>
          <w:p w14:paraId="4F1B1D4C">
            <w:pPr>
              <w:snapToGrid w:val="0"/>
              <w:jc w:val="center"/>
              <w:rPr>
                <w:rFonts w:hint="eastAsia"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lang w:val="en-US" w:eastAsia="zh-CN"/>
              </w:rPr>
              <w:t>3</w:t>
            </w:r>
          </w:p>
        </w:tc>
        <w:tc>
          <w:tcPr>
            <w:tcW w:w="2636" w:type="dxa"/>
            <w:vAlign w:val="center"/>
          </w:tcPr>
          <w:p w14:paraId="1E739449">
            <w:pPr>
              <w:snapToGrid w:val="0"/>
              <w:jc w:val="left"/>
              <w:rPr>
                <w:rFonts w:hint="eastAsia"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lang w:val="en-US" w:eastAsia="zh-CN"/>
              </w:rPr>
              <w:t>投标产品注册证</w:t>
            </w:r>
          </w:p>
        </w:tc>
        <w:tc>
          <w:tcPr>
            <w:tcW w:w="4241" w:type="dxa"/>
            <w:vAlign w:val="center"/>
          </w:tcPr>
          <w:p w14:paraId="2D787BF0">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lang w:val="zh-CN"/>
              </w:rPr>
              <w:t>所投产品如属于医疗器械应出具医疗器械注册证或医疗器械备案凭证</w:t>
            </w:r>
          </w:p>
        </w:tc>
      </w:tr>
      <w:tr w14:paraId="1044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02" w:type="dxa"/>
            <w:vMerge w:val="continue"/>
            <w:vAlign w:val="center"/>
          </w:tcPr>
          <w:p w14:paraId="1B7220B0">
            <w:pPr>
              <w:snapToGrid w:val="0"/>
              <w:jc w:val="left"/>
              <w:rPr>
                <w:rFonts w:hint="eastAsia" w:ascii="黑体" w:hAnsi="黑体" w:eastAsia="黑体" w:cs="黑体"/>
                <w:bCs/>
                <w:color w:val="auto"/>
                <w:sz w:val="24"/>
                <w:szCs w:val="24"/>
                <w:highlight w:val="none"/>
              </w:rPr>
            </w:pPr>
          </w:p>
        </w:tc>
        <w:tc>
          <w:tcPr>
            <w:tcW w:w="800" w:type="dxa"/>
            <w:vAlign w:val="center"/>
          </w:tcPr>
          <w:p w14:paraId="79EED260">
            <w:pPr>
              <w:snapToGrid w:val="0"/>
              <w:jc w:val="center"/>
              <w:rPr>
                <w:rFonts w:hint="eastAsia"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lang w:val="en-US" w:eastAsia="zh-CN"/>
              </w:rPr>
              <w:t>4</w:t>
            </w:r>
          </w:p>
        </w:tc>
        <w:tc>
          <w:tcPr>
            <w:tcW w:w="2636" w:type="dxa"/>
            <w:vAlign w:val="center"/>
          </w:tcPr>
          <w:p w14:paraId="79BDFDA4">
            <w:pPr>
              <w:snapToGrid w:val="0"/>
              <w:jc w:val="left"/>
              <w:rPr>
                <w:rFonts w:hint="eastAsia"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rPr>
              <w:t>供应商应授权合法的人员参加磋商全过程</w:t>
            </w:r>
          </w:p>
        </w:tc>
        <w:tc>
          <w:tcPr>
            <w:tcW w:w="4241" w:type="dxa"/>
            <w:vAlign w:val="center"/>
          </w:tcPr>
          <w:p w14:paraId="23A6EA28">
            <w:pPr>
              <w:snapToGrid w:val="0"/>
              <w:jc w:val="left"/>
              <w:rPr>
                <w:rFonts w:hint="eastAsia" w:ascii="黑体" w:hAnsi="黑体" w:eastAsia="黑体" w:cs="黑体"/>
                <w:bCs/>
                <w:color w:val="auto"/>
                <w:sz w:val="24"/>
                <w:szCs w:val="24"/>
                <w:highlight w:val="none"/>
                <w:lang w:val="zh-CN"/>
              </w:rPr>
            </w:pPr>
            <w:r>
              <w:rPr>
                <w:rFonts w:hint="eastAsia" w:ascii="黑体" w:hAnsi="黑体" w:eastAsia="黑体" w:cs="黑体"/>
                <w:bCs/>
                <w:color w:val="auto"/>
                <w:sz w:val="24"/>
                <w:szCs w:val="24"/>
                <w:highlight w:val="none"/>
                <w:lang w:val="zh-CN"/>
              </w:rPr>
              <w:t>法定代表人（或单位负责人）授权书及被授权人身份证、授权代表本单位证明（养老保险缴纳证明或劳动合同）</w:t>
            </w:r>
          </w:p>
          <w:p w14:paraId="609756AB">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lang w:val="zh-CN"/>
              </w:rPr>
              <w:t>法定代表人直接参加磋商的，须出具法人身份证，并与营业执照上信息一致。</w:t>
            </w:r>
          </w:p>
        </w:tc>
      </w:tr>
    </w:tbl>
    <w:p w14:paraId="65601745">
      <w:pPr>
        <w:spacing w:line="360" w:lineRule="auto"/>
        <w:jc w:val="both"/>
        <w:rPr>
          <w:rFonts w:hint="eastAsia" w:ascii="黑体" w:hAnsi="黑体" w:eastAsia="黑体" w:cs="黑体"/>
          <w:b/>
          <w:color w:val="auto"/>
          <w:sz w:val="24"/>
          <w:szCs w:val="24"/>
          <w:highlight w:val="none"/>
        </w:rPr>
      </w:pPr>
      <w:r>
        <w:rPr>
          <w:rFonts w:hint="eastAsia" w:ascii="黑体" w:hAnsi="黑体" w:eastAsia="黑体" w:cs="黑体"/>
          <w:b/>
          <w:color w:val="auto"/>
          <w:sz w:val="28"/>
          <w:szCs w:val="28"/>
          <w:highlight w:val="none"/>
        </w:rPr>
        <w:t>附表二 符合性审查表</w:t>
      </w:r>
    </w:p>
    <w:tbl>
      <w:tblPr>
        <w:tblStyle w:val="50"/>
        <w:tblW w:w="8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282"/>
        <w:gridCol w:w="5665"/>
      </w:tblGrid>
      <w:tr w14:paraId="3C5B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450DF52F">
            <w:pPr>
              <w:tabs>
                <w:tab w:val="left" w:pos="1260"/>
                <w:tab w:val="left" w:pos="1620"/>
              </w:tabs>
              <w:adjustRightInd w:val="0"/>
              <w:snapToGrid w:val="0"/>
              <w:jc w:val="center"/>
              <w:textAlignment w:val="baseline"/>
              <w:rPr>
                <w:rFonts w:hint="eastAsia" w:ascii="黑体" w:hAnsi="黑体" w:eastAsia="黑体" w:cs="黑体"/>
                <w:b/>
                <w:caps/>
                <w:color w:val="auto"/>
                <w:sz w:val="22"/>
                <w:szCs w:val="22"/>
                <w:highlight w:val="none"/>
              </w:rPr>
            </w:pPr>
            <w:r>
              <w:rPr>
                <w:rFonts w:hint="eastAsia" w:ascii="黑体" w:hAnsi="黑体" w:eastAsia="黑体" w:cs="黑体"/>
                <w:b/>
                <w:caps/>
                <w:color w:val="auto"/>
                <w:sz w:val="22"/>
                <w:szCs w:val="22"/>
                <w:highlight w:val="none"/>
              </w:rPr>
              <w:t>序号</w:t>
            </w:r>
          </w:p>
        </w:tc>
        <w:tc>
          <w:tcPr>
            <w:tcW w:w="2282" w:type="dxa"/>
            <w:vAlign w:val="center"/>
          </w:tcPr>
          <w:p w14:paraId="78B2DEB6">
            <w:pPr>
              <w:tabs>
                <w:tab w:val="left" w:pos="1260"/>
                <w:tab w:val="left" w:pos="1620"/>
              </w:tabs>
              <w:adjustRightInd w:val="0"/>
              <w:snapToGrid w:val="0"/>
              <w:jc w:val="center"/>
              <w:textAlignment w:val="baseline"/>
              <w:rPr>
                <w:rFonts w:hint="eastAsia" w:ascii="黑体" w:hAnsi="黑体" w:eastAsia="黑体" w:cs="黑体"/>
                <w:b/>
                <w:caps/>
                <w:color w:val="auto"/>
                <w:sz w:val="22"/>
                <w:szCs w:val="22"/>
                <w:highlight w:val="none"/>
              </w:rPr>
            </w:pPr>
            <w:r>
              <w:rPr>
                <w:rFonts w:hint="eastAsia" w:ascii="黑体" w:hAnsi="黑体" w:eastAsia="黑体" w:cs="黑体"/>
                <w:b/>
                <w:caps/>
                <w:color w:val="auto"/>
                <w:sz w:val="22"/>
                <w:szCs w:val="22"/>
                <w:highlight w:val="none"/>
              </w:rPr>
              <w:t>评审项目</w:t>
            </w:r>
          </w:p>
        </w:tc>
        <w:tc>
          <w:tcPr>
            <w:tcW w:w="5665" w:type="dxa"/>
            <w:vAlign w:val="center"/>
          </w:tcPr>
          <w:p w14:paraId="0DEDC0AF">
            <w:pPr>
              <w:tabs>
                <w:tab w:val="left" w:pos="1260"/>
                <w:tab w:val="left" w:pos="1620"/>
              </w:tabs>
              <w:adjustRightInd w:val="0"/>
              <w:snapToGrid w:val="0"/>
              <w:jc w:val="center"/>
              <w:textAlignment w:val="baseline"/>
              <w:rPr>
                <w:rFonts w:hint="eastAsia" w:ascii="黑体" w:hAnsi="黑体" w:eastAsia="黑体" w:cs="黑体"/>
                <w:b/>
                <w:caps/>
                <w:color w:val="auto"/>
                <w:sz w:val="22"/>
                <w:szCs w:val="22"/>
                <w:highlight w:val="none"/>
              </w:rPr>
            </w:pPr>
            <w:r>
              <w:rPr>
                <w:rFonts w:hint="eastAsia" w:ascii="黑体" w:hAnsi="黑体" w:eastAsia="黑体" w:cs="黑体"/>
                <w:b/>
                <w:caps/>
                <w:color w:val="auto"/>
                <w:sz w:val="22"/>
                <w:szCs w:val="22"/>
                <w:highlight w:val="none"/>
              </w:rPr>
              <w:t>评审标准</w:t>
            </w:r>
          </w:p>
        </w:tc>
      </w:tr>
      <w:tr w14:paraId="27A3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69AD7858">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w:t>
            </w:r>
          </w:p>
        </w:tc>
        <w:tc>
          <w:tcPr>
            <w:tcW w:w="2282" w:type="dxa"/>
            <w:vAlign w:val="center"/>
          </w:tcPr>
          <w:p w14:paraId="3E90940D">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响应文件组成</w:t>
            </w:r>
          </w:p>
        </w:tc>
        <w:tc>
          <w:tcPr>
            <w:tcW w:w="5665" w:type="dxa"/>
            <w:vAlign w:val="center"/>
          </w:tcPr>
          <w:p w14:paraId="186A70AD">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符合竞争性磋商文件要求</w:t>
            </w:r>
          </w:p>
        </w:tc>
      </w:tr>
      <w:tr w14:paraId="1422E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1B64BE2B">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w:t>
            </w:r>
          </w:p>
        </w:tc>
        <w:tc>
          <w:tcPr>
            <w:tcW w:w="2282" w:type="dxa"/>
            <w:vAlign w:val="center"/>
          </w:tcPr>
          <w:p w14:paraId="76F51C7B">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响应文件签署、盖章</w:t>
            </w:r>
          </w:p>
        </w:tc>
        <w:tc>
          <w:tcPr>
            <w:tcW w:w="5665" w:type="dxa"/>
            <w:vAlign w:val="center"/>
          </w:tcPr>
          <w:p w14:paraId="776A0B0D">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签署、盖章符合磋商文件要求</w:t>
            </w:r>
          </w:p>
        </w:tc>
      </w:tr>
      <w:tr w14:paraId="20329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2287A04E">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w:t>
            </w:r>
          </w:p>
        </w:tc>
        <w:tc>
          <w:tcPr>
            <w:tcW w:w="2282" w:type="dxa"/>
            <w:vAlign w:val="center"/>
          </w:tcPr>
          <w:p w14:paraId="2C4CC0EA">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响应文件有效期</w:t>
            </w:r>
          </w:p>
        </w:tc>
        <w:tc>
          <w:tcPr>
            <w:tcW w:w="5665" w:type="dxa"/>
            <w:vAlign w:val="center"/>
          </w:tcPr>
          <w:p w14:paraId="3957A524">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符合磋商文件的要求</w:t>
            </w:r>
          </w:p>
        </w:tc>
      </w:tr>
      <w:tr w14:paraId="1FE94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998" w:type="dxa"/>
            <w:vAlign w:val="center"/>
          </w:tcPr>
          <w:p w14:paraId="008A5495">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4</w:t>
            </w:r>
          </w:p>
        </w:tc>
        <w:tc>
          <w:tcPr>
            <w:tcW w:w="2282" w:type="dxa"/>
            <w:vAlign w:val="center"/>
          </w:tcPr>
          <w:p w14:paraId="10C78774">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首次磋商报价</w:t>
            </w:r>
          </w:p>
        </w:tc>
        <w:tc>
          <w:tcPr>
            <w:tcW w:w="5665" w:type="dxa"/>
            <w:vAlign w:val="center"/>
          </w:tcPr>
          <w:p w14:paraId="522ACD06">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同时满足以下条款：（1）磋商报价符合唯一性要求；（2）第一次磋商报价表填写符合要求；（3）第一次磋商报价未超过采购预算且没有被磋商小组认定为不合理低价</w:t>
            </w:r>
          </w:p>
        </w:tc>
      </w:tr>
      <w:tr w14:paraId="7061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vAlign w:val="center"/>
          </w:tcPr>
          <w:p w14:paraId="1D8B1EB1">
            <w:pPr>
              <w:snapToGrid w:val="0"/>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5</w:t>
            </w:r>
          </w:p>
        </w:tc>
        <w:tc>
          <w:tcPr>
            <w:tcW w:w="2282" w:type="dxa"/>
            <w:vAlign w:val="center"/>
          </w:tcPr>
          <w:p w14:paraId="3967689B">
            <w:pPr>
              <w:overflowPunct/>
              <w:autoSpaceDE/>
              <w:autoSpaceDN/>
              <w:snapToGrid w:val="0"/>
              <w:spacing w:before="0" w:after="0" w:line="240" w:lineRule="auto"/>
              <w:ind w:left="0" w:leftChars="0" w:right="0" w:rightChars="0" w:firstLine="0" w:firstLineChars="0"/>
              <w:jc w:val="left"/>
              <w:rPr>
                <w:rFonts w:hint="eastAsia" w:ascii="黑体" w:hAnsi="黑体" w:eastAsia="黑体" w:cs="黑体"/>
                <w:bCs/>
                <w:color w:val="auto"/>
                <w:sz w:val="24"/>
                <w:szCs w:val="24"/>
                <w:highlight w:val="none"/>
                <w:lang w:val="en-US"/>
              </w:rPr>
            </w:pPr>
            <w:r>
              <w:rPr>
                <w:rFonts w:hint="eastAsia" w:ascii="黑体" w:hAnsi="黑体" w:eastAsia="黑体" w:cs="黑体"/>
                <w:bCs/>
                <w:color w:val="auto"/>
                <w:kern w:val="2"/>
                <w:sz w:val="24"/>
                <w:szCs w:val="24"/>
                <w:highlight w:val="none"/>
                <w:lang w:val="en-US" w:bidi="ar-SA"/>
              </w:rPr>
              <w:t>其他无效情形</w:t>
            </w:r>
          </w:p>
        </w:tc>
        <w:tc>
          <w:tcPr>
            <w:tcW w:w="5665" w:type="dxa"/>
            <w:vAlign w:val="center"/>
          </w:tcPr>
          <w:p w14:paraId="200BC472">
            <w:pPr>
              <w:keepNext w:val="0"/>
              <w:keepLines w:val="0"/>
              <w:widowControl/>
              <w:suppressLineNumbers w:val="0"/>
              <w:jc w:val="left"/>
              <w:rPr>
                <w:rFonts w:hint="eastAsia" w:ascii="黑体" w:hAnsi="黑体" w:eastAsia="黑体" w:cs="黑体"/>
                <w:bCs/>
                <w:color w:val="auto"/>
                <w:sz w:val="24"/>
                <w:szCs w:val="24"/>
                <w:highlight w:val="none"/>
              </w:rPr>
            </w:pPr>
            <w:r>
              <w:rPr>
                <w:rFonts w:hint="eastAsia" w:ascii="黑体" w:hAnsi="黑体" w:eastAsia="黑体" w:cs="黑体"/>
                <w:color w:val="auto"/>
                <w:kern w:val="0"/>
                <w:sz w:val="24"/>
                <w:szCs w:val="24"/>
                <w:highlight w:val="none"/>
                <w:lang w:val="en-US" w:eastAsia="zh-CN" w:bidi="ar"/>
              </w:rPr>
              <w:t>没有不符合磋商文件规定的被视为无效响应的其他条款。</w:t>
            </w:r>
          </w:p>
        </w:tc>
      </w:tr>
    </w:tbl>
    <w:p w14:paraId="77A21DD9">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注1、有下列情形之一的，视为供应商相互串通：</w:t>
      </w:r>
    </w:p>
    <w:p w14:paraId="523458FF">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（1）不同供应商的响应文件由同一单位或者个人编制；</w:t>
      </w:r>
    </w:p>
    <w:p w14:paraId="0C38D2A4">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（2）不同供应商委托同一单位或者个人办理参与磋商事宜；</w:t>
      </w:r>
    </w:p>
    <w:p w14:paraId="194E5835">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（3）不同供应商的响应文件载明的项目管理成员或者联系人员为同一人；</w:t>
      </w:r>
    </w:p>
    <w:p w14:paraId="2CE5C9E9">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（4）不同供应商的响应文件异常一致或者报价呈规律性差异；</w:t>
      </w:r>
    </w:p>
    <w:p w14:paraId="76967860">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（5）不同供应商的响应文件相互混装；</w:t>
      </w:r>
    </w:p>
    <w:p w14:paraId="0051DDDC">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2、有下列情形之一的，属于提供虚假材料谋取成交的行为：</w:t>
      </w:r>
    </w:p>
    <w:p w14:paraId="5A956B87">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（1）使用伪造、变造的许可证件；</w:t>
      </w:r>
    </w:p>
    <w:p w14:paraId="41D16F89">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（2）提供虚假的财务状况或者业绩；</w:t>
      </w:r>
    </w:p>
    <w:p w14:paraId="38A0446F">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（3）提供虚假的项目负责人或者主要技术人员简历、劳动关系证明；</w:t>
      </w:r>
    </w:p>
    <w:p w14:paraId="760D874A">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（4）提供虚假的信用状况；</w:t>
      </w:r>
    </w:p>
    <w:p w14:paraId="2CC4EC31">
      <w:pPr>
        <w:tabs>
          <w:tab w:val="left" w:pos="1260"/>
          <w:tab w:val="left" w:pos="1620"/>
        </w:tabs>
        <w:adjustRightInd w:val="0"/>
        <w:spacing w:line="360" w:lineRule="auto"/>
        <w:jc w:val="left"/>
        <w:textAlignment w:val="baseline"/>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（5）其他弄虚作假的行为。</w:t>
      </w:r>
      <w:bookmarkStart w:id="405" w:name="_Toc7005048"/>
      <w:bookmarkStart w:id="406" w:name="_Toc414446034"/>
      <w:bookmarkStart w:id="407" w:name="_Toc410631198"/>
    </w:p>
    <w:p w14:paraId="6AC26E9D">
      <w:pPr>
        <w:tabs>
          <w:tab w:val="left" w:pos="1260"/>
          <w:tab w:val="left" w:pos="1620"/>
        </w:tabs>
        <w:adjustRightInd w:val="0"/>
        <w:spacing w:line="360" w:lineRule="auto"/>
        <w:jc w:val="left"/>
        <w:textAlignment w:val="baseline"/>
        <w:rPr>
          <w:rFonts w:hint="eastAsia" w:ascii="黑体" w:hAnsi="黑体" w:eastAsia="黑体" w:cs="黑体"/>
          <w:color w:val="auto"/>
          <w:sz w:val="22"/>
          <w:szCs w:val="22"/>
          <w:highlight w:val="none"/>
        </w:rPr>
      </w:pPr>
      <w:r>
        <w:rPr>
          <w:rFonts w:hint="eastAsia" w:ascii="黑体" w:hAnsi="黑体" w:eastAsia="黑体" w:cs="黑体"/>
          <w:b/>
          <w:color w:val="auto"/>
          <w:sz w:val="28"/>
          <w:szCs w:val="28"/>
          <w:highlight w:val="none"/>
        </w:rPr>
        <w:t xml:space="preserve">附表三 </w:t>
      </w:r>
      <w:bookmarkEnd w:id="405"/>
      <w:bookmarkEnd w:id="406"/>
      <w:bookmarkEnd w:id="407"/>
      <w:r>
        <w:rPr>
          <w:rFonts w:hint="eastAsia" w:ascii="黑体" w:hAnsi="黑体" w:eastAsia="黑体" w:cs="黑体"/>
          <w:b/>
          <w:color w:val="auto"/>
          <w:sz w:val="28"/>
          <w:szCs w:val="28"/>
          <w:highlight w:val="none"/>
          <w:lang w:eastAsia="zh-CN"/>
        </w:rPr>
        <w:t>综合评分一览表</w:t>
      </w:r>
      <w:r>
        <w:rPr>
          <w:rFonts w:hint="eastAsia" w:ascii="黑体" w:hAnsi="黑体" w:eastAsia="黑体" w:cs="黑体"/>
          <w:color w:val="auto"/>
          <w:sz w:val="22"/>
          <w:szCs w:val="22"/>
          <w:highlight w:val="none"/>
        </w:rPr>
        <w:t xml:space="preserve">（满分 </w:t>
      </w:r>
      <w:r>
        <w:rPr>
          <w:rFonts w:hint="eastAsia" w:ascii="黑体" w:hAnsi="黑体" w:eastAsia="黑体" w:cs="黑体"/>
          <w:color w:val="auto"/>
          <w:sz w:val="22"/>
          <w:szCs w:val="22"/>
          <w:highlight w:val="none"/>
          <w:lang w:val="en-US" w:eastAsia="zh-CN"/>
        </w:rPr>
        <w:t>100</w:t>
      </w:r>
      <w:r>
        <w:rPr>
          <w:rFonts w:hint="eastAsia" w:ascii="黑体" w:hAnsi="黑体" w:eastAsia="黑体" w:cs="黑体"/>
          <w:color w:val="auto"/>
          <w:sz w:val="22"/>
          <w:szCs w:val="22"/>
          <w:highlight w:val="none"/>
        </w:rPr>
        <w:t xml:space="preserve"> 分）</w:t>
      </w:r>
    </w:p>
    <w:tbl>
      <w:tblPr>
        <w:tblStyle w:val="50"/>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821"/>
        <w:gridCol w:w="7174"/>
      </w:tblGrid>
      <w:tr w14:paraId="1B86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0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B20EA29">
            <w:pPr>
              <w:adjustRightInd w:val="0"/>
              <w:snapToGrid w:val="0"/>
              <w:spacing w:line="3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评标因素</w:t>
            </w:r>
          </w:p>
        </w:tc>
        <w:tc>
          <w:tcPr>
            <w:tcW w:w="821" w:type="dxa"/>
            <w:tcBorders>
              <w:top w:val="single" w:color="auto" w:sz="4" w:space="0"/>
              <w:left w:val="single" w:color="auto" w:sz="4" w:space="0"/>
              <w:right w:val="single" w:color="auto" w:sz="4" w:space="0"/>
            </w:tcBorders>
            <w:noWrap w:val="0"/>
            <w:tcMar>
              <w:top w:w="57" w:type="dxa"/>
              <w:left w:w="108" w:type="dxa"/>
              <w:bottom w:w="57" w:type="dxa"/>
              <w:right w:w="108" w:type="dxa"/>
            </w:tcMar>
            <w:vAlign w:val="center"/>
          </w:tcPr>
          <w:p w14:paraId="583BAED6">
            <w:pPr>
              <w:adjustRightInd w:val="0"/>
              <w:snapToGrid w:val="0"/>
              <w:spacing w:line="3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w:t>
            </w:r>
          </w:p>
        </w:tc>
        <w:tc>
          <w:tcPr>
            <w:tcW w:w="717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76CB71A4">
            <w:pPr>
              <w:adjustRightInd w:val="0"/>
              <w:snapToGrid w:val="0"/>
              <w:spacing w:line="3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评价要素</w:t>
            </w:r>
          </w:p>
        </w:tc>
      </w:tr>
      <w:tr w14:paraId="3969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0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8197223">
            <w:pPr>
              <w:adjustRightInd w:val="0"/>
              <w:snapToGrid w:val="0"/>
              <w:spacing w:line="34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投标报价</w:t>
            </w:r>
          </w:p>
        </w:tc>
        <w:tc>
          <w:tcPr>
            <w:tcW w:w="82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1FAA97A3">
            <w:pPr>
              <w:adjustRightInd w:val="0"/>
              <w:snapToGrid w:val="0"/>
              <w:spacing w:line="3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30</w:t>
            </w:r>
          </w:p>
        </w:tc>
        <w:tc>
          <w:tcPr>
            <w:tcW w:w="717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349399FC">
            <w:pPr>
              <w:adjustRightInd w:val="0"/>
              <w:snapToGrid w:val="0"/>
              <w:spacing w:line="3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满足招标文件要求且投标价格最低的投标报价为评标基准价，其价格分为满分。其他投标人的价格分统一按照下列公式计算：投标报价得分=（评标基准价/投标报价）×30</w:t>
            </w:r>
          </w:p>
          <w:p w14:paraId="333547AF">
            <w:pPr>
              <w:adjustRightInd w:val="0"/>
              <w:snapToGrid w:val="0"/>
              <w:spacing w:line="340" w:lineRule="exact"/>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lang w:val="en-US" w:eastAsia="zh-CN"/>
              </w:rPr>
              <w:t>注：</w:t>
            </w:r>
            <w:r>
              <w:rPr>
                <w:rFonts w:hint="eastAsia" w:ascii="黑体" w:hAnsi="黑体" w:eastAsia="黑体" w:cs="黑体"/>
                <w:b/>
                <w:bCs/>
                <w:color w:val="auto"/>
                <w:sz w:val="24"/>
                <w:szCs w:val="24"/>
                <w:highlight w:val="none"/>
              </w:rPr>
              <w:t>符合招标文件规定的小微企业、监狱企业、残疾人福利性单位优惠条件的投标人，价格给予10%的扣除，用扣除后的价格参与评审。</w:t>
            </w:r>
          </w:p>
        </w:tc>
      </w:tr>
      <w:tr w14:paraId="00E6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0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E581F21">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投标产品技术指标评审内容</w:t>
            </w:r>
          </w:p>
        </w:tc>
        <w:tc>
          <w:tcPr>
            <w:tcW w:w="82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4443DBF5">
            <w:pPr>
              <w:autoSpaceDE w:val="0"/>
              <w:autoSpaceDN w:val="0"/>
              <w:adjustRightInd w:val="0"/>
              <w:snapToGrid w:val="0"/>
              <w:spacing w:line="340" w:lineRule="exact"/>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30</w:t>
            </w:r>
          </w:p>
        </w:tc>
        <w:tc>
          <w:tcPr>
            <w:tcW w:w="717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A286F36">
            <w:pPr>
              <w:autoSpaceDE w:val="0"/>
              <w:autoSpaceDN w:val="0"/>
              <w:adjustRightInd w:val="0"/>
              <w:snapToGrid w:val="0"/>
              <w:spacing w:line="3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1、投标文件技术指标响应全部满足或优于招标文件技术指标要求的为</w:t>
            </w:r>
            <w:r>
              <w:rPr>
                <w:rFonts w:hint="eastAsia" w:ascii="黑体" w:hAnsi="黑体" w:eastAsia="黑体" w:cs="黑体"/>
                <w:color w:val="auto"/>
                <w:sz w:val="24"/>
                <w:szCs w:val="24"/>
                <w:highlight w:val="none"/>
                <w:lang w:val="en-US" w:eastAsia="zh-CN"/>
              </w:rPr>
              <w:t>30</w:t>
            </w:r>
            <w:r>
              <w:rPr>
                <w:rFonts w:hint="eastAsia" w:ascii="黑体" w:hAnsi="黑体" w:eastAsia="黑体" w:cs="黑体"/>
                <w:color w:val="auto"/>
                <w:sz w:val="24"/>
                <w:szCs w:val="24"/>
                <w:highlight w:val="none"/>
                <w:lang w:val="zh-CN"/>
              </w:rPr>
              <w:t xml:space="preserve">分，其中有 1 项“★”号条款不满足的，扣 </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val="zh-CN"/>
              </w:rPr>
              <w:t>分；有 1 项其他条款不满足的，扣 2 分，最低得分 0 分。</w:t>
            </w:r>
          </w:p>
          <w:p w14:paraId="17106024">
            <w:pPr>
              <w:autoSpaceDE w:val="0"/>
              <w:autoSpaceDN w:val="0"/>
              <w:adjustRightInd w:val="0"/>
              <w:snapToGrid w:val="0"/>
              <w:spacing w:line="3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须提供所响应产品相关佐证材料（包括但不限于产品彩页或第三方检测报告或官网截图等为证明），投标人自行承担因提供相关佐证材料不足而导致被视为参数负偏离的风险。</w:t>
            </w:r>
          </w:p>
        </w:tc>
      </w:tr>
      <w:tr w14:paraId="09BA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0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31D4A9D3">
            <w:pPr>
              <w:autoSpaceDE w:val="0"/>
              <w:autoSpaceDN w:val="0"/>
              <w:adjustRightInd w:val="0"/>
              <w:snapToGrid w:val="0"/>
              <w:spacing w:line="340" w:lineRule="exact"/>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 xml:space="preserve">供货 </w:t>
            </w:r>
          </w:p>
          <w:p w14:paraId="0DD061EC">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highlight w:val="none"/>
                <w:lang w:val="zh-CN" w:eastAsia="zh-CN"/>
              </w:rPr>
              <w:t xml:space="preserve">方案 </w:t>
            </w:r>
          </w:p>
        </w:tc>
        <w:tc>
          <w:tcPr>
            <w:tcW w:w="82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5D6C3ED9">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highlight w:val="none"/>
                <w:lang w:val="en-US" w:eastAsia="zh-CN"/>
              </w:rPr>
              <w:t>10</w:t>
            </w:r>
          </w:p>
        </w:tc>
        <w:tc>
          <w:tcPr>
            <w:tcW w:w="717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233E49E">
            <w:pPr>
              <w:autoSpaceDE w:val="0"/>
              <w:autoSpaceDN w:val="0"/>
              <w:adjustRightInd w:val="0"/>
              <w:spacing w:line="340" w:lineRule="exact"/>
              <w:ind w:left="-61" w:leftChars="-2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根据采购要求和投标技术响应情况，对供应商提供的供货方案进行评价,其中：（1）配送方式（2）供货时间（3）技术方案及保障措施（4）货物交接的具体技术方案（5）风险分析与解决方案，进行评价： </w:t>
            </w:r>
          </w:p>
          <w:p w14:paraId="4AC246DC">
            <w:pPr>
              <w:autoSpaceDE w:val="0"/>
              <w:autoSpaceDN w:val="0"/>
              <w:adjustRightInd w:val="0"/>
              <w:spacing w:line="340" w:lineRule="exact"/>
              <w:ind w:left="-61" w:leftChars="-2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上述五项内容均进行了阐述且满足采购需求的得 10 分； </w:t>
            </w:r>
          </w:p>
          <w:p w14:paraId="165FF3F3">
            <w:pPr>
              <w:autoSpaceDE w:val="0"/>
              <w:autoSpaceDN w:val="0"/>
              <w:adjustRightInd w:val="0"/>
              <w:spacing w:line="340" w:lineRule="exact"/>
              <w:ind w:left="-61" w:leftChars="-29"/>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每有一项内容虽阐述但未贴合项目实际情况进行论述，或内容中未包括具体实施细节及措施，扣 1 分； </w:t>
            </w:r>
          </w:p>
          <w:p w14:paraId="13AF775E">
            <w:pPr>
              <w:autoSpaceDE w:val="0"/>
              <w:autoSpaceDN w:val="0"/>
              <w:adjustRightInd w:val="0"/>
              <w:spacing w:line="340" w:lineRule="exact"/>
              <w:ind w:left="-61" w:leftChars="-29"/>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en-US" w:eastAsia="zh-CN"/>
              </w:rPr>
              <w:t>每有一项内容未阐述或不符合项目实际情况且未提供具体实施细节及措施，扣 2 分，最低得 0 分。</w:t>
            </w:r>
          </w:p>
        </w:tc>
      </w:tr>
      <w:tr w14:paraId="47B6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0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9194226">
            <w:pPr>
              <w:autoSpaceDE w:val="0"/>
              <w:autoSpaceDN w:val="0"/>
              <w:adjustRightInd w:val="0"/>
              <w:snapToGrid w:val="0"/>
              <w:spacing w:line="340" w:lineRule="exact"/>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 xml:space="preserve">项目实 </w:t>
            </w:r>
          </w:p>
          <w:p w14:paraId="19A8779F">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highlight w:val="none"/>
                <w:lang w:val="zh-CN" w:eastAsia="zh-CN"/>
              </w:rPr>
              <w:t xml:space="preserve">施方案 </w:t>
            </w:r>
          </w:p>
        </w:tc>
        <w:tc>
          <w:tcPr>
            <w:tcW w:w="82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DDC3CA0">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highlight w:val="none"/>
                <w:lang w:val="en-US" w:eastAsia="zh-CN"/>
              </w:rPr>
              <w:t>12</w:t>
            </w:r>
          </w:p>
        </w:tc>
        <w:tc>
          <w:tcPr>
            <w:tcW w:w="717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8995EC9">
            <w:pPr>
              <w:autoSpaceDE w:val="0"/>
              <w:autoSpaceDN w:val="0"/>
              <w:adjustRightInd w:val="0"/>
              <w:snapToGrid w:val="0"/>
              <w:spacing w:line="340" w:lineRule="exact"/>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根据</w:t>
            </w:r>
            <w:r>
              <w:rPr>
                <w:rFonts w:hint="eastAsia" w:ascii="黑体" w:hAnsi="黑体" w:eastAsia="黑体" w:cs="黑体"/>
                <w:color w:val="auto"/>
                <w:sz w:val="24"/>
                <w:highlight w:val="none"/>
                <w:lang w:val="en-US" w:eastAsia="zh-CN"/>
              </w:rPr>
              <w:t>采购</w:t>
            </w:r>
            <w:r>
              <w:rPr>
                <w:rFonts w:hint="eastAsia" w:ascii="黑体" w:hAnsi="黑体" w:eastAsia="黑体" w:cs="黑体"/>
                <w:color w:val="auto"/>
                <w:sz w:val="24"/>
                <w:highlight w:val="none"/>
                <w:lang w:val="zh-CN" w:eastAsia="zh-CN"/>
              </w:rPr>
              <w:t>要求和投标技术响应情况，对供应商提供的项目实施方案进行评价,其中：（1）应急保障措施（2）备品备件情况（3）</w:t>
            </w:r>
            <w:r>
              <w:rPr>
                <w:rFonts w:hint="eastAsia" w:ascii="黑体" w:hAnsi="黑体" w:eastAsia="黑体" w:cs="黑体"/>
                <w:color w:val="auto"/>
                <w:sz w:val="24"/>
                <w:highlight w:val="none"/>
                <w:lang w:val="en-US" w:eastAsia="zh-CN"/>
              </w:rPr>
              <w:t>设备</w:t>
            </w:r>
            <w:r>
              <w:rPr>
                <w:rFonts w:hint="eastAsia" w:ascii="黑体" w:hAnsi="黑体" w:eastAsia="黑体" w:cs="黑体"/>
                <w:color w:val="auto"/>
                <w:sz w:val="24"/>
                <w:highlight w:val="none"/>
                <w:lang w:val="zh-CN" w:eastAsia="zh-CN"/>
              </w:rPr>
              <w:t xml:space="preserve">维护保养方案（4）人员配备及整体水平，进行评价： </w:t>
            </w:r>
          </w:p>
          <w:p w14:paraId="05C31E7B">
            <w:pPr>
              <w:autoSpaceDE w:val="0"/>
              <w:autoSpaceDN w:val="0"/>
              <w:adjustRightInd w:val="0"/>
              <w:snapToGrid w:val="0"/>
              <w:spacing w:line="340" w:lineRule="exact"/>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 xml:space="preserve">上述四项内容均进行了阐述且满足采购需求的得 12 分； </w:t>
            </w:r>
          </w:p>
          <w:p w14:paraId="3147A97D">
            <w:pPr>
              <w:autoSpaceDE w:val="0"/>
              <w:autoSpaceDN w:val="0"/>
              <w:adjustRightInd w:val="0"/>
              <w:snapToGrid w:val="0"/>
              <w:spacing w:line="340" w:lineRule="exact"/>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每有一项内容虽阐述但未贴合项目实际情况进行论述，或内容中未包括具体实施细节及措施，扣 1</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lang w:val="zh-CN" w:eastAsia="zh-CN"/>
              </w:rPr>
              <w:t xml:space="preserve"> 分； </w:t>
            </w:r>
          </w:p>
          <w:p w14:paraId="6A274FC6">
            <w:pPr>
              <w:autoSpaceDE w:val="0"/>
              <w:autoSpaceDN w:val="0"/>
              <w:adjustRightInd w:val="0"/>
              <w:snapToGrid w:val="0"/>
              <w:spacing w:line="340" w:lineRule="exact"/>
              <w:rPr>
                <w:rFonts w:hint="eastAsia" w:ascii="黑体" w:hAnsi="黑体" w:eastAsia="黑体" w:cs="黑体"/>
                <w:color w:val="auto"/>
                <w:sz w:val="24"/>
                <w:szCs w:val="24"/>
                <w:highlight w:val="none"/>
                <w:lang w:val="zh-CN"/>
              </w:rPr>
            </w:pPr>
            <w:r>
              <w:rPr>
                <w:rFonts w:hint="eastAsia" w:ascii="黑体" w:hAnsi="黑体" w:eastAsia="黑体" w:cs="黑体"/>
                <w:color w:val="auto"/>
                <w:sz w:val="24"/>
                <w:highlight w:val="none"/>
                <w:lang w:val="zh-CN" w:eastAsia="zh-CN"/>
              </w:rPr>
              <w:t>每有一项内容未阐述或不符合项目实际情况且未提供具体实施细节及措施，扣 3 分，最低得 0 分。</w:t>
            </w:r>
          </w:p>
        </w:tc>
      </w:tr>
      <w:tr w14:paraId="74D6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0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3A3E8A4A">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highlight w:val="none"/>
                <w:lang w:val="zh-CN" w:eastAsia="zh-CN"/>
              </w:rPr>
              <w:t>售后及培训服务方案</w:t>
            </w:r>
          </w:p>
        </w:tc>
        <w:tc>
          <w:tcPr>
            <w:tcW w:w="82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2DE616C1">
            <w:pPr>
              <w:autoSpaceDE w:val="0"/>
              <w:autoSpaceDN w:val="0"/>
              <w:adjustRightInd w:val="0"/>
              <w:snapToGrid w:val="0"/>
              <w:spacing w:line="3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lang w:val="en-US" w:eastAsia="zh-CN"/>
              </w:rPr>
              <w:t>12</w:t>
            </w:r>
          </w:p>
        </w:tc>
        <w:tc>
          <w:tcPr>
            <w:tcW w:w="717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1590BB66">
            <w:pPr>
              <w:autoSpaceDE w:val="0"/>
              <w:autoSpaceDN w:val="0"/>
              <w:adjustRightInd w:val="0"/>
              <w:snapToGrid w:val="0"/>
              <w:spacing w:line="340" w:lineRule="exact"/>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根据</w:t>
            </w:r>
            <w:r>
              <w:rPr>
                <w:rFonts w:hint="eastAsia" w:ascii="黑体" w:hAnsi="黑体" w:eastAsia="黑体" w:cs="黑体"/>
                <w:color w:val="auto"/>
                <w:sz w:val="24"/>
                <w:highlight w:val="none"/>
                <w:lang w:val="en-US" w:eastAsia="zh-CN"/>
              </w:rPr>
              <w:t>采购</w:t>
            </w:r>
            <w:r>
              <w:rPr>
                <w:rFonts w:hint="eastAsia" w:ascii="黑体" w:hAnsi="黑体" w:eastAsia="黑体" w:cs="黑体"/>
                <w:color w:val="auto"/>
                <w:sz w:val="24"/>
                <w:highlight w:val="none"/>
                <w:lang w:val="zh-CN" w:eastAsia="zh-CN"/>
              </w:rPr>
              <w:t>要求和投标技术响应情况，对供应商提供的售后及培训服务方案进行评价，其中：（1）售后服务承诺及保障措施，（2）响应及处理周期，（</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lang w:val="zh-CN" w:eastAsia="zh-CN"/>
              </w:rPr>
              <w:t>）技术服务及服务方式，（</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lang w:val="zh-CN" w:eastAsia="zh-CN"/>
              </w:rPr>
              <w:t>）售后服务网点整体情况，（</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lang w:val="zh-CN" w:eastAsia="zh-CN"/>
              </w:rPr>
              <w:t xml:space="preserve">）培训服务方案及目标，（6）培训人员整体水平，进行评价： </w:t>
            </w:r>
          </w:p>
          <w:p w14:paraId="7BE90DFA">
            <w:pPr>
              <w:autoSpaceDE w:val="0"/>
              <w:autoSpaceDN w:val="0"/>
              <w:adjustRightInd w:val="0"/>
              <w:snapToGrid w:val="0"/>
              <w:spacing w:line="340" w:lineRule="exact"/>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 xml:space="preserve">上述六项内容均进行了阐述且满足采购需求得 </w:t>
            </w:r>
            <w:r>
              <w:rPr>
                <w:rFonts w:hint="eastAsia" w:ascii="黑体" w:hAnsi="黑体" w:eastAsia="黑体" w:cs="黑体"/>
                <w:color w:val="auto"/>
                <w:sz w:val="24"/>
                <w:highlight w:val="none"/>
                <w:lang w:val="en-US" w:eastAsia="zh-CN"/>
              </w:rPr>
              <w:t>12</w:t>
            </w:r>
            <w:r>
              <w:rPr>
                <w:rFonts w:hint="eastAsia" w:ascii="黑体" w:hAnsi="黑体" w:eastAsia="黑体" w:cs="黑体"/>
                <w:color w:val="auto"/>
                <w:sz w:val="24"/>
                <w:highlight w:val="none"/>
                <w:lang w:val="zh-CN" w:eastAsia="zh-CN"/>
              </w:rPr>
              <w:t xml:space="preserve"> 分； </w:t>
            </w:r>
          </w:p>
          <w:p w14:paraId="048FEF40">
            <w:pPr>
              <w:autoSpaceDE w:val="0"/>
              <w:autoSpaceDN w:val="0"/>
              <w:adjustRightInd w:val="0"/>
              <w:snapToGrid w:val="0"/>
              <w:spacing w:line="340" w:lineRule="exact"/>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eastAsia="zh-CN"/>
              </w:rPr>
              <w:t xml:space="preserve">每有 1 项内容虽阐述但未贴合项目实际情况进行论述，或内容中未包括具体实施细节及措施，扣 1 分； </w:t>
            </w:r>
          </w:p>
          <w:p w14:paraId="3322FC6F">
            <w:pPr>
              <w:autoSpaceDE w:val="0"/>
              <w:autoSpaceDN w:val="0"/>
              <w:adjustRightInd w:val="0"/>
              <w:snapToGrid w:val="0"/>
              <w:spacing w:line="340" w:lineRule="exac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highlight w:val="none"/>
                <w:lang w:val="zh-CN" w:eastAsia="zh-CN"/>
              </w:rPr>
              <w:t xml:space="preserve">每有 1 项内容未阐述或不符合项目实际情况且未提供具体实施细节及措施，扣 </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lang w:val="zh-CN" w:eastAsia="zh-CN"/>
              </w:rPr>
              <w:t xml:space="preserve"> 分，最低得 0 分。</w:t>
            </w:r>
          </w:p>
        </w:tc>
      </w:tr>
      <w:tr w14:paraId="5FD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90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4C7D4458">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highlight w:val="none"/>
                <w:lang w:val="zh-CN" w:eastAsia="zh-CN"/>
              </w:rPr>
              <w:t>业 绩</w:t>
            </w:r>
          </w:p>
        </w:tc>
        <w:tc>
          <w:tcPr>
            <w:tcW w:w="82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607DDC3F">
            <w:pPr>
              <w:autoSpaceDE w:val="0"/>
              <w:autoSpaceDN w:val="0"/>
              <w:adjustRightInd w:val="0"/>
              <w:snapToGrid w:val="0"/>
              <w:spacing w:line="34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p>
        </w:tc>
        <w:tc>
          <w:tcPr>
            <w:tcW w:w="717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14:paraId="335FC808">
            <w:pPr>
              <w:autoSpaceDE w:val="0"/>
              <w:autoSpaceDN w:val="0"/>
              <w:adjustRightInd w:val="0"/>
              <w:snapToGrid w:val="0"/>
              <w:spacing w:line="34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highlight w:val="none"/>
                <w:lang w:val="en-US" w:eastAsia="zh-CN"/>
              </w:rPr>
              <w:t>提供所投产品 2022 年 07月 01 日至今业绩，业绩以合同复印件为依据，每提供一个计 3分，满分 6 分。</w:t>
            </w:r>
          </w:p>
        </w:tc>
      </w:tr>
    </w:tbl>
    <w:p w14:paraId="233BBED3">
      <w:pPr>
        <w:tabs>
          <w:tab w:val="left" w:pos="-94"/>
          <w:tab w:val="left" w:pos="1620"/>
        </w:tabs>
        <w:adjustRightInd w:val="0"/>
        <w:spacing w:line="360" w:lineRule="auto"/>
        <w:ind w:left="23" w:leftChars="11"/>
        <w:jc w:val="center"/>
        <w:textAlignment w:val="baseline"/>
        <w:rPr>
          <w:rFonts w:hint="eastAsia" w:ascii="黑体" w:hAnsi="黑体" w:eastAsia="黑体" w:cs="黑体"/>
          <w:b/>
          <w:color w:val="auto"/>
          <w:sz w:val="20"/>
          <w:szCs w:val="20"/>
          <w:highlight w:val="none"/>
        </w:rPr>
      </w:pPr>
    </w:p>
    <w:p w14:paraId="4B570B5A">
      <w:pPr>
        <w:rPr>
          <w:rFonts w:hint="eastAsia" w:ascii="黑体" w:hAnsi="黑体" w:eastAsia="黑体" w:cs="黑体"/>
          <w:b/>
          <w:color w:val="auto"/>
          <w:sz w:val="28"/>
          <w:szCs w:val="28"/>
          <w:highlight w:val="none"/>
        </w:rPr>
      </w:pPr>
      <w:r>
        <w:rPr>
          <w:rFonts w:hint="eastAsia" w:ascii="黑体" w:hAnsi="黑体" w:eastAsia="黑体" w:cs="黑体"/>
          <w:color w:val="auto"/>
          <w:sz w:val="20"/>
          <w:szCs w:val="20"/>
          <w:highlight w:val="none"/>
        </w:rPr>
        <w:br w:type="page"/>
      </w:r>
    </w:p>
    <w:bookmarkEnd w:id="404"/>
    <w:p w14:paraId="1413FD92">
      <w:pPr>
        <w:pStyle w:val="46"/>
        <w:rPr>
          <w:rFonts w:hint="default" w:ascii="黑体" w:hAnsi="黑体" w:eastAsia="黑体" w:cs="黑体"/>
          <w:b/>
          <w:color w:val="auto"/>
          <w:sz w:val="36"/>
          <w:szCs w:val="36"/>
          <w:highlight w:val="none"/>
          <w:u w:val="single"/>
          <w:lang w:val="en-US" w:eastAsia="zh-CN"/>
        </w:rPr>
      </w:pPr>
      <w:bookmarkStart w:id="408" w:name="_Toc5022"/>
      <w:r>
        <w:rPr>
          <w:rFonts w:hint="eastAsia" w:ascii="黑体" w:hAnsi="黑体" w:eastAsia="黑体" w:cs="黑体"/>
          <w:color w:val="auto"/>
          <w:sz w:val="36"/>
          <w:szCs w:val="36"/>
          <w:highlight w:val="none"/>
        </w:rPr>
        <w:t>第四章  合同草案条款</w:t>
      </w:r>
      <w:bookmarkEnd w:id="19"/>
      <w:bookmarkEnd w:id="390"/>
      <w:bookmarkEnd w:id="391"/>
      <w:bookmarkEnd w:id="408"/>
      <w:bookmarkStart w:id="409" w:name="_Toc389620241"/>
      <w:bookmarkStart w:id="410" w:name="_Toc58504449"/>
      <w:bookmarkStart w:id="411" w:name="_Toc31008"/>
      <w:bookmarkStart w:id="412" w:name="_Toc385992401"/>
      <w:bookmarkStart w:id="413" w:name="_Toc415499899"/>
      <w:bookmarkStart w:id="414" w:name="_Toc14975"/>
      <w:bookmarkStart w:id="415" w:name="_Toc177995483"/>
      <w:bookmarkStart w:id="416" w:name="_Toc232395222"/>
      <w:bookmarkStart w:id="417" w:name="_Toc499711928"/>
      <w:bookmarkStart w:id="418" w:name="_Toc230583552"/>
      <w:bookmarkStart w:id="419" w:name="_Toc492955459"/>
      <w:bookmarkStart w:id="420" w:name="_Toc500747106"/>
      <w:bookmarkStart w:id="421" w:name="_Toc496324623"/>
      <w:bookmarkStart w:id="422" w:name="_Toc249515369"/>
      <w:bookmarkStart w:id="423" w:name="_Toc184043058"/>
      <w:bookmarkStart w:id="424" w:name="_Toc177189245"/>
      <w:bookmarkStart w:id="425" w:name="_Toc415499897"/>
      <w:bookmarkStart w:id="426" w:name="_Toc500747010"/>
      <w:bookmarkStart w:id="427" w:name="_Toc53722865"/>
      <w:bookmarkStart w:id="428" w:name="_Toc232176282"/>
      <w:bookmarkStart w:id="429" w:name="_Toc500747233"/>
      <w:bookmarkStart w:id="430" w:name="_Toc499711087"/>
      <w:bookmarkStart w:id="431" w:name="_Toc230013638"/>
      <w:bookmarkStart w:id="432" w:name="_Toc256342152"/>
      <w:bookmarkStart w:id="433" w:name="_Toc230099803"/>
      <w:bookmarkStart w:id="434" w:name="_Toc249515482"/>
      <w:bookmarkStart w:id="435" w:name="_Toc70687202"/>
      <w:bookmarkStart w:id="436" w:name="_Toc503063458"/>
      <w:bookmarkStart w:id="437" w:name="_Toc176882552"/>
      <w:bookmarkStart w:id="438" w:name="_Toc28450"/>
      <w:bookmarkStart w:id="439" w:name="_Toc177817344"/>
      <w:bookmarkStart w:id="440" w:name="_Toc249525250"/>
    </w:p>
    <w:p w14:paraId="7883407C">
      <w:pPr>
        <w:ind w:firstLine="3092" w:firstLineChars="1100"/>
        <w:rPr>
          <w:rFonts w:hint="eastAsia" w:ascii="黑体" w:hAnsi="黑体" w:eastAsia="黑体" w:cs="黑体"/>
          <w:b/>
          <w:sz w:val="28"/>
          <w:szCs w:val="21"/>
        </w:rPr>
      </w:pPr>
    </w:p>
    <w:p w14:paraId="5000814B">
      <w:pPr>
        <w:ind w:firstLine="3092" w:firstLineChars="1100"/>
        <w:rPr>
          <w:rFonts w:hint="eastAsia" w:ascii="黑体" w:hAnsi="黑体" w:eastAsia="黑体" w:cs="黑体"/>
          <w:b/>
          <w:sz w:val="28"/>
          <w:szCs w:val="21"/>
        </w:rPr>
      </w:pPr>
      <w:r>
        <w:rPr>
          <w:rFonts w:hint="eastAsia" w:ascii="黑体" w:hAnsi="黑体" w:eastAsia="黑体" w:cs="黑体"/>
          <w:b/>
          <w:sz w:val="28"/>
          <w:szCs w:val="21"/>
        </w:rPr>
        <w:t>汉阴县政府采购供货合同</w:t>
      </w:r>
    </w:p>
    <w:p w14:paraId="49BE8A74">
      <w:pPr>
        <w:rPr>
          <w:rFonts w:hint="eastAsia" w:ascii="黑体" w:hAnsi="黑体" w:eastAsia="黑体" w:cs="黑体"/>
          <w:b/>
          <w:sz w:val="21"/>
          <w:szCs w:val="21"/>
        </w:rPr>
      </w:pPr>
    </w:p>
    <w:p w14:paraId="081FBB77">
      <w:pPr>
        <w:spacing w:line="360" w:lineRule="auto"/>
        <w:rPr>
          <w:rFonts w:hint="eastAsia" w:ascii="黑体" w:hAnsi="黑体" w:eastAsia="黑体" w:cs="黑体"/>
          <w:b/>
          <w:sz w:val="24"/>
          <w:szCs w:val="24"/>
          <w:lang w:eastAsia="zh-CN"/>
        </w:rPr>
      </w:pPr>
      <w:r>
        <w:rPr>
          <w:rFonts w:hint="eastAsia" w:ascii="黑体" w:hAnsi="黑体" w:eastAsia="黑体" w:cs="黑体"/>
          <w:b/>
          <w:sz w:val="24"/>
          <w:szCs w:val="24"/>
        </w:rPr>
        <w:t xml:space="preserve">采购单位：  </w:t>
      </w:r>
      <w:r>
        <w:rPr>
          <w:rFonts w:hint="eastAsia" w:ascii="黑体" w:hAnsi="黑体" w:eastAsia="黑体" w:cs="黑体"/>
          <w:b/>
          <w:sz w:val="24"/>
          <w:szCs w:val="24"/>
          <w:lang w:eastAsia="zh-CN"/>
        </w:rPr>
        <w:t>汉阴县城关镇中心卫生院</w:t>
      </w:r>
    </w:p>
    <w:p w14:paraId="5C188C41">
      <w:pPr>
        <w:spacing w:line="360" w:lineRule="auto"/>
        <w:rPr>
          <w:rFonts w:hint="eastAsia" w:ascii="黑体" w:hAnsi="黑体" w:eastAsia="黑体" w:cs="黑体"/>
          <w:b/>
          <w:sz w:val="24"/>
          <w:szCs w:val="24"/>
          <w:u w:val="single"/>
          <w:lang w:val="en-US" w:eastAsia="zh-CN"/>
        </w:rPr>
      </w:pPr>
      <w:r>
        <w:rPr>
          <w:rFonts w:hint="eastAsia" w:ascii="黑体" w:hAnsi="黑体" w:eastAsia="黑体" w:cs="黑体"/>
          <w:b/>
          <w:sz w:val="24"/>
          <w:szCs w:val="24"/>
        </w:rPr>
        <w:t xml:space="preserve">供货供应商： </w:t>
      </w:r>
      <w:r>
        <w:rPr>
          <w:rFonts w:hint="eastAsia" w:ascii="黑体" w:hAnsi="黑体" w:eastAsia="黑体" w:cs="黑体"/>
          <w:b/>
          <w:sz w:val="24"/>
          <w:szCs w:val="24"/>
          <w:u w:val="single"/>
          <w:lang w:val="en-US" w:eastAsia="zh-CN"/>
        </w:rPr>
        <w:t xml:space="preserve"> </w:t>
      </w:r>
    </w:p>
    <w:p w14:paraId="0B6C1996">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为保护供需双方的合法权益，根据《中华人民共和国政府采购法》、《中华人民共和国</w:t>
      </w:r>
      <w:r>
        <w:rPr>
          <w:rFonts w:hint="eastAsia" w:ascii="黑体" w:hAnsi="黑体" w:eastAsia="黑体" w:cs="黑体"/>
          <w:sz w:val="24"/>
          <w:szCs w:val="24"/>
          <w:lang w:val="en-US" w:eastAsia="zh-CN"/>
        </w:rPr>
        <w:t>民法典</w:t>
      </w:r>
      <w:r>
        <w:rPr>
          <w:rFonts w:hint="eastAsia" w:ascii="黑体" w:hAnsi="黑体" w:eastAsia="黑体" w:cs="黑体"/>
          <w:sz w:val="24"/>
          <w:szCs w:val="24"/>
        </w:rPr>
        <w:t>》等相关法律法规，并严格遵守汉阴县政府协议供货</w:t>
      </w:r>
      <w:r>
        <w:rPr>
          <w:rFonts w:hint="eastAsia" w:ascii="黑体" w:hAnsi="黑体" w:eastAsia="黑体" w:cs="黑体"/>
          <w:sz w:val="24"/>
          <w:szCs w:val="24"/>
          <w:lang w:val="en-US" w:eastAsia="zh-CN"/>
        </w:rPr>
        <w:t>磋商</w:t>
      </w:r>
      <w:r>
        <w:rPr>
          <w:rFonts w:hint="eastAsia" w:ascii="黑体" w:hAnsi="黑体" w:eastAsia="黑体" w:cs="黑体"/>
          <w:sz w:val="24"/>
          <w:szCs w:val="24"/>
        </w:rPr>
        <w:t xml:space="preserve">文件、政府采购协议供货承诺书中的相关规定，签定本合同，并共同遵守。 </w:t>
      </w:r>
    </w:p>
    <w:p w14:paraId="74216CA2">
      <w:pPr>
        <w:numPr>
          <w:ilvl w:val="0"/>
          <w:numId w:val="13"/>
        </w:numPr>
        <w:spacing w:line="360" w:lineRule="auto"/>
        <w:rPr>
          <w:rFonts w:hint="eastAsia" w:ascii="黑体" w:hAnsi="黑体" w:eastAsia="黑体" w:cs="黑体"/>
          <w:b/>
          <w:sz w:val="24"/>
          <w:szCs w:val="24"/>
        </w:rPr>
      </w:pPr>
      <w:r>
        <w:rPr>
          <w:rFonts w:hint="eastAsia" w:ascii="黑体" w:hAnsi="黑体" w:eastAsia="黑体" w:cs="黑体"/>
          <w:b/>
          <w:sz w:val="24"/>
          <w:szCs w:val="24"/>
        </w:rPr>
        <w:t xml:space="preserve">采购品名、型号、数量及金额                                        </w:t>
      </w:r>
    </w:p>
    <w:tbl>
      <w:tblPr>
        <w:tblStyle w:val="51"/>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3367"/>
        <w:gridCol w:w="1332"/>
        <w:gridCol w:w="1119"/>
        <w:gridCol w:w="662"/>
        <w:gridCol w:w="426"/>
        <w:gridCol w:w="412"/>
        <w:gridCol w:w="382"/>
        <w:gridCol w:w="367"/>
        <w:gridCol w:w="356"/>
      </w:tblGrid>
      <w:tr w14:paraId="0C16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95" w:type="dxa"/>
            <w:noWrap w:val="0"/>
            <w:vAlign w:val="center"/>
          </w:tcPr>
          <w:p w14:paraId="569BEE59">
            <w:pPr>
              <w:spacing w:line="360" w:lineRule="auto"/>
              <w:jc w:val="center"/>
              <w:rPr>
                <w:rFonts w:hint="eastAsia" w:ascii="黑体" w:hAnsi="黑体" w:eastAsia="黑体" w:cs="黑体"/>
                <w:b/>
                <w:sz w:val="24"/>
                <w:szCs w:val="24"/>
                <w:vertAlign w:val="baseline"/>
                <w:lang w:eastAsia="zh-CN"/>
              </w:rPr>
            </w:pPr>
            <w:r>
              <w:rPr>
                <w:rFonts w:hint="eastAsia" w:ascii="黑体" w:hAnsi="黑体" w:eastAsia="黑体" w:cs="黑体"/>
                <w:b/>
                <w:sz w:val="24"/>
                <w:szCs w:val="24"/>
                <w:vertAlign w:val="baseline"/>
                <w:lang w:eastAsia="zh-CN"/>
              </w:rPr>
              <w:t>品名</w:t>
            </w:r>
          </w:p>
        </w:tc>
        <w:tc>
          <w:tcPr>
            <w:tcW w:w="3367" w:type="dxa"/>
            <w:noWrap w:val="0"/>
            <w:vAlign w:val="center"/>
          </w:tcPr>
          <w:p w14:paraId="7296FEDA">
            <w:pPr>
              <w:spacing w:line="360" w:lineRule="auto"/>
              <w:jc w:val="center"/>
              <w:rPr>
                <w:rFonts w:hint="eastAsia" w:ascii="黑体" w:hAnsi="黑体" w:eastAsia="黑体" w:cs="黑体"/>
                <w:b/>
                <w:sz w:val="24"/>
                <w:szCs w:val="24"/>
                <w:vertAlign w:val="baseline"/>
                <w:lang w:eastAsia="zh-CN"/>
              </w:rPr>
            </w:pPr>
            <w:r>
              <w:rPr>
                <w:rFonts w:hint="eastAsia" w:ascii="黑体" w:hAnsi="黑体" w:eastAsia="黑体" w:cs="黑体"/>
                <w:b/>
                <w:sz w:val="24"/>
                <w:szCs w:val="24"/>
                <w:vertAlign w:val="baseline"/>
                <w:lang w:eastAsia="zh-CN"/>
              </w:rPr>
              <w:t>型号或项目内容</w:t>
            </w:r>
          </w:p>
        </w:tc>
        <w:tc>
          <w:tcPr>
            <w:tcW w:w="1332" w:type="dxa"/>
            <w:noWrap w:val="0"/>
            <w:vAlign w:val="center"/>
          </w:tcPr>
          <w:p w14:paraId="05D5A449">
            <w:pPr>
              <w:spacing w:line="360" w:lineRule="auto"/>
              <w:jc w:val="center"/>
              <w:rPr>
                <w:rFonts w:hint="eastAsia" w:ascii="黑体" w:hAnsi="黑体" w:eastAsia="黑体" w:cs="黑体"/>
                <w:b/>
                <w:sz w:val="24"/>
                <w:szCs w:val="24"/>
                <w:vertAlign w:val="baseline"/>
                <w:lang w:eastAsia="zh-CN"/>
              </w:rPr>
            </w:pPr>
            <w:r>
              <w:rPr>
                <w:rFonts w:hint="eastAsia" w:ascii="黑体" w:hAnsi="黑体" w:eastAsia="黑体" w:cs="黑体"/>
                <w:b/>
                <w:sz w:val="24"/>
                <w:szCs w:val="24"/>
                <w:vertAlign w:val="baseline"/>
                <w:lang w:eastAsia="zh-CN"/>
              </w:rPr>
              <w:t>数量</w:t>
            </w:r>
          </w:p>
        </w:tc>
        <w:tc>
          <w:tcPr>
            <w:tcW w:w="1119" w:type="dxa"/>
            <w:noWrap w:val="0"/>
            <w:vAlign w:val="center"/>
          </w:tcPr>
          <w:p w14:paraId="107FBE98">
            <w:pPr>
              <w:spacing w:line="360" w:lineRule="auto"/>
              <w:jc w:val="center"/>
              <w:rPr>
                <w:rFonts w:hint="eastAsia" w:ascii="黑体" w:hAnsi="黑体" w:eastAsia="黑体" w:cs="黑体"/>
                <w:b/>
                <w:sz w:val="24"/>
                <w:szCs w:val="24"/>
                <w:vertAlign w:val="baseline"/>
                <w:lang w:eastAsia="zh-CN"/>
              </w:rPr>
            </w:pPr>
            <w:r>
              <w:rPr>
                <w:rFonts w:hint="eastAsia" w:ascii="黑体" w:hAnsi="黑体" w:eastAsia="黑体" w:cs="黑体"/>
                <w:b/>
                <w:sz w:val="24"/>
                <w:szCs w:val="24"/>
                <w:vertAlign w:val="baseline"/>
                <w:lang w:eastAsia="zh-CN"/>
              </w:rPr>
              <w:t>单价</w:t>
            </w:r>
          </w:p>
        </w:tc>
        <w:tc>
          <w:tcPr>
            <w:tcW w:w="2605" w:type="dxa"/>
            <w:gridSpan w:val="6"/>
            <w:noWrap w:val="0"/>
            <w:vAlign w:val="center"/>
          </w:tcPr>
          <w:p w14:paraId="0B641869">
            <w:pPr>
              <w:spacing w:line="360" w:lineRule="auto"/>
              <w:jc w:val="center"/>
              <w:rPr>
                <w:rFonts w:hint="eastAsia" w:ascii="黑体" w:hAnsi="黑体" w:eastAsia="黑体" w:cs="黑体"/>
                <w:b/>
                <w:sz w:val="24"/>
                <w:szCs w:val="24"/>
                <w:vertAlign w:val="baseline"/>
              </w:rPr>
            </w:pPr>
            <w:r>
              <w:rPr>
                <w:rFonts w:hint="eastAsia" w:ascii="黑体" w:hAnsi="黑体" w:eastAsia="黑体" w:cs="黑体"/>
                <w:b/>
                <w:sz w:val="24"/>
                <w:szCs w:val="24"/>
                <w:vertAlign w:val="baseline"/>
                <w:lang w:eastAsia="zh-CN"/>
              </w:rPr>
              <w:t>合计</w:t>
            </w:r>
          </w:p>
        </w:tc>
      </w:tr>
      <w:tr w14:paraId="040B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95" w:type="dxa"/>
            <w:noWrap w:val="0"/>
            <w:vAlign w:val="center"/>
          </w:tcPr>
          <w:p w14:paraId="2B39B39C">
            <w:pPr>
              <w:spacing w:line="360" w:lineRule="auto"/>
              <w:jc w:val="center"/>
              <w:rPr>
                <w:rFonts w:hint="eastAsia" w:ascii="黑体" w:hAnsi="黑体" w:eastAsia="黑体" w:cs="黑体"/>
                <w:b/>
                <w:sz w:val="24"/>
                <w:szCs w:val="24"/>
                <w:vertAlign w:val="baseline"/>
              </w:rPr>
            </w:pPr>
          </w:p>
        </w:tc>
        <w:tc>
          <w:tcPr>
            <w:tcW w:w="3367" w:type="dxa"/>
            <w:noWrap w:val="0"/>
            <w:vAlign w:val="center"/>
          </w:tcPr>
          <w:p w14:paraId="2C198E37">
            <w:pPr>
              <w:spacing w:line="360" w:lineRule="auto"/>
              <w:jc w:val="center"/>
              <w:rPr>
                <w:rFonts w:hint="eastAsia" w:ascii="黑体" w:hAnsi="黑体" w:eastAsia="黑体" w:cs="黑体"/>
                <w:b/>
                <w:sz w:val="24"/>
                <w:szCs w:val="24"/>
                <w:vertAlign w:val="baseline"/>
              </w:rPr>
            </w:pPr>
          </w:p>
        </w:tc>
        <w:tc>
          <w:tcPr>
            <w:tcW w:w="1332" w:type="dxa"/>
            <w:noWrap w:val="0"/>
            <w:vAlign w:val="center"/>
          </w:tcPr>
          <w:p w14:paraId="036BD59E">
            <w:pPr>
              <w:spacing w:line="360" w:lineRule="auto"/>
              <w:jc w:val="center"/>
              <w:rPr>
                <w:rFonts w:hint="eastAsia" w:ascii="黑体" w:hAnsi="黑体" w:eastAsia="黑体" w:cs="黑体"/>
                <w:b/>
                <w:sz w:val="24"/>
                <w:szCs w:val="24"/>
                <w:vertAlign w:val="baseline"/>
              </w:rPr>
            </w:pPr>
          </w:p>
        </w:tc>
        <w:tc>
          <w:tcPr>
            <w:tcW w:w="1119" w:type="dxa"/>
            <w:noWrap w:val="0"/>
            <w:vAlign w:val="center"/>
          </w:tcPr>
          <w:p w14:paraId="4E97B144">
            <w:pPr>
              <w:spacing w:line="360" w:lineRule="auto"/>
              <w:jc w:val="center"/>
              <w:rPr>
                <w:rFonts w:hint="eastAsia" w:ascii="黑体" w:hAnsi="黑体" w:eastAsia="黑体" w:cs="黑体"/>
                <w:b/>
                <w:sz w:val="24"/>
                <w:szCs w:val="24"/>
                <w:vertAlign w:val="baseline"/>
              </w:rPr>
            </w:pPr>
          </w:p>
        </w:tc>
        <w:tc>
          <w:tcPr>
            <w:tcW w:w="662" w:type="dxa"/>
            <w:noWrap w:val="0"/>
            <w:vAlign w:val="center"/>
          </w:tcPr>
          <w:p w14:paraId="28764917">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十万</w:t>
            </w:r>
          </w:p>
        </w:tc>
        <w:tc>
          <w:tcPr>
            <w:tcW w:w="426" w:type="dxa"/>
            <w:noWrap w:val="0"/>
            <w:vAlign w:val="center"/>
          </w:tcPr>
          <w:p w14:paraId="5F74B7E2">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万</w:t>
            </w:r>
          </w:p>
        </w:tc>
        <w:tc>
          <w:tcPr>
            <w:tcW w:w="412" w:type="dxa"/>
            <w:noWrap w:val="0"/>
            <w:vAlign w:val="center"/>
          </w:tcPr>
          <w:p w14:paraId="283EDA39">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千</w:t>
            </w:r>
          </w:p>
        </w:tc>
        <w:tc>
          <w:tcPr>
            <w:tcW w:w="382" w:type="dxa"/>
            <w:noWrap w:val="0"/>
            <w:vAlign w:val="center"/>
          </w:tcPr>
          <w:p w14:paraId="422E9061">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百</w:t>
            </w:r>
          </w:p>
        </w:tc>
        <w:tc>
          <w:tcPr>
            <w:tcW w:w="367" w:type="dxa"/>
            <w:noWrap w:val="0"/>
            <w:vAlign w:val="center"/>
          </w:tcPr>
          <w:p w14:paraId="7EA0AC3C">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十</w:t>
            </w:r>
          </w:p>
        </w:tc>
        <w:tc>
          <w:tcPr>
            <w:tcW w:w="356" w:type="dxa"/>
            <w:noWrap w:val="0"/>
            <w:vAlign w:val="center"/>
          </w:tcPr>
          <w:p w14:paraId="45B28E65">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元</w:t>
            </w:r>
          </w:p>
        </w:tc>
      </w:tr>
      <w:tr w14:paraId="31AD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95" w:type="dxa"/>
            <w:noWrap w:val="0"/>
            <w:vAlign w:val="center"/>
          </w:tcPr>
          <w:p w14:paraId="669583BC">
            <w:pPr>
              <w:spacing w:line="360" w:lineRule="auto"/>
              <w:jc w:val="both"/>
              <w:rPr>
                <w:rFonts w:hint="eastAsia" w:ascii="黑体" w:hAnsi="黑体" w:eastAsia="黑体" w:cs="黑体"/>
                <w:kern w:val="2"/>
                <w:sz w:val="24"/>
                <w:szCs w:val="24"/>
                <w:lang w:val="en-US" w:eastAsia="zh-CN" w:bidi="ar-SA"/>
              </w:rPr>
            </w:pPr>
          </w:p>
        </w:tc>
        <w:tc>
          <w:tcPr>
            <w:tcW w:w="3367" w:type="dxa"/>
            <w:noWrap w:val="0"/>
            <w:vAlign w:val="center"/>
          </w:tcPr>
          <w:p w14:paraId="50BBF4E0">
            <w:pPr>
              <w:spacing w:line="360" w:lineRule="auto"/>
              <w:jc w:val="center"/>
              <w:rPr>
                <w:rFonts w:hint="eastAsia" w:ascii="黑体" w:hAnsi="黑体" w:eastAsia="黑体" w:cs="黑体"/>
                <w:kern w:val="2"/>
                <w:sz w:val="24"/>
                <w:szCs w:val="24"/>
                <w:lang w:val="en-US" w:eastAsia="zh-CN" w:bidi="ar-SA"/>
              </w:rPr>
            </w:pPr>
          </w:p>
        </w:tc>
        <w:tc>
          <w:tcPr>
            <w:tcW w:w="1332" w:type="dxa"/>
            <w:noWrap w:val="0"/>
            <w:vAlign w:val="center"/>
          </w:tcPr>
          <w:p w14:paraId="52BD3500">
            <w:pPr>
              <w:spacing w:line="360" w:lineRule="auto"/>
              <w:jc w:val="center"/>
              <w:rPr>
                <w:rFonts w:hint="eastAsia" w:ascii="黑体" w:hAnsi="黑体" w:eastAsia="黑体" w:cs="黑体"/>
                <w:b/>
                <w:sz w:val="24"/>
                <w:szCs w:val="24"/>
                <w:vertAlign w:val="baseline"/>
                <w:lang w:val="en-US" w:eastAsia="zh-CN"/>
              </w:rPr>
            </w:pPr>
          </w:p>
        </w:tc>
        <w:tc>
          <w:tcPr>
            <w:tcW w:w="1119" w:type="dxa"/>
            <w:noWrap w:val="0"/>
            <w:vAlign w:val="center"/>
          </w:tcPr>
          <w:p w14:paraId="7992A8FE">
            <w:pPr>
              <w:spacing w:line="360" w:lineRule="auto"/>
              <w:jc w:val="both"/>
              <w:rPr>
                <w:rFonts w:hint="eastAsia" w:ascii="黑体" w:hAnsi="黑体" w:eastAsia="黑体" w:cs="黑体"/>
                <w:b/>
                <w:sz w:val="24"/>
                <w:szCs w:val="24"/>
                <w:vertAlign w:val="baseline"/>
                <w:lang w:val="en-US" w:eastAsia="zh-CN"/>
              </w:rPr>
            </w:pPr>
          </w:p>
        </w:tc>
        <w:tc>
          <w:tcPr>
            <w:tcW w:w="662" w:type="dxa"/>
            <w:noWrap w:val="0"/>
            <w:vAlign w:val="center"/>
          </w:tcPr>
          <w:p w14:paraId="118A9D80">
            <w:pPr>
              <w:spacing w:line="360" w:lineRule="auto"/>
              <w:jc w:val="center"/>
              <w:rPr>
                <w:rFonts w:hint="eastAsia" w:ascii="黑体" w:hAnsi="黑体" w:eastAsia="黑体" w:cs="黑体"/>
                <w:b/>
                <w:sz w:val="24"/>
                <w:szCs w:val="24"/>
                <w:vertAlign w:val="baseline"/>
              </w:rPr>
            </w:pPr>
          </w:p>
        </w:tc>
        <w:tc>
          <w:tcPr>
            <w:tcW w:w="426" w:type="dxa"/>
            <w:noWrap w:val="0"/>
            <w:vAlign w:val="center"/>
          </w:tcPr>
          <w:p w14:paraId="3A07F81A">
            <w:pPr>
              <w:spacing w:line="360" w:lineRule="auto"/>
              <w:jc w:val="both"/>
              <w:rPr>
                <w:rFonts w:hint="eastAsia" w:ascii="黑体" w:hAnsi="黑体" w:eastAsia="黑体" w:cs="黑体"/>
                <w:b/>
                <w:sz w:val="24"/>
                <w:szCs w:val="24"/>
                <w:vertAlign w:val="baseline"/>
                <w:lang w:val="en-US" w:eastAsia="zh-CN"/>
              </w:rPr>
            </w:pPr>
          </w:p>
        </w:tc>
        <w:tc>
          <w:tcPr>
            <w:tcW w:w="412" w:type="dxa"/>
            <w:noWrap w:val="0"/>
            <w:vAlign w:val="center"/>
          </w:tcPr>
          <w:p w14:paraId="3B5A8C0E">
            <w:pPr>
              <w:spacing w:line="360" w:lineRule="auto"/>
              <w:jc w:val="center"/>
              <w:rPr>
                <w:rFonts w:hint="eastAsia" w:ascii="黑体" w:hAnsi="黑体" w:eastAsia="黑体" w:cs="黑体"/>
                <w:b/>
                <w:sz w:val="24"/>
                <w:szCs w:val="24"/>
                <w:vertAlign w:val="baseline"/>
                <w:lang w:val="en-US" w:eastAsia="zh-CN"/>
              </w:rPr>
            </w:pPr>
          </w:p>
        </w:tc>
        <w:tc>
          <w:tcPr>
            <w:tcW w:w="382" w:type="dxa"/>
            <w:noWrap w:val="0"/>
            <w:vAlign w:val="center"/>
          </w:tcPr>
          <w:p w14:paraId="141BF3F6">
            <w:pPr>
              <w:spacing w:line="360" w:lineRule="auto"/>
              <w:jc w:val="center"/>
              <w:rPr>
                <w:rFonts w:hint="eastAsia" w:ascii="黑体" w:hAnsi="黑体" w:eastAsia="黑体" w:cs="黑体"/>
                <w:b/>
                <w:sz w:val="24"/>
                <w:szCs w:val="24"/>
                <w:vertAlign w:val="baseline"/>
                <w:lang w:val="en-US" w:eastAsia="zh-CN"/>
              </w:rPr>
            </w:pPr>
          </w:p>
        </w:tc>
        <w:tc>
          <w:tcPr>
            <w:tcW w:w="367" w:type="dxa"/>
            <w:noWrap w:val="0"/>
            <w:vAlign w:val="center"/>
          </w:tcPr>
          <w:p w14:paraId="40FC09BB">
            <w:pPr>
              <w:spacing w:line="360" w:lineRule="auto"/>
              <w:jc w:val="center"/>
              <w:rPr>
                <w:rFonts w:hint="eastAsia" w:ascii="黑体" w:hAnsi="黑体" w:eastAsia="黑体" w:cs="黑体"/>
                <w:b/>
                <w:sz w:val="24"/>
                <w:szCs w:val="24"/>
                <w:vertAlign w:val="baseline"/>
                <w:lang w:val="en-US" w:eastAsia="zh-CN"/>
              </w:rPr>
            </w:pPr>
          </w:p>
        </w:tc>
        <w:tc>
          <w:tcPr>
            <w:tcW w:w="356" w:type="dxa"/>
            <w:noWrap w:val="0"/>
            <w:vAlign w:val="center"/>
          </w:tcPr>
          <w:p w14:paraId="1D3C11DB">
            <w:pPr>
              <w:spacing w:line="360" w:lineRule="auto"/>
              <w:jc w:val="center"/>
              <w:rPr>
                <w:rFonts w:hint="eastAsia" w:ascii="黑体" w:hAnsi="黑体" w:eastAsia="黑体" w:cs="黑体"/>
                <w:b/>
                <w:sz w:val="24"/>
                <w:szCs w:val="24"/>
                <w:vertAlign w:val="baseline"/>
                <w:lang w:val="en-US" w:eastAsia="zh-CN"/>
              </w:rPr>
            </w:pPr>
          </w:p>
        </w:tc>
      </w:tr>
      <w:tr w14:paraId="544C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95" w:type="dxa"/>
            <w:noWrap w:val="0"/>
            <w:vAlign w:val="center"/>
          </w:tcPr>
          <w:p w14:paraId="3C0129F6">
            <w:pPr>
              <w:spacing w:line="360" w:lineRule="auto"/>
              <w:jc w:val="both"/>
              <w:rPr>
                <w:rFonts w:hint="eastAsia" w:ascii="黑体" w:hAnsi="黑体" w:eastAsia="黑体" w:cs="黑体"/>
                <w:kern w:val="2"/>
                <w:sz w:val="24"/>
                <w:szCs w:val="24"/>
                <w:lang w:val="en-US" w:eastAsia="zh-CN" w:bidi="ar-SA"/>
              </w:rPr>
            </w:pPr>
          </w:p>
        </w:tc>
        <w:tc>
          <w:tcPr>
            <w:tcW w:w="3367" w:type="dxa"/>
            <w:noWrap w:val="0"/>
            <w:vAlign w:val="center"/>
          </w:tcPr>
          <w:p w14:paraId="12E1BDB2">
            <w:pPr>
              <w:spacing w:line="360" w:lineRule="auto"/>
              <w:jc w:val="center"/>
              <w:rPr>
                <w:rFonts w:hint="eastAsia" w:ascii="黑体" w:hAnsi="黑体" w:eastAsia="黑体" w:cs="黑体"/>
                <w:kern w:val="2"/>
                <w:sz w:val="24"/>
                <w:szCs w:val="24"/>
                <w:lang w:val="en-US" w:eastAsia="zh-CN" w:bidi="ar-SA"/>
              </w:rPr>
            </w:pPr>
          </w:p>
        </w:tc>
        <w:tc>
          <w:tcPr>
            <w:tcW w:w="1332" w:type="dxa"/>
            <w:noWrap w:val="0"/>
            <w:vAlign w:val="center"/>
          </w:tcPr>
          <w:p w14:paraId="6CD6DB88">
            <w:pPr>
              <w:spacing w:line="360" w:lineRule="auto"/>
              <w:jc w:val="both"/>
              <w:rPr>
                <w:rFonts w:hint="eastAsia" w:ascii="黑体" w:hAnsi="黑体" w:eastAsia="黑体" w:cs="黑体"/>
                <w:sz w:val="24"/>
                <w:szCs w:val="24"/>
                <w:lang w:val="en-US" w:eastAsia="zh-CN"/>
              </w:rPr>
            </w:pPr>
          </w:p>
        </w:tc>
        <w:tc>
          <w:tcPr>
            <w:tcW w:w="1119" w:type="dxa"/>
            <w:noWrap w:val="0"/>
            <w:vAlign w:val="center"/>
          </w:tcPr>
          <w:p w14:paraId="5E70906C">
            <w:pPr>
              <w:spacing w:line="360" w:lineRule="auto"/>
              <w:jc w:val="both"/>
              <w:rPr>
                <w:rFonts w:hint="eastAsia" w:ascii="黑体" w:hAnsi="黑体" w:eastAsia="黑体" w:cs="黑体"/>
                <w:b/>
                <w:sz w:val="24"/>
                <w:szCs w:val="24"/>
                <w:vertAlign w:val="baseline"/>
                <w:lang w:val="en-US" w:eastAsia="zh-CN"/>
              </w:rPr>
            </w:pPr>
          </w:p>
        </w:tc>
        <w:tc>
          <w:tcPr>
            <w:tcW w:w="662" w:type="dxa"/>
            <w:noWrap w:val="0"/>
            <w:vAlign w:val="center"/>
          </w:tcPr>
          <w:p w14:paraId="435F06B6">
            <w:pPr>
              <w:spacing w:line="360" w:lineRule="auto"/>
              <w:jc w:val="center"/>
              <w:rPr>
                <w:rFonts w:hint="eastAsia" w:ascii="黑体" w:hAnsi="黑体" w:eastAsia="黑体" w:cs="黑体"/>
                <w:b/>
                <w:sz w:val="24"/>
                <w:szCs w:val="24"/>
                <w:vertAlign w:val="baseline"/>
              </w:rPr>
            </w:pPr>
          </w:p>
        </w:tc>
        <w:tc>
          <w:tcPr>
            <w:tcW w:w="426" w:type="dxa"/>
            <w:noWrap w:val="0"/>
            <w:vAlign w:val="center"/>
          </w:tcPr>
          <w:p w14:paraId="35210767">
            <w:pPr>
              <w:spacing w:line="360" w:lineRule="auto"/>
              <w:jc w:val="center"/>
              <w:rPr>
                <w:rFonts w:hint="eastAsia" w:ascii="黑体" w:hAnsi="黑体" w:eastAsia="黑体" w:cs="黑体"/>
                <w:b/>
                <w:sz w:val="24"/>
                <w:szCs w:val="24"/>
                <w:vertAlign w:val="baseline"/>
                <w:lang w:val="en-US" w:eastAsia="zh-CN"/>
              </w:rPr>
            </w:pPr>
          </w:p>
        </w:tc>
        <w:tc>
          <w:tcPr>
            <w:tcW w:w="412" w:type="dxa"/>
            <w:noWrap w:val="0"/>
            <w:vAlign w:val="center"/>
          </w:tcPr>
          <w:p w14:paraId="6740DAE5">
            <w:pPr>
              <w:spacing w:line="360" w:lineRule="auto"/>
              <w:jc w:val="center"/>
              <w:rPr>
                <w:rFonts w:hint="eastAsia" w:ascii="黑体" w:hAnsi="黑体" w:eastAsia="黑体" w:cs="黑体"/>
                <w:b/>
                <w:sz w:val="24"/>
                <w:szCs w:val="24"/>
                <w:vertAlign w:val="baseline"/>
                <w:lang w:val="en-US" w:eastAsia="zh-CN"/>
              </w:rPr>
            </w:pPr>
          </w:p>
        </w:tc>
        <w:tc>
          <w:tcPr>
            <w:tcW w:w="382" w:type="dxa"/>
            <w:noWrap w:val="0"/>
            <w:vAlign w:val="center"/>
          </w:tcPr>
          <w:p w14:paraId="1B056097">
            <w:pPr>
              <w:spacing w:line="360" w:lineRule="auto"/>
              <w:jc w:val="center"/>
              <w:rPr>
                <w:rFonts w:hint="eastAsia" w:ascii="黑体" w:hAnsi="黑体" w:eastAsia="黑体" w:cs="黑体"/>
                <w:b/>
                <w:sz w:val="24"/>
                <w:szCs w:val="24"/>
                <w:vertAlign w:val="baseline"/>
                <w:lang w:val="en-US" w:eastAsia="zh-CN"/>
              </w:rPr>
            </w:pPr>
          </w:p>
        </w:tc>
        <w:tc>
          <w:tcPr>
            <w:tcW w:w="367" w:type="dxa"/>
            <w:noWrap w:val="0"/>
            <w:vAlign w:val="center"/>
          </w:tcPr>
          <w:p w14:paraId="5E47725F">
            <w:pPr>
              <w:spacing w:line="360" w:lineRule="auto"/>
              <w:jc w:val="center"/>
              <w:rPr>
                <w:rFonts w:hint="eastAsia" w:ascii="黑体" w:hAnsi="黑体" w:eastAsia="黑体" w:cs="黑体"/>
                <w:b/>
                <w:sz w:val="24"/>
                <w:szCs w:val="24"/>
                <w:vertAlign w:val="baseline"/>
                <w:lang w:val="en-US" w:eastAsia="zh-CN"/>
              </w:rPr>
            </w:pPr>
          </w:p>
        </w:tc>
        <w:tc>
          <w:tcPr>
            <w:tcW w:w="356" w:type="dxa"/>
            <w:noWrap w:val="0"/>
            <w:vAlign w:val="center"/>
          </w:tcPr>
          <w:p w14:paraId="772204D4">
            <w:pPr>
              <w:spacing w:line="360" w:lineRule="auto"/>
              <w:jc w:val="center"/>
              <w:rPr>
                <w:rFonts w:hint="eastAsia" w:ascii="黑体" w:hAnsi="黑体" w:eastAsia="黑体" w:cs="黑体"/>
                <w:b/>
                <w:sz w:val="24"/>
                <w:szCs w:val="24"/>
                <w:vertAlign w:val="baseline"/>
                <w:lang w:val="en-US" w:eastAsia="zh-CN"/>
              </w:rPr>
            </w:pPr>
          </w:p>
        </w:tc>
      </w:tr>
      <w:tr w14:paraId="0F23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5" w:type="dxa"/>
            <w:noWrap w:val="0"/>
            <w:vAlign w:val="center"/>
          </w:tcPr>
          <w:p w14:paraId="4E77BF95">
            <w:pPr>
              <w:spacing w:line="360" w:lineRule="auto"/>
              <w:jc w:val="center"/>
              <w:rPr>
                <w:rFonts w:hint="eastAsia" w:ascii="黑体" w:hAnsi="黑体" w:eastAsia="黑体" w:cs="黑体"/>
                <w:b/>
                <w:sz w:val="24"/>
                <w:szCs w:val="24"/>
                <w:vertAlign w:val="baseline"/>
              </w:rPr>
            </w:pPr>
          </w:p>
        </w:tc>
        <w:tc>
          <w:tcPr>
            <w:tcW w:w="3367" w:type="dxa"/>
            <w:noWrap w:val="0"/>
            <w:vAlign w:val="center"/>
          </w:tcPr>
          <w:p w14:paraId="2A825ED0">
            <w:pPr>
              <w:spacing w:line="360" w:lineRule="auto"/>
              <w:jc w:val="center"/>
              <w:rPr>
                <w:rFonts w:hint="eastAsia" w:ascii="黑体" w:hAnsi="黑体" w:eastAsia="黑体" w:cs="黑体"/>
                <w:b/>
                <w:sz w:val="24"/>
                <w:szCs w:val="24"/>
                <w:vertAlign w:val="baseline"/>
              </w:rPr>
            </w:pPr>
          </w:p>
        </w:tc>
        <w:tc>
          <w:tcPr>
            <w:tcW w:w="1332" w:type="dxa"/>
            <w:noWrap w:val="0"/>
            <w:vAlign w:val="center"/>
          </w:tcPr>
          <w:p w14:paraId="3DE46FE5">
            <w:pPr>
              <w:spacing w:line="360" w:lineRule="auto"/>
              <w:jc w:val="center"/>
              <w:rPr>
                <w:rFonts w:hint="eastAsia" w:ascii="黑体" w:hAnsi="黑体" w:eastAsia="黑体" w:cs="黑体"/>
                <w:b/>
                <w:sz w:val="24"/>
                <w:szCs w:val="24"/>
                <w:vertAlign w:val="baseline"/>
              </w:rPr>
            </w:pPr>
          </w:p>
        </w:tc>
        <w:tc>
          <w:tcPr>
            <w:tcW w:w="1119" w:type="dxa"/>
            <w:noWrap w:val="0"/>
            <w:vAlign w:val="center"/>
          </w:tcPr>
          <w:p w14:paraId="6396DE4C">
            <w:pPr>
              <w:spacing w:line="360" w:lineRule="auto"/>
              <w:jc w:val="center"/>
              <w:rPr>
                <w:rFonts w:hint="eastAsia" w:ascii="黑体" w:hAnsi="黑体" w:eastAsia="黑体" w:cs="黑体"/>
                <w:b/>
                <w:sz w:val="24"/>
                <w:szCs w:val="24"/>
                <w:vertAlign w:val="baseline"/>
              </w:rPr>
            </w:pPr>
          </w:p>
        </w:tc>
        <w:tc>
          <w:tcPr>
            <w:tcW w:w="662" w:type="dxa"/>
            <w:noWrap w:val="0"/>
            <w:vAlign w:val="center"/>
          </w:tcPr>
          <w:p w14:paraId="6E20B43A">
            <w:pPr>
              <w:spacing w:line="360" w:lineRule="auto"/>
              <w:jc w:val="center"/>
              <w:rPr>
                <w:rFonts w:hint="eastAsia" w:ascii="黑体" w:hAnsi="黑体" w:eastAsia="黑体" w:cs="黑体"/>
                <w:b/>
                <w:sz w:val="24"/>
                <w:szCs w:val="24"/>
                <w:vertAlign w:val="baseline"/>
              </w:rPr>
            </w:pPr>
          </w:p>
        </w:tc>
        <w:tc>
          <w:tcPr>
            <w:tcW w:w="426" w:type="dxa"/>
            <w:noWrap w:val="0"/>
            <w:vAlign w:val="center"/>
          </w:tcPr>
          <w:p w14:paraId="4853842E">
            <w:pPr>
              <w:spacing w:line="360" w:lineRule="auto"/>
              <w:jc w:val="center"/>
              <w:rPr>
                <w:rFonts w:hint="eastAsia" w:ascii="黑体" w:hAnsi="黑体" w:eastAsia="黑体" w:cs="黑体"/>
                <w:b/>
                <w:sz w:val="24"/>
                <w:szCs w:val="24"/>
                <w:vertAlign w:val="baseline"/>
              </w:rPr>
            </w:pPr>
          </w:p>
        </w:tc>
        <w:tc>
          <w:tcPr>
            <w:tcW w:w="412" w:type="dxa"/>
            <w:noWrap w:val="0"/>
            <w:vAlign w:val="center"/>
          </w:tcPr>
          <w:p w14:paraId="52E13229">
            <w:pPr>
              <w:spacing w:line="360" w:lineRule="auto"/>
              <w:jc w:val="center"/>
              <w:rPr>
                <w:rFonts w:hint="eastAsia" w:ascii="黑体" w:hAnsi="黑体" w:eastAsia="黑体" w:cs="黑体"/>
                <w:b/>
                <w:sz w:val="24"/>
                <w:szCs w:val="24"/>
                <w:vertAlign w:val="baseline"/>
              </w:rPr>
            </w:pPr>
          </w:p>
        </w:tc>
        <w:tc>
          <w:tcPr>
            <w:tcW w:w="382" w:type="dxa"/>
            <w:noWrap w:val="0"/>
            <w:vAlign w:val="center"/>
          </w:tcPr>
          <w:p w14:paraId="16A54976">
            <w:pPr>
              <w:spacing w:line="360" w:lineRule="auto"/>
              <w:jc w:val="center"/>
              <w:rPr>
                <w:rFonts w:hint="eastAsia" w:ascii="黑体" w:hAnsi="黑体" w:eastAsia="黑体" w:cs="黑体"/>
                <w:b/>
                <w:sz w:val="24"/>
                <w:szCs w:val="24"/>
                <w:vertAlign w:val="baseline"/>
              </w:rPr>
            </w:pPr>
          </w:p>
        </w:tc>
        <w:tc>
          <w:tcPr>
            <w:tcW w:w="367" w:type="dxa"/>
            <w:noWrap w:val="0"/>
            <w:vAlign w:val="center"/>
          </w:tcPr>
          <w:p w14:paraId="29E421C9">
            <w:pPr>
              <w:spacing w:line="360" w:lineRule="auto"/>
              <w:jc w:val="center"/>
              <w:rPr>
                <w:rFonts w:hint="eastAsia" w:ascii="黑体" w:hAnsi="黑体" w:eastAsia="黑体" w:cs="黑体"/>
                <w:b/>
                <w:sz w:val="24"/>
                <w:szCs w:val="24"/>
                <w:vertAlign w:val="baseline"/>
              </w:rPr>
            </w:pPr>
          </w:p>
        </w:tc>
        <w:tc>
          <w:tcPr>
            <w:tcW w:w="356" w:type="dxa"/>
            <w:noWrap w:val="0"/>
            <w:vAlign w:val="center"/>
          </w:tcPr>
          <w:p w14:paraId="235A790F">
            <w:pPr>
              <w:spacing w:line="360" w:lineRule="auto"/>
              <w:jc w:val="center"/>
              <w:rPr>
                <w:rFonts w:hint="eastAsia" w:ascii="黑体" w:hAnsi="黑体" w:eastAsia="黑体" w:cs="黑体"/>
                <w:b/>
                <w:sz w:val="24"/>
                <w:szCs w:val="24"/>
                <w:vertAlign w:val="baseline"/>
              </w:rPr>
            </w:pPr>
          </w:p>
        </w:tc>
      </w:tr>
      <w:tr w14:paraId="1798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5" w:type="dxa"/>
            <w:noWrap w:val="0"/>
            <w:vAlign w:val="center"/>
          </w:tcPr>
          <w:p w14:paraId="6DD86CF3">
            <w:pPr>
              <w:spacing w:line="360"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合计：</w:t>
            </w:r>
          </w:p>
        </w:tc>
        <w:tc>
          <w:tcPr>
            <w:tcW w:w="5818" w:type="dxa"/>
            <w:gridSpan w:val="3"/>
            <w:noWrap w:val="0"/>
            <w:vAlign w:val="center"/>
          </w:tcPr>
          <w:p w14:paraId="215D0099">
            <w:pPr>
              <w:spacing w:line="360" w:lineRule="auto"/>
              <w:jc w:val="both"/>
              <w:rPr>
                <w:rFonts w:hint="eastAsia" w:ascii="黑体" w:hAnsi="黑体" w:eastAsia="黑体" w:cs="黑体"/>
                <w:sz w:val="24"/>
                <w:szCs w:val="24"/>
                <w:lang w:val="en-US" w:eastAsia="zh-CN"/>
              </w:rPr>
            </w:pPr>
            <w:r>
              <w:rPr>
                <w:rFonts w:hint="eastAsia" w:ascii="黑体" w:hAnsi="黑体" w:eastAsia="黑体" w:cs="黑体"/>
                <w:sz w:val="24"/>
                <w:szCs w:val="24"/>
                <w:lang w:eastAsia="zh-CN"/>
              </w:rPr>
              <w:t>大写：</w:t>
            </w:r>
          </w:p>
        </w:tc>
        <w:tc>
          <w:tcPr>
            <w:tcW w:w="662" w:type="dxa"/>
            <w:noWrap w:val="0"/>
            <w:vAlign w:val="center"/>
          </w:tcPr>
          <w:p w14:paraId="75ED91F5">
            <w:pPr>
              <w:spacing w:line="360" w:lineRule="auto"/>
              <w:jc w:val="center"/>
              <w:rPr>
                <w:rFonts w:hint="eastAsia" w:ascii="黑体" w:hAnsi="黑体" w:eastAsia="黑体" w:cs="黑体"/>
                <w:b/>
                <w:sz w:val="24"/>
                <w:szCs w:val="24"/>
                <w:vertAlign w:val="baseline"/>
              </w:rPr>
            </w:pPr>
          </w:p>
        </w:tc>
        <w:tc>
          <w:tcPr>
            <w:tcW w:w="426" w:type="dxa"/>
            <w:noWrap w:val="0"/>
            <w:vAlign w:val="center"/>
          </w:tcPr>
          <w:p w14:paraId="768A778C">
            <w:pPr>
              <w:spacing w:line="360" w:lineRule="auto"/>
              <w:jc w:val="center"/>
              <w:rPr>
                <w:rFonts w:hint="eastAsia" w:ascii="黑体" w:hAnsi="黑体" w:eastAsia="黑体" w:cs="黑体"/>
                <w:b/>
                <w:sz w:val="24"/>
                <w:szCs w:val="24"/>
                <w:vertAlign w:val="baseline"/>
                <w:lang w:val="en-US" w:eastAsia="zh-CN"/>
              </w:rPr>
            </w:pPr>
          </w:p>
        </w:tc>
        <w:tc>
          <w:tcPr>
            <w:tcW w:w="412" w:type="dxa"/>
            <w:noWrap w:val="0"/>
            <w:vAlign w:val="center"/>
          </w:tcPr>
          <w:p w14:paraId="2B3B6DA9">
            <w:pPr>
              <w:spacing w:line="360" w:lineRule="auto"/>
              <w:jc w:val="center"/>
              <w:rPr>
                <w:rFonts w:hint="eastAsia" w:ascii="黑体" w:hAnsi="黑体" w:eastAsia="黑体" w:cs="黑体"/>
                <w:b/>
                <w:sz w:val="24"/>
                <w:szCs w:val="24"/>
                <w:vertAlign w:val="baseline"/>
                <w:lang w:val="en-US" w:eastAsia="zh-CN"/>
              </w:rPr>
            </w:pPr>
          </w:p>
        </w:tc>
        <w:tc>
          <w:tcPr>
            <w:tcW w:w="382" w:type="dxa"/>
            <w:noWrap w:val="0"/>
            <w:vAlign w:val="center"/>
          </w:tcPr>
          <w:p w14:paraId="3E4DC2EF">
            <w:pPr>
              <w:spacing w:line="360" w:lineRule="auto"/>
              <w:jc w:val="both"/>
              <w:rPr>
                <w:rFonts w:hint="eastAsia" w:ascii="黑体" w:hAnsi="黑体" w:eastAsia="黑体" w:cs="黑体"/>
                <w:b/>
                <w:sz w:val="24"/>
                <w:szCs w:val="24"/>
                <w:vertAlign w:val="baseline"/>
                <w:lang w:val="en-US" w:eastAsia="zh-CN"/>
              </w:rPr>
            </w:pPr>
          </w:p>
        </w:tc>
        <w:tc>
          <w:tcPr>
            <w:tcW w:w="367" w:type="dxa"/>
            <w:noWrap w:val="0"/>
            <w:vAlign w:val="center"/>
          </w:tcPr>
          <w:p w14:paraId="129875B0">
            <w:pPr>
              <w:spacing w:line="360" w:lineRule="auto"/>
              <w:jc w:val="center"/>
              <w:rPr>
                <w:rFonts w:hint="eastAsia" w:ascii="黑体" w:hAnsi="黑体" w:eastAsia="黑体" w:cs="黑体"/>
                <w:b/>
                <w:sz w:val="24"/>
                <w:szCs w:val="24"/>
                <w:vertAlign w:val="baseline"/>
                <w:lang w:val="en-US" w:eastAsia="zh-CN"/>
              </w:rPr>
            </w:pPr>
          </w:p>
        </w:tc>
        <w:tc>
          <w:tcPr>
            <w:tcW w:w="356" w:type="dxa"/>
            <w:noWrap w:val="0"/>
            <w:vAlign w:val="center"/>
          </w:tcPr>
          <w:p w14:paraId="176C9E21">
            <w:pPr>
              <w:spacing w:line="360" w:lineRule="auto"/>
              <w:jc w:val="center"/>
              <w:rPr>
                <w:rFonts w:hint="eastAsia" w:ascii="黑体" w:hAnsi="黑体" w:eastAsia="黑体" w:cs="黑体"/>
                <w:b/>
                <w:sz w:val="24"/>
                <w:szCs w:val="24"/>
                <w:vertAlign w:val="baseline"/>
                <w:lang w:val="en-US" w:eastAsia="zh-CN"/>
              </w:rPr>
            </w:pPr>
          </w:p>
        </w:tc>
      </w:tr>
    </w:tbl>
    <w:p w14:paraId="3782B8C8">
      <w:pPr>
        <w:pStyle w:val="23"/>
        <w:numPr>
          <w:ilvl w:val="0"/>
          <w:numId w:val="0"/>
        </w:numPr>
        <w:ind w:leftChars="0"/>
        <w:rPr>
          <w:rFonts w:hint="eastAsia" w:ascii="黑体" w:hAnsi="黑体" w:eastAsia="黑体" w:cs="黑体"/>
          <w:b/>
          <w:bCs/>
          <w:color w:val="auto"/>
          <w:sz w:val="24"/>
          <w:szCs w:val="24"/>
          <w:highlight w:val="none"/>
          <w:lang w:val="en-US" w:eastAsia="zh-CN"/>
        </w:rPr>
      </w:pPr>
    </w:p>
    <w:p w14:paraId="1C56DC92">
      <w:pPr>
        <w:pStyle w:val="23"/>
        <w:numPr>
          <w:ilvl w:val="0"/>
          <w:numId w:val="0"/>
        </w:numPr>
        <w:ind w:leftChars="0"/>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二、保修期</w:t>
      </w:r>
    </w:p>
    <w:p w14:paraId="33A3B1CB">
      <w:pPr>
        <w:pStyle w:val="23"/>
        <w:numPr>
          <w:ilvl w:val="0"/>
          <w:numId w:val="0"/>
        </w:numPr>
        <w:ind w:leftChars="0"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产品的服务标准，与供方中国总部对外公众网站上公布的标准或消费者协会的规定相一致，若未公布标准的，以其他各类产品应依据投标文件中的售后服务相关条款的标准提供服务。</w:t>
      </w:r>
    </w:p>
    <w:p w14:paraId="7E086642">
      <w:pPr>
        <w:pStyle w:val="23"/>
        <w:numPr>
          <w:ilvl w:val="0"/>
          <w:numId w:val="0"/>
        </w:numPr>
        <w:ind w:leftChars="0"/>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三、交（提）货地点、方式</w:t>
      </w:r>
    </w:p>
    <w:p w14:paraId="4F5F06E6">
      <w:pPr>
        <w:pStyle w:val="23"/>
        <w:numPr>
          <w:ilvl w:val="0"/>
          <w:numId w:val="0"/>
        </w:numPr>
        <w:ind w:leftChars="0"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最终供货公司于</w:t>
      </w:r>
      <w:r>
        <w:rPr>
          <w:rFonts w:hint="eastAsia" w:ascii="黑体" w:hAnsi="黑体" w:eastAsia="黑体" w:cs="黑体"/>
          <w:color w:val="auto"/>
          <w:sz w:val="24"/>
          <w:szCs w:val="24"/>
          <w:highlight w:val="none"/>
          <w:u w:val="single"/>
          <w:lang w:val="en-US" w:eastAsia="zh-CN"/>
        </w:rPr>
        <w:t>2025年   月   日</w:t>
      </w:r>
      <w:r>
        <w:rPr>
          <w:rFonts w:hint="eastAsia" w:ascii="黑体" w:hAnsi="黑体" w:eastAsia="黑体" w:cs="黑体"/>
          <w:color w:val="auto"/>
          <w:sz w:val="24"/>
          <w:szCs w:val="24"/>
          <w:highlight w:val="none"/>
          <w:lang w:val="en-US" w:eastAsia="zh-CN"/>
        </w:rPr>
        <w:t>前将货物送至            (指定地点)交</w:t>
      </w:r>
      <w:r>
        <w:rPr>
          <w:rFonts w:hint="eastAsia" w:ascii="黑体" w:hAnsi="黑体" w:eastAsia="黑体" w:cs="黑体"/>
          <w:color w:val="auto"/>
          <w:sz w:val="24"/>
          <w:szCs w:val="24"/>
          <w:highlight w:val="none"/>
          <w:u w:val="single"/>
          <w:lang w:val="en-US" w:eastAsia="zh-CN"/>
        </w:rPr>
        <w:t xml:space="preserve">       （需方指定收货人）</w:t>
      </w:r>
      <w:r>
        <w:rPr>
          <w:rFonts w:hint="eastAsia" w:ascii="黑体" w:hAnsi="黑体" w:eastAsia="黑体" w:cs="黑体"/>
          <w:color w:val="auto"/>
          <w:sz w:val="24"/>
          <w:szCs w:val="24"/>
          <w:highlight w:val="none"/>
          <w:lang w:val="en-US" w:eastAsia="zh-CN"/>
        </w:rPr>
        <w:t>。此外，最终供货公司应在交货前向需方提供交货计划; 运输、保险和装箱的费用由最终供货公司承担。</w:t>
      </w:r>
    </w:p>
    <w:p w14:paraId="070F65F0">
      <w:pPr>
        <w:pStyle w:val="23"/>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四、验收标准及提出异议时间</w:t>
      </w:r>
    </w:p>
    <w:p w14:paraId="55FD686D">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验收标准：装箱单。</w:t>
      </w:r>
    </w:p>
    <w:p w14:paraId="7EF06A24">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提出异议时间截止：供货后7日内。</w:t>
      </w:r>
    </w:p>
    <w:p w14:paraId="553A5476">
      <w:pPr>
        <w:pStyle w:val="23"/>
        <w:numPr>
          <w:ilvl w:val="0"/>
          <w:numId w:val="14"/>
        </w:numPr>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付款方式及期限</w:t>
      </w:r>
    </w:p>
    <w:p w14:paraId="1E884203">
      <w:pPr>
        <w:pStyle w:val="23"/>
        <w:numPr>
          <w:ilvl w:val="0"/>
          <w:numId w:val="0"/>
        </w:numPr>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双方签署验收单5日内，由需方按我县国库集中支付转账方式支付。</w:t>
      </w:r>
    </w:p>
    <w:p w14:paraId="109F85B2">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供货供应商开户银行：            </w:t>
      </w:r>
    </w:p>
    <w:p w14:paraId="01DFE83D">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账户名称：     </w:t>
      </w:r>
    </w:p>
    <w:p w14:paraId="6B6A715D">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账    号：</w:t>
      </w:r>
    </w:p>
    <w:p w14:paraId="7E3E1A5C">
      <w:pPr>
        <w:pStyle w:val="23"/>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六、违约责任</w:t>
      </w:r>
    </w:p>
    <w:p w14:paraId="0ABD61BD">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如最终供货公司延期交货或需方延期付款，每逾期一日，违约方应按照合同金额1％向对方支付违约金，但该违约金不超过合同金额的5%，逾期超过5日，有权解除合同。</w:t>
      </w:r>
    </w:p>
    <w:p w14:paraId="45B98146">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如任何一方无故解除合同或有其他违约行为，应向对方支付合同金额5%的违约金。</w:t>
      </w:r>
    </w:p>
    <w:p w14:paraId="2D05F624">
      <w:pPr>
        <w:pStyle w:val="23"/>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七、其他约定事项</w:t>
      </w:r>
    </w:p>
    <w:p w14:paraId="6365B601">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招标文件、投标文件、和中标供应商承诺书是本合同不可分割的组成部分，对采购人和中标供应商均具有法律效力，本合同未尽事宜从其规定。</w:t>
      </w:r>
    </w:p>
    <w:p w14:paraId="631311F3">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2、本合同供需双方签字、盖章后生效。合同内容如国家法律、法规及政策另由规定的，从其规定。</w:t>
      </w:r>
    </w:p>
    <w:p w14:paraId="67FEE5B3">
      <w:pPr>
        <w:pStyle w:val="23"/>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3、本合同为供应商与政府采购单位买卖合同，一式三份，供方、需方、财政局采购管理股各一份。         </w:t>
      </w:r>
    </w:p>
    <w:p w14:paraId="61413CEC">
      <w:pPr>
        <w:pStyle w:val="23"/>
        <w:ind w:firstLine="480" w:firstLineChars="200"/>
        <w:rPr>
          <w:rFonts w:hint="eastAsia" w:ascii="黑体" w:hAnsi="黑体" w:eastAsia="黑体" w:cs="黑体"/>
          <w:b/>
          <w:sz w:val="24"/>
          <w:szCs w:val="24"/>
        </w:rPr>
      </w:pP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b/>
          <w:sz w:val="24"/>
          <w:szCs w:val="24"/>
        </w:rPr>
        <w:t xml:space="preserve">                                            </w:t>
      </w:r>
    </w:p>
    <w:p w14:paraId="3E2CC256">
      <w:pPr>
        <w:spacing w:line="360" w:lineRule="auto"/>
        <w:rPr>
          <w:rFonts w:hint="eastAsia" w:ascii="黑体" w:hAnsi="黑体" w:eastAsia="黑体" w:cs="黑体"/>
          <w:sz w:val="24"/>
          <w:szCs w:val="24"/>
        </w:rPr>
      </w:pPr>
    </w:p>
    <w:p w14:paraId="4541D4C5">
      <w:pPr>
        <w:spacing w:line="360" w:lineRule="auto"/>
        <w:rPr>
          <w:rFonts w:hint="eastAsia" w:ascii="黑体" w:hAnsi="黑体" w:eastAsia="黑体" w:cs="黑体"/>
          <w:sz w:val="24"/>
          <w:szCs w:val="24"/>
        </w:rPr>
      </w:pPr>
      <w:r>
        <w:rPr>
          <w:rFonts w:hint="eastAsia" w:ascii="黑体" w:hAnsi="黑体" w:eastAsia="黑体" w:cs="黑体"/>
          <w:sz w:val="24"/>
          <w:szCs w:val="24"/>
          <w:lang w:val="en-US" w:eastAsia="zh-CN"/>
        </w:rPr>
        <w:t>采购单位</w:t>
      </w:r>
      <w:r>
        <w:rPr>
          <w:rFonts w:hint="eastAsia" w:ascii="黑体" w:hAnsi="黑体" w:eastAsia="黑体" w:cs="黑体"/>
          <w:sz w:val="24"/>
          <w:szCs w:val="24"/>
        </w:rPr>
        <w:t xml:space="preserve">（签章）：                                   供货供应商（签章）：   </w:t>
      </w:r>
    </w:p>
    <w:p w14:paraId="42328661">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代理人：                                              代理人：              </w:t>
      </w:r>
    </w:p>
    <w:p w14:paraId="15BC8B79">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地址：                                                地址：                </w:t>
      </w:r>
    </w:p>
    <w:p w14:paraId="77927AC8">
      <w:p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rPr>
        <w:t>电话：                                                电话：</w:t>
      </w:r>
    </w:p>
    <w:p w14:paraId="61FC744E">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合同签定日期：   年  月   日                      合同签定日期：   年  月  日   </w:t>
      </w:r>
    </w:p>
    <w:p w14:paraId="7BD018CD">
      <w:pPr>
        <w:rPr>
          <w:rFonts w:hint="eastAsia" w:ascii="黑体" w:hAnsi="黑体" w:eastAsia="黑体" w:cs="黑体"/>
          <w:sz w:val="24"/>
          <w:szCs w:val="24"/>
        </w:rPr>
      </w:pPr>
    </w:p>
    <w:p w14:paraId="157251F3">
      <w:pPr>
        <w:rPr>
          <w:rFonts w:hint="eastAsia" w:ascii="黑体" w:hAnsi="黑体" w:eastAsia="黑体" w:cs="黑体"/>
          <w:sz w:val="24"/>
          <w:szCs w:val="24"/>
        </w:rPr>
      </w:pPr>
    </w:p>
    <w:p w14:paraId="717A9148">
      <w:pPr>
        <w:spacing w:line="360" w:lineRule="auto"/>
        <w:jc w:val="left"/>
        <w:rPr>
          <w:rFonts w:hint="eastAsia" w:ascii="黑体" w:hAnsi="黑体" w:eastAsia="黑体" w:cs="黑体"/>
          <w:bCs/>
          <w:color w:val="auto"/>
          <w:sz w:val="24"/>
          <w:highlight w:val="none"/>
        </w:rPr>
      </w:pPr>
      <w:r>
        <w:rPr>
          <w:rFonts w:hint="eastAsia" w:ascii="黑体" w:hAnsi="黑体" w:eastAsia="黑体" w:cs="黑体"/>
          <w:kern w:val="2"/>
          <w:sz w:val="24"/>
          <w:szCs w:val="24"/>
        </w:rPr>
        <w:t xml:space="preserve"> </w:t>
      </w:r>
      <w:r>
        <w:rPr>
          <w:rFonts w:hint="eastAsia" w:ascii="黑体" w:hAnsi="黑体" w:eastAsia="黑体" w:cs="黑体"/>
          <w:b/>
          <w:bCs/>
          <w:color w:val="000000"/>
          <w:kern w:val="2"/>
          <w:sz w:val="24"/>
          <w:szCs w:val="24"/>
          <w:lang w:val="zh-CN"/>
        </w:rPr>
        <w:t>注：本合同模板仅为合同的参考文本，合同签订双方可根据项目的具体要求进行修改</w:t>
      </w:r>
    </w:p>
    <w:p w14:paraId="7FA3DCBA">
      <w:pPr>
        <w:spacing w:line="440" w:lineRule="exact"/>
        <w:jc w:val="left"/>
        <w:rPr>
          <w:rFonts w:hint="eastAsia" w:ascii="黑体" w:hAnsi="黑体" w:eastAsia="黑体" w:cs="黑体"/>
          <w:b/>
          <w:color w:val="auto"/>
          <w:sz w:val="24"/>
          <w:highlight w:val="none"/>
        </w:rPr>
      </w:pPr>
    </w:p>
    <w:p w14:paraId="2530ECD3">
      <w:pPr>
        <w:spacing w:line="440" w:lineRule="exact"/>
        <w:jc w:val="left"/>
        <w:rPr>
          <w:rFonts w:hint="eastAsia" w:ascii="黑体" w:hAnsi="黑体" w:eastAsia="黑体" w:cs="黑体"/>
          <w:b/>
          <w:color w:val="auto"/>
          <w:sz w:val="24"/>
          <w:highlight w:val="none"/>
        </w:rPr>
      </w:pPr>
    </w:p>
    <w:p w14:paraId="624BC6B3">
      <w:pPr>
        <w:pStyle w:val="2"/>
        <w:rPr>
          <w:rFonts w:hint="eastAsia" w:ascii="黑体" w:hAnsi="黑体" w:eastAsia="黑体" w:cs="黑体"/>
          <w:b/>
          <w:color w:val="auto"/>
          <w:sz w:val="28"/>
          <w:szCs w:val="28"/>
          <w:highlight w:val="none"/>
        </w:rPr>
      </w:pPr>
    </w:p>
    <w:p w14:paraId="475397FF">
      <w:pPr>
        <w:pStyle w:val="46"/>
        <w:numPr>
          <w:ilvl w:val="0"/>
          <w:numId w:val="15"/>
        </w:num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采购内容及要求</w:t>
      </w:r>
    </w:p>
    <w:p w14:paraId="5721CEC9">
      <w:pPr>
        <w:numPr>
          <w:ilvl w:val="0"/>
          <w:numId w:val="0"/>
        </w:numPr>
        <w:overflowPunct w:val="0"/>
        <w:autoSpaceDE/>
        <w:autoSpaceDN/>
        <w:spacing w:before="0" w:after="0" w:line="312" w:lineRule="auto"/>
        <w:ind w:right="0" w:rightChars="0" w:firstLine="482" w:firstLineChars="200"/>
        <w:jc w:val="left"/>
        <w:rPr>
          <w:rFonts w:hint="eastAsia" w:ascii="黑体" w:hAnsi="黑体" w:eastAsia="黑体" w:cs="黑体"/>
          <w:b/>
          <w:bCs/>
          <w:color w:val="auto"/>
          <w:kern w:val="0"/>
          <w:sz w:val="24"/>
          <w:szCs w:val="21"/>
          <w:highlight w:val="none"/>
          <w:lang w:val="en-US" w:bidi="zh-CN"/>
        </w:rPr>
      </w:pPr>
      <w:r>
        <w:rPr>
          <w:rFonts w:hint="eastAsia" w:ascii="黑体" w:hAnsi="黑体" w:eastAsia="黑体" w:cs="黑体"/>
          <w:b/>
          <w:bCs/>
          <w:color w:val="auto"/>
          <w:kern w:val="0"/>
          <w:sz w:val="24"/>
          <w:szCs w:val="21"/>
          <w:highlight w:val="none"/>
          <w:lang w:val="en-US" w:bidi="zh-CN"/>
        </w:rPr>
        <w:t>一、项目总体要求</w:t>
      </w:r>
    </w:p>
    <w:p w14:paraId="7FA77A74">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本采购项目为交钥匙项目，含所有设备、服务、运输、安装、调试、质保、售后服务、安全责任等，方便实用、验收合格，达到使用条件。</w:t>
      </w:r>
    </w:p>
    <w:p w14:paraId="6F7F94E2">
      <w:pPr>
        <w:numPr>
          <w:ilvl w:val="0"/>
          <w:numId w:val="0"/>
        </w:numPr>
        <w:overflowPunct w:val="0"/>
        <w:autoSpaceDE/>
        <w:autoSpaceDN/>
        <w:spacing w:before="0" w:after="0" w:line="312" w:lineRule="auto"/>
        <w:ind w:leftChars="0" w:right="0" w:rightChars="0" w:firstLine="482" w:firstLineChars="200"/>
        <w:jc w:val="left"/>
        <w:rPr>
          <w:rFonts w:hint="eastAsia" w:ascii="黑体" w:hAnsi="黑体" w:eastAsia="黑体" w:cs="黑体"/>
          <w:b/>
          <w:bCs/>
          <w:color w:val="auto"/>
          <w:kern w:val="0"/>
          <w:sz w:val="24"/>
          <w:szCs w:val="21"/>
          <w:highlight w:val="none"/>
          <w:lang w:val="en-US" w:bidi="zh-CN"/>
        </w:rPr>
      </w:pPr>
      <w:r>
        <w:rPr>
          <w:rFonts w:hint="eastAsia" w:ascii="黑体" w:hAnsi="黑体" w:eastAsia="黑体" w:cs="黑体"/>
          <w:b/>
          <w:bCs/>
          <w:color w:val="auto"/>
          <w:kern w:val="0"/>
          <w:sz w:val="24"/>
          <w:szCs w:val="21"/>
          <w:highlight w:val="none"/>
          <w:lang w:val="en-US" w:bidi="zh-CN"/>
        </w:rPr>
        <w:t>二、供货要求</w:t>
      </w:r>
    </w:p>
    <w:p w14:paraId="47E08198">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1、质量：合格</w:t>
      </w:r>
    </w:p>
    <w:p w14:paraId="2D2FE4CC">
      <w:pPr>
        <w:keepNext w:val="0"/>
        <w:keepLines w:val="0"/>
        <w:pageBreakBefore w:val="0"/>
        <w:numPr>
          <w:ilvl w:val="0"/>
          <w:numId w:val="0"/>
        </w:numPr>
        <w:kinsoku/>
        <w:wordWrap/>
        <w:overflowPunct/>
        <w:topLinePunct w:val="0"/>
        <w:bidi w:val="0"/>
        <w:adjustRightInd/>
        <w:snapToGrid w:val="0"/>
        <w:spacing w:line="360" w:lineRule="auto"/>
        <w:ind w:firstLine="480" w:firstLineChars="200"/>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2、交货期：自合同签订之日起30日历天。</w:t>
      </w:r>
    </w:p>
    <w:p w14:paraId="64306E34">
      <w:pPr>
        <w:keepNext w:val="0"/>
        <w:keepLines w:val="0"/>
        <w:pageBreakBefore w:val="0"/>
        <w:numPr>
          <w:ilvl w:val="0"/>
          <w:numId w:val="0"/>
        </w:numPr>
        <w:kinsoku/>
        <w:wordWrap/>
        <w:overflowPunct/>
        <w:topLinePunct w:val="0"/>
        <w:bidi w:val="0"/>
        <w:adjustRightInd/>
        <w:snapToGrid w:val="0"/>
        <w:spacing w:line="360" w:lineRule="auto"/>
        <w:ind w:firstLine="480" w:firstLineChars="200"/>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3、质保期：多普勒肌骨超声设备终验合格之日起整机质保期三年，</w:t>
      </w:r>
      <w:r>
        <w:rPr>
          <w:rFonts w:hint="eastAsia" w:ascii="黑体" w:hAnsi="黑体" w:eastAsia="黑体" w:cs="黑体"/>
          <w:b w:val="0"/>
          <w:bCs w:val="0"/>
          <w:color w:val="auto"/>
          <w:kern w:val="0"/>
          <w:sz w:val="24"/>
          <w:szCs w:val="21"/>
          <w:highlight w:val="none"/>
          <w:lang w:val="en-US" w:eastAsia="zh-CN" w:bidi="zh-CN"/>
        </w:rPr>
        <w:t>全自动五分类血液分析仪设备终验合格之日起整机质保期一年</w:t>
      </w:r>
      <w:r>
        <w:rPr>
          <w:rFonts w:hint="eastAsia" w:ascii="黑体" w:hAnsi="黑体" w:eastAsia="黑体" w:cs="黑体"/>
          <w:b w:val="0"/>
          <w:bCs w:val="0"/>
          <w:color w:val="auto"/>
          <w:kern w:val="0"/>
          <w:sz w:val="24"/>
          <w:szCs w:val="21"/>
          <w:highlight w:val="none"/>
          <w:lang w:val="en-US" w:bidi="zh-CN"/>
        </w:rPr>
        <w:t>（除耗材外的所有配件，并提供原厂质保）</w:t>
      </w:r>
    </w:p>
    <w:p w14:paraId="73FFB4EF">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4、交货地点：采购人指定地点。</w:t>
      </w:r>
    </w:p>
    <w:p w14:paraId="438403E7">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eastAsia="zh-CN" w:bidi="zh-CN"/>
        </w:rPr>
      </w:pPr>
      <w:r>
        <w:rPr>
          <w:rFonts w:hint="eastAsia" w:ascii="黑体" w:hAnsi="黑体" w:eastAsia="黑体" w:cs="黑体"/>
          <w:b w:val="0"/>
          <w:bCs w:val="0"/>
          <w:color w:val="auto"/>
          <w:kern w:val="0"/>
          <w:sz w:val="24"/>
          <w:szCs w:val="21"/>
          <w:highlight w:val="none"/>
          <w:lang w:val="en-US" w:eastAsia="zh-CN" w:bidi="zh-CN"/>
        </w:rPr>
        <w:t>5、售后服务：保修期内由乙方免费提供原厂保修，终身维护。人为因素造成的设备损坏且需要维修的情况，不在免费保修内。</w:t>
      </w:r>
    </w:p>
    <w:p w14:paraId="157931A5">
      <w:pPr>
        <w:numPr>
          <w:ilvl w:val="0"/>
          <w:numId w:val="0"/>
        </w:numPr>
        <w:overflowPunct w:val="0"/>
        <w:autoSpaceDE/>
        <w:autoSpaceDN/>
        <w:spacing w:before="0" w:after="0" w:line="312" w:lineRule="auto"/>
        <w:ind w:leftChars="0" w:right="0" w:rightChars="0" w:firstLine="480" w:firstLineChars="200"/>
        <w:jc w:val="left"/>
        <w:rPr>
          <w:rFonts w:hint="default" w:ascii="黑体" w:hAnsi="黑体" w:eastAsia="黑体" w:cs="黑体"/>
          <w:b w:val="0"/>
          <w:bCs w:val="0"/>
          <w:color w:val="auto"/>
          <w:kern w:val="0"/>
          <w:sz w:val="24"/>
          <w:szCs w:val="21"/>
          <w:highlight w:val="none"/>
          <w:lang w:val="en-US" w:eastAsia="zh-CN" w:bidi="zh-CN"/>
        </w:rPr>
      </w:pPr>
      <w:r>
        <w:rPr>
          <w:rFonts w:hint="eastAsia" w:ascii="黑体" w:hAnsi="黑体" w:eastAsia="黑体" w:cs="黑体"/>
          <w:b w:val="0"/>
          <w:bCs w:val="0"/>
          <w:color w:val="auto"/>
          <w:kern w:val="0"/>
          <w:sz w:val="24"/>
          <w:szCs w:val="21"/>
          <w:highlight w:val="none"/>
          <w:lang w:val="en-US" w:eastAsia="zh-CN" w:bidi="zh-CN"/>
        </w:rPr>
        <w:t>6、该设备的相关系统软件为终生免费使用、升级、维护。</w:t>
      </w:r>
    </w:p>
    <w:p w14:paraId="148DE044">
      <w:pPr>
        <w:numPr>
          <w:ilvl w:val="0"/>
          <w:numId w:val="0"/>
        </w:numPr>
        <w:overflowPunct w:val="0"/>
        <w:autoSpaceDE/>
        <w:autoSpaceDN/>
        <w:spacing w:before="0" w:after="0" w:line="312" w:lineRule="auto"/>
        <w:ind w:leftChars="0" w:right="0" w:rightChars="0" w:firstLine="482" w:firstLineChars="200"/>
        <w:jc w:val="left"/>
        <w:rPr>
          <w:rFonts w:hint="eastAsia" w:ascii="黑体" w:hAnsi="黑体" w:eastAsia="黑体" w:cs="黑体"/>
          <w:b/>
          <w:bCs/>
          <w:color w:val="auto"/>
          <w:kern w:val="0"/>
          <w:sz w:val="24"/>
          <w:szCs w:val="21"/>
          <w:highlight w:val="none"/>
          <w:lang w:val="en-US" w:bidi="zh-CN"/>
        </w:rPr>
      </w:pPr>
      <w:r>
        <w:rPr>
          <w:rFonts w:hint="eastAsia" w:ascii="黑体" w:hAnsi="黑体" w:eastAsia="黑体" w:cs="黑体"/>
          <w:b/>
          <w:bCs/>
          <w:color w:val="auto"/>
          <w:kern w:val="0"/>
          <w:sz w:val="24"/>
          <w:szCs w:val="21"/>
          <w:highlight w:val="none"/>
          <w:lang w:val="en-US" w:bidi="zh-CN"/>
        </w:rPr>
        <w:t>三、技术参数和指标要求</w:t>
      </w:r>
    </w:p>
    <w:p w14:paraId="48C74472">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1、本次采购货物的参数为采购人根据实际应用需求制定，投标人应仔细阅读采购内容及要求中规定的所有条款，包括各项技术规格。本次采购内容及要求提供的技术、功能及参数允许投标人拟投产品的参数有所偏离，参数要求仅作为评分条件，不作为废标条款。</w:t>
      </w:r>
    </w:p>
    <w:p w14:paraId="5580C5E4">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2、本次采购内容及要求提供的参数范围值，均为优于或等于，若参数表中具体范围值表述与货物实质优劣属性有偏差，以优于或等于的范围为准，不视为负偏离。</w:t>
      </w:r>
    </w:p>
    <w:p w14:paraId="23B38C01">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3、本次采购不限制投标产品品牌，投标人自主选择品牌，如下表中出现品牌，供应商可忽略。</w:t>
      </w:r>
    </w:p>
    <w:p w14:paraId="0BD4AB9D">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4、标注“▲”的产品为核心产品；</w:t>
      </w:r>
    </w:p>
    <w:p w14:paraId="3B554940">
      <w:pPr>
        <w:numPr>
          <w:ilvl w:val="0"/>
          <w:numId w:val="0"/>
        </w:numPr>
        <w:overflowPunct w:val="0"/>
        <w:autoSpaceDE/>
        <w:autoSpaceDN/>
        <w:spacing w:before="0" w:after="0" w:line="312" w:lineRule="auto"/>
        <w:ind w:leftChars="0" w:right="0" w:rightChars="0" w:firstLine="480" w:firstLineChars="200"/>
        <w:jc w:val="left"/>
        <w:rPr>
          <w:rFonts w:hint="eastAsia" w:ascii="黑体" w:hAnsi="黑体" w:eastAsia="黑体" w:cs="黑体"/>
          <w:b w:val="0"/>
          <w:bCs w:val="0"/>
          <w:sz w:val="20"/>
          <w:szCs w:val="22"/>
          <w:highlight w:val="none"/>
          <w:lang w:val="en-US"/>
        </w:rPr>
      </w:pPr>
      <w:r>
        <w:rPr>
          <w:rFonts w:hint="eastAsia" w:ascii="黑体" w:hAnsi="黑体" w:eastAsia="黑体" w:cs="黑体"/>
          <w:b w:val="0"/>
          <w:bCs w:val="0"/>
          <w:color w:val="auto"/>
          <w:kern w:val="0"/>
          <w:sz w:val="24"/>
          <w:szCs w:val="21"/>
          <w:highlight w:val="none"/>
          <w:lang w:val="en-US" w:bidi="zh-CN"/>
        </w:rPr>
        <w:t>使用综合评分法的采购项目，核心产品提供相同品牌产品且通过资格审查、符合性审查的不同投标人参加同一合同项下投标的，按一家投标人计算，评审后得分最高的同品牌投标人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26E07254">
      <w:pPr>
        <w:numPr>
          <w:ilvl w:val="0"/>
          <w:numId w:val="0"/>
        </w:numPr>
        <w:overflowPunct w:val="0"/>
        <w:autoSpaceDE/>
        <w:autoSpaceDN/>
        <w:spacing w:before="0" w:after="0" w:line="312" w:lineRule="auto"/>
        <w:ind w:leftChars="0" w:right="0" w:rightChars="0" w:firstLine="480" w:firstLineChars="200"/>
        <w:jc w:val="left"/>
        <w:rPr>
          <w:rFonts w:hint="default" w:ascii="黑体" w:hAnsi="黑体" w:eastAsia="黑体" w:cs="黑体"/>
          <w:b w:val="0"/>
          <w:bCs w:val="0"/>
          <w:color w:val="auto"/>
          <w:kern w:val="0"/>
          <w:sz w:val="24"/>
          <w:szCs w:val="21"/>
          <w:highlight w:val="none"/>
          <w:lang w:val="en-US" w:bidi="zh-CN"/>
        </w:rPr>
      </w:pPr>
    </w:p>
    <w:p w14:paraId="565D2602">
      <w:pPr>
        <w:keepNext w:val="0"/>
        <w:keepLines w:val="0"/>
        <w:widowControl/>
        <w:numPr>
          <w:ilvl w:val="0"/>
          <w:numId w:val="0"/>
        </w:numPr>
        <w:suppressLineNumbers w:val="0"/>
        <w:ind w:firstLine="482" w:firstLineChars="200"/>
        <w:jc w:val="both"/>
        <w:rPr>
          <w:rFonts w:hint="eastAsia" w:ascii="黑体" w:hAnsi="黑体" w:eastAsia="黑体" w:cs="黑体"/>
          <w:b/>
          <w:bCs/>
          <w:kern w:val="0"/>
          <w:sz w:val="24"/>
          <w:szCs w:val="24"/>
          <w:highlight w:val="none"/>
          <w:lang w:val="en-US" w:eastAsia="zh-CN"/>
        </w:rPr>
      </w:pPr>
    </w:p>
    <w:p w14:paraId="427777C8">
      <w:pPr>
        <w:keepNext w:val="0"/>
        <w:keepLines w:val="0"/>
        <w:widowControl/>
        <w:numPr>
          <w:ilvl w:val="0"/>
          <w:numId w:val="0"/>
        </w:numPr>
        <w:suppressLineNumbers w:val="0"/>
        <w:ind w:firstLine="482" w:firstLineChars="200"/>
        <w:jc w:val="both"/>
        <w:rPr>
          <w:rFonts w:hint="eastAsia" w:ascii="黑体" w:hAnsi="黑体" w:eastAsia="黑体" w:cs="黑体"/>
          <w:b/>
          <w:bCs/>
          <w:kern w:val="0"/>
          <w:sz w:val="24"/>
          <w:szCs w:val="24"/>
          <w:highlight w:val="none"/>
          <w:lang w:val="en-US" w:eastAsia="zh-CN"/>
        </w:rPr>
      </w:pPr>
    </w:p>
    <w:p w14:paraId="472FB4D0">
      <w:pPr>
        <w:keepNext w:val="0"/>
        <w:keepLines w:val="0"/>
        <w:widowControl/>
        <w:numPr>
          <w:ilvl w:val="0"/>
          <w:numId w:val="0"/>
        </w:numPr>
        <w:suppressLineNumbers w:val="0"/>
        <w:ind w:firstLine="482" w:firstLineChars="200"/>
        <w:jc w:val="both"/>
        <w:rPr>
          <w:rFonts w:hint="eastAsia" w:ascii="黑体" w:hAnsi="黑体" w:eastAsia="黑体" w:cs="黑体"/>
          <w:b/>
          <w:bCs/>
          <w:kern w:val="0"/>
          <w:sz w:val="24"/>
          <w:szCs w:val="24"/>
          <w:highlight w:val="none"/>
          <w:lang w:val="en-US" w:eastAsia="zh-CN"/>
        </w:rPr>
      </w:pPr>
    </w:p>
    <w:p w14:paraId="701778E3">
      <w:pPr>
        <w:keepNext w:val="0"/>
        <w:keepLines w:val="0"/>
        <w:widowControl/>
        <w:numPr>
          <w:ilvl w:val="0"/>
          <w:numId w:val="0"/>
        </w:numPr>
        <w:suppressLineNumbers w:val="0"/>
        <w:ind w:firstLine="482" w:firstLineChars="200"/>
        <w:jc w:val="both"/>
        <w:rPr>
          <w:rFonts w:hint="eastAsia" w:ascii="黑体" w:hAnsi="黑体" w:eastAsia="黑体" w:cs="黑体"/>
          <w:b/>
          <w:bCs/>
          <w:kern w:val="0"/>
          <w:sz w:val="24"/>
          <w:szCs w:val="24"/>
          <w:highlight w:val="none"/>
          <w:lang w:val="en-US" w:eastAsia="zh-CN"/>
        </w:rPr>
      </w:pPr>
    </w:p>
    <w:p w14:paraId="7CD10592">
      <w:pPr>
        <w:keepNext w:val="0"/>
        <w:keepLines w:val="0"/>
        <w:widowControl/>
        <w:numPr>
          <w:ilvl w:val="0"/>
          <w:numId w:val="0"/>
        </w:numPr>
        <w:suppressLineNumbers w:val="0"/>
        <w:jc w:val="both"/>
        <w:rPr>
          <w:rFonts w:hint="eastAsia" w:ascii="黑体" w:hAnsi="黑体" w:eastAsia="黑体" w:cs="黑体"/>
          <w:b/>
          <w:bCs/>
          <w:kern w:val="0"/>
          <w:sz w:val="24"/>
          <w:szCs w:val="24"/>
          <w:highlight w:val="none"/>
          <w:lang w:val="en-US" w:eastAsia="zh-CN"/>
        </w:rPr>
      </w:pPr>
      <w:r>
        <w:rPr>
          <w:rFonts w:hint="eastAsia" w:ascii="黑体" w:hAnsi="黑体" w:eastAsia="黑体" w:cs="黑体"/>
          <w:b/>
          <w:bCs/>
          <w:kern w:val="0"/>
          <w:sz w:val="24"/>
          <w:szCs w:val="24"/>
          <w:highlight w:val="none"/>
          <w:lang w:val="en-US" w:eastAsia="zh-CN"/>
        </w:rPr>
        <w:t>四、采购需求一览表</w:t>
      </w:r>
    </w:p>
    <w:tbl>
      <w:tblPr>
        <w:tblStyle w:val="51"/>
        <w:tblpPr w:leftFromText="180" w:rightFromText="180" w:vertAnchor="text" w:horzAnchor="page" w:tblpX="1275" w:tblpY="149"/>
        <w:tblOverlap w:val="never"/>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3080"/>
        <w:gridCol w:w="2350"/>
        <w:gridCol w:w="2942"/>
      </w:tblGrid>
      <w:tr w14:paraId="7D53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6" w:type="pct"/>
          </w:tcPr>
          <w:p w14:paraId="42BDFA63">
            <w:pPr>
              <w:jc w:val="center"/>
              <w:rPr>
                <w:rFonts w:hint="eastAsia" w:ascii="黑体" w:hAnsi="黑体" w:eastAsia="黑体" w:cs="黑体"/>
                <w:b/>
                <w:bCs/>
                <w:sz w:val="24"/>
                <w:szCs w:val="24"/>
                <w:highlight w:val="none"/>
                <w:lang w:val="en-US" w:eastAsia="zh-CN"/>
              </w:rPr>
            </w:pPr>
          </w:p>
          <w:p w14:paraId="6704ED74">
            <w:pPr>
              <w:jc w:val="center"/>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序号</w:t>
            </w:r>
          </w:p>
        </w:tc>
        <w:tc>
          <w:tcPr>
            <w:tcW w:w="1642" w:type="pct"/>
          </w:tcPr>
          <w:p w14:paraId="7F4ABDC5">
            <w:pPr>
              <w:spacing w:line="480" w:lineRule="auto"/>
              <w:jc w:val="center"/>
              <w:rPr>
                <w:rFonts w:hint="eastAsia" w:ascii="黑体" w:hAnsi="黑体" w:eastAsia="黑体" w:cs="黑体"/>
                <w:b/>
                <w:bCs/>
                <w:highlight w:val="none"/>
                <w:lang w:val="en-US" w:eastAsia="zh-CN"/>
              </w:rPr>
            </w:pPr>
          </w:p>
          <w:p w14:paraId="38988A30">
            <w:pPr>
              <w:spacing w:line="480" w:lineRule="auto"/>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设备名称</w:t>
            </w:r>
          </w:p>
        </w:tc>
        <w:tc>
          <w:tcPr>
            <w:tcW w:w="1253" w:type="pct"/>
          </w:tcPr>
          <w:p w14:paraId="57C51E4A">
            <w:pPr>
              <w:jc w:val="center"/>
              <w:rPr>
                <w:rFonts w:hint="eastAsia" w:ascii="黑体" w:hAnsi="黑体" w:eastAsia="黑体" w:cs="黑体"/>
                <w:b/>
                <w:bCs/>
                <w:sz w:val="24"/>
                <w:szCs w:val="24"/>
                <w:highlight w:val="none"/>
                <w:lang w:val="en-US" w:eastAsia="zh-CN"/>
              </w:rPr>
            </w:pPr>
          </w:p>
          <w:p w14:paraId="17375AB6">
            <w:pPr>
              <w:jc w:val="center"/>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数量</w:t>
            </w:r>
          </w:p>
          <w:p w14:paraId="64D601A1">
            <w:pPr>
              <w:jc w:val="center"/>
              <w:rPr>
                <w:rFonts w:hint="eastAsia" w:ascii="黑体" w:hAnsi="黑体" w:eastAsia="黑体" w:cs="黑体"/>
                <w:b/>
                <w:bCs/>
                <w:sz w:val="24"/>
                <w:szCs w:val="24"/>
                <w:highlight w:val="none"/>
                <w:lang w:val="en-US" w:eastAsia="zh-CN"/>
              </w:rPr>
            </w:pPr>
          </w:p>
          <w:p w14:paraId="241A621F">
            <w:pPr>
              <w:jc w:val="both"/>
              <w:rPr>
                <w:rFonts w:hint="default" w:ascii="黑体" w:hAnsi="黑体" w:eastAsia="黑体" w:cs="黑体"/>
                <w:b/>
                <w:bCs/>
                <w:sz w:val="24"/>
                <w:szCs w:val="24"/>
                <w:highlight w:val="none"/>
                <w:lang w:val="en-US" w:eastAsia="zh-CN"/>
              </w:rPr>
            </w:pPr>
          </w:p>
        </w:tc>
        <w:tc>
          <w:tcPr>
            <w:tcW w:w="1568" w:type="pct"/>
            <w:shd w:val="clear" w:color="auto" w:fill="auto"/>
            <w:vAlign w:val="top"/>
          </w:tcPr>
          <w:p w14:paraId="2217ADE8">
            <w:pPr>
              <w:jc w:val="center"/>
              <w:rPr>
                <w:rFonts w:hint="eastAsia" w:ascii="黑体" w:hAnsi="黑体" w:eastAsia="黑体" w:cs="黑体"/>
                <w:sz w:val="24"/>
                <w:szCs w:val="24"/>
                <w:highlight w:val="none"/>
                <w:lang w:val="en-US" w:eastAsia="zh-CN"/>
              </w:rPr>
            </w:pPr>
          </w:p>
          <w:p w14:paraId="669CE796">
            <w:pPr>
              <w:jc w:val="center"/>
              <w:rPr>
                <w:rFonts w:hint="default" w:ascii="黑体" w:hAnsi="黑体" w:eastAsia="黑体" w:cs="黑体"/>
                <w:kern w:val="2"/>
                <w:sz w:val="24"/>
                <w:szCs w:val="24"/>
                <w:highlight w:val="none"/>
                <w:lang w:val="en-US" w:eastAsia="zh-CN" w:bidi="ar-SA"/>
              </w:rPr>
            </w:pPr>
            <w:r>
              <w:rPr>
                <w:rFonts w:hint="eastAsia" w:ascii="黑体" w:hAnsi="黑体" w:eastAsia="黑体" w:cs="黑体"/>
                <w:sz w:val="24"/>
                <w:szCs w:val="24"/>
                <w:highlight w:val="none"/>
                <w:lang w:val="en-US" w:eastAsia="zh-CN"/>
              </w:rPr>
              <w:t>是否核心产品</w:t>
            </w:r>
          </w:p>
        </w:tc>
      </w:tr>
      <w:tr w14:paraId="08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36" w:type="pct"/>
          </w:tcPr>
          <w:p w14:paraId="53A8159B">
            <w:pPr>
              <w:spacing w:line="480" w:lineRule="auto"/>
              <w:jc w:val="center"/>
              <w:rPr>
                <w:rFonts w:hint="default" w:ascii="黑体" w:hAnsi="黑体" w:eastAsia="黑体" w:cs="黑体"/>
                <w:highlight w:val="none"/>
                <w:lang w:val="en-US" w:eastAsia="zh-CN"/>
              </w:rPr>
            </w:pPr>
            <w:r>
              <w:rPr>
                <w:rFonts w:hint="eastAsia" w:ascii="黑体" w:hAnsi="黑体" w:eastAsia="黑体" w:cs="黑体"/>
                <w:highlight w:val="none"/>
                <w:lang w:val="en-US" w:eastAsia="zh-CN"/>
              </w:rPr>
              <w:t>1</w:t>
            </w:r>
          </w:p>
        </w:tc>
        <w:tc>
          <w:tcPr>
            <w:tcW w:w="1642" w:type="pct"/>
            <w:vAlign w:val="top"/>
          </w:tcPr>
          <w:p w14:paraId="79F25BAE">
            <w:pPr>
              <w:spacing w:line="480" w:lineRule="auto"/>
              <w:jc w:val="center"/>
              <w:rPr>
                <w:rFonts w:hint="eastAsia" w:ascii="黑体" w:hAnsi="黑体" w:eastAsia="黑体" w:cs="黑体"/>
                <w:highlight w:val="none"/>
                <w:lang w:val="en-US" w:eastAsia="zh-CN"/>
              </w:rPr>
            </w:pPr>
            <w:r>
              <w:rPr>
                <w:rFonts w:hint="eastAsia" w:ascii="黑体" w:hAnsi="黑体" w:eastAsia="黑体" w:cs="黑体"/>
                <w:b/>
                <w:bCs/>
                <w:color w:val="auto"/>
                <w:kern w:val="0"/>
                <w:sz w:val="24"/>
                <w:szCs w:val="21"/>
                <w:highlight w:val="none"/>
                <w:lang w:val="en-US" w:bidi="zh-CN"/>
              </w:rPr>
              <w:t>▲</w:t>
            </w:r>
            <w:r>
              <w:rPr>
                <w:rFonts w:hint="eastAsia" w:ascii="黑体" w:hAnsi="黑体" w:eastAsia="黑体" w:cs="黑体"/>
                <w:highlight w:val="none"/>
                <w:lang w:val="en-US" w:eastAsia="zh-CN"/>
              </w:rPr>
              <w:t>多普勒肌骨超声设备</w:t>
            </w:r>
          </w:p>
        </w:tc>
        <w:tc>
          <w:tcPr>
            <w:tcW w:w="1253" w:type="pct"/>
          </w:tcPr>
          <w:p w14:paraId="0304BD87">
            <w:pPr>
              <w:spacing w:line="480" w:lineRule="auto"/>
              <w:jc w:val="center"/>
              <w:rPr>
                <w:rFonts w:hint="default" w:ascii="黑体" w:hAnsi="黑体" w:eastAsia="黑体" w:cs="黑体"/>
                <w:highlight w:val="none"/>
                <w:lang w:val="en-US" w:eastAsia="zh-CN"/>
              </w:rPr>
            </w:pPr>
            <w:r>
              <w:rPr>
                <w:rFonts w:hint="eastAsia" w:ascii="黑体" w:hAnsi="黑体" w:eastAsia="黑体" w:cs="黑体"/>
                <w:highlight w:val="none"/>
                <w:lang w:val="en-US" w:eastAsia="zh-CN"/>
              </w:rPr>
              <w:t>1台</w:t>
            </w:r>
          </w:p>
        </w:tc>
        <w:tc>
          <w:tcPr>
            <w:tcW w:w="1568" w:type="pct"/>
            <w:shd w:val="clear" w:color="auto" w:fill="auto"/>
            <w:vAlign w:val="top"/>
          </w:tcPr>
          <w:p w14:paraId="2DCD45AF">
            <w:pPr>
              <w:spacing w:line="480" w:lineRule="auto"/>
              <w:jc w:val="center"/>
              <w:rPr>
                <w:rFonts w:hint="eastAsia" w:ascii="黑体" w:hAnsi="黑体" w:eastAsia="黑体" w:cs="黑体"/>
                <w:kern w:val="2"/>
                <w:sz w:val="21"/>
                <w:szCs w:val="24"/>
                <w:highlight w:val="none"/>
                <w:lang w:val="en-US" w:eastAsia="zh-CN" w:bidi="ar-SA"/>
              </w:rPr>
            </w:pPr>
            <w:r>
              <w:rPr>
                <w:rFonts w:hint="eastAsia" w:ascii="黑体" w:hAnsi="黑体" w:eastAsia="黑体" w:cs="黑体"/>
                <w:highlight w:val="none"/>
                <w:lang w:val="en-US" w:eastAsia="zh-CN"/>
              </w:rPr>
              <w:t>是</w:t>
            </w:r>
          </w:p>
        </w:tc>
      </w:tr>
      <w:tr w14:paraId="3853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6" w:type="pct"/>
          </w:tcPr>
          <w:p w14:paraId="5E9A3857">
            <w:pPr>
              <w:spacing w:line="480" w:lineRule="auto"/>
              <w:jc w:val="center"/>
              <w:rPr>
                <w:rFonts w:hint="default" w:ascii="黑体" w:hAnsi="黑体" w:eastAsia="黑体" w:cs="黑体"/>
                <w:highlight w:val="none"/>
                <w:lang w:val="en-US" w:eastAsia="zh-CN"/>
              </w:rPr>
            </w:pPr>
            <w:r>
              <w:rPr>
                <w:rFonts w:hint="eastAsia" w:ascii="黑体" w:hAnsi="黑体" w:eastAsia="黑体" w:cs="黑体"/>
                <w:highlight w:val="none"/>
                <w:lang w:val="en-US" w:eastAsia="zh-CN"/>
              </w:rPr>
              <w:t>2</w:t>
            </w:r>
          </w:p>
        </w:tc>
        <w:tc>
          <w:tcPr>
            <w:tcW w:w="1642" w:type="pct"/>
            <w:vAlign w:val="top"/>
          </w:tcPr>
          <w:p w14:paraId="46357F78">
            <w:pPr>
              <w:spacing w:line="480" w:lineRule="auto"/>
              <w:jc w:val="center"/>
              <w:rPr>
                <w:rFonts w:hint="eastAsia" w:ascii="黑体" w:hAnsi="黑体" w:eastAsia="黑体" w:cs="黑体"/>
                <w:highlight w:val="none"/>
                <w:lang w:val="en-US" w:eastAsia="zh-CN"/>
              </w:rPr>
            </w:pPr>
            <w:r>
              <w:rPr>
                <w:rFonts w:hint="eastAsia" w:ascii="黑体" w:hAnsi="黑体" w:eastAsia="黑体" w:cs="黑体"/>
                <w:highlight w:val="none"/>
                <w:lang w:val="en-US" w:eastAsia="zh-CN"/>
              </w:rPr>
              <w:t>全自动五分类血液分析仪</w:t>
            </w:r>
          </w:p>
        </w:tc>
        <w:tc>
          <w:tcPr>
            <w:tcW w:w="1253" w:type="pct"/>
          </w:tcPr>
          <w:p w14:paraId="77BF1303">
            <w:pPr>
              <w:spacing w:line="480" w:lineRule="auto"/>
              <w:jc w:val="center"/>
              <w:rPr>
                <w:rFonts w:hint="default" w:ascii="黑体" w:hAnsi="黑体" w:eastAsia="黑体" w:cs="黑体"/>
                <w:highlight w:val="none"/>
                <w:lang w:val="en-US" w:eastAsia="zh-CN"/>
              </w:rPr>
            </w:pPr>
            <w:r>
              <w:rPr>
                <w:rFonts w:hint="eastAsia" w:ascii="黑体" w:hAnsi="黑体" w:eastAsia="黑体" w:cs="黑体"/>
                <w:highlight w:val="none"/>
                <w:lang w:val="en-US" w:eastAsia="zh-CN"/>
              </w:rPr>
              <w:t>1台</w:t>
            </w:r>
          </w:p>
        </w:tc>
        <w:tc>
          <w:tcPr>
            <w:tcW w:w="1568" w:type="pct"/>
            <w:shd w:val="clear" w:color="auto" w:fill="auto"/>
            <w:vAlign w:val="top"/>
          </w:tcPr>
          <w:p w14:paraId="10A0AD08">
            <w:pPr>
              <w:spacing w:line="480" w:lineRule="auto"/>
              <w:jc w:val="center"/>
              <w:rPr>
                <w:rFonts w:hint="eastAsia" w:ascii="黑体" w:hAnsi="黑体" w:eastAsia="黑体" w:cs="黑体"/>
                <w:kern w:val="2"/>
                <w:sz w:val="21"/>
                <w:szCs w:val="24"/>
                <w:highlight w:val="none"/>
                <w:lang w:val="en-US" w:eastAsia="zh-CN" w:bidi="ar-SA"/>
              </w:rPr>
            </w:pPr>
            <w:r>
              <w:rPr>
                <w:rFonts w:hint="eastAsia" w:ascii="黑体" w:hAnsi="黑体" w:eastAsia="黑体" w:cs="黑体"/>
                <w:highlight w:val="none"/>
                <w:lang w:val="en-US" w:eastAsia="zh-CN"/>
              </w:rPr>
              <w:t>否</w:t>
            </w:r>
          </w:p>
        </w:tc>
      </w:tr>
    </w:tbl>
    <w:p w14:paraId="3C9DBA97">
      <w:pPr>
        <w:jc w:val="both"/>
        <w:rPr>
          <w:rFonts w:hint="eastAsia"/>
          <w:b/>
          <w:sz w:val="30"/>
          <w:szCs w:val="30"/>
          <w:highlight w:val="none"/>
        </w:rPr>
      </w:pPr>
    </w:p>
    <w:p w14:paraId="087B0E7E">
      <w:pPr>
        <w:keepNext w:val="0"/>
        <w:keepLines w:val="0"/>
        <w:pageBreakBefore w:val="0"/>
        <w:widowControl/>
        <w:kinsoku/>
        <w:wordWrap/>
        <w:topLinePunct w:val="0"/>
        <w:autoSpaceDE/>
        <w:autoSpaceDN/>
        <w:bidi w:val="0"/>
        <w:adjustRightInd/>
        <w:snapToGrid/>
        <w:spacing w:line="360" w:lineRule="auto"/>
        <w:jc w:val="left"/>
        <w:textAlignment w:val="auto"/>
        <w:rPr>
          <w:rFonts w:hint="eastAsia" w:ascii="黑体" w:hAnsi="黑体" w:eastAsia="黑体" w:cs="黑体"/>
          <w:b/>
          <w:sz w:val="24"/>
          <w:szCs w:val="24"/>
          <w:highlight w:val="none"/>
          <w:lang w:val="en-US" w:eastAsia="zh-CN"/>
        </w:rPr>
      </w:pPr>
      <w:r>
        <w:rPr>
          <w:rFonts w:hint="eastAsia" w:ascii="黑体" w:hAnsi="黑体" w:eastAsia="黑体" w:cs="黑体"/>
          <w:b/>
          <w:sz w:val="24"/>
          <w:szCs w:val="24"/>
          <w:highlight w:val="none"/>
          <w:lang w:val="en-US" w:eastAsia="zh-CN"/>
        </w:rPr>
        <w:t>五、技术参数和指标</w:t>
      </w:r>
    </w:p>
    <w:p w14:paraId="4C1B29F0">
      <w:pPr>
        <w:keepNext w:val="0"/>
        <w:keepLines w:val="0"/>
        <w:pageBreakBefore w:val="0"/>
        <w:widowControl/>
        <w:kinsoku/>
        <w:wordWrap/>
        <w:topLinePunct w:val="0"/>
        <w:autoSpaceDE/>
        <w:autoSpaceDN/>
        <w:bidi w:val="0"/>
        <w:adjustRightInd/>
        <w:snapToGrid/>
        <w:spacing w:line="360" w:lineRule="auto"/>
        <w:jc w:val="left"/>
        <w:textAlignment w:val="auto"/>
        <w:rPr>
          <w:rFonts w:hint="default" w:ascii="黑体" w:hAnsi="黑体" w:eastAsia="黑体" w:cs="黑体"/>
          <w:b/>
          <w:bCs/>
          <w:sz w:val="32"/>
          <w:szCs w:val="32"/>
          <w:highlight w:val="none"/>
          <w:lang w:val="en-US" w:eastAsia="zh-CN"/>
        </w:rPr>
      </w:pPr>
      <w:r>
        <w:rPr>
          <w:rFonts w:hint="eastAsia" w:ascii="黑体" w:hAnsi="黑体" w:eastAsia="黑体" w:cs="黑体"/>
          <w:b/>
          <w:sz w:val="24"/>
          <w:szCs w:val="24"/>
          <w:highlight w:val="none"/>
          <w:lang w:val="en-US" w:eastAsia="zh-CN"/>
        </w:rPr>
        <w:t>（一）</w:t>
      </w:r>
      <w:r>
        <w:rPr>
          <w:rFonts w:hint="eastAsia" w:ascii="黑体" w:hAnsi="黑体" w:eastAsia="黑体" w:cs="黑体"/>
          <w:b/>
          <w:bCs/>
          <w:sz w:val="24"/>
          <w:szCs w:val="32"/>
          <w:highlight w:val="none"/>
          <w:lang w:val="en-US" w:eastAsia="zh-CN"/>
        </w:rPr>
        <w:t>多普勒肌骨超声设备参数要求：</w:t>
      </w:r>
    </w:p>
    <w:p w14:paraId="2553FAC6">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1</w:t>
      </w:r>
      <w:r>
        <w:rPr>
          <w:rFonts w:hint="eastAsia" w:ascii="黑体" w:hAnsi="黑体" w:eastAsia="黑体" w:cs="黑体"/>
          <w:b w:val="0"/>
          <w:bCs w:val="0"/>
          <w:color w:val="auto"/>
          <w:kern w:val="0"/>
          <w:sz w:val="24"/>
          <w:szCs w:val="21"/>
          <w:highlight w:val="none"/>
          <w:lang w:val="en-US" w:eastAsia="zh-CN" w:bidi="zh-CN"/>
        </w:rPr>
        <w:t>.</w:t>
      </w:r>
      <w:r>
        <w:rPr>
          <w:rFonts w:hint="eastAsia" w:ascii="黑体" w:hAnsi="黑体" w:eastAsia="黑体" w:cs="黑体"/>
          <w:b w:val="0"/>
          <w:bCs w:val="0"/>
          <w:color w:val="auto"/>
          <w:kern w:val="0"/>
          <w:sz w:val="24"/>
          <w:szCs w:val="21"/>
          <w:highlight w:val="none"/>
          <w:lang w:val="en-US" w:bidi="zh-CN"/>
        </w:rPr>
        <w:t>需满足神经阻滞，血管穿刺使用要求，具备麻醉、疼痛、小器官与浅表组织、血管、颅脑、介入性超声等综合应用。</w:t>
      </w:r>
    </w:p>
    <w:p w14:paraId="583EA838">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2</w:t>
      </w:r>
      <w:r>
        <w:rPr>
          <w:rFonts w:hint="eastAsia" w:ascii="黑体" w:hAnsi="黑体" w:eastAsia="黑体" w:cs="黑体"/>
          <w:b w:val="0"/>
          <w:bCs w:val="0"/>
          <w:color w:val="auto"/>
          <w:kern w:val="0"/>
          <w:sz w:val="24"/>
          <w:szCs w:val="21"/>
          <w:highlight w:val="none"/>
          <w:lang w:val="en-US" w:eastAsia="zh-CN" w:bidi="zh-CN"/>
        </w:rPr>
        <w:t>.</w:t>
      </w:r>
      <w:r>
        <w:rPr>
          <w:rFonts w:hint="eastAsia" w:ascii="黑体" w:hAnsi="黑体" w:eastAsia="黑体" w:cs="黑体"/>
          <w:b w:val="0"/>
          <w:bCs w:val="0"/>
          <w:color w:val="auto"/>
          <w:kern w:val="0"/>
          <w:sz w:val="24"/>
          <w:szCs w:val="21"/>
          <w:highlight w:val="none"/>
          <w:lang w:val="en-US" w:bidi="zh-CN"/>
        </w:rPr>
        <w:t xml:space="preserve"> 要求所投产品设计新颖，功能丰富，支持心脏检查、CW组件、造影组件等高端应用（以注册证信息为准），采用平板式外观，全触摸屏设计，具备语音控制机器功能。</w:t>
      </w:r>
    </w:p>
    <w:p w14:paraId="39B830FB">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3.  配备≥15寸高清晰、医用彩色液晶主机显示器，支持全屏触摸屏操控。</w:t>
      </w:r>
    </w:p>
    <w:p w14:paraId="5D25A27C">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right="0" w:rightChars="0" w:firstLine="240" w:firstLineChars="1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b w:val="0"/>
          <w:bCs w:val="0"/>
          <w:color w:val="auto"/>
          <w:kern w:val="0"/>
          <w:sz w:val="24"/>
          <w:szCs w:val="21"/>
          <w:highlight w:val="none"/>
          <w:lang w:val="en-US" w:eastAsia="zh-CN" w:bidi="zh-CN"/>
        </w:rPr>
        <w:t>4.</w:t>
      </w:r>
      <w:r>
        <w:rPr>
          <w:rFonts w:hint="eastAsia" w:ascii="黑体" w:hAnsi="黑体" w:eastAsia="黑体" w:cs="黑体"/>
          <w:b w:val="0"/>
          <w:bCs w:val="0"/>
          <w:color w:val="auto"/>
          <w:kern w:val="0"/>
          <w:sz w:val="24"/>
          <w:szCs w:val="21"/>
          <w:highlight w:val="none"/>
          <w:lang w:val="en-US" w:bidi="zh-CN"/>
        </w:rPr>
        <w:t xml:space="preserve"> 主机探头接口≥3个（提供主机探头接口图片证明）</w:t>
      </w:r>
    </w:p>
    <w:p w14:paraId="2EFCDA28">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5.</w:t>
      </w:r>
      <w:r>
        <w:rPr>
          <w:rFonts w:hint="eastAsia" w:ascii="黑体" w:hAnsi="黑体" w:eastAsia="黑体" w:cs="黑体"/>
          <w:b w:val="0"/>
          <w:bCs w:val="0"/>
          <w:color w:val="auto"/>
          <w:kern w:val="0"/>
          <w:sz w:val="24"/>
          <w:szCs w:val="21"/>
          <w:highlight w:val="none"/>
          <w:lang w:val="en-US" w:bidi="zh-CN"/>
        </w:rPr>
        <w:t xml:space="preserve"> 频谱多普勒：取样宽度及位置范围：0.5mm~20mm</w:t>
      </w:r>
    </w:p>
    <w:p w14:paraId="3EC3FA63">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6</w:t>
      </w:r>
      <w:r>
        <w:rPr>
          <w:rFonts w:hint="eastAsia" w:ascii="黑体" w:hAnsi="黑体" w:eastAsia="黑体" w:cs="黑体"/>
          <w:b w:val="0"/>
          <w:bCs w:val="0"/>
          <w:color w:val="auto"/>
          <w:kern w:val="0"/>
          <w:sz w:val="24"/>
          <w:szCs w:val="21"/>
          <w:highlight w:val="none"/>
          <w:lang w:val="en-US" w:bidi="zh-CN"/>
        </w:rPr>
        <w:t>.一键自动优化（包括应用于二维、彩色及频谱模式，彩色多普勒自动识别，包括ROI框位置、角度自动改变）。</w:t>
      </w:r>
    </w:p>
    <w:p w14:paraId="4752D32B">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7</w:t>
      </w:r>
      <w:r>
        <w:rPr>
          <w:rFonts w:hint="eastAsia" w:ascii="黑体" w:hAnsi="黑体" w:eastAsia="黑体" w:cs="黑体"/>
          <w:b w:val="0"/>
          <w:bCs w:val="0"/>
          <w:color w:val="auto"/>
          <w:kern w:val="0"/>
          <w:sz w:val="24"/>
          <w:szCs w:val="21"/>
          <w:highlight w:val="none"/>
          <w:lang w:val="en-US" w:bidi="zh-CN"/>
        </w:rPr>
        <w:t>.支持低机械指数造影，支持造影定量分析，并支持微血管造影成像。</w:t>
      </w:r>
    </w:p>
    <w:p w14:paraId="4FE133D7">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8.</w:t>
      </w:r>
      <w:r>
        <w:rPr>
          <w:rFonts w:hint="eastAsia" w:ascii="黑体" w:hAnsi="黑体" w:eastAsia="黑体" w:cs="黑体"/>
          <w:b w:val="0"/>
          <w:bCs w:val="0"/>
          <w:color w:val="auto"/>
          <w:kern w:val="0"/>
          <w:sz w:val="24"/>
          <w:szCs w:val="21"/>
          <w:highlight w:val="none"/>
          <w:lang w:val="en-US" w:bidi="zh-CN"/>
        </w:rPr>
        <w:t xml:space="preserve"> 解剖M型模式，要求M取样线≥3条，能360度任意旋转角度，同时要求支持实时扫描以及后处理离线分析过程中重构M型图像。</w:t>
      </w:r>
    </w:p>
    <w:p w14:paraId="6A1B4500">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9</w:t>
      </w:r>
      <w:r>
        <w:rPr>
          <w:rFonts w:hint="eastAsia" w:ascii="黑体" w:hAnsi="黑体" w:eastAsia="黑体" w:cs="黑体"/>
          <w:b w:val="0"/>
          <w:bCs w:val="0"/>
          <w:color w:val="auto"/>
          <w:kern w:val="0"/>
          <w:sz w:val="24"/>
          <w:szCs w:val="21"/>
          <w:highlight w:val="none"/>
          <w:lang w:val="en-US" w:bidi="zh-CN"/>
        </w:rPr>
        <w:t>. 支持组织多普勒成像，要求支持四种模式组织多普勒，TDI、TVI、TDI-PW、TDI-M</w:t>
      </w:r>
    </w:p>
    <w:p w14:paraId="525F7EBA">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10</w:t>
      </w:r>
      <w:r>
        <w:rPr>
          <w:rFonts w:hint="eastAsia" w:ascii="黑体" w:hAnsi="黑体" w:eastAsia="黑体" w:cs="黑体"/>
          <w:b w:val="0"/>
          <w:bCs w:val="0"/>
          <w:color w:val="auto"/>
          <w:kern w:val="0"/>
          <w:sz w:val="24"/>
          <w:szCs w:val="21"/>
          <w:highlight w:val="none"/>
          <w:lang w:val="en-US" w:bidi="zh-CN"/>
        </w:rPr>
        <w:t>. 全屏冻结倒计时功能，可在全屏冻结后，倒计时≥10s进行全屏擦拭</w:t>
      </w:r>
    </w:p>
    <w:p w14:paraId="135FC2D8">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11</w:t>
      </w:r>
      <w:r>
        <w:rPr>
          <w:rFonts w:hint="eastAsia" w:ascii="黑体" w:hAnsi="黑体" w:eastAsia="黑体" w:cs="黑体"/>
          <w:b w:val="0"/>
          <w:bCs w:val="0"/>
          <w:color w:val="auto"/>
          <w:kern w:val="0"/>
          <w:sz w:val="24"/>
          <w:szCs w:val="21"/>
          <w:highlight w:val="none"/>
          <w:lang w:val="en-US" w:bidi="zh-CN"/>
        </w:rPr>
        <w:t>. 智能宽景成像（要求支持线阵探头、相控阵及凸阵探头，具有实时宽景成像速度提示、有多种伪彩显示）</w:t>
      </w:r>
    </w:p>
    <w:p w14:paraId="27E08194">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12</w:t>
      </w:r>
      <w:r>
        <w:rPr>
          <w:rFonts w:hint="eastAsia" w:ascii="黑体" w:hAnsi="黑体" w:eastAsia="黑体" w:cs="黑体"/>
          <w:b w:val="0"/>
          <w:bCs w:val="0"/>
          <w:color w:val="auto"/>
          <w:kern w:val="0"/>
          <w:sz w:val="24"/>
          <w:szCs w:val="21"/>
          <w:highlight w:val="none"/>
          <w:lang w:val="en-US" w:bidi="zh-CN"/>
        </w:rPr>
        <w:t>. 穿刺针增强技术，通过超声声束偏转，提供针道显影，穿刺引导线可偏转角度≥90°（提供证明图片）</w:t>
      </w:r>
    </w:p>
    <w:p w14:paraId="7FAD1E2F">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w:t>
      </w:r>
      <w:r>
        <w:rPr>
          <w:rFonts w:hint="eastAsia" w:ascii="黑体" w:hAnsi="黑体" w:eastAsia="黑体" w:cs="黑体"/>
          <w:b w:val="0"/>
          <w:bCs w:val="0"/>
          <w:color w:val="auto"/>
          <w:kern w:val="0"/>
          <w:sz w:val="24"/>
          <w:szCs w:val="21"/>
          <w:highlight w:val="none"/>
          <w:lang w:val="en-US" w:bidi="zh-CN"/>
        </w:rPr>
        <w:t>3. 智能血流跟踪（自动随探头移动，取样框自动角度偏转、自动跟踪血流显示情况，无需手动调节）</w:t>
      </w:r>
    </w:p>
    <w:p w14:paraId="2B393853">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b w:val="0"/>
          <w:bCs w:val="0"/>
          <w:color w:val="auto"/>
          <w:kern w:val="0"/>
          <w:sz w:val="24"/>
          <w:szCs w:val="21"/>
          <w:highlight w:val="none"/>
          <w:lang w:val="en-US" w:eastAsia="zh-CN" w:bidi="zh-CN"/>
        </w:rPr>
        <w:t>14</w:t>
      </w:r>
      <w:r>
        <w:rPr>
          <w:rFonts w:hint="eastAsia" w:ascii="黑体" w:hAnsi="黑体" w:eastAsia="黑体" w:cs="黑体"/>
          <w:b w:val="0"/>
          <w:bCs w:val="0"/>
          <w:color w:val="auto"/>
          <w:kern w:val="0"/>
          <w:sz w:val="24"/>
          <w:szCs w:val="21"/>
          <w:highlight w:val="none"/>
          <w:lang w:val="en-US" w:bidi="zh-CN"/>
        </w:rPr>
        <w:t>.设备内置自助超声教学软件，包含解剖图谱，标准的超声图像，扫查位置参考图，以及扫查技巧图文解析，覆盖神经、腹部、甲状腺、乳腺、睾丸和妇产等应用，为用户提供在线指导。</w:t>
      </w:r>
    </w:p>
    <w:p w14:paraId="5F67A817">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15</w:t>
      </w:r>
      <w:r>
        <w:rPr>
          <w:rFonts w:hint="eastAsia" w:ascii="黑体" w:hAnsi="黑体" w:eastAsia="黑体" w:cs="黑体"/>
          <w:b w:val="0"/>
          <w:bCs w:val="0"/>
          <w:color w:val="auto"/>
          <w:kern w:val="0"/>
          <w:sz w:val="24"/>
          <w:szCs w:val="21"/>
          <w:highlight w:val="none"/>
          <w:lang w:val="en-US" w:bidi="zh-CN"/>
        </w:rPr>
        <w:t>.电池续航时间：≥1.5小时</w:t>
      </w:r>
    </w:p>
    <w:p w14:paraId="159AD561">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b w:val="0"/>
          <w:bCs w:val="0"/>
          <w:color w:val="auto"/>
          <w:kern w:val="0"/>
          <w:sz w:val="24"/>
          <w:szCs w:val="21"/>
          <w:highlight w:val="none"/>
          <w:lang w:val="en-US" w:eastAsia="zh-CN" w:bidi="zh-CN"/>
        </w:rPr>
        <w:t>16</w:t>
      </w:r>
      <w:r>
        <w:rPr>
          <w:rFonts w:hint="eastAsia" w:ascii="黑体" w:hAnsi="黑体" w:eastAsia="黑体" w:cs="黑体"/>
          <w:b w:val="0"/>
          <w:bCs w:val="0"/>
          <w:color w:val="auto"/>
          <w:kern w:val="0"/>
          <w:sz w:val="24"/>
          <w:szCs w:val="21"/>
          <w:highlight w:val="none"/>
          <w:lang w:val="en-US" w:bidi="zh-CN"/>
        </w:rPr>
        <w:t>.采用可拆卸设计，主机与台车可分离，主机可独立供电，重量小于6.2KG。</w:t>
      </w:r>
    </w:p>
    <w:p w14:paraId="2DD3E972">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17</w:t>
      </w:r>
      <w:r>
        <w:rPr>
          <w:rFonts w:hint="eastAsia" w:ascii="黑体" w:hAnsi="黑体" w:eastAsia="黑体" w:cs="黑体"/>
          <w:b w:val="0"/>
          <w:bCs w:val="0"/>
          <w:color w:val="auto"/>
          <w:kern w:val="0"/>
          <w:sz w:val="24"/>
          <w:szCs w:val="21"/>
          <w:highlight w:val="none"/>
          <w:lang w:val="en-US" w:bidi="zh-CN"/>
        </w:rPr>
        <w:t>. 图像管理与记录：内置一体化数字化超声工作站，数字化超声图像硬盘存储≥120GB SSD硬盘</w:t>
      </w:r>
    </w:p>
    <w:p w14:paraId="618C9D69">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eastAsia="zh-CN" w:bidi="zh-CN"/>
        </w:rPr>
      </w:pPr>
      <w:r>
        <w:rPr>
          <w:rFonts w:hint="eastAsia" w:ascii="黑体" w:hAnsi="黑体" w:eastAsia="黑体" w:cs="黑体"/>
          <w:b w:val="0"/>
          <w:bCs w:val="0"/>
          <w:color w:val="auto"/>
          <w:kern w:val="0"/>
          <w:sz w:val="24"/>
          <w:szCs w:val="21"/>
          <w:highlight w:val="none"/>
          <w:lang w:val="en-US" w:eastAsia="zh-CN" w:bidi="zh-CN"/>
        </w:rPr>
        <w:t>18</w:t>
      </w:r>
      <w:r>
        <w:rPr>
          <w:rFonts w:hint="eastAsia" w:ascii="黑体" w:hAnsi="黑体" w:eastAsia="黑体" w:cs="黑体"/>
          <w:b w:val="0"/>
          <w:bCs w:val="0"/>
          <w:color w:val="auto"/>
          <w:kern w:val="0"/>
          <w:sz w:val="24"/>
          <w:szCs w:val="21"/>
          <w:highlight w:val="none"/>
          <w:lang w:val="en-US" w:bidi="zh-CN"/>
        </w:rPr>
        <w:t>. 探头规格</w:t>
      </w:r>
      <w:r>
        <w:rPr>
          <w:rFonts w:hint="eastAsia" w:ascii="黑体" w:hAnsi="黑体" w:eastAsia="黑体" w:cs="黑体"/>
          <w:b w:val="0"/>
          <w:bCs w:val="0"/>
          <w:color w:val="auto"/>
          <w:kern w:val="0"/>
          <w:sz w:val="24"/>
          <w:szCs w:val="21"/>
          <w:highlight w:val="none"/>
          <w:lang w:val="en-US" w:eastAsia="zh-CN" w:bidi="zh-CN"/>
        </w:rPr>
        <w:t>及</w:t>
      </w:r>
      <w:r>
        <w:rPr>
          <w:rFonts w:hint="eastAsia" w:ascii="黑体" w:hAnsi="黑体" w:eastAsia="黑体" w:cs="黑体"/>
          <w:b w:val="0"/>
          <w:bCs w:val="0"/>
          <w:color w:val="auto"/>
          <w:kern w:val="0"/>
          <w:sz w:val="24"/>
          <w:szCs w:val="21"/>
          <w:highlight w:val="none"/>
          <w:lang w:val="en-US" w:bidi="zh-CN"/>
        </w:rPr>
        <w:t>扫描频率</w:t>
      </w:r>
    </w:p>
    <w:p w14:paraId="62324BBC">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18.1</w:t>
      </w:r>
      <w:r>
        <w:rPr>
          <w:rFonts w:hint="eastAsia" w:ascii="黑体" w:hAnsi="黑体" w:eastAsia="黑体" w:cs="黑体"/>
          <w:b w:val="0"/>
          <w:bCs w:val="0"/>
          <w:color w:val="auto"/>
          <w:kern w:val="0"/>
          <w:sz w:val="24"/>
          <w:szCs w:val="21"/>
          <w:highlight w:val="none"/>
          <w:lang w:val="en-US" w:bidi="zh-CN"/>
        </w:rPr>
        <w:t>电子凸阵：超声频率范围  1.6- 5.5 MHz</w:t>
      </w:r>
    </w:p>
    <w:p w14:paraId="5C14DCDA">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18.2</w:t>
      </w:r>
      <w:r>
        <w:rPr>
          <w:rFonts w:hint="eastAsia" w:ascii="黑体" w:hAnsi="黑体" w:eastAsia="黑体" w:cs="黑体"/>
          <w:b w:val="0"/>
          <w:bCs w:val="0"/>
          <w:color w:val="auto"/>
          <w:kern w:val="0"/>
          <w:sz w:val="24"/>
          <w:szCs w:val="21"/>
          <w:highlight w:val="none"/>
          <w:lang w:val="en-US" w:bidi="zh-CN"/>
        </w:rPr>
        <w:t>电子线阵：超声频率范围  5.0-13.0 MHz</w:t>
      </w:r>
    </w:p>
    <w:p w14:paraId="62C7C91E">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19</w:t>
      </w:r>
      <w:r>
        <w:rPr>
          <w:rFonts w:hint="eastAsia" w:ascii="黑体" w:hAnsi="黑体" w:eastAsia="黑体" w:cs="黑体"/>
          <w:b w:val="0"/>
          <w:bCs w:val="0"/>
          <w:color w:val="auto"/>
          <w:kern w:val="0"/>
          <w:sz w:val="24"/>
          <w:szCs w:val="21"/>
          <w:highlight w:val="none"/>
          <w:lang w:val="en-US" w:bidi="zh-CN"/>
        </w:rPr>
        <w:t>. 凸阵探头具有≥5种频率的变频范围，扫描角度≥89度</w:t>
      </w:r>
    </w:p>
    <w:p w14:paraId="5F1DDAB5">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20</w:t>
      </w:r>
      <w:r>
        <w:rPr>
          <w:rFonts w:hint="eastAsia" w:ascii="黑体" w:hAnsi="黑体" w:eastAsia="黑体" w:cs="黑体"/>
          <w:b w:val="0"/>
          <w:bCs w:val="0"/>
          <w:color w:val="auto"/>
          <w:kern w:val="0"/>
          <w:sz w:val="24"/>
          <w:szCs w:val="21"/>
          <w:highlight w:val="none"/>
          <w:lang w:val="en-US" w:bidi="zh-CN"/>
        </w:rPr>
        <w:t xml:space="preserve">. 线阵探头具有≥5种频率的变频范围，支持T型扩展显示。 </w:t>
      </w:r>
    </w:p>
    <w:p w14:paraId="370EF62E">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21</w:t>
      </w:r>
      <w:r>
        <w:rPr>
          <w:rFonts w:hint="eastAsia" w:ascii="黑体" w:hAnsi="黑体" w:eastAsia="黑体" w:cs="黑体"/>
          <w:b w:val="0"/>
          <w:bCs w:val="0"/>
          <w:color w:val="auto"/>
          <w:kern w:val="0"/>
          <w:sz w:val="24"/>
          <w:szCs w:val="21"/>
          <w:highlight w:val="none"/>
          <w:lang w:val="en-US" w:bidi="zh-CN"/>
        </w:rPr>
        <w:t>. B/D兼用: 凸阵:B/PW/Color</w:t>
      </w:r>
      <w:r>
        <w:rPr>
          <w:rFonts w:hint="eastAsia" w:ascii="黑体" w:hAnsi="黑体" w:eastAsia="黑体" w:cs="黑体"/>
          <w:b w:val="0"/>
          <w:bCs w:val="0"/>
          <w:color w:val="auto"/>
          <w:kern w:val="0"/>
          <w:sz w:val="24"/>
          <w:szCs w:val="21"/>
          <w:highlight w:val="none"/>
          <w:lang w:val="en-US" w:eastAsia="zh-CN" w:bidi="zh-CN"/>
        </w:rPr>
        <w:t xml:space="preserve">  </w:t>
      </w:r>
      <w:r>
        <w:rPr>
          <w:rFonts w:hint="eastAsia" w:ascii="黑体" w:hAnsi="黑体" w:eastAsia="黑体" w:cs="黑体"/>
          <w:b w:val="0"/>
          <w:bCs w:val="0"/>
          <w:color w:val="auto"/>
          <w:kern w:val="0"/>
          <w:sz w:val="24"/>
          <w:szCs w:val="21"/>
          <w:highlight w:val="none"/>
          <w:lang w:val="en-US" w:bidi="zh-CN"/>
        </w:rPr>
        <w:t>线阵:B/PW/ Color。</w:t>
      </w:r>
    </w:p>
    <w:p w14:paraId="5AFFE110">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22</w:t>
      </w:r>
      <w:r>
        <w:rPr>
          <w:rFonts w:hint="eastAsia" w:ascii="黑体" w:hAnsi="黑体" w:eastAsia="黑体" w:cs="黑体"/>
          <w:b w:val="0"/>
          <w:bCs w:val="0"/>
          <w:color w:val="auto"/>
          <w:kern w:val="0"/>
          <w:sz w:val="24"/>
          <w:szCs w:val="21"/>
          <w:highlight w:val="none"/>
          <w:lang w:val="en-US" w:bidi="zh-CN"/>
        </w:rPr>
        <w:t>.穿刺导向: 所有探头可配穿刺导向装置。</w:t>
      </w:r>
    </w:p>
    <w:p w14:paraId="29E45867">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23.</w:t>
      </w:r>
      <w:r>
        <w:rPr>
          <w:rFonts w:hint="eastAsia" w:ascii="黑体" w:hAnsi="黑体" w:eastAsia="黑体" w:cs="黑体"/>
          <w:b w:val="0"/>
          <w:bCs w:val="0"/>
          <w:color w:val="auto"/>
          <w:kern w:val="0"/>
          <w:sz w:val="24"/>
          <w:szCs w:val="21"/>
          <w:highlight w:val="none"/>
          <w:lang w:val="en-US" w:bidi="zh-CN"/>
        </w:rPr>
        <w:t>体位标记：≥120种，可以自定义注释。</w:t>
      </w:r>
    </w:p>
    <w:p w14:paraId="4D931B4B">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24</w:t>
      </w:r>
      <w:r>
        <w:rPr>
          <w:rFonts w:hint="eastAsia" w:ascii="黑体" w:hAnsi="黑体" w:eastAsia="黑体" w:cs="黑体"/>
          <w:b w:val="0"/>
          <w:bCs w:val="0"/>
          <w:color w:val="auto"/>
          <w:kern w:val="0"/>
          <w:sz w:val="24"/>
          <w:szCs w:val="21"/>
          <w:highlight w:val="none"/>
          <w:lang w:val="en-US" w:bidi="zh-CN"/>
        </w:rPr>
        <w:t>.常规测量：距离测量、椭圆及描迹测量面积周长、体积测量。</w:t>
      </w:r>
    </w:p>
    <w:p w14:paraId="31EBB947">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b w:val="0"/>
          <w:bCs w:val="0"/>
          <w:color w:val="auto"/>
          <w:kern w:val="0"/>
          <w:sz w:val="24"/>
          <w:szCs w:val="21"/>
          <w:highlight w:val="none"/>
          <w:lang w:val="en-US" w:eastAsia="zh-CN" w:bidi="zh-CN"/>
        </w:rPr>
        <w:t>2</w:t>
      </w:r>
      <w:r>
        <w:rPr>
          <w:rFonts w:hint="eastAsia" w:ascii="黑体" w:hAnsi="黑体" w:eastAsia="黑体" w:cs="黑体"/>
          <w:b w:val="0"/>
          <w:bCs w:val="0"/>
          <w:color w:val="auto"/>
          <w:kern w:val="0"/>
          <w:sz w:val="24"/>
          <w:szCs w:val="21"/>
          <w:highlight w:val="none"/>
          <w:lang w:val="en-US" w:bidi="zh-CN"/>
        </w:rPr>
        <w:t>5.智能彩色血流追踪技术，彩色血流测量过程中，彩色取样框能够随探头移动而移动，并自动寻找合适的取样范围。</w:t>
      </w:r>
    </w:p>
    <w:p w14:paraId="4BCE7526">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26</w:t>
      </w:r>
      <w:r>
        <w:rPr>
          <w:rFonts w:hint="eastAsia" w:ascii="黑体" w:hAnsi="黑体" w:eastAsia="黑体" w:cs="黑体"/>
          <w:b w:val="0"/>
          <w:bCs w:val="0"/>
          <w:color w:val="auto"/>
          <w:kern w:val="0"/>
          <w:sz w:val="24"/>
          <w:szCs w:val="21"/>
          <w:highlight w:val="none"/>
          <w:lang w:val="en-US" w:bidi="zh-CN"/>
        </w:rPr>
        <w:t>.多普勒测量及分析：自动或手动包络测量，自动计算测量参数。</w:t>
      </w:r>
    </w:p>
    <w:p w14:paraId="681715FB">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27</w:t>
      </w:r>
      <w:r>
        <w:rPr>
          <w:rFonts w:hint="eastAsia" w:ascii="黑体" w:hAnsi="黑体" w:eastAsia="黑体" w:cs="黑体"/>
          <w:b w:val="0"/>
          <w:bCs w:val="0"/>
          <w:color w:val="auto"/>
          <w:kern w:val="0"/>
          <w:sz w:val="24"/>
          <w:szCs w:val="21"/>
          <w:highlight w:val="none"/>
          <w:lang w:val="en-US" w:bidi="zh-CN"/>
        </w:rPr>
        <w:t>. 便携式彩色多普勒主机一台。</w:t>
      </w:r>
    </w:p>
    <w:p w14:paraId="68EFCF3E">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28</w:t>
      </w:r>
      <w:r>
        <w:rPr>
          <w:rFonts w:hint="eastAsia" w:ascii="黑体" w:hAnsi="黑体" w:eastAsia="黑体" w:cs="黑体"/>
          <w:b w:val="0"/>
          <w:bCs w:val="0"/>
          <w:color w:val="auto"/>
          <w:kern w:val="0"/>
          <w:sz w:val="24"/>
          <w:szCs w:val="21"/>
          <w:highlight w:val="none"/>
          <w:lang w:val="en-US" w:bidi="zh-CN"/>
        </w:rPr>
        <w:t>.探头两把：浅表探头一把、凸阵探头一把。</w:t>
      </w:r>
    </w:p>
    <w:p w14:paraId="75FCFD1F">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1"/>
          <w:highlight w:val="none"/>
          <w:lang w:val="en-US" w:bidi="zh-CN"/>
        </w:rPr>
      </w:pPr>
      <w:r>
        <w:rPr>
          <w:rFonts w:hint="eastAsia" w:ascii="黑体" w:hAnsi="黑体" w:eastAsia="黑体" w:cs="黑体"/>
          <w:b w:val="0"/>
          <w:bCs w:val="0"/>
          <w:color w:val="auto"/>
          <w:kern w:val="0"/>
          <w:sz w:val="24"/>
          <w:szCs w:val="21"/>
          <w:highlight w:val="none"/>
          <w:lang w:val="en-US" w:eastAsia="zh-CN" w:bidi="zh-CN"/>
        </w:rPr>
        <w:t>29</w:t>
      </w:r>
      <w:r>
        <w:rPr>
          <w:rFonts w:hint="eastAsia" w:ascii="黑体" w:hAnsi="黑体" w:eastAsia="黑体" w:cs="黑体"/>
          <w:b w:val="0"/>
          <w:bCs w:val="0"/>
          <w:color w:val="auto"/>
          <w:kern w:val="0"/>
          <w:sz w:val="24"/>
          <w:szCs w:val="21"/>
          <w:highlight w:val="none"/>
          <w:lang w:val="en-US" w:bidi="zh-CN"/>
        </w:rPr>
        <w:t>.标配多功能台车，具备储物功能。</w:t>
      </w:r>
    </w:p>
    <w:p w14:paraId="3EF32084">
      <w:pPr>
        <w:spacing w:line="360" w:lineRule="auto"/>
        <w:jc w:val="both"/>
        <w:rPr>
          <w:rFonts w:hint="eastAsia" w:ascii="黑体" w:hAnsi="黑体" w:eastAsia="黑体" w:cs="黑体"/>
          <w:sz w:val="24"/>
          <w:szCs w:val="24"/>
          <w:lang w:val="en-US" w:eastAsia="zh-CN"/>
        </w:rPr>
      </w:pPr>
      <w:r>
        <w:rPr>
          <w:rFonts w:hint="eastAsia" w:ascii="黑体" w:hAnsi="黑体" w:eastAsia="黑体" w:cs="黑体"/>
          <w:b/>
          <w:bCs/>
          <w:color w:val="auto"/>
          <w:kern w:val="0"/>
          <w:sz w:val="24"/>
          <w:szCs w:val="24"/>
          <w:highlight w:val="none"/>
          <w:lang w:val="en-US" w:bidi="zh-CN"/>
        </w:rPr>
        <w:t>（二）</w:t>
      </w:r>
      <w:r>
        <w:rPr>
          <w:rFonts w:hint="eastAsia" w:ascii="黑体" w:hAnsi="黑体" w:eastAsia="黑体" w:cs="黑体"/>
          <w:b/>
          <w:sz w:val="24"/>
          <w:szCs w:val="24"/>
        </w:rPr>
        <w:t>全自动五分类血液细胞分析仪</w:t>
      </w:r>
      <w:r>
        <w:rPr>
          <w:rFonts w:hint="eastAsia" w:ascii="黑体" w:hAnsi="黑体" w:eastAsia="黑体" w:cs="黑体"/>
          <w:b/>
          <w:sz w:val="24"/>
          <w:szCs w:val="24"/>
          <w:lang w:val="en-US" w:eastAsia="zh-CN"/>
        </w:rPr>
        <w:t>参数要求：</w:t>
      </w:r>
    </w:p>
    <w:p w14:paraId="3F0614DA">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sz w:val="24"/>
          <w:szCs w:val="24"/>
        </w:rPr>
        <w:t>检测原理：</w:t>
      </w:r>
      <w:r>
        <w:rPr>
          <w:rFonts w:hint="eastAsia" w:ascii="黑体" w:hAnsi="黑体" w:eastAsia="黑体" w:cs="黑体"/>
          <w:color w:val="000000"/>
          <w:sz w:val="24"/>
          <w:szCs w:val="24"/>
        </w:rPr>
        <w:t>采用激光散射法对白细胞进行准确的五分类检测，</w:t>
      </w:r>
      <w:r>
        <w:rPr>
          <w:rFonts w:hint="eastAsia" w:ascii="黑体" w:hAnsi="黑体" w:eastAsia="黑体" w:cs="黑体"/>
          <w:sz w:val="24"/>
          <w:szCs w:val="24"/>
        </w:rPr>
        <w:t>采用免疫比浊法进行C-反应蛋白（CRP）测定</w:t>
      </w:r>
      <w:r>
        <w:rPr>
          <w:rFonts w:hint="eastAsia" w:ascii="黑体" w:hAnsi="黑体" w:eastAsia="黑体" w:cs="黑体"/>
          <w:sz w:val="24"/>
          <w:szCs w:val="24"/>
          <w:lang w:eastAsia="zh-CN"/>
        </w:rPr>
        <w:t>。</w:t>
      </w:r>
    </w:p>
    <w:p w14:paraId="23E0EC1B">
      <w:pPr>
        <w:pStyle w:val="75"/>
        <w:numPr>
          <w:ilvl w:val="0"/>
          <w:numId w:val="16"/>
        </w:numPr>
        <w:spacing w:line="360" w:lineRule="auto"/>
        <w:ind w:firstLineChars="0"/>
        <w:rPr>
          <w:rFonts w:hint="eastAsia" w:ascii="黑体" w:hAnsi="黑体" w:eastAsia="黑体" w:cs="黑体"/>
          <w:color w:val="000000"/>
          <w:sz w:val="24"/>
          <w:szCs w:val="24"/>
        </w:rPr>
      </w:pPr>
      <w:r>
        <w:rPr>
          <w:rFonts w:hint="eastAsia" w:ascii="黑体" w:hAnsi="黑体" w:eastAsia="黑体" w:cs="黑体"/>
          <w:sz w:val="24"/>
          <w:szCs w:val="24"/>
        </w:rPr>
        <w:t>分类通道：具有独立的嗜碱性粒细胞通道</w:t>
      </w:r>
      <w:r>
        <w:rPr>
          <w:rFonts w:hint="eastAsia" w:ascii="黑体" w:hAnsi="黑体" w:eastAsia="黑体" w:cs="黑体"/>
          <w:sz w:val="24"/>
          <w:szCs w:val="24"/>
          <w:lang w:eastAsia="zh-CN"/>
        </w:rPr>
        <w:t>。</w:t>
      </w:r>
    </w:p>
    <w:p w14:paraId="26962D9E">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检测参数：≥2</w:t>
      </w:r>
      <w:r>
        <w:rPr>
          <w:rFonts w:hint="eastAsia" w:ascii="黑体" w:hAnsi="黑体" w:eastAsia="黑体" w:cs="黑体"/>
          <w:sz w:val="24"/>
          <w:szCs w:val="24"/>
          <w:lang w:val="en-US" w:eastAsia="zh-CN"/>
        </w:rPr>
        <w:t>4</w:t>
      </w:r>
      <w:r>
        <w:rPr>
          <w:rFonts w:hint="eastAsia" w:ascii="黑体" w:hAnsi="黑体" w:eastAsia="黑体" w:cs="黑体"/>
          <w:sz w:val="24"/>
          <w:szCs w:val="24"/>
        </w:rPr>
        <w:t>项可报告参数（不含散点图和直方图）</w:t>
      </w:r>
      <w:r>
        <w:rPr>
          <w:rFonts w:hint="eastAsia" w:ascii="黑体" w:hAnsi="黑体" w:eastAsia="黑体" w:cs="黑体"/>
          <w:sz w:val="24"/>
          <w:szCs w:val="24"/>
          <w:lang w:eastAsia="zh-CN"/>
        </w:rPr>
        <w:t>。</w:t>
      </w:r>
    </w:p>
    <w:p w14:paraId="3B130716">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研究参数：≥6项，具有异常淋巴细胞、有核红细胞和原始细胞报警信息</w:t>
      </w:r>
      <w:r>
        <w:rPr>
          <w:rFonts w:hint="eastAsia" w:ascii="黑体" w:hAnsi="黑体" w:eastAsia="黑体" w:cs="黑体"/>
          <w:sz w:val="24"/>
          <w:szCs w:val="24"/>
          <w:lang w:eastAsia="zh-CN"/>
        </w:rPr>
        <w:t>。</w:t>
      </w:r>
    </w:p>
    <w:p w14:paraId="7C893DD1">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进样方式：</w:t>
      </w:r>
      <w:r>
        <w:rPr>
          <w:rFonts w:hint="eastAsia" w:ascii="黑体" w:hAnsi="黑体" w:eastAsia="黑体" w:cs="黑体"/>
          <w:sz w:val="24"/>
          <w:szCs w:val="24"/>
          <w:lang w:val="en-US" w:eastAsia="zh-CN"/>
        </w:rPr>
        <w:t>支持</w:t>
      </w:r>
      <w:r>
        <w:rPr>
          <w:rFonts w:hint="eastAsia" w:ascii="黑体" w:hAnsi="黑体" w:eastAsia="黑体" w:cs="黑体"/>
          <w:sz w:val="24"/>
          <w:szCs w:val="24"/>
        </w:rPr>
        <w:t>全自动进样，封闭进样</w:t>
      </w:r>
      <w:r>
        <w:rPr>
          <w:rFonts w:hint="eastAsia" w:ascii="黑体" w:hAnsi="黑体" w:eastAsia="黑体" w:cs="黑体"/>
          <w:sz w:val="24"/>
          <w:szCs w:val="24"/>
          <w:lang w:eastAsia="zh-CN"/>
        </w:rPr>
        <w:t>。</w:t>
      </w:r>
    </w:p>
    <w:p w14:paraId="52FFD035">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sz w:val="24"/>
          <w:szCs w:val="24"/>
        </w:rPr>
        <w:t>检测模式：</w:t>
      </w:r>
      <w:r>
        <w:rPr>
          <w:rFonts w:hint="eastAsia" w:ascii="黑体" w:hAnsi="黑体" w:eastAsia="黑体" w:cs="黑体"/>
          <w:sz w:val="24"/>
          <w:szCs w:val="24"/>
          <w:lang w:val="en-US" w:eastAsia="zh-CN"/>
        </w:rPr>
        <w:t>须</w:t>
      </w:r>
      <w:r>
        <w:rPr>
          <w:rFonts w:hint="eastAsia" w:ascii="黑体" w:hAnsi="黑体" w:eastAsia="黑体" w:cs="黑体"/>
          <w:sz w:val="24"/>
          <w:szCs w:val="24"/>
        </w:rPr>
        <w:t>具有独立CRP、五分类+CRP等3种以上全血检测模式</w:t>
      </w:r>
      <w:r>
        <w:rPr>
          <w:rFonts w:hint="eastAsia" w:ascii="黑体" w:hAnsi="黑体" w:eastAsia="黑体" w:cs="黑体"/>
          <w:sz w:val="24"/>
          <w:szCs w:val="24"/>
          <w:lang w:eastAsia="zh-CN"/>
        </w:rPr>
        <w:t>。</w:t>
      </w:r>
    </w:p>
    <w:p w14:paraId="56F748B7">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样本添加：</w:t>
      </w:r>
      <w:r>
        <w:rPr>
          <w:rFonts w:hint="eastAsia" w:ascii="黑体" w:hAnsi="黑体" w:eastAsia="黑体" w:cs="黑体"/>
          <w:sz w:val="24"/>
          <w:szCs w:val="24"/>
          <w:lang w:val="en-US" w:eastAsia="zh-CN"/>
        </w:rPr>
        <w:t>支持</w:t>
      </w:r>
      <w:r>
        <w:rPr>
          <w:rFonts w:hint="eastAsia" w:ascii="黑体" w:hAnsi="黑体" w:eastAsia="黑体" w:cs="黑体"/>
          <w:sz w:val="24"/>
          <w:szCs w:val="24"/>
        </w:rPr>
        <w:t>随时添加样本</w:t>
      </w:r>
      <w:r>
        <w:rPr>
          <w:rFonts w:hint="eastAsia" w:ascii="黑体" w:hAnsi="黑体" w:eastAsia="黑体" w:cs="黑体"/>
          <w:sz w:val="24"/>
          <w:szCs w:val="24"/>
          <w:lang w:eastAsia="zh-CN"/>
        </w:rPr>
        <w:t>。</w:t>
      </w:r>
    </w:p>
    <w:p w14:paraId="2741EE01">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进样器容量：≥40个</w:t>
      </w:r>
      <w:r>
        <w:rPr>
          <w:rFonts w:hint="eastAsia" w:ascii="黑体" w:hAnsi="黑体" w:eastAsia="黑体" w:cs="黑体"/>
          <w:sz w:val="24"/>
          <w:szCs w:val="24"/>
          <w:lang w:eastAsia="zh-CN"/>
        </w:rPr>
        <w:t>。</w:t>
      </w:r>
    </w:p>
    <w:p w14:paraId="34EA80D9">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进样模式：具有独立的静脉全血、末梢全血、预稀释血检测模式</w:t>
      </w:r>
      <w:r>
        <w:rPr>
          <w:rFonts w:hint="eastAsia" w:ascii="黑体" w:hAnsi="黑体" w:eastAsia="黑体" w:cs="黑体"/>
          <w:sz w:val="24"/>
          <w:szCs w:val="24"/>
          <w:lang w:eastAsia="zh-CN"/>
        </w:rPr>
        <w:t>。</w:t>
      </w:r>
    </w:p>
    <w:p w14:paraId="656BD8BF">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sz w:val="24"/>
          <w:szCs w:val="24"/>
        </w:rPr>
        <w:t>样本用量：五分类+CRP模式≤40μl，CRP模式≤20μl</w:t>
      </w:r>
      <w:r>
        <w:rPr>
          <w:rFonts w:hint="eastAsia" w:ascii="黑体" w:hAnsi="黑体" w:eastAsia="黑体" w:cs="黑体"/>
          <w:sz w:val="24"/>
          <w:szCs w:val="24"/>
          <w:lang w:eastAsia="zh-CN"/>
        </w:rPr>
        <w:t>。</w:t>
      </w:r>
    </w:p>
    <w:p w14:paraId="4093F1D0">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检测速度：五分类+CRP模式≥50个样本/小时</w:t>
      </w:r>
      <w:r>
        <w:rPr>
          <w:rFonts w:hint="eastAsia" w:ascii="黑体" w:hAnsi="黑体" w:eastAsia="黑体" w:cs="黑体"/>
          <w:sz w:val="24"/>
          <w:szCs w:val="24"/>
          <w:lang w:eastAsia="zh-CN"/>
        </w:rPr>
        <w:t>。</w:t>
      </w:r>
    </w:p>
    <w:p w14:paraId="44ECD2E9">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预稀释模式：自动定量打出稀释液，具备五分类+CRP功能</w:t>
      </w:r>
      <w:r>
        <w:rPr>
          <w:rFonts w:hint="eastAsia" w:ascii="黑体" w:hAnsi="黑体" w:eastAsia="黑体" w:cs="黑体"/>
          <w:sz w:val="24"/>
          <w:szCs w:val="24"/>
          <w:lang w:eastAsia="zh-CN"/>
        </w:rPr>
        <w:t>。</w:t>
      </w:r>
    </w:p>
    <w:p w14:paraId="4EF0A932">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WBC线性范围：0~400×10</w:t>
      </w:r>
      <w:r>
        <w:rPr>
          <w:rFonts w:hint="eastAsia" w:ascii="黑体" w:hAnsi="黑体" w:eastAsia="黑体" w:cs="黑体"/>
          <w:sz w:val="24"/>
          <w:szCs w:val="24"/>
          <w:vertAlign w:val="superscript"/>
        </w:rPr>
        <w:t>9</w:t>
      </w:r>
      <w:r>
        <w:rPr>
          <w:rFonts w:hint="eastAsia" w:ascii="黑体" w:hAnsi="黑体" w:eastAsia="黑体" w:cs="黑体"/>
          <w:sz w:val="24"/>
          <w:szCs w:val="24"/>
        </w:rPr>
        <w:t>/L</w:t>
      </w:r>
      <w:r>
        <w:rPr>
          <w:rFonts w:hint="eastAsia" w:ascii="黑体" w:hAnsi="黑体" w:eastAsia="黑体" w:cs="黑体"/>
          <w:sz w:val="24"/>
          <w:szCs w:val="24"/>
          <w:lang w:eastAsia="zh-CN"/>
        </w:rPr>
        <w:t>。</w:t>
      </w:r>
    </w:p>
    <w:p w14:paraId="1A295398">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b w:val="0"/>
          <w:bCs w:val="0"/>
          <w:color w:val="auto"/>
          <w:kern w:val="0"/>
          <w:sz w:val="24"/>
          <w:szCs w:val="21"/>
          <w:highlight w:val="none"/>
          <w:lang w:val="en-US" w:bidi="zh-CN"/>
        </w:rPr>
        <w:t>★</w:t>
      </w:r>
      <w:r>
        <w:rPr>
          <w:rFonts w:hint="eastAsia" w:ascii="黑体" w:hAnsi="黑体" w:eastAsia="黑体" w:cs="黑体"/>
          <w:sz w:val="24"/>
          <w:szCs w:val="24"/>
        </w:rPr>
        <w:t>CRP线性范围：0.3~300mg/L</w:t>
      </w:r>
      <w:r>
        <w:rPr>
          <w:rFonts w:hint="eastAsia" w:ascii="黑体" w:hAnsi="黑体" w:eastAsia="黑体" w:cs="黑体"/>
          <w:sz w:val="24"/>
          <w:szCs w:val="24"/>
          <w:lang w:eastAsia="zh-CN"/>
        </w:rPr>
        <w:t>。</w:t>
      </w:r>
    </w:p>
    <w:p w14:paraId="2FCA6FDA">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CRP携带污染：≤1.0%</w:t>
      </w:r>
      <w:r>
        <w:rPr>
          <w:rFonts w:hint="eastAsia" w:ascii="黑体" w:hAnsi="黑体" w:eastAsia="黑体" w:cs="黑体"/>
          <w:sz w:val="24"/>
          <w:szCs w:val="24"/>
          <w:lang w:eastAsia="zh-CN"/>
        </w:rPr>
        <w:t>。</w:t>
      </w:r>
    </w:p>
    <w:p w14:paraId="6587642E">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操作系统：</w:t>
      </w:r>
      <w:r>
        <w:rPr>
          <w:rFonts w:hint="eastAsia" w:ascii="黑体" w:hAnsi="黑体" w:eastAsia="黑体" w:cs="黑体"/>
          <w:sz w:val="24"/>
          <w:szCs w:val="24"/>
          <w:lang w:val="en-US" w:eastAsia="zh-CN"/>
        </w:rPr>
        <w:t>支持</w:t>
      </w:r>
      <w:r>
        <w:rPr>
          <w:rFonts w:hint="eastAsia" w:ascii="黑体" w:hAnsi="黑体" w:eastAsia="黑体" w:cs="黑体"/>
          <w:sz w:val="24"/>
          <w:szCs w:val="24"/>
        </w:rPr>
        <w:t>全中文操作分析报告软件</w:t>
      </w:r>
      <w:r>
        <w:rPr>
          <w:rFonts w:hint="eastAsia" w:ascii="黑体" w:hAnsi="黑体" w:eastAsia="黑体" w:cs="黑体"/>
          <w:sz w:val="24"/>
          <w:szCs w:val="24"/>
          <w:lang w:eastAsia="zh-CN"/>
        </w:rPr>
        <w:t>。</w:t>
      </w:r>
    </w:p>
    <w:p w14:paraId="14F5EDEF">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排堵方式：正反冲洗，高压灼烧</w:t>
      </w:r>
      <w:r>
        <w:rPr>
          <w:rFonts w:hint="eastAsia" w:ascii="黑体" w:hAnsi="黑体" w:eastAsia="黑体" w:cs="黑体"/>
          <w:sz w:val="24"/>
          <w:szCs w:val="24"/>
          <w:lang w:eastAsia="zh-CN"/>
        </w:rPr>
        <w:t>。</w:t>
      </w:r>
    </w:p>
    <w:p w14:paraId="1F385A57">
      <w:pPr>
        <w:pStyle w:val="75"/>
        <w:numPr>
          <w:ilvl w:val="0"/>
          <w:numId w:val="16"/>
        </w:numPr>
        <w:spacing w:line="360" w:lineRule="auto"/>
        <w:ind w:firstLineChars="0"/>
        <w:rPr>
          <w:rFonts w:hint="eastAsia" w:ascii="黑体" w:hAnsi="黑体" w:eastAsia="黑体" w:cs="黑体"/>
          <w:sz w:val="24"/>
          <w:szCs w:val="24"/>
        </w:rPr>
      </w:pPr>
      <w:r>
        <w:rPr>
          <w:rFonts w:hint="eastAsia" w:ascii="黑体" w:hAnsi="黑体" w:eastAsia="黑体" w:cs="黑体"/>
          <w:sz w:val="24"/>
          <w:szCs w:val="24"/>
        </w:rPr>
        <w:t>具有原厂配套的试剂、校准品、质控品</w:t>
      </w:r>
      <w:r>
        <w:rPr>
          <w:rFonts w:hint="eastAsia" w:ascii="黑体" w:hAnsi="黑体" w:eastAsia="黑体" w:cs="黑体"/>
          <w:sz w:val="24"/>
          <w:szCs w:val="24"/>
          <w:lang w:eastAsia="zh-CN"/>
        </w:rPr>
        <w:t>。</w:t>
      </w:r>
    </w:p>
    <w:p w14:paraId="6253EE3D">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right="0" w:rightChars="0"/>
        <w:jc w:val="left"/>
        <w:textAlignment w:val="auto"/>
        <w:rPr>
          <w:rFonts w:hint="eastAsia" w:ascii="黑体" w:hAnsi="黑体" w:eastAsia="黑体" w:cs="黑体"/>
          <w:b/>
          <w:bCs/>
          <w:color w:val="auto"/>
          <w:kern w:val="0"/>
          <w:sz w:val="24"/>
          <w:szCs w:val="24"/>
          <w:highlight w:val="none"/>
          <w:lang w:val="en-US" w:bidi="zh-CN"/>
        </w:rPr>
      </w:pPr>
    </w:p>
    <w:p w14:paraId="74F368B9">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4"/>
          <w:highlight w:val="none"/>
          <w:lang w:val="en-US" w:bidi="zh-CN"/>
        </w:rPr>
      </w:pPr>
    </w:p>
    <w:p w14:paraId="6DA62019">
      <w:pPr>
        <w:keepNext w:val="0"/>
        <w:keepLines w:val="0"/>
        <w:pageBreakBefore w:val="0"/>
        <w:numPr>
          <w:ilvl w:val="0"/>
          <w:numId w:val="0"/>
        </w:numPr>
        <w:kinsoku/>
        <w:wordWrap/>
        <w:overflowPunct w:val="0"/>
        <w:topLinePunct w:val="0"/>
        <w:autoSpaceDE/>
        <w:autoSpaceDN/>
        <w:bidi w:val="0"/>
        <w:adjustRightInd/>
        <w:snapToGrid/>
        <w:spacing w:before="0" w:after="0" w:line="360" w:lineRule="auto"/>
        <w:ind w:leftChars="0" w:right="0" w:rightChars="0" w:firstLine="480" w:firstLineChars="200"/>
        <w:jc w:val="left"/>
        <w:textAlignment w:val="auto"/>
        <w:rPr>
          <w:rFonts w:hint="eastAsia" w:ascii="黑体" w:hAnsi="黑体" w:eastAsia="黑体" w:cs="黑体"/>
          <w:b w:val="0"/>
          <w:bCs w:val="0"/>
          <w:color w:val="auto"/>
          <w:kern w:val="0"/>
          <w:sz w:val="24"/>
          <w:szCs w:val="24"/>
          <w:highlight w:val="none"/>
          <w:lang w:val="en-US" w:eastAsia="zh-CN" w:bidi="zh-CN"/>
        </w:rPr>
      </w:pPr>
    </w:p>
    <w:p w14:paraId="3855BBE4">
      <w:pPr>
        <w:keepNext w:val="0"/>
        <w:keepLines w:val="0"/>
        <w:pageBreakBefore w:val="0"/>
        <w:widowControl/>
        <w:kinsoku/>
        <w:wordWrap/>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kern w:val="2"/>
          <w:sz w:val="24"/>
          <w:szCs w:val="24"/>
          <w:highlight w:val="none"/>
        </w:rPr>
      </w:pPr>
    </w:p>
    <w:p w14:paraId="38C31A57">
      <w:pPr>
        <w:pStyle w:val="46"/>
        <w:keepNext w:val="0"/>
        <w:keepLines w:val="0"/>
        <w:pageBreakBefore w:val="0"/>
        <w:kinsoku/>
        <w:wordWrap/>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sectPr>
          <w:headerReference r:id="rId9" w:type="default"/>
          <w:footerReference r:id="rId10" w:type="default"/>
          <w:pgSz w:w="11906" w:h="16838"/>
          <w:pgMar w:top="1418" w:right="1418" w:bottom="1418" w:left="1418" w:header="851" w:footer="992" w:gutter="0"/>
          <w:pgNumType w:fmt="decimal"/>
          <w:cols w:space="720" w:num="1"/>
          <w:docGrid w:linePitch="312" w:charSpace="0"/>
        </w:sectPr>
      </w:pPr>
    </w:p>
    <w:p w14:paraId="0D162DD8">
      <w:pPr>
        <w:pStyle w:val="46"/>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磋商响应文件格式</w:t>
      </w:r>
      <w:bookmarkEnd w:id="409"/>
      <w:bookmarkEnd w:id="410"/>
      <w:bookmarkEnd w:id="411"/>
      <w:bookmarkEnd w:id="412"/>
      <w:bookmarkEnd w:id="413"/>
    </w:p>
    <w:bookmarkEnd w:id="414"/>
    <w:p w14:paraId="652D3B88">
      <w:pPr>
        <w:autoSpaceDE w:val="0"/>
        <w:autoSpaceDN w:val="0"/>
        <w:adjustRightInd w:val="0"/>
        <w:snapToGrid w:val="0"/>
        <w:spacing w:line="360" w:lineRule="auto"/>
        <w:jc w:val="left"/>
        <w:rPr>
          <w:rFonts w:hint="eastAsia" w:ascii="黑体" w:hAnsi="黑体" w:eastAsia="黑体" w:cs="黑体"/>
          <w:color w:val="auto"/>
          <w:sz w:val="24"/>
          <w:szCs w:val="24"/>
          <w:highlight w:val="none"/>
        </w:rPr>
      </w:pPr>
    </w:p>
    <w:p w14:paraId="11FF1485">
      <w:pPr>
        <w:pStyle w:val="44"/>
        <w:wordWrap w:val="0"/>
        <w:spacing w:before="0" w:beforeAutospacing="0" w:after="0" w:afterAutospacing="0" w:line="390" w:lineRule="atLeast"/>
        <w:jc w:val="center"/>
        <w:rPr>
          <w:rFonts w:hint="eastAsia" w:ascii="黑体" w:hAnsi="黑体" w:eastAsia="黑体" w:cs="黑体"/>
          <w:b/>
          <w:bCs/>
          <w:color w:val="auto"/>
          <w:sz w:val="44"/>
          <w:szCs w:val="44"/>
          <w:highlight w:val="none"/>
        </w:rPr>
      </w:pPr>
    </w:p>
    <w:p w14:paraId="7EA41726">
      <w:pPr>
        <w:pStyle w:val="44"/>
        <w:wordWrap w:val="0"/>
        <w:spacing w:before="0" w:beforeAutospacing="0" w:after="0" w:afterAutospacing="0" w:line="390" w:lineRule="atLeast"/>
        <w:jc w:val="center"/>
        <w:rPr>
          <w:rFonts w:hint="eastAsia" w:ascii="黑体" w:hAnsi="黑体" w:eastAsia="黑体" w:cs="黑体"/>
          <w:b/>
          <w:bCs/>
          <w:color w:val="auto"/>
          <w:sz w:val="44"/>
          <w:szCs w:val="44"/>
          <w:highlight w:val="none"/>
        </w:rPr>
      </w:pPr>
    </w:p>
    <w:p w14:paraId="52510C43">
      <w:pPr>
        <w:pStyle w:val="44"/>
        <w:wordWrap w:val="0"/>
        <w:spacing w:before="0" w:beforeAutospacing="0" w:after="0" w:afterAutospacing="0" w:line="390" w:lineRule="atLeast"/>
        <w:jc w:val="center"/>
        <w:rPr>
          <w:rFonts w:hint="eastAsia" w:ascii="黑体" w:hAnsi="黑体" w:eastAsia="黑体" w:cs="黑体"/>
          <w:b/>
          <w:color w:val="auto"/>
          <w:sz w:val="56"/>
          <w:szCs w:val="56"/>
          <w:highlight w:val="none"/>
          <w:shd w:val="clear" w:color="auto" w:fill="FFFFFF"/>
        </w:rPr>
      </w:pPr>
      <w:r>
        <w:rPr>
          <w:rFonts w:hint="eastAsia" w:ascii="黑体" w:hAnsi="黑体" w:eastAsia="黑体" w:cs="黑体"/>
          <w:b/>
          <w:bCs/>
          <w:color w:val="auto"/>
          <w:sz w:val="40"/>
          <w:szCs w:val="40"/>
          <w:highlight w:val="none"/>
          <w:lang w:eastAsia="zh-CN"/>
        </w:rPr>
        <w:t>城关镇中心卫生院全自动五分类血液分析仪和多普勒肌骨超声设备购买项目</w:t>
      </w:r>
    </w:p>
    <w:p w14:paraId="3519E5EA">
      <w:pPr>
        <w:pStyle w:val="44"/>
        <w:wordWrap w:val="0"/>
        <w:spacing w:before="0" w:beforeAutospacing="0" w:after="0" w:afterAutospacing="0" w:line="390" w:lineRule="atLeast"/>
        <w:jc w:val="center"/>
        <w:rPr>
          <w:rFonts w:hint="eastAsia" w:ascii="黑体" w:hAnsi="黑体" w:eastAsia="黑体" w:cs="黑体"/>
          <w:b/>
          <w:color w:val="auto"/>
          <w:sz w:val="56"/>
          <w:szCs w:val="56"/>
          <w:highlight w:val="none"/>
        </w:rPr>
      </w:pPr>
      <w:r>
        <w:rPr>
          <w:rFonts w:hint="eastAsia" w:ascii="黑体" w:hAnsi="黑体" w:eastAsia="黑体" w:cs="黑体"/>
          <w:b/>
          <w:color w:val="auto"/>
          <w:sz w:val="56"/>
          <w:szCs w:val="56"/>
          <w:highlight w:val="none"/>
          <w:shd w:val="clear" w:color="auto" w:fill="FFFFFF"/>
        </w:rPr>
        <w:t xml:space="preserve">响 应 文 件 </w:t>
      </w:r>
    </w:p>
    <w:p w14:paraId="38C81CAB">
      <w:pPr>
        <w:pStyle w:val="44"/>
        <w:wordWrap w:val="0"/>
        <w:spacing w:before="0" w:beforeAutospacing="0" w:after="0" w:afterAutospacing="0" w:line="390" w:lineRule="atLeast"/>
        <w:rPr>
          <w:rFonts w:hint="eastAsia" w:ascii="黑体" w:hAnsi="黑体" w:eastAsia="黑体" w:cs="黑体"/>
          <w:color w:val="auto"/>
          <w:sz w:val="22"/>
          <w:szCs w:val="22"/>
          <w:highlight w:val="none"/>
        </w:rPr>
      </w:pPr>
      <w:r>
        <w:rPr>
          <w:rFonts w:hint="eastAsia" w:ascii="黑体" w:hAnsi="黑体" w:eastAsia="黑体" w:cs="黑体"/>
          <w:color w:val="auto"/>
          <w:sz w:val="18"/>
          <w:szCs w:val="18"/>
          <w:highlight w:val="none"/>
          <w:shd w:val="clear" w:color="auto" w:fill="FFFFFF"/>
        </w:rPr>
        <w:t> </w:t>
      </w:r>
    </w:p>
    <w:p w14:paraId="46A858B8">
      <w:pPr>
        <w:pStyle w:val="44"/>
        <w:wordWrap w:val="0"/>
        <w:spacing w:before="0" w:beforeAutospacing="0" w:after="0" w:afterAutospacing="0" w:line="390" w:lineRule="atLeas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shd w:val="clear" w:color="auto" w:fill="FFFFFF"/>
        </w:rPr>
        <w:t>(</w:t>
      </w:r>
      <w:r>
        <w:rPr>
          <w:rFonts w:hint="eastAsia" w:ascii="黑体" w:hAnsi="黑体" w:eastAsia="黑体" w:cs="黑体"/>
          <w:b/>
          <w:bCs/>
          <w:color w:val="auto"/>
          <w:sz w:val="28"/>
          <w:szCs w:val="28"/>
          <w:highlight w:val="none"/>
          <w:lang w:val="zh-CN"/>
        </w:rPr>
        <w:t>项目编号:SXCQCGAK(2025)第17号)</w:t>
      </w:r>
      <w:r>
        <w:rPr>
          <w:rFonts w:hint="eastAsia" w:ascii="黑体" w:hAnsi="黑体" w:eastAsia="黑体" w:cs="黑体"/>
          <w:color w:val="auto"/>
          <w:sz w:val="36"/>
          <w:szCs w:val="36"/>
          <w:highlight w:val="none"/>
          <w:shd w:val="clear" w:color="auto" w:fill="FFFFFF"/>
        </w:rPr>
        <w:t xml:space="preserve"> </w:t>
      </w:r>
    </w:p>
    <w:p w14:paraId="77DC00D7">
      <w:pPr>
        <w:pStyle w:val="44"/>
        <w:wordWrap w:val="0"/>
        <w:spacing w:before="0" w:beforeAutospacing="0" w:after="0" w:afterAutospacing="0" w:line="390" w:lineRule="atLeast"/>
        <w:rPr>
          <w:rFonts w:hint="eastAsia" w:ascii="黑体" w:hAnsi="黑体" w:eastAsia="黑体" w:cs="黑体"/>
          <w:color w:val="auto"/>
          <w:sz w:val="36"/>
          <w:szCs w:val="36"/>
          <w:highlight w:val="none"/>
          <w:u w:val="none"/>
        </w:rPr>
      </w:pPr>
      <w:r>
        <w:rPr>
          <w:rFonts w:hint="eastAsia" w:ascii="黑体" w:hAnsi="黑体" w:eastAsia="黑体" w:cs="黑体"/>
          <w:color w:val="auto"/>
          <w:sz w:val="18"/>
          <w:szCs w:val="18"/>
          <w:highlight w:val="none"/>
          <w:shd w:val="clear" w:color="auto" w:fill="FFFFFF"/>
        </w:rPr>
        <w:t> </w:t>
      </w:r>
      <w:r>
        <w:rPr>
          <w:rFonts w:hint="eastAsia" w:ascii="黑体" w:hAnsi="黑体" w:eastAsia="黑体" w:cs="黑体"/>
          <w:color w:val="auto"/>
          <w:sz w:val="36"/>
          <w:szCs w:val="36"/>
          <w:highlight w:val="none"/>
          <w:shd w:val="clear" w:color="auto" w:fill="FFFFFF"/>
        </w:rPr>
        <w:t xml:space="preserve"> </w:t>
      </w:r>
    </w:p>
    <w:p w14:paraId="3C83D5EF">
      <w:pPr>
        <w:ind w:firstLine="1800" w:firstLineChars="1000"/>
        <w:jc w:val="both"/>
        <w:rPr>
          <w:rFonts w:hint="eastAsia" w:ascii="黑体" w:hAnsi="黑体" w:eastAsia="黑体" w:cs="黑体"/>
          <w:b/>
          <w:bCs/>
          <w:color w:val="auto"/>
          <w:sz w:val="32"/>
          <w:szCs w:val="32"/>
          <w:highlight w:val="none"/>
          <w:u w:val="single"/>
          <w:lang w:val="en-US" w:eastAsia="zh-CN"/>
        </w:rPr>
      </w:pPr>
      <w:r>
        <w:rPr>
          <w:rFonts w:hint="eastAsia" w:ascii="黑体" w:hAnsi="黑体" w:eastAsia="黑体" w:cs="黑体"/>
          <w:color w:val="auto"/>
          <w:sz w:val="18"/>
          <w:szCs w:val="18"/>
          <w:highlight w:val="none"/>
          <w:u w:val="none"/>
          <w:shd w:val="clear" w:color="auto" w:fill="FFFFFF"/>
        </w:rPr>
        <w:t> </w:t>
      </w:r>
      <w:r>
        <w:rPr>
          <w:rFonts w:hint="eastAsia" w:ascii="黑体" w:hAnsi="黑体" w:eastAsia="黑体" w:cs="黑体"/>
          <w:color w:val="auto"/>
          <w:sz w:val="18"/>
          <w:szCs w:val="18"/>
          <w:highlight w:val="none"/>
          <w:u w:val="none"/>
          <w:shd w:val="clear" w:color="auto" w:fill="FFFFFF"/>
          <w:lang w:val="en-US" w:eastAsia="zh-CN"/>
        </w:rPr>
        <w:t xml:space="preserve">       </w:t>
      </w:r>
      <w:r>
        <w:rPr>
          <w:rFonts w:hint="eastAsia" w:ascii="黑体" w:hAnsi="黑体" w:eastAsia="黑体" w:cs="黑体"/>
          <w:b/>
          <w:bCs/>
          <w:color w:val="auto"/>
          <w:sz w:val="32"/>
          <w:szCs w:val="32"/>
          <w:highlight w:val="none"/>
          <w:u w:val="single"/>
          <w:lang w:val="en-US" w:eastAsia="zh-CN"/>
        </w:rPr>
        <w:t xml:space="preserve">                           </w:t>
      </w:r>
    </w:p>
    <w:p w14:paraId="371B4F11">
      <w:pPr>
        <w:pStyle w:val="44"/>
        <w:wordWrap w:val="0"/>
        <w:spacing w:before="0" w:beforeAutospacing="0" w:after="0" w:afterAutospacing="0" w:line="390" w:lineRule="atLeast"/>
        <w:rPr>
          <w:rFonts w:hint="eastAsia" w:ascii="黑体" w:hAnsi="黑体" w:eastAsia="黑体" w:cs="黑体"/>
          <w:color w:val="auto"/>
          <w:sz w:val="22"/>
          <w:szCs w:val="22"/>
          <w:highlight w:val="none"/>
        </w:rPr>
      </w:pPr>
    </w:p>
    <w:p w14:paraId="07F55C66">
      <w:pPr>
        <w:pStyle w:val="44"/>
        <w:wordWrap w:val="0"/>
        <w:spacing w:before="0" w:beforeAutospacing="0" w:after="0" w:afterAutospacing="0" w:line="390" w:lineRule="atLeast"/>
        <w:rPr>
          <w:rFonts w:hint="eastAsia" w:ascii="黑体" w:hAnsi="黑体" w:eastAsia="黑体" w:cs="黑体"/>
          <w:color w:val="auto"/>
          <w:sz w:val="22"/>
          <w:szCs w:val="22"/>
          <w:highlight w:val="none"/>
        </w:rPr>
      </w:pPr>
      <w:r>
        <w:rPr>
          <w:rFonts w:hint="eastAsia" w:ascii="黑体" w:hAnsi="黑体" w:eastAsia="黑体" w:cs="黑体"/>
          <w:color w:val="auto"/>
          <w:sz w:val="18"/>
          <w:szCs w:val="18"/>
          <w:highlight w:val="none"/>
          <w:shd w:val="clear" w:color="auto" w:fill="FFFFFF"/>
        </w:rPr>
        <w:t> </w:t>
      </w:r>
    </w:p>
    <w:p w14:paraId="032BB21E">
      <w:pPr>
        <w:pStyle w:val="44"/>
        <w:wordWrap w:val="0"/>
        <w:spacing w:before="0" w:beforeAutospacing="0" w:after="0" w:afterAutospacing="0" w:line="390" w:lineRule="atLeast"/>
        <w:rPr>
          <w:rFonts w:hint="eastAsia" w:ascii="黑体" w:hAnsi="黑体" w:eastAsia="黑体" w:cs="黑体"/>
          <w:color w:val="auto"/>
          <w:sz w:val="22"/>
          <w:szCs w:val="22"/>
          <w:highlight w:val="none"/>
        </w:rPr>
      </w:pPr>
      <w:r>
        <w:rPr>
          <w:rFonts w:hint="eastAsia" w:ascii="黑体" w:hAnsi="黑体" w:eastAsia="黑体" w:cs="黑体"/>
          <w:color w:val="auto"/>
          <w:sz w:val="18"/>
          <w:szCs w:val="18"/>
          <w:highlight w:val="none"/>
          <w:shd w:val="clear" w:color="auto" w:fill="FFFFFF"/>
        </w:rPr>
        <w:t> </w:t>
      </w:r>
    </w:p>
    <w:p w14:paraId="572DF085">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r>
        <w:rPr>
          <w:rFonts w:hint="eastAsia" w:ascii="黑体" w:hAnsi="黑体" w:eastAsia="黑体" w:cs="黑体"/>
          <w:color w:val="auto"/>
          <w:sz w:val="18"/>
          <w:szCs w:val="18"/>
          <w:highlight w:val="none"/>
          <w:shd w:val="clear" w:color="auto" w:fill="FFFFFF"/>
        </w:rPr>
        <w:t> </w:t>
      </w:r>
    </w:p>
    <w:p w14:paraId="10E41036">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040B4639">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377462C5">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22402D8D">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4DEDB5FF">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13790606">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5A1ECCDF">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4EE64D31">
      <w:pPr>
        <w:pStyle w:val="44"/>
        <w:wordWrap w:val="0"/>
        <w:spacing w:before="0" w:beforeAutospacing="0" w:after="0" w:afterAutospacing="0" w:line="390" w:lineRule="atLeast"/>
        <w:rPr>
          <w:rFonts w:hint="eastAsia" w:ascii="黑体" w:hAnsi="黑体" w:eastAsia="黑体" w:cs="黑体"/>
          <w:color w:val="auto"/>
          <w:sz w:val="18"/>
          <w:szCs w:val="18"/>
          <w:highlight w:val="none"/>
          <w:shd w:val="clear" w:color="auto" w:fill="FFFFFF"/>
        </w:rPr>
      </w:pPr>
    </w:p>
    <w:p w14:paraId="525A25DD">
      <w:pPr>
        <w:pStyle w:val="44"/>
        <w:wordWrap w:val="0"/>
        <w:spacing w:before="0" w:beforeAutospacing="0" w:after="0" w:afterAutospacing="0" w:line="390" w:lineRule="atLeast"/>
        <w:ind w:firstLine="2800" w:firstLineChars="10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shd w:val="clear" w:color="auto" w:fill="FFFFFF"/>
        </w:rPr>
        <w:t>供应商：</w:t>
      </w:r>
      <w:r>
        <w:rPr>
          <w:rFonts w:hint="eastAsia" w:ascii="黑体" w:hAnsi="黑体" w:eastAsia="黑体" w:cs="黑体"/>
          <w:color w:val="auto"/>
          <w:sz w:val="28"/>
          <w:szCs w:val="28"/>
          <w:highlight w:val="none"/>
          <w:u w:val="single"/>
          <w:shd w:val="clear" w:color="auto" w:fill="FFFFFF"/>
        </w:rPr>
        <w:t xml:space="preserve">                 </w:t>
      </w:r>
      <w:r>
        <w:rPr>
          <w:rFonts w:hint="eastAsia" w:ascii="黑体" w:hAnsi="黑体" w:eastAsia="黑体" w:cs="黑体"/>
          <w:color w:val="auto"/>
          <w:sz w:val="28"/>
          <w:szCs w:val="28"/>
          <w:highlight w:val="none"/>
          <w:shd w:val="clear" w:color="auto" w:fill="FFFFFF"/>
        </w:rPr>
        <w:t xml:space="preserve"> (公章) </w:t>
      </w:r>
    </w:p>
    <w:p w14:paraId="507DFBAB">
      <w:pPr>
        <w:pStyle w:val="44"/>
        <w:wordWrap w:val="0"/>
        <w:spacing w:before="0" w:beforeAutospacing="0" w:after="0" w:afterAutospacing="0" w:line="390" w:lineRule="atLeast"/>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shd w:val="clear" w:color="auto" w:fill="FFFFFF"/>
        </w:rPr>
        <w:t> </w:t>
      </w:r>
    </w:p>
    <w:p w14:paraId="53833155">
      <w:pPr>
        <w:pStyle w:val="44"/>
        <w:wordWrap w:val="0"/>
        <w:spacing w:before="0" w:beforeAutospacing="0" w:after="0" w:afterAutospacing="0" w:line="390" w:lineRule="atLeast"/>
        <w:ind w:firstLine="2800" w:firstLineChars="1000"/>
        <w:rPr>
          <w:rFonts w:hint="eastAsia" w:ascii="黑体" w:hAnsi="黑体" w:eastAsia="黑体" w:cs="黑体"/>
          <w:color w:val="auto"/>
          <w:sz w:val="28"/>
          <w:szCs w:val="28"/>
          <w:highlight w:val="none"/>
        </w:rPr>
      </w:pPr>
      <w:r>
        <w:rPr>
          <w:rFonts w:hint="eastAsia" w:ascii="黑体" w:hAnsi="黑体" w:eastAsia="黑体" w:cs="黑体"/>
          <w:i/>
          <w:iCs/>
          <w:color w:val="auto"/>
          <w:sz w:val="28"/>
          <w:szCs w:val="28"/>
          <w:highlight w:val="none"/>
          <w:u w:val="single"/>
          <w:shd w:val="clear" w:color="auto" w:fill="FFFFFF"/>
        </w:rPr>
        <w:t xml:space="preserve">                   </w:t>
      </w:r>
      <w:r>
        <w:rPr>
          <w:rFonts w:hint="eastAsia" w:ascii="黑体" w:hAnsi="黑体" w:eastAsia="黑体" w:cs="黑体"/>
          <w:color w:val="auto"/>
          <w:sz w:val="28"/>
          <w:szCs w:val="28"/>
          <w:highlight w:val="none"/>
          <w:u w:val="single"/>
          <w:shd w:val="clear" w:color="auto" w:fill="FFFFFF"/>
        </w:rPr>
        <w:t xml:space="preserve">                </w:t>
      </w:r>
      <w:r>
        <w:rPr>
          <w:rFonts w:hint="eastAsia" w:ascii="黑体" w:hAnsi="黑体" w:eastAsia="黑体" w:cs="黑体"/>
          <w:color w:val="auto"/>
          <w:sz w:val="28"/>
          <w:szCs w:val="28"/>
          <w:highlight w:val="none"/>
          <w:shd w:val="clear" w:color="auto" w:fill="FFFFFF"/>
        </w:rPr>
        <w:t xml:space="preserve">    </w:t>
      </w:r>
      <w:r>
        <w:rPr>
          <w:rFonts w:hint="eastAsia" w:ascii="黑体" w:hAnsi="黑体" w:eastAsia="黑体" w:cs="黑体"/>
          <w:color w:val="auto"/>
          <w:sz w:val="28"/>
          <w:szCs w:val="28"/>
          <w:highlight w:val="none"/>
          <w:u w:val="single"/>
          <w:shd w:val="clear" w:color="auto" w:fill="FFFFFF"/>
        </w:rPr>
        <w:t xml:space="preserve">                 </w:t>
      </w:r>
    </w:p>
    <w:p w14:paraId="0137E916">
      <w:pPr>
        <w:pStyle w:val="44"/>
        <w:wordWrap w:val="0"/>
        <w:spacing w:before="0" w:beforeAutospacing="0" w:after="0" w:afterAutospacing="0" w:line="390" w:lineRule="atLeast"/>
        <w:ind w:firstLine="2800" w:firstLineChars="1000"/>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shd w:val="clear" w:color="auto" w:fill="FFFFFF"/>
        </w:rPr>
        <w:t>时  间：</w:t>
      </w:r>
      <w:r>
        <w:rPr>
          <w:rFonts w:hint="eastAsia" w:ascii="黑体" w:hAnsi="黑体" w:eastAsia="黑体" w:cs="黑体"/>
          <w:color w:val="auto"/>
          <w:sz w:val="28"/>
          <w:szCs w:val="28"/>
          <w:highlight w:val="none"/>
          <w:u w:val="none"/>
          <w:shd w:val="clear" w:color="auto" w:fill="FFFFFF"/>
        </w:rPr>
        <w:t xml:space="preserve">                   </w:t>
      </w:r>
    </w:p>
    <w:p w14:paraId="46B39E90">
      <w:pPr>
        <w:pStyle w:val="44"/>
        <w:wordWrap w:val="0"/>
        <w:spacing w:before="0" w:beforeAutospacing="0" w:after="0" w:afterAutospacing="0" w:line="390" w:lineRule="atLeast"/>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shd w:val="clear" w:color="auto" w:fill="FFFFFF"/>
        </w:rPr>
        <w:t> </w:t>
      </w:r>
    </w:p>
    <w:p w14:paraId="12D9A6B5">
      <w:pPr>
        <w:pStyle w:val="44"/>
        <w:wordWrap w:val="0"/>
        <w:spacing w:before="0" w:beforeAutospacing="0" w:after="0" w:afterAutospacing="0" w:line="390" w:lineRule="atLeast"/>
        <w:ind w:firstLine="2400" w:firstLineChars="1000"/>
        <w:rPr>
          <w:rFonts w:hint="eastAsia" w:ascii="黑体" w:hAnsi="黑体" w:eastAsia="黑体" w:cs="黑体"/>
          <w:color w:val="auto"/>
          <w:sz w:val="22"/>
          <w:szCs w:val="22"/>
          <w:highlight w:val="none"/>
        </w:rPr>
      </w:pPr>
      <w:r>
        <w:rPr>
          <w:rFonts w:hint="eastAsia" w:ascii="黑体" w:hAnsi="黑体" w:eastAsia="黑体" w:cs="黑体"/>
          <w:color w:val="auto"/>
          <w:sz w:val="24"/>
          <w:szCs w:val="24"/>
          <w:highlight w:val="none"/>
          <w:shd w:val="clear" w:color="auto" w:fill="FFFFFF"/>
        </w:rPr>
        <w:t xml:space="preserve">            </w:t>
      </w:r>
      <w:r>
        <w:rPr>
          <w:rFonts w:hint="eastAsia" w:ascii="黑体" w:hAnsi="黑体" w:eastAsia="黑体" w:cs="黑体"/>
          <w:color w:val="auto"/>
          <w:sz w:val="22"/>
          <w:szCs w:val="22"/>
          <w:highlight w:val="none"/>
          <w:shd w:val="clear" w:color="auto" w:fill="FFFFFF"/>
        </w:rPr>
        <w:t xml:space="preserve">     </w:t>
      </w:r>
    </w:p>
    <w:p w14:paraId="78E85AE4">
      <w:pP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br w:type="page"/>
      </w:r>
    </w:p>
    <w:p w14:paraId="5A55BCC2">
      <w:pPr>
        <w:spacing w:after="120"/>
        <w:ind w:firstLine="300" w:firstLineChars="150"/>
        <w:rPr>
          <w:rFonts w:hint="eastAsia" w:ascii="黑体" w:hAnsi="黑体" w:eastAsia="黑体" w:cs="黑体"/>
          <w:color w:val="auto"/>
          <w:sz w:val="20"/>
          <w:szCs w:val="22"/>
          <w:highlight w:val="none"/>
        </w:rPr>
      </w:pPr>
    </w:p>
    <w:p w14:paraId="429A56A0">
      <w:pPr>
        <w:autoSpaceDE w:val="0"/>
        <w:autoSpaceDN w:val="0"/>
        <w:adjustRightInd w:val="0"/>
        <w:snapToGrid w:val="0"/>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lang w:val="zh-CN"/>
        </w:rPr>
        <w:t>目录</w:t>
      </w:r>
    </w:p>
    <w:p w14:paraId="26802B1A">
      <w:pPr>
        <w:autoSpaceDE w:val="0"/>
        <w:autoSpaceDN w:val="0"/>
        <w:adjustRightInd w:val="0"/>
        <w:snapToGrid w:val="0"/>
        <w:spacing w:line="360" w:lineRule="auto"/>
        <w:rPr>
          <w:rFonts w:hint="eastAsia" w:ascii="黑体" w:hAnsi="黑体" w:eastAsia="黑体" w:cs="黑体"/>
          <w:b/>
          <w:bCs/>
          <w:color w:val="auto"/>
          <w:sz w:val="28"/>
          <w:szCs w:val="28"/>
          <w:highlight w:val="none"/>
        </w:rPr>
      </w:pPr>
    </w:p>
    <w:p w14:paraId="1E0A2021">
      <w:pPr>
        <w:autoSpaceDE w:val="0"/>
        <w:autoSpaceDN w:val="0"/>
        <w:adjustRightInd w:val="0"/>
        <w:snapToGrid w:val="0"/>
        <w:spacing w:line="360" w:lineRule="auto"/>
        <w:ind w:firstLine="1928" w:firstLineChars="800"/>
        <w:rPr>
          <w:rFonts w:hint="eastAsia" w:ascii="黑体" w:hAnsi="黑体" w:eastAsia="黑体" w:cs="黑体"/>
          <w:b/>
          <w:bCs/>
          <w:color w:val="auto"/>
          <w:sz w:val="24"/>
          <w:szCs w:val="24"/>
          <w:highlight w:val="none"/>
          <w:lang w:val="zh-CN"/>
        </w:rPr>
      </w:pPr>
      <w:r>
        <w:rPr>
          <w:rFonts w:hint="eastAsia" w:ascii="黑体" w:hAnsi="黑体" w:eastAsia="黑体" w:cs="黑体"/>
          <w:b/>
          <w:bCs/>
          <w:color w:val="auto"/>
          <w:sz w:val="24"/>
          <w:szCs w:val="24"/>
          <w:highlight w:val="none"/>
          <w:lang w:val="zh-CN"/>
        </w:rPr>
        <w:t>第一部分：资格证明文件</w:t>
      </w:r>
    </w:p>
    <w:p w14:paraId="3004BB63">
      <w:pPr>
        <w:pStyle w:val="23"/>
        <w:ind w:firstLine="3614" w:firstLineChars="1800"/>
        <w:rPr>
          <w:rFonts w:hint="eastAsia" w:ascii="黑体" w:hAnsi="黑体" w:eastAsia="黑体" w:cs="黑体"/>
          <w:b/>
          <w:bCs/>
          <w:color w:val="auto"/>
          <w:sz w:val="20"/>
          <w:szCs w:val="24"/>
          <w:highlight w:val="none"/>
        </w:rPr>
      </w:pPr>
      <w:r>
        <w:rPr>
          <w:rFonts w:hint="eastAsia" w:ascii="黑体" w:hAnsi="黑体" w:eastAsia="黑体" w:cs="黑体"/>
          <w:b/>
          <w:bCs/>
          <w:color w:val="auto"/>
          <w:sz w:val="20"/>
          <w:szCs w:val="24"/>
          <w:highlight w:val="none"/>
        </w:rPr>
        <w:t>基本资格条件</w:t>
      </w:r>
    </w:p>
    <w:p w14:paraId="3FAFA157">
      <w:pPr>
        <w:pStyle w:val="23"/>
        <w:ind w:firstLine="3614" w:firstLineChars="1800"/>
        <w:rPr>
          <w:rFonts w:hint="eastAsia" w:ascii="黑体" w:hAnsi="黑体" w:eastAsia="黑体" w:cs="黑体"/>
          <w:b/>
          <w:bCs/>
          <w:color w:val="auto"/>
          <w:sz w:val="20"/>
          <w:szCs w:val="24"/>
          <w:highlight w:val="none"/>
        </w:rPr>
      </w:pPr>
      <w:r>
        <w:rPr>
          <w:rFonts w:hint="eastAsia" w:ascii="黑体" w:hAnsi="黑体" w:eastAsia="黑体" w:cs="黑体"/>
          <w:b/>
          <w:bCs/>
          <w:color w:val="auto"/>
          <w:sz w:val="20"/>
          <w:szCs w:val="24"/>
          <w:highlight w:val="none"/>
        </w:rPr>
        <w:t xml:space="preserve">特定资格条件  </w:t>
      </w:r>
    </w:p>
    <w:p w14:paraId="13271072">
      <w:pPr>
        <w:autoSpaceDE w:val="0"/>
        <w:autoSpaceDN w:val="0"/>
        <w:adjustRightInd w:val="0"/>
        <w:snapToGrid w:val="0"/>
        <w:spacing w:line="360" w:lineRule="auto"/>
        <w:ind w:firstLine="1928" w:firstLineChars="800"/>
        <w:rPr>
          <w:rFonts w:hint="eastAsia" w:ascii="黑体" w:hAnsi="黑体" w:eastAsia="黑体" w:cs="黑体"/>
          <w:b/>
          <w:bCs/>
          <w:color w:val="auto"/>
          <w:sz w:val="24"/>
          <w:szCs w:val="24"/>
          <w:highlight w:val="none"/>
          <w:lang w:val="zh-CN"/>
        </w:rPr>
      </w:pPr>
    </w:p>
    <w:p w14:paraId="7C837FC2">
      <w:pPr>
        <w:autoSpaceDE w:val="0"/>
        <w:autoSpaceDN w:val="0"/>
        <w:adjustRightInd w:val="0"/>
        <w:snapToGrid w:val="0"/>
        <w:spacing w:line="360" w:lineRule="auto"/>
        <w:ind w:firstLine="1928" w:firstLineChars="800"/>
        <w:rPr>
          <w:rFonts w:hint="eastAsia" w:ascii="黑体" w:hAnsi="黑体" w:eastAsia="黑体" w:cs="黑体"/>
          <w:b/>
          <w:bCs/>
          <w:color w:val="auto"/>
          <w:sz w:val="24"/>
          <w:szCs w:val="24"/>
          <w:highlight w:val="none"/>
          <w:lang w:val="zh-CN"/>
        </w:rPr>
      </w:pPr>
      <w:r>
        <w:rPr>
          <w:rFonts w:hint="eastAsia" w:ascii="黑体" w:hAnsi="黑体" w:eastAsia="黑体" w:cs="黑体"/>
          <w:b/>
          <w:bCs/>
          <w:color w:val="auto"/>
          <w:sz w:val="24"/>
          <w:szCs w:val="24"/>
          <w:highlight w:val="none"/>
          <w:lang w:val="zh-CN"/>
        </w:rPr>
        <w:t>第二部分：符合性证明文件</w:t>
      </w:r>
    </w:p>
    <w:p w14:paraId="53350991">
      <w:pPr>
        <w:pStyle w:val="23"/>
        <w:ind w:firstLine="3614" w:firstLineChars="1800"/>
        <w:rPr>
          <w:rFonts w:hint="eastAsia" w:ascii="黑体" w:hAnsi="黑体" w:eastAsia="黑体" w:cs="黑体"/>
          <w:b/>
          <w:bCs/>
          <w:color w:val="auto"/>
          <w:sz w:val="20"/>
          <w:szCs w:val="24"/>
          <w:highlight w:val="none"/>
        </w:rPr>
      </w:pPr>
      <w:r>
        <w:rPr>
          <w:rFonts w:hint="eastAsia" w:ascii="黑体" w:hAnsi="黑体" w:eastAsia="黑体" w:cs="黑体"/>
          <w:b/>
          <w:bCs/>
          <w:color w:val="auto"/>
          <w:sz w:val="20"/>
          <w:szCs w:val="24"/>
          <w:highlight w:val="none"/>
        </w:rPr>
        <w:t xml:space="preserve">响应函 </w:t>
      </w:r>
    </w:p>
    <w:p w14:paraId="762988A7">
      <w:pPr>
        <w:pStyle w:val="23"/>
        <w:ind w:firstLine="3614" w:firstLineChars="1800"/>
        <w:rPr>
          <w:rFonts w:hint="eastAsia" w:ascii="黑体" w:hAnsi="黑体" w:eastAsia="黑体" w:cs="黑体"/>
          <w:b/>
          <w:bCs/>
          <w:color w:val="auto"/>
          <w:sz w:val="20"/>
          <w:szCs w:val="24"/>
          <w:highlight w:val="none"/>
        </w:rPr>
      </w:pPr>
      <w:r>
        <w:rPr>
          <w:rFonts w:hint="eastAsia" w:ascii="黑体" w:hAnsi="黑体" w:eastAsia="黑体" w:cs="黑体"/>
          <w:b/>
          <w:bCs/>
          <w:color w:val="auto"/>
          <w:sz w:val="20"/>
          <w:szCs w:val="24"/>
          <w:highlight w:val="none"/>
        </w:rPr>
        <w:t xml:space="preserve">第一次磋商报价表 </w:t>
      </w:r>
    </w:p>
    <w:p w14:paraId="5D52AB58">
      <w:pPr>
        <w:pStyle w:val="23"/>
        <w:ind w:firstLine="3614" w:firstLineChars="1800"/>
        <w:rPr>
          <w:rFonts w:hint="eastAsia" w:ascii="黑体" w:hAnsi="黑体" w:eastAsia="黑体" w:cs="黑体"/>
          <w:b/>
          <w:bCs/>
          <w:color w:val="auto"/>
          <w:sz w:val="20"/>
          <w:szCs w:val="24"/>
          <w:highlight w:val="none"/>
          <w:lang w:val="en-US" w:eastAsia="zh-CN"/>
        </w:rPr>
      </w:pPr>
      <w:r>
        <w:rPr>
          <w:rFonts w:hint="eastAsia" w:ascii="黑体" w:hAnsi="黑体" w:eastAsia="黑体" w:cs="黑体"/>
          <w:b/>
          <w:bCs/>
          <w:color w:val="auto"/>
          <w:sz w:val="20"/>
          <w:szCs w:val="24"/>
          <w:highlight w:val="none"/>
          <w:lang w:val="en-US" w:eastAsia="zh-CN"/>
        </w:rPr>
        <w:t>响应报价分项价格表</w:t>
      </w:r>
    </w:p>
    <w:p w14:paraId="3C99386A">
      <w:pPr>
        <w:pStyle w:val="23"/>
        <w:ind w:firstLine="3614" w:firstLineChars="1800"/>
        <w:rPr>
          <w:rFonts w:hint="eastAsia" w:ascii="黑体" w:hAnsi="黑体" w:eastAsia="黑体" w:cs="黑体"/>
          <w:b/>
          <w:bCs/>
          <w:color w:val="auto"/>
          <w:sz w:val="20"/>
          <w:szCs w:val="24"/>
          <w:highlight w:val="none"/>
          <w:lang w:val="en-US" w:eastAsia="zh-CN"/>
        </w:rPr>
      </w:pPr>
      <w:r>
        <w:rPr>
          <w:rFonts w:hint="eastAsia" w:ascii="黑体" w:hAnsi="黑体" w:eastAsia="黑体" w:cs="黑体"/>
          <w:b/>
          <w:bCs/>
          <w:color w:val="auto"/>
          <w:sz w:val="20"/>
          <w:szCs w:val="24"/>
          <w:highlight w:val="none"/>
          <w:lang w:val="en-US" w:eastAsia="zh-CN"/>
        </w:rPr>
        <w:t>技术参数偏离表</w:t>
      </w:r>
    </w:p>
    <w:p w14:paraId="1A5EE7FB">
      <w:pPr>
        <w:pStyle w:val="23"/>
        <w:ind w:firstLine="3614" w:firstLineChars="1800"/>
        <w:rPr>
          <w:rFonts w:hint="eastAsia" w:ascii="黑体" w:hAnsi="黑体" w:eastAsia="黑体" w:cs="黑体"/>
          <w:color w:val="auto"/>
          <w:sz w:val="20"/>
          <w:szCs w:val="22"/>
          <w:highlight w:val="none"/>
        </w:rPr>
      </w:pPr>
      <w:r>
        <w:rPr>
          <w:rFonts w:hint="eastAsia" w:ascii="黑体" w:hAnsi="黑体" w:eastAsia="黑体" w:cs="黑体"/>
          <w:b/>
          <w:bCs/>
          <w:color w:val="auto"/>
          <w:sz w:val="20"/>
          <w:szCs w:val="24"/>
          <w:highlight w:val="none"/>
        </w:rPr>
        <w:t>商务条款偏离表</w:t>
      </w:r>
    </w:p>
    <w:p w14:paraId="50049732">
      <w:pPr>
        <w:pStyle w:val="23"/>
        <w:ind w:firstLine="1600" w:firstLineChars="800"/>
        <w:rPr>
          <w:rFonts w:hint="eastAsia" w:ascii="黑体" w:hAnsi="黑体" w:eastAsia="黑体" w:cs="黑体"/>
          <w:color w:val="auto"/>
          <w:sz w:val="20"/>
          <w:szCs w:val="24"/>
          <w:highlight w:val="none"/>
          <w:lang w:val="zh-CN"/>
        </w:rPr>
      </w:pPr>
    </w:p>
    <w:p w14:paraId="303D73C3">
      <w:pPr>
        <w:autoSpaceDE w:val="0"/>
        <w:autoSpaceDN w:val="0"/>
        <w:adjustRightInd w:val="0"/>
        <w:snapToGrid w:val="0"/>
        <w:spacing w:line="360" w:lineRule="auto"/>
        <w:ind w:firstLine="1928" w:firstLineChars="800"/>
        <w:rPr>
          <w:rFonts w:hint="eastAsia" w:ascii="黑体" w:hAnsi="黑体" w:eastAsia="黑体" w:cs="黑体"/>
          <w:b/>
          <w:bCs/>
          <w:color w:val="auto"/>
          <w:sz w:val="24"/>
          <w:szCs w:val="24"/>
          <w:highlight w:val="none"/>
          <w:lang w:val="zh-CN"/>
        </w:rPr>
      </w:pPr>
      <w:r>
        <w:rPr>
          <w:rFonts w:hint="eastAsia" w:ascii="黑体" w:hAnsi="黑体" w:eastAsia="黑体" w:cs="黑体"/>
          <w:b/>
          <w:bCs/>
          <w:color w:val="auto"/>
          <w:sz w:val="24"/>
          <w:szCs w:val="24"/>
          <w:highlight w:val="none"/>
          <w:lang w:val="zh-CN"/>
        </w:rPr>
        <w:t>第三部分：响应方案</w:t>
      </w:r>
    </w:p>
    <w:p w14:paraId="6FD8A4CD">
      <w:pPr>
        <w:pStyle w:val="23"/>
        <w:ind w:firstLine="3614" w:firstLineChars="1800"/>
        <w:rPr>
          <w:rFonts w:hint="eastAsia" w:ascii="黑体" w:hAnsi="黑体" w:eastAsia="黑体" w:cs="黑体"/>
          <w:b/>
          <w:bCs/>
          <w:color w:val="auto"/>
          <w:sz w:val="20"/>
          <w:szCs w:val="24"/>
          <w:highlight w:val="none"/>
        </w:rPr>
      </w:pPr>
      <w:r>
        <w:rPr>
          <w:rFonts w:hint="eastAsia" w:ascii="黑体" w:hAnsi="黑体" w:eastAsia="黑体" w:cs="黑体"/>
          <w:b/>
          <w:bCs/>
          <w:color w:val="auto"/>
          <w:sz w:val="20"/>
          <w:szCs w:val="24"/>
          <w:highlight w:val="none"/>
        </w:rPr>
        <w:t>供应商概况及其性质</w:t>
      </w:r>
    </w:p>
    <w:p w14:paraId="12641DEF">
      <w:pPr>
        <w:pStyle w:val="23"/>
        <w:ind w:firstLine="3614" w:firstLineChars="1800"/>
        <w:rPr>
          <w:rFonts w:hint="eastAsia" w:ascii="黑体" w:hAnsi="黑体" w:eastAsia="黑体" w:cs="黑体"/>
          <w:b/>
          <w:bCs/>
          <w:color w:val="auto"/>
          <w:sz w:val="20"/>
          <w:szCs w:val="24"/>
          <w:highlight w:val="none"/>
        </w:rPr>
      </w:pPr>
      <w:r>
        <w:rPr>
          <w:rFonts w:hint="eastAsia" w:ascii="黑体" w:hAnsi="黑体" w:eastAsia="黑体" w:cs="黑体"/>
          <w:b/>
          <w:bCs/>
          <w:color w:val="auto"/>
          <w:sz w:val="20"/>
          <w:szCs w:val="24"/>
          <w:highlight w:val="none"/>
        </w:rPr>
        <w:t>磋商方案说明</w:t>
      </w:r>
    </w:p>
    <w:p w14:paraId="61776ED7">
      <w:pPr>
        <w:pStyle w:val="23"/>
        <w:ind w:firstLine="1600" w:firstLineChars="800"/>
        <w:rPr>
          <w:rFonts w:hint="eastAsia" w:ascii="黑体" w:hAnsi="黑体" w:eastAsia="黑体" w:cs="黑体"/>
          <w:color w:val="auto"/>
          <w:sz w:val="20"/>
          <w:szCs w:val="22"/>
          <w:highlight w:val="none"/>
        </w:rPr>
      </w:pPr>
    </w:p>
    <w:p w14:paraId="6EF89665">
      <w:pPr>
        <w:pStyle w:val="23"/>
        <w:rPr>
          <w:rFonts w:hint="eastAsia" w:ascii="黑体" w:hAnsi="黑体" w:eastAsia="黑体" w:cs="黑体"/>
          <w:color w:val="auto"/>
          <w:sz w:val="20"/>
          <w:szCs w:val="22"/>
          <w:highlight w:val="none"/>
        </w:rPr>
      </w:pPr>
    </w:p>
    <w:p w14:paraId="503FEBC1">
      <w:pPr>
        <w:widowControl/>
        <w:jc w:val="left"/>
        <w:rPr>
          <w:rFonts w:hint="eastAsia" w:ascii="黑体" w:hAnsi="黑体" w:eastAsia="黑体" w:cs="黑体"/>
          <w:color w:val="auto"/>
          <w:sz w:val="20"/>
          <w:szCs w:val="22"/>
          <w:highlight w:val="none"/>
        </w:rPr>
      </w:pPr>
      <w:r>
        <w:rPr>
          <w:rFonts w:hint="eastAsia" w:ascii="黑体" w:hAnsi="黑体" w:eastAsia="黑体" w:cs="黑体"/>
          <w:color w:val="auto"/>
          <w:sz w:val="20"/>
          <w:szCs w:val="22"/>
          <w:highlight w:val="none"/>
        </w:rPr>
        <w:br w:type="page"/>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5D4C144C">
      <w:pPr>
        <w:pStyle w:val="4"/>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第一部分 资格证明文件</w:t>
      </w:r>
    </w:p>
    <w:p w14:paraId="4B0F0177">
      <w:pPr>
        <w:pStyle w:val="6"/>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基本资格条件1</w:t>
      </w:r>
    </w:p>
    <w:p w14:paraId="6342E35D">
      <w:pPr>
        <w:autoSpaceDE w:val="0"/>
        <w:autoSpaceDN w:val="0"/>
        <w:adjustRightInd w:val="0"/>
        <w:snapToGrid w:val="0"/>
        <w:spacing w:line="312"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具有独立承担民事责任的能力，提供供应商合法注册的法人或其他组织的营业执照等证明文件，自然人的身份证明。</w:t>
      </w:r>
    </w:p>
    <w:p w14:paraId="0D0981A8">
      <w:pPr>
        <w:pStyle w:val="23"/>
        <w:rPr>
          <w:rFonts w:hint="eastAsia" w:ascii="黑体" w:hAnsi="黑体" w:eastAsia="黑体" w:cs="黑体"/>
          <w:color w:val="auto"/>
          <w:sz w:val="20"/>
          <w:szCs w:val="22"/>
          <w:highlight w:val="none"/>
        </w:rPr>
      </w:pPr>
    </w:p>
    <w:p w14:paraId="6341FE15">
      <w:pP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br w:type="page"/>
      </w:r>
    </w:p>
    <w:p w14:paraId="31B0EB7E">
      <w:pPr>
        <w:pStyle w:val="6"/>
        <w:jc w:val="center"/>
        <w:rPr>
          <w:rFonts w:hint="eastAsia" w:ascii="黑体" w:hAnsi="黑体" w:eastAsia="黑体" w:cs="黑体"/>
          <w:b/>
          <w:color w:val="auto"/>
          <w:sz w:val="28"/>
          <w:szCs w:val="28"/>
          <w:highlight w:val="none"/>
        </w:rPr>
        <w:sectPr>
          <w:pgSz w:w="11906" w:h="16838"/>
          <w:pgMar w:top="1418" w:right="1418" w:bottom="1418" w:left="1418" w:header="851" w:footer="992" w:gutter="0"/>
          <w:pgNumType w:fmt="decimal"/>
          <w:cols w:space="720" w:num="1"/>
          <w:docGrid w:linePitch="312" w:charSpace="0"/>
        </w:sectPr>
      </w:pPr>
    </w:p>
    <w:p w14:paraId="7FFD3561">
      <w:pPr>
        <w:widowControl w:val="0"/>
        <w:tabs>
          <w:tab w:val="left" w:pos="588"/>
        </w:tabs>
        <w:spacing w:line="360" w:lineRule="auto"/>
        <w:jc w:val="center"/>
        <w:outlineLvl w:val="2"/>
        <w:rPr>
          <w:rFonts w:hint="eastAsia" w:ascii="黑体" w:hAnsi="黑体" w:eastAsia="黑体" w:cs="黑体"/>
          <w:bCs/>
          <w:color w:val="auto"/>
          <w:sz w:val="24"/>
          <w:szCs w:val="24"/>
          <w:highlight w:val="none"/>
        </w:rPr>
      </w:pPr>
      <w:r>
        <w:rPr>
          <w:rFonts w:hint="eastAsia" w:ascii="黑体" w:hAnsi="黑体" w:eastAsia="黑体" w:cs="黑体"/>
          <w:b/>
          <w:color w:val="auto"/>
          <w:kern w:val="2"/>
          <w:sz w:val="28"/>
          <w:szCs w:val="28"/>
          <w:highlight w:val="none"/>
          <w:lang w:val="en-US" w:eastAsia="zh-CN" w:bidi="ar-SA"/>
        </w:rPr>
        <w:t>基本资格条件2</w:t>
      </w:r>
    </w:p>
    <w:p w14:paraId="29484BCE">
      <w:pPr>
        <w:pStyle w:val="6"/>
        <w:jc w:val="center"/>
        <w:rPr>
          <w:rFonts w:hint="eastAsia" w:ascii="黑体" w:hAnsi="黑体" w:eastAsia="黑体" w:cs="黑体"/>
          <w:bCs/>
          <w:color w:val="auto"/>
          <w:kern w:val="2"/>
          <w:sz w:val="24"/>
          <w:szCs w:val="24"/>
          <w:highlight w:val="none"/>
          <w:lang w:val="en-US" w:eastAsia="zh-CN" w:bidi="ar-SA"/>
        </w:rPr>
        <w:sectPr>
          <w:pgSz w:w="11906" w:h="16838"/>
          <w:pgMar w:top="1418" w:right="1418" w:bottom="1418" w:left="1418" w:header="851" w:footer="992" w:gutter="0"/>
          <w:pgNumType w:fmt="decimal"/>
          <w:cols w:space="720" w:num="1"/>
          <w:docGrid w:linePitch="312" w:charSpace="0"/>
        </w:sectPr>
      </w:pPr>
      <w:r>
        <w:rPr>
          <w:rFonts w:hint="eastAsia" w:ascii="黑体" w:hAnsi="黑体" w:eastAsia="黑体" w:cs="黑体"/>
          <w:bCs/>
          <w:color w:val="auto"/>
          <w:kern w:val="2"/>
          <w:sz w:val="24"/>
          <w:szCs w:val="24"/>
          <w:highlight w:val="none"/>
          <w:lang w:val="en-US" w:eastAsia="zh-CN" w:bidi="ar-SA"/>
        </w:rPr>
        <w:t xml:space="preserve">  具有良好的商业信誉和健全的财务会计制度，</w:t>
      </w:r>
      <w:r>
        <w:rPr>
          <w:rFonts w:hint="eastAsia" w:ascii="黑体" w:hAnsi="黑体" w:eastAsia="黑体" w:cs="黑体"/>
          <w:spacing w:val="-2"/>
          <w:sz w:val="24"/>
          <w:szCs w:val="24"/>
          <w:lang w:val="en-US" w:eastAsia="zh-CN"/>
        </w:rPr>
        <w:t>提供</w:t>
      </w:r>
      <w:r>
        <w:rPr>
          <w:rFonts w:hint="eastAsia" w:ascii="黑体" w:hAnsi="黑体" w:eastAsia="黑体" w:cs="黑体"/>
          <w:spacing w:val="-2"/>
          <w:sz w:val="24"/>
          <w:szCs w:val="24"/>
        </w:rPr>
        <w:t>202</w:t>
      </w:r>
      <w:r>
        <w:rPr>
          <w:rFonts w:hint="eastAsia" w:ascii="黑体" w:hAnsi="黑体" w:eastAsia="黑体" w:cs="黑体"/>
          <w:spacing w:val="-2"/>
          <w:sz w:val="24"/>
          <w:szCs w:val="24"/>
          <w:lang w:val="en-US" w:eastAsia="zh-CN"/>
        </w:rPr>
        <w:t>3</w:t>
      </w:r>
      <w:r>
        <w:rPr>
          <w:rFonts w:hint="eastAsia" w:ascii="黑体" w:hAnsi="黑体" w:eastAsia="黑体" w:cs="黑体"/>
          <w:spacing w:val="2"/>
          <w:sz w:val="24"/>
          <w:szCs w:val="24"/>
          <w:lang w:val="en-US" w:eastAsia="zh-CN"/>
        </w:rPr>
        <w:t>或2024</w:t>
      </w:r>
      <w:r>
        <w:rPr>
          <w:rFonts w:hint="eastAsia" w:ascii="黑体" w:hAnsi="黑体" w:eastAsia="黑体" w:cs="黑体"/>
          <w:spacing w:val="-2"/>
          <w:sz w:val="24"/>
          <w:szCs w:val="24"/>
        </w:rPr>
        <w:t>年度</w:t>
      </w:r>
      <w:r>
        <w:rPr>
          <w:rFonts w:hint="eastAsia" w:ascii="黑体" w:hAnsi="黑体" w:eastAsia="黑体" w:cs="黑体"/>
          <w:spacing w:val="-2"/>
          <w:sz w:val="24"/>
          <w:szCs w:val="24"/>
          <w:lang w:val="en-US" w:eastAsia="zh-CN"/>
        </w:rPr>
        <w:t>财务</w:t>
      </w:r>
      <w:r>
        <w:rPr>
          <w:rFonts w:hint="eastAsia" w:ascii="黑体" w:hAnsi="黑体" w:eastAsia="黑体" w:cs="黑体"/>
          <w:spacing w:val="-2"/>
          <w:sz w:val="24"/>
          <w:szCs w:val="24"/>
        </w:rPr>
        <w:t>审计报告</w:t>
      </w:r>
      <w:r>
        <w:rPr>
          <w:rFonts w:hint="eastAsia" w:ascii="黑体" w:hAnsi="黑体" w:eastAsia="黑体" w:cs="黑体"/>
          <w:bCs/>
          <w:color w:val="auto"/>
          <w:kern w:val="2"/>
          <w:sz w:val="24"/>
          <w:szCs w:val="24"/>
          <w:highlight w:val="none"/>
          <w:lang w:val="en-US" w:eastAsia="zh-CN" w:bidi="ar-SA"/>
        </w:rPr>
        <w:t>或本年度基本开户银行出具的资信证明；</w:t>
      </w:r>
    </w:p>
    <w:p w14:paraId="2D1FFD4C">
      <w:pPr>
        <w:widowControl w:val="0"/>
        <w:tabs>
          <w:tab w:val="left" w:pos="588"/>
        </w:tabs>
        <w:spacing w:line="360" w:lineRule="auto"/>
        <w:jc w:val="center"/>
        <w:outlineLvl w:val="2"/>
        <w:rPr>
          <w:rFonts w:hint="eastAsia" w:ascii="黑体" w:hAnsi="黑体" w:eastAsia="黑体" w:cs="黑体"/>
          <w:b/>
          <w:color w:val="auto"/>
          <w:kern w:val="2"/>
          <w:sz w:val="28"/>
          <w:szCs w:val="28"/>
          <w:highlight w:val="none"/>
          <w:lang w:val="en-US" w:eastAsia="zh-CN" w:bidi="ar-SA"/>
        </w:rPr>
      </w:pPr>
      <w:r>
        <w:rPr>
          <w:rFonts w:hint="eastAsia" w:ascii="黑体" w:hAnsi="黑体" w:eastAsia="黑体" w:cs="黑体"/>
          <w:b/>
          <w:color w:val="auto"/>
          <w:kern w:val="2"/>
          <w:sz w:val="28"/>
          <w:szCs w:val="28"/>
          <w:highlight w:val="none"/>
          <w:lang w:val="en-US" w:eastAsia="zh-CN" w:bidi="ar-SA"/>
        </w:rPr>
        <w:t>基本资格条件3</w:t>
      </w:r>
    </w:p>
    <w:p w14:paraId="66DF6411">
      <w:pPr>
        <w:autoSpaceDE w:val="0"/>
        <w:autoSpaceDN w:val="0"/>
        <w:adjustRightInd w:val="0"/>
        <w:snapToGrid w:val="0"/>
        <w:spacing w:line="312" w:lineRule="auto"/>
        <w:jc w:val="center"/>
        <w:rPr>
          <w:rFonts w:hint="eastAsia" w:ascii="黑体" w:hAnsi="黑体" w:eastAsia="黑体" w:cs="黑体"/>
          <w:color w:val="auto"/>
          <w:sz w:val="20"/>
          <w:szCs w:val="22"/>
          <w:highlight w:val="none"/>
          <w:lang w:eastAsia="zh-CN"/>
        </w:rPr>
        <w:sectPr>
          <w:pgSz w:w="11906" w:h="16838"/>
          <w:pgMar w:top="1418" w:right="1418" w:bottom="1418" w:left="1418" w:header="851" w:footer="992" w:gutter="0"/>
          <w:pgNumType w:fmt="decimal"/>
          <w:cols w:space="720" w:num="1"/>
          <w:docGrid w:linePitch="312" w:charSpace="0"/>
        </w:sectPr>
      </w:pPr>
      <w:r>
        <w:rPr>
          <w:rFonts w:hint="eastAsia" w:ascii="黑体" w:hAnsi="黑体" w:eastAsia="黑体" w:cs="黑体"/>
          <w:bCs/>
          <w:color w:val="auto"/>
          <w:sz w:val="24"/>
          <w:szCs w:val="24"/>
          <w:highlight w:val="none"/>
        </w:rPr>
        <w:t>有依法缴纳税收和社会保障资金的良好记录（提供供应商近六个月任何一个月缴税证明和社会保障资金缴纳证明或免缴纳证明</w:t>
      </w:r>
      <w:r>
        <w:rPr>
          <w:rFonts w:hint="eastAsia" w:ascii="黑体" w:hAnsi="黑体" w:eastAsia="黑体" w:cs="黑体"/>
          <w:bCs/>
          <w:color w:val="auto"/>
          <w:sz w:val="24"/>
          <w:szCs w:val="24"/>
          <w:highlight w:val="none"/>
          <w:lang w:eastAsia="zh-CN"/>
        </w:rPr>
        <w:t>）</w:t>
      </w:r>
    </w:p>
    <w:p w14:paraId="0BBE1C3F">
      <w:pPr>
        <w:pStyle w:val="6"/>
        <w:jc w:val="center"/>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基本资格条件</w:t>
      </w:r>
      <w:r>
        <w:rPr>
          <w:rFonts w:hint="eastAsia" w:ascii="黑体" w:hAnsi="黑体" w:eastAsia="黑体" w:cs="黑体"/>
          <w:b/>
          <w:color w:val="auto"/>
          <w:sz w:val="28"/>
          <w:szCs w:val="28"/>
          <w:highlight w:val="none"/>
          <w:lang w:val="en-US" w:eastAsia="zh-CN"/>
        </w:rPr>
        <w:t>4</w:t>
      </w:r>
    </w:p>
    <w:p w14:paraId="6E4EC8EB">
      <w:pPr>
        <w:autoSpaceDE w:val="0"/>
        <w:autoSpaceDN w:val="0"/>
        <w:adjustRightInd w:val="0"/>
        <w:snapToGrid w:val="0"/>
        <w:spacing w:line="312" w:lineRule="auto"/>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具备履行合同所必需的设备和专业技术能力的证明材料（提供具备履行合同所必需的设备和专业技术能力的承诺）</w:t>
      </w:r>
    </w:p>
    <w:p w14:paraId="44940060">
      <w:pPr>
        <w:rPr>
          <w:rFonts w:hint="eastAsia" w:ascii="黑体" w:hAnsi="黑体" w:eastAsia="黑体" w:cs="黑体"/>
          <w:b/>
          <w:bCs/>
          <w:color w:val="auto"/>
          <w:sz w:val="28"/>
          <w:szCs w:val="28"/>
          <w:highlight w:val="none"/>
          <w:lang w:val="zh-CN"/>
        </w:rPr>
      </w:pPr>
      <w:r>
        <w:rPr>
          <w:rFonts w:hint="eastAsia" w:ascii="黑体" w:hAnsi="黑体" w:eastAsia="黑体" w:cs="黑体"/>
          <w:b/>
          <w:bCs/>
          <w:color w:val="auto"/>
          <w:sz w:val="28"/>
          <w:szCs w:val="28"/>
          <w:highlight w:val="none"/>
          <w:lang w:val="zh-CN"/>
        </w:rPr>
        <w:br w:type="page"/>
      </w:r>
    </w:p>
    <w:p w14:paraId="75356BCC">
      <w:pPr>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具备履行合同所必需的设备和专业技术能力承诺书</w:t>
      </w:r>
    </w:p>
    <w:p w14:paraId="50003B75">
      <w:pPr>
        <w:ind w:firstLine="480"/>
        <w:rPr>
          <w:rFonts w:hint="eastAsia" w:ascii="黑体" w:hAnsi="黑体" w:eastAsia="黑体" w:cs="黑体"/>
          <w:color w:val="auto"/>
          <w:kern w:val="0"/>
          <w:sz w:val="28"/>
          <w:szCs w:val="28"/>
          <w:highlight w:val="none"/>
        </w:rPr>
      </w:pPr>
    </w:p>
    <w:p w14:paraId="6155B163">
      <w:pPr>
        <w:ind w:firstLine="480"/>
        <w:rPr>
          <w:rFonts w:hint="eastAsia" w:ascii="黑体" w:hAnsi="黑体" w:eastAsia="黑体" w:cs="黑体"/>
          <w:color w:val="auto"/>
          <w:kern w:val="0"/>
          <w:sz w:val="24"/>
          <w:szCs w:val="24"/>
          <w:highlight w:val="none"/>
        </w:rPr>
      </w:pPr>
    </w:p>
    <w:p w14:paraId="1B9D064C">
      <w:pPr>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u w:val="single"/>
          <w:lang w:eastAsia="zh-CN"/>
        </w:rPr>
        <w:t>陕西春秋工程造价事务所有限公司</w:t>
      </w:r>
      <w:r>
        <w:rPr>
          <w:rFonts w:hint="eastAsia" w:ascii="黑体" w:hAnsi="黑体" w:eastAsia="黑体" w:cs="黑体"/>
          <w:color w:val="auto"/>
          <w:kern w:val="0"/>
          <w:sz w:val="24"/>
          <w:szCs w:val="24"/>
          <w:highlight w:val="none"/>
          <w:u w:val="single"/>
        </w:rPr>
        <w:t xml:space="preserve">：   </w:t>
      </w:r>
    </w:p>
    <w:p w14:paraId="3EDB295E">
      <w:pPr>
        <w:ind w:firstLine="480"/>
        <w:rPr>
          <w:rFonts w:hint="eastAsia" w:ascii="黑体" w:hAnsi="黑体" w:eastAsia="黑体" w:cs="黑体"/>
          <w:color w:val="auto"/>
          <w:kern w:val="0"/>
          <w:sz w:val="24"/>
          <w:szCs w:val="24"/>
          <w:highlight w:val="none"/>
        </w:rPr>
      </w:pPr>
    </w:p>
    <w:p w14:paraId="6724DA04">
      <w:pPr>
        <w:ind w:firstLine="480"/>
        <w:rPr>
          <w:rFonts w:hint="eastAsia" w:ascii="黑体" w:hAnsi="黑体" w:eastAsia="黑体" w:cs="黑体"/>
          <w:color w:val="auto"/>
          <w:kern w:val="0"/>
          <w:sz w:val="24"/>
          <w:szCs w:val="24"/>
          <w:highlight w:val="none"/>
        </w:rPr>
      </w:pPr>
    </w:p>
    <w:p w14:paraId="48E06253">
      <w:pPr>
        <w:ind w:firstLine="480"/>
        <w:rPr>
          <w:rFonts w:hint="eastAsia" w:ascii="黑体" w:hAnsi="黑体" w:eastAsia="黑体" w:cs="黑体"/>
          <w:color w:val="auto"/>
          <w:kern w:val="0"/>
          <w:sz w:val="24"/>
          <w:szCs w:val="24"/>
          <w:highlight w:val="none"/>
        </w:rPr>
      </w:pPr>
    </w:p>
    <w:p w14:paraId="58538953">
      <w:pPr>
        <w:ind w:firstLine="48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我公司承诺</w:t>
      </w:r>
      <w:r>
        <w:rPr>
          <w:rFonts w:hint="eastAsia" w:ascii="黑体" w:hAnsi="黑体" w:eastAsia="黑体" w:cs="黑体"/>
          <w:color w:val="auto"/>
          <w:sz w:val="24"/>
          <w:szCs w:val="24"/>
          <w:highlight w:val="none"/>
        </w:rPr>
        <w:t>具备履行合同所必需的设备和专业技术能力</w:t>
      </w:r>
      <w:r>
        <w:rPr>
          <w:rFonts w:hint="eastAsia" w:ascii="黑体" w:hAnsi="黑体" w:eastAsia="黑体" w:cs="黑体"/>
          <w:color w:val="auto"/>
          <w:kern w:val="0"/>
          <w:sz w:val="24"/>
          <w:szCs w:val="24"/>
          <w:highlight w:val="none"/>
        </w:rPr>
        <w:t>。</w:t>
      </w:r>
    </w:p>
    <w:p w14:paraId="584DE500">
      <w:pPr>
        <w:ind w:firstLine="480"/>
        <w:rPr>
          <w:rFonts w:hint="eastAsia" w:ascii="黑体" w:hAnsi="黑体" w:eastAsia="黑体" w:cs="黑体"/>
          <w:b/>
          <w:color w:val="auto"/>
          <w:sz w:val="24"/>
          <w:szCs w:val="24"/>
          <w:highlight w:val="none"/>
        </w:rPr>
      </w:pPr>
    </w:p>
    <w:p w14:paraId="278B9511">
      <w:pPr>
        <w:ind w:firstLine="480"/>
        <w:rPr>
          <w:rFonts w:hint="eastAsia" w:ascii="黑体" w:hAnsi="黑体" w:eastAsia="黑体" w:cs="黑体"/>
          <w:b/>
          <w:color w:val="auto"/>
          <w:sz w:val="24"/>
          <w:szCs w:val="24"/>
          <w:highlight w:val="none"/>
        </w:rPr>
      </w:pPr>
    </w:p>
    <w:p w14:paraId="1AAE895E">
      <w:pPr>
        <w:ind w:firstLine="480"/>
        <w:rPr>
          <w:rFonts w:hint="eastAsia" w:ascii="黑体" w:hAnsi="黑体" w:eastAsia="黑体" w:cs="黑体"/>
          <w:b/>
          <w:color w:val="auto"/>
          <w:sz w:val="24"/>
          <w:szCs w:val="24"/>
          <w:highlight w:val="none"/>
        </w:rPr>
      </w:pPr>
    </w:p>
    <w:p w14:paraId="7CB15269">
      <w:pPr>
        <w:spacing w:before="120" w:after="120" w:line="360" w:lineRule="auto"/>
        <w:ind w:firstLine="480" w:firstLineChars="200"/>
        <w:rPr>
          <w:rFonts w:hint="eastAsia" w:ascii="黑体" w:hAnsi="黑体" w:eastAsia="黑体" w:cs="黑体"/>
          <w:color w:val="auto"/>
          <w:sz w:val="24"/>
          <w:szCs w:val="24"/>
          <w:highlight w:val="none"/>
        </w:rPr>
      </w:pPr>
    </w:p>
    <w:p w14:paraId="02E5B6A4">
      <w:pPr>
        <w:spacing w:before="120" w:after="120" w:line="360" w:lineRule="auto"/>
        <w:ind w:firstLine="480" w:firstLineChars="200"/>
        <w:rPr>
          <w:rFonts w:hint="eastAsia" w:ascii="黑体" w:hAnsi="黑体" w:eastAsia="黑体" w:cs="黑体"/>
          <w:color w:val="auto"/>
          <w:sz w:val="24"/>
          <w:szCs w:val="24"/>
          <w:highlight w:val="none"/>
        </w:rPr>
      </w:pPr>
    </w:p>
    <w:p w14:paraId="43DA8D52">
      <w:pPr>
        <w:spacing w:before="120" w:after="120" w:line="360" w:lineRule="auto"/>
        <w:ind w:firstLine="480" w:firstLineChars="200"/>
        <w:rPr>
          <w:rFonts w:hint="eastAsia" w:ascii="黑体" w:hAnsi="黑体" w:eastAsia="黑体" w:cs="黑体"/>
          <w:color w:val="auto"/>
          <w:sz w:val="24"/>
          <w:szCs w:val="24"/>
          <w:highlight w:val="none"/>
        </w:rPr>
      </w:pPr>
    </w:p>
    <w:p w14:paraId="6DBB6A7E">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供应商名称（公章）： </w:t>
      </w:r>
    </w:p>
    <w:p w14:paraId="55939331">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法定代表人或其授权代表（签字或盖章）：</w:t>
      </w:r>
    </w:p>
    <w:p w14:paraId="513C9C8E">
      <w:pP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日</w:t>
      </w:r>
    </w:p>
    <w:p w14:paraId="2E991854">
      <w:pPr>
        <w:pStyle w:val="6"/>
        <w:jc w:val="center"/>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sz w:val="28"/>
          <w:szCs w:val="28"/>
          <w:highlight w:val="none"/>
          <w:lang w:val="zh-CN"/>
        </w:rPr>
        <w:br w:type="page"/>
      </w:r>
      <w:r>
        <w:rPr>
          <w:rFonts w:hint="eastAsia" w:ascii="黑体" w:hAnsi="黑体" w:eastAsia="黑体" w:cs="黑体"/>
          <w:b/>
          <w:color w:val="auto"/>
          <w:sz w:val="28"/>
          <w:szCs w:val="28"/>
          <w:highlight w:val="none"/>
        </w:rPr>
        <w:t>基本资格条件</w:t>
      </w:r>
      <w:r>
        <w:rPr>
          <w:rFonts w:hint="eastAsia" w:ascii="黑体" w:hAnsi="黑体" w:eastAsia="黑体" w:cs="黑体"/>
          <w:b/>
          <w:color w:val="auto"/>
          <w:sz w:val="28"/>
          <w:szCs w:val="28"/>
          <w:highlight w:val="none"/>
          <w:lang w:val="en-US" w:eastAsia="zh-CN"/>
        </w:rPr>
        <w:t>5</w:t>
      </w:r>
    </w:p>
    <w:p w14:paraId="0100389F">
      <w:pPr>
        <w:autoSpaceDE w:val="0"/>
        <w:autoSpaceDN w:val="0"/>
        <w:adjustRightInd w:val="0"/>
        <w:snapToGrid w:val="0"/>
        <w:spacing w:line="312" w:lineRule="auto"/>
        <w:jc w:val="center"/>
        <w:rPr>
          <w:rFonts w:hint="eastAsia" w:ascii="黑体" w:hAnsi="黑体" w:eastAsia="黑体" w:cs="黑体"/>
          <w:b/>
          <w:bCs/>
          <w:color w:val="auto"/>
          <w:sz w:val="28"/>
          <w:szCs w:val="28"/>
          <w:highlight w:val="none"/>
          <w:lang w:val="zh-CN"/>
        </w:rPr>
      </w:pPr>
    </w:p>
    <w:p w14:paraId="374BC957">
      <w:pPr>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参加政府采购活动前三年内，在经营活动中没有重大违法记录（提供参加政府采购活动前3年内在经营活动中没有重大违法记录的书面声明）</w:t>
      </w:r>
    </w:p>
    <w:p w14:paraId="54E34BF3">
      <w:pP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br w:type="page"/>
      </w:r>
    </w:p>
    <w:p w14:paraId="53B0E910">
      <w:pPr>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声明函</w:t>
      </w:r>
    </w:p>
    <w:p w14:paraId="4FF46952">
      <w:pPr>
        <w:jc w:val="center"/>
        <w:rPr>
          <w:rFonts w:hint="eastAsia" w:ascii="黑体" w:hAnsi="黑体" w:eastAsia="黑体" w:cs="黑体"/>
          <w:color w:val="auto"/>
          <w:sz w:val="24"/>
          <w:szCs w:val="24"/>
          <w:highlight w:val="none"/>
        </w:rPr>
      </w:pPr>
    </w:p>
    <w:p w14:paraId="2A4D78CC">
      <w:pPr>
        <w:tabs>
          <w:tab w:val="left" w:pos="5580"/>
        </w:tabs>
        <w:spacing w:before="120"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u w:val="single"/>
          <w:lang w:eastAsia="zh-CN"/>
        </w:rPr>
        <w:t>陕西春秋工程造价事务所有限公司</w:t>
      </w:r>
      <w:r>
        <w:rPr>
          <w:rFonts w:hint="eastAsia" w:ascii="黑体" w:hAnsi="黑体" w:eastAsia="黑体" w:cs="黑体"/>
          <w:color w:val="auto"/>
          <w:sz w:val="24"/>
          <w:szCs w:val="24"/>
          <w:highlight w:val="none"/>
          <w:u w:val="single"/>
        </w:rPr>
        <w:t xml:space="preserve">  </w:t>
      </w:r>
    </w:p>
    <w:p w14:paraId="59E305EF">
      <w:pPr>
        <w:tabs>
          <w:tab w:val="left" w:pos="5580"/>
        </w:tabs>
        <w:spacing w:before="120" w:line="360" w:lineRule="auto"/>
        <w:ind w:firstLine="480" w:firstLineChars="200"/>
        <w:rPr>
          <w:rFonts w:hint="eastAsia" w:ascii="黑体" w:hAnsi="黑体" w:eastAsia="黑体" w:cs="黑体"/>
          <w:color w:val="auto"/>
          <w:sz w:val="24"/>
          <w:szCs w:val="24"/>
          <w:highlight w:val="none"/>
        </w:rPr>
      </w:pPr>
    </w:p>
    <w:p w14:paraId="4D6BCF42">
      <w:pPr>
        <w:tabs>
          <w:tab w:val="left" w:pos="5580"/>
        </w:tabs>
        <w:spacing w:before="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我公司郑重承诺在参加本项目政府采购活动前三年内，在经营活动中无重大违法记录。公司未受到行政处罚或责令停业、吊销许可证（或执照）；未处于财产被接管、冻结、破产状况。</w:t>
      </w:r>
    </w:p>
    <w:p w14:paraId="7C4DC347">
      <w:pPr>
        <w:tabs>
          <w:tab w:val="left" w:pos="5580"/>
        </w:tabs>
        <w:spacing w:before="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特此声明。</w:t>
      </w:r>
    </w:p>
    <w:p w14:paraId="510706F5">
      <w:pPr>
        <w:tabs>
          <w:tab w:val="left" w:pos="5580"/>
        </w:tabs>
        <w:spacing w:before="120" w:line="360" w:lineRule="auto"/>
        <w:ind w:firstLine="480" w:firstLineChars="200"/>
        <w:rPr>
          <w:rFonts w:hint="eastAsia" w:ascii="黑体" w:hAnsi="黑体" w:eastAsia="黑体" w:cs="黑体"/>
          <w:color w:val="auto"/>
          <w:sz w:val="24"/>
          <w:szCs w:val="24"/>
          <w:highlight w:val="none"/>
        </w:rPr>
      </w:pPr>
    </w:p>
    <w:p w14:paraId="1F5027EE">
      <w:pPr>
        <w:pStyle w:val="23"/>
        <w:rPr>
          <w:rFonts w:hint="eastAsia" w:ascii="黑体" w:hAnsi="黑体" w:eastAsia="黑体" w:cs="黑体"/>
          <w:color w:val="auto"/>
          <w:sz w:val="24"/>
          <w:szCs w:val="24"/>
          <w:highlight w:val="none"/>
        </w:rPr>
      </w:pPr>
    </w:p>
    <w:p w14:paraId="67D1810E">
      <w:pPr>
        <w:rPr>
          <w:rFonts w:hint="eastAsia" w:ascii="黑体" w:hAnsi="黑体" w:eastAsia="黑体" w:cs="黑体"/>
          <w:color w:val="auto"/>
          <w:sz w:val="20"/>
          <w:szCs w:val="22"/>
          <w:highlight w:val="none"/>
        </w:rPr>
      </w:pPr>
    </w:p>
    <w:p w14:paraId="465FCD68">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供应商名称（公章）： </w:t>
      </w:r>
    </w:p>
    <w:p w14:paraId="39BA455B">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法定代表人或其授权代表（签字或盖章）：</w:t>
      </w:r>
    </w:p>
    <w:p w14:paraId="129DD009">
      <w:pP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日</w:t>
      </w:r>
    </w:p>
    <w:p w14:paraId="271A99FE">
      <w:pPr>
        <w:pStyle w:val="6"/>
        <w:jc w:val="center"/>
        <w:rPr>
          <w:rFonts w:hint="eastAsia" w:ascii="黑体" w:hAnsi="黑体" w:eastAsia="黑体" w:cs="黑体"/>
          <w:b/>
          <w:bCs/>
          <w:color w:val="auto"/>
          <w:sz w:val="28"/>
          <w:szCs w:val="28"/>
          <w:highlight w:val="none"/>
          <w:lang w:val="zh-CN"/>
        </w:rPr>
        <w:sectPr>
          <w:pgSz w:w="11906" w:h="16838"/>
          <w:pgMar w:top="1418" w:right="1418" w:bottom="1418" w:left="1418" w:header="851" w:footer="992" w:gutter="0"/>
          <w:pgNumType w:fmt="decimal"/>
          <w:cols w:space="720" w:num="1"/>
          <w:docGrid w:linePitch="312" w:charSpace="0"/>
        </w:sectPr>
      </w:pPr>
      <w:r>
        <w:rPr>
          <w:rFonts w:hint="eastAsia" w:ascii="黑体" w:hAnsi="黑体" w:eastAsia="黑体" w:cs="黑体"/>
          <w:b/>
          <w:bCs/>
          <w:color w:val="auto"/>
          <w:sz w:val="28"/>
          <w:szCs w:val="28"/>
          <w:highlight w:val="none"/>
          <w:lang w:val="zh-CN"/>
        </w:rPr>
        <w:br w:type="page"/>
      </w:r>
    </w:p>
    <w:p w14:paraId="6F6480C0">
      <w:pPr>
        <w:pStyle w:val="6"/>
        <w:jc w:val="center"/>
        <w:rPr>
          <w:rFonts w:hint="eastAsia" w:ascii="黑体" w:hAnsi="黑体" w:eastAsia="黑体" w:cs="黑体"/>
          <w:b/>
          <w:bCs/>
          <w:color w:val="auto"/>
          <w:kern w:val="0"/>
          <w:sz w:val="28"/>
          <w:szCs w:val="28"/>
          <w:highlight w:val="none"/>
          <w:lang w:eastAsia="zh-CN"/>
        </w:rPr>
      </w:pPr>
      <w:r>
        <w:rPr>
          <w:rFonts w:hint="eastAsia" w:ascii="黑体" w:hAnsi="黑体" w:eastAsia="黑体" w:cs="黑体"/>
          <w:b/>
          <w:color w:val="auto"/>
          <w:sz w:val="28"/>
          <w:szCs w:val="28"/>
          <w:highlight w:val="none"/>
        </w:rPr>
        <w:t>基本资格条件</w:t>
      </w:r>
      <w:r>
        <w:rPr>
          <w:rFonts w:hint="eastAsia" w:ascii="黑体" w:hAnsi="黑体" w:eastAsia="黑体" w:cs="黑体"/>
          <w:b/>
          <w:color w:val="auto"/>
          <w:sz w:val="28"/>
          <w:szCs w:val="28"/>
          <w:highlight w:val="none"/>
          <w:lang w:val="en-US" w:eastAsia="zh-CN"/>
        </w:rPr>
        <w:t>6</w:t>
      </w:r>
    </w:p>
    <w:p w14:paraId="250C2685">
      <w:pPr>
        <w:snapToGrid w:val="0"/>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供应商控股股东名称、控股公司的名称和存在管理、被管理关系的单位名称说明</w:t>
      </w:r>
    </w:p>
    <w:p w14:paraId="45F1CEA4">
      <w:pPr>
        <w:pStyle w:val="2"/>
        <w:rPr>
          <w:rFonts w:hint="eastAsia"/>
        </w:rPr>
      </w:pPr>
    </w:p>
    <w:p w14:paraId="1AC710DF">
      <w:pPr>
        <w:ind w:firstLine="420"/>
        <w:rPr>
          <w:rFonts w:hint="eastAsia" w:ascii="黑体" w:hAnsi="黑体" w:eastAsia="黑体" w:cs="黑体"/>
          <w:color w:val="auto"/>
          <w:sz w:val="20"/>
          <w:szCs w:val="20"/>
          <w:highlight w:val="none"/>
        </w:rPr>
      </w:pPr>
    </w:p>
    <w:p w14:paraId="7A17FC50">
      <w:pPr>
        <w:spacing w:after="120"/>
        <w:rPr>
          <w:rFonts w:hint="eastAsia" w:ascii="黑体" w:hAnsi="黑体" w:eastAsia="黑体" w:cs="黑体"/>
          <w:color w:val="auto"/>
          <w:sz w:val="21"/>
          <w:szCs w:val="24"/>
          <w:highlight w:val="none"/>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lang w:eastAsia="zh-CN"/>
        </w:rPr>
        <w:t>陕西春秋工程造价事务所有限公司</w:t>
      </w:r>
    </w:p>
    <w:p w14:paraId="03477321">
      <w:pPr>
        <w:ind w:firstLine="426"/>
        <w:rPr>
          <w:rFonts w:hint="eastAsia" w:ascii="黑体" w:hAnsi="黑体" w:eastAsia="黑体" w:cs="黑体"/>
          <w:color w:val="auto"/>
          <w:sz w:val="24"/>
          <w:szCs w:val="24"/>
          <w:highlight w:val="none"/>
        </w:rPr>
      </w:pPr>
    </w:p>
    <w:p w14:paraId="1FE072D0">
      <w:pPr>
        <w:ind w:firstLine="426"/>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与我方的法定代表人（单位负责人）为同一人的企业如下：</w:t>
      </w:r>
    </w:p>
    <w:p w14:paraId="7CF3026E">
      <w:pPr>
        <w:ind w:firstLine="426"/>
        <w:rPr>
          <w:rFonts w:hint="eastAsia" w:ascii="黑体" w:hAnsi="黑体" w:eastAsia="黑体" w:cs="黑体"/>
          <w:color w:val="auto"/>
          <w:sz w:val="24"/>
          <w:szCs w:val="24"/>
          <w:highlight w:val="none"/>
        </w:rPr>
      </w:pPr>
    </w:p>
    <w:p w14:paraId="6DA128D4">
      <w:pPr>
        <w:ind w:firstLine="426"/>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我方的控股股东如下：</w:t>
      </w:r>
    </w:p>
    <w:p w14:paraId="07641F94">
      <w:pPr>
        <w:ind w:firstLine="426"/>
        <w:rPr>
          <w:rFonts w:hint="eastAsia" w:ascii="黑体" w:hAnsi="黑体" w:eastAsia="黑体" w:cs="黑体"/>
          <w:color w:val="auto"/>
          <w:sz w:val="24"/>
          <w:szCs w:val="24"/>
          <w:highlight w:val="none"/>
        </w:rPr>
      </w:pPr>
    </w:p>
    <w:p w14:paraId="61F1CFD9">
      <w:pPr>
        <w:ind w:firstLine="426"/>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我方直接控股的企业如下：</w:t>
      </w:r>
    </w:p>
    <w:p w14:paraId="6689AC72">
      <w:pPr>
        <w:ind w:firstLine="426"/>
        <w:rPr>
          <w:rFonts w:hint="eastAsia" w:ascii="黑体" w:hAnsi="黑体" w:eastAsia="黑体" w:cs="黑体"/>
          <w:color w:val="auto"/>
          <w:sz w:val="24"/>
          <w:szCs w:val="24"/>
          <w:highlight w:val="none"/>
        </w:rPr>
      </w:pPr>
    </w:p>
    <w:p w14:paraId="5CFC3F1B">
      <w:pPr>
        <w:ind w:firstLine="426"/>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与我方存在管理、被管理关系的单位名称如下：</w:t>
      </w:r>
    </w:p>
    <w:p w14:paraId="32E90FC5">
      <w:pPr>
        <w:ind w:firstLine="426"/>
        <w:rPr>
          <w:rFonts w:hint="eastAsia" w:ascii="黑体" w:hAnsi="黑体" w:eastAsia="黑体" w:cs="黑体"/>
          <w:color w:val="auto"/>
          <w:sz w:val="24"/>
          <w:szCs w:val="24"/>
          <w:highlight w:val="none"/>
        </w:rPr>
      </w:pPr>
    </w:p>
    <w:p w14:paraId="4C0BE9FC">
      <w:pPr>
        <w:ind w:firstLine="426"/>
        <w:rPr>
          <w:rFonts w:hint="eastAsia" w:ascii="黑体" w:hAnsi="黑体" w:eastAsia="黑体" w:cs="黑体"/>
          <w:color w:val="auto"/>
          <w:sz w:val="21"/>
          <w:szCs w:val="21"/>
          <w:highlight w:val="none"/>
        </w:rPr>
      </w:pPr>
    </w:p>
    <w:p w14:paraId="6834F61C">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供应商名称（公章）： </w:t>
      </w:r>
    </w:p>
    <w:p w14:paraId="41707760">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法定代表人或其授权代表（签字或盖章）：</w:t>
      </w:r>
    </w:p>
    <w:p w14:paraId="6BD3E49C">
      <w:pP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日</w:t>
      </w:r>
    </w:p>
    <w:p w14:paraId="25E9B2DF">
      <w:pPr>
        <w:rPr>
          <w:rFonts w:hint="eastAsia" w:ascii="黑体" w:hAnsi="黑体" w:eastAsia="黑体" w:cs="黑体"/>
          <w:color w:val="auto"/>
          <w:sz w:val="20"/>
          <w:szCs w:val="20"/>
          <w:highlight w:val="none"/>
        </w:rPr>
      </w:pPr>
      <w:bookmarkStart w:id="441" w:name="_Toc7005128"/>
      <w:bookmarkStart w:id="442" w:name="_Toc60929133"/>
      <w:bookmarkStart w:id="443" w:name="_Toc60928901"/>
      <w:bookmarkStart w:id="444" w:name="_Toc60928820"/>
      <w:r>
        <w:rPr>
          <w:rFonts w:hint="eastAsia" w:ascii="黑体" w:hAnsi="黑体" w:eastAsia="黑体" w:cs="黑体"/>
          <w:color w:val="auto"/>
          <w:sz w:val="20"/>
          <w:szCs w:val="20"/>
          <w:highlight w:val="none"/>
        </w:rPr>
        <w:br w:type="page"/>
      </w:r>
      <w:bookmarkEnd w:id="441"/>
      <w:bookmarkEnd w:id="442"/>
      <w:bookmarkEnd w:id="443"/>
      <w:bookmarkEnd w:id="444"/>
    </w:p>
    <w:p w14:paraId="5C79F6F1">
      <w:pPr>
        <w:rPr>
          <w:rFonts w:hint="eastAsia" w:ascii="黑体" w:hAnsi="黑体" w:eastAsia="黑体" w:cs="黑体"/>
          <w:color w:val="auto"/>
          <w:sz w:val="20"/>
          <w:szCs w:val="20"/>
          <w:highlight w:val="none"/>
        </w:rPr>
      </w:pPr>
    </w:p>
    <w:p w14:paraId="39769B15">
      <w:pPr>
        <w:ind w:firstLine="480" w:firstLineChars="200"/>
        <w:rPr>
          <w:rFonts w:hint="eastAsia" w:ascii="黑体" w:hAnsi="黑体" w:eastAsia="黑体" w:cs="黑体"/>
          <w:bCs/>
          <w:color w:val="auto"/>
          <w:sz w:val="24"/>
          <w:szCs w:val="24"/>
          <w:highlight w:val="none"/>
        </w:rPr>
      </w:pPr>
    </w:p>
    <w:p w14:paraId="0EFDEEDF">
      <w:pPr>
        <w:ind w:firstLine="480" w:firstLineChars="200"/>
        <w:rPr>
          <w:rFonts w:hint="eastAsia" w:ascii="黑体" w:hAnsi="黑体" w:eastAsia="黑体" w:cs="黑体"/>
          <w:b/>
          <w:color w:val="auto"/>
          <w:sz w:val="20"/>
          <w:szCs w:val="22"/>
          <w:highlight w:val="none"/>
        </w:rPr>
      </w:pPr>
      <w:r>
        <w:rPr>
          <w:rFonts w:hint="eastAsia" w:ascii="黑体" w:hAnsi="黑体" w:eastAsia="黑体" w:cs="黑体"/>
          <w:bCs/>
          <w:color w:val="auto"/>
          <w:sz w:val="24"/>
          <w:szCs w:val="24"/>
          <w:highlight w:val="none"/>
        </w:rPr>
        <w:t>供应商是否属于为本项目提供整体设计、规范编制或者项目管理、监理、检测等服务的供应商声明</w:t>
      </w:r>
    </w:p>
    <w:p w14:paraId="10370A9D">
      <w:pPr>
        <w:ind w:firstLine="420"/>
        <w:rPr>
          <w:rFonts w:hint="eastAsia" w:ascii="黑体" w:hAnsi="黑体" w:eastAsia="黑体" w:cs="黑体"/>
          <w:color w:val="auto"/>
          <w:sz w:val="20"/>
          <w:szCs w:val="20"/>
          <w:highlight w:val="none"/>
        </w:rPr>
      </w:pPr>
    </w:p>
    <w:p w14:paraId="533C1C02">
      <w:pPr>
        <w:spacing w:line="360" w:lineRule="auto"/>
        <w:rPr>
          <w:rFonts w:hint="eastAsia" w:ascii="黑体" w:hAnsi="黑体" w:eastAsia="黑体" w:cs="黑体"/>
          <w:color w:val="auto"/>
          <w:sz w:val="20"/>
          <w:szCs w:val="20"/>
          <w:highlight w:val="none"/>
        </w:rPr>
      </w:pPr>
    </w:p>
    <w:p w14:paraId="7F7BE724">
      <w:pPr>
        <w:ind w:firstLine="426"/>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lang w:eastAsia="zh-CN"/>
        </w:rPr>
        <w:t>陕西春秋工程造价事务所有限公司</w:t>
      </w:r>
    </w:p>
    <w:p w14:paraId="3816905A">
      <w:pPr>
        <w:ind w:firstLine="426"/>
        <w:rPr>
          <w:rFonts w:hint="eastAsia" w:ascii="黑体" w:hAnsi="黑体" w:eastAsia="黑体" w:cs="黑体"/>
          <w:color w:val="auto"/>
          <w:sz w:val="24"/>
          <w:szCs w:val="24"/>
          <w:highlight w:val="none"/>
          <w:lang w:eastAsia="zh-CN"/>
        </w:rPr>
      </w:pPr>
    </w:p>
    <w:p w14:paraId="4090994D">
      <w:pPr>
        <w:ind w:firstLine="426"/>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我方 </w:t>
      </w:r>
      <w:r>
        <w:rPr>
          <w:rFonts w:hint="eastAsia" w:ascii="黑体" w:hAnsi="黑体" w:eastAsia="黑体" w:cs="黑体"/>
          <w:i/>
          <w:color w:val="auto"/>
          <w:sz w:val="24"/>
          <w:szCs w:val="24"/>
          <w:highlight w:val="none"/>
          <w:u w:val="single"/>
        </w:rPr>
        <w:t xml:space="preserve">不属于 </w:t>
      </w:r>
      <w:r>
        <w:rPr>
          <w:rFonts w:hint="eastAsia" w:ascii="黑体" w:hAnsi="黑体" w:eastAsia="黑体" w:cs="黑体"/>
          <w:color w:val="auto"/>
          <w:sz w:val="24"/>
          <w:szCs w:val="24"/>
          <w:highlight w:val="none"/>
        </w:rPr>
        <w:t>为本项目提供整体设计、规范编制或者项目管理、监理、检测等服务的</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w:t>
      </w:r>
    </w:p>
    <w:p w14:paraId="5DB408F8">
      <w:pPr>
        <w:ind w:firstLine="426"/>
        <w:rPr>
          <w:rFonts w:hint="eastAsia" w:ascii="黑体" w:hAnsi="黑体" w:eastAsia="黑体" w:cs="黑体"/>
          <w:color w:val="auto"/>
          <w:sz w:val="24"/>
          <w:szCs w:val="24"/>
          <w:highlight w:val="none"/>
        </w:rPr>
      </w:pPr>
    </w:p>
    <w:p w14:paraId="2C8C3111">
      <w:pPr>
        <w:ind w:firstLine="426"/>
        <w:rPr>
          <w:rFonts w:hint="eastAsia" w:ascii="黑体" w:hAnsi="黑体" w:eastAsia="黑体" w:cs="黑体"/>
          <w:color w:val="auto"/>
          <w:sz w:val="21"/>
          <w:szCs w:val="21"/>
          <w:highlight w:val="none"/>
        </w:rPr>
      </w:pPr>
    </w:p>
    <w:p w14:paraId="08FD036B">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供应商名称（公章）： </w:t>
      </w:r>
    </w:p>
    <w:p w14:paraId="51EA2728">
      <w:pPr>
        <w:spacing w:before="120" w:after="120"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法定代表人或其授权代表（签字或盖章）：</w:t>
      </w:r>
    </w:p>
    <w:p w14:paraId="45687B5C">
      <w:pPr>
        <w:spacing w:before="120"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日</w:t>
      </w:r>
    </w:p>
    <w:p w14:paraId="07C67C97">
      <w:pPr>
        <w:pStyle w:val="6"/>
        <w:jc w:val="center"/>
        <w:rPr>
          <w:rFonts w:hint="eastAsia" w:ascii="黑体" w:hAnsi="黑体" w:eastAsia="黑体" w:cs="黑体"/>
          <w:b/>
          <w:color w:val="auto"/>
          <w:sz w:val="28"/>
          <w:szCs w:val="28"/>
          <w:highlight w:val="none"/>
        </w:rPr>
      </w:pPr>
      <w:r>
        <w:rPr>
          <w:rFonts w:hint="eastAsia" w:ascii="黑体" w:hAnsi="黑体" w:eastAsia="黑体" w:cs="黑体"/>
          <w:b/>
          <w:color w:val="auto"/>
          <w:sz w:val="20"/>
          <w:szCs w:val="22"/>
          <w:highlight w:val="none"/>
        </w:rPr>
        <w:br w:type="page"/>
      </w:r>
    </w:p>
    <w:p w14:paraId="40F3384F">
      <w:pPr>
        <w:pStyle w:val="5"/>
        <w:ind w:firstLine="480"/>
        <w:rPr>
          <w:rFonts w:hint="eastAsia" w:ascii="黑体" w:hAnsi="黑体" w:eastAsia="黑体" w:cs="黑体"/>
          <w:color w:val="auto"/>
          <w:sz w:val="22"/>
          <w:szCs w:val="18"/>
          <w:highlight w:val="none"/>
        </w:rPr>
        <w:sectPr>
          <w:pgSz w:w="11906" w:h="16838"/>
          <w:pgMar w:top="1418" w:right="1418" w:bottom="1418" w:left="1418" w:header="851" w:footer="992" w:gutter="0"/>
          <w:pgNumType w:fmt="decimal"/>
          <w:cols w:space="720" w:num="1"/>
          <w:docGrid w:linePitch="312" w:charSpace="0"/>
        </w:sectPr>
      </w:pPr>
    </w:p>
    <w:p w14:paraId="4BA8BD9E">
      <w:pPr>
        <w:pStyle w:val="6"/>
        <w:jc w:val="center"/>
        <w:rPr>
          <w:rFonts w:hint="eastAsia" w:ascii="黑体" w:hAnsi="黑体" w:eastAsia="黑体" w:cs="黑体"/>
          <w:b/>
          <w:bCs/>
          <w:color w:val="auto"/>
          <w:sz w:val="28"/>
          <w:szCs w:val="28"/>
          <w:highlight w:val="none"/>
        </w:rPr>
      </w:pPr>
      <w:r>
        <w:rPr>
          <w:rFonts w:hint="eastAsia" w:ascii="黑体" w:hAnsi="黑体" w:eastAsia="黑体" w:cs="黑体"/>
          <w:b/>
          <w:color w:val="auto"/>
          <w:sz w:val="28"/>
          <w:szCs w:val="28"/>
          <w:highlight w:val="none"/>
        </w:rPr>
        <w:t>特定资格条件1</w:t>
      </w:r>
    </w:p>
    <w:p w14:paraId="4944B193">
      <w:pPr>
        <w:ind w:firstLine="480" w:firstLineChars="200"/>
        <w:rPr>
          <w:rFonts w:hint="eastAsia" w:ascii="黑体" w:hAnsi="黑体" w:eastAsia="黑体" w:cs="黑体"/>
          <w:b/>
          <w:color w:val="auto"/>
          <w:sz w:val="28"/>
          <w:szCs w:val="28"/>
          <w:highlight w:val="none"/>
        </w:rPr>
      </w:pPr>
      <w:r>
        <w:rPr>
          <w:rFonts w:hint="eastAsia" w:ascii="黑体" w:hAnsi="黑体" w:eastAsia="黑体" w:cs="黑体"/>
          <w:color w:val="auto"/>
          <w:kern w:val="0"/>
          <w:sz w:val="24"/>
          <w:szCs w:val="24"/>
          <w:highlight w:val="none"/>
        </w:rPr>
        <w:t>供应商在递交响应文件截止时间前在中国政府采购网（www.ccgp.gov.cn）</w:t>
      </w:r>
      <w:r>
        <w:rPr>
          <w:rFonts w:hint="eastAsia" w:ascii="黑体" w:hAnsi="黑体" w:eastAsia="黑体" w:cs="黑体"/>
          <w:color w:val="auto"/>
          <w:kern w:val="0"/>
          <w:sz w:val="24"/>
          <w:szCs w:val="24"/>
          <w:highlight w:val="none"/>
          <w:lang w:eastAsia="zh-CN"/>
        </w:rPr>
        <w:t>未</w:t>
      </w:r>
      <w:r>
        <w:rPr>
          <w:rFonts w:hint="eastAsia" w:ascii="黑体" w:hAnsi="黑体" w:eastAsia="黑体" w:cs="黑体"/>
          <w:color w:val="auto"/>
          <w:kern w:val="0"/>
          <w:sz w:val="24"/>
          <w:szCs w:val="24"/>
          <w:highlight w:val="none"/>
        </w:rPr>
        <w:t>被列入政府采购严重违法失信行为记录名单，或在“信用中国”网站（www.creditchina.gov.cn）上</w:t>
      </w:r>
      <w:r>
        <w:rPr>
          <w:rFonts w:hint="eastAsia" w:ascii="黑体" w:hAnsi="黑体" w:eastAsia="黑体" w:cs="黑体"/>
          <w:color w:val="auto"/>
          <w:kern w:val="0"/>
          <w:sz w:val="24"/>
          <w:szCs w:val="24"/>
          <w:highlight w:val="none"/>
          <w:lang w:eastAsia="zh-CN"/>
        </w:rPr>
        <w:t>未</w:t>
      </w:r>
      <w:r>
        <w:rPr>
          <w:rFonts w:hint="eastAsia" w:ascii="黑体" w:hAnsi="黑体" w:eastAsia="黑体" w:cs="黑体"/>
          <w:color w:val="auto"/>
          <w:kern w:val="0"/>
          <w:sz w:val="24"/>
          <w:szCs w:val="24"/>
          <w:highlight w:val="none"/>
        </w:rPr>
        <w:t>被列入失信被执行人、重大税收违法案件当事人名单、政府采购严重违法失信行为记录名单的，附查询截图。</w:t>
      </w:r>
    </w:p>
    <w:p w14:paraId="5304AC03">
      <w:pPr>
        <w:rPr>
          <w:rFonts w:hint="eastAsia" w:ascii="黑体" w:hAnsi="黑体" w:eastAsia="黑体" w:cs="黑体"/>
          <w:b/>
          <w:color w:val="auto"/>
          <w:sz w:val="28"/>
          <w:szCs w:val="28"/>
          <w:highlight w:val="none"/>
        </w:rPr>
      </w:pPr>
    </w:p>
    <w:p w14:paraId="477A8FD0">
      <w:pPr>
        <w:pStyle w:val="23"/>
        <w:rPr>
          <w:rFonts w:hint="eastAsia" w:ascii="黑体" w:hAnsi="黑体" w:eastAsia="黑体" w:cs="黑体"/>
          <w:color w:val="auto"/>
          <w:sz w:val="20"/>
          <w:szCs w:val="22"/>
          <w:highlight w:val="none"/>
        </w:rPr>
      </w:pPr>
    </w:p>
    <w:p w14:paraId="723E94CA">
      <w:pP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br w:type="page"/>
      </w:r>
    </w:p>
    <w:p w14:paraId="008108B3">
      <w:pPr>
        <w:pStyle w:val="6"/>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特定资格条件2</w:t>
      </w:r>
    </w:p>
    <w:p w14:paraId="58C8412D">
      <w:pPr>
        <w:autoSpaceDE w:val="0"/>
        <w:autoSpaceDN w:val="0"/>
        <w:adjustRightInd w:val="0"/>
        <w:spacing w:line="348" w:lineRule="auto"/>
        <w:jc w:val="left"/>
        <w:rPr>
          <w:rFonts w:hint="eastAsia" w:ascii="黑体" w:hAnsi="黑体" w:eastAsia="黑体" w:cs="黑体"/>
          <w:b/>
          <w:color w:val="auto"/>
          <w:sz w:val="28"/>
          <w:szCs w:val="28"/>
          <w:highlight w:val="none"/>
        </w:rPr>
      </w:pPr>
      <w:r>
        <w:rPr>
          <w:rFonts w:hint="eastAsia" w:ascii="黑体" w:hAnsi="黑体" w:eastAsia="黑体" w:cs="黑体"/>
          <w:bCs/>
          <w:color w:val="auto"/>
          <w:sz w:val="24"/>
          <w:szCs w:val="24"/>
          <w:highlight w:val="none"/>
        </w:rPr>
        <w:t>投标人为代理商的应出具医疗器械经营许可证(或医疗器械经营备案凭证)和制造厂商的医疗器械生产许可证(或医疗器械生产备案凭证)；投标人为制造厂商的应出具医疗器械生产许可证(或医疗器械生产备案凭证)；</w:t>
      </w:r>
      <w:r>
        <w:rPr>
          <w:rFonts w:hint="eastAsia" w:ascii="黑体" w:hAnsi="黑体" w:eastAsia="黑体" w:cs="黑体"/>
          <w:b/>
          <w:color w:val="auto"/>
          <w:sz w:val="28"/>
          <w:szCs w:val="28"/>
          <w:highlight w:val="none"/>
        </w:rPr>
        <w:br w:type="page"/>
      </w:r>
    </w:p>
    <w:p w14:paraId="403FFA03">
      <w:pPr>
        <w:pStyle w:val="4"/>
        <w:jc w:val="center"/>
        <w:rPr>
          <w:rFonts w:hint="eastAsia" w:ascii="黑体" w:hAnsi="黑体" w:eastAsia="黑体" w:cs="黑体"/>
          <w:b/>
          <w:bCs/>
          <w:color w:val="auto"/>
          <w:sz w:val="28"/>
          <w:szCs w:val="28"/>
          <w:highlight w:val="none"/>
        </w:rPr>
        <w:sectPr>
          <w:pgSz w:w="11906" w:h="16838"/>
          <w:pgMar w:top="1418" w:right="1418" w:bottom="1418" w:left="1418" w:header="851" w:footer="992" w:gutter="0"/>
          <w:pgNumType w:fmt="decimal"/>
          <w:cols w:space="720" w:num="1"/>
          <w:docGrid w:linePitch="312" w:charSpace="0"/>
        </w:sectPr>
      </w:pPr>
    </w:p>
    <w:p w14:paraId="11CF589F">
      <w:pPr>
        <w:pStyle w:val="6"/>
        <w:jc w:val="cente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rPr>
        <w:t>特定资格条件</w:t>
      </w:r>
      <w:r>
        <w:rPr>
          <w:rFonts w:hint="eastAsia" w:ascii="黑体" w:hAnsi="黑体" w:eastAsia="黑体" w:cs="黑体"/>
          <w:b/>
          <w:color w:val="auto"/>
          <w:sz w:val="28"/>
          <w:szCs w:val="28"/>
          <w:highlight w:val="none"/>
          <w:lang w:val="en-US" w:eastAsia="zh-CN"/>
        </w:rPr>
        <w:t>3</w:t>
      </w:r>
    </w:p>
    <w:p w14:paraId="3280844A">
      <w:pPr>
        <w:pStyle w:val="6"/>
        <w:jc w:val="center"/>
        <w:rPr>
          <w:rFonts w:hint="eastAsia" w:ascii="黑体" w:hAnsi="黑体" w:eastAsia="黑体" w:cs="黑体"/>
          <w:bCs/>
          <w:color w:val="auto"/>
          <w:kern w:val="2"/>
          <w:sz w:val="24"/>
          <w:szCs w:val="24"/>
          <w:highlight w:val="none"/>
          <w:lang w:val="en-US" w:eastAsia="zh-CN" w:bidi="ar-SA"/>
        </w:rPr>
      </w:pPr>
      <w:r>
        <w:rPr>
          <w:rFonts w:hint="eastAsia" w:ascii="黑体" w:hAnsi="黑体" w:eastAsia="黑体" w:cs="黑体"/>
          <w:bCs/>
          <w:color w:val="auto"/>
          <w:kern w:val="2"/>
          <w:sz w:val="24"/>
          <w:szCs w:val="24"/>
          <w:highlight w:val="none"/>
          <w:lang w:val="en-US" w:eastAsia="zh-CN" w:bidi="ar-SA"/>
        </w:rPr>
        <w:t>所投产品如属于医疗器械应出具医疗器械注册证或医疗器械备案凭证；</w:t>
      </w:r>
    </w:p>
    <w:p w14:paraId="6A6D7F0C">
      <w:pPr>
        <w:pStyle w:val="6"/>
        <w:jc w:val="center"/>
        <w:rPr>
          <w:rFonts w:hint="eastAsia" w:ascii="黑体" w:hAnsi="黑体" w:eastAsia="黑体" w:cs="黑体"/>
          <w:bCs/>
          <w:color w:val="auto"/>
          <w:kern w:val="2"/>
          <w:sz w:val="24"/>
          <w:szCs w:val="24"/>
          <w:highlight w:val="none"/>
          <w:lang w:val="en-US" w:eastAsia="zh-CN" w:bidi="ar-SA"/>
        </w:rPr>
      </w:pPr>
    </w:p>
    <w:p w14:paraId="16F5ACCB">
      <w:pPr>
        <w:pStyle w:val="6"/>
        <w:jc w:val="center"/>
        <w:rPr>
          <w:rFonts w:hint="eastAsia" w:ascii="黑体" w:hAnsi="黑体" w:eastAsia="黑体" w:cs="黑体"/>
          <w:bCs/>
          <w:color w:val="auto"/>
          <w:kern w:val="2"/>
          <w:sz w:val="24"/>
          <w:szCs w:val="24"/>
          <w:highlight w:val="none"/>
          <w:lang w:val="en-US" w:eastAsia="zh-CN" w:bidi="ar-SA"/>
        </w:rPr>
      </w:pPr>
    </w:p>
    <w:p w14:paraId="27A5BFBE">
      <w:pPr>
        <w:pStyle w:val="6"/>
        <w:jc w:val="center"/>
        <w:rPr>
          <w:rFonts w:hint="eastAsia" w:ascii="黑体" w:hAnsi="黑体" w:eastAsia="黑体" w:cs="黑体"/>
          <w:bCs/>
          <w:color w:val="auto"/>
          <w:kern w:val="2"/>
          <w:sz w:val="24"/>
          <w:szCs w:val="24"/>
          <w:highlight w:val="none"/>
          <w:lang w:val="en-US" w:eastAsia="zh-CN" w:bidi="ar-SA"/>
        </w:rPr>
      </w:pPr>
    </w:p>
    <w:p w14:paraId="2103423C">
      <w:pPr>
        <w:pStyle w:val="6"/>
        <w:jc w:val="center"/>
        <w:rPr>
          <w:rFonts w:hint="eastAsia" w:ascii="黑体" w:hAnsi="黑体" w:eastAsia="黑体" w:cs="黑体"/>
          <w:bCs/>
          <w:color w:val="auto"/>
          <w:kern w:val="2"/>
          <w:sz w:val="24"/>
          <w:szCs w:val="24"/>
          <w:highlight w:val="none"/>
          <w:lang w:val="en-US" w:eastAsia="zh-CN" w:bidi="ar-SA"/>
        </w:rPr>
      </w:pPr>
    </w:p>
    <w:p w14:paraId="27D9F2DB">
      <w:pPr>
        <w:pStyle w:val="6"/>
        <w:jc w:val="center"/>
        <w:rPr>
          <w:rFonts w:hint="eastAsia" w:ascii="黑体" w:hAnsi="黑体" w:eastAsia="黑体" w:cs="黑体"/>
          <w:bCs/>
          <w:color w:val="auto"/>
          <w:kern w:val="2"/>
          <w:sz w:val="24"/>
          <w:szCs w:val="24"/>
          <w:highlight w:val="none"/>
          <w:lang w:val="en-US" w:eastAsia="zh-CN" w:bidi="ar-SA"/>
        </w:rPr>
      </w:pPr>
    </w:p>
    <w:p w14:paraId="621CB711">
      <w:pPr>
        <w:pStyle w:val="6"/>
        <w:jc w:val="center"/>
        <w:rPr>
          <w:rFonts w:hint="eastAsia" w:ascii="黑体" w:hAnsi="黑体" w:eastAsia="黑体" w:cs="黑体"/>
          <w:bCs/>
          <w:color w:val="auto"/>
          <w:kern w:val="2"/>
          <w:sz w:val="24"/>
          <w:szCs w:val="24"/>
          <w:highlight w:val="none"/>
          <w:lang w:val="en-US" w:eastAsia="zh-CN" w:bidi="ar-SA"/>
        </w:rPr>
      </w:pPr>
    </w:p>
    <w:p w14:paraId="00B4B7B2">
      <w:pPr>
        <w:pStyle w:val="6"/>
        <w:jc w:val="center"/>
        <w:rPr>
          <w:rFonts w:hint="eastAsia" w:ascii="黑体" w:hAnsi="黑体" w:eastAsia="黑体" w:cs="黑体"/>
          <w:bCs/>
          <w:color w:val="auto"/>
          <w:kern w:val="2"/>
          <w:sz w:val="24"/>
          <w:szCs w:val="24"/>
          <w:highlight w:val="none"/>
          <w:lang w:val="en-US" w:eastAsia="zh-CN" w:bidi="ar-SA"/>
        </w:rPr>
      </w:pPr>
    </w:p>
    <w:p w14:paraId="2AF2B9DF">
      <w:pPr>
        <w:pStyle w:val="6"/>
        <w:jc w:val="center"/>
        <w:rPr>
          <w:rFonts w:hint="eastAsia" w:ascii="黑体" w:hAnsi="黑体" w:eastAsia="黑体" w:cs="黑体"/>
          <w:bCs/>
          <w:color w:val="auto"/>
          <w:kern w:val="2"/>
          <w:sz w:val="24"/>
          <w:szCs w:val="24"/>
          <w:highlight w:val="none"/>
          <w:lang w:val="en-US" w:eastAsia="zh-CN" w:bidi="ar-SA"/>
        </w:rPr>
      </w:pPr>
    </w:p>
    <w:p w14:paraId="659E6B53">
      <w:pPr>
        <w:pStyle w:val="6"/>
        <w:jc w:val="center"/>
        <w:rPr>
          <w:rFonts w:hint="eastAsia" w:ascii="黑体" w:hAnsi="黑体" w:eastAsia="黑体" w:cs="黑体"/>
          <w:bCs/>
          <w:color w:val="auto"/>
          <w:kern w:val="2"/>
          <w:sz w:val="24"/>
          <w:szCs w:val="24"/>
          <w:highlight w:val="none"/>
          <w:lang w:val="en-US" w:eastAsia="zh-CN" w:bidi="ar-SA"/>
        </w:rPr>
      </w:pPr>
    </w:p>
    <w:p w14:paraId="26BA0A1C">
      <w:pPr>
        <w:pStyle w:val="6"/>
        <w:jc w:val="center"/>
        <w:rPr>
          <w:rFonts w:hint="eastAsia" w:ascii="黑体" w:hAnsi="黑体" w:eastAsia="黑体" w:cs="黑体"/>
          <w:bCs/>
          <w:color w:val="auto"/>
          <w:kern w:val="2"/>
          <w:sz w:val="24"/>
          <w:szCs w:val="24"/>
          <w:highlight w:val="none"/>
          <w:lang w:val="en-US" w:eastAsia="zh-CN" w:bidi="ar-SA"/>
        </w:rPr>
      </w:pPr>
    </w:p>
    <w:p w14:paraId="78FBB254">
      <w:pPr>
        <w:pStyle w:val="6"/>
        <w:jc w:val="center"/>
        <w:rPr>
          <w:rFonts w:hint="eastAsia" w:ascii="黑体" w:hAnsi="黑体" w:eastAsia="黑体" w:cs="黑体"/>
          <w:bCs/>
          <w:color w:val="auto"/>
          <w:kern w:val="2"/>
          <w:sz w:val="24"/>
          <w:szCs w:val="24"/>
          <w:highlight w:val="none"/>
          <w:lang w:val="en-US" w:eastAsia="zh-CN" w:bidi="ar-SA"/>
        </w:rPr>
      </w:pPr>
    </w:p>
    <w:p w14:paraId="12007F92">
      <w:pPr>
        <w:pStyle w:val="6"/>
        <w:jc w:val="center"/>
        <w:rPr>
          <w:rFonts w:hint="eastAsia" w:ascii="黑体" w:hAnsi="黑体" w:eastAsia="黑体" w:cs="黑体"/>
          <w:bCs/>
          <w:color w:val="auto"/>
          <w:kern w:val="2"/>
          <w:sz w:val="24"/>
          <w:szCs w:val="24"/>
          <w:highlight w:val="none"/>
          <w:lang w:val="en-US" w:eastAsia="zh-CN" w:bidi="ar-SA"/>
        </w:rPr>
      </w:pPr>
    </w:p>
    <w:p w14:paraId="6A6F81FB">
      <w:pPr>
        <w:pStyle w:val="6"/>
        <w:jc w:val="center"/>
        <w:rPr>
          <w:rFonts w:hint="eastAsia" w:ascii="黑体" w:hAnsi="黑体" w:eastAsia="黑体" w:cs="黑体"/>
          <w:bCs/>
          <w:color w:val="auto"/>
          <w:kern w:val="2"/>
          <w:sz w:val="24"/>
          <w:szCs w:val="24"/>
          <w:highlight w:val="none"/>
          <w:lang w:val="en-US" w:eastAsia="zh-CN" w:bidi="ar-SA"/>
        </w:rPr>
      </w:pPr>
    </w:p>
    <w:p w14:paraId="007EEA3A">
      <w:pPr>
        <w:pStyle w:val="6"/>
        <w:jc w:val="center"/>
        <w:rPr>
          <w:rFonts w:hint="eastAsia" w:ascii="黑体" w:hAnsi="黑体" w:eastAsia="黑体" w:cs="黑体"/>
          <w:bCs/>
          <w:color w:val="auto"/>
          <w:kern w:val="2"/>
          <w:sz w:val="24"/>
          <w:szCs w:val="24"/>
          <w:highlight w:val="none"/>
          <w:lang w:val="en-US" w:eastAsia="zh-CN" w:bidi="ar-SA"/>
        </w:rPr>
      </w:pPr>
    </w:p>
    <w:p w14:paraId="0DD611DC">
      <w:pPr>
        <w:pStyle w:val="6"/>
        <w:jc w:val="center"/>
        <w:rPr>
          <w:rFonts w:hint="eastAsia" w:ascii="黑体" w:hAnsi="黑体" w:eastAsia="黑体" w:cs="黑体"/>
          <w:bCs/>
          <w:color w:val="auto"/>
          <w:kern w:val="2"/>
          <w:sz w:val="24"/>
          <w:szCs w:val="24"/>
          <w:highlight w:val="none"/>
          <w:lang w:val="en-US" w:eastAsia="zh-CN" w:bidi="ar-SA"/>
        </w:rPr>
      </w:pPr>
    </w:p>
    <w:p w14:paraId="0E4D6482">
      <w:pPr>
        <w:pStyle w:val="6"/>
        <w:jc w:val="center"/>
        <w:rPr>
          <w:rFonts w:hint="eastAsia" w:ascii="黑体" w:hAnsi="黑体" w:eastAsia="黑体" w:cs="黑体"/>
          <w:bCs/>
          <w:color w:val="auto"/>
          <w:kern w:val="2"/>
          <w:sz w:val="24"/>
          <w:szCs w:val="24"/>
          <w:highlight w:val="none"/>
          <w:lang w:val="en-US" w:eastAsia="zh-CN" w:bidi="ar-SA"/>
        </w:rPr>
      </w:pPr>
    </w:p>
    <w:p w14:paraId="0F351507">
      <w:pPr>
        <w:pStyle w:val="6"/>
        <w:jc w:val="center"/>
        <w:rPr>
          <w:rFonts w:hint="eastAsia" w:ascii="黑体" w:hAnsi="黑体" w:eastAsia="黑体" w:cs="黑体"/>
          <w:bCs/>
          <w:color w:val="auto"/>
          <w:kern w:val="2"/>
          <w:sz w:val="24"/>
          <w:szCs w:val="24"/>
          <w:highlight w:val="none"/>
          <w:lang w:val="en-US" w:eastAsia="zh-CN" w:bidi="ar-SA"/>
        </w:rPr>
      </w:pPr>
    </w:p>
    <w:p w14:paraId="7CCF5A25">
      <w:pPr>
        <w:pStyle w:val="6"/>
        <w:jc w:val="center"/>
        <w:rPr>
          <w:rFonts w:hint="eastAsia" w:ascii="黑体" w:hAnsi="黑体" w:eastAsia="黑体" w:cs="黑体"/>
          <w:bCs/>
          <w:color w:val="auto"/>
          <w:kern w:val="2"/>
          <w:sz w:val="24"/>
          <w:szCs w:val="24"/>
          <w:highlight w:val="none"/>
          <w:lang w:val="en-US" w:eastAsia="zh-CN" w:bidi="ar-SA"/>
        </w:rPr>
      </w:pPr>
    </w:p>
    <w:p w14:paraId="271B2FBB">
      <w:pPr>
        <w:pStyle w:val="6"/>
        <w:jc w:val="center"/>
        <w:rPr>
          <w:rFonts w:hint="eastAsia" w:ascii="黑体" w:hAnsi="黑体" w:eastAsia="黑体" w:cs="黑体"/>
          <w:bCs/>
          <w:color w:val="auto"/>
          <w:kern w:val="2"/>
          <w:sz w:val="24"/>
          <w:szCs w:val="24"/>
          <w:highlight w:val="none"/>
          <w:lang w:val="en-US" w:eastAsia="zh-CN" w:bidi="ar-SA"/>
        </w:rPr>
      </w:pPr>
    </w:p>
    <w:p w14:paraId="23FB869B">
      <w:pPr>
        <w:pStyle w:val="6"/>
        <w:jc w:val="center"/>
        <w:rPr>
          <w:rFonts w:hint="eastAsia" w:ascii="黑体" w:hAnsi="黑体" w:eastAsia="黑体" w:cs="黑体"/>
          <w:bCs/>
          <w:color w:val="auto"/>
          <w:kern w:val="2"/>
          <w:sz w:val="24"/>
          <w:szCs w:val="24"/>
          <w:highlight w:val="none"/>
          <w:lang w:val="en-US" w:eastAsia="zh-CN" w:bidi="ar-SA"/>
        </w:rPr>
      </w:pPr>
    </w:p>
    <w:p w14:paraId="12C5404C">
      <w:pPr>
        <w:pStyle w:val="6"/>
        <w:jc w:val="center"/>
        <w:rPr>
          <w:rFonts w:hint="eastAsia" w:ascii="黑体" w:hAnsi="黑体" w:eastAsia="黑体" w:cs="黑体"/>
          <w:bCs/>
          <w:color w:val="auto"/>
          <w:kern w:val="2"/>
          <w:sz w:val="24"/>
          <w:szCs w:val="24"/>
          <w:highlight w:val="none"/>
          <w:lang w:val="en-US" w:eastAsia="zh-CN" w:bidi="ar-SA"/>
        </w:rPr>
      </w:pPr>
    </w:p>
    <w:p w14:paraId="50BC2E69">
      <w:pPr>
        <w:pStyle w:val="6"/>
        <w:jc w:val="center"/>
        <w:rPr>
          <w:rFonts w:hint="eastAsia" w:ascii="黑体" w:hAnsi="黑体" w:eastAsia="黑体" w:cs="黑体"/>
          <w:bCs/>
          <w:color w:val="auto"/>
          <w:kern w:val="2"/>
          <w:sz w:val="24"/>
          <w:szCs w:val="24"/>
          <w:highlight w:val="none"/>
          <w:lang w:val="en-US" w:eastAsia="zh-CN" w:bidi="ar-SA"/>
        </w:rPr>
      </w:pPr>
    </w:p>
    <w:p w14:paraId="22DB392B">
      <w:pPr>
        <w:pStyle w:val="6"/>
        <w:jc w:val="center"/>
        <w:rPr>
          <w:rFonts w:hint="eastAsia" w:ascii="黑体" w:hAnsi="黑体" w:eastAsia="黑体" w:cs="黑体"/>
          <w:bCs/>
          <w:color w:val="auto"/>
          <w:kern w:val="2"/>
          <w:sz w:val="24"/>
          <w:szCs w:val="24"/>
          <w:highlight w:val="none"/>
          <w:lang w:val="en-US" w:eastAsia="zh-CN" w:bidi="ar-SA"/>
        </w:rPr>
      </w:pPr>
    </w:p>
    <w:p w14:paraId="7990B169">
      <w:pPr>
        <w:pStyle w:val="6"/>
        <w:jc w:val="center"/>
        <w:rPr>
          <w:rFonts w:hint="eastAsia" w:ascii="黑体" w:hAnsi="黑体" w:eastAsia="黑体" w:cs="黑体"/>
          <w:bCs/>
          <w:color w:val="auto"/>
          <w:kern w:val="2"/>
          <w:sz w:val="24"/>
          <w:szCs w:val="24"/>
          <w:highlight w:val="none"/>
          <w:lang w:val="en-US" w:eastAsia="zh-CN" w:bidi="ar-SA"/>
        </w:rPr>
      </w:pPr>
    </w:p>
    <w:p w14:paraId="4662BC4F">
      <w:pPr>
        <w:pStyle w:val="6"/>
        <w:jc w:val="center"/>
        <w:rPr>
          <w:rFonts w:hint="eastAsia" w:ascii="黑体" w:hAnsi="黑体" w:eastAsia="黑体" w:cs="黑体"/>
          <w:bCs/>
          <w:color w:val="auto"/>
          <w:kern w:val="2"/>
          <w:sz w:val="24"/>
          <w:szCs w:val="24"/>
          <w:highlight w:val="none"/>
          <w:lang w:val="en-US" w:eastAsia="zh-CN" w:bidi="ar-SA"/>
        </w:rPr>
      </w:pPr>
    </w:p>
    <w:p w14:paraId="1B532F72">
      <w:pPr>
        <w:pStyle w:val="6"/>
        <w:jc w:val="center"/>
        <w:rPr>
          <w:rFonts w:hint="eastAsia" w:ascii="黑体" w:hAnsi="黑体" w:eastAsia="黑体" w:cs="黑体"/>
          <w:bCs/>
          <w:color w:val="auto"/>
          <w:kern w:val="2"/>
          <w:sz w:val="24"/>
          <w:szCs w:val="24"/>
          <w:highlight w:val="none"/>
          <w:lang w:val="en-US" w:eastAsia="zh-CN" w:bidi="ar-SA"/>
        </w:rPr>
      </w:pPr>
    </w:p>
    <w:p w14:paraId="38A997B8">
      <w:pPr>
        <w:pStyle w:val="6"/>
        <w:jc w:val="center"/>
        <w:rPr>
          <w:rFonts w:hint="eastAsia" w:ascii="黑体" w:hAnsi="黑体" w:eastAsia="黑体" w:cs="黑体"/>
          <w:bCs/>
          <w:color w:val="auto"/>
          <w:kern w:val="2"/>
          <w:sz w:val="24"/>
          <w:szCs w:val="24"/>
          <w:highlight w:val="none"/>
          <w:lang w:val="en-US" w:eastAsia="zh-CN" w:bidi="ar-SA"/>
        </w:rPr>
      </w:pPr>
    </w:p>
    <w:p w14:paraId="55EB6D74">
      <w:pPr>
        <w:pStyle w:val="6"/>
        <w:jc w:val="center"/>
        <w:rPr>
          <w:rFonts w:hint="eastAsia" w:ascii="黑体" w:hAnsi="黑体" w:eastAsia="黑体" w:cs="黑体"/>
          <w:bCs/>
          <w:color w:val="auto"/>
          <w:kern w:val="2"/>
          <w:sz w:val="24"/>
          <w:szCs w:val="24"/>
          <w:highlight w:val="none"/>
          <w:lang w:val="en-US" w:eastAsia="zh-CN" w:bidi="ar-SA"/>
        </w:rPr>
      </w:pPr>
    </w:p>
    <w:p w14:paraId="112BCF4A">
      <w:pPr>
        <w:pStyle w:val="6"/>
        <w:jc w:val="cente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rPr>
        <w:t>特定资格条件</w:t>
      </w:r>
      <w:r>
        <w:rPr>
          <w:rFonts w:hint="eastAsia" w:ascii="黑体" w:hAnsi="黑体" w:eastAsia="黑体" w:cs="黑体"/>
          <w:b/>
          <w:color w:val="auto"/>
          <w:sz w:val="28"/>
          <w:szCs w:val="28"/>
          <w:highlight w:val="none"/>
          <w:lang w:val="en-US" w:eastAsia="zh-CN"/>
        </w:rPr>
        <w:t>4</w:t>
      </w:r>
    </w:p>
    <w:p w14:paraId="7DC7239A">
      <w:pPr>
        <w:pStyle w:val="6"/>
        <w:jc w:val="center"/>
        <w:rPr>
          <w:rFonts w:hint="eastAsia" w:ascii="黑体" w:hAnsi="黑体" w:eastAsia="黑体" w:cs="黑体"/>
          <w:b/>
          <w:color w:val="auto"/>
          <w:sz w:val="24"/>
          <w:szCs w:val="24"/>
          <w:highlight w:val="none"/>
        </w:rPr>
      </w:pPr>
    </w:p>
    <w:p w14:paraId="778A28E8">
      <w:pPr>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法定代表人（或单位负责人）身份证明</w:t>
      </w:r>
    </w:p>
    <w:p w14:paraId="00597370">
      <w:pPr>
        <w:spacing w:line="360" w:lineRule="auto"/>
        <w:rPr>
          <w:rFonts w:hint="eastAsia" w:ascii="黑体" w:hAnsi="黑体" w:eastAsia="黑体" w:cs="黑体"/>
          <w:color w:val="auto"/>
          <w:highlight w:val="none"/>
          <w:shd w:val="clear" w:color="auto" w:fill="FFFFFF"/>
        </w:rPr>
      </w:pPr>
    </w:p>
    <w:p w14:paraId="47E5BC1C">
      <w:pPr>
        <w:spacing w:line="360"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致（采购代理机构名称）</w:t>
      </w:r>
      <w:r>
        <w:rPr>
          <w:rFonts w:hint="eastAsia" w:ascii="黑体" w:hAnsi="黑体" w:eastAsia="黑体" w:cs="黑体"/>
          <w:color w:val="auto"/>
          <w:sz w:val="24"/>
          <w:highlight w:val="none"/>
        </w:rPr>
        <w:t>：</w:t>
      </w:r>
    </w:p>
    <w:p w14:paraId="3A1B478B">
      <w:pPr>
        <w:spacing w:line="360" w:lineRule="auto"/>
        <w:ind w:firstLine="600" w:firstLineChars="250"/>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（姓名、性别、年龄、身份证号码）在我</w:t>
      </w:r>
      <w:r>
        <w:rPr>
          <w:rFonts w:hint="eastAsia" w:ascii="黑体" w:hAnsi="黑体" w:eastAsia="黑体" w:cs="黑体"/>
          <w:color w:val="auto"/>
          <w:sz w:val="24"/>
          <w:highlight w:val="none"/>
        </w:rPr>
        <w:fldChar w:fldCharType="begin"/>
      </w:r>
      <w:r>
        <w:rPr>
          <w:rFonts w:hint="eastAsia" w:ascii="黑体" w:hAnsi="黑体" w:eastAsia="黑体" w:cs="黑体"/>
          <w:color w:val="auto"/>
          <w:sz w:val="24"/>
          <w:highlight w:val="none"/>
        </w:rPr>
        <w:instrText xml:space="preserve"> HYPERLINK "https://baike.baidu.com/item/%E5%8D%95%E4%BD%8D/32292" \t "_blank" </w:instrText>
      </w:r>
      <w:r>
        <w:rPr>
          <w:rFonts w:hint="eastAsia" w:ascii="黑体" w:hAnsi="黑体" w:eastAsia="黑体" w:cs="黑体"/>
          <w:color w:val="auto"/>
          <w:sz w:val="24"/>
          <w:highlight w:val="none"/>
        </w:rPr>
        <w:fldChar w:fldCharType="separate"/>
      </w:r>
      <w:r>
        <w:rPr>
          <w:rFonts w:hint="eastAsia" w:ascii="黑体" w:hAnsi="黑体" w:eastAsia="黑体" w:cs="黑体"/>
          <w:color w:val="auto"/>
          <w:sz w:val="24"/>
          <w:highlight w:val="none"/>
        </w:rPr>
        <w:t>单位</w:t>
      </w:r>
      <w:r>
        <w:rPr>
          <w:rFonts w:hint="eastAsia" w:ascii="黑体" w:hAnsi="黑体" w:eastAsia="黑体" w:cs="黑体"/>
          <w:color w:val="auto"/>
          <w:sz w:val="24"/>
          <w:highlight w:val="none"/>
        </w:rPr>
        <w:fldChar w:fldCharType="end"/>
      </w:r>
      <w:r>
        <w:rPr>
          <w:rFonts w:hint="eastAsia" w:ascii="黑体" w:hAnsi="黑体" w:eastAsia="黑体" w:cs="黑体"/>
          <w:color w:val="auto"/>
          <w:sz w:val="24"/>
          <w:highlight w:val="none"/>
        </w:rPr>
        <w:t>任</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（董事长、总经理等）职务，是我单位的法定代表人。</w:t>
      </w:r>
    </w:p>
    <w:p w14:paraId="21929E6C">
      <w:pPr>
        <w:spacing w:line="360" w:lineRule="auto"/>
        <w:ind w:firstLine="480"/>
        <w:rPr>
          <w:rFonts w:hint="eastAsia" w:ascii="黑体" w:hAnsi="黑体" w:eastAsia="黑体" w:cs="黑体"/>
          <w:color w:val="auto"/>
          <w:sz w:val="24"/>
          <w:highlight w:val="none"/>
        </w:rPr>
      </w:pPr>
    </w:p>
    <w:p w14:paraId="36951E2D">
      <w:pPr>
        <w:spacing w:line="360" w:lineRule="auto"/>
        <w:ind w:firstLine="480"/>
        <w:rPr>
          <w:rFonts w:hint="eastAsia" w:ascii="黑体" w:hAnsi="黑体" w:eastAsia="黑体" w:cs="黑体"/>
          <w:color w:val="auto"/>
          <w:sz w:val="24"/>
          <w:highlight w:val="none"/>
        </w:rPr>
      </w:pPr>
    </w:p>
    <w:p w14:paraId="4E3818AF">
      <w:pPr>
        <w:spacing w:line="360" w:lineRule="auto"/>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特此证明。</w:t>
      </w:r>
    </w:p>
    <w:p w14:paraId="3F506646">
      <w:pPr>
        <w:spacing w:line="360" w:lineRule="auto"/>
        <w:ind w:firstLine="480"/>
        <w:rPr>
          <w:rFonts w:hint="eastAsia" w:ascii="黑体" w:hAnsi="黑体" w:eastAsia="黑体" w:cs="黑体"/>
          <w:color w:val="auto"/>
          <w:sz w:val="24"/>
          <w:highlight w:val="none"/>
        </w:rPr>
      </w:pPr>
    </w:p>
    <w:p w14:paraId="263D91BE">
      <w:pPr>
        <w:autoSpaceDE w:val="0"/>
        <w:autoSpaceDN w:val="0"/>
        <w:adjustRightInd w:val="0"/>
        <w:spacing w:line="360" w:lineRule="auto"/>
        <w:ind w:firstLine="360" w:firstLineChars="150"/>
        <w:rPr>
          <w:rFonts w:hint="eastAsia" w:ascii="黑体" w:hAnsi="黑体" w:eastAsia="黑体" w:cs="黑体"/>
          <w:color w:val="auto"/>
          <w:sz w:val="24"/>
          <w:highlight w:val="none"/>
        </w:rPr>
      </w:pPr>
      <w:r>
        <w:rPr>
          <w:rFonts w:hint="eastAsia" w:ascii="黑体" w:hAnsi="黑体" w:eastAsia="黑体" w:cs="黑体"/>
          <w:color w:val="auto"/>
          <w:sz w:val="24"/>
          <w:highlight w:val="none"/>
          <w:lang w:val="zh-CN"/>
        </w:rPr>
        <w:t>法定代表人身份证复印件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40CE38B3">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5CD1D307">
            <w:pPr>
              <w:autoSpaceDE w:val="0"/>
              <w:autoSpaceDN w:val="0"/>
              <w:adjustRightInd w:val="0"/>
              <w:spacing w:line="312" w:lineRule="auto"/>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法定代表人身份证复印件</w:t>
            </w:r>
          </w:p>
          <w:p w14:paraId="241ED9D1">
            <w:pPr>
              <w:autoSpaceDE w:val="0"/>
              <w:autoSpaceDN w:val="0"/>
              <w:adjustRightInd w:val="0"/>
              <w:spacing w:line="312" w:lineRule="auto"/>
              <w:jc w:val="center"/>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lang w:val="zh-CN"/>
              </w:rPr>
              <w:t>（正面）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2495443">
            <w:pPr>
              <w:autoSpaceDE w:val="0"/>
              <w:autoSpaceDN w:val="0"/>
              <w:adjustRightInd w:val="0"/>
              <w:spacing w:line="312" w:lineRule="auto"/>
              <w:jc w:val="center"/>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法定代表人身份证复印件</w:t>
            </w:r>
          </w:p>
          <w:p w14:paraId="62151CAA">
            <w:pPr>
              <w:autoSpaceDE w:val="0"/>
              <w:autoSpaceDN w:val="0"/>
              <w:adjustRightInd w:val="0"/>
              <w:spacing w:line="312" w:lineRule="auto"/>
              <w:jc w:val="center"/>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lang w:val="zh-CN"/>
              </w:rPr>
              <w:t>（反面）</w:t>
            </w:r>
          </w:p>
        </w:tc>
      </w:tr>
    </w:tbl>
    <w:p w14:paraId="6A5008C6">
      <w:pPr>
        <w:spacing w:line="360" w:lineRule="auto"/>
        <w:ind w:firstLine="480"/>
        <w:rPr>
          <w:rFonts w:hint="eastAsia" w:ascii="黑体" w:hAnsi="黑体" w:eastAsia="黑体" w:cs="黑体"/>
          <w:color w:val="auto"/>
          <w:sz w:val="24"/>
          <w:highlight w:val="none"/>
        </w:rPr>
      </w:pPr>
    </w:p>
    <w:p w14:paraId="288E24B0">
      <w:pPr>
        <w:spacing w:line="360" w:lineRule="auto"/>
        <w:ind w:firstLine="480"/>
        <w:rPr>
          <w:rFonts w:hint="eastAsia" w:ascii="黑体" w:hAnsi="黑体" w:eastAsia="黑体" w:cs="黑体"/>
          <w:color w:val="auto"/>
          <w:sz w:val="24"/>
          <w:highlight w:val="none"/>
        </w:rPr>
      </w:pPr>
    </w:p>
    <w:p w14:paraId="3D9E84BD">
      <w:pPr>
        <w:tabs>
          <w:tab w:val="left" w:pos="5580"/>
        </w:tabs>
        <w:spacing w:line="360" w:lineRule="auto"/>
        <w:ind w:left="-540" w:leftChars="-257" w:firstLine="900" w:firstLineChars="375"/>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投标人（盖公章）：</w:t>
      </w:r>
      <w:r>
        <w:rPr>
          <w:rFonts w:hint="eastAsia" w:ascii="黑体" w:hAnsi="黑体" w:eastAsia="黑体" w:cs="黑体"/>
          <w:color w:val="auto"/>
          <w:sz w:val="24"/>
          <w:szCs w:val="20"/>
          <w:highlight w:val="none"/>
          <w:u w:val="single"/>
        </w:rPr>
        <w:t xml:space="preserve">                             </w:t>
      </w:r>
    </w:p>
    <w:p w14:paraId="0100B9B9">
      <w:pPr>
        <w:tabs>
          <w:tab w:val="left" w:pos="5580"/>
        </w:tabs>
        <w:spacing w:line="360" w:lineRule="auto"/>
        <w:ind w:left="269" w:leftChars="128" w:firstLine="120" w:firstLineChars="5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详细通讯地址：</w:t>
      </w:r>
      <w:r>
        <w:rPr>
          <w:rFonts w:hint="eastAsia" w:ascii="黑体" w:hAnsi="黑体" w:eastAsia="黑体" w:cs="黑体"/>
          <w:color w:val="auto"/>
          <w:sz w:val="24"/>
          <w:szCs w:val="20"/>
          <w:highlight w:val="none"/>
          <w:u w:val="single"/>
        </w:rPr>
        <w:t xml:space="preserve">                                </w:t>
      </w:r>
    </w:p>
    <w:p w14:paraId="54C962A3">
      <w:pPr>
        <w:tabs>
          <w:tab w:val="left" w:pos="5580"/>
        </w:tabs>
        <w:spacing w:line="360" w:lineRule="auto"/>
        <w:ind w:firstLine="360" w:firstLineChars="15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邮 政 编 码 ：</w:t>
      </w:r>
      <w:r>
        <w:rPr>
          <w:rFonts w:hint="eastAsia" w:ascii="黑体" w:hAnsi="黑体" w:eastAsia="黑体" w:cs="黑体"/>
          <w:color w:val="auto"/>
          <w:sz w:val="24"/>
          <w:szCs w:val="20"/>
          <w:highlight w:val="none"/>
          <w:u w:val="single"/>
        </w:rPr>
        <w:t xml:space="preserve">                                </w:t>
      </w:r>
    </w:p>
    <w:p w14:paraId="79C407B6">
      <w:pPr>
        <w:tabs>
          <w:tab w:val="left" w:pos="5580"/>
        </w:tabs>
        <w:spacing w:line="360" w:lineRule="auto"/>
        <w:ind w:firstLine="360" w:firstLineChars="15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电　　　　话：</w:t>
      </w:r>
      <w:r>
        <w:rPr>
          <w:rFonts w:hint="eastAsia" w:ascii="黑体" w:hAnsi="黑体" w:eastAsia="黑体" w:cs="黑体"/>
          <w:color w:val="auto"/>
          <w:sz w:val="24"/>
          <w:szCs w:val="20"/>
          <w:highlight w:val="none"/>
          <w:u w:val="single"/>
        </w:rPr>
        <w:t xml:space="preserve">                                </w:t>
      </w:r>
    </w:p>
    <w:p w14:paraId="54BC26F5">
      <w:pPr>
        <w:spacing w:line="360" w:lineRule="auto"/>
        <w:ind w:firstLine="480"/>
        <w:rPr>
          <w:rFonts w:hint="eastAsia" w:ascii="黑体" w:hAnsi="黑体" w:eastAsia="黑体" w:cs="黑体"/>
          <w:color w:val="auto"/>
          <w:sz w:val="24"/>
          <w:highlight w:val="none"/>
        </w:rPr>
      </w:pPr>
    </w:p>
    <w:p w14:paraId="5AE364E9">
      <w:pPr>
        <w:pStyle w:val="5"/>
        <w:ind w:left="0" w:leftChars="0" w:firstLine="0" w:firstLineChars="0"/>
        <w:rPr>
          <w:rFonts w:hint="eastAsia" w:ascii="黑体" w:hAnsi="黑体" w:eastAsia="黑体" w:cs="黑体"/>
          <w:b/>
          <w:color w:val="auto"/>
          <w:sz w:val="24"/>
          <w:szCs w:val="24"/>
          <w:highlight w:val="none"/>
        </w:rPr>
      </w:pPr>
    </w:p>
    <w:p w14:paraId="6B233CA7">
      <w:pPr>
        <w:pStyle w:val="5"/>
        <w:rPr>
          <w:rFonts w:hint="eastAsia" w:ascii="黑体" w:hAnsi="黑体" w:eastAsia="黑体" w:cs="黑体"/>
          <w:b/>
          <w:color w:val="auto"/>
          <w:sz w:val="24"/>
          <w:szCs w:val="24"/>
          <w:highlight w:val="none"/>
        </w:rPr>
      </w:pPr>
    </w:p>
    <w:p w14:paraId="49ED606F">
      <w:pPr>
        <w:pStyle w:val="6"/>
        <w:jc w:val="center"/>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注：法定代表人直接参加磋商的，须出具法人身份证，并与营业执照上信息一致。</w:t>
      </w:r>
    </w:p>
    <w:p w14:paraId="48CB3150">
      <w:pPr>
        <w:pStyle w:val="6"/>
        <w:jc w:val="center"/>
        <w:rPr>
          <w:rFonts w:hint="eastAsia" w:ascii="黑体" w:hAnsi="黑体" w:eastAsia="黑体" w:cs="黑体"/>
          <w:b/>
          <w:color w:val="auto"/>
          <w:sz w:val="24"/>
          <w:szCs w:val="24"/>
          <w:highlight w:val="none"/>
          <w:lang w:val="en-US" w:eastAsia="zh-CN"/>
        </w:rPr>
      </w:pPr>
    </w:p>
    <w:p w14:paraId="7EA1EE94">
      <w:pPr>
        <w:pStyle w:val="6"/>
        <w:jc w:val="center"/>
        <w:rPr>
          <w:rFonts w:hint="eastAsia" w:ascii="黑体" w:hAnsi="黑体" w:eastAsia="黑体" w:cs="黑体"/>
          <w:b/>
          <w:color w:val="auto"/>
          <w:sz w:val="24"/>
          <w:szCs w:val="24"/>
          <w:highlight w:val="none"/>
          <w:lang w:val="en-US" w:eastAsia="zh-CN"/>
        </w:rPr>
      </w:pPr>
    </w:p>
    <w:p w14:paraId="12D0152A">
      <w:pPr>
        <w:pStyle w:val="6"/>
        <w:jc w:val="center"/>
        <w:rPr>
          <w:rFonts w:hint="eastAsia" w:ascii="黑体" w:hAnsi="黑体" w:eastAsia="黑体" w:cs="黑体"/>
          <w:b/>
          <w:color w:val="auto"/>
          <w:sz w:val="24"/>
          <w:szCs w:val="24"/>
          <w:highlight w:val="none"/>
          <w:lang w:val="en-US" w:eastAsia="zh-CN"/>
        </w:rPr>
      </w:pPr>
    </w:p>
    <w:p w14:paraId="47622258">
      <w:pPr>
        <w:pStyle w:val="6"/>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法定代表人授权书</w:t>
      </w:r>
    </w:p>
    <w:p w14:paraId="4C8525C6">
      <w:pPr>
        <w:autoSpaceDE w:val="0"/>
        <w:autoSpaceDN w:val="0"/>
        <w:adjustRightInd w:val="0"/>
        <w:spacing w:line="348" w:lineRule="auto"/>
        <w:ind w:firstLine="400"/>
        <w:rPr>
          <w:rFonts w:hint="eastAsia" w:ascii="黑体" w:hAnsi="黑体" w:eastAsia="黑体" w:cs="黑体"/>
          <w:b/>
          <w:color w:val="auto"/>
          <w:sz w:val="18"/>
          <w:szCs w:val="22"/>
          <w:highlight w:val="none"/>
        </w:rPr>
      </w:pPr>
    </w:p>
    <w:p w14:paraId="23F86BE6">
      <w:pPr>
        <w:autoSpaceDE w:val="0"/>
        <w:autoSpaceDN w:val="0"/>
        <w:adjustRightInd w:val="0"/>
        <w:spacing w:line="348"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陕西春秋工程造价事务所有限公司</w:t>
      </w:r>
      <w:r>
        <w:rPr>
          <w:rFonts w:hint="eastAsia" w:ascii="黑体" w:hAnsi="黑体" w:eastAsia="黑体" w:cs="黑体"/>
          <w:color w:val="auto"/>
          <w:sz w:val="24"/>
          <w:szCs w:val="24"/>
          <w:highlight w:val="none"/>
        </w:rPr>
        <w:t>：</w:t>
      </w:r>
    </w:p>
    <w:p w14:paraId="6EF3BB9C">
      <w:pPr>
        <w:autoSpaceDE w:val="0"/>
        <w:autoSpaceDN w:val="0"/>
        <w:adjustRightInd w:val="0"/>
        <w:spacing w:line="348" w:lineRule="auto"/>
        <w:ind w:firstLine="64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注册于</w:t>
      </w:r>
      <w:r>
        <w:rPr>
          <w:rFonts w:hint="eastAsia" w:ascii="黑体" w:hAnsi="黑体" w:eastAsia="黑体" w:cs="黑体"/>
          <w:color w:val="auto"/>
          <w:sz w:val="24"/>
          <w:szCs w:val="24"/>
          <w:highlight w:val="none"/>
          <w:u w:val="single"/>
        </w:rPr>
        <w:t>（工商行政管理局名称）</w:t>
      </w:r>
      <w:r>
        <w:rPr>
          <w:rFonts w:hint="eastAsia" w:ascii="黑体" w:hAnsi="黑体" w:eastAsia="黑体" w:cs="黑体"/>
          <w:color w:val="auto"/>
          <w:sz w:val="24"/>
          <w:szCs w:val="24"/>
          <w:highlight w:val="none"/>
        </w:rPr>
        <w:t>之</w:t>
      </w:r>
      <w:r>
        <w:rPr>
          <w:rFonts w:hint="eastAsia" w:ascii="黑体" w:hAnsi="黑体" w:eastAsia="黑体" w:cs="黑体"/>
          <w:color w:val="auto"/>
          <w:sz w:val="24"/>
          <w:szCs w:val="24"/>
          <w:highlight w:val="none"/>
          <w:u w:val="single"/>
        </w:rPr>
        <w:t>（供应商全称）</w:t>
      </w:r>
      <w:r>
        <w:rPr>
          <w:rFonts w:hint="eastAsia" w:ascii="黑体" w:hAnsi="黑体" w:eastAsia="黑体" w:cs="黑体"/>
          <w:color w:val="auto"/>
          <w:sz w:val="24"/>
          <w:szCs w:val="24"/>
          <w:highlight w:val="none"/>
        </w:rPr>
        <w:t>法人代表</w:t>
      </w:r>
      <w:r>
        <w:rPr>
          <w:rFonts w:hint="eastAsia" w:ascii="黑体" w:hAnsi="黑体" w:eastAsia="黑体" w:cs="黑体"/>
          <w:color w:val="auto"/>
          <w:sz w:val="24"/>
          <w:szCs w:val="24"/>
          <w:highlight w:val="none"/>
          <w:u w:val="single"/>
        </w:rPr>
        <w:t>（姓名、职务）</w:t>
      </w:r>
      <w:r>
        <w:rPr>
          <w:rFonts w:hint="eastAsia" w:ascii="黑体" w:hAnsi="黑体" w:eastAsia="黑体" w:cs="黑体"/>
          <w:color w:val="auto"/>
          <w:sz w:val="24"/>
          <w:szCs w:val="24"/>
          <w:highlight w:val="none"/>
        </w:rPr>
        <w:t>授权</w:t>
      </w:r>
      <w:r>
        <w:rPr>
          <w:rFonts w:hint="eastAsia" w:ascii="黑体" w:hAnsi="黑体" w:eastAsia="黑体" w:cs="黑体"/>
          <w:color w:val="auto"/>
          <w:sz w:val="24"/>
          <w:szCs w:val="24"/>
          <w:highlight w:val="none"/>
          <w:u w:val="single"/>
        </w:rPr>
        <w:t>（被授权人姓名、职务）</w:t>
      </w:r>
      <w:r>
        <w:rPr>
          <w:rFonts w:hint="eastAsia" w:ascii="黑体" w:hAnsi="黑体" w:eastAsia="黑体" w:cs="黑体"/>
          <w:color w:val="auto"/>
          <w:sz w:val="24"/>
          <w:szCs w:val="24"/>
          <w:highlight w:val="none"/>
        </w:rPr>
        <w:t>为本公司的合法代理人，就</w:t>
      </w:r>
      <w:r>
        <w:rPr>
          <w:rFonts w:hint="eastAsia" w:ascii="黑体" w:hAnsi="黑体" w:eastAsia="黑体" w:cs="黑体"/>
          <w:color w:val="auto"/>
          <w:sz w:val="24"/>
          <w:szCs w:val="24"/>
          <w:highlight w:val="none"/>
          <w:u w:val="single"/>
        </w:rPr>
        <w:t>（项目名称）</w:t>
      </w:r>
      <w:r>
        <w:rPr>
          <w:rFonts w:hint="eastAsia" w:ascii="黑体" w:hAnsi="黑体" w:eastAsia="黑体" w:cs="黑体"/>
          <w:color w:val="auto"/>
          <w:sz w:val="24"/>
          <w:szCs w:val="24"/>
          <w:highlight w:val="none"/>
        </w:rPr>
        <w:t>的磋商及合同的执行和完成，以本公司的名义处理一切与之有关的事宜。</w:t>
      </w:r>
    </w:p>
    <w:p w14:paraId="386A8194">
      <w:pPr>
        <w:autoSpaceDE w:val="0"/>
        <w:autoSpaceDN w:val="0"/>
        <w:adjustRightInd w:val="0"/>
        <w:spacing w:line="348" w:lineRule="auto"/>
        <w:rPr>
          <w:rFonts w:hint="eastAsia" w:ascii="黑体" w:hAnsi="黑体" w:eastAsia="黑体" w:cs="黑体"/>
          <w:color w:val="auto"/>
          <w:sz w:val="24"/>
          <w:szCs w:val="24"/>
          <w:highlight w:val="none"/>
        </w:rPr>
      </w:pPr>
    </w:p>
    <w:p w14:paraId="05CB111E">
      <w:pPr>
        <w:autoSpaceDE w:val="0"/>
        <w:autoSpaceDN w:val="0"/>
        <w:adjustRightInd w:val="0"/>
        <w:spacing w:line="348"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附：被授权人姓名：性别：年龄：</w:t>
      </w:r>
    </w:p>
    <w:p w14:paraId="41CBDE22">
      <w:pPr>
        <w:autoSpaceDE w:val="0"/>
        <w:autoSpaceDN w:val="0"/>
        <w:adjustRightInd w:val="0"/>
        <w:spacing w:line="348"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    务：身份证号码：</w:t>
      </w:r>
    </w:p>
    <w:p w14:paraId="5CFC148E">
      <w:pPr>
        <w:autoSpaceDE w:val="0"/>
        <w:autoSpaceDN w:val="0"/>
        <w:adjustRightInd w:val="0"/>
        <w:spacing w:line="348" w:lineRule="auto"/>
        <w:ind w:firstLine="63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通讯地址：</w:t>
      </w:r>
    </w:p>
    <w:p w14:paraId="520CFE3B">
      <w:pPr>
        <w:autoSpaceDE w:val="0"/>
        <w:autoSpaceDN w:val="0"/>
        <w:adjustRightInd w:val="0"/>
        <w:spacing w:line="348" w:lineRule="auto"/>
        <w:ind w:firstLine="63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邮政编码：</w:t>
      </w:r>
    </w:p>
    <w:p w14:paraId="58209D7B">
      <w:pPr>
        <w:autoSpaceDE w:val="0"/>
        <w:autoSpaceDN w:val="0"/>
        <w:adjustRightInd w:val="0"/>
        <w:spacing w:line="348" w:lineRule="auto"/>
        <w:ind w:firstLine="63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电    话：传真：</w:t>
      </w:r>
    </w:p>
    <w:p w14:paraId="0E9800A3">
      <w:pPr>
        <w:autoSpaceDE w:val="0"/>
        <w:autoSpaceDN w:val="0"/>
        <w:adjustRightInd w:val="0"/>
        <w:spacing w:line="348" w:lineRule="auto"/>
        <w:rPr>
          <w:rFonts w:hint="eastAsia" w:ascii="黑体" w:hAnsi="黑体" w:eastAsia="黑体" w:cs="黑体"/>
          <w:color w:val="auto"/>
          <w:sz w:val="24"/>
          <w:szCs w:val="24"/>
          <w:highlight w:val="none"/>
        </w:rPr>
      </w:pPr>
    </w:p>
    <w:p w14:paraId="1C3B1D79">
      <w:pPr>
        <w:autoSpaceDE w:val="0"/>
        <w:autoSpaceDN w:val="0"/>
        <w:adjustRightInd w:val="0"/>
        <w:spacing w:line="348"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法定代表人及授权代表身份证复印件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70A574AD">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A42076A">
            <w:pPr>
              <w:autoSpaceDE w:val="0"/>
              <w:autoSpaceDN w:val="0"/>
              <w:adjustRightInd w:val="0"/>
              <w:spacing w:line="348"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法定代表人身份证复印件</w:t>
            </w:r>
          </w:p>
          <w:p w14:paraId="76B3DA09">
            <w:pPr>
              <w:autoSpaceDE w:val="0"/>
              <w:autoSpaceDN w:val="0"/>
              <w:adjustRightInd w:val="0"/>
              <w:spacing w:line="348"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（正反面）</w:t>
            </w:r>
          </w:p>
        </w:tc>
        <w:tc>
          <w:tcPr>
            <w:tcW w:w="3885" w:type="dxa"/>
            <w:tcBorders>
              <w:top w:val="single" w:color="auto" w:sz="6" w:space="0"/>
              <w:left w:val="nil"/>
              <w:bottom w:val="single" w:color="auto" w:sz="6" w:space="0"/>
              <w:right w:val="single" w:color="auto" w:sz="6" w:space="0"/>
            </w:tcBorders>
            <w:vAlign w:val="center"/>
          </w:tcPr>
          <w:p w14:paraId="2CB82BFD">
            <w:pPr>
              <w:autoSpaceDE w:val="0"/>
              <w:autoSpaceDN w:val="0"/>
              <w:adjustRightInd w:val="0"/>
              <w:spacing w:line="348"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授权代表身份证复印件</w:t>
            </w:r>
          </w:p>
          <w:p w14:paraId="7D9A8ADB">
            <w:pPr>
              <w:autoSpaceDE w:val="0"/>
              <w:autoSpaceDN w:val="0"/>
              <w:adjustRightInd w:val="0"/>
              <w:spacing w:line="348"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（正反面）</w:t>
            </w:r>
          </w:p>
        </w:tc>
      </w:tr>
    </w:tbl>
    <w:p w14:paraId="41BCBEE5">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供应商                         法定代表人</w:t>
      </w:r>
    </w:p>
    <w:p w14:paraId="506F3223">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（公章）：                     （签字或盖章）：</w:t>
      </w:r>
    </w:p>
    <w:p w14:paraId="4526BDFA">
      <w:pPr>
        <w:autoSpaceDE w:val="0"/>
        <w:autoSpaceDN w:val="0"/>
        <w:adjustRightInd w:val="0"/>
        <w:spacing w:line="348" w:lineRule="auto"/>
        <w:ind w:firstLine="630"/>
        <w:rPr>
          <w:rFonts w:hint="eastAsia" w:ascii="黑体" w:hAnsi="黑体" w:eastAsia="黑体" w:cs="黑体"/>
          <w:color w:val="auto"/>
          <w:sz w:val="24"/>
          <w:szCs w:val="24"/>
          <w:highlight w:val="none"/>
        </w:rPr>
      </w:pPr>
    </w:p>
    <w:p w14:paraId="5FABF531">
      <w:pPr>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本授权自签字盖章之日起生效。</w:t>
      </w:r>
    </w:p>
    <w:p w14:paraId="7F2DC4DF">
      <w:pPr>
        <w:pStyle w:val="4"/>
        <w:ind w:firstLine="480" w:firstLineChars="200"/>
        <w:jc w:val="left"/>
        <w:rPr>
          <w:rFonts w:hint="eastAsia" w:ascii="黑体" w:hAnsi="黑体" w:eastAsia="黑体" w:cs="黑体"/>
          <w:bCs/>
          <w:color w:val="auto"/>
          <w:kern w:val="2"/>
          <w:sz w:val="24"/>
          <w:szCs w:val="24"/>
          <w:highlight w:val="none"/>
          <w:lang w:val="en-US" w:eastAsia="zh-CN" w:bidi="ar-SA"/>
        </w:rPr>
        <w:sectPr>
          <w:pgSz w:w="11906" w:h="16838"/>
          <w:pgMar w:top="1418" w:right="1418" w:bottom="1418" w:left="1418" w:header="851" w:footer="992" w:gutter="0"/>
          <w:pgNumType w:fmt="decimal"/>
          <w:cols w:space="720" w:num="1"/>
          <w:docGrid w:linePitch="312" w:charSpace="0"/>
        </w:sectPr>
      </w:pPr>
    </w:p>
    <w:p w14:paraId="660EA35F">
      <w:pPr>
        <w:pStyle w:val="4"/>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第二部分  符合性证明文件</w:t>
      </w:r>
    </w:p>
    <w:p w14:paraId="34C3F02E">
      <w:pPr>
        <w:pStyle w:val="6"/>
        <w:jc w:val="center"/>
        <w:rPr>
          <w:rFonts w:hint="eastAsia" w:ascii="黑体" w:hAnsi="黑体" w:eastAsia="黑体" w:cs="黑体"/>
          <w:b/>
          <w:bCs/>
          <w:color w:val="auto"/>
          <w:sz w:val="28"/>
          <w:szCs w:val="28"/>
          <w:highlight w:val="none"/>
        </w:rPr>
      </w:pPr>
      <w:r>
        <w:rPr>
          <w:rFonts w:hint="eastAsia" w:ascii="黑体" w:hAnsi="黑体" w:eastAsia="黑体" w:cs="黑体"/>
          <w:b/>
          <w:color w:val="auto"/>
          <w:sz w:val="28"/>
          <w:szCs w:val="28"/>
          <w:highlight w:val="none"/>
        </w:rPr>
        <w:t>磋商响应函</w:t>
      </w:r>
    </w:p>
    <w:p w14:paraId="1FCDF336">
      <w:pPr>
        <w:autoSpaceDE w:val="0"/>
        <w:autoSpaceDN w:val="0"/>
        <w:adjustRightInd w:val="0"/>
        <w:snapToGrid w:val="0"/>
        <w:spacing w:line="30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zh-CN"/>
        </w:rPr>
        <w:t>陕西春秋工程造价事务所有限公司：</w:t>
      </w:r>
    </w:p>
    <w:p w14:paraId="4F3EA713">
      <w:pPr>
        <w:autoSpaceDE w:val="0"/>
        <w:autoSpaceDN w:val="0"/>
        <w:adjustRightInd w:val="0"/>
        <w:snapToGrid w:val="0"/>
        <w:spacing w:line="312"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我单位收到贵公司</w:t>
      </w:r>
      <w:r>
        <w:rPr>
          <w:rFonts w:hint="eastAsia" w:ascii="黑体" w:hAnsi="黑体" w:eastAsia="黑体" w:cs="黑体"/>
          <w:color w:val="auto"/>
          <w:sz w:val="24"/>
          <w:szCs w:val="24"/>
          <w:highlight w:val="none"/>
          <w:u w:val="single"/>
          <w:lang w:val="zh-CN"/>
        </w:rPr>
        <w:t>（项目名称    ）</w:t>
      </w:r>
      <w:r>
        <w:rPr>
          <w:rFonts w:hint="eastAsia" w:ascii="黑体" w:hAnsi="黑体" w:eastAsia="黑体" w:cs="黑体"/>
          <w:color w:val="auto"/>
          <w:sz w:val="24"/>
          <w:szCs w:val="24"/>
          <w:highlight w:val="none"/>
          <w:lang w:val="zh-CN"/>
        </w:rPr>
        <w:t>竞争性磋商文件，经详细研究，我们决定参加本次磋商活动。为此，我方郑重声明以下诸点，并负法律责任：</w:t>
      </w:r>
    </w:p>
    <w:p w14:paraId="4E5E2F76">
      <w:pPr>
        <w:autoSpaceDE w:val="0"/>
        <w:autoSpaceDN w:val="0"/>
        <w:adjustRightInd w:val="0"/>
        <w:snapToGrid w:val="0"/>
        <w:spacing w:line="312"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zh-CN"/>
        </w:rPr>
        <w:t>、愿意按照竞争性磋商文件中的要求，提供采购产品及技术服务，完成合同的责任和义务。</w:t>
      </w:r>
    </w:p>
    <w:p w14:paraId="17A03337">
      <w:pPr>
        <w:autoSpaceDE w:val="0"/>
        <w:autoSpaceDN w:val="0"/>
        <w:adjustRightInd w:val="0"/>
        <w:snapToGrid w:val="0"/>
        <w:spacing w:line="312"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w:t>
      </w:r>
      <w:r>
        <w:rPr>
          <w:rFonts w:hint="eastAsia" w:ascii="黑体" w:hAnsi="黑体" w:eastAsia="黑体" w:cs="黑体"/>
          <w:color w:val="auto"/>
          <w:sz w:val="24"/>
          <w:szCs w:val="24"/>
          <w:highlight w:val="none"/>
          <w:lang w:val="zh-CN"/>
        </w:rPr>
        <w:t>、按竞争性磋商文件的规定，我公司的首次磋商响应报价为人民币（大写）</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lang w:val="zh-CN"/>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lang w:val="zh-CN"/>
        </w:rPr>
        <w:t>元），并对其后的磋商报价负法律责任。</w:t>
      </w:r>
    </w:p>
    <w:p w14:paraId="3256D7AB">
      <w:pPr>
        <w:autoSpaceDE w:val="0"/>
        <w:autoSpaceDN w:val="0"/>
        <w:adjustRightInd w:val="0"/>
        <w:snapToGrid w:val="0"/>
        <w:spacing w:line="312"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w:t>
      </w:r>
      <w:r>
        <w:rPr>
          <w:rFonts w:hint="eastAsia" w:ascii="黑体" w:hAnsi="黑体" w:eastAsia="黑体" w:cs="黑体"/>
          <w:color w:val="auto"/>
          <w:sz w:val="24"/>
          <w:szCs w:val="24"/>
          <w:highlight w:val="none"/>
          <w:lang w:val="zh-CN"/>
        </w:rPr>
        <w:t>、我方提交的响应文件电子标书一份。</w:t>
      </w:r>
    </w:p>
    <w:p w14:paraId="79736C60">
      <w:pPr>
        <w:autoSpaceDE w:val="0"/>
        <w:autoSpaceDN w:val="0"/>
        <w:adjustRightInd w:val="0"/>
        <w:snapToGrid w:val="0"/>
        <w:spacing w:line="312" w:lineRule="auto"/>
        <w:ind w:firstLine="63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rPr>
        <w:t>四</w:t>
      </w:r>
      <w:r>
        <w:rPr>
          <w:rFonts w:hint="eastAsia" w:ascii="黑体" w:hAnsi="黑体" w:eastAsia="黑体" w:cs="黑体"/>
          <w:color w:val="auto"/>
          <w:sz w:val="24"/>
          <w:szCs w:val="24"/>
          <w:highlight w:val="none"/>
          <w:lang w:val="zh-CN"/>
        </w:rPr>
        <w:t>、我方已详细阅读了竞争性磋商文件，完全理解并放弃提出含糊不清或易形成歧义的表述和资料。</w:t>
      </w:r>
    </w:p>
    <w:p w14:paraId="5799020C">
      <w:pPr>
        <w:autoSpaceDE w:val="0"/>
        <w:autoSpaceDN w:val="0"/>
        <w:adjustRightInd w:val="0"/>
        <w:snapToGrid w:val="0"/>
        <w:spacing w:line="312"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五、如果我方在磋商有效期内撤销响应文件，我单位愿承担给采购人造成损失的所有责任。</w:t>
      </w:r>
    </w:p>
    <w:p w14:paraId="24B401F5">
      <w:pPr>
        <w:autoSpaceDE w:val="0"/>
        <w:autoSpaceDN w:val="0"/>
        <w:adjustRightInd w:val="0"/>
        <w:snapToGrid w:val="0"/>
        <w:spacing w:line="312" w:lineRule="auto"/>
        <w:ind w:firstLine="63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rPr>
        <w:t>六</w:t>
      </w:r>
      <w:r>
        <w:rPr>
          <w:rFonts w:hint="eastAsia" w:ascii="黑体" w:hAnsi="黑体" w:eastAsia="黑体" w:cs="黑体"/>
          <w:color w:val="auto"/>
          <w:sz w:val="24"/>
          <w:szCs w:val="24"/>
          <w:highlight w:val="none"/>
          <w:lang w:val="zh-CN"/>
        </w:rPr>
        <w:t>、同意向贵方提供可能要求的与本次磋商有关的任何证据或资料，且尊重磋商小组的评审结论和结果。</w:t>
      </w:r>
    </w:p>
    <w:p w14:paraId="764E9DB3">
      <w:pPr>
        <w:autoSpaceDE w:val="0"/>
        <w:autoSpaceDN w:val="0"/>
        <w:adjustRightInd w:val="0"/>
        <w:snapToGrid w:val="0"/>
        <w:spacing w:line="312"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七、我方的响应文件有效期为自磋商之日起</w:t>
      </w:r>
      <w:r>
        <w:rPr>
          <w:rFonts w:hint="eastAsia" w:ascii="黑体" w:hAnsi="黑体" w:eastAsia="黑体" w:cs="黑体"/>
          <w:color w:val="auto"/>
          <w:sz w:val="24"/>
          <w:szCs w:val="24"/>
          <w:highlight w:val="none"/>
          <w:u w:val="single"/>
        </w:rPr>
        <w:t xml:space="preserve">60 </w:t>
      </w:r>
      <w:r>
        <w:rPr>
          <w:rFonts w:hint="eastAsia" w:ascii="黑体" w:hAnsi="黑体" w:eastAsia="黑体" w:cs="黑体"/>
          <w:color w:val="auto"/>
          <w:sz w:val="24"/>
          <w:szCs w:val="24"/>
          <w:highlight w:val="none"/>
          <w:lang w:val="zh-CN"/>
        </w:rPr>
        <w:t>个日历天。若我方成交，响应文件有效期延长至合同执行完毕。</w:t>
      </w:r>
    </w:p>
    <w:p w14:paraId="13920261">
      <w:pPr>
        <w:autoSpaceDE w:val="0"/>
        <w:autoSpaceDN w:val="0"/>
        <w:adjustRightInd w:val="0"/>
        <w:snapToGrid w:val="0"/>
        <w:spacing w:line="312" w:lineRule="auto"/>
        <w:ind w:firstLine="63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rPr>
        <w:t>八</w:t>
      </w:r>
      <w:r>
        <w:rPr>
          <w:rFonts w:hint="eastAsia" w:ascii="黑体" w:hAnsi="黑体" w:eastAsia="黑体" w:cs="黑体"/>
          <w:color w:val="auto"/>
          <w:sz w:val="24"/>
          <w:szCs w:val="24"/>
          <w:highlight w:val="none"/>
          <w:lang w:val="zh-CN"/>
        </w:rPr>
        <w:t>、如我方成交：</w:t>
      </w:r>
    </w:p>
    <w:p w14:paraId="29C3F8AE">
      <w:pPr>
        <w:autoSpaceDE w:val="0"/>
        <w:autoSpaceDN w:val="0"/>
        <w:adjustRightInd w:val="0"/>
        <w:snapToGrid w:val="0"/>
        <w:spacing w:line="312" w:lineRule="auto"/>
        <w:ind w:firstLine="63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（1）我方承诺在收到成交通知书后，在磋商文件规定的期限内与采购人签订合同。</w:t>
      </w:r>
    </w:p>
    <w:p w14:paraId="637318C1">
      <w:pPr>
        <w:autoSpaceDE w:val="0"/>
        <w:autoSpaceDN w:val="0"/>
        <w:adjustRightInd w:val="0"/>
        <w:snapToGrid w:val="0"/>
        <w:spacing w:line="312" w:lineRule="auto"/>
        <w:ind w:firstLine="63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（2）我方承诺按照磋商文件规定向你方递交履约保证金。作为履行合同的担保。</w:t>
      </w:r>
    </w:p>
    <w:p w14:paraId="62DAC9D9">
      <w:pPr>
        <w:autoSpaceDE w:val="0"/>
        <w:autoSpaceDN w:val="0"/>
        <w:adjustRightInd w:val="0"/>
        <w:snapToGrid w:val="0"/>
        <w:spacing w:line="312" w:lineRule="auto"/>
        <w:ind w:firstLine="63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（3）我方承诺按合同约定的期限和地点，提供符合磋商文件要求的全部的货物和服务。</w:t>
      </w:r>
    </w:p>
    <w:p w14:paraId="56CD5AB2">
      <w:pPr>
        <w:autoSpaceDE w:val="0"/>
        <w:autoSpaceDN w:val="0"/>
        <w:adjustRightInd w:val="0"/>
        <w:snapToGrid w:val="0"/>
        <w:spacing w:line="312" w:lineRule="auto"/>
        <w:ind w:firstLine="63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（4）我方保证在领取成交通知书前按要求支付成交服务费。</w:t>
      </w:r>
    </w:p>
    <w:p w14:paraId="5E6129FE">
      <w:pPr>
        <w:autoSpaceDE w:val="0"/>
        <w:autoSpaceDN w:val="0"/>
        <w:adjustRightInd w:val="0"/>
        <w:snapToGrid w:val="0"/>
        <w:spacing w:line="300" w:lineRule="auto"/>
        <w:ind w:firstLine="63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九</w:t>
      </w:r>
      <w:r>
        <w:rPr>
          <w:rFonts w:hint="eastAsia" w:ascii="黑体" w:hAnsi="黑体" w:eastAsia="黑体" w:cs="黑体"/>
          <w:color w:val="auto"/>
          <w:sz w:val="24"/>
          <w:szCs w:val="24"/>
          <w:highlight w:val="none"/>
          <w:lang w:val="zh-CN"/>
        </w:rPr>
        <w:t>、有关于本磋商文件的函电，请按下列地址联系。</w:t>
      </w:r>
    </w:p>
    <w:p w14:paraId="511AEDCC">
      <w:pPr>
        <w:autoSpaceDE w:val="0"/>
        <w:autoSpaceDN w:val="0"/>
        <w:adjustRightInd w:val="0"/>
        <w:snapToGrid w:val="0"/>
        <w:spacing w:line="30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供应商全称（</w:t>
      </w:r>
      <w:r>
        <w:rPr>
          <w:rFonts w:hint="eastAsia" w:ascii="黑体" w:hAnsi="黑体" w:eastAsia="黑体" w:cs="黑体"/>
          <w:color w:val="auto"/>
          <w:sz w:val="24"/>
          <w:szCs w:val="24"/>
          <w:highlight w:val="none"/>
          <w:lang w:val="en-US" w:eastAsia="zh-CN"/>
        </w:rPr>
        <w:t>公章</w:t>
      </w:r>
      <w:r>
        <w:rPr>
          <w:rFonts w:hint="eastAsia" w:ascii="黑体" w:hAnsi="黑体" w:eastAsia="黑体" w:cs="黑体"/>
          <w:color w:val="auto"/>
          <w:sz w:val="24"/>
          <w:szCs w:val="24"/>
          <w:highlight w:val="none"/>
          <w:lang w:val="zh-CN"/>
        </w:rPr>
        <w:t>）：</w:t>
      </w:r>
    </w:p>
    <w:p w14:paraId="00DC200F">
      <w:pPr>
        <w:autoSpaceDE w:val="0"/>
        <w:autoSpaceDN w:val="0"/>
        <w:adjustRightInd w:val="0"/>
        <w:snapToGrid w:val="0"/>
        <w:spacing w:line="30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地址：</w:t>
      </w:r>
      <w:r>
        <w:rPr>
          <w:rFonts w:hint="eastAsia" w:ascii="黑体" w:hAnsi="黑体" w:eastAsia="黑体" w:cs="黑体"/>
          <w:color w:val="auto"/>
          <w:sz w:val="24"/>
          <w:szCs w:val="24"/>
          <w:highlight w:val="none"/>
        </w:rPr>
        <w:t>__________________________________________</w:t>
      </w:r>
    </w:p>
    <w:p w14:paraId="5419E176">
      <w:pPr>
        <w:autoSpaceDE w:val="0"/>
        <w:autoSpaceDN w:val="0"/>
        <w:adjustRightInd w:val="0"/>
        <w:snapToGrid w:val="0"/>
        <w:spacing w:line="30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开户银行：</w:t>
      </w:r>
      <w:r>
        <w:rPr>
          <w:rFonts w:hint="eastAsia" w:ascii="黑体" w:hAnsi="黑体" w:eastAsia="黑体" w:cs="黑体"/>
          <w:color w:val="auto"/>
          <w:sz w:val="24"/>
          <w:szCs w:val="24"/>
          <w:highlight w:val="none"/>
        </w:rPr>
        <w:t>__________________________________________</w:t>
      </w:r>
    </w:p>
    <w:p w14:paraId="102FA65D">
      <w:pPr>
        <w:autoSpaceDE w:val="0"/>
        <w:autoSpaceDN w:val="0"/>
        <w:adjustRightInd w:val="0"/>
        <w:snapToGrid w:val="0"/>
        <w:spacing w:line="30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账号</w:t>
      </w:r>
      <w:r>
        <w:rPr>
          <w:rFonts w:hint="eastAsia" w:ascii="黑体" w:hAnsi="黑体" w:eastAsia="黑体" w:cs="黑体"/>
          <w:color w:val="auto"/>
          <w:sz w:val="24"/>
          <w:szCs w:val="24"/>
          <w:highlight w:val="none"/>
          <w:lang w:val="zh-CN"/>
        </w:rPr>
        <w:t>：</w:t>
      </w:r>
      <w:r>
        <w:rPr>
          <w:rFonts w:hint="eastAsia" w:ascii="黑体" w:hAnsi="黑体" w:eastAsia="黑体" w:cs="黑体"/>
          <w:color w:val="auto"/>
          <w:sz w:val="24"/>
          <w:szCs w:val="24"/>
          <w:highlight w:val="none"/>
        </w:rPr>
        <w:t>__________________________________________</w:t>
      </w:r>
    </w:p>
    <w:p w14:paraId="01CCDDC4">
      <w:pPr>
        <w:autoSpaceDE w:val="0"/>
        <w:autoSpaceDN w:val="0"/>
        <w:adjustRightInd w:val="0"/>
        <w:snapToGrid w:val="0"/>
        <w:spacing w:line="30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电话：</w:t>
      </w:r>
      <w:r>
        <w:rPr>
          <w:rFonts w:hint="eastAsia" w:ascii="黑体" w:hAnsi="黑体" w:eastAsia="黑体" w:cs="黑体"/>
          <w:color w:val="auto"/>
          <w:sz w:val="24"/>
          <w:szCs w:val="24"/>
          <w:highlight w:val="none"/>
        </w:rPr>
        <w:t>__________________________________________</w:t>
      </w:r>
    </w:p>
    <w:p w14:paraId="4B6A5687">
      <w:pPr>
        <w:autoSpaceDE w:val="0"/>
        <w:autoSpaceDN w:val="0"/>
        <w:adjustRightInd w:val="0"/>
        <w:snapToGrid w:val="0"/>
        <w:spacing w:line="30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传真：</w:t>
      </w:r>
      <w:r>
        <w:rPr>
          <w:rFonts w:hint="eastAsia" w:ascii="黑体" w:hAnsi="黑体" w:eastAsia="黑体" w:cs="黑体"/>
          <w:color w:val="auto"/>
          <w:sz w:val="24"/>
          <w:szCs w:val="24"/>
          <w:highlight w:val="none"/>
        </w:rPr>
        <w:t>__________________________________________</w:t>
      </w:r>
    </w:p>
    <w:p w14:paraId="7059D2AA">
      <w:pPr>
        <w:autoSpaceDE w:val="0"/>
        <w:autoSpaceDN w:val="0"/>
        <w:adjustRightInd w:val="0"/>
        <w:snapToGrid w:val="0"/>
        <w:spacing w:line="30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法定代表人或授权代表（签字或盖章）：</w:t>
      </w:r>
      <w:r>
        <w:rPr>
          <w:rFonts w:hint="eastAsia" w:ascii="黑体" w:hAnsi="黑体" w:eastAsia="黑体" w:cs="黑体"/>
          <w:color w:val="auto"/>
          <w:sz w:val="24"/>
          <w:szCs w:val="24"/>
          <w:highlight w:val="none"/>
        </w:rPr>
        <w:t>_________________</w:t>
      </w:r>
    </w:p>
    <w:p w14:paraId="1E02174D">
      <w:pPr>
        <w:autoSpaceDE w:val="0"/>
        <w:autoSpaceDN w:val="0"/>
        <w:adjustRightInd w:val="0"/>
        <w:snapToGrid w:val="0"/>
        <w:spacing w:line="300" w:lineRule="auto"/>
        <w:rPr>
          <w:rFonts w:hint="eastAsia" w:ascii="黑体" w:hAnsi="黑体" w:eastAsia="黑体" w:cs="黑体"/>
          <w:color w:val="auto"/>
          <w:sz w:val="24"/>
          <w:szCs w:val="24"/>
          <w:highlight w:val="none"/>
        </w:rPr>
      </w:pPr>
    </w:p>
    <w:p w14:paraId="2ABD953D">
      <w:pPr>
        <w:autoSpaceDE w:val="0"/>
        <w:autoSpaceDN w:val="0"/>
        <w:adjustRightInd w:val="0"/>
        <w:snapToGrid w:val="0"/>
        <w:spacing w:line="300" w:lineRule="auto"/>
        <w:jc w:val="center"/>
        <w:rPr>
          <w:rFonts w:hint="eastAsia" w:ascii="黑体" w:hAnsi="黑体" w:eastAsia="黑体" w:cs="黑体"/>
          <w:color w:val="auto"/>
          <w:sz w:val="24"/>
          <w:szCs w:val="24"/>
          <w:highlight w:val="none"/>
        </w:rPr>
        <w:sectPr>
          <w:pgSz w:w="11906" w:h="16838"/>
          <w:pgMar w:top="1418" w:right="1418" w:bottom="1418" w:left="1418" w:header="851" w:footer="992" w:gutter="0"/>
          <w:pgNumType w:fmt="decimal"/>
          <w:cols w:space="720" w:num="1"/>
          <w:docGrid w:linePitch="312" w:charSpace="0"/>
        </w:sectPr>
      </w:pPr>
      <w:r>
        <w:rPr>
          <w:rFonts w:hint="eastAsia" w:ascii="黑体" w:hAnsi="黑体" w:eastAsia="黑体" w:cs="黑体"/>
          <w:color w:val="auto"/>
          <w:sz w:val="24"/>
          <w:szCs w:val="24"/>
          <w:highlight w:val="none"/>
        </w:rPr>
        <w:t xml:space="preserve">                 _____</w:t>
      </w:r>
      <w:r>
        <w:rPr>
          <w:rFonts w:hint="eastAsia" w:ascii="黑体" w:hAnsi="黑体" w:eastAsia="黑体" w:cs="黑体"/>
          <w:color w:val="auto"/>
          <w:sz w:val="24"/>
          <w:szCs w:val="24"/>
          <w:highlight w:val="none"/>
          <w:lang w:val="zh-CN"/>
        </w:rPr>
        <w:t>年</w:t>
      </w:r>
      <w:r>
        <w:rPr>
          <w:rFonts w:hint="eastAsia" w:ascii="黑体" w:hAnsi="黑体" w:eastAsia="黑体" w:cs="黑体"/>
          <w:color w:val="auto"/>
          <w:sz w:val="24"/>
          <w:szCs w:val="24"/>
          <w:highlight w:val="none"/>
        </w:rPr>
        <w:t>_____</w:t>
      </w:r>
      <w:r>
        <w:rPr>
          <w:rFonts w:hint="eastAsia" w:ascii="黑体" w:hAnsi="黑体" w:eastAsia="黑体" w:cs="黑体"/>
          <w:color w:val="auto"/>
          <w:sz w:val="24"/>
          <w:szCs w:val="24"/>
          <w:highlight w:val="none"/>
          <w:lang w:val="zh-CN"/>
        </w:rPr>
        <w:t>月</w:t>
      </w:r>
      <w:r>
        <w:rPr>
          <w:rFonts w:hint="eastAsia" w:ascii="黑体" w:hAnsi="黑体" w:eastAsia="黑体" w:cs="黑体"/>
          <w:color w:val="auto"/>
          <w:sz w:val="24"/>
          <w:szCs w:val="24"/>
          <w:highlight w:val="none"/>
        </w:rPr>
        <w:t>_____</w:t>
      </w:r>
      <w:r>
        <w:rPr>
          <w:rFonts w:hint="eastAsia" w:ascii="黑体" w:hAnsi="黑体" w:eastAsia="黑体" w:cs="黑体"/>
          <w:color w:val="auto"/>
          <w:sz w:val="24"/>
          <w:szCs w:val="24"/>
          <w:highlight w:val="none"/>
          <w:lang w:val="zh-CN"/>
        </w:rPr>
        <w:t>日</w:t>
      </w:r>
    </w:p>
    <w:p w14:paraId="6D347789">
      <w:pPr>
        <w:pStyle w:val="6"/>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第一次磋商响应报价表</w:t>
      </w:r>
    </w:p>
    <w:p w14:paraId="33254CEC">
      <w:pPr>
        <w:autoSpaceDE w:val="0"/>
        <w:autoSpaceDN w:val="0"/>
        <w:adjustRightInd w:val="0"/>
        <w:snapToGrid w:val="0"/>
        <w:spacing w:line="36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 xml:space="preserve">                                             </w:t>
      </w:r>
      <w:r>
        <w:rPr>
          <w:rFonts w:hint="eastAsia" w:ascii="黑体" w:hAnsi="黑体" w:eastAsia="黑体" w:cs="黑体"/>
          <w:b/>
          <w:color w:val="auto"/>
          <w:sz w:val="24"/>
          <w:szCs w:val="24"/>
          <w:highlight w:val="none"/>
          <w:lang w:val="zh-CN"/>
        </w:rPr>
        <w:t>单位：元</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7521"/>
      </w:tblGrid>
      <w:tr w14:paraId="6A4E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1457" w:type="dxa"/>
            <w:tcBorders>
              <w:left w:val="single" w:color="auto" w:sz="4" w:space="0"/>
              <w:bottom w:val="single" w:color="auto" w:sz="4" w:space="0"/>
            </w:tcBorders>
            <w:noWrap w:val="0"/>
            <w:vAlign w:val="center"/>
          </w:tcPr>
          <w:p w14:paraId="03F7596A">
            <w:pPr>
              <w:spacing w:line="240" w:lineRule="auto"/>
              <w:ind w:firstLine="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项目名称</w:t>
            </w:r>
          </w:p>
        </w:tc>
        <w:tc>
          <w:tcPr>
            <w:tcW w:w="7521" w:type="dxa"/>
            <w:tcBorders>
              <w:left w:val="single" w:color="auto" w:sz="4" w:space="0"/>
              <w:bottom w:val="single" w:color="auto" w:sz="4" w:space="0"/>
              <w:right w:val="single" w:color="auto" w:sz="4" w:space="0"/>
            </w:tcBorders>
            <w:noWrap w:val="0"/>
            <w:vAlign w:val="center"/>
          </w:tcPr>
          <w:p w14:paraId="272F93F1">
            <w:pPr>
              <w:spacing w:line="240" w:lineRule="auto"/>
              <w:ind w:firstLine="0"/>
              <w:jc w:val="center"/>
              <w:rPr>
                <w:rFonts w:hint="eastAsia" w:ascii="黑体" w:hAnsi="黑体" w:eastAsia="黑体" w:cs="黑体"/>
                <w:b w:val="0"/>
                <w:bCs/>
                <w:color w:val="auto"/>
                <w:sz w:val="24"/>
                <w:szCs w:val="24"/>
                <w:highlight w:val="none"/>
                <w:lang w:eastAsia="zh-CN"/>
              </w:rPr>
            </w:pPr>
            <w:r>
              <w:rPr>
                <w:rFonts w:hint="eastAsia" w:ascii="黑体" w:hAnsi="黑体" w:eastAsia="黑体" w:cs="黑体"/>
                <w:b w:val="0"/>
                <w:bCs/>
                <w:color w:val="auto"/>
                <w:sz w:val="24"/>
                <w:szCs w:val="24"/>
                <w:highlight w:val="none"/>
                <w:lang w:eastAsia="zh-CN"/>
              </w:rPr>
              <w:t>城关镇中心卫生院全自动五分类血液分析仪和多普勒肌骨超声设备购买项目采购项目</w:t>
            </w:r>
          </w:p>
        </w:tc>
      </w:tr>
      <w:tr w14:paraId="618A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457" w:type="dxa"/>
            <w:tcBorders>
              <w:left w:val="single" w:color="auto" w:sz="4" w:space="0"/>
              <w:bottom w:val="single" w:color="auto" w:sz="4" w:space="0"/>
            </w:tcBorders>
            <w:noWrap w:val="0"/>
            <w:vAlign w:val="center"/>
          </w:tcPr>
          <w:p w14:paraId="6F6816E2">
            <w:pPr>
              <w:spacing w:line="240" w:lineRule="auto"/>
              <w:ind w:firstLine="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项目编号</w:t>
            </w:r>
          </w:p>
        </w:tc>
        <w:tc>
          <w:tcPr>
            <w:tcW w:w="7521" w:type="dxa"/>
            <w:tcBorders>
              <w:left w:val="single" w:color="auto" w:sz="4" w:space="0"/>
              <w:bottom w:val="single" w:color="auto" w:sz="4" w:space="0"/>
              <w:right w:val="single" w:color="auto" w:sz="4" w:space="0"/>
            </w:tcBorders>
            <w:noWrap w:val="0"/>
            <w:vAlign w:val="center"/>
          </w:tcPr>
          <w:p w14:paraId="1F522828">
            <w:pPr>
              <w:spacing w:line="240" w:lineRule="auto"/>
              <w:ind w:firstLine="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val="zh-CN"/>
              </w:rPr>
              <w:t>SHMCGAK (2024)第94号</w:t>
            </w:r>
          </w:p>
        </w:tc>
      </w:tr>
      <w:tr w14:paraId="197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457" w:type="dxa"/>
            <w:vMerge w:val="restart"/>
            <w:tcBorders>
              <w:left w:val="single" w:color="auto" w:sz="4" w:space="0"/>
            </w:tcBorders>
            <w:noWrap w:val="0"/>
            <w:vAlign w:val="center"/>
          </w:tcPr>
          <w:p w14:paraId="3C64154F">
            <w:pPr>
              <w:spacing w:line="240" w:lineRule="auto"/>
              <w:ind w:firstLine="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报价（元）</w:t>
            </w:r>
          </w:p>
        </w:tc>
        <w:tc>
          <w:tcPr>
            <w:tcW w:w="7521" w:type="dxa"/>
            <w:tcBorders>
              <w:left w:val="single" w:color="auto" w:sz="4" w:space="0"/>
              <w:bottom w:val="single" w:color="auto" w:sz="4" w:space="0"/>
              <w:right w:val="single" w:color="auto" w:sz="4" w:space="0"/>
            </w:tcBorders>
            <w:noWrap w:val="0"/>
            <w:vAlign w:val="center"/>
          </w:tcPr>
          <w:p w14:paraId="12164B69">
            <w:pPr>
              <w:ind w:firstLine="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小写：</w:t>
            </w:r>
          </w:p>
        </w:tc>
      </w:tr>
      <w:tr w14:paraId="4862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457" w:type="dxa"/>
            <w:vMerge w:val="continue"/>
            <w:tcBorders>
              <w:left w:val="single" w:color="auto" w:sz="4" w:space="0"/>
            </w:tcBorders>
            <w:noWrap w:val="0"/>
            <w:vAlign w:val="center"/>
          </w:tcPr>
          <w:p w14:paraId="5816C441">
            <w:pPr>
              <w:spacing w:line="240" w:lineRule="auto"/>
              <w:ind w:firstLine="0"/>
              <w:jc w:val="center"/>
              <w:rPr>
                <w:rFonts w:hint="eastAsia" w:ascii="黑体" w:hAnsi="黑体" w:eastAsia="黑体" w:cs="黑体"/>
                <w:b w:val="0"/>
                <w:bCs/>
                <w:color w:val="auto"/>
                <w:sz w:val="24"/>
                <w:szCs w:val="24"/>
                <w:highlight w:val="none"/>
              </w:rPr>
            </w:pPr>
          </w:p>
        </w:tc>
        <w:tc>
          <w:tcPr>
            <w:tcW w:w="7521" w:type="dxa"/>
            <w:tcBorders>
              <w:left w:val="single" w:color="auto" w:sz="4" w:space="0"/>
              <w:bottom w:val="single" w:color="auto" w:sz="4" w:space="0"/>
              <w:right w:val="single" w:color="auto" w:sz="4" w:space="0"/>
            </w:tcBorders>
            <w:noWrap w:val="0"/>
            <w:vAlign w:val="center"/>
          </w:tcPr>
          <w:p w14:paraId="5C03E15C">
            <w:pPr>
              <w:ind w:firstLine="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大写：</w:t>
            </w:r>
          </w:p>
        </w:tc>
      </w:tr>
      <w:tr w14:paraId="3A3D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457" w:type="dxa"/>
            <w:tcBorders>
              <w:left w:val="single" w:color="auto" w:sz="4" w:space="0"/>
            </w:tcBorders>
            <w:noWrap w:val="0"/>
            <w:vAlign w:val="center"/>
          </w:tcPr>
          <w:p w14:paraId="05D2396F">
            <w:pPr>
              <w:spacing w:line="240" w:lineRule="auto"/>
              <w:ind w:firstLine="0"/>
              <w:jc w:val="cente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交货期</w:t>
            </w:r>
          </w:p>
        </w:tc>
        <w:tc>
          <w:tcPr>
            <w:tcW w:w="7521" w:type="dxa"/>
            <w:tcBorders>
              <w:left w:val="single" w:color="auto" w:sz="4" w:space="0"/>
              <w:bottom w:val="single" w:color="auto" w:sz="4" w:space="0"/>
              <w:right w:val="single" w:color="auto" w:sz="4" w:space="0"/>
            </w:tcBorders>
            <w:noWrap w:val="0"/>
            <w:vAlign w:val="center"/>
          </w:tcPr>
          <w:p w14:paraId="0AC28C1F">
            <w:pPr>
              <w:ind w:firstLine="0"/>
              <w:rPr>
                <w:rFonts w:hint="eastAsia" w:ascii="黑体" w:hAnsi="黑体" w:eastAsia="黑体" w:cs="黑体"/>
                <w:b w:val="0"/>
                <w:bCs/>
                <w:color w:val="auto"/>
                <w:sz w:val="24"/>
                <w:szCs w:val="24"/>
                <w:highlight w:val="none"/>
              </w:rPr>
            </w:pPr>
          </w:p>
        </w:tc>
      </w:tr>
      <w:tr w14:paraId="31A1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57" w:type="dxa"/>
            <w:tcBorders>
              <w:left w:val="single" w:color="auto" w:sz="4" w:space="0"/>
              <w:bottom w:val="single" w:color="auto" w:sz="4" w:space="0"/>
            </w:tcBorders>
            <w:noWrap w:val="0"/>
            <w:vAlign w:val="center"/>
          </w:tcPr>
          <w:p w14:paraId="748AE1BD">
            <w:pPr>
              <w:spacing w:line="240" w:lineRule="auto"/>
              <w:ind w:firstLine="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质保期</w:t>
            </w:r>
          </w:p>
        </w:tc>
        <w:tc>
          <w:tcPr>
            <w:tcW w:w="7521" w:type="dxa"/>
            <w:tcBorders>
              <w:left w:val="single" w:color="auto" w:sz="4" w:space="0"/>
              <w:bottom w:val="single" w:color="auto" w:sz="4" w:space="0"/>
              <w:right w:val="single" w:color="auto" w:sz="4" w:space="0"/>
            </w:tcBorders>
            <w:noWrap w:val="0"/>
            <w:vAlign w:val="center"/>
          </w:tcPr>
          <w:p w14:paraId="23184D0E">
            <w:pPr>
              <w:spacing w:line="240" w:lineRule="auto"/>
              <w:ind w:firstLine="0"/>
              <w:rPr>
                <w:rFonts w:hint="eastAsia" w:ascii="黑体" w:hAnsi="黑体" w:eastAsia="黑体" w:cs="黑体"/>
                <w:b w:val="0"/>
                <w:bCs/>
                <w:color w:val="auto"/>
                <w:sz w:val="24"/>
                <w:szCs w:val="24"/>
                <w:highlight w:val="none"/>
              </w:rPr>
            </w:pPr>
          </w:p>
        </w:tc>
      </w:tr>
      <w:tr w14:paraId="6A49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57" w:type="dxa"/>
            <w:tcBorders>
              <w:left w:val="single" w:color="auto" w:sz="4" w:space="0"/>
              <w:bottom w:val="single" w:color="auto" w:sz="4" w:space="0"/>
            </w:tcBorders>
            <w:noWrap w:val="0"/>
            <w:vAlign w:val="center"/>
          </w:tcPr>
          <w:p w14:paraId="3EB29054">
            <w:pPr>
              <w:spacing w:line="240" w:lineRule="auto"/>
              <w:ind w:firstLine="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备注</w:t>
            </w:r>
          </w:p>
        </w:tc>
        <w:tc>
          <w:tcPr>
            <w:tcW w:w="7521" w:type="dxa"/>
            <w:tcBorders>
              <w:left w:val="single" w:color="auto" w:sz="4" w:space="0"/>
              <w:bottom w:val="single" w:color="auto" w:sz="4" w:space="0"/>
              <w:right w:val="single" w:color="auto" w:sz="4" w:space="0"/>
            </w:tcBorders>
            <w:noWrap w:val="0"/>
            <w:vAlign w:val="center"/>
          </w:tcPr>
          <w:p w14:paraId="2469B033">
            <w:pPr>
              <w:spacing w:line="240" w:lineRule="auto"/>
              <w:ind w:firstLine="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说明：1、本项目总报价包含所有设备、服务、运输、安装、调试、质保、流量服务费、售后服务、安全责任、</w:t>
            </w:r>
            <w:r>
              <w:rPr>
                <w:rFonts w:hint="eastAsia" w:ascii="黑体" w:hAnsi="黑体" w:eastAsia="黑体" w:cs="黑体"/>
                <w:b w:val="0"/>
                <w:bCs/>
                <w:color w:val="auto"/>
                <w:sz w:val="24"/>
                <w:szCs w:val="24"/>
                <w:highlight w:val="none"/>
                <w:lang w:val="zh-CN"/>
              </w:rPr>
              <w:t>政策性文件规定及合同包含的所有责任、义务、风险等所有费用</w:t>
            </w:r>
            <w:r>
              <w:rPr>
                <w:rFonts w:hint="eastAsia" w:ascii="黑体" w:hAnsi="黑体" w:eastAsia="黑体" w:cs="黑体"/>
                <w:b w:val="0"/>
                <w:bCs/>
                <w:color w:val="auto"/>
                <w:sz w:val="24"/>
                <w:szCs w:val="24"/>
                <w:highlight w:val="none"/>
              </w:rPr>
              <w:t>。</w:t>
            </w:r>
          </w:p>
          <w:p w14:paraId="3D0F0370">
            <w:pPr>
              <w:spacing w:line="240" w:lineRule="auto"/>
              <w:ind w:firstLine="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val="en-US" w:eastAsia="zh-CN"/>
              </w:rPr>
              <w:t>2、</w:t>
            </w:r>
            <w:r>
              <w:rPr>
                <w:rFonts w:hint="eastAsia" w:ascii="黑体" w:hAnsi="黑体" w:eastAsia="黑体" w:cs="黑体"/>
                <w:b w:val="0"/>
                <w:bCs/>
                <w:color w:val="auto"/>
                <w:sz w:val="24"/>
                <w:szCs w:val="24"/>
                <w:highlight w:val="none"/>
              </w:rPr>
              <w:t>投标报价须保留小数点后两位。</w:t>
            </w:r>
          </w:p>
        </w:tc>
      </w:tr>
    </w:tbl>
    <w:p w14:paraId="2E40B50D">
      <w:pPr>
        <w:autoSpaceDE w:val="0"/>
        <w:autoSpaceDN w:val="0"/>
        <w:adjustRightInd w:val="0"/>
        <w:snapToGrid w:val="0"/>
        <w:spacing w:line="360" w:lineRule="auto"/>
        <w:rPr>
          <w:rFonts w:hint="eastAsia" w:ascii="黑体" w:hAnsi="黑体" w:eastAsia="黑体" w:cs="黑体"/>
          <w:b/>
          <w:bCs/>
          <w:color w:val="auto"/>
          <w:sz w:val="24"/>
          <w:szCs w:val="24"/>
          <w:highlight w:val="none"/>
        </w:rPr>
      </w:pPr>
    </w:p>
    <w:p w14:paraId="5AB550F1">
      <w:pPr>
        <w:autoSpaceDE w:val="0"/>
        <w:autoSpaceDN w:val="0"/>
        <w:adjustRightInd w:val="0"/>
        <w:snapToGrid w:val="0"/>
        <w:spacing w:line="360" w:lineRule="auto"/>
        <w:ind w:firstLine="1080" w:firstLineChars="450"/>
        <w:rPr>
          <w:rFonts w:hint="eastAsia" w:ascii="黑体" w:hAnsi="黑体" w:eastAsia="黑体" w:cs="黑体"/>
          <w:color w:val="auto"/>
          <w:sz w:val="24"/>
          <w:szCs w:val="24"/>
          <w:highlight w:val="none"/>
          <w:lang w:val="zh-CN"/>
        </w:rPr>
      </w:pPr>
    </w:p>
    <w:p w14:paraId="294E0963">
      <w:pPr>
        <w:autoSpaceDE w:val="0"/>
        <w:autoSpaceDN w:val="0"/>
        <w:adjustRightInd w:val="0"/>
        <w:snapToGrid w:val="0"/>
        <w:spacing w:line="360" w:lineRule="auto"/>
        <w:ind w:firstLine="1200" w:firstLineChars="5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zh-CN"/>
        </w:rPr>
        <w:t>供应商（公章）：</w:t>
      </w:r>
      <w:r>
        <w:rPr>
          <w:rFonts w:hint="eastAsia" w:ascii="黑体" w:hAnsi="黑体" w:eastAsia="黑体" w:cs="黑体"/>
          <w:color w:val="auto"/>
          <w:sz w:val="24"/>
          <w:szCs w:val="24"/>
          <w:highlight w:val="none"/>
          <w:lang w:val="en-US" w:eastAsia="zh-CN"/>
        </w:rPr>
        <w:t xml:space="preserve">                    </w:t>
      </w:r>
    </w:p>
    <w:p w14:paraId="4E9FB13A">
      <w:pPr>
        <w:autoSpaceDE w:val="0"/>
        <w:autoSpaceDN w:val="0"/>
        <w:adjustRightInd w:val="0"/>
        <w:snapToGrid w:val="0"/>
        <w:spacing w:line="360" w:lineRule="auto"/>
        <w:ind w:firstLine="960" w:firstLineChars="40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法定代表人</w:t>
      </w:r>
      <w:r>
        <w:rPr>
          <w:rFonts w:hint="eastAsia" w:ascii="黑体" w:hAnsi="黑体" w:eastAsia="黑体" w:cs="黑体"/>
          <w:color w:val="auto"/>
          <w:sz w:val="24"/>
          <w:szCs w:val="24"/>
          <w:highlight w:val="none"/>
        </w:rPr>
        <w:t>或</w:t>
      </w:r>
      <w:r>
        <w:rPr>
          <w:rFonts w:hint="eastAsia" w:ascii="黑体" w:hAnsi="黑体" w:eastAsia="黑体" w:cs="黑体"/>
          <w:color w:val="auto"/>
          <w:sz w:val="24"/>
          <w:szCs w:val="24"/>
          <w:highlight w:val="none"/>
          <w:lang w:val="zh-CN"/>
        </w:rPr>
        <w:t>授权代表（签字或盖章）：</w:t>
      </w:r>
    </w:p>
    <w:p w14:paraId="2CB89D0D">
      <w:pPr>
        <w:autoSpaceDE w:val="0"/>
        <w:autoSpaceDN w:val="0"/>
        <w:adjustRightInd w:val="0"/>
        <w:snapToGrid w:val="0"/>
        <w:spacing w:line="360" w:lineRule="auto"/>
        <w:ind w:firstLine="2160" w:firstLineChars="900"/>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 xml:space="preserve">年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lang w:val="zh-CN"/>
        </w:rPr>
        <w:t>月</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lang w:val="zh-CN"/>
        </w:rPr>
        <w:t>日</w:t>
      </w:r>
    </w:p>
    <w:p w14:paraId="3F9F39E9">
      <w:pPr>
        <w:spacing w:line="460" w:lineRule="exact"/>
        <w:ind w:firstLine="0"/>
        <w:jc w:val="center"/>
        <w:rPr>
          <w:rFonts w:hint="eastAsia" w:ascii="黑体" w:hAnsi="黑体" w:eastAsia="黑体" w:cs="黑体"/>
          <w:color w:val="auto"/>
          <w:sz w:val="24"/>
          <w:szCs w:val="24"/>
          <w:highlight w:val="none"/>
          <w:lang w:eastAsia="zh-CN"/>
        </w:rPr>
      </w:pPr>
    </w:p>
    <w:p w14:paraId="094ABD4E">
      <w:pPr>
        <w:spacing w:line="460" w:lineRule="exact"/>
        <w:ind w:firstLine="0"/>
        <w:jc w:val="center"/>
        <w:rPr>
          <w:rFonts w:hint="eastAsia" w:ascii="黑体" w:hAnsi="黑体" w:eastAsia="黑体" w:cs="黑体"/>
          <w:color w:val="auto"/>
          <w:sz w:val="24"/>
          <w:szCs w:val="24"/>
          <w:highlight w:val="none"/>
          <w:lang w:eastAsia="zh-CN"/>
        </w:rPr>
      </w:pPr>
    </w:p>
    <w:p w14:paraId="5D6D0649">
      <w:pPr>
        <w:spacing w:line="460" w:lineRule="exact"/>
        <w:ind w:firstLine="0"/>
        <w:jc w:val="center"/>
        <w:rPr>
          <w:rFonts w:hint="eastAsia" w:ascii="黑体" w:hAnsi="黑体" w:eastAsia="黑体" w:cs="黑体"/>
          <w:color w:val="auto"/>
          <w:sz w:val="24"/>
          <w:szCs w:val="24"/>
          <w:highlight w:val="none"/>
          <w:lang w:eastAsia="zh-CN"/>
        </w:rPr>
      </w:pPr>
    </w:p>
    <w:p w14:paraId="5A458FF9">
      <w:pPr>
        <w:spacing w:line="460" w:lineRule="exact"/>
        <w:ind w:firstLine="0"/>
        <w:jc w:val="center"/>
        <w:rPr>
          <w:rFonts w:hint="eastAsia" w:ascii="黑体" w:hAnsi="黑体" w:eastAsia="黑体" w:cs="黑体"/>
          <w:color w:val="auto"/>
          <w:sz w:val="24"/>
          <w:szCs w:val="24"/>
          <w:highlight w:val="none"/>
          <w:lang w:eastAsia="zh-CN"/>
        </w:rPr>
      </w:pPr>
    </w:p>
    <w:p w14:paraId="293AD45D">
      <w:pPr>
        <w:spacing w:line="460" w:lineRule="exact"/>
        <w:ind w:firstLine="0"/>
        <w:jc w:val="center"/>
        <w:rPr>
          <w:rFonts w:hint="eastAsia" w:ascii="黑体" w:hAnsi="黑体" w:eastAsia="黑体" w:cs="黑体"/>
          <w:color w:val="auto"/>
          <w:sz w:val="24"/>
          <w:szCs w:val="24"/>
          <w:highlight w:val="none"/>
          <w:lang w:eastAsia="zh-CN"/>
        </w:rPr>
      </w:pPr>
    </w:p>
    <w:p w14:paraId="604FA61D">
      <w:pPr>
        <w:spacing w:line="460" w:lineRule="exact"/>
        <w:ind w:firstLine="0"/>
        <w:jc w:val="center"/>
        <w:rPr>
          <w:rFonts w:hint="eastAsia" w:ascii="黑体" w:hAnsi="黑体" w:eastAsia="黑体" w:cs="黑体"/>
          <w:color w:val="auto"/>
          <w:sz w:val="24"/>
          <w:szCs w:val="24"/>
          <w:highlight w:val="none"/>
          <w:lang w:eastAsia="zh-CN"/>
        </w:rPr>
      </w:pPr>
    </w:p>
    <w:p w14:paraId="5A1F99DB">
      <w:pPr>
        <w:spacing w:line="460" w:lineRule="exact"/>
        <w:ind w:firstLine="0"/>
        <w:jc w:val="both"/>
        <w:rPr>
          <w:rFonts w:hint="eastAsia" w:ascii="黑体" w:hAnsi="黑体" w:eastAsia="黑体" w:cs="黑体"/>
          <w:color w:val="auto"/>
          <w:sz w:val="32"/>
          <w:szCs w:val="32"/>
          <w:highlight w:val="none"/>
          <w:lang w:eastAsia="zh-CN"/>
        </w:rPr>
      </w:pPr>
    </w:p>
    <w:p w14:paraId="5ADD4119">
      <w:pPr>
        <w:keepNext/>
        <w:keepLines/>
        <w:autoSpaceDE w:val="0"/>
        <w:autoSpaceDN w:val="0"/>
        <w:adjustRightInd w:val="0"/>
        <w:spacing w:line="360" w:lineRule="auto"/>
        <w:jc w:val="center"/>
        <w:outlineLvl w:val="2"/>
        <w:rPr>
          <w:rFonts w:hint="eastAsia" w:ascii="黑体" w:hAnsi="黑体" w:eastAsia="黑体" w:cs="黑体"/>
          <w:b/>
          <w:color w:val="auto"/>
          <w:kern w:val="0"/>
          <w:sz w:val="32"/>
          <w:szCs w:val="32"/>
          <w:highlight w:val="none"/>
          <w:shd w:val="clear" w:color="auto" w:fill="FFFFFF"/>
        </w:rPr>
      </w:pPr>
      <w:bookmarkStart w:id="445" w:name="_Toc17254"/>
      <w:r>
        <w:rPr>
          <w:rFonts w:hint="eastAsia" w:ascii="黑体" w:hAnsi="黑体" w:eastAsia="黑体" w:cs="黑体"/>
          <w:b/>
          <w:color w:val="auto"/>
          <w:kern w:val="0"/>
          <w:sz w:val="32"/>
          <w:szCs w:val="32"/>
          <w:highlight w:val="none"/>
          <w:shd w:val="clear" w:color="auto" w:fill="FFFFFF"/>
        </w:rPr>
        <w:t>投标分项报价表</w:t>
      </w:r>
      <w:bookmarkEnd w:id="445"/>
    </w:p>
    <w:p w14:paraId="1E0A2608">
      <w:pPr>
        <w:autoSpaceDE w:val="0"/>
        <w:autoSpaceDN w:val="0"/>
        <w:adjustRightInd w:val="0"/>
        <w:snapToGrid w:val="0"/>
        <w:spacing w:line="360" w:lineRule="auto"/>
        <w:ind w:right="560" w:firstLine="2280" w:firstLineChars="9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单位：人民币元</w:t>
      </w:r>
    </w:p>
    <w:tbl>
      <w:tblPr>
        <w:tblStyle w:val="50"/>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024"/>
        <w:gridCol w:w="1142"/>
        <w:gridCol w:w="1066"/>
        <w:gridCol w:w="946"/>
        <w:gridCol w:w="1144"/>
        <w:gridCol w:w="1515"/>
      </w:tblGrid>
      <w:tr w14:paraId="0626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6BB986CD">
            <w:pPr>
              <w:adjustRightInd w:val="0"/>
              <w:snapToGrid w:val="0"/>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155" w:type="pct"/>
            <w:noWrap w:val="0"/>
            <w:vAlign w:val="center"/>
          </w:tcPr>
          <w:p w14:paraId="24442B58">
            <w:pPr>
              <w:adjustRightInd w:val="0"/>
              <w:snapToGrid w:val="0"/>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设备名称</w:t>
            </w:r>
          </w:p>
        </w:tc>
        <w:tc>
          <w:tcPr>
            <w:tcW w:w="1261" w:type="pct"/>
            <w:gridSpan w:val="2"/>
            <w:noWrap w:val="0"/>
            <w:vAlign w:val="center"/>
          </w:tcPr>
          <w:p w14:paraId="70B47851">
            <w:pPr>
              <w:adjustRightInd w:val="0"/>
              <w:snapToGrid w:val="0"/>
              <w:spacing w:line="360" w:lineRule="auto"/>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设备品牌、型号</w:t>
            </w:r>
          </w:p>
        </w:tc>
        <w:tc>
          <w:tcPr>
            <w:tcW w:w="540" w:type="pct"/>
            <w:noWrap w:val="0"/>
            <w:vAlign w:val="center"/>
          </w:tcPr>
          <w:p w14:paraId="3715A83A">
            <w:pPr>
              <w:adjustRightInd w:val="0"/>
              <w:snapToGrid w:val="0"/>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数量</w:t>
            </w:r>
          </w:p>
        </w:tc>
        <w:tc>
          <w:tcPr>
            <w:tcW w:w="653" w:type="pct"/>
            <w:noWrap w:val="0"/>
            <w:vAlign w:val="center"/>
          </w:tcPr>
          <w:p w14:paraId="740B1DCE">
            <w:pPr>
              <w:adjustRightInd w:val="0"/>
              <w:snapToGrid w:val="0"/>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单价</w:t>
            </w:r>
          </w:p>
        </w:tc>
        <w:tc>
          <w:tcPr>
            <w:tcW w:w="865" w:type="pct"/>
            <w:noWrap w:val="0"/>
            <w:vAlign w:val="center"/>
          </w:tcPr>
          <w:p w14:paraId="18FCCEAE">
            <w:pPr>
              <w:adjustRightInd w:val="0"/>
              <w:snapToGrid w:val="0"/>
              <w:spacing w:line="360" w:lineRule="auto"/>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合价</w:t>
            </w:r>
          </w:p>
        </w:tc>
      </w:tr>
      <w:tr w14:paraId="07F7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29B51C88">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644D9E02">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6A16B80C">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制造商：</w:t>
            </w:r>
          </w:p>
          <w:p w14:paraId="4BDF4106">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品牌：</w:t>
            </w:r>
          </w:p>
          <w:p w14:paraId="0383771E">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型号：</w:t>
            </w:r>
          </w:p>
        </w:tc>
        <w:tc>
          <w:tcPr>
            <w:tcW w:w="540" w:type="pct"/>
            <w:noWrap w:val="0"/>
            <w:vAlign w:val="center"/>
          </w:tcPr>
          <w:p w14:paraId="297EDECB">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6BA659F9">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3ABCE518">
            <w:pPr>
              <w:adjustRightInd w:val="0"/>
              <w:snapToGrid w:val="0"/>
              <w:spacing w:line="360" w:lineRule="auto"/>
              <w:rPr>
                <w:rFonts w:hint="eastAsia" w:ascii="黑体" w:hAnsi="黑体" w:eastAsia="黑体" w:cs="黑体"/>
                <w:color w:val="auto"/>
                <w:sz w:val="24"/>
                <w:szCs w:val="24"/>
                <w:highlight w:val="none"/>
              </w:rPr>
            </w:pPr>
          </w:p>
        </w:tc>
      </w:tr>
      <w:tr w14:paraId="7E5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4A1A4AC4">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6D54C58C">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4DF2DC9A">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21DF9E2D">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2AE08E11">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45176CC4">
            <w:pPr>
              <w:adjustRightInd w:val="0"/>
              <w:snapToGrid w:val="0"/>
              <w:spacing w:line="360" w:lineRule="auto"/>
              <w:rPr>
                <w:rFonts w:hint="eastAsia" w:ascii="黑体" w:hAnsi="黑体" w:eastAsia="黑体" w:cs="黑体"/>
                <w:color w:val="auto"/>
                <w:sz w:val="24"/>
                <w:szCs w:val="24"/>
                <w:highlight w:val="none"/>
              </w:rPr>
            </w:pPr>
          </w:p>
        </w:tc>
      </w:tr>
      <w:tr w14:paraId="308B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3A6CB3C1">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03360993">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1A286F85">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1F7EE3B1">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0A3D61B9">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27CC4847">
            <w:pPr>
              <w:adjustRightInd w:val="0"/>
              <w:snapToGrid w:val="0"/>
              <w:spacing w:line="360" w:lineRule="auto"/>
              <w:rPr>
                <w:rFonts w:hint="eastAsia" w:ascii="黑体" w:hAnsi="黑体" w:eastAsia="黑体" w:cs="黑体"/>
                <w:color w:val="auto"/>
                <w:sz w:val="24"/>
                <w:szCs w:val="24"/>
                <w:highlight w:val="none"/>
              </w:rPr>
            </w:pPr>
          </w:p>
        </w:tc>
      </w:tr>
      <w:tr w14:paraId="7003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3793E5A8">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734EBA6F">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750B4893">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0FFAAB03">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5A8C8AEB">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41F2C015">
            <w:pPr>
              <w:adjustRightInd w:val="0"/>
              <w:snapToGrid w:val="0"/>
              <w:spacing w:line="360" w:lineRule="auto"/>
              <w:rPr>
                <w:rFonts w:hint="eastAsia" w:ascii="黑体" w:hAnsi="黑体" w:eastAsia="黑体" w:cs="黑体"/>
                <w:color w:val="auto"/>
                <w:sz w:val="24"/>
                <w:szCs w:val="24"/>
                <w:highlight w:val="none"/>
              </w:rPr>
            </w:pPr>
          </w:p>
        </w:tc>
      </w:tr>
      <w:tr w14:paraId="56C4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727500DA">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04A35694">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2C852BC4">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74048580">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65948E2C">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45C29068">
            <w:pPr>
              <w:adjustRightInd w:val="0"/>
              <w:snapToGrid w:val="0"/>
              <w:spacing w:line="360" w:lineRule="auto"/>
              <w:rPr>
                <w:rFonts w:hint="eastAsia" w:ascii="黑体" w:hAnsi="黑体" w:eastAsia="黑体" w:cs="黑体"/>
                <w:color w:val="auto"/>
                <w:sz w:val="24"/>
                <w:szCs w:val="24"/>
                <w:highlight w:val="none"/>
              </w:rPr>
            </w:pPr>
          </w:p>
        </w:tc>
      </w:tr>
      <w:tr w14:paraId="5E7A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47955879">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440AA746">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32F89B73">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25F87501">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53A89F2F">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1658F445">
            <w:pPr>
              <w:adjustRightInd w:val="0"/>
              <w:snapToGrid w:val="0"/>
              <w:spacing w:line="360" w:lineRule="auto"/>
              <w:rPr>
                <w:rFonts w:hint="eastAsia" w:ascii="黑体" w:hAnsi="黑体" w:eastAsia="黑体" w:cs="黑体"/>
                <w:color w:val="auto"/>
                <w:sz w:val="24"/>
                <w:szCs w:val="24"/>
                <w:highlight w:val="none"/>
              </w:rPr>
            </w:pPr>
          </w:p>
        </w:tc>
      </w:tr>
      <w:tr w14:paraId="398D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241BC5C4">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1D029D78">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76F782F7">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00A1A8D6">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4FD66D96">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2B6C6FA2">
            <w:pPr>
              <w:adjustRightInd w:val="0"/>
              <w:snapToGrid w:val="0"/>
              <w:spacing w:line="360" w:lineRule="auto"/>
              <w:rPr>
                <w:rFonts w:hint="eastAsia" w:ascii="黑体" w:hAnsi="黑体" w:eastAsia="黑体" w:cs="黑体"/>
                <w:color w:val="auto"/>
                <w:sz w:val="24"/>
                <w:szCs w:val="24"/>
                <w:highlight w:val="none"/>
              </w:rPr>
            </w:pPr>
          </w:p>
        </w:tc>
      </w:tr>
      <w:tr w14:paraId="2243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0B264066">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72E75EED">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001B57F3">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352DA7E7">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6CBF42EA">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6152EDA0">
            <w:pPr>
              <w:adjustRightInd w:val="0"/>
              <w:snapToGrid w:val="0"/>
              <w:spacing w:line="360" w:lineRule="auto"/>
              <w:rPr>
                <w:rFonts w:hint="eastAsia" w:ascii="黑体" w:hAnsi="黑体" w:eastAsia="黑体" w:cs="黑体"/>
                <w:color w:val="auto"/>
                <w:sz w:val="24"/>
                <w:szCs w:val="24"/>
                <w:highlight w:val="none"/>
              </w:rPr>
            </w:pPr>
          </w:p>
        </w:tc>
      </w:tr>
      <w:tr w14:paraId="3F9F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23D52EE5">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024875D7">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2D3E7AA9">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69A81DB3">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27E010E9">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66187730">
            <w:pPr>
              <w:adjustRightInd w:val="0"/>
              <w:snapToGrid w:val="0"/>
              <w:spacing w:line="360" w:lineRule="auto"/>
              <w:rPr>
                <w:rFonts w:hint="eastAsia" w:ascii="黑体" w:hAnsi="黑体" w:eastAsia="黑体" w:cs="黑体"/>
                <w:color w:val="auto"/>
                <w:sz w:val="24"/>
                <w:szCs w:val="24"/>
                <w:highlight w:val="none"/>
              </w:rPr>
            </w:pPr>
          </w:p>
        </w:tc>
      </w:tr>
      <w:tr w14:paraId="2210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23" w:type="pct"/>
            <w:noWrap w:val="0"/>
            <w:vAlign w:val="center"/>
          </w:tcPr>
          <w:p w14:paraId="14BB0B52">
            <w:pPr>
              <w:adjustRightInd w:val="0"/>
              <w:snapToGrid w:val="0"/>
              <w:spacing w:line="360" w:lineRule="auto"/>
              <w:rPr>
                <w:rFonts w:hint="eastAsia" w:ascii="黑体" w:hAnsi="黑体" w:eastAsia="黑体" w:cs="黑体"/>
                <w:color w:val="auto"/>
                <w:sz w:val="24"/>
                <w:szCs w:val="24"/>
                <w:highlight w:val="none"/>
              </w:rPr>
            </w:pPr>
          </w:p>
        </w:tc>
        <w:tc>
          <w:tcPr>
            <w:tcW w:w="1155" w:type="pct"/>
            <w:noWrap w:val="0"/>
            <w:vAlign w:val="center"/>
          </w:tcPr>
          <w:p w14:paraId="19B447E3">
            <w:pPr>
              <w:adjustRightInd w:val="0"/>
              <w:snapToGrid w:val="0"/>
              <w:spacing w:line="360" w:lineRule="auto"/>
              <w:rPr>
                <w:rFonts w:hint="eastAsia" w:ascii="黑体" w:hAnsi="黑体" w:eastAsia="黑体" w:cs="黑体"/>
                <w:color w:val="auto"/>
                <w:sz w:val="24"/>
                <w:szCs w:val="24"/>
                <w:highlight w:val="none"/>
              </w:rPr>
            </w:pPr>
          </w:p>
        </w:tc>
        <w:tc>
          <w:tcPr>
            <w:tcW w:w="1261" w:type="pct"/>
            <w:gridSpan w:val="2"/>
            <w:noWrap w:val="0"/>
            <w:vAlign w:val="center"/>
          </w:tcPr>
          <w:p w14:paraId="63345AE6">
            <w:pPr>
              <w:adjustRightInd w:val="0"/>
              <w:snapToGrid w:val="0"/>
              <w:spacing w:line="360" w:lineRule="auto"/>
              <w:rPr>
                <w:rFonts w:hint="eastAsia" w:ascii="黑体" w:hAnsi="黑体" w:eastAsia="黑体" w:cs="黑体"/>
                <w:color w:val="auto"/>
                <w:sz w:val="24"/>
                <w:szCs w:val="24"/>
                <w:highlight w:val="none"/>
              </w:rPr>
            </w:pPr>
          </w:p>
        </w:tc>
        <w:tc>
          <w:tcPr>
            <w:tcW w:w="540" w:type="pct"/>
            <w:noWrap w:val="0"/>
            <w:vAlign w:val="center"/>
          </w:tcPr>
          <w:p w14:paraId="2976ACC4">
            <w:pPr>
              <w:adjustRightInd w:val="0"/>
              <w:snapToGrid w:val="0"/>
              <w:spacing w:line="360" w:lineRule="auto"/>
              <w:rPr>
                <w:rFonts w:hint="eastAsia" w:ascii="黑体" w:hAnsi="黑体" w:eastAsia="黑体" w:cs="黑体"/>
                <w:color w:val="auto"/>
                <w:sz w:val="24"/>
                <w:szCs w:val="24"/>
                <w:highlight w:val="none"/>
              </w:rPr>
            </w:pPr>
          </w:p>
        </w:tc>
        <w:tc>
          <w:tcPr>
            <w:tcW w:w="653" w:type="pct"/>
            <w:noWrap w:val="0"/>
            <w:vAlign w:val="center"/>
          </w:tcPr>
          <w:p w14:paraId="322A14EA">
            <w:pPr>
              <w:adjustRightInd w:val="0"/>
              <w:snapToGrid w:val="0"/>
              <w:spacing w:line="360" w:lineRule="auto"/>
              <w:rPr>
                <w:rFonts w:hint="eastAsia" w:ascii="黑体" w:hAnsi="黑体" w:eastAsia="黑体" w:cs="黑体"/>
                <w:color w:val="auto"/>
                <w:sz w:val="24"/>
                <w:szCs w:val="24"/>
                <w:highlight w:val="none"/>
              </w:rPr>
            </w:pPr>
          </w:p>
        </w:tc>
        <w:tc>
          <w:tcPr>
            <w:tcW w:w="865" w:type="pct"/>
            <w:noWrap w:val="0"/>
            <w:vAlign w:val="center"/>
          </w:tcPr>
          <w:p w14:paraId="2C88F6C6">
            <w:pPr>
              <w:adjustRightInd w:val="0"/>
              <w:snapToGrid w:val="0"/>
              <w:spacing w:line="360" w:lineRule="auto"/>
              <w:rPr>
                <w:rFonts w:hint="eastAsia" w:ascii="黑体" w:hAnsi="黑体" w:eastAsia="黑体" w:cs="黑体"/>
                <w:color w:val="auto"/>
                <w:sz w:val="24"/>
                <w:szCs w:val="24"/>
                <w:highlight w:val="none"/>
              </w:rPr>
            </w:pPr>
          </w:p>
        </w:tc>
      </w:tr>
      <w:tr w14:paraId="2C89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79" w:type="pct"/>
            <w:gridSpan w:val="2"/>
            <w:noWrap w:val="0"/>
            <w:vAlign w:val="center"/>
          </w:tcPr>
          <w:p w14:paraId="717D2EEB">
            <w:pPr>
              <w:adjustRightInd w:val="0"/>
              <w:snapToGrid w:val="0"/>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总价</w:t>
            </w:r>
          </w:p>
        </w:tc>
        <w:tc>
          <w:tcPr>
            <w:tcW w:w="652" w:type="pct"/>
            <w:noWrap w:val="0"/>
            <w:vAlign w:val="center"/>
          </w:tcPr>
          <w:p w14:paraId="42122EC0">
            <w:pPr>
              <w:adjustRightInd w:val="0"/>
              <w:snapToGrid w:val="0"/>
              <w:spacing w:line="360" w:lineRule="auto"/>
              <w:rPr>
                <w:rFonts w:hint="eastAsia" w:ascii="黑体" w:hAnsi="黑体" w:eastAsia="黑体" w:cs="黑体"/>
                <w:color w:val="auto"/>
                <w:sz w:val="24"/>
                <w:szCs w:val="24"/>
                <w:highlight w:val="none"/>
              </w:rPr>
            </w:pPr>
          </w:p>
        </w:tc>
        <w:tc>
          <w:tcPr>
            <w:tcW w:w="2667" w:type="pct"/>
            <w:gridSpan w:val="4"/>
            <w:noWrap w:val="0"/>
            <w:vAlign w:val="center"/>
          </w:tcPr>
          <w:p w14:paraId="6429343C">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大写：                 ￥： </w:t>
            </w:r>
          </w:p>
        </w:tc>
      </w:tr>
    </w:tbl>
    <w:p w14:paraId="3CD1EB73">
      <w:pPr>
        <w:rPr>
          <w:rFonts w:hint="eastAsia" w:ascii="黑体" w:hAnsi="黑体" w:eastAsia="黑体" w:cs="黑体"/>
          <w:color w:val="auto"/>
          <w:sz w:val="24"/>
          <w:szCs w:val="24"/>
          <w:highlight w:val="none"/>
        </w:rPr>
      </w:pPr>
    </w:p>
    <w:p w14:paraId="3ECFF8DB">
      <w:pPr>
        <w:pStyle w:val="2"/>
        <w:rPr>
          <w:rFonts w:hint="eastAsia"/>
          <w:lang w:eastAsia="zh-CN"/>
        </w:rPr>
      </w:pPr>
      <w:r>
        <w:rPr>
          <w:rFonts w:hint="eastAsia" w:ascii="黑体" w:hAnsi="黑体" w:eastAsia="黑体" w:cs="黑体"/>
          <w:b/>
          <w:bCs/>
          <w:color w:val="auto"/>
          <w:sz w:val="24"/>
          <w:szCs w:val="24"/>
          <w:highlight w:val="none"/>
          <w:lang w:val="en-US" w:eastAsia="zh-CN"/>
        </w:rPr>
        <w:t>报价规则：供应商总报价既不能超过总的最高限价413800.00元，分项报价中每台设备的单价也不能超过单价限价：多普勒肌骨超声设备单价限价：228800.00元；全自动五分类血液分析仪：185000.00元；超出限价的，其响应文件按照无效文件处理。</w:t>
      </w:r>
    </w:p>
    <w:p w14:paraId="1BC9A9AE">
      <w:pPr>
        <w:adjustRightInd w:val="0"/>
        <w:snapToGrid w:val="0"/>
        <w:spacing w:line="360" w:lineRule="auto"/>
        <w:ind w:firstLine="120" w:firstLineChars="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供应商</w:t>
      </w:r>
      <w:r>
        <w:rPr>
          <w:rFonts w:hint="eastAsia" w:ascii="黑体" w:hAnsi="黑体" w:eastAsia="黑体" w:cs="黑体"/>
          <w:color w:val="auto"/>
          <w:sz w:val="24"/>
          <w:szCs w:val="24"/>
          <w:highlight w:val="none"/>
        </w:rPr>
        <w:t xml:space="preserve">                         法定代表人或授权代表</w:t>
      </w:r>
    </w:p>
    <w:p w14:paraId="42C502B1">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（公章）：                          （签字）：</w:t>
      </w:r>
    </w:p>
    <w:p w14:paraId="6A96D93E">
      <w:pPr>
        <w:rPr>
          <w:rFonts w:ascii="Calibri" w:hAnsi="Calibri"/>
          <w:color w:val="auto"/>
          <w:szCs w:val="22"/>
          <w:highlight w:val="none"/>
        </w:rPr>
      </w:pPr>
    </w:p>
    <w:p w14:paraId="02260CD6">
      <w:pPr>
        <w:keepNext/>
        <w:keepLines/>
        <w:autoSpaceDE w:val="0"/>
        <w:autoSpaceDN w:val="0"/>
        <w:spacing w:line="360" w:lineRule="auto"/>
        <w:jc w:val="center"/>
        <w:outlineLvl w:val="1"/>
        <w:rPr>
          <w:rFonts w:hint="eastAsia" w:ascii="仿宋" w:hAnsi="仿宋" w:eastAsia="仿宋" w:cs="仿宋_GB2312"/>
          <w:b/>
          <w:bCs/>
          <w:color w:val="auto"/>
          <w:kern w:val="0"/>
          <w:sz w:val="32"/>
          <w:szCs w:val="32"/>
          <w:highlight w:val="none"/>
        </w:rPr>
        <w:sectPr>
          <w:footerReference r:id="rId11" w:type="default"/>
          <w:pgSz w:w="11907" w:h="16840"/>
          <w:pgMar w:top="1474" w:right="1814" w:bottom="1474" w:left="1814" w:header="851" w:footer="851" w:gutter="0"/>
          <w:cols w:space="720" w:num="1"/>
          <w:docGrid w:linePitch="462" w:charSpace="0"/>
        </w:sectPr>
      </w:pPr>
    </w:p>
    <w:p w14:paraId="71C3A063">
      <w:pPr>
        <w:pStyle w:val="6"/>
        <w:jc w:val="center"/>
        <w:rPr>
          <w:rFonts w:hint="eastAsia" w:ascii="黑体" w:hAnsi="黑体" w:eastAsia="黑体" w:cs="黑体"/>
          <w:b/>
          <w:bCs/>
          <w:color w:val="auto"/>
          <w:sz w:val="28"/>
          <w:szCs w:val="28"/>
          <w:highlight w:val="none"/>
        </w:rPr>
      </w:pPr>
      <w:bookmarkStart w:id="446" w:name="_Toc515647821"/>
      <w:bookmarkStart w:id="447" w:name="_Toc532473510"/>
      <w:bookmarkStart w:id="448" w:name="_Toc23"/>
      <w:bookmarkStart w:id="449" w:name="_Toc1980"/>
      <w:bookmarkStart w:id="450" w:name="_Toc20660415"/>
      <w:bookmarkStart w:id="451" w:name="_Toc216582818"/>
      <w:r>
        <w:rPr>
          <w:rFonts w:hint="eastAsia" w:ascii="黑体" w:hAnsi="黑体" w:eastAsia="黑体" w:cs="黑体"/>
          <w:b/>
          <w:color w:val="auto"/>
          <w:sz w:val="28"/>
          <w:szCs w:val="28"/>
          <w:highlight w:val="none"/>
          <w:lang w:eastAsia="zh-CN"/>
        </w:rPr>
        <w:t>技术参数</w:t>
      </w:r>
      <w:r>
        <w:rPr>
          <w:rFonts w:hint="eastAsia" w:ascii="黑体" w:hAnsi="黑体" w:eastAsia="黑体" w:cs="黑体"/>
          <w:b/>
          <w:color w:val="auto"/>
          <w:sz w:val="28"/>
          <w:szCs w:val="28"/>
          <w:highlight w:val="none"/>
        </w:rPr>
        <w:t>偏离表</w:t>
      </w:r>
    </w:p>
    <w:p w14:paraId="63EB36C6">
      <w:pPr>
        <w:pStyle w:val="29"/>
        <w:ind w:left="1080" w:leftChars="257" w:hanging="540"/>
        <w:rPr>
          <w:rFonts w:hint="eastAsia" w:ascii="黑体" w:hAnsi="黑体" w:eastAsia="黑体" w:cs="黑体"/>
          <w:color w:val="auto"/>
          <w:sz w:val="22"/>
          <w:szCs w:val="20"/>
          <w:highlight w:val="none"/>
        </w:rPr>
      </w:pPr>
    </w:p>
    <w:p w14:paraId="1584D27F">
      <w:pPr>
        <w:pStyle w:val="29"/>
        <w:jc w:val="both"/>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项目编号:</w:t>
      </w:r>
    </w:p>
    <w:tbl>
      <w:tblPr>
        <w:tblStyle w:val="5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937"/>
        <w:gridCol w:w="2992"/>
        <w:gridCol w:w="2122"/>
      </w:tblGrid>
      <w:tr w14:paraId="3A62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2" w:type="pct"/>
            <w:vAlign w:val="center"/>
          </w:tcPr>
          <w:p w14:paraId="22AD57CD">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582" w:type="pct"/>
            <w:vAlign w:val="center"/>
          </w:tcPr>
          <w:p w14:paraId="3D301FEC">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磋商文件</w:t>
            </w:r>
            <w:r>
              <w:rPr>
                <w:rFonts w:hint="eastAsia" w:ascii="黑体" w:hAnsi="黑体" w:eastAsia="黑体" w:cs="黑体"/>
                <w:color w:val="auto"/>
                <w:sz w:val="24"/>
                <w:szCs w:val="24"/>
                <w:highlight w:val="none"/>
                <w:lang w:eastAsia="zh-CN"/>
              </w:rPr>
              <w:t>的技术参数</w:t>
            </w:r>
          </w:p>
        </w:tc>
        <w:tc>
          <w:tcPr>
            <w:tcW w:w="1612" w:type="pct"/>
            <w:vAlign w:val="center"/>
          </w:tcPr>
          <w:p w14:paraId="212ECD05">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响应文件的技术参数</w:t>
            </w:r>
          </w:p>
        </w:tc>
        <w:tc>
          <w:tcPr>
            <w:tcW w:w="1142" w:type="pct"/>
            <w:vAlign w:val="center"/>
          </w:tcPr>
          <w:p w14:paraId="3D6D1E8E">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w:t>
            </w:r>
            <w:r>
              <w:rPr>
                <w:rFonts w:hint="eastAsia" w:ascii="黑体" w:hAnsi="黑体" w:eastAsia="黑体" w:cs="黑体"/>
                <w:color w:val="auto"/>
                <w:sz w:val="24"/>
                <w:szCs w:val="24"/>
                <w:highlight w:val="none"/>
              </w:rPr>
              <w:t>说明</w:t>
            </w:r>
          </w:p>
        </w:tc>
      </w:tr>
      <w:tr w14:paraId="388F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134D74DD">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13818728">
            <w:pPr>
              <w:jc w:val="center"/>
              <w:rPr>
                <w:rFonts w:hint="eastAsia" w:ascii="黑体" w:hAnsi="黑体" w:eastAsia="黑体" w:cs="黑体"/>
                <w:bCs/>
                <w:color w:val="auto"/>
                <w:sz w:val="24"/>
                <w:szCs w:val="24"/>
                <w:highlight w:val="none"/>
              </w:rPr>
            </w:pPr>
          </w:p>
        </w:tc>
        <w:tc>
          <w:tcPr>
            <w:tcW w:w="1612" w:type="pct"/>
            <w:vAlign w:val="center"/>
          </w:tcPr>
          <w:p w14:paraId="4DA2874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4EC62A32">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51D4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07D6E61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3BB6C56E">
            <w:pPr>
              <w:jc w:val="center"/>
              <w:rPr>
                <w:rFonts w:hint="eastAsia" w:ascii="黑体" w:hAnsi="黑体" w:eastAsia="黑体" w:cs="黑体"/>
                <w:bCs/>
                <w:color w:val="auto"/>
                <w:sz w:val="24"/>
                <w:szCs w:val="24"/>
                <w:highlight w:val="none"/>
              </w:rPr>
            </w:pPr>
          </w:p>
        </w:tc>
        <w:tc>
          <w:tcPr>
            <w:tcW w:w="1612" w:type="pct"/>
            <w:vAlign w:val="center"/>
          </w:tcPr>
          <w:p w14:paraId="37EA01E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5F2FAF8B">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742B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450397EF">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3390B3B6">
            <w:pPr>
              <w:jc w:val="center"/>
              <w:rPr>
                <w:rFonts w:hint="eastAsia" w:ascii="黑体" w:hAnsi="黑体" w:eastAsia="黑体" w:cs="黑体"/>
                <w:bCs/>
                <w:color w:val="auto"/>
                <w:sz w:val="24"/>
                <w:szCs w:val="24"/>
                <w:highlight w:val="none"/>
              </w:rPr>
            </w:pPr>
          </w:p>
        </w:tc>
        <w:tc>
          <w:tcPr>
            <w:tcW w:w="1612" w:type="pct"/>
            <w:vAlign w:val="center"/>
          </w:tcPr>
          <w:p w14:paraId="71B32766">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60144E23">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2675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072834DE">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2B9453A6">
            <w:pPr>
              <w:jc w:val="center"/>
              <w:rPr>
                <w:rFonts w:hint="eastAsia" w:ascii="黑体" w:hAnsi="黑体" w:eastAsia="黑体" w:cs="黑体"/>
                <w:bCs/>
                <w:color w:val="auto"/>
                <w:sz w:val="24"/>
                <w:szCs w:val="24"/>
                <w:highlight w:val="none"/>
              </w:rPr>
            </w:pPr>
          </w:p>
        </w:tc>
        <w:tc>
          <w:tcPr>
            <w:tcW w:w="1612" w:type="pct"/>
            <w:vAlign w:val="center"/>
          </w:tcPr>
          <w:p w14:paraId="3B6516C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65AF393E">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7B7D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2FB49FB7">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5F1DF956">
            <w:pPr>
              <w:jc w:val="center"/>
              <w:rPr>
                <w:rFonts w:hint="eastAsia" w:ascii="黑体" w:hAnsi="黑体" w:eastAsia="黑体" w:cs="黑体"/>
                <w:bCs/>
                <w:color w:val="auto"/>
                <w:sz w:val="24"/>
                <w:szCs w:val="24"/>
                <w:highlight w:val="none"/>
              </w:rPr>
            </w:pPr>
          </w:p>
        </w:tc>
        <w:tc>
          <w:tcPr>
            <w:tcW w:w="1612" w:type="pct"/>
            <w:vAlign w:val="center"/>
          </w:tcPr>
          <w:p w14:paraId="6D5624C8">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2B391B1E">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6A6C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27A805AC">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7A316D7B">
            <w:pPr>
              <w:jc w:val="center"/>
              <w:rPr>
                <w:rFonts w:hint="eastAsia" w:ascii="黑体" w:hAnsi="黑体" w:eastAsia="黑体" w:cs="黑体"/>
                <w:bCs/>
                <w:color w:val="auto"/>
                <w:sz w:val="24"/>
                <w:szCs w:val="24"/>
                <w:highlight w:val="none"/>
              </w:rPr>
            </w:pPr>
          </w:p>
        </w:tc>
        <w:tc>
          <w:tcPr>
            <w:tcW w:w="1612" w:type="pct"/>
            <w:vAlign w:val="center"/>
          </w:tcPr>
          <w:p w14:paraId="4CD4BC83">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75F89D9E">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444D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2800BA3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57167319">
            <w:pPr>
              <w:jc w:val="center"/>
              <w:rPr>
                <w:rFonts w:hint="eastAsia" w:ascii="黑体" w:hAnsi="黑体" w:eastAsia="黑体" w:cs="黑体"/>
                <w:bCs/>
                <w:color w:val="auto"/>
                <w:sz w:val="24"/>
                <w:szCs w:val="24"/>
                <w:highlight w:val="none"/>
              </w:rPr>
            </w:pPr>
          </w:p>
        </w:tc>
        <w:tc>
          <w:tcPr>
            <w:tcW w:w="1612" w:type="pct"/>
            <w:vAlign w:val="center"/>
          </w:tcPr>
          <w:p w14:paraId="0B4785EB">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650E35EF">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2050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6D306405">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72DEC7A6">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612" w:type="pct"/>
            <w:vAlign w:val="center"/>
          </w:tcPr>
          <w:p w14:paraId="10C68D39">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2996BE6F">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42F4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11531616">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5D1E243E">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612" w:type="pct"/>
            <w:vAlign w:val="center"/>
          </w:tcPr>
          <w:p w14:paraId="78B51F44">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1596B422">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763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7BED74EE">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60B97DCB">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612" w:type="pct"/>
            <w:vAlign w:val="center"/>
          </w:tcPr>
          <w:p w14:paraId="58893A9D">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35DE1B75">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7228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503EA0DA">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6783FB6F">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612" w:type="pct"/>
            <w:vAlign w:val="center"/>
          </w:tcPr>
          <w:p w14:paraId="18C2AB66">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2231DFEA">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3588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73AA5557">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1D1144B4">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612" w:type="pct"/>
            <w:vAlign w:val="center"/>
          </w:tcPr>
          <w:p w14:paraId="6C6F528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5AE8120B">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7528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328B0859">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7C102EE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612" w:type="pct"/>
            <w:vAlign w:val="center"/>
          </w:tcPr>
          <w:p w14:paraId="794C15CA">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31191497">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4A10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2" w:type="pct"/>
            <w:vAlign w:val="center"/>
          </w:tcPr>
          <w:p w14:paraId="51F8C58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582" w:type="pct"/>
            <w:vAlign w:val="center"/>
          </w:tcPr>
          <w:p w14:paraId="434C3B6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612" w:type="pct"/>
            <w:vAlign w:val="center"/>
          </w:tcPr>
          <w:p w14:paraId="4168B227">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2" w:type="pct"/>
            <w:vAlign w:val="center"/>
          </w:tcPr>
          <w:p w14:paraId="00DBDFFB">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0074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62" w:type="pct"/>
            <w:vAlign w:val="center"/>
          </w:tcPr>
          <w:p w14:paraId="1996C3A4">
            <w:pPr>
              <w:spacing w:before="106" w:line="317" w:lineRule="exact"/>
              <w:ind w:right="218" w:rightChars="0" w:firstLine="0" w:firstLineChars="0"/>
              <w:jc w:val="center"/>
              <w:rPr>
                <w:rFonts w:hint="eastAsia" w:ascii="黑体" w:hAnsi="黑体" w:eastAsia="黑体" w:cs="黑体"/>
                <w:color w:val="auto"/>
                <w:sz w:val="36"/>
                <w:szCs w:val="36"/>
                <w:highlight w:val="none"/>
              </w:rPr>
            </w:pPr>
            <w:r>
              <w:rPr>
                <w:rFonts w:hint="eastAsia" w:ascii="黑体" w:hAnsi="黑体" w:eastAsia="黑体" w:cs="黑体"/>
                <w:b/>
                <w:color w:val="auto"/>
                <w:sz w:val="24"/>
                <w:szCs w:val="36"/>
                <w:highlight w:val="none"/>
                <w:lang w:val="zh-CN" w:bidi="zh-CN"/>
              </w:rPr>
              <w:t>备注</w:t>
            </w:r>
          </w:p>
        </w:tc>
        <w:tc>
          <w:tcPr>
            <w:tcW w:w="4337" w:type="pct"/>
            <w:gridSpan w:val="3"/>
            <w:vAlign w:val="center"/>
          </w:tcPr>
          <w:p w14:paraId="448EF9A8">
            <w:pPr>
              <w:spacing w:before="106" w:line="400" w:lineRule="exact"/>
              <w:ind w:right="215" w:rightChars="0" w:firstLine="0" w:firstLineChars="0"/>
              <w:jc w:val="both"/>
              <w:rPr>
                <w:rFonts w:hint="eastAsia" w:ascii="黑体" w:hAnsi="黑体" w:eastAsia="黑体" w:cs="黑体"/>
                <w:color w:val="auto"/>
                <w:sz w:val="36"/>
                <w:szCs w:val="36"/>
                <w:highlight w:val="none"/>
              </w:rPr>
            </w:pPr>
            <w:r>
              <w:rPr>
                <w:rFonts w:hint="eastAsia" w:ascii="黑体" w:hAnsi="黑体" w:eastAsia="黑体" w:cs="黑体"/>
                <w:b/>
                <w:color w:val="auto"/>
                <w:sz w:val="24"/>
                <w:szCs w:val="36"/>
                <w:highlight w:val="none"/>
                <w:lang w:val="zh-CN" w:bidi="zh-CN"/>
              </w:rPr>
              <w:t>响应说明填写“优于”、“满足”、“低于”。</w:t>
            </w:r>
          </w:p>
        </w:tc>
      </w:tr>
    </w:tbl>
    <w:p w14:paraId="59DF2DFA">
      <w:pPr>
        <w:pStyle w:val="29"/>
        <w:ind w:left="420" w:left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注：1、供应商根据磋商文件“第五章  采购内容及要求”，结合自身情况如实填写。</w:t>
      </w:r>
    </w:p>
    <w:p w14:paraId="4793DBC4">
      <w:pPr>
        <w:pStyle w:val="29"/>
        <w:ind w:left="420" w:left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2、供应商可适当调整该表格式，但不得减少信息内容。</w:t>
      </w:r>
    </w:p>
    <w:p w14:paraId="26E77D51">
      <w:pPr>
        <w:pStyle w:val="29"/>
        <w:tabs>
          <w:tab w:val="left" w:pos="5370"/>
        </w:tabs>
        <w:ind w:left="1080" w:leftChars="257" w:hanging="540"/>
        <w:rPr>
          <w:rFonts w:hint="eastAsia" w:ascii="黑体" w:hAnsi="黑体" w:eastAsia="黑体" w:cs="黑体"/>
          <w:color w:val="auto"/>
          <w:sz w:val="24"/>
          <w:szCs w:val="24"/>
          <w:highlight w:val="none"/>
        </w:rPr>
      </w:pPr>
    </w:p>
    <w:p w14:paraId="0B70C97D">
      <w:pPr>
        <w:pStyle w:val="29"/>
        <w:tabs>
          <w:tab w:val="left" w:pos="5370"/>
        </w:tabs>
        <w:ind w:left="1080" w:leftChars="257" w:hanging="540"/>
        <w:rPr>
          <w:rFonts w:hint="eastAsia" w:ascii="黑体" w:hAnsi="黑体" w:eastAsia="黑体" w:cs="黑体"/>
          <w:color w:val="auto"/>
          <w:sz w:val="24"/>
          <w:szCs w:val="24"/>
          <w:highlight w:val="none"/>
        </w:rPr>
      </w:pPr>
    </w:p>
    <w:p w14:paraId="342958B2">
      <w:pPr>
        <w:pStyle w:val="29"/>
        <w:tabs>
          <w:tab w:val="left" w:pos="5370"/>
        </w:tabs>
        <w:ind w:left="1080" w:leftChars="257" w:hanging="540"/>
        <w:rPr>
          <w:rFonts w:hint="eastAsia" w:ascii="黑体" w:hAnsi="黑体" w:eastAsia="黑体" w:cs="黑体"/>
          <w:color w:val="auto"/>
          <w:sz w:val="24"/>
          <w:szCs w:val="24"/>
          <w:highlight w:val="none"/>
        </w:rPr>
      </w:pPr>
    </w:p>
    <w:p w14:paraId="7CAA6946">
      <w:pPr>
        <w:pStyle w:val="29"/>
        <w:tabs>
          <w:tab w:val="left" w:pos="5370"/>
        </w:tabs>
        <w:ind w:left="1080" w:leftChars="257" w:hanging="54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供应商(公章):</w:t>
      </w:r>
      <w:r>
        <w:rPr>
          <w:rFonts w:hint="eastAsia" w:ascii="黑体" w:hAnsi="黑体" w:eastAsia="黑体" w:cs="黑体"/>
          <w:color w:val="auto"/>
          <w:sz w:val="24"/>
          <w:szCs w:val="24"/>
          <w:highlight w:val="none"/>
          <w:u w:val="single"/>
        </w:rPr>
        <w:tab/>
      </w:r>
    </w:p>
    <w:p w14:paraId="155BA42A">
      <w:pPr>
        <w:widowControl/>
        <w:spacing w:line="400" w:lineRule="exact"/>
        <w:ind w:firstLine="480" w:firstLineChars="200"/>
        <w:rPr>
          <w:rFonts w:hint="eastAsia" w:ascii="黑体" w:hAnsi="黑体" w:eastAsia="黑体" w:cs="黑体"/>
          <w:color w:val="auto"/>
          <w:sz w:val="20"/>
          <w:szCs w:val="22"/>
          <w:highlight w:val="none"/>
        </w:rPr>
      </w:pPr>
      <w:r>
        <w:rPr>
          <w:rFonts w:hint="eastAsia" w:ascii="黑体" w:hAnsi="黑体" w:eastAsia="黑体" w:cs="黑体"/>
          <w:color w:val="auto"/>
          <w:sz w:val="24"/>
          <w:szCs w:val="24"/>
          <w:highlight w:val="none"/>
        </w:rPr>
        <w:t>法定代表人或授权代表（签字或</w:t>
      </w:r>
      <w:r>
        <w:rPr>
          <w:rFonts w:hint="eastAsia" w:ascii="黑体" w:hAnsi="黑体" w:eastAsia="黑体" w:cs="黑体"/>
          <w:color w:val="auto"/>
          <w:sz w:val="24"/>
          <w:szCs w:val="24"/>
          <w:highlight w:val="none"/>
          <w:lang w:eastAsia="zh-CN"/>
        </w:rPr>
        <w:t>盖章</w:t>
      </w:r>
      <w:r>
        <w:rPr>
          <w:rFonts w:hint="eastAsia" w:ascii="黑体" w:hAnsi="黑体" w:eastAsia="黑体" w:cs="黑体"/>
          <w:color w:val="auto"/>
          <w:sz w:val="24"/>
          <w:szCs w:val="24"/>
          <w:highlight w:val="none"/>
        </w:rPr>
        <w:t>）:</w:t>
      </w:r>
    </w:p>
    <w:p w14:paraId="78FB7539">
      <w:pPr>
        <w:pStyle w:val="6"/>
        <w:jc w:val="center"/>
        <w:rPr>
          <w:rFonts w:hint="eastAsia" w:ascii="黑体" w:hAnsi="黑体" w:eastAsia="黑体" w:cs="黑体"/>
          <w:b/>
          <w:bCs/>
          <w:color w:val="auto"/>
          <w:sz w:val="28"/>
          <w:szCs w:val="28"/>
          <w:highlight w:val="none"/>
        </w:rPr>
      </w:pPr>
      <w:r>
        <w:rPr>
          <w:rFonts w:hint="eastAsia" w:ascii="黑体" w:hAnsi="黑体" w:eastAsia="黑体" w:cs="黑体"/>
          <w:b/>
          <w:color w:val="auto"/>
          <w:sz w:val="28"/>
          <w:szCs w:val="28"/>
          <w:highlight w:val="none"/>
        </w:rPr>
        <w:br w:type="page"/>
      </w:r>
      <w:r>
        <w:rPr>
          <w:rFonts w:hint="eastAsia" w:ascii="黑体" w:hAnsi="黑体" w:eastAsia="黑体" w:cs="黑体"/>
          <w:b/>
          <w:color w:val="auto"/>
          <w:sz w:val="28"/>
          <w:szCs w:val="28"/>
          <w:highlight w:val="none"/>
        </w:rPr>
        <w:t>商务条款偏离表</w:t>
      </w:r>
    </w:p>
    <w:p w14:paraId="29FF00B9">
      <w:pPr>
        <w:pStyle w:val="29"/>
        <w:ind w:left="1080" w:leftChars="257" w:hanging="540"/>
        <w:rPr>
          <w:rFonts w:hint="eastAsia" w:ascii="黑体" w:hAnsi="黑体" w:eastAsia="黑体" w:cs="黑体"/>
          <w:color w:val="auto"/>
          <w:sz w:val="22"/>
          <w:szCs w:val="20"/>
          <w:highlight w:val="none"/>
        </w:rPr>
      </w:pPr>
    </w:p>
    <w:p w14:paraId="50AEED3E">
      <w:pPr>
        <w:pStyle w:val="29"/>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项目编号:</w:t>
      </w:r>
    </w:p>
    <w:tbl>
      <w:tblPr>
        <w:tblStyle w:val="5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653"/>
        <w:gridCol w:w="3276"/>
        <w:gridCol w:w="2118"/>
      </w:tblGrid>
      <w:tr w14:paraId="374A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15FBBF1E">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429" w:type="pct"/>
            <w:vAlign w:val="center"/>
          </w:tcPr>
          <w:p w14:paraId="49B6849D">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磋商文件要求</w:t>
            </w:r>
          </w:p>
        </w:tc>
        <w:tc>
          <w:tcPr>
            <w:tcW w:w="1765" w:type="pct"/>
            <w:vAlign w:val="center"/>
          </w:tcPr>
          <w:p w14:paraId="06B1CC82">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响应内容</w:t>
            </w:r>
          </w:p>
        </w:tc>
        <w:tc>
          <w:tcPr>
            <w:tcW w:w="1140" w:type="pct"/>
            <w:vAlign w:val="center"/>
          </w:tcPr>
          <w:p w14:paraId="6E871914">
            <w:pPr>
              <w:pStyle w:val="29"/>
              <w:spacing w:line="24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响应</w:t>
            </w:r>
            <w:r>
              <w:rPr>
                <w:rFonts w:hint="eastAsia" w:ascii="黑体" w:hAnsi="黑体" w:eastAsia="黑体" w:cs="黑体"/>
                <w:color w:val="auto"/>
                <w:sz w:val="24"/>
                <w:szCs w:val="24"/>
                <w:highlight w:val="none"/>
              </w:rPr>
              <w:t>说明</w:t>
            </w:r>
          </w:p>
        </w:tc>
      </w:tr>
      <w:tr w14:paraId="6401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0813CE9F">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2653" w:type="dxa"/>
            <w:vAlign w:val="center"/>
          </w:tcPr>
          <w:p w14:paraId="51EC5D1C">
            <w:pPr>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交货期</w:t>
            </w:r>
          </w:p>
        </w:tc>
        <w:tc>
          <w:tcPr>
            <w:tcW w:w="1765" w:type="pct"/>
            <w:vAlign w:val="center"/>
          </w:tcPr>
          <w:p w14:paraId="0365734D">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3C012C53">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45DE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32BA2F45">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2653" w:type="dxa"/>
            <w:vAlign w:val="center"/>
          </w:tcPr>
          <w:p w14:paraId="3D30BB42">
            <w:pPr>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付款方式</w:t>
            </w:r>
          </w:p>
        </w:tc>
        <w:tc>
          <w:tcPr>
            <w:tcW w:w="1765" w:type="pct"/>
            <w:vAlign w:val="center"/>
          </w:tcPr>
          <w:p w14:paraId="4809BB66">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10B15B9D">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68E6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03AFBD11">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2653" w:type="dxa"/>
            <w:vAlign w:val="center"/>
          </w:tcPr>
          <w:p w14:paraId="5F0B24F9">
            <w:pPr>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交货地点</w:t>
            </w:r>
          </w:p>
        </w:tc>
        <w:tc>
          <w:tcPr>
            <w:tcW w:w="1765" w:type="pct"/>
            <w:vAlign w:val="center"/>
          </w:tcPr>
          <w:p w14:paraId="7E0F78CE">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1D81B638">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5B8D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0940ABCF">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2653" w:type="dxa"/>
            <w:vAlign w:val="center"/>
          </w:tcPr>
          <w:p w14:paraId="4E8C11B9">
            <w:pPr>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质保期</w:t>
            </w:r>
          </w:p>
        </w:tc>
        <w:tc>
          <w:tcPr>
            <w:tcW w:w="1765" w:type="pct"/>
            <w:vAlign w:val="center"/>
          </w:tcPr>
          <w:p w14:paraId="7DE353D4">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7F341968">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5685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2EFA27AE">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2653" w:type="dxa"/>
            <w:vAlign w:val="center"/>
          </w:tcPr>
          <w:p w14:paraId="0F28647F">
            <w:pPr>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投标文件有效期</w:t>
            </w:r>
          </w:p>
        </w:tc>
        <w:tc>
          <w:tcPr>
            <w:tcW w:w="1765" w:type="pct"/>
            <w:vAlign w:val="center"/>
          </w:tcPr>
          <w:p w14:paraId="742DD299">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5F393D5D">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7FC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2B3A230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2653" w:type="dxa"/>
            <w:vAlign w:val="center"/>
          </w:tcPr>
          <w:p w14:paraId="1DABD58D">
            <w:pPr>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其他要求</w:t>
            </w:r>
          </w:p>
        </w:tc>
        <w:tc>
          <w:tcPr>
            <w:tcW w:w="1765" w:type="pct"/>
            <w:vAlign w:val="center"/>
          </w:tcPr>
          <w:p w14:paraId="087DA2B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3143D828">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6701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3E15550F">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6EFD502E">
            <w:pPr>
              <w:jc w:val="center"/>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lang w:val="en-US" w:eastAsia="zh-CN"/>
              </w:rPr>
              <w:t>...</w:t>
            </w:r>
          </w:p>
        </w:tc>
        <w:tc>
          <w:tcPr>
            <w:tcW w:w="1765" w:type="pct"/>
            <w:vAlign w:val="center"/>
          </w:tcPr>
          <w:p w14:paraId="312E391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7A87D4CD">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02F4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69D14486">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4504FEA3">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45649BAA">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1B00943C">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26E7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1AB6CD98">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55FE944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7B1704F3">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46383320">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690F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23132DA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3B14B61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5554782F">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3F458A7B">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4BE4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3D55F40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6906D171">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096B406E">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2CD2476E">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6D7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2AA436F5">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7B48998C">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17C262A7">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05BCB334">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0487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3CAE51FB">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252312FC">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7E0FCE7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795E916A">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0AD8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209384A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36032358">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0863F6E2">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54C8D429">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2077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182A6A1B">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6753BCE0">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58C3C4D1">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54874F4D">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1E2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4" w:type="pct"/>
            <w:vAlign w:val="center"/>
          </w:tcPr>
          <w:p w14:paraId="347B9F17">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429" w:type="pct"/>
            <w:vAlign w:val="center"/>
          </w:tcPr>
          <w:p w14:paraId="4D5E4F3D">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765" w:type="pct"/>
            <w:vAlign w:val="center"/>
          </w:tcPr>
          <w:p w14:paraId="2215FFAF">
            <w:pPr>
              <w:pStyle w:val="29"/>
              <w:spacing w:line="240" w:lineRule="auto"/>
              <w:ind w:left="1080" w:leftChars="257" w:hanging="540"/>
              <w:jc w:val="center"/>
              <w:rPr>
                <w:rFonts w:hint="eastAsia" w:ascii="黑体" w:hAnsi="黑体" w:eastAsia="黑体" w:cs="黑体"/>
                <w:color w:val="auto"/>
                <w:sz w:val="24"/>
                <w:szCs w:val="24"/>
                <w:highlight w:val="none"/>
              </w:rPr>
            </w:pPr>
          </w:p>
        </w:tc>
        <w:tc>
          <w:tcPr>
            <w:tcW w:w="1140" w:type="pct"/>
            <w:vAlign w:val="center"/>
          </w:tcPr>
          <w:p w14:paraId="7953FFBA">
            <w:pPr>
              <w:pStyle w:val="29"/>
              <w:spacing w:line="240" w:lineRule="auto"/>
              <w:ind w:left="1080" w:leftChars="257" w:hanging="540"/>
              <w:jc w:val="center"/>
              <w:rPr>
                <w:rFonts w:hint="eastAsia" w:ascii="黑体" w:hAnsi="黑体" w:eastAsia="黑体" w:cs="黑体"/>
                <w:color w:val="auto"/>
                <w:sz w:val="24"/>
                <w:szCs w:val="24"/>
                <w:highlight w:val="none"/>
              </w:rPr>
            </w:pPr>
          </w:p>
        </w:tc>
      </w:tr>
      <w:tr w14:paraId="3445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64" w:type="pct"/>
            <w:vAlign w:val="center"/>
          </w:tcPr>
          <w:p w14:paraId="44C3DB08">
            <w:pPr>
              <w:spacing w:before="106" w:line="317" w:lineRule="exact"/>
              <w:ind w:right="218" w:rightChars="0" w:firstLine="0" w:firstLineChars="0"/>
              <w:jc w:val="center"/>
              <w:rPr>
                <w:rFonts w:hint="eastAsia" w:ascii="黑体" w:hAnsi="黑体" w:eastAsia="黑体" w:cs="黑体"/>
                <w:color w:val="auto"/>
                <w:sz w:val="36"/>
                <w:szCs w:val="36"/>
                <w:highlight w:val="none"/>
              </w:rPr>
            </w:pPr>
            <w:r>
              <w:rPr>
                <w:rFonts w:hint="eastAsia" w:ascii="黑体" w:hAnsi="黑体" w:eastAsia="黑体" w:cs="黑体"/>
                <w:b/>
                <w:color w:val="auto"/>
                <w:sz w:val="24"/>
                <w:szCs w:val="36"/>
                <w:highlight w:val="none"/>
                <w:lang w:val="zh-CN" w:bidi="zh-CN"/>
              </w:rPr>
              <w:t>备注</w:t>
            </w:r>
          </w:p>
        </w:tc>
        <w:tc>
          <w:tcPr>
            <w:tcW w:w="4335" w:type="pct"/>
            <w:gridSpan w:val="3"/>
            <w:vAlign w:val="center"/>
          </w:tcPr>
          <w:p w14:paraId="701FCC3B">
            <w:pPr>
              <w:spacing w:before="106" w:line="400" w:lineRule="exact"/>
              <w:ind w:right="215" w:rightChars="0" w:firstLine="0" w:firstLineChars="0"/>
              <w:jc w:val="both"/>
              <w:rPr>
                <w:rFonts w:hint="eastAsia" w:ascii="黑体" w:hAnsi="黑体" w:eastAsia="黑体" w:cs="黑体"/>
                <w:color w:val="auto"/>
                <w:sz w:val="36"/>
                <w:szCs w:val="36"/>
                <w:highlight w:val="none"/>
              </w:rPr>
            </w:pPr>
            <w:r>
              <w:rPr>
                <w:rFonts w:hint="eastAsia" w:ascii="黑体" w:hAnsi="黑体" w:eastAsia="黑体" w:cs="黑体"/>
                <w:b/>
                <w:color w:val="auto"/>
                <w:sz w:val="24"/>
                <w:szCs w:val="36"/>
                <w:highlight w:val="none"/>
                <w:lang w:val="zh-CN" w:bidi="zh-CN"/>
              </w:rPr>
              <w:t>响应说明填写“优于”、“满足”、“低于”。</w:t>
            </w:r>
          </w:p>
        </w:tc>
      </w:tr>
    </w:tbl>
    <w:p w14:paraId="6B60ED1A">
      <w:pPr>
        <w:pStyle w:val="29"/>
        <w:ind w:left="420" w:left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声明：除本商务偏离表中所列的偏离项目外，其他所有商务均完全响应“磋商文件”中的要求</w:t>
      </w:r>
      <w:r>
        <w:rPr>
          <w:rFonts w:hint="eastAsia" w:ascii="黑体" w:hAnsi="黑体" w:eastAsia="黑体" w:cs="黑体"/>
          <w:color w:val="auto"/>
          <w:sz w:val="24"/>
          <w:szCs w:val="24"/>
          <w:highlight w:val="none"/>
          <w:lang w:eastAsia="zh-CN"/>
        </w:rPr>
        <w:t>。</w:t>
      </w:r>
    </w:p>
    <w:p w14:paraId="2329C117">
      <w:pPr>
        <w:pStyle w:val="29"/>
        <w:tabs>
          <w:tab w:val="left" w:pos="5370"/>
        </w:tabs>
        <w:ind w:left="1080" w:leftChars="257" w:hanging="540"/>
        <w:rPr>
          <w:rFonts w:hint="eastAsia" w:ascii="黑体" w:hAnsi="黑体" w:eastAsia="黑体" w:cs="黑体"/>
          <w:color w:val="auto"/>
          <w:sz w:val="24"/>
          <w:szCs w:val="24"/>
          <w:highlight w:val="none"/>
        </w:rPr>
      </w:pPr>
    </w:p>
    <w:p w14:paraId="76B3E409">
      <w:pPr>
        <w:pStyle w:val="29"/>
        <w:tabs>
          <w:tab w:val="left" w:pos="5370"/>
        </w:tabs>
        <w:ind w:left="1080" w:leftChars="257" w:hanging="54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供应商(公章):</w:t>
      </w:r>
      <w:r>
        <w:rPr>
          <w:rFonts w:hint="eastAsia" w:ascii="黑体" w:hAnsi="黑体" w:eastAsia="黑体" w:cs="黑体"/>
          <w:color w:val="auto"/>
          <w:sz w:val="24"/>
          <w:szCs w:val="24"/>
          <w:highlight w:val="none"/>
          <w:u w:val="single"/>
        </w:rPr>
        <w:tab/>
      </w:r>
    </w:p>
    <w:p w14:paraId="621A9A2D">
      <w:pPr>
        <w:pStyle w:val="29"/>
        <w:ind w:left="1080" w:leftChars="257" w:hanging="540"/>
        <w:rPr>
          <w:rFonts w:hint="eastAsia" w:ascii="黑体" w:hAnsi="黑体" w:eastAsia="黑体" w:cs="黑体"/>
          <w:color w:val="auto"/>
          <w:sz w:val="22"/>
          <w:szCs w:val="20"/>
          <w:highlight w:val="none"/>
        </w:rPr>
      </w:pPr>
      <w:r>
        <w:rPr>
          <w:rFonts w:hint="eastAsia" w:ascii="黑体" w:hAnsi="黑体" w:eastAsia="黑体" w:cs="黑体"/>
          <w:color w:val="auto"/>
          <w:sz w:val="24"/>
          <w:szCs w:val="24"/>
          <w:highlight w:val="none"/>
        </w:rPr>
        <w:t>法定代表人或授权代表（签字或</w:t>
      </w:r>
      <w:r>
        <w:rPr>
          <w:rFonts w:hint="eastAsia" w:ascii="黑体" w:hAnsi="黑体" w:eastAsia="黑体" w:cs="黑体"/>
          <w:color w:val="auto"/>
          <w:sz w:val="24"/>
          <w:szCs w:val="24"/>
          <w:highlight w:val="none"/>
          <w:lang w:eastAsia="zh-CN"/>
        </w:rPr>
        <w:t>盖章</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ab/>
      </w:r>
    </w:p>
    <w:p w14:paraId="4EC4997F">
      <w:pPr>
        <w:pStyle w:val="4"/>
        <w:jc w:val="center"/>
        <w:rPr>
          <w:rFonts w:hint="eastAsia" w:ascii="黑体" w:hAnsi="黑体" w:eastAsia="黑体" w:cs="黑体"/>
          <w:b/>
          <w:bCs/>
          <w:color w:val="auto"/>
          <w:sz w:val="28"/>
          <w:szCs w:val="28"/>
          <w:highlight w:val="none"/>
        </w:rPr>
      </w:pPr>
      <w:r>
        <w:rPr>
          <w:rFonts w:hint="eastAsia" w:ascii="黑体" w:hAnsi="黑体" w:eastAsia="黑体" w:cs="黑体"/>
          <w:color w:val="auto"/>
          <w:sz w:val="22"/>
          <w:szCs w:val="28"/>
          <w:highlight w:val="none"/>
        </w:rPr>
        <w:br w:type="page"/>
      </w:r>
      <w:bookmarkEnd w:id="446"/>
      <w:bookmarkEnd w:id="447"/>
      <w:bookmarkEnd w:id="448"/>
      <w:bookmarkEnd w:id="449"/>
      <w:bookmarkEnd w:id="450"/>
      <w:bookmarkEnd w:id="451"/>
      <w:r>
        <w:rPr>
          <w:rFonts w:hint="eastAsia" w:ascii="黑体" w:hAnsi="黑体" w:eastAsia="黑体" w:cs="黑体"/>
          <w:b/>
          <w:bCs/>
          <w:color w:val="auto"/>
          <w:sz w:val="28"/>
          <w:szCs w:val="28"/>
          <w:highlight w:val="none"/>
        </w:rPr>
        <w:t>第三部分  响应方案</w:t>
      </w:r>
    </w:p>
    <w:p w14:paraId="13BE32A8">
      <w:pPr>
        <w:pStyle w:val="6"/>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供应商概况及其性质</w:t>
      </w:r>
    </w:p>
    <w:p w14:paraId="01AEC906">
      <w:pPr>
        <w:widowControl/>
        <w:spacing w:before="120" w:beforeLines="50" w:line="500" w:lineRule="exact"/>
        <w:ind w:firstLine="482" w:firstLineChars="200"/>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一、供应商基本信息</w:t>
      </w:r>
    </w:p>
    <w:p w14:paraId="7846DD3D">
      <w:pPr>
        <w:widowControl/>
        <w:spacing w:line="5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如设立时间、隶属关系、经营范围、资质等级及单位人员情况。</w:t>
      </w:r>
    </w:p>
    <w:p w14:paraId="38D9B217">
      <w:pPr>
        <w:widowControl/>
        <w:spacing w:before="120" w:beforeLines="50" w:line="500" w:lineRule="exact"/>
        <w:ind w:firstLine="482" w:firstLineChars="200"/>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二、供应商性质</w:t>
      </w:r>
    </w:p>
    <w:p w14:paraId="1813C123">
      <w:pPr>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中小企业、残疾人福利性单位、监狱企业、残疾人福利性单位磋商时，应提供声明函（按下文给定格式）。未提供或未按给定格式提供声明函将不能享受磋商文件规定的价格扣除，但不影响响应文件的有效性。</w:t>
      </w:r>
    </w:p>
    <w:p w14:paraId="1F8D2261">
      <w:pPr>
        <w:widowControl/>
        <w:spacing w:line="500" w:lineRule="exact"/>
        <w:ind w:firstLine="480" w:firstLineChars="200"/>
        <w:rPr>
          <w:rFonts w:hint="eastAsia" w:ascii="黑体" w:hAnsi="黑体" w:eastAsia="黑体" w:cs="黑体"/>
          <w:color w:val="auto"/>
          <w:kern w:val="0"/>
          <w:sz w:val="24"/>
          <w:szCs w:val="24"/>
          <w:highlight w:val="none"/>
        </w:rPr>
      </w:pPr>
    </w:p>
    <w:p w14:paraId="14D540CD">
      <w:pPr>
        <w:autoSpaceDE w:val="0"/>
        <w:autoSpaceDN w:val="0"/>
        <w:adjustRightInd w:val="0"/>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color w:val="auto"/>
          <w:sz w:val="20"/>
          <w:szCs w:val="21"/>
          <w:highlight w:val="none"/>
        </w:rPr>
        <w:br w:type="page"/>
      </w:r>
      <w:r>
        <w:rPr>
          <w:rFonts w:hint="eastAsia" w:ascii="黑体" w:hAnsi="黑体" w:eastAsia="黑体" w:cs="黑体"/>
          <w:b/>
          <w:bCs/>
          <w:color w:val="auto"/>
          <w:sz w:val="28"/>
          <w:szCs w:val="28"/>
          <w:highlight w:val="none"/>
        </w:rPr>
        <w:t>供应商单位类型声明函</w:t>
      </w:r>
    </w:p>
    <w:p w14:paraId="3E13F34D">
      <w:pPr>
        <w:pStyle w:val="6"/>
        <w:jc w:val="center"/>
        <w:rPr>
          <w:rFonts w:hint="eastAsia" w:ascii="黑体" w:hAnsi="黑体" w:eastAsia="黑体" w:cs="黑体"/>
          <w:color w:val="auto"/>
          <w:sz w:val="22"/>
          <w:szCs w:val="21"/>
          <w:highlight w:val="none"/>
          <w:lang w:eastAsia="zh-CN"/>
        </w:rPr>
      </w:pPr>
      <w:bookmarkStart w:id="452" w:name="_Toc62194354"/>
      <w:r>
        <w:rPr>
          <w:rFonts w:hint="eastAsia" w:ascii="黑体" w:hAnsi="黑体" w:eastAsia="黑体" w:cs="黑体"/>
          <w:b/>
          <w:color w:val="auto"/>
          <w:sz w:val="28"/>
          <w:szCs w:val="28"/>
          <w:highlight w:val="none"/>
        </w:rPr>
        <w:t>中小企业声明函</w:t>
      </w:r>
      <w:bookmarkEnd w:id="452"/>
      <w:r>
        <w:rPr>
          <w:rFonts w:hint="eastAsia" w:ascii="黑体" w:hAnsi="黑体" w:eastAsia="黑体" w:cs="黑体"/>
          <w:b/>
          <w:color w:val="auto"/>
          <w:sz w:val="28"/>
          <w:szCs w:val="28"/>
          <w:highlight w:val="none"/>
          <w:lang w:eastAsia="zh-CN"/>
        </w:rPr>
        <w:t>（货物）</w:t>
      </w:r>
    </w:p>
    <w:p w14:paraId="6D0119BF">
      <w:pPr>
        <w:spacing w:line="56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本公司(联合体)郑重声明，根据《政府采购促进中小企业发展管理办法》(财库(2020)46号)的规定，本公司(联合体)参加 </w:t>
      </w:r>
      <w:r>
        <w:rPr>
          <w:rFonts w:hint="eastAsia" w:ascii="黑体" w:hAnsi="黑体" w:eastAsia="黑体" w:cs="黑体"/>
          <w:color w:val="auto"/>
          <w:kern w:val="0"/>
          <w:sz w:val="24"/>
          <w:szCs w:val="24"/>
          <w:highlight w:val="none"/>
          <w:u w:val="single"/>
        </w:rPr>
        <w:t xml:space="preserve"> (单位名称) </w:t>
      </w:r>
      <w:r>
        <w:rPr>
          <w:rFonts w:hint="eastAsia" w:ascii="黑体" w:hAnsi="黑体" w:eastAsia="黑体" w:cs="黑体"/>
          <w:color w:val="auto"/>
          <w:kern w:val="0"/>
          <w:sz w:val="24"/>
          <w:szCs w:val="24"/>
          <w:highlight w:val="none"/>
        </w:rPr>
        <w:t xml:space="preserve"> 的</w:t>
      </w:r>
      <w:r>
        <w:rPr>
          <w:rFonts w:hint="eastAsia" w:ascii="黑体" w:hAnsi="黑体" w:eastAsia="黑体" w:cs="黑体"/>
          <w:color w:val="auto"/>
          <w:kern w:val="0"/>
          <w:sz w:val="24"/>
          <w:szCs w:val="24"/>
          <w:highlight w:val="none"/>
          <w:u w:val="single"/>
        </w:rPr>
        <w:t xml:space="preserve"> (项目名称) </w:t>
      </w:r>
      <w:r>
        <w:rPr>
          <w:rFonts w:hint="eastAsia" w:ascii="黑体" w:hAnsi="黑体" w:eastAsia="黑体" w:cs="黑体"/>
          <w:color w:val="auto"/>
          <w:kern w:val="0"/>
          <w:sz w:val="24"/>
          <w:szCs w:val="24"/>
          <w:highlight w:val="none"/>
        </w:rPr>
        <w:t>采购活动，提供的货物全部由符合政策要求的中小企业制造。相关企业(含联合体中的中小企业、签订分包意向协议的中小企业)的具体情况如下：</w:t>
      </w:r>
    </w:p>
    <w:p w14:paraId="07805B53">
      <w:pPr>
        <w:spacing w:line="56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 </w:t>
      </w: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 xml:space="preserve">. </w:t>
      </w:r>
      <w:r>
        <w:rPr>
          <w:rFonts w:hint="eastAsia" w:ascii="黑体" w:hAnsi="黑体" w:eastAsia="黑体" w:cs="黑体"/>
          <w:i/>
          <w:color w:val="auto"/>
          <w:kern w:val="0"/>
          <w:sz w:val="24"/>
          <w:szCs w:val="24"/>
          <w:highlight w:val="none"/>
          <w:u w:val="single"/>
        </w:rPr>
        <w:t xml:space="preserve">(标的名称) </w:t>
      </w:r>
      <w:r>
        <w:rPr>
          <w:rFonts w:hint="eastAsia" w:ascii="黑体" w:hAnsi="黑体" w:eastAsia="黑体" w:cs="黑体"/>
          <w:color w:val="auto"/>
          <w:kern w:val="0"/>
          <w:sz w:val="24"/>
          <w:szCs w:val="24"/>
          <w:highlight w:val="none"/>
        </w:rPr>
        <w:t>，属于</w:t>
      </w:r>
      <w:r>
        <w:rPr>
          <w:rFonts w:hint="eastAsia" w:ascii="黑体" w:hAnsi="黑体" w:eastAsia="黑体" w:cs="黑体"/>
          <w:i/>
          <w:color w:val="auto"/>
          <w:kern w:val="0"/>
          <w:sz w:val="24"/>
          <w:szCs w:val="24"/>
          <w:highlight w:val="none"/>
          <w:u w:val="single"/>
        </w:rPr>
        <w:t>(采购文件中明</w:t>
      </w:r>
      <w:r>
        <w:rPr>
          <w:rFonts w:hint="eastAsia" w:ascii="黑体" w:hAnsi="黑体" w:eastAsia="黑体" w:cs="黑体"/>
          <w:i/>
          <w:color w:val="auto"/>
          <w:kern w:val="0"/>
          <w:sz w:val="24"/>
          <w:szCs w:val="24"/>
          <w:highlight w:val="none"/>
          <w:u w:val="single"/>
          <w:lang w:eastAsia="zh-CN"/>
        </w:rPr>
        <w:t>确</w:t>
      </w:r>
      <w:r>
        <w:rPr>
          <w:rFonts w:hint="eastAsia" w:ascii="黑体" w:hAnsi="黑体" w:eastAsia="黑体" w:cs="黑体"/>
          <w:i/>
          <w:color w:val="auto"/>
          <w:kern w:val="0"/>
          <w:sz w:val="24"/>
          <w:szCs w:val="24"/>
          <w:highlight w:val="none"/>
          <w:u w:val="single"/>
        </w:rPr>
        <w:t>的所属行业)</w:t>
      </w:r>
      <w:r>
        <w:rPr>
          <w:rFonts w:hint="eastAsia" w:ascii="黑体" w:hAnsi="黑体" w:eastAsia="黑体" w:cs="黑体"/>
          <w:color w:val="auto"/>
          <w:kern w:val="0"/>
          <w:sz w:val="24"/>
          <w:szCs w:val="24"/>
          <w:highlight w:val="none"/>
        </w:rPr>
        <w:t>；制造商为</w:t>
      </w:r>
      <w:r>
        <w:rPr>
          <w:rFonts w:hint="eastAsia" w:ascii="黑体" w:hAnsi="黑体" w:eastAsia="黑体" w:cs="黑体"/>
          <w:color w:val="auto"/>
          <w:kern w:val="0"/>
          <w:sz w:val="24"/>
          <w:szCs w:val="24"/>
          <w:highlight w:val="none"/>
          <w:u w:val="single"/>
        </w:rPr>
        <w:t xml:space="preserve"> (企业名称)</w:t>
      </w:r>
      <w:r>
        <w:rPr>
          <w:rFonts w:hint="eastAsia" w:ascii="黑体" w:hAnsi="黑体" w:eastAsia="黑体" w:cs="黑体"/>
          <w:color w:val="auto"/>
          <w:kern w:val="0"/>
          <w:sz w:val="24"/>
          <w:szCs w:val="24"/>
          <w:highlight w:val="none"/>
        </w:rPr>
        <w:t xml:space="preserve"> ，从业人员</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人，营业收入为</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万元，资产总额为</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万元，属于 (</w:t>
      </w:r>
      <w:r>
        <w:rPr>
          <w:rFonts w:hint="eastAsia" w:ascii="黑体" w:hAnsi="黑体" w:eastAsia="黑体" w:cs="黑体"/>
          <w:color w:val="auto"/>
          <w:kern w:val="0"/>
          <w:sz w:val="24"/>
          <w:szCs w:val="24"/>
          <w:highlight w:val="none"/>
          <w:u w:val="single"/>
        </w:rPr>
        <w:t>中型企业、小型企业、微型企业</w:t>
      </w:r>
      <w:r>
        <w:rPr>
          <w:rFonts w:hint="eastAsia" w:ascii="黑体" w:hAnsi="黑体" w:eastAsia="黑体" w:cs="黑体"/>
          <w:color w:val="auto"/>
          <w:kern w:val="0"/>
          <w:sz w:val="24"/>
          <w:szCs w:val="24"/>
          <w:highlight w:val="none"/>
        </w:rPr>
        <w:t>）</w:t>
      </w:r>
    </w:p>
    <w:p w14:paraId="41D0331F">
      <w:pPr>
        <w:spacing w:line="56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2. </w:t>
      </w:r>
      <w:r>
        <w:rPr>
          <w:rFonts w:hint="eastAsia" w:ascii="黑体" w:hAnsi="黑体" w:eastAsia="黑体" w:cs="黑体"/>
          <w:i/>
          <w:color w:val="auto"/>
          <w:kern w:val="0"/>
          <w:sz w:val="24"/>
          <w:szCs w:val="24"/>
          <w:highlight w:val="none"/>
          <w:u w:val="single"/>
        </w:rPr>
        <w:t xml:space="preserve">(标的名称) </w:t>
      </w:r>
      <w:r>
        <w:rPr>
          <w:rFonts w:hint="eastAsia" w:ascii="黑体" w:hAnsi="黑体" w:eastAsia="黑体" w:cs="黑体"/>
          <w:color w:val="auto"/>
          <w:kern w:val="0"/>
          <w:sz w:val="24"/>
          <w:szCs w:val="24"/>
          <w:highlight w:val="none"/>
        </w:rPr>
        <w:t>，属于</w:t>
      </w:r>
      <w:r>
        <w:rPr>
          <w:rFonts w:hint="eastAsia" w:ascii="黑体" w:hAnsi="黑体" w:eastAsia="黑体" w:cs="黑体"/>
          <w:i/>
          <w:color w:val="auto"/>
          <w:kern w:val="0"/>
          <w:sz w:val="24"/>
          <w:szCs w:val="24"/>
          <w:highlight w:val="none"/>
          <w:u w:val="single"/>
        </w:rPr>
        <w:t>(采购文件中明</w:t>
      </w:r>
      <w:r>
        <w:rPr>
          <w:rFonts w:hint="eastAsia" w:ascii="黑体" w:hAnsi="黑体" w:eastAsia="黑体" w:cs="黑体"/>
          <w:i/>
          <w:color w:val="auto"/>
          <w:kern w:val="0"/>
          <w:sz w:val="24"/>
          <w:szCs w:val="24"/>
          <w:highlight w:val="none"/>
          <w:u w:val="single"/>
          <w:lang w:eastAsia="zh-CN"/>
        </w:rPr>
        <w:t>确</w:t>
      </w:r>
      <w:r>
        <w:rPr>
          <w:rFonts w:hint="eastAsia" w:ascii="黑体" w:hAnsi="黑体" w:eastAsia="黑体" w:cs="黑体"/>
          <w:i/>
          <w:color w:val="auto"/>
          <w:kern w:val="0"/>
          <w:sz w:val="24"/>
          <w:szCs w:val="24"/>
          <w:highlight w:val="none"/>
          <w:u w:val="single"/>
        </w:rPr>
        <w:t>的所属行业)</w:t>
      </w:r>
      <w:r>
        <w:rPr>
          <w:rFonts w:hint="eastAsia" w:ascii="黑体" w:hAnsi="黑体" w:eastAsia="黑体" w:cs="黑体"/>
          <w:color w:val="auto"/>
          <w:kern w:val="0"/>
          <w:sz w:val="24"/>
          <w:szCs w:val="24"/>
          <w:highlight w:val="none"/>
        </w:rPr>
        <w:t>；制造商为</w:t>
      </w:r>
      <w:r>
        <w:rPr>
          <w:rFonts w:hint="eastAsia" w:ascii="黑体" w:hAnsi="黑体" w:eastAsia="黑体" w:cs="黑体"/>
          <w:color w:val="auto"/>
          <w:kern w:val="0"/>
          <w:sz w:val="24"/>
          <w:szCs w:val="24"/>
          <w:highlight w:val="none"/>
          <w:u w:val="single"/>
        </w:rPr>
        <w:t xml:space="preserve"> (企业名称)</w:t>
      </w:r>
      <w:r>
        <w:rPr>
          <w:rFonts w:hint="eastAsia" w:ascii="黑体" w:hAnsi="黑体" w:eastAsia="黑体" w:cs="黑体"/>
          <w:color w:val="auto"/>
          <w:kern w:val="0"/>
          <w:sz w:val="24"/>
          <w:szCs w:val="24"/>
          <w:highlight w:val="none"/>
        </w:rPr>
        <w:t xml:space="preserve"> ，从业人员</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人，营业收入为</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万元，资产总额为</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万元，属于 (</w:t>
      </w:r>
      <w:r>
        <w:rPr>
          <w:rFonts w:hint="eastAsia" w:ascii="黑体" w:hAnsi="黑体" w:eastAsia="黑体" w:cs="黑体"/>
          <w:color w:val="auto"/>
          <w:kern w:val="0"/>
          <w:sz w:val="24"/>
          <w:szCs w:val="24"/>
          <w:highlight w:val="none"/>
          <w:u w:val="single"/>
        </w:rPr>
        <w:t>中型企业、小型企业、微型企业</w:t>
      </w:r>
      <w:r>
        <w:rPr>
          <w:rFonts w:hint="eastAsia" w:ascii="黑体" w:hAnsi="黑体" w:eastAsia="黑体" w:cs="黑体"/>
          <w:color w:val="auto"/>
          <w:kern w:val="0"/>
          <w:sz w:val="24"/>
          <w:szCs w:val="24"/>
          <w:highlight w:val="none"/>
        </w:rPr>
        <w:t>）；</w:t>
      </w:r>
    </w:p>
    <w:p w14:paraId="00369727">
      <w:pPr>
        <w:spacing w:line="56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w:t>
      </w:r>
    </w:p>
    <w:p w14:paraId="48E9EB0B">
      <w:pPr>
        <w:spacing w:line="56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以上企业，不属于大企业的分支机构，不存在控股股东为大企业的情形，也不存在与大企业的负责人为同一人的情形。</w:t>
      </w:r>
    </w:p>
    <w:p w14:paraId="5DA9EF8D">
      <w:pPr>
        <w:spacing w:line="56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本企业对上述声明内容的真实性负责。如有虚假，将依法承担相应责任。</w:t>
      </w:r>
    </w:p>
    <w:p w14:paraId="021CD5BB">
      <w:pPr>
        <w:spacing w:line="560" w:lineRule="exac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                                  企业名称(盖章):</w:t>
      </w:r>
    </w:p>
    <w:p w14:paraId="3E0F09AF">
      <w:pPr>
        <w:spacing w:line="560" w:lineRule="exact"/>
        <w:ind w:firstLine="4320" w:firstLineChars="18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日期：</w:t>
      </w:r>
    </w:p>
    <w:p w14:paraId="00F75658">
      <w:pPr>
        <w:rPr>
          <w:rFonts w:hint="eastAsia" w:ascii="黑体" w:hAnsi="黑体" w:eastAsia="黑体" w:cs="黑体"/>
          <w:color w:val="auto"/>
          <w:kern w:val="0"/>
          <w:sz w:val="24"/>
          <w:szCs w:val="24"/>
          <w:highlight w:val="none"/>
          <w:u w:val="single"/>
        </w:rPr>
      </w:pPr>
    </w:p>
    <w:p w14:paraId="0A24F232">
      <w:pPr>
        <w:spacing w:line="360" w:lineRule="auto"/>
        <w:ind w:firstLine="120" w:firstLineChars="5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注：1.从业人员、营业收入、资产总额填报上一年度数据，无上一年度数据的新成立企业可不填报；</w:t>
      </w:r>
    </w:p>
    <w:p w14:paraId="5B6F6C0C">
      <w:pPr>
        <w:spacing w:line="360" w:lineRule="auto"/>
        <w:ind w:firstLine="602" w:firstLineChars="25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lang w:val="en-US" w:eastAsia="zh-CN"/>
        </w:rPr>
        <w:t>2</w:t>
      </w:r>
      <w:r>
        <w:rPr>
          <w:rFonts w:hint="eastAsia" w:ascii="黑体" w:hAnsi="黑体" w:eastAsia="黑体" w:cs="黑体"/>
          <w:b/>
          <w:bCs/>
          <w:color w:val="auto"/>
          <w:kern w:val="0"/>
          <w:sz w:val="24"/>
          <w:szCs w:val="24"/>
          <w:highlight w:val="none"/>
        </w:rPr>
        <w:t>.项目所属行业：工业。</w:t>
      </w:r>
    </w:p>
    <w:p w14:paraId="193F31AE">
      <w:pPr>
        <w:widowControl/>
        <w:spacing w:before="100" w:beforeAutospacing="1" w:after="100" w:afterAutospacing="1" w:line="360" w:lineRule="auto"/>
        <w:ind w:firstLine="40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sz w:val="20"/>
          <w:szCs w:val="22"/>
          <w:highlight w:val="none"/>
        </w:rPr>
        <w:br w:type="page"/>
      </w:r>
    </w:p>
    <w:p w14:paraId="5FB46AB5">
      <w:pPr>
        <w:spacing w:line="360" w:lineRule="auto"/>
        <w:rPr>
          <w:rFonts w:hint="eastAsia" w:ascii="黑体" w:hAnsi="黑体" w:eastAsia="黑体" w:cs="黑体"/>
          <w:color w:val="auto"/>
          <w:sz w:val="22"/>
          <w:szCs w:val="21"/>
          <w:highlight w:val="none"/>
        </w:rPr>
      </w:pPr>
    </w:p>
    <w:p w14:paraId="6DEB286D">
      <w:pPr>
        <w:pStyle w:val="6"/>
        <w:jc w:val="center"/>
        <w:rPr>
          <w:rFonts w:hint="eastAsia" w:ascii="黑体" w:hAnsi="黑体" w:eastAsia="黑体" w:cs="黑体"/>
          <w:b/>
          <w:color w:val="auto"/>
          <w:sz w:val="28"/>
          <w:szCs w:val="28"/>
          <w:highlight w:val="none"/>
        </w:rPr>
      </w:pPr>
      <w:bookmarkStart w:id="453" w:name="_Toc62194356"/>
      <w:bookmarkStart w:id="454" w:name="_Toc60928911"/>
      <w:bookmarkStart w:id="455" w:name="_Toc60929143"/>
      <w:bookmarkStart w:id="456" w:name="_Toc532473512"/>
      <w:r>
        <w:rPr>
          <w:rFonts w:hint="eastAsia" w:ascii="黑体" w:hAnsi="黑体" w:eastAsia="黑体" w:cs="黑体"/>
          <w:b/>
          <w:color w:val="auto"/>
          <w:sz w:val="28"/>
          <w:szCs w:val="28"/>
          <w:highlight w:val="none"/>
        </w:rPr>
        <w:t>供应商监狱企业声明函</w:t>
      </w:r>
      <w:bookmarkEnd w:id="453"/>
      <w:bookmarkEnd w:id="454"/>
      <w:bookmarkEnd w:id="455"/>
    </w:p>
    <w:bookmarkEnd w:id="456"/>
    <w:p w14:paraId="1B0E9BC1">
      <w:pPr>
        <w:spacing w:line="360" w:lineRule="auto"/>
        <w:ind w:left="1080" w:leftChars="257" w:hanging="540"/>
        <w:jc w:val="center"/>
        <w:rPr>
          <w:rFonts w:hint="eastAsia" w:ascii="黑体" w:hAnsi="黑体" w:eastAsia="黑体" w:cs="黑体"/>
          <w:b/>
          <w:color w:val="auto"/>
          <w:kern w:val="0"/>
          <w:sz w:val="22"/>
          <w:szCs w:val="18"/>
          <w:highlight w:val="none"/>
        </w:rPr>
      </w:pPr>
    </w:p>
    <w:p w14:paraId="703A9B8C">
      <w:pPr>
        <w:widowControl/>
        <w:spacing w:before="100" w:beforeAutospacing="1" w:after="100" w:afterAutospacing="1"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本单位郑重声明下列事项（按照实际情况勾选或填空）：</w:t>
      </w:r>
    </w:p>
    <w:p w14:paraId="377E4465">
      <w:pPr>
        <w:widowControl/>
        <w:spacing w:before="100" w:beforeAutospacing="1" w:after="100" w:afterAutospacing="1"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本单位为直接供应商提供本单位的服务。</w:t>
      </w:r>
    </w:p>
    <w:p w14:paraId="6B3DBD6C">
      <w:pPr>
        <w:widowControl/>
        <w:spacing w:before="100" w:beforeAutospacing="1" w:after="100" w:afterAutospacing="1" w:line="360" w:lineRule="auto"/>
        <w:ind w:firstLine="360" w:firstLineChars="15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（1）本企业（单位）（请填写：是、不是）监狱企业。如果是，后附省级以上监狱管理局、戒毒管理局（含新疆生产建设兵团）出具的属于监狱企业的证明文件。</w:t>
      </w:r>
    </w:p>
    <w:p w14:paraId="4E1F61A3">
      <w:pPr>
        <w:widowControl/>
        <w:spacing w:before="100" w:beforeAutospacing="1" w:after="100" w:afterAutospacing="1" w:line="360" w:lineRule="auto"/>
        <w:ind w:firstLine="42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（2）本企业（单位）（请填写：是、不是）为联合体一方，提供本企业（单位）制造的货物，由本企业（单位）承担工程、提供服务。本企业（单位）提供协议合同金额占到共同投标协议合同总金额的比例为。</w:t>
      </w:r>
    </w:p>
    <w:p w14:paraId="5A83B569">
      <w:pPr>
        <w:widowControl/>
        <w:spacing w:before="100" w:beforeAutospacing="1" w:after="100" w:afterAutospacing="1" w:line="360" w:lineRule="auto"/>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本企业（单位）对上述声明的真实性负责。如有虚假，将依法承担相应责任。</w:t>
      </w:r>
    </w:p>
    <w:p w14:paraId="1E1C31B9">
      <w:pPr>
        <w:widowControl/>
        <w:spacing w:before="100" w:beforeAutospacing="1" w:after="100" w:afterAutospacing="1" w:line="360" w:lineRule="auto"/>
        <w:jc w:val="left"/>
        <w:rPr>
          <w:rFonts w:hint="eastAsia" w:ascii="黑体" w:hAnsi="黑体" w:eastAsia="黑体" w:cs="黑体"/>
          <w:b/>
          <w:color w:val="auto"/>
          <w:kern w:val="0"/>
          <w:sz w:val="24"/>
          <w:szCs w:val="24"/>
          <w:highlight w:val="none"/>
        </w:rPr>
      </w:pPr>
      <w:r>
        <w:rPr>
          <w:rFonts w:hint="eastAsia" w:ascii="黑体" w:hAnsi="黑体" w:eastAsia="黑体" w:cs="黑体"/>
          <w:color w:val="auto"/>
          <w:kern w:val="0"/>
          <w:sz w:val="24"/>
          <w:szCs w:val="24"/>
          <w:highlight w:val="none"/>
        </w:rPr>
        <w:t>　　</w:t>
      </w:r>
      <w:r>
        <w:rPr>
          <w:rFonts w:hint="eastAsia" w:ascii="黑体" w:hAnsi="黑体" w:eastAsia="黑体" w:cs="黑体"/>
          <w:b/>
          <w:color w:val="auto"/>
          <w:kern w:val="0"/>
          <w:sz w:val="24"/>
          <w:szCs w:val="24"/>
          <w:highlight w:val="none"/>
        </w:rPr>
        <w:t>　</w:t>
      </w:r>
    </w:p>
    <w:p w14:paraId="3CBCF3D7">
      <w:pPr>
        <w:widowControl/>
        <w:spacing w:before="100" w:beforeAutospacing="1" w:after="100" w:afterAutospacing="1" w:line="360" w:lineRule="auto"/>
        <w:ind w:firstLine="360" w:firstLineChars="15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供应商（盖公章）：</w:t>
      </w:r>
    </w:p>
    <w:p w14:paraId="200B45BD">
      <w:pPr>
        <w:widowControl/>
        <w:spacing w:before="100" w:beforeAutospacing="1" w:after="100" w:afterAutospacing="1" w:line="360" w:lineRule="auto"/>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 　法定代表人或授权代表（签字）:  </w:t>
      </w:r>
    </w:p>
    <w:p w14:paraId="74C3FB9E">
      <w:pPr>
        <w:widowControl/>
        <w:spacing w:before="100" w:beforeAutospacing="1" w:after="100" w:afterAutospacing="1"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日　期：</w:t>
      </w:r>
    </w:p>
    <w:p w14:paraId="4C80F78A">
      <w:pPr>
        <w:widowControl/>
        <w:spacing w:before="100" w:beforeAutospacing="1" w:after="100" w:afterAutospacing="1" w:line="360" w:lineRule="auto"/>
        <w:ind w:firstLine="240" w:firstLineChars="1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u w:val="single"/>
        </w:rPr>
        <w:t>注：符合《关于政府采购支持监狱企业发展有关问题的通知》价格扣减条件的供应商须提交</w:t>
      </w:r>
      <w:r>
        <w:rPr>
          <w:rFonts w:hint="eastAsia" w:ascii="黑体" w:hAnsi="黑体" w:eastAsia="黑体" w:cs="黑体"/>
          <w:color w:val="auto"/>
          <w:kern w:val="0"/>
          <w:sz w:val="24"/>
          <w:szCs w:val="24"/>
          <w:highlight w:val="none"/>
          <w:u w:val="single"/>
          <w:lang w:eastAsia="zh-CN"/>
        </w:rPr>
        <w:t>，</w:t>
      </w:r>
      <w:r>
        <w:rPr>
          <w:rFonts w:hint="eastAsia" w:ascii="黑体" w:hAnsi="黑体" w:eastAsia="黑体" w:cs="黑体"/>
          <w:color w:val="auto"/>
          <w:kern w:val="0"/>
          <w:sz w:val="24"/>
          <w:szCs w:val="24"/>
          <w:highlight w:val="none"/>
          <w:u w:val="single"/>
        </w:rPr>
        <w:t>不符合的不提供本函。</w:t>
      </w:r>
    </w:p>
    <w:p w14:paraId="01DD24E4">
      <w:pPr>
        <w:pStyle w:val="6"/>
        <w:jc w:val="center"/>
        <w:rPr>
          <w:rFonts w:hint="eastAsia" w:ascii="黑体" w:hAnsi="黑体" w:eastAsia="黑体" w:cs="黑体"/>
          <w:b/>
          <w:color w:val="auto"/>
          <w:sz w:val="28"/>
          <w:szCs w:val="28"/>
          <w:highlight w:val="none"/>
        </w:rPr>
      </w:pPr>
      <w:r>
        <w:rPr>
          <w:rFonts w:hint="eastAsia" w:ascii="黑体" w:hAnsi="黑体" w:eastAsia="黑体" w:cs="黑体"/>
          <w:color w:val="auto"/>
          <w:sz w:val="22"/>
          <w:szCs w:val="22"/>
          <w:highlight w:val="none"/>
        </w:rPr>
        <w:br w:type="page"/>
      </w:r>
      <w:bookmarkStart w:id="457" w:name="_Toc60928912"/>
      <w:bookmarkStart w:id="458" w:name="_Toc60929144"/>
      <w:bookmarkStart w:id="459" w:name="_Toc62194357"/>
      <w:bookmarkStart w:id="460" w:name="_Toc532473513"/>
      <w:r>
        <w:rPr>
          <w:rFonts w:hint="eastAsia" w:ascii="黑体" w:hAnsi="黑体" w:eastAsia="黑体" w:cs="黑体"/>
          <w:b/>
          <w:color w:val="auto"/>
          <w:sz w:val="28"/>
          <w:szCs w:val="28"/>
          <w:highlight w:val="none"/>
        </w:rPr>
        <w:t>残疾人福利性单位声明函</w:t>
      </w:r>
      <w:bookmarkEnd w:id="457"/>
      <w:bookmarkEnd w:id="458"/>
      <w:bookmarkEnd w:id="459"/>
    </w:p>
    <w:bookmarkEnd w:id="460"/>
    <w:p w14:paraId="4EC87C69">
      <w:pPr>
        <w:spacing w:line="360" w:lineRule="auto"/>
        <w:ind w:left="1080" w:leftChars="257" w:hanging="540"/>
        <w:jc w:val="center"/>
        <w:rPr>
          <w:rFonts w:hint="eastAsia" w:ascii="黑体" w:hAnsi="黑体" w:eastAsia="黑体" w:cs="黑体"/>
          <w:color w:val="auto"/>
          <w:kern w:val="0"/>
          <w:sz w:val="22"/>
          <w:szCs w:val="18"/>
          <w:highlight w:val="none"/>
        </w:rPr>
      </w:pPr>
    </w:p>
    <w:p w14:paraId="07210C33">
      <w:pPr>
        <w:spacing w:line="360" w:lineRule="auto"/>
        <w:ind w:firstLine="567"/>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提供服务），或者提供其他残疾人福利性单位制造的货物（不包括使用非残疾人福利性单位注册商标的货物）。</w:t>
      </w:r>
    </w:p>
    <w:p w14:paraId="1FB10ACF">
      <w:pPr>
        <w:spacing w:line="360" w:lineRule="auto"/>
        <w:ind w:left="1080" w:leftChars="257" w:hanging="54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本单位对上述声明的真实性负责。如有虚假，将依法承担相应责任。</w:t>
      </w:r>
    </w:p>
    <w:p w14:paraId="1B15CCB0">
      <w:pPr>
        <w:spacing w:line="360" w:lineRule="auto"/>
        <w:ind w:left="1080" w:leftChars="257" w:hanging="540"/>
        <w:jc w:val="center"/>
        <w:rPr>
          <w:rFonts w:hint="eastAsia" w:ascii="黑体" w:hAnsi="黑体" w:eastAsia="黑体" w:cs="黑体"/>
          <w:color w:val="auto"/>
          <w:kern w:val="0"/>
          <w:sz w:val="24"/>
          <w:szCs w:val="24"/>
          <w:highlight w:val="none"/>
        </w:rPr>
      </w:pPr>
    </w:p>
    <w:p w14:paraId="7C44C917">
      <w:pPr>
        <w:spacing w:line="360" w:lineRule="auto"/>
        <w:ind w:left="1080" w:leftChars="257" w:hanging="540"/>
        <w:jc w:val="center"/>
        <w:rPr>
          <w:rFonts w:hint="eastAsia" w:ascii="黑体" w:hAnsi="黑体" w:eastAsia="黑体" w:cs="黑体"/>
          <w:color w:val="auto"/>
          <w:kern w:val="0"/>
          <w:sz w:val="24"/>
          <w:szCs w:val="24"/>
          <w:highlight w:val="none"/>
        </w:rPr>
      </w:pPr>
    </w:p>
    <w:p w14:paraId="4F030F8E">
      <w:pPr>
        <w:spacing w:line="360" w:lineRule="auto"/>
        <w:ind w:left="1080" w:leftChars="257" w:hanging="540"/>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残疾人福利性单位（盖公章）：</w:t>
      </w:r>
    </w:p>
    <w:p w14:paraId="04E172F5">
      <w:pPr>
        <w:spacing w:line="360" w:lineRule="auto"/>
        <w:ind w:left="1080" w:leftChars="257" w:hanging="54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法定代表人或授权代表（签字）:  </w:t>
      </w:r>
    </w:p>
    <w:p w14:paraId="6450D126">
      <w:pPr>
        <w:spacing w:line="360" w:lineRule="auto"/>
        <w:ind w:firstLine="600" w:firstLineChars="250"/>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日  期：</w:t>
      </w:r>
    </w:p>
    <w:p w14:paraId="1AF76BD6">
      <w:pPr>
        <w:spacing w:line="360" w:lineRule="auto"/>
        <w:ind w:firstLine="600" w:firstLineChars="250"/>
        <w:rPr>
          <w:rFonts w:hint="eastAsia" w:ascii="黑体" w:hAnsi="黑体" w:eastAsia="黑体" w:cs="黑体"/>
          <w:color w:val="auto"/>
          <w:kern w:val="0"/>
          <w:sz w:val="24"/>
          <w:szCs w:val="24"/>
          <w:highlight w:val="none"/>
          <w:u w:val="single"/>
        </w:rPr>
      </w:pPr>
    </w:p>
    <w:p w14:paraId="5D206F5E">
      <w:pPr>
        <w:spacing w:line="360" w:lineRule="auto"/>
        <w:ind w:firstLine="600" w:firstLineChars="250"/>
        <w:rPr>
          <w:rFonts w:hint="eastAsia" w:ascii="黑体" w:hAnsi="黑体" w:eastAsia="黑体" w:cs="黑体"/>
          <w:color w:val="auto"/>
          <w:kern w:val="0"/>
          <w:sz w:val="24"/>
          <w:szCs w:val="24"/>
          <w:highlight w:val="none"/>
          <w:u w:val="single"/>
        </w:rPr>
      </w:pPr>
    </w:p>
    <w:p w14:paraId="7CB3672F">
      <w:pPr>
        <w:spacing w:line="360" w:lineRule="auto"/>
        <w:ind w:firstLine="600" w:firstLineChars="250"/>
        <w:rPr>
          <w:rFonts w:hint="eastAsia" w:ascii="黑体" w:hAnsi="黑体" w:eastAsia="黑体" w:cs="黑体"/>
          <w:color w:val="auto"/>
          <w:kern w:val="0"/>
          <w:sz w:val="24"/>
          <w:szCs w:val="24"/>
          <w:highlight w:val="none"/>
          <w:u w:val="single"/>
        </w:rPr>
      </w:pPr>
    </w:p>
    <w:p w14:paraId="1EDE34E1">
      <w:pPr>
        <w:spacing w:line="360" w:lineRule="auto"/>
        <w:ind w:firstLine="600" w:firstLineChars="250"/>
        <w:rPr>
          <w:rFonts w:hint="eastAsia" w:ascii="黑体" w:hAnsi="黑体" w:eastAsia="黑体" w:cs="黑体"/>
          <w:color w:val="auto"/>
          <w:kern w:val="0"/>
          <w:sz w:val="24"/>
          <w:szCs w:val="24"/>
          <w:highlight w:val="none"/>
          <w:u w:val="single"/>
        </w:rPr>
      </w:pPr>
    </w:p>
    <w:p w14:paraId="504C3A9F">
      <w:pPr>
        <w:spacing w:line="360" w:lineRule="auto"/>
        <w:rPr>
          <w:rFonts w:hint="eastAsia" w:ascii="黑体" w:hAnsi="黑体" w:eastAsia="黑体" w:cs="黑体"/>
          <w:color w:val="auto"/>
          <w:kern w:val="0"/>
          <w:sz w:val="24"/>
          <w:szCs w:val="24"/>
          <w:highlight w:val="none"/>
          <w:u w:val="single"/>
          <w:lang w:eastAsia="zh-CN"/>
        </w:rPr>
      </w:pPr>
      <w:r>
        <w:rPr>
          <w:rFonts w:hint="eastAsia" w:ascii="黑体" w:hAnsi="黑体" w:eastAsia="黑体" w:cs="黑体"/>
          <w:color w:val="auto"/>
          <w:kern w:val="0"/>
          <w:sz w:val="24"/>
          <w:szCs w:val="24"/>
          <w:highlight w:val="none"/>
          <w:u w:val="single"/>
        </w:rPr>
        <w:t>注：符合《三部门联合发布关于促进残疾人就业政府采购政策的通知》价格扣减条件的供应商须提交</w:t>
      </w:r>
      <w:r>
        <w:rPr>
          <w:rFonts w:hint="eastAsia" w:ascii="黑体" w:hAnsi="黑体" w:eastAsia="黑体" w:cs="黑体"/>
          <w:color w:val="auto"/>
          <w:kern w:val="0"/>
          <w:sz w:val="24"/>
          <w:szCs w:val="24"/>
          <w:highlight w:val="none"/>
          <w:u w:val="single"/>
          <w:lang w:eastAsia="zh-CN"/>
        </w:rPr>
        <w:t>，</w:t>
      </w:r>
      <w:r>
        <w:rPr>
          <w:rFonts w:hint="eastAsia" w:ascii="黑体" w:hAnsi="黑体" w:eastAsia="黑体" w:cs="黑体"/>
          <w:color w:val="auto"/>
          <w:kern w:val="0"/>
          <w:sz w:val="24"/>
          <w:szCs w:val="24"/>
          <w:highlight w:val="none"/>
          <w:u w:val="single"/>
        </w:rPr>
        <w:t>不符合的不提供本函</w:t>
      </w:r>
      <w:r>
        <w:rPr>
          <w:rFonts w:hint="eastAsia" w:ascii="黑体" w:hAnsi="黑体" w:eastAsia="黑体" w:cs="黑体"/>
          <w:color w:val="auto"/>
          <w:kern w:val="0"/>
          <w:sz w:val="24"/>
          <w:szCs w:val="24"/>
          <w:highlight w:val="none"/>
          <w:u w:val="single"/>
          <w:lang w:eastAsia="zh-CN"/>
        </w:rPr>
        <w:t>。</w:t>
      </w:r>
    </w:p>
    <w:p w14:paraId="19A8C726">
      <w:pPr>
        <w:autoSpaceDE w:val="0"/>
        <w:autoSpaceDN w:val="0"/>
        <w:adjustRightInd w:val="0"/>
        <w:spacing w:line="348" w:lineRule="auto"/>
        <w:ind w:firstLine="630"/>
        <w:rPr>
          <w:rFonts w:hint="eastAsia" w:ascii="黑体" w:hAnsi="黑体" w:eastAsia="黑体" w:cs="黑体"/>
          <w:b/>
          <w:bCs/>
          <w:color w:val="auto"/>
          <w:sz w:val="24"/>
          <w:szCs w:val="24"/>
          <w:highlight w:val="none"/>
        </w:rPr>
      </w:pPr>
    </w:p>
    <w:p w14:paraId="2A53933B">
      <w:pPr>
        <w:spacing w:after="60"/>
        <w:rPr>
          <w:rFonts w:hint="eastAsia" w:ascii="黑体" w:hAnsi="黑体" w:eastAsia="黑体" w:cs="黑体"/>
          <w:color w:val="auto"/>
          <w:sz w:val="24"/>
          <w:szCs w:val="24"/>
          <w:highlight w:val="none"/>
        </w:rPr>
      </w:pPr>
    </w:p>
    <w:p w14:paraId="492824EB">
      <w:pPr>
        <w:spacing w:after="60"/>
        <w:rPr>
          <w:rFonts w:hint="eastAsia" w:ascii="黑体" w:hAnsi="黑体" w:eastAsia="黑体" w:cs="黑体"/>
          <w:color w:val="auto"/>
          <w:sz w:val="24"/>
          <w:szCs w:val="24"/>
          <w:highlight w:val="none"/>
        </w:rPr>
      </w:pPr>
    </w:p>
    <w:p w14:paraId="1A1337CD">
      <w:pPr>
        <w:pStyle w:val="6"/>
        <w:jc w:val="center"/>
        <w:rPr>
          <w:rFonts w:hint="eastAsia" w:ascii="黑体" w:hAnsi="黑体" w:eastAsia="黑体" w:cs="黑体"/>
          <w:b/>
          <w:color w:val="auto"/>
          <w:sz w:val="28"/>
          <w:szCs w:val="28"/>
          <w:highlight w:val="none"/>
        </w:rPr>
        <w:sectPr>
          <w:headerReference r:id="rId12" w:type="default"/>
          <w:pgSz w:w="11906" w:h="16838"/>
          <w:pgMar w:top="1418" w:right="1418" w:bottom="1418" w:left="1418" w:header="851" w:footer="992" w:gutter="0"/>
          <w:pgNumType w:fmt="decimal"/>
          <w:cols w:space="720" w:num="1"/>
          <w:docGrid w:linePitch="312" w:charSpace="0"/>
        </w:sectPr>
      </w:pPr>
    </w:p>
    <w:p w14:paraId="18028C72">
      <w:pPr>
        <w:pStyle w:val="6"/>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磋商方案说明</w:t>
      </w:r>
    </w:p>
    <w:p w14:paraId="22727ABB">
      <w:pPr>
        <w:spacing w:line="360" w:lineRule="exact"/>
        <w:ind w:firstLine="1680" w:firstLineChars="700"/>
        <w:jc w:val="both"/>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供应商（参照《</w:t>
      </w:r>
      <w:r>
        <w:rPr>
          <w:rFonts w:hint="eastAsia" w:ascii="黑体" w:hAnsi="黑体" w:eastAsia="黑体" w:cs="黑体"/>
          <w:color w:val="auto"/>
          <w:sz w:val="24"/>
          <w:szCs w:val="24"/>
          <w:highlight w:val="none"/>
          <w:lang w:eastAsia="zh-CN"/>
        </w:rPr>
        <w:t>综合评分一览表</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进行</w:t>
      </w:r>
      <w:r>
        <w:rPr>
          <w:rFonts w:hint="eastAsia" w:ascii="黑体" w:hAnsi="黑体" w:eastAsia="黑体" w:cs="黑体"/>
          <w:color w:val="auto"/>
          <w:sz w:val="24"/>
          <w:szCs w:val="24"/>
          <w:highlight w:val="none"/>
        </w:rPr>
        <w:t>编制。</w:t>
      </w:r>
    </w:p>
    <w:p w14:paraId="59A1F6FB">
      <w:pPr>
        <w:pStyle w:val="2"/>
        <w:rPr>
          <w:rFonts w:hint="eastAsia" w:ascii="黑体" w:hAnsi="黑体" w:eastAsia="黑体" w:cs="黑体"/>
          <w:color w:val="auto"/>
          <w:sz w:val="24"/>
          <w:szCs w:val="24"/>
          <w:highlight w:val="none"/>
        </w:rPr>
      </w:pPr>
    </w:p>
    <w:p w14:paraId="5089FB02">
      <w:pPr>
        <w:rPr>
          <w:rFonts w:hint="eastAsia" w:ascii="黑体" w:hAnsi="黑体" w:eastAsia="黑体" w:cs="黑体"/>
          <w:color w:val="auto"/>
          <w:sz w:val="24"/>
          <w:szCs w:val="24"/>
          <w:highlight w:val="none"/>
        </w:rPr>
      </w:pPr>
    </w:p>
    <w:p w14:paraId="1CA9F111">
      <w:pPr>
        <w:pStyle w:val="2"/>
        <w:rPr>
          <w:rFonts w:hint="eastAsia" w:ascii="黑体" w:hAnsi="黑体" w:eastAsia="黑体" w:cs="黑体"/>
          <w:color w:val="auto"/>
          <w:sz w:val="24"/>
          <w:szCs w:val="24"/>
          <w:highlight w:val="none"/>
        </w:rPr>
      </w:pPr>
    </w:p>
    <w:p w14:paraId="4C923D7E">
      <w:pPr>
        <w:rPr>
          <w:rFonts w:hint="eastAsia" w:ascii="黑体" w:hAnsi="黑体" w:eastAsia="黑体" w:cs="黑体"/>
          <w:color w:val="auto"/>
          <w:sz w:val="24"/>
          <w:szCs w:val="24"/>
          <w:highlight w:val="none"/>
        </w:rPr>
      </w:pPr>
    </w:p>
    <w:p w14:paraId="7C211F58">
      <w:pPr>
        <w:pStyle w:val="2"/>
        <w:rPr>
          <w:rFonts w:hint="eastAsia" w:ascii="黑体" w:hAnsi="黑体" w:eastAsia="黑体" w:cs="黑体"/>
          <w:color w:val="auto"/>
          <w:sz w:val="24"/>
          <w:szCs w:val="24"/>
          <w:highlight w:val="none"/>
        </w:rPr>
      </w:pPr>
    </w:p>
    <w:p w14:paraId="6DF88C02">
      <w:pPr>
        <w:rPr>
          <w:rFonts w:hint="eastAsia" w:ascii="黑体" w:hAnsi="黑体" w:eastAsia="黑体" w:cs="黑体"/>
          <w:color w:val="auto"/>
          <w:sz w:val="24"/>
          <w:szCs w:val="24"/>
          <w:highlight w:val="none"/>
        </w:rPr>
      </w:pPr>
    </w:p>
    <w:p w14:paraId="23E5F713">
      <w:pPr>
        <w:pStyle w:val="2"/>
        <w:rPr>
          <w:rFonts w:hint="eastAsia" w:ascii="黑体" w:hAnsi="黑体" w:eastAsia="黑体" w:cs="黑体"/>
          <w:color w:val="auto"/>
          <w:sz w:val="24"/>
          <w:szCs w:val="24"/>
          <w:highlight w:val="none"/>
        </w:rPr>
      </w:pPr>
    </w:p>
    <w:p w14:paraId="6E219723">
      <w:pPr>
        <w:rPr>
          <w:rFonts w:hint="eastAsia" w:ascii="黑体" w:hAnsi="黑体" w:eastAsia="黑体" w:cs="黑体"/>
          <w:color w:val="auto"/>
          <w:sz w:val="24"/>
          <w:szCs w:val="24"/>
          <w:highlight w:val="none"/>
        </w:rPr>
      </w:pPr>
    </w:p>
    <w:p w14:paraId="37ADAC12">
      <w:pPr>
        <w:pStyle w:val="2"/>
        <w:rPr>
          <w:rFonts w:hint="eastAsia" w:ascii="黑体" w:hAnsi="黑体" w:eastAsia="黑体" w:cs="黑体"/>
          <w:color w:val="auto"/>
          <w:sz w:val="24"/>
          <w:szCs w:val="24"/>
          <w:highlight w:val="none"/>
        </w:rPr>
      </w:pPr>
    </w:p>
    <w:p w14:paraId="0B0B780F">
      <w:pPr>
        <w:rPr>
          <w:rFonts w:hint="eastAsia" w:ascii="黑体" w:hAnsi="黑体" w:eastAsia="黑体" w:cs="黑体"/>
          <w:color w:val="auto"/>
          <w:sz w:val="24"/>
          <w:szCs w:val="24"/>
          <w:highlight w:val="none"/>
        </w:rPr>
      </w:pPr>
    </w:p>
    <w:p w14:paraId="3F4F5F26">
      <w:pPr>
        <w:pStyle w:val="2"/>
        <w:rPr>
          <w:rFonts w:hint="eastAsia" w:ascii="黑体" w:hAnsi="黑体" w:eastAsia="黑体" w:cs="黑体"/>
          <w:color w:val="auto"/>
          <w:sz w:val="24"/>
          <w:szCs w:val="24"/>
          <w:highlight w:val="none"/>
        </w:rPr>
      </w:pPr>
    </w:p>
    <w:p w14:paraId="43C45FB3">
      <w:pPr>
        <w:rPr>
          <w:rFonts w:hint="eastAsia" w:ascii="黑体" w:hAnsi="黑体" w:eastAsia="黑体" w:cs="黑体"/>
          <w:color w:val="auto"/>
          <w:sz w:val="24"/>
          <w:szCs w:val="24"/>
          <w:highlight w:val="none"/>
        </w:rPr>
      </w:pPr>
    </w:p>
    <w:p w14:paraId="70E99DEF">
      <w:pPr>
        <w:pStyle w:val="2"/>
        <w:rPr>
          <w:rFonts w:hint="eastAsia" w:ascii="黑体" w:hAnsi="黑体" w:eastAsia="黑体" w:cs="黑体"/>
          <w:color w:val="auto"/>
          <w:sz w:val="24"/>
          <w:szCs w:val="24"/>
          <w:highlight w:val="none"/>
        </w:rPr>
      </w:pPr>
    </w:p>
    <w:p w14:paraId="596638C8">
      <w:pPr>
        <w:rPr>
          <w:rFonts w:hint="eastAsia" w:ascii="黑体" w:hAnsi="黑体" w:eastAsia="黑体" w:cs="黑体"/>
          <w:color w:val="auto"/>
          <w:sz w:val="24"/>
          <w:szCs w:val="24"/>
          <w:highlight w:val="none"/>
        </w:rPr>
      </w:pPr>
    </w:p>
    <w:p w14:paraId="78292DDE">
      <w:pPr>
        <w:pStyle w:val="2"/>
        <w:rPr>
          <w:rFonts w:hint="eastAsia" w:ascii="黑体" w:hAnsi="黑体" w:eastAsia="黑体" w:cs="黑体"/>
          <w:color w:val="auto"/>
          <w:sz w:val="24"/>
          <w:szCs w:val="24"/>
          <w:highlight w:val="none"/>
        </w:rPr>
      </w:pPr>
    </w:p>
    <w:p w14:paraId="1832B591">
      <w:pPr>
        <w:rPr>
          <w:rFonts w:hint="eastAsia" w:ascii="黑体" w:hAnsi="黑体" w:eastAsia="黑体" w:cs="黑体"/>
          <w:color w:val="auto"/>
          <w:sz w:val="24"/>
          <w:szCs w:val="24"/>
          <w:highlight w:val="none"/>
        </w:rPr>
      </w:pPr>
    </w:p>
    <w:p w14:paraId="120C32B0">
      <w:pPr>
        <w:pStyle w:val="2"/>
        <w:rPr>
          <w:rFonts w:hint="eastAsia" w:ascii="黑体" w:hAnsi="黑体" w:eastAsia="黑体" w:cs="黑体"/>
          <w:color w:val="auto"/>
          <w:sz w:val="24"/>
          <w:szCs w:val="24"/>
          <w:highlight w:val="none"/>
        </w:rPr>
      </w:pPr>
    </w:p>
    <w:p w14:paraId="7C1E0591">
      <w:pPr>
        <w:rPr>
          <w:rFonts w:hint="eastAsia" w:ascii="黑体" w:hAnsi="黑体" w:eastAsia="黑体" w:cs="黑体"/>
          <w:color w:val="auto"/>
          <w:sz w:val="24"/>
          <w:szCs w:val="24"/>
          <w:highlight w:val="none"/>
        </w:rPr>
      </w:pPr>
    </w:p>
    <w:p w14:paraId="00244AA6">
      <w:pPr>
        <w:pStyle w:val="2"/>
        <w:rPr>
          <w:rFonts w:hint="eastAsia" w:ascii="黑体" w:hAnsi="黑体" w:eastAsia="黑体" w:cs="黑体"/>
          <w:color w:val="auto"/>
          <w:sz w:val="24"/>
          <w:szCs w:val="24"/>
          <w:highlight w:val="none"/>
        </w:rPr>
      </w:pPr>
    </w:p>
    <w:p w14:paraId="499C30AA">
      <w:pPr>
        <w:rPr>
          <w:rFonts w:hint="eastAsia" w:ascii="黑体" w:hAnsi="黑体" w:eastAsia="黑体" w:cs="黑体"/>
          <w:color w:val="auto"/>
          <w:sz w:val="24"/>
          <w:szCs w:val="24"/>
          <w:highlight w:val="none"/>
        </w:rPr>
      </w:pPr>
    </w:p>
    <w:p w14:paraId="02037D81">
      <w:pPr>
        <w:pStyle w:val="2"/>
        <w:rPr>
          <w:rFonts w:hint="eastAsia" w:ascii="黑体" w:hAnsi="黑体" w:eastAsia="黑体" w:cs="黑体"/>
          <w:color w:val="auto"/>
          <w:sz w:val="24"/>
          <w:szCs w:val="24"/>
          <w:highlight w:val="none"/>
        </w:rPr>
      </w:pPr>
    </w:p>
    <w:p w14:paraId="663DE6DD">
      <w:pPr>
        <w:rPr>
          <w:rFonts w:hint="eastAsia" w:ascii="黑体" w:hAnsi="黑体" w:eastAsia="黑体" w:cs="黑体"/>
          <w:color w:val="auto"/>
          <w:sz w:val="24"/>
          <w:szCs w:val="24"/>
          <w:highlight w:val="none"/>
        </w:rPr>
      </w:pPr>
    </w:p>
    <w:p w14:paraId="49CFE694">
      <w:pPr>
        <w:pStyle w:val="6"/>
        <w:jc w:val="center"/>
        <w:rPr>
          <w:rFonts w:hint="eastAsia" w:ascii="黑体" w:hAnsi="黑体" w:eastAsia="黑体" w:cs="黑体"/>
          <w:b/>
          <w:color w:val="auto"/>
          <w:sz w:val="28"/>
          <w:szCs w:val="28"/>
          <w:highlight w:val="none"/>
        </w:rPr>
        <w:sectPr>
          <w:footerReference r:id="rId13" w:type="default"/>
          <w:pgSz w:w="11906" w:h="16838"/>
          <w:pgMar w:top="1418" w:right="1418" w:bottom="1418" w:left="1418" w:header="851" w:footer="992" w:gutter="0"/>
          <w:pgNumType w:fmt="decimal"/>
          <w:cols w:space="720" w:num="1"/>
          <w:docGrid w:linePitch="312" w:charSpace="0"/>
        </w:sectPr>
      </w:pPr>
    </w:p>
    <w:p w14:paraId="448393D8">
      <w:pPr>
        <w:pStyle w:val="6"/>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业绩一览表</w:t>
      </w:r>
    </w:p>
    <w:p w14:paraId="450CDBEA">
      <w:pPr>
        <w:rPr>
          <w:rFonts w:hint="eastAsia" w:ascii="黑体" w:hAnsi="黑体" w:eastAsia="黑体" w:cs="黑体"/>
          <w:color w:val="auto"/>
          <w:sz w:val="22"/>
          <w:szCs w:val="22"/>
          <w:highlight w:val="none"/>
          <w:u w:val="single"/>
        </w:rPr>
      </w:pPr>
    </w:p>
    <w:tbl>
      <w:tblPr>
        <w:tblStyle w:val="50"/>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86"/>
        <w:gridCol w:w="2084"/>
        <w:gridCol w:w="1895"/>
        <w:gridCol w:w="1515"/>
        <w:gridCol w:w="2842"/>
      </w:tblGrid>
      <w:tr w14:paraId="65FD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1F6CA942">
            <w:pPr>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序号</w:t>
            </w:r>
          </w:p>
        </w:tc>
        <w:tc>
          <w:tcPr>
            <w:tcW w:w="1142" w:type="pct"/>
            <w:noWrap w:val="0"/>
            <w:vAlign w:val="center"/>
          </w:tcPr>
          <w:p w14:paraId="6AF395E7">
            <w:pPr>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项目名称</w:t>
            </w:r>
          </w:p>
        </w:tc>
        <w:tc>
          <w:tcPr>
            <w:tcW w:w="1038" w:type="pct"/>
            <w:tcBorders>
              <w:left w:val="single" w:color="auto" w:sz="4" w:space="0"/>
              <w:right w:val="single" w:color="auto" w:sz="4" w:space="0"/>
            </w:tcBorders>
            <w:noWrap w:val="0"/>
            <w:vAlign w:val="center"/>
          </w:tcPr>
          <w:p w14:paraId="58C70324">
            <w:pPr>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合同金额（万元）</w:t>
            </w:r>
          </w:p>
        </w:tc>
        <w:tc>
          <w:tcPr>
            <w:tcW w:w="830" w:type="pct"/>
            <w:noWrap w:val="0"/>
            <w:vAlign w:val="center"/>
          </w:tcPr>
          <w:p w14:paraId="3042C64A">
            <w:pPr>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完成日期</w:t>
            </w:r>
          </w:p>
        </w:tc>
        <w:tc>
          <w:tcPr>
            <w:tcW w:w="1557" w:type="pct"/>
            <w:noWrap w:val="0"/>
            <w:vAlign w:val="center"/>
          </w:tcPr>
          <w:p w14:paraId="69C6301C">
            <w:pPr>
              <w:jc w:val="center"/>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业主名称、联系人及电话</w:t>
            </w:r>
          </w:p>
        </w:tc>
      </w:tr>
      <w:tr w14:paraId="49F8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61490C7C">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142" w:type="pct"/>
            <w:noWrap w:val="0"/>
            <w:vAlign w:val="center"/>
          </w:tcPr>
          <w:p w14:paraId="11AB2D91">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36528BFA">
            <w:pPr>
              <w:jc w:val="center"/>
              <w:rPr>
                <w:rFonts w:hint="eastAsia" w:ascii="黑体" w:hAnsi="黑体" w:eastAsia="黑体" w:cs="黑体"/>
                <w:color w:val="auto"/>
                <w:sz w:val="24"/>
                <w:szCs w:val="24"/>
                <w:highlight w:val="none"/>
              </w:rPr>
            </w:pPr>
          </w:p>
        </w:tc>
        <w:tc>
          <w:tcPr>
            <w:tcW w:w="830" w:type="pct"/>
            <w:noWrap w:val="0"/>
            <w:vAlign w:val="center"/>
          </w:tcPr>
          <w:p w14:paraId="3C1F4D5A">
            <w:pPr>
              <w:jc w:val="center"/>
              <w:rPr>
                <w:rFonts w:hint="eastAsia" w:ascii="黑体" w:hAnsi="黑体" w:eastAsia="黑体" w:cs="黑体"/>
                <w:color w:val="auto"/>
                <w:sz w:val="24"/>
                <w:szCs w:val="24"/>
                <w:highlight w:val="none"/>
              </w:rPr>
            </w:pPr>
          </w:p>
        </w:tc>
        <w:tc>
          <w:tcPr>
            <w:tcW w:w="1557" w:type="pct"/>
            <w:noWrap w:val="0"/>
            <w:vAlign w:val="top"/>
          </w:tcPr>
          <w:p w14:paraId="561B1AFE">
            <w:pPr>
              <w:jc w:val="center"/>
              <w:rPr>
                <w:rFonts w:hint="eastAsia" w:ascii="黑体" w:hAnsi="黑体" w:eastAsia="黑体" w:cs="黑体"/>
                <w:color w:val="auto"/>
                <w:sz w:val="24"/>
                <w:szCs w:val="24"/>
                <w:highlight w:val="none"/>
              </w:rPr>
            </w:pPr>
          </w:p>
        </w:tc>
      </w:tr>
      <w:tr w14:paraId="7147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58E7E765">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142" w:type="pct"/>
            <w:noWrap w:val="0"/>
            <w:vAlign w:val="center"/>
          </w:tcPr>
          <w:p w14:paraId="4647C53D">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79630DA1">
            <w:pPr>
              <w:jc w:val="center"/>
              <w:rPr>
                <w:rFonts w:hint="eastAsia" w:ascii="黑体" w:hAnsi="黑体" w:eastAsia="黑体" w:cs="黑体"/>
                <w:color w:val="auto"/>
                <w:sz w:val="24"/>
                <w:szCs w:val="24"/>
                <w:highlight w:val="none"/>
              </w:rPr>
            </w:pPr>
          </w:p>
        </w:tc>
        <w:tc>
          <w:tcPr>
            <w:tcW w:w="830" w:type="pct"/>
            <w:noWrap w:val="0"/>
            <w:vAlign w:val="center"/>
          </w:tcPr>
          <w:p w14:paraId="6D9ED68D">
            <w:pPr>
              <w:jc w:val="center"/>
              <w:rPr>
                <w:rFonts w:hint="eastAsia" w:ascii="黑体" w:hAnsi="黑体" w:eastAsia="黑体" w:cs="黑体"/>
                <w:color w:val="auto"/>
                <w:sz w:val="24"/>
                <w:szCs w:val="24"/>
                <w:highlight w:val="none"/>
              </w:rPr>
            </w:pPr>
          </w:p>
        </w:tc>
        <w:tc>
          <w:tcPr>
            <w:tcW w:w="1557" w:type="pct"/>
            <w:noWrap w:val="0"/>
            <w:vAlign w:val="top"/>
          </w:tcPr>
          <w:p w14:paraId="7E39FD72">
            <w:pPr>
              <w:jc w:val="center"/>
              <w:rPr>
                <w:rFonts w:hint="eastAsia" w:ascii="黑体" w:hAnsi="黑体" w:eastAsia="黑体" w:cs="黑体"/>
                <w:color w:val="auto"/>
                <w:sz w:val="24"/>
                <w:szCs w:val="24"/>
                <w:highlight w:val="none"/>
              </w:rPr>
            </w:pPr>
          </w:p>
        </w:tc>
      </w:tr>
      <w:tr w14:paraId="6D8FD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30F3905F">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142" w:type="pct"/>
            <w:noWrap w:val="0"/>
            <w:vAlign w:val="center"/>
          </w:tcPr>
          <w:p w14:paraId="0283F120">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4113F41D">
            <w:pPr>
              <w:jc w:val="center"/>
              <w:rPr>
                <w:rFonts w:hint="eastAsia" w:ascii="黑体" w:hAnsi="黑体" w:eastAsia="黑体" w:cs="黑体"/>
                <w:color w:val="auto"/>
                <w:sz w:val="24"/>
                <w:szCs w:val="24"/>
                <w:highlight w:val="none"/>
              </w:rPr>
            </w:pPr>
          </w:p>
        </w:tc>
        <w:tc>
          <w:tcPr>
            <w:tcW w:w="830" w:type="pct"/>
            <w:noWrap w:val="0"/>
            <w:vAlign w:val="center"/>
          </w:tcPr>
          <w:p w14:paraId="717ADEAA">
            <w:pPr>
              <w:jc w:val="center"/>
              <w:rPr>
                <w:rFonts w:hint="eastAsia" w:ascii="黑体" w:hAnsi="黑体" w:eastAsia="黑体" w:cs="黑体"/>
                <w:color w:val="auto"/>
                <w:sz w:val="24"/>
                <w:szCs w:val="24"/>
                <w:highlight w:val="none"/>
              </w:rPr>
            </w:pPr>
          </w:p>
        </w:tc>
        <w:tc>
          <w:tcPr>
            <w:tcW w:w="1557" w:type="pct"/>
            <w:noWrap w:val="0"/>
            <w:vAlign w:val="top"/>
          </w:tcPr>
          <w:p w14:paraId="2857460F">
            <w:pPr>
              <w:jc w:val="center"/>
              <w:rPr>
                <w:rFonts w:hint="eastAsia" w:ascii="黑体" w:hAnsi="黑体" w:eastAsia="黑体" w:cs="黑体"/>
                <w:color w:val="auto"/>
                <w:sz w:val="24"/>
                <w:szCs w:val="24"/>
                <w:highlight w:val="none"/>
              </w:rPr>
            </w:pPr>
          </w:p>
        </w:tc>
      </w:tr>
      <w:tr w14:paraId="0ED1E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7787DFD6">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1142" w:type="pct"/>
            <w:noWrap w:val="0"/>
            <w:vAlign w:val="center"/>
          </w:tcPr>
          <w:p w14:paraId="29EF5EA5">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7C78AB01">
            <w:pPr>
              <w:jc w:val="center"/>
              <w:rPr>
                <w:rFonts w:hint="eastAsia" w:ascii="黑体" w:hAnsi="黑体" w:eastAsia="黑体" w:cs="黑体"/>
                <w:color w:val="auto"/>
                <w:sz w:val="24"/>
                <w:szCs w:val="24"/>
                <w:highlight w:val="none"/>
              </w:rPr>
            </w:pPr>
          </w:p>
        </w:tc>
        <w:tc>
          <w:tcPr>
            <w:tcW w:w="830" w:type="pct"/>
            <w:noWrap w:val="0"/>
            <w:vAlign w:val="center"/>
          </w:tcPr>
          <w:p w14:paraId="1A39364E">
            <w:pPr>
              <w:jc w:val="center"/>
              <w:rPr>
                <w:rFonts w:hint="eastAsia" w:ascii="黑体" w:hAnsi="黑体" w:eastAsia="黑体" w:cs="黑体"/>
                <w:color w:val="auto"/>
                <w:sz w:val="24"/>
                <w:szCs w:val="24"/>
                <w:highlight w:val="none"/>
              </w:rPr>
            </w:pPr>
          </w:p>
        </w:tc>
        <w:tc>
          <w:tcPr>
            <w:tcW w:w="1557" w:type="pct"/>
            <w:noWrap w:val="0"/>
            <w:vAlign w:val="top"/>
          </w:tcPr>
          <w:p w14:paraId="0416E703">
            <w:pPr>
              <w:jc w:val="center"/>
              <w:rPr>
                <w:rFonts w:hint="eastAsia" w:ascii="黑体" w:hAnsi="黑体" w:eastAsia="黑体" w:cs="黑体"/>
                <w:color w:val="auto"/>
                <w:sz w:val="24"/>
                <w:szCs w:val="24"/>
                <w:highlight w:val="none"/>
              </w:rPr>
            </w:pPr>
          </w:p>
        </w:tc>
      </w:tr>
      <w:tr w14:paraId="5370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2BEFCF96">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1142" w:type="pct"/>
            <w:noWrap w:val="0"/>
            <w:vAlign w:val="center"/>
          </w:tcPr>
          <w:p w14:paraId="5B911E2E">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4FE15163">
            <w:pPr>
              <w:jc w:val="center"/>
              <w:rPr>
                <w:rFonts w:hint="eastAsia" w:ascii="黑体" w:hAnsi="黑体" w:eastAsia="黑体" w:cs="黑体"/>
                <w:color w:val="auto"/>
                <w:sz w:val="24"/>
                <w:szCs w:val="24"/>
                <w:highlight w:val="none"/>
              </w:rPr>
            </w:pPr>
          </w:p>
        </w:tc>
        <w:tc>
          <w:tcPr>
            <w:tcW w:w="830" w:type="pct"/>
            <w:noWrap w:val="0"/>
            <w:vAlign w:val="center"/>
          </w:tcPr>
          <w:p w14:paraId="361A99B7">
            <w:pPr>
              <w:jc w:val="center"/>
              <w:rPr>
                <w:rFonts w:hint="eastAsia" w:ascii="黑体" w:hAnsi="黑体" w:eastAsia="黑体" w:cs="黑体"/>
                <w:color w:val="auto"/>
                <w:sz w:val="24"/>
                <w:szCs w:val="24"/>
                <w:highlight w:val="none"/>
              </w:rPr>
            </w:pPr>
          </w:p>
        </w:tc>
        <w:tc>
          <w:tcPr>
            <w:tcW w:w="1557" w:type="pct"/>
            <w:noWrap w:val="0"/>
            <w:vAlign w:val="top"/>
          </w:tcPr>
          <w:p w14:paraId="637456E9">
            <w:pPr>
              <w:jc w:val="center"/>
              <w:rPr>
                <w:rFonts w:hint="eastAsia" w:ascii="黑体" w:hAnsi="黑体" w:eastAsia="黑体" w:cs="黑体"/>
                <w:color w:val="auto"/>
                <w:sz w:val="24"/>
                <w:szCs w:val="24"/>
                <w:highlight w:val="none"/>
              </w:rPr>
            </w:pPr>
          </w:p>
        </w:tc>
      </w:tr>
      <w:tr w14:paraId="4CB38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76DA5ECA">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p>
        </w:tc>
        <w:tc>
          <w:tcPr>
            <w:tcW w:w="1142" w:type="pct"/>
            <w:noWrap w:val="0"/>
            <w:vAlign w:val="center"/>
          </w:tcPr>
          <w:p w14:paraId="3D31509D">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6C4B5790">
            <w:pPr>
              <w:jc w:val="center"/>
              <w:rPr>
                <w:rFonts w:hint="eastAsia" w:ascii="黑体" w:hAnsi="黑体" w:eastAsia="黑体" w:cs="黑体"/>
                <w:color w:val="auto"/>
                <w:sz w:val="24"/>
                <w:szCs w:val="24"/>
                <w:highlight w:val="none"/>
              </w:rPr>
            </w:pPr>
          </w:p>
        </w:tc>
        <w:tc>
          <w:tcPr>
            <w:tcW w:w="830" w:type="pct"/>
            <w:noWrap w:val="0"/>
            <w:vAlign w:val="center"/>
          </w:tcPr>
          <w:p w14:paraId="145FBC99">
            <w:pPr>
              <w:jc w:val="center"/>
              <w:rPr>
                <w:rFonts w:hint="eastAsia" w:ascii="黑体" w:hAnsi="黑体" w:eastAsia="黑体" w:cs="黑体"/>
                <w:color w:val="auto"/>
                <w:sz w:val="24"/>
                <w:szCs w:val="24"/>
                <w:highlight w:val="none"/>
              </w:rPr>
            </w:pPr>
          </w:p>
        </w:tc>
        <w:tc>
          <w:tcPr>
            <w:tcW w:w="1557" w:type="pct"/>
            <w:noWrap w:val="0"/>
            <w:vAlign w:val="top"/>
          </w:tcPr>
          <w:p w14:paraId="084ABFFD">
            <w:pPr>
              <w:jc w:val="center"/>
              <w:rPr>
                <w:rFonts w:hint="eastAsia" w:ascii="黑体" w:hAnsi="黑体" w:eastAsia="黑体" w:cs="黑体"/>
                <w:color w:val="auto"/>
                <w:sz w:val="24"/>
                <w:szCs w:val="24"/>
                <w:highlight w:val="none"/>
              </w:rPr>
            </w:pPr>
          </w:p>
        </w:tc>
      </w:tr>
      <w:tr w14:paraId="7B14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393D4B04">
            <w:pPr>
              <w:jc w:val="center"/>
              <w:rPr>
                <w:rFonts w:hint="eastAsia" w:ascii="黑体" w:hAnsi="黑体" w:eastAsia="黑体" w:cs="黑体"/>
                <w:color w:val="auto"/>
                <w:sz w:val="24"/>
                <w:szCs w:val="24"/>
                <w:highlight w:val="none"/>
              </w:rPr>
            </w:pPr>
          </w:p>
        </w:tc>
        <w:tc>
          <w:tcPr>
            <w:tcW w:w="1142" w:type="pct"/>
            <w:noWrap w:val="0"/>
            <w:vAlign w:val="center"/>
          </w:tcPr>
          <w:p w14:paraId="299F18D8">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27875C61">
            <w:pPr>
              <w:jc w:val="center"/>
              <w:rPr>
                <w:rFonts w:hint="eastAsia" w:ascii="黑体" w:hAnsi="黑体" w:eastAsia="黑体" w:cs="黑体"/>
                <w:color w:val="auto"/>
                <w:sz w:val="24"/>
                <w:szCs w:val="24"/>
                <w:highlight w:val="none"/>
              </w:rPr>
            </w:pPr>
          </w:p>
        </w:tc>
        <w:tc>
          <w:tcPr>
            <w:tcW w:w="830" w:type="pct"/>
            <w:noWrap w:val="0"/>
            <w:vAlign w:val="center"/>
          </w:tcPr>
          <w:p w14:paraId="1A458B2D">
            <w:pPr>
              <w:jc w:val="center"/>
              <w:rPr>
                <w:rFonts w:hint="eastAsia" w:ascii="黑体" w:hAnsi="黑体" w:eastAsia="黑体" w:cs="黑体"/>
                <w:color w:val="auto"/>
                <w:sz w:val="24"/>
                <w:szCs w:val="24"/>
                <w:highlight w:val="none"/>
              </w:rPr>
            </w:pPr>
          </w:p>
        </w:tc>
        <w:tc>
          <w:tcPr>
            <w:tcW w:w="1557" w:type="pct"/>
            <w:noWrap w:val="0"/>
            <w:vAlign w:val="top"/>
          </w:tcPr>
          <w:p w14:paraId="0F0084EC">
            <w:pPr>
              <w:jc w:val="center"/>
              <w:rPr>
                <w:rFonts w:hint="eastAsia" w:ascii="黑体" w:hAnsi="黑体" w:eastAsia="黑体" w:cs="黑体"/>
                <w:color w:val="auto"/>
                <w:sz w:val="24"/>
                <w:szCs w:val="24"/>
                <w:highlight w:val="none"/>
              </w:rPr>
            </w:pPr>
          </w:p>
        </w:tc>
      </w:tr>
      <w:tr w14:paraId="264A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1089B259">
            <w:pPr>
              <w:jc w:val="center"/>
              <w:rPr>
                <w:rFonts w:hint="eastAsia" w:ascii="黑体" w:hAnsi="黑体" w:eastAsia="黑体" w:cs="黑体"/>
                <w:color w:val="auto"/>
                <w:sz w:val="24"/>
                <w:szCs w:val="24"/>
                <w:highlight w:val="none"/>
              </w:rPr>
            </w:pPr>
          </w:p>
        </w:tc>
        <w:tc>
          <w:tcPr>
            <w:tcW w:w="1142" w:type="pct"/>
            <w:noWrap w:val="0"/>
            <w:vAlign w:val="center"/>
          </w:tcPr>
          <w:p w14:paraId="0592926D">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40700BEF">
            <w:pPr>
              <w:jc w:val="center"/>
              <w:rPr>
                <w:rFonts w:hint="eastAsia" w:ascii="黑体" w:hAnsi="黑体" w:eastAsia="黑体" w:cs="黑体"/>
                <w:color w:val="auto"/>
                <w:sz w:val="24"/>
                <w:szCs w:val="24"/>
                <w:highlight w:val="none"/>
              </w:rPr>
            </w:pPr>
          </w:p>
        </w:tc>
        <w:tc>
          <w:tcPr>
            <w:tcW w:w="830" w:type="pct"/>
            <w:noWrap w:val="0"/>
            <w:vAlign w:val="center"/>
          </w:tcPr>
          <w:p w14:paraId="77F49061">
            <w:pPr>
              <w:jc w:val="center"/>
              <w:rPr>
                <w:rFonts w:hint="eastAsia" w:ascii="黑体" w:hAnsi="黑体" w:eastAsia="黑体" w:cs="黑体"/>
                <w:color w:val="auto"/>
                <w:sz w:val="24"/>
                <w:szCs w:val="24"/>
                <w:highlight w:val="none"/>
              </w:rPr>
            </w:pPr>
          </w:p>
        </w:tc>
        <w:tc>
          <w:tcPr>
            <w:tcW w:w="1557" w:type="pct"/>
            <w:noWrap w:val="0"/>
            <w:vAlign w:val="top"/>
          </w:tcPr>
          <w:p w14:paraId="1BC2F68E">
            <w:pPr>
              <w:jc w:val="center"/>
              <w:rPr>
                <w:rFonts w:hint="eastAsia" w:ascii="黑体" w:hAnsi="黑体" w:eastAsia="黑体" w:cs="黑体"/>
                <w:color w:val="auto"/>
                <w:sz w:val="24"/>
                <w:szCs w:val="24"/>
                <w:highlight w:val="none"/>
              </w:rPr>
            </w:pPr>
          </w:p>
        </w:tc>
      </w:tr>
      <w:tr w14:paraId="108BC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40BEA9DE">
            <w:pPr>
              <w:jc w:val="center"/>
              <w:rPr>
                <w:rFonts w:hint="eastAsia" w:ascii="黑体" w:hAnsi="黑体" w:eastAsia="黑体" w:cs="黑体"/>
                <w:color w:val="auto"/>
                <w:sz w:val="24"/>
                <w:szCs w:val="24"/>
                <w:highlight w:val="none"/>
              </w:rPr>
            </w:pPr>
          </w:p>
        </w:tc>
        <w:tc>
          <w:tcPr>
            <w:tcW w:w="1142" w:type="pct"/>
            <w:noWrap w:val="0"/>
            <w:vAlign w:val="center"/>
          </w:tcPr>
          <w:p w14:paraId="7BC3F3E1">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31B804F0">
            <w:pPr>
              <w:jc w:val="center"/>
              <w:rPr>
                <w:rFonts w:hint="eastAsia" w:ascii="黑体" w:hAnsi="黑体" w:eastAsia="黑体" w:cs="黑体"/>
                <w:color w:val="auto"/>
                <w:sz w:val="24"/>
                <w:szCs w:val="24"/>
                <w:highlight w:val="none"/>
              </w:rPr>
            </w:pPr>
          </w:p>
        </w:tc>
        <w:tc>
          <w:tcPr>
            <w:tcW w:w="830" w:type="pct"/>
            <w:noWrap w:val="0"/>
            <w:vAlign w:val="center"/>
          </w:tcPr>
          <w:p w14:paraId="7D401B70">
            <w:pPr>
              <w:jc w:val="center"/>
              <w:rPr>
                <w:rFonts w:hint="eastAsia" w:ascii="黑体" w:hAnsi="黑体" w:eastAsia="黑体" w:cs="黑体"/>
                <w:color w:val="auto"/>
                <w:sz w:val="24"/>
                <w:szCs w:val="24"/>
                <w:highlight w:val="none"/>
              </w:rPr>
            </w:pPr>
          </w:p>
        </w:tc>
        <w:tc>
          <w:tcPr>
            <w:tcW w:w="1557" w:type="pct"/>
            <w:noWrap w:val="0"/>
            <w:vAlign w:val="top"/>
          </w:tcPr>
          <w:p w14:paraId="31D35A5E">
            <w:pPr>
              <w:jc w:val="center"/>
              <w:rPr>
                <w:rFonts w:hint="eastAsia" w:ascii="黑体" w:hAnsi="黑体" w:eastAsia="黑体" w:cs="黑体"/>
                <w:color w:val="auto"/>
                <w:sz w:val="24"/>
                <w:szCs w:val="24"/>
                <w:highlight w:val="none"/>
              </w:rPr>
            </w:pPr>
          </w:p>
        </w:tc>
      </w:tr>
      <w:tr w14:paraId="7E01E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431" w:type="pct"/>
            <w:noWrap w:val="0"/>
            <w:vAlign w:val="center"/>
          </w:tcPr>
          <w:p w14:paraId="15480E1E">
            <w:pPr>
              <w:jc w:val="center"/>
              <w:rPr>
                <w:rFonts w:hint="eastAsia" w:ascii="黑体" w:hAnsi="黑体" w:eastAsia="黑体" w:cs="黑体"/>
                <w:color w:val="auto"/>
                <w:sz w:val="24"/>
                <w:szCs w:val="24"/>
                <w:highlight w:val="none"/>
              </w:rPr>
            </w:pPr>
          </w:p>
        </w:tc>
        <w:tc>
          <w:tcPr>
            <w:tcW w:w="1142" w:type="pct"/>
            <w:noWrap w:val="0"/>
            <w:vAlign w:val="center"/>
          </w:tcPr>
          <w:p w14:paraId="4DBA44A3">
            <w:pPr>
              <w:jc w:val="center"/>
              <w:rPr>
                <w:rFonts w:hint="eastAsia" w:ascii="黑体" w:hAnsi="黑体" w:eastAsia="黑体" w:cs="黑体"/>
                <w:color w:val="auto"/>
                <w:sz w:val="24"/>
                <w:szCs w:val="24"/>
                <w:highlight w:val="none"/>
              </w:rPr>
            </w:pPr>
          </w:p>
        </w:tc>
        <w:tc>
          <w:tcPr>
            <w:tcW w:w="1038" w:type="pct"/>
            <w:tcBorders>
              <w:left w:val="single" w:color="auto" w:sz="4" w:space="0"/>
              <w:right w:val="single" w:color="auto" w:sz="4" w:space="0"/>
            </w:tcBorders>
            <w:noWrap w:val="0"/>
            <w:vAlign w:val="center"/>
          </w:tcPr>
          <w:p w14:paraId="58B3F0CE">
            <w:pPr>
              <w:jc w:val="center"/>
              <w:rPr>
                <w:rFonts w:hint="eastAsia" w:ascii="黑体" w:hAnsi="黑体" w:eastAsia="黑体" w:cs="黑体"/>
                <w:color w:val="auto"/>
                <w:sz w:val="24"/>
                <w:szCs w:val="24"/>
                <w:highlight w:val="none"/>
              </w:rPr>
            </w:pPr>
          </w:p>
        </w:tc>
        <w:tc>
          <w:tcPr>
            <w:tcW w:w="830" w:type="pct"/>
            <w:noWrap w:val="0"/>
            <w:vAlign w:val="center"/>
          </w:tcPr>
          <w:p w14:paraId="4EAF0F43">
            <w:pPr>
              <w:jc w:val="center"/>
              <w:rPr>
                <w:rFonts w:hint="eastAsia" w:ascii="黑体" w:hAnsi="黑体" w:eastAsia="黑体" w:cs="黑体"/>
                <w:color w:val="auto"/>
                <w:sz w:val="24"/>
                <w:szCs w:val="24"/>
                <w:highlight w:val="none"/>
              </w:rPr>
            </w:pPr>
          </w:p>
        </w:tc>
        <w:tc>
          <w:tcPr>
            <w:tcW w:w="1557" w:type="pct"/>
            <w:noWrap w:val="0"/>
            <w:vAlign w:val="top"/>
          </w:tcPr>
          <w:p w14:paraId="7D563897">
            <w:pPr>
              <w:jc w:val="center"/>
              <w:rPr>
                <w:rFonts w:hint="eastAsia" w:ascii="黑体" w:hAnsi="黑体" w:eastAsia="黑体" w:cs="黑体"/>
                <w:color w:val="auto"/>
                <w:sz w:val="24"/>
                <w:szCs w:val="24"/>
                <w:highlight w:val="none"/>
              </w:rPr>
            </w:pPr>
          </w:p>
        </w:tc>
      </w:tr>
    </w:tbl>
    <w:p w14:paraId="50EE791A">
      <w:pPr>
        <w:snapToGrid w:val="0"/>
        <w:ind w:left="349" w:hanging="332" w:hangingChars="166"/>
        <w:rPr>
          <w:rFonts w:hint="eastAsia" w:ascii="黑体" w:hAnsi="黑体" w:eastAsia="黑体" w:cs="黑体"/>
          <w:color w:val="auto"/>
          <w:sz w:val="20"/>
          <w:szCs w:val="22"/>
          <w:highlight w:val="none"/>
        </w:rPr>
      </w:pPr>
    </w:p>
    <w:p w14:paraId="50A7A22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注：</w:t>
      </w:r>
    </w:p>
    <w:p w14:paraId="2C268A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1. 供应商应如实列出以上情况，如有弄虚作假，一经查实将导致其投标申请被拒绝。</w:t>
      </w:r>
    </w:p>
    <w:p w14:paraId="0FE6E1CE">
      <w:pPr>
        <w:spacing w:line="360" w:lineRule="auto"/>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2、提供双方签订的合同复印件加盖公章，无相关证明的项目在评审时将不予确认。</w:t>
      </w:r>
    </w:p>
    <w:p w14:paraId="44998614">
      <w:pPr>
        <w:jc w:val="center"/>
        <w:outlineLvl w:val="0"/>
        <w:rPr>
          <w:rFonts w:hint="eastAsia" w:ascii="黑体" w:hAnsi="黑体" w:eastAsia="黑体" w:cs="黑体"/>
          <w:b/>
          <w:bCs/>
          <w:color w:val="auto"/>
          <w:sz w:val="28"/>
          <w:szCs w:val="28"/>
          <w:highlight w:val="none"/>
        </w:rPr>
      </w:pPr>
      <w:r>
        <w:rPr>
          <w:rFonts w:hint="eastAsia" w:ascii="黑体" w:hAnsi="黑体" w:eastAsia="黑体" w:cs="黑体"/>
          <w:color w:val="auto"/>
          <w:sz w:val="20"/>
          <w:szCs w:val="22"/>
          <w:highlight w:val="none"/>
        </w:rPr>
        <w:br w:type="page"/>
      </w:r>
      <w:r>
        <w:rPr>
          <w:rFonts w:hint="eastAsia" w:ascii="黑体" w:hAnsi="黑体" w:eastAsia="黑体" w:cs="黑体"/>
          <w:b/>
          <w:bCs/>
          <w:color w:val="auto"/>
          <w:sz w:val="28"/>
          <w:szCs w:val="28"/>
          <w:highlight w:val="none"/>
        </w:rPr>
        <w:t>其他应说明的事项</w:t>
      </w:r>
    </w:p>
    <w:p w14:paraId="05A54295">
      <w:pPr>
        <w:widowControl w:val="0"/>
        <w:jc w:val="both"/>
        <w:rPr>
          <w:rFonts w:hint="eastAsia" w:ascii="黑体" w:hAnsi="黑体" w:eastAsia="黑体" w:cs="黑体"/>
          <w:color w:val="auto"/>
          <w:kern w:val="2"/>
          <w:sz w:val="20"/>
          <w:szCs w:val="22"/>
          <w:highlight w:val="none"/>
          <w:lang w:val="en-US" w:eastAsia="zh-CN" w:bidi="ar-SA"/>
        </w:rPr>
      </w:pPr>
    </w:p>
    <w:p w14:paraId="3D6B43F7">
      <w:pPr>
        <w:keepNext/>
        <w:keepLines/>
        <w:autoSpaceDE w:val="0"/>
        <w:autoSpaceDN w:val="0"/>
        <w:adjustRightInd w:val="0"/>
        <w:spacing w:line="360" w:lineRule="auto"/>
        <w:jc w:val="center"/>
        <w:outlineLvl w:val="9"/>
        <w:rPr>
          <w:rFonts w:hint="eastAsia" w:ascii="黑体" w:hAnsi="黑体" w:eastAsia="黑体" w:cs="黑体"/>
          <w:b w:val="0"/>
          <w:bCs/>
          <w:color w:val="auto"/>
          <w:kern w:val="0"/>
          <w:sz w:val="24"/>
          <w:szCs w:val="24"/>
          <w:highlight w:val="none"/>
          <w:shd w:val="clear" w:color="auto" w:fill="FFFFFF"/>
        </w:rPr>
      </w:pPr>
      <w:r>
        <w:rPr>
          <w:rFonts w:hint="eastAsia" w:ascii="黑体" w:hAnsi="黑体" w:eastAsia="黑体" w:cs="黑体"/>
          <w:b w:val="0"/>
          <w:bCs/>
          <w:color w:val="auto"/>
          <w:kern w:val="0"/>
          <w:sz w:val="24"/>
          <w:szCs w:val="24"/>
          <w:highlight w:val="none"/>
          <w:shd w:val="clear" w:color="auto" w:fill="FFFFFF"/>
        </w:rPr>
        <w:t>投标人认为有必要说明的其他内容。</w:t>
      </w:r>
    </w:p>
    <w:p w14:paraId="78C74B8D">
      <w:pPr>
        <w:keepNext/>
        <w:keepLines/>
        <w:autoSpaceDE w:val="0"/>
        <w:autoSpaceDN w:val="0"/>
        <w:adjustRightInd w:val="0"/>
        <w:spacing w:line="360" w:lineRule="auto"/>
        <w:jc w:val="center"/>
        <w:outlineLvl w:val="9"/>
        <w:rPr>
          <w:rFonts w:hint="eastAsia" w:ascii="黑体" w:hAnsi="黑体" w:eastAsia="黑体" w:cs="黑体"/>
          <w:b/>
          <w:color w:val="auto"/>
          <w:kern w:val="0"/>
          <w:sz w:val="28"/>
          <w:szCs w:val="28"/>
          <w:highlight w:val="none"/>
          <w:shd w:val="clear" w:color="auto" w:fill="FFFFFF"/>
        </w:rPr>
      </w:pPr>
    </w:p>
    <w:p w14:paraId="21CD1287">
      <w:pPr>
        <w:keepNext/>
        <w:keepLines/>
        <w:autoSpaceDE w:val="0"/>
        <w:autoSpaceDN w:val="0"/>
        <w:adjustRightInd w:val="0"/>
        <w:spacing w:line="360" w:lineRule="auto"/>
        <w:jc w:val="center"/>
        <w:outlineLvl w:val="9"/>
        <w:rPr>
          <w:rFonts w:hint="eastAsia" w:ascii="黑体" w:hAnsi="黑体" w:eastAsia="黑体" w:cs="黑体"/>
          <w:b/>
          <w:color w:val="auto"/>
          <w:kern w:val="0"/>
          <w:sz w:val="28"/>
          <w:szCs w:val="28"/>
          <w:highlight w:val="none"/>
          <w:shd w:val="clear" w:color="auto" w:fill="FFFFFF"/>
        </w:rPr>
      </w:pPr>
    </w:p>
    <w:p w14:paraId="2B430F68">
      <w:pPr>
        <w:widowControl/>
        <w:spacing w:before="100" w:beforeAutospacing="1" w:after="100" w:afterAutospacing="1" w:line="360" w:lineRule="auto"/>
        <w:rPr>
          <w:rFonts w:hint="eastAsia" w:ascii="黑体" w:hAnsi="黑体" w:eastAsia="黑体" w:cs="黑体"/>
          <w:color w:val="auto"/>
          <w:sz w:val="20"/>
          <w:szCs w:val="22"/>
          <w:highlight w:val="none"/>
        </w:rPr>
      </w:pPr>
    </w:p>
    <w:p w14:paraId="3AD618FA">
      <w:pPr>
        <w:widowControl w:val="0"/>
        <w:autoSpaceDE w:val="0"/>
        <w:autoSpaceDN w:val="0"/>
        <w:adjustRightInd w:val="0"/>
        <w:spacing w:line="360" w:lineRule="auto"/>
        <w:ind w:firstLine="0"/>
        <w:jc w:val="left"/>
        <w:rPr>
          <w:rFonts w:hint="eastAsia" w:ascii="黑体" w:hAnsi="黑体" w:eastAsia="黑体" w:cs="黑体"/>
          <w:color w:val="auto"/>
          <w:kern w:val="0"/>
          <w:sz w:val="28"/>
          <w:szCs w:val="28"/>
          <w:highlight w:val="none"/>
          <w:lang w:val="en-US" w:eastAsia="zh-CN" w:bidi="ar-SA"/>
        </w:rPr>
      </w:pPr>
    </w:p>
    <w:p w14:paraId="2026D54C">
      <w:pPr>
        <w:pStyle w:val="23"/>
        <w:rPr>
          <w:rFonts w:hint="eastAsia" w:ascii="黑体" w:hAnsi="黑体" w:eastAsia="黑体" w:cs="黑体"/>
          <w:color w:val="auto"/>
          <w:sz w:val="20"/>
          <w:szCs w:val="22"/>
          <w:highlight w:val="none"/>
        </w:rPr>
      </w:pPr>
    </w:p>
    <w:sectPr>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decorative"/>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20B0500000000000000"/>
    <w:charset w:val="00"/>
    <w:family w:val="decorative"/>
    <w:pitch w:val="default"/>
    <w:sig w:usb0="00000000" w:usb1="00000000" w:usb2="00000000" w:usb3="00000000" w:csb0="00000001" w:csb1="00000000"/>
  </w:font>
  <w:font w:name="长城仿宋">
    <w:altName w:val="宋体"/>
    <w:panose1 w:val="00000000000000000000"/>
    <w:charset w:val="86"/>
    <w:family w:val="swiss"/>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9CEA">
    <w:pPr>
      <w:pStyle w:val="34"/>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1E5C5727">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015E">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FE416">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3FE416">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612B">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D4FBD">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CD4FBD">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AA0B">
    <w:pPr>
      <w:pStyle w:val="34"/>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D671B">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1D671B">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8642">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F43DC">
                          <w:pPr>
                            <w:pStyle w:val="3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1F43DC">
                    <w:pPr>
                      <w:pStyle w:val="3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2617">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3172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893172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p w14:paraId="731353CB">
    <w:pPr>
      <w:pStyle w:val="34"/>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2DAB">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B73AD">
                          <w:pPr>
                            <w:pStyle w:val="3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1B73AD">
                    <w:pPr>
                      <w:pStyle w:val="3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1864">
    <w:pPr>
      <w:pStyle w:val="35"/>
      <w:pBdr>
        <w:bottom w:val="none" w:color="auto" w:sz="0" w:space="1"/>
      </w:pBdr>
      <w:tabs>
        <w:tab w:val="left" w:pos="7400"/>
        <w:tab w:val="clear" w:pos="4153"/>
        <w:tab w:val="clear" w:pos="8306"/>
      </w:tabs>
      <w:jc w:val="left"/>
      <w:rPr>
        <w:rFonts w:hint="eastAsia" w:eastAsia="Arial Unicode MS"/>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04C8">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943B">
    <w:pPr>
      <w:pStyle w:val="35"/>
      <w:pBdr>
        <w:bottom w:val="none" w:color="auto" w:sz="0" w:space="1"/>
      </w:pBdr>
      <w:ind w:right="18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5B7D"/>
  <w:p w14:paraId="1BC9E0A7">
    <w:pPr>
      <w:pStyle w:val="3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1FC4D5D"/>
    <w:multiLevelType w:val="singleLevel"/>
    <w:tmpl w:val="81FC4D5D"/>
    <w:lvl w:ilvl="0" w:tentative="0">
      <w:start w:val="1"/>
      <w:numFmt w:val="chineseCounting"/>
      <w:suff w:val="nothing"/>
      <w:lvlText w:val="%1、"/>
      <w:lvlJc w:val="left"/>
      <w:rPr>
        <w:rFonts w:hint="eastAsia"/>
      </w:rPr>
    </w:lvl>
  </w:abstractNum>
  <w:abstractNum w:abstractNumId="1">
    <w:nsid w:val="9432A548"/>
    <w:multiLevelType w:val="singleLevel"/>
    <w:tmpl w:val="9432A548"/>
    <w:lvl w:ilvl="0" w:tentative="0">
      <w:start w:val="1"/>
      <w:numFmt w:val="chineseCounting"/>
      <w:suff w:val="space"/>
      <w:lvlText w:val="第%1章"/>
      <w:lvlJc w:val="left"/>
      <w:rPr>
        <w:rFonts w:hint="eastAsia"/>
      </w:rPr>
    </w:lvl>
  </w:abstractNum>
  <w:abstractNum w:abstractNumId="2">
    <w:nsid w:val="CFC361A4"/>
    <w:multiLevelType w:val="singleLevel"/>
    <w:tmpl w:val="CFC361A4"/>
    <w:lvl w:ilvl="0" w:tentative="0">
      <w:start w:val="1"/>
      <w:numFmt w:val="decimal"/>
      <w:suff w:val="nothing"/>
      <w:lvlText w:val="（%1）"/>
      <w:lvlJc w:val="left"/>
    </w:lvl>
  </w:abstractNum>
  <w:abstractNum w:abstractNumId="3">
    <w:nsid w:val="D77BB83C"/>
    <w:multiLevelType w:val="singleLevel"/>
    <w:tmpl w:val="D77BB83C"/>
    <w:lvl w:ilvl="0" w:tentative="0">
      <w:start w:val="5"/>
      <w:numFmt w:val="chineseCounting"/>
      <w:suff w:val="space"/>
      <w:lvlText w:val="第%1章"/>
      <w:lvlJc w:val="left"/>
      <w:rPr>
        <w:rFonts w:hint="eastAsia"/>
      </w:rPr>
    </w:lvl>
  </w:abstractNum>
  <w:abstractNum w:abstractNumId="4">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5">
    <w:nsid w:val="FA2D3D5B"/>
    <w:multiLevelType w:val="singleLevel"/>
    <w:tmpl w:val="FA2D3D5B"/>
    <w:lvl w:ilvl="0" w:tentative="0">
      <w:start w:val="30"/>
      <w:numFmt w:val="decimal"/>
      <w:suff w:val="space"/>
      <w:lvlText w:val="%1."/>
      <w:lvlJc w:val="left"/>
    </w:lvl>
  </w:abstractNum>
  <w:abstractNum w:abstractNumId="6">
    <w:nsid w:val="FE00CD7B"/>
    <w:multiLevelType w:val="singleLevel"/>
    <w:tmpl w:val="FE00CD7B"/>
    <w:lvl w:ilvl="0" w:tentative="0">
      <w:start w:val="5"/>
      <w:numFmt w:val="chineseCounting"/>
      <w:suff w:val="nothing"/>
      <w:lvlText w:val="%1、"/>
      <w:lvlJc w:val="left"/>
      <w:rPr>
        <w:rFonts w:hint="eastAsia"/>
      </w:rPr>
    </w:lvl>
  </w:abstractNum>
  <w:abstractNum w:abstractNumId="7">
    <w:nsid w:val="0000000E"/>
    <w:multiLevelType w:val="multilevel"/>
    <w:tmpl w:val="0000000E"/>
    <w:lvl w:ilvl="0" w:tentative="0">
      <w:start w:val="1"/>
      <w:numFmt w:val="decimal"/>
      <w:pStyle w:val="97"/>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6"/>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1035497F"/>
    <w:multiLevelType w:val="singleLevel"/>
    <w:tmpl w:val="1035497F"/>
    <w:lvl w:ilvl="0" w:tentative="0">
      <w:start w:val="5"/>
      <w:numFmt w:val="decimal"/>
      <w:suff w:val="space"/>
      <w:lvlText w:val="%1."/>
      <w:lvlJc w:val="left"/>
    </w:lvl>
  </w:abstractNum>
  <w:abstractNum w:abstractNumId="11">
    <w:nsid w:val="518E05BC"/>
    <w:multiLevelType w:val="multilevel"/>
    <w:tmpl w:val="518E05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7AA372"/>
    <w:multiLevelType w:val="singleLevel"/>
    <w:tmpl w:val="537AA372"/>
    <w:lvl w:ilvl="0" w:tentative="0">
      <w:start w:val="21"/>
      <w:numFmt w:val="decimal"/>
      <w:suff w:val="space"/>
      <w:lvlText w:val="%1."/>
      <w:lvlJc w:val="left"/>
    </w:lvl>
  </w:abstractNum>
  <w:abstractNum w:abstractNumId="13">
    <w:nsid w:val="624D1350"/>
    <w:multiLevelType w:val="singleLevel"/>
    <w:tmpl w:val="624D1350"/>
    <w:lvl w:ilvl="0" w:tentative="0">
      <w:start w:val="25"/>
      <w:numFmt w:val="decimal"/>
      <w:suff w:val="space"/>
      <w:lvlText w:val="%1."/>
      <w:lvlJc w:val="left"/>
    </w:lvl>
  </w:abstractNum>
  <w:abstractNum w:abstractNumId="14">
    <w:nsid w:val="6CEA2025"/>
    <w:multiLevelType w:val="multilevel"/>
    <w:tmpl w:val="6CEA2025"/>
    <w:lvl w:ilvl="0" w:tentative="0">
      <w:start w:val="1"/>
      <w:numFmt w:val="none"/>
      <w:pStyle w:val="244"/>
      <w:suff w:val="nothing"/>
      <w:lvlText w:val="%1"/>
      <w:lvlJc w:val="left"/>
      <w:pPr>
        <w:ind w:left="0" w:firstLine="0"/>
      </w:pPr>
      <w:rPr>
        <w:rFonts w:hint="default" w:ascii="Times New Roman" w:hAnsi="Times New Roman"/>
        <w:b/>
        <w:i w:val="0"/>
        <w:sz w:val="21"/>
      </w:rPr>
    </w:lvl>
    <w:lvl w:ilvl="1" w:tentative="0">
      <w:start w:val="1"/>
      <w:numFmt w:val="decimal"/>
      <w:pStyle w:val="245"/>
      <w:suff w:val="nothing"/>
      <w:lvlText w:val="%1%2　"/>
      <w:lvlJc w:val="left"/>
      <w:pPr>
        <w:ind w:left="315" w:firstLine="0"/>
      </w:pPr>
      <w:rPr>
        <w:rFonts w:hint="eastAsia" w:ascii="黑体" w:hAnsi="Times New Roman" w:eastAsia="黑体"/>
        <w:b w:val="0"/>
        <w:i w:val="0"/>
        <w:sz w:val="21"/>
      </w:rPr>
    </w:lvl>
    <w:lvl w:ilvl="2" w:tentative="0">
      <w:start w:val="1"/>
      <w:numFmt w:val="decimal"/>
      <w:pStyle w:val="246"/>
      <w:suff w:val="nothing"/>
      <w:lvlText w:val="%1%2.%3　"/>
      <w:lvlJc w:val="left"/>
      <w:pPr>
        <w:ind w:left="630" w:firstLine="0"/>
      </w:pPr>
      <w:rPr>
        <w:rFonts w:hint="eastAsia" w:ascii="黑体" w:hAnsi="Times New Roman" w:eastAsia="黑体"/>
        <w:b w:val="0"/>
        <w:i w:val="0"/>
        <w:sz w:val="21"/>
      </w:rPr>
    </w:lvl>
    <w:lvl w:ilvl="3" w:tentative="0">
      <w:start w:val="1"/>
      <w:numFmt w:val="decimal"/>
      <w:pStyle w:val="247"/>
      <w:suff w:val="nothing"/>
      <w:lvlText w:val="%1%2.%3.%4　"/>
      <w:lvlJc w:val="left"/>
      <w:pPr>
        <w:ind w:left="567" w:firstLine="0"/>
      </w:pPr>
      <w:rPr>
        <w:rFonts w:hint="eastAsia" w:ascii="黑体" w:hAnsi="Times New Roman" w:eastAsia="黑体"/>
        <w:b w:val="0"/>
        <w:i w:val="0"/>
        <w:sz w:val="21"/>
      </w:rPr>
    </w:lvl>
    <w:lvl w:ilvl="4" w:tentative="0">
      <w:start w:val="1"/>
      <w:numFmt w:val="decimal"/>
      <w:pStyle w:val="249"/>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0"/>
      <w:suff w:val="nothing"/>
      <w:lvlText w:val="%1%2.%3.%4.%5.%6　"/>
      <w:lvlJc w:val="left"/>
      <w:pPr>
        <w:ind w:left="0" w:firstLine="0"/>
      </w:pPr>
      <w:rPr>
        <w:rFonts w:hint="eastAsia" w:ascii="黑体" w:hAnsi="Times New Roman" w:eastAsia="黑体"/>
        <w:b w:val="0"/>
        <w:i w:val="0"/>
        <w:sz w:val="21"/>
      </w:rPr>
    </w:lvl>
    <w:lvl w:ilvl="6" w:tentative="0">
      <w:start w:val="1"/>
      <w:numFmt w:val="decimal"/>
      <w:pStyle w:val="2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76933334"/>
    <w:multiLevelType w:val="multilevel"/>
    <w:tmpl w:val="76933334"/>
    <w:lvl w:ilvl="0" w:tentative="0">
      <w:start w:val="1"/>
      <w:numFmt w:val="none"/>
      <w:pStyle w:val="2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14"/>
  </w:num>
  <w:num w:numId="4">
    <w:abstractNumId w:val="15"/>
  </w:num>
  <w:num w:numId="5">
    <w:abstractNumId w:val="1"/>
  </w:num>
  <w:num w:numId="6">
    <w:abstractNumId w:val="2"/>
  </w:num>
  <w:num w:numId="7">
    <w:abstractNumId w:val="10"/>
  </w:num>
  <w:num w:numId="8">
    <w:abstractNumId w:val="4"/>
  </w:num>
  <w:num w:numId="9">
    <w:abstractNumId w:val="12"/>
  </w:num>
  <w:num w:numId="10">
    <w:abstractNumId w:val="13"/>
  </w:num>
  <w:num w:numId="11">
    <w:abstractNumId w:val="9"/>
  </w:num>
  <w:num w:numId="12">
    <w:abstractNumId w:val="5"/>
  </w:num>
  <w:num w:numId="13">
    <w:abstractNumId w:val="0"/>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dit="trackedChanges" w:enforcement="1" w:cryptProviderType="rsaFull" w:cryptAlgorithmClass="hash" w:cryptAlgorithmType="typeAny" w:cryptAlgorithmSid="4" w:cryptSpinCount="0" w:hash="jlP6Z9ZtWJVBVkIZ+8CBCpCEcxY=" w:salt="Ze7SWILVj8CGpoUB/D4JAw=="/>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GE0YjFkZTg3NDkwNGUxMTAxOGUwODU0MDg2MWEifQ=="/>
  </w:docVars>
  <w:rsids>
    <w:rsidRoot w:val="00172A27"/>
    <w:rsid w:val="000076EB"/>
    <w:rsid w:val="00010824"/>
    <w:rsid w:val="00011C69"/>
    <w:rsid w:val="00017F4A"/>
    <w:rsid w:val="00024AFE"/>
    <w:rsid w:val="000262D0"/>
    <w:rsid w:val="000306C0"/>
    <w:rsid w:val="0003167F"/>
    <w:rsid w:val="000358BC"/>
    <w:rsid w:val="00035C01"/>
    <w:rsid w:val="000360A4"/>
    <w:rsid w:val="000432ED"/>
    <w:rsid w:val="000437D5"/>
    <w:rsid w:val="00043EA6"/>
    <w:rsid w:val="000449A9"/>
    <w:rsid w:val="00047D64"/>
    <w:rsid w:val="00051DDB"/>
    <w:rsid w:val="000524DF"/>
    <w:rsid w:val="00054B59"/>
    <w:rsid w:val="000554BE"/>
    <w:rsid w:val="00060BDF"/>
    <w:rsid w:val="00065875"/>
    <w:rsid w:val="000739EC"/>
    <w:rsid w:val="00076791"/>
    <w:rsid w:val="00076874"/>
    <w:rsid w:val="000864F6"/>
    <w:rsid w:val="00090E0B"/>
    <w:rsid w:val="00091EC9"/>
    <w:rsid w:val="0009361A"/>
    <w:rsid w:val="00093935"/>
    <w:rsid w:val="0009799D"/>
    <w:rsid w:val="000A15A6"/>
    <w:rsid w:val="000A2D28"/>
    <w:rsid w:val="000A4FE6"/>
    <w:rsid w:val="000B5CCC"/>
    <w:rsid w:val="000C135C"/>
    <w:rsid w:val="000C14F9"/>
    <w:rsid w:val="000C3906"/>
    <w:rsid w:val="000C5BB6"/>
    <w:rsid w:val="000D231B"/>
    <w:rsid w:val="000D25C4"/>
    <w:rsid w:val="000D4A95"/>
    <w:rsid w:val="000D6BDC"/>
    <w:rsid w:val="000E1212"/>
    <w:rsid w:val="000E2D1B"/>
    <w:rsid w:val="000E5101"/>
    <w:rsid w:val="000E638B"/>
    <w:rsid w:val="000E64A5"/>
    <w:rsid w:val="000F3A5B"/>
    <w:rsid w:val="00100CF3"/>
    <w:rsid w:val="001019AA"/>
    <w:rsid w:val="001027AD"/>
    <w:rsid w:val="00106BC6"/>
    <w:rsid w:val="001107BE"/>
    <w:rsid w:val="00112F6D"/>
    <w:rsid w:val="0011313B"/>
    <w:rsid w:val="0012603F"/>
    <w:rsid w:val="00130EAA"/>
    <w:rsid w:val="00134EE0"/>
    <w:rsid w:val="00136E83"/>
    <w:rsid w:val="00145916"/>
    <w:rsid w:val="00145E81"/>
    <w:rsid w:val="001500A1"/>
    <w:rsid w:val="0015108F"/>
    <w:rsid w:val="00152FC9"/>
    <w:rsid w:val="0015361A"/>
    <w:rsid w:val="00153D2A"/>
    <w:rsid w:val="001618BA"/>
    <w:rsid w:val="00162B16"/>
    <w:rsid w:val="001633CE"/>
    <w:rsid w:val="001636EC"/>
    <w:rsid w:val="00167244"/>
    <w:rsid w:val="00170E92"/>
    <w:rsid w:val="00172A27"/>
    <w:rsid w:val="00173C23"/>
    <w:rsid w:val="00175102"/>
    <w:rsid w:val="00175AAF"/>
    <w:rsid w:val="00177B04"/>
    <w:rsid w:val="00181CC3"/>
    <w:rsid w:val="00183796"/>
    <w:rsid w:val="00183FC5"/>
    <w:rsid w:val="00185079"/>
    <w:rsid w:val="00185AEF"/>
    <w:rsid w:val="00187220"/>
    <w:rsid w:val="0019360A"/>
    <w:rsid w:val="00194AEF"/>
    <w:rsid w:val="00195444"/>
    <w:rsid w:val="001A091F"/>
    <w:rsid w:val="001A0AB5"/>
    <w:rsid w:val="001A2992"/>
    <w:rsid w:val="001A31AB"/>
    <w:rsid w:val="001B1B0E"/>
    <w:rsid w:val="001B1FDC"/>
    <w:rsid w:val="001B2823"/>
    <w:rsid w:val="001B354A"/>
    <w:rsid w:val="001B3620"/>
    <w:rsid w:val="001B388E"/>
    <w:rsid w:val="001B3B0E"/>
    <w:rsid w:val="001B7144"/>
    <w:rsid w:val="001C0896"/>
    <w:rsid w:val="001C1032"/>
    <w:rsid w:val="001C180D"/>
    <w:rsid w:val="001C34BB"/>
    <w:rsid w:val="001C3B26"/>
    <w:rsid w:val="001D0852"/>
    <w:rsid w:val="001D0DA4"/>
    <w:rsid w:val="001D27FA"/>
    <w:rsid w:val="001D3446"/>
    <w:rsid w:val="001D4132"/>
    <w:rsid w:val="001D5293"/>
    <w:rsid w:val="001D5FDA"/>
    <w:rsid w:val="001E06C2"/>
    <w:rsid w:val="001E0BCB"/>
    <w:rsid w:val="001E13CC"/>
    <w:rsid w:val="001E5ACA"/>
    <w:rsid w:val="001F2DA3"/>
    <w:rsid w:val="001F359D"/>
    <w:rsid w:val="001F4510"/>
    <w:rsid w:val="001F642F"/>
    <w:rsid w:val="00200AA2"/>
    <w:rsid w:val="00210A41"/>
    <w:rsid w:val="0021263B"/>
    <w:rsid w:val="0021351E"/>
    <w:rsid w:val="002156D3"/>
    <w:rsid w:val="00220DD5"/>
    <w:rsid w:val="00221104"/>
    <w:rsid w:val="00222276"/>
    <w:rsid w:val="0022476A"/>
    <w:rsid w:val="0022779B"/>
    <w:rsid w:val="0023193D"/>
    <w:rsid w:val="00237812"/>
    <w:rsid w:val="00240220"/>
    <w:rsid w:val="002407EB"/>
    <w:rsid w:val="00246479"/>
    <w:rsid w:val="00247D31"/>
    <w:rsid w:val="002527EC"/>
    <w:rsid w:val="00253BF9"/>
    <w:rsid w:val="00254E2B"/>
    <w:rsid w:val="00256471"/>
    <w:rsid w:val="0026051F"/>
    <w:rsid w:val="00262E9E"/>
    <w:rsid w:val="00264581"/>
    <w:rsid w:val="0026552B"/>
    <w:rsid w:val="002713C4"/>
    <w:rsid w:val="0027169F"/>
    <w:rsid w:val="0027314A"/>
    <w:rsid w:val="00276156"/>
    <w:rsid w:val="00277EE0"/>
    <w:rsid w:val="00280D3C"/>
    <w:rsid w:val="0028153C"/>
    <w:rsid w:val="0028435C"/>
    <w:rsid w:val="00287EF8"/>
    <w:rsid w:val="00290692"/>
    <w:rsid w:val="00290B93"/>
    <w:rsid w:val="00293DE8"/>
    <w:rsid w:val="0029438A"/>
    <w:rsid w:val="00294F2B"/>
    <w:rsid w:val="002957B2"/>
    <w:rsid w:val="002A5A2C"/>
    <w:rsid w:val="002B1655"/>
    <w:rsid w:val="002B1779"/>
    <w:rsid w:val="002B1CDB"/>
    <w:rsid w:val="002B28F2"/>
    <w:rsid w:val="002B3778"/>
    <w:rsid w:val="002B4680"/>
    <w:rsid w:val="002B46E7"/>
    <w:rsid w:val="002B5FA1"/>
    <w:rsid w:val="002B646E"/>
    <w:rsid w:val="002B648D"/>
    <w:rsid w:val="002B68F2"/>
    <w:rsid w:val="002B7042"/>
    <w:rsid w:val="002C20D3"/>
    <w:rsid w:val="002C4263"/>
    <w:rsid w:val="002D1DB2"/>
    <w:rsid w:val="002D224B"/>
    <w:rsid w:val="002D225D"/>
    <w:rsid w:val="002D45D0"/>
    <w:rsid w:val="002E0A48"/>
    <w:rsid w:val="002E321E"/>
    <w:rsid w:val="002E32E8"/>
    <w:rsid w:val="002E5A17"/>
    <w:rsid w:val="002E601A"/>
    <w:rsid w:val="002E6053"/>
    <w:rsid w:val="002F1770"/>
    <w:rsid w:val="002F2F49"/>
    <w:rsid w:val="002F2FB6"/>
    <w:rsid w:val="002F5F72"/>
    <w:rsid w:val="002F6981"/>
    <w:rsid w:val="00304929"/>
    <w:rsid w:val="003109F3"/>
    <w:rsid w:val="00310A20"/>
    <w:rsid w:val="00313379"/>
    <w:rsid w:val="003137D8"/>
    <w:rsid w:val="00323866"/>
    <w:rsid w:val="00326D08"/>
    <w:rsid w:val="00334EF7"/>
    <w:rsid w:val="00345E66"/>
    <w:rsid w:val="00353F86"/>
    <w:rsid w:val="00355C44"/>
    <w:rsid w:val="00360836"/>
    <w:rsid w:val="00367444"/>
    <w:rsid w:val="003703B4"/>
    <w:rsid w:val="00371400"/>
    <w:rsid w:val="0037250B"/>
    <w:rsid w:val="00373E63"/>
    <w:rsid w:val="0037458F"/>
    <w:rsid w:val="0037471E"/>
    <w:rsid w:val="003778AA"/>
    <w:rsid w:val="003803CD"/>
    <w:rsid w:val="003816EF"/>
    <w:rsid w:val="003832AF"/>
    <w:rsid w:val="00383DEC"/>
    <w:rsid w:val="00387748"/>
    <w:rsid w:val="0039011E"/>
    <w:rsid w:val="00394350"/>
    <w:rsid w:val="003A02D7"/>
    <w:rsid w:val="003A0A59"/>
    <w:rsid w:val="003A2929"/>
    <w:rsid w:val="003A4DF7"/>
    <w:rsid w:val="003C1B37"/>
    <w:rsid w:val="003C5F20"/>
    <w:rsid w:val="003D08D2"/>
    <w:rsid w:val="003D1432"/>
    <w:rsid w:val="003D378B"/>
    <w:rsid w:val="003D6CC0"/>
    <w:rsid w:val="003D6F83"/>
    <w:rsid w:val="003E0455"/>
    <w:rsid w:val="003E2B07"/>
    <w:rsid w:val="003E6091"/>
    <w:rsid w:val="003E6268"/>
    <w:rsid w:val="003E6601"/>
    <w:rsid w:val="003F0D53"/>
    <w:rsid w:val="003F1C98"/>
    <w:rsid w:val="00400098"/>
    <w:rsid w:val="00400609"/>
    <w:rsid w:val="00402745"/>
    <w:rsid w:val="0040289E"/>
    <w:rsid w:val="004035B3"/>
    <w:rsid w:val="00404D14"/>
    <w:rsid w:val="00410849"/>
    <w:rsid w:val="00417948"/>
    <w:rsid w:val="00421C0B"/>
    <w:rsid w:val="004226E9"/>
    <w:rsid w:val="004247BB"/>
    <w:rsid w:val="00424FDA"/>
    <w:rsid w:val="00424FED"/>
    <w:rsid w:val="00425851"/>
    <w:rsid w:val="00425E9F"/>
    <w:rsid w:val="00427494"/>
    <w:rsid w:val="0043286E"/>
    <w:rsid w:val="00436ED4"/>
    <w:rsid w:val="00441E37"/>
    <w:rsid w:val="00442A84"/>
    <w:rsid w:val="00443C15"/>
    <w:rsid w:val="00445200"/>
    <w:rsid w:val="00445F6C"/>
    <w:rsid w:val="00451576"/>
    <w:rsid w:val="00457A36"/>
    <w:rsid w:val="00465B46"/>
    <w:rsid w:val="00467B48"/>
    <w:rsid w:val="0047107E"/>
    <w:rsid w:val="004913AE"/>
    <w:rsid w:val="00494A82"/>
    <w:rsid w:val="004A0A68"/>
    <w:rsid w:val="004A22EA"/>
    <w:rsid w:val="004A4BC1"/>
    <w:rsid w:val="004A6CB2"/>
    <w:rsid w:val="004B012C"/>
    <w:rsid w:val="004B3DE7"/>
    <w:rsid w:val="004B4658"/>
    <w:rsid w:val="004B498E"/>
    <w:rsid w:val="004B631E"/>
    <w:rsid w:val="004C2993"/>
    <w:rsid w:val="004D3A80"/>
    <w:rsid w:val="004D4054"/>
    <w:rsid w:val="004D5228"/>
    <w:rsid w:val="004E0461"/>
    <w:rsid w:val="004E069A"/>
    <w:rsid w:val="004E29FD"/>
    <w:rsid w:val="004F4B90"/>
    <w:rsid w:val="004F70BB"/>
    <w:rsid w:val="00500014"/>
    <w:rsid w:val="0050046A"/>
    <w:rsid w:val="00504579"/>
    <w:rsid w:val="00504DD9"/>
    <w:rsid w:val="00505D0E"/>
    <w:rsid w:val="005118AC"/>
    <w:rsid w:val="00512012"/>
    <w:rsid w:val="005120B4"/>
    <w:rsid w:val="00520A9F"/>
    <w:rsid w:val="00521994"/>
    <w:rsid w:val="005224F6"/>
    <w:rsid w:val="005303D0"/>
    <w:rsid w:val="00531619"/>
    <w:rsid w:val="00533DBA"/>
    <w:rsid w:val="005349DD"/>
    <w:rsid w:val="00543323"/>
    <w:rsid w:val="00553423"/>
    <w:rsid w:val="00562743"/>
    <w:rsid w:val="00562ACD"/>
    <w:rsid w:val="00562C82"/>
    <w:rsid w:val="00563274"/>
    <w:rsid w:val="0057296E"/>
    <w:rsid w:val="00572DA7"/>
    <w:rsid w:val="00573153"/>
    <w:rsid w:val="00573C62"/>
    <w:rsid w:val="00574517"/>
    <w:rsid w:val="00594BFB"/>
    <w:rsid w:val="005A0D27"/>
    <w:rsid w:val="005A2B5F"/>
    <w:rsid w:val="005A3176"/>
    <w:rsid w:val="005A3911"/>
    <w:rsid w:val="005A70E2"/>
    <w:rsid w:val="005B0EE1"/>
    <w:rsid w:val="005B3A89"/>
    <w:rsid w:val="005B4961"/>
    <w:rsid w:val="005C1347"/>
    <w:rsid w:val="005C2FC9"/>
    <w:rsid w:val="005C32D0"/>
    <w:rsid w:val="005C49D3"/>
    <w:rsid w:val="005C75CD"/>
    <w:rsid w:val="005D0DAD"/>
    <w:rsid w:val="005D30DB"/>
    <w:rsid w:val="005D3236"/>
    <w:rsid w:val="005D391F"/>
    <w:rsid w:val="005D5FB3"/>
    <w:rsid w:val="005D626C"/>
    <w:rsid w:val="005E226F"/>
    <w:rsid w:val="005E62A2"/>
    <w:rsid w:val="005E725B"/>
    <w:rsid w:val="005F2153"/>
    <w:rsid w:val="005F5F4A"/>
    <w:rsid w:val="005F65DF"/>
    <w:rsid w:val="005F7683"/>
    <w:rsid w:val="00610176"/>
    <w:rsid w:val="0061372B"/>
    <w:rsid w:val="006274CA"/>
    <w:rsid w:val="0062765A"/>
    <w:rsid w:val="0063060A"/>
    <w:rsid w:val="00630C07"/>
    <w:rsid w:val="00630C0C"/>
    <w:rsid w:val="0063347C"/>
    <w:rsid w:val="0064266B"/>
    <w:rsid w:val="0064389C"/>
    <w:rsid w:val="00643C14"/>
    <w:rsid w:val="00651B51"/>
    <w:rsid w:val="0065448D"/>
    <w:rsid w:val="006561CA"/>
    <w:rsid w:val="0065724B"/>
    <w:rsid w:val="00660AD9"/>
    <w:rsid w:val="00661C43"/>
    <w:rsid w:val="006632FD"/>
    <w:rsid w:val="0066575C"/>
    <w:rsid w:val="00670409"/>
    <w:rsid w:val="0067503A"/>
    <w:rsid w:val="00675BB2"/>
    <w:rsid w:val="00682569"/>
    <w:rsid w:val="00682FE4"/>
    <w:rsid w:val="00684CC0"/>
    <w:rsid w:val="00685847"/>
    <w:rsid w:val="006859E8"/>
    <w:rsid w:val="00690C13"/>
    <w:rsid w:val="00691990"/>
    <w:rsid w:val="00692EB7"/>
    <w:rsid w:val="00694AD5"/>
    <w:rsid w:val="006A414E"/>
    <w:rsid w:val="006A5F7C"/>
    <w:rsid w:val="006A6858"/>
    <w:rsid w:val="006A7003"/>
    <w:rsid w:val="006B00F6"/>
    <w:rsid w:val="006B04A5"/>
    <w:rsid w:val="006C0DD3"/>
    <w:rsid w:val="006C20DF"/>
    <w:rsid w:val="006C3F78"/>
    <w:rsid w:val="006C6120"/>
    <w:rsid w:val="006C7DB2"/>
    <w:rsid w:val="006D02B6"/>
    <w:rsid w:val="006D2517"/>
    <w:rsid w:val="006D3A51"/>
    <w:rsid w:val="006D5FD5"/>
    <w:rsid w:val="006D6999"/>
    <w:rsid w:val="006E0D37"/>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1EF7"/>
    <w:rsid w:val="007135EE"/>
    <w:rsid w:val="00716957"/>
    <w:rsid w:val="00720269"/>
    <w:rsid w:val="007219AF"/>
    <w:rsid w:val="00724552"/>
    <w:rsid w:val="007247E7"/>
    <w:rsid w:val="007249D9"/>
    <w:rsid w:val="00724A04"/>
    <w:rsid w:val="00725A24"/>
    <w:rsid w:val="0073213C"/>
    <w:rsid w:val="00733990"/>
    <w:rsid w:val="00735AA2"/>
    <w:rsid w:val="00735EA4"/>
    <w:rsid w:val="00736588"/>
    <w:rsid w:val="00740059"/>
    <w:rsid w:val="00740FB3"/>
    <w:rsid w:val="00744A89"/>
    <w:rsid w:val="00745687"/>
    <w:rsid w:val="00747962"/>
    <w:rsid w:val="0075070D"/>
    <w:rsid w:val="00751324"/>
    <w:rsid w:val="00752C78"/>
    <w:rsid w:val="007603C6"/>
    <w:rsid w:val="00762641"/>
    <w:rsid w:val="00766CBF"/>
    <w:rsid w:val="00767EB5"/>
    <w:rsid w:val="0077123A"/>
    <w:rsid w:val="0077391F"/>
    <w:rsid w:val="00777AD6"/>
    <w:rsid w:val="007820A4"/>
    <w:rsid w:val="007847E9"/>
    <w:rsid w:val="00787F49"/>
    <w:rsid w:val="00790A08"/>
    <w:rsid w:val="00797C0F"/>
    <w:rsid w:val="007A4727"/>
    <w:rsid w:val="007A5B87"/>
    <w:rsid w:val="007B3285"/>
    <w:rsid w:val="007B437F"/>
    <w:rsid w:val="007B5519"/>
    <w:rsid w:val="007C077D"/>
    <w:rsid w:val="007C4C08"/>
    <w:rsid w:val="007C5FBE"/>
    <w:rsid w:val="007C6A3F"/>
    <w:rsid w:val="007D2F26"/>
    <w:rsid w:val="007D3E75"/>
    <w:rsid w:val="007D62FB"/>
    <w:rsid w:val="007E0973"/>
    <w:rsid w:val="007E1E5B"/>
    <w:rsid w:val="007E5F14"/>
    <w:rsid w:val="007E71F5"/>
    <w:rsid w:val="007E73B0"/>
    <w:rsid w:val="007F4D32"/>
    <w:rsid w:val="008014D4"/>
    <w:rsid w:val="00801DEF"/>
    <w:rsid w:val="0080217E"/>
    <w:rsid w:val="008031F1"/>
    <w:rsid w:val="00804A4E"/>
    <w:rsid w:val="00807872"/>
    <w:rsid w:val="00817CCC"/>
    <w:rsid w:val="00823208"/>
    <w:rsid w:val="00826B74"/>
    <w:rsid w:val="00831006"/>
    <w:rsid w:val="008357E9"/>
    <w:rsid w:val="00845769"/>
    <w:rsid w:val="0084595F"/>
    <w:rsid w:val="00855B04"/>
    <w:rsid w:val="00862220"/>
    <w:rsid w:val="00864484"/>
    <w:rsid w:val="00865539"/>
    <w:rsid w:val="00867C65"/>
    <w:rsid w:val="00872B82"/>
    <w:rsid w:val="00874426"/>
    <w:rsid w:val="008761AB"/>
    <w:rsid w:val="00881621"/>
    <w:rsid w:val="00881B3A"/>
    <w:rsid w:val="008855E4"/>
    <w:rsid w:val="008861AE"/>
    <w:rsid w:val="00891178"/>
    <w:rsid w:val="008A594E"/>
    <w:rsid w:val="008B4162"/>
    <w:rsid w:val="008B4671"/>
    <w:rsid w:val="008B5C32"/>
    <w:rsid w:val="008B7216"/>
    <w:rsid w:val="008C000B"/>
    <w:rsid w:val="008C3554"/>
    <w:rsid w:val="008C4E5C"/>
    <w:rsid w:val="008C633E"/>
    <w:rsid w:val="008C7AE3"/>
    <w:rsid w:val="008D335D"/>
    <w:rsid w:val="008D4589"/>
    <w:rsid w:val="008D47E6"/>
    <w:rsid w:val="008E1587"/>
    <w:rsid w:val="008E64B8"/>
    <w:rsid w:val="008F2A45"/>
    <w:rsid w:val="008F42F1"/>
    <w:rsid w:val="008F5042"/>
    <w:rsid w:val="00902DE7"/>
    <w:rsid w:val="00904AE8"/>
    <w:rsid w:val="0091049B"/>
    <w:rsid w:val="00912229"/>
    <w:rsid w:val="00915E8C"/>
    <w:rsid w:val="00921008"/>
    <w:rsid w:val="00921EB2"/>
    <w:rsid w:val="009238F5"/>
    <w:rsid w:val="0093690A"/>
    <w:rsid w:val="0094157C"/>
    <w:rsid w:val="00945555"/>
    <w:rsid w:val="009508B4"/>
    <w:rsid w:val="00950A79"/>
    <w:rsid w:val="0095414E"/>
    <w:rsid w:val="00954420"/>
    <w:rsid w:val="00957118"/>
    <w:rsid w:val="00961697"/>
    <w:rsid w:val="0096233F"/>
    <w:rsid w:val="009633A0"/>
    <w:rsid w:val="009726E6"/>
    <w:rsid w:val="00972AD9"/>
    <w:rsid w:val="00972D74"/>
    <w:rsid w:val="00976425"/>
    <w:rsid w:val="009808B4"/>
    <w:rsid w:val="00981C1C"/>
    <w:rsid w:val="00984AF0"/>
    <w:rsid w:val="00985096"/>
    <w:rsid w:val="009864F9"/>
    <w:rsid w:val="0099054D"/>
    <w:rsid w:val="00992349"/>
    <w:rsid w:val="00994025"/>
    <w:rsid w:val="00994A20"/>
    <w:rsid w:val="009954FA"/>
    <w:rsid w:val="009A00B0"/>
    <w:rsid w:val="009B42B8"/>
    <w:rsid w:val="009B5338"/>
    <w:rsid w:val="009B5AAB"/>
    <w:rsid w:val="009B5D0A"/>
    <w:rsid w:val="009B5E2B"/>
    <w:rsid w:val="009C08A6"/>
    <w:rsid w:val="009C0994"/>
    <w:rsid w:val="009C339F"/>
    <w:rsid w:val="009C401D"/>
    <w:rsid w:val="009C7C3E"/>
    <w:rsid w:val="009D0595"/>
    <w:rsid w:val="009D1A82"/>
    <w:rsid w:val="009D1BC2"/>
    <w:rsid w:val="009D4E57"/>
    <w:rsid w:val="009E02B6"/>
    <w:rsid w:val="009E6071"/>
    <w:rsid w:val="009E695E"/>
    <w:rsid w:val="009E6BAA"/>
    <w:rsid w:val="009F19A2"/>
    <w:rsid w:val="009F56F2"/>
    <w:rsid w:val="00A02FD4"/>
    <w:rsid w:val="00A1373A"/>
    <w:rsid w:val="00A13B44"/>
    <w:rsid w:val="00A14F27"/>
    <w:rsid w:val="00A22AA7"/>
    <w:rsid w:val="00A22E4D"/>
    <w:rsid w:val="00A26715"/>
    <w:rsid w:val="00A30D88"/>
    <w:rsid w:val="00A32E49"/>
    <w:rsid w:val="00A32FE3"/>
    <w:rsid w:val="00A331AA"/>
    <w:rsid w:val="00A34F06"/>
    <w:rsid w:val="00A36093"/>
    <w:rsid w:val="00A36F6B"/>
    <w:rsid w:val="00A37966"/>
    <w:rsid w:val="00A4035F"/>
    <w:rsid w:val="00A4310B"/>
    <w:rsid w:val="00A45ECA"/>
    <w:rsid w:val="00A4696B"/>
    <w:rsid w:val="00A52C70"/>
    <w:rsid w:val="00A54166"/>
    <w:rsid w:val="00A556AC"/>
    <w:rsid w:val="00A60B1F"/>
    <w:rsid w:val="00A62048"/>
    <w:rsid w:val="00A627F3"/>
    <w:rsid w:val="00A705B5"/>
    <w:rsid w:val="00A70AB7"/>
    <w:rsid w:val="00A70B30"/>
    <w:rsid w:val="00A77387"/>
    <w:rsid w:val="00A80309"/>
    <w:rsid w:val="00A80EE8"/>
    <w:rsid w:val="00A85050"/>
    <w:rsid w:val="00A85AED"/>
    <w:rsid w:val="00A90E8D"/>
    <w:rsid w:val="00A91861"/>
    <w:rsid w:val="00AA24F4"/>
    <w:rsid w:val="00AA34DC"/>
    <w:rsid w:val="00AB0C96"/>
    <w:rsid w:val="00AB3A97"/>
    <w:rsid w:val="00AB5D9E"/>
    <w:rsid w:val="00AB762D"/>
    <w:rsid w:val="00AB7CB0"/>
    <w:rsid w:val="00AC2143"/>
    <w:rsid w:val="00AC3C7D"/>
    <w:rsid w:val="00AC5E2A"/>
    <w:rsid w:val="00AD2213"/>
    <w:rsid w:val="00AD5EA5"/>
    <w:rsid w:val="00AF0FAA"/>
    <w:rsid w:val="00AF1406"/>
    <w:rsid w:val="00AF1C97"/>
    <w:rsid w:val="00AF28CD"/>
    <w:rsid w:val="00AF7370"/>
    <w:rsid w:val="00B01945"/>
    <w:rsid w:val="00B02899"/>
    <w:rsid w:val="00B02F52"/>
    <w:rsid w:val="00B04C09"/>
    <w:rsid w:val="00B1454C"/>
    <w:rsid w:val="00B15DFE"/>
    <w:rsid w:val="00B168B4"/>
    <w:rsid w:val="00B20110"/>
    <w:rsid w:val="00B20879"/>
    <w:rsid w:val="00B21407"/>
    <w:rsid w:val="00B310FE"/>
    <w:rsid w:val="00B31F50"/>
    <w:rsid w:val="00B32028"/>
    <w:rsid w:val="00B3332D"/>
    <w:rsid w:val="00B335B1"/>
    <w:rsid w:val="00B35514"/>
    <w:rsid w:val="00B35CFD"/>
    <w:rsid w:val="00B36962"/>
    <w:rsid w:val="00B36EA2"/>
    <w:rsid w:val="00B3729D"/>
    <w:rsid w:val="00B40E3C"/>
    <w:rsid w:val="00B41AFC"/>
    <w:rsid w:val="00B422B5"/>
    <w:rsid w:val="00B42F90"/>
    <w:rsid w:val="00B46D0B"/>
    <w:rsid w:val="00B5212F"/>
    <w:rsid w:val="00B52AF4"/>
    <w:rsid w:val="00B537AA"/>
    <w:rsid w:val="00B56FF2"/>
    <w:rsid w:val="00B571FE"/>
    <w:rsid w:val="00B71397"/>
    <w:rsid w:val="00B73B7C"/>
    <w:rsid w:val="00B8179D"/>
    <w:rsid w:val="00B84903"/>
    <w:rsid w:val="00B86641"/>
    <w:rsid w:val="00B92025"/>
    <w:rsid w:val="00B93F2F"/>
    <w:rsid w:val="00B95B40"/>
    <w:rsid w:val="00B967ED"/>
    <w:rsid w:val="00B96A5E"/>
    <w:rsid w:val="00BA17CC"/>
    <w:rsid w:val="00BA3803"/>
    <w:rsid w:val="00BA6742"/>
    <w:rsid w:val="00BA7DCB"/>
    <w:rsid w:val="00BB0441"/>
    <w:rsid w:val="00BB49AB"/>
    <w:rsid w:val="00BC231E"/>
    <w:rsid w:val="00BC4FE1"/>
    <w:rsid w:val="00BC5F50"/>
    <w:rsid w:val="00BC7EEB"/>
    <w:rsid w:val="00BD203E"/>
    <w:rsid w:val="00BD2C47"/>
    <w:rsid w:val="00BD4D76"/>
    <w:rsid w:val="00BD4E36"/>
    <w:rsid w:val="00BD544C"/>
    <w:rsid w:val="00BD763B"/>
    <w:rsid w:val="00BD77D6"/>
    <w:rsid w:val="00BE049C"/>
    <w:rsid w:val="00BE0BD0"/>
    <w:rsid w:val="00BE0C40"/>
    <w:rsid w:val="00BE1CD4"/>
    <w:rsid w:val="00BE4C8A"/>
    <w:rsid w:val="00BE6D8E"/>
    <w:rsid w:val="00BF0E19"/>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FA5"/>
    <w:rsid w:val="00C53775"/>
    <w:rsid w:val="00C57033"/>
    <w:rsid w:val="00C6149A"/>
    <w:rsid w:val="00C61A4D"/>
    <w:rsid w:val="00C63FF4"/>
    <w:rsid w:val="00C650C0"/>
    <w:rsid w:val="00C72232"/>
    <w:rsid w:val="00C72612"/>
    <w:rsid w:val="00C73992"/>
    <w:rsid w:val="00C91C98"/>
    <w:rsid w:val="00C94E87"/>
    <w:rsid w:val="00C94EED"/>
    <w:rsid w:val="00C9730B"/>
    <w:rsid w:val="00C9738A"/>
    <w:rsid w:val="00CA5206"/>
    <w:rsid w:val="00CA6B7F"/>
    <w:rsid w:val="00CB198F"/>
    <w:rsid w:val="00CB3822"/>
    <w:rsid w:val="00CB450A"/>
    <w:rsid w:val="00CB5439"/>
    <w:rsid w:val="00CB689E"/>
    <w:rsid w:val="00CB694A"/>
    <w:rsid w:val="00CC0844"/>
    <w:rsid w:val="00CC0E95"/>
    <w:rsid w:val="00CC2D24"/>
    <w:rsid w:val="00CC3041"/>
    <w:rsid w:val="00CC5C3B"/>
    <w:rsid w:val="00CD26A8"/>
    <w:rsid w:val="00CD3EB4"/>
    <w:rsid w:val="00CD68B8"/>
    <w:rsid w:val="00CE11D4"/>
    <w:rsid w:val="00CE1EC9"/>
    <w:rsid w:val="00CE68B4"/>
    <w:rsid w:val="00CE768C"/>
    <w:rsid w:val="00CF5CFF"/>
    <w:rsid w:val="00CF7ED1"/>
    <w:rsid w:val="00D01379"/>
    <w:rsid w:val="00D0457D"/>
    <w:rsid w:val="00D0569E"/>
    <w:rsid w:val="00D23560"/>
    <w:rsid w:val="00D25451"/>
    <w:rsid w:val="00D27402"/>
    <w:rsid w:val="00D30536"/>
    <w:rsid w:val="00D31E4B"/>
    <w:rsid w:val="00D325EA"/>
    <w:rsid w:val="00D329D3"/>
    <w:rsid w:val="00D33E65"/>
    <w:rsid w:val="00D348C5"/>
    <w:rsid w:val="00D3565A"/>
    <w:rsid w:val="00D35AE3"/>
    <w:rsid w:val="00D361F6"/>
    <w:rsid w:val="00D411BC"/>
    <w:rsid w:val="00D41306"/>
    <w:rsid w:val="00D45F64"/>
    <w:rsid w:val="00D464C2"/>
    <w:rsid w:val="00D46526"/>
    <w:rsid w:val="00D46D55"/>
    <w:rsid w:val="00D506F5"/>
    <w:rsid w:val="00D51A3F"/>
    <w:rsid w:val="00D54273"/>
    <w:rsid w:val="00D55ADC"/>
    <w:rsid w:val="00D5689B"/>
    <w:rsid w:val="00D62DF1"/>
    <w:rsid w:val="00D667BC"/>
    <w:rsid w:val="00D676D5"/>
    <w:rsid w:val="00D67830"/>
    <w:rsid w:val="00D71514"/>
    <w:rsid w:val="00D72228"/>
    <w:rsid w:val="00D729EE"/>
    <w:rsid w:val="00D72BB3"/>
    <w:rsid w:val="00D75CAE"/>
    <w:rsid w:val="00D761EE"/>
    <w:rsid w:val="00D829AD"/>
    <w:rsid w:val="00D83EE7"/>
    <w:rsid w:val="00D852B7"/>
    <w:rsid w:val="00D860F4"/>
    <w:rsid w:val="00D8765D"/>
    <w:rsid w:val="00D91269"/>
    <w:rsid w:val="00D92486"/>
    <w:rsid w:val="00D95CFA"/>
    <w:rsid w:val="00D96F9A"/>
    <w:rsid w:val="00DA178E"/>
    <w:rsid w:val="00DA1939"/>
    <w:rsid w:val="00DA3EA5"/>
    <w:rsid w:val="00DA6A22"/>
    <w:rsid w:val="00DC0934"/>
    <w:rsid w:val="00DC59FF"/>
    <w:rsid w:val="00DD0121"/>
    <w:rsid w:val="00DD10CD"/>
    <w:rsid w:val="00DD4A74"/>
    <w:rsid w:val="00DE2228"/>
    <w:rsid w:val="00DE4818"/>
    <w:rsid w:val="00DF2F86"/>
    <w:rsid w:val="00DF4D97"/>
    <w:rsid w:val="00DF780E"/>
    <w:rsid w:val="00E04115"/>
    <w:rsid w:val="00E05A25"/>
    <w:rsid w:val="00E06BE5"/>
    <w:rsid w:val="00E07FB5"/>
    <w:rsid w:val="00E114E0"/>
    <w:rsid w:val="00E127EE"/>
    <w:rsid w:val="00E15AF4"/>
    <w:rsid w:val="00E1663B"/>
    <w:rsid w:val="00E26CB6"/>
    <w:rsid w:val="00E32C0B"/>
    <w:rsid w:val="00E33989"/>
    <w:rsid w:val="00E41A7C"/>
    <w:rsid w:val="00E41A8F"/>
    <w:rsid w:val="00E42196"/>
    <w:rsid w:val="00E43AA8"/>
    <w:rsid w:val="00E44511"/>
    <w:rsid w:val="00E470B5"/>
    <w:rsid w:val="00E547C7"/>
    <w:rsid w:val="00E6011D"/>
    <w:rsid w:val="00E66313"/>
    <w:rsid w:val="00E71EEB"/>
    <w:rsid w:val="00E757C7"/>
    <w:rsid w:val="00E75B0C"/>
    <w:rsid w:val="00E7679F"/>
    <w:rsid w:val="00E80D1E"/>
    <w:rsid w:val="00E81B72"/>
    <w:rsid w:val="00E87335"/>
    <w:rsid w:val="00E90FA3"/>
    <w:rsid w:val="00E950EE"/>
    <w:rsid w:val="00E972E9"/>
    <w:rsid w:val="00E97E29"/>
    <w:rsid w:val="00EA4AF9"/>
    <w:rsid w:val="00EB17A4"/>
    <w:rsid w:val="00EB3115"/>
    <w:rsid w:val="00EB330A"/>
    <w:rsid w:val="00EB556C"/>
    <w:rsid w:val="00EB5B56"/>
    <w:rsid w:val="00EB75AB"/>
    <w:rsid w:val="00EC4AB3"/>
    <w:rsid w:val="00EC603D"/>
    <w:rsid w:val="00EC618E"/>
    <w:rsid w:val="00ED0AEB"/>
    <w:rsid w:val="00ED12D4"/>
    <w:rsid w:val="00ED4E89"/>
    <w:rsid w:val="00EE20B7"/>
    <w:rsid w:val="00EF50B3"/>
    <w:rsid w:val="00F00998"/>
    <w:rsid w:val="00F04974"/>
    <w:rsid w:val="00F06D26"/>
    <w:rsid w:val="00F0784F"/>
    <w:rsid w:val="00F11E67"/>
    <w:rsid w:val="00F11FF6"/>
    <w:rsid w:val="00F204B5"/>
    <w:rsid w:val="00F2464A"/>
    <w:rsid w:val="00F25E73"/>
    <w:rsid w:val="00F34FD9"/>
    <w:rsid w:val="00F41DAF"/>
    <w:rsid w:val="00F462BF"/>
    <w:rsid w:val="00F52B8C"/>
    <w:rsid w:val="00F539C8"/>
    <w:rsid w:val="00F54E3A"/>
    <w:rsid w:val="00F551CA"/>
    <w:rsid w:val="00F602DF"/>
    <w:rsid w:val="00F63C74"/>
    <w:rsid w:val="00F67C33"/>
    <w:rsid w:val="00F7008C"/>
    <w:rsid w:val="00F74506"/>
    <w:rsid w:val="00F74A57"/>
    <w:rsid w:val="00F7549B"/>
    <w:rsid w:val="00F77351"/>
    <w:rsid w:val="00F81A9D"/>
    <w:rsid w:val="00F83C5D"/>
    <w:rsid w:val="00F83DAA"/>
    <w:rsid w:val="00F84DF3"/>
    <w:rsid w:val="00F854CB"/>
    <w:rsid w:val="00F86E38"/>
    <w:rsid w:val="00F9281B"/>
    <w:rsid w:val="00F92E18"/>
    <w:rsid w:val="00F95CCB"/>
    <w:rsid w:val="00FA1D2C"/>
    <w:rsid w:val="00FA1F1A"/>
    <w:rsid w:val="00FA2237"/>
    <w:rsid w:val="00FA2C5D"/>
    <w:rsid w:val="00FA5547"/>
    <w:rsid w:val="00FA5FF9"/>
    <w:rsid w:val="00FB49E3"/>
    <w:rsid w:val="00FB64AE"/>
    <w:rsid w:val="00FB7DA7"/>
    <w:rsid w:val="00FC2897"/>
    <w:rsid w:val="00FD1D93"/>
    <w:rsid w:val="00FD2F77"/>
    <w:rsid w:val="00FD2F93"/>
    <w:rsid w:val="00FD71F3"/>
    <w:rsid w:val="00FE7373"/>
    <w:rsid w:val="00FF1ECD"/>
    <w:rsid w:val="00FF28D1"/>
    <w:rsid w:val="00FF40D1"/>
    <w:rsid w:val="00FF4BEA"/>
    <w:rsid w:val="00FF6AE6"/>
    <w:rsid w:val="01064C9A"/>
    <w:rsid w:val="010B405F"/>
    <w:rsid w:val="01145609"/>
    <w:rsid w:val="01276CE6"/>
    <w:rsid w:val="01333FAA"/>
    <w:rsid w:val="01391AF7"/>
    <w:rsid w:val="01487061"/>
    <w:rsid w:val="01511A2C"/>
    <w:rsid w:val="01565C22"/>
    <w:rsid w:val="015B26E3"/>
    <w:rsid w:val="0161599A"/>
    <w:rsid w:val="017E5FA0"/>
    <w:rsid w:val="019422A6"/>
    <w:rsid w:val="01A050EF"/>
    <w:rsid w:val="01A56261"/>
    <w:rsid w:val="01A56820"/>
    <w:rsid w:val="01A70CDE"/>
    <w:rsid w:val="01B3097E"/>
    <w:rsid w:val="01B36BD0"/>
    <w:rsid w:val="01B73196"/>
    <w:rsid w:val="01CD7566"/>
    <w:rsid w:val="01D54D98"/>
    <w:rsid w:val="01DB0F21"/>
    <w:rsid w:val="01DE727F"/>
    <w:rsid w:val="01F85948"/>
    <w:rsid w:val="01FF4655"/>
    <w:rsid w:val="0200481C"/>
    <w:rsid w:val="020E2058"/>
    <w:rsid w:val="02160F0D"/>
    <w:rsid w:val="022E44A8"/>
    <w:rsid w:val="024535A0"/>
    <w:rsid w:val="02477318"/>
    <w:rsid w:val="02641C78"/>
    <w:rsid w:val="02672C3C"/>
    <w:rsid w:val="026B74AB"/>
    <w:rsid w:val="026D148F"/>
    <w:rsid w:val="02753C88"/>
    <w:rsid w:val="027A5852"/>
    <w:rsid w:val="027D1EDC"/>
    <w:rsid w:val="02873BB9"/>
    <w:rsid w:val="028B3ADB"/>
    <w:rsid w:val="028B5457"/>
    <w:rsid w:val="02984A5B"/>
    <w:rsid w:val="02AA6F17"/>
    <w:rsid w:val="02AC47F6"/>
    <w:rsid w:val="02B12E0A"/>
    <w:rsid w:val="02BA5D3C"/>
    <w:rsid w:val="02CE3596"/>
    <w:rsid w:val="02DE7C7D"/>
    <w:rsid w:val="02E24CF0"/>
    <w:rsid w:val="02E35293"/>
    <w:rsid w:val="02E5074D"/>
    <w:rsid w:val="02E6429D"/>
    <w:rsid w:val="0301396B"/>
    <w:rsid w:val="03015719"/>
    <w:rsid w:val="03127CF1"/>
    <w:rsid w:val="0313544C"/>
    <w:rsid w:val="032338E1"/>
    <w:rsid w:val="03265180"/>
    <w:rsid w:val="032A4C70"/>
    <w:rsid w:val="032E5AB3"/>
    <w:rsid w:val="03404493"/>
    <w:rsid w:val="034C2839"/>
    <w:rsid w:val="03600692"/>
    <w:rsid w:val="0370464D"/>
    <w:rsid w:val="0375667E"/>
    <w:rsid w:val="037F7749"/>
    <w:rsid w:val="03806F86"/>
    <w:rsid w:val="0380752A"/>
    <w:rsid w:val="038322B9"/>
    <w:rsid w:val="03863E70"/>
    <w:rsid w:val="038D51FF"/>
    <w:rsid w:val="03906A9D"/>
    <w:rsid w:val="03A728D3"/>
    <w:rsid w:val="03A74512"/>
    <w:rsid w:val="03A85BF6"/>
    <w:rsid w:val="03A87B05"/>
    <w:rsid w:val="03AD58A1"/>
    <w:rsid w:val="03AF786B"/>
    <w:rsid w:val="03B409DD"/>
    <w:rsid w:val="03BE360A"/>
    <w:rsid w:val="03BE7AAE"/>
    <w:rsid w:val="03DB6BF1"/>
    <w:rsid w:val="03EE2141"/>
    <w:rsid w:val="03F90AE6"/>
    <w:rsid w:val="03FB5E10"/>
    <w:rsid w:val="0400675C"/>
    <w:rsid w:val="040D1A80"/>
    <w:rsid w:val="040E27E3"/>
    <w:rsid w:val="040F20B8"/>
    <w:rsid w:val="04180992"/>
    <w:rsid w:val="04194BF9"/>
    <w:rsid w:val="0442423B"/>
    <w:rsid w:val="044A4518"/>
    <w:rsid w:val="044E688C"/>
    <w:rsid w:val="04552F71"/>
    <w:rsid w:val="045A77D7"/>
    <w:rsid w:val="04874841"/>
    <w:rsid w:val="04882551"/>
    <w:rsid w:val="049031F8"/>
    <w:rsid w:val="04A44EF6"/>
    <w:rsid w:val="04AF0DC0"/>
    <w:rsid w:val="04B04BBD"/>
    <w:rsid w:val="04C44C50"/>
    <w:rsid w:val="04C84AB0"/>
    <w:rsid w:val="04CE66EF"/>
    <w:rsid w:val="04D42CCE"/>
    <w:rsid w:val="04DD3F64"/>
    <w:rsid w:val="04DD5D12"/>
    <w:rsid w:val="04E35F2C"/>
    <w:rsid w:val="04E62E18"/>
    <w:rsid w:val="04EA6DAD"/>
    <w:rsid w:val="04F73278"/>
    <w:rsid w:val="04F96FF0"/>
    <w:rsid w:val="050B287F"/>
    <w:rsid w:val="05143E2A"/>
    <w:rsid w:val="05145BD8"/>
    <w:rsid w:val="051A0D14"/>
    <w:rsid w:val="051E6A56"/>
    <w:rsid w:val="052132CD"/>
    <w:rsid w:val="05334535"/>
    <w:rsid w:val="05341DD6"/>
    <w:rsid w:val="053718C6"/>
    <w:rsid w:val="05452235"/>
    <w:rsid w:val="05482261"/>
    <w:rsid w:val="055F2BCB"/>
    <w:rsid w:val="0563090D"/>
    <w:rsid w:val="057228FE"/>
    <w:rsid w:val="05752345"/>
    <w:rsid w:val="057B5C57"/>
    <w:rsid w:val="059C5BCD"/>
    <w:rsid w:val="05A056BD"/>
    <w:rsid w:val="05B72A07"/>
    <w:rsid w:val="05B9052D"/>
    <w:rsid w:val="05C24554"/>
    <w:rsid w:val="05C25634"/>
    <w:rsid w:val="05CA273A"/>
    <w:rsid w:val="05CA3B1B"/>
    <w:rsid w:val="05CD222A"/>
    <w:rsid w:val="05D40F8A"/>
    <w:rsid w:val="05E97CB2"/>
    <w:rsid w:val="05EC0902"/>
    <w:rsid w:val="05ED01D7"/>
    <w:rsid w:val="05F759DF"/>
    <w:rsid w:val="06007F0A"/>
    <w:rsid w:val="060D6A3B"/>
    <w:rsid w:val="06103C8B"/>
    <w:rsid w:val="061053DF"/>
    <w:rsid w:val="06193B1E"/>
    <w:rsid w:val="06233694"/>
    <w:rsid w:val="06287461"/>
    <w:rsid w:val="06383C8B"/>
    <w:rsid w:val="06450013"/>
    <w:rsid w:val="06473D8B"/>
    <w:rsid w:val="064A387B"/>
    <w:rsid w:val="06500E91"/>
    <w:rsid w:val="06565D7C"/>
    <w:rsid w:val="065D407D"/>
    <w:rsid w:val="06697925"/>
    <w:rsid w:val="067601CC"/>
    <w:rsid w:val="068154EF"/>
    <w:rsid w:val="0684775E"/>
    <w:rsid w:val="0687062B"/>
    <w:rsid w:val="068E5516"/>
    <w:rsid w:val="0694551F"/>
    <w:rsid w:val="069F5975"/>
    <w:rsid w:val="06A50AB1"/>
    <w:rsid w:val="06A74829"/>
    <w:rsid w:val="06B036DE"/>
    <w:rsid w:val="06B50CF4"/>
    <w:rsid w:val="06C6067E"/>
    <w:rsid w:val="06C70A28"/>
    <w:rsid w:val="06CA7806"/>
    <w:rsid w:val="06CB676A"/>
    <w:rsid w:val="06CE0008"/>
    <w:rsid w:val="06D5614F"/>
    <w:rsid w:val="06D86978"/>
    <w:rsid w:val="06DF18E2"/>
    <w:rsid w:val="06E94E42"/>
    <w:rsid w:val="06EB457E"/>
    <w:rsid w:val="06EC048E"/>
    <w:rsid w:val="07000960"/>
    <w:rsid w:val="0707497A"/>
    <w:rsid w:val="070B00E2"/>
    <w:rsid w:val="070B4DB8"/>
    <w:rsid w:val="070E6657"/>
    <w:rsid w:val="0712113E"/>
    <w:rsid w:val="07131B19"/>
    <w:rsid w:val="071579E5"/>
    <w:rsid w:val="07351E35"/>
    <w:rsid w:val="07394A3D"/>
    <w:rsid w:val="073B2D31"/>
    <w:rsid w:val="07404149"/>
    <w:rsid w:val="07416329"/>
    <w:rsid w:val="074861CF"/>
    <w:rsid w:val="07487DBA"/>
    <w:rsid w:val="07501B9E"/>
    <w:rsid w:val="075619C6"/>
    <w:rsid w:val="076170CE"/>
    <w:rsid w:val="076369A2"/>
    <w:rsid w:val="078D1C71"/>
    <w:rsid w:val="07A82607"/>
    <w:rsid w:val="07B76CEE"/>
    <w:rsid w:val="07CF228A"/>
    <w:rsid w:val="07D17DB0"/>
    <w:rsid w:val="07D96C64"/>
    <w:rsid w:val="07F10FB6"/>
    <w:rsid w:val="07F666B0"/>
    <w:rsid w:val="07F70367"/>
    <w:rsid w:val="07FE66CB"/>
    <w:rsid w:val="08002443"/>
    <w:rsid w:val="080041F1"/>
    <w:rsid w:val="080758CB"/>
    <w:rsid w:val="08111412"/>
    <w:rsid w:val="081F5635"/>
    <w:rsid w:val="082F4AD6"/>
    <w:rsid w:val="08326375"/>
    <w:rsid w:val="083420ED"/>
    <w:rsid w:val="0838785B"/>
    <w:rsid w:val="08415B0C"/>
    <w:rsid w:val="085602B5"/>
    <w:rsid w:val="085E53BC"/>
    <w:rsid w:val="086F1AAE"/>
    <w:rsid w:val="0870581B"/>
    <w:rsid w:val="087921F6"/>
    <w:rsid w:val="087D0B78"/>
    <w:rsid w:val="087D7F38"/>
    <w:rsid w:val="08803584"/>
    <w:rsid w:val="08874912"/>
    <w:rsid w:val="0889683A"/>
    <w:rsid w:val="089112ED"/>
    <w:rsid w:val="08AE04A4"/>
    <w:rsid w:val="08B20DB6"/>
    <w:rsid w:val="08BF5E5A"/>
    <w:rsid w:val="08D8516E"/>
    <w:rsid w:val="08E21B49"/>
    <w:rsid w:val="08E41D65"/>
    <w:rsid w:val="08E9380A"/>
    <w:rsid w:val="08EF3D5E"/>
    <w:rsid w:val="08F70C45"/>
    <w:rsid w:val="08FF0793"/>
    <w:rsid w:val="091052C2"/>
    <w:rsid w:val="0913264A"/>
    <w:rsid w:val="09177CD5"/>
    <w:rsid w:val="091B228D"/>
    <w:rsid w:val="0920129B"/>
    <w:rsid w:val="09216B15"/>
    <w:rsid w:val="09290516"/>
    <w:rsid w:val="0929192A"/>
    <w:rsid w:val="092B3F6C"/>
    <w:rsid w:val="09383E5F"/>
    <w:rsid w:val="09434CDD"/>
    <w:rsid w:val="094B3B92"/>
    <w:rsid w:val="095F763D"/>
    <w:rsid w:val="09622C8A"/>
    <w:rsid w:val="097E3F67"/>
    <w:rsid w:val="097E5D15"/>
    <w:rsid w:val="09806C85"/>
    <w:rsid w:val="09823E4D"/>
    <w:rsid w:val="09842C00"/>
    <w:rsid w:val="098721D1"/>
    <w:rsid w:val="098852A8"/>
    <w:rsid w:val="098974E3"/>
    <w:rsid w:val="098A290C"/>
    <w:rsid w:val="09905A49"/>
    <w:rsid w:val="09972D98"/>
    <w:rsid w:val="09A514F4"/>
    <w:rsid w:val="09A84B40"/>
    <w:rsid w:val="09AF78DC"/>
    <w:rsid w:val="09C53944"/>
    <w:rsid w:val="09C94AB7"/>
    <w:rsid w:val="09D04B6E"/>
    <w:rsid w:val="09E10052"/>
    <w:rsid w:val="09F65125"/>
    <w:rsid w:val="09F9539C"/>
    <w:rsid w:val="09FB64A3"/>
    <w:rsid w:val="0A002BCE"/>
    <w:rsid w:val="0A0C3321"/>
    <w:rsid w:val="0A122902"/>
    <w:rsid w:val="0A1C3C96"/>
    <w:rsid w:val="0A1E6855"/>
    <w:rsid w:val="0A227DEB"/>
    <w:rsid w:val="0A256191"/>
    <w:rsid w:val="0A3463D4"/>
    <w:rsid w:val="0A3B59B5"/>
    <w:rsid w:val="0A3E3B3F"/>
    <w:rsid w:val="0A4B18CE"/>
    <w:rsid w:val="0A517CAA"/>
    <w:rsid w:val="0A595E3B"/>
    <w:rsid w:val="0A5D1DCF"/>
    <w:rsid w:val="0A60541B"/>
    <w:rsid w:val="0A6C4B35"/>
    <w:rsid w:val="0A6D7B38"/>
    <w:rsid w:val="0A81424D"/>
    <w:rsid w:val="0A891C0E"/>
    <w:rsid w:val="0A8A4B12"/>
    <w:rsid w:val="0A9652E1"/>
    <w:rsid w:val="0AB17F49"/>
    <w:rsid w:val="0AC800D5"/>
    <w:rsid w:val="0ADB0F46"/>
    <w:rsid w:val="0AE0030A"/>
    <w:rsid w:val="0AEC6CAF"/>
    <w:rsid w:val="0AFA19A7"/>
    <w:rsid w:val="0B0D3FDC"/>
    <w:rsid w:val="0B112BB9"/>
    <w:rsid w:val="0B181252"/>
    <w:rsid w:val="0B21104E"/>
    <w:rsid w:val="0B2543AA"/>
    <w:rsid w:val="0B2D04DC"/>
    <w:rsid w:val="0B346C9C"/>
    <w:rsid w:val="0B3A2110"/>
    <w:rsid w:val="0B61144B"/>
    <w:rsid w:val="0B651CEF"/>
    <w:rsid w:val="0B671261"/>
    <w:rsid w:val="0B74283A"/>
    <w:rsid w:val="0B860EB1"/>
    <w:rsid w:val="0B867103"/>
    <w:rsid w:val="0B955598"/>
    <w:rsid w:val="0B984F01"/>
    <w:rsid w:val="0B99325A"/>
    <w:rsid w:val="0BA37CB5"/>
    <w:rsid w:val="0BA95CC5"/>
    <w:rsid w:val="0BB974D9"/>
    <w:rsid w:val="0BBC48D3"/>
    <w:rsid w:val="0BBE689D"/>
    <w:rsid w:val="0BC47C2C"/>
    <w:rsid w:val="0BD7170D"/>
    <w:rsid w:val="0BE67BA2"/>
    <w:rsid w:val="0C006EB6"/>
    <w:rsid w:val="0C013BEF"/>
    <w:rsid w:val="0C0F1CB7"/>
    <w:rsid w:val="0C1472C3"/>
    <w:rsid w:val="0C210BDA"/>
    <w:rsid w:val="0C275A89"/>
    <w:rsid w:val="0C2F779B"/>
    <w:rsid w:val="0C3721AC"/>
    <w:rsid w:val="0C37664F"/>
    <w:rsid w:val="0C547201"/>
    <w:rsid w:val="0C5B0590"/>
    <w:rsid w:val="0C632FA1"/>
    <w:rsid w:val="0C686809"/>
    <w:rsid w:val="0C735F04"/>
    <w:rsid w:val="0C767178"/>
    <w:rsid w:val="0C7E427E"/>
    <w:rsid w:val="0C803B53"/>
    <w:rsid w:val="0C864874"/>
    <w:rsid w:val="0C963376"/>
    <w:rsid w:val="0C992E66"/>
    <w:rsid w:val="0C9E222B"/>
    <w:rsid w:val="0CA77331"/>
    <w:rsid w:val="0CAC4948"/>
    <w:rsid w:val="0CBB5882"/>
    <w:rsid w:val="0CC46135"/>
    <w:rsid w:val="0CCC323C"/>
    <w:rsid w:val="0CE007C7"/>
    <w:rsid w:val="0CE500F9"/>
    <w:rsid w:val="0CF14A50"/>
    <w:rsid w:val="0CF86CA7"/>
    <w:rsid w:val="0CF91BAB"/>
    <w:rsid w:val="0D0C188A"/>
    <w:rsid w:val="0D0E73B0"/>
    <w:rsid w:val="0D132C19"/>
    <w:rsid w:val="0D186481"/>
    <w:rsid w:val="0D1F511A"/>
    <w:rsid w:val="0D3A1F53"/>
    <w:rsid w:val="0D3D7C96"/>
    <w:rsid w:val="0D5154EF"/>
    <w:rsid w:val="0D531CDF"/>
    <w:rsid w:val="0D576FA9"/>
    <w:rsid w:val="0D5B011C"/>
    <w:rsid w:val="0D5F6D5F"/>
    <w:rsid w:val="0D662D48"/>
    <w:rsid w:val="0D6D4F83"/>
    <w:rsid w:val="0DA970D9"/>
    <w:rsid w:val="0DB042E6"/>
    <w:rsid w:val="0DB461AA"/>
    <w:rsid w:val="0DBC0F94"/>
    <w:rsid w:val="0DC108C7"/>
    <w:rsid w:val="0DCA3125"/>
    <w:rsid w:val="0DD759F4"/>
    <w:rsid w:val="0DDE7F3A"/>
    <w:rsid w:val="0E0307AE"/>
    <w:rsid w:val="0E067A17"/>
    <w:rsid w:val="0E142BFA"/>
    <w:rsid w:val="0E19425F"/>
    <w:rsid w:val="0E1A3B33"/>
    <w:rsid w:val="0E2C4319"/>
    <w:rsid w:val="0E320922"/>
    <w:rsid w:val="0E364E11"/>
    <w:rsid w:val="0E416A77"/>
    <w:rsid w:val="0E494316"/>
    <w:rsid w:val="0E4B0190"/>
    <w:rsid w:val="0E4F1019"/>
    <w:rsid w:val="0E4F1A2E"/>
    <w:rsid w:val="0E540C69"/>
    <w:rsid w:val="0E5C2657"/>
    <w:rsid w:val="0E6D45AA"/>
    <w:rsid w:val="0E710DAC"/>
    <w:rsid w:val="0E76520D"/>
    <w:rsid w:val="0E827E9C"/>
    <w:rsid w:val="0E891EC0"/>
    <w:rsid w:val="0E9B2EC6"/>
    <w:rsid w:val="0E9D4E90"/>
    <w:rsid w:val="0E9E29B6"/>
    <w:rsid w:val="0EA10664"/>
    <w:rsid w:val="0EA34036"/>
    <w:rsid w:val="0EA93835"/>
    <w:rsid w:val="0EB049DF"/>
    <w:rsid w:val="0EB63F9D"/>
    <w:rsid w:val="0EB83A78"/>
    <w:rsid w:val="0EBC61DF"/>
    <w:rsid w:val="0EC73DD5"/>
    <w:rsid w:val="0ECC307F"/>
    <w:rsid w:val="0ECF1A84"/>
    <w:rsid w:val="0ECF2B5B"/>
    <w:rsid w:val="0ED137EB"/>
    <w:rsid w:val="0ED46AEA"/>
    <w:rsid w:val="0EE4486D"/>
    <w:rsid w:val="0EE52393"/>
    <w:rsid w:val="0EE54141"/>
    <w:rsid w:val="0EF600FC"/>
    <w:rsid w:val="0EF80318"/>
    <w:rsid w:val="0EFB3964"/>
    <w:rsid w:val="0F067D6F"/>
    <w:rsid w:val="0F242EBB"/>
    <w:rsid w:val="0F245037"/>
    <w:rsid w:val="0F307AB2"/>
    <w:rsid w:val="0F44530B"/>
    <w:rsid w:val="0F4470B9"/>
    <w:rsid w:val="0F470958"/>
    <w:rsid w:val="0F4F5A5E"/>
    <w:rsid w:val="0F547734"/>
    <w:rsid w:val="0F54794B"/>
    <w:rsid w:val="0F6A354E"/>
    <w:rsid w:val="0F81030D"/>
    <w:rsid w:val="0F88478D"/>
    <w:rsid w:val="0F8A44F2"/>
    <w:rsid w:val="0F927F05"/>
    <w:rsid w:val="0F953DB9"/>
    <w:rsid w:val="0F992A91"/>
    <w:rsid w:val="0F9E51C4"/>
    <w:rsid w:val="0FA4224E"/>
    <w:rsid w:val="0FA45DAA"/>
    <w:rsid w:val="0FA638D0"/>
    <w:rsid w:val="0FAE6C29"/>
    <w:rsid w:val="0FB32491"/>
    <w:rsid w:val="0FB6788B"/>
    <w:rsid w:val="0FB73DA5"/>
    <w:rsid w:val="0FC41FA8"/>
    <w:rsid w:val="0FCA42ED"/>
    <w:rsid w:val="0FCE0CDD"/>
    <w:rsid w:val="0FDA7A1E"/>
    <w:rsid w:val="0FDE2587"/>
    <w:rsid w:val="0FF46D31"/>
    <w:rsid w:val="10067FAB"/>
    <w:rsid w:val="100917CE"/>
    <w:rsid w:val="101F18D4"/>
    <w:rsid w:val="101F3682"/>
    <w:rsid w:val="10265B91"/>
    <w:rsid w:val="102E48B5"/>
    <w:rsid w:val="10326011"/>
    <w:rsid w:val="103649EC"/>
    <w:rsid w:val="10440BB3"/>
    <w:rsid w:val="104F3BE6"/>
    <w:rsid w:val="10507757"/>
    <w:rsid w:val="10541FD3"/>
    <w:rsid w:val="10545A22"/>
    <w:rsid w:val="10572E1C"/>
    <w:rsid w:val="10631162"/>
    <w:rsid w:val="10645539"/>
    <w:rsid w:val="10665B03"/>
    <w:rsid w:val="106C66A3"/>
    <w:rsid w:val="106D36EE"/>
    <w:rsid w:val="10725EA8"/>
    <w:rsid w:val="107A1082"/>
    <w:rsid w:val="109202F8"/>
    <w:rsid w:val="109E7189"/>
    <w:rsid w:val="10A63D44"/>
    <w:rsid w:val="10B22749"/>
    <w:rsid w:val="10BF1855"/>
    <w:rsid w:val="10C06C14"/>
    <w:rsid w:val="10C1473A"/>
    <w:rsid w:val="10C72BB3"/>
    <w:rsid w:val="10C75BED"/>
    <w:rsid w:val="10C85AC8"/>
    <w:rsid w:val="10E50428"/>
    <w:rsid w:val="10F62635"/>
    <w:rsid w:val="11027767"/>
    <w:rsid w:val="110A72FD"/>
    <w:rsid w:val="112A33E4"/>
    <w:rsid w:val="11357601"/>
    <w:rsid w:val="115206FB"/>
    <w:rsid w:val="11531DCE"/>
    <w:rsid w:val="11694A3B"/>
    <w:rsid w:val="1178129C"/>
    <w:rsid w:val="117D2D56"/>
    <w:rsid w:val="11837B94"/>
    <w:rsid w:val="11847C41"/>
    <w:rsid w:val="1193658F"/>
    <w:rsid w:val="11964CC3"/>
    <w:rsid w:val="11967974"/>
    <w:rsid w:val="119A6215"/>
    <w:rsid w:val="119B4F8B"/>
    <w:rsid w:val="11A77DD3"/>
    <w:rsid w:val="11AC68C7"/>
    <w:rsid w:val="11B00A36"/>
    <w:rsid w:val="11B40613"/>
    <w:rsid w:val="11B60016"/>
    <w:rsid w:val="11B81FE1"/>
    <w:rsid w:val="11BE2022"/>
    <w:rsid w:val="11D0732A"/>
    <w:rsid w:val="11D706B9"/>
    <w:rsid w:val="11D83EA2"/>
    <w:rsid w:val="11DD55A3"/>
    <w:rsid w:val="11E25AB6"/>
    <w:rsid w:val="11F254F3"/>
    <w:rsid w:val="12130FC5"/>
    <w:rsid w:val="122370C7"/>
    <w:rsid w:val="122510EE"/>
    <w:rsid w:val="122B4561"/>
    <w:rsid w:val="123A47A4"/>
    <w:rsid w:val="12405481"/>
    <w:rsid w:val="125C296C"/>
    <w:rsid w:val="127A591F"/>
    <w:rsid w:val="127C651B"/>
    <w:rsid w:val="12810624"/>
    <w:rsid w:val="128D1331"/>
    <w:rsid w:val="12A3197E"/>
    <w:rsid w:val="12A61E39"/>
    <w:rsid w:val="12AF6F40"/>
    <w:rsid w:val="12B5207C"/>
    <w:rsid w:val="12C1355D"/>
    <w:rsid w:val="12D2244C"/>
    <w:rsid w:val="12DC585B"/>
    <w:rsid w:val="12DF12DE"/>
    <w:rsid w:val="12E34E3B"/>
    <w:rsid w:val="12E60488"/>
    <w:rsid w:val="12E82452"/>
    <w:rsid w:val="12E868F3"/>
    <w:rsid w:val="12EA1EE6"/>
    <w:rsid w:val="12EF7289"/>
    <w:rsid w:val="12F554FB"/>
    <w:rsid w:val="12FD254C"/>
    <w:rsid w:val="1303728B"/>
    <w:rsid w:val="13057EB9"/>
    <w:rsid w:val="13196AAF"/>
    <w:rsid w:val="1326001B"/>
    <w:rsid w:val="132B4418"/>
    <w:rsid w:val="13331A92"/>
    <w:rsid w:val="133D7CD4"/>
    <w:rsid w:val="133F5002"/>
    <w:rsid w:val="13446422"/>
    <w:rsid w:val="134A4EBA"/>
    <w:rsid w:val="134D5A81"/>
    <w:rsid w:val="134F1A3B"/>
    <w:rsid w:val="135E0D52"/>
    <w:rsid w:val="13824654"/>
    <w:rsid w:val="13871C6A"/>
    <w:rsid w:val="13873911"/>
    <w:rsid w:val="13906D71"/>
    <w:rsid w:val="13B00D0E"/>
    <w:rsid w:val="13BF6991"/>
    <w:rsid w:val="13E4280D"/>
    <w:rsid w:val="13EB04AA"/>
    <w:rsid w:val="13EB21F9"/>
    <w:rsid w:val="13EE3A98"/>
    <w:rsid w:val="13F03DED"/>
    <w:rsid w:val="13F95DC4"/>
    <w:rsid w:val="13FA4D8C"/>
    <w:rsid w:val="141D25CF"/>
    <w:rsid w:val="141E0EF0"/>
    <w:rsid w:val="14292D22"/>
    <w:rsid w:val="142A3E2D"/>
    <w:rsid w:val="142B614F"/>
    <w:rsid w:val="142C45C0"/>
    <w:rsid w:val="143E487A"/>
    <w:rsid w:val="14470C00"/>
    <w:rsid w:val="144A7973"/>
    <w:rsid w:val="144D623B"/>
    <w:rsid w:val="145B4CD3"/>
    <w:rsid w:val="145C0341"/>
    <w:rsid w:val="14604446"/>
    <w:rsid w:val="1461070D"/>
    <w:rsid w:val="14726477"/>
    <w:rsid w:val="147541B9"/>
    <w:rsid w:val="147D6BCA"/>
    <w:rsid w:val="148937C0"/>
    <w:rsid w:val="149B4240"/>
    <w:rsid w:val="14A579FE"/>
    <w:rsid w:val="14B04463"/>
    <w:rsid w:val="14B44CE1"/>
    <w:rsid w:val="14B53101"/>
    <w:rsid w:val="14D07641"/>
    <w:rsid w:val="14D1667B"/>
    <w:rsid w:val="14DB04C0"/>
    <w:rsid w:val="14DC7D94"/>
    <w:rsid w:val="14E97EF3"/>
    <w:rsid w:val="14EB1A29"/>
    <w:rsid w:val="14F97080"/>
    <w:rsid w:val="14FB7DA2"/>
    <w:rsid w:val="150A4ED1"/>
    <w:rsid w:val="151E0C91"/>
    <w:rsid w:val="15205ED3"/>
    <w:rsid w:val="15267261"/>
    <w:rsid w:val="152803BE"/>
    <w:rsid w:val="152E5241"/>
    <w:rsid w:val="15347BD0"/>
    <w:rsid w:val="153656F6"/>
    <w:rsid w:val="153E27FD"/>
    <w:rsid w:val="154D47EE"/>
    <w:rsid w:val="15544684"/>
    <w:rsid w:val="157306F8"/>
    <w:rsid w:val="158710F3"/>
    <w:rsid w:val="158741A4"/>
    <w:rsid w:val="1589438A"/>
    <w:rsid w:val="158A5A42"/>
    <w:rsid w:val="158C17BA"/>
    <w:rsid w:val="15A815DC"/>
    <w:rsid w:val="15AB60E4"/>
    <w:rsid w:val="15B12FCF"/>
    <w:rsid w:val="15B605E5"/>
    <w:rsid w:val="15C772F3"/>
    <w:rsid w:val="15CE4C34"/>
    <w:rsid w:val="15DD5B72"/>
    <w:rsid w:val="15EC4007"/>
    <w:rsid w:val="15F0775C"/>
    <w:rsid w:val="15FE04ED"/>
    <w:rsid w:val="16007AB2"/>
    <w:rsid w:val="1606331B"/>
    <w:rsid w:val="1609105D"/>
    <w:rsid w:val="160A0AD0"/>
    <w:rsid w:val="160A0C75"/>
    <w:rsid w:val="16105B22"/>
    <w:rsid w:val="16156501"/>
    <w:rsid w:val="161A0B74"/>
    <w:rsid w:val="161F43DC"/>
    <w:rsid w:val="161F618A"/>
    <w:rsid w:val="16297009"/>
    <w:rsid w:val="1637336A"/>
    <w:rsid w:val="163A1216"/>
    <w:rsid w:val="16401732"/>
    <w:rsid w:val="164B6F7F"/>
    <w:rsid w:val="165B6F79"/>
    <w:rsid w:val="165C73DE"/>
    <w:rsid w:val="16630964"/>
    <w:rsid w:val="16663DB9"/>
    <w:rsid w:val="166B531E"/>
    <w:rsid w:val="166E5EB0"/>
    <w:rsid w:val="1673312F"/>
    <w:rsid w:val="16752DED"/>
    <w:rsid w:val="168626AD"/>
    <w:rsid w:val="16A86180"/>
    <w:rsid w:val="16AE1A74"/>
    <w:rsid w:val="16C136E5"/>
    <w:rsid w:val="16C32FBA"/>
    <w:rsid w:val="16CC523F"/>
    <w:rsid w:val="16CD3E38"/>
    <w:rsid w:val="16CF7BB0"/>
    <w:rsid w:val="16D1597E"/>
    <w:rsid w:val="16EA49EA"/>
    <w:rsid w:val="16F13C89"/>
    <w:rsid w:val="16F50974"/>
    <w:rsid w:val="16FC471D"/>
    <w:rsid w:val="16FE09A8"/>
    <w:rsid w:val="17231CAA"/>
    <w:rsid w:val="172333F2"/>
    <w:rsid w:val="17273C77"/>
    <w:rsid w:val="172C5003"/>
    <w:rsid w:val="173025A7"/>
    <w:rsid w:val="173A1BC2"/>
    <w:rsid w:val="173C1AC7"/>
    <w:rsid w:val="173E5DB7"/>
    <w:rsid w:val="173E5EAC"/>
    <w:rsid w:val="174165D4"/>
    <w:rsid w:val="174B2FAF"/>
    <w:rsid w:val="17604CAC"/>
    <w:rsid w:val="176C3651"/>
    <w:rsid w:val="176D1177"/>
    <w:rsid w:val="176E561B"/>
    <w:rsid w:val="17780248"/>
    <w:rsid w:val="17793FC0"/>
    <w:rsid w:val="177A195D"/>
    <w:rsid w:val="1783099B"/>
    <w:rsid w:val="17884B40"/>
    <w:rsid w:val="178F3BF9"/>
    <w:rsid w:val="17914727"/>
    <w:rsid w:val="17920BDE"/>
    <w:rsid w:val="179555C4"/>
    <w:rsid w:val="179B5CE4"/>
    <w:rsid w:val="17A34B99"/>
    <w:rsid w:val="17B23976"/>
    <w:rsid w:val="17CC2342"/>
    <w:rsid w:val="17CF0A4A"/>
    <w:rsid w:val="17DA4C1D"/>
    <w:rsid w:val="17E500D5"/>
    <w:rsid w:val="17F6116D"/>
    <w:rsid w:val="17FA3983"/>
    <w:rsid w:val="17FD699F"/>
    <w:rsid w:val="18024402"/>
    <w:rsid w:val="180C0990"/>
    <w:rsid w:val="180D79FC"/>
    <w:rsid w:val="181141F9"/>
    <w:rsid w:val="181D2B9D"/>
    <w:rsid w:val="1820060E"/>
    <w:rsid w:val="18205BA9"/>
    <w:rsid w:val="18370FAA"/>
    <w:rsid w:val="18375373"/>
    <w:rsid w:val="18414ADE"/>
    <w:rsid w:val="18455C50"/>
    <w:rsid w:val="18495740"/>
    <w:rsid w:val="18512847"/>
    <w:rsid w:val="18546503"/>
    <w:rsid w:val="185A5BA0"/>
    <w:rsid w:val="186E33F9"/>
    <w:rsid w:val="187622AE"/>
    <w:rsid w:val="18820C52"/>
    <w:rsid w:val="188B5D59"/>
    <w:rsid w:val="188D7D42"/>
    <w:rsid w:val="188E5849"/>
    <w:rsid w:val="18991A09"/>
    <w:rsid w:val="189F1804"/>
    <w:rsid w:val="18A77A02"/>
    <w:rsid w:val="18AA7DDB"/>
    <w:rsid w:val="18B232E6"/>
    <w:rsid w:val="18B43502"/>
    <w:rsid w:val="18BE2188"/>
    <w:rsid w:val="18BF46FE"/>
    <w:rsid w:val="18C45643"/>
    <w:rsid w:val="18CD0120"/>
    <w:rsid w:val="18D47700"/>
    <w:rsid w:val="18DD0845"/>
    <w:rsid w:val="18E16378"/>
    <w:rsid w:val="18E51EF0"/>
    <w:rsid w:val="18E67433"/>
    <w:rsid w:val="18E90CD1"/>
    <w:rsid w:val="19037FE5"/>
    <w:rsid w:val="190E461A"/>
    <w:rsid w:val="190F672D"/>
    <w:rsid w:val="19112B5C"/>
    <w:rsid w:val="19204AAD"/>
    <w:rsid w:val="19240771"/>
    <w:rsid w:val="19263BD0"/>
    <w:rsid w:val="192D5062"/>
    <w:rsid w:val="193062DF"/>
    <w:rsid w:val="19397563"/>
    <w:rsid w:val="19397B92"/>
    <w:rsid w:val="193C52A5"/>
    <w:rsid w:val="19520625"/>
    <w:rsid w:val="19575882"/>
    <w:rsid w:val="195E155B"/>
    <w:rsid w:val="1974121A"/>
    <w:rsid w:val="197E141A"/>
    <w:rsid w:val="1988673C"/>
    <w:rsid w:val="198C7FDB"/>
    <w:rsid w:val="198D3173"/>
    <w:rsid w:val="1998580B"/>
    <w:rsid w:val="19B94B48"/>
    <w:rsid w:val="19CC6629"/>
    <w:rsid w:val="19D379B8"/>
    <w:rsid w:val="19DB686C"/>
    <w:rsid w:val="19E03E83"/>
    <w:rsid w:val="19F17E3E"/>
    <w:rsid w:val="19FE0D6A"/>
    <w:rsid w:val="1A004525"/>
    <w:rsid w:val="1A0173C8"/>
    <w:rsid w:val="1A0C41D1"/>
    <w:rsid w:val="1A1B310D"/>
    <w:rsid w:val="1A332204"/>
    <w:rsid w:val="1A336BE7"/>
    <w:rsid w:val="1A3F6DFB"/>
    <w:rsid w:val="1A4408B5"/>
    <w:rsid w:val="1A612D7C"/>
    <w:rsid w:val="1A724A97"/>
    <w:rsid w:val="1A734CF7"/>
    <w:rsid w:val="1A7A0749"/>
    <w:rsid w:val="1A7F20FB"/>
    <w:rsid w:val="1A807E72"/>
    <w:rsid w:val="1A89451A"/>
    <w:rsid w:val="1A8A2A47"/>
    <w:rsid w:val="1A8B64E4"/>
    <w:rsid w:val="1A8B71ED"/>
    <w:rsid w:val="1A943933"/>
    <w:rsid w:val="1A9A29A1"/>
    <w:rsid w:val="1AA4052B"/>
    <w:rsid w:val="1AAE7662"/>
    <w:rsid w:val="1AB96F27"/>
    <w:rsid w:val="1ACE4709"/>
    <w:rsid w:val="1ACF7425"/>
    <w:rsid w:val="1AE8166C"/>
    <w:rsid w:val="1AFC2F3E"/>
    <w:rsid w:val="1AFD1CF3"/>
    <w:rsid w:val="1B16166A"/>
    <w:rsid w:val="1B4346C9"/>
    <w:rsid w:val="1B656D35"/>
    <w:rsid w:val="1B677821"/>
    <w:rsid w:val="1B6D1746"/>
    <w:rsid w:val="1B715E47"/>
    <w:rsid w:val="1B754A9E"/>
    <w:rsid w:val="1B7C7918"/>
    <w:rsid w:val="1B7F050B"/>
    <w:rsid w:val="1B852F33"/>
    <w:rsid w:val="1B944F25"/>
    <w:rsid w:val="1B9F58CE"/>
    <w:rsid w:val="1BA34A09"/>
    <w:rsid w:val="1BA81A22"/>
    <w:rsid w:val="1BAD1C9A"/>
    <w:rsid w:val="1BB2400C"/>
    <w:rsid w:val="1BB630ED"/>
    <w:rsid w:val="1BB93E83"/>
    <w:rsid w:val="1BBE6445"/>
    <w:rsid w:val="1BC644B6"/>
    <w:rsid w:val="1BD16179"/>
    <w:rsid w:val="1BD621C2"/>
    <w:rsid w:val="1BE107B4"/>
    <w:rsid w:val="1BE856B3"/>
    <w:rsid w:val="1BF9332F"/>
    <w:rsid w:val="1BFA464A"/>
    <w:rsid w:val="1C024584"/>
    <w:rsid w:val="1C202FE8"/>
    <w:rsid w:val="1C273FEB"/>
    <w:rsid w:val="1C396C15"/>
    <w:rsid w:val="1C3E30E2"/>
    <w:rsid w:val="1C444B9D"/>
    <w:rsid w:val="1C470B95"/>
    <w:rsid w:val="1C47643B"/>
    <w:rsid w:val="1C4921B3"/>
    <w:rsid w:val="1C5D5C5E"/>
    <w:rsid w:val="1C5E5533"/>
    <w:rsid w:val="1C613AB1"/>
    <w:rsid w:val="1C6A3ED7"/>
    <w:rsid w:val="1C6F14EE"/>
    <w:rsid w:val="1C734345"/>
    <w:rsid w:val="1C7865F4"/>
    <w:rsid w:val="1C8C0466"/>
    <w:rsid w:val="1C984EE8"/>
    <w:rsid w:val="1C9B0535"/>
    <w:rsid w:val="1CAD0994"/>
    <w:rsid w:val="1CB02232"/>
    <w:rsid w:val="1CB05D8E"/>
    <w:rsid w:val="1CB6536F"/>
    <w:rsid w:val="1CB810E7"/>
    <w:rsid w:val="1CB82E95"/>
    <w:rsid w:val="1CBF19E5"/>
    <w:rsid w:val="1CC41839"/>
    <w:rsid w:val="1CC854C2"/>
    <w:rsid w:val="1CCB706C"/>
    <w:rsid w:val="1CCD67FC"/>
    <w:rsid w:val="1CD24EBC"/>
    <w:rsid w:val="1CF22C47"/>
    <w:rsid w:val="1CFC0FD3"/>
    <w:rsid w:val="1CFC7225"/>
    <w:rsid w:val="1D0121D0"/>
    <w:rsid w:val="1D0460DA"/>
    <w:rsid w:val="1D090FB9"/>
    <w:rsid w:val="1D097B94"/>
    <w:rsid w:val="1D0B7468"/>
    <w:rsid w:val="1D0E034D"/>
    <w:rsid w:val="1D2579B7"/>
    <w:rsid w:val="1D2735A5"/>
    <w:rsid w:val="1D32257B"/>
    <w:rsid w:val="1D385D84"/>
    <w:rsid w:val="1D392227"/>
    <w:rsid w:val="1D3F269C"/>
    <w:rsid w:val="1D4B1F5B"/>
    <w:rsid w:val="1D5277E1"/>
    <w:rsid w:val="1D586945"/>
    <w:rsid w:val="1D5B524F"/>
    <w:rsid w:val="1D5F77B4"/>
    <w:rsid w:val="1D6D3522"/>
    <w:rsid w:val="1D6F5C49"/>
    <w:rsid w:val="1D7842C5"/>
    <w:rsid w:val="1D816169"/>
    <w:rsid w:val="1D884F5D"/>
    <w:rsid w:val="1D8F0099"/>
    <w:rsid w:val="1D94158A"/>
    <w:rsid w:val="1D952AA5"/>
    <w:rsid w:val="1D9C4564"/>
    <w:rsid w:val="1DA90A2F"/>
    <w:rsid w:val="1DAB5588"/>
    <w:rsid w:val="1DC1221D"/>
    <w:rsid w:val="1DC97EE6"/>
    <w:rsid w:val="1DD72694"/>
    <w:rsid w:val="1DDE1DE9"/>
    <w:rsid w:val="1DFA7416"/>
    <w:rsid w:val="1E0F4D36"/>
    <w:rsid w:val="1E116AEB"/>
    <w:rsid w:val="1E200CF1"/>
    <w:rsid w:val="1E2420E1"/>
    <w:rsid w:val="1E4A2212"/>
    <w:rsid w:val="1E5740C0"/>
    <w:rsid w:val="1E6F020F"/>
    <w:rsid w:val="1E764DB5"/>
    <w:rsid w:val="1E8079E2"/>
    <w:rsid w:val="1E854FF8"/>
    <w:rsid w:val="1E8B2BB4"/>
    <w:rsid w:val="1E9445B9"/>
    <w:rsid w:val="1E9B481C"/>
    <w:rsid w:val="1E9D2342"/>
    <w:rsid w:val="1EA41923"/>
    <w:rsid w:val="1EA77665"/>
    <w:rsid w:val="1EAC6A29"/>
    <w:rsid w:val="1EB53B30"/>
    <w:rsid w:val="1EBF675C"/>
    <w:rsid w:val="1ECE699F"/>
    <w:rsid w:val="1ED57D87"/>
    <w:rsid w:val="1EE95587"/>
    <w:rsid w:val="1EEC5078"/>
    <w:rsid w:val="1EF67CA4"/>
    <w:rsid w:val="1EFC175F"/>
    <w:rsid w:val="1F093E7B"/>
    <w:rsid w:val="1F0D396C"/>
    <w:rsid w:val="1F0E6A21"/>
    <w:rsid w:val="1F150595"/>
    <w:rsid w:val="1F1620F4"/>
    <w:rsid w:val="1F204D21"/>
    <w:rsid w:val="1F2962CC"/>
    <w:rsid w:val="1F2F1851"/>
    <w:rsid w:val="1F30765A"/>
    <w:rsid w:val="1F382D02"/>
    <w:rsid w:val="1F4466F6"/>
    <w:rsid w:val="1F474868"/>
    <w:rsid w:val="1F4D3D68"/>
    <w:rsid w:val="1F5224DE"/>
    <w:rsid w:val="1F572E39"/>
    <w:rsid w:val="1F5844BB"/>
    <w:rsid w:val="1F5C2EB8"/>
    <w:rsid w:val="1F603A69"/>
    <w:rsid w:val="1F63358C"/>
    <w:rsid w:val="1F645556"/>
    <w:rsid w:val="1F694DF6"/>
    <w:rsid w:val="1F7E03C6"/>
    <w:rsid w:val="1F883C9F"/>
    <w:rsid w:val="1F8F25D3"/>
    <w:rsid w:val="1F95570F"/>
    <w:rsid w:val="1F971592"/>
    <w:rsid w:val="1FA0658E"/>
    <w:rsid w:val="1FAB6CE1"/>
    <w:rsid w:val="1FB63942"/>
    <w:rsid w:val="1FB742A8"/>
    <w:rsid w:val="1FB94E27"/>
    <w:rsid w:val="1FC57DA2"/>
    <w:rsid w:val="1FD04999"/>
    <w:rsid w:val="1FD224BF"/>
    <w:rsid w:val="1FD77AD6"/>
    <w:rsid w:val="1FE763A5"/>
    <w:rsid w:val="1FF41576"/>
    <w:rsid w:val="1FF71F26"/>
    <w:rsid w:val="1FF95C9E"/>
    <w:rsid w:val="2000721F"/>
    <w:rsid w:val="200308CB"/>
    <w:rsid w:val="20062169"/>
    <w:rsid w:val="20090487"/>
    <w:rsid w:val="20140D2A"/>
    <w:rsid w:val="201725C8"/>
    <w:rsid w:val="20213D83"/>
    <w:rsid w:val="20256A93"/>
    <w:rsid w:val="202C370C"/>
    <w:rsid w:val="20322F5E"/>
    <w:rsid w:val="203411E0"/>
    <w:rsid w:val="20410095"/>
    <w:rsid w:val="204C4020"/>
    <w:rsid w:val="20521A3D"/>
    <w:rsid w:val="20601879"/>
    <w:rsid w:val="206F5F60"/>
    <w:rsid w:val="207D5D6C"/>
    <w:rsid w:val="20823EE5"/>
    <w:rsid w:val="20857532"/>
    <w:rsid w:val="20895274"/>
    <w:rsid w:val="20947775"/>
    <w:rsid w:val="20AA343C"/>
    <w:rsid w:val="20AF20C5"/>
    <w:rsid w:val="20AF2801"/>
    <w:rsid w:val="20AF559E"/>
    <w:rsid w:val="20C718F8"/>
    <w:rsid w:val="20D3029D"/>
    <w:rsid w:val="20D83B05"/>
    <w:rsid w:val="20D84DA5"/>
    <w:rsid w:val="20DB01C7"/>
    <w:rsid w:val="20EB1A8B"/>
    <w:rsid w:val="20ED7306"/>
    <w:rsid w:val="20EF0E4F"/>
    <w:rsid w:val="20F848F5"/>
    <w:rsid w:val="20F96916"/>
    <w:rsid w:val="210C7C53"/>
    <w:rsid w:val="210E7527"/>
    <w:rsid w:val="211106C5"/>
    <w:rsid w:val="21154737"/>
    <w:rsid w:val="21157358"/>
    <w:rsid w:val="212154AC"/>
    <w:rsid w:val="21431785"/>
    <w:rsid w:val="21432C86"/>
    <w:rsid w:val="214E5900"/>
    <w:rsid w:val="215C6A42"/>
    <w:rsid w:val="215E6D8B"/>
    <w:rsid w:val="215F0A1A"/>
    <w:rsid w:val="21611D4D"/>
    <w:rsid w:val="21673237"/>
    <w:rsid w:val="216B2BCB"/>
    <w:rsid w:val="216E231D"/>
    <w:rsid w:val="21722BB7"/>
    <w:rsid w:val="217365FD"/>
    <w:rsid w:val="21751354"/>
    <w:rsid w:val="21933D41"/>
    <w:rsid w:val="219E251A"/>
    <w:rsid w:val="21A67760"/>
    <w:rsid w:val="21AB121A"/>
    <w:rsid w:val="21AF0D0A"/>
    <w:rsid w:val="21B06830"/>
    <w:rsid w:val="21B87493"/>
    <w:rsid w:val="21C24F4B"/>
    <w:rsid w:val="21C66054"/>
    <w:rsid w:val="21C978F2"/>
    <w:rsid w:val="21CB366A"/>
    <w:rsid w:val="21CE721E"/>
    <w:rsid w:val="21D249F9"/>
    <w:rsid w:val="21E87D78"/>
    <w:rsid w:val="21F95169"/>
    <w:rsid w:val="220120F2"/>
    <w:rsid w:val="22071464"/>
    <w:rsid w:val="22194E4C"/>
    <w:rsid w:val="221B5860"/>
    <w:rsid w:val="221E25FF"/>
    <w:rsid w:val="22220439"/>
    <w:rsid w:val="22250FCC"/>
    <w:rsid w:val="2232235C"/>
    <w:rsid w:val="223605D5"/>
    <w:rsid w:val="223631D9"/>
    <w:rsid w:val="22394A78"/>
    <w:rsid w:val="22486A69"/>
    <w:rsid w:val="22517D69"/>
    <w:rsid w:val="22552F34"/>
    <w:rsid w:val="22715FC0"/>
    <w:rsid w:val="22796FC8"/>
    <w:rsid w:val="227B0BEC"/>
    <w:rsid w:val="22910410"/>
    <w:rsid w:val="229323DA"/>
    <w:rsid w:val="229C0B63"/>
    <w:rsid w:val="22A03651"/>
    <w:rsid w:val="22A53EBB"/>
    <w:rsid w:val="22A55C69"/>
    <w:rsid w:val="22A719E1"/>
    <w:rsid w:val="22AA7723"/>
    <w:rsid w:val="22B026D1"/>
    <w:rsid w:val="22B61C24"/>
    <w:rsid w:val="22B660C8"/>
    <w:rsid w:val="22B97967"/>
    <w:rsid w:val="22C2681B"/>
    <w:rsid w:val="22C500B9"/>
    <w:rsid w:val="22CB1BE4"/>
    <w:rsid w:val="22D02936"/>
    <w:rsid w:val="22D14CB0"/>
    <w:rsid w:val="22D77F22"/>
    <w:rsid w:val="22EC1AEA"/>
    <w:rsid w:val="22F46D8D"/>
    <w:rsid w:val="23002170"/>
    <w:rsid w:val="231E77CA"/>
    <w:rsid w:val="232128D9"/>
    <w:rsid w:val="23291785"/>
    <w:rsid w:val="232E3EB1"/>
    <w:rsid w:val="233E7DBC"/>
    <w:rsid w:val="233F1C1A"/>
    <w:rsid w:val="23445482"/>
    <w:rsid w:val="234A05BF"/>
    <w:rsid w:val="23530003"/>
    <w:rsid w:val="23627FFE"/>
    <w:rsid w:val="23694EE9"/>
    <w:rsid w:val="23710488"/>
    <w:rsid w:val="237815D0"/>
    <w:rsid w:val="237B33B2"/>
    <w:rsid w:val="237C10C0"/>
    <w:rsid w:val="2381304A"/>
    <w:rsid w:val="2385499F"/>
    <w:rsid w:val="23871813"/>
    <w:rsid w:val="2389558B"/>
    <w:rsid w:val="239C52BE"/>
    <w:rsid w:val="239D1036"/>
    <w:rsid w:val="23B048C6"/>
    <w:rsid w:val="23BA3996"/>
    <w:rsid w:val="23BB002C"/>
    <w:rsid w:val="23C33515"/>
    <w:rsid w:val="23D34A58"/>
    <w:rsid w:val="23D44908"/>
    <w:rsid w:val="23ED78C8"/>
    <w:rsid w:val="23F1680C"/>
    <w:rsid w:val="23F2473C"/>
    <w:rsid w:val="23F53C41"/>
    <w:rsid w:val="23FA3D93"/>
    <w:rsid w:val="24064638"/>
    <w:rsid w:val="241C052D"/>
    <w:rsid w:val="241C77B7"/>
    <w:rsid w:val="241E5CD3"/>
    <w:rsid w:val="24266313"/>
    <w:rsid w:val="242D5F16"/>
    <w:rsid w:val="242F7EE0"/>
    <w:rsid w:val="24341B4E"/>
    <w:rsid w:val="24376D95"/>
    <w:rsid w:val="243E15D5"/>
    <w:rsid w:val="243F5C4A"/>
    <w:rsid w:val="244B2840"/>
    <w:rsid w:val="24551238"/>
    <w:rsid w:val="245C67FB"/>
    <w:rsid w:val="246138A3"/>
    <w:rsid w:val="24653902"/>
    <w:rsid w:val="246B7699"/>
    <w:rsid w:val="246C2EE2"/>
    <w:rsid w:val="247B3126"/>
    <w:rsid w:val="24832476"/>
    <w:rsid w:val="248532A5"/>
    <w:rsid w:val="248E2DBA"/>
    <w:rsid w:val="2492046F"/>
    <w:rsid w:val="24947236"/>
    <w:rsid w:val="249E6E14"/>
    <w:rsid w:val="24AD52A9"/>
    <w:rsid w:val="24BB1774"/>
    <w:rsid w:val="24BD373E"/>
    <w:rsid w:val="24BE3012"/>
    <w:rsid w:val="24CE3A7C"/>
    <w:rsid w:val="24CF313A"/>
    <w:rsid w:val="24EF4FE0"/>
    <w:rsid w:val="24F86524"/>
    <w:rsid w:val="24FE5B05"/>
    <w:rsid w:val="25007ACF"/>
    <w:rsid w:val="25042D5D"/>
    <w:rsid w:val="250F53CE"/>
    <w:rsid w:val="25164145"/>
    <w:rsid w:val="25224672"/>
    <w:rsid w:val="25250089"/>
    <w:rsid w:val="25252A8D"/>
    <w:rsid w:val="25253091"/>
    <w:rsid w:val="253357AE"/>
    <w:rsid w:val="253544E1"/>
    <w:rsid w:val="253E66C4"/>
    <w:rsid w:val="25453243"/>
    <w:rsid w:val="255A038E"/>
    <w:rsid w:val="255C61B5"/>
    <w:rsid w:val="25754019"/>
    <w:rsid w:val="257A518B"/>
    <w:rsid w:val="257B7155"/>
    <w:rsid w:val="257F27A2"/>
    <w:rsid w:val="257F56D4"/>
    <w:rsid w:val="25826736"/>
    <w:rsid w:val="25840769"/>
    <w:rsid w:val="25841DBA"/>
    <w:rsid w:val="258B383C"/>
    <w:rsid w:val="258C3110"/>
    <w:rsid w:val="258E50DA"/>
    <w:rsid w:val="25956469"/>
    <w:rsid w:val="25A67057"/>
    <w:rsid w:val="25A751B1"/>
    <w:rsid w:val="25A95A70"/>
    <w:rsid w:val="25B85CB3"/>
    <w:rsid w:val="25C1100C"/>
    <w:rsid w:val="25D54115"/>
    <w:rsid w:val="25DD396C"/>
    <w:rsid w:val="25ED7ADB"/>
    <w:rsid w:val="25F72F27"/>
    <w:rsid w:val="26040EF9"/>
    <w:rsid w:val="260F4C55"/>
    <w:rsid w:val="260F621B"/>
    <w:rsid w:val="261455E0"/>
    <w:rsid w:val="261F5D33"/>
    <w:rsid w:val="261F6248"/>
    <w:rsid w:val="26291B1A"/>
    <w:rsid w:val="262D48F3"/>
    <w:rsid w:val="262D66A1"/>
    <w:rsid w:val="262E5F76"/>
    <w:rsid w:val="2633152B"/>
    <w:rsid w:val="263C313F"/>
    <w:rsid w:val="263C68E5"/>
    <w:rsid w:val="264439EB"/>
    <w:rsid w:val="264B2E15"/>
    <w:rsid w:val="26543C2E"/>
    <w:rsid w:val="26624505"/>
    <w:rsid w:val="266320C3"/>
    <w:rsid w:val="26663961"/>
    <w:rsid w:val="266B541C"/>
    <w:rsid w:val="266D2F7E"/>
    <w:rsid w:val="266D6A9E"/>
    <w:rsid w:val="26747E2C"/>
    <w:rsid w:val="26763E6F"/>
    <w:rsid w:val="267C3983"/>
    <w:rsid w:val="267F0F09"/>
    <w:rsid w:val="26802C75"/>
    <w:rsid w:val="268362C1"/>
    <w:rsid w:val="269912A1"/>
    <w:rsid w:val="269B185D"/>
    <w:rsid w:val="26AD1590"/>
    <w:rsid w:val="26B66697"/>
    <w:rsid w:val="26C228EE"/>
    <w:rsid w:val="26D60AE7"/>
    <w:rsid w:val="26D82BDE"/>
    <w:rsid w:val="26E03714"/>
    <w:rsid w:val="26EB0757"/>
    <w:rsid w:val="26F44B0E"/>
    <w:rsid w:val="26F45FD9"/>
    <w:rsid w:val="26FC7E22"/>
    <w:rsid w:val="27007912"/>
    <w:rsid w:val="270101AC"/>
    <w:rsid w:val="270D202F"/>
    <w:rsid w:val="270E2E29"/>
    <w:rsid w:val="27165388"/>
    <w:rsid w:val="271A0FDD"/>
    <w:rsid w:val="272730F1"/>
    <w:rsid w:val="272C4BAB"/>
    <w:rsid w:val="272C6959"/>
    <w:rsid w:val="274D71B2"/>
    <w:rsid w:val="2751147F"/>
    <w:rsid w:val="27554102"/>
    <w:rsid w:val="276F1A3E"/>
    <w:rsid w:val="277F4A43"/>
    <w:rsid w:val="2783053B"/>
    <w:rsid w:val="27962024"/>
    <w:rsid w:val="27984E3B"/>
    <w:rsid w:val="279C6957"/>
    <w:rsid w:val="279D7857"/>
    <w:rsid w:val="27A33524"/>
    <w:rsid w:val="27A36A10"/>
    <w:rsid w:val="27AC5CEC"/>
    <w:rsid w:val="27B30E28"/>
    <w:rsid w:val="27BD3A55"/>
    <w:rsid w:val="27BF157B"/>
    <w:rsid w:val="27C6290A"/>
    <w:rsid w:val="27D019DA"/>
    <w:rsid w:val="27D32B77"/>
    <w:rsid w:val="27DB3EDB"/>
    <w:rsid w:val="27DC3DDF"/>
    <w:rsid w:val="27DE5929"/>
    <w:rsid w:val="27E14C4C"/>
    <w:rsid w:val="27E72880"/>
    <w:rsid w:val="27F54F9D"/>
    <w:rsid w:val="27FF406E"/>
    <w:rsid w:val="27FF5E1C"/>
    <w:rsid w:val="280478D6"/>
    <w:rsid w:val="280E605F"/>
    <w:rsid w:val="281265C6"/>
    <w:rsid w:val="28137B19"/>
    <w:rsid w:val="281E2746"/>
    <w:rsid w:val="281F026C"/>
    <w:rsid w:val="283D2CAD"/>
    <w:rsid w:val="28416434"/>
    <w:rsid w:val="285E3199"/>
    <w:rsid w:val="286839C1"/>
    <w:rsid w:val="286C62A1"/>
    <w:rsid w:val="287452B4"/>
    <w:rsid w:val="28757E8C"/>
    <w:rsid w:val="287C746C"/>
    <w:rsid w:val="288C5FD6"/>
    <w:rsid w:val="28A069B8"/>
    <w:rsid w:val="28DC615D"/>
    <w:rsid w:val="28DC735E"/>
    <w:rsid w:val="28EB4BC6"/>
    <w:rsid w:val="28F27F55"/>
    <w:rsid w:val="28F65471"/>
    <w:rsid w:val="28F72971"/>
    <w:rsid w:val="28FB471E"/>
    <w:rsid w:val="28FE04DE"/>
    <w:rsid w:val="29026A2E"/>
    <w:rsid w:val="2907142C"/>
    <w:rsid w:val="29086F52"/>
    <w:rsid w:val="290B259E"/>
    <w:rsid w:val="291853E7"/>
    <w:rsid w:val="2924431A"/>
    <w:rsid w:val="29270078"/>
    <w:rsid w:val="292C0E92"/>
    <w:rsid w:val="292F002F"/>
    <w:rsid w:val="29312005"/>
    <w:rsid w:val="293C3657"/>
    <w:rsid w:val="294C5091"/>
    <w:rsid w:val="294D2BB7"/>
    <w:rsid w:val="29532870"/>
    <w:rsid w:val="296C74E1"/>
    <w:rsid w:val="296F6FD1"/>
    <w:rsid w:val="29752839"/>
    <w:rsid w:val="29763EBB"/>
    <w:rsid w:val="297707B3"/>
    <w:rsid w:val="29787C34"/>
    <w:rsid w:val="29894061"/>
    <w:rsid w:val="29A61825"/>
    <w:rsid w:val="29BA46F0"/>
    <w:rsid w:val="29C4731D"/>
    <w:rsid w:val="29CA4D51"/>
    <w:rsid w:val="29D15596"/>
    <w:rsid w:val="29DD03DE"/>
    <w:rsid w:val="29FA2D3E"/>
    <w:rsid w:val="2A04596B"/>
    <w:rsid w:val="2A070FB7"/>
    <w:rsid w:val="2A133E00"/>
    <w:rsid w:val="2A2D4EC2"/>
    <w:rsid w:val="2A3073E0"/>
    <w:rsid w:val="2A314286"/>
    <w:rsid w:val="2A355B25"/>
    <w:rsid w:val="2A420242"/>
    <w:rsid w:val="2A4C2E6E"/>
    <w:rsid w:val="2A571F3F"/>
    <w:rsid w:val="2A614B6C"/>
    <w:rsid w:val="2A6F13E6"/>
    <w:rsid w:val="2A7B200E"/>
    <w:rsid w:val="2A7B3FF1"/>
    <w:rsid w:val="2A7C622E"/>
    <w:rsid w:val="2A7C7BF7"/>
    <w:rsid w:val="2A85524E"/>
    <w:rsid w:val="2A8645D2"/>
    <w:rsid w:val="2A8D0009"/>
    <w:rsid w:val="2A916E98"/>
    <w:rsid w:val="2A916FE5"/>
    <w:rsid w:val="2A9A1E2C"/>
    <w:rsid w:val="2AA551F0"/>
    <w:rsid w:val="2AA607D0"/>
    <w:rsid w:val="2AA64C74"/>
    <w:rsid w:val="2AB078A1"/>
    <w:rsid w:val="2AB23619"/>
    <w:rsid w:val="2ACB136F"/>
    <w:rsid w:val="2ACF7D27"/>
    <w:rsid w:val="2AD22E02"/>
    <w:rsid w:val="2AD4533E"/>
    <w:rsid w:val="2ADC4C12"/>
    <w:rsid w:val="2AE35535"/>
    <w:rsid w:val="2B015399"/>
    <w:rsid w:val="2B05199B"/>
    <w:rsid w:val="2B0D6AA1"/>
    <w:rsid w:val="2B147E30"/>
    <w:rsid w:val="2B1517CD"/>
    <w:rsid w:val="2B367DA6"/>
    <w:rsid w:val="2B375428"/>
    <w:rsid w:val="2B3C5056"/>
    <w:rsid w:val="2B434271"/>
    <w:rsid w:val="2B490D7D"/>
    <w:rsid w:val="2B496FA3"/>
    <w:rsid w:val="2B4D2282"/>
    <w:rsid w:val="2B4D5B67"/>
    <w:rsid w:val="2B532BFE"/>
    <w:rsid w:val="2B5841C1"/>
    <w:rsid w:val="2B5B15BB"/>
    <w:rsid w:val="2B5D5D69"/>
    <w:rsid w:val="2B5E72FD"/>
    <w:rsid w:val="2B6A7A50"/>
    <w:rsid w:val="2B734528"/>
    <w:rsid w:val="2B7803BF"/>
    <w:rsid w:val="2B795EE5"/>
    <w:rsid w:val="2B7B3A0B"/>
    <w:rsid w:val="2B885760"/>
    <w:rsid w:val="2B8A00F2"/>
    <w:rsid w:val="2B99791F"/>
    <w:rsid w:val="2B9F7EB4"/>
    <w:rsid w:val="2BA007CE"/>
    <w:rsid w:val="2BB024B4"/>
    <w:rsid w:val="2BBB64FD"/>
    <w:rsid w:val="2BC058C2"/>
    <w:rsid w:val="2BC60F98"/>
    <w:rsid w:val="2BCB45F0"/>
    <w:rsid w:val="2BCF1FA9"/>
    <w:rsid w:val="2BD82C0B"/>
    <w:rsid w:val="2BE5357A"/>
    <w:rsid w:val="2BE75544"/>
    <w:rsid w:val="2BFB7666"/>
    <w:rsid w:val="2C066A1A"/>
    <w:rsid w:val="2C0B4AE6"/>
    <w:rsid w:val="2C0C0B07"/>
    <w:rsid w:val="2C0C6D59"/>
    <w:rsid w:val="2C131E96"/>
    <w:rsid w:val="2C1F4CDE"/>
    <w:rsid w:val="2C267E1B"/>
    <w:rsid w:val="2C3E381E"/>
    <w:rsid w:val="2C416A03"/>
    <w:rsid w:val="2C644D88"/>
    <w:rsid w:val="2C6E1671"/>
    <w:rsid w:val="2C8165FA"/>
    <w:rsid w:val="2C8D7E9A"/>
    <w:rsid w:val="2CA1711C"/>
    <w:rsid w:val="2CA3146B"/>
    <w:rsid w:val="2CAB47C4"/>
    <w:rsid w:val="2CAC7CBD"/>
    <w:rsid w:val="2CAF20CB"/>
    <w:rsid w:val="2CC55886"/>
    <w:rsid w:val="2CCA1365"/>
    <w:rsid w:val="2CCC08A3"/>
    <w:rsid w:val="2CD5539D"/>
    <w:rsid w:val="2CD71115"/>
    <w:rsid w:val="2CDC672B"/>
    <w:rsid w:val="2CDF621C"/>
    <w:rsid w:val="2CE01CC3"/>
    <w:rsid w:val="2CFF4DA8"/>
    <w:rsid w:val="2D0A514C"/>
    <w:rsid w:val="2D0B7011"/>
    <w:rsid w:val="2D0D2D89"/>
    <w:rsid w:val="2D23435A"/>
    <w:rsid w:val="2D2F2CFF"/>
    <w:rsid w:val="2D340315"/>
    <w:rsid w:val="2D430559"/>
    <w:rsid w:val="2D564730"/>
    <w:rsid w:val="2D834DF9"/>
    <w:rsid w:val="2D906556"/>
    <w:rsid w:val="2D984D48"/>
    <w:rsid w:val="2D9B0395"/>
    <w:rsid w:val="2D9D0627"/>
    <w:rsid w:val="2DA03BFD"/>
    <w:rsid w:val="2DB235BF"/>
    <w:rsid w:val="2DB41456"/>
    <w:rsid w:val="2DB476A8"/>
    <w:rsid w:val="2DB815CA"/>
    <w:rsid w:val="2DBB0A37"/>
    <w:rsid w:val="2DDF0C51"/>
    <w:rsid w:val="2DE03FF9"/>
    <w:rsid w:val="2DE51610"/>
    <w:rsid w:val="2DEF667C"/>
    <w:rsid w:val="2DFD104F"/>
    <w:rsid w:val="2DFE26D1"/>
    <w:rsid w:val="2E075A2A"/>
    <w:rsid w:val="2E0761C3"/>
    <w:rsid w:val="2E0B5DA9"/>
    <w:rsid w:val="2E0E0B66"/>
    <w:rsid w:val="2E1169DA"/>
    <w:rsid w:val="2E1D524D"/>
    <w:rsid w:val="2E262980"/>
    <w:rsid w:val="2E293BF2"/>
    <w:rsid w:val="2E3F3416"/>
    <w:rsid w:val="2E565881"/>
    <w:rsid w:val="2E577392"/>
    <w:rsid w:val="2E61338C"/>
    <w:rsid w:val="2E7B0C3D"/>
    <w:rsid w:val="2E7B1F74"/>
    <w:rsid w:val="2E884DBD"/>
    <w:rsid w:val="2E8B1B62"/>
    <w:rsid w:val="2E970AE4"/>
    <w:rsid w:val="2E9A328C"/>
    <w:rsid w:val="2EA15E7F"/>
    <w:rsid w:val="2EB227A5"/>
    <w:rsid w:val="2EB85306"/>
    <w:rsid w:val="2EB86D24"/>
    <w:rsid w:val="2EC42AC5"/>
    <w:rsid w:val="2ED26038"/>
    <w:rsid w:val="2ED27D59"/>
    <w:rsid w:val="2ED43C69"/>
    <w:rsid w:val="2EED10C4"/>
    <w:rsid w:val="2EF06122"/>
    <w:rsid w:val="2EF30F45"/>
    <w:rsid w:val="2EFA10EB"/>
    <w:rsid w:val="2EFA733D"/>
    <w:rsid w:val="2F015746"/>
    <w:rsid w:val="2F032E26"/>
    <w:rsid w:val="2F0401BB"/>
    <w:rsid w:val="2F0A3A24"/>
    <w:rsid w:val="2F1E127D"/>
    <w:rsid w:val="2F2D6199"/>
    <w:rsid w:val="2F310BF6"/>
    <w:rsid w:val="2F3E027B"/>
    <w:rsid w:val="2F544C9F"/>
    <w:rsid w:val="2F594063"/>
    <w:rsid w:val="2F666780"/>
    <w:rsid w:val="2F6B12EF"/>
    <w:rsid w:val="2F6D6EA8"/>
    <w:rsid w:val="2F8059A8"/>
    <w:rsid w:val="2F822BAC"/>
    <w:rsid w:val="2F8A7EF2"/>
    <w:rsid w:val="2F8B61E7"/>
    <w:rsid w:val="2F8D6403"/>
    <w:rsid w:val="2F961839"/>
    <w:rsid w:val="2F974B8C"/>
    <w:rsid w:val="2F9E416C"/>
    <w:rsid w:val="2FA20F1D"/>
    <w:rsid w:val="2FA21EAE"/>
    <w:rsid w:val="2FA554FB"/>
    <w:rsid w:val="2FA8323D"/>
    <w:rsid w:val="2FB06DFB"/>
    <w:rsid w:val="2FB120F1"/>
    <w:rsid w:val="2FB13E9F"/>
    <w:rsid w:val="2FB43C50"/>
    <w:rsid w:val="2FB50143"/>
    <w:rsid w:val="2FCB33F0"/>
    <w:rsid w:val="2FD6122A"/>
    <w:rsid w:val="2FDE6C5E"/>
    <w:rsid w:val="2FE029D7"/>
    <w:rsid w:val="2FEA56D4"/>
    <w:rsid w:val="2FF16992"/>
    <w:rsid w:val="2FF36512"/>
    <w:rsid w:val="300510DF"/>
    <w:rsid w:val="301F6139"/>
    <w:rsid w:val="302169BE"/>
    <w:rsid w:val="302D729E"/>
    <w:rsid w:val="3038308E"/>
    <w:rsid w:val="303D3985"/>
    <w:rsid w:val="304940D8"/>
    <w:rsid w:val="30622107"/>
    <w:rsid w:val="30641E74"/>
    <w:rsid w:val="306453B6"/>
    <w:rsid w:val="306929CC"/>
    <w:rsid w:val="3069477A"/>
    <w:rsid w:val="306B1215"/>
    <w:rsid w:val="307373A7"/>
    <w:rsid w:val="307750E9"/>
    <w:rsid w:val="30810E1D"/>
    <w:rsid w:val="30890978"/>
    <w:rsid w:val="309A2B85"/>
    <w:rsid w:val="30A05CC2"/>
    <w:rsid w:val="30A25EDE"/>
    <w:rsid w:val="30A43D82"/>
    <w:rsid w:val="30A457B2"/>
    <w:rsid w:val="30A9101A"/>
    <w:rsid w:val="30AF64D2"/>
    <w:rsid w:val="30AF7FEE"/>
    <w:rsid w:val="30B023A9"/>
    <w:rsid w:val="30B0633E"/>
    <w:rsid w:val="30BC0D4E"/>
    <w:rsid w:val="30BC6FA0"/>
    <w:rsid w:val="30D313AD"/>
    <w:rsid w:val="30D77936"/>
    <w:rsid w:val="30DF4A3C"/>
    <w:rsid w:val="30E536AF"/>
    <w:rsid w:val="30F97581"/>
    <w:rsid w:val="30FC739C"/>
    <w:rsid w:val="30FD0529"/>
    <w:rsid w:val="310426F5"/>
    <w:rsid w:val="311C17EC"/>
    <w:rsid w:val="31202E64"/>
    <w:rsid w:val="31207AE6"/>
    <w:rsid w:val="31230DCD"/>
    <w:rsid w:val="31293F09"/>
    <w:rsid w:val="313003E1"/>
    <w:rsid w:val="313E5B73"/>
    <w:rsid w:val="314256C4"/>
    <w:rsid w:val="314B01F1"/>
    <w:rsid w:val="314D4BF3"/>
    <w:rsid w:val="316118F5"/>
    <w:rsid w:val="316A07AA"/>
    <w:rsid w:val="31717D8A"/>
    <w:rsid w:val="3176461F"/>
    <w:rsid w:val="31850497"/>
    <w:rsid w:val="318B62FF"/>
    <w:rsid w:val="318E5F9C"/>
    <w:rsid w:val="31947CF5"/>
    <w:rsid w:val="31AE1061"/>
    <w:rsid w:val="31B5579D"/>
    <w:rsid w:val="31BB1005"/>
    <w:rsid w:val="31C27A7D"/>
    <w:rsid w:val="31C816DA"/>
    <w:rsid w:val="31CF3232"/>
    <w:rsid w:val="31D125D7"/>
    <w:rsid w:val="31D25858"/>
    <w:rsid w:val="31D43E75"/>
    <w:rsid w:val="31E56082"/>
    <w:rsid w:val="31F0593E"/>
    <w:rsid w:val="32140715"/>
    <w:rsid w:val="32171FB4"/>
    <w:rsid w:val="32335040"/>
    <w:rsid w:val="3234700A"/>
    <w:rsid w:val="323D4DDE"/>
    <w:rsid w:val="324A1A3B"/>
    <w:rsid w:val="326353A7"/>
    <w:rsid w:val="32700042"/>
    <w:rsid w:val="327318E0"/>
    <w:rsid w:val="327411B4"/>
    <w:rsid w:val="328B72FF"/>
    <w:rsid w:val="329F04E5"/>
    <w:rsid w:val="32A221C5"/>
    <w:rsid w:val="32AE46C6"/>
    <w:rsid w:val="32B53763"/>
    <w:rsid w:val="32B96BED"/>
    <w:rsid w:val="32CB34CA"/>
    <w:rsid w:val="32CE6B16"/>
    <w:rsid w:val="32E12CEE"/>
    <w:rsid w:val="32E6604D"/>
    <w:rsid w:val="32EB2E03"/>
    <w:rsid w:val="32EC1EA1"/>
    <w:rsid w:val="32EC3440"/>
    <w:rsid w:val="32F9755F"/>
    <w:rsid w:val="32FD73FC"/>
    <w:rsid w:val="3301513E"/>
    <w:rsid w:val="33072028"/>
    <w:rsid w:val="330D3AE3"/>
    <w:rsid w:val="330F2157"/>
    <w:rsid w:val="331B2806"/>
    <w:rsid w:val="332826CA"/>
    <w:rsid w:val="332B21BB"/>
    <w:rsid w:val="333214D1"/>
    <w:rsid w:val="33356B95"/>
    <w:rsid w:val="333E1084"/>
    <w:rsid w:val="33437504"/>
    <w:rsid w:val="334E557F"/>
    <w:rsid w:val="33531C09"/>
    <w:rsid w:val="335C2374"/>
    <w:rsid w:val="336E7821"/>
    <w:rsid w:val="3370495E"/>
    <w:rsid w:val="33743B62"/>
    <w:rsid w:val="337B4EF0"/>
    <w:rsid w:val="337C5266"/>
    <w:rsid w:val="338568E3"/>
    <w:rsid w:val="33957634"/>
    <w:rsid w:val="339733AC"/>
    <w:rsid w:val="33A61841"/>
    <w:rsid w:val="33A87367"/>
    <w:rsid w:val="33BA52ED"/>
    <w:rsid w:val="33C10429"/>
    <w:rsid w:val="33CC0FC6"/>
    <w:rsid w:val="33D463AE"/>
    <w:rsid w:val="33D83C2E"/>
    <w:rsid w:val="33DD0EAC"/>
    <w:rsid w:val="33DF6B01"/>
    <w:rsid w:val="33E505BB"/>
    <w:rsid w:val="34030A42"/>
    <w:rsid w:val="34056CED"/>
    <w:rsid w:val="340D208D"/>
    <w:rsid w:val="34100013"/>
    <w:rsid w:val="34143D51"/>
    <w:rsid w:val="3423251B"/>
    <w:rsid w:val="34250316"/>
    <w:rsid w:val="342B1D46"/>
    <w:rsid w:val="342C5338"/>
    <w:rsid w:val="34302898"/>
    <w:rsid w:val="3440098B"/>
    <w:rsid w:val="345161CC"/>
    <w:rsid w:val="34592BE9"/>
    <w:rsid w:val="345B460B"/>
    <w:rsid w:val="345C4E90"/>
    <w:rsid w:val="34733E19"/>
    <w:rsid w:val="34880206"/>
    <w:rsid w:val="348E2B4F"/>
    <w:rsid w:val="349B1049"/>
    <w:rsid w:val="34A42225"/>
    <w:rsid w:val="34A55F9D"/>
    <w:rsid w:val="34A858DD"/>
    <w:rsid w:val="34AB35B3"/>
    <w:rsid w:val="34BB4966"/>
    <w:rsid w:val="34BD32E6"/>
    <w:rsid w:val="34C12DD7"/>
    <w:rsid w:val="34D7153A"/>
    <w:rsid w:val="34E30131"/>
    <w:rsid w:val="34E61181"/>
    <w:rsid w:val="34E82D0E"/>
    <w:rsid w:val="34F860CC"/>
    <w:rsid w:val="35032CFF"/>
    <w:rsid w:val="35156C7E"/>
    <w:rsid w:val="352041F6"/>
    <w:rsid w:val="35260E8C"/>
    <w:rsid w:val="353A0493"/>
    <w:rsid w:val="353A4294"/>
    <w:rsid w:val="35456A18"/>
    <w:rsid w:val="35474341"/>
    <w:rsid w:val="354E03E2"/>
    <w:rsid w:val="35683252"/>
    <w:rsid w:val="356C2617"/>
    <w:rsid w:val="3575596F"/>
    <w:rsid w:val="357C16F7"/>
    <w:rsid w:val="35831E3A"/>
    <w:rsid w:val="358773F6"/>
    <w:rsid w:val="359C114E"/>
    <w:rsid w:val="35A324DC"/>
    <w:rsid w:val="35A40695"/>
    <w:rsid w:val="35A66707"/>
    <w:rsid w:val="35B22B70"/>
    <w:rsid w:val="35B82E7D"/>
    <w:rsid w:val="35B9585C"/>
    <w:rsid w:val="35BC359E"/>
    <w:rsid w:val="35C0308E"/>
    <w:rsid w:val="35C80195"/>
    <w:rsid w:val="35C97D56"/>
    <w:rsid w:val="35D8097F"/>
    <w:rsid w:val="35ED19A9"/>
    <w:rsid w:val="35ED7BFB"/>
    <w:rsid w:val="35EE5D6B"/>
    <w:rsid w:val="36062A6B"/>
    <w:rsid w:val="360F1D32"/>
    <w:rsid w:val="36105698"/>
    <w:rsid w:val="3637765B"/>
    <w:rsid w:val="363A3F05"/>
    <w:rsid w:val="364E5579"/>
    <w:rsid w:val="364F7F6E"/>
    <w:rsid w:val="3652180C"/>
    <w:rsid w:val="365311E6"/>
    <w:rsid w:val="367112A8"/>
    <w:rsid w:val="3673616C"/>
    <w:rsid w:val="368C4D1E"/>
    <w:rsid w:val="368F0CB2"/>
    <w:rsid w:val="3698148D"/>
    <w:rsid w:val="369B47C9"/>
    <w:rsid w:val="36A056DD"/>
    <w:rsid w:val="36A4475E"/>
    <w:rsid w:val="36A4650C"/>
    <w:rsid w:val="36AE1139"/>
    <w:rsid w:val="36C22E36"/>
    <w:rsid w:val="36C3270A"/>
    <w:rsid w:val="36EF3D57"/>
    <w:rsid w:val="36F154C9"/>
    <w:rsid w:val="36F21D07"/>
    <w:rsid w:val="36F56D67"/>
    <w:rsid w:val="36F87D39"/>
    <w:rsid w:val="36FF7BE6"/>
    <w:rsid w:val="37076A9B"/>
    <w:rsid w:val="37110605"/>
    <w:rsid w:val="37133692"/>
    <w:rsid w:val="371560D4"/>
    <w:rsid w:val="37160A8C"/>
    <w:rsid w:val="37321D6A"/>
    <w:rsid w:val="37354B65"/>
    <w:rsid w:val="374750E9"/>
    <w:rsid w:val="375445E4"/>
    <w:rsid w:val="3756532C"/>
    <w:rsid w:val="37661A13"/>
    <w:rsid w:val="376964D6"/>
    <w:rsid w:val="37757EA8"/>
    <w:rsid w:val="377A235E"/>
    <w:rsid w:val="37911FC8"/>
    <w:rsid w:val="3795749B"/>
    <w:rsid w:val="379C3619"/>
    <w:rsid w:val="37A367C3"/>
    <w:rsid w:val="37BE35FD"/>
    <w:rsid w:val="37D03331"/>
    <w:rsid w:val="37D16BE0"/>
    <w:rsid w:val="37DC6A70"/>
    <w:rsid w:val="380A4A95"/>
    <w:rsid w:val="380E4447"/>
    <w:rsid w:val="38174ABC"/>
    <w:rsid w:val="38206A3D"/>
    <w:rsid w:val="382316B2"/>
    <w:rsid w:val="383C09C6"/>
    <w:rsid w:val="38417D8A"/>
    <w:rsid w:val="3842422E"/>
    <w:rsid w:val="38481119"/>
    <w:rsid w:val="384A2F51"/>
    <w:rsid w:val="38593621"/>
    <w:rsid w:val="386A5533"/>
    <w:rsid w:val="387463B2"/>
    <w:rsid w:val="38797524"/>
    <w:rsid w:val="387C0DC3"/>
    <w:rsid w:val="387E4A53"/>
    <w:rsid w:val="38986298"/>
    <w:rsid w:val="389C2499"/>
    <w:rsid w:val="38A53CBE"/>
    <w:rsid w:val="38A5656B"/>
    <w:rsid w:val="38B22A36"/>
    <w:rsid w:val="38C05153"/>
    <w:rsid w:val="38C06F01"/>
    <w:rsid w:val="38C70290"/>
    <w:rsid w:val="38CA4224"/>
    <w:rsid w:val="38CC3AF8"/>
    <w:rsid w:val="38CC73F3"/>
    <w:rsid w:val="38DC28FD"/>
    <w:rsid w:val="38DF6EA9"/>
    <w:rsid w:val="38E2331B"/>
    <w:rsid w:val="38F356FC"/>
    <w:rsid w:val="38F60B75"/>
    <w:rsid w:val="38F80D91"/>
    <w:rsid w:val="38FD0155"/>
    <w:rsid w:val="38FE505E"/>
    <w:rsid w:val="38FE5C7B"/>
    <w:rsid w:val="390D5279"/>
    <w:rsid w:val="39161217"/>
    <w:rsid w:val="39194863"/>
    <w:rsid w:val="391D25A6"/>
    <w:rsid w:val="392B7775"/>
    <w:rsid w:val="39355B41"/>
    <w:rsid w:val="394144E6"/>
    <w:rsid w:val="394D4220"/>
    <w:rsid w:val="395104A1"/>
    <w:rsid w:val="395835DE"/>
    <w:rsid w:val="395871B1"/>
    <w:rsid w:val="395B66C1"/>
    <w:rsid w:val="395E3B0F"/>
    <w:rsid w:val="39637C1E"/>
    <w:rsid w:val="39677CC5"/>
    <w:rsid w:val="39683473"/>
    <w:rsid w:val="39693A3D"/>
    <w:rsid w:val="3971644D"/>
    <w:rsid w:val="39743311"/>
    <w:rsid w:val="39777F08"/>
    <w:rsid w:val="398042AD"/>
    <w:rsid w:val="39A16D33"/>
    <w:rsid w:val="39A67465"/>
    <w:rsid w:val="39AE15AC"/>
    <w:rsid w:val="39B747A8"/>
    <w:rsid w:val="39D04FAF"/>
    <w:rsid w:val="39D72754"/>
    <w:rsid w:val="39E03482"/>
    <w:rsid w:val="39E11825"/>
    <w:rsid w:val="39E83FB4"/>
    <w:rsid w:val="39ED1F78"/>
    <w:rsid w:val="39F1794B"/>
    <w:rsid w:val="3A0B68A2"/>
    <w:rsid w:val="3A153790"/>
    <w:rsid w:val="3A157721"/>
    <w:rsid w:val="3A1648F4"/>
    <w:rsid w:val="3A184B1B"/>
    <w:rsid w:val="3A1A6AE5"/>
    <w:rsid w:val="3A1F11A7"/>
    <w:rsid w:val="3A224209"/>
    <w:rsid w:val="3A306308"/>
    <w:rsid w:val="3A4D2A17"/>
    <w:rsid w:val="3A63223A"/>
    <w:rsid w:val="3A667F7C"/>
    <w:rsid w:val="3A6A181A"/>
    <w:rsid w:val="3A6A35C8"/>
    <w:rsid w:val="3A86575A"/>
    <w:rsid w:val="3AA21476"/>
    <w:rsid w:val="3AAC1E33"/>
    <w:rsid w:val="3AB331DB"/>
    <w:rsid w:val="3AB40CE8"/>
    <w:rsid w:val="3AC144DB"/>
    <w:rsid w:val="3AC30F2B"/>
    <w:rsid w:val="3AC36277"/>
    <w:rsid w:val="3ACE7FFB"/>
    <w:rsid w:val="3AD30230"/>
    <w:rsid w:val="3AE32280"/>
    <w:rsid w:val="3AE5371D"/>
    <w:rsid w:val="3AF86E26"/>
    <w:rsid w:val="3AFE163C"/>
    <w:rsid w:val="3B115AB0"/>
    <w:rsid w:val="3B1874C8"/>
    <w:rsid w:val="3B1A3241"/>
    <w:rsid w:val="3B1D4ADF"/>
    <w:rsid w:val="3B1E0C9A"/>
    <w:rsid w:val="3B246A26"/>
    <w:rsid w:val="3B247C1B"/>
    <w:rsid w:val="3B2E0CDD"/>
    <w:rsid w:val="3B341FC1"/>
    <w:rsid w:val="3B3C53EC"/>
    <w:rsid w:val="3B583D69"/>
    <w:rsid w:val="3B6F11E8"/>
    <w:rsid w:val="3B722D63"/>
    <w:rsid w:val="3B732683"/>
    <w:rsid w:val="3B7D557D"/>
    <w:rsid w:val="3B851216"/>
    <w:rsid w:val="3BA23236"/>
    <w:rsid w:val="3BA448B8"/>
    <w:rsid w:val="3BA7084C"/>
    <w:rsid w:val="3BC211E2"/>
    <w:rsid w:val="3BC92571"/>
    <w:rsid w:val="3BC94324"/>
    <w:rsid w:val="3BCB0097"/>
    <w:rsid w:val="3BDD426E"/>
    <w:rsid w:val="3BE24B88"/>
    <w:rsid w:val="3BEB0739"/>
    <w:rsid w:val="3BFD046C"/>
    <w:rsid w:val="3C033CD5"/>
    <w:rsid w:val="3C1C6B44"/>
    <w:rsid w:val="3C1D12C8"/>
    <w:rsid w:val="3C1E28BD"/>
    <w:rsid w:val="3C21415B"/>
    <w:rsid w:val="3C237ED3"/>
    <w:rsid w:val="3C2609DE"/>
    <w:rsid w:val="3C3C0F95"/>
    <w:rsid w:val="3C4340D1"/>
    <w:rsid w:val="3C552056"/>
    <w:rsid w:val="3C563F5F"/>
    <w:rsid w:val="3C860462"/>
    <w:rsid w:val="3C8D7A42"/>
    <w:rsid w:val="3C926C30"/>
    <w:rsid w:val="3C991F43"/>
    <w:rsid w:val="3CA76B12"/>
    <w:rsid w:val="3CC72F54"/>
    <w:rsid w:val="3CCA65A0"/>
    <w:rsid w:val="3CEA6C43"/>
    <w:rsid w:val="3CEF6007"/>
    <w:rsid w:val="3CF025C5"/>
    <w:rsid w:val="3CF36961"/>
    <w:rsid w:val="3CF8135F"/>
    <w:rsid w:val="3D037D04"/>
    <w:rsid w:val="3D0870C9"/>
    <w:rsid w:val="3D0B4A9A"/>
    <w:rsid w:val="3D1837B0"/>
    <w:rsid w:val="3D1B6DFC"/>
    <w:rsid w:val="3D211F38"/>
    <w:rsid w:val="3D257C7B"/>
    <w:rsid w:val="3D34642A"/>
    <w:rsid w:val="3D4E5423"/>
    <w:rsid w:val="3D517AA3"/>
    <w:rsid w:val="3D540560"/>
    <w:rsid w:val="3D6267D9"/>
    <w:rsid w:val="3D6F0EF6"/>
    <w:rsid w:val="3D712EC0"/>
    <w:rsid w:val="3D89020A"/>
    <w:rsid w:val="3D962926"/>
    <w:rsid w:val="3D98044D"/>
    <w:rsid w:val="3DA037A5"/>
    <w:rsid w:val="3DA349DC"/>
    <w:rsid w:val="3DAC4A9A"/>
    <w:rsid w:val="3DB66B25"/>
    <w:rsid w:val="3DB93ADE"/>
    <w:rsid w:val="3DC01751"/>
    <w:rsid w:val="3DD75419"/>
    <w:rsid w:val="3DDC47DD"/>
    <w:rsid w:val="3DE6565C"/>
    <w:rsid w:val="3DE853AA"/>
    <w:rsid w:val="3DE96EFA"/>
    <w:rsid w:val="3DEB4A20"/>
    <w:rsid w:val="3DEE4511"/>
    <w:rsid w:val="3DF5412D"/>
    <w:rsid w:val="3DF8713D"/>
    <w:rsid w:val="3DFA4C63"/>
    <w:rsid w:val="3DFD29A6"/>
    <w:rsid w:val="3E015FF2"/>
    <w:rsid w:val="3E10092B"/>
    <w:rsid w:val="3E135D25"/>
    <w:rsid w:val="3E2E7003"/>
    <w:rsid w:val="3E3457B0"/>
    <w:rsid w:val="3E491747"/>
    <w:rsid w:val="3E5C76CC"/>
    <w:rsid w:val="3E611186"/>
    <w:rsid w:val="3E69242F"/>
    <w:rsid w:val="3E725AAA"/>
    <w:rsid w:val="3E7C38CA"/>
    <w:rsid w:val="3E854E75"/>
    <w:rsid w:val="3E8D3D29"/>
    <w:rsid w:val="3E906D65"/>
    <w:rsid w:val="3E9753EA"/>
    <w:rsid w:val="3E976956"/>
    <w:rsid w:val="3E9948D1"/>
    <w:rsid w:val="3E9A727C"/>
    <w:rsid w:val="3EA572C5"/>
    <w:rsid w:val="3EA66B99"/>
    <w:rsid w:val="3EA96D11"/>
    <w:rsid w:val="3EAA6D70"/>
    <w:rsid w:val="3EB94B1E"/>
    <w:rsid w:val="3EBC016B"/>
    <w:rsid w:val="3ECE56F3"/>
    <w:rsid w:val="3EDE4585"/>
    <w:rsid w:val="3EE41CB3"/>
    <w:rsid w:val="3EEB27FE"/>
    <w:rsid w:val="3EEC6CA2"/>
    <w:rsid w:val="3EED6AB5"/>
    <w:rsid w:val="3EF070CD"/>
    <w:rsid w:val="3EF8303E"/>
    <w:rsid w:val="3EFB0C93"/>
    <w:rsid w:val="3F033FEC"/>
    <w:rsid w:val="3F06446D"/>
    <w:rsid w:val="3F0B563E"/>
    <w:rsid w:val="3F100107"/>
    <w:rsid w:val="3F1104B7"/>
    <w:rsid w:val="3F11495A"/>
    <w:rsid w:val="3F2A3467"/>
    <w:rsid w:val="3F310B59"/>
    <w:rsid w:val="3F3256FF"/>
    <w:rsid w:val="3F403ACF"/>
    <w:rsid w:val="3F43088C"/>
    <w:rsid w:val="3F453E8D"/>
    <w:rsid w:val="3F536106"/>
    <w:rsid w:val="3F536D21"/>
    <w:rsid w:val="3F570031"/>
    <w:rsid w:val="3F5A68AC"/>
    <w:rsid w:val="3F5E049B"/>
    <w:rsid w:val="3F5E71A0"/>
    <w:rsid w:val="3F60143E"/>
    <w:rsid w:val="3F6A678D"/>
    <w:rsid w:val="3F6E3B5B"/>
    <w:rsid w:val="3F7F3F6B"/>
    <w:rsid w:val="3F8213B4"/>
    <w:rsid w:val="3F8E7D59"/>
    <w:rsid w:val="3F8F762D"/>
    <w:rsid w:val="3F9831DE"/>
    <w:rsid w:val="3F9904AC"/>
    <w:rsid w:val="3FA52852"/>
    <w:rsid w:val="3FAA346A"/>
    <w:rsid w:val="3FAB317E"/>
    <w:rsid w:val="3FAC4683"/>
    <w:rsid w:val="3FAE3F57"/>
    <w:rsid w:val="3FB53538"/>
    <w:rsid w:val="3FBA7635"/>
    <w:rsid w:val="3FBD419A"/>
    <w:rsid w:val="3FDF2363"/>
    <w:rsid w:val="3FE77469"/>
    <w:rsid w:val="3FEB5523"/>
    <w:rsid w:val="3FEB6F5A"/>
    <w:rsid w:val="3FF676AC"/>
    <w:rsid w:val="3FFF47B3"/>
    <w:rsid w:val="400A2D53"/>
    <w:rsid w:val="40181D19"/>
    <w:rsid w:val="401C35B7"/>
    <w:rsid w:val="402C30CE"/>
    <w:rsid w:val="40322DDA"/>
    <w:rsid w:val="40381A73"/>
    <w:rsid w:val="404228F2"/>
    <w:rsid w:val="40430CA5"/>
    <w:rsid w:val="40524847"/>
    <w:rsid w:val="40602185"/>
    <w:rsid w:val="406665E0"/>
    <w:rsid w:val="406D3C7A"/>
    <w:rsid w:val="407927B7"/>
    <w:rsid w:val="408242AD"/>
    <w:rsid w:val="4082485C"/>
    <w:rsid w:val="408A49C4"/>
    <w:rsid w:val="408D0A8F"/>
    <w:rsid w:val="40925627"/>
    <w:rsid w:val="409749EB"/>
    <w:rsid w:val="40A610D2"/>
    <w:rsid w:val="40A86BF9"/>
    <w:rsid w:val="40AC572D"/>
    <w:rsid w:val="40AD2461"/>
    <w:rsid w:val="40B419CB"/>
    <w:rsid w:val="40D811E7"/>
    <w:rsid w:val="40D84324"/>
    <w:rsid w:val="40D95004"/>
    <w:rsid w:val="40DD4529"/>
    <w:rsid w:val="4101455B"/>
    <w:rsid w:val="41071ED4"/>
    <w:rsid w:val="410E7732"/>
    <w:rsid w:val="411244F2"/>
    <w:rsid w:val="41232723"/>
    <w:rsid w:val="412344D1"/>
    <w:rsid w:val="412B15D8"/>
    <w:rsid w:val="4134048C"/>
    <w:rsid w:val="413761CE"/>
    <w:rsid w:val="41461CA1"/>
    <w:rsid w:val="414920DE"/>
    <w:rsid w:val="41521B7A"/>
    <w:rsid w:val="41550B18"/>
    <w:rsid w:val="41586871"/>
    <w:rsid w:val="41596145"/>
    <w:rsid w:val="41605725"/>
    <w:rsid w:val="41677FC2"/>
    <w:rsid w:val="416922FA"/>
    <w:rsid w:val="417D0085"/>
    <w:rsid w:val="418C51E4"/>
    <w:rsid w:val="41923405"/>
    <w:rsid w:val="41962BCF"/>
    <w:rsid w:val="419754E8"/>
    <w:rsid w:val="41A43864"/>
    <w:rsid w:val="41B27018"/>
    <w:rsid w:val="41C85470"/>
    <w:rsid w:val="41E371A6"/>
    <w:rsid w:val="41E7098B"/>
    <w:rsid w:val="41E71171"/>
    <w:rsid w:val="41EB36F7"/>
    <w:rsid w:val="41F76183"/>
    <w:rsid w:val="420579B5"/>
    <w:rsid w:val="4206324A"/>
    <w:rsid w:val="42072045"/>
    <w:rsid w:val="420A743F"/>
    <w:rsid w:val="420E6F2F"/>
    <w:rsid w:val="421D7172"/>
    <w:rsid w:val="422308D5"/>
    <w:rsid w:val="4234435F"/>
    <w:rsid w:val="424C7A58"/>
    <w:rsid w:val="425752A0"/>
    <w:rsid w:val="42666D6B"/>
    <w:rsid w:val="42731488"/>
    <w:rsid w:val="427D40B5"/>
    <w:rsid w:val="428C42F8"/>
    <w:rsid w:val="428E1E1E"/>
    <w:rsid w:val="4293531D"/>
    <w:rsid w:val="42935686"/>
    <w:rsid w:val="42971789"/>
    <w:rsid w:val="429A6A15"/>
    <w:rsid w:val="42A81132"/>
    <w:rsid w:val="42AB29D0"/>
    <w:rsid w:val="42B01A80"/>
    <w:rsid w:val="42B06238"/>
    <w:rsid w:val="42B540C6"/>
    <w:rsid w:val="42B84EFF"/>
    <w:rsid w:val="42C10446"/>
    <w:rsid w:val="42C45840"/>
    <w:rsid w:val="42C972FA"/>
    <w:rsid w:val="42CE5258"/>
    <w:rsid w:val="42DE2DA6"/>
    <w:rsid w:val="42EA174A"/>
    <w:rsid w:val="42F013BC"/>
    <w:rsid w:val="42FE6FA4"/>
    <w:rsid w:val="430D68D6"/>
    <w:rsid w:val="430E3395"/>
    <w:rsid w:val="43122A4F"/>
    <w:rsid w:val="43124DBF"/>
    <w:rsid w:val="4320357C"/>
    <w:rsid w:val="43267EE9"/>
    <w:rsid w:val="432B1D8D"/>
    <w:rsid w:val="432D1637"/>
    <w:rsid w:val="4331208C"/>
    <w:rsid w:val="433429C6"/>
    <w:rsid w:val="433505E1"/>
    <w:rsid w:val="43362BE2"/>
    <w:rsid w:val="43411BCB"/>
    <w:rsid w:val="434C41B3"/>
    <w:rsid w:val="435218EE"/>
    <w:rsid w:val="435C4BA0"/>
    <w:rsid w:val="4373005F"/>
    <w:rsid w:val="4383394D"/>
    <w:rsid w:val="43963680"/>
    <w:rsid w:val="43994D0E"/>
    <w:rsid w:val="439E2535"/>
    <w:rsid w:val="43A618D4"/>
    <w:rsid w:val="43B6162D"/>
    <w:rsid w:val="43B71001"/>
    <w:rsid w:val="43C14228"/>
    <w:rsid w:val="43C7383A"/>
    <w:rsid w:val="43D03AC6"/>
    <w:rsid w:val="43D16466"/>
    <w:rsid w:val="43D61CCF"/>
    <w:rsid w:val="44022AC4"/>
    <w:rsid w:val="44055A2D"/>
    <w:rsid w:val="4409050C"/>
    <w:rsid w:val="44150A49"/>
    <w:rsid w:val="441B5933"/>
    <w:rsid w:val="441D5B50"/>
    <w:rsid w:val="443E41B9"/>
    <w:rsid w:val="44496945"/>
    <w:rsid w:val="4450382F"/>
    <w:rsid w:val="445A645C"/>
    <w:rsid w:val="44735BB8"/>
    <w:rsid w:val="4475773A"/>
    <w:rsid w:val="44781DAA"/>
    <w:rsid w:val="447A1DA7"/>
    <w:rsid w:val="447D6881"/>
    <w:rsid w:val="4484797D"/>
    <w:rsid w:val="448D04B8"/>
    <w:rsid w:val="448E12DC"/>
    <w:rsid w:val="449523F4"/>
    <w:rsid w:val="4496320C"/>
    <w:rsid w:val="44992247"/>
    <w:rsid w:val="449C2918"/>
    <w:rsid w:val="44B55D88"/>
    <w:rsid w:val="44C67F95"/>
    <w:rsid w:val="44CA357E"/>
    <w:rsid w:val="44CB3CAD"/>
    <w:rsid w:val="44CE0BF8"/>
    <w:rsid w:val="44D02BC2"/>
    <w:rsid w:val="44DA759D"/>
    <w:rsid w:val="44DF00FF"/>
    <w:rsid w:val="44E73A68"/>
    <w:rsid w:val="44EB79FC"/>
    <w:rsid w:val="44EE4DF6"/>
    <w:rsid w:val="45010FCD"/>
    <w:rsid w:val="450A2717"/>
    <w:rsid w:val="451E392D"/>
    <w:rsid w:val="45344EFF"/>
    <w:rsid w:val="454669E0"/>
    <w:rsid w:val="45486BFC"/>
    <w:rsid w:val="45561319"/>
    <w:rsid w:val="455C4456"/>
    <w:rsid w:val="456261CD"/>
    <w:rsid w:val="457E617A"/>
    <w:rsid w:val="45863281"/>
    <w:rsid w:val="458D2861"/>
    <w:rsid w:val="45941E41"/>
    <w:rsid w:val="45943BEF"/>
    <w:rsid w:val="459C0CF6"/>
    <w:rsid w:val="45B12856"/>
    <w:rsid w:val="45B778DE"/>
    <w:rsid w:val="45B95404"/>
    <w:rsid w:val="45C049E4"/>
    <w:rsid w:val="45CF460B"/>
    <w:rsid w:val="45DB181E"/>
    <w:rsid w:val="45E27E1E"/>
    <w:rsid w:val="45EF0E26"/>
    <w:rsid w:val="45F11042"/>
    <w:rsid w:val="460743C1"/>
    <w:rsid w:val="46113492"/>
    <w:rsid w:val="4614794B"/>
    <w:rsid w:val="46180B58"/>
    <w:rsid w:val="462455B1"/>
    <w:rsid w:val="462A20F1"/>
    <w:rsid w:val="462E7BA0"/>
    <w:rsid w:val="463827CD"/>
    <w:rsid w:val="46402205"/>
    <w:rsid w:val="464078D3"/>
    <w:rsid w:val="464B0184"/>
    <w:rsid w:val="465B64BB"/>
    <w:rsid w:val="466E2692"/>
    <w:rsid w:val="46713F31"/>
    <w:rsid w:val="46715CDF"/>
    <w:rsid w:val="468C0D6B"/>
    <w:rsid w:val="469A5235"/>
    <w:rsid w:val="46A13E00"/>
    <w:rsid w:val="46A75BA4"/>
    <w:rsid w:val="46AC06D0"/>
    <w:rsid w:val="46B06807"/>
    <w:rsid w:val="46B207D1"/>
    <w:rsid w:val="46B22072"/>
    <w:rsid w:val="46B9455C"/>
    <w:rsid w:val="46C93D6D"/>
    <w:rsid w:val="46D25363"/>
    <w:rsid w:val="46E40512"/>
    <w:rsid w:val="46E666CD"/>
    <w:rsid w:val="46E85C8C"/>
    <w:rsid w:val="46EE10DD"/>
    <w:rsid w:val="470316C4"/>
    <w:rsid w:val="47044DA5"/>
    <w:rsid w:val="470E368E"/>
    <w:rsid w:val="471072A6"/>
    <w:rsid w:val="47307948"/>
    <w:rsid w:val="473867FC"/>
    <w:rsid w:val="47411B55"/>
    <w:rsid w:val="47413589"/>
    <w:rsid w:val="474E5025"/>
    <w:rsid w:val="47501D98"/>
    <w:rsid w:val="475148DA"/>
    <w:rsid w:val="475C073D"/>
    <w:rsid w:val="4791488A"/>
    <w:rsid w:val="47946129"/>
    <w:rsid w:val="479779C7"/>
    <w:rsid w:val="4799729B"/>
    <w:rsid w:val="47A5359B"/>
    <w:rsid w:val="47AC7367"/>
    <w:rsid w:val="47B265AF"/>
    <w:rsid w:val="47B42327"/>
    <w:rsid w:val="47B440D5"/>
    <w:rsid w:val="47B73EFD"/>
    <w:rsid w:val="47BA5BC1"/>
    <w:rsid w:val="47C02A7A"/>
    <w:rsid w:val="47C7285C"/>
    <w:rsid w:val="47CB141F"/>
    <w:rsid w:val="47CB7671"/>
    <w:rsid w:val="47D64298"/>
    <w:rsid w:val="47E95C2B"/>
    <w:rsid w:val="47FF413B"/>
    <w:rsid w:val="480C69CA"/>
    <w:rsid w:val="48103B3E"/>
    <w:rsid w:val="481B23A6"/>
    <w:rsid w:val="48254FD3"/>
    <w:rsid w:val="482C45B3"/>
    <w:rsid w:val="48395EF8"/>
    <w:rsid w:val="4840050C"/>
    <w:rsid w:val="4842346F"/>
    <w:rsid w:val="484F3DFE"/>
    <w:rsid w:val="485A01FF"/>
    <w:rsid w:val="486414CE"/>
    <w:rsid w:val="486C0E54"/>
    <w:rsid w:val="486C6BCB"/>
    <w:rsid w:val="487519F9"/>
    <w:rsid w:val="487A531F"/>
    <w:rsid w:val="48875656"/>
    <w:rsid w:val="488937B4"/>
    <w:rsid w:val="488E4560"/>
    <w:rsid w:val="489B7043"/>
    <w:rsid w:val="48B60321"/>
    <w:rsid w:val="48B61C5A"/>
    <w:rsid w:val="48BA1BBF"/>
    <w:rsid w:val="48BC21F5"/>
    <w:rsid w:val="48C22822"/>
    <w:rsid w:val="48D5291A"/>
    <w:rsid w:val="48E77164"/>
    <w:rsid w:val="48E90ABE"/>
    <w:rsid w:val="48EE5CFC"/>
    <w:rsid w:val="48F03833"/>
    <w:rsid w:val="48F30C2D"/>
    <w:rsid w:val="48F43DAB"/>
    <w:rsid w:val="48FA0483"/>
    <w:rsid w:val="490E6D6F"/>
    <w:rsid w:val="491B10DD"/>
    <w:rsid w:val="491C4628"/>
    <w:rsid w:val="49262DB0"/>
    <w:rsid w:val="493279A7"/>
    <w:rsid w:val="493C0B62"/>
    <w:rsid w:val="4943513F"/>
    <w:rsid w:val="49661BE2"/>
    <w:rsid w:val="49675177"/>
    <w:rsid w:val="496E6505"/>
    <w:rsid w:val="497F756E"/>
    <w:rsid w:val="49813323"/>
    <w:rsid w:val="49885819"/>
    <w:rsid w:val="49924295"/>
    <w:rsid w:val="499706C9"/>
    <w:rsid w:val="49A415E1"/>
    <w:rsid w:val="49AD3738"/>
    <w:rsid w:val="49BD1076"/>
    <w:rsid w:val="49C66341"/>
    <w:rsid w:val="49D03350"/>
    <w:rsid w:val="49D20C2D"/>
    <w:rsid w:val="49D4280C"/>
    <w:rsid w:val="49DA4070"/>
    <w:rsid w:val="49ED38CE"/>
    <w:rsid w:val="49F47A9B"/>
    <w:rsid w:val="49F673AD"/>
    <w:rsid w:val="49FB423D"/>
    <w:rsid w:val="4A0A5885"/>
    <w:rsid w:val="4A174DEF"/>
    <w:rsid w:val="4A183041"/>
    <w:rsid w:val="4A235B57"/>
    <w:rsid w:val="4A2457A8"/>
    <w:rsid w:val="4A262777"/>
    <w:rsid w:val="4A2A68D0"/>
    <w:rsid w:val="4A3414FD"/>
    <w:rsid w:val="4A4756D4"/>
    <w:rsid w:val="4A4B4D63"/>
    <w:rsid w:val="4A5120AF"/>
    <w:rsid w:val="4A62250E"/>
    <w:rsid w:val="4A6E39F5"/>
    <w:rsid w:val="4A6F5A6E"/>
    <w:rsid w:val="4A761B16"/>
    <w:rsid w:val="4A77763C"/>
    <w:rsid w:val="4A875AD1"/>
    <w:rsid w:val="4A934476"/>
    <w:rsid w:val="4A9532A7"/>
    <w:rsid w:val="4AAE12AF"/>
    <w:rsid w:val="4AB253A0"/>
    <w:rsid w:val="4ABE16C5"/>
    <w:rsid w:val="4ABF170F"/>
    <w:rsid w:val="4AC62BC0"/>
    <w:rsid w:val="4AE01685"/>
    <w:rsid w:val="4AE77909"/>
    <w:rsid w:val="4AEF3676"/>
    <w:rsid w:val="4AF8077D"/>
    <w:rsid w:val="4AF869CF"/>
    <w:rsid w:val="4AF96D45"/>
    <w:rsid w:val="4B054C48"/>
    <w:rsid w:val="4B073A5C"/>
    <w:rsid w:val="4B101F6A"/>
    <w:rsid w:val="4B1D6435"/>
    <w:rsid w:val="4B3774F7"/>
    <w:rsid w:val="4B3D0885"/>
    <w:rsid w:val="4B412124"/>
    <w:rsid w:val="4B446903"/>
    <w:rsid w:val="4B44760D"/>
    <w:rsid w:val="4B5C51AF"/>
    <w:rsid w:val="4B5C5D27"/>
    <w:rsid w:val="4B5E326D"/>
    <w:rsid w:val="4B6422B6"/>
    <w:rsid w:val="4B6856FE"/>
    <w:rsid w:val="4B840ACD"/>
    <w:rsid w:val="4B86222C"/>
    <w:rsid w:val="4B8C42AD"/>
    <w:rsid w:val="4B8C55E4"/>
    <w:rsid w:val="4B952493"/>
    <w:rsid w:val="4B9E1324"/>
    <w:rsid w:val="4BA04942"/>
    <w:rsid w:val="4BA821A3"/>
    <w:rsid w:val="4BAF3C6B"/>
    <w:rsid w:val="4BBC258B"/>
    <w:rsid w:val="4BBD5522"/>
    <w:rsid w:val="4BBE19C6"/>
    <w:rsid w:val="4BC44B03"/>
    <w:rsid w:val="4BC863A1"/>
    <w:rsid w:val="4BE40D01"/>
    <w:rsid w:val="4BE60F1D"/>
    <w:rsid w:val="4BF72474"/>
    <w:rsid w:val="4BFC24EE"/>
    <w:rsid w:val="4C07336D"/>
    <w:rsid w:val="4C0B6604"/>
    <w:rsid w:val="4C2E5AE5"/>
    <w:rsid w:val="4C311FF6"/>
    <w:rsid w:val="4C3B3017"/>
    <w:rsid w:val="4C3F2E5C"/>
    <w:rsid w:val="4C4F0B45"/>
    <w:rsid w:val="4C4F6AC2"/>
    <w:rsid w:val="4C523EBC"/>
    <w:rsid w:val="4C6A56AA"/>
    <w:rsid w:val="4C714C8A"/>
    <w:rsid w:val="4C72630D"/>
    <w:rsid w:val="4C7B3413"/>
    <w:rsid w:val="4C8147A2"/>
    <w:rsid w:val="4C891FD4"/>
    <w:rsid w:val="4C97668D"/>
    <w:rsid w:val="4C9F3784"/>
    <w:rsid w:val="4CAE1A3B"/>
    <w:rsid w:val="4CB132D9"/>
    <w:rsid w:val="4CB22BAD"/>
    <w:rsid w:val="4CB833B0"/>
    <w:rsid w:val="4CD53545"/>
    <w:rsid w:val="4CD9638C"/>
    <w:rsid w:val="4CDB2104"/>
    <w:rsid w:val="4CE0771A"/>
    <w:rsid w:val="4CEA2347"/>
    <w:rsid w:val="4CEB3D85"/>
    <w:rsid w:val="4D002C57"/>
    <w:rsid w:val="4D072EF9"/>
    <w:rsid w:val="4D185106"/>
    <w:rsid w:val="4D297313"/>
    <w:rsid w:val="4D2E2B7B"/>
    <w:rsid w:val="4D31690B"/>
    <w:rsid w:val="4D3B0DF4"/>
    <w:rsid w:val="4D3B2BA3"/>
    <w:rsid w:val="4D453A21"/>
    <w:rsid w:val="4D573E80"/>
    <w:rsid w:val="4D626381"/>
    <w:rsid w:val="4D626721"/>
    <w:rsid w:val="4D73213F"/>
    <w:rsid w:val="4D77007F"/>
    <w:rsid w:val="4D814A59"/>
    <w:rsid w:val="4DA969FC"/>
    <w:rsid w:val="4DAB7D28"/>
    <w:rsid w:val="4DB0533F"/>
    <w:rsid w:val="4DB27309"/>
    <w:rsid w:val="4DB73FDD"/>
    <w:rsid w:val="4DBD7A5B"/>
    <w:rsid w:val="4DC40DEA"/>
    <w:rsid w:val="4DC94652"/>
    <w:rsid w:val="4DCB5530"/>
    <w:rsid w:val="4DD51249"/>
    <w:rsid w:val="4DED0341"/>
    <w:rsid w:val="4DF222DC"/>
    <w:rsid w:val="4DF47921"/>
    <w:rsid w:val="4DF53699"/>
    <w:rsid w:val="4E035DB6"/>
    <w:rsid w:val="4E0472EF"/>
    <w:rsid w:val="4E076DAB"/>
    <w:rsid w:val="4E086F29"/>
    <w:rsid w:val="4E105DDD"/>
    <w:rsid w:val="4E3917D8"/>
    <w:rsid w:val="4E4300F4"/>
    <w:rsid w:val="4E452C4D"/>
    <w:rsid w:val="4E483F72"/>
    <w:rsid w:val="4E4D7031"/>
    <w:rsid w:val="4E5300F9"/>
    <w:rsid w:val="4E5E123E"/>
    <w:rsid w:val="4E712EFA"/>
    <w:rsid w:val="4E850579"/>
    <w:rsid w:val="4E8A5B90"/>
    <w:rsid w:val="4E8B1908"/>
    <w:rsid w:val="4E992277"/>
    <w:rsid w:val="4EAF1A9A"/>
    <w:rsid w:val="4EB42C0C"/>
    <w:rsid w:val="4EB61728"/>
    <w:rsid w:val="4EBB21ED"/>
    <w:rsid w:val="4EBD5F65"/>
    <w:rsid w:val="4EC72940"/>
    <w:rsid w:val="4ECC61A8"/>
    <w:rsid w:val="4ED10F45"/>
    <w:rsid w:val="4EF02680"/>
    <w:rsid w:val="4EFB4CDF"/>
    <w:rsid w:val="4EFD45B3"/>
    <w:rsid w:val="4F027E1C"/>
    <w:rsid w:val="4F066320"/>
    <w:rsid w:val="4F0C4606"/>
    <w:rsid w:val="4F0F1924"/>
    <w:rsid w:val="4F1D6BBC"/>
    <w:rsid w:val="4F2E6D4B"/>
    <w:rsid w:val="4F391F24"/>
    <w:rsid w:val="4F3A75B6"/>
    <w:rsid w:val="4F471CD3"/>
    <w:rsid w:val="4F4E6EBF"/>
    <w:rsid w:val="4F4F4A10"/>
    <w:rsid w:val="4F6208BA"/>
    <w:rsid w:val="4F7B372A"/>
    <w:rsid w:val="4F7C47E0"/>
    <w:rsid w:val="4F7D4C71"/>
    <w:rsid w:val="4F7F29E8"/>
    <w:rsid w:val="4F8847C5"/>
    <w:rsid w:val="4F912F4E"/>
    <w:rsid w:val="4F9670B2"/>
    <w:rsid w:val="4FA26F09"/>
    <w:rsid w:val="4FB36A75"/>
    <w:rsid w:val="4FB66E7A"/>
    <w:rsid w:val="4FC43323"/>
    <w:rsid w:val="4FC779C9"/>
    <w:rsid w:val="4FC93C89"/>
    <w:rsid w:val="4FCA7073"/>
    <w:rsid w:val="4FD33566"/>
    <w:rsid w:val="4FD55530"/>
    <w:rsid w:val="4FE259E9"/>
    <w:rsid w:val="4FE47521"/>
    <w:rsid w:val="4FF27E90"/>
    <w:rsid w:val="50131BB5"/>
    <w:rsid w:val="501D7C2E"/>
    <w:rsid w:val="50302767"/>
    <w:rsid w:val="50324731"/>
    <w:rsid w:val="50371D47"/>
    <w:rsid w:val="5039282F"/>
    <w:rsid w:val="50397D24"/>
    <w:rsid w:val="50454464"/>
    <w:rsid w:val="504566BD"/>
    <w:rsid w:val="504D50C7"/>
    <w:rsid w:val="50533DD6"/>
    <w:rsid w:val="50597AD1"/>
    <w:rsid w:val="505E72D4"/>
    <w:rsid w:val="507640A6"/>
    <w:rsid w:val="50784D53"/>
    <w:rsid w:val="50963550"/>
    <w:rsid w:val="509C604E"/>
    <w:rsid w:val="50A56953"/>
    <w:rsid w:val="50AD2B0C"/>
    <w:rsid w:val="50B52C6C"/>
    <w:rsid w:val="50BB750A"/>
    <w:rsid w:val="50C01D3C"/>
    <w:rsid w:val="50D35A8C"/>
    <w:rsid w:val="50DC24A9"/>
    <w:rsid w:val="50DE1590"/>
    <w:rsid w:val="50EA500B"/>
    <w:rsid w:val="50ED543F"/>
    <w:rsid w:val="50FB4B23"/>
    <w:rsid w:val="51037E7B"/>
    <w:rsid w:val="51073DC5"/>
    <w:rsid w:val="511856D5"/>
    <w:rsid w:val="512A5408"/>
    <w:rsid w:val="512C7508"/>
    <w:rsid w:val="512E4EF8"/>
    <w:rsid w:val="51300DDB"/>
    <w:rsid w:val="51360251"/>
    <w:rsid w:val="513759C8"/>
    <w:rsid w:val="51416D28"/>
    <w:rsid w:val="514E559A"/>
    <w:rsid w:val="514F30C0"/>
    <w:rsid w:val="514F4E6E"/>
    <w:rsid w:val="515A3F3F"/>
    <w:rsid w:val="515C5068"/>
    <w:rsid w:val="516721B8"/>
    <w:rsid w:val="516A3A56"/>
    <w:rsid w:val="51731323"/>
    <w:rsid w:val="51937451"/>
    <w:rsid w:val="519D5BDA"/>
    <w:rsid w:val="51A1783D"/>
    <w:rsid w:val="51A46272"/>
    <w:rsid w:val="51AB3449"/>
    <w:rsid w:val="51AB57D4"/>
    <w:rsid w:val="51B13CD4"/>
    <w:rsid w:val="51B51175"/>
    <w:rsid w:val="51BD002A"/>
    <w:rsid w:val="51C8534D"/>
    <w:rsid w:val="51C961ED"/>
    <w:rsid w:val="51D84E04"/>
    <w:rsid w:val="51E11F6A"/>
    <w:rsid w:val="51E1640E"/>
    <w:rsid w:val="51FA74D0"/>
    <w:rsid w:val="52173BDE"/>
    <w:rsid w:val="52187956"/>
    <w:rsid w:val="521F2A93"/>
    <w:rsid w:val="5222644C"/>
    <w:rsid w:val="522B0162"/>
    <w:rsid w:val="52321D93"/>
    <w:rsid w:val="523254CC"/>
    <w:rsid w:val="523E73BD"/>
    <w:rsid w:val="52420452"/>
    <w:rsid w:val="52475ED6"/>
    <w:rsid w:val="5248023B"/>
    <w:rsid w:val="52483D98"/>
    <w:rsid w:val="5253098E"/>
    <w:rsid w:val="52533FC1"/>
    <w:rsid w:val="52614E59"/>
    <w:rsid w:val="52642B9B"/>
    <w:rsid w:val="528154FB"/>
    <w:rsid w:val="52846D9A"/>
    <w:rsid w:val="52884ADC"/>
    <w:rsid w:val="528B1ED6"/>
    <w:rsid w:val="52903990"/>
    <w:rsid w:val="5290573F"/>
    <w:rsid w:val="52935783"/>
    <w:rsid w:val="529C25C0"/>
    <w:rsid w:val="52A03BD4"/>
    <w:rsid w:val="52A1794C"/>
    <w:rsid w:val="52B458D1"/>
    <w:rsid w:val="52B7716F"/>
    <w:rsid w:val="52EC506B"/>
    <w:rsid w:val="52ED493F"/>
    <w:rsid w:val="52F201A7"/>
    <w:rsid w:val="52F55D8A"/>
    <w:rsid w:val="52F85E4C"/>
    <w:rsid w:val="53000D06"/>
    <w:rsid w:val="53007844"/>
    <w:rsid w:val="530171E1"/>
    <w:rsid w:val="530D2AC6"/>
    <w:rsid w:val="530D4FE1"/>
    <w:rsid w:val="5318573F"/>
    <w:rsid w:val="53206AC2"/>
    <w:rsid w:val="532365B3"/>
    <w:rsid w:val="532937C5"/>
    <w:rsid w:val="53316F22"/>
    <w:rsid w:val="533B6E8F"/>
    <w:rsid w:val="53426A39"/>
    <w:rsid w:val="534704F3"/>
    <w:rsid w:val="53536E98"/>
    <w:rsid w:val="53641AE9"/>
    <w:rsid w:val="53852DC9"/>
    <w:rsid w:val="538708F0"/>
    <w:rsid w:val="53B2013B"/>
    <w:rsid w:val="53BB70AD"/>
    <w:rsid w:val="53BE221B"/>
    <w:rsid w:val="53CA7601"/>
    <w:rsid w:val="53D571AA"/>
    <w:rsid w:val="53DA43C4"/>
    <w:rsid w:val="53E162A0"/>
    <w:rsid w:val="53E267AB"/>
    <w:rsid w:val="53EC2E48"/>
    <w:rsid w:val="540967B9"/>
    <w:rsid w:val="542B08C1"/>
    <w:rsid w:val="54352A41"/>
    <w:rsid w:val="543851AA"/>
    <w:rsid w:val="543C16DA"/>
    <w:rsid w:val="54407C84"/>
    <w:rsid w:val="54442C85"/>
    <w:rsid w:val="544D1B39"/>
    <w:rsid w:val="54534C76"/>
    <w:rsid w:val="5458228C"/>
    <w:rsid w:val="545F7ABE"/>
    <w:rsid w:val="5474356A"/>
    <w:rsid w:val="54791A67"/>
    <w:rsid w:val="547C41CC"/>
    <w:rsid w:val="549239F0"/>
    <w:rsid w:val="54957156"/>
    <w:rsid w:val="549F00C4"/>
    <w:rsid w:val="54A379AB"/>
    <w:rsid w:val="54BC6CBF"/>
    <w:rsid w:val="54BF230B"/>
    <w:rsid w:val="54D02C4B"/>
    <w:rsid w:val="54DA4DEE"/>
    <w:rsid w:val="54E56216"/>
    <w:rsid w:val="54EA258C"/>
    <w:rsid w:val="54FC355F"/>
    <w:rsid w:val="54FC530D"/>
    <w:rsid w:val="5503669C"/>
    <w:rsid w:val="55112B45"/>
    <w:rsid w:val="551663CF"/>
    <w:rsid w:val="55192F88"/>
    <w:rsid w:val="5524161D"/>
    <w:rsid w:val="5525382E"/>
    <w:rsid w:val="5527238A"/>
    <w:rsid w:val="55351206"/>
    <w:rsid w:val="5536081F"/>
    <w:rsid w:val="554051FA"/>
    <w:rsid w:val="554271C4"/>
    <w:rsid w:val="554923E8"/>
    <w:rsid w:val="554967A4"/>
    <w:rsid w:val="554B5050"/>
    <w:rsid w:val="55540CA5"/>
    <w:rsid w:val="555B64D8"/>
    <w:rsid w:val="5560589C"/>
    <w:rsid w:val="556233C2"/>
    <w:rsid w:val="556437D7"/>
    <w:rsid w:val="55653C63"/>
    <w:rsid w:val="557650C0"/>
    <w:rsid w:val="55774994"/>
    <w:rsid w:val="558E2409"/>
    <w:rsid w:val="558F79BB"/>
    <w:rsid w:val="5590774E"/>
    <w:rsid w:val="55925537"/>
    <w:rsid w:val="5597330F"/>
    <w:rsid w:val="55992B5C"/>
    <w:rsid w:val="55A649AE"/>
    <w:rsid w:val="55A75279"/>
    <w:rsid w:val="55AF412E"/>
    <w:rsid w:val="55C0458D"/>
    <w:rsid w:val="55C73B6D"/>
    <w:rsid w:val="55C7591B"/>
    <w:rsid w:val="55D93627"/>
    <w:rsid w:val="55E93AE3"/>
    <w:rsid w:val="55EC7130"/>
    <w:rsid w:val="55F85AD5"/>
    <w:rsid w:val="560E70A6"/>
    <w:rsid w:val="561A5A4B"/>
    <w:rsid w:val="561C5C67"/>
    <w:rsid w:val="561D65A7"/>
    <w:rsid w:val="56310FE7"/>
    <w:rsid w:val="56332FB1"/>
    <w:rsid w:val="563570CA"/>
    <w:rsid w:val="56496330"/>
    <w:rsid w:val="56602AF8"/>
    <w:rsid w:val="567809C3"/>
    <w:rsid w:val="56837A94"/>
    <w:rsid w:val="568630E0"/>
    <w:rsid w:val="56893874"/>
    <w:rsid w:val="568A7075"/>
    <w:rsid w:val="568D0913"/>
    <w:rsid w:val="56955EC3"/>
    <w:rsid w:val="569D1848"/>
    <w:rsid w:val="56AD2D63"/>
    <w:rsid w:val="56B13A64"/>
    <w:rsid w:val="56B761E1"/>
    <w:rsid w:val="56B84917"/>
    <w:rsid w:val="56BA3AA0"/>
    <w:rsid w:val="56BC2FA6"/>
    <w:rsid w:val="56CF6D97"/>
    <w:rsid w:val="56D227CA"/>
    <w:rsid w:val="56D66689"/>
    <w:rsid w:val="56D8324A"/>
    <w:rsid w:val="56F27A24"/>
    <w:rsid w:val="56F63F7E"/>
    <w:rsid w:val="57016C0B"/>
    <w:rsid w:val="570E46A2"/>
    <w:rsid w:val="57212E09"/>
    <w:rsid w:val="57475C4D"/>
    <w:rsid w:val="575463D8"/>
    <w:rsid w:val="575C525A"/>
    <w:rsid w:val="57610B0A"/>
    <w:rsid w:val="57716FC3"/>
    <w:rsid w:val="577473DD"/>
    <w:rsid w:val="577E025B"/>
    <w:rsid w:val="57847C36"/>
    <w:rsid w:val="57947A7F"/>
    <w:rsid w:val="57A426FE"/>
    <w:rsid w:val="57A83FE9"/>
    <w:rsid w:val="57A852D8"/>
    <w:rsid w:val="57AC50AC"/>
    <w:rsid w:val="57AC6B77"/>
    <w:rsid w:val="57B10631"/>
    <w:rsid w:val="57CA6432"/>
    <w:rsid w:val="57DF56E9"/>
    <w:rsid w:val="57E714B3"/>
    <w:rsid w:val="57E97DCB"/>
    <w:rsid w:val="57EF268E"/>
    <w:rsid w:val="57F95B34"/>
    <w:rsid w:val="58030761"/>
    <w:rsid w:val="580469B3"/>
    <w:rsid w:val="580673B3"/>
    <w:rsid w:val="58094E28"/>
    <w:rsid w:val="580F0BAB"/>
    <w:rsid w:val="58101850"/>
    <w:rsid w:val="5810533A"/>
    <w:rsid w:val="5814471C"/>
    <w:rsid w:val="58214533"/>
    <w:rsid w:val="583F5C3D"/>
    <w:rsid w:val="584274DB"/>
    <w:rsid w:val="58492617"/>
    <w:rsid w:val="58550FBC"/>
    <w:rsid w:val="585D2567"/>
    <w:rsid w:val="58627B7D"/>
    <w:rsid w:val="58670CF0"/>
    <w:rsid w:val="586A742C"/>
    <w:rsid w:val="586B2F4C"/>
    <w:rsid w:val="586E70E7"/>
    <w:rsid w:val="587F065D"/>
    <w:rsid w:val="587F428B"/>
    <w:rsid w:val="5881039C"/>
    <w:rsid w:val="58934C9C"/>
    <w:rsid w:val="58964F00"/>
    <w:rsid w:val="589917F1"/>
    <w:rsid w:val="589D0BB5"/>
    <w:rsid w:val="58AC2BA6"/>
    <w:rsid w:val="58B57CAD"/>
    <w:rsid w:val="58C134D7"/>
    <w:rsid w:val="58C223CA"/>
    <w:rsid w:val="58C94C3F"/>
    <w:rsid w:val="58DC16DE"/>
    <w:rsid w:val="58E95F87"/>
    <w:rsid w:val="5900361E"/>
    <w:rsid w:val="59060578"/>
    <w:rsid w:val="590B1FC3"/>
    <w:rsid w:val="590C4061"/>
    <w:rsid w:val="591946E0"/>
    <w:rsid w:val="591E42EB"/>
    <w:rsid w:val="59282B75"/>
    <w:rsid w:val="592A1676"/>
    <w:rsid w:val="592F3F03"/>
    <w:rsid w:val="593F20DE"/>
    <w:rsid w:val="59462FFB"/>
    <w:rsid w:val="594A4899"/>
    <w:rsid w:val="59556E84"/>
    <w:rsid w:val="59570D64"/>
    <w:rsid w:val="59605E6B"/>
    <w:rsid w:val="59624C9A"/>
    <w:rsid w:val="59682F71"/>
    <w:rsid w:val="596A0A97"/>
    <w:rsid w:val="596A4F3B"/>
    <w:rsid w:val="596C635E"/>
    <w:rsid w:val="59934492"/>
    <w:rsid w:val="599975CF"/>
    <w:rsid w:val="59AD1B77"/>
    <w:rsid w:val="59AD307A"/>
    <w:rsid w:val="59B14918"/>
    <w:rsid w:val="59B91A1F"/>
    <w:rsid w:val="59D10B16"/>
    <w:rsid w:val="59D1446D"/>
    <w:rsid w:val="59D46859"/>
    <w:rsid w:val="59D6612D"/>
    <w:rsid w:val="59D914C4"/>
    <w:rsid w:val="59E36A9C"/>
    <w:rsid w:val="59E71DDE"/>
    <w:rsid w:val="59F36CDF"/>
    <w:rsid w:val="59FE7432"/>
    <w:rsid w:val="5A064D2E"/>
    <w:rsid w:val="5A0A04CC"/>
    <w:rsid w:val="5A184997"/>
    <w:rsid w:val="5A1A5D73"/>
    <w:rsid w:val="5A253E8E"/>
    <w:rsid w:val="5A286AC3"/>
    <w:rsid w:val="5A2C5B56"/>
    <w:rsid w:val="5A301271"/>
    <w:rsid w:val="5A3B6F44"/>
    <w:rsid w:val="5A4C77D4"/>
    <w:rsid w:val="5A53496E"/>
    <w:rsid w:val="5A546E71"/>
    <w:rsid w:val="5A5A4FB0"/>
    <w:rsid w:val="5A6E4023"/>
    <w:rsid w:val="5A70032F"/>
    <w:rsid w:val="5A706581"/>
    <w:rsid w:val="5A724B29"/>
    <w:rsid w:val="5A731B6E"/>
    <w:rsid w:val="5A7756D8"/>
    <w:rsid w:val="5A781C19"/>
    <w:rsid w:val="5A8042EB"/>
    <w:rsid w:val="5A813C80"/>
    <w:rsid w:val="5A865DA5"/>
    <w:rsid w:val="5A9009D2"/>
    <w:rsid w:val="5A92474A"/>
    <w:rsid w:val="5A96078C"/>
    <w:rsid w:val="5A975D93"/>
    <w:rsid w:val="5A9A35FE"/>
    <w:rsid w:val="5A9D30EE"/>
    <w:rsid w:val="5A9F0C15"/>
    <w:rsid w:val="5AB346C0"/>
    <w:rsid w:val="5AB3646E"/>
    <w:rsid w:val="5AB50438"/>
    <w:rsid w:val="5AB75F5E"/>
    <w:rsid w:val="5ABB0552"/>
    <w:rsid w:val="5ABF4E13"/>
    <w:rsid w:val="5AC87CD6"/>
    <w:rsid w:val="5ACC7530"/>
    <w:rsid w:val="5ACE32A8"/>
    <w:rsid w:val="5AD5082A"/>
    <w:rsid w:val="5AD82E93"/>
    <w:rsid w:val="5AE85A5C"/>
    <w:rsid w:val="5AED7556"/>
    <w:rsid w:val="5AEE74A6"/>
    <w:rsid w:val="5AF32D0E"/>
    <w:rsid w:val="5B0867BA"/>
    <w:rsid w:val="5B10566E"/>
    <w:rsid w:val="5B135943"/>
    <w:rsid w:val="5B18744E"/>
    <w:rsid w:val="5B2555BE"/>
    <w:rsid w:val="5B2B24A8"/>
    <w:rsid w:val="5B361196"/>
    <w:rsid w:val="5B370E4D"/>
    <w:rsid w:val="5B4D241F"/>
    <w:rsid w:val="5B527A35"/>
    <w:rsid w:val="5B647768"/>
    <w:rsid w:val="5B6F4A8B"/>
    <w:rsid w:val="5B70402B"/>
    <w:rsid w:val="5B7C4A37"/>
    <w:rsid w:val="5B887D6C"/>
    <w:rsid w:val="5BAA7871"/>
    <w:rsid w:val="5BCA7F13"/>
    <w:rsid w:val="5BDB7A2A"/>
    <w:rsid w:val="5BE014E5"/>
    <w:rsid w:val="5BE609ED"/>
    <w:rsid w:val="5BEA5EBF"/>
    <w:rsid w:val="5BF250D6"/>
    <w:rsid w:val="5C0056E3"/>
    <w:rsid w:val="5C180C7F"/>
    <w:rsid w:val="5C207B33"/>
    <w:rsid w:val="5C2515ED"/>
    <w:rsid w:val="5C2C3DE5"/>
    <w:rsid w:val="5C3A263A"/>
    <w:rsid w:val="5C3A6E47"/>
    <w:rsid w:val="5C417408"/>
    <w:rsid w:val="5C4A2BD7"/>
    <w:rsid w:val="5C527136"/>
    <w:rsid w:val="5C641F0D"/>
    <w:rsid w:val="5C642116"/>
    <w:rsid w:val="5C700ABB"/>
    <w:rsid w:val="5C776F19"/>
    <w:rsid w:val="5C82434A"/>
    <w:rsid w:val="5C974299"/>
    <w:rsid w:val="5CAF68F6"/>
    <w:rsid w:val="5CB84210"/>
    <w:rsid w:val="5CC978D7"/>
    <w:rsid w:val="5CCC0FA4"/>
    <w:rsid w:val="5CD34BA6"/>
    <w:rsid w:val="5CD460C1"/>
    <w:rsid w:val="5CE773E6"/>
    <w:rsid w:val="5CF05758"/>
    <w:rsid w:val="5CF84E92"/>
    <w:rsid w:val="5D213D72"/>
    <w:rsid w:val="5D261179"/>
    <w:rsid w:val="5D2D075A"/>
    <w:rsid w:val="5D303DA6"/>
    <w:rsid w:val="5D350B48"/>
    <w:rsid w:val="5D4D2BAA"/>
    <w:rsid w:val="5D63632E"/>
    <w:rsid w:val="5D664E64"/>
    <w:rsid w:val="5D6D6DA8"/>
    <w:rsid w:val="5D7E7207"/>
    <w:rsid w:val="5D8660BC"/>
    <w:rsid w:val="5D9A1417"/>
    <w:rsid w:val="5D9E51B4"/>
    <w:rsid w:val="5DA54437"/>
    <w:rsid w:val="5DA622BA"/>
    <w:rsid w:val="5DAC3A6F"/>
    <w:rsid w:val="5DAF116F"/>
    <w:rsid w:val="5DB619E8"/>
    <w:rsid w:val="5DB669A1"/>
    <w:rsid w:val="5DB744C7"/>
    <w:rsid w:val="5DDF6040"/>
    <w:rsid w:val="5DEA664B"/>
    <w:rsid w:val="5DF55E0C"/>
    <w:rsid w:val="5DFF5A3A"/>
    <w:rsid w:val="5E082F75"/>
    <w:rsid w:val="5E0D40E7"/>
    <w:rsid w:val="5E0F7E5F"/>
    <w:rsid w:val="5E2356B9"/>
    <w:rsid w:val="5E2775BD"/>
    <w:rsid w:val="5E2A6A47"/>
    <w:rsid w:val="5E2F405E"/>
    <w:rsid w:val="5E317DD6"/>
    <w:rsid w:val="5E326512"/>
    <w:rsid w:val="5E337FF2"/>
    <w:rsid w:val="5E3E6996"/>
    <w:rsid w:val="5E455F5D"/>
    <w:rsid w:val="5E504C73"/>
    <w:rsid w:val="5E655CD1"/>
    <w:rsid w:val="5E6957C1"/>
    <w:rsid w:val="5E6A32E8"/>
    <w:rsid w:val="5E7303EE"/>
    <w:rsid w:val="5E745048"/>
    <w:rsid w:val="5E985E8A"/>
    <w:rsid w:val="5EB167E4"/>
    <w:rsid w:val="5EB427B5"/>
    <w:rsid w:val="5EB50A07"/>
    <w:rsid w:val="5EB86600"/>
    <w:rsid w:val="5EBD3D5F"/>
    <w:rsid w:val="5ED846F5"/>
    <w:rsid w:val="5EE54D87"/>
    <w:rsid w:val="5EF86B45"/>
    <w:rsid w:val="5EFD415C"/>
    <w:rsid w:val="5F0F3B65"/>
    <w:rsid w:val="5F19546E"/>
    <w:rsid w:val="5F1C2437"/>
    <w:rsid w:val="5F294F51"/>
    <w:rsid w:val="5F322F1C"/>
    <w:rsid w:val="5F41673E"/>
    <w:rsid w:val="5F4423A0"/>
    <w:rsid w:val="5F447FDD"/>
    <w:rsid w:val="5F4D6E91"/>
    <w:rsid w:val="5F516EB0"/>
    <w:rsid w:val="5F5E46BC"/>
    <w:rsid w:val="5F7268F8"/>
    <w:rsid w:val="5F8E1258"/>
    <w:rsid w:val="5FA36AB1"/>
    <w:rsid w:val="5FAF541F"/>
    <w:rsid w:val="5FB455AB"/>
    <w:rsid w:val="5FC058B5"/>
    <w:rsid w:val="5FCF78A6"/>
    <w:rsid w:val="5FD2383A"/>
    <w:rsid w:val="5FD44EBD"/>
    <w:rsid w:val="5FD650D9"/>
    <w:rsid w:val="5FD8479E"/>
    <w:rsid w:val="5FD96977"/>
    <w:rsid w:val="5FD96A2E"/>
    <w:rsid w:val="5FE1582B"/>
    <w:rsid w:val="5FED2422"/>
    <w:rsid w:val="5FEF4FD0"/>
    <w:rsid w:val="5FF11588"/>
    <w:rsid w:val="5FF7262C"/>
    <w:rsid w:val="5FFF231D"/>
    <w:rsid w:val="60011A2A"/>
    <w:rsid w:val="6006390D"/>
    <w:rsid w:val="600A22DC"/>
    <w:rsid w:val="60163727"/>
    <w:rsid w:val="601B0D3D"/>
    <w:rsid w:val="60285208"/>
    <w:rsid w:val="60367925"/>
    <w:rsid w:val="604007A4"/>
    <w:rsid w:val="6042451C"/>
    <w:rsid w:val="60483AFC"/>
    <w:rsid w:val="604D003F"/>
    <w:rsid w:val="60536729"/>
    <w:rsid w:val="60563B24"/>
    <w:rsid w:val="60585DBB"/>
    <w:rsid w:val="60634492"/>
    <w:rsid w:val="60771CEC"/>
    <w:rsid w:val="60854409"/>
    <w:rsid w:val="608F69DA"/>
    <w:rsid w:val="60946038"/>
    <w:rsid w:val="609464D9"/>
    <w:rsid w:val="60A24A68"/>
    <w:rsid w:val="60AE4241"/>
    <w:rsid w:val="60C211B9"/>
    <w:rsid w:val="60EC6236"/>
    <w:rsid w:val="60EF5D26"/>
    <w:rsid w:val="60F03F78"/>
    <w:rsid w:val="60F23257"/>
    <w:rsid w:val="60F375C4"/>
    <w:rsid w:val="60F577E0"/>
    <w:rsid w:val="6118702B"/>
    <w:rsid w:val="611F2AAF"/>
    <w:rsid w:val="6122434D"/>
    <w:rsid w:val="612461EF"/>
    <w:rsid w:val="61300818"/>
    <w:rsid w:val="613431E3"/>
    <w:rsid w:val="61346B44"/>
    <w:rsid w:val="61394E2C"/>
    <w:rsid w:val="614A363A"/>
    <w:rsid w:val="614B7400"/>
    <w:rsid w:val="6155202D"/>
    <w:rsid w:val="615736B4"/>
    <w:rsid w:val="6162299C"/>
    <w:rsid w:val="616C7377"/>
    <w:rsid w:val="61783F6D"/>
    <w:rsid w:val="61997A08"/>
    <w:rsid w:val="61BA66DD"/>
    <w:rsid w:val="61BF3AD6"/>
    <w:rsid w:val="61C62F2B"/>
    <w:rsid w:val="61D74A8B"/>
    <w:rsid w:val="61F66EDC"/>
    <w:rsid w:val="61FD7A05"/>
    <w:rsid w:val="620121B5"/>
    <w:rsid w:val="621C3CEA"/>
    <w:rsid w:val="621C7A8F"/>
    <w:rsid w:val="622163B3"/>
    <w:rsid w:val="62255429"/>
    <w:rsid w:val="62312A9A"/>
    <w:rsid w:val="62375BD7"/>
    <w:rsid w:val="6239194F"/>
    <w:rsid w:val="623A61BF"/>
    <w:rsid w:val="624D71A8"/>
    <w:rsid w:val="624E4D3B"/>
    <w:rsid w:val="624F2F20"/>
    <w:rsid w:val="62612C54"/>
    <w:rsid w:val="62684D87"/>
    <w:rsid w:val="626C5880"/>
    <w:rsid w:val="62712E97"/>
    <w:rsid w:val="6277269C"/>
    <w:rsid w:val="627806C9"/>
    <w:rsid w:val="62791D4B"/>
    <w:rsid w:val="628F77C1"/>
    <w:rsid w:val="62A3501A"/>
    <w:rsid w:val="62AC2121"/>
    <w:rsid w:val="62B31701"/>
    <w:rsid w:val="62B334AF"/>
    <w:rsid w:val="62BC0A94"/>
    <w:rsid w:val="62C0797A"/>
    <w:rsid w:val="62CC5CA6"/>
    <w:rsid w:val="62D358FF"/>
    <w:rsid w:val="62D84CC4"/>
    <w:rsid w:val="62E47B0C"/>
    <w:rsid w:val="62E55E05"/>
    <w:rsid w:val="62F475B6"/>
    <w:rsid w:val="62F51D1A"/>
    <w:rsid w:val="62F64690"/>
    <w:rsid w:val="62FB6C04"/>
    <w:rsid w:val="63035AB9"/>
    <w:rsid w:val="63040FB0"/>
    <w:rsid w:val="63053918"/>
    <w:rsid w:val="630C6A64"/>
    <w:rsid w:val="631931D8"/>
    <w:rsid w:val="631A352E"/>
    <w:rsid w:val="631F7E44"/>
    <w:rsid w:val="63247F09"/>
    <w:rsid w:val="63376FCF"/>
    <w:rsid w:val="63381A01"/>
    <w:rsid w:val="633B5253"/>
    <w:rsid w:val="633F2F95"/>
    <w:rsid w:val="6340688D"/>
    <w:rsid w:val="634B11FA"/>
    <w:rsid w:val="6361115D"/>
    <w:rsid w:val="63691DC0"/>
    <w:rsid w:val="636E387A"/>
    <w:rsid w:val="637636F5"/>
    <w:rsid w:val="637C04DD"/>
    <w:rsid w:val="637C1F2D"/>
    <w:rsid w:val="638B7F88"/>
    <w:rsid w:val="63964CCA"/>
    <w:rsid w:val="63A76EDE"/>
    <w:rsid w:val="63A80A45"/>
    <w:rsid w:val="63B3451B"/>
    <w:rsid w:val="63B35B98"/>
    <w:rsid w:val="63B868A3"/>
    <w:rsid w:val="63C74D38"/>
    <w:rsid w:val="63DF02D4"/>
    <w:rsid w:val="63E31B72"/>
    <w:rsid w:val="63E706F5"/>
    <w:rsid w:val="63F35B2D"/>
    <w:rsid w:val="63F52B14"/>
    <w:rsid w:val="640202B0"/>
    <w:rsid w:val="64025D70"/>
    <w:rsid w:val="640728BC"/>
    <w:rsid w:val="640D6BEF"/>
    <w:rsid w:val="641038BF"/>
    <w:rsid w:val="64156536"/>
    <w:rsid w:val="64191A38"/>
    <w:rsid w:val="642301C1"/>
    <w:rsid w:val="64340785"/>
    <w:rsid w:val="64346872"/>
    <w:rsid w:val="643B19AE"/>
    <w:rsid w:val="64407839"/>
    <w:rsid w:val="6447573E"/>
    <w:rsid w:val="644A57F4"/>
    <w:rsid w:val="644D7933"/>
    <w:rsid w:val="644F7208"/>
    <w:rsid w:val="64537FFA"/>
    <w:rsid w:val="645A5BAC"/>
    <w:rsid w:val="645A5DA2"/>
    <w:rsid w:val="64630F05"/>
    <w:rsid w:val="64722017"/>
    <w:rsid w:val="64740C39"/>
    <w:rsid w:val="647B624F"/>
    <w:rsid w:val="648A0240"/>
    <w:rsid w:val="64925346"/>
    <w:rsid w:val="649317EA"/>
    <w:rsid w:val="649B41FB"/>
    <w:rsid w:val="64A64F1F"/>
    <w:rsid w:val="64A93097"/>
    <w:rsid w:val="64AA6B34"/>
    <w:rsid w:val="64B10D78"/>
    <w:rsid w:val="64B63C66"/>
    <w:rsid w:val="64B95554"/>
    <w:rsid w:val="64C25C2B"/>
    <w:rsid w:val="64C71494"/>
    <w:rsid w:val="64C90DA7"/>
    <w:rsid w:val="64CB4692"/>
    <w:rsid w:val="64CC2606"/>
    <w:rsid w:val="64CE15B4"/>
    <w:rsid w:val="64CF659A"/>
    <w:rsid w:val="64E66C73"/>
    <w:rsid w:val="64EC0EFA"/>
    <w:rsid w:val="64F352EC"/>
    <w:rsid w:val="64FB738F"/>
    <w:rsid w:val="65053D6A"/>
    <w:rsid w:val="650C334B"/>
    <w:rsid w:val="650C6EA7"/>
    <w:rsid w:val="650E0E71"/>
    <w:rsid w:val="650F6997"/>
    <w:rsid w:val="651346D9"/>
    <w:rsid w:val="651641C9"/>
    <w:rsid w:val="651B17E0"/>
    <w:rsid w:val="651D7306"/>
    <w:rsid w:val="65222B6E"/>
    <w:rsid w:val="652829BB"/>
    <w:rsid w:val="65297A59"/>
    <w:rsid w:val="652A2E44"/>
    <w:rsid w:val="652F2EC5"/>
    <w:rsid w:val="652F7039"/>
    <w:rsid w:val="65314B5F"/>
    <w:rsid w:val="653B3C30"/>
    <w:rsid w:val="65474383"/>
    <w:rsid w:val="654E4849"/>
    <w:rsid w:val="6564437F"/>
    <w:rsid w:val="65652A5B"/>
    <w:rsid w:val="65686657"/>
    <w:rsid w:val="657F1D6E"/>
    <w:rsid w:val="6598698C"/>
    <w:rsid w:val="65AE4402"/>
    <w:rsid w:val="65BB2A91"/>
    <w:rsid w:val="65BC08CD"/>
    <w:rsid w:val="65BD69EB"/>
    <w:rsid w:val="65C6174B"/>
    <w:rsid w:val="65D5373C"/>
    <w:rsid w:val="65D774B5"/>
    <w:rsid w:val="65D9215E"/>
    <w:rsid w:val="65DB2380"/>
    <w:rsid w:val="65DC0990"/>
    <w:rsid w:val="65F8742B"/>
    <w:rsid w:val="65F91B21"/>
    <w:rsid w:val="65FD165F"/>
    <w:rsid w:val="65FE001F"/>
    <w:rsid w:val="6602534E"/>
    <w:rsid w:val="66061B48"/>
    <w:rsid w:val="66157FDD"/>
    <w:rsid w:val="66173D55"/>
    <w:rsid w:val="66236B9E"/>
    <w:rsid w:val="66246472"/>
    <w:rsid w:val="662D5327"/>
    <w:rsid w:val="66344907"/>
    <w:rsid w:val="6635067F"/>
    <w:rsid w:val="664538EE"/>
    <w:rsid w:val="664977CF"/>
    <w:rsid w:val="66567AA8"/>
    <w:rsid w:val="668005C9"/>
    <w:rsid w:val="668B64F1"/>
    <w:rsid w:val="668C3C28"/>
    <w:rsid w:val="668F7D8F"/>
    <w:rsid w:val="6695088A"/>
    <w:rsid w:val="669B6734"/>
    <w:rsid w:val="66A3383B"/>
    <w:rsid w:val="66AD0F21"/>
    <w:rsid w:val="66B44A74"/>
    <w:rsid w:val="66B45A48"/>
    <w:rsid w:val="66B477F6"/>
    <w:rsid w:val="66C832A1"/>
    <w:rsid w:val="66CC4B08"/>
    <w:rsid w:val="66D103A8"/>
    <w:rsid w:val="66D47E98"/>
    <w:rsid w:val="66D734E4"/>
    <w:rsid w:val="66EC4975"/>
    <w:rsid w:val="67016B09"/>
    <w:rsid w:val="67157299"/>
    <w:rsid w:val="671A443C"/>
    <w:rsid w:val="67340937"/>
    <w:rsid w:val="67346B89"/>
    <w:rsid w:val="673E194E"/>
    <w:rsid w:val="674212A6"/>
    <w:rsid w:val="674B2D0D"/>
    <w:rsid w:val="674F5770"/>
    <w:rsid w:val="6753700F"/>
    <w:rsid w:val="676310C1"/>
    <w:rsid w:val="67672D81"/>
    <w:rsid w:val="67762CFD"/>
    <w:rsid w:val="677B47B7"/>
    <w:rsid w:val="678718F7"/>
    <w:rsid w:val="678A0557"/>
    <w:rsid w:val="67902011"/>
    <w:rsid w:val="67931B01"/>
    <w:rsid w:val="679A77F5"/>
    <w:rsid w:val="67AF7FBD"/>
    <w:rsid w:val="67B36341"/>
    <w:rsid w:val="67BA52E0"/>
    <w:rsid w:val="67C1666E"/>
    <w:rsid w:val="67CA2A68"/>
    <w:rsid w:val="67DF7076"/>
    <w:rsid w:val="67F65BEC"/>
    <w:rsid w:val="67F8548C"/>
    <w:rsid w:val="67FB4A72"/>
    <w:rsid w:val="67FC2416"/>
    <w:rsid w:val="67FF2CF3"/>
    <w:rsid w:val="68000819"/>
    <w:rsid w:val="681A3FD0"/>
    <w:rsid w:val="681B27B3"/>
    <w:rsid w:val="681F3395"/>
    <w:rsid w:val="681F6223"/>
    <w:rsid w:val="68204770"/>
    <w:rsid w:val="682D1F86"/>
    <w:rsid w:val="682D4F2C"/>
    <w:rsid w:val="683116BC"/>
    <w:rsid w:val="68555008"/>
    <w:rsid w:val="68682EB7"/>
    <w:rsid w:val="687731D1"/>
    <w:rsid w:val="688A4CB2"/>
    <w:rsid w:val="688F3871"/>
    <w:rsid w:val="68914293"/>
    <w:rsid w:val="68915AF8"/>
    <w:rsid w:val="68994EF5"/>
    <w:rsid w:val="68A85138"/>
    <w:rsid w:val="68B00491"/>
    <w:rsid w:val="68B910F3"/>
    <w:rsid w:val="68BD170D"/>
    <w:rsid w:val="68C1269E"/>
    <w:rsid w:val="68C33D20"/>
    <w:rsid w:val="68CA1553"/>
    <w:rsid w:val="68D70CB5"/>
    <w:rsid w:val="68D91796"/>
    <w:rsid w:val="68DC76F5"/>
    <w:rsid w:val="68E1689C"/>
    <w:rsid w:val="68E51EE8"/>
    <w:rsid w:val="68E74072"/>
    <w:rsid w:val="68F276C7"/>
    <w:rsid w:val="68FB795E"/>
    <w:rsid w:val="690907B8"/>
    <w:rsid w:val="69097216"/>
    <w:rsid w:val="69112CDD"/>
    <w:rsid w:val="69164798"/>
    <w:rsid w:val="69173BDC"/>
    <w:rsid w:val="6917406C"/>
    <w:rsid w:val="692A0243"/>
    <w:rsid w:val="693370F8"/>
    <w:rsid w:val="694A567B"/>
    <w:rsid w:val="694C1F68"/>
    <w:rsid w:val="694C396F"/>
    <w:rsid w:val="69561038"/>
    <w:rsid w:val="69670B4F"/>
    <w:rsid w:val="69737C6F"/>
    <w:rsid w:val="69A91168"/>
    <w:rsid w:val="69B8569F"/>
    <w:rsid w:val="69BA15C7"/>
    <w:rsid w:val="69BA3375"/>
    <w:rsid w:val="69BD4674"/>
    <w:rsid w:val="69C42446"/>
    <w:rsid w:val="69CB5582"/>
    <w:rsid w:val="69D07CE7"/>
    <w:rsid w:val="69D501AF"/>
    <w:rsid w:val="69DC4B89"/>
    <w:rsid w:val="69F02271"/>
    <w:rsid w:val="69F66377"/>
    <w:rsid w:val="69F745C9"/>
    <w:rsid w:val="69F85C4B"/>
    <w:rsid w:val="6A036769"/>
    <w:rsid w:val="6A076E50"/>
    <w:rsid w:val="6A154A4F"/>
    <w:rsid w:val="6A1D3904"/>
    <w:rsid w:val="6A2B6021"/>
    <w:rsid w:val="6A325674"/>
    <w:rsid w:val="6A350C4E"/>
    <w:rsid w:val="6A44338D"/>
    <w:rsid w:val="6A484E97"/>
    <w:rsid w:val="6A4964A7"/>
    <w:rsid w:val="6A4B66C3"/>
    <w:rsid w:val="6A512E17"/>
    <w:rsid w:val="6A52291B"/>
    <w:rsid w:val="6A537326"/>
    <w:rsid w:val="6A55309E"/>
    <w:rsid w:val="6A787EA6"/>
    <w:rsid w:val="6A7B10E5"/>
    <w:rsid w:val="6A817F02"/>
    <w:rsid w:val="6A8370C5"/>
    <w:rsid w:val="6AA06A0F"/>
    <w:rsid w:val="6AA208C4"/>
    <w:rsid w:val="6AA61A1F"/>
    <w:rsid w:val="6AA82823"/>
    <w:rsid w:val="6AC65D4A"/>
    <w:rsid w:val="6AE32667"/>
    <w:rsid w:val="6AE35ED9"/>
    <w:rsid w:val="6AEF52A0"/>
    <w:rsid w:val="6AF01018"/>
    <w:rsid w:val="6B016D82"/>
    <w:rsid w:val="6B043AB0"/>
    <w:rsid w:val="6B16256B"/>
    <w:rsid w:val="6B250CC2"/>
    <w:rsid w:val="6B252A70"/>
    <w:rsid w:val="6B351E6F"/>
    <w:rsid w:val="6B362ECF"/>
    <w:rsid w:val="6B4A778A"/>
    <w:rsid w:val="6B59096C"/>
    <w:rsid w:val="6B6317EA"/>
    <w:rsid w:val="6B637A3C"/>
    <w:rsid w:val="6B651329"/>
    <w:rsid w:val="6B785296"/>
    <w:rsid w:val="6B7A4051"/>
    <w:rsid w:val="6B7B6B34"/>
    <w:rsid w:val="6B7E6624"/>
    <w:rsid w:val="6B854551"/>
    <w:rsid w:val="6B854B09"/>
    <w:rsid w:val="6B8C0D18"/>
    <w:rsid w:val="6B8E4AB9"/>
    <w:rsid w:val="6B8F25DF"/>
    <w:rsid w:val="6B9F6CC6"/>
    <w:rsid w:val="6BB61FDF"/>
    <w:rsid w:val="6BBB0F19"/>
    <w:rsid w:val="6BC26511"/>
    <w:rsid w:val="6BD12BF8"/>
    <w:rsid w:val="6BDA7CFF"/>
    <w:rsid w:val="6BDB7B15"/>
    <w:rsid w:val="6BDD159D"/>
    <w:rsid w:val="6BDF5315"/>
    <w:rsid w:val="6BE14999"/>
    <w:rsid w:val="6BEC0A15"/>
    <w:rsid w:val="6BF57328"/>
    <w:rsid w:val="6BFB5FD1"/>
    <w:rsid w:val="6BFF59B7"/>
    <w:rsid w:val="6C0B2BD4"/>
    <w:rsid w:val="6C117498"/>
    <w:rsid w:val="6C186A79"/>
    <w:rsid w:val="6C223454"/>
    <w:rsid w:val="6C2753D7"/>
    <w:rsid w:val="6C2C42D2"/>
    <w:rsid w:val="6C303DC2"/>
    <w:rsid w:val="6C3311BD"/>
    <w:rsid w:val="6C3A3AEB"/>
    <w:rsid w:val="6C474C68"/>
    <w:rsid w:val="6C50666F"/>
    <w:rsid w:val="6C6B6BA9"/>
    <w:rsid w:val="6C710EEE"/>
    <w:rsid w:val="6C745394"/>
    <w:rsid w:val="6C922387"/>
    <w:rsid w:val="6C9A556F"/>
    <w:rsid w:val="6C9F1581"/>
    <w:rsid w:val="6CB22A29"/>
    <w:rsid w:val="6CBC16CE"/>
    <w:rsid w:val="6CBC7404"/>
    <w:rsid w:val="6CC84740"/>
    <w:rsid w:val="6CC91B21"/>
    <w:rsid w:val="6CD56718"/>
    <w:rsid w:val="6CEE5462"/>
    <w:rsid w:val="6CFE3969"/>
    <w:rsid w:val="6D042B59"/>
    <w:rsid w:val="6D050DAB"/>
    <w:rsid w:val="6D12175F"/>
    <w:rsid w:val="6D154D66"/>
    <w:rsid w:val="6D1C4347"/>
    <w:rsid w:val="6D1F5AF0"/>
    <w:rsid w:val="6D1F76A1"/>
    <w:rsid w:val="6D2531FB"/>
    <w:rsid w:val="6D262AD0"/>
    <w:rsid w:val="6D2A0812"/>
    <w:rsid w:val="6D2A6A64"/>
    <w:rsid w:val="6D3A4CCF"/>
    <w:rsid w:val="6D3A66E2"/>
    <w:rsid w:val="6D3E42BD"/>
    <w:rsid w:val="6D421EAD"/>
    <w:rsid w:val="6D527D69"/>
    <w:rsid w:val="6D5B4E6F"/>
    <w:rsid w:val="6D765805"/>
    <w:rsid w:val="6D7B72BF"/>
    <w:rsid w:val="6D7E0B5E"/>
    <w:rsid w:val="6D851EEC"/>
    <w:rsid w:val="6D930B2B"/>
    <w:rsid w:val="6D9B21BC"/>
    <w:rsid w:val="6DAD31F1"/>
    <w:rsid w:val="6DB4632D"/>
    <w:rsid w:val="6DB9196D"/>
    <w:rsid w:val="6DC742B3"/>
    <w:rsid w:val="6DC9002B"/>
    <w:rsid w:val="6DCE5641"/>
    <w:rsid w:val="6DD377F6"/>
    <w:rsid w:val="6DD56355"/>
    <w:rsid w:val="6DE90B6C"/>
    <w:rsid w:val="6DEC1184"/>
    <w:rsid w:val="6DF1132F"/>
    <w:rsid w:val="6DF17581"/>
    <w:rsid w:val="6E004945"/>
    <w:rsid w:val="6E0A419F"/>
    <w:rsid w:val="6E103CBF"/>
    <w:rsid w:val="6E1312A6"/>
    <w:rsid w:val="6E1419C2"/>
    <w:rsid w:val="6E146DCC"/>
    <w:rsid w:val="6E1D2124"/>
    <w:rsid w:val="6E1D76E4"/>
    <w:rsid w:val="6E2711F5"/>
    <w:rsid w:val="6E290AC9"/>
    <w:rsid w:val="6E3B189E"/>
    <w:rsid w:val="6E3F209B"/>
    <w:rsid w:val="6E5D69C5"/>
    <w:rsid w:val="6E67178A"/>
    <w:rsid w:val="6E731D44"/>
    <w:rsid w:val="6E755ABD"/>
    <w:rsid w:val="6E76461E"/>
    <w:rsid w:val="6E7F06E9"/>
    <w:rsid w:val="6E8F6F2C"/>
    <w:rsid w:val="6EA12D56"/>
    <w:rsid w:val="6EA44F40"/>
    <w:rsid w:val="6EA86918"/>
    <w:rsid w:val="6EAB14DE"/>
    <w:rsid w:val="6EC6253E"/>
    <w:rsid w:val="6EC6456A"/>
    <w:rsid w:val="6ED372AA"/>
    <w:rsid w:val="6ED54165"/>
    <w:rsid w:val="6ED8429D"/>
    <w:rsid w:val="6EEA24DB"/>
    <w:rsid w:val="6EEB00C0"/>
    <w:rsid w:val="6EEB2223"/>
    <w:rsid w:val="6EF2710D"/>
    <w:rsid w:val="6EFD1AEA"/>
    <w:rsid w:val="6F15104E"/>
    <w:rsid w:val="6F265009"/>
    <w:rsid w:val="6F3657AD"/>
    <w:rsid w:val="6F44235F"/>
    <w:rsid w:val="6F4D3531"/>
    <w:rsid w:val="6F5A0EB9"/>
    <w:rsid w:val="6F60051B"/>
    <w:rsid w:val="6F651FD5"/>
    <w:rsid w:val="6F667AFB"/>
    <w:rsid w:val="6F6F5896"/>
    <w:rsid w:val="6F7520D4"/>
    <w:rsid w:val="6F7915DC"/>
    <w:rsid w:val="6F7E6BF3"/>
    <w:rsid w:val="6F800BBD"/>
    <w:rsid w:val="6F8C45F4"/>
    <w:rsid w:val="6F966DB3"/>
    <w:rsid w:val="6F970D68"/>
    <w:rsid w:val="6F974373"/>
    <w:rsid w:val="6F9E1043"/>
    <w:rsid w:val="6FA050E9"/>
    <w:rsid w:val="6FA54B92"/>
    <w:rsid w:val="6FB24AEE"/>
    <w:rsid w:val="6FBE16E5"/>
    <w:rsid w:val="6FBF28CD"/>
    <w:rsid w:val="6FC20A41"/>
    <w:rsid w:val="6FC74058"/>
    <w:rsid w:val="6FC767EC"/>
    <w:rsid w:val="6FC82564"/>
    <w:rsid w:val="6FCA62DC"/>
    <w:rsid w:val="6FCC2251"/>
    <w:rsid w:val="6FCE7B7A"/>
    <w:rsid w:val="6FD0582A"/>
    <w:rsid w:val="6FD14B4C"/>
    <w:rsid w:val="6FD552CF"/>
    <w:rsid w:val="6FE84211"/>
    <w:rsid w:val="6FF70753"/>
    <w:rsid w:val="6FF84BF7"/>
    <w:rsid w:val="6FFE7B6B"/>
    <w:rsid w:val="70040E87"/>
    <w:rsid w:val="70072C15"/>
    <w:rsid w:val="700A66D9"/>
    <w:rsid w:val="70283432"/>
    <w:rsid w:val="703D260A"/>
    <w:rsid w:val="704716DB"/>
    <w:rsid w:val="704871A4"/>
    <w:rsid w:val="70592DFA"/>
    <w:rsid w:val="705D443A"/>
    <w:rsid w:val="7060279C"/>
    <w:rsid w:val="70626515"/>
    <w:rsid w:val="70694F36"/>
    <w:rsid w:val="706C2EEF"/>
    <w:rsid w:val="70757FF6"/>
    <w:rsid w:val="707B75D6"/>
    <w:rsid w:val="70880C5C"/>
    <w:rsid w:val="70A02B99"/>
    <w:rsid w:val="70B36D70"/>
    <w:rsid w:val="70B523D0"/>
    <w:rsid w:val="70B66661"/>
    <w:rsid w:val="70BC1343"/>
    <w:rsid w:val="70C16A11"/>
    <w:rsid w:val="70C279EE"/>
    <w:rsid w:val="70C42D2B"/>
    <w:rsid w:val="70CA3E58"/>
    <w:rsid w:val="70CF08A3"/>
    <w:rsid w:val="70D26366"/>
    <w:rsid w:val="70D93B7E"/>
    <w:rsid w:val="70DD3906"/>
    <w:rsid w:val="70E21403"/>
    <w:rsid w:val="70E94540"/>
    <w:rsid w:val="70EB650A"/>
    <w:rsid w:val="7109479F"/>
    <w:rsid w:val="7114612B"/>
    <w:rsid w:val="713A4D9B"/>
    <w:rsid w:val="713C330F"/>
    <w:rsid w:val="713D663A"/>
    <w:rsid w:val="71502811"/>
    <w:rsid w:val="71535E5D"/>
    <w:rsid w:val="71554A0A"/>
    <w:rsid w:val="71603470"/>
    <w:rsid w:val="71665B90"/>
    <w:rsid w:val="71713DC7"/>
    <w:rsid w:val="71777D9E"/>
    <w:rsid w:val="717E3211"/>
    <w:rsid w:val="718A316E"/>
    <w:rsid w:val="719B076B"/>
    <w:rsid w:val="71A05546"/>
    <w:rsid w:val="71A212BE"/>
    <w:rsid w:val="71A312E0"/>
    <w:rsid w:val="71AF7537"/>
    <w:rsid w:val="71CD20B4"/>
    <w:rsid w:val="71D074AE"/>
    <w:rsid w:val="71DC2403"/>
    <w:rsid w:val="71EA67C2"/>
    <w:rsid w:val="71EB65B7"/>
    <w:rsid w:val="71F15DA2"/>
    <w:rsid w:val="71F22B83"/>
    <w:rsid w:val="71F61B40"/>
    <w:rsid w:val="71FC02A3"/>
    <w:rsid w:val="71FD4747"/>
    <w:rsid w:val="71FE401B"/>
    <w:rsid w:val="720F6228"/>
    <w:rsid w:val="72127AC6"/>
    <w:rsid w:val="72231CD3"/>
    <w:rsid w:val="722E1160"/>
    <w:rsid w:val="723B526F"/>
    <w:rsid w:val="723F4D5F"/>
    <w:rsid w:val="72402885"/>
    <w:rsid w:val="726A66B7"/>
    <w:rsid w:val="72712834"/>
    <w:rsid w:val="728269FA"/>
    <w:rsid w:val="7285473C"/>
    <w:rsid w:val="729606F7"/>
    <w:rsid w:val="729D55E2"/>
    <w:rsid w:val="72A90315"/>
    <w:rsid w:val="72AC1CC9"/>
    <w:rsid w:val="72B312A9"/>
    <w:rsid w:val="72BC2352"/>
    <w:rsid w:val="72C2329A"/>
    <w:rsid w:val="72C62D8B"/>
    <w:rsid w:val="72CC4119"/>
    <w:rsid w:val="72D1172F"/>
    <w:rsid w:val="72D60AF4"/>
    <w:rsid w:val="72D70611"/>
    <w:rsid w:val="72DA5AA7"/>
    <w:rsid w:val="72DD6326"/>
    <w:rsid w:val="72F773E8"/>
    <w:rsid w:val="7305703F"/>
    <w:rsid w:val="73076EFF"/>
    <w:rsid w:val="730E028E"/>
    <w:rsid w:val="73131D48"/>
    <w:rsid w:val="731425D9"/>
    <w:rsid w:val="7315786E"/>
    <w:rsid w:val="73321515"/>
    <w:rsid w:val="7336272A"/>
    <w:rsid w:val="73373D98"/>
    <w:rsid w:val="73393BC2"/>
    <w:rsid w:val="733C0DD4"/>
    <w:rsid w:val="734168B5"/>
    <w:rsid w:val="734A392B"/>
    <w:rsid w:val="73614861"/>
    <w:rsid w:val="73722F12"/>
    <w:rsid w:val="737722D7"/>
    <w:rsid w:val="737B44DB"/>
    <w:rsid w:val="737C5B3F"/>
    <w:rsid w:val="738467A2"/>
    <w:rsid w:val="73964142"/>
    <w:rsid w:val="7399224D"/>
    <w:rsid w:val="739B33B6"/>
    <w:rsid w:val="739C3AEB"/>
    <w:rsid w:val="73A87BE1"/>
    <w:rsid w:val="73AD43B3"/>
    <w:rsid w:val="73AD5CF9"/>
    <w:rsid w:val="73BE305B"/>
    <w:rsid w:val="73BE521F"/>
    <w:rsid w:val="73C03C7E"/>
    <w:rsid w:val="73C70E68"/>
    <w:rsid w:val="73D663BB"/>
    <w:rsid w:val="73EB293C"/>
    <w:rsid w:val="73F676A0"/>
    <w:rsid w:val="73FB6A64"/>
    <w:rsid w:val="73FE6554"/>
    <w:rsid w:val="74017DF2"/>
    <w:rsid w:val="74262B1B"/>
    <w:rsid w:val="74273CFD"/>
    <w:rsid w:val="74343D24"/>
    <w:rsid w:val="7460720F"/>
    <w:rsid w:val="74610EE5"/>
    <w:rsid w:val="746C7962"/>
    <w:rsid w:val="74795BDB"/>
    <w:rsid w:val="747E03E6"/>
    <w:rsid w:val="747E1443"/>
    <w:rsid w:val="74884070"/>
    <w:rsid w:val="749A63B4"/>
    <w:rsid w:val="74A0585D"/>
    <w:rsid w:val="74A4534E"/>
    <w:rsid w:val="74A57E43"/>
    <w:rsid w:val="74A6094A"/>
    <w:rsid w:val="74A82061"/>
    <w:rsid w:val="74B3733F"/>
    <w:rsid w:val="74BD15B2"/>
    <w:rsid w:val="74CC0400"/>
    <w:rsid w:val="74CC21DF"/>
    <w:rsid w:val="74E120FE"/>
    <w:rsid w:val="74E16F35"/>
    <w:rsid w:val="74E4574A"/>
    <w:rsid w:val="74ED24DF"/>
    <w:rsid w:val="74EE481B"/>
    <w:rsid w:val="74F040EF"/>
    <w:rsid w:val="75022C6C"/>
    <w:rsid w:val="75090455"/>
    <w:rsid w:val="751C3136"/>
    <w:rsid w:val="751C328B"/>
    <w:rsid w:val="7521699E"/>
    <w:rsid w:val="75243D99"/>
    <w:rsid w:val="752B3379"/>
    <w:rsid w:val="752C1715"/>
    <w:rsid w:val="752F1FE5"/>
    <w:rsid w:val="753649D0"/>
    <w:rsid w:val="75412B4C"/>
    <w:rsid w:val="75510906"/>
    <w:rsid w:val="75532D3D"/>
    <w:rsid w:val="755A2430"/>
    <w:rsid w:val="75603A48"/>
    <w:rsid w:val="756568C4"/>
    <w:rsid w:val="75660476"/>
    <w:rsid w:val="756B594D"/>
    <w:rsid w:val="75750A98"/>
    <w:rsid w:val="757E5B9F"/>
    <w:rsid w:val="758805C2"/>
    <w:rsid w:val="758E106F"/>
    <w:rsid w:val="758E5039"/>
    <w:rsid w:val="759233F8"/>
    <w:rsid w:val="75986535"/>
    <w:rsid w:val="75CC7D6B"/>
    <w:rsid w:val="75D32E0C"/>
    <w:rsid w:val="75D91027"/>
    <w:rsid w:val="75E83018"/>
    <w:rsid w:val="75EA3234"/>
    <w:rsid w:val="75EA6D90"/>
    <w:rsid w:val="75F25C45"/>
    <w:rsid w:val="75F419BD"/>
    <w:rsid w:val="760179C7"/>
    <w:rsid w:val="76095E40"/>
    <w:rsid w:val="761F2330"/>
    <w:rsid w:val="763444AF"/>
    <w:rsid w:val="76354B42"/>
    <w:rsid w:val="763D7808"/>
    <w:rsid w:val="763F26D5"/>
    <w:rsid w:val="76402E54"/>
    <w:rsid w:val="76433C09"/>
    <w:rsid w:val="764364A0"/>
    <w:rsid w:val="7645046A"/>
    <w:rsid w:val="764D0528"/>
    <w:rsid w:val="7657019E"/>
    <w:rsid w:val="76684159"/>
    <w:rsid w:val="766C3C49"/>
    <w:rsid w:val="76733229"/>
    <w:rsid w:val="768236B0"/>
    <w:rsid w:val="76925422"/>
    <w:rsid w:val="76992564"/>
    <w:rsid w:val="769D2054"/>
    <w:rsid w:val="76C11E2B"/>
    <w:rsid w:val="76C665CF"/>
    <w:rsid w:val="76C82F19"/>
    <w:rsid w:val="76C84BF7"/>
    <w:rsid w:val="76CD220E"/>
    <w:rsid w:val="76D161A2"/>
    <w:rsid w:val="76D632EB"/>
    <w:rsid w:val="76E63031"/>
    <w:rsid w:val="76EF5237"/>
    <w:rsid w:val="76FD0D45"/>
    <w:rsid w:val="76FF2D0F"/>
    <w:rsid w:val="77023321"/>
    <w:rsid w:val="77045A49"/>
    <w:rsid w:val="77065E4C"/>
    <w:rsid w:val="7711659E"/>
    <w:rsid w:val="77266E5A"/>
    <w:rsid w:val="77291B31"/>
    <w:rsid w:val="77356731"/>
    <w:rsid w:val="77420E4E"/>
    <w:rsid w:val="77456248"/>
    <w:rsid w:val="774D3A7A"/>
    <w:rsid w:val="774E47A3"/>
    <w:rsid w:val="775C7088"/>
    <w:rsid w:val="7760202A"/>
    <w:rsid w:val="77617526"/>
    <w:rsid w:val="77701354"/>
    <w:rsid w:val="77750DFA"/>
    <w:rsid w:val="77811976"/>
    <w:rsid w:val="77876861"/>
    <w:rsid w:val="77882D05"/>
    <w:rsid w:val="778B5CEB"/>
    <w:rsid w:val="77902D8C"/>
    <w:rsid w:val="779A189F"/>
    <w:rsid w:val="77A57CCA"/>
    <w:rsid w:val="77A7196F"/>
    <w:rsid w:val="77A967D7"/>
    <w:rsid w:val="77B358A8"/>
    <w:rsid w:val="77B87FF2"/>
    <w:rsid w:val="77BB0197"/>
    <w:rsid w:val="77BC29AE"/>
    <w:rsid w:val="77BF372C"/>
    <w:rsid w:val="77C55B1E"/>
    <w:rsid w:val="77CA7434"/>
    <w:rsid w:val="77CB2BF1"/>
    <w:rsid w:val="77E93077"/>
    <w:rsid w:val="77EB5041"/>
    <w:rsid w:val="77F51A1C"/>
    <w:rsid w:val="7801041C"/>
    <w:rsid w:val="78046A46"/>
    <w:rsid w:val="78197E01"/>
    <w:rsid w:val="781F51BA"/>
    <w:rsid w:val="782004A9"/>
    <w:rsid w:val="7826607A"/>
    <w:rsid w:val="782C2271"/>
    <w:rsid w:val="783B3C00"/>
    <w:rsid w:val="78494544"/>
    <w:rsid w:val="784C5CC1"/>
    <w:rsid w:val="785B5D23"/>
    <w:rsid w:val="78762B5D"/>
    <w:rsid w:val="78773E66"/>
    <w:rsid w:val="787C3EEC"/>
    <w:rsid w:val="787D213D"/>
    <w:rsid w:val="788B039C"/>
    <w:rsid w:val="788D6AD6"/>
    <w:rsid w:val="789D27E0"/>
    <w:rsid w:val="78A82F32"/>
    <w:rsid w:val="78B64C80"/>
    <w:rsid w:val="78BD388D"/>
    <w:rsid w:val="78BD69DE"/>
    <w:rsid w:val="78BE4504"/>
    <w:rsid w:val="78C22246"/>
    <w:rsid w:val="78C25DA2"/>
    <w:rsid w:val="78C7160B"/>
    <w:rsid w:val="78C87131"/>
    <w:rsid w:val="78C87C2E"/>
    <w:rsid w:val="78CA4C57"/>
    <w:rsid w:val="78D358E9"/>
    <w:rsid w:val="78E421BD"/>
    <w:rsid w:val="78E431C4"/>
    <w:rsid w:val="78E46DA2"/>
    <w:rsid w:val="78EB4A40"/>
    <w:rsid w:val="78EE6B97"/>
    <w:rsid w:val="78FB12B4"/>
    <w:rsid w:val="790463BB"/>
    <w:rsid w:val="7919798C"/>
    <w:rsid w:val="79200D1B"/>
    <w:rsid w:val="79206F6D"/>
    <w:rsid w:val="79226841"/>
    <w:rsid w:val="79232871"/>
    <w:rsid w:val="79272682"/>
    <w:rsid w:val="79366790"/>
    <w:rsid w:val="794C2379"/>
    <w:rsid w:val="794D6DEE"/>
    <w:rsid w:val="796450AB"/>
    <w:rsid w:val="79652BD2"/>
    <w:rsid w:val="796769DF"/>
    <w:rsid w:val="796E7CD8"/>
    <w:rsid w:val="79733540"/>
    <w:rsid w:val="797C1831"/>
    <w:rsid w:val="79817A0B"/>
    <w:rsid w:val="798C7549"/>
    <w:rsid w:val="79AF6D5B"/>
    <w:rsid w:val="79B407CF"/>
    <w:rsid w:val="79B7342D"/>
    <w:rsid w:val="79BF22E2"/>
    <w:rsid w:val="79BF6DE0"/>
    <w:rsid w:val="79C2046E"/>
    <w:rsid w:val="79C36276"/>
    <w:rsid w:val="79DD09BA"/>
    <w:rsid w:val="79E8236F"/>
    <w:rsid w:val="79EC5F74"/>
    <w:rsid w:val="79ED50A1"/>
    <w:rsid w:val="79F944AF"/>
    <w:rsid w:val="79FF3026"/>
    <w:rsid w:val="7A0A145D"/>
    <w:rsid w:val="7A140880"/>
    <w:rsid w:val="7A17211E"/>
    <w:rsid w:val="7A1A7A7C"/>
    <w:rsid w:val="7A2D7B93"/>
    <w:rsid w:val="7A2F69EB"/>
    <w:rsid w:val="7A42723B"/>
    <w:rsid w:val="7A4413F9"/>
    <w:rsid w:val="7A546ECE"/>
    <w:rsid w:val="7A5711E4"/>
    <w:rsid w:val="7A59455C"/>
    <w:rsid w:val="7A6B4218"/>
    <w:rsid w:val="7A7E219D"/>
    <w:rsid w:val="7A8B2DDF"/>
    <w:rsid w:val="7A995229"/>
    <w:rsid w:val="7A996FD7"/>
    <w:rsid w:val="7AA5597C"/>
    <w:rsid w:val="7AB43E11"/>
    <w:rsid w:val="7AB67B89"/>
    <w:rsid w:val="7AC57DCC"/>
    <w:rsid w:val="7AD47FEE"/>
    <w:rsid w:val="7AD973D3"/>
    <w:rsid w:val="7ADB75EF"/>
    <w:rsid w:val="7ADB7830"/>
    <w:rsid w:val="7ADC70D2"/>
    <w:rsid w:val="7AE40AD3"/>
    <w:rsid w:val="7AE5221C"/>
    <w:rsid w:val="7AEA0E27"/>
    <w:rsid w:val="7AFC4E70"/>
    <w:rsid w:val="7B0075BF"/>
    <w:rsid w:val="7B087CB8"/>
    <w:rsid w:val="7B1B79EC"/>
    <w:rsid w:val="7B1D7C08"/>
    <w:rsid w:val="7B263453"/>
    <w:rsid w:val="7B4C5DF7"/>
    <w:rsid w:val="7B564EC8"/>
    <w:rsid w:val="7B57664A"/>
    <w:rsid w:val="7B5851C5"/>
    <w:rsid w:val="7B65510B"/>
    <w:rsid w:val="7B767318"/>
    <w:rsid w:val="7B78070C"/>
    <w:rsid w:val="7B783090"/>
    <w:rsid w:val="7B875081"/>
    <w:rsid w:val="7B95154C"/>
    <w:rsid w:val="7B98103C"/>
    <w:rsid w:val="7B9E3DFA"/>
    <w:rsid w:val="7BAF6112"/>
    <w:rsid w:val="7BB3231A"/>
    <w:rsid w:val="7BB35E76"/>
    <w:rsid w:val="7BB87930"/>
    <w:rsid w:val="7BC83C44"/>
    <w:rsid w:val="7BCD3748"/>
    <w:rsid w:val="7BCE4A5E"/>
    <w:rsid w:val="7BD302C6"/>
    <w:rsid w:val="7BD56621"/>
    <w:rsid w:val="7BDD1B24"/>
    <w:rsid w:val="7BDE7397"/>
    <w:rsid w:val="7BE25623"/>
    <w:rsid w:val="7BE25BDD"/>
    <w:rsid w:val="7BEB5610"/>
    <w:rsid w:val="7C014E34"/>
    <w:rsid w:val="7C105077"/>
    <w:rsid w:val="7C174657"/>
    <w:rsid w:val="7C1903CF"/>
    <w:rsid w:val="7C2D3E7B"/>
    <w:rsid w:val="7C3A0345"/>
    <w:rsid w:val="7C3F770A"/>
    <w:rsid w:val="7C4B2553"/>
    <w:rsid w:val="7C5F7DAC"/>
    <w:rsid w:val="7C6E7E39"/>
    <w:rsid w:val="7C6F4055"/>
    <w:rsid w:val="7C735E4E"/>
    <w:rsid w:val="7C8E405C"/>
    <w:rsid w:val="7C911551"/>
    <w:rsid w:val="7C9B7036"/>
    <w:rsid w:val="7CA02387"/>
    <w:rsid w:val="7CAA0983"/>
    <w:rsid w:val="7CAC1243"/>
    <w:rsid w:val="7CAF7B04"/>
    <w:rsid w:val="7CB1685A"/>
    <w:rsid w:val="7CB2548A"/>
    <w:rsid w:val="7CB73744"/>
    <w:rsid w:val="7CBC6FAC"/>
    <w:rsid w:val="7CD76B5A"/>
    <w:rsid w:val="7CD97B5E"/>
    <w:rsid w:val="7CDA0992"/>
    <w:rsid w:val="7CED6178"/>
    <w:rsid w:val="7D071AF5"/>
    <w:rsid w:val="7D0C3A90"/>
    <w:rsid w:val="7D0F532E"/>
    <w:rsid w:val="7D1B544C"/>
    <w:rsid w:val="7D3D633F"/>
    <w:rsid w:val="7D456FA2"/>
    <w:rsid w:val="7D4A45B8"/>
    <w:rsid w:val="7D4C20DE"/>
    <w:rsid w:val="7D5B4A17"/>
    <w:rsid w:val="7D61183E"/>
    <w:rsid w:val="7D690EE2"/>
    <w:rsid w:val="7D7635FF"/>
    <w:rsid w:val="7D7653AD"/>
    <w:rsid w:val="7D7E7646"/>
    <w:rsid w:val="7D812BB3"/>
    <w:rsid w:val="7D970234"/>
    <w:rsid w:val="7D972F99"/>
    <w:rsid w:val="7DA261A2"/>
    <w:rsid w:val="7DA760AB"/>
    <w:rsid w:val="7DAA0645"/>
    <w:rsid w:val="7DB12889"/>
    <w:rsid w:val="7DB933B8"/>
    <w:rsid w:val="7DC26738"/>
    <w:rsid w:val="7DC33AD9"/>
    <w:rsid w:val="7DCB56F9"/>
    <w:rsid w:val="7DD0261D"/>
    <w:rsid w:val="7DDB1A21"/>
    <w:rsid w:val="7DDD367E"/>
    <w:rsid w:val="7DE9318C"/>
    <w:rsid w:val="7DF6029C"/>
    <w:rsid w:val="7DF84014"/>
    <w:rsid w:val="7DFD787D"/>
    <w:rsid w:val="7E0C30EF"/>
    <w:rsid w:val="7E105802"/>
    <w:rsid w:val="7E1200BB"/>
    <w:rsid w:val="7E222407"/>
    <w:rsid w:val="7E325912"/>
    <w:rsid w:val="7E6A3FAA"/>
    <w:rsid w:val="7E7F0292"/>
    <w:rsid w:val="7E972C19"/>
    <w:rsid w:val="7EA45F4A"/>
    <w:rsid w:val="7EAA3560"/>
    <w:rsid w:val="7EB4618D"/>
    <w:rsid w:val="7EBB2BFC"/>
    <w:rsid w:val="7EC14D4E"/>
    <w:rsid w:val="7ED44A81"/>
    <w:rsid w:val="7EF0118F"/>
    <w:rsid w:val="7EF24F07"/>
    <w:rsid w:val="7EF715D6"/>
    <w:rsid w:val="7F1E662F"/>
    <w:rsid w:val="7F270E22"/>
    <w:rsid w:val="7F272E03"/>
    <w:rsid w:val="7F403815"/>
    <w:rsid w:val="7F531E4A"/>
    <w:rsid w:val="7F6A2CF0"/>
    <w:rsid w:val="7F6D7E0C"/>
    <w:rsid w:val="7F6E4E40"/>
    <w:rsid w:val="7F6F0306"/>
    <w:rsid w:val="7F72303A"/>
    <w:rsid w:val="7F733F8D"/>
    <w:rsid w:val="7F7E2419"/>
    <w:rsid w:val="7F856BE9"/>
    <w:rsid w:val="7F8738A2"/>
    <w:rsid w:val="7F8C0EB8"/>
    <w:rsid w:val="7F98785D"/>
    <w:rsid w:val="7F9A43CC"/>
    <w:rsid w:val="7F9D1317"/>
    <w:rsid w:val="7FA2692E"/>
    <w:rsid w:val="7FB126CD"/>
    <w:rsid w:val="7FC44C03"/>
    <w:rsid w:val="7FCB7F71"/>
    <w:rsid w:val="7FCF6FF7"/>
    <w:rsid w:val="7FD4460D"/>
    <w:rsid w:val="7FD60385"/>
    <w:rsid w:val="7FD95146"/>
    <w:rsid w:val="7FE26D2A"/>
    <w:rsid w:val="7FEA3E31"/>
    <w:rsid w:val="7FFF65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6"/>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5"/>
    <w:link w:val="108"/>
    <w:qFormat/>
    <w:uiPriority w:val="99"/>
    <w:pPr>
      <w:spacing w:before="260" w:after="260" w:line="416" w:lineRule="atLeast"/>
      <w:outlineLvl w:val="1"/>
    </w:pPr>
    <w:rPr>
      <w:rFonts w:ascii="Cambria" w:hAnsi="Cambria"/>
      <w:sz w:val="32"/>
      <w:szCs w:val="32"/>
    </w:rPr>
  </w:style>
  <w:style w:type="paragraph" w:styleId="6">
    <w:name w:val="heading 3"/>
    <w:basedOn w:val="1"/>
    <w:next w:val="5"/>
    <w:link w:val="118"/>
    <w:qFormat/>
    <w:uiPriority w:val="99"/>
    <w:pPr>
      <w:tabs>
        <w:tab w:val="left" w:pos="588"/>
      </w:tabs>
      <w:spacing w:line="360" w:lineRule="auto"/>
      <w:outlineLvl w:val="2"/>
    </w:pPr>
    <w:rPr>
      <w:rFonts w:ascii="Tahoma" w:hAnsi="Tahoma"/>
    </w:rPr>
  </w:style>
  <w:style w:type="paragraph" w:styleId="7">
    <w:name w:val="heading 4"/>
    <w:basedOn w:val="1"/>
    <w:next w:val="1"/>
    <w:link w:val="145"/>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7"/>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8"/>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8"/>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13"/>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30"/>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5">
    <w:name w:val="Normal Indent"/>
    <w:basedOn w:val="1"/>
    <w:link w:val="141"/>
    <w:qFormat/>
    <w:uiPriority w:val="0"/>
    <w:pPr>
      <w:spacing w:line="360" w:lineRule="auto"/>
      <w:ind w:firstLine="200" w:firstLineChars="200"/>
    </w:pPr>
    <w:rPr>
      <w:sz w:val="24"/>
      <w:szCs w:val="20"/>
    </w:rPr>
  </w:style>
  <w:style w:type="paragraph" w:styleId="13">
    <w:name w:val="toc 7"/>
    <w:basedOn w:val="1"/>
    <w:next w:val="1"/>
    <w:qFormat/>
    <w:uiPriority w:val="39"/>
    <w:pPr>
      <w:spacing w:line="440" w:lineRule="exact"/>
      <w:ind w:left="1680"/>
      <w:jc w:val="left"/>
    </w:pPr>
    <w:rPr>
      <w:rFonts w:ascii="Calibri" w:hAnsi="Calibri"/>
      <w:sz w:val="18"/>
      <w:szCs w:val="18"/>
    </w:rPr>
  </w:style>
  <w:style w:type="paragraph" w:styleId="14">
    <w:name w:val="Note Heading"/>
    <w:basedOn w:val="15"/>
    <w:next w:val="15"/>
    <w:link w:val="204"/>
    <w:qFormat/>
    <w:uiPriority w:val="0"/>
    <w:rPr>
      <w:rFonts w:ascii="..ì." w:eastAsia="..ì." w:cs="Times New Roman"/>
      <w:color w:val="auto"/>
      <w:szCs w:val="20"/>
    </w:rPr>
  </w:style>
  <w:style w:type="paragraph" w:customStyle="1" w:styleId="15">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9"/>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35"/>
    <w:qFormat/>
    <w:uiPriority w:val="99"/>
    <w:pPr>
      <w:spacing w:line="440" w:lineRule="exact"/>
    </w:pPr>
    <w:rPr>
      <w:rFonts w:ascii="宋体"/>
      <w:sz w:val="18"/>
      <w:szCs w:val="18"/>
    </w:rPr>
  </w:style>
  <w:style w:type="paragraph" w:styleId="19">
    <w:name w:val="toa heading"/>
    <w:basedOn w:val="1"/>
    <w:next w:val="1"/>
    <w:unhideWhenUsed/>
    <w:qFormat/>
    <w:uiPriority w:val="99"/>
    <w:pPr>
      <w:spacing w:before="120"/>
    </w:pPr>
    <w:rPr>
      <w:rFonts w:ascii="Cambria" w:hAnsi="Cambria" w:eastAsia="宋体"/>
      <w:sz w:val="24"/>
    </w:rPr>
  </w:style>
  <w:style w:type="paragraph" w:styleId="20">
    <w:name w:val="annotation text"/>
    <w:basedOn w:val="1"/>
    <w:link w:val="105"/>
    <w:qFormat/>
    <w:uiPriority w:val="0"/>
    <w:pPr>
      <w:jc w:val="left"/>
    </w:pPr>
    <w:rPr>
      <w:rFonts w:ascii="Tahoma" w:hAnsi="Tahoma"/>
    </w:rPr>
  </w:style>
  <w:style w:type="paragraph" w:styleId="21">
    <w:name w:val="Salutation"/>
    <w:basedOn w:val="15"/>
    <w:next w:val="15"/>
    <w:link w:val="203"/>
    <w:qFormat/>
    <w:uiPriority w:val="0"/>
    <w:rPr>
      <w:rFonts w:ascii="..ì." w:eastAsia="..ì." w:cs="Times New Roman"/>
      <w:color w:val="auto"/>
      <w:szCs w:val="20"/>
    </w:rPr>
  </w:style>
  <w:style w:type="paragraph" w:styleId="22">
    <w:name w:val="Body Text 3"/>
    <w:basedOn w:val="1"/>
    <w:link w:val="211"/>
    <w:qFormat/>
    <w:uiPriority w:val="99"/>
    <w:pPr>
      <w:spacing w:after="120"/>
    </w:pPr>
    <w:rPr>
      <w:rFonts w:eastAsia="宋体"/>
      <w:sz w:val="16"/>
      <w:szCs w:val="16"/>
    </w:rPr>
  </w:style>
  <w:style w:type="paragraph" w:styleId="23">
    <w:name w:val="Body Text"/>
    <w:basedOn w:val="1"/>
    <w:next w:val="1"/>
    <w:link w:val="139"/>
    <w:qFormat/>
    <w:uiPriority w:val="99"/>
    <w:pPr>
      <w:spacing w:line="360" w:lineRule="auto"/>
    </w:pPr>
    <w:rPr>
      <w:rFonts w:ascii="Tahoma" w:hAnsi="Tahoma"/>
    </w:rPr>
  </w:style>
  <w:style w:type="paragraph" w:styleId="24">
    <w:name w:val="Body Text Indent"/>
    <w:basedOn w:val="1"/>
    <w:link w:val="171"/>
    <w:qFormat/>
    <w:uiPriority w:val="99"/>
    <w:pPr>
      <w:widowControl/>
      <w:spacing w:line="360" w:lineRule="auto"/>
      <w:ind w:firstLine="709"/>
      <w:jc w:val="left"/>
    </w:pPr>
    <w:rPr>
      <w:rFonts w:ascii="Tahoma" w:hAnsi="Tahoma"/>
    </w:rPr>
  </w:style>
  <w:style w:type="paragraph" w:styleId="25">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6">
    <w:name w:val="List Bullet 2"/>
    <w:basedOn w:val="1"/>
    <w:qFormat/>
    <w:uiPriority w:val="0"/>
    <w:pPr>
      <w:numPr>
        <w:ilvl w:val="1"/>
        <w:numId w:val="1"/>
      </w:numPr>
      <w:spacing w:line="360" w:lineRule="auto"/>
    </w:pPr>
    <w:rPr>
      <w:sz w:val="24"/>
      <w:szCs w:val="28"/>
    </w:rPr>
  </w:style>
  <w:style w:type="paragraph" w:styleId="27">
    <w:name w:val="toc 5"/>
    <w:basedOn w:val="1"/>
    <w:next w:val="1"/>
    <w:qFormat/>
    <w:uiPriority w:val="39"/>
    <w:pPr>
      <w:spacing w:line="440" w:lineRule="exact"/>
      <w:ind w:left="1120"/>
      <w:jc w:val="left"/>
    </w:pPr>
    <w:rPr>
      <w:rFonts w:ascii="Calibri" w:hAnsi="Calibri"/>
      <w:sz w:val="18"/>
      <w:szCs w:val="18"/>
    </w:rPr>
  </w:style>
  <w:style w:type="paragraph" w:styleId="28">
    <w:name w:val="toc 3"/>
    <w:basedOn w:val="1"/>
    <w:next w:val="1"/>
    <w:qFormat/>
    <w:uiPriority w:val="39"/>
    <w:pPr>
      <w:tabs>
        <w:tab w:val="right" w:leader="dot" w:pos="8302"/>
      </w:tabs>
      <w:ind w:left="561"/>
      <w:jc w:val="left"/>
    </w:pPr>
    <w:rPr>
      <w:rFonts w:ascii="Calibri" w:hAnsi="Calibri"/>
      <w:iCs/>
      <w:sz w:val="20"/>
      <w:szCs w:val="20"/>
    </w:rPr>
  </w:style>
  <w:style w:type="paragraph" w:styleId="29">
    <w:name w:val="Plain Text"/>
    <w:basedOn w:val="1"/>
    <w:link w:val="225"/>
    <w:qFormat/>
    <w:uiPriority w:val="0"/>
    <w:pPr>
      <w:spacing w:line="360" w:lineRule="auto"/>
    </w:pPr>
    <w:rPr>
      <w:rFonts w:ascii="宋体" w:hAnsi="Courier New"/>
      <w:szCs w:val="21"/>
    </w:rPr>
  </w:style>
  <w:style w:type="paragraph" w:styleId="30">
    <w:name w:val="toc 8"/>
    <w:basedOn w:val="1"/>
    <w:next w:val="1"/>
    <w:qFormat/>
    <w:uiPriority w:val="39"/>
    <w:pPr>
      <w:spacing w:line="440" w:lineRule="exact"/>
      <w:ind w:left="1960"/>
      <w:jc w:val="left"/>
    </w:pPr>
    <w:rPr>
      <w:rFonts w:ascii="Calibri" w:hAnsi="Calibri"/>
      <w:sz w:val="18"/>
      <w:szCs w:val="18"/>
    </w:rPr>
  </w:style>
  <w:style w:type="paragraph" w:styleId="31">
    <w:name w:val="Date"/>
    <w:basedOn w:val="1"/>
    <w:next w:val="1"/>
    <w:link w:val="201"/>
    <w:qFormat/>
    <w:uiPriority w:val="99"/>
    <w:pPr>
      <w:spacing w:line="360" w:lineRule="auto"/>
      <w:ind w:left="2500" w:leftChars="2500"/>
    </w:pPr>
    <w:rPr>
      <w:rFonts w:ascii="Tahoma" w:hAnsi="Tahoma"/>
    </w:rPr>
  </w:style>
  <w:style w:type="paragraph" w:styleId="32">
    <w:name w:val="Body Text Indent 2"/>
    <w:basedOn w:val="1"/>
    <w:link w:val="167"/>
    <w:qFormat/>
    <w:uiPriority w:val="99"/>
    <w:pPr>
      <w:adjustRightInd w:val="0"/>
      <w:snapToGrid w:val="0"/>
      <w:spacing w:afterLines="25" w:line="420" w:lineRule="exact"/>
      <w:ind w:left="778" w:leftChars="378"/>
    </w:pPr>
    <w:rPr>
      <w:rFonts w:eastAsia="宋体"/>
      <w:sz w:val="24"/>
      <w:szCs w:val="30"/>
    </w:rPr>
  </w:style>
  <w:style w:type="paragraph" w:styleId="33">
    <w:name w:val="Balloon Text"/>
    <w:basedOn w:val="1"/>
    <w:link w:val="101"/>
    <w:qFormat/>
    <w:uiPriority w:val="0"/>
    <w:rPr>
      <w:sz w:val="18"/>
      <w:szCs w:val="18"/>
    </w:rPr>
  </w:style>
  <w:style w:type="paragraph" w:styleId="34">
    <w:name w:val="footer"/>
    <w:basedOn w:val="1"/>
    <w:link w:val="142"/>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5">
    <w:name w:val="header"/>
    <w:basedOn w:val="1"/>
    <w:link w:val="127"/>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4"/>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73"/>
    <w:qFormat/>
    <w:uiPriority w:val="99"/>
    <w:pPr>
      <w:spacing w:line="360" w:lineRule="auto"/>
      <w:ind w:right="26"/>
    </w:pPr>
    <w:rPr>
      <w:rFonts w:ascii="宋体" w:eastAsia="宋体"/>
      <w:szCs w:val="20"/>
    </w:rPr>
  </w:style>
  <w:style w:type="paragraph" w:styleId="43">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9"/>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33"/>
    <w:unhideWhenUsed/>
    <w:qFormat/>
    <w:uiPriority w:val="99"/>
    <w:pPr>
      <w:spacing w:line="440" w:lineRule="exact"/>
    </w:pPr>
    <w:rPr>
      <w:b/>
      <w:bCs/>
      <w:sz w:val="24"/>
      <w:szCs w:val="28"/>
    </w:rPr>
  </w:style>
  <w:style w:type="paragraph" w:styleId="48">
    <w:name w:val="Body Text First Indent"/>
    <w:basedOn w:val="23"/>
    <w:next w:val="49"/>
    <w:link w:val="136"/>
    <w:qFormat/>
    <w:uiPriority w:val="0"/>
    <w:pPr>
      <w:spacing w:after="120" w:line="240" w:lineRule="auto"/>
      <w:ind w:firstLine="100" w:firstLineChars="100"/>
    </w:pPr>
  </w:style>
  <w:style w:type="paragraph" w:styleId="49">
    <w:name w:val="Body Text First Indent 2"/>
    <w:basedOn w:val="24"/>
    <w:next w:val="5"/>
    <w:link w:val="172"/>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Typewriter"/>
    <w:basedOn w:val="52"/>
    <w:semiHidden/>
    <w:unhideWhenUsed/>
    <w:qFormat/>
    <w:uiPriority w:val="0"/>
    <w:rPr>
      <w:rFonts w:hint="default"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unhideWhenUsed/>
    <w:qFormat/>
    <w:uiPriority w:val="0"/>
  </w:style>
  <w:style w:type="character" w:styleId="61">
    <w:name w:val="Hyperlink"/>
    <w:qFormat/>
    <w:uiPriority w:val="99"/>
    <w:rPr>
      <w:rFonts w:hint="eastAsia" w:ascii="宋体" w:hAnsi="宋体" w:eastAsia="宋体" w:cs="宋体"/>
      <w:color w:val="004A85"/>
      <w:sz w:val="12"/>
      <w:szCs w:val="12"/>
      <w:u w:val="single"/>
    </w:rPr>
  </w:style>
  <w:style w:type="character" w:styleId="62">
    <w:name w:val="HTML Code"/>
    <w:basedOn w:val="52"/>
    <w:unhideWhenUsed/>
    <w:qFormat/>
    <w:uiPriority w:val="0"/>
    <w:rPr>
      <w:rFonts w:hint="default" w:ascii="monospace" w:hAnsi="monospace" w:eastAsia="monospace" w:cs="monospace"/>
      <w:sz w:val="20"/>
    </w:rPr>
  </w:style>
  <w:style w:type="character" w:styleId="63">
    <w:name w:val="annotation reference"/>
    <w:qFormat/>
    <w:uiPriority w:val="99"/>
    <w:rPr>
      <w:sz w:val="21"/>
      <w:szCs w:val="21"/>
    </w:rPr>
  </w:style>
  <w:style w:type="character" w:styleId="64">
    <w:name w:val="HTML Cite"/>
    <w:unhideWhenUsed/>
    <w:qFormat/>
    <w:uiPriority w:val="0"/>
  </w:style>
  <w:style w:type="character" w:styleId="65">
    <w:name w:val="HTML Keyboard"/>
    <w:basedOn w:val="52"/>
    <w:semiHidden/>
    <w:unhideWhenUsed/>
    <w:qFormat/>
    <w:uiPriority w:val="0"/>
    <w:rPr>
      <w:rFonts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样式1"/>
    <w:basedOn w:val="1"/>
    <w:next w:val="6"/>
    <w:qFormat/>
    <w:uiPriority w:val="99"/>
    <w:rPr>
      <w:rFonts w:eastAsia="宋体"/>
      <w:sz w:val="24"/>
      <w:szCs w:val="20"/>
    </w:rPr>
  </w:style>
  <w:style w:type="paragraph" w:customStyle="1" w:styleId="68">
    <w:name w:val="样式2"/>
    <w:basedOn w:val="1"/>
    <w:link w:val="123"/>
    <w:qFormat/>
    <w:uiPriority w:val="0"/>
    <w:pPr>
      <w:spacing w:line="300" w:lineRule="auto"/>
      <w:jc w:val="center"/>
      <w:outlineLvl w:val="0"/>
    </w:pPr>
    <w:rPr>
      <w:b/>
      <w:sz w:val="24"/>
    </w:rPr>
  </w:style>
  <w:style w:type="paragraph" w:customStyle="1" w:styleId="69">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72">
    <w:name w:val="列出段落2"/>
    <w:basedOn w:val="1"/>
    <w:unhideWhenUsed/>
    <w:qFormat/>
    <w:uiPriority w:val="0"/>
    <w:pPr>
      <w:ind w:firstLine="420" w:firstLineChars="200"/>
    </w:pPr>
  </w:style>
  <w:style w:type="paragraph" w:customStyle="1" w:styleId="73">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4">
    <w:name w:val="_Style 67"/>
    <w:basedOn w:val="1"/>
    <w:next w:val="75"/>
    <w:qFormat/>
    <w:uiPriority w:val="99"/>
    <w:pPr>
      <w:ind w:firstLine="420" w:firstLineChars="200"/>
    </w:pPr>
    <w:rPr>
      <w:rFonts w:ascii="Calibri" w:hAnsi="Calibri"/>
      <w:szCs w:val="22"/>
    </w:rPr>
  </w:style>
  <w:style w:type="paragraph" w:styleId="75">
    <w:name w:val="List Paragraph"/>
    <w:basedOn w:val="1"/>
    <w:qFormat/>
    <w:uiPriority w:val="34"/>
    <w:pPr>
      <w:ind w:firstLine="420" w:firstLineChars="200"/>
    </w:pPr>
    <w:rPr>
      <w:rFonts w:ascii="Calibri" w:hAnsi="Calibri" w:eastAsia="宋体"/>
      <w:szCs w:val="22"/>
    </w:rPr>
  </w:style>
  <w:style w:type="paragraph" w:customStyle="1" w:styleId="76">
    <w:name w:val="_Style 2"/>
    <w:basedOn w:val="1"/>
    <w:qFormat/>
    <w:uiPriority w:val="34"/>
    <w:pPr>
      <w:ind w:firstLine="420" w:firstLineChars="200"/>
    </w:pPr>
    <w:rPr>
      <w:rFonts w:ascii="Calibri" w:hAnsi="Calibri"/>
      <w:szCs w:val="22"/>
    </w:rPr>
  </w:style>
  <w:style w:type="paragraph" w:customStyle="1" w:styleId="77">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8">
    <w:name w:val="封面落款"/>
    <w:basedOn w:val="1"/>
    <w:qFormat/>
    <w:uiPriority w:val="0"/>
    <w:pPr>
      <w:spacing w:line="360" w:lineRule="auto"/>
      <w:jc w:val="center"/>
    </w:pPr>
    <w:rPr>
      <w:rFonts w:ascii="Arial" w:hAnsi="Arial" w:eastAsia="黑体"/>
      <w:sz w:val="32"/>
      <w:szCs w:val="28"/>
    </w:rPr>
  </w:style>
  <w:style w:type="paragraph" w:customStyle="1" w:styleId="79">
    <w:name w:val="目录"/>
    <w:link w:val="110"/>
    <w:qFormat/>
    <w:uiPriority w:val="0"/>
    <w:pPr>
      <w:spacing w:before="156" w:after="156"/>
    </w:pPr>
    <w:rPr>
      <w:rFonts w:ascii="仿宋_GB2312" w:hAnsi="宋体" w:eastAsia="仿宋_GB2312" w:cs="Times New Roman"/>
      <w:sz w:val="28"/>
      <w:szCs w:val="28"/>
      <w:lang w:val="en-US" w:eastAsia="zh-CN" w:bidi="ar-SA"/>
    </w:rPr>
  </w:style>
  <w:style w:type="paragraph" w:customStyle="1" w:styleId="80">
    <w:name w:val="表格字体小四"/>
    <w:link w:val="109"/>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81">
    <w:name w:val="样式 标题 5 + 小四"/>
    <w:basedOn w:val="8"/>
    <w:qFormat/>
    <w:uiPriority w:val="0"/>
    <w:pPr>
      <w:tabs>
        <w:tab w:val="left" w:pos="567"/>
      </w:tabs>
      <w:wordWrap w:val="0"/>
      <w:spacing w:line="377" w:lineRule="auto"/>
      <w:ind w:left="567" w:hanging="567"/>
      <w:jc w:val="left"/>
    </w:pPr>
  </w:style>
  <w:style w:type="paragraph" w:customStyle="1" w:styleId="82">
    <w:name w:val="表格格式"/>
    <w:basedOn w:val="1"/>
    <w:qFormat/>
    <w:uiPriority w:val="0"/>
    <w:pPr>
      <w:adjustRightInd w:val="0"/>
      <w:snapToGrid w:val="0"/>
      <w:jc w:val="left"/>
      <w:textAlignment w:val="baseline"/>
    </w:pPr>
    <w:rPr>
      <w:rFonts w:ascii="宋体"/>
      <w:kern w:val="0"/>
      <w:szCs w:val="20"/>
    </w:rPr>
  </w:style>
  <w:style w:type="paragraph" w:customStyle="1" w:styleId="83">
    <w:name w:val="样式5"/>
    <w:basedOn w:val="5"/>
    <w:qFormat/>
    <w:uiPriority w:val="0"/>
    <w:pPr>
      <w:ind w:firstLine="420"/>
    </w:pPr>
    <w:rPr>
      <w:sz w:val="21"/>
      <w:szCs w:val="21"/>
    </w:rPr>
  </w:style>
  <w:style w:type="paragraph" w:customStyle="1" w:styleId="84">
    <w:name w:val="标题2"/>
    <w:basedOn w:val="4"/>
    <w:next w:val="1"/>
    <w:link w:val="100"/>
    <w:qFormat/>
    <w:uiPriority w:val="0"/>
    <w:pPr>
      <w:widowControl/>
      <w:spacing w:beforeLines="10" w:afterLines="10" w:line="240" w:lineRule="auto"/>
      <w:jc w:val="left"/>
    </w:pPr>
    <w:rPr>
      <w:rFonts w:ascii="Times New Roman" w:hAnsi="Times New Roman" w:eastAsia="黑体"/>
      <w:b/>
      <w:bCs/>
      <w:szCs w:val="24"/>
    </w:rPr>
  </w:style>
  <w:style w:type="paragraph" w:customStyle="1" w:styleId="85">
    <w:name w:val="三级"/>
    <w:basedOn w:val="4"/>
    <w:link w:val="111"/>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6">
    <w:name w:val="Char1"/>
    <w:basedOn w:val="1"/>
    <w:qFormat/>
    <w:uiPriority w:val="0"/>
    <w:pPr>
      <w:adjustRightInd w:val="0"/>
      <w:spacing w:line="360" w:lineRule="auto"/>
    </w:pPr>
    <w:rPr>
      <w:kern w:val="0"/>
      <w:sz w:val="24"/>
      <w:szCs w:val="20"/>
    </w:rPr>
  </w:style>
  <w:style w:type="paragraph" w:customStyle="1" w:styleId="87">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8">
    <w:name w:val="标题3"/>
    <w:basedOn w:val="6"/>
    <w:next w:val="1"/>
    <w:link w:val="144"/>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9">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90">
    <w:name w:val="表格标题"/>
    <w:basedOn w:val="16"/>
    <w:link w:val="137"/>
    <w:qFormat/>
    <w:uiPriority w:val="0"/>
    <w:pPr>
      <w:spacing w:before="152" w:after="160" w:line="420" w:lineRule="exact"/>
      <w:ind w:firstLine="480" w:firstLineChars="200"/>
      <w:jc w:val="center"/>
    </w:pPr>
    <w:rPr>
      <w:rFonts w:ascii="Arial" w:hAnsi="Arial" w:eastAsia="宋体"/>
      <w:sz w:val="24"/>
      <w:szCs w:val="24"/>
    </w:rPr>
  </w:style>
  <w:style w:type="paragraph" w:customStyle="1" w:styleId="91">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2">
    <w:name w:val="图片"/>
    <w:basedOn w:val="1"/>
    <w:link w:val="125"/>
    <w:qFormat/>
    <w:uiPriority w:val="0"/>
    <w:pPr>
      <w:jc w:val="center"/>
    </w:pPr>
    <w:rPr>
      <w:sz w:val="28"/>
      <w:szCs w:val="28"/>
    </w:rPr>
  </w:style>
  <w:style w:type="paragraph" w:customStyle="1" w:styleId="93">
    <w:name w:val="正文首行缩进1"/>
    <w:basedOn w:val="23"/>
    <w:qFormat/>
    <w:uiPriority w:val="0"/>
    <w:pPr>
      <w:suppressAutoHyphens/>
      <w:spacing w:line="300" w:lineRule="auto"/>
      <w:ind w:left="426"/>
    </w:pPr>
    <w:rPr>
      <w:rFonts w:ascii="宋体" w:hAnsi="宋体"/>
      <w:szCs w:val="20"/>
    </w:rPr>
  </w:style>
  <w:style w:type="paragraph" w:customStyle="1" w:styleId="94">
    <w:name w:val="纯文本1"/>
    <w:basedOn w:val="1"/>
    <w:qFormat/>
    <w:uiPriority w:val="0"/>
    <w:rPr>
      <w:rFonts w:ascii="宋体" w:hAnsi="Courier New"/>
    </w:rPr>
  </w:style>
  <w:style w:type="paragraph" w:customStyle="1" w:styleId="95">
    <w:name w:val="样式 首行不缩进"/>
    <w:basedOn w:val="1"/>
    <w:qFormat/>
    <w:uiPriority w:val="0"/>
    <w:pPr>
      <w:spacing w:before="120" w:after="120" w:line="360" w:lineRule="auto"/>
      <w:jc w:val="center"/>
    </w:pPr>
    <w:rPr>
      <w:rFonts w:cs="宋体"/>
      <w:sz w:val="24"/>
      <w:szCs w:val="20"/>
    </w:rPr>
  </w:style>
  <w:style w:type="paragraph" w:customStyle="1" w:styleId="96">
    <w:name w:val="图题"/>
    <w:link w:val="119"/>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7">
    <w:name w:val="小列表"/>
    <w:basedOn w:val="1"/>
    <w:link w:val="103"/>
    <w:qFormat/>
    <w:uiPriority w:val="0"/>
    <w:pPr>
      <w:numPr>
        <w:ilvl w:val="0"/>
        <w:numId w:val="2"/>
      </w:numPr>
      <w:autoSpaceDE w:val="0"/>
      <w:autoSpaceDN w:val="0"/>
      <w:spacing w:line="440" w:lineRule="exact"/>
      <w:ind w:firstLine="0"/>
    </w:pPr>
    <w:rPr>
      <w:sz w:val="24"/>
      <w:szCs w:val="28"/>
    </w:rPr>
  </w:style>
  <w:style w:type="paragraph" w:customStyle="1" w:styleId="98">
    <w:name w:val="表格正文"/>
    <w:basedOn w:val="1"/>
    <w:qFormat/>
    <w:uiPriority w:val="0"/>
    <w:pPr>
      <w:widowControl/>
      <w:snapToGrid w:val="0"/>
      <w:spacing w:before="60" w:after="60"/>
      <w:ind w:left="11"/>
      <w:jc w:val="center"/>
    </w:pPr>
    <w:rPr>
      <w:kern w:val="0"/>
      <w:szCs w:val="21"/>
    </w:rPr>
  </w:style>
  <w:style w:type="character" w:customStyle="1" w:styleId="99">
    <w:name w:val="题注 字符"/>
    <w:link w:val="16"/>
    <w:qFormat/>
    <w:uiPriority w:val="0"/>
    <w:rPr>
      <w:rFonts w:ascii="华文中宋" w:eastAsia="华文中宋"/>
      <w:kern w:val="2"/>
      <w:sz w:val="36"/>
    </w:rPr>
  </w:style>
  <w:style w:type="character" w:customStyle="1" w:styleId="100">
    <w:name w:val="标题2 Char Char"/>
    <w:link w:val="84"/>
    <w:qFormat/>
    <w:uiPriority w:val="0"/>
    <w:rPr>
      <w:rFonts w:eastAsia="黑体"/>
      <w:kern w:val="2"/>
      <w:sz w:val="32"/>
      <w:szCs w:val="24"/>
    </w:rPr>
  </w:style>
  <w:style w:type="character" w:customStyle="1" w:styleId="101">
    <w:name w:val="批注框文本 字符"/>
    <w:link w:val="33"/>
    <w:qFormat/>
    <w:uiPriority w:val="0"/>
    <w:rPr>
      <w:kern w:val="2"/>
      <w:sz w:val="18"/>
      <w:szCs w:val="18"/>
    </w:rPr>
  </w:style>
  <w:style w:type="character" w:customStyle="1" w:styleId="102">
    <w:name w:val="refresh"/>
    <w:basedOn w:val="52"/>
    <w:qFormat/>
    <w:uiPriority w:val="0"/>
  </w:style>
  <w:style w:type="character" w:customStyle="1" w:styleId="103">
    <w:name w:val="小列表 Char Char"/>
    <w:link w:val="97"/>
    <w:qFormat/>
    <w:uiPriority w:val="0"/>
    <w:rPr>
      <w:rFonts w:eastAsia="Arial Unicode MS"/>
      <w:kern w:val="2"/>
      <w:sz w:val="24"/>
      <w:szCs w:val="28"/>
    </w:rPr>
  </w:style>
  <w:style w:type="character" w:customStyle="1" w:styleId="104">
    <w:name w:val="del"/>
    <w:basedOn w:val="52"/>
    <w:qFormat/>
    <w:uiPriority w:val="0"/>
  </w:style>
  <w:style w:type="character" w:customStyle="1" w:styleId="105">
    <w:name w:val="批注文字 字符"/>
    <w:link w:val="20"/>
    <w:qFormat/>
    <w:uiPriority w:val="0"/>
    <w:rPr>
      <w:rFonts w:ascii="Tahoma" w:hAnsi="Tahoma"/>
      <w:kern w:val="2"/>
      <w:sz w:val="21"/>
      <w:szCs w:val="24"/>
    </w:rPr>
  </w:style>
  <w:style w:type="character" w:customStyle="1" w:styleId="106">
    <w:name w:val="正文缩进 Char1"/>
    <w:qFormat/>
    <w:uiPriority w:val="0"/>
    <w:rPr>
      <w:rFonts w:eastAsia="宋体"/>
      <w:kern w:val="2"/>
      <w:sz w:val="21"/>
      <w:szCs w:val="24"/>
      <w:lang w:val="en-US" w:eastAsia="zh-CN" w:bidi="ar-SA"/>
    </w:rPr>
  </w:style>
  <w:style w:type="character" w:customStyle="1" w:styleId="107">
    <w:name w:val="标题 5 字符"/>
    <w:link w:val="8"/>
    <w:qFormat/>
    <w:uiPriority w:val="99"/>
    <w:rPr>
      <w:b/>
      <w:bCs/>
      <w:kern w:val="2"/>
      <w:sz w:val="24"/>
      <w:szCs w:val="28"/>
    </w:rPr>
  </w:style>
  <w:style w:type="character" w:customStyle="1" w:styleId="108">
    <w:name w:val="标题 2 字符"/>
    <w:link w:val="4"/>
    <w:qFormat/>
    <w:uiPriority w:val="99"/>
    <w:rPr>
      <w:rFonts w:ascii="Cambria" w:hAnsi="Cambria"/>
      <w:b/>
      <w:bCs/>
      <w:kern w:val="2"/>
      <w:sz w:val="32"/>
      <w:szCs w:val="32"/>
    </w:rPr>
  </w:style>
  <w:style w:type="character" w:customStyle="1" w:styleId="109">
    <w:name w:val="表格字体小四 Char Char"/>
    <w:link w:val="80"/>
    <w:qFormat/>
    <w:uiPriority w:val="0"/>
    <w:rPr>
      <w:kern w:val="2"/>
      <w:sz w:val="24"/>
      <w:szCs w:val="24"/>
      <w:lang w:val="en-US" w:eastAsia="zh-CN" w:bidi="ar-SA"/>
    </w:rPr>
  </w:style>
  <w:style w:type="character" w:customStyle="1" w:styleId="110">
    <w:name w:val="目录 Char Char"/>
    <w:link w:val="79"/>
    <w:qFormat/>
    <w:uiPriority w:val="0"/>
    <w:rPr>
      <w:rFonts w:ascii="仿宋_GB2312" w:hAnsi="宋体" w:eastAsia="仿宋_GB2312"/>
      <w:sz w:val="28"/>
      <w:szCs w:val="28"/>
      <w:lang w:val="en-US" w:eastAsia="zh-CN" w:bidi="ar-SA"/>
    </w:rPr>
  </w:style>
  <w:style w:type="character" w:customStyle="1" w:styleId="111">
    <w:name w:val="三级 Char Char"/>
    <w:link w:val="85"/>
    <w:qFormat/>
    <w:uiPriority w:val="0"/>
    <w:rPr>
      <w:rFonts w:eastAsia="黑体"/>
      <w:bCs/>
      <w:kern w:val="2"/>
      <w:sz w:val="30"/>
      <w:szCs w:val="24"/>
    </w:rPr>
  </w:style>
  <w:style w:type="character" w:customStyle="1" w:styleId="112">
    <w:name w:val="label"/>
    <w:basedOn w:val="52"/>
    <w:qFormat/>
    <w:uiPriority w:val="0"/>
  </w:style>
  <w:style w:type="character" w:customStyle="1" w:styleId="113">
    <w:name w:val="标题 8 字符"/>
    <w:link w:val="11"/>
    <w:qFormat/>
    <w:uiPriority w:val="99"/>
    <w:rPr>
      <w:rFonts w:ascii="Arial" w:hAnsi="Arial" w:eastAsia="黑体"/>
      <w:kern w:val="2"/>
      <w:sz w:val="24"/>
      <w:szCs w:val="28"/>
    </w:rPr>
  </w:style>
  <w:style w:type="character" w:customStyle="1" w:styleId="114">
    <w:name w:val="open2"/>
    <w:basedOn w:val="52"/>
    <w:qFormat/>
    <w:uiPriority w:val="0"/>
  </w:style>
  <w:style w:type="character" w:customStyle="1" w:styleId="115">
    <w:name w:val="15"/>
    <w:qFormat/>
    <w:uiPriority w:val="0"/>
    <w:rPr>
      <w:rFonts w:hint="default" w:ascii="Calibri" w:hAnsi="Calibri" w:cs="Calibri"/>
      <w:color w:val="0000FF"/>
      <w:u w:val="single"/>
    </w:rPr>
  </w:style>
  <w:style w:type="character" w:customStyle="1" w:styleId="116">
    <w:name w:val="trans"/>
    <w:basedOn w:val="52"/>
    <w:qFormat/>
    <w:uiPriority w:val="0"/>
  </w:style>
  <w:style w:type="character" w:customStyle="1" w:styleId="117">
    <w:name w:val="del2"/>
    <w:basedOn w:val="52"/>
    <w:qFormat/>
    <w:uiPriority w:val="0"/>
  </w:style>
  <w:style w:type="character" w:customStyle="1" w:styleId="118">
    <w:name w:val="标题 3 字符"/>
    <w:link w:val="6"/>
    <w:qFormat/>
    <w:uiPriority w:val="99"/>
    <w:rPr>
      <w:rFonts w:ascii="Tahoma" w:hAnsi="Tahoma"/>
      <w:b/>
      <w:bCs/>
      <w:kern w:val="2"/>
      <w:sz w:val="32"/>
      <w:szCs w:val="32"/>
    </w:rPr>
  </w:style>
  <w:style w:type="character" w:customStyle="1" w:styleId="119">
    <w:name w:val="图题 Char Char"/>
    <w:link w:val="96"/>
    <w:qFormat/>
    <w:uiPriority w:val="0"/>
    <w:rPr>
      <w:kern w:val="2"/>
      <w:sz w:val="24"/>
      <w:szCs w:val="24"/>
      <w:lang w:val="en-US" w:eastAsia="zh-CN" w:bidi="ar-SA"/>
    </w:rPr>
  </w:style>
  <w:style w:type="character" w:customStyle="1" w:styleId="120">
    <w:name w:val="pagelinks"/>
    <w:basedOn w:val="52"/>
    <w:qFormat/>
    <w:uiPriority w:val="0"/>
  </w:style>
  <w:style w:type="character" w:customStyle="1" w:styleId="121">
    <w:name w:val="morewin"/>
    <w:basedOn w:val="52"/>
    <w:qFormat/>
    <w:uiPriority w:val="0"/>
  </w:style>
  <w:style w:type="character" w:customStyle="1" w:styleId="122">
    <w:name w:val="open"/>
    <w:basedOn w:val="52"/>
    <w:qFormat/>
    <w:uiPriority w:val="0"/>
  </w:style>
  <w:style w:type="character" w:customStyle="1" w:styleId="123">
    <w:name w:val="样式2 Char Char"/>
    <w:link w:val="68"/>
    <w:qFormat/>
    <w:uiPriority w:val="0"/>
    <w:rPr>
      <w:b/>
      <w:kern w:val="2"/>
      <w:sz w:val="24"/>
      <w:szCs w:val="24"/>
    </w:rPr>
  </w:style>
  <w:style w:type="character" w:customStyle="1" w:styleId="124">
    <w:name w:val="批注文字 Char"/>
    <w:qFormat/>
    <w:uiPriority w:val="99"/>
    <w:rPr>
      <w:kern w:val="2"/>
      <w:sz w:val="24"/>
      <w:szCs w:val="28"/>
    </w:rPr>
  </w:style>
  <w:style w:type="character" w:customStyle="1" w:styleId="125">
    <w:name w:val="图片 Char Char"/>
    <w:link w:val="92"/>
    <w:qFormat/>
    <w:uiPriority w:val="0"/>
    <w:rPr>
      <w:kern w:val="2"/>
      <w:sz w:val="28"/>
      <w:szCs w:val="28"/>
    </w:rPr>
  </w:style>
  <w:style w:type="character" w:customStyle="1" w:styleId="126">
    <w:name w:val="标题 1 字符"/>
    <w:link w:val="3"/>
    <w:qFormat/>
    <w:uiPriority w:val="99"/>
    <w:rPr>
      <w:rFonts w:ascii="Tahoma" w:hAnsi="Tahoma"/>
      <w:b/>
      <w:bCs/>
      <w:kern w:val="44"/>
      <w:sz w:val="24"/>
      <w:szCs w:val="44"/>
    </w:rPr>
  </w:style>
  <w:style w:type="character" w:customStyle="1" w:styleId="127">
    <w:name w:val="页眉 字符"/>
    <w:link w:val="35"/>
    <w:qFormat/>
    <w:uiPriority w:val="99"/>
    <w:rPr>
      <w:rFonts w:ascii="Tahoma" w:hAnsi="Tahoma"/>
      <w:kern w:val="2"/>
      <w:sz w:val="18"/>
      <w:szCs w:val="18"/>
    </w:rPr>
  </w:style>
  <w:style w:type="character" w:customStyle="1" w:styleId="128">
    <w:name w:val="标题 7 字符"/>
    <w:link w:val="10"/>
    <w:qFormat/>
    <w:uiPriority w:val="99"/>
    <w:rPr>
      <w:b/>
      <w:bCs/>
      <w:kern w:val="2"/>
      <w:sz w:val="24"/>
      <w:szCs w:val="28"/>
    </w:rPr>
  </w:style>
  <w:style w:type="character" w:customStyle="1" w:styleId="129">
    <w:name w:val="标题 字符"/>
    <w:link w:val="46"/>
    <w:qFormat/>
    <w:uiPriority w:val="0"/>
    <w:rPr>
      <w:rFonts w:ascii="Cambria" w:hAnsi="Cambria"/>
      <w:b/>
      <w:bCs/>
      <w:kern w:val="2"/>
      <w:sz w:val="32"/>
      <w:szCs w:val="32"/>
    </w:rPr>
  </w:style>
  <w:style w:type="character" w:customStyle="1" w:styleId="130">
    <w:name w:val="标题 9 字符"/>
    <w:link w:val="12"/>
    <w:qFormat/>
    <w:uiPriority w:val="99"/>
    <w:rPr>
      <w:rFonts w:ascii="Arial" w:hAnsi="Arial" w:eastAsia="黑体"/>
      <w:kern w:val="2"/>
      <w:sz w:val="24"/>
      <w:szCs w:val="21"/>
    </w:rPr>
  </w:style>
  <w:style w:type="character" w:customStyle="1" w:styleId="131">
    <w:name w:val="error"/>
    <w:qFormat/>
    <w:uiPriority w:val="0"/>
    <w:rPr>
      <w:color w:val="CC0000"/>
    </w:rPr>
  </w:style>
  <w:style w:type="character" w:customStyle="1" w:styleId="132">
    <w:name w:val="add"/>
    <w:basedOn w:val="52"/>
    <w:qFormat/>
    <w:uiPriority w:val="0"/>
  </w:style>
  <w:style w:type="character" w:customStyle="1" w:styleId="133">
    <w:name w:val="批注主题 字符"/>
    <w:link w:val="47"/>
    <w:qFormat/>
    <w:uiPriority w:val="99"/>
    <w:rPr>
      <w:rFonts w:ascii="Tahoma" w:hAnsi="Tahoma"/>
      <w:b/>
      <w:bCs/>
      <w:kern w:val="2"/>
      <w:sz w:val="24"/>
      <w:szCs w:val="28"/>
    </w:rPr>
  </w:style>
  <w:style w:type="character" w:customStyle="1" w:styleId="134">
    <w:name w:val="pagebanner"/>
    <w:basedOn w:val="52"/>
    <w:qFormat/>
    <w:uiPriority w:val="0"/>
  </w:style>
  <w:style w:type="character" w:customStyle="1" w:styleId="135">
    <w:name w:val="文档结构图 字符"/>
    <w:link w:val="18"/>
    <w:qFormat/>
    <w:uiPriority w:val="99"/>
    <w:rPr>
      <w:rFonts w:ascii="宋体"/>
      <w:kern w:val="2"/>
      <w:sz w:val="18"/>
      <w:szCs w:val="18"/>
    </w:rPr>
  </w:style>
  <w:style w:type="character" w:customStyle="1" w:styleId="136">
    <w:name w:val="正文文本首行缩进 字符"/>
    <w:link w:val="48"/>
    <w:qFormat/>
    <w:uiPriority w:val="0"/>
    <w:rPr>
      <w:rFonts w:ascii="Tahoma" w:hAnsi="Tahoma"/>
      <w:kern w:val="2"/>
      <w:sz w:val="21"/>
      <w:szCs w:val="24"/>
    </w:rPr>
  </w:style>
  <w:style w:type="character" w:customStyle="1" w:styleId="137">
    <w:name w:val="表格标题 Char Char"/>
    <w:link w:val="90"/>
    <w:qFormat/>
    <w:uiPriority w:val="0"/>
    <w:rPr>
      <w:rFonts w:ascii="Arial" w:hAnsi="Arial" w:cs="Arial"/>
      <w:kern w:val="2"/>
      <w:sz w:val="24"/>
      <w:szCs w:val="24"/>
    </w:rPr>
  </w:style>
  <w:style w:type="character" w:customStyle="1" w:styleId="138">
    <w:name w:val="标题 6 字符"/>
    <w:link w:val="9"/>
    <w:qFormat/>
    <w:uiPriority w:val="99"/>
    <w:rPr>
      <w:rFonts w:ascii="Arial" w:hAnsi="Arial" w:eastAsia="黑体"/>
      <w:b/>
      <w:bCs/>
      <w:kern w:val="2"/>
      <w:sz w:val="24"/>
      <w:szCs w:val="28"/>
    </w:rPr>
  </w:style>
  <w:style w:type="character" w:customStyle="1" w:styleId="139">
    <w:name w:val="正文文本 字符1"/>
    <w:link w:val="23"/>
    <w:qFormat/>
    <w:uiPriority w:val="99"/>
    <w:rPr>
      <w:rFonts w:ascii="Tahoma" w:hAnsi="Tahoma"/>
      <w:kern w:val="2"/>
      <w:sz w:val="21"/>
      <w:szCs w:val="24"/>
    </w:rPr>
  </w:style>
  <w:style w:type="character" w:customStyle="1" w:styleId="140">
    <w:name w:val="10"/>
    <w:qFormat/>
    <w:uiPriority w:val="0"/>
    <w:rPr>
      <w:rFonts w:hint="default" w:ascii="Calibri" w:hAnsi="Calibri" w:cs="Calibri"/>
    </w:rPr>
  </w:style>
  <w:style w:type="character" w:customStyle="1" w:styleId="141">
    <w:name w:val="正文缩进 字符"/>
    <w:link w:val="5"/>
    <w:qFormat/>
    <w:uiPriority w:val="0"/>
    <w:rPr>
      <w:kern w:val="2"/>
      <w:sz w:val="24"/>
    </w:rPr>
  </w:style>
  <w:style w:type="character" w:customStyle="1" w:styleId="142">
    <w:name w:val="页脚 字符"/>
    <w:link w:val="34"/>
    <w:qFormat/>
    <w:uiPriority w:val="99"/>
    <w:rPr>
      <w:rFonts w:ascii="Tahoma" w:hAnsi="Tahoma"/>
      <w:kern w:val="2"/>
      <w:sz w:val="18"/>
      <w:szCs w:val="18"/>
    </w:rPr>
  </w:style>
  <w:style w:type="character" w:customStyle="1" w:styleId="143">
    <w:name w:val="mod"/>
    <w:basedOn w:val="52"/>
    <w:qFormat/>
    <w:uiPriority w:val="0"/>
  </w:style>
  <w:style w:type="character" w:customStyle="1" w:styleId="144">
    <w:name w:val="标题3 Char Char"/>
    <w:link w:val="88"/>
    <w:qFormat/>
    <w:uiPriority w:val="0"/>
    <w:rPr>
      <w:rFonts w:eastAsia="黑体"/>
      <w:kern w:val="2"/>
      <w:sz w:val="28"/>
      <w:szCs w:val="32"/>
    </w:rPr>
  </w:style>
  <w:style w:type="character" w:customStyle="1" w:styleId="145">
    <w:name w:val="标题 4 字符"/>
    <w:link w:val="7"/>
    <w:qFormat/>
    <w:uiPriority w:val="99"/>
    <w:rPr>
      <w:b/>
      <w:sz w:val="24"/>
      <w:szCs w:val="24"/>
    </w:rPr>
  </w:style>
  <w:style w:type="paragraph" w:customStyle="1" w:styleId="146">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7">
    <w:name w:val="redfilefwwh"/>
    <w:basedOn w:val="52"/>
    <w:qFormat/>
    <w:uiPriority w:val="0"/>
    <w:rPr>
      <w:color w:val="BA2636"/>
      <w:sz w:val="12"/>
      <w:szCs w:val="12"/>
    </w:rPr>
  </w:style>
  <w:style w:type="character" w:customStyle="1" w:styleId="148">
    <w:name w:val="gjfg"/>
    <w:basedOn w:val="52"/>
    <w:qFormat/>
    <w:uiPriority w:val="0"/>
  </w:style>
  <w:style w:type="character" w:customStyle="1" w:styleId="149">
    <w:name w:val="redfilenumber"/>
    <w:basedOn w:val="52"/>
    <w:qFormat/>
    <w:uiPriority w:val="0"/>
    <w:rPr>
      <w:color w:val="BA2636"/>
      <w:sz w:val="12"/>
      <w:szCs w:val="12"/>
    </w:rPr>
  </w:style>
  <w:style w:type="character" w:customStyle="1" w:styleId="150">
    <w:name w:val="qxdate"/>
    <w:basedOn w:val="52"/>
    <w:qFormat/>
    <w:uiPriority w:val="0"/>
    <w:rPr>
      <w:color w:val="333333"/>
      <w:sz w:val="12"/>
      <w:szCs w:val="12"/>
    </w:rPr>
  </w:style>
  <w:style w:type="character" w:customStyle="1" w:styleId="151">
    <w:name w:val="prev"/>
    <w:basedOn w:val="52"/>
    <w:qFormat/>
    <w:uiPriority w:val="0"/>
    <w:rPr>
      <w:rFonts w:ascii="微软雅黑" w:hAnsi="微软雅黑" w:eastAsia="微软雅黑" w:cs="微软雅黑"/>
      <w:sz w:val="14"/>
      <w:szCs w:val="14"/>
    </w:rPr>
  </w:style>
  <w:style w:type="character" w:customStyle="1" w:styleId="152">
    <w:name w:val="cfdate"/>
    <w:basedOn w:val="52"/>
    <w:qFormat/>
    <w:uiPriority w:val="0"/>
    <w:rPr>
      <w:color w:val="333333"/>
      <w:sz w:val="12"/>
      <w:szCs w:val="12"/>
    </w:rPr>
  </w:style>
  <w:style w:type="character" w:customStyle="1" w:styleId="153">
    <w:name w:val="displayarti"/>
    <w:basedOn w:val="52"/>
    <w:qFormat/>
    <w:uiPriority w:val="0"/>
    <w:rPr>
      <w:color w:val="FFFFFF"/>
      <w:shd w:val="clear" w:color="auto" w:fill="A00000"/>
    </w:rPr>
  </w:style>
  <w:style w:type="character" w:customStyle="1" w:styleId="154">
    <w:name w:val="next2"/>
    <w:basedOn w:val="52"/>
    <w:qFormat/>
    <w:uiPriority w:val="0"/>
    <w:rPr>
      <w:rFonts w:hint="eastAsia" w:ascii="微软雅黑" w:hAnsi="微软雅黑" w:eastAsia="微软雅黑" w:cs="微软雅黑"/>
      <w:sz w:val="14"/>
      <w:szCs w:val="14"/>
    </w:rPr>
  </w:style>
  <w:style w:type="character" w:customStyle="1" w:styleId="155">
    <w:name w:val="next3"/>
    <w:basedOn w:val="52"/>
    <w:qFormat/>
    <w:uiPriority w:val="0"/>
    <w:rPr>
      <w:color w:val="888888"/>
    </w:rPr>
  </w:style>
  <w:style w:type="character" w:customStyle="1" w:styleId="156">
    <w:name w:val="next"/>
    <w:basedOn w:val="52"/>
    <w:qFormat/>
    <w:uiPriority w:val="0"/>
    <w:rPr>
      <w:rFonts w:ascii="微软雅黑" w:hAnsi="微软雅黑" w:eastAsia="微软雅黑" w:cs="微软雅黑"/>
      <w:sz w:val="14"/>
      <w:szCs w:val="14"/>
    </w:rPr>
  </w:style>
  <w:style w:type="character" w:customStyle="1" w:styleId="157">
    <w:name w:val="prev1"/>
    <w:basedOn w:val="52"/>
    <w:qFormat/>
    <w:uiPriority w:val="0"/>
    <w:rPr>
      <w:color w:val="888888"/>
    </w:rPr>
  </w:style>
  <w:style w:type="paragraph" w:customStyle="1" w:styleId="158">
    <w:name w:val="Body text|21"/>
    <w:basedOn w:val="1"/>
    <w:link w:val="160"/>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9">
    <w:name w:val="Body text|2 + Spacing 0 pt"/>
    <w:basedOn w:val="160"/>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60">
    <w:name w:val="Body text|2_"/>
    <w:basedOn w:val="52"/>
    <w:link w:val="158"/>
    <w:qFormat/>
    <w:uiPriority w:val="0"/>
    <w:rPr>
      <w:rFonts w:ascii="PMingLiU" w:hAnsi="PMingLiU" w:eastAsia="PMingLiU" w:cs="PMingLiU"/>
      <w:spacing w:val="30"/>
    </w:rPr>
  </w:style>
  <w:style w:type="character" w:customStyle="1" w:styleId="161">
    <w:name w:val="Body text|2 + Spacing 3 pt"/>
    <w:basedOn w:val="160"/>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2">
    <w:name w:val="图文"/>
    <w:basedOn w:val="1"/>
    <w:qFormat/>
    <w:uiPriority w:val="0"/>
    <w:pPr>
      <w:adjustRightInd w:val="0"/>
      <w:snapToGrid w:val="0"/>
      <w:spacing w:after="50" w:line="360" w:lineRule="auto"/>
    </w:pPr>
    <w:rPr>
      <w:sz w:val="24"/>
    </w:rPr>
  </w:style>
  <w:style w:type="paragraph" w:customStyle="1" w:styleId="163">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4">
    <w:name w:val="Char"/>
    <w:basedOn w:val="1"/>
    <w:qFormat/>
    <w:uiPriority w:val="0"/>
    <w:rPr>
      <w:rFonts w:ascii="仿宋_GB2312" w:eastAsia="仿宋_GB2312"/>
      <w:b/>
      <w:sz w:val="32"/>
      <w:szCs w:val="32"/>
    </w:rPr>
  </w:style>
  <w:style w:type="paragraph" w:customStyle="1" w:styleId="165">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6">
    <w:name w:val="1"/>
    <w:basedOn w:val="1"/>
    <w:next w:val="24"/>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7">
    <w:name w:val="正文文本缩进 2 字符"/>
    <w:basedOn w:val="52"/>
    <w:link w:val="32"/>
    <w:qFormat/>
    <w:uiPriority w:val="99"/>
    <w:rPr>
      <w:rFonts w:ascii="Times New Roman" w:hAnsi="Times New Roman" w:eastAsia="宋体" w:cs="Times New Roman"/>
      <w:kern w:val="2"/>
      <w:sz w:val="24"/>
      <w:szCs w:val="30"/>
    </w:rPr>
  </w:style>
  <w:style w:type="paragraph" w:customStyle="1" w:styleId="1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9">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70">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71">
    <w:name w:val="正文文本缩进 字符"/>
    <w:basedOn w:val="52"/>
    <w:link w:val="24"/>
    <w:qFormat/>
    <w:uiPriority w:val="99"/>
    <w:rPr>
      <w:rFonts w:ascii="Tahoma" w:hAnsi="Tahoma" w:eastAsia="Arial Unicode MS" w:cs="Times New Roman"/>
      <w:kern w:val="2"/>
      <w:sz w:val="21"/>
      <w:szCs w:val="24"/>
    </w:rPr>
  </w:style>
  <w:style w:type="character" w:customStyle="1" w:styleId="172">
    <w:name w:val="正文文本首行缩进 2 字符"/>
    <w:basedOn w:val="171"/>
    <w:link w:val="49"/>
    <w:qFormat/>
    <w:uiPriority w:val="0"/>
    <w:rPr>
      <w:rFonts w:ascii="Times New Roman" w:hAnsi="Times New Roman" w:eastAsia="宋体" w:cs="Times New Roman"/>
      <w:kern w:val="2"/>
      <w:sz w:val="21"/>
      <w:szCs w:val="24"/>
    </w:rPr>
  </w:style>
  <w:style w:type="character" w:customStyle="1" w:styleId="173">
    <w:name w:val="正文文本 2 字符"/>
    <w:basedOn w:val="52"/>
    <w:link w:val="42"/>
    <w:qFormat/>
    <w:uiPriority w:val="99"/>
    <w:rPr>
      <w:rFonts w:ascii="宋体" w:hAnsi="Times New Roman" w:eastAsia="宋体" w:cs="Times New Roman"/>
      <w:kern w:val="2"/>
      <w:sz w:val="21"/>
    </w:rPr>
  </w:style>
  <w:style w:type="paragraph" w:customStyle="1" w:styleId="174">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5">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6">
    <w:name w:val="Char2"/>
    <w:qFormat/>
    <w:uiPriority w:val="0"/>
    <w:rPr>
      <w:rFonts w:ascii="Arial" w:hAnsi="Arial" w:eastAsia="黑体"/>
      <w:b/>
      <w:bCs/>
      <w:kern w:val="2"/>
      <w:sz w:val="32"/>
      <w:szCs w:val="32"/>
      <w:lang w:val="en-US" w:eastAsia="zh-CN" w:bidi="ar-SA"/>
    </w:rPr>
  </w:style>
  <w:style w:type="character" w:customStyle="1" w:styleId="177">
    <w:name w:val="样式 标题 2 + (符号) 宋体 小四 Char"/>
    <w:qFormat/>
    <w:uiPriority w:val="0"/>
    <w:rPr>
      <w:rFonts w:ascii="Arial" w:hAnsi="Arial" w:eastAsia="宋体"/>
      <w:b/>
      <w:bCs/>
      <w:kern w:val="2"/>
      <w:sz w:val="24"/>
      <w:szCs w:val="32"/>
      <w:lang w:val="en-US" w:eastAsia="zh-CN" w:bidi="ar-SA"/>
    </w:rPr>
  </w:style>
  <w:style w:type="paragraph" w:customStyle="1" w:styleId="178">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9">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0">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0">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201">
    <w:name w:val="日期 字符"/>
    <w:link w:val="31"/>
    <w:qFormat/>
    <w:uiPriority w:val="99"/>
    <w:rPr>
      <w:rFonts w:ascii="Tahoma" w:hAnsi="Tahoma" w:eastAsia="Arial Unicode MS" w:cs="Times New Roman"/>
      <w:kern w:val="2"/>
      <w:sz w:val="21"/>
      <w:szCs w:val="24"/>
    </w:rPr>
  </w:style>
  <w:style w:type="character" w:customStyle="1" w:styleId="202">
    <w:name w:val="Char Char"/>
    <w:qFormat/>
    <w:uiPriority w:val="0"/>
    <w:rPr>
      <w:rFonts w:eastAsia="宋体"/>
      <w:kern w:val="2"/>
      <w:sz w:val="24"/>
      <w:lang w:val="en-US" w:eastAsia="zh-CN" w:bidi="ar-SA"/>
    </w:rPr>
  </w:style>
  <w:style w:type="character" w:customStyle="1" w:styleId="203">
    <w:name w:val="称呼 字符"/>
    <w:basedOn w:val="52"/>
    <w:link w:val="21"/>
    <w:qFormat/>
    <w:uiPriority w:val="0"/>
    <w:rPr>
      <w:rFonts w:ascii="..ì." w:hAnsi="Times New Roman" w:eastAsia="..ì." w:cs="Times New Roman"/>
      <w:sz w:val="24"/>
    </w:rPr>
  </w:style>
  <w:style w:type="character" w:customStyle="1" w:styleId="204">
    <w:name w:val="注释标题 字符"/>
    <w:basedOn w:val="52"/>
    <w:link w:val="14"/>
    <w:qFormat/>
    <w:uiPriority w:val="0"/>
    <w:rPr>
      <w:rFonts w:ascii="..ì." w:hAnsi="Times New Roman" w:eastAsia="..ì." w:cs="Times New Roman"/>
      <w:sz w:val="24"/>
    </w:rPr>
  </w:style>
  <w:style w:type="paragraph" w:customStyle="1" w:styleId="205">
    <w:name w:val="1 Char Char Char Char"/>
    <w:basedOn w:val="1"/>
    <w:qFormat/>
    <w:uiPriority w:val="0"/>
    <w:rPr>
      <w:rFonts w:ascii="Tahoma" w:hAnsi="Tahoma" w:eastAsia="宋体"/>
      <w:sz w:val="24"/>
      <w:szCs w:val="20"/>
    </w:rPr>
  </w:style>
  <w:style w:type="paragraph" w:customStyle="1" w:styleId="20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7">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8">
    <w:name w:val="标题 1 Char1"/>
    <w:qFormat/>
    <w:uiPriority w:val="99"/>
    <w:rPr>
      <w:rFonts w:ascii="黑体" w:eastAsia="黑体"/>
      <w:sz w:val="52"/>
      <w:lang w:bidi="ar-SA"/>
    </w:rPr>
  </w:style>
  <w:style w:type="paragraph" w:customStyle="1" w:styleId="209">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10">
    <w:name w:val="3"/>
    <w:basedOn w:val="1"/>
    <w:next w:val="22"/>
    <w:qFormat/>
    <w:uiPriority w:val="99"/>
    <w:rPr>
      <w:rFonts w:ascii="宋体" w:eastAsia="宋体"/>
      <w:sz w:val="24"/>
      <w:szCs w:val="20"/>
    </w:rPr>
  </w:style>
  <w:style w:type="character" w:customStyle="1" w:styleId="211">
    <w:name w:val="正文文本 3 字符"/>
    <w:basedOn w:val="52"/>
    <w:link w:val="22"/>
    <w:qFormat/>
    <w:uiPriority w:val="99"/>
    <w:rPr>
      <w:rFonts w:ascii="Times New Roman" w:hAnsi="Times New Roman" w:eastAsia="宋体" w:cs="Times New Roman"/>
      <w:kern w:val="2"/>
      <w:sz w:val="16"/>
      <w:szCs w:val="16"/>
    </w:rPr>
  </w:style>
  <w:style w:type="paragraph" w:customStyle="1" w:styleId="212">
    <w:name w:val="样式 标题 3 + (中文) 黑体 小四 非加粗 段前: 7.8 磅 段后: 0 磅 行距: 固定值 20 磅"/>
    <w:basedOn w:val="6"/>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3">
    <w:name w:val="2"/>
    <w:basedOn w:val="1"/>
    <w:next w:val="24"/>
    <w:qFormat/>
    <w:uiPriority w:val="99"/>
    <w:pPr>
      <w:ind w:left="432"/>
    </w:pPr>
    <w:rPr>
      <w:rFonts w:eastAsia="宋体"/>
      <w:szCs w:val="20"/>
    </w:rPr>
  </w:style>
  <w:style w:type="character" w:customStyle="1" w:styleId="214">
    <w:name w:val="正文文本缩进 3 字符"/>
    <w:link w:val="39"/>
    <w:qFormat/>
    <w:uiPriority w:val="99"/>
    <w:rPr>
      <w:rFonts w:ascii="Times New Roman" w:hAnsi="Times New Roman" w:eastAsia="Arial Unicode MS" w:cs="Times New Roman"/>
      <w:kern w:val="2"/>
      <w:sz w:val="16"/>
      <w:szCs w:val="16"/>
    </w:rPr>
  </w:style>
  <w:style w:type="paragraph" w:customStyle="1" w:styleId="215">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6">
    <w:name w:val="Char1111"/>
    <w:basedOn w:val="1"/>
    <w:qFormat/>
    <w:uiPriority w:val="0"/>
    <w:rPr>
      <w:rFonts w:ascii="Tahoma" w:hAnsi="Tahoma" w:eastAsia="宋体"/>
      <w:sz w:val="24"/>
      <w:szCs w:val="20"/>
    </w:rPr>
  </w:style>
  <w:style w:type="character" w:customStyle="1" w:styleId="217">
    <w:name w:val="font161"/>
    <w:qFormat/>
    <w:uiPriority w:val="99"/>
    <w:rPr>
      <w:b/>
      <w:bCs/>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9">
    <w:name w:val="表格"/>
    <w:basedOn w:val="1"/>
    <w:qFormat/>
    <w:uiPriority w:val="99"/>
    <w:pPr>
      <w:jc w:val="center"/>
      <w:textAlignment w:val="center"/>
    </w:pPr>
    <w:rPr>
      <w:rFonts w:ascii="华文细黑" w:hAnsi="华文细黑" w:eastAsia="宋体"/>
      <w:kern w:val="0"/>
      <w:szCs w:val="20"/>
    </w:rPr>
  </w:style>
  <w:style w:type="paragraph" w:customStyle="1" w:styleId="220">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21">
    <w:name w:val="XW正文"/>
    <w:basedOn w:val="24"/>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2">
    <w:name w:val="金安桥正文"/>
    <w:basedOn w:val="24"/>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3">
    <w:name w:val="样式 粉红"/>
    <w:qFormat/>
    <w:uiPriority w:val="99"/>
    <w:rPr>
      <w:color w:val="auto"/>
      <w:u w:val="none"/>
    </w:rPr>
  </w:style>
  <w:style w:type="character" w:customStyle="1" w:styleId="224">
    <w:name w:val="Char Char1"/>
    <w:qFormat/>
    <w:uiPriority w:val="0"/>
    <w:rPr>
      <w:rFonts w:eastAsia="宋体"/>
      <w:kern w:val="2"/>
      <w:sz w:val="24"/>
      <w:lang w:val="en-US" w:eastAsia="zh-CN" w:bidi="ar-SA"/>
    </w:rPr>
  </w:style>
  <w:style w:type="character" w:customStyle="1" w:styleId="225">
    <w:name w:val="纯文本 字符"/>
    <w:link w:val="29"/>
    <w:qFormat/>
    <w:uiPriority w:val="0"/>
    <w:rPr>
      <w:rFonts w:ascii="宋体" w:hAnsi="Courier New" w:eastAsia="Arial Unicode MS" w:cs="Times New Roman"/>
      <w:kern w:val="2"/>
      <w:sz w:val="21"/>
      <w:szCs w:val="21"/>
    </w:rPr>
  </w:style>
  <w:style w:type="paragraph" w:customStyle="1" w:styleId="226">
    <w:name w:val="Char Char Char Char"/>
    <w:basedOn w:val="1"/>
    <w:qFormat/>
    <w:uiPriority w:val="0"/>
    <w:pPr>
      <w:widowControl/>
      <w:spacing w:after="160" w:line="240" w:lineRule="exact"/>
      <w:jc w:val="left"/>
    </w:pPr>
    <w:rPr>
      <w:rFonts w:eastAsia="宋体"/>
      <w:szCs w:val="20"/>
    </w:rPr>
  </w:style>
  <w:style w:type="paragraph" w:customStyle="1" w:styleId="227">
    <w:name w:val="p17"/>
    <w:basedOn w:val="1"/>
    <w:qFormat/>
    <w:uiPriority w:val="99"/>
    <w:pPr>
      <w:widowControl/>
    </w:pPr>
    <w:rPr>
      <w:rFonts w:eastAsia="宋体"/>
      <w:kern w:val="0"/>
      <w:szCs w:val="21"/>
    </w:rPr>
  </w:style>
  <w:style w:type="character" w:customStyle="1" w:styleId="228">
    <w:name w:val="H4 Char"/>
    <w:qFormat/>
    <w:uiPriority w:val="0"/>
    <w:rPr>
      <w:b/>
      <w:sz w:val="28"/>
    </w:rPr>
  </w:style>
  <w:style w:type="character" w:customStyle="1" w:styleId="229">
    <w:name w:val="Char Char2"/>
    <w:qFormat/>
    <w:uiPriority w:val="0"/>
    <w:rPr>
      <w:rFonts w:eastAsia="宋体"/>
      <w:kern w:val="2"/>
      <w:sz w:val="24"/>
      <w:lang w:val="en-US" w:eastAsia="zh-CN" w:bidi="ar-SA"/>
    </w:rPr>
  </w:style>
  <w:style w:type="character" w:customStyle="1" w:styleId="230">
    <w:name w:val="Char Char111"/>
    <w:qFormat/>
    <w:uiPriority w:val="99"/>
    <w:rPr>
      <w:rFonts w:eastAsia="宋体"/>
      <w:kern w:val="2"/>
      <w:sz w:val="24"/>
      <w:lang w:val="en-US" w:eastAsia="zh-CN" w:bidi="ar-SA"/>
    </w:rPr>
  </w:style>
  <w:style w:type="paragraph" w:customStyle="1" w:styleId="231">
    <w:name w:val="Char Char Char Char111"/>
    <w:basedOn w:val="1"/>
    <w:qFormat/>
    <w:uiPriority w:val="0"/>
    <w:pPr>
      <w:widowControl/>
      <w:spacing w:after="160" w:line="240" w:lineRule="exact"/>
      <w:jc w:val="left"/>
    </w:pPr>
    <w:rPr>
      <w:rFonts w:eastAsia="宋体"/>
      <w:szCs w:val="20"/>
    </w:rPr>
  </w:style>
  <w:style w:type="paragraph" w:customStyle="1" w:styleId="232">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5">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3">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4">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5">
    <w:name w:val="章标题"/>
    <w:next w:val="1"/>
    <w:link w:val="252"/>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6">
    <w:name w:val="一级条标题"/>
    <w:basedOn w:val="245"/>
    <w:next w:val="1"/>
    <w:link w:val="253"/>
    <w:qFormat/>
    <w:uiPriority w:val="0"/>
    <w:pPr>
      <w:numPr>
        <w:ilvl w:val="2"/>
      </w:numPr>
      <w:tabs>
        <w:tab w:val="left" w:pos="360"/>
      </w:tabs>
      <w:spacing w:beforeLines="0" w:afterLines="0"/>
      <w:ind w:left="315"/>
      <w:outlineLvl w:val="2"/>
    </w:pPr>
  </w:style>
  <w:style w:type="paragraph" w:customStyle="1" w:styleId="247">
    <w:name w:val="二级条标题"/>
    <w:basedOn w:val="246"/>
    <w:next w:val="1"/>
    <w:link w:val="254"/>
    <w:qFormat/>
    <w:uiPriority w:val="0"/>
    <w:pPr>
      <w:numPr>
        <w:ilvl w:val="3"/>
      </w:numPr>
      <w:ind w:left="315"/>
      <w:outlineLvl w:val="3"/>
    </w:pPr>
  </w:style>
  <w:style w:type="paragraph" w:customStyle="1" w:styleId="248">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9">
    <w:name w:val="三级条标题"/>
    <w:basedOn w:val="247"/>
    <w:next w:val="1"/>
    <w:qFormat/>
    <w:uiPriority w:val="0"/>
    <w:pPr>
      <w:numPr>
        <w:ilvl w:val="4"/>
      </w:numPr>
      <w:tabs>
        <w:tab w:val="left" w:pos="1680"/>
        <w:tab w:val="left" w:pos="2100"/>
      </w:tabs>
      <w:ind w:left="2100" w:hanging="420"/>
      <w:outlineLvl w:val="4"/>
    </w:pPr>
  </w:style>
  <w:style w:type="paragraph" w:customStyle="1" w:styleId="250">
    <w:name w:val="四级条标题"/>
    <w:basedOn w:val="249"/>
    <w:next w:val="1"/>
    <w:qFormat/>
    <w:uiPriority w:val="0"/>
    <w:pPr>
      <w:numPr>
        <w:ilvl w:val="5"/>
      </w:numPr>
      <w:tabs>
        <w:tab w:val="left" w:pos="2520"/>
      </w:tabs>
      <w:ind w:left="2520" w:hanging="420"/>
      <w:outlineLvl w:val="5"/>
    </w:pPr>
  </w:style>
  <w:style w:type="paragraph" w:customStyle="1" w:styleId="251">
    <w:name w:val="五级条标题"/>
    <w:basedOn w:val="250"/>
    <w:next w:val="1"/>
    <w:qFormat/>
    <w:uiPriority w:val="0"/>
    <w:pPr>
      <w:numPr>
        <w:ilvl w:val="6"/>
      </w:numPr>
      <w:tabs>
        <w:tab w:val="left" w:pos="2940"/>
      </w:tabs>
      <w:ind w:left="2940" w:hanging="420"/>
      <w:outlineLvl w:val="6"/>
    </w:pPr>
  </w:style>
  <w:style w:type="character" w:customStyle="1" w:styleId="252">
    <w:name w:val="章标题 Char"/>
    <w:link w:val="245"/>
    <w:qFormat/>
    <w:uiPriority w:val="0"/>
    <w:rPr>
      <w:rFonts w:ascii="黑体" w:eastAsia="黑体"/>
      <w:sz w:val="21"/>
    </w:rPr>
  </w:style>
  <w:style w:type="character" w:customStyle="1" w:styleId="253">
    <w:name w:val="一级条标题 Char"/>
    <w:link w:val="246"/>
    <w:qFormat/>
    <w:uiPriority w:val="0"/>
    <w:rPr>
      <w:rFonts w:ascii="黑体" w:eastAsia="黑体"/>
      <w:sz w:val="21"/>
    </w:rPr>
  </w:style>
  <w:style w:type="character" w:customStyle="1" w:styleId="254">
    <w:name w:val="二级条标题 Char"/>
    <w:link w:val="247"/>
    <w:qFormat/>
    <w:uiPriority w:val="0"/>
    <w:rPr>
      <w:rFonts w:ascii="黑体" w:eastAsia="黑体"/>
      <w:sz w:val="21"/>
    </w:rPr>
  </w:style>
  <w:style w:type="character" w:customStyle="1" w:styleId="255">
    <w:name w:val="Heading 1 Char"/>
    <w:qFormat/>
    <w:locked/>
    <w:uiPriority w:val="0"/>
    <w:rPr>
      <w:rFonts w:ascii="黑体" w:hAnsi="Times New Roman" w:eastAsia="黑体" w:cs="Times New Roman"/>
      <w:kern w:val="0"/>
      <w:sz w:val="20"/>
      <w:szCs w:val="20"/>
    </w:rPr>
  </w:style>
  <w:style w:type="character" w:customStyle="1" w:styleId="256">
    <w:name w:val="Heading 2 Char"/>
    <w:qFormat/>
    <w:locked/>
    <w:uiPriority w:val="0"/>
    <w:rPr>
      <w:rFonts w:ascii="Times New Roman" w:hAnsi="Times New Roman" w:eastAsia="宋体" w:cs="Times New Roman"/>
      <w:b/>
      <w:kern w:val="0"/>
      <w:sz w:val="32"/>
      <w:szCs w:val="32"/>
    </w:rPr>
  </w:style>
  <w:style w:type="character" w:customStyle="1" w:styleId="257">
    <w:name w:val="标题 3 Char1"/>
    <w:qFormat/>
    <w:locked/>
    <w:uiPriority w:val="99"/>
    <w:rPr>
      <w:rFonts w:eastAsia="宋体"/>
      <w:b/>
      <w:sz w:val="32"/>
      <w:lang w:val="en-US" w:eastAsia="zh-CN" w:bidi="ar-SA"/>
    </w:rPr>
  </w:style>
  <w:style w:type="character" w:customStyle="1" w:styleId="258">
    <w:name w:val="Heading 4 Char"/>
    <w:qFormat/>
    <w:locked/>
    <w:uiPriority w:val="0"/>
    <w:rPr>
      <w:rFonts w:ascii="Times New Roman" w:hAnsi="Times New Roman" w:eastAsia="宋体" w:cs="Times New Roman"/>
      <w:b/>
      <w:kern w:val="0"/>
      <w:sz w:val="20"/>
      <w:szCs w:val="20"/>
    </w:rPr>
  </w:style>
  <w:style w:type="character" w:customStyle="1" w:styleId="259">
    <w:name w:val="Heading 5 Char"/>
    <w:qFormat/>
    <w:locked/>
    <w:uiPriority w:val="0"/>
    <w:rPr>
      <w:rFonts w:ascii="Times New Roman" w:hAnsi="Times New Roman" w:eastAsia="宋体" w:cs="Times New Roman"/>
      <w:b/>
      <w:bCs/>
      <w:sz w:val="28"/>
      <w:szCs w:val="28"/>
    </w:rPr>
  </w:style>
  <w:style w:type="character" w:customStyle="1" w:styleId="260">
    <w:name w:val="Heading 6 Char"/>
    <w:qFormat/>
    <w:locked/>
    <w:uiPriority w:val="0"/>
    <w:rPr>
      <w:rFonts w:ascii="Arial" w:hAnsi="Arial" w:eastAsia="黑体" w:cs="Times New Roman"/>
      <w:b/>
      <w:bCs/>
      <w:kern w:val="0"/>
      <w:sz w:val="24"/>
      <w:szCs w:val="24"/>
    </w:rPr>
  </w:style>
  <w:style w:type="character" w:customStyle="1" w:styleId="261">
    <w:name w:val="Heading 7 Char"/>
    <w:qFormat/>
    <w:locked/>
    <w:uiPriority w:val="0"/>
    <w:rPr>
      <w:rFonts w:ascii="Times New Roman" w:hAnsi="Times New Roman" w:eastAsia="宋体" w:cs="Times New Roman"/>
      <w:b/>
      <w:bCs/>
      <w:kern w:val="0"/>
      <w:sz w:val="24"/>
      <w:szCs w:val="24"/>
    </w:rPr>
  </w:style>
  <w:style w:type="character" w:customStyle="1" w:styleId="262">
    <w:name w:val="Heading 8 Char"/>
    <w:qFormat/>
    <w:locked/>
    <w:uiPriority w:val="0"/>
    <w:rPr>
      <w:rFonts w:ascii="Arial" w:hAnsi="Arial" w:eastAsia="黑体" w:cs="Times New Roman"/>
      <w:kern w:val="0"/>
      <w:sz w:val="24"/>
      <w:szCs w:val="24"/>
    </w:rPr>
  </w:style>
  <w:style w:type="character" w:customStyle="1" w:styleId="263">
    <w:name w:val="Heading 9 Char"/>
    <w:qFormat/>
    <w:locked/>
    <w:uiPriority w:val="0"/>
    <w:rPr>
      <w:rFonts w:ascii="Arial" w:hAnsi="Arial" w:eastAsia="黑体" w:cs="Times New Roman"/>
      <w:kern w:val="0"/>
      <w:sz w:val="21"/>
      <w:szCs w:val="21"/>
    </w:rPr>
  </w:style>
  <w:style w:type="character" w:customStyle="1" w:styleId="264">
    <w:name w:val="Document Map Char"/>
    <w:qFormat/>
    <w:locked/>
    <w:uiPriority w:val="0"/>
    <w:rPr>
      <w:rFonts w:ascii="Times New Roman" w:hAnsi="Times New Roman" w:eastAsia="宋体" w:cs="Times New Roman"/>
      <w:sz w:val="24"/>
      <w:szCs w:val="24"/>
      <w:shd w:val="clear" w:color="auto" w:fill="000080"/>
    </w:rPr>
  </w:style>
  <w:style w:type="character" w:customStyle="1" w:styleId="265">
    <w:name w:val="Date Char"/>
    <w:qFormat/>
    <w:locked/>
    <w:uiPriority w:val="0"/>
    <w:rPr>
      <w:rFonts w:ascii="Times New Roman" w:hAnsi="Times New Roman" w:eastAsia="宋体" w:cs="Times New Roman"/>
      <w:sz w:val="20"/>
      <w:szCs w:val="20"/>
    </w:rPr>
  </w:style>
  <w:style w:type="character" w:customStyle="1" w:styleId="266">
    <w:name w:val="Header Char"/>
    <w:qFormat/>
    <w:locked/>
    <w:uiPriority w:val="0"/>
    <w:rPr>
      <w:rFonts w:ascii="Times New Roman" w:hAnsi="Times New Roman" w:eastAsia="宋体" w:cs="Times New Roman"/>
      <w:kern w:val="0"/>
      <w:sz w:val="20"/>
      <w:szCs w:val="20"/>
    </w:rPr>
  </w:style>
  <w:style w:type="character" w:customStyle="1" w:styleId="267">
    <w:name w:val="Footer Char"/>
    <w:qFormat/>
    <w:locked/>
    <w:uiPriority w:val="0"/>
    <w:rPr>
      <w:rFonts w:ascii="Times New Roman" w:hAnsi="Times New Roman" w:eastAsia="宋体" w:cs="Times New Roman"/>
      <w:kern w:val="0"/>
      <w:sz w:val="20"/>
      <w:szCs w:val="20"/>
    </w:rPr>
  </w:style>
  <w:style w:type="character" w:customStyle="1" w:styleId="268">
    <w:name w:val="Plain Text Char"/>
    <w:qFormat/>
    <w:locked/>
    <w:uiPriority w:val="0"/>
    <w:rPr>
      <w:rFonts w:ascii="宋体" w:hAnsi="Courier New" w:eastAsia="宋体" w:cs="Times New Roman"/>
      <w:sz w:val="20"/>
      <w:szCs w:val="20"/>
    </w:rPr>
  </w:style>
  <w:style w:type="character" w:customStyle="1" w:styleId="269">
    <w:name w:val="Body Text Indent 2 Char"/>
    <w:qFormat/>
    <w:locked/>
    <w:uiPriority w:val="0"/>
    <w:rPr>
      <w:rFonts w:ascii="Times New Roman" w:hAnsi="Times New Roman" w:eastAsia="宋体" w:cs="Times New Roman"/>
      <w:sz w:val="30"/>
      <w:szCs w:val="30"/>
    </w:rPr>
  </w:style>
  <w:style w:type="character" w:customStyle="1" w:styleId="270">
    <w:name w:val="Body Text Indent 3 Char"/>
    <w:qFormat/>
    <w:locked/>
    <w:uiPriority w:val="0"/>
    <w:rPr>
      <w:rFonts w:ascii="Times New Roman" w:hAnsi="Times New Roman" w:eastAsia="宋体" w:cs="Times New Roman"/>
      <w:sz w:val="30"/>
      <w:szCs w:val="30"/>
    </w:rPr>
  </w:style>
  <w:style w:type="character" w:customStyle="1" w:styleId="271">
    <w:name w:val="Body Text First Indent 2 Char"/>
    <w:qFormat/>
    <w:locked/>
    <w:uiPriority w:val="0"/>
    <w:rPr>
      <w:rFonts w:ascii="Times New Roman" w:hAnsi="Times New Roman" w:eastAsia="宋体" w:cs="Times New Roman"/>
      <w:kern w:val="2"/>
      <w:sz w:val="24"/>
      <w:szCs w:val="24"/>
    </w:rPr>
  </w:style>
  <w:style w:type="character" w:customStyle="1" w:styleId="272">
    <w:name w:val="Body Text 2 Char"/>
    <w:qFormat/>
    <w:locked/>
    <w:uiPriority w:val="0"/>
    <w:rPr>
      <w:rFonts w:ascii="宋体" w:hAnsi="Times New Roman" w:eastAsia="宋体" w:cs="Times New Roman"/>
      <w:sz w:val="20"/>
      <w:szCs w:val="20"/>
    </w:rPr>
  </w:style>
  <w:style w:type="character" w:customStyle="1" w:styleId="273">
    <w:name w:val="Balloon Text Char"/>
    <w:qFormat/>
    <w:locked/>
    <w:uiPriority w:val="0"/>
    <w:rPr>
      <w:rFonts w:ascii="Times New Roman" w:hAnsi="Times New Roman" w:eastAsia="宋体" w:cs="Times New Roman"/>
      <w:sz w:val="18"/>
      <w:szCs w:val="18"/>
    </w:rPr>
  </w:style>
  <w:style w:type="character" w:customStyle="1" w:styleId="274">
    <w:name w:val="Salutation Char"/>
    <w:qFormat/>
    <w:locked/>
    <w:uiPriority w:val="0"/>
    <w:rPr>
      <w:rFonts w:ascii="..ì." w:hAnsi="Times New Roman" w:eastAsia="..ì." w:cs="Times New Roman"/>
      <w:kern w:val="0"/>
      <w:sz w:val="20"/>
      <w:szCs w:val="20"/>
    </w:rPr>
  </w:style>
  <w:style w:type="character" w:customStyle="1" w:styleId="275">
    <w:name w:val="Note Heading Char"/>
    <w:qFormat/>
    <w:locked/>
    <w:uiPriority w:val="0"/>
    <w:rPr>
      <w:rFonts w:ascii="..ì." w:hAnsi="Times New Roman" w:eastAsia="..ì." w:cs="Times New Roman"/>
      <w:kern w:val="0"/>
      <w:sz w:val="20"/>
      <w:szCs w:val="20"/>
    </w:rPr>
  </w:style>
  <w:style w:type="paragraph" w:customStyle="1" w:styleId="276">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7">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8">
    <w:name w:val="Body Text 3 Char"/>
    <w:qFormat/>
    <w:locked/>
    <w:uiPriority w:val="0"/>
    <w:rPr>
      <w:rFonts w:ascii="Times New Roman" w:hAnsi="Times New Roman" w:eastAsia="宋体" w:cs="Times New Roman"/>
      <w:sz w:val="16"/>
      <w:szCs w:val="16"/>
    </w:rPr>
  </w:style>
  <w:style w:type="character" w:customStyle="1" w:styleId="279">
    <w:name w:val="Title Char"/>
    <w:qFormat/>
    <w:locked/>
    <w:uiPriority w:val="0"/>
    <w:rPr>
      <w:rFonts w:ascii="Arial" w:hAnsi="Arial" w:eastAsia="宋体" w:cs="Times New Roman"/>
      <w:b/>
      <w:kern w:val="0"/>
      <w:sz w:val="20"/>
      <w:szCs w:val="20"/>
    </w:rPr>
  </w:style>
  <w:style w:type="character" w:customStyle="1" w:styleId="280">
    <w:name w:val="Comment Subject Char"/>
    <w:qFormat/>
    <w:locked/>
    <w:uiPriority w:val="0"/>
    <w:rPr>
      <w:rFonts w:ascii="Times New Roman" w:hAnsi="Times New Roman" w:eastAsia="宋体" w:cs="Times New Roman"/>
      <w:b/>
      <w:bCs/>
      <w:sz w:val="24"/>
      <w:szCs w:val="24"/>
    </w:rPr>
  </w:style>
  <w:style w:type="character" w:customStyle="1" w:styleId="281">
    <w:name w:val="Comment Text Char"/>
    <w:qFormat/>
    <w:locked/>
    <w:uiPriority w:val="0"/>
    <w:rPr>
      <w:rFonts w:ascii="Times New Roman" w:hAnsi="Times New Roman" w:eastAsia="宋体"/>
      <w:sz w:val="24"/>
    </w:rPr>
  </w:style>
  <w:style w:type="paragraph" w:customStyle="1" w:styleId="282">
    <w:name w:val="List Paragraph1"/>
    <w:basedOn w:val="1"/>
    <w:qFormat/>
    <w:uiPriority w:val="99"/>
    <w:pPr>
      <w:ind w:firstLine="420" w:firstLineChars="200"/>
    </w:pPr>
    <w:rPr>
      <w:rFonts w:eastAsia="宋体"/>
    </w:rPr>
  </w:style>
  <w:style w:type="paragraph" w:customStyle="1" w:styleId="283">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4">
    <w:name w:val="未处理的提及1"/>
    <w:unhideWhenUsed/>
    <w:qFormat/>
    <w:uiPriority w:val="99"/>
    <w:rPr>
      <w:color w:val="605E5C"/>
      <w:shd w:val="clear" w:color="auto" w:fill="E1DFDD"/>
    </w:rPr>
  </w:style>
  <w:style w:type="character" w:customStyle="1" w:styleId="285">
    <w:name w:val="Char Char11"/>
    <w:qFormat/>
    <w:uiPriority w:val="99"/>
    <w:rPr>
      <w:rFonts w:eastAsia="宋体"/>
      <w:kern w:val="2"/>
      <w:sz w:val="24"/>
      <w:lang w:val="en-US" w:eastAsia="zh-CN"/>
    </w:rPr>
  </w:style>
  <w:style w:type="character" w:customStyle="1" w:styleId="286">
    <w:name w:val="正文文本 Char1"/>
    <w:semiHidden/>
    <w:qFormat/>
    <w:uiPriority w:val="0"/>
    <w:rPr>
      <w:rFonts w:ascii="Times New Roman" w:hAnsi="Times New Roman" w:eastAsia="宋体" w:cs="Times New Roman"/>
      <w:szCs w:val="24"/>
    </w:rPr>
  </w:style>
  <w:style w:type="paragraph" w:customStyle="1" w:styleId="287">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11"/>
    <w:basedOn w:val="1"/>
    <w:qFormat/>
    <w:uiPriority w:val="99"/>
    <w:rPr>
      <w:rFonts w:ascii="Tahoma" w:hAnsi="Tahoma" w:eastAsia="宋体"/>
      <w:sz w:val="24"/>
      <w:szCs w:val="20"/>
    </w:rPr>
  </w:style>
  <w:style w:type="paragraph" w:customStyle="1" w:styleId="289">
    <w:name w:val="Char Char Char Char1"/>
    <w:basedOn w:val="1"/>
    <w:qFormat/>
    <w:uiPriority w:val="99"/>
    <w:pPr>
      <w:widowControl/>
      <w:spacing w:after="160" w:line="240" w:lineRule="exact"/>
      <w:jc w:val="left"/>
    </w:pPr>
    <w:rPr>
      <w:rFonts w:eastAsia="宋体"/>
      <w:szCs w:val="20"/>
    </w:rPr>
  </w:style>
  <w:style w:type="paragraph" w:customStyle="1" w:styleId="290">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1">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11"/>
    <w:basedOn w:val="1"/>
    <w:qFormat/>
    <w:uiPriority w:val="99"/>
    <w:pPr>
      <w:widowControl/>
      <w:spacing w:after="160" w:line="240" w:lineRule="exact"/>
      <w:jc w:val="left"/>
    </w:pPr>
    <w:rPr>
      <w:rFonts w:eastAsia="宋体"/>
      <w:szCs w:val="20"/>
    </w:rPr>
  </w:style>
  <w:style w:type="paragraph" w:customStyle="1" w:styleId="293">
    <w:name w:val="Char12"/>
    <w:basedOn w:val="1"/>
    <w:qFormat/>
    <w:uiPriority w:val="99"/>
    <w:rPr>
      <w:rFonts w:ascii="Tahoma" w:hAnsi="Tahoma" w:eastAsia="宋体"/>
      <w:sz w:val="24"/>
      <w:szCs w:val="20"/>
    </w:rPr>
  </w:style>
  <w:style w:type="paragraph" w:customStyle="1" w:styleId="294">
    <w:name w:val="Char111"/>
    <w:basedOn w:val="1"/>
    <w:qFormat/>
    <w:uiPriority w:val="99"/>
    <w:rPr>
      <w:rFonts w:ascii="Tahoma" w:hAnsi="Tahoma" w:eastAsia="宋体"/>
      <w:sz w:val="24"/>
      <w:szCs w:val="20"/>
    </w:rPr>
  </w:style>
  <w:style w:type="paragraph" w:customStyle="1" w:styleId="295">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Char Char Char Char2"/>
    <w:basedOn w:val="1"/>
    <w:qFormat/>
    <w:uiPriority w:val="99"/>
    <w:pPr>
      <w:widowControl/>
      <w:spacing w:after="160" w:line="240" w:lineRule="exact"/>
      <w:jc w:val="left"/>
    </w:pPr>
    <w:rPr>
      <w:rFonts w:eastAsia="宋体"/>
      <w:szCs w:val="20"/>
    </w:rPr>
  </w:style>
  <w:style w:type="character" w:customStyle="1" w:styleId="297">
    <w:name w:val="正文文本 字符"/>
    <w:qFormat/>
    <w:uiPriority w:val="0"/>
    <w:rPr>
      <w:b/>
      <w:i/>
      <w:szCs w:val="24"/>
    </w:rPr>
  </w:style>
  <w:style w:type="paragraph" w:customStyle="1" w:styleId="298">
    <w:name w:val="纯文本2"/>
    <w:basedOn w:val="1"/>
    <w:qFormat/>
    <w:uiPriority w:val="0"/>
    <w:rPr>
      <w:rFonts w:ascii="宋体" w:hAnsi="Courier New" w:cs="Courier New"/>
      <w:szCs w:val="21"/>
    </w:rPr>
  </w:style>
  <w:style w:type="paragraph" w:customStyle="1" w:styleId="299">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0">
    <w:name w:val="HTML 预设格式 字符"/>
    <w:basedOn w:val="52"/>
    <w:link w:val="43"/>
    <w:qFormat/>
    <w:uiPriority w:val="0"/>
    <w:rPr>
      <w:rFonts w:ascii="黑体" w:hAnsi="Courier New" w:eastAsia="黑体"/>
    </w:rPr>
  </w:style>
  <w:style w:type="character" w:customStyle="1" w:styleId="301">
    <w:name w:val="beforeinfotext"/>
    <w:basedOn w:val="52"/>
    <w:qFormat/>
    <w:uiPriority w:val="0"/>
    <w:rPr>
      <w:color w:val="666666"/>
    </w:rPr>
  </w:style>
  <w:style w:type="character" w:customStyle="1" w:styleId="302">
    <w:name w:val="proollist"/>
    <w:basedOn w:val="52"/>
    <w:qFormat/>
    <w:uiPriority w:val="0"/>
  </w:style>
  <w:style w:type="character" w:customStyle="1" w:styleId="303">
    <w:name w:val="span-long"/>
    <w:basedOn w:val="52"/>
    <w:qFormat/>
    <w:uiPriority w:val="0"/>
  </w:style>
  <w:style w:type="character" w:customStyle="1" w:styleId="304">
    <w:name w:val="input-direction"/>
    <w:basedOn w:val="52"/>
    <w:qFormat/>
    <w:uiPriority w:val="0"/>
    <w:rPr>
      <w:color w:val="FF6600"/>
    </w:rPr>
  </w:style>
  <w:style w:type="character" w:customStyle="1" w:styleId="305">
    <w:name w:val="stclosebtn"/>
    <w:basedOn w:val="52"/>
    <w:qFormat/>
    <w:uiPriority w:val="0"/>
  </w:style>
  <w:style w:type="character" w:customStyle="1" w:styleId="306">
    <w:name w:val="number"/>
    <w:basedOn w:val="52"/>
    <w:qFormat/>
    <w:uiPriority w:val="0"/>
    <w:rPr>
      <w:color w:val="FF8833"/>
      <w:sz w:val="18"/>
      <w:szCs w:val="18"/>
    </w:rPr>
  </w:style>
  <w:style w:type="character" w:customStyle="1" w:styleId="307">
    <w:name w:val="button"/>
    <w:basedOn w:val="52"/>
    <w:qFormat/>
    <w:uiPriority w:val="0"/>
  </w:style>
  <w:style w:type="character" w:customStyle="1" w:styleId="308">
    <w:name w:val="phone"/>
    <w:basedOn w:val="52"/>
    <w:qFormat/>
    <w:uiPriority w:val="0"/>
    <w:rPr>
      <w:color w:val="FF8833"/>
      <w:sz w:val="18"/>
      <w:szCs w:val="18"/>
    </w:rPr>
  </w:style>
  <w:style w:type="character" w:customStyle="1" w:styleId="309">
    <w:name w:val="tmpztreemove_arrow"/>
    <w:basedOn w:val="52"/>
    <w:qFormat/>
    <w:uiPriority w:val="0"/>
  </w:style>
  <w:style w:type="character" w:customStyle="1" w:styleId="310">
    <w:name w:val="hilite"/>
    <w:basedOn w:val="52"/>
    <w:qFormat/>
    <w:uiPriority w:val="0"/>
    <w:rPr>
      <w:color w:val="FFFFFF"/>
      <w:shd w:val="clear" w:color="auto" w:fill="666677"/>
    </w:rPr>
  </w:style>
  <w:style w:type="character" w:customStyle="1" w:styleId="311">
    <w:name w:val="active"/>
    <w:basedOn w:val="52"/>
    <w:qFormat/>
    <w:uiPriority w:val="0"/>
    <w:rPr>
      <w:color w:val="00FF00"/>
      <w:shd w:val="clear" w:color="auto" w:fill="000000"/>
    </w:rPr>
  </w:style>
  <w:style w:type="paragraph" w:customStyle="1" w:styleId="312">
    <w:name w:val="标题 2（投标文件）"/>
    <w:basedOn w:val="4"/>
    <w:qFormat/>
    <w:uiPriority w:val="0"/>
    <w:pPr>
      <w:keepNext/>
      <w:keepLines/>
      <w:widowControl/>
      <w:spacing w:before="0" w:after="0"/>
      <w:jc w:val="center"/>
    </w:pPr>
    <w:rPr>
      <w:rFonts w:ascii="Calibri" w:hAnsi="Calibri" w:eastAsia="华文仿宋"/>
      <w:b/>
    </w:rPr>
  </w:style>
  <w:style w:type="paragraph" w:customStyle="1" w:styleId="313">
    <w:name w:val="正文1"/>
    <w:qFormat/>
    <w:uiPriority w:val="0"/>
    <w:pPr>
      <w:autoSpaceDE w:val="0"/>
      <w:autoSpaceDN w:val="0"/>
      <w:spacing w:line="360" w:lineRule="auto"/>
      <w:ind w:firstLine="200" w:firstLineChars="200"/>
    </w:pPr>
    <w:rPr>
      <w:rFonts w:ascii="Times New Roman" w:hAnsi="Times New Roman" w:eastAsia="仿宋_GB2312" w:cs="Times New Roman"/>
      <w:kern w:val="10"/>
      <w:sz w:val="24"/>
      <w:szCs w:val="24"/>
      <w:lang w:val="en-GB" w:eastAsia="en-GB" w:bidi="ar-SA"/>
    </w:rPr>
  </w:style>
  <w:style w:type="paragraph" w:customStyle="1" w:styleId="314">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315">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1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317">
    <w:name w:val="NormalCharacter"/>
    <w:qFormat/>
    <w:uiPriority w:val="0"/>
    <w:rPr>
      <w:rFonts w:ascii="Calibri" w:hAnsi="Calibri" w:eastAsia="宋体" w:cs="Calibri"/>
      <w:color w:val="000000"/>
      <w:sz w:val="21"/>
      <w:szCs w:val="24"/>
      <w:lang w:val="en-US" w:eastAsia="zh-CN" w:bidi="ar-SA"/>
    </w:rPr>
  </w:style>
  <w:style w:type="character" w:customStyle="1" w:styleId="318">
    <w:name w:val="Unresolved Mention"/>
    <w:basedOn w:val="52"/>
    <w:semiHidden/>
    <w:unhideWhenUsed/>
    <w:qFormat/>
    <w:uiPriority w:val="99"/>
    <w:rPr>
      <w:color w:val="605E5C"/>
      <w:shd w:val="clear" w:color="auto" w:fill="E1DFDD"/>
    </w:rPr>
  </w:style>
  <w:style w:type="character" w:customStyle="1" w:styleId="319">
    <w:name w:val="font31"/>
    <w:qFormat/>
    <w:uiPriority w:val="0"/>
    <w:rPr>
      <w:rFonts w:hint="eastAsia" w:ascii="宋体" w:hAnsi="宋体" w:eastAsia="宋体" w:cs="宋体"/>
      <w:color w:val="000000"/>
      <w:sz w:val="24"/>
      <w:szCs w:val="24"/>
      <w:u w:val="none"/>
    </w:rPr>
  </w:style>
  <w:style w:type="character" w:customStyle="1" w:styleId="320">
    <w:name w:val="font91"/>
    <w:qFormat/>
    <w:uiPriority w:val="0"/>
    <w:rPr>
      <w:rFonts w:hint="eastAsia" w:ascii="宋体" w:hAnsi="宋体" w:eastAsia="宋体" w:cs="宋体"/>
      <w:color w:val="000000"/>
      <w:sz w:val="24"/>
      <w:szCs w:val="24"/>
      <w:u w:val="single"/>
    </w:rPr>
  </w:style>
  <w:style w:type="paragraph" w:customStyle="1" w:styleId="321">
    <w:name w:val="Normal"/>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11C80-1685-42AF-9FF8-69583A7438B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16584</Words>
  <Characters>17837</Characters>
  <Lines>258</Lines>
  <Paragraphs>72</Paragraphs>
  <TotalTime>2</TotalTime>
  <ScaleCrop>false</ScaleCrop>
  <LinksUpToDate>false</LinksUpToDate>
  <CharactersWithSpaces>18898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2020-12-12T00:34:00Z</dcterms:created>
  <dc:creator>Lv Ji_BM</dc:creator>
  <cp:lastModifiedBy>豆豆豆包</cp:lastModifiedBy>
  <cp:lastPrinted>2021-11-24T08:42:00Z</cp:lastPrinted>
  <dcterms:modified xsi:type="dcterms:W3CDTF">2025-07-24T06:38:05Z</dcterms:modified>
  <dc:title>_x0001_</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0BD96502F5044DC2B651793A1E8BD25A_13</vt:lpwstr>
  </property>
  <property fmtid="{D5CDD505-2E9C-101B-9397-08002B2CF9AE}" pid="4" name="KSOTemplateDocerSaveRecord">
    <vt:lpwstr>eyJoZGlkIjoiOTQxZGE0YjFkZTg3NDkwNGUxMTAxOGUwODU0MDg2MWEiLCJ1c2VySWQiOiI1NDY3MDk0NzQifQ==</vt:lpwstr>
  </property>
</Properties>
</file>