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95"/>
        <w:gridCol w:w="396"/>
        <w:gridCol w:w="7731"/>
      </w:tblGrid>
      <w:tr w14:paraId="650314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95" w:type="dxa"/>
          </w:tcPr>
          <w:p w14:paraId="7355A836">
            <w:pPr>
              <w:pStyle w:val="21"/>
              <w:rPr>
                <w:rFonts w:hint="default"/>
              </w:rPr>
            </w:pPr>
            <w:r>
              <w:rPr>
                <w:rFonts w:ascii="仿宋_GB2312" w:hAnsi="仿宋_GB2312" w:eastAsia="仿宋_GB2312" w:cs="仿宋_GB2312"/>
              </w:rPr>
              <w:t xml:space="preserve"> 序号</w:t>
            </w:r>
          </w:p>
        </w:tc>
        <w:tc>
          <w:tcPr>
            <w:tcW w:w="396" w:type="dxa"/>
          </w:tcPr>
          <w:p w14:paraId="413660A0">
            <w:pPr>
              <w:pStyle w:val="21"/>
              <w:rPr>
                <w:rFonts w:hint="default"/>
              </w:rPr>
            </w:pPr>
            <w:r>
              <w:rPr>
                <w:rFonts w:ascii="仿宋_GB2312" w:hAnsi="仿宋_GB2312" w:eastAsia="仿宋_GB2312" w:cs="仿宋_GB2312"/>
              </w:rPr>
              <w:t xml:space="preserve"> 参数性质</w:t>
            </w:r>
          </w:p>
        </w:tc>
        <w:tc>
          <w:tcPr>
            <w:tcW w:w="7731" w:type="dxa"/>
          </w:tcPr>
          <w:p w14:paraId="6F14390F">
            <w:pPr>
              <w:pStyle w:val="21"/>
              <w:rPr>
                <w:rFonts w:hint="default"/>
              </w:rPr>
            </w:pPr>
            <w:r>
              <w:rPr>
                <w:rFonts w:ascii="仿宋_GB2312" w:hAnsi="仿宋_GB2312" w:eastAsia="仿宋_GB2312" w:cs="仿宋_GB2312"/>
              </w:rPr>
              <w:t xml:space="preserve"> 技术参数与性能指标</w:t>
            </w:r>
          </w:p>
        </w:tc>
      </w:tr>
      <w:tr w14:paraId="0F0422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95" w:type="dxa"/>
          </w:tcPr>
          <w:p w14:paraId="5EBD193E">
            <w:pPr>
              <w:pStyle w:val="21"/>
              <w:rPr>
                <w:rFonts w:hint="default"/>
              </w:rPr>
            </w:pPr>
            <w:r>
              <w:rPr>
                <w:rFonts w:ascii="仿宋_GB2312" w:hAnsi="仿宋_GB2312" w:eastAsia="仿宋_GB2312" w:cs="仿宋_GB2312"/>
              </w:rPr>
              <w:t>1</w:t>
            </w:r>
          </w:p>
        </w:tc>
        <w:tc>
          <w:tcPr>
            <w:tcW w:w="396" w:type="dxa"/>
          </w:tcPr>
          <w:p w14:paraId="60C9CAC6"/>
        </w:tc>
        <w:tc>
          <w:tcPr>
            <w:tcW w:w="7731" w:type="dxa"/>
          </w:tcPr>
          <w:p w14:paraId="015016D9">
            <w:pPr>
              <w:pStyle w:val="4"/>
              <w:numPr>
                <w:ilvl w:val="1"/>
                <w:numId w:val="0"/>
              </w:numPr>
              <w:rPr>
                <w:rFonts w:hint="eastAsia" w:ascii="仿宋" w:hAnsi="仿宋" w:eastAsia="仿宋" w:cs="仿宋"/>
                <w:sz w:val="21"/>
                <w:szCs w:val="21"/>
              </w:rPr>
            </w:pPr>
            <w:bookmarkStart w:id="0" w:name="_Toc3491"/>
            <w:bookmarkStart w:id="1" w:name="_Toc127382311"/>
            <w:bookmarkStart w:id="2" w:name="_Toc117416533"/>
            <w:r>
              <w:rPr>
                <w:rFonts w:hint="eastAsia" w:ascii="仿宋" w:hAnsi="仿宋" w:eastAsia="仿宋" w:cs="仿宋"/>
                <w:sz w:val="21"/>
                <w:szCs w:val="21"/>
              </w:rPr>
              <w:t>1.1建设目标、内容、规模、周期</w:t>
            </w:r>
            <w:bookmarkEnd w:id="0"/>
            <w:bookmarkEnd w:id="1"/>
            <w:bookmarkEnd w:id="2"/>
          </w:p>
          <w:p w14:paraId="78893CAD">
            <w:pPr>
              <w:pStyle w:val="5"/>
              <w:numPr>
                <w:ilvl w:val="2"/>
                <w:numId w:val="0"/>
              </w:numPr>
              <w:rPr>
                <w:rFonts w:hint="eastAsia" w:ascii="仿宋" w:hAnsi="仿宋" w:eastAsia="仿宋" w:cs="仿宋"/>
                <w:sz w:val="21"/>
                <w:szCs w:val="21"/>
              </w:rPr>
            </w:pPr>
            <w:bookmarkStart w:id="3" w:name="_Toc85443480"/>
            <w:bookmarkStart w:id="4" w:name="_Toc86830592"/>
            <w:bookmarkStart w:id="5" w:name="_Toc5406"/>
            <w:bookmarkStart w:id="6" w:name="_Toc127382312"/>
            <w:bookmarkStart w:id="7" w:name="_Toc493702746"/>
            <w:bookmarkStart w:id="8" w:name="_Toc117416534"/>
            <w:r>
              <w:rPr>
                <w:rFonts w:hint="eastAsia" w:ascii="仿宋" w:hAnsi="仿宋" w:eastAsia="仿宋" w:cs="仿宋"/>
                <w:sz w:val="21"/>
                <w:szCs w:val="21"/>
              </w:rPr>
              <w:t>1.1.1建设目标</w:t>
            </w:r>
            <w:bookmarkEnd w:id="3"/>
            <w:bookmarkEnd w:id="4"/>
            <w:bookmarkEnd w:id="5"/>
            <w:bookmarkEnd w:id="6"/>
            <w:bookmarkEnd w:id="7"/>
            <w:bookmarkEnd w:id="8"/>
          </w:p>
          <w:p w14:paraId="43E9A6E1">
            <w:pPr>
              <w:pStyle w:val="22"/>
              <w:snapToGrid w:val="0"/>
              <w:ind w:left="420" w:leftChars="200"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1.项目建设的政务目标，包括以下内容：</w:t>
            </w:r>
          </w:p>
          <w:p w14:paraId="75B3D1CA">
            <w:pPr>
              <w:pStyle w:val="22"/>
              <w:snapToGrid w:val="0"/>
              <w:ind w:firstLine="420"/>
              <w:rPr>
                <w:rFonts w:hint="eastAsia" w:ascii="仿宋" w:hAnsi="仿宋" w:eastAsia="仿宋" w:cs="仿宋"/>
                <w:color w:val="000000" w:themeColor="text1"/>
                <w14:textFill>
                  <w14:solidFill>
                    <w14:schemeClr w14:val="tx1"/>
                  </w14:solidFill>
                </w14:textFill>
              </w:rPr>
            </w:pPr>
            <w:bookmarkStart w:id="9" w:name="_Hlk126680441"/>
            <w:r>
              <w:rPr>
                <w:rFonts w:hint="eastAsia" w:ascii="仿宋" w:hAnsi="仿宋" w:eastAsia="仿宋" w:cs="仿宋"/>
                <w:color w:val="000000" w:themeColor="text1"/>
                <w14:textFill>
                  <w14:solidFill>
                    <w14:schemeClr w14:val="tx1"/>
                  </w14:solidFill>
                </w14:textFill>
              </w:rPr>
              <w:t>（1）将严格遵循党中央、国务院及各部委颁布的政策法规等重要文件精神，以国家战略发展方向为指引，确保项目的政治站位和发展方向与国家整体规划一致。在政策法规的框架内，充分吸收文件中关于政务信息化建设等方面的要求，使项目成为国家政策在地方落地实施的重要载体，助力国家治理体系和治理能力现代化建设。</w:t>
            </w:r>
          </w:p>
          <w:p w14:paraId="0E841A3D">
            <w:pPr>
              <w:pStyle w:val="22"/>
              <w:snapToGrid w:val="0"/>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深度对标省委、省政府重要文件，紧密围绕陕西省数字政府建设“十四五”规划和省级政务信息化项目建设管理办法等内容开展项目建设工作。以陕西省数字政府建设规划为蓝图，落实规划中关于提升政务服务效能、加强数据共享与协同等任务，借助项目建设推动省级政务信息化管理办法的实践应用，为陕西省数字政府建设提供具体支撑，促进全省政务服务水平提升。</w:t>
            </w:r>
          </w:p>
          <w:p w14:paraId="7CEF4057">
            <w:pPr>
              <w:pStyle w:val="22"/>
              <w:snapToGrid w:val="0"/>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项目与本部门（单位）、本行业的重点规划紧密衔接，针对规划中提出的发展目标和重点任务，项目将通过技术创新、流程优化等方式，提供具体的实现路径和解决方案。在项目实施过程中，整合资源、强化协同，为重点规划中的关键环节提供有力支撑，推动本部门（单位）和本行业在政务服务、业务管理等方面的发展，提升整体竞争力和服务能力，确保重点规划能够有效落地实施。</w:t>
            </w:r>
          </w:p>
          <w:bookmarkEnd w:id="9"/>
          <w:p w14:paraId="018453ED">
            <w:pPr>
              <w:pStyle w:val="22"/>
              <w:snapToGrid w:val="0"/>
              <w:ind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2.项目建设的业务目标，应包括但不仅限于以下内容：</w:t>
            </w:r>
          </w:p>
          <w:p w14:paraId="4C946A90">
            <w:pPr>
              <w:pStyle w:val="22"/>
              <w:snapToGrid w:val="0"/>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（1）项目将深度融入本部门（单位）、本行业系统的业务流程，构建全方位的业务支撑体系。通过整合分散的业务数据资源，建立统一的数据管理平台，为业务决策提供精准的数据支持。</w:t>
            </w:r>
          </w:p>
          <w:p w14:paraId="74C8EA61">
            <w:pPr>
              <w:pStyle w:val="22"/>
              <w:snapToGrid w:val="0"/>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（2）项目将通过优化业务流程、引入智能化技术手段，显著提升机构、管理层级的业务处理和工作效率。并且借助自动化流程引擎，实现业务流程的自动流转和审批，减少人工干预，缩短业务办理时间。</w:t>
            </w:r>
          </w:p>
          <w:p w14:paraId="5AD48F43">
            <w:pPr>
              <w:pStyle w:val="22"/>
              <w:snapToGrid w:val="0"/>
              <w:ind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3.项目优化的信息化目标，应包括但不仅限于以下内容：</w:t>
            </w:r>
          </w:p>
          <w:p w14:paraId="2788D947">
            <w:pPr>
              <w:pStyle w:val="22"/>
              <w:snapToGrid w:val="0"/>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次项目优化基于实现关键技术自主可控性，提升系统的兼容性与稳定性，对原系统功能模块进行增强优化，能更精准匹配业务发展需求，优化业务流程，提升系统运行效率与响应速度，加强系统安全措施，提升系统抵御网络攻击、数据泄露等安全威胁的能力，保护卫生健康行政部门的数据资产。致力于构建更安全、更高效、更适配信创环境的信息化系统。主要目标如下：</w:t>
            </w:r>
          </w:p>
          <w:p w14:paraId="48044DC3">
            <w:pPr>
              <w:pStyle w:val="22"/>
              <w:snapToGrid w:val="0"/>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系统迁移：将国家卫生统计直报系统从windows环境迁移至信创环境，本次迁移包含应用软件适配以及系统数据迁移，目的是实现关键技术、产品和服务的自主可控，保障国家信息安全战略需求，降低因外部技术限制导致的潜在风险，同时提升系统的兼容性与稳定性，增强长期可持续发展能力。</w:t>
            </w:r>
          </w:p>
          <w:p w14:paraId="68280AED">
            <w:pPr>
              <w:pStyle w:val="22"/>
              <w:snapToGrid w:val="0"/>
              <w:ind w:firstLine="420"/>
              <w:rPr>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功能模块优化：在系统原有功能数据报送、查询、质控、分析及机构管理等功能模块基础上，新增人力资源档案管理、指标管理、知识库检索等功能模块，精准匹配卫生健康业务发展需求，优化业务流程，提升系统运行效率与响应速度，为卫生人员带来更流畅、高效的使用体验。</w:t>
            </w:r>
          </w:p>
          <w:p w14:paraId="6338252D">
            <w:pPr>
              <w:pStyle w:val="5"/>
              <w:numPr>
                <w:ilvl w:val="2"/>
                <w:numId w:val="0"/>
              </w:numPr>
              <w:rPr>
                <w:rFonts w:hint="eastAsia" w:ascii="仿宋" w:hAnsi="仿宋" w:eastAsia="仿宋" w:cs="仿宋"/>
                <w:sz w:val="21"/>
                <w:szCs w:val="21"/>
              </w:rPr>
            </w:pPr>
            <w:bookmarkStart w:id="10" w:name="_Toc127382313"/>
            <w:bookmarkStart w:id="11" w:name="_Toc327"/>
            <w:bookmarkStart w:id="12" w:name="_Toc117416535"/>
            <w:r>
              <w:rPr>
                <w:rFonts w:hint="eastAsia" w:ascii="仿宋" w:hAnsi="仿宋" w:eastAsia="仿宋" w:cs="仿宋"/>
                <w:sz w:val="21"/>
                <w:szCs w:val="21"/>
              </w:rPr>
              <w:t>1.1.2建设内容</w:t>
            </w:r>
            <w:bookmarkEnd w:id="10"/>
            <w:bookmarkEnd w:id="11"/>
          </w:p>
          <w:p w14:paraId="7BF70B95">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本期项目具体建设内容如下：</w:t>
            </w:r>
          </w:p>
          <w:p w14:paraId="4F8443F8">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一套国家卫生统计直报系统进行功能优化，整合卫生统计、老龄处、妇幼处、基层处、体改处、科教处等多条线业务数据，从门户管理、数据、业务、流程等多方面，实现整体功能优化与增强。围绕系统迁移、功能模块优化、安全加固三大核心方向展开，其中功能模块优化包含：数据报送、指标管理、数据查询、数据质控、资产管理、数据分析、决策支持、人力资源、知识库检索、后台管理10大功能。</w:t>
            </w:r>
          </w:p>
          <w:p w14:paraId="20307037">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2.本期项目数据治理与数据共享：包括基于业务填报数据底座按照规则对存量数据进行标准化治理，将治理后符合系统用数标准的数据选择性对外共享。</w:t>
            </w:r>
          </w:p>
          <w:p w14:paraId="7D4DAFC4">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3.本期项目安全体系建设包括等级保护方案、密码应用方案和国产自主可控设计方案。</w:t>
            </w:r>
          </w:p>
          <w:p w14:paraId="285CDE7A">
            <w:pPr>
              <w:pStyle w:val="5"/>
              <w:numPr>
                <w:ilvl w:val="2"/>
                <w:numId w:val="0"/>
              </w:numPr>
              <w:rPr>
                <w:rFonts w:hint="eastAsia" w:ascii="仿宋" w:hAnsi="仿宋" w:eastAsia="仿宋" w:cs="仿宋"/>
                <w:sz w:val="21"/>
                <w:szCs w:val="21"/>
              </w:rPr>
            </w:pPr>
            <w:bookmarkStart w:id="13" w:name="_Toc28786"/>
            <w:bookmarkStart w:id="14" w:name="_Toc127382314"/>
            <w:r>
              <w:rPr>
                <w:rFonts w:hint="eastAsia" w:ascii="仿宋" w:hAnsi="仿宋" w:eastAsia="仿宋" w:cs="仿宋"/>
                <w:sz w:val="21"/>
                <w:szCs w:val="21"/>
              </w:rPr>
              <w:t>1.1.3建设规模</w:t>
            </w:r>
            <w:bookmarkEnd w:id="12"/>
            <w:bookmarkEnd w:id="13"/>
            <w:bookmarkEnd w:id="14"/>
            <w:bookmarkStart w:id="15" w:name="_Hlk111051330"/>
          </w:p>
          <w:p w14:paraId="0DCFB3EF">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国家卫生统计直报系统功能优化项目本期建设规模：系统迁移、优化软件系统1套（包含10大功能模块优化）、安全检测1项。详见下表。</w:t>
            </w:r>
          </w:p>
          <w:p w14:paraId="7436817B">
            <w:pPr>
              <w:pStyle w:val="14"/>
            </w:pPr>
            <w:r>
              <w:t>表</w:t>
            </w:r>
            <w:r>
              <w:rPr>
                <w:rFonts w:hint="eastAsia"/>
              </w:rPr>
              <w:t xml:space="preserve">  建设规模清单</w:t>
            </w:r>
          </w:p>
          <w:tbl>
            <w:tblPr>
              <w:tblStyle w:val="17"/>
              <w:tblW w:w="7358" w:type="dxa"/>
              <w:tblInd w:w="0" w:type="dxa"/>
              <w:tblLayout w:type="autofit"/>
              <w:tblCellMar>
                <w:top w:w="0" w:type="dxa"/>
                <w:left w:w="108" w:type="dxa"/>
                <w:bottom w:w="0" w:type="dxa"/>
                <w:right w:w="108" w:type="dxa"/>
              </w:tblCellMar>
            </w:tblPr>
            <w:tblGrid>
              <w:gridCol w:w="697"/>
              <w:gridCol w:w="1395"/>
              <w:gridCol w:w="1703"/>
              <w:gridCol w:w="3563"/>
            </w:tblGrid>
            <w:tr w14:paraId="34758AD3">
              <w:tblPrEx>
                <w:tblCellMar>
                  <w:top w:w="0" w:type="dxa"/>
                  <w:left w:w="108" w:type="dxa"/>
                  <w:bottom w:w="0" w:type="dxa"/>
                  <w:right w:w="108" w:type="dxa"/>
                </w:tblCellMar>
              </w:tblPrEx>
              <w:trPr>
                <w:trHeight w:val="394" w:hRule="atLeast"/>
              </w:trPr>
              <w:tc>
                <w:tcPr>
                  <w:tcW w:w="697" w:type="dxa"/>
                  <w:tcBorders>
                    <w:top w:val="single" w:color="auto" w:sz="8" w:space="0"/>
                    <w:left w:val="single" w:color="auto" w:sz="8" w:space="0"/>
                    <w:bottom w:val="single" w:color="auto" w:sz="8" w:space="0"/>
                    <w:right w:val="single" w:color="auto" w:sz="8" w:space="0"/>
                  </w:tcBorders>
                  <w:vAlign w:val="center"/>
                </w:tcPr>
                <w:p w14:paraId="6A124B95">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序号</w:t>
                  </w:r>
                </w:p>
              </w:tc>
              <w:tc>
                <w:tcPr>
                  <w:tcW w:w="1395" w:type="dxa"/>
                  <w:tcBorders>
                    <w:top w:val="single" w:color="auto" w:sz="8" w:space="0"/>
                    <w:left w:val="nil"/>
                    <w:bottom w:val="single" w:color="auto" w:sz="8" w:space="0"/>
                    <w:right w:val="single" w:color="auto" w:sz="8" w:space="0"/>
                  </w:tcBorders>
                  <w:vAlign w:val="center"/>
                </w:tcPr>
                <w:p w14:paraId="5AEA95BA">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分类</w:t>
                  </w:r>
                </w:p>
              </w:tc>
              <w:tc>
                <w:tcPr>
                  <w:tcW w:w="1703" w:type="dxa"/>
                  <w:tcBorders>
                    <w:top w:val="single" w:color="auto" w:sz="8" w:space="0"/>
                    <w:left w:val="nil"/>
                    <w:bottom w:val="single" w:color="auto" w:sz="8" w:space="0"/>
                    <w:right w:val="single" w:color="auto" w:sz="8" w:space="0"/>
                  </w:tcBorders>
                  <w:vAlign w:val="center"/>
                </w:tcPr>
                <w:p w14:paraId="747EF169">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名称</w:t>
                  </w:r>
                </w:p>
              </w:tc>
              <w:tc>
                <w:tcPr>
                  <w:tcW w:w="3563" w:type="dxa"/>
                  <w:tcBorders>
                    <w:top w:val="single" w:color="auto" w:sz="8" w:space="0"/>
                    <w:left w:val="nil"/>
                    <w:bottom w:val="single" w:color="auto" w:sz="8" w:space="0"/>
                    <w:right w:val="single" w:color="auto" w:sz="8" w:space="0"/>
                  </w:tcBorders>
                  <w:vAlign w:val="center"/>
                </w:tcPr>
                <w:p w14:paraId="4500381D">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内容</w:t>
                  </w:r>
                </w:p>
              </w:tc>
            </w:tr>
            <w:tr w14:paraId="5F712CC8">
              <w:tblPrEx>
                <w:tblCellMar>
                  <w:top w:w="0" w:type="dxa"/>
                  <w:left w:w="108" w:type="dxa"/>
                  <w:bottom w:w="0" w:type="dxa"/>
                  <w:right w:w="108" w:type="dxa"/>
                </w:tblCellMar>
              </w:tblPrEx>
              <w:trPr>
                <w:trHeight w:val="769" w:hRule="atLeast"/>
              </w:trPr>
              <w:tc>
                <w:tcPr>
                  <w:tcW w:w="697" w:type="dxa"/>
                  <w:tcBorders>
                    <w:top w:val="nil"/>
                    <w:left w:val="single" w:color="auto" w:sz="8" w:space="0"/>
                    <w:bottom w:val="single" w:color="auto" w:sz="8" w:space="0"/>
                    <w:right w:val="single" w:color="auto" w:sz="8" w:space="0"/>
                  </w:tcBorders>
                  <w:vAlign w:val="center"/>
                </w:tcPr>
                <w:p w14:paraId="1C5B95C6">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1395" w:type="dxa"/>
                  <w:tcBorders>
                    <w:top w:val="nil"/>
                    <w:left w:val="single" w:color="auto" w:sz="8" w:space="0"/>
                    <w:bottom w:val="single" w:color="auto" w:sz="8" w:space="0"/>
                    <w:right w:val="single" w:color="auto" w:sz="8" w:space="0"/>
                  </w:tcBorders>
                  <w:vAlign w:val="center"/>
                </w:tcPr>
                <w:p w14:paraId="008D8D99">
                  <w:pPr>
                    <w:snapToGrid w:val="0"/>
                    <w:spacing w:line="360" w:lineRule="auto"/>
                    <w:rPr>
                      <w:rFonts w:hint="eastAsia" w:ascii="仿宋" w:hAnsi="仿宋" w:eastAsia="仿宋" w:cs="仿宋"/>
                      <w:color w:val="000000"/>
                      <w:szCs w:val="21"/>
                    </w:rPr>
                  </w:pPr>
                  <w:r>
                    <w:rPr>
                      <w:rFonts w:hint="eastAsia" w:ascii="仿宋" w:hAnsi="仿宋" w:eastAsia="仿宋" w:cs="仿宋"/>
                      <w:color w:val="000000"/>
                      <w:szCs w:val="21"/>
                    </w:rPr>
                    <w:t>系统迁移</w:t>
                  </w:r>
                </w:p>
              </w:tc>
              <w:tc>
                <w:tcPr>
                  <w:tcW w:w="1703" w:type="dxa"/>
                  <w:tcBorders>
                    <w:top w:val="nil"/>
                    <w:left w:val="nil"/>
                    <w:bottom w:val="single" w:color="auto" w:sz="8" w:space="0"/>
                    <w:right w:val="single" w:color="auto" w:sz="8" w:space="0"/>
                  </w:tcBorders>
                  <w:vAlign w:val="center"/>
                </w:tcPr>
                <w:p w14:paraId="517DD0B1">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系统迁移</w:t>
                  </w:r>
                </w:p>
              </w:tc>
              <w:tc>
                <w:tcPr>
                  <w:tcW w:w="3563" w:type="dxa"/>
                  <w:tcBorders>
                    <w:top w:val="nil"/>
                    <w:left w:val="nil"/>
                    <w:bottom w:val="single" w:color="auto" w:sz="8" w:space="0"/>
                    <w:right w:val="single" w:color="auto" w:sz="8" w:space="0"/>
                  </w:tcBorders>
                  <w:vAlign w:val="center"/>
                </w:tcPr>
                <w:p w14:paraId="62BBF349">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将系统内所有业务数据、分析数据进行整库迁移</w:t>
                  </w:r>
                </w:p>
              </w:tc>
            </w:tr>
            <w:tr w14:paraId="6C843EEE">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13CFD8C3">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1395" w:type="dxa"/>
                  <w:vMerge w:val="restart"/>
                  <w:tcBorders>
                    <w:top w:val="nil"/>
                    <w:left w:val="single" w:color="auto" w:sz="8" w:space="0"/>
                    <w:right w:val="single" w:color="auto" w:sz="8" w:space="0"/>
                  </w:tcBorders>
                  <w:vAlign w:val="center"/>
                </w:tcPr>
                <w:p w14:paraId="27BB7E18">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功能模块优化</w:t>
                  </w:r>
                </w:p>
              </w:tc>
              <w:tc>
                <w:tcPr>
                  <w:tcW w:w="1703" w:type="dxa"/>
                  <w:tcBorders>
                    <w:top w:val="nil"/>
                    <w:left w:val="nil"/>
                    <w:bottom w:val="single" w:color="auto" w:sz="8" w:space="0"/>
                    <w:right w:val="single" w:color="auto" w:sz="8" w:space="0"/>
                  </w:tcBorders>
                  <w:vAlign w:val="center"/>
                </w:tcPr>
                <w:p w14:paraId="5EE11C9C">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数据报数功能</w:t>
                  </w:r>
                </w:p>
              </w:tc>
              <w:tc>
                <w:tcPr>
                  <w:tcW w:w="3563" w:type="dxa"/>
                  <w:tcBorders>
                    <w:top w:val="nil"/>
                    <w:left w:val="nil"/>
                    <w:bottom w:val="single" w:color="auto" w:sz="8" w:space="0"/>
                    <w:right w:val="single" w:color="auto" w:sz="8" w:space="0"/>
                  </w:tcBorders>
                  <w:vAlign w:val="center"/>
                </w:tcPr>
                <w:p w14:paraId="7D1367DB">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各业务线数据采集工作</w:t>
                  </w:r>
                </w:p>
              </w:tc>
            </w:tr>
            <w:tr w14:paraId="76D34E05">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286F32C3">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1395" w:type="dxa"/>
                  <w:vMerge w:val="continue"/>
                  <w:tcBorders>
                    <w:left w:val="single" w:color="auto" w:sz="8" w:space="0"/>
                    <w:right w:val="single" w:color="auto" w:sz="8" w:space="0"/>
                  </w:tcBorders>
                  <w:vAlign w:val="center"/>
                </w:tcPr>
                <w:p w14:paraId="4CFB37E2">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5C9BB929">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指标管理功能</w:t>
                  </w:r>
                </w:p>
              </w:tc>
              <w:tc>
                <w:tcPr>
                  <w:tcW w:w="3563" w:type="dxa"/>
                  <w:tcBorders>
                    <w:top w:val="nil"/>
                    <w:left w:val="nil"/>
                    <w:bottom w:val="single" w:color="auto" w:sz="8" w:space="0"/>
                    <w:right w:val="single" w:color="auto" w:sz="8" w:space="0"/>
                  </w:tcBorders>
                  <w:vAlign w:val="center"/>
                </w:tcPr>
                <w:p w14:paraId="5D1B2E7D">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建立指标体系，统一指标口径</w:t>
                  </w:r>
                </w:p>
              </w:tc>
            </w:tr>
            <w:tr w14:paraId="69D55ABC">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23650324">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4</w:t>
                  </w:r>
                </w:p>
              </w:tc>
              <w:tc>
                <w:tcPr>
                  <w:tcW w:w="1395" w:type="dxa"/>
                  <w:vMerge w:val="continue"/>
                  <w:tcBorders>
                    <w:left w:val="single" w:color="auto" w:sz="8" w:space="0"/>
                    <w:right w:val="single" w:color="auto" w:sz="8" w:space="0"/>
                  </w:tcBorders>
                  <w:vAlign w:val="center"/>
                </w:tcPr>
                <w:p w14:paraId="75363026">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3AE22B39">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数据查询功能</w:t>
                  </w:r>
                </w:p>
              </w:tc>
              <w:tc>
                <w:tcPr>
                  <w:tcW w:w="3563" w:type="dxa"/>
                  <w:tcBorders>
                    <w:top w:val="nil"/>
                    <w:left w:val="nil"/>
                    <w:bottom w:val="single" w:color="auto" w:sz="8" w:space="0"/>
                    <w:right w:val="single" w:color="auto" w:sz="8" w:space="0"/>
                  </w:tcBorders>
                  <w:vAlign w:val="center"/>
                </w:tcPr>
                <w:p w14:paraId="11A108A5">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查询数据详情</w:t>
                  </w:r>
                </w:p>
              </w:tc>
            </w:tr>
            <w:tr w14:paraId="50AD2B6B">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3906D25D">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5</w:t>
                  </w:r>
                </w:p>
              </w:tc>
              <w:tc>
                <w:tcPr>
                  <w:tcW w:w="1395" w:type="dxa"/>
                  <w:vMerge w:val="continue"/>
                  <w:tcBorders>
                    <w:left w:val="single" w:color="auto" w:sz="8" w:space="0"/>
                    <w:right w:val="single" w:color="auto" w:sz="8" w:space="0"/>
                  </w:tcBorders>
                  <w:vAlign w:val="center"/>
                </w:tcPr>
                <w:p w14:paraId="55C0FB1F">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676EBD16">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数据质控功能</w:t>
                  </w:r>
                </w:p>
              </w:tc>
              <w:tc>
                <w:tcPr>
                  <w:tcW w:w="3563" w:type="dxa"/>
                  <w:tcBorders>
                    <w:top w:val="nil"/>
                    <w:left w:val="nil"/>
                    <w:bottom w:val="single" w:color="auto" w:sz="8" w:space="0"/>
                    <w:right w:val="single" w:color="auto" w:sz="8" w:space="0"/>
                  </w:tcBorders>
                  <w:vAlign w:val="center"/>
                </w:tcPr>
                <w:p w14:paraId="1E58D341">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按质控规则监测数据质量，反馈，完善</w:t>
                  </w:r>
                </w:p>
              </w:tc>
            </w:tr>
            <w:tr w14:paraId="58FD9428">
              <w:tblPrEx>
                <w:tblCellMar>
                  <w:top w:w="0" w:type="dxa"/>
                  <w:left w:w="108" w:type="dxa"/>
                  <w:bottom w:w="0" w:type="dxa"/>
                  <w:right w:w="108" w:type="dxa"/>
                </w:tblCellMar>
              </w:tblPrEx>
              <w:trPr>
                <w:trHeight w:val="769" w:hRule="atLeast"/>
              </w:trPr>
              <w:tc>
                <w:tcPr>
                  <w:tcW w:w="697" w:type="dxa"/>
                  <w:tcBorders>
                    <w:top w:val="nil"/>
                    <w:left w:val="single" w:color="auto" w:sz="8" w:space="0"/>
                    <w:bottom w:val="single" w:color="auto" w:sz="8" w:space="0"/>
                    <w:right w:val="single" w:color="auto" w:sz="8" w:space="0"/>
                  </w:tcBorders>
                  <w:vAlign w:val="center"/>
                </w:tcPr>
                <w:p w14:paraId="1E679AAA">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6</w:t>
                  </w:r>
                </w:p>
              </w:tc>
              <w:tc>
                <w:tcPr>
                  <w:tcW w:w="1395" w:type="dxa"/>
                  <w:vMerge w:val="continue"/>
                  <w:tcBorders>
                    <w:left w:val="single" w:color="auto" w:sz="8" w:space="0"/>
                    <w:right w:val="single" w:color="auto" w:sz="8" w:space="0"/>
                  </w:tcBorders>
                  <w:vAlign w:val="center"/>
                </w:tcPr>
                <w:p w14:paraId="07A529BA">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663E805C">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资产管理功能</w:t>
                  </w:r>
                </w:p>
              </w:tc>
              <w:tc>
                <w:tcPr>
                  <w:tcW w:w="3563" w:type="dxa"/>
                  <w:tcBorders>
                    <w:top w:val="nil"/>
                    <w:left w:val="nil"/>
                    <w:bottom w:val="single" w:color="auto" w:sz="8" w:space="0"/>
                    <w:right w:val="single" w:color="auto" w:sz="8" w:space="0"/>
                  </w:tcBorders>
                  <w:vAlign w:val="center"/>
                </w:tcPr>
                <w:p w14:paraId="06CF47AE">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统一数据资产，规范数据出口，留存数据使用记录</w:t>
                  </w:r>
                </w:p>
              </w:tc>
            </w:tr>
            <w:tr w14:paraId="01E7B4DC">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1329BA58">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7</w:t>
                  </w:r>
                </w:p>
              </w:tc>
              <w:tc>
                <w:tcPr>
                  <w:tcW w:w="1395" w:type="dxa"/>
                  <w:vMerge w:val="continue"/>
                  <w:tcBorders>
                    <w:left w:val="single" w:color="auto" w:sz="8" w:space="0"/>
                    <w:right w:val="single" w:color="auto" w:sz="8" w:space="0"/>
                  </w:tcBorders>
                  <w:vAlign w:val="center"/>
                </w:tcPr>
                <w:p w14:paraId="42DE8674">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6DD8EABA">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数据分析功能</w:t>
                  </w:r>
                </w:p>
              </w:tc>
              <w:tc>
                <w:tcPr>
                  <w:tcW w:w="3563" w:type="dxa"/>
                  <w:tcBorders>
                    <w:top w:val="nil"/>
                    <w:left w:val="nil"/>
                    <w:bottom w:val="single" w:color="auto" w:sz="8" w:space="0"/>
                    <w:right w:val="single" w:color="auto" w:sz="8" w:space="0"/>
                  </w:tcBorders>
                  <w:vAlign w:val="center"/>
                </w:tcPr>
                <w:p w14:paraId="35B1D290">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对业务数据进行汇总分析</w:t>
                  </w:r>
                </w:p>
              </w:tc>
            </w:tr>
            <w:tr w14:paraId="2A7D91D0">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31120788">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8</w:t>
                  </w:r>
                </w:p>
              </w:tc>
              <w:tc>
                <w:tcPr>
                  <w:tcW w:w="1395" w:type="dxa"/>
                  <w:vMerge w:val="continue"/>
                  <w:tcBorders>
                    <w:left w:val="single" w:color="auto" w:sz="8" w:space="0"/>
                    <w:right w:val="single" w:color="auto" w:sz="8" w:space="0"/>
                  </w:tcBorders>
                  <w:vAlign w:val="center"/>
                </w:tcPr>
                <w:p w14:paraId="1BB7BB50">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72999A71">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决策支持功能</w:t>
                  </w:r>
                </w:p>
              </w:tc>
              <w:tc>
                <w:tcPr>
                  <w:tcW w:w="3563" w:type="dxa"/>
                  <w:tcBorders>
                    <w:top w:val="nil"/>
                    <w:left w:val="nil"/>
                    <w:bottom w:val="single" w:color="auto" w:sz="8" w:space="0"/>
                    <w:right w:val="single" w:color="auto" w:sz="8" w:space="0"/>
                  </w:tcBorders>
                  <w:vAlign w:val="center"/>
                </w:tcPr>
                <w:p w14:paraId="09C6CB9A">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按业务分类进行数据分析，支撑决策</w:t>
                  </w:r>
                </w:p>
              </w:tc>
            </w:tr>
            <w:tr w14:paraId="286870C5">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2E4F9B40">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9</w:t>
                  </w:r>
                </w:p>
              </w:tc>
              <w:tc>
                <w:tcPr>
                  <w:tcW w:w="1395" w:type="dxa"/>
                  <w:vMerge w:val="continue"/>
                  <w:tcBorders>
                    <w:left w:val="single" w:color="auto" w:sz="8" w:space="0"/>
                    <w:right w:val="single" w:color="auto" w:sz="8" w:space="0"/>
                  </w:tcBorders>
                  <w:vAlign w:val="center"/>
                </w:tcPr>
                <w:p w14:paraId="3F03B30D">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0BF8DA89">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人力资源管理功能</w:t>
                  </w:r>
                </w:p>
              </w:tc>
              <w:tc>
                <w:tcPr>
                  <w:tcW w:w="3563" w:type="dxa"/>
                  <w:tcBorders>
                    <w:top w:val="nil"/>
                    <w:left w:val="nil"/>
                    <w:bottom w:val="single" w:color="auto" w:sz="8" w:space="0"/>
                    <w:right w:val="single" w:color="auto" w:sz="8" w:space="0"/>
                  </w:tcBorders>
                  <w:vAlign w:val="center"/>
                </w:tcPr>
                <w:p w14:paraId="64E460F5">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完善卫生人员档案，规范人员流程</w:t>
                  </w:r>
                </w:p>
              </w:tc>
            </w:tr>
            <w:tr w14:paraId="3B54CA11">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49BB0045">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10</w:t>
                  </w:r>
                </w:p>
              </w:tc>
              <w:tc>
                <w:tcPr>
                  <w:tcW w:w="1395" w:type="dxa"/>
                  <w:vMerge w:val="continue"/>
                  <w:tcBorders>
                    <w:left w:val="single" w:color="auto" w:sz="8" w:space="0"/>
                    <w:right w:val="single" w:color="auto" w:sz="8" w:space="0"/>
                  </w:tcBorders>
                  <w:vAlign w:val="center"/>
                </w:tcPr>
                <w:p w14:paraId="26063494">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571BDF9D">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知识库检索功能</w:t>
                  </w:r>
                </w:p>
              </w:tc>
              <w:tc>
                <w:tcPr>
                  <w:tcW w:w="3563" w:type="dxa"/>
                  <w:tcBorders>
                    <w:top w:val="nil"/>
                    <w:left w:val="nil"/>
                    <w:bottom w:val="single" w:color="auto" w:sz="8" w:space="0"/>
                    <w:right w:val="single" w:color="auto" w:sz="8" w:space="0"/>
                  </w:tcBorders>
                  <w:vAlign w:val="center"/>
                </w:tcPr>
                <w:p w14:paraId="635E7FAC">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减少沟通时间，增强数据利用效能</w:t>
                  </w:r>
                </w:p>
              </w:tc>
            </w:tr>
            <w:tr w14:paraId="53A3426C">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3ED8CD2F">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11</w:t>
                  </w:r>
                </w:p>
              </w:tc>
              <w:tc>
                <w:tcPr>
                  <w:tcW w:w="1395" w:type="dxa"/>
                  <w:vMerge w:val="continue"/>
                  <w:tcBorders>
                    <w:left w:val="single" w:color="auto" w:sz="8" w:space="0"/>
                    <w:right w:val="single" w:color="auto" w:sz="8" w:space="0"/>
                  </w:tcBorders>
                  <w:vAlign w:val="center"/>
                </w:tcPr>
                <w:p w14:paraId="1E446A34">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41AB1678">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后台管理功能</w:t>
                  </w:r>
                </w:p>
              </w:tc>
              <w:tc>
                <w:tcPr>
                  <w:tcW w:w="3563" w:type="dxa"/>
                  <w:tcBorders>
                    <w:top w:val="nil"/>
                    <w:left w:val="nil"/>
                    <w:bottom w:val="single" w:color="auto" w:sz="8" w:space="0"/>
                    <w:right w:val="single" w:color="auto" w:sz="8" w:space="0"/>
                  </w:tcBorders>
                  <w:vAlign w:val="center"/>
                </w:tcPr>
                <w:p w14:paraId="5B89E1AB">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对系统后台首页功能模块进行灵活调整</w:t>
                  </w:r>
                </w:p>
              </w:tc>
            </w:tr>
            <w:tr w14:paraId="3E247B6F">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39381941">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12</w:t>
                  </w:r>
                </w:p>
              </w:tc>
              <w:tc>
                <w:tcPr>
                  <w:tcW w:w="1395" w:type="dxa"/>
                  <w:vMerge w:val="continue"/>
                  <w:tcBorders>
                    <w:left w:val="single" w:color="auto" w:sz="8" w:space="0"/>
                    <w:bottom w:val="single" w:color="auto" w:sz="8" w:space="0"/>
                    <w:right w:val="single" w:color="auto" w:sz="8" w:space="0"/>
                  </w:tcBorders>
                  <w:vAlign w:val="center"/>
                </w:tcPr>
                <w:p w14:paraId="382D9B4B">
                  <w:pPr>
                    <w:snapToGrid w:val="0"/>
                    <w:spacing w:line="360" w:lineRule="auto"/>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48AB6D6E">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应用软件信创适配</w:t>
                  </w:r>
                </w:p>
              </w:tc>
              <w:tc>
                <w:tcPr>
                  <w:tcW w:w="3563" w:type="dxa"/>
                  <w:tcBorders>
                    <w:top w:val="nil"/>
                    <w:left w:val="nil"/>
                    <w:bottom w:val="single" w:color="auto" w:sz="8" w:space="0"/>
                    <w:right w:val="single" w:color="auto" w:sz="8" w:space="0"/>
                  </w:tcBorders>
                  <w:vAlign w:val="center"/>
                </w:tcPr>
                <w:p w14:paraId="7391DEFD">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在信创环境进行应用软件适配改造</w:t>
                  </w:r>
                </w:p>
              </w:tc>
            </w:tr>
            <w:tr w14:paraId="0821610C">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18A01DFB">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13</w:t>
                  </w:r>
                </w:p>
              </w:tc>
              <w:tc>
                <w:tcPr>
                  <w:tcW w:w="1395" w:type="dxa"/>
                  <w:vMerge w:val="restart"/>
                  <w:tcBorders>
                    <w:top w:val="nil"/>
                    <w:left w:val="single" w:color="auto" w:sz="8" w:space="0"/>
                    <w:right w:val="single" w:color="auto" w:sz="8" w:space="0"/>
                  </w:tcBorders>
                  <w:vAlign w:val="center"/>
                </w:tcPr>
                <w:p w14:paraId="51AAD2B1">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过程服务</w:t>
                  </w:r>
                </w:p>
              </w:tc>
              <w:tc>
                <w:tcPr>
                  <w:tcW w:w="1703" w:type="dxa"/>
                  <w:tcBorders>
                    <w:top w:val="nil"/>
                    <w:left w:val="nil"/>
                    <w:bottom w:val="single" w:color="auto" w:sz="8" w:space="0"/>
                    <w:right w:val="single" w:color="auto" w:sz="8" w:space="0"/>
                  </w:tcBorders>
                  <w:vAlign w:val="center"/>
                </w:tcPr>
                <w:p w14:paraId="2161A619">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等保测评</w:t>
                  </w:r>
                </w:p>
              </w:tc>
              <w:tc>
                <w:tcPr>
                  <w:tcW w:w="3563" w:type="dxa"/>
                  <w:tcBorders>
                    <w:top w:val="nil"/>
                    <w:left w:val="nil"/>
                    <w:bottom w:val="single" w:color="auto" w:sz="8" w:space="0"/>
                    <w:right w:val="single" w:color="auto" w:sz="8" w:space="0"/>
                  </w:tcBorders>
                  <w:vAlign w:val="center"/>
                </w:tcPr>
                <w:p w14:paraId="3A2DBFBC">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w:t>
                  </w:r>
                </w:p>
              </w:tc>
            </w:tr>
            <w:tr w14:paraId="3B25C483">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8" w:space="0"/>
                    <w:right w:val="single" w:color="auto" w:sz="8" w:space="0"/>
                  </w:tcBorders>
                  <w:vAlign w:val="center"/>
                </w:tcPr>
                <w:p w14:paraId="0394C35C">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14</w:t>
                  </w:r>
                </w:p>
              </w:tc>
              <w:tc>
                <w:tcPr>
                  <w:tcW w:w="1395" w:type="dxa"/>
                  <w:vMerge w:val="continue"/>
                  <w:tcBorders>
                    <w:left w:val="single" w:color="auto" w:sz="8" w:space="0"/>
                    <w:right w:val="single" w:color="auto" w:sz="8" w:space="0"/>
                  </w:tcBorders>
                  <w:vAlign w:val="center"/>
                </w:tcPr>
                <w:p w14:paraId="7D174429">
                  <w:pPr>
                    <w:snapToGrid w:val="0"/>
                    <w:spacing w:line="360" w:lineRule="auto"/>
                    <w:jc w:val="center"/>
                    <w:rPr>
                      <w:rFonts w:hint="eastAsia" w:ascii="仿宋" w:hAnsi="仿宋" w:eastAsia="仿宋" w:cs="仿宋"/>
                      <w:color w:val="000000"/>
                      <w:szCs w:val="21"/>
                    </w:rPr>
                  </w:pPr>
                </w:p>
              </w:tc>
              <w:tc>
                <w:tcPr>
                  <w:tcW w:w="1703" w:type="dxa"/>
                  <w:tcBorders>
                    <w:top w:val="nil"/>
                    <w:left w:val="nil"/>
                    <w:bottom w:val="single" w:color="auto" w:sz="8" w:space="0"/>
                    <w:right w:val="single" w:color="auto" w:sz="8" w:space="0"/>
                  </w:tcBorders>
                  <w:vAlign w:val="center"/>
                </w:tcPr>
                <w:p w14:paraId="009ECB64">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密码应用测评</w:t>
                  </w:r>
                </w:p>
              </w:tc>
              <w:tc>
                <w:tcPr>
                  <w:tcW w:w="3563" w:type="dxa"/>
                  <w:tcBorders>
                    <w:top w:val="nil"/>
                    <w:left w:val="nil"/>
                    <w:bottom w:val="single" w:color="auto" w:sz="8" w:space="0"/>
                    <w:right w:val="single" w:color="auto" w:sz="8" w:space="0"/>
                  </w:tcBorders>
                  <w:vAlign w:val="center"/>
                </w:tcPr>
                <w:p w14:paraId="66ED5D6B">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w:t>
                  </w:r>
                </w:p>
              </w:tc>
            </w:tr>
            <w:tr w14:paraId="4762CDFC">
              <w:tblPrEx>
                <w:tblCellMar>
                  <w:top w:w="0" w:type="dxa"/>
                  <w:left w:w="108" w:type="dxa"/>
                  <w:bottom w:w="0" w:type="dxa"/>
                  <w:right w:w="108" w:type="dxa"/>
                </w:tblCellMar>
              </w:tblPrEx>
              <w:trPr>
                <w:trHeight w:val="394" w:hRule="atLeast"/>
              </w:trPr>
              <w:tc>
                <w:tcPr>
                  <w:tcW w:w="697" w:type="dxa"/>
                  <w:tcBorders>
                    <w:top w:val="nil"/>
                    <w:left w:val="single" w:color="auto" w:sz="8" w:space="0"/>
                    <w:bottom w:val="single" w:color="auto" w:sz="4" w:space="0"/>
                    <w:right w:val="single" w:color="auto" w:sz="8" w:space="0"/>
                  </w:tcBorders>
                  <w:vAlign w:val="center"/>
                </w:tcPr>
                <w:p w14:paraId="32F0B773">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15</w:t>
                  </w:r>
                </w:p>
              </w:tc>
              <w:tc>
                <w:tcPr>
                  <w:tcW w:w="1395" w:type="dxa"/>
                  <w:vMerge w:val="continue"/>
                  <w:tcBorders>
                    <w:left w:val="single" w:color="auto" w:sz="8" w:space="0"/>
                    <w:right w:val="single" w:color="auto" w:sz="8" w:space="0"/>
                  </w:tcBorders>
                  <w:vAlign w:val="center"/>
                </w:tcPr>
                <w:p w14:paraId="57BA72CB">
                  <w:pPr>
                    <w:snapToGrid w:val="0"/>
                    <w:spacing w:line="360" w:lineRule="auto"/>
                    <w:jc w:val="center"/>
                    <w:rPr>
                      <w:rFonts w:hint="eastAsia" w:ascii="仿宋" w:hAnsi="仿宋" w:eastAsia="仿宋" w:cs="仿宋"/>
                      <w:color w:val="000000"/>
                      <w:szCs w:val="21"/>
                    </w:rPr>
                  </w:pPr>
                </w:p>
              </w:tc>
              <w:tc>
                <w:tcPr>
                  <w:tcW w:w="1703" w:type="dxa"/>
                  <w:tcBorders>
                    <w:top w:val="nil"/>
                    <w:left w:val="nil"/>
                    <w:bottom w:val="single" w:color="auto" w:sz="4" w:space="0"/>
                    <w:right w:val="single" w:color="auto" w:sz="8" w:space="0"/>
                  </w:tcBorders>
                  <w:vAlign w:val="center"/>
                </w:tcPr>
                <w:p w14:paraId="26D2C28B">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第三方软件测评</w:t>
                  </w:r>
                </w:p>
              </w:tc>
              <w:tc>
                <w:tcPr>
                  <w:tcW w:w="3563" w:type="dxa"/>
                  <w:tcBorders>
                    <w:top w:val="nil"/>
                    <w:left w:val="nil"/>
                    <w:bottom w:val="single" w:color="auto" w:sz="4" w:space="0"/>
                    <w:right w:val="single" w:color="auto" w:sz="8" w:space="0"/>
                  </w:tcBorders>
                  <w:vAlign w:val="center"/>
                </w:tcPr>
                <w:p w14:paraId="7E7E1E71">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w:t>
                  </w:r>
                </w:p>
              </w:tc>
            </w:tr>
            <w:tr w14:paraId="08CFDC3C">
              <w:tblPrEx>
                <w:tblCellMar>
                  <w:top w:w="0" w:type="dxa"/>
                  <w:left w:w="108" w:type="dxa"/>
                  <w:bottom w:w="0" w:type="dxa"/>
                  <w:right w:w="108" w:type="dxa"/>
                </w:tblCellMar>
              </w:tblPrEx>
              <w:trPr>
                <w:trHeight w:val="394" w:hRule="atLeast"/>
              </w:trPr>
              <w:tc>
                <w:tcPr>
                  <w:tcW w:w="697" w:type="dxa"/>
                  <w:tcBorders>
                    <w:top w:val="single" w:color="auto" w:sz="4" w:space="0"/>
                    <w:left w:val="single" w:color="auto" w:sz="4" w:space="0"/>
                    <w:bottom w:val="single" w:color="auto" w:sz="4" w:space="0"/>
                    <w:right w:val="single" w:color="auto" w:sz="8" w:space="0"/>
                  </w:tcBorders>
                  <w:vAlign w:val="center"/>
                </w:tcPr>
                <w:p w14:paraId="605F42F0">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16</w:t>
                  </w:r>
                </w:p>
              </w:tc>
              <w:tc>
                <w:tcPr>
                  <w:tcW w:w="1395" w:type="dxa"/>
                  <w:vMerge w:val="continue"/>
                  <w:tcBorders>
                    <w:left w:val="single" w:color="auto" w:sz="8" w:space="0"/>
                    <w:bottom w:val="single" w:color="auto" w:sz="4" w:space="0"/>
                    <w:right w:val="single" w:color="auto" w:sz="8" w:space="0"/>
                  </w:tcBorders>
                  <w:vAlign w:val="center"/>
                </w:tcPr>
                <w:p w14:paraId="4197E33B">
                  <w:pPr>
                    <w:snapToGrid w:val="0"/>
                    <w:spacing w:line="360" w:lineRule="auto"/>
                    <w:jc w:val="center"/>
                    <w:rPr>
                      <w:rFonts w:hint="eastAsia" w:ascii="仿宋" w:hAnsi="仿宋" w:eastAsia="仿宋" w:cs="仿宋"/>
                      <w:color w:val="000000"/>
                      <w:szCs w:val="21"/>
                    </w:rPr>
                  </w:pPr>
                </w:p>
              </w:tc>
              <w:tc>
                <w:tcPr>
                  <w:tcW w:w="1703" w:type="dxa"/>
                  <w:tcBorders>
                    <w:top w:val="single" w:color="auto" w:sz="4" w:space="0"/>
                    <w:left w:val="single" w:color="auto" w:sz="8" w:space="0"/>
                    <w:bottom w:val="single" w:color="auto" w:sz="4" w:space="0"/>
                    <w:right w:val="single" w:color="auto" w:sz="4" w:space="0"/>
                  </w:tcBorders>
                  <w:vAlign w:val="center"/>
                </w:tcPr>
                <w:p w14:paraId="7AF51370">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系统上线安全检测</w:t>
                  </w:r>
                </w:p>
              </w:tc>
              <w:tc>
                <w:tcPr>
                  <w:tcW w:w="3563" w:type="dxa"/>
                  <w:tcBorders>
                    <w:top w:val="single" w:color="auto" w:sz="4" w:space="0"/>
                    <w:left w:val="single" w:color="auto" w:sz="4" w:space="0"/>
                    <w:bottom w:val="single" w:color="auto" w:sz="4" w:space="0"/>
                    <w:right w:val="single" w:color="auto" w:sz="4" w:space="0"/>
                  </w:tcBorders>
                  <w:vAlign w:val="center"/>
                </w:tcPr>
                <w:p w14:paraId="26F7BB0E">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w:t>
                  </w:r>
                </w:p>
              </w:tc>
            </w:tr>
            <w:bookmarkEnd w:id="15"/>
          </w:tbl>
          <w:p w14:paraId="7DE8457A">
            <w:pPr>
              <w:pStyle w:val="3"/>
              <w:rPr>
                <w:rFonts w:hint="eastAsia" w:ascii="仿宋" w:hAnsi="仿宋" w:eastAsia="仿宋" w:cs="仿宋"/>
                <w:sz w:val="21"/>
                <w:szCs w:val="21"/>
              </w:rPr>
            </w:pPr>
            <w:bookmarkStart w:id="16" w:name="_Toc117416553"/>
            <w:bookmarkStart w:id="17" w:name="_Toc28160"/>
            <w:bookmarkStart w:id="18" w:name="_Toc127382326"/>
            <w:r>
              <w:rPr>
                <w:rFonts w:hint="eastAsia" w:ascii="仿宋" w:hAnsi="仿宋" w:eastAsia="仿宋" w:cs="仿宋"/>
                <w:sz w:val="21"/>
                <w:szCs w:val="21"/>
              </w:rPr>
              <w:t>第2章现状分析</w:t>
            </w:r>
            <w:bookmarkEnd w:id="16"/>
            <w:bookmarkEnd w:id="17"/>
            <w:bookmarkEnd w:id="18"/>
          </w:p>
          <w:p w14:paraId="52BE6450">
            <w:pPr>
              <w:pStyle w:val="4"/>
              <w:numPr>
                <w:ilvl w:val="1"/>
                <w:numId w:val="0"/>
              </w:numPr>
              <w:rPr>
                <w:rFonts w:hint="eastAsia" w:ascii="仿宋" w:hAnsi="仿宋" w:eastAsia="仿宋" w:cs="仿宋"/>
                <w:sz w:val="21"/>
                <w:szCs w:val="21"/>
              </w:rPr>
            </w:pPr>
            <w:bookmarkStart w:id="19" w:name="_Toc117416555"/>
            <w:bookmarkStart w:id="20" w:name="_Toc127382327"/>
            <w:bookmarkStart w:id="21" w:name="_Toc18728"/>
            <w:r>
              <w:rPr>
                <w:rFonts w:hint="eastAsia" w:ascii="仿宋" w:hAnsi="仿宋" w:eastAsia="仿宋" w:cs="仿宋"/>
                <w:sz w:val="21"/>
                <w:szCs w:val="21"/>
              </w:rPr>
              <w:t>2.1业务现状分析</w:t>
            </w:r>
            <w:bookmarkEnd w:id="19"/>
            <w:bookmarkEnd w:id="20"/>
            <w:bookmarkEnd w:id="21"/>
          </w:p>
          <w:p w14:paraId="6D1B28CD">
            <w:pPr>
              <w:pStyle w:val="5"/>
              <w:numPr>
                <w:ilvl w:val="2"/>
                <w:numId w:val="0"/>
              </w:numPr>
              <w:rPr>
                <w:rFonts w:hint="eastAsia" w:ascii="仿宋" w:hAnsi="仿宋" w:eastAsia="仿宋" w:cs="仿宋"/>
                <w:sz w:val="21"/>
                <w:szCs w:val="21"/>
              </w:rPr>
            </w:pPr>
            <w:bookmarkStart w:id="22" w:name="_Toc31402"/>
            <w:r>
              <w:rPr>
                <w:rFonts w:hint="eastAsia" w:ascii="仿宋" w:hAnsi="仿宋" w:eastAsia="仿宋" w:cs="仿宋"/>
                <w:sz w:val="21"/>
                <w:szCs w:val="21"/>
              </w:rPr>
              <w:t>2.1.1系统建设背景</w:t>
            </w:r>
            <w:bookmarkEnd w:id="22"/>
          </w:p>
          <w:p w14:paraId="45F9353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国家卫生统计信息网络直报系统自2007年部署以来，长期承担全省4万余家医疗卫生机构的卫生资源与医疗服务统计数据采集工作，在过去的十八年中，为卫生统计基础数据的积累提供了重要支撑。</w:t>
            </w:r>
          </w:p>
          <w:p w14:paraId="047B3276">
            <w:pPr>
              <w:pStyle w:val="5"/>
              <w:numPr>
                <w:ilvl w:val="2"/>
                <w:numId w:val="0"/>
              </w:numPr>
              <w:rPr>
                <w:rFonts w:hint="eastAsia" w:ascii="仿宋" w:hAnsi="仿宋" w:eastAsia="仿宋" w:cs="仿宋"/>
                <w:sz w:val="21"/>
                <w:szCs w:val="21"/>
              </w:rPr>
            </w:pPr>
            <w:bookmarkStart w:id="23" w:name="_Toc1319"/>
            <w:r>
              <w:rPr>
                <w:rFonts w:hint="eastAsia" w:ascii="仿宋" w:hAnsi="仿宋" w:eastAsia="仿宋" w:cs="仿宋"/>
                <w:sz w:val="21"/>
                <w:szCs w:val="21"/>
              </w:rPr>
              <w:t>2.1.2现状分析</w:t>
            </w:r>
            <w:bookmarkEnd w:id="23"/>
          </w:p>
          <w:p w14:paraId="054B842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随着时间推移，系统底层架构老化，难以应对当前大数据时代高并发的数据报送需求。基层统计人员在数据填报、查询过程中，频繁出现页面加载缓慢、卡顿甚至数据丢失的情况，严重影响数据报送的时效性和准确性，使得该系统已无法高效满足当前卫生统计工作要求。</w:t>
            </w:r>
          </w:p>
          <w:p w14:paraId="3D1A8BB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中，决策分析功能在数据处理与分析方面存在功能相对单一的问题。其分析维度有限，多集中于基础数据的简单汇总与展示，难以深入挖掘数据背后的潜在价值，无法为卫生健康领域的决策制定提供全面、精准的数据支持。同时，该系统与其他相关业务系统之间的数据交互存在障碍，数据流通不畅，导致分析结果缺乏完整性和连贯性，限制了其在决策分析中的作用发挥。</w:t>
            </w:r>
          </w:p>
          <w:p w14:paraId="3E6F9FE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填报功能存在数据填报规范性不足和数据质量参差不齐的问题。由于缺乏统一且严格的数据校验机制，部分医疗机构在填报住院病案首页数据时，存在信息漏填、误填等情况。此外，系统的填报界面和操作流程不够优化，增加了填报人员的工作难度和时间成本，影响了数据采集的效率和质量，不利于后续对住院病案数据的有效利用和分析。</w:t>
            </w:r>
          </w:p>
          <w:p w14:paraId="5B55933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质控功能尚未形成完善的数据治理体系。在数据标准制定方面，缺乏统一规范，导致不同业务系统间数据格式、定义存在差异，增加了数据整合的难度；数据质量管理流程不健全，数据清洗、校验等环节存在漏洞，无法及时发现和纠正数据错误；数据安全管理措施也相对薄弱，存在数据泄露风险，难以保障卫生健康数据的安全性和可靠性。</w:t>
            </w:r>
          </w:p>
          <w:p w14:paraId="250BFC1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年底在数据上报高峰期，系统存在无法登陆的情况，导致各级单位无法正常登陆。</w:t>
            </w:r>
          </w:p>
          <w:p w14:paraId="7CFD9751">
            <w:pPr>
              <w:pStyle w:val="4"/>
              <w:numPr>
                <w:ilvl w:val="1"/>
                <w:numId w:val="0"/>
              </w:numPr>
              <w:rPr>
                <w:rFonts w:hint="eastAsia" w:ascii="仿宋" w:hAnsi="仿宋" w:eastAsia="仿宋" w:cs="仿宋"/>
                <w:sz w:val="21"/>
                <w:szCs w:val="21"/>
              </w:rPr>
            </w:pPr>
            <w:bookmarkStart w:id="24" w:name="_Toc4307"/>
            <w:bookmarkStart w:id="25" w:name="_Toc117416556"/>
            <w:bookmarkStart w:id="26" w:name="_Toc127382328"/>
            <w:r>
              <w:rPr>
                <w:rFonts w:hint="eastAsia" w:ascii="仿宋" w:hAnsi="仿宋" w:eastAsia="仿宋" w:cs="仿宋"/>
                <w:sz w:val="21"/>
                <w:szCs w:val="21"/>
              </w:rPr>
              <w:t>2.2业务应用系统现状分析</w:t>
            </w:r>
            <w:bookmarkEnd w:id="24"/>
            <w:bookmarkEnd w:id="25"/>
            <w:bookmarkEnd w:id="26"/>
          </w:p>
          <w:p w14:paraId="27A305AC">
            <w:pPr>
              <w:pStyle w:val="5"/>
              <w:numPr>
                <w:ilvl w:val="2"/>
                <w:numId w:val="0"/>
              </w:numPr>
              <w:rPr>
                <w:rFonts w:hint="eastAsia" w:ascii="仿宋" w:hAnsi="仿宋" w:eastAsia="仿宋" w:cs="仿宋"/>
                <w:sz w:val="21"/>
                <w:szCs w:val="21"/>
              </w:rPr>
            </w:pPr>
            <w:bookmarkStart w:id="27" w:name="_Toc5076"/>
            <w:r>
              <w:rPr>
                <w:rFonts w:hint="eastAsia" w:ascii="仿宋" w:hAnsi="仿宋" w:eastAsia="仿宋" w:cs="仿宋"/>
                <w:sz w:val="21"/>
                <w:szCs w:val="21"/>
              </w:rPr>
              <w:t>2.2.1现状分析</w:t>
            </w:r>
            <w:bookmarkEnd w:id="27"/>
          </w:p>
          <w:p w14:paraId="341D6C14">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前，国家卫生统计直报系统运行存在显著弊端，各业务应用系统呈分散独立运行态势，形成多个信息孤岛。在数据处理环节，数据采集、查询、分析、决策分析以及数据质控等核心业务，分别依托不同的业务库运行。这种架构导致数据流转存在明显阻碍，业务数据难以实现顺畅衔接。例如，在数据采集环节获取的数据，在进入数据分析流程时，因数据库结构差异和接口不兼容，需耗费大量时间进行格式转换和数据清洗，严重影响工作效率。</w:t>
            </w:r>
          </w:p>
          <w:p w14:paraId="67C817E0">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由于数据共享互通机制缺失，各业务库如同“数据孤岛”，彼此孤立，数据无法在不同功能模块间自由流动。这不仅使得数据的整合与综合利用变得困难，也导致数据出口不一致的问题。不同业务库输出的数据在格式、统计口径等方面存在差异，进一步增加了数据核对的复杂度和工作量。工作人员在进行数据核对时，需要反复比对不同业务库的数据，手动查找和修正数据差异，不仅耗费大量人力和时间成本，还容易出现人为误差，影响数据的准确性和可靠性。</w:t>
            </w:r>
          </w:p>
          <w:p w14:paraId="0248D9B3">
            <w:pPr>
              <w:pStyle w:val="5"/>
              <w:numPr>
                <w:ilvl w:val="2"/>
                <w:numId w:val="0"/>
              </w:numPr>
              <w:rPr>
                <w:rFonts w:hint="eastAsia" w:ascii="仿宋" w:hAnsi="仿宋" w:eastAsia="仿宋" w:cs="仿宋"/>
                <w:sz w:val="21"/>
                <w:szCs w:val="21"/>
              </w:rPr>
            </w:pPr>
            <w:bookmarkStart w:id="28" w:name="_Toc25198"/>
            <w:r>
              <w:rPr>
                <w:rFonts w:hint="eastAsia" w:ascii="仿宋" w:hAnsi="仿宋" w:eastAsia="仿宋" w:cs="仿宋"/>
                <w:sz w:val="21"/>
                <w:szCs w:val="21"/>
              </w:rPr>
              <w:t>2.2.2现有信息系统与本期项目的关系</w:t>
            </w:r>
            <w:bookmarkEnd w:id="28"/>
          </w:p>
          <w:p w14:paraId="3FD45C07">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国家卫生统计直报系统受限于落后的架构设计，存在功能分散、数据交互不畅等诸多问题，各业务模块独立运行形成信息孤岛，数据采集、分析等环节依赖不同业务库，导致数据衔接困难、共享效率低下等。这些弊端严重制约了卫生统计工作的效能，难以满足当前卫生健康事业发展对数据精准度与时效性的要求，而这些痛点正是本期项目聚焦解决的核心。</w:t>
            </w:r>
          </w:p>
          <w:p w14:paraId="50DB54A2">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并非重新新建，而是深度扎根于现有信息系统，以功能优化为核心驱动力，开展全面的改造工程。在门户架构搭建方面，对现有功能入口进行整合优化，简化用户操作流程；功能模块优化过程中，针对数据采集、查询、分析等现有功能进行迭代优化，运用新技术提升数据处理效率；同时建立数据共享交互机制，打破原有数据孤岛，优化数据共享模式，实现数据在各系统间的高效流通。</w:t>
            </w:r>
          </w:p>
          <w:p w14:paraId="094A9E66">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过上述功能优化举措，项目将现有分散的业务功能整合为一体化卫生统计平台，不仅大幅提升系统整体性能与业务处理能力，更通过功能的优化拓展，精准契合陕西省卫生健康事业发展对统计工作的新要求，推动卫生统计工作迈向智能化、高效化的新阶段。</w:t>
            </w:r>
          </w:p>
          <w:p w14:paraId="0EAB76D7">
            <w:pPr>
              <w:pStyle w:val="4"/>
              <w:numPr>
                <w:ilvl w:val="1"/>
                <w:numId w:val="0"/>
              </w:numPr>
              <w:rPr>
                <w:rFonts w:hint="eastAsia" w:ascii="仿宋" w:hAnsi="仿宋" w:eastAsia="仿宋" w:cs="仿宋"/>
                <w:sz w:val="21"/>
                <w:szCs w:val="21"/>
              </w:rPr>
            </w:pPr>
            <w:bookmarkStart w:id="29" w:name="_Toc127382329"/>
            <w:bookmarkStart w:id="30" w:name="_Toc21182"/>
            <w:r>
              <w:rPr>
                <w:rFonts w:hint="eastAsia" w:ascii="仿宋" w:hAnsi="仿宋" w:eastAsia="仿宋" w:cs="仿宋"/>
                <w:sz w:val="21"/>
                <w:szCs w:val="21"/>
              </w:rPr>
              <w:t>2.3应用支撑现状分析</w:t>
            </w:r>
            <w:bookmarkEnd w:id="29"/>
            <w:bookmarkEnd w:id="30"/>
          </w:p>
          <w:p w14:paraId="62FACA07">
            <w:pPr>
              <w:pStyle w:val="5"/>
              <w:numPr>
                <w:ilvl w:val="2"/>
                <w:numId w:val="0"/>
              </w:numPr>
              <w:rPr>
                <w:rFonts w:hint="eastAsia" w:ascii="仿宋" w:hAnsi="仿宋" w:eastAsia="仿宋" w:cs="仿宋"/>
                <w:sz w:val="21"/>
                <w:szCs w:val="21"/>
              </w:rPr>
            </w:pPr>
            <w:bookmarkStart w:id="31" w:name="_Toc8420"/>
            <w:bookmarkStart w:id="32" w:name="_Toc1194"/>
            <w:r>
              <w:rPr>
                <w:rFonts w:hint="eastAsia" w:ascii="仿宋" w:hAnsi="仿宋" w:eastAsia="仿宋" w:cs="仿宋"/>
                <w:sz w:val="21"/>
                <w:szCs w:val="21"/>
              </w:rPr>
              <w:t>2.3.1应用配置</w:t>
            </w:r>
            <w:bookmarkEnd w:id="31"/>
            <w:r>
              <w:rPr>
                <w:rFonts w:hint="eastAsia" w:ascii="仿宋" w:hAnsi="仿宋" w:eastAsia="仿宋" w:cs="仿宋"/>
                <w:sz w:val="21"/>
                <w:szCs w:val="21"/>
              </w:rPr>
              <w:t>清单</w:t>
            </w:r>
            <w:bookmarkEnd w:id="32"/>
          </w:p>
          <w:p w14:paraId="4A256A0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省级应用支撑系统建设起步较早，包括操作系统、数据库和中间件等公共应用支撑，分为包括国产化环境和非国产化环境两大类，目前国家卫生统计信息直报及相关系统均部署在非国产化环境。</w:t>
            </w:r>
          </w:p>
          <w:p w14:paraId="18614F3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截至目前，国家卫生统计直报系统使用非国产化支撑系统情况如下表所示。</w:t>
            </w:r>
          </w:p>
          <w:p w14:paraId="682874BA">
            <w:pPr>
              <w:pStyle w:val="14"/>
            </w:pPr>
            <w:r>
              <w:t>表</w:t>
            </w:r>
            <w:r>
              <w:rPr>
                <w:rFonts w:hint="eastAsia"/>
              </w:rPr>
              <w:t xml:space="preserve">  国产化公共应用支撑建设情况表</w:t>
            </w:r>
          </w:p>
          <w:tbl>
            <w:tblPr>
              <w:tblStyle w:val="17"/>
              <w:tblW w:w="7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790"/>
              <w:gridCol w:w="2942"/>
              <w:gridCol w:w="2431"/>
            </w:tblGrid>
            <w:tr w14:paraId="79D3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635" w:type="dxa"/>
                  <w:tcBorders>
                    <w:top w:val="single" w:color="auto" w:sz="4" w:space="0"/>
                    <w:left w:val="single" w:color="auto" w:sz="4" w:space="0"/>
                    <w:bottom w:val="single" w:color="auto" w:sz="4" w:space="0"/>
                    <w:right w:val="single" w:color="auto" w:sz="4" w:space="0"/>
                  </w:tcBorders>
                  <w:vAlign w:val="center"/>
                </w:tcPr>
                <w:p w14:paraId="7312E08E">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序号</w:t>
                  </w:r>
                </w:p>
              </w:tc>
              <w:tc>
                <w:tcPr>
                  <w:tcW w:w="1790" w:type="dxa"/>
                  <w:tcBorders>
                    <w:top w:val="single" w:color="auto" w:sz="4" w:space="0"/>
                    <w:left w:val="single" w:color="auto" w:sz="4" w:space="0"/>
                    <w:bottom w:val="single" w:color="auto" w:sz="4" w:space="0"/>
                    <w:right w:val="single" w:color="auto" w:sz="4" w:space="0"/>
                  </w:tcBorders>
                  <w:vAlign w:val="center"/>
                </w:tcPr>
                <w:p w14:paraId="363D9163">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名称</w:t>
                  </w:r>
                </w:p>
              </w:tc>
              <w:tc>
                <w:tcPr>
                  <w:tcW w:w="2942" w:type="dxa"/>
                  <w:tcBorders>
                    <w:top w:val="single" w:color="auto" w:sz="4" w:space="0"/>
                    <w:left w:val="single" w:color="auto" w:sz="4" w:space="0"/>
                    <w:bottom w:val="single" w:color="auto" w:sz="4" w:space="0"/>
                    <w:right w:val="single" w:color="auto" w:sz="4" w:space="0"/>
                  </w:tcBorders>
                  <w:vAlign w:val="center"/>
                </w:tcPr>
                <w:p w14:paraId="72FF48B8">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版本</w:t>
                  </w:r>
                </w:p>
              </w:tc>
              <w:tc>
                <w:tcPr>
                  <w:tcW w:w="2431" w:type="dxa"/>
                  <w:tcBorders>
                    <w:top w:val="single" w:color="auto" w:sz="4" w:space="0"/>
                    <w:left w:val="single" w:color="auto" w:sz="4" w:space="0"/>
                    <w:bottom w:val="single" w:color="auto" w:sz="4" w:space="0"/>
                    <w:right w:val="single" w:color="auto" w:sz="4" w:space="0"/>
                  </w:tcBorders>
                  <w:vAlign w:val="center"/>
                </w:tcPr>
                <w:p w14:paraId="4695BF2B">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备注</w:t>
                  </w:r>
                </w:p>
              </w:tc>
            </w:tr>
            <w:tr w14:paraId="7E88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14:paraId="4796C50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790" w:type="dxa"/>
                  <w:tcBorders>
                    <w:top w:val="single" w:color="auto" w:sz="4" w:space="0"/>
                    <w:left w:val="single" w:color="auto" w:sz="4" w:space="0"/>
                    <w:bottom w:val="single" w:color="auto" w:sz="4" w:space="0"/>
                    <w:right w:val="single" w:color="auto" w:sz="4" w:space="0"/>
                  </w:tcBorders>
                  <w:vAlign w:val="center"/>
                </w:tcPr>
                <w:p w14:paraId="7E1151E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操作系统</w:t>
                  </w:r>
                </w:p>
              </w:tc>
              <w:tc>
                <w:tcPr>
                  <w:tcW w:w="2942" w:type="dxa"/>
                  <w:tcBorders>
                    <w:top w:val="single" w:color="auto" w:sz="4" w:space="0"/>
                    <w:left w:val="single" w:color="auto" w:sz="4" w:space="0"/>
                    <w:bottom w:val="single" w:color="auto" w:sz="4" w:space="0"/>
                    <w:right w:val="single" w:color="auto" w:sz="4" w:space="0"/>
                  </w:tcBorders>
                  <w:vAlign w:val="center"/>
                </w:tcPr>
                <w:p w14:paraId="79807CEF">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Windows Server2008</w:t>
                  </w:r>
                </w:p>
              </w:tc>
              <w:tc>
                <w:tcPr>
                  <w:tcW w:w="2431" w:type="dxa"/>
                  <w:tcBorders>
                    <w:top w:val="single" w:color="auto" w:sz="4" w:space="0"/>
                    <w:left w:val="single" w:color="auto" w:sz="4" w:space="0"/>
                    <w:bottom w:val="single" w:color="auto" w:sz="4" w:space="0"/>
                    <w:right w:val="single" w:color="auto" w:sz="4" w:space="0"/>
                  </w:tcBorders>
                  <w:vAlign w:val="center"/>
                </w:tcPr>
                <w:p w14:paraId="5145D1A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非国产化</w:t>
                  </w:r>
                </w:p>
              </w:tc>
            </w:tr>
            <w:tr w14:paraId="0290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14:paraId="4B4A42D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790" w:type="dxa"/>
                  <w:tcBorders>
                    <w:top w:val="single" w:color="auto" w:sz="4" w:space="0"/>
                    <w:left w:val="single" w:color="auto" w:sz="4" w:space="0"/>
                    <w:bottom w:val="single" w:color="auto" w:sz="4" w:space="0"/>
                    <w:right w:val="single" w:color="auto" w:sz="4" w:space="0"/>
                  </w:tcBorders>
                  <w:vAlign w:val="center"/>
                </w:tcPr>
                <w:p w14:paraId="7AF3CFF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数据库</w:t>
                  </w:r>
                </w:p>
              </w:tc>
              <w:tc>
                <w:tcPr>
                  <w:tcW w:w="2942" w:type="dxa"/>
                  <w:tcBorders>
                    <w:top w:val="single" w:color="auto" w:sz="4" w:space="0"/>
                    <w:left w:val="single" w:color="auto" w:sz="4" w:space="0"/>
                    <w:bottom w:val="single" w:color="auto" w:sz="4" w:space="0"/>
                    <w:right w:val="single" w:color="auto" w:sz="4" w:space="0"/>
                  </w:tcBorders>
                  <w:vAlign w:val="center"/>
                </w:tcPr>
                <w:p w14:paraId="767DC244">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Oracle Database19c</w:t>
                  </w:r>
                </w:p>
              </w:tc>
              <w:tc>
                <w:tcPr>
                  <w:tcW w:w="2431" w:type="dxa"/>
                  <w:tcBorders>
                    <w:top w:val="single" w:color="auto" w:sz="4" w:space="0"/>
                    <w:left w:val="single" w:color="auto" w:sz="4" w:space="0"/>
                    <w:bottom w:val="single" w:color="auto" w:sz="4" w:space="0"/>
                    <w:right w:val="single" w:color="auto" w:sz="4" w:space="0"/>
                  </w:tcBorders>
                  <w:vAlign w:val="center"/>
                </w:tcPr>
                <w:p w14:paraId="5192AA0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非国产化</w:t>
                  </w:r>
                </w:p>
              </w:tc>
            </w:tr>
            <w:tr w14:paraId="2C9F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5" w:type="dxa"/>
                  <w:tcBorders>
                    <w:top w:val="single" w:color="auto" w:sz="4" w:space="0"/>
                    <w:left w:val="single" w:color="auto" w:sz="4" w:space="0"/>
                    <w:bottom w:val="single" w:color="auto" w:sz="4" w:space="0"/>
                    <w:right w:val="single" w:color="auto" w:sz="4" w:space="0"/>
                  </w:tcBorders>
                  <w:vAlign w:val="center"/>
                </w:tcPr>
                <w:p w14:paraId="09F7EE3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790" w:type="dxa"/>
                  <w:tcBorders>
                    <w:top w:val="single" w:color="auto" w:sz="4" w:space="0"/>
                    <w:left w:val="single" w:color="auto" w:sz="4" w:space="0"/>
                    <w:bottom w:val="single" w:color="auto" w:sz="4" w:space="0"/>
                    <w:right w:val="single" w:color="auto" w:sz="4" w:space="0"/>
                  </w:tcBorders>
                  <w:vAlign w:val="center"/>
                </w:tcPr>
                <w:p w14:paraId="077A799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中间件</w:t>
                  </w:r>
                </w:p>
              </w:tc>
              <w:tc>
                <w:tcPr>
                  <w:tcW w:w="2942" w:type="dxa"/>
                  <w:tcBorders>
                    <w:top w:val="single" w:color="auto" w:sz="4" w:space="0"/>
                    <w:left w:val="single" w:color="auto" w:sz="4" w:space="0"/>
                    <w:bottom w:val="single" w:color="auto" w:sz="4" w:space="0"/>
                    <w:right w:val="single" w:color="auto" w:sz="4" w:space="0"/>
                  </w:tcBorders>
                  <w:vAlign w:val="center"/>
                </w:tcPr>
                <w:p w14:paraId="00977CE0">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apache-tomcat-8.5.66</w:t>
                  </w:r>
                </w:p>
              </w:tc>
              <w:tc>
                <w:tcPr>
                  <w:tcW w:w="2431" w:type="dxa"/>
                  <w:tcBorders>
                    <w:top w:val="single" w:color="auto" w:sz="4" w:space="0"/>
                    <w:left w:val="single" w:color="auto" w:sz="4" w:space="0"/>
                    <w:bottom w:val="single" w:color="auto" w:sz="4" w:space="0"/>
                    <w:right w:val="single" w:color="auto" w:sz="4" w:space="0"/>
                  </w:tcBorders>
                  <w:vAlign w:val="center"/>
                </w:tcPr>
                <w:p w14:paraId="4E9E5E9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非国产化</w:t>
                  </w:r>
                </w:p>
              </w:tc>
            </w:tr>
          </w:tbl>
          <w:p w14:paraId="04291F41">
            <w:pPr>
              <w:pStyle w:val="23"/>
              <w:spacing w:line="360" w:lineRule="auto"/>
              <w:ind w:firstLine="0"/>
              <w:rPr>
                <w:color w:val="000000" w:themeColor="text1"/>
                <w14:textFill>
                  <w14:solidFill>
                    <w14:schemeClr w14:val="tx1"/>
                  </w14:solidFill>
                </w14:textFill>
              </w:rPr>
            </w:pPr>
          </w:p>
          <w:p w14:paraId="38A0AB2C">
            <w:pPr>
              <w:pStyle w:val="5"/>
              <w:numPr>
                <w:ilvl w:val="2"/>
                <w:numId w:val="0"/>
              </w:numPr>
              <w:rPr>
                <w:rFonts w:hint="eastAsia" w:ascii="仿宋" w:hAnsi="仿宋" w:eastAsia="仿宋" w:cs="仿宋"/>
                <w:sz w:val="21"/>
                <w:szCs w:val="21"/>
              </w:rPr>
            </w:pPr>
            <w:bookmarkStart w:id="33" w:name="_Toc1030"/>
            <w:bookmarkStart w:id="34" w:name="_Toc24770"/>
            <w:r>
              <w:rPr>
                <w:rFonts w:hint="eastAsia" w:ascii="仿宋" w:hAnsi="仿宋" w:eastAsia="仿宋" w:cs="仿宋"/>
                <w:sz w:val="21"/>
                <w:szCs w:val="21"/>
              </w:rPr>
              <w:t>2.3.2现状分析</w:t>
            </w:r>
            <w:bookmarkEnd w:id="33"/>
            <w:bookmarkEnd w:id="34"/>
          </w:p>
          <w:p w14:paraId="06D3976C">
            <w:pPr>
              <w:pStyle w:val="23"/>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系统部署环境无法满足国产化环境，系统使用Oracle和Tomcat中间件，部署在Windows Server环境中，尚未适配国产化环境，需要根据国产化技术路线重新对系统进行适配。</w:t>
            </w:r>
          </w:p>
          <w:p w14:paraId="7E64B4F1">
            <w:pPr>
              <w:pStyle w:val="22"/>
              <w:snapToGrid w:val="0"/>
              <w:ind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件设施老化和性能不足，直接影响了系统的稳定性和运行效率，制约了业务的正常开展；软件技术框架陈旧，使得系统难以适应业务需求的变化和新技术的发展，无法实现功能的快速迭代和优化；缺乏统一管理和监控机制，增加了系统运维的难度和成本，降低了系统的可靠性和可用性，难以保障卫生统计工作的顺利进行。</w:t>
            </w:r>
          </w:p>
          <w:p w14:paraId="787E6FEB">
            <w:pPr>
              <w:pStyle w:val="4"/>
              <w:numPr>
                <w:ilvl w:val="1"/>
                <w:numId w:val="0"/>
              </w:numPr>
              <w:rPr>
                <w:rFonts w:hint="eastAsia" w:ascii="仿宋" w:hAnsi="仿宋" w:eastAsia="仿宋" w:cs="仿宋"/>
                <w:sz w:val="21"/>
                <w:szCs w:val="21"/>
              </w:rPr>
            </w:pPr>
            <w:bookmarkStart w:id="35" w:name="_Toc18324"/>
            <w:bookmarkStart w:id="36" w:name="_Toc127382330"/>
            <w:r>
              <w:rPr>
                <w:rFonts w:hint="eastAsia" w:ascii="仿宋" w:hAnsi="仿宋" w:eastAsia="仿宋" w:cs="仿宋"/>
                <w:sz w:val="21"/>
                <w:szCs w:val="21"/>
              </w:rPr>
              <w:t>2.4数据资源现状分析</w:t>
            </w:r>
            <w:bookmarkEnd w:id="35"/>
            <w:bookmarkEnd w:id="36"/>
          </w:p>
          <w:p w14:paraId="259879A4">
            <w:pPr>
              <w:pStyle w:val="5"/>
              <w:numPr>
                <w:ilvl w:val="2"/>
                <w:numId w:val="0"/>
              </w:numPr>
              <w:rPr>
                <w:rFonts w:hint="eastAsia" w:ascii="仿宋" w:hAnsi="仿宋" w:eastAsia="仿宋" w:cs="仿宋"/>
                <w:sz w:val="21"/>
                <w:szCs w:val="21"/>
              </w:rPr>
            </w:pPr>
            <w:bookmarkStart w:id="37" w:name="_Toc28605"/>
            <w:bookmarkStart w:id="38" w:name="_Toc20007"/>
            <w:r>
              <w:rPr>
                <w:rFonts w:hint="eastAsia" w:ascii="仿宋" w:hAnsi="仿宋" w:eastAsia="仿宋" w:cs="仿宋"/>
                <w:sz w:val="21"/>
                <w:szCs w:val="21"/>
              </w:rPr>
              <w:t>2.4.1数据资源基本情况</w:t>
            </w:r>
            <w:bookmarkEnd w:id="37"/>
            <w:bookmarkEnd w:id="38"/>
          </w:p>
          <w:p w14:paraId="657F586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现有数据资源涵盖了医疗卫生机构的人员、设备、服务等多方面信息，数据规模庞大，但数据类型复杂多样，包括结构化数据、半结构化数据和非结构化数据。数据来源广泛，涉及各级各类医疗卫生机构，数据的采集频率和更新周期各不相同，导致数据的一致性和完整性难以保证。</w:t>
            </w:r>
          </w:p>
          <w:p w14:paraId="616E45DF">
            <w:pPr>
              <w:pStyle w:val="5"/>
              <w:numPr>
                <w:ilvl w:val="2"/>
                <w:numId w:val="0"/>
              </w:numPr>
              <w:rPr>
                <w:rFonts w:hint="eastAsia" w:ascii="仿宋" w:hAnsi="仿宋" w:eastAsia="仿宋" w:cs="仿宋"/>
                <w:sz w:val="21"/>
                <w:szCs w:val="21"/>
              </w:rPr>
            </w:pPr>
            <w:bookmarkStart w:id="39" w:name="_Toc24544"/>
            <w:bookmarkStart w:id="40" w:name="_Toc14226"/>
            <w:r>
              <w:rPr>
                <w:rFonts w:hint="eastAsia" w:ascii="仿宋" w:hAnsi="仿宋" w:eastAsia="仿宋" w:cs="仿宋"/>
                <w:sz w:val="21"/>
                <w:szCs w:val="21"/>
              </w:rPr>
              <w:t>2.4.2数据资源管理情况</w:t>
            </w:r>
            <w:bookmarkEnd w:id="39"/>
            <w:bookmarkEnd w:id="40"/>
          </w:p>
          <w:p w14:paraId="5E7B648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资源管理上，缺乏统一的数据管理标准和规范，数据存储分散，没有形成集中的数据仓库。数据的采集、存储、使用等环节缺乏有效的监管和审计机制，数据的准确性和安全性无法得到有效保障。同时，数据的共享和利用程度较低，大量有价值的数据处于闲置状态，未能充分发挥其在卫生健康决策分析中的作用。</w:t>
            </w:r>
          </w:p>
          <w:p w14:paraId="3ECCC485">
            <w:pPr>
              <w:pStyle w:val="5"/>
              <w:numPr>
                <w:ilvl w:val="2"/>
                <w:numId w:val="0"/>
              </w:numPr>
              <w:rPr>
                <w:rFonts w:hint="eastAsia" w:ascii="仿宋" w:hAnsi="仿宋" w:eastAsia="仿宋" w:cs="仿宋"/>
                <w:sz w:val="21"/>
                <w:szCs w:val="21"/>
              </w:rPr>
            </w:pPr>
            <w:bookmarkStart w:id="41" w:name="_Toc11992"/>
            <w:bookmarkStart w:id="42" w:name="_Toc23698"/>
            <w:r>
              <w:rPr>
                <w:rFonts w:hint="eastAsia" w:ascii="仿宋" w:hAnsi="仿宋" w:eastAsia="仿宋" w:cs="仿宋"/>
                <w:sz w:val="21"/>
                <w:szCs w:val="21"/>
              </w:rPr>
              <w:t>2.4.3现状分析</w:t>
            </w:r>
            <w:bookmarkEnd w:id="41"/>
            <w:bookmarkEnd w:id="42"/>
          </w:p>
          <w:p w14:paraId="509BF99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国家卫生统计直报系统统一数据底座正在规划建设中，系统功能建设主要围绕数据共享交换、初步数据采集与数据质量检测等基础功能进行，以满足先期对于打破“信息孤岛”，消除条块分割，改善数据资源较为分散、数据共享程度低等现实问题的要求。目前陕西省卫生健康委在数据资源体系方面已有了一些基础，但在数据资产的统筹管理、数据安全防范、数据交换服务能力、数据应用等方面还存在以下不足：</w:t>
            </w:r>
          </w:p>
          <w:p w14:paraId="0AC3A09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前期暂未考虑数据的资产化管理，没有形成规范化的数据资产管理体系，在数据资产管理方面尚存在不足；</w:t>
            </w:r>
          </w:p>
          <w:p w14:paraId="0DF5000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在数据安全方面暂未考虑数据的分级分类、访问权限、数据脱敏等问题；</w:t>
            </w:r>
          </w:p>
          <w:p w14:paraId="0B0DC17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没有针对数据API接口的统一管理抓手，对接效率低下，管理成本高；</w:t>
            </w:r>
          </w:p>
          <w:p w14:paraId="29C4A8C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未能形成规范的对外数据共享服务出口，缺乏统一的共享交换机制，数据交换服务与管理碎片化；</w:t>
            </w:r>
          </w:p>
          <w:p w14:paraId="788CE33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未能形成规模化的数据关联建设，导致数据查询结果不全面、不充足；</w:t>
            </w:r>
          </w:p>
          <w:p w14:paraId="4FF5A2E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系统对接多数采用库表交换方式，过于单一，不能满足进一步的数据共享交换以及数据检测校验的要求；</w:t>
            </w:r>
          </w:p>
          <w:p w14:paraId="1D773D61">
            <w:pPr>
              <w:pStyle w:val="22"/>
              <w:snapToGrid w:val="0"/>
              <w:ind w:left="480" w:firstLine="0"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数据质量和数据应用不足，未能发挥数据的价值。</w:t>
            </w:r>
          </w:p>
          <w:p w14:paraId="027A7454">
            <w:pPr>
              <w:pStyle w:val="4"/>
              <w:numPr>
                <w:ilvl w:val="1"/>
                <w:numId w:val="0"/>
              </w:numPr>
              <w:rPr>
                <w:rFonts w:hint="eastAsia" w:ascii="仿宋" w:hAnsi="仿宋" w:eastAsia="仿宋" w:cs="仿宋"/>
                <w:sz w:val="21"/>
                <w:szCs w:val="21"/>
              </w:rPr>
            </w:pPr>
            <w:bookmarkStart w:id="43" w:name="_Toc32712"/>
            <w:bookmarkStart w:id="44" w:name="_Toc127382331"/>
            <w:r>
              <w:rPr>
                <w:rFonts w:hint="eastAsia" w:ascii="仿宋" w:hAnsi="仿宋" w:eastAsia="仿宋" w:cs="仿宋"/>
                <w:sz w:val="21"/>
                <w:szCs w:val="21"/>
              </w:rPr>
              <w:t>2.5网络安全</w:t>
            </w:r>
            <w:bookmarkStart w:id="45" w:name="_Hlk111104227"/>
            <w:r>
              <w:rPr>
                <w:rFonts w:hint="eastAsia" w:ascii="仿宋" w:hAnsi="仿宋" w:eastAsia="仿宋" w:cs="仿宋"/>
                <w:sz w:val="21"/>
                <w:szCs w:val="21"/>
              </w:rPr>
              <w:t>现状</w:t>
            </w:r>
            <w:bookmarkEnd w:id="45"/>
            <w:r>
              <w:rPr>
                <w:rFonts w:hint="eastAsia" w:ascii="仿宋" w:hAnsi="仿宋" w:eastAsia="仿宋" w:cs="仿宋"/>
                <w:sz w:val="21"/>
                <w:szCs w:val="21"/>
              </w:rPr>
              <w:t>分析</w:t>
            </w:r>
            <w:bookmarkEnd w:id="43"/>
            <w:bookmarkEnd w:id="44"/>
          </w:p>
          <w:p w14:paraId="2ECD75EF">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前系统登录依赖VPN，然而VPN软件在实际使用中问题频发。软件安装过程常出现报错情况，部分用户因缺乏专业技术知识难以自行解决，导致无法正常登录系统；部分设备在安装后存在无网络连接的状况，影响数据报送工作开展。到年底数据报送高峰期，使用VPN的人员数量剧增，网络拥堵严重，系统出现卡顿甚至崩溃，极大降低了数据报送效率，也增加了数据传输过程中的安全隐患。</w:t>
            </w:r>
          </w:p>
          <w:p w14:paraId="1B322D3E">
            <w:pPr>
              <w:pStyle w:val="4"/>
              <w:numPr>
                <w:ilvl w:val="1"/>
                <w:numId w:val="0"/>
              </w:numPr>
              <w:rPr>
                <w:rFonts w:hint="eastAsia" w:ascii="仿宋" w:hAnsi="仿宋" w:eastAsia="仿宋" w:cs="仿宋"/>
                <w:sz w:val="21"/>
                <w:szCs w:val="21"/>
              </w:rPr>
            </w:pPr>
            <w:bookmarkStart w:id="46" w:name="_Toc127382332"/>
            <w:bookmarkStart w:id="47" w:name="_Toc2165"/>
            <w:r>
              <w:rPr>
                <w:rFonts w:hint="eastAsia" w:ascii="仿宋" w:hAnsi="仿宋" w:eastAsia="仿宋" w:cs="仿宋"/>
                <w:sz w:val="21"/>
                <w:szCs w:val="21"/>
              </w:rPr>
              <w:t>2.6运行维护现状分析</w:t>
            </w:r>
            <w:bookmarkEnd w:id="46"/>
            <w:bookmarkEnd w:id="47"/>
          </w:p>
          <w:p w14:paraId="6EFE5EB7">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目前已形成较为明确的运行维护体制架构。组织上，依托省级驻地运维团队，明确其负责在国家系统优化基础上的定制化修改任务，严格遵循省级运维响应相关政策，保障省级系统与国家系统的兼容性与功能拓展需求。在岗位设置与职责分工方面，驻地运维工程师承担系统登录、操作报错等问题的排序处理工作，同时配合完成系统巡检与优化任务。此外，规定每年运维服务项目结束后需召开运维系统验收会，全面汇报前一年系统运维工作内容，确保运维工作成果得到有效评估与总结。</w:t>
            </w:r>
          </w:p>
          <w:p w14:paraId="2F847F5A">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前技术手段主要围绕基础运维保障展开。在问题处理技术上，驻地运维师依靠自身技术经验和已有的故障处理案例库，对系统登录、操作报错等常见问题进行排查和修复。对于系统巡检，对服务器的CPU、内存、磁盘使用情况以及系统运行日志进行检查，以发现系统异常。在系统优化方面，借助国家下发的成熟优化包，结合本地系统实际情况进行适配性调整，确保系统优化顺利完成。</w:t>
            </w:r>
          </w:p>
          <w:p w14:paraId="091676B1">
            <w:pPr>
              <w:pStyle w:val="4"/>
              <w:numPr>
                <w:ilvl w:val="1"/>
                <w:numId w:val="0"/>
              </w:numPr>
              <w:rPr>
                <w:rFonts w:hint="eastAsia" w:ascii="仿宋" w:hAnsi="仿宋" w:eastAsia="仿宋" w:cs="仿宋"/>
                <w:sz w:val="21"/>
                <w:szCs w:val="21"/>
              </w:rPr>
            </w:pPr>
            <w:bookmarkStart w:id="48" w:name="_Toc127382334"/>
            <w:bookmarkStart w:id="49" w:name="_Toc23729"/>
            <w:bookmarkStart w:id="50" w:name="_Toc117416561"/>
            <w:bookmarkStart w:id="51" w:name="_Hlk110800719"/>
            <w:bookmarkStart w:id="52" w:name="_Hlk110715637"/>
            <w:r>
              <w:rPr>
                <w:rFonts w:hint="eastAsia" w:ascii="仿宋" w:hAnsi="仿宋" w:eastAsia="仿宋" w:cs="仿宋"/>
                <w:sz w:val="21"/>
                <w:szCs w:val="21"/>
              </w:rPr>
              <w:t>2.7信息基础设施现状分析</w:t>
            </w:r>
            <w:bookmarkEnd w:id="48"/>
            <w:bookmarkEnd w:id="49"/>
          </w:p>
          <w:p w14:paraId="3DD4135B">
            <w:pPr>
              <w:pStyle w:val="5"/>
              <w:numPr>
                <w:ilvl w:val="2"/>
                <w:numId w:val="0"/>
              </w:numPr>
              <w:rPr>
                <w:rFonts w:hint="eastAsia" w:ascii="仿宋" w:hAnsi="仿宋" w:eastAsia="仿宋" w:cs="仿宋"/>
                <w:sz w:val="21"/>
                <w:szCs w:val="21"/>
              </w:rPr>
            </w:pPr>
            <w:bookmarkStart w:id="53" w:name="_Toc1449"/>
            <w:r>
              <w:rPr>
                <w:rFonts w:hint="eastAsia" w:ascii="仿宋" w:hAnsi="仿宋" w:eastAsia="仿宋" w:cs="仿宋"/>
                <w:sz w:val="21"/>
                <w:szCs w:val="21"/>
              </w:rPr>
              <w:t>2.7.1资源现状清单</w:t>
            </w:r>
            <w:bookmarkEnd w:id="53"/>
          </w:p>
          <w:p w14:paraId="0BF76699">
            <w:pPr>
              <w:pStyle w:val="14"/>
            </w:pPr>
            <w:r>
              <w:t>表</w:t>
            </w:r>
            <w:r>
              <w:rPr>
                <w:rFonts w:hint="eastAsia"/>
              </w:rPr>
              <w:t xml:space="preserve"> 系统占用资源情况表</w:t>
            </w:r>
          </w:p>
          <w:tbl>
            <w:tblPr>
              <w:tblStyle w:val="17"/>
              <w:tblW w:w="7897" w:type="dxa"/>
              <w:jc w:val="center"/>
              <w:tblLayout w:type="autofit"/>
              <w:tblCellMar>
                <w:top w:w="0" w:type="dxa"/>
                <w:left w:w="108" w:type="dxa"/>
                <w:bottom w:w="0" w:type="dxa"/>
                <w:right w:w="108" w:type="dxa"/>
              </w:tblCellMar>
            </w:tblPr>
            <w:tblGrid>
              <w:gridCol w:w="721"/>
              <w:gridCol w:w="2317"/>
              <w:gridCol w:w="2757"/>
              <w:gridCol w:w="2102"/>
            </w:tblGrid>
            <w:tr w14:paraId="1975C1A5">
              <w:tblPrEx>
                <w:tblCellMar>
                  <w:top w:w="0" w:type="dxa"/>
                  <w:left w:w="108" w:type="dxa"/>
                  <w:bottom w:w="0" w:type="dxa"/>
                  <w:right w:w="108" w:type="dxa"/>
                </w:tblCellMar>
              </w:tblPrEx>
              <w:trPr>
                <w:trHeight w:val="423" w:hRule="atLeast"/>
                <w:jc w:val="center"/>
              </w:trPr>
              <w:tc>
                <w:tcPr>
                  <w:tcW w:w="721" w:type="dxa"/>
                  <w:tcBorders>
                    <w:top w:val="single" w:color="auto" w:sz="8" w:space="0"/>
                    <w:left w:val="single" w:color="auto" w:sz="8" w:space="0"/>
                    <w:bottom w:val="single" w:color="auto" w:sz="8" w:space="0"/>
                    <w:right w:val="single" w:color="auto" w:sz="8" w:space="0"/>
                  </w:tcBorders>
                  <w:vAlign w:val="center"/>
                </w:tcPr>
                <w:p w14:paraId="2D27BB93">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序号</w:t>
                  </w:r>
                </w:p>
              </w:tc>
              <w:tc>
                <w:tcPr>
                  <w:tcW w:w="2317" w:type="dxa"/>
                  <w:tcBorders>
                    <w:top w:val="single" w:color="auto" w:sz="8" w:space="0"/>
                    <w:left w:val="nil"/>
                    <w:bottom w:val="single" w:color="auto" w:sz="8" w:space="0"/>
                    <w:right w:val="single" w:color="auto" w:sz="8" w:space="0"/>
                  </w:tcBorders>
                  <w:vAlign w:val="center"/>
                </w:tcPr>
                <w:p w14:paraId="6853AE86">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资源名称</w:t>
                  </w:r>
                </w:p>
              </w:tc>
              <w:tc>
                <w:tcPr>
                  <w:tcW w:w="2757" w:type="dxa"/>
                  <w:tcBorders>
                    <w:top w:val="single" w:color="auto" w:sz="8" w:space="0"/>
                    <w:left w:val="nil"/>
                    <w:bottom w:val="single" w:color="auto" w:sz="8" w:space="0"/>
                    <w:right w:val="single" w:color="auto" w:sz="8" w:space="0"/>
                  </w:tcBorders>
                  <w:vAlign w:val="center"/>
                </w:tcPr>
                <w:p w14:paraId="6D5B2664">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规格（CPU/内存/存储）</w:t>
                  </w:r>
                </w:p>
              </w:tc>
              <w:tc>
                <w:tcPr>
                  <w:tcW w:w="2102" w:type="dxa"/>
                  <w:tcBorders>
                    <w:top w:val="single" w:color="auto" w:sz="8" w:space="0"/>
                    <w:left w:val="nil"/>
                    <w:bottom w:val="single" w:color="auto" w:sz="8" w:space="0"/>
                    <w:right w:val="single" w:color="auto" w:sz="8" w:space="0"/>
                  </w:tcBorders>
                  <w:vAlign w:val="center"/>
                </w:tcPr>
                <w:p w14:paraId="5CDCB0C1">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云资源占用数量（台）</w:t>
                  </w:r>
                </w:p>
              </w:tc>
            </w:tr>
            <w:tr w14:paraId="1F1D5D4D">
              <w:tblPrEx>
                <w:tblCellMar>
                  <w:top w:w="0" w:type="dxa"/>
                  <w:left w:w="108" w:type="dxa"/>
                  <w:bottom w:w="0" w:type="dxa"/>
                  <w:right w:w="108" w:type="dxa"/>
                </w:tblCellMar>
              </w:tblPrEx>
              <w:trPr>
                <w:trHeight w:val="402" w:hRule="atLeast"/>
                <w:jc w:val="center"/>
              </w:trPr>
              <w:tc>
                <w:tcPr>
                  <w:tcW w:w="721" w:type="dxa"/>
                  <w:tcBorders>
                    <w:top w:val="nil"/>
                    <w:left w:val="single" w:color="auto" w:sz="8" w:space="0"/>
                    <w:bottom w:val="single" w:color="auto" w:sz="8" w:space="0"/>
                    <w:right w:val="single" w:color="auto" w:sz="8" w:space="0"/>
                  </w:tcBorders>
                  <w:vAlign w:val="center"/>
                </w:tcPr>
                <w:p w14:paraId="55928F23">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2317" w:type="dxa"/>
                  <w:tcBorders>
                    <w:top w:val="nil"/>
                    <w:left w:val="nil"/>
                    <w:bottom w:val="single" w:color="auto" w:sz="8" w:space="0"/>
                    <w:right w:val="single" w:color="auto" w:sz="8" w:space="0"/>
                  </w:tcBorders>
                  <w:vAlign w:val="center"/>
                </w:tcPr>
                <w:p w14:paraId="728A1465">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应用服务器</w:t>
                  </w:r>
                </w:p>
              </w:tc>
              <w:tc>
                <w:tcPr>
                  <w:tcW w:w="2757" w:type="dxa"/>
                  <w:tcBorders>
                    <w:top w:val="nil"/>
                    <w:left w:val="nil"/>
                    <w:bottom w:val="single" w:color="auto" w:sz="8" w:space="0"/>
                    <w:right w:val="single" w:color="auto" w:sz="8" w:space="0"/>
                  </w:tcBorders>
                  <w:vAlign w:val="center"/>
                </w:tcPr>
                <w:p w14:paraId="363D4900">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8C/16G/500G</w:t>
                  </w:r>
                </w:p>
              </w:tc>
              <w:tc>
                <w:tcPr>
                  <w:tcW w:w="2102" w:type="dxa"/>
                  <w:tcBorders>
                    <w:top w:val="nil"/>
                    <w:left w:val="nil"/>
                    <w:bottom w:val="single" w:color="auto" w:sz="8" w:space="0"/>
                    <w:right w:val="single" w:color="auto" w:sz="8" w:space="0"/>
                  </w:tcBorders>
                  <w:vAlign w:val="center"/>
                </w:tcPr>
                <w:p w14:paraId="68264476">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8</w:t>
                  </w:r>
                </w:p>
              </w:tc>
            </w:tr>
            <w:tr w14:paraId="61CBC4DF">
              <w:tblPrEx>
                <w:tblCellMar>
                  <w:top w:w="0" w:type="dxa"/>
                  <w:left w:w="108" w:type="dxa"/>
                  <w:bottom w:w="0" w:type="dxa"/>
                  <w:right w:w="108" w:type="dxa"/>
                </w:tblCellMar>
              </w:tblPrEx>
              <w:trPr>
                <w:trHeight w:val="420" w:hRule="atLeast"/>
                <w:jc w:val="center"/>
              </w:trPr>
              <w:tc>
                <w:tcPr>
                  <w:tcW w:w="721" w:type="dxa"/>
                  <w:tcBorders>
                    <w:top w:val="nil"/>
                    <w:left w:val="single" w:color="auto" w:sz="8" w:space="0"/>
                    <w:bottom w:val="single" w:color="auto" w:sz="8" w:space="0"/>
                    <w:right w:val="single" w:color="auto" w:sz="8" w:space="0"/>
                  </w:tcBorders>
                  <w:vAlign w:val="center"/>
                </w:tcPr>
                <w:p w14:paraId="4491252B">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2317" w:type="dxa"/>
                  <w:tcBorders>
                    <w:top w:val="nil"/>
                    <w:left w:val="nil"/>
                    <w:bottom w:val="single" w:color="auto" w:sz="8" w:space="0"/>
                    <w:right w:val="single" w:color="auto" w:sz="8" w:space="0"/>
                  </w:tcBorders>
                  <w:vAlign w:val="center"/>
                </w:tcPr>
                <w:p w14:paraId="0F4BC66E">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数据库服务器</w:t>
                  </w:r>
                </w:p>
              </w:tc>
              <w:tc>
                <w:tcPr>
                  <w:tcW w:w="2757" w:type="dxa"/>
                  <w:tcBorders>
                    <w:top w:val="nil"/>
                    <w:left w:val="nil"/>
                    <w:bottom w:val="single" w:color="auto" w:sz="8" w:space="0"/>
                    <w:right w:val="single" w:color="auto" w:sz="8" w:space="0"/>
                  </w:tcBorders>
                  <w:vAlign w:val="center"/>
                </w:tcPr>
                <w:p w14:paraId="69081B56">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8C/16G/500G</w:t>
                  </w:r>
                </w:p>
              </w:tc>
              <w:tc>
                <w:tcPr>
                  <w:tcW w:w="2102" w:type="dxa"/>
                  <w:tcBorders>
                    <w:top w:val="nil"/>
                    <w:left w:val="nil"/>
                    <w:bottom w:val="single" w:color="auto" w:sz="8" w:space="0"/>
                    <w:right w:val="single" w:color="auto" w:sz="8" w:space="0"/>
                  </w:tcBorders>
                  <w:vAlign w:val="center"/>
                </w:tcPr>
                <w:p w14:paraId="770DA6FA">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3</w:t>
                  </w:r>
                </w:p>
              </w:tc>
            </w:tr>
          </w:tbl>
          <w:p w14:paraId="614C892F">
            <w:pPr>
              <w:snapToGrid w:val="0"/>
              <w:spacing w:line="360" w:lineRule="auto"/>
              <w:ind w:left="720"/>
              <w:jc w:val="center"/>
              <w:rPr>
                <w:rFonts w:hint="eastAsia" w:ascii="黑体" w:hAnsi="黑体" w:eastAsia="黑体"/>
                <w:color w:val="000000" w:themeColor="text1"/>
                <w14:textFill>
                  <w14:solidFill>
                    <w14:schemeClr w14:val="tx1"/>
                  </w14:solidFill>
                </w14:textFill>
              </w:rPr>
            </w:pPr>
          </w:p>
          <w:p w14:paraId="5037B8AC">
            <w:pPr>
              <w:pStyle w:val="5"/>
              <w:numPr>
                <w:ilvl w:val="2"/>
                <w:numId w:val="0"/>
              </w:numPr>
              <w:rPr>
                <w:rFonts w:hint="eastAsia" w:ascii="仿宋" w:hAnsi="仿宋" w:eastAsia="仿宋" w:cs="仿宋"/>
                <w:sz w:val="21"/>
                <w:szCs w:val="21"/>
              </w:rPr>
            </w:pPr>
            <w:bookmarkStart w:id="54" w:name="_Toc2155"/>
            <w:r>
              <w:rPr>
                <w:rFonts w:hint="eastAsia" w:ascii="仿宋" w:hAnsi="仿宋" w:eastAsia="仿宋" w:cs="仿宋"/>
                <w:sz w:val="21"/>
                <w:szCs w:val="21"/>
              </w:rPr>
              <w:t>2.7.2现状分析</w:t>
            </w:r>
            <w:bookmarkEnd w:id="54"/>
          </w:p>
          <w:p w14:paraId="04B48E35">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前信息基础设施在应用服务与数据库服务层面呈现分离部署架构。应用服务采用集群部署模式，依托11台服务器协同运作，通过负载均衡器实现流量分发，在一定程度上保障了高并发访问下的应用稳定性。然而，数据库服务部署则截然不同，未采用集群架构，而是分散于多个独立服务器中，使用不同的数据库用户和实例进行管理，缺乏统一的数据管理机制。</w:t>
            </w:r>
          </w:p>
          <w:bookmarkEnd w:id="50"/>
          <w:p w14:paraId="3F28E86E">
            <w:pPr>
              <w:pStyle w:val="3"/>
              <w:rPr>
                <w:rFonts w:hint="eastAsia" w:ascii="仿宋" w:hAnsi="仿宋" w:eastAsia="仿宋" w:cs="仿宋"/>
                <w:sz w:val="21"/>
                <w:szCs w:val="21"/>
              </w:rPr>
            </w:pPr>
            <w:bookmarkStart w:id="55" w:name="_Toc127382336"/>
            <w:bookmarkStart w:id="56" w:name="_Toc117416563"/>
            <w:bookmarkStart w:id="57" w:name="_Toc5777"/>
            <w:r>
              <w:rPr>
                <w:rFonts w:hint="eastAsia" w:ascii="仿宋" w:hAnsi="仿宋" w:eastAsia="仿宋" w:cs="仿宋"/>
                <w:sz w:val="21"/>
                <w:szCs w:val="21"/>
              </w:rPr>
              <w:t>第3章需求分析</w:t>
            </w:r>
            <w:bookmarkEnd w:id="55"/>
            <w:bookmarkEnd w:id="56"/>
            <w:bookmarkEnd w:id="57"/>
          </w:p>
          <w:bookmarkEnd w:id="51"/>
          <w:p w14:paraId="1F699735">
            <w:pPr>
              <w:pStyle w:val="4"/>
              <w:numPr>
                <w:ilvl w:val="1"/>
                <w:numId w:val="0"/>
              </w:numPr>
              <w:rPr>
                <w:rFonts w:hint="eastAsia" w:ascii="仿宋" w:hAnsi="仿宋" w:eastAsia="仿宋" w:cs="仿宋"/>
                <w:sz w:val="21"/>
                <w:szCs w:val="21"/>
              </w:rPr>
            </w:pPr>
            <w:bookmarkStart w:id="58" w:name="_Toc117416566"/>
            <w:bookmarkStart w:id="59" w:name="_Toc127382337"/>
            <w:bookmarkStart w:id="60" w:name="_Toc32052"/>
            <w:r>
              <w:rPr>
                <w:rFonts w:hint="eastAsia" w:ascii="仿宋" w:hAnsi="仿宋" w:eastAsia="仿宋" w:cs="仿宋"/>
                <w:sz w:val="21"/>
                <w:szCs w:val="21"/>
              </w:rPr>
              <w:t>3.1业务需求分析</w:t>
            </w:r>
            <w:bookmarkEnd w:id="58"/>
            <w:bookmarkEnd w:id="59"/>
            <w:bookmarkEnd w:id="60"/>
          </w:p>
          <w:p w14:paraId="30DA9E87">
            <w:pPr>
              <w:pStyle w:val="5"/>
              <w:numPr>
                <w:ilvl w:val="2"/>
                <w:numId w:val="0"/>
              </w:numPr>
              <w:rPr>
                <w:rFonts w:hint="eastAsia" w:ascii="仿宋" w:hAnsi="仿宋" w:eastAsia="仿宋" w:cs="仿宋"/>
                <w:sz w:val="21"/>
                <w:szCs w:val="21"/>
              </w:rPr>
            </w:pPr>
            <w:bookmarkStart w:id="61" w:name="_Toc9097"/>
            <w:bookmarkStart w:id="62" w:name="_Toc13756"/>
            <w:r>
              <w:rPr>
                <w:rFonts w:hint="eastAsia" w:ascii="仿宋" w:hAnsi="仿宋" w:eastAsia="仿宋" w:cs="仿宋"/>
                <w:sz w:val="21"/>
                <w:szCs w:val="21"/>
              </w:rPr>
              <w:t>3.1.1用户群体与核心诉求</w:t>
            </w:r>
            <w:bookmarkEnd w:id="61"/>
            <w:bookmarkEnd w:id="62"/>
          </w:p>
          <w:p w14:paraId="4E006574">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基层填报人员：需简化多系统切换操作，通过统一门户实现“一次登录、全网操作”，支持多样化数据报送方式，如手工填报、文件导入、接口对接等，并通过实时校验提示减少填报错误。</w:t>
            </w:r>
          </w:p>
          <w:p w14:paraId="0040E6C4">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管理层用户：需要动态数据可视化看板与多维分析工具，便捷获取区域卫生资源分布、医疗服务趋势等宏观数据，同时支持数据下钻追溯至具体机构或个案。</w:t>
            </w:r>
          </w:p>
          <w:p w14:paraId="54E19597">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系统管理员：需强化权限分级管理，如省级管理员、机构管理员等角色，实现操作日志全记录与系统运行状态实时监控，保障系统安全合规。</w:t>
            </w:r>
          </w:p>
          <w:p w14:paraId="6D349806">
            <w:pPr>
              <w:pStyle w:val="5"/>
              <w:numPr>
                <w:ilvl w:val="2"/>
                <w:numId w:val="0"/>
              </w:numPr>
              <w:rPr>
                <w:rFonts w:hint="eastAsia" w:ascii="仿宋" w:hAnsi="仿宋" w:eastAsia="仿宋" w:cs="仿宋"/>
                <w:sz w:val="21"/>
                <w:szCs w:val="21"/>
              </w:rPr>
            </w:pPr>
            <w:bookmarkStart w:id="63" w:name="_Toc14765"/>
            <w:bookmarkStart w:id="64" w:name="_Toc20668"/>
            <w:r>
              <w:rPr>
                <w:rFonts w:hint="eastAsia" w:ascii="仿宋" w:hAnsi="仿宋" w:eastAsia="仿宋" w:cs="仿宋"/>
                <w:sz w:val="21"/>
                <w:szCs w:val="21"/>
              </w:rPr>
              <w:t>3.1.2用户体验优化方向</w:t>
            </w:r>
            <w:bookmarkEnd w:id="63"/>
            <w:bookmarkEnd w:id="64"/>
          </w:p>
          <w:p w14:paraId="15B90210">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界面设计需简洁直观，突出高频功能入口，适配移动端访问以满足移动办公需求。</w:t>
            </w:r>
          </w:p>
          <w:p w14:paraId="7590D83B">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提供智能化辅助工具，如知识库检索，减少人工咨询成本，提升自主处理问题能力。</w:t>
            </w:r>
          </w:p>
          <w:p w14:paraId="50C44705">
            <w:pPr>
              <w:pStyle w:val="4"/>
              <w:numPr>
                <w:ilvl w:val="1"/>
                <w:numId w:val="0"/>
              </w:numPr>
              <w:rPr>
                <w:rFonts w:hint="eastAsia" w:ascii="仿宋" w:hAnsi="仿宋" w:eastAsia="仿宋" w:cs="仿宋"/>
                <w:sz w:val="21"/>
                <w:szCs w:val="21"/>
              </w:rPr>
            </w:pPr>
            <w:bookmarkStart w:id="65" w:name="_Toc127382340"/>
            <w:bookmarkStart w:id="66" w:name="_Toc7099"/>
            <w:r>
              <w:rPr>
                <w:rFonts w:hint="eastAsia" w:ascii="仿宋" w:hAnsi="仿宋" w:eastAsia="仿宋" w:cs="仿宋"/>
                <w:sz w:val="21"/>
                <w:szCs w:val="21"/>
              </w:rPr>
              <w:t>3.2应用系统功能需求分析</w:t>
            </w:r>
            <w:bookmarkEnd w:id="65"/>
            <w:bookmarkEnd w:id="66"/>
          </w:p>
          <w:p w14:paraId="14E560C3">
            <w:pPr>
              <w:pStyle w:val="5"/>
              <w:numPr>
                <w:ilvl w:val="2"/>
                <w:numId w:val="0"/>
              </w:numPr>
              <w:rPr>
                <w:rFonts w:hint="eastAsia" w:ascii="仿宋" w:hAnsi="仿宋" w:eastAsia="仿宋" w:cs="仿宋"/>
                <w:sz w:val="21"/>
                <w:szCs w:val="21"/>
              </w:rPr>
            </w:pPr>
            <w:bookmarkStart w:id="67" w:name="_Toc26985"/>
            <w:r>
              <w:rPr>
                <w:rFonts w:hint="eastAsia" w:ascii="仿宋" w:hAnsi="仿宋" w:eastAsia="仿宋" w:cs="仿宋"/>
                <w:sz w:val="21"/>
                <w:szCs w:val="21"/>
              </w:rPr>
              <w:t>3.2.1系统迁移</w:t>
            </w:r>
            <w:bookmarkEnd w:id="67"/>
          </w:p>
          <w:p w14:paraId="3EBDD96E">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3.2.1.1应用迁移</w:t>
            </w:r>
          </w:p>
          <w:p w14:paraId="144B1A78">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国家卫生统计直报系统应用迁移需求包含多方面关键内容。在功能完整性上，从数据报送环节来看，要保证全省各级卫生机构通过网络直报方式填报数据的功能稳定且精准，在信创环境下填报流程、界面交互等应与传统环境一致，方便各级卫生机构人员快速上手。数据分析功能方面，系统所提供的丰富工具要能在新环境下对卫生数据进行全方位、深层次的多维度、多角度分析，无论是基础的统计运算，还是复杂的趋势预测、关联分析，得出的结果必须与传统环境下的分析结论高度吻合，为卫生决策提供坚实的数据支撑。用户管理体系在信创环境中要进一步强化，能够对不同用户进行精细的权限分配，从简单的查看、编辑到特定功能的操作权限，都要严格界定；同时，可灵活进行角色设置，适应不同部门、不同职责人员的使用需求，并能详细查询操作记录，全方位保障数据安全，防止数据泄露或被恶意篡改。</w:t>
            </w:r>
          </w:p>
          <w:p w14:paraId="20432857">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性能达标层面，在高并发场景下，例如统计报表集中上报期，大量卫生机构同时进行数据直报操作，系统的响应时间必须严格控制在可接受范围内，确保各级机构人员填报数据后能迅速得到系统反馈，不出现长时间卡顿或等待现象。吞吐量也要满足业务峰值负载，能够同时处理海量的上报数据，保障数据传输顺畅，不会因数据量过大而导致系统崩溃或数据丢失。同时，系统的稳定性需经受住考验，在长时间高负荷运行下，持续保持高效运转，不会出现功能异常、报错等情况，保障卫生统计业务的连续性与可靠性。</w:t>
            </w:r>
          </w:p>
          <w:p w14:paraId="4B6F54AA">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环境适配要求系统与信创环境中的各类国产软硬件深度兼容。对于国产服务器，要充分利用其硬件性能优势，在服务器的多核心运算、内存管理、存储I/O等方面进行优化适配，确保系统运行流畅。与国产操作系统的适配，需解决指令集差异、系统调用接口不同等问题，使系统在各类国产操作系统上均可稳定运行，界面显示正常、功能操作无误。针对国产数据库，要对数据存储结构、查询语法、事务处理等进行全面适配，保障数据存储高效、查询快速准确。在与国产中间件的兼容上，确保系统与中间件的通信稳定、数据交互无误，实现高效的业务逻辑处理与服务调用。</w:t>
            </w:r>
          </w:p>
          <w:p w14:paraId="090FED68">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业务连续性方面，采用分阶段、逐步迁移的策略。先对系统中相对独立、非核心的功能模块，如部分历史数据查询、辅助性的系统设置功能等进行迁移，在信创环境中进行充分测试与验证，确保新环境稳定可靠后，再逐步迁移核心业务功能，如数据报送、关键统计分析模块等。建立完善的回退机制，在迁移过程中实时监控系统运行状态，一旦出现严重影响业务的问题，如系统频繁报错、数据丢失等，能够在极短时间内快速切换回传统环境，最大程度减少对卫生统计业务的影响，保障业务的正常开展。</w:t>
            </w:r>
          </w:p>
          <w:p w14:paraId="4313549F">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合规性要求迁移方案必须严格遵循国家信创战略方针，紧密贴合政务系统安全规范以及卫生行业相关标准。从系统架构设计、技术选型到具体功能实现，都要确保系统的自主可控，核心技术不依赖国外产品与技术，保障国家卫生统计数据的安全。在安全防护方面，要满足等保合规要求，对数据传输、存储、访问等各个环节进行严格的安全管控，采用加密技术防止数据泄露，设置严格的访问权限控制非法访问，通过定期的安全审计确保系统无安全隐患。</w:t>
            </w:r>
          </w:p>
          <w:p w14:paraId="57A2272F">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可维护与监控层面，在信创环境中搭建完善的运维监控体系。部署专业的系统性能监测工具，对系统的CPU使用率、内存占用、磁盘I/O、网络带宽等关键性能指标进行实时监测，一旦指标出现异常波动，如CPU使用率持续过高、内存泄漏等，及时发出告警通知运维人员。安全状态监测方面，通过入侵检测系统、漏洞扫描工具等，实时监控系统是否遭受外部攻击、存在安全漏洞等，做到及时发现、及时处理。提供标准化的运维流程与详细的运维文档，明确系统日常维护的操作步骤、故障排查方法、应急处理流程等，方便运维人员快速上手，保障系统长期稳定运行，并且能够根据业务发展与技术更新，顺利进行后续的维护优化工作。</w:t>
            </w:r>
          </w:p>
          <w:p w14:paraId="02C6249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3.2.1.2数据迁移</w:t>
            </w:r>
          </w:p>
          <w:p w14:paraId="0676B1FD">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数据迁移是系统迁移的核心任务，其目标是在保证数据完整性、准确性和一致性的前提下，将旧系统中的数据安全、高效地迁移到新系统中。而这一过程，离不开对各类需求的深入分析。</w:t>
            </w:r>
          </w:p>
          <w:p w14:paraId="1296F76E">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业务需求决定了数据迁移的范围和优先级。数据库中包含各中类型的业务数据，填报业务数据对于卫生统计业务至关重要，而有些临时分析数据则无关紧要。在数据迁移前，需要与卫生统计部门进行充分沟通，了解他们的业务流程和数据使用需求，明确哪些数据是必须迁移的核心数据需要优先迁移，哪些可以排后。如填报任务的数据，必须确保完整、准确地优先迁移；而一些历史版本的临时数据、测试数据等，如果对当前业务没有实际价值，可以考虑不进行迁移或后期迁移。</w:t>
            </w:r>
          </w:p>
          <w:p w14:paraId="449EEA21">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安全需求是数据迁移过程中的重要因素。数据作为卫生健康行政部门的核心资产，其安全性关系到卫生统计事业发展。在数据迁移过程中，需要采取一系列安全措施，确保数据在传输、存储和处理过程中的安全性。建立数据备份和恢复机制，防止数据在迁移过程中丢失或损坏。</w:t>
            </w:r>
          </w:p>
          <w:p w14:paraId="1F88C0E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3.2.1.3数据验证</w:t>
            </w:r>
          </w:p>
          <w:p w14:paraId="5C5D3608">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数据迁移后的验证旨在确保迁移后的数据在完整性、准确性、一致性、可用性等方面符合系统运行和业务开展要求，避免因数据问题影响国家卫生统计直报系统在信创环境中的正常运作。具体分析如下：</w:t>
            </w:r>
          </w:p>
          <w:p w14:paraId="7EEEC21F">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完整性验证：需确认所有应迁移的数据，包括卫生机构基本信息、统计报表数据、历史存档数据等，均已完整迁移至信创环境。无论是结构化数据还是非结构化数据，均不存在丢失、遗漏，确保数据记录条数、文件数量与迁移前一致。</w:t>
            </w:r>
          </w:p>
          <w:p w14:paraId="289A0AB6">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数据准确性验证：对迁移后的数据内容进行校验，确保数据在迁移过程中未出现数值错误、字符乱码、格式损坏等问题。</w:t>
            </w:r>
          </w:p>
          <w:p w14:paraId="3899ADE0">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数据一致性验证：验证数据在不同模块、不同表之间的逻辑关联是否正确。</w:t>
            </w:r>
          </w:p>
          <w:p w14:paraId="7AB04855">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可用性验证：确保迁移后的数据能被系统各功能模块正常访问、读取和使用。无论是数据查询、统计分析，还是数据上报、发布等功能，均能基于迁移后的数据顺利执行，且响应时间、处理性能符合预期要求。</w:t>
            </w:r>
          </w:p>
          <w:p w14:paraId="57D3DC8A">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安全性验证：检查迁移后的数据安全机制是否有效，包括数据存储加密、访问权限控制、备份恢复功能等。确保敏感数据的安全性，防止数据泄露、非法访问，同时验证数据备份的完整性和可恢复性，保障数据安全可靠。</w:t>
            </w:r>
          </w:p>
          <w:p w14:paraId="75C0771E">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数据兼容性验证：验证迁移后的数据与信创环境中的数据库、应用程序等是否兼容。确保数据格式、数据类型等符合新环境要求，能与新系统无缝对接，不出现因兼容性问题导致的数据无法识别、处理错误等情况。</w:t>
            </w:r>
          </w:p>
          <w:p w14:paraId="73A6A3B2">
            <w:pPr>
              <w:pStyle w:val="5"/>
              <w:numPr>
                <w:ilvl w:val="2"/>
                <w:numId w:val="0"/>
              </w:numPr>
              <w:rPr>
                <w:rFonts w:hint="eastAsia" w:ascii="仿宋" w:hAnsi="仿宋" w:eastAsia="仿宋" w:cs="仿宋"/>
                <w:sz w:val="21"/>
                <w:szCs w:val="21"/>
              </w:rPr>
            </w:pPr>
            <w:bookmarkStart w:id="68" w:name="_Toc16652"/>
            <w:r>
              <w:rPr>
                <w:rFonts w:hint="eastAsia" w:ascii="仿宋" w:hAnsi="仿宋" w:eastAsia="仿宋" w:cs="仿宋"/>
                <w:sz w:val="21"/>
                <w:szCs w:val="21"/>
              </w:rPr>
              <w:t>3.2.2功能模块优化</w:t>
            </w:r>
            <w:bookmarkEnd w:id="68"/>
          </w:p>
          <w:p w14:paraId="5AE2CFC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3.2.2.1数据报送功能</w:t>
            </w:r>
          </w:p>
          <w:p w14:paraId="4A4A300E">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优化数据报送流程，增强数据校验规则，提升报送效率与数据准确性，确保数据及时、完整、规范地上传至系统。</w:t>
            </w:r>
          </w:p>
          <w:p w14:paraId="1B22615B">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3.2.2.2指标管理功能</w:t>
            </w:r>
          </w:p>
          <w:p w14:paraId="10FD927D">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完善指标体系架构，优化指标创建、修改与维护流程，强化指标计算逻辑的灵活性与准确性，实现指标动态调整与统一管理，助力精准把握业务核心指标。</w:t>
            </w:r>
          </w:p>
          <w:p w14:paraId="6AE98240">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3.2.2.3数据查询功能</w:t>
            </w:r>
          </w:p>
          <w:p w14:paraId="1B36BDF9">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优化数据查询功能，优化查询界面交互设计，支持多条件组合查询、模糊查询与快速检索，提升查询响应速度，提供多样化数据展示形式，满足用户个性化查询需求。</w:t>
            </w:r>
          </w:p>
          <w:p w14:paraId="1E22C284">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3.2.2.4数据质控功能</w:t>
            </w:r>
          </w:p>
          <w:p w14:paraId="368CF940">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加强数据质量管控，完善数据质量监测规则与预警机制，通过加强质控规则进行深度校验，及时发现并处理数据异常，保障数据质量的可靠性与一致性。</w:t>
            </w:r>
          </w:p>
          <w:p w14:paraId="5942E80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3.2.2.5资产管理功能</w:t>
            </w:r>
          </w:p>
          <w:p w14:paraId="76CC8EA9">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优化资产管理流程，实现资产全生命周期管理，完善资产使用功能，提升资产信息的可视化与可追溯性，提高资产使用效率与管理水平。</w:t>
            </w:r>
          </w:p>
          <w:p w14:paraId="2089F11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3.2.2.6数据分析功能</w:t>
            </w:r>
          </w:p>
          <w:p w14:paraId="66F2D765">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引入多种算法与模型，拓展分析维度，丰富可视化图表类型，支持深度数据挖掘与趋势预测，助力用户从海量数据中精准提取有价值信息，为业务洞察与决策提供有力支撑。</w:t>
            </w:r>
          </w:p>
          <w:p w14:paraId="0D3E27F1">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3.2.2.7决策支持功能</w:t>
            </w:r>
          </w:p>
          <w:p w14:paraId="248F11C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完善决策支持模块，整合多源数据，构建卫生决策模型，提供动态化、可视化的决策分析报告，为管理层提供科学、精准的决策依据，提升决策效率与质量。</w:t>
            </w:r>
          </w:p>
          <w:p w14:paraId="1FA904B6">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3.2.2.8人力资源管理功能</w:t>
            </w:r>
          </w:p>
          <w:p w14:paraId="32268DA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在卫生人力基本信息调查表指标基础上，增设定制化采集指标；对接第三方系统，对比验证证书编码、培训证等数据，保障填报信息真实准确与第三方系统的一致性。</w:t>
            </w:r>
          </w:p>
          <w:p w14:paraId="0C157A8B">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3.2.2.9知识库检索功能</w:t>
            </w:r>
          </w:p>
          <w:p w14:paraId="2F0ADA6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新增知识库检索功能，覆盖指标解读、操作指导、数据查询三大场景。建立指标解释库，精准解读复杂指标及填报规则；提供交互式操作引导，解决实际流程难题；支持自然语言检索，快速获取卫生健康数据。</w:t>
            </w:r>
          </w:p>
          <w:p w14:paraId="4E6A365A">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3.2.2.10后台管理功能</w:t>
            </w:r>
          </w:p>
          <w:p w14:paraId="5BB401B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管理及数据同步：革新报送模式，由区县管理员维护转变为机构自主维护；优化机构属性指标，新增审核文件附件上传功能，强化机构属性信息验证；实现机构数据实时同步至直报、决策、病案等系统的组织架构，确保数据一致性。</w:t>
            </w:r>
            <w:bookmarkStart w:id="69" w:name="_Hlk128681344"/>
          </w:p>
          <w:bookmarkEnd w:id="69"/>
          <w:p w14:paraId="23B2E6AF">
            <w:pPr>
              <w:pStyle w:val="6"/>
              <w:numPr>
                <w:ilvl w:val="3"/>
                <w:numId w:val="0"/>
              </w:numPr>
              <w:rPr>
                <w:rFonts w:hint="eastAsia" w:ascii="仿宋" w:hAnsi="仿宋" w:eastAsia="仿宋" w:cs="仿宋"/>
                <w:sz w:val="21"/>
                <w:szCs w:val="21"/>
              </w:rPr>
            </w:pPr>
            <w:bookmarkStart w:id="70" w:name="_Toc127382341"/>
            <w:bookmarkStart w:id="71" w:name="_Toc85443537"/>
            <w:bookmarkStart w:id="72" w:name="_Toc86830649"/>
            <w:bookmarkStart w:id="73" w:name="_Toc85443536"/>
            <w:bookmarkStart w:id="74" w:name="_Toc493702793"/>
            <w:bookmarkStart w:id="75" w:name="_Hlk118213021"/>
            <w:bookmarkStart w:id="76" w:name="_Toc86830648"/>
            <w:r>
              <w:rPr>
                <w:rFonts w:hint="eastAsia" w:ascii="仿宋" w:hAnsi="仿宋" w:eastAsia="仿宋" w:cs="仿宋"/>
                <w:sz w:val="21"/>
                <w:szCs w:val="21"/>
              </w:rPr>
              <w:t>3.2.2.11应用软件适配</w:t>
            </w:r>
          </w:p>
          <w:p w14:paraId="21487E33">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信创环境旨在构建自主可控的信息技术体系，应用软件适配是系统迁移关键一环，本期项目需要基于用户、业务、技术三方面需求，以及信创环境特有的合规需求，确保应用软件在新系统环境稳定、高效运行。</w:t>
            </w:r>
          </w:p>
          <w:p w14:paraId="751E2DF6">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从用户需求层面分析，不同用户群体对应用软件功能、操作界面、响应速度等期望不同。基层卫生统计人员关注软件操作便捷性与功能实用性，以提高日常工作效率；区县、地市、省级卫生健康统计部门侧重于软件数据统计与分析功能，便于快速获取决策支持信息。在信创环境系统迁移中，不仅要通过深入调研精准把握用户个性化需求，还要考虑用户对自主可控技术接受度与学习成本。适配时需对软件功能优化调整，重新设计操作界面，使其符合信创系统交互规范，同时提供完善培训与技术支持，确保用户在迁移后获得良好使用体验，减少因系统迁移带来的操作不便和效率降低。</w:t>
            </w:r>
          </w:p>
          <w:p w14:paraId="21D6227E">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业务需求是信创环境下应用软件适配重要依据。卫生统计业务流程不断发展变化，系统迁移为优化业务流程提供契机。在适配时，需全面梳理现有业务流程，分析问题和瓶颈，结合信创系统特点和优势，对应用软件进行功能扩展或重构。</w:t>
            </w:r>
          </w:p>
          <w:p w14:paraId="2EF5F372">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技术需求在信创环境下更为关键。信创系统采用自主研发的芯片、操作系统、数据库等，与传统系统架构差异显著，这要求应用软件在适配过程严格遵循信创技术规范和标准。旧系统基于Windows操作系统，而信创系统采用国产化操作系统，应用软件需进行底层代码适配与性能优化，以适应新系统指令集和运行环境。同时，还要考虑应用软件与信创环境中浏览器等软件的兼容性，确保在数据传输、接口调用等方面顺畅衔接，避免因技术不兼容导致系统故障和运行不稳定。</w:t>
            </w:r>
          </w:p>
          <w:p w14:paraId="2C8934AE">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合规需求是信创环境下应用软件适配的硬性要求。国家和行业对信创产品和服务制定了一系列标准和规范，应用软件适配必须满足这些合规要求，确保系统安全、可控。在适配过程中，需严格对照合规要求进行开发和测试，确保应用软件合规性。</w:t>
            </w:r>
          </w:p>
          <w:p w14:paraId="26B6D001">
            <w:pPr>
              <w:pStyle w:val="5"/>
              <w:numPr>
                <w:ilvl w:val="2"/>
                <w:numId w:val="0"/>
              </w:numPr>
              <w:rPr>
                <w:rFonts w:hint="eastAsia"/>
              </w:rPr>
            </w:pPr>
            <w:bookmarkStart w:id="77" w:name="_Toc21004"/>
            <w:r>
              <w:rPr>
                <w:rFonts w:hint="eastAsia"/>
              </w:rPr>
              <w:t>3.2.3项目功能清单</w:t>
            </w:r>
            <w:bookmarkEnd w:id="77"/>
          </w:p>
          <w:p w14:paraId="4E567334">
            <w:pPr>
              <w:pStyle w:val="14"/>
            </w:pPr>
            <w:r>
              <w:t>表</w:t>
            </w:r>
            <w:r>
              <w:rPr>
                <w:rFonts w:hint="eastAsia"/>
              </w:rPr>
              <w:t xml:space="preserve"> 国家卫生统计直报系统功能对应表</w:t>
            </w:r>
          </w:p>
          <w:tbl>
            <w:tblPr>
              <w:tblStyle w:val="17"/>
              <w:tblW w:w="8364" w:type="dxa"/>
              <w:jc w:val="center"/>
              <w:tblLayout w:type="autofit"/>
              <w:tblCellMar>
                <w:top w:w="0" w:type="dxa"/>
                <w:left w:w="108" w:type="dxa"/>
                <w:bottom w:w="0" w:type="dxa"/>
                <w:right w:w="108" w:type="dxa"/>
              </w:tblCellMar>
            </w:tblPr>
            <w:tblGrid>
              <w:gridCol w:w="876"/>
              <w:gridCol w:w="1813"/>
              <w:gridCol w:w="1785"/>
              <w:gridCol w:w="3041"/>
            </w:tblGrid>
            <w:tr w14:paraId="3A26805A">
              <w:tblPrEx>
                <w:tblCellMar>
                  <w:top w:w="0" w:type="dxa"/>
                  <w:left w:w="108" w:type="dxa"/>
                  <w:bottom w:w="0" w:type="dxa"/>
                  <w:right w:w="108" w:type="dxa"/>
                </w:tblCellMar>
              </w:tblPrEx>
              <w:trPr>
                <w:trHeight w:val="290" w:hRule="atLeast"/>
                <w:tblHeader/>
                <w:jc w:val="center"/>
              </w:trPr>
              <w:tc>
                <w:tcPr>
                  <w:tcW w:w="960" w:type="dxa"/>
                  <w:tcBorders>
                    <w:top w:val="single" w:color="000000" w:sz="12" w:space="0"/>
                    <w:left w:val="single" w:color="000000" w:sz="12" w:space="0"/>
                    <w:bottom w:val="single" w:color="000000" w:sz="4" w:space="0"/>
                    <w:right w:val="single" w:color="000000" w:sz="4" w:space="0"/>
                    <w:tl2br w:val="nil"/>
                  </w:tcBorders>
                  <w:shd w:val="clear" w:color="auto" w:fill="FFFFFF"/>
                  <w:noWrap/>
                  <w:vAlign w:val="center"/>
                </w:tcPr>
                <w:p w14:paraId="658E7E9C">
                  <w:pPr>
                    <w:jc w:val="center"/>
                    <w:rPr>
                      <w:rFonts w:hint="eastAsia" w:ascii="仿宋" w:hAnsi="仿宋" w:eastAsia="仿宋" w:cs="仿宋"/>
                      <w:b/>
                      <w:bCs/>
                      <w:szCs w:val="21"/>
                    </w:rPr>
                  </w:pPr>
                  <w:r>
                    <w:rPr>
                      <w:rFonts w:hint="eastAsia" w:ascii="仿宋" w:hAnsi="仿宋" w:eastAsia="仿宋" w:cs="仿宋"/>
                      <w:b/>
                      <w:bCs/>
                      <w:szCs w:val="21"/>
                    </w:rPr>
                    <w:t>序号</w:t>
                  </w:r>
                </w:p>
              </w:tc>
              <w:tc>
                <w:tcPr>
                  <w:tcW w:w="2017"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269C1604">
                  <w:pPr>
                    <w:jc w:val="center"/>
                    <w:rPr>
                      <w:rFonts w:hint="eastAsia" w:ascii="仿宋" w:hAnsi="仿宋" w:eastAsia="仿宋" w:cs="仿宋"/>
                      <w:b/>
                      <w:bCs/>
                      <w:szCs w:val="21"/>
                    </w:rPr>
                  </w:pPr>
                  <w:r>
                    <w:rPr>
                      <w:rFonts w:hint="eastAsia" w:ascii="仿宋" w:hAnsi="仿宋" w:eastAsia="仿宋" w:cs="仿宋"/>
                      <w:b/>
                      <w:bCs/>
                      <w:szCs w:val="21"/>
                    </w:rPr>
                    <w:t>系统优化内容</w:t>
                  </w:r>
                </w:p>
              </w:tc>
              <w:tc>
                <w:tcPr>
                  <w:tcW w:w="1985" w:type="dxa"/>
                  <w:tcBorders>
                    <w:top w:val="single" w:color="000000" w:sz="12" w:space="0"/>
                    <w:left w:val="single" w:color="000000" w:sz="4" w:space="0"/>
                    <w:bottom w:val="single" w:color="000000" w:sz="4" w:space="0"/>
                    <w:right w:val="single" w:color="000000" w:sz="4" w:space="0"/>
                  </w:tcBorders>
                  <w:shd w:val="clear" w:color="auto" w:fill="FFFFFF"/>
                  <w:noWrap/>
                  <w:vAlign w:val="center"/>
                </w:tcPr>
                <w:p w14:paraId="4D056E25">
                  <w:pPr>
                    <w:jc w:val="center"/>
                    <w:rPr>
                      <w:rFonts w:hint="eastAsia" w:ascii="仿宋" w:hAnsi="仿宋" w:eastAsia="仿宋" w:cs="仿宋"/>
                      <w:b/>
                      <w:bCs/>
                      <w:szCs w:val="21"/>
                    </w:rPr>
                  </w:pPr>
                  <w:r>
                    <w:rPr>
                      <w:rFonts w:hint="eastAsia" w:ascii="仿宋" w:hAnsi="仿宋" w:eastAsia="仿宋" w:cs="仿宋"/>
                      <w:b/>
                      <w:bCs/>
                      <w:szCs w:val="21"/>
                    </w:rPr>
                    <w:t>功能模块</w:t>
                  </w:r>
                </w:p>
              </w:tc>
              <w:tc>
                <w:tcPr>
                  <w:tcW w:w="3402" w:type="dxa"/>
                  <w:tcBorders>
                    <w:top w:val="single" w:color="000000" w:sz="12" w:space="0"/>
                    <w:left w:val="single" w:color="000000" w:sz="4" w:space="0"/>
                    <w:bottom w:val="single" w:color="000000" w:sz="4" w:space="0"/>
                    <w:right w:val="single" w:color="000000" w:sz="12" w:space="0"/>
                  </w:tcBorders>
                  <w:shd w:val="clear" w:color="auto" w:fill="FFFFFF"/>
                  <w:noWrap/>
                  <w:vAlign w:val="center"/>
                </w:tcPr>
                <w:p w14:paraId="645F6159">
                  <w:pPr>
                    <w:jc w:val="center"/>
                    <w:rPr>
                      <w:rFonts w:hint="eastAsia" w:ascii="仿宋" w:hAnsi="仿宋" w:eastAsia="仿宋" w:cs="仿宋"/>
                      <w:b/>
                      <w:bCs/>
                      <w:szCs w:val="21"/>
                    </w:rPr>
                  </w:pPr>
                  <w:r>
                    <w:rPr>
                      <w:rFonts w:hint="eastAsia" w:ascii="仿宋" w:hAnsi="仿宋" w:eastAsia="仿宋" w:cs="仿宋"/>
                      <w:b/>
                      <w:bCs/>
                      <w:szCs w:val="21"/>
                    </w:rPr>
                    <w:t>对应功能点</w:t>
                  </w:r>
                </w:p>
              </w:tc>
            </w:tr>
            <w:tr w14:paraId="1F8F888D">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216E18C">
                  <w:pPr>
                    <w:jc w:val="center"/>
                    <w:rPr>
                      <w:rFonts w:hint="eastAsia" w:ascii="仿宋" w:hAnsi="仿宋" w:eastAsia="仿宋" w:cs="仿宋"/>
                      <w:szCs w:val="21"/>
                    </w:rPr>
                  </w:pPr>
                  <w:r>
                    <w:rPr>
                      <w:rFonts w:hint="eastAsia" w:ascii="仿宋" w:hAnsi="仿宋" w:eastAsia="仿宋" w:cs="仿宋"/>
                      <w:szCs w:val="21"/>
                    </w:rPr>
                    <w:t>1</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D7A46D">
                  <w:pPr>
                    <w:rPr>
                      <w:rFonts w:hint="eastAsia" w:ascii="仿宋" w:hAnsi="仿宋" w:eastAsia="仿宋" w:cs="仿宋"/>
                      <w:szCs w:val="21"/>
                    </w:rPr>
                  </w:pPr>
                  <w:r>
                    <w:rPr>
                      <w:rFonts w:hint="eastAsia" w:ascii="仿宋" w:hAnsi="仿宋" w:eastAsia="仿宋" w:cs="仿宋"/>
                      <w:szCs w:val="21"/>
                    </w:rPr>
                    <w:t>系统迁移</w:t>
                  </w: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BF171">
                  <w:pPr>
                    <w:rPr>
                      <w:rFonts w:hint="eastAsia" w:ascii="仿宋" w:hAnsi="仿宋" w:eastAsia="仿宋" w:cs="仿宋"/>
                      <w:szCs w:val="21"/>
                    </w:rPr>
                  </w:pPr>
                  <w:r>
                    <w:rPr>
                      <w:rFonts w:hint="eastAsia" w:ascii="仿宋" w:hAnsi="仿宋" w:eastAsia="仿宋" w:cs="仿宋"/>
                      <w:szCs w:val="21"/>
                    </w:rPr>
                    <w:t>系统迁移</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BFA6208">
                  <w:pPr>
                    <w:rPr>
                      <w:rFonts w:hint="eastAsia" w:ascii="仿宋" w:hAnsi="仿宋" w:eastAsia="仿宋" w:cs="仿宋"/>
                      <w:szCs w:val="21"/>
                    </w:rPr>
                  </w:pPr>
                  <w:r>
                    <w:rPr>
                      <w:rFonts w:hint="eastAsia" w:ascii="仿宋" w:hAnsi="仿宋" w:eastAsia="仿宋" w:cs="仿宋"/>
                      <w:szCs w:val="21"/>
                    </w:rPr>
                    <w:t>数据迁移执行</w:t>
                  </w:r>
                </w:p>
              </w:tc>
            </w:tr>
            <w:tr w14:paraId="6FA44488">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076532D">
                  <w:pPr>
                    <w:jc w:val="center"/>
                    <w:rPr>
                      <w:rFonts w:hint="eastAsia" w:ascii="仿宋" w:hAnsi="仿宋" w:eastAsia="仿宋" w:cs="仿宋"/>
                      <w:szCs w:val="21"/>
                    </w:rPr>
                  </w:pPr>
                  <w:r>
                    <w:rPr>
                      <w:rFonts w:hint="eastAsia" w:ascii="仿宋" w:hAnsi="仿宋" w:eastAsia="仿宋" w:cs="仿宋"/>
                      <w:szCs w:val="21"/>
                    </w:rPr>
                    <w:t>2</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61C9E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B739D">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0DF3FED">
                  <w:pPr>
                    <w:rPr>
                      <w:rFonts w:hint="eastAsia" w:ascii="仿宋" w:hAnsi="仿宋" w:eastAsia="仿宋" w:cs="仿宋"/>
                      <w:szCs w:val="21"/>
                    </w:rPr>
                  </w:pPr>
                  <w:r>
                    <w:rPr>
                      <w:rFonts w:hint="eastAsia" w:ascii="仿宋" w:hAnsi="仿宋" w:eastAsia="仿宋" w:cs="仿宋"/>
                      <w:szCs w:val="21"/>
                    </w:rPr>
                    <w:t>校验与验证</w:t>
                  </w:r>
                </w:p>
              </w:tc>
            </w:tr>
            <w:tr w14:paraId="05017F1C">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BE602A8">
                  <w:pPr>
                    <w:jc w:val="center"/>
                    <w:rPr>
                      <w:rFonts w:hint="eastAsia" w:ascii="仿宋" w:hAnsi="仿宋" w:eastAsia="仿宋" w:cs="仿宋"/>
                      <w:szCs w:val="21"/>
                    </w:rPr>
                  </w:pPr>
                  <w:r>
                    <w:rPr>
                      <w:rFonts w:hint="eastAsia" w:ascii="仿宋" w:hAnsi="仿宋" w:eastAsia="仿宋" w:cs="仿宋"/>
                      <w:szCs w:val="21"/>
                    </w:rPr>
                    <w:t>3</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09437">
                  <w:pPr>
                    <w:rPr>
                      <w:rFonts w:hint="eastAsia" w:ascii="仿宋" w:hAnsi="仿宋" w:eastAsia="仿宋" w:cs="仿宋"/>
                      <w:szCs w:val="21"/>
                    </w:rPr>
                  </w:pPr>
                  <w:r>
                    <w:rPr>
                      <w:rFonts w:hint="eastAsia" w:ascii="仿宋" w:hAnsi="仿宋" w:eastAsia="仿宋" w:cs="仿宋"/>
                      <w:szCs w:val="21"/>
                    </w:rPr>
                    <w:t>功能模块优化</w:t>
                  </w: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2C9C3">
                  <w:pPr>
                    <w:rPr>
                      <w:rFonts w:hint="eastAsia" w:ascii="仿宋" w:hAnsi="仿宋" w:eastAsia="仿宋" w:cs="仿宋"/>
                      <w:szCs w:val="21"/>
                    </w:rPr>
                  </w:pPr>
                  <w:r>
                    <w:rPr>
                      <w:rFonts w:hint="eastAsia" w:ascii="仿宋" w:hAnsi="仿宋" w:eastAsia="仿宋" w:cs="仿宋"/>
                      <w:szCs w:val="21"/>
                    </w:rPr>
                    <w:t>数据报送功能建设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C431822">
                  <w:pPr>
                    <w:rPr>
                      <w:rFonts w:hint="eastAsia" w:ascii="仿宋" w:hAnsi="仿宋" w:eastAsia="仿宋" w:cs="仿宋"/>
                      <w:szCs w:val="21"/>
                    </w:rPr>
                  </w:pPr>
                  <w:r>
                    <w:rPr>
                      <w:rFonts w:hint="eastAsia" w:ascii="仿宋" w:hAnsi="仿宋" w:eastAsia="仿宋" w:cs="仿宋"/>
                      <w:szCs w:val="21"/>
                    </w:rPr>
                    <w:t>数据采集</w:t>
                  </w:r>
                </w:p>
              </w:tc>
            </w:tr>
            <w:tr w14:paraId="3980392A">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57615D6">
                  <w:pPr>
                    <w:jc w:val="center"/>
                    <w:rPr>
                      <w:rFonts w:hint="eastAsia" w:ascii="仿宋" w:hAnsi="仿宋" w:eastAsia="仿宋" w:cs="仿宋"/>
                      <w:szCs w:val="21"/>
                    </w:rPr>
                  </w:pPr>
                  <w:r>
                    <w:rPr>
                      <w:rFonts w:hint="eastAsia" w:ascii="仿宋" w:hAnsi="仿宋" w:eastAsia="仿宋" w:cs="仿宋"/>
                      <w:szCs w:val="21"/>
                    </w:rPr>
                    <w:t>4</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30833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26B1F7">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5863A87">
                  <w:pPr>
                    <w:rPr>
                      <w:rFonts w:hint="eastAsia" w:ascii="仿宋" w:hAnsi="仿宋" w:eastAsia="仿宋" w:cs="仿宋"/>
                      <w:szCs w:val="21"/>
                    </w:rPr>
                  </w:pPr>
                  <w:r>
                    <w:rPr>
                      <w:rFonts w:hint="eastAsia" w:ascii="仿宋" w:hAnsi="仿宋" w:eastAsia="仿宋" w:cs="仿宋"/>
                      <w:szCs w:val="21"/>
                    </w:rPr>
                    <w:t>数据审核</w:t>
                  </w:r>
                </w:p>
              </w:tc>
            </w:tr>
            <w:tr w14:paraId="0D4288C6">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71DDE4C">
                  <w:pPr>
                    <w:jc w:val="center"/>
                    <w:rPr>
                      <w:rFonts w:hint="eastAsia" w:ascii="仿宋" w:hAnsi="仿宋" w:eastAsia="仿宋" w:cs="仿宋"/>
                      <w:szCs w:val="21"/>
                    </w:rPr>
                  </w:pPr>
                  <w:r>
                    <w:rPr>
                      <w:rFonts w:hint="eastAsia" w:ascii="仿宋" w:hAnsi="仿宋" w:eastAsia="仿宋" w:cs="仿宋"/>
                      <w:szCs w:val="21"/>
                    </w:rPr>
                    <w:t>5</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5BB84">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576961">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3729171">
                  <w:pPr>
                    <w:rPr>
                      <w:rFonts w:hint="eastAsia" w:ascii="仿宋" w:hAnsi="仿宋" w:eastAsia="仿宋" w:cs="仿宋"/>
                      <w:szCs w:val="21"/>
                    </w:rPr>
                  </w:pPr>
                  <w:r>
                    <w:rPr>
                      <w:rFonts w:hint="eastAsia" w:ascii="仿宋" w:hAnsi="仿宋" w:eastAsia="仿宋" w:cs="仿宋"/>
                      <w:szCs w:val="21"/>
                    </w:rPr>
                    <w:t>数据审批</w:t>
                  </w:r>
                </w:p>
              </w:tc>
            </w:tr>
            <w:tr w14:paraId="42B93CE0">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C85DCFC">
                  <w:pPr>
                    <w:jc w:val="center"/>
                    <w:rPr>
                      <w:rFonts w:hint="eastAsia" w:ascii="仿宋" w:hAnsi="仿宋" w:eastAsia="仿宋" w:cs="仿宋"/>
                      <w:szCs w:val="21"/>
                    </w:rPr>
                  </w:pPr>
                  <w:r>
                    <w:rPr>
                      <w:rFonts w:hint="eastAsia" w:ascii="仿宋" w:hAnsi="仿宋" w:eastAsia="仿宋" w:cs="仿宋"/>
                      <w:szCs w:val="21"/>
                    </w:rPr>
                    <w:t>6</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7B8D35">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5060B">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9259B07">
                  <w:pPr>
                    <w:rPr>
                      <w:rFonts w:hint="eastAsia" w:ascii="仿宋" w:hAnsi="仿宋" w:eastAsia="仿宋" w:cs="仿宋"/>
                      <w:szCs w:val="21"/>
                    </w:rPr>
                  </w:pPr>
                  <w:r>
                    <w:rPr>
                      <w:rFonts w:hint="eastAsia" w:ascii="仿宋" w:hAnsi="仿宋" w:eastAsia="仿宋" w:cs="仿宋"/>
                      <w:szCs w:val="21"/>
                    </w:rPr>
                    <w:t>数据上报</w:t>
                  </w:r>
                </w:p>
              </w:tc>
            </w:tr>
            <w:tr w14:paraId="18947B61">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7613557">
                  <w:pPr>
                    <w:jc w:val="center"/>
                    <w:rPr>
                      <w:rFonts w:hint="eastAsia" w:ascii="仿宋" w:hAnsi="仿宋" w:eastAsia="仿宋" w:cs="仿宋"/>
                      <w:szCs w:val="21"/>
                    </w:rPr>
                  </w:pPr>
                  <w:r>
                    <w:rPr>
                      <w:rFonts w:hint="eastAsia" w:ascii="仿宋" w:hAnsi="仿宋" w:eastAsia="仿宋" w:cs="仿宋"/>
                      <w:szCs w:val="21"/>
                    </w:rPr>
                    <w:t>7</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482DE3">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52ACB">
                  <w:pPr>
                    <w:rPr>
                      <w:rFonts w:hint="eastAsia" w:ascii="仿宋" w:hAnsi="仿宋" w:eastAsia="仿宋" w:cs="仿宋"/>
                      <w:szCs w:val="21"/>
                    </w:rPr>
                  </w:pPr>
                  <w:r>
                    <w:rPr>
                      <w:rFonts w:hint="eastAsia" w:ascii="仿宋" w:hAnsi="仿宋" w:eastAsia="仿宋" w:cs="仿宋"/>
                      <w:szCs w:val="21"/>
                    </w:rPr>
                    <w:t>指标管理功能建设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217729B">
                  <w:pPr>
                    <w:rPr>
                      <w:rFonts w:hint="eastAsia" w:ascii="仿宋" w:hAnsi="仿宋" w:eastAsia="仿宋" w:cs="仿宋"/>
                      <w:szCs w:val="21"/>
                    </w:rPr>
                  </w:pPr>
                  <w:r>
                    <w:rPr>
                      <w:rFonts w:hint="eastAsia" w:ascii="仿宋" w:hAnsi="仿宋" w:eastAsia="仿宋" w:cs="仿宋"/>
                      <w:szCs w:val="21"/>
                    </w:rPr>
                    <w:t>指标体系构建</w:t>
                  </w:r>
                </w:p>
              </w:tc>
            </w:tr>
            <w:tr w14:paraId="1884FAA6">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34DEE44">
                  <w:pPr>
                    <w:jc w:val="center"/>
                    <w:rPr>
                      <w:rFonts w:hint="eastAsia" w:ascii="仿宋" w:hAnsi="仿宋" w:eastAsia="仿宋" w:cs="仿宋"/>
                      <w:szCs w:val="21"/>
                    </w:rPr>
                  </w:pPr>
                  <w:r>
                    <w:rPr>
                      <w:rFonts w:hint="eastAsia" w:ascii="仿宋" w:hAnsi="仿宋" w:eastAsia="仿宋" w:cs="仿宋"/>
                      <w:szCs w:val="21"/>
                    </w:rPr>
                    <w:t>8</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BA58C2">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EBCAD8">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2D17511">
                  <w:pPr>
                    <w:rPr>
                      <w:rFonts w:hint="eastAsia" w:ascii="仿宋" w:hAnsi="仿宋" w:eastAsia="仿宋" w:cs="仿宋"/>
                      <w:szCs w:val="21"/>
                    </w:rPr>
                  </w:pPr>
                  <w:r>
                    <w:rPr>
                      <w:rFonts w:hint="eastAsia" w:ascii="仿宋" w:hAnsi="仿宋" w:eastAsia="仿宋" w:cs="仿宋"/>
                      <w:szCs w:val="21"/>
                    </w:rPr>
                    <w:t>指标体系固化</w:t>
                  </w:r>
                </w:p>
              </w:tc>
            </w:tr>
            <w:tr w14:paraId="4B6D48B2">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090743E">
                  <w:pPr>
                    <w:jc w:val="center"/>
                    <w:rPr>
                      <w:rFonts w:hint="eastAsia" w:ascii="仿宋" w:hAnsi="仿宋" w:eastAsia="仿宋" w:cs="仿宋"/>
                      <w:szCs w:val="21"/>
                    </w:rPr>
                  </w:pPr>
                  <w:r>
                    <w:rPr>
                      <w:rFonts w:hint="eastAsia" w:ascii="仿宋" w:hAnsi="仿宋" w:eastAsia="仿宋" w:cs="仿宋"/>
                      <w:szCs w:val="21"/>
                    </w:rPr>
                    <w:t>9</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8425F">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6F3CE">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8E3EFA5">
                  <w:pPr>
                    <w:rPr>
                      <w:rFonts w:hint="eastAsia" w:ascii="仿宋" w:hAnsi="仿宋" w:eastAsia="仿宋" w:cs="仿宋"/>
                      <w:szCs w:val="21"/>
                    </w:rPr>
                  </w:pPr>
                  <w:r>
                    <w:rPr>
                      <w:rFonts w:hint="eastAsia" w:ascii="仿宋" w:hAnsi="仿宋" w:eastAsia="仿宋" w:cs="仿宋"/>
                      <w:szCs w:val="21"/>
                    </w:rPr>
                    <w:t>指标数据分析</w:t>
                  </w:r>
                </w:p>
              </w:tc>
            </w:tr>
            <w:tr w14:paraId="62561545">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A8ABC41">
                  <w:pPr>
                    <w:jc w:val="center"/>
                    <w:rPr>
                      <w:rFonts w:hint="eastAsia" w:ascii="仿宋" w:hAnsi="仿宋" w:eastAsia="仿宋" w:cs="仿宋"/>
                      <w:szCs w:val="21"/>
                    </w:rPr>
                  </w:pPr>
                  <w:r>
                    <w:rPr>
                      <w:rFonts w:hint="eastAsia" w:ascii="仿宋" w:hAnsi="仿宋" w:eastAsia="仿宋" w:cs="仿宋"/>
                      <w:szCs w:val="21"/>
                    </w:rPr>
                    <w:t>10</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64D4D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62407">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7E11E5A">
                  <w:pPr>
                    <w:rPr>
                      <w:rFonts w:hint="eastAsia" w:ascii="仿宋" w:hAnsi="仿宋" w:eastAsia="仿宋" w:cs="仿宋"/>
                      <w:szCs w:val="21"/>
                    </w:rPr>
                  </w:pPr>
                  <w:r>
                    <w:rPr>
                      <w:rFonts w:hint="eastAsia" w:ascii="仿宋" w:hAnsi="仿宋" w:eastAsia="仿宋" w:cs="仿宋"/>
                      <w:szCs w:val="21"/>
                    </w:rPr>
                    <w:t>指标全生命周期管理</w:t>
                  </w:r>
                </w:p>
              </w:tc>
            </w:tr>
            <w:tr w14:paraId="7873A8DC">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B7AE936">
                  <w:pPr>
                    <w:jc w:val="center"/>
                    <w:rPr>
                      <w:rFonts w:hint="eastAsia" w:ascii="仿宋" w:hAnsi="仿宋" w:eastAsia="仿宋" w:cs="仿宋"/>
                      <w:szCs w:val="21"/>
                    </w:rPr>
                  </w:pPr>
                  <w:r>
                    <w:rPr>
                      <w:rFonts w:hint="eastAsia" w:ascii="仿宋" w:hAnsi="仿宋" w:eastAsia="仿宋" w:cs="仿宋"/>
                      <w:szCs w:val="21"/>
                    </w:rPr>
                    <w:t>11</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17ABB">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E4807">
                  <w:pPr>
                    <w:rPr>
                      <w:rFonts w:hint="eastAsia" w:ascii="仿宋" w:hAnsi="仿宋" w:eastAsia="仿宋" w:cs="仿宋"/>
                      <w:szCs w:val="21"/>
                    </w:rPr>
                  </w:pPr>
                  <w:r>
                    <w:rPr>
                      <w:rFonts w:hint="eastAsia" w:ascii="仿宋" w:hAnsi="仿宋" w:eastAsia="仿宋" w:cs="仿宋"/>
                      <w:szCs w:val="21"/>
                    </w:rPr>
                    <w:t>数据查询功能建设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77E0431">
                  <w:pPr>
                    <w:rPr>
                      <w:rFonts w:hint="eastAsia" w:ascii="仿宋" w:hAnsi="仿宋" w:eastAsia="仿宋" w:cs="仿宋"/>
                      <w:szCs w:val="21"/>
                    </w:rPr>
                  </w:pPr>
                  <w:r>
                    <w:rPr>
                      <w:rFonts w:hint="eastAsia" w:ascii="仿宋" w:hAnsi="仿宋" w:eastAsia="仿宋" w:cs="仿宋"/>
                      <w:szCs w:val="21"/>
                    </w:rPr>
                    <w:t>查询维度建设</w:t>
                  </w:r>
                </w:p>
              </w:tc>
            </w:tr>
            <w:tr w14:paraId="34024B03">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821F0B1">
                  <w:pPr>
                    <w:jc w:val="center"/>
                    <w:rPr>
                      <w:rFonts w:hint="eastAsia" w:ascii="仿宋" w:hAnsi="仿宋" w:eastAsia="仿宋" w:cs="仿宋"/>
                      <w:szCs w:val="21"/>
                    </w:rPr>
                  </w:pPr>
                  <w:r>
                    <w:rPr>
                      <w:rFonts w:hint="eastAsia" w:ascii="仿宋" w:hAnsi="仿宋" w:eastAsia="仿宋" w:cs="仿宋"/>
                      <w:szCs w:val="21"/>
                    </w:rPr>
                    <w:t>12</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1B7804">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D7F064">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02E1C58">
                  <w:pPr>
                    <w:rPr>
                      <w:rFonts w:hint="eastAsia" w:ascii="仿宋" w:hAnsi="仿宋" w:eastAsia="仿宋" w:cs="仿宋"/>
                      <w:szCs w:val="21"/>
                    </w:rPr>
                  </w:pPr>
                  <w:r>
                    <w:rPr>
                      <w:rFonts w:hint="eastAsia" w:ascii="仿宋" w:hAnsi="仿宋" w:eastAsia="仿宋" w:cs="仿宋"/>
                      <w:szCs w:val="21"/>
                    </w:rPr>
                    <w:t>数据汇总计算</w:t>
                  </w:r>
                </w:p>
              </w:tc>
            </w:tr>
            <w:tr w14:paraId="5AEB6EE7">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704936C">
                  <w:pPr>
                    <w:jc w:val="center"/>
                    <w:rPr>
                      <w:rFonts w:hint="eastAsia" w:ascii="仿宋" w:hAnsi="仿宋" w:eastAsia="仿宋" w:cs="仿宋"/>
                      <w:szCs w:val="21"/>
                    </w:rPr>
                  </w:pPr>
                  <w:r>
                    <w:rPr>
                      <w:rFonts w:hint="eastAsia" w:ascii="仿宋" w:hAnsi="仿宋" w:eastAsia="仿宋" w:cs="仿宋"/>
                      <w:szCs w:val="21"/>
                    </w:rPr>
                    <w:t>13</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86E33">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C87DCF">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D8F3B86">
                  <w:pPr>
                    <w:rPr>
                      <w:rFonts w:hint="eastAsia" w:ascii="仿宋" w:hAnsi="仿宋" w:eastAsia="仿宋" w:cs="仿宋"/>
                      <w:szCs w:val="21"/>
                    </w:rPr>
                  </w:pPr>
                  <w:r>
                    <w:rPr>
                      <w:rFonts w:hint="eastAsia" w:ascii="仿宋" w:hAnsi="仿宋" w:eastAsia="仿宋" w:cs="仿宋"/>
                      <w:szCs w:val="21"/>
                    </w:rPr>
                    <w:t>数据分类查询</w:t>
                  </w:r>
                </w:p>
              </w:tc>
            </w:tr>
            <w:tr w14:paraId="5401D76D">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50A6AFD">
                  <w:pPr>
                    <w:jc w:val="center"/>
                    <w:rPr>
                      <w:rFonts w:hint="eastAsia" w:ascii="仿宋" w:hAnsi="仿宋" w:eastAsia="仿宋" w:cs="仿宋"/>
                      <w:szCs w:val="21"/>
                    </w:rPr>
                  </w:pPr>
                  <w:r>
                    <w:rPr>
                      <w:rFonts w:hint="eastAsia" w:ascii="仿宋" w:hAnsi="仿宋" w:eastAsia="仿宋" w:cs="仿宋"/>
                      <w:szCs w:val="21"/>
                    </w:rPr>
                    <w:t>14</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B721EF">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DA63D">
                  <w:pPr>
                    <w:rPr>
                      <w:rFonts w:hint="eastAsia" w:ascii="仿宋" w:hAnsi="仿宋" w:eastAsia="仿宋" w:cs="仿宋"/>
                      <w:szCs w:val="21"/>
                    </w:rPr>
                  </w:pPr>
                  <w:r>
                    <w:rPr>
                      <w:rFonts w:hint="eastAsia" w:ascii="仿宋" w:hAnsi="仿宋" w:eastAsia="仿宋" w:cs="仿宋"/>
                      <w:szCs w:val="21"/>
                    </w:rPr>
                    <w:t>数据质控功能建设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9FF58E2">
                  <w:pPr>
                    <w:rPr>
                      <w:rFonts w:hint="eastAsia" w:ascii="仿宋" w:hAnsi="仿宋" w:eastAsia="仿宋" w:cs="仿宋"/>
                      <w:szCs w:val="21"/>
                    </w:rPr>
                  </w:pPr>
                  <w:r>
                    <w:rPr>
                      <w:rFonts w:hint="eastAsia" w:ascii="仿宋" w:hAnsi="仿宋" w:eastAsia="仿宋" w:cs="仿宋"/>
                      <w:szCs w:val="21"/>
                    </w:rPr>
                    <w:t>质控规则梳理</w:t>
                  </w:r>
                </w:p>
              </w:tc>
            </w:tr>
            <w:tr w14:paraId="3EB43D8D">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5B25E37">
                  <w:pPr>
                    <w:jc w:val="center"/>
                    <w:rPr>
                      <w:rFonts w:hint="eastAsia" w:ascii="仿宋" w:hAnsi="仿宋" w:eastAsia="仿宋" w:cs="仿宋"/>
                      <w:szCs w:val="21"/>
                    </w:rPr>
                  </w:pPr>
                  <w:r>
                    <w:rPr>
                      <w:rFonts w:hint="eastAsia" w:ascii="仿宋" w:hAnsi="仿宋" w:eastAsia="仿宋" w:cs="仿宋"/>
                      <w:szCs w:val="21"/>
                    </w:rPr>
                    <w:t>15</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D55A39">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F2E1F2">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DD2E552">
                  <w:pPr>
                    <w:rPr>
                      <w:rFonts w:hint="eastAsia" w:ascii="仿宋" w:hAnsi="仿宋" w:eastAsia="仿宋" w:cs="仿宋"/>
                      <w:szCs w:val="21"/>
                    </w:rPr>
                  </w:pPr>
                  <w:r>
                    <w:rPr>
                      <w:rFonts w:hint="eastAsia" w:ascii="仿宋" w:hAnsi="仿宋" w:eastAsia="仿宋" w:cs="仿宋"/>
                      <w:szCs w:val="21"/>
                    </w:rPr>
                    <w:t>质控体系搭建</w:t>
                  </w:r>
                </w:p>
              </w:tc>
            </w:tr>
            <w:tr w14:paraId="23DA0AE0">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3AA1DFF">
                  <w:pPr>
                    <w:jc w:val="center"/>
                    <w:rPr>
                      <w:rFonts w:hint="eastAsia" w:ascii="仿宋" w:hAnsi="仿宋" w:eastAsia="仿宋" w:cs="仿宋"/>
                      <w:szCs w:val="21"/>
                    </w:rPr>
                  </w:pPr>
                  <w:r>
                    <w:rPr>
                      <w:rFonts w:hint="eastAsia" w:ascii="仿宋" w:hAnsi="仿宋" w:eastAsia="仿宋" w:cs="仿宋"/>
                      <w:szCs w:val="21"/>
                    </w:rPr>
                    <w:t>16</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4D75F6">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B32C4B">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2B70F7D">
                  <w:pPr>
                    <w:rPr>
                      <w:rFonts w:hint="eastAsia" w:ascii="仿宋" w:hAnsi="仿宋" w:eastAsia="仿宋" w:cs="仿宋"/>
                      <w:szCs w:val="21"/>
                    </w:rPr>
                  </w:pPr>
                  <w:r>
                    <w:rPr>
                      <w:rFonts w:hint="eastAsia" w:ascii="仿宋" w:hAnsi="仿宋" w:eastAsia="仿宋" w:cs="仿宋"/>
                      <w:szCs w:val="21"/>
                    </w:rPr>
                    <w:t>质控规则定义</w:t>
                  </w:r>
                </w:p>
              </w:tc>
            </w:tr>
            <w:tr w14:paraId="6DC29DD9">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EDFEC64">
                  <w:pPr>
                    <w:jc w:val="center"/>
                    <w:rPr>
                      <w:rFonts w:hint="eastAsia" w:ascii="仿宋" w:hAnsi="仿宋" w:eastAsia="仿宋" w:cs="仿宋"/>
                      <w:szCs w:val="21"/>
                    </w:rPr>
                  </w:pPr>
                  <w:r>
                    <w:rPr>
                      <w:rFonts w:hint="eastAsia" w:ascii="仿宋" w:hAnsi="仿宋" w:eastAsia="仿宋" w:cs="仿宋"/>
                      <w:szCs w:val="21"/>
                    </w:rPr>
                    <w:t>17</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7CC14B">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105BF3">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EA43CF0">
                  <w:pPr>
                    <w:rPr>
                      <w:rFonts w:hint="eastAsia" w:ascii="仿宋" w:hAnsi="仿宋" w:eastAsia="仿宋" w:cs="仿宋"/>
                      <w:szCs w:val="21"/>
                    </w:rPr>
                  </w:pPr>
                  <w:r>
                    <w:rPr>
                      <w:rFonts w:hint="eastAsia" w:ascii="仿宋" w:hAnsi="仿宋" w:eastAsia="仿宋" w:cs="仿宋"/>
                      <w:szCs w:val="21"/>
                    </w:rPr>
                    <w:t>质控规则配置</w:t>
                  </w:r>
                </w:p>
              </w:tc>
            </w:tr>
            <w:tr w14:paraId="074BA8AA">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E2E85CA">
                  <w:pPr>
                    <w:jc w:val="center"/>
                    <w:rPr>
                      <w:rFonts w:hint="eastAsia" w:ascii="仿宋" w:hAnsi="仿宋" w:eastAsia="仿宋" w:cs="仿宋"/>
                      <w:szCs w:val="21"/>
                    </w:rPr>
                  </w:pPr>
                  <w:r>
                    <w:rPr>
                      <w:rFonts w:hint="eastAsia" w:ascii="仿宋" w:hAnsi="仿宋" w:eastAsia="仿宋" w:cs="仿宋"/>
                      <w:szCs w:val="21"/>
                    </w:rPr>
                    <w:t>18</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CF8F3E">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B716D6">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0CF3FD5E">
                  <w:pPr>
                    <w:rPr>
                      <w:rFonts w:hint="eastAsia" w:ascii="仿宋" w:hAnsi="仿宋" w:eastAsia="仿宋" w:cs="仿宋"/>
                      <w:szCs w:val="21"/>
                    </w:rPr>
                  </w:pPr>
                  <w:r>
                    <w:rPr>
                      <w:rFonts w:hint="eastAsia" w:ascii="仿宋" w:hAnsi="仿宋" w:eastAsia="仿宋" w:cs="仿宋"/>
                      <w:szCs w:val="21"/>
                    </w:rPr>
                    <w:t>质控方案管理</w:t>
                  </w:r>
                </w:p>
              </w:tc>
            </w:tr>
            <w:tr w14:paraId="213D1093">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C9226FE">
                  <w:pPr>
                    <w:jc w:val="center"/>
                    <w:rPr>
                      <w:rFonts w:hint="eastAsia" w:ascii="仿宋" w:hAnsi="仿宋" w:eastAsia="仿宋" w:cs="仿宋"/>
                      <w:szCs w:val="21"/>
                    </w:rPr>
                  </w:pPr>
                  <w:r>
                    <w:rPr>
                      <w:rFonts w:hint="eastAsia" w:ascii="仿宋" w:hAnsi="仿宋" w:eastAsia="仿宋" w:cs="仿宋"/>
                      <w:szCs w:val="21"/>
                    </w:rPr>
                    <w:t>19</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EEE90B">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6F0DC2">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C6F9F3F">
                  <w:pPr>
                    <w:rPr>
                      <w:rFonts w:hint="eastAsia" w:ascii="仿宋" w:hAnsi="仿宋" w:eastAsia="仿宋" w:cs="仿宋"/>
                      <w:szCs w:val="21"/>
                    </w:rPr>
                  </w:pPr>
                  <w:r>
                    <w:rPr>
                      <w:rFonts w:hint="eastAsia" w:ascii="仿宋" w:hAnsi="仿宋" w:eastAsia="仿宋" w:cs="仿宋"/>
                      <w:szCs w:val="21"/>
                    </w:rPr>
                    <w:t>质量检查执行</w:t>
                  </w:r>
                </w:p>
              </w:tc>
            </w:tr>
            <w:tr w14:paraId="469030A5">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EB1A554">
                  <w:pPr>
                    <w:jc w:val="center"/>
                    <w:rPr>
                      <w:rFonts w:hint="eastAsia" w:ascii="仿宋" w:hAnsi="仿宋" w:eastAsia="仿宋" w:cs="仿宋"/>
                      <w:szCs w:val="21"/>
                    </w:rPr>
                  </w:pPr>
                  <w:r>
                    <w:rPr>
                      <w:rFonts w:hint="eastAsia" w:ascii="仿宋" w:hAnsi="仿宋" w:eastAsia="仿宋" w:cs="仿宋"/>
                      <w:szCs w:val="21"/>
                    </w:rPr>
                    <w:t>20</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205DC2">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B9B7F0">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3D25192">
                  <w:pPr>
                    <w:rPr>
                      <w:rFonts w:hint="eastAsia" w:ascii="仿宋" w:hAnsi="仿宋" w:eastAsia="仿宋" w:cs="仿宋"/>
                      <w:szCs w:val="21"/>
                    </w:rPr>
                  </w:pPr>
                  <w:r>
                    <w:rPr>
                      <w:rFonts w:hint="eastAsia" w:ascii="仿宋" w:hAnsi="仿宋" w:eastAsia="仿宋" w:cs="仿宋"/>
                      <w:szCs w:val="21"/>
                    </w:rPr>
                    <w:t>质量问题分析</w:t>
                  </w:r>
                </w:p>
              </w:tc>
            </w:tr>
            <w:tr w14:paraId="60C4B05B">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4A70548">
                  <w:pPr>
                    <w:jc w:val="center"/>
                    <w:rPr>
                      <w:rFonts w:hint="eastAsia" w:ascii="仿宋" w:hAnsi="仿宋" w:eastAsia="仿宋" w:cs="仿宋"/>
                      <w:szCs w:val="21"/>
                    </w:rPr>
                  </w:pPr>
                  <w:r>
                    <w:rPr>
                      <w:rFonts w:hint="eastAsia" w:ascii="仿宋" w:hAnsi="仿宋" w:eastAsia="仿宋" w:cs="仿宋"/>
                      <w:szCs w:val="21"/>
                    </w:rPr>
                    <w:t>21</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25EBE">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7972B8">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832D290">
                  <w:pPr>
                    <w:rPr>
                      <w:rFonts w:hint="eastAsia" w:ascii="仿宋" w:hAnsi="仿宋" w:eastAsia="仿宋" w:cs="仿宋"/>
                      <w:szCs w:val="21"/>
                    </w:rPr>
                  </w:pPr>
                  <w:r>
                    <w:rPr>
                      <w:rFonts w:hint="eastAsia" w:ascii="仿宋" w:hAnsi="仿宋" w:eastAsia="仿宋" w:cs="仿宋"/>
                      <w:szCs w:val="21"/>
                    </w:rPr>
                    <w:t>数据一致性对比</w:t>
                  </w:r>
                </w:p>
              </w:tc>
            </w:tr>
            <w:tr w14:paraId="00F450BC">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4AE8F49">
                  <w:pPr>
                    <w:jc w:val="center"/>
                    <w:rPr>
                      <w:rFonts w:hint="eastAsia" w:ascii="仿宋" w:hAnsi="仿宋" w:eastAsia="仿宋" w:cs="仿宋"/>
                      <w:szCs w:val="21"/>
                    </w:rPr>
                  </w:pPr>
                  <w:r>
                    <w:rPr>
                      <w:rFonts w:hint="eastAsia" w:ascii="仿宋" w:hAnsi="仿宋" w:eastAsia="仿宋" w:cs="仿宋"/>
                      <w:szCs w:val="21"/>
                    </w:rPr>
                    <w:t>22</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BE9DD">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7B75A">
                  <w:pPr>
                    <w:rPr>
                      <w:rFonts w:hint="eastAsia" w:ascii="仿宋" w:hAnsi="仿宋" w:eastAsia="仿宋" w:cs="仿宋"/>
                      <w:szCs w:val="21"/>
                    </w:rPr>
                  </w:pPr>
                  <w:r>
                    <w:rPr>
                      <w:rFonts w:hint="eastAsia" w:ascii="仿宋" w:hAnsi="仿宋" w:eastAsia="仿宋" w:cs="仿宋"/>
                      <w:szCs w:val="21"/>
                    </w:rPr>
                    <w:t>资产管理功能建设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611B908">
                  <w:pPr>
                    <w:rPr>
                      <w:rFonts w:hint="eastAsia" w:ascii="仿宋" w:hAnsi="仿宋" w:eastAsia="仿宋" w:cs="仿宋"/>
                      <w:szCs w:val="21"/>
                    </w:rPr>
                  </w:pPr>
                  <w:r>
                    <w:rPr>
                      <w:rFonts w:hint="eastAsia" w:ascii="仿宋" w:hAnsi="仿宋" w:eastAsia="仿宋" w:cs="仿宋"/>
                      <w:szCs w:val="21"/>
                    </w:rPr>
                    <w:t>资产目录定义</w:t>
                  </w:r>
                </w:p>
              </w:tc>
            </w:tr>
            <w:tr w14:paraId="4690A563">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7C9F432">
                  <w:pPr>
                    <w:jc w:val="center"/>
                    <w:rPr>
                      <w:rFonts w:hint="eastAsia" w:ascii="仿宋" w:hAnsi="仿宋" w:eastAsia="仿宋" w:cs="仿宋"/>
                      <w:szCs w:val="21"/>
                    </w:rPr>
                  </w:pPr>
                  <w:r>
                    <w:rPr>
                      <w:rFonts w:hint="eastAsia" w:ascii="仿宋" w:hAnsi="仿宋" w:eastAsia="仿宋" w:cs="仿宋"/>
                      <w:szCs w:val="21"/>
                    </w:rPr>
                    <w:t>23</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A9E8F9">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B7059">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CF1E2A4">
                  <w:pPr>
                    <w:rPr>
                      <w:rFonts w:hint="eastAsia" w:ascii="仿宋" w:hAnsi="仿宋" w:eastAsia="仿宋" w:cs="仿宋"/>
                      <w:szCs w:val="21"/>
                    </w:rPr>
                  </w:pPr>
                  <w:r>
                    <w:rPr>
                      <w:rFonts w:hint="eastAsia" w:ascii="仿宋" w:hAnsi="仿宋" w:eastAsia="仿宋" w:cs="仿宋"/>
                      <w:szCs w:val="21"/>
                    </w:rPr>
                    <w:t>数据资产盘点</w:t>
                  </w:r>
                </w:p>
              </w:tc>
            </w:tr>
            <w:tr w14:paraId="2A1E71A4">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625B1D0">
                  <w:pPr>
                    <w:jc w:val="center"/>
                    <w:rPr>
                      <w:rFonts w:hint="eastAsia" w:ascii="仿宋" w:hAnsi="仿宋" w:eastAsia="仿宋" w:cs="仿宋"/>
                      <w:szCs w:val="21"/>
                    </w:rPr>
                  </w:pPr>
                  <w:r>
                    <w:rPr>
                      <w:rFonts w:hint="eastAsia" w:ascii="仿宋" w:hAnsi="仿宋" w:eastAsia="仿宋" w:cs="仿宋"/>
                      <w:szCs w:val="21"/>
                    </w:rPr>
                    <w:t>24</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235326">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9C9CB">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8FF6DA6">
                  <w:pPr>
                    <w:rPr>
                      <w:rFonts w:hint="eastAsia" w:ascii="仿宋" w:hAnsi="仿宋" w:eastAsia="仿宋" w:cs="仿宋"/>
                      <w:szCs w:val="21"/>
                    </w:rPr>
                  </w:pPr>
                  <w:r>
                    <w:rPr>
                      <w:rFonts w:hint="eastAsia" w:ascii="仿宋" w:hAnsi="仿宋" w:eastAsia="仿宋" w:cs="仿宋"/>
                      <w:szCs w:val="21"/>
                    </w:rPr>
                    <w:t>资产服务方式</w:t>
                  </w:r>
                </w:p>
              </w:tc>
            </w:tr>
            <w:tr w14:paraId="2338792F">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CFA6F7A">
                  <w:pPr>
                    <w:jc w:val="center"/>
                    <w:rPr>
                      <w:rFonts w:hint="eastAsia" w:ascii="仿宋" w:hAnsi="仿宋" w:eastAsia="仿宋" w:cs="仿宋"/>
                      <w:szCs w:val="21"/>
                    </w:rPr>
                  </w:pPr>
                  <w:r>
                    <w:rPr>
                      <w:rFonts w:hint="eastAsia" w:ascii="仿宋" w:hAnsi="仿宋" w:eastAsia="仿宋" w:cs="仿宋"/>
                      <w:szCs w:val="21"/>
                    </w:rPr>
                    <w:t>25</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937F6C">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8C45D9">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F607A16">
                  <w:pPr>
                    <w:rPr>
                      <w:rFonts w:hint="eastAsia" w:ascii="仿宋" w:hAnsi="仿宋" w:eastAsia="仿宋" w:cs="仿宋"/>
                      <w:szCs w:val="21"/>
                    </w:rPr>
                  </w:pPr>
                  <w:r>
                    <w:rPr>
                      <w:rFonts w:hint="eastAsia" w:ascii="仿宋" w:hAnsi="仿宋" w:eastAsia="仿宋" w:cs="仿宋"/>
                      <w:szCs w:val="21"/>
                    </w:rPr>
                    <w:t>数据资产监控</w:t>
                  </w:r>
                </w:p>
              </w:tc>
            </w:tr>
            <w:tr w14:paraId="0F9FC542">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88DB5B9">
                  <w:pPr>
                    <w:jc w:val="center"/>
                    <w:rPr>
                      <w:rFonts w:hint="eastAsia" w:ascii="仿宋" w:hAnsi="仿宋" w:eastAsia="仿宋" w:cs="仿宋"/>
                      <w:szCs w:val="21"/>
                    </w:rPr>
                  </w:pPr>
                  <w:r>
                    <w:rPr>
                      <w:rFonts w:hint="eastAsia" w:ascii="仿宋" w:hAnsi="仿宋" w:eastAsia="仿宋" w:cs="仿宋"/>
                      <w:szCs w:val="21"/>
                    </w:rPr>
                    <w:t>26</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815624">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29E6A">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E13FB62">
                  <w:pPr>
                    <w:rPr>
                      <w:rFonts w:hint="eastAsia" w:ascii="仿宋" w:hAnsi="仿宋" w:eastAsia="仿宋" w:cs="仿宋"/>
                      <w:szCs w:val="21"/>
                    </w:rPr>
                  </w:pPr>
                  <w:r>
                    <w:rPr>
                      <w:rFonts w:hint="eastAsia" w:ascii="仿宋" w:hAnsi="仿宋" w:eastAsia="仿宋" w:cs="仿宋"/>
                      <w:szCs w:val="21"/>
                    </w:rPr>
                    <w:t>资产服务门户</w:t>
                  </w:r>
                </w:p>
              </w:tc>
            </w:tr>
            <w:tr w14:paraId="739AC502">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F5F22C1">
                  <w:pPr>
                    <w:jc w:val="center"/>
                    <w:rPr>
                      <w:rFonts w:hint="eastAsia" w:ascii="仿宋" w:hAnsi="仿宋" w:eastAsia="仿宋" w:cs="仿宋"/>
                      <w:szCs w:val="21"/>
                    </w:rPr>
                  </w:pPr>
                  <w:r>
                    <w:rPr>
                      <w:rFonts w:hint="eastAsia" w:ascii="仿宋" w:hAnsi="仿宋" w:eastAsia="仿宋" w:cs="仿宋"/>
                      <w:szCs w:val="21"/>
                    </w:rPr>
                    <w:t>27</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C545A3">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0D8469">
                  <w:pPr>
                    <w:rPr>
                      <w:rFonts w:hint="eastAsia" w:ascii="仿宋" w:hAnsi="仿宋" w:eastAsia="仿宋" w:cs="仿宋"/>
                      <w:szCs w:val="21"/>
                    </w:rPr>
                  </w:pPr>
                  <w:r>
                    <w:rPr>
                      <w:rFonts w:hint="eastAsia" w:ascii="仿宋" w:hAnsi="仿宋" w:eastAsia="仿宋" w:cs="仿宋"/>
                      <w:szCs w:val="21"/>
                    </w:rPr>
                    <w:t>数据分析功能建设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79D9645">
                  <w:pPr>
                    <w:rPr>
                      <w:rFonts w:hint="eastAsia" w:ascii="仿宋" w:hAnsi="仿宋" w:eastAsia="仿宋" w:cs="仿宋"/>
                      <w:szCs w:val="21"/>
                    </w:rPr>
                  </w:pPr>
                  <w:r>
                    <w:rPr>
                      <w:rFonts w:hint="eastAsia" w:ascii="仿宋" w:hAnsi="仿宋" w:eastAsia="仿宋" w:cs="仿宋"/>
                      <w:szCs w:val="21"/>
                    </w:rPr>
                    <w:t>分析维度建设</w:t>
                  </w:r>
                </w:p>
              </w:tc>
            </w:tr>
            <w:tr w14:paraId="44175A20">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384C5F4">
                  <w:pPr>
                    <w:jc w:val="center"/>
                    <w:rPr>
                      <w:rFonts w:hint="eastAsia" w:ascii="仿宋" w:hAnsi="仿宋" w:eastAsia="仿宋" w:cs="仿宋"/>
                      <w:szCs w:val="21"/>
                    </w:rPr>
                  </w:pPr>
                  <w:r>
                    <w:rPr>
                      <w:rFonts w:hint="eastAsia" w:ascii="仿宋" w:hAnsi="仿宋" w:eastAsia="仿宋" w:cs="仿宋"/>
                      <w:szCs w:val="21"/>
                    </w:rPr>
                    <w:t>28</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AEE9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90059A">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733AA40">
                  <w:pPr>
                    <w:rPr>
                      <w:rFonts w:hint="eastAsia" w:ascii="仿宋" w:hAnsi="仿宋" w:eastAsia="仿宋" w:cs="仿宋"/>
                      <w:szCs w:val="21"/>
                    </w:rPr>
                  </w:pPr>
                  <w:r>
                    <w:rPr>
                      <w:rFonts w:hint="eastAsia" w:ascii="仿宋" w:hAnsi="仿宋" w:eastAsia="仿宋" w:cs="仿宋"/>
                      <w:szCs w:val="21"/>
                    </w:rPr>
                    <w:t>分析数据整理</w:t>
                  </w:r>
                </w:p>
              </w:tc>
            </w:tr>
            <w:tr w14:paraId="591E2F6C">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EE967A6">
                  <w:pPr>
                    <w:jc w:val="center"/>
                    <w:rPr>
                      <w:rFonts w:hint="eastAsia" w:ascii="仿宋" w:hAnsi="仿宋" w:eastAsia="仿宋" w:cs="仿宋"/>
                      <w:szCs w:val="21"/>
                    </w:rPr>
                  </w:pPr>
                  <w:r>
                    <w:rPr>
                      <w:rFonts w:hint="eastAsia" w:ascii="仿宋" w:hAnsi="仿宋" w:eastAsia="仿宋" w:cs="仿宋"/>
                      <w:szCs w:val="21"/>
                    </w:rPr>
                    <w:t>29</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3A25F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F6CB1">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08994CD">
                  <w:pPr>
                    <w:rPr>
                      <w:rFonts w:hint="eastAsia" w:ascii="仿宋" w:hAnsi="仿宋" w:eastAsia="仿宋" w:cs="仿宋"/>
                      <w:szCs w:val="21"/>
                    </w:rPr>
                  </w:pPr>
                  <w:r>
                    <w:rPr>
                      <w:rFonts w:hint="eastAsia" w:ascii="仿宋" w:hAnsi="仿宋" w:eastAsia="仿宋" w:cs="仿宋"/>
                      <w:szCs w:val="21"/>
                    </w:rPr>
                    <w:t>分析报表设计</w:t>
                  </w:r>
                </w:p>
              </w:tc>
            </w:tr>
            <w:tr w14:paraId="356FCC8E">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60E2FDA">
                  <w:pPr>
                    <w:jc w:val="center"/>
                    <w:rPr>
                      <w:rFonts w:hint="eastAsia" w:ascii="仿宋" w:hAnsi="仿宋" w:eastAsia="仿宋" w:cs="仿宋"/>
                      <w:szCs w:val="21"/>
                    </w:rPr>
                  </w:pPr>
                  <w:r>
                    <w:rPr>
                      <w:rFonts w:hint="eastAsia" w:ascii="仿宋" w:hAnsi="仿宋" w:eastAsia="仿宋" w:cs="仿宋"/>
                      <w:szCs w:val="21"/>
                    </w:rPr>
                    <w:t>30</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4EB46F">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6CD213">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8C4153F">
                  <w:pPr>
                    <w:rPr>
                      <w:rFonts w:hint="eastAsia" w:ascii="仿宋" w:hAnsi="仿宋" w:eastAsia="仿宋" w:cs="仿宋"/>
                      <w:szCs w:val="21"/>
                    </w:rPr>
                  </w:pPr>
                  <w:r>
                    <w:rPr>
                      <w:rFonts w:hint="eastAsia" w:ascii="仿宋" w:hAnsi="仿宋" w:eastAsia="仿宋" w:cs="仿宋"/>
                      <w:szCs w:val="21"/>
                    </w:rPr>
                    <w:t>分析内容呈现</w:t>
                  </w:r>
                </w:p>
              </w:tc>
            </w:tr>
            <w:tr w14:paraId="53550F32">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1D07460B">
                  <w:pPr>
                    <w:jc w:val="center"/>
                    <w:rPr>
                      <w:rFonts w:hint="eastAsia" w:ascii="仿宋" w:hAnsi="仿宋" w:eastAsia="仿宋" w:cs="仿宋"/>
                      <w:szCs w:val="21"/>
                    </w:rPr>
                  </w:pPr>
                  <w:r>
                    <w:rPr>
                      <w:rFonts w:hint="eastAsia" w:ascii="仿宋" w:hAnsi="仿宋" w:eastAsia="仿宋" w:cs="仿宋"/>
                      <w:szCs w:val="21"/>
                    </w:rPr>
                    <w:t>31</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16E166">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1D1E1">
                  <w:pPr>
                    <w:rPr>
                      <w:rFonts w:hint="eastAsia" w:ascii="仿宋" w:hAnsi="仿宋" w:eastAsia="仿宋" w:cs="仿宋"/>
                      <w:szCs w:val="21"/>
                    </w:rPr>
                  </w:pPr>
                  <w:r>
                    <w:rPr>
                      <w:rFonts w:hint="eastAsia" w:ascii="仿宋" w:hAnsi="仿宋" w:eastAsia="仿宋" w:cs="仿宋"/>
                      <w:szCs w:val="21"/>
                    </w:rPr>
                    <w:t>决策支持功能建设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76D9E0C">
                  <w:pPr>
                    <w:rPr>
                      <w:rFonts w:hint="eastAsia" w:ascii="仿宋" w:hAnsi="仿宋" w:eastAsia="仿宋" w:cs="仿宋"/>
                      <w:szCs w:val="21"/>
                    </w:rPr>
                  </w:pPr>
                  <w:r>
                    <w:rPr>
                      <w:rFonts w:hint="eastAsia" w:ascii="仿宋" w:hAnsi="仿宋" w:eastAsia="仿宋" w:cs="仿宋"/>
                      <w:szCs w:val="21"/>
                    </w:rPr>
                    <w:t>数据汇聚整合</w:t>
                  </w:r>
                </w:p>
              </w:tc>
            </w:tr>
            <w:tr w14:paraId="0769F4B2">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134CD08">
                  <w:pPr>
                    <w:jc w:val="center"/>
                    <w:rPr>
                      <w:rFonts w:hint="eastAsia" w:ascii="仿宋" w:hAnsi="仿宋" w:eastAsia="仿宋" w:cs="仿宋"/>
                      <w:szCs w:val="21"/>
                    </w:rPr>
                  </w:pPr>
                  <w:r>
                    <w:rPr>
                      <w:rFonts w:hint="eastAsia" w:ascii="仿宋" w:hAnsi="仿宋" w:eastAsia="仿宋" w:cs="仿宋"/>
                      <w:szCs w:val="21"/>
                    </w:rPr>
                    <w:t>32</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AA538B">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53D8B5">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1AD7B8F">
                  <w:pPr>
                    <w:rPr>
                      <w:rFonts w:hint="eastAsia" w:ascii="仿宋" w:hAnsi="仿宋" w:eastAsia="仿宋" w:cs="仿宋"/>
                      <w:szCs w:val="21"/>
                    </w:rPr>
                  </w:pPr>
                  <w:r>
                    <w:rPr>
                      <w:rFonts w:hint="eastAsia" w:ascii="仿宋" w:hAnsi="仿宋" w:eastAsia="仿宋" w:cs="仿宋"/>
                      <w:szCs w:val="21"/>
                    </w:rPr>
                    <w:t>数据清洗处理</w:t>
                  </w:r>
                </w:p>
              </w:tc>
            </w:tr>
            <w:tr w14:paraId="27CE74A2">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6DCF8AE">
                  <w:pPr>
                    <w:jc w:val="center"/>
                    <w:rPr>
                      <w:rFonts w:hint="eastAsia" w:ascii="仿宋" w:hAnsi="仿宋" w:eastAsia="仿宋" w:cs="仿宋"/>
                      <w:szCs w:val="21"/>
                    </w:rPr>
                  </w:pPr>
                  <w:r>
                    <w:rPr>
                      <w:rFonts w:hint="eastAsia" w:ascii="仿宋" w:hAnsi="仿宋" w:eastAsia="仿宋" w:cs="仿宋"/>
                      <w:szCs w:val="21"/>
                    </w:rPr>
                    <w:t>33</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3CDE89">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217DE">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4CA8148">
                  <w:pPr>
                    <w:rPr>
                      <w:rFonts w:hint="eastAsia" w:ascii="仿宋" w:hAnsi="仿宋" w:eastAsia="仿宋" w:cs="仿宋"/>
                      <w:szCs w:val="21"/>
                    </w:rPr>
                  </w:pPr>
                  <w:r>
                    <w:rPr>
                      <w:rFonts w:hint="eastAsia" w:ascii="仿宋" w:hAnsi="仿宋" w:eastAsia="仿宋" w:cs="仿宋"/>
                      <w:szCs w:val="21"/>
                    </w:rPr>
                    <w:t>分析模型建设</w:t>
                  </w:r>
                </w:p>
              </w:tc>
            </w:tr>
            <w:tr w14:paraId="20AD8585">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65D3DA6">
                  <w:pPr>
                    <w:jc w:val="center"/>
                    <w:rPr>
                      <w:rFonts w:hint="eastAsia" w:ascii="仿宋" w:hAnsi="仿宋" w:eastAsia="仿宋" w:cs="仿宋"/>
                      <w:szCs w:val="21"/>
                    </w:rPr>
                  </w:pPr>
                  <w:r>
                    <w:rPr>
                      <w:rFonts w:hint="eastAsia" w:ascii="仿宋" w:hAnsi="仿宋" w:eastAsia="仿宋" w:cs="仿宋"/>
                      <w:szCs w:val="21"/>
                    </w:rPr>
                    <w:t>34</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12D821">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FA4720">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78767FE">
                  <w:pPr>
                    <w:rPr>
                      <w:rFonts w:hint="eastAsia" w:ascii="仿宋" w:hAnsi="仿宋" w:eastAsia="仿宋" w:cs="仿宋"/>
                      <w:szCs w:val="21"/>
                    </w:rPr>
                  </w:pPr>
                  <w:r>
                    <w:rPr>
                      <w:rFonts w:hint="eastAsia" w:ascii="仿宋" w:hAnsi="仿宋" w:eastAsia="仿宋" w:cs="仿宋"/>
                      <w:szCs w:val="21"/>
                    </w:rPr>
                    <w:t>决策表样设计</w:t>
                  </w:r>
                </w:p>
              </w:tc>
            </w:tr>
            <w:tr w14:paraId="57B8B9C8">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BE7F7BD">
                  <w:pPr>
                    <w:jc w:val="center"/>
                    <w:rPr>
                      <w:rFonts w:hint="eastAsia" w:ascii="仿宋" w:hAnsi="仿宋" w:eastAsia="仿宋" w:cs="仿宋"/>
                      <w:szCs w:val="21"/>
                    </w:rPr>
                  </w:pPr>
                  <w:r>
                    <w:rPr>
                      <w:rFonts w:hint="eastAsia" w:ascii="仿宋" w:hAnsi="仿宋" w:eastAsia="仿宋" w:cs="仿宋"/>
                      <w:szCs w:val="21"/>
                    </w:rPr>
                    <w:t>35</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17DEE2">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E5A0C">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2613EF3">
                  <w:pPr>
                    <w:rPr>
                      <w:rFonts w:hint="eastAsia" w:ascii="仿宋" w:hAnsi="仿宋" w:eastAsia="仿宋" w:cs="仿宋"/>
                      <w:szCs w:val="21"/>
                    </w:rPr>
                  </w:pPr>
                  <w:r>
                    <w:rPr>
                      <w:rFonts w:hint="eastAsia" w:ascii="仿宋" w:hAnsi="仿宋" w:eastAsia="仿宋" w:cs="仿宋"/>
                      <w:szCs w:val="21"/>
                    </w:rPr>
                    <w:t>可视化呈现</w:t>
                  </w:r>
                </w:p>
              </w:tc>
            </w:tr>
            <w:tr w14:paraId="1F2C212D">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4BC0EC3">
                  <w:pPr>
                    <w:jc w:val="center"/>
                    <w:rPr>
                      <w:rFonts w:hint="eastAsia" w:ascii="仿宋" w:hAnsi="仿宋" w:eastAsia="仿宋" w:cs="仿宋"/>
                      <w:szCs w:val="21"/>
                    </w:rPr>
                  </w:pPr>
                  <w:r>
                    <w:rPr>
                      <w:rFonts w:hint="eastAsia" w:ascii="仿宋" w:hAnsi="仿宋" w:eastAsia="仿宋" w:cs="仿宋"/>
                      <w:szCs w:val="21"/>
                    </w:rPr>
                    <w:t>36</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F3844">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E51FC">
                  <w:pPr>
                    <w:rPr>
                      <w:rFonts w:hint="eastAsia" w:ascii="仿宋" w:hAnsi="仿宋" w:eastAsia="仿宋" w:cs="仿宋"/>
                      <w:szCs w:val="21"/>
                    </w:rPr>
                  </w:pPr>
                  <w:r>
                    <w:rPr>
                      <w:rFonts w:hint="eastAsia" w:ascii="仿宋" w:hAnsi="仿宋" w:eastAsia="仿宋" w:cs="仿宋"/>
                      <w:szCs w:val="21"/>
                    </w:rPr>
                    <w:t>人力资源管理建设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54BFCC0">
                  <w:pPr>
                    <w:rPr>
                      <w:rFonts w:hint="eastAsia" w:ascii="仿宋" w:hAnsi="仿宋" w:eastAsia="仿宋" w:cs="仿宋"/>
                      <w:szCs w:val="21"/>
                    </w:rPr>
                  </w:pPr>
                  <w:r>
                    <w:rPr>
                      <w:rFonts w:hint="eastAsia" w:ascii="仿宋" w:hAnsi="仿宋" w:eastAsia="仿宋" w:cs="仿宋"/>
                      <w:szCs w:val="21"/>
                    </w:rPr>
                    <w:t>档案录入与维护</w:t>
                  </w:r>
                </w:p>
              </w:tc>
            </w:tr>
            <w:tr w14:paraId="2DEBB396">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B018380">
                  <w:pPr>
                    <w:jc w:val="center"/>
                    <w:rPr>
                      <w:rFonts w:hint="eastAsia" w:ascii="仿宋" w:hAnsi="仿宋" w:eastAsia="仿宋" w:cs="仿宋"/>
                      <w:szCs w:val="21"/>
                    </w:rPr>
                  </w:pPr>
                  <w:r>
                    <w:rPr>
                      <w:rFonts w:hint="eastAsia" w:ascii="仿宋" w:hAnsi="仿宋" w:eastAsia="仿宋" w:cs="仿宋"/>
                      <w:szCs w:val="21"/>
                    </w:rPr>
                    <w:t>37</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EC2A2">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D8184">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5FE756E">
                  <w:pPr>
                    <w:rPr>
                      <w:rFonts w:hint="eastAsia" w:ascii="仿宋" w:hAnsi="仿宋" w:eastAsia="仿宋" w:cs="仿宋"/>
                      <w:szCs w:val="21"/>
                    </w:rPr>
                  </w:pPr>
                  <w:r>
                    <w:rPr>
                      <w:rFonts w:hint="eastAsia" w:ascii="仿宋" w:hAnsi="仿宋" w:eastAsia="仿宋" w:cs="仿宋"/>
                      <w:szCs w:val="21"/>
                    </w:rPr>
                    <w:t>第三方系统对接</w:t>
                  </w:r>
                </w:p>
              </w:tc>
            </w:tr>
            <w:tr w14:paraId="330786C4">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65544ED">
                  <w:pPr>
                    <w:jc w:val="center"/>
                    <w:rPr>
                      <w:rFonts w:hint="eastAsia" w:ascii="仿宋" w:hAnsi="仿宋" w:eastAsia="仿宋" w:cs="仿宋"/>
                      <w:szCs w:val="21"/>
                    </w:rPr>
                  </w:pPr>
                  <w:r>
                    <w:rPr>
                      <w:rFonts w:hint="eastAsia" w:ascii="仿宋" w:hAnsi="仿宋" w:eastAsia="仿宋" w:cs="仿宋"/>
                      <w:szCs w:val="21"/>
                    </w:rPr>
                    <w:t>38</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422438">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4564F">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E1FBFA2">
                  <w:pPr>
                    <w:rPr>
                      <w:rFonts w:hint="eastAsia" w:ascii="仿宋" w:hAnsi="仿宋" w:eastAsia="仿宋" w:cs="仿宋"/>
                      <w:szCs w:val="21"/>
                    </w:rPr>
                  </w:pPr>
                  <w:r>
                    <w:rPr>
                      <w:rFonts w:hint="eastAsia" w:ascii="仿宋" w:hAnsi="仿宋" w:eastAsia="仿宋" w:cs="仿宋"/>
                      <w:szCs w:val="21"/>
                    </w:rPr>
                    <w:t>人员流动管理</w:t>
                  </w:r>
                </w:p>
              </w:tc>
            </w:tr>
            <w:tr w14:paraId="2BB59309">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42C9C9AC">
                  <w:pPr>
                    <w:jc w:val="center"/>
                    <w:rPr>
                      <w:rFonts w:hint="eastAsia" w:ascii="仿宋" w:hAnsi="仿宋" w:eastAsia="仿宋" w:cs="仿宋"/>
                      <w:szCs w:val="21"/>
                    </w:rPr>
                  </w:pPr>
                  <w:r>
                    <w:rPr>
                      <w:rFonts w:hint="eastAsia" w:ascii="仿宋" w:hAnsi="仿宋" w:eastAsia="仿宋" w:cs="仿宋"/>
                      <w:szCs w:val="21"/>
                    </w:rPr>
                    <w:t>39</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4A955D">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50EE60">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5D58755">
                  <w:pPr>
                    <w:rPr>
                      <w:rFonts w:hint="eastAsia" w:ascii="仿宋" w:hAnsi="仿宋" w:eastAsia="仿宋" w:cs="仿宋"/>
                      <w:szCs w:val="21"/>
                    </w:rPr>
                  </w:pPr>
                  <w:r>
                    <w:rPr>
                      <w:rFonts w:hint="eastAsia" w:ascii="仿宋" w:hAnsi="仿宋" w:eastAsia="仿宋" w:cs="仿宋"/>
                      <w:szCs w:val="21"/>
                    </w:rPr>
                    <w:t>账号管理</w:t>
                  </w:r>
                </w:p>
              </w:tc>
            </w:tr>
            <w:tr w14:paraId="5A50FC93">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FD67ADC">
                  <w:pPr>
                    <w:jc w:val="center"/>
                    <w:rPr>
                      <w:rFonts w:hint="eastAsia" w:ascii="仿宋" w:hAnsi="仿宋" w:eastAsia="仿宋" w:cs="仿宋"/>
                      <w:szCs w:val="21"/>
                    </w:rPr>
                  </w:pPr>
                  <w:r>
                    <w:rPr>
                      <w:rFonts w:hint="eastAsia" w:ascii="仿宋" w:hAnsi="仿宋" w:eastAsia="仿宋" w:cs="仿宋"/>
                      <w:szCs w:val="21"/>
                    </w:rPr>
                    <w:t>40</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344BC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4BBC86">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38C5977">
                  <w:pPr>
                    <w:rPr>
                      <w:rFonts w:hint="eastAsia" w:ascii="仿宋" w:hAnsi="仿宋" w:eastAsia="仿宋" w:cs="仿宋"/>
                      <w:szCs w:val="21"/>
                    </w:rPr>
                  </w:pPr>
                  <w:r>
                    <w:rPr>
                      <w:rFonts w:hint="eastAsia" w:ascii="仿宋" w:hAnsi="仿宋" w:eastAsia="仿宋" w:cs="仿宋"/>
                      <w:szCs w:val="21"/>
                    </w:rPr>
                    <w:t>流程追溯与审计</w:t>
                  </w:r>
                </w:p>
              </w:tc>
            </w:tr>
            <w:tr w14:paraId="75EA38EA">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6FF68524">
                  <w:pPr>
                    <w:jc w:val="center"/>
                    <w:rPr>
                      <w:rFonts w:hint="eastAsia" w:ascii="仿宋" w:hAnsi="仿宋" w:eastAsia="仿宋" w:cs="仿宋"/>
                      <w:szCs w:val="21"/>
                    </w:rPr>
                  </w:pPr>
                  <w:r>
                    <w:rPr>
                      <w:rFonts w:hint="eastAsia" w:ascii="仿宋" w:hAnsi="仿宋" w:eastAsia="仿宋" w:cs="仿宋"/>
                      <w:szCs w:val="21"/>
                    </w:rPr>
                    <w:t>41</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5EABF0">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70BC0">
                  <w:pPr>
                    <w:rPr>
                      <w:rFonts w:hint="eastAsia" w:ascii="仿宋" w:hAnsi="仿宋" w:eastAsia="仿宋" w:cs="仿宋"/>
                      <w:szCs w:val="21"/>
                    </w:rPr>
                  </w:pPr>
                  <w:r>
                    <w:rPr>
                      <w:rFonts w:hint="eastAsia" w:ascii="仿宋" w:hAnsi="仿宋" w:eastAsia="仿宋" w:cs="仿宋"/>
                      <w:szCs w:val="21"/>
                    </w:rPr>
                    <w:t>知识库检索功能建设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98A9E5E">
                  <w:pPr>
                    <w:rPr>
                      <w:rFonts w:hint="eastAsia" w:ascii="仿宋" w:hAnsi="仿宋" w:eastAsia="仿宋" w:cs="仿宋"/>
                      <w:szCs w:val="21"/>
                    </w:rPr>
                  </w:pPr>
                  <w:r>
                    <w:rPr>
                      <w:rFonts w:hint="eastAsia" w:ascii="仿宋" w:hAnsi="仿宋" w:eastAsia="仿宋" w:cs="仿宋"/>
                      <w:szCs w:val="21"/>
                    </w:rPr>
                    <w:t>知识库构建</w:t>
                  </w:r>
                </w:p>
              </w:tc>
            </w:tr>
            <w:tr w14:paraId="19049503">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5964EC3">
                  <w:pPr>
                    <w:jc w:val="center"/>
                    <w:rPr>
                      <w:rFonts w:hint="eastAsia" w:ascii="仿宋" w:hAnsi="仿宋" w:eastAsia="仿宋" w:cs="仿宋"/>
                      <w:szCs w:val="21"/>
                    </w:rPr>
                  </w:pPr>
                  <w:r>
                    <w:rPr>
                      <w:rFonts w:hint="eastAsia" w:ascii="仿宋" w:hAnsi="仿宋" w:eastAsia="仿宋" w:cs="仿宋"/>
                      <w:szCs w:val="21"/>
                    </w:rPr>
                    <w:t>42</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585C1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D1C29B">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7423B5DB">
                  <w:pPr>
                    <w:rPr>
                      <w:rFonts w:hint="eastAsia" w:ascii="仿宋" w:hAnsi="仿宋" w:eastAsia="仿宋" w:cs="仿宋"/>
                      <w:szCs w:val="21"/>
                    </w:rPr>
                  </w:pPr>
                  <w:r>
                    <w:rPr>
                      <w:rFonts w:hint="eastAsia" w:ascii="仿宋" w:hAnsi="仿宋" w:eastAsia="仿宋" w:cs="仿宋"/>
                      <w:szCs w:val="21"/>
                    </w:rPr>
                    <w:t>完善知识库</w:t>
                  </w:r>
                </w:p>
              </w:tc>
            </w:tr>
            <w:tr w14:paraId="2885B619">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FD550B5">
                  <w:pPr>
                    <w:jc w:val="center"/>
                    <w:rPr>
                      <w:rFonts w:hint="eastAsia" w:ascii="仿宋" w:hAnsi="仿宋" w:eastAsia="仿宋" w:cs="仿宋"/>
                      <w:szCs w:val="21"/>
                    </w:rPr>
                  </w:pPr>
                  <w:r>
                    <w:rPr>
                      <w:rFonts w:hint="eastAsia" w:ascii="仿宋" w:hAnsi="仿宋" w:eastAsia="仿宋" w:cs="仿宋"/>
                      <w:szCs w:val="21"/>
                    </w:rPr>
                    <w:t>43</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860793">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D4162">
                  <w:pPr>
                    <w:rPr>
                      <w:rFonts w:hint="eastAsia" w:ascii="仿宋" w:hAnsi="仿宋" w:eastAsia="仿宋" w:cs="仿宋"/>
                      <w:szCs w:val="21"/>
                    </w:rPr>
                  </w:pPr>
                  <w:r>
                    <w:rPr>
                      <w:rFonts w:hint="eastAsia" w:ascii="仿宋" w:hAnsi="仿宋" w:eastAsia="仿宋" w:cs="仿宋"/>
                      <w:szCs w:val="21"/>
                    </w:rPr>
                    <w:t>后台管理功能建设</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022222C">
                  <w:pPr>
                    <w:rPr>
                      <w:rFonts w:hint="eastAsia" w:ascii="仿宋" w:hAnsi="仿宋" w:eastAsia="仿宋" w:cs="仿宋"/>
                      <w:szCs w:val="21"/>
                    </w:rPr>
                  </w:pPr>
                  <w:r>
                    <w:rPr>
                      <w:rFonts w:hint="eastAsia" w:ascii="仿宋" w:hAnsi="仿宋" w:eastAsia="仿宋" w:cs="仿宋"/>
                      <w:szCs w:val="21"/>
                    </w:rPr>
                    <w:t>门户管理</w:t>
                  </w:r>
                </w:p>
              </w:tc>
            </w:tr>
            <w:tr w14:paraId="3B7AD07A">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2CA794D5">
                  <w:pPr>
                    <w:jc w:val="center"/>
                    <w:rPr>
                      <w:rFonts w:hint="eastAsia" w:ascii="仿宋" w:hAnsi="仿宋" w:eastAsia="仿宋" w:cs="仿宋"/>
                      <w:szCs w:val="21"/>
                    </w:rPr>
                  </w:pPr>
                  <w:r>
                    <w:rPr>
                      <w:rFonts w:hint="eastAsia" w:ascii="仿宋" w:hAnsi="仿宋" w:eastAsia="仿宋" w:cs="仿宋"/>
                      <w:szCs w:val="21"/>
                    </w:rPr>
                    <w:t>44</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056840">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7D33EB">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43DA1F4">
                  <w:pPr>
                    <w:rPr>
                      <w:rFonts w:hint="eastAsia" w:ascii="仿宋" w:hAnsi="仿宋" w:eastAsia="仿宋" w:cs="仿宋"/>
                      <w:szCs w:val="21"/>
                    </w:rPr>
                  </w:pPr>
                  <w:r>
                    <w:rPr>
                      <w:rFonts w:hint="eastAsia" w:ascii="仿宋" w:hAnsi="仿宋" w:eastAsia="仿宋" w:cs="仿宋"/>
                      <w:szCs w:val="21"/>
                    </w:rPr>
                    <w:t>机构管理</w:t>
                  </w:r>
                </w:p>
              </w:tc>
            </w:tr>
            <w:tr w14:paraId="4AA72D61">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19CB30E">
                  <w:pPr>
                    <w:jc w:val="center"/>
                    <w:rPr>
                      <w:rFonts w:hint="eastAsia" w:ascii="仿宋" w:hAnsi="仿宋" w:eastAsia="仿宋" w:cs="仿宋"/>
                      <w:szCs w:val="21"/>
                    </w:rPr>
                  </w:pPr>
                  <w:r>
                    <w:rPr>
                      <w:rFonts w:hint="eastAsia" w:ascii="仿宋" w:hAnsi="仿宋" w:eastAsia="仿宋" w:cs="仿宋"/>
                      <w:szCs w:val="21"/>
                    </w:rPr>
                    <w:t>45</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8E1F04">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48AAE8">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4D14093">
                  <w:pPr>
                    <w:rPr>
                      <w:rFonts w:hint="eastAsia" w:ascii="仿宋" w:hAnsi="仿宋" w:eastAsia="仿宋" w:cs="仿宋"/>
                      <w:szCs w:val="21"/>
                    </w:rPr>
                  </w:pPr>
                  <w:r>
                    <w:rPr>
                      <w:rFonts w:hint="eastAsia" w:ascii="仿宋" w:hAnsi="仿宋" w:eastAsia="仿宋" w:cs="仿宋"/>
                      <w:szCs w:val="21"/>
                    </w:rPr>
                    <w:t>角色管理</w:t>
                  </w:r>
                </w:p>
              </w:tc>
            </w:tr>
            <w:tr w14:paraId="5D599A3F">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0A84C440">
                  <w:pPr>
                    <w:jc w:val="center"/>
                    <w:rPr>
                      <w:rFonts w:hint="eastAsia" w:ascii="仿宋" w:hAnsi="仿宋" w:eastAsia="仿宋" w:cs="仿宋"/>
                      <w:szCs w:val="21"/>
                    </w:rPr>
                  </w:pPr>
                  <w:r>
                    <w:rPr>
                      <w:rFonts w:hint="eastAsia" w:ascii="仿宋" w:hAnsi="仿宋" w:eastAsia="仿宋" w:cs="仿宋"/>
                      <w:szCs w:val="21"/>
                    </w:rPr>
                    <w:t>46</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696ED8">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CE12A9">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9AEAE18">
                  <w:pPr>
                    <w:rPr>
                      <w:rFonts w:hint="eastAsia" w:ascii="仿宋" w:hAnsi="仿宋" w:eastAsia="仿宋" w:cs="仿宋"/>
                      <w:szCs w:val="21"/>
                    </w:rPr>
                  </w:pPr>
                  <w:r>
                    <w:rPr>
                      <w:rFonts w:hint="eastAsia" w:ascii="仿宋" w:hAnsi="仿宋" w:eastAsia="仿宋" w:cs="仿宋"/>
                      <w:szCs w:val="21"/>
                    </w:rPr>
                    <w:t>用户管理</w:t>
                  </w:r>
                </w:p>
              </w:tc>
            </w:tr>
            <w:tr w14:paraId="7D0C1A42">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17F4052">
                  <w:pPr>
                    <w:jc w:val="center"/>
                    <w:rPr>
                      <w:rFonts w:hint="eastAsia" w:ascii="仿宋" w:hAnsi="仿宋" w:eastAsia="仿宋" w:cs="仿宋"/>
                      <w:szCs w:val="21"/>
                    </w:rPr>
                  </w:pPr>
                  <w:r>
                    <w:rPr>
                      <w:rFonts w:hint="eastAsia" w:ascii="仿宋" w:hAnsi="仿宋" w:eastAsia="仿宋" w:cs="仿宋"/>
                      <w:szCs w:val="21"/>
                    </w:rPr>
                    <w:t>47</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D3770A">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A67AA">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38B7C4F7">
                  <w:pPr>
                    <w:rPr>
                      <w:rFonts w:hint="eastAsia" w:ascii="仿宋" w:hAnsi="仿宋" w:eastAsia="仿宋" w:cs="仿宋"/>
                      <w:szCs w:val="21"/>
                    </w:rPr>
                  </w:pPr>
                  <w:r>
                    <w:rPr>
                      <w:rFonts w:hint="eastAsia" w:ascii="仿宋" w:hAnsi="仿宋" w:eastAsia="仿宋" w:cs="仿宋"/>
                      <w:szCs w:val="21"/>
                    </w:rPr>
                    <w:t>权限管理</w:t>
                  </w:r>
                </w:p>
              </w:tc>
            </w:tr>
            <w:tr w14:paraId="569A62B8">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45850B5">
                  <w:pPr>
                    <w:jc w:val="center"/>
                    <w:rPr>
                      <w:rFonts w:hint="eastAsia" w:ascii="仿宋" w:hAnsi="仿宋" w:eastAsia="仿宋" w:cs="仿宋"/>
                      <w:szCs w:val="21"/>
                    </w:rPr>
                  </w:pPr>
                  <w:r>
                    <w:rPr>
                      <w:rFonts w:hint="eastAsia" w:ascii="仿宋" w:hAnsi="仿宋" w:eastAsia="仿宋" w:cs="仿宋"/>
                      <w:szCs w:val="21"/>
                    </w:rPr>
                    <w:t>48</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1D1DF9">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3BAB8">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AEECF7B">
                  <w:pPr>
                    <w:rPr>
                      <w:rFonts w:hint="eastAsia" w:ascii="仿宋" w:hAnsi="仿宋" w:eastAsia="仿宋" w:cs="仿宋"/>
                      <w:szCs w:val="21"/>
                    </w:rPr>
                  </w:pPr>
                  <w:r>
                    <w:rPr>
                      <w:rFonts w:hint="eastAsia" w:ascii="仿宋" w:hAnsi="仿宋" w:eastAsia="仿宋" w:cs="仿宋"/>
                      <w:szCs w:val="21"/>
                    </w:rPr>
                    <w:t>日志管理</w:t>
                  </w:r>
                </w:p>
              </w:tc>
            </w:tr>
            <w:tr w14:paraId="387F09CF">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BCA2028">
                  <w:pPr>
                    <w:jc w:val="center"/>
                    <w:rPr>
                      <w:rFonts w:hint="eastAsia" w:ascii="仿宋" w:hAnsi="仿宋" w:eastAsia="仿宋" w:cs="仿宋"/>
                      <w:szCs w:val="21"/>
                    </w:rPr>
                  </w:pPr>
                  <w:r>
                    <w:rPr>
                      <w:rFonts w:hint="eastAsia" w:ascii="仿宋" w:hAnsi="仿宋" w:eastAsia="仿宋" w:cs="仿宋"/>
                      <w:szCs w:val="21"/>
                    </w:rPr>
                    <w:t>49</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408D47">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8A241">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2DF559B4">
                  <w:pPr>
                    <w:rPr>
                      <w:rFonts w:hint="eastAsia" w:ascii="仿宋" w:hAnsi="仿宋" w:eastAsia="仿宋" w:cs="仿宋"/>
                      <w:szCs w:val="21"/>
                    </w:rPr>
                  </w:pPr>
                  <w:r>
                    <w:rPr>
                      <w:rFonts w:hint="eastAsia" w:ascii="仿宋" w:hAnsi="仿宋" w:eastAsia="仿宋" w:cs="仿宋"/>
                      <w:szCs w:val="21"/>
                    </w:rPr>
                    <w:t>资源监控管理</w:t>
                  </w:r>
                </w:p>
              </w:tc>
            </w:tr>
            <w:tr w14:paraId="7BD1D5A6">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CA8259C">
                  <w:pPr>
                    <w:jc w:val="center"/>
                    <w:rPr>
                      <w:rFonts w:hint="eastAsia" w:ascii="仿宋" w:hAnsi="仿宋" w:eastAsia="仿宋" w:cs="仿宋"/>
                      <w:szCs w:val="21"/>
                    </w:rPr>
                  </w:pPr>
                  <w:r>
                    <w:rPr>
                      <w:rFonts w:hint="eastAsia" w:ascii="仿宋" w:hAnsi="仿宋" w:eastAsia="仿宋" w:cs="仿宋"/>
                      <w:szCs w:val="21"/>
                    </w:rPr>
                    <w:t>50</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7C296">
                  <w:pPr>
                    <w:rPr>
                      <w:rFonts w:hint="eastAsia" w:ascii="仿宋" w:hAnsi="仿宋" w:eastAsia="仿宋" w:cs="仿宋"/>
                      <w:szCs w:val="21"/>
                    </w:rPr>
                  </w:pP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B0EA80">
                  <w:pPr>
                    <w:rPr>
                      <w:rFonts w:hint="eastAsia" w:ascii="仿宋" w:hAnsi="仿宋" w:eastAsia="仿宋" w:cs="仿宋"/>
                      <w:szCs w:val="21"/>
                    </w:rPr>
                  </w:pPr>
                  <w:r>
                    <w:rPr>
                      <w:rFonts w:hint="eastAsia" w:ascii="仿宋" w:hAnsi="仿宋" w:eastAsia="仿宋" w:cs="仿宋"/>
                      <w:szCs w:val="21"/>
                    </w:rPr>
                    <w:t>应用软件适配</w:t>
                  </w: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132133ED">
                  <w:pPr>
                    <w:rPr>
                      <w:rFonts w:hint="eastAsia" w:ascii="仿宋" w:hAnsi="仿宋" w:eastAsia="仿宋" w:cs="仿宋"/>
                      <w:szCs w:val="21"/>
                    </w:rPr>
                  </w:pPr>
                  <w:r>
                    <w:rPr>
                      <w:rFonts w:hint="eastAsia" w:ascii="仿宋" w:hAnsi="仿宋" w:eastAsia="仿宋" w:cs="仿宋"/>
                      <w:szCs w:val="21"/>
                    </w:rPr>
                    <w:t>架构适配</w:t>
                  </w:r>
                </w:p>
              </w:tc>
            </w:tr>
            <w:tr w14:paraId="030876B0">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3BFE373E">
                  <w:pPr>
                    <w:jc w:val="center"/>
                    <w:rPr>
                      <w:rFonts w:hint="eastAsia" w:ascii="仿宋" w:hAnsi="仿宋" w:eastAsia="仿宋" w:cs="仿宋"/>
                      <w:szCs w:val="21"/>
                    </w:rPr>
                  </w:pPr>
                  <w:r>
                    <w:rPr>
                      <w:rFonts w:hint="eastAsia" w:ascii="仿宋" w:hAnsi="仿宋" w:eastAsia="仿宋" w:cs="仿宋"/>
                      <w:szCs w:val="21"/>
                    </w:rPr>
                    <w:t>51</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9A1BC5">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280AAB">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542DFB24">
                  <w:pPr>
                    <w:rPr>
                      <w:rFonts w:hint="eastAsia" w:ascii="仿宋" w:hAnsi="仿宋" w:eastAsia="仿宋" w:cs="仿宋"/>
                      <w:szCs w:val="21"/>
                    </w:rPr>
                  </w:pPr>
                  <w:r>
                    <w:rPr>
                      <w:rFonts w:hint="eastAsia" w:ascii="仿宋" w:hAnsi="仿宋" w:eastAsia="仿宋" w:cs="仿宋"/>
                      <w:szCs w:val="21"/>
                    </w:rPr>
                    <w:t>代码适配</w:t>
                  </w:r>
                </w:p>
              </w:tc>
            </w:tr>
            <w:tr w14:paraId="011325D1">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76BDF2E9">
                  <w:pPr>
                    <w:jc w:val="center"/>
                    <w:rPr>
                      <w:rFonts w:hint="eastAsia" w:ascii="仿宋" w:hAnsi="仿宋" w:eastAsia="仿宋" w:cs="仿宋"/>
                      <w:szCs w:val="21"/>
                    </w:rPr>
                  </w:pPr>
                  <w:r>
                    <w:rPr>
                      <w:rFonts w:hint="eastAsia" w:ascii="仿宋" w:hAnsi="仿宋" w:eastAsia="仿宋" w:cs="仿宋"/>
                      <w:szCs w:val="21"/>
                    </w:rPr>
                    <w:t>52</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1CBE98">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C8B7FF">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44475EF8">
                  <w:pPr>
                    <w:rPr>
                      <w:rFonts w:hint="eastAsia" w:ascii="仿宋" w:hAnsi="仿宋" w:eastAsia="仿宋" w:cs="仿宋"/>
                      <w:szCs w:val="21"/>
                    </w:rPr>
                  </w:pPr>
                  <w:r>
                    <w:rPr>
                      <w:rFonts w:hint="eastAsia" w:ascii="仿宋" w:hAnsi="仿宋" w:eastAsia="仿宋" w:cs="仿宋"/>
                      <w:szCs w:val="21"/>
                    </w:rPr>
                    <w:t>功能适配</w:t>
                  </w:r>
                </w:p>
              </w:tc>
            </w:tr>
            <w:tr w14:paraId="787434AE">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4" w:space="0"/>
                    <w:right w:val="single" w:color="000000" w:sz="4" w:space="0"/>
                  </w:tcBorders>
                  <w:shd w:val="clear" w:color="auto" w:fill="FFFFFF"/>
                  <w:noWrap/>
                  <w:vAlign w:val="center"/>
                </w:tcPr>
                <w:p w14:paraId="569E6E9C">
                  <w:pPr>
                    <w:jc w:val="center"/>
                    <w:rPr>
                      <w:rFonts w:hint="eastAsia" w:ascii="仿宋" w:hAnsi="仿宋" w:eastAsia="仿宋" w:cs="仿宋"/>
                      <w:szCs w:val="21"/>
                    </w:rPr>
                  </w:pPr>
                  <w:r>
                    <w:rPr>
                      <w:rFonts w:hint="eastAsia" w:ascii="仿宋" w:hAnsi="仿宋" w:eastAsia="仿宋" w:cs="仿宋"/>
                      <w:szCs w:val="21"/>
                    </w:rPr>
                    <w:t>53</w:t>
                  </w: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62C8B">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E79594">
                  <w:pPr>
                    <w:rPr>
                      <w:rFonts w:hint="eastAsia" w:ascii="仿宋" w:hAnsi="仿宋" w:eastAsia="仿宋" w:cs="仿宋"/>
                      <w:szCs w:val="21"/>
                    </w:rPr>
                  </w:pPr>
                </w:p>
              </w:tc>
              <w:tc>
                <w:tcPr>
                  <w:tcW w:w="3402" w:type="dxa"/>
                  <w:tcBorders>
                    <w:top w:val="single" w:color="000000" w:sz="4" w:space="0"/>
                    <w:left w:val="single" w:color="000000" w:sz="4" w:space="0"/>
                    <w:bottom w:val="single" w:color="000000" w:sz="4" w:space="0"/>
                    <w:right w:val="single" w:color="000000" w:sz="12" w:space="0"/>
                  </w:tcBorders>
                  <w:shd w:val="clear" w:color="auto" w:fill="FFFFFF"/>
                  <w:noWrap/>
                  <w:vAlign w:val="center"/>
                </w:tcPr>
                <w:p w14:paraId="69623ABC">
                  <w:pPr>
                    <w:rPr>
                      <w:rFonts w:hint="eastAsia" w:ascii="仿宋" w:hAnsi="仿宋" w:eastAsia="仿宋" w:cs="仿宋"/>
                      <w:szCs w:val="21"/>
                    </w:rPr>
                  </w:pPr>
                  <w:r>
                    <w:rPr>
                      <w:rFonts w:hint="eastAsia" w:ascii="仿宋" w:hAnsi="仿宋" w:eastAsia="仿宋" w:cs="仿宋"/>
                      <w:szCs w:val="21"/>
                    </w:rPr>
                    <w:t>界面适配</w:t>
                  </w:r>
                </w:p>
              </w:tc>
            </w:tr>
            <w:tr w14:paraId="30DDA4B5">
              <w:tblPrEx>
                <w:tblCellMar>
                  <w:top w:w="0" w:type="dxa"/>
                  <w:left w:w="108" w:type="dxa"/>
                  <w:bottom w:w="0" w:type="dxa"/>
                  <w:right w:w="108" w:type="dxa"/>
                </w:tblCellMar>
              </w:tblPrEx>
              <w:trPr>
                <w:cantSplit/>
                <w:trHeight w:val="290" w:hRule="atLeast"/>
                <w:tblHeader/>
                <w:jc w:val="center"/>
              </w:trPr>
              <w:tc>
                <w:tcPr>
                  <w:tcW w:w="960" w:type="dxa"/>
                  <w:tcBorders>
                    <w:top w:val="single" w:color="000000" w:sz="4" w:space="0"/>
                    <w:left w:val="single" w:color="000000" w:sz="12" w:space="0"/>
                    <w:bottom w:val="single" w:color="000000" w:sz="12" w:space="0"/>
                    <w:right w:val="single" w:color="000000" w:sz="4" w:space="0"/>
                  </w:tcBorders>
                  <w:shd w:val="clear" w:color="auto" w:fill="FFFFFF"/>
                  <w:noWrap/>
                  <w:vAlign w:val="center"/>
                </w:tcPr>
                <w:p w14:paraId="1D15F71E">
                  <w:pPr>
                    <w:jc w:val="center"/>
                    <w:rPr>
                      <w:rFonts w:hint="eastAsia" w:ascii="仿宋" w:hAnsi="仿宋" w:eastAsia="仿宋" w:cs="仿宋"/>
                      <w:szCs w:val="21"/>
                    </w:rPr>
                  </w:pPr>
                  <w:r>
                    <w:rPr>
                      <w:rFonts w:hint="eastAsia" w:ascii="仿宋" w:hAnsi="仿宋" w:eastAsia="仿宋" w:cs="仿宋"/>
                      <w:szCs w:val="21"/>
                    </w:rPr>
                    <w:t>54</w:t>
                  </w:r>
                </w:p>
              </w:tc>
              <w:tc>
                <w:tcPr>
                  <w:tcW w:w="2017" w:type="dxa"/>
                  <w:vMerge w:val="continue"/>
                  <w:tcBorders>
                    <w:top w:val="single" w:color="000000" w:sz="4" w:space="0"/>
                    <w:left w:val="single" w:color="000000" w:sz="4" w:space="0"/>
                    <w:bottom w:val="single" w:color="000000" w:sz="12" w:space="0"/>
                    <w:right w:val="single" w:color="000000" w:sz="4" w:space="0"/>
                  </w:tcBorders>
                  <w:shd w:val="clear" w:color="auto" w:fill="FFFFFF"/>
                  <w:vAlign w:val="center"/>
                </w:tcPr>
                <w:p w14:paraId="6EB5EFC5">
                  <w:pPr>
                    <w:rPr>
                      <w:rFonts w:hint="eastAsia" w:ascii="仿宋" w:hAnsi="仿宋" w:eastAsia="仿宋" w:cs="仿宋"/>
                      <w:szCs w:val="21"/>
                    </w:rPr>
                  </w:pPr>
                </w:p>
              </w:tc>
              <w:tc>
                <w:tcPr>
                  <w:tcW w:w="1985" w:type="dxa"/>
                  <w:vMerge w:val="continue"/>
                  <w:tcBorders>
                    <w:top w:val="single" w:color="000000" w:sz="4" w:space="0"/>
                    <w:left w:val="single" w:color="000000" w:sz="4" w:space="0"/>
                    <w:bottom w:val="single" w:color="000000" w:sz="12" w:space="0"/>
                    <w:right w:val="single" w:color="000000" w:sz="4" w:space="0"/>
                  </w:tcBorders>
                  <w:shd w:val="clear" w:color="auto" w:fill="FFFFFF"/>
                  <w:vAlign w:val="center"/>
                </w:tcPr>
                <w:p w14:paraId="54BC4968">
                  <w:pPr>
                    <w:rPr>
                      <w:rFonts w:hint="eastAsia" w:ascii="仿宋" w:hAnsi="仿宋" w:eastAsia="仿宋" w:cs="仿宋"/>
                      <w:szCs w:val="21"/>
                    </w:rPr>
                  </w:pPr>
                </w:p>
              </w:tc>
              <w:tc>
                <w:tcPr>
                  <w:tcW w:w="3402" w:type="dxa"/>
                  <w:tcBorders>
                    <w:top w:val="single" w:color="000000" w:sz="4" w:space="0"/>
                    <w:left w:val="single" w:color="000000" w:sz="4" w:space="0"/>
                    <w:bottom w:val="single" w:color="000000" w:sz="12" w:space="0"/>
                    <w:right w:val="single" w:color="000000" w:sz="12" w:space="0"/>
                  </w:tcBorders>
                  <w:shd w:val="clear" w:color="auto" w:fill="FFFFFF"/>
                  <w:noWrap/>
                  <w:vAlign w:val="center"/>
                </w:tcPr>
                <w:p w14:paraId="565909E6">
                  <w:pPr>
                    <w:rPr>
                      <w:rFonts w:hint="eastAsia" w:ascii="仿宋" w:hAnsi="仿宋" w:eastAsia="仿宋" w:cs="仿宋"/>
                      <w:szCs w:val="21"/>
                    </w:rPr>
                  </w:pPr>
                  <w:r>
                    <w:rPr>
                      <w:rFonts w:hint="eastAsia" w:ascii="仿宋" w:hAnsi="仿宋" w:eastAsia="仿宋" w:cs="仿宋"/>
                      <w:szCs w:val="21"/>
                    </w:rPr>
                    <w:t>接口适配</w:t>
                  </w:r>
                </w:p>
              </w:tc>
            </w:tr>
          </w:tbl>
          <w:p w14:paraId="420479AA">
            <w:pPr>
              <w:pStyle w:val="4"/>
              <w:numPr>
                <w:ilvl w:val="1"/>
                <w:numId w:val="0"/>
              </w:numPr>
              <w:rPr>
                <w:rFonts w:hint="eastAsia" w:ascii="仿宋" w:hAnsi="仿宋" w:eastAsia="仿宋" w:cs="仿宋"/>
                <w:sz w:val="21"/>
                <w:szCs w:val="21"/>
              </w:rPr>
            </w:pPr>
            <w:bookmarkStart w:id="78" w:name="_Toc2440"/>
            <w:r>
              <w:rPr>
                <w:rFonts w:hint="eastAsia" w:ascii="仿宋" w:hAnsi="仿宋" w:eastAsia="仿宋" w:cs="仿宋"/>
                <w:sz w:val="21"/>
                <w:szCs w:val="21"/>
              </w:rPr>
              <w:t>3.3应用支撑需求分析</w:t>
            </w:r>
            <w:bookmarkEnd w:id="70"/>
            <w:bookmarkEnd w:id="78"/>
          </w:p>
          <w:p w14:paraId="40BC344B">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更好地服务于业务系统各模块功能优化，拟建专业应用支撑系统。在应用系统服务方面，该系统将为优化后的业务系统提供模块化支撑框架，针对业务流程优化、功能拓展需求，实现快速迭代与灵活适配，确保新功能模块与原有系统无缝衔接。在数据资源管理层面，专业应用支撑系统将构建统一的数据管理平台，实现数据的采集、清洗、存储、分析全流程管理，为业务系统优化后的数据分析、决策支持功能提供数据基础。同时，通过建立数据资源目录，规范数据共享与交换机制，促进系统内各模块间数据高效流通，提升整体业务处理效能。</w:t>
            </w:r>
          </w:p>
          <w:p w14:paraId="0F2EEA4E">
            <w:pPr>
              <w:pStyle w:val="4"/>
              <w:numPr>
                <w:ilvl w:val="1"/>
                <w:numId w:val="0"/>
              </w:numPr>
              <w:rPr>
                <w:rFonts w:hint="eastAsia" w:ascii="仿宋" w:hAnsi="仿宋" w:eastAsia="仿宋" w:cs="仿宋"/>
                <w:sz w:val="21"/>
                <w:szCs w:val="21"/>
              </w:rPr>
            </w:pPr>
            <w:bookmarkStart w:id="79" w:name="_Toc127382342"/>
            <w:bookmarkStart w:id="80" w:name="_Toc19728"/>
            <w:r>
              <w:rPr>
                <w:rFonts w:hint="eastAsia" w:ascii="仿宋" w:hAnsi="仿宋" w:eastAsia="仿宋" w:cs="仿宋"/>
                <w:sz w:val="21"/>
                <w:szCs w:val="21"/>
              </w:rPr>
              <w:t>3.4数据资源需求分析</w:t>
            </w:r>
            <w:bookmarkEnd w:id="71"/>
            <w:bookmarkEnd w:id="72"/>
            <w:bookmarkEnd w:id="79"/>
            <w:bookmarkEnd w:id="80"/>
          </w:p>
          <w:p w14:paraId="15DF69A3">
            <w:pPr>
              <w:pStyle w:val="5"/>
              <w:numPr>
                <w:ilvl w:val="2"/>
                <w:numId w:val="0"/>
              </w:numPr>
              <w:rPr>
                <w:rFonts w:hint="eastAsia" w:ascii="仿宋" w:hAnsi="仿宋" w:eastAsia="仿宋" w:cs="仿宋"/>
                <w:sz w:val="21"/>
                <w:szCs w:val="21"/>
              </w:rPr>
            </w:pPr>
            <w:bookmarkStart w:id="81" w:name="_Toc2095"/>
            <w:bookmarkStart w:id="82" w:name="_Toc139035583"/>
            <w:bookmarkStart w:id="83" w:name="_Toc154670812"/>
            <w:r>
              <w:rPr>
                <w:rFonts w:hint="eastAsia" w:ascii="仿宋" w:hAnsi="仿宋" w:eastAsia="仿宋" w:cs="仿宋"/>
                <w:sz w:val="21"/>
                <w:szCs w:val="21"/>
              </w:rPr>
              <w:t>3.4.1对数据治理软件的需求分析</w:t>
            </w:r>
            <w:bookmarkEnd w:id="81"/>
            <w:bookmarkEnd w:id="82"/>
            <w:bookmarkEnd w:id="83"/>
          </w:p>
          <w:p w14:paraId="36E447A4">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本期项目基于信息标准整合信息资源，利用国家卫生统计直报系统采集任务为统一数据底座，以“数据标准+数据治理”的模式夯实统一数据底座的数据和业务基础，持续将统一数据底座的核心能力进行沉淀和抽取，构建统一标准化、易集成、可扩展、可复用的组件化数据底座，具体如下：</w:t>
            </w:r>
          </w:p>
          <w:p w14:paraId="6E9D259C">
            <w:pPr>
              <w:pStyle w:val="24"/>
              <w:numPr>
                <w:ilvl w:val="3"/>
                <w:numId w:val="2"/>
              </w:numPr>
              <w:snapToGrid w:val="0"/>
              <w:spacing w:line="360" w:lineRule="auto"/>
              <w:ind w:left="0" w:firstLine="420"/>
              <w:contextualSpacing w:val="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对于数据采集、治理的需求：面对本期项目中数据报批模块业务数据，需要重新进行数据治理工作，提升数据质量，由此带来对治理后数据进行规范资产化管理、厘清数据资产家底的现实需求；</w:t>
            </w:r>
          </w:p>
          <w:p w14:paraId="1DB8B302">
            <w:pPr>
              <w:pStyle w:val="24"/>
              <w:numPr>
                <w:ilvl w:val="3"/>
                <w:numId w:val="2"/>
              </w:numPr>
              <w:snapToGrid w:val="0"/>
              <w:spacing w:line="360" w:lineRule="auto"/>
              <w:ind w:left="0" w:firstLine="420"/>
              <w:contextualSpacing w:val="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对于数据安全管理的需求：为了健全对本期项目数据资产成果的安全管理与防护，故需对数据分级分类、数据脱敏；</w:t>
            </w:r>
          </w:p>
          <w:p w14:paraId="51B80567">
            <w:pPr>
              <w:pStyle w:val="24"/>
              <w:numPr>
                <w:ilvl w:val="3"/>
                <w:numId w:val="2"/>
              </w:numPr>
              <w:snapToGrid w:val="0"/>
              <w:spacing w:line="360" w:lineRule="auto"/>
              <w:ind w:left="0" w:firstLine="420"/>
              <w:contextualSpacing w:val="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对于数据共享管理的需求：本期项目需进一步规范数据共享交换体系，建立健全数据共享交换服务机制，搭建统一的共享服务出口，列明信息资源服务目录，实现数据共享。</w:t>
            </w:r>
          </w:p>
          <w:p w14:paraId="1BB42AAB">
            <w:pPr>
              <w:pStyle w:val="5"/>
              <w:numPr>
                <w:ilvl w:val="2"/>
                <w:numId w:val="0"/>
              </w:numPr>
              <w:rPr>
                <w:rFonts w:hint="eastAsia" w:ascii="仿宋" w:hAnsi="仿宋" w:eastAsia="仿宋" w:cs="仿宋"/>
                <w:sz w:val="21"/>
                <w:szCs w:val="21"/>
              </w:rPr>
            </w:pPr>
            <w:bookmarkStart w:id="84" w:name="_Toc139035584"/>
            <w:bookmarkStart w:id="85" w:name="_Toc154670813"/>
            <w:bookmarkStart w:id="86" w:name="_Toc15002"/>
            <w:r>
              <w:rPr>
                <w:rFonts w:hint="eastAsia" w:ascii="仿宋" w:hAnsi="仿宋" w:eastAsia="仿宋" w:cs="仿宋"/>
                <w:sz w:val="21"/>
                <w:szCs w:val="21"/>
              </w:rPr>
              <w:t>3.4.2对数据治理实施的需求分析</w:t>
            </w:r>
            <w:bookmarkEnd w:id="84"/>
            <w:bookmarkEnd w:id="85"/>
            <w:bookmarkEnd w:id="86"/>
          </w:p>
          <w:p w14:paraId="69D5AB53">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基于本期项目计划开展的数据应用场景工作，以场景为导向，结合归集的新接入数据，通过数据调研及情况梳理、数据归集汇聚、数据规范定义、数据标准化处理、数据质量检测、数据清洗服务、数据比对处理、数据资源建库等8个数据治理步骤开展进一步的数据治理工作。</w:t>
            </w:r>
          </w:p>
          <w:p w14:paraId="451A7AC0">
            <w:pPr>
              <w:pStyle w:val="5"/>
              <w:numPr>
                <w:ilvl w:val="2"/>
                <w:numId w:val="0"/>
              </w:numPr>
              <w:rPr>
                <w:rFonts w:hint="eastAsia" w:ascii="仿宋" w:hAnsi="仿宋" w:eastAsia="仿宋" w:cs="仿宋"/>
                <w:sz w:val="21"/>
                <w:szCs w:val="21"/>
              </w:rPr>
            </w:pPr>
            <w:bookmarkStart w:id="87" w:name="_Toc22836"/>
            <w:bookmarkStart w:id="88" w:name="_Toc139035585"/>
            <w:bookmarkStart w:id="89" w:name="_Toc154670814"/>
            <w:r>
              <w:rPr>
                <w:rFonts w:hint="eastAsia" w:ascii="仿宋" w:hAnsi="仿宋" w:eastAsia="仿宋" w:cs="仿宋"/>
                <w:sz w:val="21"/>
                <w:szCs w:val="21"/>
              </w:rPr>
              <w:t>3.4.3对数据资源库的需求分析</w:t>
            </w:r>
            <w:bookmarkEnd w:id="87"/>
            <w:bookmarkEnd w:id="88"/>
            <w:bookmarkEnd w:id="89"/>
          </w:p>
          <w:p w14:paraId="23E3EB4C">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基于本期项目数据治理需求，结合实际接入的数据情况，本期数据资源库建设需求具体如下：</w:t>
            </w:r>
          </w:p>
          <w:p w14:paraId="79C68A63">
            <w:pPr>
              <w:pStyle w:val="24"/>
              <w:numPr>
                <w:ilvl w:val="3"/>
                <w:numId w:val="3"/>
              </w:numPr>
              <w:snapToGrid w:val="0"/>
              <w:spacing w:line="360" w:lineRule="auto"/>
              <w:ind w:left="0" w:firstLine="420"/>
              <w:contextualSpacing w:val="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基础库：本期项目卫生资源库建设需求包含但不限于数据报批库、决策分析库；</w:t>
            </w:r>
          </w:p>
          <w:p w14:paraId="50B7F89E">
            <w:pPr>
              <w:pStyle w:val="24"/>
              <w:numPr>
                <w:ilvl w:val="3"/>
                <w:numId w:val="3"/>
              </w:numPr>
              <w:snapToGrid w:val="0"/>
              <w:spacing w:line="360" w:lineRule="auto"/>
              <w:ind w:left="0" w:firstLine="420"/>
              <w:contextualSpacing w:val="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主题库：本期项目主题库建设需求包含但不限于卫生统计业务库、妇幼健康库、老龄健康库等中数据表新建工作；</w:t>
            </w:r>
          </w:p>
          <w:p w14:paraId="3CC99A98">
            <w:pPr>
              <w:pStyle w:val="24"/>
              <w:numPr>
                <w:ilvl w:val="3"/>
                <w:numId w:val="3"/>
              </w:numPr>
              <w:snapToGrid w:val="0"/>
              <w:spacing w:line="360" w:lineRule="auto"/>
              <w:ind w:left="0" w:firstLine="420"/>
              <w:contextualSpacing w:val="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专题库：本期项目专题库建设需求包含但不限于医疗服务效率与质量专题、医疗卫生资源专题等新建库表工作。</w:t>
            </w:r>
          </w:p>
          <w:bookmarkEnd w:id="73"/>
          <w:bookmarkEnd w:id="74"/>
          <w:bookmarkEnd w:id="75"/>
          <w:bookmarkEnd w:id="76"/>
          <w:p w14:paraId="1D3C80DA">
            <w:pPr>
              <w:pStyle w:val="4"/>
              <w:numPr>
                <w:ilvl w:val="1"/>
                <w:numId w:val="0"/>
              </w:numPr>
              <w:rPr>
                <w:rFonts w:hint="eastAsia" w:ascii="仿宋" w:hAnsi="仿宋" w:eastAsia="仿宋" w:cs="仿宋"/>
                <w:sz w:val="21"/>
                <w:szCs w:val="21"/>
              </w:rPr>
            </w:pPr>
            <w:bookmarkStart w:id="90" w:name="_Toc30787"/>
            <w:bookmarkStart w:id="91" w:name="_Toc127382343"/>
            <w:r>
              <w:rPr>
                <w:rFonts w:hint="eastAsia" w:ascii="仿宋" w:hAnsi="仿宋" w:eastAsia="仿宋" w:cs="仿宋"/>
                <w:sz w:val="21"/>
                <w:szCs w:val="21"/>
              </w:rPr>
              <w:t>3.5网络安全需求</w:t>
            </w:r>
            <w:bookmarkEnd w:id="90"/>
            <w:bookmarkEnd w:id="91"/>
          </w:p>
          <w:p w14:paraId="3527F78C">
            <w:pPr>
              <w:pStyle w:val="5"/>
              <w:numPr>
                <w:ilvl w:val="2"/>
                <w:numId w:val="0"/>
              </w:numPr>
              <w:rPr>
                <w:rFonts w:hint="eastAsia" w:ascii="仿宋" w:hAnsi="仿宋" w:eastAsia="仿宋" w:cs="仿宋"/>
                <w:sz w:val="21"/>
                <w:szCs w:val="21"/>
              </w:rPr>
            </w:pPr>
            <w:bookmarkStart w:id="92" w:name="_Toc127382344"/>
            <w:bookmarkStart w:id="93" w:name="_Toc5429"/>
            <w:r>
              <w:rPr>
                <w:rFonts w:hint="eastAsia" w:ascii="仿宋" w:hAnsi="仿宋" w:eastAsia="仿宋" w:cs="仿宋"/>
                <w:sz w:val="21"/>
                <w:szCs w:val="21"/>
              </w:rPr>
              <w:t>3.5.1等级保护需求</w:t>
            </w:r>
            <w:bookmarkEnd w:id="92"/>
            <w:bookmarkEnd w:id="93"/>
          </w:p>
          <w:p w14:paraId="59509338">
            <w:pPr>
              <w:pStyle w:val="22"/>
              <w:snapToGrid w:val="0"/>
              <w:ind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系统依据《信息安全技术网络安全等级保护基本要求》（GB/T22239-2019）、《信息安全技术网络安全等级保护定级指南》（GB/T22240-2020）等相关标准规范，确定系统服务安全保护等级为第三级，针对第三级系统设计安全方案。</w:t>
            </w:r>
          </w:p>
          <w:p w14:paraId="032CB1A0">
            <w:pPr>
              <w:pStyle w:val="5"/>
              <w:numPr>
                <w:ilvl w:val="2"/>
                <w:numId w:val="0"/>
              </w:numPr>
              <w:rPr>
                <w:rFonts w:hint="eastAsia" w:ascii="仿宋" w:hAnsi="仿宋" w:eastAsia="仿宋" w:cs="仿宋"/>
                <w:sz w:val="21"/>
                <w:szCs w:val="21"/>
              </w:rPr>
            </w:pPr>
            <w:bookmarkStart w:id="94" w:name="_Toc127382345"/>
            <w:bookmarkStart w:id="95" w:name="_Toc20466"/>
            <w:r>
              <w:rPr>
                <w:rFonts w:hint="eastAsia" w:ascii="仿宋" w:hAnsi="仿宋" w:eastAsia="仿宋" w:cs="仿宋"/>
                <w:sz w:val="21"/>
                <w:szCs w:val="21"/>
              </w:rPr>
              <w:t>3.5.2密码应用需求</w:t>
            </w:r>
            <w:bookmarkEnd w:id="94"/>
            <w:bookmarkEnd w:id="95"/>
          </w:p>
          <w:p w14:paraId="64A6F847">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本期项目依据《中华人民共和国密码法》及相关法律法规、政策、行业标准，同步规划、同步建设、同步运行密码保护系统。</w:t>
            </w:r>
          </w:p>
          <w:p w14:paraId="748F9BA0">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严格按照《中华人民共和国密码法》及商用密码有关规范，以落实网络安全等级保护、《信息安全技术信息系统密码应用基本要求》（GB/T39786-2021）、密码测评等相关标准为原则，搭建密码应用平台。项目从安全计算环境、安全区域边界、安全通信网络和集中安全管理等方面，通过国产商用密码产品和技术，实现基础密码服务资源、密码资源弹性扩展、密文计算、数据溯源等功能，解决传统密码服务性能低、密钥安全风险高、数据隐私泄露等安全问题，实现密码资源的高效利用，提供统一的密码管理服务。</w:t>
            </w:r>
          </w:p>
          <w:p w14:paraId="4452462E">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本期项目应用和数据安全需要实现以下密码应用需求：</w:t>
            </w:r>
          </w:p>
          <w:p w14:paraId="235B32B2">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1.需要使用密码技术实现对登录的用户进行身份标识和鉴别，实现身份鉴别信息的防截获、防假冒和防重用，保证应用系统用户身份的真实性；</w:t>
            </w:r>
          </w:p>
          <w:p w14:paraId="7CB4A449">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2.需要使用密码技术来保证业务应用系统访问控制策略、数据库表访问控制信息和重要信息资源敏感标记等信息的完整性；</w:t>
            </w:r>
          </w:p>
          <w:p w14:paraId="390F8B9E">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3.需要使用密码技术保证重要数据在传输过程中的机密性，包括但不限于鉴别数据、重要业务数据和重要用户信息等；</w:t>
            </w:r>
          </w:p>
          <w:p w14:paraId="246BF30F">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4.需要采用密码技术保证重要数据在存储过程中的机密性，包括但不限于鉴别数据、重要业务数据和重要用户信息等；</w:t>
            </w:r>
          </w:p>
          <w:p w14:paraId="5C5844F0">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5.需要采用密码技术保证重要数据在传输过程中的完整性，包括但不限于鉴别数据、重要业务数据、重要审计数据、重要配置数据、重要视频数据和重要用户信息等；</w:t>
            </w:r>
          </w:p>
          <w:p w14:paraId="415997C2">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6.需要采用密码技术保证重要数据在存储过程中的完整性，包括但不限于鉴别数据、重要业务数据、重要审计数据、重要配置数据、重要视频数据和重要用户信息、重要可执行程序等；</w:t>
            </w:r>
          </w:p>
          <w:p w14:paraId="251FCEE3">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7.需要使用密码技术来实现对日志记录完整性的保护；</w:t>
            </w:r>
          </w:p>
          <w:p w14:paraId="50509309">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8.需要采用密码技术对重要应用程序的加载和卸载进行安全控制。</w:t>
            </w:r>
          </w:p>
          <w:p w14:paraId="3E259F6E">
            <w:pPr>
              <w:pStyle w:val="22"/>
              <w:snapToGrid w:val="0"/>
              <w:ind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本期项目应用处于互联网区域，需要在互联网区域部署密码安全服务，同时解决移动端应用的安全需求。</w:t>
            </w:r>
          </w:p>
          <w:p w14:paraId="44620CA9">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性能指标指在满足业务系统正常应用授权认证或数据加密场景下，密码应用系统提供的接口性能指标，主要包括并发数、接口响应时间和稳定性。</w:t>
            </w:r>
          </w:p>
          <w:p w14:paraId="008C9719">
            <w:pPr>
              <w:pStyle w:val="14"/>
            </w:pPr>
            <w:r>
              <w:t>表</w:t>
            </w:r>
            <w:r>
              <w:rPr>
                <w:rFonts w:hint="eastAsia"/>
              </w:rPr>
              <w:t xml:space="preserve"> 密码应用性能指标需求</w:t>
            </w:r>
          </w:p>
          <w:tbl>
            <w:tblPr>
              <w:tblStyle w:val="17"/>
              <w:tblW w:w="8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6168"/>
            </w:tblGrid>
            <w:tr w14:paraId="72BC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2" w:type="dxa"/>
                  <w:vAlign w:val="center"/>
                </w:tcPr>
                <w:p w14:paraId="2C8D5C8C">
                  <w:pPr>
                    <w:snapToGrid w:val="0"/>
                    <w:spacing w:line="360" w:lineRule="auto"/>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性能指标</w:t>
                  </w:r>
                </w:p>
              </w:tc>
              <w:tc>
                <w:tcPr>
                  <w:tcW w:w="6168" w:type="dxa"/>
                  <w:vAlign w:val="center"/>
                </w:tcPr>
                <w:p w14:paraId="46241EC2">
                  <w:pPr>
                    <w:snapToGrid w:val="0"/>
                    <w:spacing w:line="360" w:lineRule="auto"/>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性能需求</w:t>
                  </w:r>
                </w:p>
              </w:tc>
            </w:tr>
            <w:tr w14:paraId="689D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2" w:type="dxa"/>
                  <w:vAlign w:val="center"/>
                </w:tcPr>
                <w:p w14:paraId="4FBC5C2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加密解密速度</w:t>
                  </w:r>
                </w:p>
              </w:tc>
              <w:tc>
                <w:tcPr>
                  <w:tcW w:w="6168" w:type="dxa"/>
                  <w:vAlign w:val="center"/>
                </w:tcPr>
                <w:p w14:paraId="0827596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≥500MB/秒</w:t>
                  </w:r>
                </w:p>
              </w:tc>
            </w:tr>
            <w:tr w14:paraId="6DC8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2" w:type="dxa"/>
                  <w:vAlign w:val="center"/>
                </w:tcPr>
                <w:p w14:paraId="773C355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接口响应时间</w:t>
                  </w:r>
                </w:p>
              </w:tc>
              <w:tc>
                <w:tcPr>
                  <w:tcW w:w="6168" w:type="dxa"/>
                  <w:vAlign w:val="center"/>
                </w:tcPr>
                <w:p w14:paraId="5BD74D9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≤500毫秒</w:t>
                  </w:r>
                </w:p>
              </w:tc>
            </w:tr>
            <w:tr w14:paraId="58D6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2" w:type="dxa"/>
                  <w:vAlign w:val="center"/>
                </w:tcPr>
                <w:p w14:paraId="2FB76A5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整体稳定性</w:t>
                  </w:r>
                </w:p>
              </w:tc>
              <w:tc>
                <w:tcPr>
                  <w:tcW w:w="6168" w:type="dxa"/>
                  <w:vAlign w:val="center"/>
                </w:tcPr>
                <w:p w14:paraId="2A78014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峰值压力下平均无故障运行时长达到24小时</w:t>
                  </w:r>
                </w:p>
              </w:tc>
            </w:tr>
          </w:tbl>
          <w:p w14:paraId="39A2B9F6">
            <w:pPr>
              <w:pStyle w:val="22"/>
              <w:snapToGrid w:val="0"/>
              <w:ind w:firstLineChars="0"/>
              <w:rPr>
                <w:color w:val="000000" w:themeColor="text1"/>
                <w14:textFill>
                  <w14:solidFill>
                    <w14:schemeClr w14:val="tx1"/>
                  </w14:solidFill>
                </w14:textFill>
              </w:rPr>
            </w:pPr>
          </w:p>
          <w:p w14:paraId="32C4EC95">
            <w:pPr>
              <w:pStyle w:val="5"/>
              <w:numPr>
                <w:ilvl w:val="2"/>
                <w:numId w:val="0"/>
              </w:numPr>
              <w:rPr>
                <w:rFonts w:hint="eastAsia" w:ascii="仿宋" w:hAnsi="仿宋" w:eastAsia="仿宋" w:cs="仿宋"/>
                <w:sz w:val="21"/>
                <w:szCs w:val="21"/>
              </w:rPr>
            </w:pPr>
            <w:bookmarkStart w:id="96" w:name="_Toc11060"/>
            <w:bookmarkStart w:id="97" w:name="_Toc127382346"/>
            <w:r>
              <w:rPr>
                <w:rFonts w:hint="eastAsia" w:ascii="仿宋" w:hAnsi="仿宋" w:eastAsia="仿宋" w:cs="仿宋"/>
                <w:sz w:val="21"/>
                <w:szCs w:val="21"/>
              </w:rPr>
              <w:t>3.5.3国产自主可控应用需求</w:t>
            </w:r>
            <w:bookmarkEnd w:id="96"/>
            <w:bookmarkEnd w:id="97"/>
          </w:p>
          <w:p w14:paraId="47B4DE47">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本期项目中国产自主可控产品应用需求，包括服务器、操作系统、支撑软件等多个方面，可基于省级政务云健康专区的信创目录提供的国产化资源进行适配性验证。</w:t>
            </w:r>
          </w:p>
          <w:p w14:paraId="00C034F2">
            <w:pPr>
              <w:pStyle w:val="4"/>
              <w:numPr>
                <w:ilvl w:val="1"/>
                <w:numId w:val="0"/>
              </w:numPr>
              <w:rPr>
                <w:rFonts w:hint="eastAsia" w:ascii="仿宋" w:hAnsi="仿宋" w:eastAsia="仿宋" w:cs="仿宋"/>
                <w:sz w:val="21"/>
                <w:szCs w:val="21"/>
              </w:rPr>
            </w:pPr>
            <w:bookmarkStart w:id="98" w:name="_Toc30322"/>
            <w:bookmarkStart w:id="99" w:name="_Toc127382347"/>
            <w:bookmarkStart w:id="100" w:name="_Toc117416573"/>
            <w:r>
              <w:rPr>
                <w:rFonts w:hint="eastAsia" w:ascii="仿宋" w:hAnsi="仿宋" w:eastAsia="仿宋" w:cs="仿宋"/>
                <w:sz w:val="21"/>
                <w:szCs w:val="21"/>
              </w:rPr>
              <w:t>3.6运维系统需求分析</w:t>
            </w:r>
            <w:bookmarkEnd w:id="98"/>
            <w:bookmarkEnd w:id="99"/>
          </w:p>
          <w:p w14:paraId="68BBD1A6">
            <w:pPr>
              <w:pStyle w:val="5"/>
              <w:numPr>
                <w:ilvl w:val="2"/>
                <w:numId w:val="0"/>
              </w:numPr>
              <w:rPr>
                <w:rFonts w:hint="eastAsia" w:ascii="仿宋" w:hAnsi="仿宋" w:eastAsia="仿宋" w:cs="仿宋"/>
                <w:sz w:val="21"/>
                <w:szCs w:val="21"/>
              </w:rPr>
            </w:pPr>
            <w:bookmarkStart w:id="101" w:name="_Toc16218"/>
            <w:r>
              <w:rPr>
                <w:rFonts w:hint="eastAsia" w:ascii="仿宋" w:hAnsi="仿宋" w:eastAsia="仿宋" w:cs="仿宋"/>
                <w:sz w:val="21"/>
                <w:szCs w:val="21"/>
              </w:rPr>
              <w:t>3.6.1协调机制需求</w:t>
            </w:r>
            <w:bookmarkEnd w:id="101"/>
          </w:p>
          <w:p w14:paraId="0866ADD1">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国家系统优化与地方定制化任务执行过程中，建立定期沟通会议制度。在国家优化包下发前，运维团队与上级技术指导部门共同商讨优化与定制计划，明确时间节点和任务分工。实时跟踪定制任务进度，一旦出现滞后情况，及时协调各方资源解决，保障系统优化后功能正常使用，减少对业务的影响。</w:t>
            </w:r>
          </w:p>
          <w:p w14:paraId="6626E811">
            <w:pPr>
              <w:pStyle w:val="5"/>
              <w:numPr>
                <w:ilvl w:val="2"/>
                <w:numId w:val="0"/>
              </w:numPr>
              <w:rPr>
                <w:rFonts w:hint="eastAsia" w:ascii="仿宋" w:hAnsi="仿宋" w:eastAsia="仿宋" w:cs="仿宋"/>
                <w:sz w:val="21"/>
                <w:szCs w:val="21"/>
              </w:rPr>
            </w:pPr>
            <w:bookmarkStart w:id="102" w:name="_Toc24491"/>
            <w:r>
              <w:rPr>
                <w:rFonts w:hint="eastAsia" w:ascii="仿宋" w:hAnsi="仿宋" w:eastAsia="仿宋" w:cs="仿宋"/>
                <w:sz w:val="21"/>
                <w:szCs w:val="21"/>
              </w:rPr>
              <w:t>3.6.2问题处理效率需求</w:t>
            </w:r>
            <w:bookmarkEnd w:id="102"/>
          </w:p>
          <w:p w14:paraId="7DA1B667">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复杂问题处理效率低的问题，一方面，加强对驻地运维师的技术培训，定期要求组织专业技术培训和案例分享会，提升运维人员处理复杂问题的能力；另一方面，优化系统问题排序处理流程，对于紧急且复杂的问题，建立单独支持通道，可直接优先处理并获取技术指导，缩短问题解决时间。</w:t>
            </w:r>
          </w:p>
          <w:p w14:paraId="3FDF92A4">
            <w:pPr>
              <w:pStyle w:val="5"/>
              <w:numPr>
                <w:ilvl w:val="2"/>
                <w:numId w:val="0"/>
              </w:numPr>
              <w:rPr>
                <w:rFonts w:hint="eastAsia" w:ascii="仿宋" w:hAnsi="仿宋" w:eastAsia="仿宋" w:cs="仿宋"/>
                <w:sz w:val="21"/>
                <w:szCs w:val="21"/>
              </w:rPr>
            </w:pPr>
            <w:bookmarkStart w:id="103" w:name="_Toc23753"/>
            <w:r>
              <w:rPr>
                <w:rFonts w:hint="eastAsia" w:ascii="仿宋" w:hAnsi="仿宋" w:eastAsia="仿宋" w:cs="仿宋"/>
                <w:sz w:val="21"/>
                <w:szCs w:val="21"/>
              </w:rPr>
              <w:t>3.6.3监测功能需求</w:t>
            </w:r>
            <w:bookmarkEnd w:id="103"/>
          </w:p>
          <w:p w14:paraId="7F0975EA">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为保障系统稳定、高效运行，当前需对系统中现有的资源监测功能进行优化与完善。由于卫生业务运行产生的数据日益增长，原有监测功能已难以满足日益复杂的运维需求。</w:t>
            </w:r>
          </w:p>
          <w:p w14:paraId="28FD9822">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提升监测深度与广度的同时，我们还将对监测功能的交互方式进行革新。以往，监测功能模块深藏于后台系统，信息获取存在一定滞后性。此次优化将监测功能集成至前端界面，以可视化图表形式展示。管理员登录系统门户页面中的资源监控模块，即可查看系统运行状态，获取实时的可视化监测报表与预警信息。这种直观、便捷的交互方式，不仅显著提升了运维效率，更确保了监测工具始终与系统运维需求保持同步，有效降低系统故障发生的风险，为系统的稳定运行筑起坚实防线。</w:t>
            </w:r>
          </w:p>
          <w:p w14:paraId="23C20939">
            <w:pPr>
              <w:pStyle w:val="4"/>
              <w:numPr>
                <w:ilvl w:val="1"/>
                <w:numId w:val="0"/>
              </w:numPr>
              <w:rPr>
                <w:rFonts w:hint="eastAsia" w:ascii="仿宋" w:hAnsi="仿宋" w:eastAsia="仿宋" w:cs="仿宋"/>
                <w:sz w:val="21"/>
                <w:szCs w:val="21"/>
              </w:rPr>
            </w:pPr>
            <w:bookmarkStart w:id="104" w:name="_Toc127382349"/>
            <w:bookmarkStart w:id="105" w:name="_Toc7594"/>
            <w:r>
              <w:rPr>
                <w:rFonts w:hint="eastAsia" w:ascii="仿宋" w:hAnsi="仿宋" w:eastAsia="仿宋" w:cs="仿宋"/>
                <w:sz w:val="21"/>
                <w:szCs w:val="21"/>
              </w:rPr>
              <w:t>3.7系统性能需求</w:t>
            </w:r>
            <w:bookmarkEnd w:id="100"/>
            <w:bookmarkEnd w:id="104"/>
            <w:bookmarkEnd w:id="105"/>
          </w:p>
          <w:p w14:paraId="65E8A460">
            <w:pPr>
              <w:pStyle w:val="5"/>
              <w:numPr>
                <w:ilvl w:val="2"/>
                <w:numId w:val="0"/>
              </w:numPr>
              <w:rPr>
                <w:rFonts w:hint="eastAsia" w:ascii="仿宋" w:hAnsi="仿宋" w:eastAsia="仿宋" w:cs="仿宋"/>
                <w:sz w:val="21"/>
                <w:szCs w:val="21"/>
              </w:rPr>
            </w:pPr>
            <w:bookmarkStart w:id="106" w:name="_Toc31498"/>
            <w:r>
              <w:rPr>
                <w:rFonts w:hint="eastAsia" w:ascii="仿宋" w:hAnsi="仿宋" w:eastAsia="仿宋" w:cs="仿宋"/>
                <w:sz w:val="21"/>
                <w:szCs w:val="21"/>
              </w:rPr>
              <w:t>3.7.1应用系统性能要求</w:t>
            </w:r>
            <w:bookmarkEnd w:id="106"/>
          </w:p>
          <w:p w14:paraId="28F6DA75">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3.7.1.1时效性需求</w:t>
            </w:r>
          </w:p>
          <w:p w14:paraId="21277D58">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响应时间为应用系统从发出请求开始到客户端接收到响应所消耗的时间。把它作为用户视角的软件性能的主要体现。它包括网络上的传输时间，web服务器上处理时间，数据库服务器上处理时间及存盘读写时，但不包括浏览器上的内容显示时间，即“呈现时间”，这是因为呈现时间在很大程度上取决于客户端的表现。例如，一台内存不足的客户端机器在处理复杂页面的时候，其呈现时间可能就很长，而这并不能说明整个系统的性能。</w:t>
            </w:r>
          </w:p>
          <w:p w14:paraId="03004D59">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系统平均响应时间应能够满足系统并发压力负载性能需要。服务系统的响应时间需满足如下要求：</w:t>
            </w:r>
          </w:p>
          <w:p w14:paraId="3DA40189">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系统登录（浏览器端）、打开、刷新页面的响应时间在3秒内。</w:t>
            </w:r>
          </w:p>
          <w:p w14:paraId="57DBB312">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系统处理速度：系统处理时间不大于5秒。</w:t>
            </w:r>
          </w:p>
          <w:p w14:paraId="2271A344">
            <w:pPr>
              <w:snapToGrid w:val="0"/>
              <w:spacing w:line="360" w:lineRule="auto"/>
              <w:ind w:firstLine="480"/>
              <w:rPr>
                <w:rFonts w:hint="eastAsia" w:ascii="仿宋" w:hAnsi="仿宋" w:eastAsia="仿宋" w:cs="仿宋"/>
                <w:szCs w:val="21"/>
              </w:rPr>
            </w:pPr>
            <w:r>
              <w:rPr>
                <w:rFonts w:hint="eastAsia" w:ascii="仿宋" w:hAnsi="仿宋" w:eastAsia="仿宋" w:cs="仿宋"/>
                <w:color w:val="000000" w:themeColor="text1"/>
                <w:szCs w:val="21"/>
                <w14:textFill>
                  <w14:solidFill>
                    <w14:schemeClr w14:val="tx1"/>
                  </w14:solidFill>
                </w14:textFill>
              </w:rPr>
              <w:t>查询速度：要求采用合理的数据库结构和查询算法，查询的响应速度不大于5秒，并不随记录数的增长而下降。</w:t>
            </w:r>
          </w:p>
          <w:p w14:paraId="7C91267D">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3.7.1.2并发性需求</w:t>
            </w:r>
          </w:p>
          <w:p w14:paraId="677E91DA">
            <w:pPr>
              <w:snapToGrid w:val="0"/>
              <w:spacing w:line="360" w:lineRule="auto"/>
              <w:ind w:firstLine="480"/>
              <w:rPr>
                <w:rFonts w:hint="eastAsia" w:ascii="仿宋" w:hAnsi="仿宋" w:eastAsia="仿宋" w:cs="仿宋"/>
                <w:szCs w:val="21"/>
              </w:rPr>
            </w:pPr>
            <w:r>
              <w:rPr>
                <w:rFonts w:hint="eastAsia" w:ascii="仿宋" w:hAnsi="仿宋" w:eastAsia="仿宋" w:cs="仿宋"/>
                <w:szCs w:val="21"/>
              </w:rPr>
              <w:t>系统覆盖的用户量估算如下表所示：</w:t>
            </w:r>
          </w:p>
          <w:p w14:paraId="7DAE4F8D">
            <w:pPr>
              <w:pStyle w:val="14"/>
            </w:pPr>
            <w:bookmarkStart w:id="107" w:name="_Toc135923346"/>
            <w:bookmarkStart w:id="108" w:name="_Toc135923114"/>
            <w:bookmarkStart w:id="109" w:name="_Toc134642971"/>
            <w:r>
              <w:rPr>
                <w:rFonts w:hint="eastAsia"/>
              </w:rPr>
              <w:t>表</w:t>
            </w:r>
            <w:bookmarkEnd w:id="107"/>
            <w:bookmarkEnd w:id="108"/>
            <w:bookmarkEnd w:id="109"/>
            <w:r>
              <w:rPr>
                <w:rFonts w:hint="eastAsia"/>
              </w:rPr>
              <w:t xml:space="preserve"> </w:t>
            </w:r>
            <w:r>
              <w:t>用户量分析表</w:t>
            </w:r>
          </w:p>
          <w:tbl>
            <w:tblPr>
              <w:tblStyle w:val="17"/>
              <w:tblW w:w="7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5"/>
              <w:gridCol w:w="4494"/>
            </w:tblGrid>
            <w:tr w14:paraId="1E89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blHeader/>
                <w:jc w:val="center"/>
              </w:trPr>
              <w:tc>
                <w:tcPr>
                  <w:tcW w:w="2985" w:type="dxa"/>
                  <w:vAlign w:val="center"/>
                </w:tcPr>
                <w:p w14:paraId="232EE1FD">
                  <w:pPr>
                    <w:snapToGrid w:val="0"/>
                    <w:spacing w:line="360" w:lineRule="auto"/>
                    <w:jc w:val="center"/>
                    <w:rPr>
                      <w:rFonts w:hint="eastAsia" w:ascii="仿宋" w:hAnsi="仿宋" w:eastAsia="仿宋" w:cs="仿宋"/>
                      <w:b/>
                      <w:sz w:val="22"/>
                      <w:szCs w:val="20"/>
                    </w:rPr>
                  </w:pPr>
                  <w:r>
                    <w:rPr>
                      <w:rFonts w:hint="eastAsia" w:ascii="仿宋" w:hAnsi="仿宋" w:eastAsia="仿宋" w:cs="仿宋"/>
                      <w:b/>
                      <w:sz w:val="22"/>
                      <w:szCs w:val="20"/>
                    </w:rPr>
                    <w:t>省/市</w:t>
                  </w:r>
                </w:p>
              </w:tc>
              <w:tc>
                <w:tcPr>
                  <w:tcW w:w="4494" w:type="dxa"/>
                  <w:tcBorders>
                    <w:top w:val="single" w:color="auto" w:sz="4" w:space="0"/>
                    <w:left w:val="nil"/>
                    <w:bottom w:val="single" w:color="auto" w:sz="4" w:space="0"/>
                    <w:right w:val="single" w:color="auto" w:sz="4" w:space="0"/>
                  </w:tcBorders>
                  <w:vAlign w:val="center"/>
                </w:tcPr>
                <w:p w14:paraId="58A073DC">
                  <w:pPr>
                    <w:snapToGrid w:val="0"/>
                    <w:spacing w:line="360" w:lineRule="auto"/>
                    <w:jc w:val="center"/>
                    <w:rPr>
                      <w:rFonts w:hint="eastAsia" w:ascii="仿宋" w:hAnsi="仿宋" w:eastAsia="仿宋" w:cs="仿宋"/>
                      <w:b/>
                      <w:iCs/>
                      <w:sz w:val="22"/>
                    </w:rPr>
                  </w:pPr>
                  <w:r>
                    <w:rPr>
                      <w:rFonts w:hint="eastAsia" w:ascii="仿宋" w:hAnsi="仿宋" w:eastAsia="仿宋" w:cs="仿宋"/>
                      <w:b/>
                      <w:iCs/>
                      <w:sz w:val="22"/>
                    </w:rPr>
                    <w:t>数量（个）</w:t>
                  </w:r>
                </w:p>
              </w:tc>
            </w:tr>
            <w:tr w14:paraId="1319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985" w:type="dxa"/>
                  <w:vAlign w:val="center"/>
                </w:tcPr>
                <w:p w14:paraId="22D83E6F">
                  <w:pPr>
                    <w:snapToGrid w:val="0"/>
                    <w:spacing w:line="360" w:lineRule="auto"/>
                    <w:jc w:val="center"/>
                    <w:rPr>
                      <w:rFonts w:hint="eastAsia" w:ascii="仿宋" w:hAnsi="仿宋" w:eastAsia="仿宋" w:cs="仿宋"/>
                      <w:sz w:val="22"/>
                      <w:szCs w:val="20"/>
                    </w:rPr>
                  </w:pPr>
                  <w:r>
                    <w:rPr>
                      <w:rFonts w:hint="eastAsia" w:ascii="仿宋" w:hAnsi="仿宋" w:eastAsia="仿宋" w:cs="仿宋"/>
                      <w:sz w:val="22"/>
                      <w:szCs w:val="20"/>
                    </w:rPr>
                    <w:t>全省</w:t>
                  </w:r>
                </w:p>
              </w:tc>
              <w:tc>
                <w:tcPr>
                  <w:tcW w:w="4494" w:type="dxa"/>
                  <w:tcBorders>
                    <w:top w:val="single" w:color="auto" w:sz="4" w:space="0"/>
                    <w:left w:val="nil"/>
                    <w:bottom w:val="single" w:color="auto" w:sz="4" w:space="0"/>
                    <w:right w:val="single" w:color="auto" w:sz="4" w:space="0"/>
                  </w:tcBorders>
                  <w:vAlign w:val="center"/>
                </w:tcPr>
                <w:p w14:paraId="5CDFDC79">
                  <w:pPr>
                    <w:snapToGrid w:val="0"/>
                    <w:spacing w:line="360" w:lineRule="auto"/>
                    <w:jc w:val="center"/>
                    <w:rPr>
                      <w:rFonts w:hint="eastAsia" w:ascii="仿宋" w:hAnsi="仿宋" w:eastAsia="仿宋" w:cs="仿宋"/>
                      <w:i/>
                      <w:sz w:val="22"/>
                    </w:rPr>
                  </w:pPr>
                  <w:r>
                    <w:rPr>
                      <w:rFonts w:hint="eastAsia" w:ascii="仿宋" w:hAnsi="仿宋" w:eastAsia="仿宋" w:cs="仿宋"/>
                      <w:sz w:val="22"/>
                      <w:szCs w:val="22"/>
                    </w:rPr>
                    <w:t>500000</w:t>
                  </w:r>
                </w:p>
              </w:tc>
            </w:tr>
          </w:tbl>
          <w:p w14:paraId="664B32D8">
            <w:pPr>
              <w:pStyle w:val="14"/>
            </w:pPr>
            <w:bookmarkStart w:id="110" w:name="_Toc135923125"/>
            <w:bookmarkStart w:id="111" w:name="_Toc134642982"/>
            <w:bookmarkStart w:id="112" w:name="_Toc135923357"/>
            <w:bookmarkStart w:id="113" w:name="_Toc133675677"/>
            <w:r>
              <w:rPr>
                <w:rFonts w:hint="eastAsia"/>
              </w:rPr>
              <w:t xml:space="preserve">表 </w:t>
            </w:r>
            <w:r>
              <w:t>业务估算表</w:t>
            </w:r>
            <w:bookmarkEnd w:id="110"/>
            <w:bookmarkEnd w:id="111"/>
            <w:bookmarkEnd w:id="112"/>
            <w:bookmarkEnd w:id="113"/>
          </w:p>
          <w:tbl>
            <w:tblPr>
              <w:tblStyle w:val="17"/>
              <w:tblW w:w="7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124"/>
              <w:gridCol w:w="2739"/>
              <w:gridCol w:w="1773"/>
              <w:gridCol w:w="2162"/>
            </w:tblGrid>
            <w:tr w14:paraId="6C2E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9" w:hRule="atLeast"/>
                <w:tblHeader/>
                <w:jc w:val="center"/>
              </w:trPr>
              <w:tc>
                <w:tcPr>
                  <w:tcW w:w="11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A806D">
                  <w:pPr>
                    <w:snapToGrid w:val="0"/>
                    <w:spacing w:line="360" w:lineRule="auto"/>
                    <w:jc w:val="center"/>
                    <w:rPr>
                      <w:rFonts w:hint="eastAsia" w:ascii="仿宋" w:hAnsi="仿宋" w:eastAsia="仿宋" w:cs="仿宋"/>
                      <w:b/>
                      <w:bCs/>
                      <w:sz w:val="22"/>
                      <w:szCs w:val="36"/>
                    </w:rPr>
                  </w:pPr>
                  <w:r>
                    <w:rPr>
                      <w:rFonts w:hint="eastAsia" w:ascii="仿宋" w:hAnsi="仿宋" w:eastAsia="仿宋" w:cs="仿宋"/>
                      <w:b/>
                      <w:bCs/>
                      <w:sz w:val="22"/>
                      <w:szCs w:val="36"/>
                    </w:rPr>
                    <w:t>参数</w:t>
                  </w:r>
                </w:p>
              </w:tc>
              <w:tc>
                <w:tcPr>
                  <w:tcW w:w="2739" w:type="dxa"/>
                  <w:tcBorders>
                    <w:top w:val="single" w:color="000000" w:sz="4" w:space="0"/>
                    <w:left w:val="nil"/>
                    <w:bottom w:val="single" w:color="000000" w:sz="4" w:space="0"/>
                    <w:right w:val="single" w:color="000000" w:sz="4" w:space="0"/>
                  </w:tcBorders>
                  <w:shd w:val="clear" w:color="auto" w:fill="FFFFFF"/>
                  <w:vAlign w:val="center"/>
                </w:tcPr>
                <w:p w14:paraId="584DCE62">
                  <w:pPr>
                    <w:snapToGrid w:val="0"/>
                    <w:spacing w:line="360" w:lineRule="auto"/>
                    <w:jc w:val="center"/>
                    <w:rPr>
                      <w:rFonts w:hint="eastAsia" w:ascii="仿宋" w:hAnsi="仿宋" w:eastAsia="仿宋" w:cs="仿宋"/>
                      <w:b/>
                      <w:bCs/>
                      <w:sz w:val="22"/>
                      <w:szCs w:val="36"/>
                    </w:rPr>
                  </w:pPr>
                  <w:r>
                    <w:rPr>
                      <w:rFonts w:hint="eastAsia" w:ascii="仿宋" w:hAnsi="仿宋" w:eastAsia="仿宋" w:cs="仿宋"/>
                      <w:b/>
                      <w:bCs/>
                      <w:sz w:val="22"/>
                      <w:szCs w:val="36"/>
                    </w:rPr>
                    <w:t>参数名称</w:t>
                  </w:r>
                </w:p>
              </w:tc>
              <w:tc>
                <w:tcPr>
                  <w:tcW w:w="1773" w:type="dxa"/>
                  <w:tcBorders>
                    <w:top w:val="single" w:color="000000" w:sz="4" w:space="0"/>
                    <w:left w:val="nil"/>
                    <w:bottom w:val="single" w:color="000000" w:sz="4" w:space="0"/>
                    <w:right w:val="single" w:color="000000" w:sz="4" w:space="0"/>
                  </w:tcBorders>
                  <w:shd w:val="clear" w:color="auto" w:fill="FFFFFF"/>
                  <w:vAlign w:val="center"/>
                </w:tcPr>
                <w:p w14:paraId="3BF357F3">
                  <w:pPr>
                    <w:snapToGrid w:val="0"/>
                    <w:spacing w:line="360" w:lineRule="auto"/>
                    <w:jc w:val="center"/>
                    <w:rPr>
                      <w:rFonts w:hint="eastAsia" w:ascii="仿宋" w:hAnsi="仿宋" w:eastAsia="仿宋" w:cs="仿宋"/>
                      <w:b/>
                      <w:bCs/>
                      <w:sz w:val="22"/>
                      <w:szCs w:val="36"/>
                    </w:rPr>
                  </w:pPr>
                  <w:r>
                    <w:rPr>
                      <w:rFonts w:hint="eastAsia" w:ascii="仿宋" w:hAnsi="仿宋" w:eastAsia="仿宋" w:cs="仿宋"/>
                      <w:b/>
                      <w:bCs/>
                      <w:sz w:val="22"/>
                      <w:szCs w:val="36"/>
                    </w:rPr>
                    <w:t>来源</w:t>
                  </w:r>
                </w:p>
              </w:tc>
              <w:tc>
                <w:tcPr>
                  <w:tcW w:w="2162" w:type="dxa"/>
                  <w:tcBorders>
                    <w:top w:val="single" w:color="000000" w:sz="4" w:space="0"/>
                    <w:left w:val="nil"/>
                    <w:bottom w:val="single" w:color="000000" w:sz="4" w:space="0"/>
                    <w:right w:val="single" w:color="000000" w:sz="4" w:space="0"/>
                  </w:tcBorders>
                  <w:shd w:val="clear" w:color="auto" w:fill="FFFFFF"/>
                  <w:vAlign w:val="center"/>
                </w:tcPr>
                <w:p w14:paraId="0181D0A9">
                  <w:pPr>
                    <w:snapToGrid w:val="0"/>
                    <w:spacing w:line="360" w:lineRule="auto"/>
                    <w:jc w:val="center"/>
                    <w:rPr>
                      <w:rFonts w:hint="eastAsia" w:ascii="仿宋" w:hAnsi="仿宋" w:eastAsia="仿宋" w:cs="仿宋"/>
                      <w:b/>
                      <w:bCs/>
                      <w:sz w:val="22"/>
                      <w:szCs w:val="36"/>
                    </w:rPr>
                  </w:pPr>
                  <w:r>
                    <w:rPr>
                      <w:rFonts w:hint="eastAsia" w:ascii="仿宋" w:hAnsi="仿宋" w:eastAsia="仿宋" w:cs="仿宋"/>
                      <w:b/>
                      <w:bCs/>
                      <w:sz w:val="22"/>
                      <w:szCs w:val="36"/>
                    </w:rPr>
                    <w:t>单位</w:t>
                  </w:r>
                </w:p>
              </w:tc>
            </w:tr>
            <w:tr w14:paraId="5AA3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9" w:hRule="atLeast"/>
                <w:tblHeader/>
                <w:jc w:val="center"/>
              </w:trPr>
              <w:tc>
                <w:tcPr>
                  <w:tcW w:w="1124" w:type="dxa"/>
                  <w:tcBorders>
                    <w:top w:val="single" w:color="000000" w:sz="4" w:space="0"/>
                    <w:left w:val="single" w:color="auto" w:sz="4" w:space="0"/>
                    <w:bottom w:val="single" w:color="auto" w:sz="4" w:space="0"/>
                    <w:right w:val="single" w:color="auto" w:sz="4" w:space="0"/>
                  </w:tcBorders>
                  <w:vAlign w:val="center"/>
                </w:tcPr>
                <w:p w14:paraId="50D20C88">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n</w:t>
                  </w:r>
                </w:p>
              </w:tc>
              <w:tc>
                <w:tcPr>
                  <w:tcW w:w="2739" w:type="dxa"/>
                  <w:tcBorders>
                    <w:top w:val="single" w:color="000000" w:sz="4" w:space="0"/>
                    <w:left w:val="nil"/>
                    <w:bottom w:val="single" w:color="auto" w:sz="4" w:space="0"/>
                    <w:right w:val="single" w:color="auto" w:sz="4" w:space="0"/>
                  </w:tcBorders>
                  <w:vAlign w:val="center"/>
                </w:tcPr>
                <w:p w14:paraId="25379B98">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业务访问信息点</w:t>
                  </w:r>
                </w:p>
              </w:tc>
              <w:tc>
                <w:tcPr>
                  <w:tcW w:w="1773" w:type="dxa"/>
                  <w:tcBorders>
                    <w:top w:val="single" w:color="000000" w:sz="4" w:space="0"/>
                    <w:left w:val="nil"/>
                    <w:bottom w:val="single" w:color="auto" w:sz="4" w:space="0"/>
                    <w:right w:val="single" w:color="auto" w:sz="4" w:space="0"/>
                  </w:tcBorders>
                  <w:vAlign w:val="center"/>
                </w:tcPr>
                <w:p w14:paraId="6158D60E">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估算</w:t>
                  </w:r>
                </w:p>
              </w:tc>
              <w:tc>
                <w:tcPr>
                  <w:tcW w:w="2162" w:type="dxa"/>
                  <w:tcBorders>
                    <w:top w:val="single" w:color="000000" w:sz="4" w:space="0"/>
                    <w:left w:val="nil"/>
                    <w:bottom w:val="single" w:color="auto" w:sz="4" w:space="0"/>
                    <w:right w:val="single" w:color="auto" w:sz="4" w:space="0"/>
                  </w:tcBorders>
                  <w:vAlign w:val="center"/>
                </w:tcPr>
                <w:p w14:paraId="2818CE00">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点</w:t>
                  </w:r>
                </w:p>
              </w:tc>
            </w:tr>
            <w:tr w14:paraId="7891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9" w:hRule="atLeast"/>
                <w:tblHeader/>
                <w:jc w:val="center"/>
              </w:trPr>
              <w:tc>
                <w:tcPr>
                  <w:tcW w:w="1124" w:type="dxa"/>
                  <w:tcBorders>
                    <w:top w:val="single" w:color="auto" w:sz="4" w:space="0"/>
                    <w:left w:val="single" w:color="auto" w:sz="4" w:space="0"/>
                    <w:bottom w:val="single" w:color="auto" w:sz="4" w:space="0"/>
                    <w:right w:val="single" w:color="auto" w:sz="4" w:space="0"/>
                  </w:tcBorders>
                  <w:vAlign w:val="center"/>
                </w:tcPr>
                <w:p w14:paraId="5061ED88">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L</w:t>
                  </w:r>
                </w:p>
              </w:tc>
              <w:tc>
                <w:tcPr>
                  <w:tcW w:w="2739" w:type="dxa"/>
                  <w:tcBorders>
                    <w:top w:val="single" w:color="auto" w:sz="4" w:space="0"/>
                    <w:left w:val="nil"/>
                    <w:bottom w:val="single" w:color="auto" w:sz="4" w:space="0"/>
                    <w:right w:val="single" w:color="auto" w:sz="4" w:space="0"/>
                  </w:tcBorders>
                  <w:vAlign w:val="center"/>
                </w:tcPr>
                <w:p w14:paraId="57E266E7">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登录到退出平均时间</w:t>
                  </w:r>
                </w:p>
              </w:tc>
              <w:tc>
                <w:tcPr>
                  <w:tcW w:w="1773" w:type="dxa"/>
                  <w:tcBorders>
                    <w:top w:val="single" w:color="auto" w:sz="4" w:space="0"/>
                    <w:left w:val="nil"/>
                    <w:bottom w:val="single" w:color="auto" w:sz="4" w:space="0"/>
                    <w:right w:val="single" w:color="auto" w:sz="4" w:space="0"/>
                  </w:tcBorders>
                  <w:vAlign w:val="center"/>
                </w:tcPr>
                <w:p w14:paraId="2392865C">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估算</w:t>
                  </w:r>
                </w:p>
              </w:tc>
              <w:tc>
                <w:tcPr>
                  <w:tcW w:w="2162" w:type="dxa"/>
                  <w:tcBorders>
                    <w:top w:val="single" w:color="auto" w:sz="4" w:space="0"/>
                    <w:left w:val="nil"/>
                    <w:bottom w:val="single" w:color="auto" w:sz="4" w:space="0"/>
                    <w:right w:val="single" w:color="auto" w:sz="4" w:space="0"/>
                  </w:tcBorders>
                  <w:vAlign w:val="center"/>
                </w:tcPr>
                <w:p w14:paraId="4739341D">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小时</w:t>
                  </w:r>
                </w:p>
              </w:tc>
            </w:tr>
            <w:tr w14:paraId="35FF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39" w:hRule="atLeast"/>
                <w:tblHeader/>
                <w:jc w:val="center"/>
              </w:trPr>
              <w:tc>
                <w:tcPr>
                  <w:tcW w:w="1124" w:type="dxa"/>
                  <w:tcBorders>
                    <w:top w:val="single" w:color="auto" w:sz="4" w:space="0"/>
                    <w:left w:val="single" w:color="auto" w:sz="4" w:space="0"/>
                    <w:bottom w:val="single" w:color="auto" w:sz="4" w:space="0"/>
                    <w:right w:val="single" w:color="auto" w:sz="4" w:space="0"/>
                  </w:tcBorders>
                  <w:vAlign w:val="center"/>
                </w:tcPr>
                <w:p w14:paraId="71D1EA02">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T</w:t>
                  </w:r>
                </w:p>
              </w:tc>
              <w:tc>
                <w:tcPr>
                  <w:tcW w:w="2739" w:type="dxa"/>
                  <w:tcBorders>
                    <w:top w:val="single" w:color="auto" w:sz="4" w:space="0"/>
                    <w:left w:val="nil"/>
                    <w:bottom w:val="single" w:color="auto" w:sz="4" w:space="0"/>
                    <w:right w:val="single" w:color="auto" w:sz="4" w:space="0"/>
                  </w:tcBorders>
                  <w:vAlign w:val="center"/>
                </w:tcPr>
                <w:p w14:paraId="1D0B4B09">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系统使用时间段</w:t>
                  </w:r>
                </w:p>
              </w:tc>
              <w:tc>
                <w:tcPr>
                  <w:tcW w:w="1773" w:type="dxa"/>
                  <w:tcBorders>
                    <w:top w:val="single" w:color="auto" w:sz="4" w:space="0"/>
                    <w:left w:val="nil"/>
                    <w:bottom w:val="single" w:color="auto" w:sz="4" w:space="0"/>
                    <w:right w:val="single" w:color="auto" w:sz="4" w:space="0"/>
                  </w:tcBorders>
                  <w:vAlign w:val="center"/>
                </w:tcPr>
                <w:p w14:paraId="554A58EF">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工作时长</w:t>
                  </w:r>
                </w:p>
              </w:tc>
              <w:tc>
                <w:tcPr>
                  <w:tcW w:w="2162" w:type="dxa"/>
                  <w:tcBorders>
                    <w:top w:val="single" w:color="auto" w:sz="4" w:space="0"/>
                    <w:left w:val="nil"/>
                    <w:bottom w:val="single" w:color="auto" w:sz="4" w:space="0"/>
                    <w:right w:val="single" w:color="auto" w:sz="4" w:space="0"/>
                  </w:tcBorders>
                  <w:vAlign w:val="center"/>
                </w:tcPr>
                <w:p w14:paraId="2042994D">
                  <w:pPr>
                    <w:snapToGrid w:val="0"/>
                    <w:spacing w:line="360" w:lineRule="auto"/>
                    <w:jc w:val="center"/>
                    <w:rPr>
                      <w:rFonts w:hint="eastAsia" w:ascii="仿宋" w:hAnsi="仿宋" w:eastAsia="仿宋" w:cs="仿宋"/>
                      <w:sz w:val="22"/>
                      <w:szCs w:val="36"/>
                    </w:rPr>
                  </w:pPr>
                  <w:r>
                    <w:rPr>
                      <w:rFonts w:hint="eastAsia" w:ascii="仿宋" w:hAnsi="仿宋" w:eastAsia="仿宋" w:cs="仿宋"/>
                      <w:sz w:val="22"/>
                      <w:szCs w:val="36"/>
                    </w:rPr>
                    <w:t>小时</w:t>
                  </w:r>
                </w:p>
              </w:tc>
            </w:tr>
          </w:tbl>
          <w:p w14:paraId="32B21205">
            <w:pPr>
              <w:snapToGrid w:val="0"/>
              <w:spacing w:line="360" w:lineRule="auto"/>
              <w:ind w:firstLine="480"/>
              <w:rPr>
                <w:rFonts w:hint="eastAsia" w:ascii="仿宋" w:hAnsi="仿宋" w:eastAsia="仿宋" w:cs="仿宋"/>
              </w:rPr>
            </w:pPr>
            <w:r>
              <w:rPr>
                <w:rFonts w:hint="eastAsia" w:ascii="仿宋" w:hAnsi="仿宋" w:eastAsia="仿宋" w:cs="仿宋"/>
              </w:rPr>
              <w:t>平均业务并发用户数C，C=nL/T。</w:t>
            </w:r>
          </w:p>
          <w:p w14:paraId="746A0F92">
            <w:pPr>
              <w:snapToGrid w:val="0"/>
              <w:spacing w:line="360" w:lineRule="auto"/>
              <w:ind w:firstLine="480"/>
              <w:rPr>
                <w:rFonts w:hint="eastAsia" w:ascii="仿宋" w:hAnsi="仿宋" w:eastAsia="仿宋" w:cs="仿宋"/>
              </w:rPr>
            </w:pPr>
            <w:r>
              <w:rPr>
                <w:rFonts w:hint="eastAsia" w:ascii="仿宋" w:hAnsi="仿宋" w:eastAsia="仿宋" w:cs="仿宋"/>
              </w:rPr>
              <w:t>业务并发用户数的峰值C^=C+3×（C的平方根）。</w:t>
            </w:r>
          </w:p>
          <w:p w14:paraId="23E4585D">
            <w:pPr>
              <w:pStyle w:val="14"/>
              <w:rPr>
                <w:rFonts w:hint="eastAsia" w:ascii="仿宋" w:hAnsi="仿宋" w:eastAsia="仿宋" w:cs="仿宋"/>
                <w:lang w:val="zh-CN"/>
              </w:rPr>
            </w:pPr>
            <w:r>
              <w:rPr>
                <w:rFonts w:hint="eastAsia" w:ascii="仿宋" w:hAnsi="仿宋" w:eastAsia="仿宋" w:cs="仿宋"/>
              </w:rPr>
              <w:t>表 全省平均业务并发用户数及用户数峰值</w:t>
            </w:r>
          </w:p>
          <w:tbl>
            <w:tblPr>
              <w:tblStyle w:val="17"/>
              <w:tblW w:w="7738" w:type="dxa"/>
              <w:jc w:val="center"/>
              <w:tblLayout w:type="autofit"/>
              <w:tblCellMar>
                <w:top w:w="0" w:type="dxa"/>
                <w:left w:w="108" w:type="dxa"/>
                <w:bottom w:w="0" w:type="dxa"/>
                <w:right w:w="108" w:type="dxa"/>
              </w:tblCellMar>
            </w:tblPr>
            <w:tblGrid>
              <w:gridCol w:w="794"/>
              <w:gridCol w:w="1241"/>
              <w:gridCol w:w="1447"/>
              <w:gridCol w:w="1174"/>
              <w:gridCol w:w="1481"/>
              <w:gridCol w:w="1601"/>
            </w:tblGrid>
            <w:tr w14:paraId="6531DF92">
              <w:tblPrEx>
                <w:tblCellMar>
                  <w:top w:w="0" w:type="dxa"/>
                  <w:left w:w="108" w:type="dxa"/>
                  <w:bottom w:w="0" w:type="dxa"/>
                  <w:right w:w="108" w:type="dxa"/>
                </w:tblCellMar>
              </w:tblPrEx>
              <w:trPr>
                <w:trHeight w:val="520" w:hRule="atLeast"/>
                <w:tblHeader/>
                <w:jc w:val="center"/>
              </w:trPr>
              <w:tc>
                <w:tcPr>
                  <w:tcW w:w="794" w:type="dxa"/>
                  <w:tcBorders>
                    <w:top w:val="single" w:color="auto" w:sz="4" w:space="0"/>
                    <w:left w:val="single" w:color="auto" w:sz="4" w:space="0"/>
                    <w:bottom w:val="single" w:color="auto" w:sz="4" w:space="0"/>
                    <w:right w:val="single" w:color="auto" w:sz="4" w:space="0"/>
                  </w:tcBorders>
                  <w:vAlign w:val="center"/>
                </w:tcPr>
                <w:p w14:paraId="0A1EB93C">
                  <w:pPr>
                    <w:snapToGrid w:val="0"/>
                    <w:spacing w:line="360" w:lineRule="auto"/>
                    <w:jc w:val="center"/>
                    <w:rPr>
                      <w:rFonts w:hint="eastAsia" w:ascii="仿宋" w:hAnsi="仿宋" w:eastAsia="仿宋" w:cs="仿宋"/>
                      <w:b/>
                      <w:bCs/>
                      <w:sz w:val="22"/>
                      <w:szCs w:val="22"/>
                    </w:rPr>
                  </w:pPr>
                  <w:r>
                    <w:rPr>
                      <w:rFonts w:hint="eastAsia" w:ascii="仿宋" w:hAnsi="仿宋" w:eastAsia="仿宋" w:cs="仿宋"/>
                      <w:b/>
                      <w:bCs/>
                      <w:sz w:val="22"/>
                      <w:szCs w:val="22"/>
                    </w:rPr>
                    <w:t>地市</w:t>
                  </w:r>
                </w:p>
              </w:tc>
              <w:tc>
                <w:tcPr>
                  <w:tcW w:w="1241" w:type="dxa"/>
                  <w:tcBorders>
                    <w:top w:val="single" w:color="auto" w:sz="4" w:space="0"/>
                    <w:left w:val="nil"/>
                    <w:bottom w:val="single" w:color="auto" w:sz="4" w:space="0"/>
                    <w:right w:val="single" w:color="auto" w:sz="4" w:space="0"/>
                  </w:tcBorders>
                  <w:vAlign w:val="center"/>
                </w:tcPr>
                <w:p w14:paraId="57B4F748">
                  <w:pPr>
                    <w:snapToGrid w:val="0"/>
                    <w:spacing w:line="360" w:lineRule="auto"/>
                    <w:jc w:val="center"/>
                    <w:rPr>
                      <w:rFonts w:hint="eastAsia" w:ascii="仿宋" w:hAnsi="仿宋" w:eastAsia="仿宋" w:cs="仿宋"/>
                      <w:b/>
                      <w:bCs/>
                      <w:sz w:val="22"/>
                      <w:szCs w:val="22"/>
                    </w:rPr>
                  </w:pPr>
                  <w:r>
                    <w:rPr>
                      <w:rFonts w:hint="eastAsia" w:ascii="仿宋" w:hAnsi="仿宋" w:eastAsia="仿宋" w:cs="仿宋"/>
                      <w:b/>
                      <w:bCs/>
                      <w:sz w:val="22"/>
                      <w:szCs w:val="22"/>
                    </w:rPr>
                    <w:t>业务访问信息点</w:t>
                  </w:r>
                  <w:r>
                    <w:rPr>
                      <w:rFonts w:hint="eastAsia" w:ascii="仿宋" w:hAnsi="仿宋" w:eastAsia="仿宋" w:cs="仿宋"/>
                      <w:b/>
                      <w:bCs/>
                      <w:sz w:val="22"/>
                      <w:szCs w:val="22"/>
                    </w:rPr>
                    <w:br w:type="textWrapping"/>
                  </w:r>
                  <w:r>
                    <w:rPr>
                      <w:rFonts w:hint="eastAsia" w:ascii="仿宋" w:hAnsi="仿宋" w:eastAsia="仿宋" w:cs="仿宋"/>
                      <w:b/>
                      <w:bCs/>
                      <w:sz w:val="22"/>
                      <w:szCs w:val="22"/>
                    </w:rPr>
                    <w:t>n（点）</w:t>
                  </w:r>
                </w:p>
              </w:tc>
              <w:tc>
                <w:tcPr>
                  <w:tcW w:w="1447" w:type="dxa"/>
                  <w:tcBorders>
                    <w:top w:val="single" w:color="auto" w:sz="4" w:space="0"/>
                    <w:left w:val="nil"/>
                    <w:bottom w:val="single" w:color="auto" w:sz="4" w:space="0"/>
                    <w:right w:val="single" w:color="auto" w:sz="4" w:space="0"/>
                  </w:tcBorders>
                  <w:vAlign w:val="center"/>
                </w:tcPr>
                <w:p w14:paraId="547F5FBE">
                  <w:pPr>
                    <w:snapToGrid w:val="0"/>
                    <w:spacing w:line="360" w:lineRule="auto"/>
                    <w:jc w:val="center"/>
                    <w:rPr>
                      <w:rFonts w:hint="eastAsia" w:ascii="仿宋" w:hAnsi="仿宋" w:eastAsia="仿宋" w:cs="仿宋"/>
                      <w:b/>
                      <w:bCs/>
                      <w:sz w:val="22"/>
                      <w:szCs w:val="22"/>
                    </w:rPr>
                  </w:pPr>
                  <w:r>
                    <w:rPr>
                      <w:rFonts w:hint="eastAsia" w:ascii="仿宋" w:hAnsi="仿宋" w:eastAsia="仿宋" w:cs="仿宋"/>
                      <w:b/>
                      <w:bCs/>
                      <w:sz w:val="22"/>
                      <w:szCs w:val="22"/>
                    </w:rPr>
                    <w:t>登录到退出平均时间</w:t>
                  </w:r>
                  <w:r>
                    <w:rPr>
                      <w:rFonts w:hint="eastAsia" w:ascii="仿宋" w:hAnsi="仿宋" w:eastAsia="仿宋" w:cs="仿宋"/>
                      <w:b/>
                      <w:bCs/>
                      <w:sz w:val="22"/>
                      <w:szCs w:val="22"/>
                    </w:rPr>
                    <w:br w:type="textWrapping"/>
                  </w:r>
                  <w:r>
                    <w:rPr>
                      <w:rFonts w:hint="eastAsia" w:ascii="仿宋" w:hAnsi="仿宋" w:eastAsia="仿宋" w:cs="仿宋"/>
                      <w:b/>
                      <w:bCs/>
                      <w:sz w:val="22"/>
                      <w:szCs w:val="22"/>
                    </w:rPr>
                    <w:t>L（小时）</w:t>
                  </w:r>
                </w:p>
              </w:tc>
              <w:tc>
                <w:tcPr>
                  <w:tcW w:w="1174" w:type="dxa"/>
                  <w:tcBorders>
                    <w:top w:val="single" w:color="auto" w:sz="4" w:space="0"/>
                    <w:left w:val="nil"/>
                    <w:bottom w:val="single" w:color="auto" w:sz="4" w:space="0"/>
                    <w:right w:val="single" w:color="auto" w:sz="4" w:space="0"/>
                  </w:tcBorders>
                  <w:vAlign w:val="center"/>
                </w:tcPr>
                <w:p w14:paraId="3588ED04">
                  <w:pPr>
                    <w:snapToGrid w:val="0"/>
                    <w:spacing w:line="360" w:lineRule="auto"/>
                    <w:jc w:val="center"/>
                    <w:rPr>
                      <w:rFonts w:hint="eastAsia" w:ascii="仿宋" w:hAnsi="仿宋" w:eastAsia="仿宋" w:cs="仿宋"/>
                      <w:b/>
                      <w:bCs/>
                      <w:sz w:val="22"/>
                      <w:szCs w:val="22"/>
                    </w:rPr>
                  </w:pPr>
                  <w:r>
                    <w:rPr>
                      <w:rFonts w:hint="eastAsia" w:ascii="仿宋" w:hAnsi="仿宋" w:eastAsia="仿宋" w:cs="仿宋"/>
                      <w:b/>
                      <w:bCs/>
                      <w:sz w:val="22"/>
                      <w:szCs w:val="22"/>
                    </w:rPr>
                    <w:t>系统使用时间段</w:t>
                  </w:r>
                  <w:r>
                    <w:rPr>
                      <w:rFonts w:hint="eastAsia" w:ascii="仿宋" w:hAnsi="仿宋" w:eastAsia="仿宋" w:cs="仿宋"/>
                      <w:b/>
                      <w:bCs/>
                      <w:sz w:val="22"/>
                      <w:szCs w:val="22"/>
                    </w:rPr>
                    <w:br w:type="textWrapping"/>
                  </w:r>
                  <w:r>
                    <w:rPr>
                      <w:rFonts w:hint="eastAsia" w:ascii="仿宋" w:hAnsi="仿宋" w:eastAsia="仿宋" w:cs="仿宋"/>
                      <w:b/>
                      <w:bCs/>
                      <w:sz w:val="22"/>
                      <w:szCs w:val="22"/>
                    </w:rPr>
                    <w:t>T（小时）</w:t>
                  </w:r>
                </w:p>
              </w:tc>
              <w:tc>
                <w:tcPr>
                  <w:tcW w:w="1481" w:type="dxa"/>
                  <w:tcBorders>
                    <w:top w:val="single" w:color="auto" w:sz="4" w:space="0"/>
                    <w:left w:val="nil"/>
                    <w:bottom w:val="single" w:color="auto" w:sz="4" w:space="0"/>
                    <w:right w:val="single" w:color="auto" w:sz="4" w:space="0"/>
                  </w:tcBorders>
                  <w:vAlign w:val="center"/>
                </w:tcPr>
                <w:p w14:paraId="60F988FE">
                  <w:pPr>
                    <w:snapToGrid w:val="0"/>
                    <w:spacing w:line="360" w:lineRule="auto"/>
                    <w:jc w:val="center"/>
                    <w:rPr>
                      <w:rFonts w:hint="eastAsia" w:ascii="仿宋" w:hAnsi="仿宋" w:eastAsia="仿宋" w:cs="仿宋"/>
                      <w:b/>
                      <w:bCs/>
                      <w:sz w:val="22"/>
                      <w:szCs w:val="22"/>
                    </w:rPr>
                  </w:pPr>
                  <w:r>
                    <w:rPr>
                      <w:rFonts w:hint="eastAsia" w:ascii="仿宋" w:hAnsi="仿宋" w:eastAsia="仿宋" w:cs="仿宋"/>
                      <w:b/>
                      <w:bCs/>
                      <w:sz w:val="22"/>
                      <w:szCs w:val="22"/>
                    </w:rPr>
                    <w:t>平均业务并发用户数</w:t>
                  </w:r>
                  <w:r>
                    <w:rPr>
                      <w:rFonts w:hint="eastAsia" w:ascii="仿宋" w:hAnsi="仿宋" w:eastAsia="仿宋" w:cs="仿宋"/>
                      <w:b/>
                      <w:bCs/>
                      <w:sz w:val="22"/>
                      <w:szCs w:val="22"/>
                    </w:rPr>
                    <w:br w:type="textWrapping"/>
                  </w:r>
                  <w:r>
                    <w:rPr>
                      <w:rFonts w:hint="eastAsia" w:ascii="仿宋" w:hAnsi="仿宋" w:eastAsia="仿宋" w:cs="仿宋"/>
                      <w:b/>
                      <w:bCs/>
                      <w:sz w:val="22"/>
                      <w:szCs w:val="22"/>
                    </w:rPr>
                    <w:t>C（点）</w:t>
                  </w:r>
                </w:p>
              </w:tc>
              <w:tc>
                <w:tcPr>
                  <w:tcW w:w="1601" w:type="dxa"/>
                  <w:tcBorders>
                    <w:top w:val="single" w:color="auto" w:sz="4" w:space="0"/>
                    <w:left w:val="nil"/>
                    <w:bottom w:val="single" w:color="auto" w:sz="4" w:space="0"/>
                    <w:right w:val="single" w:color="auto" w:sz="4" w:space="0"/>
                  </w:tcBorders>
                  <w:vAlign w:val="center"/>
                </w:tcPr>
                <w:p w14:paraId="6009709B">
                  <w:pPr>
                    <w:snapToGrid w:val="0"/>
                    <w:spacing w:line="360" w:lineRule="auto"/>
                    <w:jc w:val="center"/>
                    <w:rPr>
                      <w:rFonts w:hint="eastAsia" w:ascii="仿宋" w:hAnsi="仿宋" w:eastAsia="仿宋" w:cs="仿宋"/>
                      <w:b/>
                      <w:bCs/>
                      <w:sz w:val="22"/>
                      <w:szCs w:val="22"/>
                    </w:rPr>
                  </w:pPr>
                  <w:r>
                    <w:rPr>
                      <w:rFonts w:hint="eastAsia" w:ascii="仿宋" w:hAnsi="仿宋" w:eastAsia="仿宋" w:cs="仿宋"/>
                      <w:b/>
                      <w:bCs/>
                      <w:sz w:val="22"/>
                      <w:szCs w:val="22"/>
                    </w:rPr>
                    <w:t>业务并发用户数的峰值</w:t>
                  </w:r>
                  <w:r>
                    <w:rPr>
                      <w:rFonts w:hint="eastAsia" w:ascii="仿宋" w:hAnsi="仿宋" w:eastAsia="仿宋" w:cs="仿宋"/>
                      <w:b/>
                      <w:bCs/>
                      <w:sz w:val="22"/>
                      <w:szCs w:val="22"/>
                    </w:rPr>
                    <w:br w:type="textWrapping"/>
                  </w:r>
                  <w:r>
                    <w:rPr>
                      <w:rFonts w:hint="eastAsia" w:ascii="仿宋" w:hAnsi="仿宋" w:eastAsia="仿宋" w:cs="仿宋"/>
                      <w:b/>
                      <w:bCs/>
                      <w:sz w:val="22"/>
                      <w:szCs w:val="22"/>
                    </w:rPr>
                    <w:t>C^（点）</w:t>
                  </w:r>
                </w:p>
              </w:tc>
            </w:tr>
            <w:tr w14:paraId="7BF63860">
              <w:tblPrEx>
                <w:tblCellMar>
                  <w:top w:w="0" w:type="dxa"/>
                  <w:left w:w="108" w:type="dxa"/>
                  <w:bottom w:w="0" w:type="dxa"/>
                  <w:right w:w="108" w:type="dxa"/>
                </w:tblCellMar>
              </w:tblPrEx>
              <w:trPr>
                <w:trHeight w:val="280" w:hRule="atLeast"/>
                <w:jc w:val="center"/>
              </w:trPr>
              <w:tc>
                <w:tcPr>
                  <w:tcW w:w="794" w:type="dxa"/>
                  <w:tcBorders>
                    <w:top w:val="nil"/>
                    <w:left w:val="single" w:color="auto" w:sz="4" w:space="0"/>
                    <w:bottom w:val="single" w:color="auto" w:sz="4" w:space="0"/>
                    <w:right w:val="single" w:color="auto" w:sz="4" w:space="0"/>
                  </w:tcBorders>
                  <w:vAlign w:val="center"/>
                </w:tcPr>
                <w:p w14:paraId="455AC825">
                  <w:pPr>
                    <w:snapToGrid w:val="0"/>
                    <w:spacing w:line="360" w:lineRule="auto"/>
                    <w:jc w:val="center"/>
                    <w:rPr>
                      <w:rFonts w:hint="eastAsia" w:ascii="仿宋" w:hAnsi="仿宋" w:eastAsia="仿宋" w:cs="仿宋"/>
                      <w:sz w:val="22"/>
                      <w:szCs w:val="22"/>
                    </w:rPr>
                  </w:pPr>
                  <w:r>
                    <w:rPr>
                      <w:rFonts w:hint="eastAsia" w:ascii="仿宋" w:hAnsi="仿宋" w:eastAsia="仿宋" w:cs="仿宋"/>
                      <w:sz w:val="22"/>
                      <w:szCs w:val="22"/>
                    </w:rPr>
                    <w:t>全省</w:t>
                  </w:r>
                </w:p>
              </w:tc>
              <w:tc>
                <w:tcPr>
                  <w:tcW w:w="1241" w:type="dxa"/>
                  <w:tcBorders>
                    <w:top w:val="nil"/>
                    <w:left w:val="nil"/>
                    <w:bottom w:val="single" w:color="auto" w:sz="4" w:space="0"/>
                    <w:right w:val="single" w:color="auto" w:sz="4" w:space="0"/>
                  </w:tcBorders>
                  <w:vAlign w:val="center"/>
                </w:tcPr>
                <w:p w14:paraId="46BD00B1">
                  <w:pPr>
                    <w:snapToGrid w:val="0"/>
                    <w:spacing w:line="360" w:lineRule="auto"/>
                    <w:jc w:val="center"/>
                    <w:rPr>
                      <w:rFonts w:hint="eastAsia" w:ascii="仿宋" w:hAnsi="仿宋" w:eastAsia="仿宋" w:cs="仿宋"/>
                      <w:sz w:val="22"/>
                      <w:szCs w:val="22"/>
                    </w:rPr>
                  </w:pPr>
                  <w:r>
                    <w:rPr>
                      <w:rFonts w:hint="eastAsia" w:ascii="仿宋" w:hAnsi="仿宋" w:eastAsia="仿宋" w:cs="仿宋"/>
                      <w:sz w:val="22"/>
                      <w:szCs w:val="22"/>
                    </w:rPr>
                    <w:t>500000</w:t>
                  </w:r>
                </w:p>
              </w:tc>
              <w:tc>
                <w:tcPr>
                  <w:tcW w:w="1447" w:type="dxa"/>
                  <w:tcBorders>
                    <w:top w:val="nil"/>
                    <w:left w:val="nil"/>
                    <w:bottom w:val="single" w:color="auto" w:sz="4" w:space="0"/>
                    <w:right w:val="single" w:color="auto" w:sz="4" w:space="0"/>
                  </w:tcBorders>
                  <w:vAlign w:val="center"/>
                </w:tcPr>
                <w:p w14:paraId="5BD06A8E">
                  <w:pPr>
                    <w:snapToGrid w:val="0"/>
                    <w:spacing w:line="360" w:lineRule="auto"/>
                    <w:jc w:val="center"/>
                    <w:rPr>
                      <w:rFonts w:hint="eastAsia" w:ascii="仿宋" w:hAnsi="仿宋" w:eastAsia="仿宋" w:cs="仿宋"/>
                      <w:sz w:val="22"/>
                      <w:szCs w:val="22"/>
                    </w:rPr>
                  </w:pPr>
                  <w:r>
                    <w:rPr>
                      <w:rFonts w:hint="eastAsia" w:ascii="仿宋" w:hAnsi="仿宋" w:eastAsia="仿宋" w:cs="仿宋"/>
                      <w:sz w:val="22"/>
                      <w:szCs w:val="22"/>
                    </w:rPr>
                    <w:t>0.3</w:t>
                  </w:r>
                </w:p>
              </w:tc>
              <w:tc>
                <w:tcPr>
                  <w:tcW w:w="1174" w:type="dxa"/>
                  <w:tcBorders>
                    <w:top w:val="nil"/>
                    <w:left w:val="nil"/>
                    <w:bottom w:val="single" w:color="auto" w:sz="4" w:space="0"/>
                    <w:right w:val="single" w:color="auto" w:sz="4" w:space="0"/>
                  </w:tcBorders>
                  <w:vAlign w:val="center"/>
                </w:tcPr>
                <w:p w14:paraId="6594A4C6">
                  <w:pPr>
                    <w:snapToGrid w:val="0"/>
                    <w:spacing w:line="360" w:lineRule="auto"/>
                    <w:jc w:val="center"/>
                    <w:rPr>
                      <w:rFonts w:hint="eastAsia" w:ascii="仿宋" w:hAnsi="仿宋" w:eastAsia="仿宋" w:cs="仿宋"/>
                      <w:sz w:val="22"/>
                      <w:szCs w:val="22"/>
                    </w:rPr>
                  </w:pPr>
                  <w:r>
                    <w:rPr>
                      <w:rFonts w:hint="eastAsia" w:ascii="仿宋" w:hAnsi="仿宋" w:eastAsia="仿宋" w:cs="仿宋"/>
                      <w:sz w:val="22"/>
                      <w:szCs w:val="22"/>
                    </w:rPr>
                    <w:t>10</w:t>
                  </w:r>
                </w:p>
              </w:tc>
              <w:tc>
                <w:tcPr>
                  <w:tcW w:w="1481" w:type="dxa"/>
                  <w:tcBorders>
                    <w:top w:val="nil"/>
                    <w:left w:val="nil"/>
                    <w:bottom w:val="single" w:color="auto" w:sz="4" w:space="0"/>
                    <w:right w:val="single" w:color="auto" w:sz="4" w:space="0"/>
                  </w:tcBorders>
                  <w:vAlign w:val="center"/>
                </w:tcPr>
                <w:p w14:paraId="12821BF2">
                  <w:pPr>
                    <w:snapToGrid w:val="0"/>
                    <w:spacing w:line="360" w:lineRule="auto"/>
                    <w:jc w:val="center"/>
                    <w:rPr>
                      <w:rFonts w:hint="eastAsia" w:ascii="仿宋" w:hAnsi="仿宋" w:eastAsia="仿宋" w:cs="仿宋"/>
                      <w:sz w:val="22"/>
                      <w:szCs w:val="22"/>
                    </w:rPr>
                  </w:pPr>
                  <w:r>
                    <w:rPr>
                      <w:rFonts w:hint="eastAsia" w:ascii="仿宋" w:hAnsi="仿宋" w:eastAsia="仿宋" w:cs="仿宋"/>
                      <w:sz w:val="22"/>
                      <w:szCs w:val="22"/>
                    </w:rPr>
                    <w:t>15000</w:t>
                  </w:r>
                </w:p>
              </w:tc>
              <w:tc>
                <w:tcPr>
                  <w:tcW w:w="1601" w:type="dxa"/>
                  <w:tcBorders>
                    <w:top w:val="nil"/>
                    <w:left w:val="nil"/>
                    <w:bottom w:val="single" w:color="auto" w:sz="4" w:space="0"/>
                    <w:right w:val="single" w:color="auto" w:sz="4" w:space="0"/>
                  </w:tcBorders>
                  <w:vAlign w:val="center"/>
                </w:tcPr>
                <w:p w14:paraId="2476C87D">
                  <w:pPr>
                    <w:snapToGrid w:val="0"/>
                    <w:spacing w:line="360" w:lineRule="auto"/>
                    <w:jc w:val="center"/>
                    <w:rPr>
                      <w:rFonts w:hint="eastAsia" w:ascii="仿宋" w:hAnsi="仿宋" w:eastAsia="仿宋" w:cs="仿宋"/>
                      <w:sz w:val="22"/>
                      <w:szCs w:val="22"/>
                    </w:rPr>
                  </w:pPr>
                  <w:r>
                    <w:rPr>
                      <w:rFonts w:hint="eastAsia" w:ascii="仿宋" w:hAnsi="仿宋" w:eastAsia="仿宋" w:cs="仿宋"/>
                      <w:sz w:val="22"/>
                      <w:szCs w:val="22"/>
                    </w:rPr>
                    <w:t>15367</w:t>
                  </w:r>
                </w:p>
              </w:tc>
            </w:tr>
          </w:tbl>
          <w:p w14:paraId="2FDDBA54">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3.7.1.3许可销售需求</w:t>
            </w:r>
          </w:p>
          <w:p w14:paraId="6842014E">
            <w:pPr>
              <w:snapToGrid w:val="0"/>
              <w:spacing w:line="360" w:lineRule="auto"/>
              <w:ind w:firstLine="480"/>
              <w:rPr>
                <w:rFonts w:hint="eastAsia" w:ascii="仿宋" w:hAnsi="仿宋" w:eastAsia="仿宋" w:cs="仿宋"/>
                <w:szCs w:val="21"/>
                <w:lang w:val="zh-CN"/>
              </w:rPr>
            </w:pPr>
            <w:r>
              <w:rPr>
                <w:rFonts w:hint="eastAsia" w:ascii="仿宋" w:hAnsi="仿宋" w:eastAsia="仿宋" w:cs="仿宋"/>
                <w:szCs w:val="21"/>
                <w:lang w:val="zh-CN"/>
              </w:rPr>
              <w:t>系统应具备合法的软件销售许可。</w:t>
            </w:r>
          </w:p>
          <w:p w14:paraId="4738F08A">
            <w:pPr>
              <w:pStyle w:val="5"/>
              <w:numPr>
                <w:ilvl w:val="2"/>
                <w:numId w:val="0"/>
              </w:numPr>
              <w:rPr>
                <w:rFonts w:hint="eastAsia" w:ascii="仿宋" w:hAnsi="仿宋" w:eastAsia="仿宋" w:cs="仿宋"/>
                <w:sz w:val="21"/>
                <w:szCs w:val="21"/>
              </w:rPr>
            </w:pPr>
            <w:bookmarkStart w:id="114" w:name="_Toc154670825"/>
            <w:bookmarkStart w:id="115" w:name="_Toc26839"/>
            <w:r>
              <w:rPr>
                <w:rFonts w:hint="eastAsia" w:ascii="仿宋" w:hAnsi="仿宋" w:eastAsia="仿宋" w:cs="仿宋"/>
                <w:sz w:val="21"/>
                <w:szCs w:val="21"/>
              </w:rPr>
              <w:t>3.7.2高可用性能技术设计</w:t>
            </w:r>
            <w:bookmarkEnd w:id="114"/>
            <w:bookmarkEnd w:id="115"/>
          </w:p>
          <w:p w14:paraId="6E70CADA">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3.7.2.1分布式服务计算</w:t>
            </w:r>
          </w:p>
          <w:p w14:paraId="7822FC89">
            <w:pPr>
              <w:snapToGrid w:val="0"/>
              <w:spacing w:line="360" w:lineRule="auto"/>
              <w:ind w:firstLine="480"/>
              <w:rPr>
                <w:rFonts w:hint="eastAsia" w:ascii="仿宋" w:hAnsi="仿宋" w:eastAsia="仿宋" w:cs="仿宋"/>
                <w:szCs w:val="21"/>
              </w:rPr>
            </w:pPr>
            <w:r>
              <w:rPr>
                <w:rFonts w:hint="eastAsia" w:ascii="仿宋" w:hAnsi="仿宋" w:eastAsia="仿宋" w:cs="仿宋"/>
                <w:szCs w:val="21"/>
              </w:rPr>
              <w:t>本期项目系统采用分布式架构，通过API网关来进行统一外部访问鉴权，内部通过熔断降级保证系统高可用，同时辅以日志平台、分布式调用链跟踪，以及实时监控平台对整个系统进行健康监控。</w:t>
            </w:r>
          </w:p>
          <w:p w14:paraId="713F10F9">
            <w:pPr>
              <w:snapToGrid w:val="0"/>
              <w:spacing w:line="360" w:lineRule="auto"/>
              <w:ind w:firstLine="480"/>
              <w:rPr>
                <w:rFonts w:hint="eastAsia" w:ascii="仿宋" w:hAnsi="仿宋" w:eastAsia="仿宋" w:cs="仿宋"/>
                <w:szCs w:val="21"/>
              </w:rPr>
            </w:pPr>
            <w:r>
              <w:rPr>
                <w:rFonts w:hint="eastAsia" w:ascii="仿宋" w:hAnsi="仿宋" w:eastAsia="仿宋" w:cs="仿宋"/>
                <w:szCs w:val="21"/>
              </w:rPr>
              <w:t>分布式高可用架构：API网关和其他应用层服务采用的基于Spring等的架构，应用本身无状态和多副本，有着完善的超时熔断和过载保护功能。</w:t>
            </w:r>
          </w:p>
          <w:p w14:paraId="1B7B0E61">
            <w:pPr>
              <w:snapToGrid w:val="0"/>
              <w:spacing w:line="360" w:lineRule="auto"/>
              <w:ind w:firstLine="480"/>
              <w:rPr>
                <w:rFonts w:hint="eastAsia" w:ascii="仿宋" w:hAnsi="仿宋" w:eastAsia="仿宋" w:cs="仿宋"/>
                <w:szCs w:val="21"/>
              </w:rPr>
            </w:pPr>
            <w:r>
              <w:rPr>
                <w:rFonts w:hint="eastAsia" w:ascii="仿宋" w:hAnsi="仿宋" w:eastAsia="仿宋" w:cs="仿宋"/>
                <w:szCs w:val="21"/>
              </w:rPr>
              <w:t>分布式日志平台和全链路跟踪：以无侵入的方式通过字节码增强埋点技术来接入日志平台。通过日志平台能够尽实时查看到生产上分布于各个节点的应用日志，用于排查和定位问题。同时日志平台提供了全链路跟踪功能，可以看到一次调用请求后的调用分布和异常，有助于定位性能和一些接口故障，降低系统异常情况下的故障时间。</w:t>
            </w:r>
          </w:p>
          <w:p w14:paraId="5AE364B2">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3.7.2.2服务容器化部署</w:t>
            </w:r>
          </w:p>
          <w:p w14:paraId="609AE91D">
            <w:pPr>
              <w:snapToGrid w:val="0"/>
              <w:spacing w:line="360" w:lineRule="auto"/>
              <w:ind w:firstLine="480"/>
              <w:rPr>
                <w:rFonts w:hint="eastAsia" w:ascii="仿宋" w:hAnsi="仿宋" w:eastAsia="仿宋" w:cs="仿宋"/>
                <w:szCs w:val="21"/>
              </w:rPr>
            </w:pPr>
            <w:r>
              <w:rPr>
                <w:rFonts w:hint="eastAsia" w:ascii="仿宋" w:hAnsi="仿宋" w:eastAsia="仿宋" w:cs="仿宋"/>
                <w:szCs w:val="21"/>
              </w:rPr>
              <w:t>在陕西省政务云环境满足容器化服务运行的要求。利用云原生编排技术，实现自动化处理，包括部署、管理、弹性伸缩和容器网络管理等。这样，在不同的环境中能够快速地部署相同的应用并上线。</w:t>
            </w:r>
          </w:p>
          <w:p w14:paraId="31EDDF51">
            <w:pPr>
              <w:snapToGrid w:val="0"/>
              <w:spacing w:line="360" w:lineRule="auto"/>
              <w:ind w:firstLine="480"/>
              <w:rPr>
                <w:rFonts w:hint="eastAsia" w:ascii="仿宋" w:hAnsi="仿宋" w:eastAsia="仿宋" w:cs="仿宋"/>
                <w:szCs w:val="21"/>
              </w:rPr>
            </w:pPr>
            <w:r>
              <w:rPr>
                <w:rFonts w:hint="eastAsia" w:ascii="仿宋" w:hAnsi="仿宋" w:eastAsia="仿宋" w:cs="仿宋"/>
                <w:szCs w:val="21"/>
              </w:rPr>
              <w:t>本次项目业务系统服务都运行在集群中的节点。借助动态扩缩容的功能，通过合理配置的资源完成所有功能的部署。</w:t>
            </w:r>
          </w:p>
          <w:p w14:paraId="0D9D01D7">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3.7.2.3服务入口高可用</w:t>
            </w:r>
          </w:p>
          <w:p w14:paraId="5B5C5FA8">
            <w:pPr>
              <w:snapToGrid w:val="0"/>
              <w:spacing w:line="360" w:lineRule="auto"/>
              <w:ind w:firstLine="480"/>
              <w:rPr>
                <w:rFonts w:hint="eastAsia" w:ascii="仿宋" w:hAnsi="仿宋" w:eastAsia="仿宋" w:cs="仿宋"/>
                <w:szCs w:val="21"/>
              </w:rPr>
            </w:pPr>
            <w:r>
              <w:rPr>
                <w:rFonts w:hint="eastAsia" w:ascii="仿宋" w:hAnsi="仿宋" w:eastAsia="仿宋" w:cs="仿宋"/>
                <w:szCs w:val="21"/>
              </w:rPr>
              <w:t>为了提升服务入口的高可用性，系统在政务云采用了Nginx集群作为业务服务发布的入口。通过在多台服务器上同时部署Nginx，实现了高可用的服务入口架构。</w:t>
            </w:r>
          </w:p>
          <w:p w14:paraId="01CEA5F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3.7.2.4数据高可用架构</w:t>
            </w:r>
          </w:p>
          <w:p w14:paraId="6FC1F12F">
            <w:pPr>
              <w:snapToGrid w:val="0"/>
              <w:spacing w:line="360" w:lineRule="auto"/>
              <w:ind w:firstLine="480"/>
              <w:rPr>
                <w:rFonts w:hint="eastAsia" w:ascii="仿宋" w:hAnsi="仿宋" w:eastAsia="仿宋" w:cs="仿宋"/>
                <w:szCs w:val="21"/>
              </w:rPr>
            </w:pPr>
            <w:r>
              <w:rPr>
                <w:rFonts w:hint="eastAsia" w:ascii="仿宋" w:hAnsi="仿宋" w:eastAsia="仿宋" w:cs="仿宋"/>
                <w:szCs w:val="21"/>
              </w:rPr>
              <w:t>系统适配国产化数据库，通过冗余、故障转移和自动恢复等机制，确保在发生故障时数据库系统能够快速自动切换到备用系统，实现持续可用的能力。</w:t>
            </w:r>
          </w:p>
          <w:p w14:paraId="7E4E8CF6">
            <w:pPr>
              <w:snapToGrid w:val="0"/>
              <w:spacing w:line="360" w:lineRule="auto"/>
              <w:ind w:firstLine="480"/>
              <w:rPr>
                <w:rFonts w:hint="eastAsia" w:ascii="仿宋" w:hAnsi="仿宋" w:eastAsia="仿宋" w:cs="仿宋"/>
                <w:szCs w:val="21"/>
              </w:rPr>
            </w:pPr>
            <w:r>
              <w:rPr>
                <w:rFonts w:hint="eastAsia" w:ascii="仿宋" w:hAnsi="仿宋" w:eastAsia="仿宋" w:cs="仿宋"/>
                <w:szCs w:val="21"/>
              </w:rPr>
              <w:t>冗余机制：在不同的政务云物理机节点上部署主备数据库，以确保在主数据库发生故障时，备用数据库能够快速切换并接管服务，保证业务的连续性。</w:t>
            </w:r>
          </w:p>
          <w:p w14:paraId="2682B813">
            <w:pPr>
              <w:snapToGrid w:val="0"/>
              <w:spacing w:line="360" w:lineRule="auto"/>
              <w:ind w:firstLine="480"/>
              <w:rPr>
                <w:rFonts w:hint="eastAsia" w:ascii="仿宋" w:hAnsi="仿宋" w:eastAsia="仿宋" w:cs="仿宋"/>
                <w:szCs w:val="21"/>
              </w:rPr>
            </w:pPr>
            <w:r>
              <w:rPr>
                <w:rFonts w:hint="eastAsia" w:ascii="仿宋" w:hAnsi="仿宋" w:eastAsia="仿宋" w:cs="仿宋"/>
                <w:szCs w:val="21"/>
              </w:rPr>
              <w:t>故障转移机制：当主数据库发生故障时，数据库高可用技术能够自动将服务切换到备用数据库，使业务能够在最短的时间内恢复正常运行。故障转移的实现通过心跳检测、自动切换和故障恢复等机制完成。</w:t>
            </w:r>
          </w:p>
          <w:p w14:paraId="7FDC6A5E">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自动恢复机制：在发生故障后进行故障转移后，数据库高可用技术能够自动执行故障的恢复操作，包括数据同步、数据一致性检查和服务重启等，以确保数据库系统能够正常运行，保障数据的完整性。</w:t>
            </w:r>
          </w:p>
          <w:bookmarkEnd w:id="52"/>
          <w:p w14:paraId="45E9A490">
            <w:pPr>
              <w:pStyle w:val="4"/>
              <w:numPr>
                <w:ilvl w:val="1"/>
                <w:numId w:val="0"/>
              </w:numPr>
              <w:rPr>
                <w:rFonts w:hint="eastAsia" w:ascii="仿宋" w:hAnsi="仿宋" w:eastAsia="仿宋" w:cs="仿宋"/>
                <w:sz w:val="21"/>
                <w:szCs w:val="21"/>
              </w:rPr>
            </w:pPr>
            <w:bookmarkStart w:id="116" w:name="_Toc342070872"/>
            <w:bookmarkEnd w:id="116"/>
            <w:bookmarkStart w:id="117" w:name="_Toc342070873"/>
            <w:bookmarkEnd w:id="117"/>
            <w:bookmarkStart w:id="118" w:name="_Toc342070874"/>
            <w:bookmarkEnd w:id="118"/>
            <w:bookmarkStart w:id="119" w:name="_Toc342070876"/>
            <w:bookmarkEnd w:id="119"/>
            <w:bookmarkStart w:id="120" w:name="_Toc342070875"/>
            <w:bookmarkEnd w:id="120"/>
            <w:bookmarkStart w:id="121" w:name="_Toc342070871"/>
            <w:bookmarkEnd w:id="121"/>
            <w:bookmarkStart w:id="122" w:name="_Toc342070870"/>
            <w:bookmarkEnd w:id="122"/>
            <w:bookmarkStart w:id="123" w:name="_Toc7126"/>
            <w:bookmarkStart w:id="124" w:name="_Toc127382350"/>
            <w:bookmarkStart w:id="125" w:name="_Toc117416576"/>
            <w:r>
              <w:rPr>
                <w:rFonts w:hint="eastAsia" w:ascii="仿宋" w:hAnsi="仿宋" w:eastAsia="仿宋" w:cs="仿宋"/>
                <w:sz w:val="21"/>
                <w:szCs w:val="21"/>
              </w:rPr>
              <w:t>3.8基础设施需求分析</w:t>
            </w:r>
            <w:bookmarkEnd w:id="123"/>
            <w:bookmarkEnd w:id="124"/>
          </w:p>
          <w:p w14:paraId="2F5B1170">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严格遵循省级实际业务场景与性能指标要求，从计算、存储、网络、安全密码及备份五大核心领域，系统性提出基础设施性能需求。在计算资源方面，基于省级数据处理与应用负载压力，科学规划CPU、内存、GPU等核心算力配置，确保多任务并行处理效率；存储资源维度，结合结构化与非结构化数据存储规模及增长趋势，构建分层存储架构，保障数据读写速度与长期保存可靠性；网络资源依据省级业务覆盖范围与并发访问需求，优化骨干网络带宽、部署低延迟网络链路，提升数据传输时效性；安全密码资源则着重部署符合国密标准的加密体系，强化数据全生命周期安全防护；备份资源按照业务连续性目标，建立本地与异地容灾备份机制，保障数据安全与业务稳定性。</w:t>
            </w:r>
          </w:p>
          <w:p w14:paraId="53B8C975">
            <w:pPr>
              <w:pStyle w:val="5"/>
              <w:numPr>
                <w:ilvl w:val="2"/>
                <w:numId w:val="0"/>
              </w:numPr>
              <w:rPr>
                <w:rFonts w:hint="eastAsia" w:ascii="仿宋" w:hAnsi="仿宋" w:eastAsia="仿宋" w:cs="仿宋"/>
                <w:sz w:val="21"/>
                <w:szCs w:val="21"/>
              </w:rPr>
            </w:pPr>
            <w:bookmarkStart w:id="126" w:name="_Toc8982"/>
            <w:bookmarkStart w:id="127" w:name="_Toc154670828"/>
            <w:bookmarkStart w:id="128" w:name="_Toc127382351"/>
            <w:r>
              <w:rPr>
                <w:rFonts w:hint="eastAsia" w:ascii="仿宋" w:hAnsi="仿宋" w:eastAsia="仿宋" w:cs="仿宋"/>
                <w:sz w:val="21"/>
                <w:szCs w:val="21"/>
              </w:rPr>
              <w:t>3.8.1计算资源需求</w:t>
            </w:r>
            <w:bookmarkEnd w:id="126"/>
            <w:bookmarkEnd w:id="127"/>
          </w:p>
          <w:p w14:paraId="73156A30">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计算资源需求包含CPU、内存等资源，资源量与用户业务量密切相关，需结合各业务场景分析业务量。根据医疗卫生业务的特点，在建设中需要重点考虑卫生系统信息化建设的特点，计算资源建设原则包含以下：</w:t>
            </w:r>
          </w:p>
          <w:p w14:paraId="1797A7BB">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1.资源池化：计算采用池化资源管理，根据资源需求从资源池中划分资源，充分利用现有的基础设施。</w:t>
            </w:r>
          </w:p>
          <w:p w14:paraId="300A60D0">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2.易用性：对于业务系统作为平台的用户，不需要关心资源的来源及原理，只需要登录系统，使用资源。</w:t>
            </w:r>
          </w:p>
          <w:p w14:paraId="1930E807">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3.高可扩展性：平台建设规模会随着业务类型增加和业务量的增加而迅速扩展，因此平台需具备高可扩展性。</w:t>
            </w:r>
          </w:p>
          <w:p w14:paraId="04420D91">
            <w:pPr>
              <w:pStyle w:val="24"/>
              <w:snapToGrid w:val="0"/>
              <w:spacing w:line="360" w:lineRule="auto"/>
              <w:ind w:left="420" w:leftChars="20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4.高可靠性：平台通过多副本容错和计算资源同构可互换来提高服务的可靠性。对可靠性比一般的平台更高，因此在资源选择上，采用可靠性高的服务器和存储。</w:t>
            </w:r>
          </w:p>
          <w:p w14:paraId="750F2FEA">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国家卫生统计直报系统业务面向110个县（区）基层医疗机构，覆盖4万余家医疗卫生机构，日常在线用户数1000余个，数据上报高峰期在线用户数1万余个。</w:t>
            </w:r>
          </w:p>
          <w:p w14:paraId="62AE25B5">
            <w:pPr>
              <w:pStyle w:val="5"/>
              <w:numPr>
                <w:ilvl w:val="2"/>
                <w:numId w:val="0"/>
              </w:numPr>
              <w:rPr>
                <w:rFonts w:hint="eastAsia" w:ascii="仿宋" w:hAnsi="仿宋" w:eastAsia="仿宋" w:cs="仿宋"/>
                <w:sz w:val="21"/>
                <w:szCs w:val="21"/>
              </w:rPr>
            </w:pPr>
            <w:bookmarkStart w:id="129" w:name="_Toc154670829"/>
            <w:bookmarkStart w:id="130" w:name="_Toc11345"/>
            <w:r>
              <w:rPr>
                <w:rFonts w:hint="eastAsia" w:ascii="仿宋" w:hAnsi="仿宋" w:eastAsia="仿宋" w:cs="仿宋"/>
                <w:sz w:val="21"/>
                <w:szCs w:val="21"/>
              </w:rPr>
              <w:t>3.8.2存储资源需求</w:t>
            </w:r>
            <w:bookmarkEnd w:id="129"/>
            <w:bookmarkEnd w:id="130"/>
          </w:p>
          <w:p w14:paraId="4DE97AC7">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为保证存储系统的可用性，存储系统建设需具备以下原则：</w:t>
            </w:r>
          </w:p>
          <w:p w14:paraId="1117FEF6">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1.高性能、高可用性：须具有高性能、高可靠性和足够的容错特性，提供多种信息保护、共享、管理方案，以保证信息的高可用性。</w:t>
            </w:r>
          </w:p>
          <w:p w14:paraId="609CCE99">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2.高可扩展性：须拥有足够的系统扩充性，以支持目前的数据容量，同时还要考虑未来业务的发展。</w:t>
            </w:r>
          </w:p>
          <w:p w14:paraId="7AAEBC5D">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3.高可靠性：存储底层通过数据多副本、节点多活、数据备份等多种技术，提供存储系统的可靠性，满足数据可用性需求。</w:t>
            </w:r>
          </w:p>
          <w:p w14:paraId="1C7D347F">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存储资源池主要用于用户所有相关的业务数据、统计数据等重要数据存储。各用户的数据按照数据类型主要可以分为两类，静态数据与动态数据。</w:t>
            </w:r>
          </w:p>
          <w:p w14:paraId="0A53B798">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1.静态资源：</w:t>
            </w:r>
          </w:p>
          <w:p w14:paraId="48B6F253">
            <w:pPr>
              <w:snapToGrid w:val="0"/>
              <w:spacing w:line="360" w:lineRule="auto"/>
              <w:ind w:firstLine="384" w:firstLineChars="183"/>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程序初始化环境组件安装、容器镜像安装包、应用程序等。</w:t>
            </w:r>
          </w:p>
          <w:p w14:paraId="2D7B2528">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2.动态数据：</w:t>
            </w:r>
          </w:p>
          <w:p w14:paraId="684D428D">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日志数据：包含整个业务服务链相关的调用日志，客户端日志、平台日志等；</w:t>
            </w:r>
          </w:p>
          <w:p w14:paraId="76FEFEF3">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结构化数据：即行数据，存储在数据库里，可以用二维表结构来逻辑表达实现的数据。所有的关系型数据库中的数据全部为结构化数据；</w:t>
            </w:r>
          </w:p>
          <w:p w14:paraId="2F87A76A">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非结构化数据：相对于结构化数据而言，不适宜用数据库二维逻辑表来表现的数据即称为非结构化数据，包括所有格式的办公文档、文本、图片、XML、HTML、各类报表、图像和音频/视频信息等。</w:t>
            </w:r>
          </w:p>
          <w:p w14:paraId="022E6028">
            <w:pPr>
              <w:pStyle w:val="5"/>
              <w:numPr>
                <w:ilvl w:val="2"/>
                <w:numId w:val="0"/>
              </w:numPr>
              <w:rPr>
                <w:rFonts w:hint="eastAsia" w:ascii="仿宋" w:hAnsi="仿宋" w:eastAsia="仿宋" w:cs="仿宋"/>
                <w:sz w:val="21"/>
                <w:szCs w:val="21"/>
              </w:rPr>
            </w:pPr>
            <w:bookmarkStart w:id="131" w:name="_Toc29854"/>
            <w:bookmarkStart w:id="132" w:name="_Toc154670830"/>
            <w:r>
              <w:rPr>
                <w:rFonts w:hint="eastAsia" w:ascii="仿宋" w:hAnsi="仿宋" w:eastAsia="仿宋" w:cs="仿宋"/>
                <w:sz w:val="21"/>
                <w:szCs w:val="21"/>
              </w:rPr>
              <w:t>3.8.3网络资源需求</w:t>
            </w:r>
            <w:bookmarkEnd w:id="131"/>
            <w:bookmarkEnd w:id="132"/>
          </w:p>
          <w:p w14:paraId="482B9F6B">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系统网络系统中传输、交换的主要为医疗信息数据，对数据安全要求较高，网络规划上需要通过明确网络划分原则，使之形成清晰、简洁的网络及系统的组网架构，实现相关网络与系统之间严格访问控制实现安全互连，从而更好地解决复杂系统的连接问题，提升网络架构、安全架构建设的成效，网络系统设计需具备以下原则：</w:t>
            </w:r>
          </w:p>
          <w:p w14:paraId="4C8FB140">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1.保护现有投资：在保证网络整体性能的前提下，充分利用现有的网络设备或做必要的优化，网络的投资应随着网络的伸缩能够持续发挥作用，保护现有网络的投资，充分发挥网络投资的最大效益。</w:t>
            </w:r>
          </w:p>
          <w:p w14:paraId="3F8FCBE0">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2.安全性：制订统一的网络安全策略，整体考虑网络平台的安全性。保证关键数据不被非法窃取、篡改或泄漏，使数据具有极高的可信性。</w:t>
            </w:r>
          </w:p>
          <w:p w14:paraId="0A8D323C">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高性能：网络性能是整个网络良好运行的基础，设计中必须保障网络及设备的高吞吐能力，保证各种信息（数据、语音、图像）的高质量传输，才能使网络不成为业务开展的瓶颈。网络应保证各类业务数据流的及时传输，网络时效性要强，网络延时要小，确保业务的实时高效。</w:t>
            </w:r>
          </w:p>
          <w:p w14:paraId="65CCE3D0">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高可靠性：网络系统的稳定可靠是应用系统正常运行的关键保证，在网络设计中选用高可靠性网络产品，设备充分考虑冗余、容错能力；合理设计网络架构，制订可靠的网络备份策略，保证网络具有故障自愈的能力，最大限度地支持系统的正常运行。网络设备在出现故障时应便于诊断和排除，充分体现计算机网络的高可靠性。</w:t>
            </w:r>
          </w:p>
          <w:p w14:paraId="004C8F5D">
            <w:pPr>
              <w:pStyle w:val="5"/>
              <w:numPr>
                <w:ilvl w:val="2"/>
                <w:numId w:val="0"/>
              </w:numPr>
              <w:rPr>
                <w:rFonts w:hint="eastAsia" w:ascii="仿宋" w:hAnsi="仿宋" w:eastAsia="仿宋" w:cs="仿宋"/>
                <w:sz w:val="21"/>
                <w:szCs w:val="21"/>
              </w:rPr>
            </w:pPr>
            <w:bookmarkStart w:id="133" w:name="_Toc27887"/>
            <w:bookmarkStart w:id="134" w:name="_Toc154670831"/>
            <w:r>
              <w:rPr>
                <w:rFonts w:hint="eastAsia" w:ascii="仿宋" w:hAnsi="仿宋" w:eastAsia="仿宋" w:cs="仿宋"/>
                <w:sz w:val="21"/>
                <w:szCs w:val="21"/>
              </w:rPr>
              <w:t>3.8.4安全及密码资源需求</w:t>
            </w:r>
            <w:bookmarkEnd w:id="133"/>
            <w:bookmarkEnd w:id="134"/>
          </w:p>
          <w:p w14:paraId="14248C60">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本期项目需通过网络等级保护三级和密码应用测评，测评业务与陕西省卫生健康信息中心其他项目同步进行。</w:t>
            </w:r>
          </w:p>
          <w:p w14:paraId="5929EB15">
            <w:pPr>
              <w:pStyle w:val="5"/>
              <w:numPr>
                <w:ilvl w:val="2"/>
                <w:numId w:val="0"/>
              </w:numPr>
              <w:rPr>
                <w:rFonts w:hint="eastAsia" w:ascii="仿宋" w:hAnsi="仿宋" w:eastAsia="仿宋" w:cs="仿宋"/>
                <w:sz w:val="21"/>
                <w:szCs w:val="21"/>
              </w:rPr>
            </w:pPr>
            <w:bookmarkStart w:id="135" w:name="_Toc154670832"/>
            <w:bookmarkStart w:id="136" w:name="_Toc22726"/>
            <w:r>
              <w:rPr>
                <w:rFonts w:hint="eastAsia" w:ascii="仿宋" w:hAnsi="仿宋" w:eastAsia="仿宋" w:cs="仿宋"/>
                <w:sz w:val="21"/>
                <w:szCs w:val="21"/>
              </w:rPr>
              <w:t>3.8.5备份系统需求</w:t>
            </w:r>
            <w:bookmarkEnd w:id="135"/>
            <w:bookmarkEnd w:id="136"/>
          </w:p>
          <w:p w14:paraId="382C7348">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灾备，全称为灾难备份，是指在发生灾难时，能够快速恢复业务运行的一种技术手段。它的核心目标是在灾难发生时，能够快速恢复业务运行，减少灾难对业务的影响。</w:t>
            </w:r>
          </w:p>
          <w:p w14:paraId="1C4F575E">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灾备的演进可以分为以下几个阶段：</w:t>
            </w:r>
          </w:p>
          <w:p w14:paraId="2AD76C32">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无灾备阶段：在这个阶段，IT行业没有灾备的概念，也没有采取任何措施来应对灾难。当灾难发生时，IT系统的业务会受到严重影响，甚至可能导致业务中断。</w:t>
            </w:r>
          </w:p>
          <w:p w14:paraId="255E72BD">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地备份阶段：在这个阶段，IT行业开始意识到灾备的重要性，并开始进行本地备份。本地备份是指将数据备份到本地的存储设备上。这种备份方式的优点是成本较低，但随着分布式技术的普及，云平台都为3副本运行机制，已经完成了本地的实时分布式3节点机制，且灾备主要是解决数据中心整体出现故障或者灾难。</w:t>
            </w:r>
          </w:p>
          <w:p w14:paraId="33647575">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远程备份阶段：随着业务的发展，数据量越来越大，本地备份已经无法满足需求。在这个阶段，开始采用远程备份的方式，将数据备份到远程的存储设备上，如云存储、网络、存储等。这种备份方式的优点是备份速度快，恢复速度也较快，但缺点是成本较高。</w:t>
            </w:r>
          </w:p>
          <w:p w14:paraId="2FFAD735">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业务连续性阶段：在这个阶段，随着互联网服务、医保保障、医疗业务发展的需求，不仅关注数据的备份，还关注业务的连续性。开始用业务连续性管理（BCM）的方法，制定业务连续性。</w:t>
            </w:r>
          </w:p>
          <w:p w14:paraId="451ECD97">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根据国家标准《信息系统灾难恢复规范》（GB/T20988-2007），灾难恢复能力被分为六个等级，分别是：</w:t>
            </w:r>
          </w:p>
          <w:p w14:paraId="49C202AE">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第一级：基本备份能力。备份功能支持，备份介质场外存储，安全保障、定期验证。</w:t>
            </w:r>
          </w:p>
          <w:p w14:paraId="32EDAB79">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第二级：异地备份能力。备份场地支持。网络和业务处理系统可在预定时间内调配到备份中心。</w:t>
            </w:r>
          </w:p>
          <w:p w14:paraId="62D807C3">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第三级：电子传输和部分设备支持。灾备中心配备部分业务处理和网络设备，具备部分通讯链路。</w:t>
            </w:r>
          </w:p>
          <w:p w14:paraId="14AEB6A2">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第四级：电子传输和完整设备支持。数据定时批量传送，网络/系统始终就绪。温备中心模式。</w:t>
            </w:r>
          </w:p>
          <w:p w14:paraId="0DA122D2">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第五级：实时数据传输及完整设备支持。采用远程复制技术，实现数据实时复制，网络具备自动或集中切换能力，业务处理系统就绪或运行中。</w:t>
            </w:r>
          </w:p>
          <w:p w14:paraId="79C18E14">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第六级：数据零丢失和远程集群支持。数据实时备份，零丢失，系统/应用远程集群，可自动切换，用户同时接入主备中心。</w:t>
            </w:r>
          </w:p>
          <w:p w14:paraId="11749386">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容灾技术按照容灾模式区分，可以分为以下几种：</w:t>
            </w:r>
          </w:p>
          <w:p w14:paraId="404C31B4">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同城容灾：同城容灾是指在同城或相近区域内建立一个数据中心和一个灾难备份中心，两者之间的距离通常不超过200公里。这种容灾模式能够提供较快的通信线路，但在数据完整性和业务连续不能100%的支撑。</w:t>
            </w:r>
          </w:p>
          <w:p w14:paraId="461B9ECE">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异地容灾：异地容灾是指在相隔较远的两个地点分别建立主备中心，通常距离超过200公里。这种容灾模式能够防范战争、地震、水灾等风险，但由于距离较远，数据同步可能会存在一定的延迟，导致数据丢失。</w:t>
            </w:r>
          </w:p>
          <w:p w14:paraId="2CA82B90">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双活数据中心：双活数据中心是指两个数据中心之间互为备份，能够同时处理用户请求。当一个数据中心发生故障时，另一个数据中心可以自动接管业务，从而提供不间断服务。这种容灾模式需要较高的技术和投资，但能够提供更高的服务可用性。</w:t>
            </w:r>
          </w:p>
          <w:p w14:paraId="4A9C0E46">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两地三中心：两地三中心是指在一个城市和另一个城市分别建立两个数据中心和一个备份中心。这种容灾模式能够提供更高的可用性和数据安全性，但相应的投资也较大。</w:t>
            </w:r>
          </w:p>
          <w:p w14:paraId="5FDC80E6">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基于以上国家标准和分类，本次项目属于重要级应用，需提供7*24不间断的服务，才能保障系统的稳定运行。</w:t>
            </w:r>
          </w:p>
          <w:p w14:paraId="2949DFDB">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灾备技术总体上包括备份和容灾两个方面，前者关注的是数据可用性，后者关注的是业务连续性。</w:t>
            </w:r>
          </w:p>
          <w:p w14:paraId="121DA868">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为了保障系统的数据安全及业务的正常运行，有必要建立一套完善的具有高可用性的灾备机制。一个全面的灾备系统对备份软件和硬件都有较高的要求，应满足以下需求：</w:t>
            </w:r>
          </w:p>
          <w:p w14:paraId="16D25B13">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软件需求：备份软件友好、使用灵活，备份软件应提供集中管理方式，用户在备份管理服务器上可以备份服务器到桌面的文件数据、数据库中数据。支持在线备份数据、离线备份数据等多种备份方式，可自由设置备份策略。</w:t>
            </w:r>
          </w:p>
          <w:p w14:paraId="1EFCB1B6">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2.硬件需求：备份介质应便于移动和重复使用。备份介质的容量应远大于现有系统的总数据量，备份介质应具有较高的可用性，应使用高速度的备份设备。</w:t>
            </w:r>
          </w:p>
          <w:p w14:paraId="5F3A435F">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3.网络需求：数据备份系统进行在线数据备份时对网络有较高的要求，应根据系统的备份时间及恢复时间计算网络带宽的大小。</w:t>
            </w:r>
          </w:p>
          <w:p w14:paraId="59376C73">
            <w:pPr>
              <w:pStyle w:val="24"/>
              <w:snapToGrid w:val="0"/>
              <w:spacing w:line="360" w:lineRule="auto"/>
              <w:ind w:left="420" w:firstLine="0"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4.异地灾备需求：支持本地及本地同城机房的灾备预防系统故障或数据中心故障，导致数据丢失风险。</w:t>
            </w:r>
          </w:p>
          <w:p w14:paraId="3E4868EB">
            <w:pPr>
              <w:pStyle w:val="3"/>
              <w:rPr>
                <w:rFonts w:hint="eastAsia" w:ascii="仿宋" w:hAnsi="仿宋" w:eastAsia="仿宋" w:cs="仿宋"/>
                <w:sz w:val="21"/>
                <w:szCs w:val="21"/>
              </w:rPr>
            </w:pPr>
            <w:bookmarkStart w:id="137" w:name="_Toc32147"/>
            <w:r>
              <w:rPr>
                <w:rFonts w:hint="eastAsia" w:ascii="仿宋" w:hAnsi="仿宋" w:eastAsia="仿宋" w:cs="仿宋"/>
                <w:sz w:val="21"/>
                <w:szCs w:val="21"/>
              </w:rPr>
              <w:t>第4章建设方案</w:t>
            </w:r>
            <w:bookmarkEnd w:id="125"/>
            <w:bookmarkEnd w:id="128"/>
            <w:bookmarkEnd w:id="137"/>
          </w:p>
          <w:p w14:paraId="7AEDE3D9">
            <w:pPr>
              <w:pStyle w:val="4"/>
              <w:numPr>
                <w:ilvl w:val="1"/>
                <w:numId w:val="0"/>
              </w:numPr>
              <w:rPr>
                <w:rFonts w:hint="eastAsia" w:ascii="仿宋" w:hAnsi="仿宋" w:eastAsia="仿宋" w:cs="仿宋"/>
                <w:sz w:val="21"/>
                <w:szCs w:val="21"/>
              </w:rPr>
            </w:pPr>
            <w:bookmarkStart w:id="138" w:name="_Toc25125"/>
            <w:bookmarkStart w:id="139" w:name="_Toc201145636"/>
            <w:r>
              <w:rPr>
                <w:rFonts w:hint="eastAsia" w:ascii="仿宋" w:hAnsi="仿宋" w:eastAsia="仿宋" w:cs="仿宋"/>
                <w:sz w:val="21"/>
                <w:szCs w:val="21"/>
              </w:rPr>
              <w:t>4.1架构设计</w:t>
            </w:r>
            <w:bookmarkEnd w:id="138"/>
            <w:bookmarkEnd w:id="139"/>
          </w:p>
          <w:p w14:paraId="134AEBEE">
            <w:pPr>
              <w:pStyle w:val="5"/>
              <w:numPr>
                <w:ilvl w:val="2"/>
                <w:numId w:val="0"/>
              </w:numPr>
              <w:rPr>
                <w:rFonts w:hint="eastAsia" w:ascii="仿宋" w:hAnsi="仿宋" w:eastAsia="仿宋" w:cs="仿宋"/>
                <w:sz w:val="21"/>
                <w:szCs w:val="21"/>
              </w:rPr>
            </w:pPr>
            <w:bookmarkStart w:id="140" w:name="_Toc201145637"/>
            <w:bookmarkStart w:id="141" w:name="_Toc127382353"/>
            <w:bookmarkStart w:id="142" w:name="_Toc22450"/>
            <w:r>
              <w:rPr>
                <w:rFonts w:hint="eastAsia" w:ascii="仿宋" w:hAnsi="仿宋" w:eastAsia="仿宋" w:cs="仿宋"/>
                <w:sz w:val="21"/>
                <w:szCs w:val="21"/>
              </w:rPr>
              <w:t>4.1.1总体架构</w:t>
            </w:r>
            <w:bookmarkEnd w:id="140"/>
            <w:bookmarkEnd w:id="141"/>
            <w:bookmarkEnd w:id="142"/>
          </w:p>
          <w:p w14:paraId="3C49B2BF">
            <w:pPr>
              <w:ind w:firstLine="420"/>
              <w:rPr>
                <w:rFonts w:hint="eastAsia" w:ascii="仿宋" w:hAnsi="仿宋" w:eastAsia="仿宋" w:cs="仿宋"/>
                <w:szCs w:val="21"/>
              </w:rPr>
            </w:pPr>
            <w:r>
              <w:rPr>
                <w:rFonts w:hint="eastAsia" w:ascii="仿宋" w:hAnsi="仿宋" w:eastAsia="仿宋" w:cs="仿宋"/>
                <w:szCs w:val="21"/>
              </w:rPr>
              <w:t>系统总体架构设计如下：</w:t>
            </w:r>
          </w:p>
          <w:p w14:paraId="725B2672">
            <w:pPr>
              <w:jc w:val="center"/>
            </w:pPr>
            <w:r>
              <w:drawing>
                <wp:inline distT="0" distB="0" distL="114300" distR="114300">
                  <wp:extent cx="4691380" cy="3477895"/>
                  <wp:effectExtent l="0" t="0" r="0" b="0"/>
                  <wp:docPr id="5" name="图片 5" descr="a337516d644c5ea18b95c8cfa996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337516d644c5ea18b95c8cfa9966b4"/>
                          <pic:cNvPicPr>
                            <a:picLocks noChangeAspect="1"/>
                          </pic:cNvPicPr>
                        </pic:nvPicPr>
                        <pic:blipFill>
                          <a:blip r:embed="rId6"/>
                          <a:stretch>
                            <a:fillRect/>
                          </a:stretch>
                        </pic:blipFill>
                        <pic:spPr>
                          <a:xfrm>
                            <a:off x="0" y="0"/>
                            <a:ext cx="4691380" cy="3477895"/>
                          </a:xfrm>
                          <a:prstGeom prst="rect">
                            <a:avLst/>
                          </a:prstGeom>
                        </pic:spPr>
                      </pic:pic>
                    </a:graphicData>
                  </a:graphic>
                </wp:inline>
              </w:drawing>
            </w:r>
          </w:p>
          <w:p w14:paraId="2DDED42F">
            <w:pPr>
              <w:pStyle w:val="14"/>
              <w:snapToGrid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总体架构图</w:t>
            </w:r>
          </w:p>
          <w:p w14:paraId="587ED0C9">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系统架构从下至上分为基础设施层、数据资源层、应用支撑层、业务应用层、展示层、用户层，信息安全保障体系与运维管理保障体系贯穿各层。基础设施层奠定运行基础；数据资源层负责处理数据接入、数据整合、数据治理、质量控制、存储及共享交换等。应用支撑层位提供相关的组件服务；业务应用层为系统提供相关的业务应用界面；展示层提供桌面端及移动端等多种展示方式；用户层包括本系统所覆盖的用户范围。</w:t>
            </w:r>
          </w:p>
          <w:p w14:paraId="141C9453">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1.基础设施层</w:t>
            </w:r>
          </w:p>
          <w:p w14:paraId="2772FDCF">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作为系统运行基础，本次建设主要依托省政务云资源平台提供的云资源服务器、存储设备、互联网网络环境、密码应用设备等。</w:t>
            </w:r>
          </w:p>
          <w:p w14:paraId="017FB6E2">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2.数据资源层</w:t>
            </w:r>
          </w:p>
          <w:p w14:paraId="1B97B6EC">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本次新建卫生人力库、住院病案库，改扩建原有数据资源库。并通过数据接入、数据整合、数据治理，数据建模等，为应用提供数据支撑服务。同时通过数据共享交换功能实现与外部系统的数据共享及交换。</w:t>
            </w:r>
          </w:p>
          <w:p w14:paraId="265145C4">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数据整合：</w:t>
            </w:r>
          </w:p>
          <w:p w14:paraId="16EE40DE">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对采集的数据进行抽取、清洗、转换、调度和运行监控，确保数据有序处理。</w:t>
            </w:r>
          </w:p>
          <w:p w14:paraId="4D3B3983">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数据治理：</w:t>
            </w:r>
          </w:p>
          <w:p w14:paraId="741A22E7">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从质量检查、完整性、一致性、及时性、准确性等维度评估数据质量，并通过逻辑修正、智能填充、冗余处理等操作提升数据质量。</w:t>
            </w:r>
          </w:p>
          <w:p w14:paraId="29B9E504">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数据建模：</w:t>
            </w:r>
          </w:p>
          <w:p w14:paraId="5B938FE9">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将治理后的数据构建为主题域、主题集、主题表、维表等，进行逻辑处理与关联计算，为分析提供结构化数据。</w:t>
            </w:r>
          </w:p>
          <w:p w14:paraId="4704C618">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3.应用支撑层</w:t>
            </w:r>
          </w:p>
          <w:p w14:paraId="1D306881">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公共应用支撑：本次建设复用政务云环境的统一身份认证组件服务，统一商用密码服务，统一短信服务。</w:t>
            </w:r>
          </w:p>
          <w:p w14:paraId="6525D1E9">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自建应用支撑：本次自建应用支撑包括报表引擎服务、ETL工具、表单设计工具、标准接口服务及计算引擎等。</w:t>
            </w:r>
          </w:p>
          <w:p w14:paraId="76F2C88F">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报表引擎服务，主要为数据采集提供报表设计、表单设计，数据报表采集应用提供服务。</w:t>
            </w:r>
          </w:p>
          <w:p w14:paraId="5B050BE3">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ETL工具：为数据治理、数据汇总提供服务，包括数据完整性、一致性检查、准确性等。</w:t>
            </w:r>
          </w:p>
          <w:p w14:paraId="6BA5D9B4">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表单设计工具：为临时性采集表单设计提供服支撑。</w:t>
            </w:r>
          </w:p>
          <w:p w14:paraId="549DD137">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标准接口服务：为标准接口开发、开放提供支撑服务。</w:t>
            </w:r>
          </w:p>
          <w:p w14:paraId="45700A84">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计算引擎服务：为数据汇总，报表计算等提供支撑服务。</w:t>
            </w:r>
          </w:p>
          <w:p w14:paraId="76503421">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4.业务应用层</w:t>
            </w:r>
          </w:p>
          <w:p w14:paraId="7DECCF72">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业务应用层主要包括数据采集、数据分析、数据质控、决策支持、指标管理、卫生人力、住院病案等模块。</w:t>
            </w:r>
          </w:p>
          <w:p w14:paraId="00DF3331">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数据采集：采集国家卫生调查制度规定的数据采集任务以及本省个性化采集任务。</w:t>
            </w:r>
          </w:p>
          <w:p w14:paraId="0DBB8C23">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数据分析：为全省各级各类医疗卫生机构医疗数据分析服务。</w:t>
            </w:r>
          </w:p>
          <w:p w14:paraId="6EFBCA11">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数据质控：对采集的数据进行质量控制，从完整性、一致性、及时性、准确性等维度进行数据质量控制评估。</w:t>
            </w:r>
          </w:p>
          <w:p w14:paraId="4C83F216">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决策支持：通过可视化分析为管理部门提供数据支持。</w:t>
            </w:r>
          </w:p>
          <w:p w14:paraId="7CEB1A9E">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指标管理：包括卫生健康数据进行指标建立，指标维护，指标建模、指标数据汇总等。</w:t>
            </w:r>
          </w:p>
          <w:p w14:paraId="62691D6D">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卫生人力：对全省各类卫生技术人员进行信息采集维护，以及人员流通管理。</w:t>
            </w:r>
          </w:p>
          <w:p w14:paraId="759ACC84">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住院病案：对病案首页信息进行采集及汇总分析。</w:t>
            </w:r>
          </w:p>
          <w:p w14:paraId="4EA4CFB3">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5.展示层</w:t>
            </w:r>
          </w:p>
          <w:p w14:paraId="23C0E7A9">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展示层包括桌面终端与移动端。</w:t>
            </w:r>
          </w:p>
          <w:p w14:paraId="3A840BDF">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6.用户层</w:t>
            </w:r>
          </w:p>
          <w:p w14:paraId="76C83CCE">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用户层包括本系统所有业务用户，含全省各级卫健委、各级各类医院、社区卫生服务中心（站）、乡镇卫生院、门诊部、村卫生室等。</w:t>
            </w:r>
          </w:p>
          <w:p w14:paraId="7AD1A005">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7.信息安全保障体系</w:t>
            </w:r>
          </w:p>
          <w:p w14:paraId="56F4E351">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本次建设依托省政务云环境，整体信息安全保障采用云资源信息安全保障体系。</w:t>
            </w:r>
          </w:p>
          <w:p w14:paraId="0BC16BE0">
            <w:pPr>
              <w:pStyle w:val="23"/>
              <w:spacing w:line="360" w:lineRule="auto"/>
              <w:ind w:left="480" w:firstLine="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8.标准规范体系</w:t>
            </w:r>
          </w:p>
          <w:p w14:paraId="165434DD">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本次建设依托国家卫生资源与医疗服务调查制度等规范，结合本省实际业务情况，建设包括住院病案首页标准规范、卫生人力标注规范，接口对接标准规范等。</w:t>
            </w:r>
          </w:p>
          <w:p w14:paraId="377CB683">
            <w:pPr>
              <w:snapToGrid w:val="0"/>
              <w:spacing w:line="360" w:lineRule="auto"/>
              <w:rPr>
                <w:rFonts w:hint="eastAsia" w:ascii="仿宋" w:hAnsi="仿宋" w:eastAsia="仿宋" w:cs="仿宋"/>
              </w:rPr>
            </w:pPr>
          </w:p>
          <w:p w14:paraId="46728A38">
            <w:pPr>
              <w:pStyle w:val="5"/>
              <w:numPr>
                <w:ilvl w:val="2"/>
                <w:numId w:val="0"/>
              </w:numPr>
              <w:rPr>
                <w:rFonts w:hint="eastAsia" w:ascii="仿宋" w:hAnsi="仿宋" w:eastAsia="仿宋" w:cs="仿宋"/>
                <w:sz w:val="21"/>
                <w:szCs w:val="21"/>
              </w:rPr>
            </w:pPr>
            <w:bookmarkStart w:id="143" w:name="_Toc117416582"/>
            <w:bookmarkStart w:id="144" w:name="_Toc30895"/>
            <w:bookmarkStart w:id="145" w:name="_Toc127382354"/>
            <w:r>
              <w:rPr>
                <w:rFonts w:hint="eastAsia" w:ascii="仿宋" w:hAnsi="仿宋" w:eastAsia="仿宋" w:cs="仿宋"/>
                <w:sz w:val="21"/>
                <w:szCs w:val="21"/>
              </w:rPr>
              <w:t>4.1.2数据架构</w:t>
            </w:r>
            <w:bookmarkEnd w:id="143"/>
            <w:bookmarkEnd w:id="144"/>
            <w:bookmarkEnd w:id="145"/>
          </w:p>
          <w:p w14:paraId="332D5CE3">
            <w:pPr>
              <w:ind w:firstLine="420"/>
              <w:rPr>
                <w:rFonts w:hint="eastAsia" w:ascii="仿宋" w:hAnsi="仿宋" w:eastAsia="仿宋" w:cs="仿宋"/>
                <w:szCs w:val="21"/>
              </w:rPr>
            </w:pPr>
            <w:r>
              <w:rPr>
                <w:rFonts w:hint="eastAsia" w:ascii="仿宋" w:hAnsi="仿宋" w:eastAsia="仿宋" w:cs="仿宋"/>
                <w:color w:val="000000" w:themeColor="text1"/>
                <w:szCs w:val="21"/>
                <w14:textFill>
                  <w14:solidFill>
                    <w14:schemeClr w14:val="tx1"/>
                  </w14:solidFill>
                </w14:textFill>
              </w:rPr>
              <w:t>系统数据架构设计如下：</w:t>
            </w:r>
          </w:p>
          <w:p w14:paraId="6E51426F">
            <w:pPr>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41875" cy="2975610"/>
                  <wp:effectExtent l="0" t="0" r="1587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l="4482" r="3396"/>
                          <a:stretch>
                            <a:fillRect/>
                          </a:stretch>
                        </pic:blipFill>
                        <pic:spPr>
                          <a:xfrm>
                            <a:off x="0" y="0"/>
                            <a:ext cx="4841875" cy="2975610"/>
                          </a:xfrm>
                          <a:prstGeom prst="rect">
                            <a:avLst/>
                          </a:prstGeom>
                        </pic:spPr>
                      </pic:pic>
                    </a:graphicData>
                  </a:graphic>
                </wp:inline>
              </w:drawing>
            </w:r>
          </w:p>
          <w:p w14:paraId="3E6E9196">
            <w:pPr>
              <w:pStyle w:val="14"/>
              <w:snapToGrid w:val="0"/>
              <w:rPr>
                <w:rFonts w:hint="eastAsia" w:ascii="仿宋" w:hAnsi="仿宋" w:eastAsia="仿宋" w:cs="仿宋"/>
              </w:rPr>
            </w:pPr>
            <w:r>
              <w:rPr>
                <w:rFonts w:hint="eastAsia" w:ascii="仿宋" w:hAnsi="仿宋" w:eastAsia="仿宋" w:cs="仿宋"/>
              </w:rPr>
              <w:t>数据架构图</w:t>
            </w:r>
          </w:p>
          <w:p w14:paraId="32D40BAC">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以“数据接入”为起点，经“处理/汇聚”沉淀到“资源池”，通过“管理”保障质量与规范，最终以“服务层”实现数据应用价值，覆盖医疗数据从采集到决策支持的全生命周期，支撑医疗管理、运营分析、资源调配等业务场景，各模块功能及关联如下：</w:t>
            </w:r>
          </w:p>
          <w:p w14:paraId="0BD099B5">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1.数据接入层</w:t>
            </w:r>
          </w:p>
          <w:p w14:paraId="5CA56E86">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作为数据“入口”，覆盖多样化采集场景：</w:t>
            </w:r>
          </w:p>
          <w:p w14:paraId="518DE63E">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年报/月报任务：周期性汇总医疗业务统计数据；</w:t>
            </w:r>
          </w:p>
          <w:p w14:paraId="4BC6B103">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实时报任务：对动态数据实时采集，保障数据及时性；</w:t>
            </w:r>
          </w:p>
          <w:p w14:paraId="2081ADC9">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其他业务处室任务：对接卫生系统内不同部门的专属数据需求；</w:t>
            </w:r>
          </w:p>
          <w:p w14:paraId="29F4CEDD">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临时调查任务：应对突发/专项调研，灵活补充数据。</w:t>
            </w:r>
          </w:p>
          <w:p w14:paraId="2FB0BBC5">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2.数据处理/汇聚层</w:t>
            </w:r>
          </w:p>
          <w:p w14:paraId="2A2032FC">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承担数据“预处理”职责，保障数据质量：</w:t>
            </w:r>
          </w:p>
          <w:p w14:paraId="3050ACCA">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数据采集：从接入层获取原始信息，是数据流转的起点；</w:t>
            </w:r>
          </w:p>
          <w:p w14:paraId="2201808D">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数据提取：筛选关键字段（如患者年龄、诊疗费用），剔除冗余内容；</w:t>
            </w:r>
          </w:p>
          <w:p w14:paraId="2EAD596C">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数据清洗：修复错误（如重复记录、格式混乱）、填补缺失值，提升数据准确性；</w:t>
            </w:r>
          </w:p>
          <w:p w14:paraId="4B4C408D">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异常监测：识别异常数据（如超常规诊疗费用、错误编码），标记待核查内容；</w:t>
            </w:r>
          </w:p>
          <w:p w14:paraId="47554387">
            <w:pPr>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任务运维：调度处理流程，保障各环节高效、稳定运行。</w:t>
            </w:r>
          </w:p>
          <w:p w14:paraId="2D0C77DF">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3.数据资源池</w:t>
            </w:r>
          </w:p>
          <w:p w14:paraId="525F7A15">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数据“存储+分类整合”的中枢，按“原始库→基础库→主题库→专题库”分层沉淀：</w:t>
            </w:r>
          </w:p>
          <w:p w14:paraId="33DB49D4">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原始库：直接存储接入层的原始数据，保留最完整信息，用于追溯与校验；</w:t>
            </w:r>
          </w:p>
          <w:p w14:paraId="7EAC0774">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基础库：基于原始库清洗后，按基础业务维度分类，是通用数据底座；</w:t>
            </w:r>
          </w:p>
          <w:p w14:paraId="28A6EB3F">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主题库：围绕特定业务对象深度整合数据，支持针对性分析；</w:t>
            </w:r>
          </w:p>
          <w:p w14:paraId="269B9E57">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专题库：聚焦专业分析场景，为决策提供定制化数据。</w:t>
            </w:r>
          </w:p>
          <w:p w14:paraId="3B1629E6">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4.数据管理层</w:t>
            </w:r>
          </w:p>
          <w:p w14:paraId="5C524288">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构建数据“治理体系”，保障数据资产价值：</w:t>
            </w:r>
          </w:p>
          <w:p w14:paraId="5ACF3D69">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数据资产管理：梳理数据资产清单，评估价值、规划应用；</w:t>
            </w:r>
          </w:p>
          <w:p w14:paraId="5B73D576">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数据指标管理：定义核心指标，统一统计口径，保障分析一致性；</w:t>
            </w:r>
          </w:p>
          <w:p w14:paraId="05D0F46D">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数据治理管理：建立标准规范，解决“数据孤岛”“质量参差”问题；</w:t>
            </w:r>
          </w:p>
          <w:p w14:paraId="3C3DA3EF">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数据质量管理：持续监控数据准确性、完整性，通过校验规则保障质量；</w:t>
            </w:r>
          </w:p>
          <w:p w14:paraId="23C6D35B">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数据运维管理：维护存储、计算资源，保障数据系统稳定运行，处理故障与性能优化。</w:t>
            </w:r>
          </w:p>
          <w:p w14:paraId="1DA70122">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5.数据服务层</w:t>
            </w:r>
          </w:p>
          <w:p w14:paraId="2AE33C3C">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实现数据“价值输出”，面向用户提供应用：</w:t>
            </w:r>
          </w:p>
          <w:p w14:paraId="6A8A9D31">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数据资源目录服务：梳理数据资产“地图”，方便用户快速查找所需数据（如查询某医院床位数据）；</w:t>
            </w:r>
          </w:p>
          <w:p w14:paraId="62BD4102">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数据接口服务：通过标准化接口（API），支撑上层系统调用数据；</w:t>
            </w:r>
          </w:p>
          <w:p w14:paraId="1173CC43">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数据共享交换服务：打通跨部门/机构数据流通，打破壁垒；</w:t>
            </w:r>
          </w:p>
          <w:p w14:paraId="226FD459">
            <w:pPr>
              <w:snapToGrid w:val="0"/>
              <w:spacing w:line="360" w:lineRule="auto"/>
              <w:ind w:left="420" w:left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数据可视化应用：将数据转化为图表、Dashboard，辅助直观决策。</w:t>
            </w:r>
          </w:p>
          <w:p w14:paraId="3732220A">
            <w:pPr>
              <w:pStyle w:val="5"/>
              <w:numPr>
                <w:ilvl w:val="2"/>
                <w:numId w:val="0"/>
              </w:numPr>
              <w:rPr>
                <w:rFonts w:hint="eastAsia" w:ascii="仿宋" w:hAnsi="仿宋" w:eastAsia="仿宋" w:cs="仿宋"/>
                <w:sz w:val="21"/>
                <w:szCs w:val="21"/>
              </w:rPr>
            </w:pPr>
            <w:bookmarkStart w:id="146" w:name="_Toc127382355"/>
            <w:bookmarkStart w:id="147" w:name="_Toc117416583"/>
            <w:bookmarkStart w:id="148" w:name="_Toc3709"/>
            <w:r>
              <w:rPr>
                <w:rFonts w:hint="eastAsia" w:ascii="仿宋" w:hAnsi="仿宋" w:eastAsia="仿宋" w:cs="仿宋"/>
                <w:sz w:val="21"/>
                <w:szCs w:val="21"/>
              </w:rPr>
              <w:t>4.1.3技术架构</w:t>
            </w:r>
            <w:bookmarkEnd w:id="146"/>
            <w:bookmarkEnd w:id="147"/>
            <w:bookmarkEnd w:id="148"/>
          </w:p>
          <w:p w14:paraId="1950ACF5">
            <w:pPr>
              <w:ind w:firstLine="420"/>
            </w:pPr>
            <w:r>
              <w:rPr>
                <w:rFonts w:hint="eastAsia"/>
                <w:color w:val="000000" w:themeColor="text1"/>
                <w14:textFill>
                  <w14:solidFill>
                    <w14:schemeClr w14:val="tx1"/>
                  </w14:solidFill>
                </w14:textFill>
              </w:rPr>
              <w:t>系统技术架构设计如下：</w:t>
            </w:r>
          </w:p>
          <w:p w14:paraId="4707E5E1">
            <w:pPr>
              <w:snapToGrid w:val="0"/>
              <w:spacing w:line="360" w:lineRule="auto"/>
            </w:pPr>
            <w:r>
              <w:drawing>
                <wp:inline distT="0" distB="0" distL="0" distR="0">
                  <wp:extent cx="4444365" cy="2336165"/>
                  <wp:effectExtent l="0" t="0" r="13335" b="6985"/>
                  <wp:docPr id="1934821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1286" name="图片 1"/>
                          <pic:cNvPicPr>
                            <a:picLocks noChangeAspect="1"/>
                          </pic:cNvPicPr>
                        </pic:nvPicPr>
                        <pic:blipFill>
                          <a:blip r:embed="rId8"/>
                          <a:stretch>
                            <a:fillRect/>
                          </a:stretch>
                        </pic:blipFill>
                        <pic:spPr>
                          <a:xfrm>
                            <a:off x="0" y="0"/>
                            <a:ext cx="4444365" cy="2336165"/>
                          </a:xfrm>
                          <a:prstGeom prst="rect">
                            <a:avLst/>
                          </a:prstGeom>
                        </pic:spPr>
                      </pic:pic>
                    </a:graphicData>
                  </a:graphic>
                </wp:inline>
              </w:drawing>
            </w:r>
          </w:p>
          <w:p w14:paraId="150ACF65">
            <w:pPr>
              <w:pStyle w:val="14"/>
              <w:snapToGrid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技术架构图</w:t>
            </w:r>
          </w:p>
          <w:p w14:paraId="5AC30352">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支撑软件层：提供最基础运行环境，包含操作系统、数据库、中间件，是系统运行的底层基座，保障系统能启动和基础数据存储、服务承载；</w:t>
            </w:r>
          </w:p>
          <w:p w14:paraId="06635262">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应用服务层：处理业务逻辑核心部分，有计算、缓存等技术组件优化性能，借框架规范开发流程，实现业务数据交互、逻辑处理，让系统能完成实际业务功能；</w:t>
            </w:r>
          </w:p>
          <w:p w14:paraId="2B5C3B2A">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应用访问层：作为前端交互入口，用各类标记语言、模板、数据格式搭建页面，靠交互组件让用户能看到界面、进行操作，实现人机交互；</w:t>
            </w:r>
          </w:p>
          <w:p w14:paraId="0C5691A1">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组件服务：是辅助工具集合，涵盖文档处理、文件管理、日志、检索等功能，支撑系统日常运营里的各类辅助性需求；</w:t>
            </w:r>
          </w:p>
          <w:p w14:paraId="701D7905">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接口服务：负责系统内外、不同模块间的数据交互，通过多种协议、工具，让系统能和外部或内部其他部分连通、传输数据；</w:t>
            </w:r>
          </w:p>
          <w:p w14:paraId="35B8A31D">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信息安全防护体系：贯穿系统各环节，保障数据在传输、存储、访问等过程中的安全，符合安全合规要求，守护系统稳定可靠运行；</w:t>
            </w:r>
          </w:p>
          <w:p w14:paraId="07565167">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整体架构遵循分层解耦思路，让系统易扩展、易维护，适配企业级系统性能与功能需求。</w:t>
            </w:r>
          </w:p>
          <w:p w14:paraId="157D82EF">
            <w:pPr>
              <w:pStyle w:val="5"/>
              <w:numPr>
                <w:ilvl w:val="2"/>
                <w:numId w:val="0"/>
              </w:numPr>
              <w:rPr>
                <w:rFonts w:hint="eastAsia" w:ascii="仿宋" w:hAnsi="仿宋" w:eastAsia="仿宋" w:cs="仿宋"/>
                <w:sz w:val="21"/>
                <w:szCs w:val="21"/>
              </w:rPr>
            </w:pPr>
            <w:bookmarkStart w:id="149" w:name="_Toc127382356"/>
            <w:bookmarkStart w:id="150" w:name="_Toc10677"/>
            <w:r>
              <w:rPr>
                <w:rFonts w:hint="eastAsia" w:ascii="仿宋" w:hAnsi="仿宋" w:eastAsia="仿宋" w:cs="仿宋"/>
                <w:sz w:val="21"/>
                <w:szCs w:val="21"/>
              </w:rPr>
              <w:t>4.1.4网络拓扑</w:t>
            </w:r>
            <w:bookmarkEnd w:id="149"/>
            <w:bookmarkEnd w:id="150"/>
          </w:p>
          <w:p w14:paraId="0B14CC3D">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本项目建设依托于省政务云网络环境，外部出口采用互联网访问，经核心路由交互至政务云网络环境。</w:t>
            </w:r>
          </w:p>
          <w:p w14:paraId="37EC0997">
            <w:pPr>
              <w:pStyle w:val="25"/>
              <w:spacing w:line="360" w:lineRule="auto"/>
              <w:ind w:firstLine="0"/>
              <w:jc w:val="center"/>
              <w:rPr>
                <w:color w:val="000000" w:themeColor="text1"/>
                <w14:textFill>
                  <w14:solidFill>
                    <w14:schemeClr w14:val="tx1"/>
                  </w14:solidFill>
                </w14:textFill>
              </w:rPr>
            </w:pPr>
            <w:r>
              <w:drawing>
                <wp:inline distT="0" distB="0" distL="114300" distR="114300">
                  <wp:extent cx="4326890" cy="2468245"/>
                  <wp:effectExtent l="0" t="0" r="16510"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4326890" cy="2468245"/>
                          </a:xfrm>
                          <a:prstGeom prst="rect">
                            <a:avLst/>
                          </a:prstGeom>
                          <a:noFill/>
                          <a:ln>
                            <a:noFill/>
                          </a:ln>
                        </pic:spPr>
                      </pic:pic>
                    </a:graphicData>
                  </a:graphic>
                </wp:inline>
              </w:drawing>
            </w:r>
          </w:p>
          <w:p w14:paraId="7538BFFE">
            <w:pPr>
              <w:pStyle w:val="14"/>
              <w:snapToGrid w:val="0"/>
              <w:ind w:left="426"/>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网络拓扑图</w:t>
            </w:r>
          </w:p>
          <w:p w14:paraId="1D2A60D2">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终端经Internet发起访问请求，先抵达省政务云互联网专区的融合网关，由其进行协议转换、流量过滤与接入认证，再通过核心交换服务器实现专区内南北向（公网-专区）及东西向（专区内设备）数据转发调度；同时，专区内集成堡垒机管控运维操作、数据库审计监控数据访问、态势感知监测网络异常、漏洞扫描检测系统漏洞，构建多层安全防护体系，以“接入-交换-安全防护”流程，保障用户对省政务云资源访问的连通性与安全性，适配政务系统合规、高可用需求。</w:t>
            </w:r>
          </w:p>
          <w:p w14:paraId="7726B026">
            <w:pPr>
              <w:pStyle w:val="5"/>
              <w:numPr>
                <w:ilvl w:val="2"/>
                <w:numId w:val="0"/>
              </w:numPr>
              <w:rPr>
                <w:rFonts w:hint="eastAsia" w:ascii="仿宋" w:hAnsi="仿宋" w:eastAsia="仿宋" w:cs="仿宋"/>
                <w:sz w:val="21"/>
                <w:szCs w:val="21"/>
              </w:rPr>
            </w:pPr>
            <w:bookmarkStart w:id="151" w:name="_Toc117416586"/>
            <w:bookmarkStart w:id="152" w:name="_Toc8435"/>
            <w:bookmarkStart w:id="153" w:name="_Toc127382358"/>
            <w:r>
              <w:rPr>
                <w:rFonts w:hint="eastAsia" w:ascii="仿宋" w:hAnsi="仿宋" w:eastAsia="仿宋" w:cs="仿宋"/>
                <w:sz w:val="21"/>
                <w:szCs w:val="21"/>
              </w:rPr>
              <w:t>4.1.5系统内外部关联关系</w:t>
            </w:r>
            <w:bookmarkEnd w:id="151"/>
            <w:bookmarkEnd w:id="152"/>
            <w:bookmarkEnd w:id="153"/>
          </w:p>
          <w:p w14:paraId="224090C7">
            <w:pPr>
              <w:ind w:firstLine="420"/>
              <w:rPr>
                <w:rFonts w:hint="eastAsia" w:ascii="仿宋" w:hAnsi="仿宋" w:eastAsia="仿宋" w:cs="仿宋"/>
                <w:szCs w:val="21"/>
              </w:rPr>
            </w:pPr>
            <w:r>
              <w:rPr>
                <w:rFonts w:hint="eastAsia" w:ascii="仿宋" w:hAnsi="仿宋" w:eastAsia="仿宋" w:cs="仿宋"/>
                <w:szCs w:val="21"/>
              </w:rPr>
              <w:t>系统内外部关联关系如下：</w:t>
            </w:r>
          </w:p>
          <w:p w14:paraId="21FED638">
            <w:pPr>
              <w:pStyle w:val="22"/>
              <w:snapToGrid w:val="0"/>
              <w:ind w:firstLine="0" w:firstLineChars="0"/>
              <w:rPr>
                <w:rFonts w:ascii="Segoe UI" w:hAnsi="Segoe UI" w:cs="Segoe UI"/>
                <w:color w:val="000000" w:themeColor="text1"/>
                <w:shd w:val="clear" w:color="auto" w:fill="FFFFFF"/>
                <w14:textFill>
                  <w14:solidFill>
                    <w14:schemeClr w14:val="tx1"/>
                  </w14:solidFill>
                </w14:textFill>
              </w:rPr>
            </w:pPr>
            <w:r>
              <w:drawing>
                <wp:inline distT="0" distB="0" distL="114300" distR="114300">
                  <wp:extent cx="4719320" cy="2563495"/>
                  <wp:effectExtent l="0" t="0" r="5080"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0"/>
                          <a:stretch>
                            <a:fillRect/>
                          </a:stretch>
                        </pic:blipFill>
                        <pic:spPr>
                          <a:xfrm>
                            <a:off x="0" y="0"/>
                            <a:ext cx="4719320" cy="2563495"/>
                          </a:xfrm>
                          <a:prstGeom prst="rect">
                            <a:avLst/>
                          </a:prstGeom>
                          <a:noFill/>
                          <a:ln>
                            <a:noFill/>
                          </a:ln>
                        </pic:spPr>
                      </pic:pic>
                    </a:graphicData>
                  </a:graphic>
                </wp:inline>
              </w:drawing>
            </w:r>
          </w:p>
          <w:p w14:paraId="486CF776">
            <w:pPr>
              <w:pStyle w:val="14"/>
              <w:snapToGrid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内外部关联关系图</w:t>
            </w:r>
          </w:p>
          <w:p w14:paraId="175E50E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上图是卫生统计信息系统的数据交互架构，逻辑关系如下：</w:t>
            </w:r>
          </w:p>
          <w:p w14:paraId="185231A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纵向链路：医院端（人力、病案等库及质控对比）与省级国家卫生统计信息系统双向交互，省级再和国家级系统数据上报、下发，实现国家-省-医院三级数据通。</w:t>
            </w:r>
          </w:p>
          <w:p w14:paraId="244823B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横向协同：省级卫生统计信息系统一边连省级全民健康平台（民科、医政等多系统），一边接省级政务信息化平台（密码服务、统一认证等），相互业务对接、数据反馈，让卫生统计融入健康、政务大生态，达成多级联动、跨平台协作。</w:t>
            </w:r>
          </w:p>
          <w:p w14:paraId="7E9019D2">
            <w:pPr>
              <w:pStyle w:val="4"/>
              <w:numPr>
                <w:ilvl w:val="1"/>
                <w:numId w:val="0"/>
              </w:numPr>
              <w:rPr>
                <w:rFonts w:hint="eastAsia" w:ascii="仿宋" w:hAnsi="仿宋" w:eastAsia="仿宋" w:cs="仿宋"/>
                <w:sz w:val="21"/>
                <w:szCs w:val="21"/>
              </w:rPr>
            </w:pPr>
            <w:bookmarkStart w:id="154" w:name="_Toc127382359"/>
            <w:bookmarkStart w:id="155" w:name="_Toc3899"/>
            <w:bookmarkStart w:id="156" w:name="_Toc117416587"/>
            <w:r>
              <w:rPr>
                <w:rFonts w:hint="eastAsia" w:ascii="仿宋" w:hAnsi="仿宋" w:eastAsia="仿宋" w:cs="仿宋"/>
                <w:sz w:val="21"/>
                <w:szCs w:val="21"/>
              </w:rPr>
              <w:t>4.2应用系统设计</w:t>
            </w:r>
            <w:bookmarkEnd w:id="154"/>
            <w:bookmarkEnd w:id="155"/>
          </w:p>
          <w:p w14:paraId="793B7968">
            <w:pPr>
              <w:pStyle w:val="5"/>
              <w:numPr>
                <w:ilvl w:val="2"/>
                <w:numId w:val="0"/>
              </w:numPr>
              <w:rPr>
                <w:rFonts w:hint="eastAsia" w:ascii="仿宋" w:hAnsi="仿宋" w:eastAsia="仿宋" w:cs="仿宋"/>
                <w:sz w:val="21"/>
                <w:szCs w:val="21"/>
              </w:rPr>
            </w:pPr>
            <w:bookmarkStart w:id="157" w:name="_Toc29179"/>
            <w:bookmarkStart w:id="158" w:name="_Toc23321"/>
            <w:r>
              <w:rPr>
                <w:rFonts w:hint="eastAsia" w:ascii="仿宋" w:hAnsi="仿宋" w:eastAsia="仿宋" w:cs="仿宋"/>
                <w:sz w:val="21"/>
                <w:szCs w:val="21"/>
              </w:rPr>
              <w:t>4.2.1功能结构</w:t>
            </w:r>
            <w:bookmarkEnd w:id="157"/>
            <w:bookmarkEnd w:id="158"/>
          </w:p>
          <w:p w14:paraId="79AD8F2D">
            <w:pPr>
              <w:pStyle w:val="23"/>
              <w:spacing w:line="360" w:lineRule="auto"/>
              <w:ind w:firstLine="0"/>
              <w:rPr>
                <w:color w:val="000000" w:themeColor="text1"/>
                <w14:textFill>
                  <w14:solidFill>
                    <w14:schemeClr w14:val="tx1"/>
                  </w14:solidFill>
                </w14:textFill>
              </w:rPr>
            </w:pPr>
            <w:r>
              <w:drawing>
                <wp:inline distT="0" distB="0" distL="114300" distR="114300">
                  <wp:extent cx="4681220" cy="2036445"/>
                  <wp:effectExtent l="0" t="0" r="5080" b="190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1"/>
                          <a:stretch>
                            <a:fillRect/>
                          </a:stretch>
                        </pic:blipFill>
                        <pic:spPr>
                          <a:xfrm>
                            <a:off x="0" y="0"/>
                            <a:ext cx="4681220" cy="2036445"/>
                          </a:xfrm>
                          <a:prstGeom prst="rect">
                            <a:avLst/>
                          </a:prstGeom>
                          <a:noFill/>
                          <a:ln>
                            <a:noFill/>
                          </a:ln>
                        </pic:spPr>
                      </pic:pic>
                    </a:graphicData>
                  </a:graphic>
                </wp:inline>
              </w:drawing>
            </w:r>
          </w:p>
          <w:p w14:paraId="125AB00E">
            <w:pPr>
              <w:pStyle w:val="14"/>
            </w:pPr>
            <w:r>
              <w:rPr>
                <w:rFonts w:hint="eastAsia"/>
              </w:rPr>
              <w:t>功能结构图</w:t>
            </w:r>
          </w:p>
          <w:p w14:paraId="3C20C28E">
            <w:pPr>
              <w:pStyle w:val="26"/>
              <w:snapToGrid w:val="0"/>
              <w:ind w:left="48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1.系统迁移</w:t>
            </w:r>
          </w:p>
          <w:p w14:paraId="4FD4A7A3">
            <w:pPr>
              <w:pStyle w:val="23"/>
              <w:spacing w:line="360" w:lineRule="auto"/>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从常规环境迁移</w:t>
            </w:r>
            <w:r>
              <w:rPr>
                <w:rFonts w:hint="eastAsia" w:ascii="仿宋" w:hAnsi="仿宋" w:eastAsia="仿宋" w:cs="仿宋"/>
                <w:color w:val="000000" w:themeColor="text1"/>
                <w:szCs w:val="24"/>
                <w14:textFill>
                  <w14:solidFill>
                    <w14:schemeClr w14:val="tx1"/>
                  </w14:solidFill>
                </w14:textFill>
              </w:rPr>
              <w:t>至信创环境，包括完成应用迁移、数据全量迁移及迁移后的验证工作。</w:t>
            </w:r>
          </w:p>
          <w:p w14:paraId="2C300131">
            <w:pPr>
              <w:pStyle w:val="26"/>
              <w:snapToGrid w:val="0"/>
              <w:ind w:left="48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2.功能模块优化</w:t>
            </w:r>
          </w:p>
          <w:p w14:paraId="48AA7AA2">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数据报送功能</w:t>
            </w:r>
          </w:p>
          <w:p w14:paraId="4F2F7DC8">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报送功能覆盖国家及地方统计制度需求，支持多源数据报送（手工填报、文件导入、系统对接等），内置全流程审核规则与分级审批机制，强化数据真实性。通过管理员业务催报、历史数据存档及跨系统数据同步，保障报送流程高效规范，满足国家报表、门急诊病历、临时任务等多样化报送场景需求。</w:t>
            </w:r>
          </w:p>
          <w:p w14:paraId="6BF92ED4">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指标管理功能</w:t>
            </w:r>
          </w:p>
          <w:p w14:paraId="51867EAA">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指标管理功能构建标准化指标体系，涵盖卫生资源、人员、服务等核心领域，支持国家制度同步与地方特色扩展。通过周期固化数据生成历史版本，提供跨周期对比与多维查询，整合国家直报与地方决策分析，自动生成统计年鉴、医改监测等报表，确保数据口径统一，为决策分析提供支撑。</w:t>
            </w:r>
          </w:p>
          <w:p w14:paraId="2FB61F25">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数据查询功能</w:t>
            </w:r>
          </w:p>
          <w:p w14:paraId="78D58AAE">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查询功能基于多维度组合查询（机构类型、行政区划、时间序列等），支持固定报表与动态图表展示，提供自助分析工具供用户自定义报表并下钻至明细数据，满足不同层级数据检索与可视化需求，助力用户快速获取所需信息。</w:t>
            </w:r>
          </w:p>
          <w:p w14:paraId="333636EA">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数据质控功能</w:t>
            </w:r>
          </w:p>
          <w:p w14:paraId="41E572AB">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质控功能围绕完整性、准确性、一致性等核心维度，构建全流程质控体系。通过规则配置、质量检查、问题分析及数据一致性对比，实现对年报、月报、病案首页等数据的自动化校验与问题标记，生成质量评分报告，推动数据质量持续改进，保障数据合规可靠。</w:t>
            </w:r>
          </w:p>
          <w:p w14:paraId="1A6CE4C9">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资产管理功能</w:t>
            </w:r>
          </w:p>
          <w:p w14:paraId="5E91C49D">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资产管理功能通过资产目录定义、盘点、服务方式及监控体系，实现对数据资产的全生命周期管理。支持数据查询、文件预览下载及接口服务，规范数据使用流程，确保数据安全合规，提升数据资产使用效率与决策价值。</w:t>
            </w:r>
          </w:p>
          <w:p w14:paraId="1930B3D2">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数据分析功能</w:t>
            </w:r>
          </w:p>
          <w:p w14:paraId="7C6F51A2">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据分析功能基于多维度（业务、时间、地域）构建分析模型，整合卫生资源、医疗服务、病案首页等数据，提供统计分析、专题报告、可视化看板等服务。通过动态数据监测与深度挖掘，揭示卫生体系运行规律，为政策制定与资源优化提供数据驱动支持。</w:t>
            </w:r>
          </w:p>
          <w:p w14:paraId="559BA597">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决策支持功能</w:t>
            </w:r>
          </w:p>
          <w:p w14:paraId="4F2C87DE">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决策支持功能通过数据汇聚整合、清洗处理及分析模型建设，构建智能化决策体系。提供决策看板、统计报告、自主分析等工具，支持多终端数据可视化展示，辅助管理层实时掌握核心指标，提升决策科学性与时效性。</w:t>
            </w:r>
          </w:p>
          <w:p w14:paraId="7A652CB5">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人力资源管理功能</w:t>
            </w:r>
          </w:p>
          <w:p w14:paraId="16710C86">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人力资源管理功能聚焦人员档案录入、流动管理、账号管理及流程追溯，通过第三方系统对接核验数据真实性，构建全流程电子化档案体系。支持人员流入流出审批、账号注册与权限分配，实现人力资源的精细化管理与动态监控。</w:t>
            </w:r>
          </w:p>
          <w:p w14:paraId="09FA3265">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知识库检索功能</w:t>
            </w:r>
          </w:p>
          <w:p w14:paraId="5E6C0BA1">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知识库检索功能集成大语言模型，构建政策问答、操作指导、数据查询三大模块。通过自然语言处理与多轮对话交互，提供指标解读、操作教程及数据检索服务，提升用户自主解决问题能力，减少沟通成本。</w:t>
            </w:r>
          </w:p>
          <w:p w14:paraId="72070F81">
            <w:pPr>
              <w:pStyle w:val="23"/>
              <w:numPr>
                <w:ilvl w:val="0"/>
                <w:numId w:val="4"/>
              </w:numPr>
              <w:spacing w:before="0" w:after="0" w:line="360" w:lineRule="auto"/>
              <w:ind w:firstLine="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后台管理功能</w:t>
            </w:r>
          </w:p>
          <w:p w14:paraId="13EAB6E9">
            <w:pPr>
              <w:pStyle w:val="23"/>
              <w:spacing w:before="0" w:after="0" w:line="360" w:lineRule="auto"/>
              <w:ind w:firstLine="371" w:firstLineChars="17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后台管理功能涵盖门户管理、机构管理、角色与用户权限管理、日志与资源监控等模块。通过可视化布局、权限动态调整及全流程操作审计，实现系统配置灵活化、管理规范化，保障系统稳定安全运行。</w:t>
            </w:r>
          </w:p>
          <w:p w14:paraId="2E77C39D">
            <w:pPr>
              <w:pStyle w:val="5"/>
              <w:numPr>
                <w:ilvl w:val="2"/>
                <w:numId w:val="0"/>
              </w:numPr>
              <w:rPr>
                <w:rFonts w:hint="eastAsia" w:ascii="仿宋" w:hAnsi="仿宋" w:eastAsia="仿宋" w:cs="仿宋"/>
                <w:sz w:val="21"/>
                <w:szCs w:val="21"/>
              </w:rPr>
            </w:pPr>
            <w:bookmarkStart w:id="159" w:name="_Toc7569"/>
            <w:r>
              <w:rPr>
                <w:rFonts w:hint="eastAsia" w:ascii="仿宋" w:hAnsi="仿宋" w:eastAsia="仿宋" w:cs="仿宋"/>
                <w:sz w:val="21"/>
                <w:szCs w:val="21"/>
              </w:rPr>
              <w:t>4.2.2系统迁移</w:t>
            </w:r>
            <w:bookmarkEnd w:id="159"/>
          </w:p>
          <w:p w14:paraId="43983600">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实现国家卫生统计直报系统从传统架构向信创环境平稳迁移，保障系统功能完整、数据安全，适配信创软硬件体系，支撑卫生统计业务持续高效运行。</w:t>
            </w:r>
          </w:p>
          <w:p w14:paraId="415C814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4.2.2.1应用迁移</w:t>
            </w:r>
          </w:p>
          <w:p w14:paraId="14D8747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4.2.2.1.1迁移规划</w:t>
            </w:r>
          </w:p>
          <w:p w14:paraId="4EF97DE8">
            <w:pPr>
              <w:numPr>
                <w:ilvl w:val="0"/>
                <w:numId w:val="5"/>
              </w:num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系统调研与评估</w:t>
            </w:r>
          </w:p>
          <w:p w14:paraId="54600459">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全面剖析系统业务流程、功能模块、技术架构，绘制数据流向图、模块调用关系图。在信创测试环境，验证系统各组件适配性，明确冲突点，形成《兼容性评估报告》。</w:t>
            </w:r>
          </w:p>
          <w:p w14:paraId="0293A6B9">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数按业务重要性，将卫生统计数据分为核心、一般等级，规划迁移优先级，制定核心数据备份策略。</w:t>
            </w:r>
          </w:p>
          <w:p w14:paraId="756FB942">
            <w:pPr>
              <w:numPr>
                <w:ilvl w:val="0"/>
                <w:numId w:val="5"/>
              </w:num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迁移方案设计</w:t>
            </w:r>
          </w:p>
          <w:p w14:paraId="5A22FFB4">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采用分步迁移模式，先迁移非核心功能模块验证环境，再迁移核心业务；对复杂依赖组件，制定定制化适配方案。</w:t>
            </w:r>
          </w:p>
          <w:p w14:paraId="0BB88E5C">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另外还需明确信创环境选型，设计应用代码改造、数据迁移、中间件替换的具体流程，配套回退机制。</w:t>
            </w:r>
          </w:p>
          <w:p w14:paraId="423A1D76">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4.2.2.1.2迁移实施</w:t>
            </w:r>
          </w:p>
          <w:p w14:paraId="4A8920FE">
            <w:pPr>
              <w:numPr>
                <w:ilvl w:val="0"/>
                <w:numId w:val="6"/>
              </w:num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信创环境搭建</w:t>
            </w:r>
          </w:p>
          <w:p w14:paraId="09C3840C">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完成国产服务器上架、网络配置，安装信创操作系统、数据库、中间件，构建测试、生产信创环境。验证信创环境内各组件的连通性、服务可用性，输出《环境验收报告》。</w:t>
            </w:r>
          </w:p>
          <w:p w14:paraId="2CAD76AF">
            <w:pPr>
              <w:numPr>
                <w:ilvl w:val="0"/>
                <w:numId w:val="6"/>
              </w:num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应用迁移与适配</w:t>
            </w:r>
          </w:p>
          <w:p w14:paraId="15AEE581">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梳理系统代码，替换信创环境不兼容的库、函数、配置；对涉及底层依赖的模块，联合厂商定制适配插件。</w:t>
            </w:r>
          </w:p>
          <w:p w14:paraId="71A735BD">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在信创测试环境，全流程测试系统功能，对比传统环境输出结果，修复功能偏差、性能瓶颈。</w:t>
            </w:r>
          </w:p>
          <w:p w14:paraId="36C5967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4.2.2.1.3验证与优化</w:t>
            </w:r>
          </w:p>
          <w:p w14:paraId="552AF294">
            <w:pPr>
              <w:numPr>
                <w:ilvl w:val="0"/>
                <w:numId w:val="7"/>
              </w:num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全链路测试</w:t>
            </w:r>
          </w:p>
          <w:p w14:paraId="6BA9084E">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功能测试：覆盖卫生统计业务全场景，验证数据报送、统计分析、权限管理等功能与原系统一致性。</w:t>
            </w:r>
          </w:p>
          <w:p w14:paraId="4EB091CB">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性能测试：模拟高并发场景，测试系统吞吐量、响应时间，确保信创环境支撑业务峰值负载。</w:t>
            </w:r>
          </w:p>
          <w:p w14:paraId="66D60384">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兼容性测试：验证系统与信创软硬件生态的兼容性，解决显示异常、交互卡顿等问题。</w:t>
            </w:r>
          </w:p>
          <w:p w14:paraId="3B51D8F0">
            <w:pPr>
              <w:numPr>
                <w:ilvl w:val="0"/>
                <w:numId w:val="7"/>
              </w:num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问题迭代</w:t>
            </w:r>
          </w:p>
          <w:p w14:paraId="4DFC3DF0">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建立问题台账，针对测试发现的问题，联合开发、信创厂商协同优化；通过多轮迭代，直至系统在信创环境稳定运行。</w:t>
            </w:r>
          </w:p>
          <w:p w14:paraId="60E0F65A">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4.2.2.2数据迁移</w:t>
            </w:r>
          </w:p>
          <w:p w14:paraId="3157D68E">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4.2.2.2.1据抽取</w:t>
            </w:r>
          </w:p>
          <w:p w14:paraId="11CEC2BB">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使用适配Oracle数据库的专业数据迁移工具，基于Oracle的SQL查询能力和数据字典信息，从Oracle数据库中精准提取全量数据。同时针对信创环境数据库的数据格式要求，对结构化数据进行标准化转换处理，确保数据在抽取阶段符合目标数据库的存储规范。</w:t>
            </w:r>
          </w:p>
          <w:p w14:paraId="44113BCD">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4.2.2.2.2数据传输</w:t>
            </w:r>
          </w:p>
          <w:p w14:paraId="64300654">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采用SSL/TLS等加密传输协议构建安全通道，针对全量数据传输量大的特点，运用断点续传技术避免因网络中断导致迁移失败，结合流量控制优化传输效率。同时在传输过程中增加数据校验码验证，进一步保障数据在传输过程中的保密性、完整性和抗抵赖性。</w:t>
            </w:r>
          </w:p>
          <w:p w14:paraId="216FC312">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4.2.2.2.3数据加载</w:t>
            </w:r>
          </w:p>
          <w:p w14:paraId="579B5B5C">
            <w:pPr>
              <w:snapToGrid w:val="0"/>
              <w:spacing w:line="360" w:lineRule="auto"/>
              <w:ind w:firstLine="315" w:firstLineChars="150"/>
              <w:rPr>
                <w:rFonts w:hint="eastAsia" w:ascii="仿宋" w:hAnsi="仿宋" w:eastAsia="仿宋" w:cs="仿宋"/>
                <w:szCs w:val="21"/>
              </w:rPr>
            </w:pPr>
            <w:r>
              <w:rPr>
                <w:rFonts w:hint="eastAsia" w:ascii="仿宋" w:hAnsi="仿宋" w:eastAsia="仿宋" w:cs="仿宋"/>
                <w:szCs w:val="21"/>
              </w:rPr>
              <w:t>依据Oracle与信创环境数据库的数据类型映射规则，制定全量数据加载策略。优先采用批量加载模式提高迁移效率，同时利用目标数据库的并行加载特性，将传输数据准确写入新系统目标数据库，满足全量数据迁移需求。</w:t>
            </w:r>
          </w:p>
          <w:p w14:paraId="7E0CBFBF">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4.2.2.3数据验证</w:t>
            </w:r>
          </w:p>
          <w:p w14:paraId="4A24EEB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4.2.2.3.1完整性校验</w:t>
            </w:r>
          </w:p>
          <w:p w14:paraId="05E76EF4">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通过校验程序，对比Oracle数据库全量表的记录总数、字段完整性与信创环境数据库对应内容，同时针对Oracle特有的LOB类型数据，单独校验文件字节数等指标，确保数据在迁移过程中无遗漏、无丢失。</w:t>
            </w:r>
          </w:p>
          <w:p w14:paraId="1A983327">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4.2.2.3.2准确性验证</w:t>
            </w:r>
          </w:p>
          <w:p w14:paraId="5BEF0E99">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采用分层抽样，按照数据业务类型、数据量分布等维度选取样本，结合随机抽样补充特殊数据场景样本。使用校验工具快速对比Oracle与信创环境数据库数据，并针对关键业务数据进行人工核查，验证数据的一致性和准确性。</w:t>
            </w:r>
          </w:p>
          <w:p w14:paraId="7D0FDC98">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4.2.2.3.3功能性验证</w:t>
            </w:r>
          </w:p>
          <w:p w14:paraId="648EAB54">
            <w:pPr>
              <w:snapToGrid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基于原Oracle数据库支撑的业务场景，设计覆盖全量数据迁移后使用场景的测试用例集。在信创环境中模拟实际业务操作，验证迁移后的数据能否支撑系统正常运行，确保数据的可用性和业务连续性，满足信创环境下的业务需求。</w:t>
            </w:r>
          </w:p>
          <w:p w14:paraId="504F95F3">
            <w:pPr>
              <w:pStyle w:val="5"/>
              <w:numPr>
                <w:ilvl w:val="2"/>
                <w:numId w:val="0"/>
              </w:numPr>
              <w:rPr>
                <w:rFonts w:hint="eastAsia" w:ascii="仿宋" w:hAnsi="仿宋" w:eastAsia="仿宋" w:cs="仿宋"/>
                <w:sz w:val="21"/>
                <w:szCs w:val="21"/>
              </w:rPr>
            </w:pPr>
            <w:bookmarkStart w:id="160" w:name="_Toc31991"/>
            <w:bookmarkStart w:id="161" w:name="_Toc25955"/>
            <w:r>
              <w:rPr>
                <w:rFonts w:hint="eastAsia" w:ascii="仿宋" w:hAnsi="仿宋" w:eastAsia="仿宋" w:cs="仿宋"/>
                <w:sz w:val="21"/>
                <w:szCs w:val="21"/>
              </w:rPr>
              <w:t>4.2.3功能优化</w:t>
            </w:r>
            <w:bookmarkEnd w:id="160"/>
            <w:bookmarkEnd w:id="161"/>
          </w:p>
          <w:p w14:paraId="18385C5A">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4.2.3.1数据报送功能优化</w:t>
            </w:r>
          </w:p>
          <w:p w14:paraId="453BB0B4">
            <w:pPr>
              <w:pStyle w:val="24"/>
              <w:keepNext/>
              <w:keepLines/>
              <w:numPr>
                <w:ilvl w:val="0"/>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1DF6B239">
            <w:pPr>
              <w:pStyle w:val="24"/>
              <w:keepNext/>
              <w:keepLines/>
              <w:numPr>
                <w:ilvl w:val="0"/>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1C1FFD77">
            <w:pPr>
              <w:pStyle w:val="24"/>
              <w:keepNext/>
              <w:keepLines/>
              <w:numPr>
                <w:ilvl w:val="0"/>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124B8005">
            <w:pPr>
              <w:pStyle w:val="24"/>
              <w:keepNext/>
              <w:keepLines/>
              <w:numPr>
                <w:ilvl w:val="0"/>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757B05B9">
            <w:pPr>
              <w:pStyle w:val="24"/>
              <w:keepNext/>
              <w:keepLines/>
              <w:numPr>
                <w:ilvl w:val="0"/>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0B97761B">
            <w:pPr>
              <w:pStyle w:val="24"/>
              <w:keepNext/>
              <w:keepLines/>
              <w:numPr>
                <w:ilvl w:val="1"/>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4C9AB2DD">
            <w:pPr>
              <w:pStyle w:val="24"/>
              <w:keepNext/>
              <w:keepLines/>
              <w:numPr>
                <w:ilvl w:val="1"/>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65CCA5F2">
            <w:pPr>
              <w:pStyle w:val="24"/>
              <w:keepNext/>
              <w:keepLines/>
              <w:numPr>
                <w:ilvl w:val="2"/>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770710B3">
            <w:pPr>
              <w:pStyle w:val="24"/>
              <w:keepNext/>
              <w:keepLines/>
              <w:numPr>
                <w:ilvl w:val="2"/>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6518906C">
            <w:pPr>
              <w:pStyle w:val="24"/>
              <w:keepNext/>
              <w:keepLines/>
              <w:numPr>
                <w:ilvl w:val="2"/>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7A696090">
            <w:pPr>
              <w:pStyle w:val="24"/>
              <w:keepNext/>
              <w:keepLines/>
              <w:numPr>
                <w:ilvl w:val="3"/>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37AA72A4">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4.2.3.1.1数据采集</w:t>
            </w:r>
          </w:p>
          <w:p w14:paraId="20FCE10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4.2.3.1.1.1国家调查制度采集任务</w:t>
            </w:r>
          </w:p>
          <w:p w14:paraId="2050E4FE">
            <w:pPr>
              <w:pStyle w:val="24"/>
              <w:keepNext/>
              <w:numPr>
                <w:ilvl w:val="0"/>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5A6DA0E4">
            <w:pPr>
              <w:pStyle w:val="24"/>
              <w:keepNext/>
              <w:numPr>
                <w:ilvl w:val="0"/>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3AC222A5">
            <w:pPr>
              <w:pStyle w:val="24"/>
              <w:keepNext/>
              <w:numPr>
                <w:ilvl w:val="0"/>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44B7E949">
            <w:pPr>
              <w:pStyle w:val="24"/>
              <w:keepNext/>
              <w:numPr>
                <w:ilvl w:val="0"/>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5E7D6B16">
            <w:pPr>
              <w:pStyle w:val="24"/>
              <w:keepNext/>
              <w:numPr>
                <w:ilvl w:val="0"/>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C821578">
            <w:pPr>
              <w:pStyle w:val="24"/>
              <w:keepNext/>
              <w:numPr>
                <w:ilvl w:val="1"/>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757E5456">
            <w:pPr>
              <w:pStyle w:val="24"/>
              <w:keepNext/>
              <w:numPr>
                <w:ilvl w:val="1"/>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A766CD8">
            <w:pPr>
              <w:pStyle w:val="24"/>
              <w:keepNext/>
              <w:numPr>
                <w:ilvl w:val="2"/>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7C3A48D9">
            <w:pPr>
              <w:pStyle w:val="24"/>
              <w:keepNext/>
              <w:numPr>
                <w:ilvl w:val="2"/>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3099761">
            <w:pPr>
              <w:pStyle w:val="24"/>
              <w:keepNext/>
              <w:numPr>
                <w:ilvl w:val="2"/>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2014978">
            <w:pPr>
              <w:pStyle w:val="24"/>
              <w:keepNext/>
              <w:numPr>
                <w:ilvl w:val="3"/>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66C4349">
            <w:pPr>
              <w:pStyle w:val="24"/>
              <w:keepNext/>
              <w:numPr>
                <w:ilvl w:val="4"/>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25DEDF7">
            <w:pPr>
              <w:pStyle w:val="24"/>
              <w:keepNext/>
              <w:numPr>
                <w:ilvl w:val="5"/>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87EC7C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4.2.3.1.1.1.1主要统计报表</w:t>
            </w:r>
          </w:p>
          <w:p w14:paraId="15111D83">
            <w:pPr>
              <w:pStyle w:val="12"/>
              <w:numPr>
                <w:ilvl w:val="7"/>
                <w:numId w:val="0"/>
              </w:numPr>
              <w:rPr>
                <w:rFonts w:hint="eastAsia" w:ascii="仿宋" w:hAnsi="仿宋" w:eastAsia="仿宋" w:cs="仿宋"/>
                <w:sz w:val="21"/>
              </w:rPr>
            </w:pPr>
            <w:r>
              <w:rPr>
                <w:rFonts w:hint="eastAsia" w:ascii="仿宋" w:hAnsi="仿宋" w:eastAsia="仿宋" w:cs="仿宋"/>
                <w:sz w:val="21"/>
              </w:rPr>
              <w:t>4.2.3.1.1.1.1.1卫生资源与医疗服务报表</w:t>
            </w:r>
          </w:p>
          <w:p w14:paraId="4CA5E82E">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依据《全国卫生资源与医疗服务统计调查制度》进行指标数据的采集、管理和上报，主要报送数据报表如下：</w:t>
            </w:r>
          </w:p>
          <w:p w14:paraId="13C91264">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类报表：医疗卫生机构年报表（卫健统1-1至1-8表）覆盖各级各类机构；互联网医院类年报表（卫健统1-9表）针对互联网医院；紧密型县域医共体（卫健统1-10表）、城市医疗集团（卫健统1-11表）年报表由牵头机构填报；健康教育情况调查表（卫健统1-12表）由省、地市、县级健康教育机构填写；医疗服务月报表（卫健统1-13表）面向各级各类医疗机构。</w:t>
            </w:r>
          </w:p>
          <w:p w14:paraId="23D34C77">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力类报表：卫生人力基本信息调查表（卫健统2-1表）统计各级各类机构在岗职工（不含村卫生室人员）；卫生监督人力基本信息调查表（卫健统2-2表）由未整合的卫生监督及相关执法机构填报；村卫生室人力基本信息调查表（卫健统2-3表）针对村卫生室人员；卫生健康人才需求计划年报表（卫健统2-4表）由医疗机构（不含诊所、村卫生室）填写。</w:t>
            </w:r>
          </w:p>
          <w:p w14:paraId="7C29254D">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备与医疗记录类报表：医用设备调查表（卫健统3表）涉及多类医疗及预防机构；住院病案首页（卫健统4-1表）、中医住院病案首页（卫健统4-2表）、基层医疗机构出院病人调查表（卫健统4-3表）分别对应不同类型医疗机构；门（急）诊病历信息（卫健统4-4表）通过省级平台共享全省机构数据。</w:t>
            </w:r>
          </w:p>
          <w:p w14:paraId="51890464">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类报表：全员人口信息调查表（卫健统5-1至5-3表）统计本省户籍及未离省的外省流入人口；医疗卫生信息化建设调查表（卫健统6表）涵盖多种医疗卫生机构；医改监测年报表（卫健统7-1、7-2表）分别由省、地市级医改机构填报；居民死亡医学信息报告卡（卫健统8表）由各类医疗机构填报；综合医疗服务项目情况调查表（卫健统9表）针对医院等多类机构；精神卫生工作情况调查表（卫健统10表）由精神卫生及基层医疗卫生机构填写。</w:t>
            </w:r>
          </w:p>
          <w:p w14:paraId="107A4F44">
            <w:pPr>
              <w:pStyle w:val="12"/>
              <w:numPr>
                <w:ilvl w:val="7"/>
                <w:numId w:val="0"/>
              </w:numPr>
              <w:rPr>
                <w:rFonts w:hint="eastAsia" w:ascii="仿宋" w:hAnsi="仿宋" w:eastAsia="仿宋" w:cs="仿宋"/>
                <w:sz w:val="21"/>
              </w:rPr>
            </w:pPr>
            <w:r>
              <w:rPr>
                <w:rFonts w:hint="eastAsia" w:ascii="仿宋" w:hAnsi="仿宋" w:eastAsia="仿宋" w:cs="仿宋"/>
                <w:sz w:val="21"/>
              </w:rPr>
              <w:t>4.2.3.1.1.1.1.2医养结合相关报表</w:t>
            </w:r>
          </w:p>
          <w:p w14:paraId="3F3F9C80">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养结合工作监测表：主要反映各地医养结合工作情况，包括本地区基本情况、医养结合机构及服务情况、医养签约服务情况、社区居家医养结合服务情况、培训情况、相关配套资金情况等内容。该表由各县级卫生健康部门起报，提交后逐级线上自动汇总，由各省级卫生健康委提交至国家卫生健康委。</w:t>
            </w:r>
          </w:p>
          <w:p w14:paraId="0663A834">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医养结合机构信息表：反映医养结合机构基本信息及服务开展情况，包括机构类型、性质、人员、床位等基本情况、医养结合服务开展情况等内容。</w:t>
            </w:r>
          </w:p>
          <w:p w14:paraId="3838943B">
            <w:pPr>
              <w:pStyle w:val="12"/>
              <w:numPr>
                <w:ilvl w:val="7"/>
                <w:numId w:val="0"/>
              </w:numPr>
              <w:rPr>
                <w:rFonts w:hint="eastAsia" w:ascii="仿宋" w:hAnsi="仿宋" w:eastAsia="仿宋" w:cs="仿宋"/>
                <w:sz w:val="21"/>
              </w:rPr>
            </w:pPr>
            <w:r>
              <w:rPr>
                <w:rFonts w:hint="eastAsia" w:ascii="仿宋" w:hAnsi="仿宋" w:eastAsia="仿宋" w:cs="仿宋"/>
                <w:sz w:val="21"/>
              </w:rPr>
              <w:t>4.2.3.1.1.1.1.3老年人健康统计报表</w:t>
            </w:r>
          </w:p>
          <w:p w14:paraId="6D9B5DE4">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老年健康服务年报表（卫健统73表）老年人健康管理、失能老年人评估服务和医养结合服务相关工作情况。</w:t>
            </w:r>
          </w:p>
          <w:p w14:paraId="7C6DF873">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4.2.3.1.1.1.2系统及数据迁移</w:t>
            </w:r>
          </w:p>
          <w:p w14:paraId="21E1411A">
            <w:pPr>
              <w:pStyle w:val="12"/>
              <w:numPr>
                <w:ilvl w:val="7"/>
                <w:numId w:val="0"/>
              </w:numPr>
              <w:rPr>
                <w:rFonts w:hint="eastAsia" w:ascii="仿宋" w:hAnsi="仿宋" w:eastAsia="仿宋" w:cs="仿宋"/>
                <w:sz w:val="21"/>
              </w:rPr>
            </w:pPr>
            <w:r>
              <w:rPr>
                <w:rFonts w:hint="eastAsia" w:ascii="仿宋" w:hAnsi="仿宋" w:eastAsia="仿宋" w:cs="仿宋"/>
                <w:sz w:val="21"/>
              </w:rPr>
              <w:t>4.2.3.1.1.1.2.1迁移准备</w:t>
            </w:r>
          </w:p>
          <w:p w14:paraId="598B368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现状评估与规划：全面梳理现有卫生统计直报系统的架构、功能模块、数据存储结构及业务流程，结合优化后的系统需求，制定详细的迁移规划，明确迁移目标、范围、步骤及时间节点。</w:t>
            </w:r>
          </w:p>
          <w:p w14:paraId="4CB76F5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数据备份与校验：对原系统中的全部数据，包括机构信息、人力数据、设备记录、医疗服务数据等进行完整备份，并通过抽样校验确保数据的准确性和完整性，为迁移提供可靠的数据基础。</w:t>
            </w:r>
          </w:p>
          <w:p w14:paraId="34386E4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环境搭建与测试：在新系统环境中，搭建与原系统功能等效的测试环境，部署新系统的统一门户、各子系统及数据交互模块，模拟实际业务场景进行压力测试、功能测试，验证新系统环境的稳定性和兼容性。</w:t>
            </w:r>
          </w:p>
          <w:p w14:paraId="73EC2AD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风险预案制定：针对迁移过程中可能出现的数据丢失、系统故障、业务中断等风险，制定详细的应急预案，明确应急处理流程和责任人，确保在突发情况下能够快速响应、有效处置。</w:t>
            </w:r>
          </w:p>
          <w:p w14:paraId="46340352">
            <w:pPr>
              <w:pStyle w:val="12"/>
              <w:numPr>
                <w:ilvl w:val="7"/>
                <w:numId w:val="0"/>
              </w:numPr>
              <w:rPr>
                <w:rFonts w:hint="eastAsia" w:ascii="仿宋" w:hAnsi="仿宋" w:eastAsia="仿宋" w:cs="仿宋"/>
                <w:sz w:val="21"/>
              </w:rPr>
            </w:pPr>
            <w:r>
              <w:rPr>
                <w:rFonts w:hint="eastAsia" w:ascii="仿宋" w:hAnsi="仿宋" w:eastAsia="仿宋" w:cs="仿宋"/>
                <w:sz w:val="21"/>
              </w:rPr>
              <w:t>4.2.3.1.1.1.2.2迁移实施</w:t>
            </w:r>
          </w:p>
          <w:p w14:paraId="547047D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迁移：按照既定的数据迁移策略，将备份的数据从原系统迁移至新系统。在迁移过程中，实时监控数据传输进度和完整性，对迁移后的数据进行二次校验，通过对比原数据和新系统数据，修正不一致或错误的数据。</w:t>
            </w:r>
          </w:p>
          <w:p w14:paraId="727FED6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部署与配置：在生产环境中部署新的卫生统计直报系统，完成统一门户、各子系统的配置工作，确保系统功能正常运行。配置用户权限管理体系，将原系统的用户权限映射至新系统，保障用户访问权限的延续性。</w:t>
            </w:r>
          </w:p>
          <w:p w14:paraId="30C33F0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系统联调与验证：对新系统进行全流程联调测试，验证各子系统之间的数据交互、功能协同是否正常。邀请部分用户进行模拟操作，收集使用反馈，对系统进行最后的优化和调整，确保新系统满足业务需求。</w:t>
            </w:r>
          </w:p>
          <w:p w14:paraId="4D564C8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新旧系统切换：选择业务低峰时段，按照预定的切换方案，停止原系统服务，启动新系统服务，完成新旧系统的切换。在切换后，密切监控新系统的运行状态，及时处理可能出现的问题，保障业务正常开展。</w:t>
            </w:r>
          </w:p>
          <w:p w14:paraId="02C1E3F5">
            <w:pPr>
              <w:pStyle w:val="12"/>
              <w:numPr>
                <w:ilvl w:val="7"/>
                <w:numId w:val="0"/>
              </w:numPr>
              <w:rPr>
                <w:rFonts w:hint="eastAsia" w:ascii="仿宋" w:hAnsi="仿宋" w:eastAsia="仿宋" w:cs="仿宋"/>
                <w:sz w:val="21"/>
              </w:rPr>
            </w:pPr>
            <w:r>
              <w:rPr>
                <w:rFonts w:hint="eastAsia" w:ascii="仿宋" w:hAnsi="仿宋" w:eastAsia="仿宋" w:cs="仿宋"/>
                <w:sz w:val="21"/>
              </w:rPr>
              <w:t>4.2.3.1.1.1.2.3运维保障</w:t>
            </w:r>
          </w:p>
          <w:p w14:paraId="6352E17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运行监控与优化：建立新系统运行监控机制，实时监测系统的性能指标、数据处理情况和用户访问情况。根据监控数据，对系统进行性能优化和功能完善，持续提升系统的稳定性和用户体验。</w:t>
            </w:r>
          </w:p>
          <w:p w14:paraId="7DA0FD5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培训与支持：组织面向各级用户的系统使用培训，详细讲解新系统的功能特点、操作流程和数据报送要求。同时，设立专门的技术支持团队，及时解答用户在使用过程中遇到的问题，提供全方位的技术支持服务。</w:t>
            </w:r>
          </w:p>
          <w:p w14:paraId="24247C7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数据持续校验：在系统迁移后的一段时间内，持续对新系统中的数据进行校验和核对，确保数据的准确性和一致性。对发现的数据问题，及时进行修正和处理，保障统计数据的质量。</w:t>
            </w:r>
          </w:p>
          <w:p w14:paraId="26C7334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4.2.3.1.1.2本地化调查采集任务</w:t>
            </w:r>
          </w:p>
          <w:p w14:paraId="4307DD8D">
            <w:pPr>
              <w:pStyle w:val="24"/>
              <w:keepNext/>
              <w:numPr>
                <w:ilvl w:val="5"/>
                <w:numId w:val="9"/>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1FCB362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4.2.3.1.1.2.1门急诊电子病历任务</w:t>
            </w:r>
          </w:p>
          <w:p w14:paraId="51E8438A">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门急诊电子病历采集支持三种方式，一是手工填报，适用于网络环境或技术条件不允许的基层医疗机构；二是数据导入，支持医疗机构业务人员通过导入数据文件的方式，实现门急诊电子病历数据的采集；三是接口对接，开发数据接口，对接医疗机构HIS系统或电子病历系统，实现数据的及时、准确采集。</w:t>
            </w:r>
          </w:p>
          <w:p w14:paraId="5673DDC6">
            <w:pPr>
              <w:pStyle w:val="12"/>
              <w:numPr>
                <w:ilvl w:val="7"/>
                <w:numId w:val="0"/>
              </w:numPr>
              <w:rPr>
                <w:rFonts w:hint="eastAsia" w:ascii="仿宋" w:hAnsi="仿宋" w:eastAsia="仿宋" w:cs="仿宋"/>
                <w:sz w:val="21"/>
              </w:rPr>
            </w:pPr>
            <w:r>
              <w:rPr>
                <w:rFonts w:hint="eastAsia" w:ascii="仿宋" w:hAnsi="仿宋" w:eastAsia="仿宋" w:cs="仿宋"/>
                <w:sz w:val="21"/>
              </w:rPr>
              <w:t>4.2.3.1.1.2.1.1采集报表开发</w:t>
            </w:r>
          </w:p>
          <w:p w14:paraId="360FCA33">
            <w:pPr>
              <w:pStyle w:val="24"/>
              <w:numPr>
                <w:ilvl w:val="5"/>
                <w:numId w:val="8"/>
              </w:numPr>
              <w:tabs>
                <w:tab w:val="left" w:pos="433"/>
                <w:tab w:val="left" w:pos="630"/>
                <w:tab w:val="left" w:pos="1441"/>
              </w:tabs>
              <w:snapToGrid w:val="0"/>
              <w:spacing w:before="156" w:beforeLines="50" w:after="156" w:afterLines="50" w:line="360" w:lineRule="auto"/>
              <w:ind w:firstLineChars="0"/>
              <w:contextualSpacing w:val="0"/>
              <w:outlineLvl w:val="8"/>
              <w:rPr>
                <w:rFonts w:hint="eastAsia" w:ascii="仿宋" w:hAnsi="仿宋" w:eastAsia="仿宋" w:cs="仿宋"/>
                <w:vanish/>
                <w:color w:val="000000" w:themeColor="text1"/>
                <w:szCs w:val="21"/>
                <w:lang w:val="en-GB"/>
                <w14:textFill>
                  <w14:solidFill>
                    <w14:schemeClr w14:val="tx1"/>
                  </w14:solidFill>
                </w14:textFill>
              </w:rPr>
            </w:pPr>
          </w:p>
          <w:p w14:paraId="16CCD521">
            <w:pPr>
              <w:pStyle w:val="24"/>
              <w:numPr>
                <w:ilvl w:val="6"/>
                <w:numId w:val="8"/>
              </w:numPr>
              <w:tabs>
                <w:tab w:val="left" w:pos="433"/>
                <w:tab w:val="left" w:pos="630"/>
                <w:tab w:val="left" w:pos="1441"/>
              </w:tabs>
              <w:snapToGrid w:val="0"/>
              <w:spacing w:before="156" w:beforeLines="50" w:after="156" w:afterLines="50" w:line="360" w:lineRule="auto"/>
              <w:ind w:firstLineChars="0"/>
              <w:contextualSpacing w:val="0"/>
              <w:outlineLvl w:val="8"/>
              <w:rPr>
                <w:rFonts w:hint="eastAsia" w:ascii="仿宋" w:hAnsi="仿宋" w:eastAsia="仿宋" w:cs="仿宋"/>
                <w:vanish/>
                <w:color w:val="000000" w:themeColor="text1"/>
                <w:szCs w:val="21"/>
                <w:lang w:val="en-GB"/>
                <w14:textFill>
                  <w14:solidFill>
                    <w14:schemeClr w14:val="tx1"/>
                  </w14:solidFill>
                </w14:textFill>
              </w:rPr>
            </w:pPr>
          </w:p>
          <w:p w14:paraId="4B191B38">
            <w:pPr>
              <w:pStyle w:val="24"/>
              <w:numPr>
                <w:ilvl w:val="7"/>
                <w:numId w:val="8"/>
              </w:numPr>
              <w:tabs>
                <w:tab w:val="left" w:pos="433"/>
                <w:tab w:val="left" w:pos="630"/>
                <w:tab w:val="left" w:pos="1441"/>
              </w:tabs>
              <w:snapToGrid w:val="0"/>
              <w:spacing w:before="156" w:beforeLines="50" w:after="156" w:afterLines="50" w:line="360" w:lineRule="auto"/>
              <w:ind w:firstLineChars="0"/>
              <w:contextualSpacing w:val="0"/>
              <w:outlineLvl w:val="8"/>
              <w:rPr>
                <w:rFonts w:hint="eastAsia" w:ascii="仿宋" w:hAnsi="仿宋" w:eastAsia="仿宋" w:cs="仿宋"/>
                <w:vanish/>
                <w:color w:val="000000" w:themeColor="text1"/>
                <w:szCs w:val="21"/>
                <w:lang w:val="en-GB"/>
                <w14:textFill>
                  <w14:solidFill>
                    <w14:schemeClr w14:val="tx1"/>
                  </w14:solidFill>
                </w14:textFill>
              </w:rPr>
            </w:pPr>
          </w:p>
          <w:p w14:paraId="1D361115">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4.2.3.1.1.2.1.1.1</w:t>
            </w:r>
            <w:r>
              <w:rPr>
                <w:rFonts w:hint="eastAsia" w:ascii="仿宋" w:hAnsi="仿宋" w:eastAsia="仿宋" w:cs="仿宋"/>
                <w:szCs w:val="21"/>
              </w:rPr>
              <w:t>手工填报</w:t>
            </w:r>
          </w:p>
          <w:p w14:paraId="3E3A0F06">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根据国家门诊电子病历采集标准，结合陕西实际情况，开发门急诊电子病历数据填报页面，将各类采集指标集中展示在页面上，基层医疗机构业务人员可直接填写上报数据。</w:t>
            </w:r>
          </w:p>
          <w:p w14:paraId="545F1C17">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1.表单设计</w:t>
            </w:r>
          </w:p>
          <w:p w14:paraId="5FC5800F">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便利灵活的任务表单设计工具，能够灵活、快速实现各种填报任务表单的新增、修改、删除、数据迁移、结转、发布等操作；由于本系统承接国家卫生网络直报系统任务，数据结构需保证与国家系统同步，要求定期更新维护。</w:t>
            </w:r>
          </w:p>
          <w:p w14:paraId="36CEBA42">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2.在线填报</w:t>
            </w:r>
          </w:p>
          <w:p w14:paraId="33CC44A7">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用户通过浏览器登录系统后，即可完成报表数据的填报、审核、汇总和上报等操作。</w:t>
            </w:r>
          </w:p>
          <w:p w14:paraId="3E7289DE">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3.数据审核</w:t>
            </w:r>
          </w:p>
          <w:p w14:paraId="4B1FE343">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业务数据类型和逻辑关系设置填报任务表内、表间逻辑性审核和合理性审核条件。“通过表内、表间逻辑性审核”才允许上报报表；而合理性审核只是提供经验值值域，提示填报户填报的合理区间，“通过合理性审核”不是上报的必须条件。数据审核需要显示审核状态，当数据不满足审核条件时，有明确详细的错误提示，方便用户查看及修正。</w:t>
            </w:r>
          </w:p>
          <w:p w14:paraId="215E6479">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4.数据加锁解锁</w:t>
            </w:r>
          </w:p>
          <w:p w14:paraId="3D413559">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数据管理员自动、手动加锁及手动解锁任务表单数据的功能。管理员可设置：在特定时间，将数据质量满足条件且已上报的医疗机构任务表单数据自动锁定，确保基层上报数据和抽取到分析表，做分析展示的数据保持统一。也可以根据实际需要进行手动的“锁定”与“解锁”数据。锁定数据后，医疗机构无法修改任务表单数据，解锁后，才能操作。</w:t>
            </w:r>
          </w:p>
          <w:p w14:paraId="09A86470">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5.特例数据上报</w:t>
            </w:r>
          </w:p>
          <w:p w14:paraId="1C21CCA5">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考虑到基层实际，提供特例数据上报功能。允许主管部门在核实数据准确性后，注明相关情况，上报未通过逻辑性审核的数据，满足特殊情况下的数据报送需要。</w:t>
            </w:r>
          </w:p>
          <w:p w14:paraId="57B49302">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4.2.3.1.1.2.1.1.2</w:t>
            </w:r>
            <w:r>
              <w:rPr>
                <w:rFonts w:hint="eastAsia" w:ascii="仿宋" w:hAnsi="仿宋" w:eastAsia="仿宋" w:cs="仿宋"/>
                <w:szCs w:val="21"/>
              </w:rPr>
              <w:t>数据导入</w:t>
            </w:r>
          </w:p>
          <w:p w14:paraId="45788EF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高效地录入门急诊电子病历数据，可使用电子病历采集页面的导入功能。其操作流程如下：业务人员打开门急诊电子病历采集页面，在该页面上找到并点击“数据导入”按钮，系统随即弹出文件选择窗口，业务人员从本地存储中选择需要导入的病历文件。选择完成后，系统开始执行导入操作，在此过程中，会实时向业务人员展示导入进度，并在导入结束后，返回明确的导入状态。同时，系统还会生成详细的导入日志，方便业务人员后续查看和核对。</w:t>
            </w:r>
          </w:p>
          <w:p w14:paraId="3D1262E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1.数据导入</w:t>
            </w:r>
          </w:p>
          <w:p w14:paraId="05689CA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钮触发：在门急诊电子病历采集页面的显著位置设置“数据导入”按钮，采用醒目的颜色和图标设计，方便业务人员快速识别和点击。当业务人员点击该按钮时，通过前端代码调用浏览器的文件选择API，弹出文件选择窗口。</w:t>
            </w:r>
          </w:p>
          <w:p w14:paraId="194E3B4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文件选择：文件选择窗口支持多种文件格式的筛选，根据实际需求，限制可选择的文件类型为常见的电子病历文件格式。业务人员选中文件后，前端将文件数据暂存，并向服务器发送导入请求，请求中携带文件的基本信息，如文件名、文件大小、文件类型等。</w:t>
            </w:r>
          </w:p>
          <w:p w14:paraId="6945351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2.进度展示</w:t>
            </w:r>
          </w:p>
          <w:p w14:paraId="1F12777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时进度计算：服务器在接收到导入请求后，开始处理文件数据。在处理过程中，按照一定的规则对数据进行分块处理，每处理完一块数据，就计算当前已处理数据占总数据的比例。例如，若文件总共有1000条数据，当前已处理200条，则进度为20%。</w:t>
            </w:r>
          </w:p>
          <w:p w14:paraId="227DEE5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3.导入状态</w:t>
            </w:r>
          </w:p>
          <w:p w14:paraId="542D5ED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状态分类：导入状态分为成功、失败、部分成功三种。当所有数据都成功导入系统时，返回“成功”状态；若在导入过程中出现任何错误，导致数据无法完整导入，则返回“失败”状态；如果部分数据成功导入，部分数据导入失败，则返回“部分成功”状态。</w:t>
            </w:r>
          </w:p>
          <w:p w14:paraId="6B9C32C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状态展示：前端接收到导入状态后，在页面上以弹窗或提示框的形式向业务人员展示。若导入成功，弹窗显示“数据导入成功”，并提供关闭按钮；若导入失败，弹窗详细说明失败原因，如“文件格式错误”“服务器内部错误”等，并提供重试按钮；若为部分成功，弹窗提示“部分数据导入成功，详情查看导入日志”。</w:t>
            </w:r>
          </w:p>
          <w:p w14:paraId="6254B98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4.导入日志</w:t>
            </w:r>
          </w:p>
          <w:p w14:paraId="675D998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内容生成：服务器在导入过程中，记录所有相关信息，生成导入日志。日志包含总数据条数、导入数据条数、失败数据条数等关键信息。同时，对于每一条失败数据，记录详细的错误信息，如数据格式不匹配、必填字段缺失等。</w:t>
            </w:r>
          </w:p>
          <w:p w14:paraId="0CD6A53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页面展示：前端在页面上提供“导入日志”查看入口，业务人员点击后，弹出日志查看窗口。在窗口中，以表格形式展示日志信息，总数据条数、导入数据条数正常显示，失败数据条数以红色字体标注，突出显示。</w:t>
            </w:r>
          </w:p>
          <w:p w14:paraId="218CB6B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对于失败数据，在表格中提供“查看错误明细”按钮，业务人员点击该按钮，系统通过弹窗展示该条失败数据的详细错误信息，方便业务人员进行排查和修正。</w:t>
            </w:r>
          </w:p>
          <w:p w14:paraId="2E49BFB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5.逻辑检查与异常处理</w:t>
            </w:r>
          </w:p>
          <w:p w14:paraId="5E4C2B9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（1）逻辑检查</w:t>
            </w:r>
          </w:p>
          <w:p w14:paraId="2B31197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文件格式检查：在服务器接收到文件数据后，首先对文件格式进行检查。根据文件扩展名和文件头信息，判断文件是否符合预期格式。若文件格式错误，直接返回导入失败状态，并在日志中记录错误原因。</w:t>
            </w:r>
          </w:p>
          <w:p w14:paraId="15AAF3B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完整性检查：在导入数据过程中，检查每条数据是否包含所有必填字段。对于缺失必填字段的数据，标记为导入失败，并记录缺失字段信息到日志中。同时，检查数据之间的逻辑关系，如日期字段是否符合日期格式，数值字段是否在合理范围内等。</w:t>
            </w:r>
          </w:p>
          <w:p w14:paraId="5A54E5F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（2）异常处理</w:t>
            </w:r>
          </w:p>
          <w:p w14:paraId="0606DB7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网络异常：在数据传输过程中，若出现网络中断或超时等异常情况，前端提示业务人员网络连接异常，并提供重试按钮。重试时，前端重新发起导入请求，并在请求中包含已上传数据的断点信息，以便服务器从断点处继续处理数据。</w:t>
            </w:r>
          </w:p>
          <w:p w14:paraId="501E60E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服务器异常：若服务器在处理数据过程中出现内部错误，如数据库连接失败、程序崩溃等，服务器记录详细的错误日志，并返回导入失败状态给前端。前端向业务人员展示错误提示信息，告知服务器出现异常，请稍后重试，并提供联系技术支持的入口。</w:t>
            </w:r>
          </w:p>
          <w:p w14:paraId="3878AE13">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4.2.3.1.1.2.1.1.3</w:t>
            </w:r>
            <w:r>
              <w:rPr>
                <w:rFonts w:hint="eastAsia" w:ascii="仿宋" w:hAnsi="仿宋" w:eastAsia="仿宋" w:cs="仿宋"/>
                <w:szCs w:val="21"/>
              </w:rPr>
              <w:t>接口对接</w:t>
            </w:r>
          </w:p>
          <w:p w14:paraId="08BAEA2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发统一接口标准的采集报表，旨在减轻基层医疗机构负担，实现数据的高效、规范收集与上报。该报表系统将用于各级医疗机构向陕西省门诊电子病历表报送数据，省级管理员再通过ETL过程将数据抽送至国家门诊电子病历表。</w:t>
            </w:r>
          </w:p>
          <w:p w14:paraId="05B6303E">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1.数据采集</w:t>
            </w:r>
          </w:p>
          <w:p w14:paraId="39656BFA">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据国家相关单位采集门诊电子病历的标准以及陕西本地化需求，开发统一的接口。该接口应能够兼容各级医疗机构现有的信息系统，无论是HIS（医院信息系统）、EMR（电子病历系统）还是其他相关系统，都能通过此接口实现数据的顺畅提取。</w:t>
            </w:r>
          </w:p>
          <w:p w14:paraId="02EC2B2B">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2.数据报送</w:t>
            </w:r>
          </w:p>
          <w:p w14:paraId="3940BFD4">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端报送：各级医疗机构在完成数据采集和校验后，可通过系统提供的报送功能，将数据直接上传至陕西省门诊电子病历表。报送过程应具备进度显示和状态反馈功能，让医疗机构能够实时了解报送情况。同时，支持断点续传功能，若报送过程中出现网络中断等异常情况，可在恢复后继续未完成的报送任务。</w:t>
            </w:r>
          </w:p>
          <w:p w14:paraId="040BEC22">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加密与安全传输：在数据报送过程中，为保障数据的安全性和隐私性，采用SSL/TLS加密协议对传输数据进行加密处理，防止数据在网络传输过程中被窃取或篡改。同时，对用户登录信息、敏感数据等进行加密存储，确保数据全生命周期的安全。</w:t>
            </w:r>
          </w:p>
          <w:p w14:paraId="586E7CBD">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送时间设置：为避免数据集中报送造成网络拥堵，系统应允许医疗机构设置报送时间，可选择定时报送（如每天凌晨自动报送前一天的数据）或手动报送。同时，省级管理部门可根据实际情况，对报送时间进行统一调整和管理。</w:t>
            </w:r>
          </w:p>
          <w:p w14:paraId="21B434D4">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3.数据校验与审核</w:t>
            </w:r>
          </w:p>
          <w:p w14:paraId="195B7E83">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机构将门急诊电子病历数据上报之后，系统对上报数据进行审核校验，可根据实际情况设置严格的数据校验规则。包括对必填字段进行检查，确保数据的完整性；对数据格式进行验证，如日期格式、数值格式等；对逻辑关系进行审核，例如诊断与症状之间的合理性。一旦发现数据存在问题，系统应及时提示医疗机构进行修正，并记录错误日志，方便后续追踪和统计。</w:t>
            </w:r>
          </w:p>
          <w:p w14:paraId="661124BB">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4.省级管理功能</w:t>
            </w:r>
          </w:p>
          <w:p w14:paraId="3ABAFC2A">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汇总与监控：省级管理平台能够实时汇总各级医疗机构报送的数据，通过数据可视化界面，展示数据的报送进度、各地区医疗机构的参与情况、数据质量统计等信息。对未按时报送数据的医疗机构进行提醒和预警，对数据质量不达标的医疗机构进行重点监控和督促整改。</w:t>
            </w:r>
          </w:p>
          <w:p w14:paraId="3268B61E">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上传国家：省级管理员负责定期将陕西省门诊电子病历表中的数据上传至国家门诊电子病历表。在上传过程中，还可以对数据进行进一步的清洗、转换和整合。例如，对重复数据进行去重处理，对不一致的数据进行统一规范。同时，记录处理过程中的操作日志，包括抽取的数据量、转换规则的应用情况、加载的时间等信息，以便后续审计和追溯。</w:t>
            </w:r>
          </w:p>
          <w:p w14:paraId="761F7516">
            <w:pPr>
              <w:pStyle w:val="12"/>
              <w:numPr>
                <w:ilvl w:val="7"/>
                <w:numId w:val="0"/>
              </w:numPr>
              <w:rPr>
                <w:rFonts w:hint="eastAsia" w:ascii="仿宋" w:hAnsi="仿宋" w:eastAsia="仿宋" w:cs="仿宋"/>
                <w:sz w:val="21"/>
              </w:rPr>
            </w:pPr>
            <w:r>
              <w:rPr>
                <w:rFonts w:hint="eastAsia" w:ascii="仿宋" w:hAnsi="仿宋" w:eastAsia="仿宋" w:cs="仿宋"/>
                <w:sz w:val="21"/>
              </w:rPr>
              <w:t>4.2.3.1.1.2.1.2报送查询催报</w:t>
            </w:r>
          </w:p>
          <w:p w14:paraId="2FDBC52E">
            <w:pPr>
              <w:pStyle w:val="23"/>
              <w:spacing w:before="0" w:after="0" w:line="360" w:lineRule="auto"/>
              <w:ind w:firstLine="371" w:firstLineChars="177"/>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根据陕西省门诊电子病历表定制单独的催报查询任务表，用于展示各地区报送情况表、医疗机构报送状态表、数据一览表等报送查询报表。满足各区县对机构的催报工作。</w:t>
            </w:r>
          </w:p>
          <w:p w14:paraId="1D2836AD">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4.2.3.1.1.2.1.2.1</w:t>
            </w:r>
            <w:r>
              <w:rPr>
                <w:rFonts w:hint="eastAsia" w:ascii="仿宋" w:hAnsi="仿宋" w:eastAsia="仿宋" w:cs="仿宋"/>
                <w:szCs w:val="21"/>
              </w:rPr>
              <w:t>各地区报送情况表</w:t>
            </w:r>
          </w:p>
          <w:p w14:paraId="2AC650D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用于直观展示陕西省各地区在卫生健康数据报送任务中的整体完成情况，方便管理者从宏观层面掌握各地区数据报送进度，及时发现报送滞后区域并督促整改。</w:t>
            </w:r>
          </w:p>
          <w:p w14:paraId="52AC3DD9">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4.2.3.1.1.2.1.2.3</w:t>
            </w:r>
            <w:r>
              <w:rPr>
                <w:rFonts w:hint="eastAsia" w:ascii="仿宋" w:hAnsi="仿宋" w:eastAsia="仿宋" w:cs="仿宋"/>
                <w:szCs w:val="21"/>
              </w:rPr>
              <w:t>医疗机构报送状态表</w:t>
            </w:r>
          </w:p>
          <w:p w14:paraId="34CDA25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显示医疗机构在各项调查任务中的数据报送状态，便于任务管理人员对单个机构进行针对性管理，解决报送过程中出现的问题。</w:t>
            </w:r>
          </w:p>
          <w:p w14:paraId="2D90ED15">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4.2.3.1.1.2.2</w:t>
            </w:r>
            <w:r>
              <w:rPr>
                <w:rFonts w:hint="eastAsia" w:ascii="仿宋" w:hAnsi="仿宋" w:eastAsia="仿宋" w:cs="仿宋"/>
                <w:szCs w:val="21"/>
              </w:rPr>
              <w:t>数据一览表</w:t>
            </w:r>
          </w:p>
          <w:p w14:paraId="2BE40A0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查看调查任务中各医疗机构报送的数据，提供全面的数据展示，支持多维度查询和分析，为卫生健康决策提供详细的数据依据。</w:t>
            </w:r>
          </w:p>
          <w:p w14:paraId="42EAF253">
            <w:pPr>
              <w:pStyle w:val="24"/>
              <w:keepNext/>
              <w:numPr>
                <w:ilvl w:val="0"/>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4A5F2754">
            <w:pPr>
              <w:pStyle w:val="24"/>
              <w:keepNext/>
              <w:numPr>
                <w:ilvl w:val="0"/>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3F749ECD">
            <w:pPr>
              <w:pStyle w:val="24"/>
              <w:keepNext/>
              <w:numPr>
                <w:ilvl w:val="0"/>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77FCFDC7">
            <w:pPr>
              <w:pStyle w:val="24"/>
              <w:keepNext/>
              <w:numPr>
                <w:ilvl w:val="0"/>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3FA0BD4B">
            <w:pPr>
              <w:pStyle w:val="24"/>
              <w:keepNext/>
              <w:numPr>
                <w:ilvl w:val="0"/>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148AC5C8">
            <w:pPr>
              <w:pStyle w:val="24"/>
              <w:keepNext/>
              <w:numPr>
                <w:ilvl w:val="1"/>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2AD253D6">
            <w:pPr>
              <w:pStyle w:val="24"/>
              <w:keepNext/>
              <w:numPr>
                <w:ilvl w:val="1"/>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1E70BD6">
            <w:pPr>
              <w:pStyle w:val="24"/>
              <w:keepNext/>
              <w:numPr>
                <w:ilvl w:val="2"/>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77BDFB70">
            <w:pPr>
              <w:pStyle w:val="24"/>
              <w:keepNext/>
              <w:numPr>
                <w:ilvl w:val="2"/>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4E63EAB4">
            <w:pPr>
              <w:pStyle w:val="24"/>
              <w:keepNext/>
              <w:numPr>
                <w:ilvl w:val="2"/>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A2FCE56">
            <w:pPr>
              <w:pStyle w:val="24"/>
              <w:keepNext/>
              <w:numPr>
                <w:ilvl w:val="2"/>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470B9601">
            <w:pPr>
              <w:pStyle w:val="24"/>
              <w:keepNext/>
              <w:numPr>
                <w:ilvl w:val="3"/>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22867942">
            <w:pPr>
              <w:pStyle w:val="24"/>
              <w:keepNext/>
              <w:numPr>
                <w:ilvl w:val="4"/>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1BE6AB1A">
            <w:pPr>
              <w:pStyle w:val="24"/>
              <w:keepNext/>
              <w:numPr>
                <w:ilvl w:val="5"/>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7B3EBAEA">
            <w:pPr>
              <w:pStyle w:val="24"/>
              <w:keepNext/>
              <w:numPr>
                <w:ilvl w:val="5"/>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3095A53C">
            <w:pPr>
              <w:pStyle w:val="24"/>
              <w:keepNext/>
              <w:numPr>
                <w:ilvl w:val="6"/>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77F0BCF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4.2.3.1.1.2.2住院病案首页任务</w:t>
            </w:r>
          </w:p>
          <w:p w14:paraId="698D7B0F">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本次住院病案首页采集功能优化围绕任务样式、采集形式、审核模式三大核心模块展开，旨在打造更便捷、高效、精准的数据采集体系。</w:t>
            </w:r>
          </w:p>
          <w:p w14:paraId="73B6E50F">
            <w:pPr>
              <w:pStyle w:val="12"/>
              <w:numPr>
                <w:ilvl w:val="7"/>
                <w:numId w:val="0"/>
              </w:numPr>
              <w:rPr>
                <w:rFonts w:hint="eastAsia" w:ascii="仿宋" w:hAnsi="仿宋" w:eastAsia="仿宋" w:cs="仿宋"/>
                <w:sz w:val="21"/>
              </w:rPr>
            </w:pPr>
            <w:r>
              <w:rPr>
                <w:rFonts w:hint="eastAsia" w:ascii="仿宋" w:hAnsi="仿宋" w:eastAsia="仿宋" w:cs="仿宋"/>
                <w:sz w:val="21"/>
              </w:rPr>
              <w:t>4.2.3.1.1.2.2.1任务样式优化</w:t>
            </w:r>
          </w:p>
          <w:p w14:paraId="4A7E5EE5">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摒弃传统固定表格的单一呈现形式，将任务样式全面优化为表单样式。新的表单样式采用现代化UI设计理念，界面布局更加简洁清晰、美观大方。通过合理划分数据输入区域，优化字段排列顺序，结合醒目的提示标签和友好的交互设计，不仅有效降低了用户的视觉疲劳，还显著提升了操作的便捷性。用户能够更直观、快速地定位所需填写字段，大幅减少因界面不友好导致的信息录入错误，使病案首页数据采集过程更具人性化与高效性。</w:t>
            </w:r>
          </w:p>
          <w:p w14:paraId="6D0B4723">
            <w:pPr>
              <w:pStyle w:val="12"/>
              <w:numPr>
                <w:ilvl w:val="7"/>
                <w:numId w:val="0"/>
              </w:numPr>
              <w:rPr>
                <w:rFonts w:hint="eastAsia" w:ascii="仿宋" w:hAnsi="仿宋" w:eastAsia="仿宋" w:cs="仿宋"/>
                <w:sz w:val="21"/>
              </w:rPr>
            </w:pPr>
            <w:r>
              <w:rPr>
                <w:rFonts w:hint="eastAsia" w:ascii="仿宋" w:hAnsi="仿宋" w:eastAsia="仿宋" w:cs="仿宋"/>
                <w:sz w:val="21"/>
              </w:rPr>
              <w:t>4.2.3.1.1.2.2.2采集形式拓展</w:t>
            </w:r>
          </w:p>
          <w:p w14:paraId="64B502A6">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原有数据文件导入和手工录入两种采集方式的基础上，新增标准接口开发对接模式，构建多元化数据采集体系。数据文件导入模式持续优化文件格式兼容性和导入流程，支持常见的CSV等格式，确保数据快速、准确导入；手工录入界面满足病案量少无法导入操作的机构。而新引入的标准接口开发对接模式，严格遵循医疗行业数据交互标准，可与医院HIS等各类业务系统实现无缝对接，通过接口自动获取相关数据，避免重复录入，减少人工干预，极大提升数据采集的及时性和完整性，为医疗数据的互联互通和共享应用奠定坚实基础。</w:t>
            </w:r>
          </w:p>
          <w:p w14:paraId="0F337ABE">
            <w:pPr>
              <w:pStyle w:val="12"/>
              <w:numPr>
                <w:ilvl w:val="7"/>
                <w:numId w:val="0"/>
              </w:numPr>
              <w:rPr>
                <w:rFonts w:hint="eastAsia" w:ascii="仿宋" w:hAnsi="仿宋" w:eastAsia="仿宋" w:cs="仿宋"/>
                <w:sz w:val="21"/>
              </w:rPr>
            </w:pPr>
            <w:r>
              <w:rPr>
                <w:rFonts w:hint="eastAsia" w:ascii="仿宋" w:hAnsi="仿宋" w:eastAsia="仿宋" w:cs="仿宋"/>
                <w:sz w:val="21"/>
              </w:rPr>
              <w:t>4.2.3.1.1.2.2.3审核模式革新</w:t>
            </w:r>
          </w:p>
          <w:p w14:paraId="44F875B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审核模式进行根本性变革，打破以往在表格内设置审核条件的局限性，将所有审核工作统一集中到数据质控环节。在填报页面，用户可专注于数据录入，无需受限于繁琐的表内审核规则干扰，数据录入过程更加流畅高效。提交数据后，系统立即启动全面、专业的数据质控流程，依据预设的多维度、多层次审核标准，对病案首页数据进行深度校验，涵盖数据完整性、逻辑一致性、规范性等多个方面。一旦发现数据存在问题，系统会及时在填报页面以清晰、明确的提示信息反馈质控结果，指导用户快速定位并修正错误数据，确保最终采集的数据真实、准确、合规，有效提升病案首页数据质量，为医疗数据分析、统计和科研应用提供可靠的数据支撑。</w:t>
            </w:r>
          </w:p>
          <w:p w14:paraId="0AC9754E">
            <w:pPr>
              <w:pStyle w:val="12"/>
              <w:numPr>
                <w:ilvl w:val="7"/>
                <w:numId w:val="0"/>
              </w:numPr>
              <w:rPr>
                <w:rFonts w:hint="eastAsia" w:ascii="仿宋" w:hAnsi="仿宋" w:eastAsia="仿宋" w:cs="仿宋"/>
                <w:sz w:val="21"/>
              </w:rPr>
            </w:pPr>
            <w:r>
              <w:rPr>
                <w:rFonts w:hint="eastAsia" w:ascii="仿宋" w:hAnsi="仿宋" w:eastAsia="仿宋" w:cs="仿宋"/>
                <w:sz w:val="21"/>
              </w:rPr>
              <w:t>4.2.3.1.1.2.2.4接口对接功能</w:t>
            </w:r>
          </w:p>
          <w:p w14:paraId="6DA5FA2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目前，病案表系统已支持手动录入和数据导入两种数据报送方式。为了进一步提升系统的自动化程度和数据交互效率，本次优化将增加接口传输的报送方式，实现与各机构系统的直接对接，获取数据。通过本次优化，实现以下目标：</w:t>
            </w:r>
          </w:p>
          <w:p w14:paraId="137B0C6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增加接口传输的报送方式，与手动录入和数据导入形成三种数据报送方式的完整体系。</w:t>
            </w:r>
          </w:p>
          <w:p w14:paraId="7296A71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按照不同报表任务定制开发标准HTTP接口，确保各机构系统能够高效、准确地对接。</w:t>
            </w:r>
          </w:p>
          <w:p w14:paraId="18955D5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统一基层推送数据的形式、格式和内容，确保数据的一致性和准确性。</w:t>
            </w:r>
          </w:p>
          <w:p w14:paraId="3529FAB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对推送至系统的数据进行计算和审核，并及时返回审核结果，提升数据处理效率和质量。</w:t>
            </w:r>
          </w:p>
          <w:p w14:paraId="268415D9">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4.2.3.1.1.2.2.4.1</w:t>
            </w:r>
            <w:r>
              <w:rPr>
                <w:rFonts w:hint="eastAsia" w:ascii="仿宋" w:hAnsi="仿宋" w:eastAsia="仿宋" w:cs="仿宋"/>
                <w:szCs w:val="21"/>
              </w:rPr>
              <w:t>接口开发</w:t>
            </w:r>
          </w:p>
          <w:p w14:paraId="3446F7B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针对以下报表任务定制开发标准HTTP接口：</w:t>
            </w:r>
          </w:p>
          <w:p w14:paraId="219A88D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卫健统4-1月报（西医）</w:t>
            </w:r>
          </w:p>
          <w:p w14:paraId="40816E8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卫健统4-2月报（中医）</w:t>
            </w:r>
          </w:p>
          <w:p w14:paraId="4079647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卫健统4-3月报（基层）</w:t>
            </w:r>
          </w:p>
          <w:p w14:paraId="0C101102">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门急诊电子病历采集表</w:t>
            </w:r>
          </w:p>
          <w:p w14:paraId="21B90B8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卫生人力</w:t>
            </w:r>
          </w:p>
          <w:p w14:paraId="5F69432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接口设计遵循RESTfulAPI规范，确保接口的通用性和易用性。</w:t>
            </w:r>
          </w:p>
          <w:p w14:paraId="64422FAB">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4.2.3.1.1.2.2.4.2</w:t>
            </w:r>
            <w:r>
              <w:rPr>
                <w:rFonts w:hint="eastAsia" w:ascii="仿宋" w:hAnsi="仿宋" w:eastAsia="仿宋" w:cs="仿宋"/>
                <w:szCs w:val="21"/>
              </w:rPr>
              <w:t>接口适配与文档化</w:t>
            </w:r>
          </w:p>
          <w:p w14:paraId="5A2BA0A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将接口的适配内容形成详细文档，包括接口地址、请求方法、参数说明、返回值格式等。</w:t>
            </w:r>
          </w:p>
          <w:p w14:paraId="56BF890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文档提供给有需要的医院，供其自行进行接口适配。</w:t>
            </w:r>
          </w:p>
          <w:p w14:paraId="0CF8A145">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4.2.3.1.1.2.2.4.3</w:t>
            </w:r>
            <w:r>
              <w:rPr>
                <w:rFonts w:hint="eastAsia" w:ascii="仿宋" w:hAnsi="仿宋" w:eastAsia="仿宋" w:cs="仿宋"/>
                <w:szCs w:val="21"/>
              </w:rPr>
              <w:t>接口联调</w:t>
            </w:r>
          </w:p>
          <w:p w14:paraId="394F91B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配合基层医疗机构进行接口联调，确保各机构系统能够顺利对接并传输数据。</w:t>
            </w:r>
          </w:p>
          <w:p w14:paraId="3C969F9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在联调过程中，及时解决出现的技术问题，确保接口的稳定性和可靠性。</w:t>
            </w:r>
          </w:p>
          <w:p w14:paraId="7974D923">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4.2.3.1.1.2.2.4.4</w:t>
            </w:r>
            <w:r>
              <w:rPr>
                <w:rFonts w:hint="eastAsia" w:ascii="仿宋" w:hAnsi="仿宋" w:eastAsia="仿宋" w:cs="仿宋"/>
                <w:szCs w:val="21"/>
              </w:rPr>
              <w:t>数据推送要求</w:t>
            </w:r>
          </w:p>
          <w:p w14:paraId="12BB14E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对基层推送数据的推送形式、推送格式、推送内容进行统一要求：</w:t>
            </w:r>
          </w:p>
          <w:p w14:paraId="2E1D4E5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推送形式：采用定时推送或实时推送的方式，具体根据各机构的需求确定。</w:t>
            </w:r>
          </w:p>
          <w:p w14:paraId="35540FF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推送格式：数据以JSON或XML格式进行传输，确保数据的结构化和可读性。</w:t>
            </w:r>
          </w:p>
          <w:p w14:paraId="74F549D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推送内容：严格按照各报表任务的要求，推送完整的数据字段，确保数据的完整性。</w:t>
            </w:r>
          </w:p>
          <w:p w14:paraId="011E0E5B">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4.2.3.1.1.2.2.4.5</w:t>
            </w:r>
            <w:r>
              <w:rPr>
                <w:rFonts w:hint="eastAsia" w:ascii="仿宋" w:hAnsi="仿宋" w:eastAsia="仿宋" w:cs="仿宋"/>
                <w:szCs w:val="21"/>
              </w:rPr>
              <w:t>数据处理与反馈</w:t>
            </w:r>
          </w:p>
          <w:p w14:paraId="79195F5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对推送至系统的数据进行计算和审核，确保数据的准确性和合理性。</w:t>
            </w:r>
          </w:p>
          <w:p w14:paraId="5D6BAC3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审核结果及时返回给推送机构，以便其对数据进行修正或确认。</w:t>
            </w:r>
          </w:p>
          <w:p w14:paraId="06BA283A">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4.2.3.1.1.2.2.4.6</w:t>
            </w:r>
            <w:r>
              <w:rPr>
                <w:rFonts w:hint="eastAsia" w:ascii="仿宋" w:hAnsi="仿宋" w:eastAsia="仿宋" w:cs="仿宋"/>
                <w:szCs w:val="21"/>
              </w:rPr>
              <w:t>预期效果</w:t>
            </w:r>
          </w:p>
          <w:p w14:paraId="2EA5EAA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升数据报送的效率和准确性，减少人工录入和数据导入的繁琐操作。实现与各机构系统的无缝对接，提升系统的自动化程度和数据交互能力。统一数据推送标准，确保数据的一致性和完整性。提高数据处理效率，及时反馈审核结果，提升系统的整体性能和用户体验。</w:t>
            </w:r>
          </w:p>
          <w:p w14:paraId="2E28ABC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4.2.3.1.1.2.3药品监测采集功能</w:t>
            </w:r>
          </w:p>
          <w:p w14:paraId="1394379A">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根据业务需求，在信创改造整合建设药品监测任务，提供药品采集监测功能(包含公立医疗机构基本情况、药品出库、药品入库、药品目录、药品使用等)，并实现与统计用户的权限集成。</w:t>
            </w:r>
          </w:p>
          <w:p w14:paraId="3825DD0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4.2.3.1.1.2.4大型设备任务</w:t>
            </w:r>
          </w:p>
          <w:p w14:paraId="1F9CECFF">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提供大型设备登记打印业务，医疗机构通过登记大型设备，卫健委审批后可进行登记证打印、发放。</w:t>
            </w:r>
          </w:p>
          <w:p w14:paraId="623CC6DB">
            <w:pPr>
              <w:pStyle w:val="12"/>
              <w:numPr>
                <w:ilvl w:val="7"/>
                <w:numId w:val="0"/>
              </w:numPr>
              <w:rPr>
                <w:rFonts w:hint="eastAsia" w:ascii="仿宋" w:hAnsi="仿宋" w:eastAsia="仿宋" w:cs="仿宋"/>
                <w:sz w:val="21"/>
              </w:rPr>
            </w:pPr>
            <w:r>
              <w:rPr>
                <w:rFonts w:hint="eastAsia" w:ascii="仿宋" w:hAnsi="仿宋" w:eastAsia="仿宋" w:cs="仿宋"/>
                <w:sz w:val="21"/>
              </w:rPr>
              <w:t>4.2.3.1.1.2.4.1大型设备登记</w:t>
            </w:r>
          </w:p>
          <w:p w14:paraId="50A59FB1">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医疗卫生机构可登记大型设备，包括设备基本信息、正本信息、副本信息机其他信息。信息登记支持保存、修改、删除等操作。</w:t>
            </w:r>
          </w:p>
          <w:p w14:paraId="7CEC24DC">
            <w:pPr>
              <w:pStyle w:val="12"/>
              <w:numPr>
                <w:ilvl w:val="7"/>
                <w:numId w:val="0"/>
              </w:numPr>
              <w:rPr>
                <w:rFonts w:hint="eastAsia" w:ascii="仿宋" w:hAnsi="仿宋" w:eastAsia="仿宋" w:cs="仿宋"/>
                <w:sz w:val="21"/>
              </w:rPr>
            </w:pPr>
            <w:r>
              <w:rPr>
                <w:rFonts w:hint="eastAsia" w:ascii="仿宋" w:hAnsi="仿宋" w:eastAsia="仿宋" w:cs="仿宋"/>
                <w:sz w:val="21"/>
              </w:rPr>
              <w:t>4.2.3.1.1.2.4.2大型设备打印（正本/副本）</w:t>
            </w:r>
          </w:p>
          <w:p w14:paraId="0A4F0AC7">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大型设备登记通过卫健委审批后，医疗机构可进行设备正本及副本打印。支持列表展示登记审核信息，并可按照条件搜索。打印需要按照固定正副本信息模板进行打印。</w:t>
            </w:r>
          </w:p>
          <w:p w14:paraId="155D3BB4">
            <w:pPr>
              <w:pStyle w:val="12"/>
              <w:numPr>
                <w:ilvl w:val="7"/>
                <w:numId w:val="0"/>
              </w:numPr>
              <w:rPr>
                <w:rFonts w:hint="eastAsia" w:ascii="仿宋" w:hAnsi="仿宋" w:eastAsia="仿宋" w:cs="仿宋"/>
                <w:sz w:val="21"/>
              </w:rPr>
            </w:pPr>
            <w:r>
              <w:rPr>
                <w:rFonts w:hint="eastAsia" w:ascii="仿宋" w:hAnsi="仿宋" w:eastAsia="仿宋" w:cs="仿宋"/>
                <w:sz w:val="21"/>
              </w:rPr>
              <w:t>4.2.3.1.1.2.4.3许可证查询</w:t>
            </w:r>
          </w:p>
          <w:p w14:paraId="34C81FD7">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提供许可证查询功能，可通过输入许可证号码进行查询。</w:t>
            </w:r>
          </w:p>
          <w:p w14:paraId="7C7A3E76">
            <w:pPr>
              <w:pStyle w:val="12"/>
              <w:numPr>
                <w:ilvl w:val="7"/>
                <w:numId w:val="0"/>
              </w:numPr>
              <w:rPr>
                <w:rFonts w:hint="eastAsia" w:ascii="仿宋" w:hAnsi="仿宋" w:eastAsia="仿宋" w:cs="仿宋"/>
                <w:sz w:val="21"/>
              </w:rPr>
            </w:pPr>
            <w:r>
              <w:rPr>
                <w:rFonts w:hint="eastAsia" w:ascii="仿宋" w:hAnsi="仿宋" w:eastAsia="仿宋" w:cs="仿宋"/>
                <w:sz w:val="21"/>
              </w:rPr>
              <w:t>4.2.3.1.1.2.4.4大型设备登记汇总分析</w:t>
            </w:r>
          </w:p>
          <w:p w14:paraId="78BB4061">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提供大型设备统计分析功能，包括分析近五年大型设备拥有量、乙类大型设备配置年度增量及总量，乙类大型设备阶梯配置，乙类大型设备配置分布情况等。</w:t>
            </w:r>
          </w:p>
          <w:p w14:paraId="42A1D1D5">
            <w:pPr>
              <w:pStyle w:val="12"/>
              <w:numPr>
                <w:ilvl w:val="7"/>
                <w:numId w:val="0"/>
              </w:numPr>
              <w:rPr>
                <w:rFonts w:hint="eastAsia" w:ascii="仿宋" w:hAnsi="仿宋" w:eastAsia="仿宋" w:cs="仿宋"/>
                <w:sz w:val="21"/>
              </w:rPr>
            </w:pPr>
            <w:r>
              <w:rPr>
                <w:rFonts w:hint="eastAsia" w:ascii="仿宋" w:hAnsi="仿宋" w:eastAsia="仿宋" w:cs="仿宋"/>
                <w:sz w:val="21"/>
              </w:rPr>
              <w:t>4.2.3.1.1.2.4.5基础信息维护</w:t>
            </w:r>
          </w:p>
          <w:p w14:paraId="54FBB750">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提供基础信息维护功能，可对大型设备生产企业维护，医疗卫生机构维护。</w:t>
            </w:r>
          </w:p>
          <w:p w14:paraId="57B4573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4.2.3.1.1.2.5设备表任务接口功能</w:t>
            </w:r>
          </w:p>
          <w:p w14:paraId="3C82F369">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设备调查表（卫健统3表）数据需支持通过接口传输，实现与外部系统的数据共享。优先支持与医院设备管理系统或手工台账的对接；支持与省级大型设备系统的对接，但需在完成医院对接后进行；医院对接需经过申请和审批流程，确保数据安全和合规性。</w:t>
            </w:r>
          </w:p>
          <w:p w14:paraId="06C0C47C">
            <w:pPr>
              <w:pStyle w:val="12"/>
              <w:numPr>
                <w:ilvl w:val="7"/>
                <w:numId w:val="0"/>
              </w:numPr>
              <w:rPr>
                <w:rFonts w:hint="eastAsia" w:ascii="仿宋" w:hAnsi="仿宋" w:eastAsia="仿宋" w:cs="仿宋"/>
                <w:sz w:val="21"/>
              </w:rPr>
            </w:pPr>
            <w:r>
              <w:rPr>
                <w:rFonts w:hint="eastAsia" w:ascii="仿宋" w:hAnsi="仿宋" w:eastAsia="仿宋" w:cs="仿宋"/>
                <w:sz w:val="21"/>
              </w:rPr>
              <w:t>4.2.3.1.1.2.5.1接口开放</w:t>
            </w:r>
          </w:p>
          <w:p w14:paraId="2C3E8B83">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提供标准化的设备表数据接口，支持实时数据传输。</w:t>
            </w:r>
          </w:p>
          <w:p w14:paraId="767AD87C">
            <w:pPr>
              <w:pStyle w:val="12"/>
              <w:numPr>
                <w:ilvl w:val="7"/>
                <w:numId w:val="0"/>
              </w:numPr>
              <w:rPr>
                <w:rFonts w:hint="eastAsia" w:ascii="仿宋" w:hAnsi="仿宋" w:eastAsia="仿宋" w:cs="仿宋"/>
                <w:sz w:val="21"/>
              </w:rPr>
            </w:pPr>
            <w:r>
              <w:rPr>
                <w:rFonts w:hint="eastAsia" w:ascii="仿宋" w:hAnsi="仿宋" w:eastAsia="仿宋" w:cs="仿宋"/>
                <w:sz w:val="21"/>
              </w:rPr>
              <w:t>4.2.3.1.1.2.5.2对接申请与审批</w:t>
            </w:r>
          </w:p>
          <w:p w14:paraId="61CFFA37">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医院需提交对接申请，填写对接系统信息、对接方式（接口或手工台账）等。</w:t>
            </w:r>
          </w:p>
          <w:p w14:paraId="02BF02D9">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系统管理员审核对接申请，审批通过后开放接口权限。</w:t>
            </w:r>
          </w:p>
          <w:p w14:paraId="74DD03C3">
            <w:pPr>
              <w:pStyle w:val="12"/>
              <w:numPr>
                <w:ilvl w:val="7"/>
                <w:numId w:val="0"/>
              </w:numPr>
              <w:rPr>
                <w:rFonts w:hint="eastAsia" w:ascii="仿宋" w:hAnsi="仿宋" w:eastAsia="仿宋" w:cs="仿宋"/>
                <w:sz w:val="21"/>
              </w:rPr>
            </w:pPr>
            <w:r>
              <w:rPr>
                <w:rFonts w:hint="eastAsia" w:ascii="仿宋" w:hAnsi="仿宋" w:eastAsia="仿宋" w:cs="仿宋"/>
                <w:sz w:val="21"/>
              </w:rPr>
              <w:t>4.2.3.1.1.2.5.3手工台账对接</w:t>
            </w:r>
          </w:p>
          <w:p w14:paraId="5DE6543D">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支持通过Excel模板导入设备表数据。</w:t>
            </w:r>
          </w:p>
          <w:p w14:paraId="683A976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4.2.3.1.1.2.6其他本地化调查采集任务</w:t>
            </w:r>
          </w:p>
          <w:p w14:paraId="2AD026B0">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优化后的数据采集服务可增加陕西省本地调查制度要求的指标和任务。将陕西省本地的卫生统计业务调查制度以报表任务的形式增加至直报系统中，形成规范的报表调查制度。主管统计业务的部门在相关机构备案通过后才能发布于系统。不同报表可自主设置填报要求和逻辑审核条件，并且支持其他业务系统（数据交换平台等）接入或导出数据的功能。</w:t>
            </w:r>
          </w:p>
          <w:p w14:paraId="0E68EB9B">
            <w:pPr>
              <w:pStyle w:val="24"/>
              <w:keepNext/>
              <w:keepLines/>
              <w:numPr>
                <w:ilvl w:val="0"/>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6A235F97">
            <w:pPr>
              <w:pStyle w:val="24"/>
              <w:keepNext/>
              <w:keepLines/>
              <w:numPr>
                <w:ilvl w:val="0"/>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6A170C3A">
            <w:pPr>
              <w:pStyle w:val="24"/>
              <w:keepNext/>
              <w:keepLines/>
              <w:numPr>
                <w:ilvl w:val="0"/>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113D0E40">
            <w:pPr>
              <w:pStyle w:val="24"/>
              <w:keepNext/>
              <w:keepLines/>
              <w:numPr>
                <w:ilvl w:val="0"/>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6E58666B">
            <w:pPr>
              <w:pStyle w:val="24"/>
              <w:keepNext/>
              <w:keepLines/>
              <w:numPr>
                <w:ilvl w:val="0"/>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505E076A">
            <w:pPr>
              <w:pStyle w:val="24"/>
              <w:keepNext/>
              <w:keepLines/>
              <w:numPr>
                <w:ilvl w:val="1"/>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424F40C1">
            <w:pPr>
              <w:pStyle w:val="24"/>
              <w:keepNext/>
              <w:keepLines/>
              <w:numPr>
                <w:ilvl w:val="1"/>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7573FE62">
            <w:pPr>
              <w:pStyle w:val="24"/>
              <w:keepNext/>
              <w:keepLines/>
              <w:numPr>
                <w:ilvl w:val="2"/>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7DF2E05F">
            <w:pPr>
              <w:pStyle w:val="24"/>
              <w:keepNext/>
              <w:keepLines/>
              <w:numPr>
                <w:ilvl w:val="2"/>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69969691">
            <w:pPr>
              <w:pStyle w:val="24"/>
              <w:keepNext/>
              <w:keepLines/>
              <w:numPr>
                <w:ilvl w:val="2"/>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511B34D5">
            <w:pPr>
              <w:pStyle w:val="24"/>
              <w:keepNext/>
              <w:keepLines/>
              <w:numPr>
                <w:ilvl w:val="3"/>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1BC6A865">
            <w:pPr>
              <w:pStyle w:val="24"/>
              <w:keepNext/>
              <w:keepLines/>
              <w:numPr>
                <w:ilvl w:val="4"/>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2F36FC71">
            <w:pPr>
              <w:pStyle w:val="24"/>
              <w:keepNext/>
              <w:keepLines/>
              <w:numPr>
                <w:ilvl w:val="5"/>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6B7F350B">
            <w:pPr>
              <w:pStyle w:val="24"/>
              <w:keepNext/>
              <w:keepLines/>
              <w:numPr>
                <w:ilvl w:val="5"/>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0A22D778">
            <w:pPr>
              <w:pStyle w:val="24"/>
              <w:keepNext/>
              <w:keepLines/>
              <w:numPr>
                <w:ilvl w:val="6"/>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75B0BC6E">
            <w:pPr>
              <w:pStyle w:val="24"/>
              <w:keepNext/>
              <w:keepLines/>
              <w:numPr>
                <w:ilvl w:val="6"/>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1839BDC0">
            <w:pPr>
              <w:pStyle w:val="24"/>
              <w:keepNext/>
              <w:keepLines/>
              <w:numPr>
                <w:ilvl w:val="6"/>
                <w:numId w:val="11"/>
              </w:numPr>
              <w:tabs>
                <w:tab w:val="left" w:pos="433"/>
                <w:tab w:val="left" w:pos="737"/>
                <w:tab w:val="left" w:pos="1441"/>
              </w:tabs>
              <w:snapToGrid w:val="0"/>
              <w:spacing w:line="360" w:lineRule="auto"/>
              <w:ind w:firstLineChars="0"/>
              <w:contextualSpacing w:val="0"/>
              <w:outlineLvl w:val="7"/>
              <w:rPr>
                <w:rFonts w:hint="eastAsia" w:ascii="仿宋" w:hAnsi="仿宋" w:eastAsia="仿宋" w:cs="仿宋"/>
                <w:vanish/>
                <w:color w:val="000000" w:themeColor="text1"/>
                <w:szCs w:val="21"/>
                <w:lang w:val="en-AU"/>
                <w14:textFill>
                  <w14:solidFill>
                    <w14:schemeClr w14:val="tx1"/>
                  </w14:solidFill>
                </w14:textFill>
              </w:rPr>
            </w:pPr>
          </w:p>
          <w:p w14:paraId="7A3136E7">
            <w:pPr>
              <w:pStyle w:val="12"/>
              <w:numPr>
                <w:ilvl w:val="7"/>
                <w:numId w:val="0"/>
              </w:numPr>
              <w:rPr>
                <w:rFonts w:hint="eastAsia" w:ascii="仿宋" w:hAnsi="仿宋" w:eastAsia="仿宋" w:cs="仿宋"/>
                <w:sz w:val="21"/>
              </w:rPr>
            </w:pPr>
            <w:r>
              <w:rPr>
                <w:rFonts w:hint="eastAsia" w:ascii="仿宋" w:hAnsi="仿宋" w:eastAsia="仿宋" w:cs="仿宋"/>
                <w:sz w:val="21"/>
              </w:rPr>
              <w:t>4.2.3.1.1.2.6.1报表设计</w:t>
            </w:r>
          </w:p>
          <w:p w14:paraId="4D14390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可视化表单设计器实现填报表的创建与编辑，支持用户通过拖拽文本框、下拉框、日期选择器等组件到画布上，自由布局报表结构。组件属性可通过右侧面板进行配置，包括字段名称、数据类型、显示格式等。后端采用微服务架构，将设计好的表单以JSON格式存储到数据库中，在用户访问报表时，根据JSON数据动态渲染出表单页面。</w:t>
            </w:r>
          </w:p>
          <w:p w14:paraId="1BDD6863">
            <w:pPr>
              <w:pStyle w:val="12"/>
              <w:numPr>
                <w:ilvl w:val="7"/>
                <w:numId w:val="0"/>
              </w:numPr>
              <w:rPr>
                <w:rFonts w:hint="eastAsia" w:ascii="仿宋" w:hAnsi="仿宋" w:eastAsia="仿宋" w:cs="仿宋"/>
                <w:sz w:val="21"/>
              </w:rPr>
            </w:pPr>
            <w:r>
              <w:rPr>
                <w:rFonts w:hint="eastAsia" w:ascii="仿宋" w:hAnsi="仿宋" w:eastAsia="仿宋" w:cs="仿宋"/>
                <w:sz w:val="21"/>
              </w:rPr>
              <w:t>4.2.3.1.1.2.6.2规则配置</w:t>
            </w:r>
          </w:p>
          <w:p w14:paraId="17FA6E7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发规则配置引擎，支持用户以可视化或脚本编写的方式设置填报规则。对于可视化配置，提供条件选择器、操作符选择器和结果设置区域，用户可配置如“当字段A的值大于100时，字段B为必填项”等规则。对于复杂规则，支持使用脚本编写，通过沙箱环境确保脚本执行的安全性。配置好的规则与填报表关联存储，在数据填报时实时生效。</w:t>
            </w:r>
          </w:p>
          <w:p w14:paraId="7D6B9BAC">
            <w:pPr>
              <w:pStyle w:val="12"/>
              <w:numPr>
                <w:ilvl w:val="7"/>
                <w:numId w:val="0"/>
              </w:numPr>
              <w:rPr>
                <w:rFonts w:hint="eastAsia" w:ascii="仿宋" w:hAnsi="仿宋" w:eastAsia="仿宋" w:cs="仿宋"/>
                <w:sz w:val="21"/>
              </w:rPr>
            </w:pPr>
            <w:r>
              <w:rPr>
                <w:rFonts w:hint="eastAsia" w:ascii="仿宋" w:hAnsi="仿宋" w:eastAsia="仿宋" w:cs="仿宋"/>
                <w:sz w:val="21"/>
              </w:rPr>
              <w:t>4.2.3.1.1.2.6.3任务发布</w:t>
            </w:r>
          </w:p>
          <w:p w14:paraId="243FFF4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任务通过备案审批后，任务状态变更为“可发布”。管理员在任务管理界面选择需要发布的任务，设置发布时间、发布范围（如特定地区的医疗机构）等参数后，点击发布按钮。系统通过消息队列将任务发布消息发送给相关机构，同时在系统首页和任务公告栏展示新发布的任务，提醒机构及时填报。</w:t>
            </w:r>
          </w:p>
          <w:p w14:paraId="46315947">
            <w:pPr>
              <w:pStyle w:val="12"/>
              <w:numPr>
                <w:ilvl w:val="7"/>
                <w:numId w:val="0"/>
              </w:numPr>
              <w:rPr>
                <w:rFonts w:hint="eastAsia" w:ascii="仿宋" w:hAnsi="仿宋" w:eastAsia="仿宋" w:cs="仿宋"/>
                <w:sz w:val="21"/>
              </w:rPr>
            </w:pPr>
            <w:r>
              <w:rPr>
                <w:rFonts w:hint="eastAsia" w:ascii="仿宋" w:hAnsi="仿宋" w:eastAsia="仿宋" w:cs="仿宋"/>
                <w:sz w:val="21"/>
              </w:rPr>
              <w:t>4.2.3.1.1.2.6.4机构填报</w:t>
            </w:r>
          </w:p>
          <w:p w14:paraId="6E3AD6C0">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填报机构提供统一的填报入口，支持PC端和移动端访问。填报页面根据任务配置的填报表动态渲染，当用户输入数据时，实时触发填报规则进行校验，如数据格式错误、必填项未填等情况，系统即时弹出提示框告知用户。用户可暂存填报数据，方便后续继续编辑。填报完成后，点击提交按钮，系统对数据进行加密处理后传输到服务器存储。</w:t>
            </w:r>
          </w:p>
          <w:p w14:paraId="624D7B69">
            <w:pPr>
              <w:pStyle w:val="12"/>
              <w:numPr>
                <w:ilvl w:val="7"/>
                <w:numId w:val="0"/>
              </w:numPr>
              <w:rPr>
                <w:rFonts w:hint="eastAsia" w:ascii="仿宋" w:hAnsi="仿宋" w:eastAsia="仿宋" w:cs="仿宋"/>
                <w:sz w:val="21"/>
              </w:rPr>
            </w:pPr>
            <w:r>
              <w:rPr>
                <w:rFonts w:hint="eastAsia" w:ascii="仿宋" w:hAnsi="仿宋" w:eastAsia="仿宋" w:cs="仿宋"/>
                <w:sz w:val="21"/>
              </w:rPr>
              <w:t>4.2.3.1.1.2.6.5汇总审核</w:t>
            </w:r>
          </w:p>
          <w:p w14:paraId="5184482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提供数据汇总看板，展示各机构的填报进度和数据概况。审核人员可在审核界面查看所有提交的数据，利用系统预设的逻辑审核条件自动对数据进行初步筛查，例如检查数据的平衡性、一致性等。对于自动审核不通过的数据，系统高亮显示并标注错误原因。审核人员也可进行人工复核，对有疑问的数据可通过系统内置的沟通工具联系填报机构进行核实和修正。审核通过的数据状态标记为“已审核”，不通过的数据退回给填报机构重新填报。</w:t>
            </w:r>
          </w:p>
          <w:p w14:paraId="5AD003C9">
            <w:pPr>
              <w:pStyle w:val="12"/>
              <w:numPr>
                <w:ilvl w:val="7"/>
                <w:numId w:val="0"/>
              </w:numPr>
              <w:rPr>
                <w:rFonts w:hint="eastAsia" w:ascii="仿宋" w:hAnsi="仿宋" w:eastAsia="仿宋" w:cs="仿宋"/>
                <w:sz w:val="21"/>
              </w:rPr>
            </w:pPr>
            <w:r>
              <w:rPr>
                <w:rFonts w:hint="eastAsia" w:ascii="仿宋" w:hAnsi="仿宋" w:eastAsia="仿宋" w:cs="仿宋"/>
                <w:sz w:val="21"/>
              </w:rPr>
              <w:t>4.2.3.1.1.2.6.6查询分析</w:t>
            </w:r>
          </w:p>
          <w:p w14:paraId="792E222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发强大的数据查询引擎，支持多条件组合查询。用户可根据任务名称、机构名称、指标类型、时间范围等条件筛选数据。查询结果以表格形式展示，同时支持导出为Excel、CSV等格式。引入数据分析工具，对查询结果进行可视化分析，可生成柱状图、折线图、饼图等，直观展示数据趋势和分布情况。此外，支持用户自定义分析维度和指标计算方式，满足个性化的数据分析需求。</w:t>
            </w:r>
          </w:p>
          <w:p w14:paraId="79E09D09">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4.2.3.1.1.3临时调查采集任务</w:t>
            </w:r>
          </w:p>
          <w:p w14:paraId="38F55A15">
            <w:pPr>
              <w:pStyle w:val="24"/>
              <w:keepNext/>
              <w:numPr>
                <w:ilvl w:val="5"/>
                <w:numId w:val="10"/>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378D9C30">
            <w:pPr>
              <w:pStyle w:val="24"/>
              <w:keepNext/>
              <w:numPr>
                <w:ilvl w:val="5"/>
                <w:numId w:val="11"/>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4EADBEF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4.2.3.1.1.3.1临时报表</w:t>
            </w:r>
          </w:p>
          <w:p w14:paraId="7A85032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根据业务处室的需求，系统可添加临时报表任务，系统设置业务管理审核机制，由报表发起人提交报送任务，经主管统计业务的部门或处室审批通过后方能发布于系统，进行填报。</w:t>
            </w:r>
          </w:p>
          <w:p w14:paraId="5BD6795B">
            <w:pPr>
              <w:pStyle w:val="12"/>
              <w:numPr>
                <w:ilvl w:val="7"/>
                <w:numId w:val="0"/>
              </w:numPr>
              <w:rPr>
                <w:rFonts w:hint="eastAsia" w:ascii="仿宋" w:hAnsi="仿宋" w:eastAsia="仿宋" w:cs="仿宋"/>
                <w:sz w:val="21"/>
              </w:rPr>
            </w:pPr>
            <w:r>
              <w:rPr>
                <w:rFonts w:hint="eastAsia" w:ascii="仿宋" w:hAnsi="仿宋" w:eastAsia="仿宋" w:cs="仿宋"/>
                <w:sz w:val="21"/>
              </w:rPr>
              <w:t>4.2.3.1.1.3.1.1一次性问卷</w:t>
            </w:r>
          </w:p>
          <w:p w14:paraId="4DFA8CD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部分可由业务人员进行操作，实现自助式制作一次性调查问卷，无专业要求、学习即可自主操作。任务需要实现针对到机构、个人或者无特定用户等的调查，调查问卷可在移动端（手机、平板等）进行操作。并且新建任务可自动生成对应的采集数据一览表，和根据业务需求生成分析表。</w:t>
            </w:r>
          </w:p>
          <w:p w14:paraId="1FFB27AC">
            <w:pPr>
              <w:pStyle w:val="12"/>
              <w:numPr>
                <w:ilvl w:val="7"/>
                <w:numId w:val="0"/>
              </w:numPr>
              <w:rPr>
                <w:rFonts w:hint="eastAsia" w:ascii="仿宋" w:hAnsi="仿宋" w:eastAsia="仿宋" w:cs="仿宋"/>
                <w:sz w:val="21"/>
              </w:rPr>
            </w:pPr>
            <w:r>
              <w:rPr>
                <w:rFonts w:hint="eastAsia" w:ascii="仿宋" w:hAnsi="仿宋" w:eastAsia="仿宋" w:cs="仿宋"/>
                <w:sz w:val="21"/>
              </w:rPr>
              <w:t>4.2.3.1.1.3.1.2一次性报表</w:t>
            </w:r>
          </w:p>
          <w:p w14:paraId="012DB11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部分可由业务人员进行操作，实现自助式制作一次性报表任务，无专业复杂学习即可自主操作。报表任务可根据业务处室管理分级，实现针对业务机构、区县卫健等的报送任务分配。系统可根据不同业务调查线分配报表和设置管理权限，并且新建任务可自动生成对应的采集数据一览表，和根据业务需求生成分析表。</w:t>
            </w:r>
          </w:p>
          <w:p w14:paraId="50EFEE16">
            <w:pPr>
              <w:pStyle w:val="12"/>
              <w:numPr>
                <w:ilvl w:val="7"/>
                <w:numId w:val="0"/>
              </w:numPr>
              <w:rPr>
                <w:rFonts w:hint="eastAsia" w:ascii="仿宋" w:hAnsi="仿宋" w:eastAsia="仿宋" w:cs="仿宋"/>
                <w:sz w:val="21"/>
              </w:rPr>
            </w:pPr>
            <w:r>
              <w:rPr>
                <w:rFonts w:hint="eastAsia" w:ascii="仿宋" w:hAnsi="仿宋" w:eastAsia="仿宋" w:cs="仿宋"/>
                <w:sz w:val="21"/>
              </w:rPr>
              <w:t>4.2.3.1.1.3.1.3阶段性报表</w:t>
            </w:r>
          </w:p>
          <w:p w14:paraId="1F8DB250">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根据各阶段所需的报送任务，可进行报表增加，及时满足业务需求。</w:t>
            </w:r>
          </w:p>
          <w:p w14:paraId="19FE70B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陕西省卫生健康委各业务处室发生临时性报表需求时可在本系统中进行临时性报表开发，按照实际需求进行报表任务设计以及数据统计分析。</w:t>
            </w:r>
          </w:p>
          <w:p w14:paraId="51370B86">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4.2.3.1.1.3.2业务工作</w:t>
            </w:r>
          </w:p>
          <w:p w14:paraId="47C1F4D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业务处室的行政数据采集、工作评估、工作资料收集，如参会回执单的报送及汇总、知识数据库的上传下载、管理台账的信息记录等，以及生成对应的查询表、汇总表。</w:t>
            </w:r>
          </w:p>
          <w:p w14:paraId="76DB8C5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4.2.3.1.1.4直报数据抽查评审</w:t>
            </w:r>
          </w:p>
          <w:p w14:paraId="5FA2C49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直报系统整合模块增加“机构填报数据抽查评审”功能，通过与线下卫生健康统计质量检查任务联动，强化数据真实性核查机制。增加功能需与统一门户、权限管理及现有模块深度集成。</w:t>
            </w:r>
          </w:p>
          <w:p w14:paraId="025C7B26">
            <w:pPr>
              <w:pStyle w:val="24"/>
              <w:keepNext/>
              <w:numPr>
                <w:ilvl w:val="5"/>
                <w:numId w:val="11"/>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30ED0D50">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4.2.3.1.1.4.1抽查规则配置</w:t>
            </w:r>
          </w:p>
          <w:p w14:paraId="11248BDC">
            <w:pPr>
              <w:pStyle w:val="12"/>
              <w:numPr>
                <w:ilvl w:val="7"/>
                <w:numId w:val="0"/>
              </w:numPr>
              <w:rPr>
                <w:rFonts w:hint="eastAsia" w:ascii="仿宋" w:hAnsi="仿宋" w:eastAsia="仿宋" w:cs="仿宋"/>
                <w:sz w:val="21"/>
              </w:rPr>
            </w:pPr>
            <w:r>
              <w:rPr>
                <w:rFonts w:hint="eastAsia" w:ascii="仿宋" w:hAnsi="仿宋" w:eastAsia="仿宋" w:cs="仿宋"/>
                <w:sz w:val="21"/>
              </w:rPr>
              <w:t>4.2.3.1.1.4.1.1机构分类与层级管理</w:t>
            </w:r>
          </w:p>
          <w:p w14:paraId="42164094">
            <w:pPr>
              <w:pStyle w:val="16"/>
              <w:snapToGrid w:val="0"/>
              <w:spacing w:line="360" w:lineRule="auto"/>
              <w:ind w:left="-357" w:firstLine="630" w:firstLineChars="3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将机构分为管理机构和医疗机构两大类别，其中管理机构细分为市级管理机构和区县管理机构，形成层级化管理体系。系统初始化时，需录入各级管理机构的基本信息，包括机构名称、所属地区、联系人等，建立清晰的上下级隶属关系；医疗机构则按照三级医疗机构、二级医疗机构、基层医疗机构进行分类，完善机构类型、等级、所在区域等属性信息，为后续的抽查工作提供精准分类基础。</w:t>
            </w:r>
          </w:p>
          <w:p w14:paraId="6AB83672">
            <w:pPr>
              <w:pStyle w:val="12"/>
              <w:numPr>
                <w:ilvl w:val="7"/>
                <w:numId w:val="0"/>
              </w:numPr>
              <w:rPr>
                <w:rFonts w:hint="eastAsia" w:ascii="仿宋" w:hAnsi="仿宋" w:eastAsia="仿宋" w:cs="仿宋"/>
                <w:sz w:val="21"/>
              </w:rPr>
            </w:pPr>
            <w:r>
              <w:rPr>
                <w:rFonts w:hint="eastAsia" w:ascii="仿宋" w:hAnsi="仿宋" w:eastAsia="仿宋" w:cs="仿宋"/>
                <w:sz w:val="21"/>
              </w:rPr>
              <w:t>4.2.3.1.1.4.2抽取规则设置</w:t>
            </w:r>
          </w:p>
          <w:p w14:paraId="380D9499">
            <w:pPr>
              <w:pStyle w:val="16"/>
              <w:snapToGrid w:val="0"/>
              <w:spacing w:line="360" w:lineRule="auto"/>
              <w:ind w:left="-357" w:firstLine="630" w:firstLineChars="3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进入抽查管理界面后，可针对不同类别机构设置抽取规则。对于管理机构，可选择从市级管理机构或区县管理机构中进行抽取，既能够设定随机抽取数量（如随机抽取3个市级管理机构或5个区县管理机构），也可手动指定具体的管理机构名单；针对医疗机构，同样支持按类型（三级医疗机构、二级医疗机构）设定随机抽取比例（如随机抽取10%二级以上医院），或者直接手动勾选需要抽查的医疗机构。此外，规则设置还支持组合条件，例如先从某几个特定区域的管理机构中抽取，再从其管辖的医疗机构里按类型和比例抽取具体单位。</w:t>
            </w:r>
          </w:p>
          <w:p w14:paraId="7C0A7B9C">
            <w:pPr>
              <w:pStyle w:val="12"/>
              <w:numPr>
                <w:ilvl w:val="7"/>
                <w:numId w:val="0"/>
              </w:numPr>
              <w:rPr>
                <w:rFonts w:hint="eastAsia" w:ascii="仿宋" w:hAnsi="仿宋" w:eastAsia="仿宋" w:cs="仿宋"/>
                <w:sz w:val="21"/>
              </w:rPr>
            </w:pPr>
            <w:r>
              <w:rPr>
                <w:rFonts w:hint="eastAsia" w:ascii="仿宋" w:hAnsi="仿宋" w:eastAsia="仿宋" w:cs="仿宋"/>
                <w:sz w:val="21"/>
              </w:rPr>
              <w:t>4.2.3.1.1.4.3抽查机构名单生成</w:t>
            </w:r>
          </w:p>
          <w:p w14:paraId="3934FB32">
            <w:pPr>
              <w:pStyle w:val="16"/>
              <w:snapToGrid w:val="0"/>
              <w:spacing w:line="360" w:lineRule="auto"/>
              <w:ind w:left="-357" w:firstLine="630" w:firstLineChars="3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抽取规则设定完成后，系统依据规则自动执行操作。若为随机抽取规则，系统通过算法从对应分类的机构库中筛选出符合要求数量或比例的机构；若为手动指定规则，则直接采用用户选定的机构。系统将最终确定的抽查机构名单进行汇总展示，用户可在名单生成后对其进行复查和调整，如删除个别机构、新增其他机构等，确认无误后保存名单，作为后续数据核查、现场检查等工作的依据。</w:t>
            </w:r>
          </w:p>
          <w:p w14:paraId="77ED82E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4.2.3.1.1.4.2抽查任务下发与通知</w:t>
            </w:r>
          </w:p>
          <w:p w14:paraId="6DC4DC92">
            <w:pPr>
              <w:pStyle w:val="12"/>
              <w:numPr>
                <w:ilvl w:val="7"/>
                <w:numId w:val="0"/>
              </w:numPr>
              <w:rPr>
                <w:rFonts w:hint="eastAsia" w:ascii="仿宋" w:hAnsi="仿宋" w:eastAsia="仿宋" w:cs="仿宋"/>
                <w:sz w:val="21"/>
              </w:rPr>
            </w:pPr>
            <w:r>
              <w:rPr>
                <w:rFonts w:hint="eastAsia" w:ascii="仿宋" w:hAnsi="仿宋" w:eastAsia="仿宋" w:cs="仿宋"/>
                <w:sz w:val="21"/>
              </w:rPr>
              <w:t>4.2.3.1.1.4.2.1抽查任务表设计</w:t>
            </w:r>
          </w:p>
          <w:p w14:paraId="344EAD7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预设市级卫生局检查表、县卫生局检查表、医院检查表、乡卫生院检查表、村卫生室检查表等多种类型的抽查任务表。检查表支持“佐证材料上传”功能，可配置允许上传的文件类型、文件大小限制及材料说明，方便清晰界定每项抽查内容所需的佐证材料要求。</w:t>
            </w:r>
          </w:p>
          <w:p w14:paraId="4961CC1B">
            <w:pPr>
              <w:pStyle w:val="12"/>
              <w:numPr>
                <w:ilvl w:val="7"/>
                <w:numId w:val="0"/>
              </w:numPr>
              <w:rPr>
                <w:rFonts w:hint="eastAsia" w:ascii="仿宋" w:hAnsi="仿宋" w:eastAsia="仿宋" w:cs="仿宋"/>
                <w:sz w:val="21"/>
              </w:rPr>
            </w:pPr>
            <w:r>
              <w:rPr>
                <w:rFonts w:hint="eastAsia" w:ascii="仿宋" w:hAnsi="仿宋" w:eastAsia="仿宋" w:cs="仿宋"/>
                <w:sz w:val="21"/>
              </w:rPr>
              <w:t>4.2.3.1.1.4.2.2抽查任务下发与通知</w:t>
            </w:r>
          </w:p>
          <w:p w14:paraId="47DFF6C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抽查任务下发时，系统根据抽取的机构名单，关联对应检查表,并生成抽查任务通知。任务通知通过系统消息、邮件等多渠道推送至被抽查机构负责人，同时系统自动记录通知发送状态，若机构未及时查看，可进行二次提醒，确保任务要求准确传达。</w:t>
            </w:r>
          </w:p>
          <w:p w14:paraId="760B41B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4.2.3.1.1.4.3被抽查机构操作</w:t>
            </w:r>
          </w:p>
          <w:p w14:paraId="28E56C1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被抽查机构收到任务通知后，登录直报系统。在任务详情页面，可查看完整的检查表，须填写的抽查项目，机构人员可查阅资料后进行填写，标注“上传佐证材料”的抽查项目，可点击按钮，上传相应的佐证材料。上传完成后，材料列表展示已上传文件的名称、大小、上传时间等信息，方便机构随时查看和补充修改。</w:t>
            </w:r>
          </w:p>
          <w:p w14:paraId="046F867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4.2.3.1.1.4.4专家评审与反馈</w:t>
            </w:r>
          </w:p>
          <w:p w14:paraId="458574B8">
            <w:pPr>
              <w:pStyle w:val="12"/>
              <w:numPr>
                <w:ilvl w:val="7"/>
                <w:numId w:val="0"/>
              </w:numPr>
              <w:rPr>
                <w:rFonts w:hint="eastAsia" w:ascii="仿宋" w:hAnsi="仿宋" w:eastAsia="仿宋" w:cs="仿宋"/>
                <w:sz w:val="21"/>
              </w:rPr>
            </w:pPr>
            <w:r>
              <w:rPr>
                <w:rFonts w:hint="eastAsia" w:ascii="仿宋" w:hAnsi="仿宋" w:eastAsia="仿宋" w:cs="仿宋"/>
                <w:sz w:val="21"/>
              </w:rPr>
              <w:t>4.2.3.1.1.4.4.1评审界面数据集成展示</w:t>
            </w:r>
          </w:p>
          <w:p w14:paraId="2BDB7E41">
            <w:pPr>
              <w:pStyle w:val="27"/>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评审专家登录系统门户进入评审界面，系统分栏展示被评审机构数据与佐证材料。左侧按检查表项目排列填报数据，右侧对应显示已上传文件列表。</w:t>
            </w:r>
          </w:p>
          <w:p w14:paraId="1E873B10">
            <w:pPr>
              <w:pStyle w:val="12"/>
              <w:numPr>
                <w:ilvl w:val="7"/>
                <w:numId w:val="0"/>
              </w:numPr>
              <w:rPr>
                <w:rFonts w:hint="eastAsia" w:ascii="仿宋" w:hAnsi="仿宋" w:eastAsia="仿宋" w:cs="仿宋"/>
                <w:sz w:val="21"/>
              </w:rPr>
            </w:pPr>
            <w:r>
              <w:rPr>
                <w:rFonts w:hint="eastAsia" w:ascii="仿宋" w:hAnsi="仿宋" w:eastAsia="仿宋" w:cs="仿宋"/>
                <w:sz w:val="21"/>
              </w:rPr>
              <w:t>4.2.3.1.1.4.4.2在线评审与反馈</w:t>
            </w:r>
          </w:p>
          <w:p w14:paraId="44F1982C">
            <w:pPr>
              <w:pStyle w:val="27"/>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检查表每个项目后设有评分区域，专家针对每个项目的完成情况结合佐证材料，按要求进行评分。</w:t>
            </w:r>
          </w:p>
          <w:p w14:paraId="0367B524">
            <w:pPr>
              <w:pStyle w:val="27"/>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检查表下方设独立输入框，用于评审结果反馈。支持富文本编辑，专家可填写数据真实性、材料完整性等评审意见，提交前可修改。</w:t>
            </w:r>
          </w:p>
          <w:p w14:paraId="3C9CE1C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4.2.3.1.1.5历史数据留存</w:t>
            </w:r>
          </w:p>
          <w:p w14:paraId="698F200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随着医疗政策、行业标准的不断更新迭代，相关制度要求也会发生相应变化。若不对历史数据进行妥善处理，极易导致数据的混乱与失真。因此，对历史定稿数据进行存档是一项至关重要的工作。将每一个特定时间节点的定稿数据完整封存。无论未来指标如何变化、统计口径怎样调整，这些历史数据都能原封不动地保留其最初的格式。</w:t>
            </w:r>
          </w:p>
          <w:p w14:paraId="32CCB35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用户需要查询历史数据时，可以根据时间范围、机构名称等多种条件进行筛选。系统会依据这些条件，精准地从存档中提取出相应的历史定稿数据，并完整展示。这样，用户看到的数据真实可靠，不会出现因指标变动或口径调整导致的数据异常，也不会出现某些指标因与当前标准不符而无法显示的情况。</w:t>
            </w:r>
          </w:p>
          <w:p w14:paraId="7208E1AD">
            <w:pPr>
              <w:pStyle w:val="24"/>
              <w:keepNext/>
              <w:numPr>
                <w:ilvl w:val="5"/>
                <w:numId w:val="11"/>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59C6983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4.2.3.1.1.5.1数据存档机制设计</w:t>
            </w:r>
          </w:p>
          <w:p w14:paraId="32CA654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独立存档数据库构建：在系统数据架构中增设历史数据存档库，与实时业务数据库分离。采用时间戳+机构编码+报表类型的组合命名规则，为每份定稿数据生成唯一存储路径，确保数据存储的规范性与可追溯性。</w:t>
            </w:r>
          </w:p>
          <w:p w14:paraId="199B17F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定稿数据自动封存：在数据报送流程中，当用户提交数据且通过审核标记为“定稿”状态时，系统自动触发存档程序。将该版本数据完整复制至存档库，并记录存档时间、操作人等元数据信息，避免后续修改或覆盖。</w:t>
            </w:r>
          </w:p>
          <w:p w14:paraId="6DF38F7C">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4.2.3.1.1.5.2数据查询功能开发</w:t>
            </w:r>
          </w:p>
          <w:p w14:paraId="33D474B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查询条件设置：系统支持用户根据时间范围等条件进行历史数据的筛选查询。用户可通过组合查询条件，精准定位所需的历史定稿数据。</w:t>
            </w:r>
          </w:p>
          <w:p w14:paraId="788D92D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查询权限控制：建立严格的用户权限管理制度，根据用户的角色和职责分配不同的查询权限。例如，机构仅可查询本机构相关的历史数据，管理人员可查询本辖区范围内的数据，高级管理员可查询所有数据。</w:t>
            </w:r>
          </w:p>
          <w:p w14:paraId="6A469166">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4.2.3.1.1.5.3数据展示与还原</w:t>
            </w:r>
          </w:p>
          <w:p w14:paraId="3044F3D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原始格式还原展示：根据历史数据存档时记录的指标名称、报表模板等元数据信息，将查询结果按原始格式渲染呈现，确保数据展示的真实性。</w:t>
            </w:r>
          </w:p>
          <w:p w14:paraId="604C17C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数据导出：支持用户将查询到的历史数据按原始格式导出为Excel等文件，文件命名自动包含时间、机构、报表类型等关键信息。</w:t>
            </w:r>
          </w:p>
          <w:p w14:paraId="62396431">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4.2.3.1.2数据审核</w:t>
            </w:r>
          </w:p>
          <w:p w14:paraId="4EC5946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为确保直报系统数据质量，须对数据填报过程及提交节点进行严格管控，具体如下：</w:t>
            </w:r>
          </w:p>
          <w:p w14:paraId="0CDAFCC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4.2.3.1.2.1审核规则梳理</w:t>
            </w:r>
          </w:p>
          <w:p w14:paraId="48200B1A">
            <w:pPr>
              <w:pStyle w:val="24"/>
              <w:keepNext/>
              <w:numPr>
                <w:ilvl w:val="4"/>
                <w:numId w:val="11"/>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1056AFC0">
            <w:pPr>
              <w:pStyle w:val="24"/>
              <w:keepNext/>
              <w:numPr>
                <w:ilvl w:val="5"/>
                <w:numId w:val="11"/>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8A1214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4.2.3.1.2.1.1填报场景分析</w:t>
            </w:r>
          </w:p>
          <w:p w14:paraId="08869A6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模拟用户数据填报流程，梳理各报表填报页面的操作逻辑，明确数据输入框、下拉菜单、日期选择器等交互组件的使用场景，结合政策要求，确定每个组件对应的审核要点。</w:t>
            </w:r>
          </w:p>
          <w:p w14:paraId="2EDE33B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4.2.3.1.2.1.2提交风险预判</w:t>
            </w:r>
          </w:p>
          <w:p w14:paraId="1D71D1B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研究数据提交过程中可能出现的问题，如重复提交、误提交未完成数据、提交格式错误数据等情况，结合历史数据提交问题记录，归纳高频出现的提交阶段数据质量风险点。</w:t>
            </w:r>
          </w:p>
          <w:p w14:paraId="328706B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4.2.3.1.2.2审核规则定义</w:t>
            </w:r>
          </w:p>
          <w:p w14:paraId="011A4F6A">
            <w:pPr>
              <w:pStyle w:val="24"/>
              <w:keepNext/>
              <w:numPr>
                <w:ilvl w:val="0"/>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965454F">
            <w:pPr>
              <w:pStyle w:val="24"/>
              <w:keepNext/>
              <w:numPr>
                <w:ilvl w:val="0"/>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D20E38E">
            <w:pPr>
              <w:pStyle w:val="24"/>
              <w:keepNext/>
              <w:numPr>
                <w:ilvl w:val="0"/>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21C6AD8F">
            <w:pPr>
              <w:pStyle w:val="24"/>
              <w:keepNext/>
              <w:numPr>
                <w:ilvl w:val="0"/>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5DFCFADF">
            <w:pPr>
              <w:pStyle w:val="24"/>
              <w:keepNext/>
              <w:numPr>
                <w:ilvl w:val="0"/>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4D31387E">
            <w:pPr>
              <w:pStyle w:val="24"/>
              <w:keepNext/>
              <w:numPr>
                <w:ilvl w:val="1"/>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745120CC">
            <w:pPr>
              <w:pStyle w:val="24"/>
              <w:keepNext/>
              <w:numPr>
                <w:ilvl w:val="1"/>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676428F2">
            <w:pPr>
              <w:pStyle w:val="24"/>
              <w:keepNext/>
              <w:numPr>
                <w:ilvl w:val="2"/>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883A90E">
            <w:pPr>
              <w:pStyle w:val="24"/>
              <w:keepNext/>
              <w:numPr>
                <w:ilvl w:val="2"/>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3DF92918">
            <w:pPr>
              <w:pStyle w:val="24"/>
              <w:keepNext/>
              <w:numPr>
                <w:ilvl w:val="2"/>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1AAA619A">
            <w:pPr>
              <w:pStyle w:val="24"/>
              <w:keepNext/>
              <w:numPr>
                <w:ilvl w:val="3"/>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156F094B">
            <w:pPr>
              <w:pStyle w:val="24"/>
              <w:keepNext/>
              <w:numPr>
                <w:ilvl w:val="4"/>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5FC44C80">
            <w:pPr>
              <w:pStyle w:val="24"/>
              <w:keepNext/>
              <w:numPr>
                <w:ilvl w:val="4"/>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8B7A491">
            <w:pPr>
              <w:pStyle w:val="24"/>
              <w:keepNext/>
              <w:numPr>
                <w:ilvl w:val="5"/>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08310EE5">
            <w:pPr>
              <w:pStyle w:val="24"/>
              <w:keepNext/>
              <w:numPr>
                <w:ilvl w:val="5"/>
                <w:numId w:val="12"/>
              </w:numPr>
              <w:tabs>
                <w:tab w:val="left" w:pos="433"/>
                <w:tab w:val="left" w:pos="737"/>
                <w:tab w:val="left" w:pos="1297"/>
              </w:tabs>
              <w:snapToGrid w:val="0"/>
              <w:spacing w:line="360" w:lineRule="auto"/>
              <w:ind w:firstLineChars="0"/>
              <w:contextualSpacing w:val="0"/>
              <w:outlineLvl w:val="6"/>
              <w:rPr>
                <w:rFonts w:hint="eastAsia" w:ascii="仿宋" w:hAnsi="仿宋" w:eastAsia="仿宋" w:cs="仿宋"/>
                <w:vanish/>
                <w:color w:val="000000" w:themeColor="text1"/>
                <w:szCs w:val="21"/>
                <w:lang w:val="en-AU"/>
                <w14:textFill>
                  <w14:solidFill>
                    <w14:schemeClr w14:val="tx1"/>
                  </w14:solidFill>
                </w14:textFill>
              </w:rPr>
            </w:pPr>
          </w:p>
          <w:p w14:paraId="5D150DD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4.2.3.1.2.2.1填报时审核规则</w:t>
            </w:r>
          </w:p>
          <w:p w14:paraId="0BC159E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实时格式校验：针对数值型、日期型、文本型等不同数据类型，设定实时格式验证规则。例如，数值型字段仅允许输入数字及特定符号（如小数点），日期型字段需符合“YYYY-MM-DD”格式。</w:t>
            </w:r>
          </w:p>
          <w:p w14:paraId="13A300D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必填项即时提醒：明确各报表必填字段，当用户切换填报页面或尝试提交数据时，系统自动检测必填项是否为空，对未填写的必填字段进行红色高亮标注，并在页面顶部显示未填项清单及提示信息，引导用户补全数据。</w:t>
            </w:r>
          </w:p>
          <w:p w14:paraId="6F63C64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逻辑关联提示：对于存在逻辑关联的指标，在用户填报过程中提供即时逻辑提示。</w:t>
            </w:r>
          </w:p>
          <w:p w14:paraId="61BA053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4.2.3.1.2.2.2提交时审核规则</w:t>
            </w:r>
          </w:p>
          <w:p w14:paraId="3866885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完整性全面检查：在用户点击提交按钮后，系统对所有填报数据进行完整性扫描，检查是否存在遗漏数据项、未选择的下拉菜单选项等情况，若发现数据不完整，生成详细的未填数据清单，并阻止数据提交。</w:t>
            </w:r>
          </w:p>
          <w:p w14:paraId="5088388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规性严格审查：依据最新政策标准，检查提交数据是否符合统计规范，如医用设备编码是否采用最新国标，人员资质证书编号是否符合规定格式等，对违反合规性要求的数据，直接判定为审核不通过，并禁止提交。</w:t>
            </w:r>
          </w:p>
          <w:p w14:paraId="14EDA09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4.2.3.1.2.3审核规则配置</w:t>
            </w:r>
          </w:p>
          <w:p w14:paraId="7B36528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支持按报表类型、机构类型、填报时段等维度，设置审核规则的生效范围。例如，针对部分复杂报表，在提交时增加更严格的审核规则；对于新注册机构，在填报时提供更多引导性审核提示。</w:t>
            </w:r>
          </w:p>
          <w:p w14:paraId="6E094CE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4.2.3.1.2.4数据审核执行</w:t>
            </w:r>
          </w:p>
          <w:p w14:paraId="75D717F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4.2.3.1.2.4.1提交全面审核</w:t>
            </w:r>
          </w:p>
          <w:p w14:paraId="57C07DC2">
            <w:pPr>
              <w:pStyle w:val="23"/>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当用户点击提交按钮后，系统暂停数据传输，启动提交时审核流程，按照预设的审核规则和优先级，对所有填报数据进行全面、深度审核。审核通过后，按流程上报数据。</w:t>
            </w:r>
          </w:p>
          <w:p w14:paraId="0EA5598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4.2.3.1.2.4.2特例审核留存</w:t>
            </w:r>
          </w:p>
          <w:p w14:paraId="7867CED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完整记录填报和提交阶段的特例审核内容，包括审核规则、特例说明等信息，形成详细的特例审核说明记录表。支持用户和管理员查询特例审核内容，便于追溯数据质量问题。</w:t>
            </w:r>
          </w:p>
          <w:p w14:paraId="41778059">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4.2.3.1.3数据审批</w:t>
            </w:r>
          </w:p>
          <w:p w14:paraId="2083B99D">
            <w:pPr>
              <w:pStyle w:val="28"/>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确保卫生统计数据的真实性与规范性，依据直报系统业务需求，构建双轨并行的审批体系。卫统业务线采用数据锁定方式，其他业务线可根据实际情况灵活选择审批流功能或数据锁定功能，实现对不同业务场景的数据精准管控。</w:t>
            </w:r>
          </w:p>
          <w:p w14:paraId="7874895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4.2.3.1.3.1审批流程</w:t>
            </w:r>
          </w:p>
          <w:p w14:paraId="29C679A5">
            <w:pPr>
              <w:pStyle w:val="24"/>
              <w:numPr>
                <w:ilvl w:val="1"/>
                <w:numId w:val="13"/>
              </w:numPr>
              <w:snapToGrid w:val="0"/>
              <w:spacing w:line="360" w:lineRule="auto"/>
              <w:ind w:left="839"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审批流程</w:t>
            </w:r>
          </w:p>
          <w:p w14:paraId="3E35861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填报机构初审：填报机构负责数据的初次录入与审核，确保数据符合业务逻辑与填报要求，审核通过后提交至区县管理员。填报机构需指定专人负责数据审核，对数据的真实性、完整性和准确性承担直接责任。</w:t>
            </w:r>
          </w:p>
          <w:p w14:paraId="2665B6F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区县管理员审核：区县管理员接收填报机构提交的数据后，对数据进行全面审核，重点核查数据与本区域实际情况的一致性，以及是否符合统计口径和规范。若审核不通过，将数据退回至填报机构，并注明退回原因；若审核通过，则提交至地市管理员。</w:t>
            </w:r>
          </w:p>
          <w:p w14:paraId="2729B5D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市管理员审核：地市管理员对区县提交的数据进行复核，从更宏观的层面审查数据的合理性与逻辑性，对比历史数据及其他地市数据，确保数据无异常。审核结果同样遵循不通过退回、通过提交至省级管理员的规则。</w:t>
            </w:r>
          </w:p>
          <w:p w14:paraId="0631E03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省级管理员终审：省级管理员作为审批流程的最后一环，对数据进行最终审定，确保数据满足省级及以上层面的统计需求与监管要求，通过后完成数据审批流程。</w:t>
            </w:r>
          </w:p>
          <w:p w14:paraId="427328B2">
            <w:pPr>
              <w:pStyle w:val="24"/>
              <w:numPr>
                <w:ilvl w:val="1"/>
                <w:numId w:val="13"/>
              </w:numPr>
              <w:snapToGrid w:val="0"/>
              <w:spacing w:line="360" w:lineRule="auto"/>
              <w:ind w:left="839"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数据锁定与解锁规则</w:t>
            </w:r>
          </w:p>
          <w:p w14:paraId="56ED0D8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上报即锁定：填报机构提交数据后，数据自动进入锁定状态，防止数据在流转过程中被随意修改，确保数据的严肃性。</w:t>
            </w:r>
          </w:p>
          <w:p w14:paraId="5F2CDE3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退回可解锁：当数据被上级管理员退回时，填报机构可对数据进行解锁，根据退回原因修改完善数据后，再次提交审核。每次解锁修改后重新提交的数据，需按照原审批流程重新审核。</w:t>
            </w:r>
          </w:p>
          <w:p w14:paraId="5755CC9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4.2.3.1.3.2数据锁定</w:t>
            </w:r>
          </w:p>
          <w:p w14:paraId="1196397D">
            <w:pPr>
              <w:pStyle w:val="24"/>
              <w:numPr>
                <w:ilvl w:val="1"/>
                <w:numId w:val="14"/>
              </w:numPr>
              <w:snapToGrid w:val="0"/>
              <w:spacing w:line="360" w:lineRule="auto"/>
              <w:ind w:left="839"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锁定规则</w:t>
            </w:r>
          </w:p>
          <w:p w14:paraId="4B281D3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层级管理：数据锁定以最上级锁定信息为准，各级管理员均可对管辖范围内的数据进行锁定操作。当上级管理员完成锁定后，下级管理员无法对数据进行解锁或修改，确保数据的权威性和一致性。</w:t>
            </w:r>
          </w:p>
          <w:p w14:paraId="5CF5B8A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锁定权限：各级管理员的锁定权限根据其管理职责和范围进行设定，确保锁定操作的合理性与可控性。例如，省级管理员可锁定全省数据，地市管理员可锁定本市数据，以此类推。</w:t>
            </w:r>
          </w:p>
          <w:p w14:paraId="59B980D6">
            <w:pPr>
              <w:pStyle w:val="24"/>
              <w:numPr>
                <w:ilvl w:val="1"/>
                <w:numId w:val="14"/>
              </w:numPr>
              <w:snapToGrid w:val="0"/>
              <w:spacing w:line="360" w:lineRule="auto"/>
              <w:ind w:left="839" w:firstLineChars="0"/>
              <w:contextualSpacing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解锁规则</w:t>
            </w:r>
          </w:p>
          <w:p w14:paraId="3C9064F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上级解锁优先：若需对已锁定数据进行修改，需由上级管理员进行解锁操作。上级管理员解锁后，下级管理员可在权限范围内对数据进行修改，并重新锁定。</w:t>
            </w:r>
          </w:p>
          <w:p w14:paraId="0A7F102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特殊情况处理：对于因紧急情况或数据错误需要解锁修改的情况，需由申请解锁的管理员提交申请，说明解锁原因，经上级管理员审批同意后方可进行解锁操作。</w:t>
            </w:r>
          </w:p>
          <w:p w14:paraId="479C9F7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4.2.3.1.4数据上报</w:t>
            </w:r>
          </w:p>
          <w:p w14:paraId="5E9F2BA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在数据审批流程框架下，数据上报作为基础环节，通过科学的上报配置与及时的状态反馈，保障数据准确、高效提交。具体内容如下：</w:t>
            </w:r>
          </w:p>
          <w:p w14:paraId="1B5B0DE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4.2.3.1.4.1上报配置</w:t>
            </w:r>
          </w:p>
          <w:p w14:paraId="0F2FFA2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4.2.3.1.4.1.1报表参数设置</w:t>
            </w:r>
          </w:p>
          <w:p w14:paraId="3E9D8C3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系统管理后台，针对不同类型报表（如卫健统1-1表至1-13表），设置必填项、数据格式、取值范围等参数。例如，为卫生人力基本信息调查表中的“年龄”字段设定数值区间（18-70岁），对“身份证号”字段规定固定格式校验规则，确保填报数据符合统计规范。</w:t>
            </w:r>
          </w:p>
          <w:p w14:paraId="3D188A6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4.2.3.1.4.1.2上报时间管理</w:t>
            </w:r>
          </w:p>
          <w:p w14:paraId="718226E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按报表类型、机构类型配置数据上报时间窗口。对于常规年报，设定固定的年度上报周期；针对临时性报表，可灵活设置起止时间。同时，配置逾期提醒规则，在上报截止日前3天、1天分别向未提交机构发送提醒通知，督促按时完成上报。</w:t>
            </w:r>
          </w:p>
          <w:p w14:paraId="291C0A9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4.2.3.1.4.1.3上报方式配置</w:t>
            </w:r>
          </w:p>
          <w:p w14:paraId="33CF418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手动填报、文件导入、数据对接三种上报方式。对于技术条件不具备的机构，采用手动填报方式；对于数据量较大或熟悉操作的机构，使用文件导入功能，并设置数据模板下载入口，引导机构按规范格式整理数据后导入系统，提升上报效率，对于技术条件较好或有专业IT人员的机构，可采用数据接口对接的方式，实现数据的上报。</w:t>
            </w:r>
          </w:p>
          <w:p w14:paraId="3112EAB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4.2.3.1.4.1.4关联规则配置</w:t>
            </w:r>
          </w:p>
          <w:p w14:paraId="3DC300D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建立跨报表数据关联规则，如在填报医疗服务月报表时，系统自动关联机构基础信息表中的相关数据，避免重复填报；当机构信息发生变更时，自动提示是否同步更新关联报表数据，确保数据一致性。</w:t>
            </w:r>
          </w:p>
          <w:p w14:paraId="7D03FED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4.2.3.1.4.2状态反馈及预警</w:t>
            </w:r>
          </w:p>
          <w:p w14:paraId="1D54439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4.2.3.1.4.2.1实时提交反馈</w:t>
            </w:r>
          </w:p>
          <w:p w14:paraId="44B0D3D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提交数据后，系统立即进行格式校验与完整性检查，并实时反馈提交结果。若提交成功，显示“数据已成功提交，等待审批”；若存在格式错误或必填项未填，弹出详细错误提示，标注问题字段及修正建议，方便用户及时修改重新提交。</w:t>
            </w:r>
          </w:p>
          <w:p w14:paraId="4EBBA17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4.2.3.1.4.2.2审批进度跟踪</w:t>
            </w:r>
          </w:p>
          <w:p w14:paraId="0F2F361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在用户个人中心设置数据上报状态看板，以进度条等可视化形式展示数据审批进度。实时更新数据所处阶段，并显示当前处理人，让机构随时掌握数据动态。</w:t>
            </w:r>
          </w:p>
          <w:p w14:paraId="2139F51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4.2.3.1.4.2.3结果通知机制</w:t>
            </w:r>
          </w:p>
          <w:p w14:paraId="477CD8D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当数据审批未通过时，系统通过站内信、邮件等多渠道推送通知。通知详细说明未通过原因、修改要求及重新提交截止时间，同时在系统内标记需修改的数据项，便于机构针对性修订。</w:t>
            </w:r>
          </w:p>
          <w:p w14:paraId="1B9857C6">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4.2.3.1.4.2.4异常状态预警</w:t>
            </w:r>
          </w:p>
          <w:p w14:paraId="3E6C175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针对数据提交过程中的异常情况，系统自动记录并生成预警提示，对于重复提交的数据，提示用户已存在相同数据记录。</w:t>
            </w:r>
          </w:p>
          <w:p w14:paraId="53C7C788">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4.2.3.1.5优化前后功能对比清单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034"/>
              <w:gridCol w:w="1767"/>
              <w:gridCol w:w="1931"/>
              <w:gridCol w:w="2114"/>
            </w:tblGrid>
            <w:tr w14:paraId="3818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323E9A54">
                  <w:pPr>
                    <w:jc w:val="center"/>
                    <w:rPr>
                      <w:rFonts w:hint="eastAsia" w:ascii="仿宋" w:hAnsi="仿宋" w:eastAsia="仿宋" w:cs="仿宋"/>
                      <w:b/>
                      <w:bCs/>
                      <w:szCs w:val="21"/>
                    </w:rPr>
                  </w:pPr>
                  <w:r>
                    <w:rPr>
                      <w:rFonts w:hint="eastAsia" w:ascii="仿宋" w:hAnsi="仿宋" w:eastAsia="仿宋" w:cs="仿宋"/>
                      <w:b/>
                      <w:bCs/>
                      <w:szCs w:val="21"/>
                    </w:rPr>
                    <w:t>序号</w:t>
                  </w:r>
                </w:p>
              </w:tc>
              <w:tc>
                <w:tcPr>
                  <w:tcW w:w="3349" w:type="dxa"/>
                  <w:gridSpan w:val="2"/>
                  <w:vAlign w:val="center"/>
                </w:tcPr>
                <w:p w14:paraId="26B34DE7">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4943" w:type="dxa"/>
                  <w:gridSpan w:val="2"/>
                  <w:vAlign w:val="center"/>
                </w:tcPr>
                <w:p w14:paraId="47C05209">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5B6A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D24B807">
                  <w:pPr>
                    <w:rPr>
                      <w:rFonts w:hint="eastAsia" w:ascii="仿宋" w:hAnsi="仿宋" w:eastAsia="仿宋" w:cs="仿宋"/>
                      <w:szCs w:val="21"/>
                    </w:rPr>
                  </w:pPr>
                  <w:r>
                    <w:rPr>
                      <w:rFonts w:hint="eastAsia" w:ascii="仿宋" w:hAnsi="仿宋" w:eastAsia="仿宋" w:cs="仿宋"/>
                      <w:szCs w:val="21"/>
                    </w:rPr>
                    <w:t>1</w:t>
                  </w:r>
                </w:p>
              </w:tc>
              <w:tc>
                <w:tcPr>
                  <w:tcW w:w="1205" w:type="dxa"/>
                  <w:vMerge w:val="restart"/>
                  <w:vAlign w:val="center"/>
                </w:tcPr>
                <w:p w14:paraId="54B48C41">
                  <w:pPr>
                    <w:rPr>
                      <w:rFonts w:hint="eastAsia" w:ascii="仿宋" w:hAnsi="仿宋" w:eastAsia="仿宋" w:cs="仿宋"/>
                      <w:szCs w:val="21"/>
                    </w:rPr>
                  </w:pPr>
                  <w:r>
                    <w:rPr>
                      <w:rFonts w:hint="eastAsia" w:ascii="仿宋" w:hAnsi="仿宋" w:eastAsia="仿宋" w:cs="仿宋"/>
                      <w:szCs w:val="21"/>
                    </w:rPr>
                    <w:t>国家调查制度采集任务</w:t>
                  </w:r>
                </w:p>
              </w:tc>
              <w:tc>
                <w:tcPr>
                  <w:tcW w:w="2144" w:type="dxa"/>
                  <w:vAlign w:val="center"/>
                </w:tcPr>
                <w:p w14:paraId="2D757DCB">
                  <w:pPr>
                    <w:rPr>
                      <w:rFonts w:hint="eastAsia" w:ascii="仿宋" w:hAnsi="仿宋" w:eastAsia="仿宋" w:cs="仿宋"/>
                      <w:szCs w:val="21"/>
                    </w:rPr>
                  </w:pPr>
                  <w:r>
                    <w:rPr>
                      <w:rFonts w:hint="eastAsia" w:ascii="仿宋" w:hAnsi="仿宋" w:eastAsia="仿宋" w:cs="仿宋"/>
                      <w:szCs w:val="21"/>
                    </w:rPr>
                    <w:t>卫生资源与医疗服务报表</w:t>
                  </w:r>
                </w:p>
              </w:tc>
              <w:tc>
                <w:tcPr>
                  <w:tcW w:w="2354" w:type="dxa"/>
                  <w:vMerge w:val="restart"/>
                  <w:vAlign w:val="center"/>
                </w:tcPr>
                <w:p w14:paraId="0F67A8F8">
                  <w:pPr>
                    <w:rPr>
                      <w:rFonts w:hint="eastAsia" w:ascii="仿宋" w:hAnsi="仿宋" w:eastAsia="仿宋" w:cs="仿宋"/>
                      <w:szCs w:val="21"/>
                    </w:rPr>
                  </w:pPr>
                  <w:r>
                    <w:rPr>
                      <w:rFonts w:hint="eastAsia" w:ascii="仿宋" w:hAnsi="仿宋" w:eastAsia="仿宋" w:cs="仿宋"/>
                      <w:szCs w:val="21"/>
                    </w:rPr>
                    <w:t>国家调查制度采集任务</w:t>
                  </w:r>
                </w:p>
              </w:tc>
              <w:tc>
                <w:tcPr>
                  <w:tcW w:w="2589" w:type="dxa"/>
                  <w:vAlign w:val="center"/>
                </w:tcPr>
                <w:p w14:paraId="16C9EBDE">
                  <w:pPr>
                    <w:rPr>
                      <w:rFonts w:hint="eastAsia" w:ascii="仿宋" w:hAnsi="仿宋" w:eastAsia="仿宋" w:cs="仿宋"/>
                      <w:szCs w:val="21"/>
                    </w:rPr>
                  </w:pPr>
                  <w:r>
                    <w:rPr>
                      <w:rFonts w:hint="eastAsia" w:ascii="仿宋" w:hAnsi="仿宋" w:eastAsia="仿宋" w:cs="仿宋"/>
                      <w:szCs w:val="21"/>
                    </w:rPr>
                    <w:t>卫生资源与医疗服务报表</w:t>
                  </w:r>
                </w:p>
              </w:tc>
            </w:tr>
            <w:tr w14:paraId="527C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19DF5553">
                  <w:pPr>
                    <w:rPr>
                      <w:rFonts w:hint="eastAsia" w:ascii="仿宋" w:hAnsi="仿宋" w:eastAsia="仿宋" w:cs="仿宋"/>
                      <w:szCs w:val="21"/>
                    </w:rPr>
                  </w:pPr>
                  <w:r>
                    <w:rPr>
                      <w:rFonts w:hint="eastAsia" w:ascii="仿宋" w:hAnsi="仿宋" w:eastAsia="仿宋" w:cs="仿宋"/>
                      <w:szCs w:val="21"/>
                    </w:rPr>
                    <w:t>2</w:t>
                  </w:r>
                </w:p>
              </w:tc>
              <w:tc>
                <w:tcPr>
                  <w:tcW w:w="1205" w:type="dxa"/>
                  <w:vMerge w:val="continue"/>
                  <w:vAlign w:val="center"/>
                </w:tcPr>
                <w:p w14:paraId="27D9187C">
                  <w:pPr>
                    <w:rPr>
                      <w:rFonts w:hint="eastAsia" w:ascii="仿宋" w:hAnsi="仿宋" w:eastAsia="仿宋" w:cs="仿宋"/>
                      <w:szCs w:val="21"/>
                    </w:rPr>
                  </w:pPr>
                </w:p>
              </w:tc>
              <w:tc>
                <w:tcPr>
                  <w:tcW w:w="2144" w:type="dxa"/>
                  <w:vAlign w:val="center"/>
                </w:tcPr>
                <w:p w14:paraId="4E8D23E3">
                  <w:pPr>
                    <w:rPr>
                      <w:rFonts w:hint="eastAsia" w:ascii="仿宋" w:hAnsi="仿宋" w:eastAsia="仿宋" w:cs="仿宋"/>
                      <w:szCs w:val="21"/>
                    </w:rPr>
                  </w:pPr>
                  <w:r>
                    <w:rPr>
                      <w:rFonts w:hint="eastAsia" w:ascii="仿宋" w:hAnsi="仿宋" w:eastAsia="仿宋" w:cs="仿宋"/>
                      <w:szCs w:val="21"/>
                    </w:rPr>
                    <w:t>医养结合相关报表</w:t>
                  </w:r>
                </w:p>
              </w:tc>
              <w:tc>
                <w:tcPr>
                  <w:tcW w:w="2354" w:type="dxa"/>
                  <w:vMerge w:val="continue"/>
                  <w:vAlign w:val="center"/>
                </w:tcPr>
                <w:p w14:paraId="17A6A950">
                  <w:pPr>
                    <w:rPr>
                      <w:rFonts w:hint="eastAsia" w:ascii="仿宋" w:hAnsi="仿宋" w:eastAsia="仿宋" w:cs="仿宋"/>
                      <w:szCs w:val="21"/>
                    </w:rPr>
                  </w:pPr>
                </w:p>
              </w:tc>
              <w:tc>
                <w:tcPr>
                  <w:tcW w:w="2589" w:type="dxa"/>
                  <w:vAlign w:val="center"/>
                </w:tcPr>
                <w:p w14:paraId="6FBA207A">
                  <w:pPr>
                    <w:rPr>
                      <w:rFonts w:hint="eastAsia" w:ascii="仿宋" w:hAnsi="仿宋" w:eastAsia="仿宋" w:cs="仿宋"/>
                      <w:szCs w:val="21"/>
                    </w:rPr>
                  </w:pPr>
                  <w:r>
                    <w:rPr>
                      <w:rFonts w:hint="eastAsia" w:ascii="仿宋" w:hAnsi="仿宋" w:eastAsia="仿宋" w:cs="仿宋"/>
                      <w:szCs w:val="21"/>
                    </w:rPr>
                    <w:t>医养结合相关报表</w:t>
                  </w:r>
                </w:p>
              </w:tc>
            </w:tr>
            <w:tr w14:paraId="0D10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18F4BC44">
                  <w:pPr>
                    <w:rPr>
                      <w:rFonts w:hint="eastAsia" w:ascii="仿宋" w:hAnsi="仿宋" w:eastAsia="仿宋" w:cs="仿宋"/>
                      <w:szCs w:val="21"/>
                    </w:rPr>
                  </w:pPr>
                  <w:r>
                    <w:rPr>
                      <w:rFonts w:hint="eastAsia" w:ascii="仿宋" w:hAnsi="仿宋" w:eastAsia="仿宋" w:cs="仿宋"/>
                      <w:szCs w:val="21"/>
                    </w:rPr>
                    <w:t>3</w:t>
                  </w:r>
                </w:p>
              </w:tc>
              <w:tc>
                <w:tcPr>
                  <w:tcW w:w="1205" w:type="dxa"/>
                  <w:vMerge w:val="continue"/>
                  <w:vAlign w:val="center"/>
                </w:tcPr>
                <w:p w14:paraId="7FE734E5">
                  <w:pPr>
                    <w:rPr>
                      <w:rFonts w:hint="eastAsia" w:ascii="仿宋" w:hAnsi="仿宋" w:eastAsia="仿宋" w:cs="仿宋"/>
                      <w:szCs w:val="21"/>
                    </w:rPr>
                  </w:pPr>
                </w:p>
              </w:tc>
              <w:tc>
                <w:tcPr>
                  <w:tcW w:w="2144" w:type="dxa"/>
                  <w:vAlign w:val="center"/>
                </w:tcPr>
                <w:p w14:paraId="63E53E3C">
                  <w:pPr>
                    <w:rPr>
                      <w:rFonts w:hint="eastAsia" w:ascii="仿宋" w:hAnsi="仿宋" w:eastAsia="仿宋" w:cs="仿宋"/>
                      <w:szCs w:val="21"/>
                    </w:rPr>
                  </w:pPr>
                  <w:r>
                    <w:rPr>
                      <w:rFonts w:hint="eastAsia" w:ascii="仿宋" w:hAnsi="仿宋" w:eastAsia="仿宋" w:cs="仿宋"/>
                      <w:szCs w:val="21"/>
                    </w:rPr>
                    <w:t>老年人健康统计报表</w:t>
                  </w:r>
                </w:p>
              </w:tc>
              <w:tc>
                <w:tcPr>
                  <w:tcW w:w="2354" w:type="dxa"/>
                  <w:vMerge w:val="continue"/>
                  <w:vAlign w:val="center"/>
                </w:tcPr>
                <w:p w14:paraId="6C91662D">
                  <w:pPr>
                    <w:rPr>
                      <w:rFonts w:hint="eastAsia" w:ascii="仿宋" w:hAnsi="仿宋" w:eastAsia="仿宋" w:cs="仿宋"/>
                      <w:szCs w:val="21"/>
                    </w:rPr>
                  </w:pPr>
                </w:p>
              </w:tc>
              <w:tc>
                <w:tcPr>
                  <w:tcW w:w="2589" w:type="dxa"/>
                  <w:vAlign w:val="center"/>
                </w:tcPr>
                <w:p w14:paraId="2109B925">
                  <w:pPr>
                    <w:rPr>
                      <w:rFonts w:hint="eastAsia" w:ascii="仿宋" w:hAnsi="仿宋" w:eastAsia="仿宋" w:cs="仿宋"/>
                      <w:szCs w:val="21"/>
                    </w:rPr>
                  </w:pPr>
                  <w:r>
                    <w:rPr>
                      <w:rFonts w:hint="eastAsia" w:ascii="仿宋" w:hAnsi="仿宋" w:eastAsia="仿宋" w:cs="仿宋"/>
                      <w:szCs w:val="21"/>
                    </w:rPr>
                    <w:t>老年人健康统计报表</w:t>
                  </w:r>
                </w:p>
              </w:tc>
            </w:tr>
            <w:tr w14:paraId="0239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4F801EE6">
                  <w:pPr>
                    <w:rPr>
                      <w:rFonts w:hint="eastAsia" w:ascii="仿宋" w:hAnsi="仿宋" w:eastAsia="仿宋" w:cs="仿宋"/>
                      <w:szCs w:val="21"/>
                    </w:rPr>
                  </w:pPr>
                  <w:r>
                    <w:rPr>
                      <w:rFonts w:hint="eastAsia" w:ascii="仿宋" w:hAnsi="仿宋" w:eastAsia="仿宋" w:cs="仿宋"/>
                      <w:szCs w:val="21"/>
                    </w:rPr>
                    <w:t>4</w:t>
                  </w:r>
                </w:p>
              </w:tc>
              <w:tc>
                <w:tcPr>
                  <w:tcW w:w="1205" w:type="dxa"/>
                  <w:vAlign w:val="center"/>
                </w:tcPr>
                <w:p w14:paraId="012E3DD7">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6607243D">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restart"/>
                  <w:vAlign w:val="center"/>
                </w:tcPr>
                <w:p w14:paraId="3B062EC6">
                  <w:pPr>
                    <w:rPr>
                      <w:rFonts w:hint="eastAsia" w:ascii="仿宋" w:hAnsi="仿宋" w:eastAsia="仿宋" w:cs="仿宋"/>
                      <w:szCs w:val="21"/>
                    </w:rPr>
                  </w:pPr>
                  <w:r>
                    <w:rPr>
                      <w:rFonts w:hint="eastAsia" w:ascii="仿宋" w:hAnsi="仿宋" w:eastAsia="仿宋" w:cs="仿宋"/>
                      <w:szCs w:val="21"/>
                    </w:rPr>
                    <w:t>本地化调查采集任务</w:t>
                  </w:r>
                </w:p>
              </w:tc>
              <w:tc>
                <w:tcPr>
                  <w:tcW w:w="2589" w:type="dxa"/>
                  <w:vAlign w:val="center"/>
                </w:tcPr>
                <w:p w14:paraId="773D3579">
                  <w:pPr>
                    <w:rPr>
                      <w:rFonts w:hint="eastAsia" w:ascii="仿宋" w:hAnsi="仿宋" w:eastAsia="仿宋" w:cs="仿宋"/>
                      <w:szCs w:val="21"/>
                    </w:rPr>
                  </w:pPr>
                  <w:r>
                    <w:rPr>
                      <w:rFonts w:hint="eastAsia" w:ascii="仿宋" w:hAnsi="仿宋" w:eastAsia="仿宋" w:cs="仿宋"/>
                      <w:szCs w:val="21"/>
                    </w:rPr>
                    <w:t>门急诊电子病历报送任务</w:t>
                  </w:r>
                </w:p>
              </w:tc>
            </w:tr>
            <w:tr w14:paraId="4CA6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6BE92CE2">
                  <w:pPr>
                    <w:rPr>
                      <w:rFonts w:hint="eastAsia" w:ascii="仿宋" w:hAnsi="仿宋" w:eastAsia="仿宋" w:cs="仿宋"/>
                      <w:szCs w:val="21"/>
                    </w:rPr>
                  </w:pPr>
                  <w:r>
                    <w:rPr>
                      <w:rFonts w:hint="eastAsia" w:ascii="仿宋" w:hAnsi="仿宋" w:eastAsia="仿宋" w:cs="仿宋"/>
                      <w:szCs w:val="21"/>
                    </w:rPr>
                    <w:t>5</w:t>
                  </w:r>
                </w:p>
              </w:tc>
              <w:tc>
                <w:tcPr>
                  <w:tcW w:w="1205" w:type="dxa"/>
                  <w:vAlign w:val="center"/>
                </w:tcPr>
                <w:p w14:paraId="6B6BBD28">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1F449D65">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2656FAE4">
                  <w:pPr>
                    <w:rPr>
                      <w:rFonts w:hint="eastAsia" w:ascii="仿宋" w:hAnsi="仿宋" w:eastAsia="仿宋" w:cs="仿宋"/>
                      <w:szCs w:val="21"/>
                    </w:rPr>
                  </w:pPr>
                </w:p>
              </w:tc>
              <w:tc>
                <w:tcPr>
                  <w:tcW w:w="2589" w:type="dxa"/>
                  <w:vAlign w:val="center"/>
                </w:tcPr>
                <w:p w14:paraId="71E3D671">
                  <w:pPr>
                    <w:rPr>
                      <w:rFonts w:hint="eastAsia" w:ascii="仿宋" w:hAnsi="仿宋" w:eastAsia="仿宋" w:cs="仿宋"/>
                      <w:szCs w:val="21"/>
                    </w:rPr>
                  </w:pPr>
                  <w:r>
                    <w:rPr>
                      <w:rFonts w:hint="eastAsia" w:ascii="仿宋" w:hAnsi="仿宋" w:eastAsia="仿宋" w:cs="仿宋"/>
                      <w:szCs w:val="21"/>
                    </w:rPr>
                    <w:t>住院病案首页报送任务</w:t>
                  </w:r>
                </w:p>
              </w:tc>
            </w:tr>
            <w:tr w14:paraId="0EDD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2CF61A8A">
                  <w:pPr>
                    <w:rPr>
                      <w:rFonts w:hint="eastAsia" w:ascii="仿宋" w:hAnsi="仿宋" w:eastAsia="仿宋" w:cs="仿宋"/>
                      <w:szCs w:val="21"/>
                    </w:rPr>
                  </w:pPr>
                  <w:r>
                    <w:rPr>
                      <w:rFonts w:hint="eastAsia" w:ascii="仿宋" w:hAnsi="仿宋" w:eastAsia="仿宋" w:cs="仿宋"/>
                      <w:szCs w:val="21"/>
                    </w:rPr>
                    <w:t>6</w:t>
                  </w:r>
                </w:p>
              </w:tc>
              <w:tc>
                <w:tcPr>
                  <w:tcW w:w="1205" w:type="dxa"/>
                  <w:vAlign w:val="center"/>
                </w:tcPr>
                <w:p w14:paraId="7864F433">
                  <w:pPr>
                    <w:jc w:val="center"/>
                    <w:rPr>
                      <w:rFonts w:hint="eastAsia" w:ascii="仿宋" w:hAnsi="仿宋" w:eastAsia="仿宋" w:cs="仿宋"/>
                      <w:szCs w:val="21"/>
                    </w:rPr>
                  </w:pPr>
                </w:p>
              </w:tc>
              <w:tc>
                <w:tcPr>
                  <w:tcW w:w="2144" w:type="dxa"/>
                  <w:vAlign w:val="center"/>
                </w:tcPr>
                <w:p w14:paraId="53F94116">
                  <w:pPr>
                    <w:jc w:val="center"/>
                    <w:rPr>
                      <w:rFonts w:hint="eastAsia" w:ascii="仿宋" w:hAnsi="仿宋" w:eastAsia="仿宋" w:cs="仿宋"/>
                      <w:szCs w:val="21"/>
                    </w:rPr>
                  </w:pPr>
                </w:p>
              </w:tc>
              <w:tc>
                <w:tcPr>
                  <w:tcW w:w="2354" w:type="dxa"/>
                  <w:vMerge w:val="continue"/>
                  <w:vAlign w:val="center"/>
                </w:tcPr>
                <w:p w14:paraId="1C42CCE0">
                  <w:pPr>
                    <w:rPr>
                      <w:rFonts w:hint="eastAsia" w:ascii="仿宋" w:hAnsi="仿宋" w:eastAsia="仿宋" w:cs="仿宋"/>
                      <w:szCs w:val="21"/>
                    </w:rPr>
                  </w:pPr>
                </w:p>
              </w:tc>
              <w:tc>
                <w:tcPr>
                  <w:tcW w:w="2589" w:type="dxa"/>
                  <w:vAlign w:val="center"/>
                </w:tcPr>
                <w:p w14:paraId="49BA65B9">
                  <w:pPr>
                    <w:rPr>
                      <w:rFonts w:hint="eastAsia" w:ascii="仿宋" w:hAnsi="仿宋" w:eastAsia="仿宋" w:cs="仿宋"/>
                      <w:szCs w:val="21"/>
                    </w:rPr>
                  </w:pPr>
                  <w:r>
                    <w:rPr>
                      <w:rFonts w:hint="eastAsia" w:ascii="仿宋" w:hAnsi="仿宋" w:eastAsia="仿宋" w:cs="仿宋"/>
                      <w:szCs w:val="21"/>
                    </w:rPr>
                    <w:t>药品监测采集集成</w:t>
                  </w:r>
                </w:p>
              </w:tc>
            </w:tr>
            <w:tr w14:paraId="501B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57326CEE">
                  <w:pPr>
                    <w:rPr>
                      <w:rFonts w:hint="eastAsia" w:ascii="仿宋" w:hAnsi="仿宋" w:eastAsia="仿宋" w:cs="仿宋"/>
                      <w:szCs w:val="21"/>
                    </w:rPr>
                  </w:pPr>
                  <w:r>
                    <w:rPr>
                      <w:rFonts w:hint="eastAsia" w:ascii="仿宋" w:hAnsi="仿宋" w:eastAsia="仿宋" w:cs="仿宋"/>
                      <w:szCs w:val="21"/>
                    </w:rPr>
                    <w:t>7</w:t>
                  </w:r>
                </w:p>
              </w:tc>
              <w:tc>
                <w:tcPr>
                  <w:tcW w:w="1205" w:type="dxa"/>
                  <w:vAlign w:val="center"/>
                </w:tcPr>
                <w:p w14:paraId="4489CD0A">
                  <w:pPr>
                    <w:jc w:val="center"/>
                    <w:rPr>
                      <w:rFonts w:hint="eastAsia" w:ascii="仿宋" w:hAnsi="仿宋" w:eastAsia="仿宋" w:cs="仿宋"/>
                      <w:szCs w:val="21"/>
                    </w:rPr>
                  </w:pPr>
                </w:p>
              </w:tc>
              <w:tc>
                <w:tcPr>
                  <w:tcW w:w="2144" w:type="dxa"/>
                  <w:vAlign w:val="center"/>
                </w:tcPr>
                <w:p w14:paraId="758BC5A8">
                  <w:pPr>
                    <w:jc w:val="center"/>
                    <w:rPr>
                      <w:rFonts w:hint="eastAsia" w:ascii="仿宋" w:hAnsi="仿宋" w:eastAsia="仿宋" w:cs="仿宋"/>
                      <w:szCs w:val="21"/>
                    </w:rPr>
                  </w:pPr>
                </w:p>
              </w:tc>
              <w:tc>
                <w:tcPr>
                  <w:tcW w:w="2354" w:type="dxa"/>
                  <w:vMerge w:val="continue"/>
                  <w:vAlign w:val="center"/>
                </w:tcPr>
                <w:p w14:paraId="0E2AB3BF">
                  <w:pPr>
                    <w:rPr>
                      <w:rFonts w:hint="eastAsia" w:ascii="仿宋" w:hAnsi="仿宋" w:eastAsia="仿宋" w:cs="仿宋"/>
                      <w:szCs w:val="21"/>
                    </w:rPr>
                  </w:pPr>
                </w:p>
              </w:tc>
              <w:tc>
                <w:tcPr>
                  <w:tcW w:w="2589" w:type="dxa"/>
                  <w:vAlign w:val="center"/>
                </w:tcPr>
                <w:p w14:paraId="173E67A7">
                  <w:pPr>
                    <w:rPr>
                      <w:rFonts w:hint="eastAsia" w:ascii="仿宋" w:hAnsi="仿宋" w:eastAsia="仿宋" w:cs="仿宋"/>
                      <w:szCs w:val="21"/>
                    </w:rPr>
                  </w:pPr>
                  <w:r>
                    <w:rPr>
                      <w:rFonts w:hint="eastAsia" w:ascii="仿宋" w:hAnsi="仿宋" w:eastAsia="仿宋" w:cs="仿宋"/>
                      <w:szCs w:val="21"/>
                    </w:rPr>
                    <w:t>大型设备任务</w:t>
                  </w:r>
                </w:p>
              </w:tc>
            </w:tr>
            <w:tr w14:paraId="468D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3DA06047">
                  <w:pPr>
                    <w:rPr>
                      <w:rFonts w:hint="eastAsia" w:ascii="仿宋" w:hAnsi="仿宋" w:eastAsia="仿宋" w:cs="仿宋"/>
                      <w:szCs w:val="21"/>
                    </w:rPr>
                  </w:pPr>
                  <w:r>
                    <w:rPr>
                      <w:rFonts w:hint="eastAsia" w:ascii="仿宋" w:hAnsi="仿宋" w:eastAsia="仿宋" w:cs="仿宋"/>
                      <w:szCs w:val="21"/>
                    </w:rPr>
                    <w:t>8</w:t>
                  </w:r>
                </w:p>
              </w:tc>
              <w:tc>
                <w:tcPr>
                  <w:tcW w:w="1205" w:type="dxa"/>
                  <w:vAlign w:val="center"/>
                </w:tcPr>
                <w:p w14:paraId="4C9A4A3A">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561E6305">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66C98963">
                  <w:pPr>
                    <w:rPr>
                      <w:rFonts w:hint="eastAsia" w:ascii="仿宋" w:hAnsi="仿宋" w:eastAsia="仿宋" w:cs="仿宋"/>
                      <w:szCs w:val="21"/>
                    </w:rPr>
                  </w:pPr>
                </w:p>
              </w:tc>
              <w:tc>
                <w:tcPr>
                  <w:tcW w:w="2589" w:type="dxa"/>
                  <w:vAlign w:val="center"/>
                </w:tcPr>
                <w:p w14:paraId="5CA87B3F">
                  <w:pPr>
                    <w:rPr>
                      <w:rFonts w:hint="eastAsia" w:ascii="仿宋" w:hAnsi="仿宋" w:eastAsia="仿宋" w:cs="仿宋"/>
                      <w:szCs w:val="21"/>
                    </w:rPr>
                  </w:pPr>
                  <w:r>
                    <w:rPr>
                      <w:rFonts w:hint="eastAsia" w:ascii="仿宋" w:hAnsi="仿宋" w:eastAsia="仿宋" w:cs="仿宋"/>
                      <w:szCs w:val="21"/>
                    </w:rPr>
                    <w:t>设备表任务接口</w:t>
                  </w:r>
                </w:p>
              </w:tc>
            </w:tr>
            <w:tr w14:paraId="0C11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2BADEB37">
                  <w:pPr>
                    <w:rPr>
                      <w:rFonts w:hint="eastAsia" w:ascii="仿宋" w:hAnsi="仿宋" w:eastAsia="仿宋" w:cs="仿宋"/>
                      <w:szCs w:val="21"/>
                    </w:rPr>
                  </w:pPr>
                  <w:r>
                    <w:rPr>
                      <w:rFonts w:hint="eastAsia" w:ascii="仿宋" w:hAnsi="仿宋" w:eastAsia="仿宋" w:cs="仿宋"/>
                      <w:szCs w:val="21"/>
                    </w:rPr>
                    <w:t>9</w:t>
                  </w:r>
                </w:p>
              </w:tc>
              <w:tc>
                <w:tcPr>
                  <w:tcW w:w="1205" w:type="dxa"/>
                  <w:vAlign w:val="center"/>
                </w:tcPr>
                <w:p w14:paraId="4A256510">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17A2E69D">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5F75D9AB">
                  <w:pPr>
                    <w:rPr>
                      <w:rFonts w:hint="eastAsia" w:ascii="仿宋" w:hAnsi="仿宋" w:eastAsia="仿宋" w:cs="仿宋"/>
                      <w:szCs w:val="21"/>
                    </w:rPr>
                  </w:pPr>
                </w:p>
              </w:tc>
              <w:tc>
                <w:tcPr>
                  <w:tcW w:w="2589" w:type="dxa"/>
                  <w:vAlign w:val="center"/>
                </w:tcPr>
                <w:p w14:paraId="472C5DA5">
                  <w:pPr>
                    <w:rPr>
                      <w:rFonts w:hint="eastAsia" w:ascii="仿宋" w:hAnsi="仿宋" w:eastAsia="仿宋" w:cs="仿宋"/>
                      <w:szCs w:val="21"/>
                    </w:rPr>
                  </w:pPr>
                  <w:r>
                    <w:rPr>
                      <w:rFonts w:hint="eastAsia" w:ascii="仿宋" w:hAnsi="仿宋" w:eastAsia="仿宋" w:cs="仿宋"/>
                      <w:szCs w:val="21"/>
                    </w:rPr>
                    <w:t>预留其他本地化调查任务</w:t>
                  </w:r>
                </w:p>
              </w:tc>
            </w:tr>
            <w:tr w14:paraId="2437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135D3C98">
                  <w:pPr>
                    <w:rPr>
                      <w:rFonts w:hint="eastAsia" w:ascii="仿宋" w:hAnsi="仿宋" w:eastAsia="仿宋" w:cs="仿宋"/>
                      <w:szCs w:val="21"/>
                    </w:rPr>
                  </w:pPr>
                  <w:r>
                    <w:rPr>
                      <w:rFonts w:hint="eastAsia" w:ascii="仿宋" w:hAnsi="仿宋" w:eastAsia="仿宋" w:cs="仿宋"/>
                      <w:szCs w:val="21"/>
                    </w:rPr>
                    <w:t>10</w:t>
                  </w:r>
                </w:p>
              </w:tc>
              <w:tc>
                <w:tcPr>
                  <w:tcW w:w="1205" w:type="dxa"/>
                  <w:vAlign w:val="center"/>
                </w:tcPr>
                <w:p w14:paraId="7AEA5E25">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0C2AA3DC">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restart"/>
                  <w:vAlign w:val="center"/>
                </w:tcPr>
                <w:p w14:paraId="5ADCF07C">
                  <w:pPr>
                    <w:rPr>
                      <w:rFonts w:hint="eastAsia" w:ascii="仿宋" w:hAnsi="仿宋" w:eastAsia="仿宋" w:cs="仿宋"/>
                      <w:szCs w:val="21"/>
                    </w:rPr>
                  </w:pPr>
                  <w:r>
                    <w:rPr>
                      <w:rFonts w:hint="eastAsia" w:ascii="仿宋" w:hAnsi="仿宋" w:eastAsia="仿宋" w:cs="仿宋"/>
                      <w:szCs w:val="21"/>
                    </w:rPr>
                    <w:t>临时调查采集任务</w:t>
                  </w:r>
                </w:p>
              </w:tc>
              <w:tc>
                <w:tcPr>
                  <w:tcW w:w="2589" w:type="dxa"/>
                  <w:vAlign w:val="center"/>
                </w:tcPr>
                <w:p w14:paraId="69029C69">
                  <w:pPr>
                    <w:rPr>
                      <w:rFonts w:hint="eastAsia" w:ascii="仿宋" w:hAnsi="仿宋" w:eastAsia="仿宋" w:cs="仿宋"/>
                      <w:szCs w:val="21"/>
                    </w:rPr>
                  </w:pPr>
                  <w:r>
                    <w:rPr>
                      <w:rFonts w:hint="eastAsia" w:ascii="仿宋" w:hAnsi="仿宋" w:eastAsia="仿宋" w:cs="仿宋"/>
                      <w:szCs w:val="21"/>
                    </w:rPr>
                    <w:t>一次性问卷</w:t>
                  </w:r>
                </w:p>
              </w:tc>
            </w:tr>
            <w:tr w14:paraId="68F6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7B7A3DB6">
                  <w:pPr>
                    <w:rPr>
                      <w:rFonts w:hint="eastAsia" w:ascii="仿宋" w:hAnsi="仿宋" w:eastAsia="仿宋" w:cs="仿宋"/>
                      <w:szCs w:val="21"/>
                    </w:rPr>
                  </w:pPr>
                  <w:r>
                    <w:rPr>
                      <w:rFonts w:hint="eastAsia" w:ascii="仿宋" w:hAnsi="仿宋" w:eastAsia="仿宋" w:cs="仿宋"/>
                      <w:szCs w:val="21"/>
                    </w:rPr>
                    <w:t>11</w:t>
                  </w:r>
                </w:p>
              </w:tc>
              <w:tc>
                <w:tcPr>
                  <w:tcW w:w="1205" w:type="dxa"/>
                  <w:vAlign w:val="center"/>
                </w:tcPr>
                <w:p w14:paraId="1B9E5758">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248997EC">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4D96011D">
                  <w:pPr>
                    <w:rPr>
                      <w:rFonts w:hint="eastAsia" w:ascii="仿宋" w:hAnsi="仿宋" w:eastAsia="仿宋" w:cs="仿宋"/>
                      <w:szCs w:val="21"/>
                    </w:rPr>
                  </w:pPr>
                </w:p>
              </w:tc>
              <w:tc>
                <w:tcPr>
                  <w:tcW w:w="2589" w:type="dxa"/>
                  <w:vAlign w:val="center"/>
                </w:tcPr>
                <w:p w14:paraId="0EB5A136">
                  <w:pPr>
                    <w:rPr>
                      <w:rFonts w:hint="eastAsia" w:ascii="仿宋" w:hAnsi="仿宋" w:eastAsia="仿宋" w:cs="仿宋"/>
                      <w:szCs w:val="21"/>
                    </w:rPr>
                  </w:pPr>
                  <w:r>
                    <w:rPr>
                      <w:rFonts w:hint="eastAsia" w:ascii="仿宋" w:hAnsi="仿宋" w:eastAsia="仿宋" w:cs="仿宋"/>
                      <w:szCs w:val="21"/>
                    </w:rPr>
                    <w:t>一次性报表</w:t>
                  </w:r>
                </w:p>
              </w:tc>
            </w:tr>
            <w:tr w14:paraId="6EA6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4B52713A">
                  <w:pPr>
                    <w:rPr>
                      <w:rFonts w:hint="eastAsia" w:ascii="仿宋" w:hAnsi="仿宋" w:eastAsia="仿宋" w:cs="仿宋"/>
                      <w:szCs w:val="21"/>
                    </w:rPr>
                  </w:pPr>
                  <w:r>
                    <w:rPr>
                      <w:rFonts w:hint="eastAsia" w:ascii="仿宋" w:hAnsi="仿宋" w:eastAsia="仿宋" w:cs="仿宋"/>
                      <w:szCs w:val="21"/>
                    </w:rPr>
                    <w:t>12</w:t>
                  </w:r>
                </w:p>
              </w:tc>
              <w:tc>
                <w:tcPr>
                  <w:tcW w:w="1205" w:type="dxa"/>
                  <w:vAlign w:val="center"/>
                </w:tcPr>
                <w:p w14:paraId="34CE98BC">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74C635E4">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730E649C">
                  <w:pPr>
                    <w:rPr>
                      <w:rFonts w:hint="eastAsia" w:ascii="仿宋" w:hAnsi="仿宋" w:eastAsia="仿宋" w:cs="仿宋"/>
                      <w:szCs w:val="21"/>
                    </w:rPr>
                  </w:pPr>
                </w:p>
              </w:tc>
              <w:tc>
                <w:tcPr>
                  <w:tcW w:w="2589" w:type="dxa"/>
                  <w:vAlign w:val="center"/>
                </w:tcPr>
                <w:p w14:paraId="0A36AD63">
                  <w:pPr>
                    <w:rPr>
                      <w:rFonts w:hint="eastAsia" w:ascii="仿宋" w:hAnsi="仿宋" w:eastAsia="仿宋" w:cs="仿宋"/>
                      <w:szCs w:val="21"/>
                    </w:rPr>
                  </w:pPr>
                  <w:r>
                    <w:rPr>
                      <w:rFonts w:hint="eastAsia" w:ascii="仿宋" w:hAnsi="仿宋" w:eastAsia="仿宋" w:cs="仿宋"/>
                      <w:szCs w:val="21"/>
                    </w:rPr>
                    <w:t>阶段性报表</w:t>
                  </w:r>
                </w:p>
              </w:tc>
            </w:tr>
            <w:tr w14:paraId="0A0A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7DF3738D">
                  <w:pPr>
                    <w:rPr>
                      <w:rFonts w:hint="eastAsia" w:ascii="仿宋" w:hAnsi="仿宋" w:eastAsia="仿宋" w:cs="仿宋"/>
                      <w:szCs w:val="21"/>
                    </w:rPr>
                  </w:pPr>
                  <w:r>
                    <w:rPr>
                      <w:rFonts w:hint="eastAsia" w:ascii="仿宋" w:hAnsi="仿宋" w:eastAsia="仿宋" w:cs="仿宋"/>
                      <w:szCs w:val="21"/>
                    </w:rPr>
                    <w:t>13</w:t>
                  </w:r>
                </w:p>
              </w:tc>
              <w:tc>
                <w:tcPr>
                  <w:tcW w:w="1205" w:type="dxa"/>
                  <w:vAlign w:val="center"/>
                </w:tcPr>
                <w:p w14:paraId="7FA4D9BC">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724208B1">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restart"/>
                  <w:vAlign w:val="center"/>
                </w:tcPr>
                <w:p w14:paraId="6A5450D4">
                  <w:pPr>
                    <w:rPr>
                      <w:rFonts w:hint="eastAsia" w:ascii="仿宋" w:hAnsi="仿宋" w:eastAsia="仿宋" w:cs="仿宋"/>
                      <w:szCs w:val="21"/>
                    </w:rPr>
                  </w:pPr>
                  <w:r>
                    <w:rPr>
                      <w:rFonts w:hint="eastAsia" w:ascii="仿宋" w:hAnsi="仿宋" w:eastAsia="仿宋" w:cs="仿宋"/>
                      <w:szCs w:val="21"/>
                    </w:rPr>
                    <w:t>直报数据抽查评审</w:t>
                  </w:r>
                </w:p>
              </w:tc>
              <w:tc>
                <w:tcPr>
                  <w:tcW w:w="2589" w:type="dxa"/>
                  <w:vAlign w:val="center"/>
                </w:tcPr>
                <w:p w14:paraId="3FADCFD3">
                  <w:pPr>
                    <w:rPr>
                      <w:rFonts w:hint="eastAsia" w:ascii="仿宋" w:hAnsi="仿宋" w:eastAsia="仿宋" w:cs="仿宋"/>
                      <w:szCs w:val="21"/>
                    </w:rPr>
                  </w:pPr>
                  <w:r>
                    <w:rPr>
                      <w:rFonts w:hint="eastAsia" w:ascii="仿宋" w:hAnsi="仿宋" w:eastAsia="仿宋" w:cs="仿宋"/>
                      <w:szCs w:val="21"/>
                    </w:rPr>
                    <w:t>抽查规则配置</w:t>
                  </w:r>
                </w:p>
              </w:tc>
            </w:tr>
            <w:tr w14:paraId="2F96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54B585B7">
                  <w:pPr>
                    <w:rPr>
                      <w:rFonts w:hint="eastAsia" w:ascii="仿宋" w:hAnsi="仿宋" w:eastAsia="仿宋" w:cs="仿宋"/>
                      <w:szCs w:val="21"/>
                    </w:rPr>
                  </w:pPr>
                  <w:r>
                    <w:rPr>
                      <w:rFonts w:hint="eastAsia" w:ascii="仿宋" w:hAnsi="仿宋" w:eastAsia="仿宋" w:cs="仿宋"/>
                      <w:szCs w:val="21"/>
                    </w:rPr>
                    <w:t>14</w:t>
                  </w:r>
                </w:p>
              </w:tc>
              <w:tc>
                <w:tcPr>
                  <w:tcW w:w="1205" w:type="dxa"/>
                  <w:vAlign w:val="center"/>
                </w:tcPr>
                <w:p w14:paraId="52D79718">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33CC56DA">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412CA896">
                  <w:pPr>
                    <w:rPr>
                      <w:rFonts w:hint="eastAsia" w:ascii="仿宋" w:hAnsi="仿宋" w:eastAsia="仿宋" w:cs="仿宋"/>
                      <w:szCs w:val="21"/>
                    </w:rPr>
                  </w:pPr>
                </w:p>
              </w:tc>
              <w:tc>
                <w:tcPr>
                  <w:tcW w:w="2589" w:type="dxa"/>
                  <w:vAlign w:val="center"/>
                </w:tcPr>
                <w:p w14:paraId="694C4F97">
                  <w:pPr>
                    <w:rPr>
                      <w:rFonts w:hint="eastAsia" w:ascii="仿宋" w:hAnsi="仿宋" w:eastAsia="仿宋" w:cs="仿宋"/>
                      <w:szCs w:val="21"/>
                    </w:rPr>
                  </w:pPr>
                  <w:r>
                    <w:rPr>
                      <w:rFonts w:hint="eastAsia" w:ascii="仿宋" w:hAnsi="仿宋" w:eastAsia="仿宋" w:cs="仿宋"/>
                      <w:szCs w:val="21"/>
                    </w:rPr>
                    <w:t>抽查任务下发与通知</w:t>
                  </w:r>
                </w:p>
              </w:tc>
            </w:tr>
            <w:tr w14:paraId="6B0F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349C7B33">
                  <w:pPr>
                    <w:rPr>
                      <w:rFonts w:hint="eastAsia" w:ascii="仿宋" w:hAnsi="仿宋" w:eastAsia="仿宋" w:cs="仿宋"/>
                      <w:szCs w:val="21"/>
                    </w:rPr>
                  </w:pPr>
                  <w:r>
                    <w:rPr>
                      <w:rFonts w:hint="eastAsia" w:ascii="仿宋" w:hAnsi="仿宋" w:eastAsia="仿宋" w:cs="仿宋"/>
                      <w:szCs w:val="21"/>
                    </w:rPr>
                    <w:t>15</w:t>
                  </w:r>
                </w:p>
              </w:tc>
              <w:tc>
                <w:tcPr>
                  <w:tcW w:w="1205" w:type="dxa"/>
                  <w:vAlign w:val="center"/>
                </w:tcPr>
                <w:p w14:paraId="722F2ECA">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1722DE5E">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2FB96DAD">
                  <w:pPr>
                    <w:rPr>
                      <w:rFonts w:hint="eastAsia" w:ascii="仿宋" w:hAnsi="仿宋" w:eastAsia="仿宋" w:cs="仿宋"/>
                      <w:szCs w:val="21"/>
                    </w:rPr>
                  </w:pPr>
                </w:p>
              </w:tc>
              <w:tc>
                <w:tcPr>
                  <w:tcW w:w="2589" w:type="dxa"/>
                  <w:vAlign w:val="center"/>
                </w:tcPr>
                <w:p w14:paraId="77B16228">
                  <w:pPr>
                    <w:rPr>
                      <w:rFonts w:hint="eastAsia" w:ascii="仿宋" w:hAnsi="仿宋" w:eastAsia="仿宋" w:cs="仿宋"/>
                      <w:szCs w:val="21"/>
                    </w:rPr>
                  </w:pPr>
                  <w:r>
                    <w:rPr>
                      <w:rFonts w:hint="eastAsia" w:ascii="仿宋" w:hAnsi="仿宋" w:eastAsia="仿宋" w:cs="仿宋"/>
                      <w:szCs w:val="21"/>
                    </w:rPr>
                    <w:t>机构填报佐证</w:t>
                  </w:r>
                </w:p>
              </w:tc>
            </w:tr>
            <w:tr w14:paraId="6C1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4F214487">
                  <w:pPr>
                    <w:rPr>
                      <w:rFonts w:hint="eastAsia" w:ascii="仿宋" w:hAnsi="仿宋" w:eastAsia="仿宋" w:cs="仿宋"/>
                      <w:szCs w:val="21"/>
                    </w:rPr>
                  </w:pPr>
                  <w:r>
                    <w:rPr>
                      <w:rFonts w:hint="eastAsia" w:ascii="仿宋" w:hAnsi="仿宋" w:eastAsia="仿宋" w:cs="仿宋"/>
                      <w:szCs w:val="21"/>
                    </w:rPr>
                    <w:t>16</w:t>
                  </w:r>
                </w:p>
              </w:tc>
              <w:tc>
                <w:tcPr>
                  <w:tcW w:w="1205" w:type="dxa"/>
                  <w:vAlign w:val="center"/>
                </w:tcPr>
                <w:p w14:paraId="4A4ED0AD">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4CA84A53">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6F3824F2">
                  <w:pPr>
                    <w:rPr>
                      <w:rFonts w:hint="eastAsia" w:ascii="仿宋" w:hAnsi="仿宋" w:eastAsia="仿宋" w:cs="仿宋"/>
                      <w:szCs w:val="21"/>
                    </w:rPr>
                  </w:pPr>
                </w:p>
              </w:tc>
              <w:tc>
                <w:tcPr>
                  <w:tcW w:w="2589" w:type="dxa"/>
                  <w:vAlign w:val="center"/>
                </w:tcPr>
                <w:p w14:paraId="57EE4D1A">
                  <w:pPr>
                    <w:rPr>
                      <w:rFonts w:hint="eastAsia" w:ascii="仿宋" w:hAnsi="仿宋" w:eastAsia="仿宋" w:cs="仿宋"/>
                      <w:szCs w:val="21"/>
                    </w:rPr>
                  </w:pPr>
                  <w:r>
                    <w:rPr>
                      <w:rFonts w:hint="eastAsia" w:ascii="仿宋" w:hAnsi="仿宋" w:eastAsia="仿宋" w:cs="仿宋"/>
                      <w:szCs w:val="21"/>
                    </w:rPr>
                    <w:t>专家评审反馈</w:t>
                  </w:r>
                </w:p>
              </w:tc>
            </w:tr>
            <w:tr w14:paraId="6DF0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58F91480">
                  <w:pPr>
                    <w:rPr>
                      <w:rFonts w:hint="eastAsia" w:ascii="仿宋" w:hAnsi="仿宋" w:eastAsia="仿宋" w:cs="仿宋"/>
                      <w:szCs w:val="21"/>
                    </w:rPr>
                  </w:pPr>
                  <w:r>
                    <w:rPr>
                      <w:rFonts w:hint="eastAsia" w:ascii="仿宋" w:hAnsi="仿宋" w:eastAsia="仿宋" w:cs="仿宋"/>
                      <w:szCs w:val="21"/>
                    </w:rPr>
                    <w:t>17</w:t>
                  </w:r>
                </w:p>
              </w:tc>
              <w:tc>
                <w:tcPr>
                  <w:tcW w:w="1205" w:type="dxa"/>
                  <w:vAlign w:val="center"/>
                </w:tcPr>
                <w:p w14:paraId="66945687">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63C865B0">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restart"/>
                  <w:vAlign w:val="center"/>
                </w:tcPr>
                <w:p w14:paraId="19F1F951">
                  <w:pPr>
                    <w:rPr>
                      <w:rFonts w:hint="eastAsia" w:ascii="仿宋" w:hAnsi="仿宋" w:eastAsia="仿宋" w:cs="仿宋"/>
                      <w:szCs w:val="21"/>
                    </w:rPr>
                  </w:pPr>
                  <w:r>
                    <w:rPr>
                      <w:rFonts w:hint="eastAsia" w:ascii="仿宋" w:hAnsi="仿宋" w:eastAsia="仿宋" w:cs="仿宋"/>
                      <w:szCs w:val="21"/>
                    </w:rPr>
                    <w:t>历史数据留存</w:t>
                  </w:r>
                </w:p>
              </w:tc>
              <w:tc>
                <w:tcPr>
                  <w:tcW w:w="2589" w:type="dxa"/>
                  <w:vAlign w:val="center"/>
                </w:tcPr>
                <w:p w14:paraId="72F64CDF">
                  <w:pPr>
                    <w:rPr>
                      <w:rFonts w:hint="eastAsia" w:ascii="仿宋" w:hAnsi="仿宋" w:eastAsia="仿宋" w:cs="仿宋"/>
                      <w:szCs w:val="21"/>
                    </w:rPr>
                  </w:pPr>
                  <w:r>
                    <w:rPr>
                      <w:rFonts w:hint="eastAsia" w:ascii="仿宋" w:hAnsi="仿宋" w:eastAsia="仿宋" w:cs="仿宋"/>
                      <w:szCs w:val="21"/>
                    </w:rPr>
                    <w:t>数据存档机制设计</w:t>
                  </w:r>
                </w:p>
              </w:tc>
            </w:tr>
            <w:tr w14:paraId="5AE6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2D2C10E6">
                  <w:pPr>
                    <w:rPr>
                      <w:rFonts w:hint="eastAsia" w:ascii="仿宋" w:hAnsi="仿宋" w:eastAsia="仿宋" w:cs="仿宋"/>
                      <w:szCs w:val="21"/>
                    </w:rPr>
                  </w:pPr>
                  <w:r>
                    <w:rPr>
                      <w:rFonts w:hint="eastAsia" w:ascii="仿宋" w:hAnsi="仿宋" w:eastAsia="仿宋" w:cs="仿宋"/>
                      <w:szCs w:val="21"/>
                    </w:rPr>
                    <w:t>18</w:t>
                  </w:r>
                </w:p>
              </w:tc>
              <w:tc>
                <w:tcPr>
                  <w:tcW w:w="1205" w:type="dxa"/>
                  <w:vAlign w:val="center"/>
                </w:tcPr>
                <w:p w14:paraId="0E9121B2">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70C670D8">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07E3FDBE">
                  <w:pPr>
                    <w:rPr>
                      <w:rFonts w:hint="eastAsia" w:ascii="仿宋" w:hAnsi="仿宋" w:eastAsia="仿宋" w:cs="仿宋"/>
                      <w:szCs w:val="21"/>
                    </w:rPr>
                  </w:pPr>
                </w:p>
              </w:tc>
              <w:tc>
                <w:tcPr>
                  <w:tcW w:w="2589" w:type="dxa"/>
                  <w:vAlign w:val="center"/>
                </w:tcPr>
                <w:p w14:paraId="508A0B75">
                  <w:pPr>
                    <w:rPr>
                      <w:rFonts w:hint="eastAsia" w:ascii="仿宋" w:hAnsi="仿宋" w:eastAsia="仿宋" w:cs="仿宋"/>
                      <w:szCs w:val="21"/>
                    </w:rPr>
                  </w:pPr>
                  <w:r>
                    <w:rPr>
                      <w:rFonts w:hint="eastAsia" w:ascii="仿宋" w:hAnsi="仿宋" w:eastAsia="仿宋" w:cs="仿宋"/>
                      <w:szCs w:val="21"/>
                    </w:rPr>
                    <w:t>数据查询功能开发</w:t>
                  </w:r>
                </w:p>
              </w:tc>
            </w:tr>
            <w:tr w14:paraId="07B1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55C38106">
                  <w:pPr>
                    <w:rPr>
                      <w:rFonts w:hint="eastAsia" w:ascii="仿宋" w:hAnsi="仿宋" w:eastAsia="仿宋" w:cs="仿宋"/>
                      <w:szCs w:val="21"/>
                    </w:rPr>
                  </w:pPr>
                  <w:r>
                    <w:rPr>
                      <w:rFonts w:hint="eastAsia" w:ascii="仿宋" w:hAnsi="仿宋" w:eastAsia="仿宋" w:cs="仿宋"/>
                      <w:szCs w:val="21"/>
                    </w:rPr>
                    <w:t>19</w:t>
                  </w:r>
                </w:p>
              </w:tc>
              <w:tc>
                <w:tcPr>
                  <w:tcW w:w="1205" w:type="dxa"/>
                  <w:vAlign w:val="center"/>
                </w:tcPr>
                <w:p w14:paraId="4839ABEE">
                  <w:pPr>
                    <w:jc w:val="center"/>
                    <w:rPr>
                      <w:rFonts w:hint="eastAsia" w:ascii="仿宋" w:hAnsi="仿宋" w:eastAsia="仿宋" w:cs="仿宋"/>
                      <w:szCs w:val="21"/>
                    </w:rPr>
                  </w:pPr>
                  <w:r>
                    <w:rPr>
                      <w:rFonts w:hint="eastAsia" w:ascii="仿宋" w:hAnsi="仿宋" w:eastAsia="仿宋" w:cs="仿宋"/>
                      <w:szCs w:val="21"/>
                    </w:rPr>
                    <w:t>-</w:t>
                  </w:r>
                </w:p>
              </w:tc>
              <w:tc>
                <w:tcPr>
                  <w:tcW w:w="2144" w:type="dxa"/>
                  <w:vAlign w:val="center"/>
                </w:tcPr>
                <w:p w14:paraId="6785A0C0">
                  <w:pPr>
                    <w:jc w:val="center"/>
                    <w:rPr>
                      <w:rFonts w:hint="eastAsia" w:ascii="仿宋" w:hAnsi="仿宋" w:eastAsia="仿宋" w:cs="仿宋"/>
                      <w:szCs w:val="21"/>
                    </w:rPr>
                  </w:pPr>
                  <w:r>
                    <w:rPr>
                      <w:rFonts w:hint="eastAsia" w:ascii="仿宋" w:hAnsi="仿宋" w:eastAsia="仿宋" w:cs="仿宋"/>
                      <w:szCs w:val="21"/>
                    </w:rPr>
                    <w:t>-</w:t>
                  </w:r>
                </w:p>
              </w:tc>
              <w:tc>
                <w:tcPr>
                  <w:tcW w:w="2354" w:type="dxa"/>
                  <w:vMerge w:val="continue"/>
                  <w:vAlign w:val="center"/>
                </w:tcPr>
                <w:p w14:paraId="0C74D70C">
                  <w:pPr>
                    <w:rPr>
                      <w:rFonts w:hint="eastAsia" w:ascii="仿宋" w:hAnsi="仿宋" w:eastAsia="仿宋" w:cs="仿宋"/>
                      <w:szCs w:val="21"/>
                    </w:rPr>
                  </w:pPr>
                </w:p>
              </w:tc>
              <w:tc>
                <w:tcPr>
                  <w:tcW w:w="2589" w:type="dxa"/>
                  <w:vAlign w:val="center"/>
                </w:tcPr>
                <w:p w14:paraId="796A8D0C">
                  <w:pPr>
                    <w:rPr>
                      <w:rFonts w:hint="eastAsia" w:ascii="仿宋" w:hAnsi="仿宋" w:eastAsia="仿宋" w:cs="仿宋"/>
                      <w:szCs w:val="21"/>
                    </w:rPr>
                  </w:pPr>
                  <w:r>
                    <w:rPr>
                      <w:rFonts w:hint="eastAsia" w:ascii="仿宋" w:hAnsi="仿宋" w:eastAsia="仿宋" w:cs="仿宋"/>
                      <w:szCs w:val="21"/>
                    </w:rPr>
                    <w:t>数据展示与还原</w:t>
                  </w:r>
                </w:p>
              </w:tc>
            </w:tr>
            <w:tr w14:paraId="03FF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4FE6012A">
                  <w:pPr>
                    <w:rPr>
                      <w:rFonts w:hint="eastAsia" w:ascii="仿宋" w:hAnsi="仿宋" w:eastAsia="仿宋" w:cs="仿宋"/>
                      <w:szCs w:val="21"/>
                    </w:rPr>
                  </w:pPr>
                  <w:r>
                    <w:rPr>
                      <w:rFonts w:hint="eastAsia" w:ascii="仿宋" w:hAnsi="仿宋" w:eastAsia="仿宋" w:cs="仿宋"/>
                      <w:szCs w:val="21"/>
                    </w:rPr>
                    <w:t>20</w:t>
                  </w:r>
                </w:p>
              </w:tc>
              <w:tc>
                <w:tcPr>
                  <w:tcW w:w="1205" w:type="dxa"/>
                  <w:vMerge w:val="restart"/>
                  <w:vAlign w:val="center"/>
                </w:tcPr>
                <w:p w14:paraId="45C78C36">
                  <w:pPr>
                    <w:rPr>
                      <w:rFonts w:hint="eastAsia" w:ascii="仿宋" w:hAnsi="仿宋" w:eastAsia="仿宋" w:cs="仿宋"/>
                      <w:szCs w:val="21"/>
                    </w:rPr>
                  </w:pPr>
                  <w:r>
                    <w:rPr>
                      <w:rFonts w:hint="eastAsia" w:ascii="仿宋" w:hAnsi="仿宋" w:eastAsia="仿宋" w:cs="仿宋"/>
                      <w:szCs w:val="21"/>
                    </w:rPr>
                    <w:t>数据审核</w:t>
                  </w:r>
                </w:p>
              </w:tc>
              <w:tc>
                <w:tcPr>
                  <w:tcW w:w="2144" w:type="dxa"/>
                  <w:vAlign w:val="center"/>
                </w:tcPr>
                <w:p w14:paraId="135AD94C">
                  <w:pPr>
                    <w:rPr>
                      <w:rFonts w:hint="eastAsia" w:ascii="仿宋" w:hAnsi="仿宋" w:eastAsia="仿宋" w:cs="仿宋"/>
                      <w:szCs w:val="21"/>
                    </w:rPr>
                  </w:pPr>
                  <w:r>
                    <w:rPr>
                      <w:rFonts w:hint="eastAsia" w:ascii="仿宋" w:hAnsi="仿宋" w:eastAsia="仿宋" w:cs="仿宋"/>
                      <w:szCs w:val="21"/>
                    </w:rPr>
                    <w:t>审核规则配置</w:t>
                  </w:r>
                </w:p>
              </w:tc>
              <w:tc>
                <w:tcPr>
                  <w:tcW w:w="2354" w:type="dxa"/>
                  <w:vMerge w:val="restart"/>
                  <w:vAlign w:val="center"/>
                </w:tcPr>
                <w:p w14:paraId="1F4EFEBF">
                  <w:pPr>
                    <w:rPr>
                      <w:rFonts w:hint="eastAsia" w:ascii="仿宋" w:hAnsi="仿宋" w:eastAsia="仿宋" w:cs="仿宋"/>
                      <w:szCs w:val="21"/>
                    </w:rPr>
                  </w:pPr>
                  <w:r>
                    <w:rPr>
                      <w:rFonts w:hint="eastAsia" w:ascii="仿宋" w:hAnsi="仿宋" w:eastAsia="仿宋" w:cs="仿宋"/>
                      <w:szCs w:val="21"/>
                    </w:rPr>
                    <w:t>数据审核</w:t>
                  </w:r>
                </w:p>
              </w:tc>
              <w:tc>
                <w:tcPr>
                  <w:tcW w:w="2589" w:type="dxa"/>
                  <w:vAlign w:val="center"/>
                </w:tcPr>
                <w:p w14:paraId="348F9977">
                  <w:pPr>
                    <w:rPr>
                      <w:rFonts w:hint="eastAsia" w:ascii="仿宋" w:hAnsi="仿宋" w:eastAsia="仿宋" w:cs="仿宋"/>
                      <w:szCs w:val="21"/>
                    </w:rPr>
                  </w:pPr>
                  <w:r>
                    <w:rPr>
                      <w:rFonts w:hint="eastAsia" w:ascii="仿宋" w:hAnsi="仿宋" w:eastAsia="仿宋" w:cs="仿宋"/>
                      <w:szCs w:val="21"/>
                    </w:rPr>
                    <w:t>审核规则配置</w:t>
                  </w:r>
                </w:p>
              </w:tc>
            </w:tr>
            <w:tr w14:paraId="2799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6E850A84">
                  <w:pPr>
                    <w:rPr>
                      <w:rFonts w:hint="eastAsia" w:ascii="仿宋" w:hAnsi="仿宋" w:eastAsia="仿宋" w:cs="仿宋"/>
                      <w:szCs w:val="21"/>
                    </w:rPr>
                  </w:pPr>
                  <w:r>
                    <w:rPr>
                      <w:rFonts w:hint="eastAsia" w:ascii="仿宋" w:hAnsi="仿宋" w:eastAsia="仿宋" w:cs="仿宋"/>
                      <w:szCs w:val="21"/>
                    </w:rPr>
                    <w:t>21</w:t>
                  </w:r>
                </w:p>
              </w:tc>
              <w:tc>
                <w:tcPr>
                  <w:tcW w:w="1205" w:type="dxa"/>
                  <w:vMerge w:val="continue"/>
                  <w:vAlign w:val="center"/>
                </w:tcPr>
                <w:p w14:paraId="00F1618B">
                  <w:pPr>
                    <w:rPr>
                      <w:rFonts w:hint="eastAsia" w:ascii="仿宋" w:hAnsi="仿宋" w:eastAsia="仿宋" w:cs="仿宋"/>
                      <w:szCs w:val="21"/>
                    </w:rPr>
                  </w:pPr>
                </w:p>
              </w:tc>
              <w:tc>
                <w:tcPr>
                  <w:tcW w:w="2144" w:type="dxa"/>
                  <w:vAlign w:val="center"/>
                </w:tcPr>
                <w:p w14:paraId="4737C113">
                  <w:pPr>
                    <w:rPr>
                      <w:rFonts w:hint="eastAsia" w:ascii="仿宋" w:hAnsi="仿宋" w:eastAsia="仿宋" w:cs="仿宋"/>
                      <w:szCs w:val="21"/>
                    </w:rPr>
                  </w:pPr>
                  <w:r>
                    <w:rPr>
                      <w:rFonts w:hint="eastAsia" w:ascii="仿宋" w:hAnsi="仿宋" w:eastAsia="仿宋" w:cs="仿宋"/>
                      <w:szCs w:val="21"/>
                    </w:rPr>
                    <w:t>数据审核执行</w:t>
                  </w:r>
                </w:p>
              </w:tc>
              <w:tc>
                <w:tcPr>
                  <w:tcW w:w="2354" w:type="dxa"/>
                  <w:vMerge w:val="continue"/>
                  <w:vAlign w:val="center"/>
                </w:tcPr>
                <w:p w14:paraId="40F6DCDB">
                  <w:pPr>
                    <w:rPr>
                      <w:rFonts w:hint="eastAsia" w:ascii="仿宋" w:hAnsi="仿宋" w:eastAsia="仿宋" w:cs="仿宋"/>
                      <w:szCs w:val="21"/>
                    </w:rPr>
                  </w:pPr>
                </w:p>
              </w:tc>
              <w:tc>
                <w:tcPr>
                  <w:tcW w:w="2589" w:type="dxa"/>
                  <w:vAlign w:val="center"/>
                </w:tcPr>
                <w:p w14:paraId="59839287">
                  <w:pPr>
                    <w:rPr>
                      <w:rFonts w:hint="eastAsia" w:ascii="仿宋" w:hAnsi="仿宋" w:eastAsia="仿宋" w:cs="仿宋"/>
                      <w:szCs w:val="21"/>
                    </w:rPr>
                  </w:pPr>
                  <w:r>
                    <w:rPr>
                      <w:rFonts w:hint="eastAsia" w:ascii="仿宋" w:hAnsi="仿宋" w:eastAsia="仿宋" w:cs="仿宋"/>
                      <w:szCs w:val="21"/>
                    </w:rPr>
                    <w:t>数据审核执行</w:t>
                  </w:r>
                </w:p>
              </w:tc>
            </w:tr>
            <w:tr w14:paraId="4779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3825D711">
                  <w:pPr>
                    <w:rPr>
                      <w:rFonts w:hint="eastAsia" w:ascii="仿宋" w:hAnsi="仿宋" w:eastAsia="仿宋" w:cs="仿宋"/>
                      <w:szCs w:val="21"/>
                    </w:rPr>
                  </w:pPr>
                  <w:r>
                    <w:rPr>
                      <w:rFonts w:hint="eastAsia" w:ascii="仿宋" w:hAnsi="仿宋" w:eastAsia="仿宋" w:cs="仿宋"/>
                      <w:szCs w:val="21"/>
                    </w:rPr>
                    <w:t>22</w:t>
                  </w:r>
                </w:p>
              </w:tc>
              <w:tc>
                <w:tcPr>
                  <w:tcW w:w="1205" w:type="dxa"/>
                  <w:vMerge w:val="restart"/>
                  <w:vAlign w:val="center"/>
                </w:tcPr>
                <w:p w14:paraId="1EB8836A">
                  <w:pPr>
                    <w:rPr>
                      <w:rFonts w:hint="eastAsia" w:ascii="仿宋" w:hAnsi="仿宋" w:eastAsia="仿宋" w:cs="仿宋"/>
                      <w:szCs w:val="21"/>
                    </w:rPr>
                  </w:pPr>
                  <w:r>
                    <w:rPr>
                      <w:rFonts w:hint="eastAsia" w:ascii="仿宋" w:hAnsi="仿宋" w:eastAsia="仿宋" w:cs="仿宋"/>
                      <w:szCs w:val="21"/>
                    </w:rPr>
                    <w:t>数据审批</w:t>
                  </w:r>
                </w:p>
              </w:tc>
              <w:tc>
                <w:tcPr>
                  <w:tcW w:w="2144" w:type="dxa"/>
                  <w:vAlign w:val="center"/>
                </w:tcPr>
                <w:p w14:paraId="279643FD">
                  <w:pPr>
                    <w:rPr>
                      <w:rFonts w:hint="eastAsia" w:ascii="仿宋" w:hAnsi="仿宋" w:eastAsia="仿宋" w:cs="仿宋"/>
                      <w:szCs w:val="21"/>
                    </w:rPr>
                  </w:pPr>
                  <w:r>
                    <w:rPr>
                      <w:rFonts w:hint="eastAsia" w:ascii="仿宋" w:hAnsi="仿宋" w:eastAsia="仿宋" w:cs="仿宋"/>
                      <w:szCs w:val="21"/>
                    </w:rPr>
                    <w:t>审批流程制定</w:t>
                  </w:r>
                </w:p>
              </w:tc>
              <w:tc>
                <w:tcPr>
                  <w:tcW w:w="2354" w:type="dxa"/>
                  <w:vMerge w:val="restart"/>
                  <w:vAlign w:val="center"/>
                </w:tcPr>
                <w:p w14:paraId="4ABB0984">
                  <w:pPr>
                    <w:rPr>
                      <w:rFonts w:hint="eastAsia" w:ascii="仿宋" w:hAnsi="仿宋" w:eastAsia="仿宋" w:cs="仿宋"/>
                      <w:szCs w:val="21"/>
                    </w:rPr>
                  </w:pPr>
                  <w:r>
                    <w:rPr>
                      <w:rFonts w:hint="eastAsia" w:ascii="仿宋" w:hAnsi="仿宋" w:eastAsia="仿宋" w:cs="仿宋"/>
                      <w:szCs w:val="21"/>
                    </w:rPr>
                    <w:t>数据审批</w:t>
                  </w:r>
                </w:p>
              </w:tc>
              <w:tc>
                <w:tcPr>
                  <w:tcW w:w="2589" w:type="dxa"/>
                  <w:vAlign w:val="center"/>
                </w:tcPr>
                <w:p w14:paraId="0468E72C">
                  <w:pPr>
                    <w:rPr>
                      <w:rFonts w:hint="eastAsia" w:ascii="仿宋" w:hAnsi="仿宋" w:eastAsia="仿宋" w:cs="仿宋"/>
                      <w:szCs w:val="21"/>
                    </w:rPr>
                  </w:pPr>
                  <w:r>
                    <w:rPr>
                      <w:rFonts w:hint="eastAsia" w:ascii="仿宋" w:hAnsi="仿宋" w:eastAsia="仿宋" w:cs="仿宋"/>
                      <w:szCs w:val="21"/>
                    </w:rPr>
                    <w:t>审批流程制定</w:t>
                  </w:r>
                </w:p>
              </w:tc>
            </w:tr>
            <w:tr w14:paraId="7592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E6AB2B8">
                  <w:pPr>
                    <w:rPr>
                      <w:rFonts w:hint="eastAsia" w:ascii="仿宋" w:hAnsi="仿宋" w:eastAsia="仿宋" w:cs="仿宋"/>
                      <w:szCs w:val="21"/>
                    </w:rPr>
                  </w:pPr>
                  <w:r>
                    <w:rPr>
                      <w:rFonts w:hint="eastAsia" w:ascii="仿宋" w:hAnsi="仿宋" w:eastAsia="仿宋" w:cs="仿宋"/>
                      <w:szCs w:val="21"/>
                    </w:rPr>
                    <w:t>23</w:t>
                  </w:r>
                </w:p>
              </w:tc>
              <w:tc>
                <w:tcPr>
                  <w:tcW w:w="1205" w:type="dxa"/>
                  <w:vMerge w:val="continue"/>
                  <w:vAlign w:val="center"/>
                </w:tcPr>
                <w:p w14:paraId="2E56E695">
                  <w:pPr>
                    <w:rPr>
                      <w:rFonts w:hint="eastAsia" w:ascii="仿宋" w:hAnsi="仿宋" w:eastAsia="仿宋" w:cs="仿宋"/>
                      <w:szCs w:val="21"/>
                    </w:rPr>
                  </w:pPr>
                </w:p>
              </w:tc>
              <w:tc>
                <w:tcPr>
                  <w:tcW w:w="2144" w:type="dxa"/>
                  <w:vAlign w:val="center"/>
                </w:tcPr>
                <w:p w14:paraId="56D89C46">
                  <w:pPr>
                    <w:rPr>
                      <w:rFonts w:hint="eastAsia" w:ascii="仿宋" w:hAnsi="仿宋" w:eastAsia="仿宋" w:cs="仿宋"/>
                      <w:szCs w:val="21"/>
                    </w:rPr>
                  </w:pPr>
                  <w:r>
                    <w:rPr>
                      <w:rFonts w:hint="eastAsia" w:ascii="仿宋" w:hAnsi="仿宋" w:eastAsia="仿宋" w:cs="仿宋"/>
                      <w:szCs w:val="21"/>
                    </w:rPr>
                    <w:t>数据锁定</w:t>
                  </w:r>
                </w:p>
              </w:tc>
              <w:tc>
                <w:tcPr>
                  <w:tcW w:w="2354" w:type="dxa"/>
                  <w:vMerge w:val="continue"/>
                  <w:vAlign w:val="center"/>
                </w:tcPr>
                <w:p w14:paraId="4EF00178">
                  <w:pPr>
                    <w:rPr>
                      <w:rFonts w:hint="eastAsia" w:ascii="仿宋" w:hAnsi="仿宋" w:eastAsia="仿宋" w:cs="仿宋"/>
                      <w:szCs w:val="21"/>
                    </w:rPr>
                  </w:pPr>
                </w:p>
              </w:tc>
              <w:tc>
                <w:tcPr>
                  <w:tcW w:w="2589" w:type="dxa"/>
                  <w:vAlign w:val="center"/>
                </w:tcPr>
                <w:p w14:paraId="687542D7">
                  <w:pPr>
                    <w:rPr>
                      <w:rFonts w:hint="eastAsia" w:ascii="仿宋" w:hAnsi="仿宋" w:eastAsia="仿宋" w:cs="仿宋"/>
                      <w:szCs w:val="21"/>
                    </w:rPr>
                  </w:pPr>
                  <w:r>
                    <w:rPr>
                      <w:rFonts w:hint="eastAsia" w:ascii="仿宋" w:hAnsi="仿宋" w:eastAsia="仿宋" w:cs="仿宋"/>
                      <w:szCs w:val="21"/>
                    </w:rPr>
                    <w:t>数据锁定</w:t>
                  </w:r>
                </w:p>
              </w:tc>
            </w:tr>
            <w:tr w14:paraId="7BAF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222AF16">
                  <w:pPr>
                    <w:rPr>
                      <w:rFonts w:hint="eastAsia" w:ascii="仿宋" w:hAnsi="仿宋" w:eastAsia="仿宋" w:cs="仿宋"/>
                      <w:szCs w:val="21"/>
                    </w:rPr>
                  </w:pPr>
                  <w:r>
                    <w:rPr>
                      <w:rFonts w:hint="eastAsia" w:ascii="仿宋" w:hAnsi="仿宋" w:eastAsia="仿宋" w:cs="仿宋"/>
                      <w:szCs w:val="21"/>
                    </w:rPr>
                    <w:t>24</w:t>
                  </w:r>
                </w:p>
              </w:tc>
              <w:tc>
                <w:tcPr>
                  <w:tcW w:w="1205" w:type="dxa"/>
                  <w:vMerge w:val="restart"/>
                  <w:vAlign w:val="center"/>
                </w:tcPr>
                <w:p w14:paraId="07A38C2D">
                  <w:pPr>
                    <w:rPr>
                      <w:rFonts w:hint="eastAsia" w:ascii="仿宋" w:hAnsi="仿宋" w:eastAsia="仿宋" w:cs="仿宋"/>
                      <w:szCs w:val="21"/>
                    </w:rPr>
                  </w:pPr>
                  <w:r>
                    <w:rPr>
                      <w:rFonts w:hint="eastAsia" w:ascii="仿宋" w:hAnsi="仿宋" w:eastAsia="仿宋" w:cs="仿宋"/>
                      <w:szCs w:val="21"/>
                    </w:rPr>
                    <w:t>数据上报</w:t>
                  </w:r>
                </w:p>
              </w:tc>
              <w:tc>
                <w:tcPr>
                  <w:tcW w:w="2144" w:type="dxa"/>
                  <w:vAlign w:val="center"/>
                </w:tcPr>
                <w:p w14:paraId="28456222">
                  <w:pPr>
                    <w:rPr>
                      <w:rFonts w:hint="eastAsia" w:ascii="仿宋" w:hAnsi="仿宋" w:eastAsia="仿宋" w:cs="仿宋"/>
                      <w:szCs w:val="21"/>
                    </w:rPr>
                  </w:pPr>
                  <w:r>
                    <w:rPr>
                      <w:rFonts w:hint="eastAsia" w:ascii="仿宋" w:hAnsi="仿宋" w:eastAsia="仿宋" w:cs="仿宋"/>
                      <w:szCs w:val="21"/>
                    </w:rPr>
                    <w:t>上报配置</w:t>
                  </w:r>
                </w:p>
              </w:tc>
              <w:tc>
                <w:tcPr>
                  <w:tcW w:w="2354" w:type="dxa"/>
                  <w:vMerge w:val="restart"/>
                  <w:vAlign w:val="center"/>
                </w:tcPr>
                <w:p w14:paraId="08D27D46">
                  <w:pPr>
                    <w:rPr>
                      <w:rFonts w:hint="eastAsia" w:ascii="仿宋" w:hAnsi="仿宋" w:eastAsia="仿宋" w:cs="仿宋"/>
                      <w:szCs w:val="21"/>
                    </w:rPr>
                  </w:pPr>
                  <w:r>
                    <w:rPr>
                      <w:rFonts w:hint="eastAsia" w:ascii="仿宋" w:hAnsi="仿宋" w:eastAsia="仿宋" w:cs="仿宋"/>
                      <w:szCs w:val="21"/>
                    </w:rPr>
                    <w:t>数据上报</w:t>
                  </w:r>
                </w:p>
              </w:tc>
              <w:tc>
                <w:tcPr>
                  <w:tcW w:w="2589" w:type="dxa"/>
                  <w:vAlign w:val="center"/>
                </w:tcPr>
                <w:p w14:paraId="0E1CA33D">
                  <w:pPr>
                    <w:rPr>
                      <w:rFonts w:hint="eastAsia" w:ascii="仿宋" w:hAnsi="仿宋" w:eastAsia="仿宋" w:cs="仿宋"/>
                      <w:szCs w:val="21"/>
                    </w:rPr>
                  </w:pPr>
                  <w:r>
                    <w:rPr>
                      <w:rFonts w:hint="eastAsia" w:ascii="仿宋" w:hAnsi="仿宋" w:eastAsia="仿宋" w:cs="仿宋"/>
                      <w:szCs w:val="21"/>
                    </w:rPr>
                    <w:t>上报配置</w:t>
                  </w:r>
                </w:p>
              </w:tc>
            </w:tr>
            <w:tr w14:paraId="3637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05402B6C">
                  <w:pPr>
                    <w:rPr>
                      <w:rFonts w:hint="eastAsia" w:ascii="仿宋" w:hAnsi="仿宋" w:eastAsia="仿宋" w:cs="仿宋"/>
                      <w:szCs w:val="21"/>
                    </w:rPr>
                  </w:pPr>
                  <w:r>
                    <w:rPr>
                      <w:rFonts w:hint="eastAsia" w:ascii="仿宋" w:hAnsi="仿宋" w:eastAsia="仿宋" w:cs="仿宋"/>
                      <w:szCs w:val="21"/>
                    </w:rPr>
                    <w:t>25</w:t>
                  </w:r>
                </w:p>
              </w:tc>
              <w:tc>
                <w:tcPr>
                  <w:tcW w:w="1205" w:type="dxa"/>
                  <w:vMerge w:val="continue"/>
                  <w:vAlign w:val="center"/>
                </w:tcPr>
                <w:p w14:paraId="09CE7E6B">
                  <w:pPr>
                    <w:rPr>
                      <w:rFonts w:hint="eastAsia" w:ascii="仿宋" w:hAnsi="仿宋" w:eastAsia="仿宋" w:cs="仿宋"/>
                      <w:szCs w:val="21"/>
                    </w:rPr>
                  </w:pPr>
                </w:p>
              </w:tc>
              <w:tc>
                <w:tcPr>
                  <w:tcW w:w="2144" w:type="dxa"/>
                  <w:vAlign w:val="center"/>
                </w:tcPr>
                <w:p w14:paraId="51D47A7B">
                  <w:pPr>
                    <w:rPr>
                      <w:rFonts w:hint="eastAsia" w:ascii="仿宋" w:hAnsi="仿宋" w:eastAsia="仿宋" w:cs="仿宋"/>
                      <w:szCs w:val="21"/>
                    </w:rPr>
                  </w:pPr>
                  <w:r>
                    <w:rPr>
                      <w:rFonts w:hint="eastAsia" w:ascii="仿宋" w:hAnsi="仿宋" w:eastAsia="仿宋" w:cs="仿宋"/>
                      <w:szCs w:val="21"/>
                    </w:rPr>
                    <w:t>状态反馈及预警</w:t>
                  </w:r>
                </w:p>
              </w:tc>
              <w:tc>
                <w:tcPr>
                  <w:tcW w:w="2354" w:type="dxa"/>
                  <w:vMerge w:val="continue"/>
                  <w:vAlign w:val="center"/>
                </w:tcPr>
                <w:p w14:paraId="5F6B8F95">
                  <w:pPr>
                    <w:rPr>
                      <w:rFonts w:hint="eastAsia" w:ascii="仿宋" w:hAnsi="仿宋" w:eastAsia="仿宋" w:cs="仿宋"/>
                      <w:szCs w:val="21"/>
                    </w:rPr>
                  </w:pPr>
                </w:p>
              </w:tc>
              <w:tc>
                <w:tcPr>
                  <w:tcW w:w="2589" w:type="dxa"/>
                  <w:vAlign w:val="center"/>
                </w:tcPr>
                <w:p w14:paraId="3C702B3C">
                  <w:pPr>
                    <w:rPr>
                      <w:rFonts w:hint="eastAsia" w:ascii="仿宋" w:hAnsi="仿宋" w:eastAsia="仿宋" w:cs="仿宋"/>
                      <w:szCs w:val="21"/>
                    </w:rPr>
                  </w:pPr>
                  <w:r>
                    <w:rPr>
                      <w:rFonts w:hint="eastAsia" w:ascii="仿宋" w:hAnsi="仿宋" w:eastAsia="仿宋" w:cs="仿宋"/>
                      <w:szCs w:val="21"/>
                    </w:rPr>
                    <w:t>状态反馈及预警</w:t>
                  </w:r>
                </w:p>
              </w:tc>
            </w:tr>
          </w:tbl>
          <w:p w14:paraId="06EC329E"/>
          <w:p w14:paraId="2E5E8C3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4.2.3.2指标管理功能建设</w:t>
            </w:r>
          </w:p>
          <w:p w14:paraId="7C3642B7">
            <w:pPr>
              <w:pStyle w:val="24"/>
              <w:keepNext/>
              <w:keepLines/>
              <w:numPr>
                <w:ilvl w:val="3"/>
                <w:numId w:val="8"/>
              </w:numPr>
              <w:snapToGrid w:val="0"/>
              <w:spacing w:before="290" w:after="290" w:line="360" w:lineRule="auto"/>
              <w:ind w:firstLineChars="0"/>
              <w:contextualSpacing w:val="0"/>
              <w:outlineLvl w:val="4"/>
              <w:rPr>
                <w:rFonts w:hint="eastAsia" w:ascii="仿宋" w:hAnsi="仿宋" w:eastAsia="仿宋" w:cs="仿宋"/>
                <w:bCs/>
                <w:vanish/>
                <w:color w:val="000000" w:themeColor="text1"/>
                <w:szCs w:val="21"/>
                <w14:textFill>
                  <w14:solidFill>
                    <w14:schemeClr w14:val="tx1"/>
                  </w14:solidFill>
                </w14:textFill>
              </w:rPr>
            </w:pPr>
          </w:p>
          <w:p w14:paraId="48AA68C8">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4.2.3.2.1指标体系构建</w:t>
            </w:r>
          </w:p>
          <w:p w14:paraId="4C8295B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依据系统现有的《全国卫生资源与医疗服务统计调查制度》中的填报任务进行指标体系构建。</w:t>
            </w:r>
          </w:p>
          <w:p w14:paraId="48B5D416">
            <w:pPr>
              <w:pStyle w:val="24"/>
              <w:numPr>
                <w:ilvl w:val="0"/>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02962497">
            <w:pPr>
              <w:pStyle w:val="24"/>
              <w:numPr>
                <w:ilvl w:val="0"/>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55066B1A">
            <w:pPr>
              <w:pStyle w:val="24"/>
              <w:numPr>
                <w:ilvl w:val="0"/>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7247B1C4">
            <w:pPr>
              <w:pStyle w:val="24"/>
              <w:numPr>
                <w:ilvl w:val="0"/>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437B9D92">
            <w:pPr>
              <w:pStyle w:val="24"/>
              <w:numPr>
                <w:ilvl w:val="1"/>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7858BD22">
            <w:pPr>
              <w:pStyle w:val="24"/>
              <w:numPr>
                <w:ilvl w:val="1"/>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7F5CAC0C">
            <w:pPr>
              <w:pStyle w:val="24"/>
              <w:numPr>
                <w:ilvl w:val="2"/>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21413B60">
            <w:pPr>
              <w:pStyle w:val="24"/>
              <w:numPr>
                <w:ilvl w:val="2"/>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5E8FA4D2">
            <w:pPr>
              <w:pStyle w:val="24"/>
              <w:numPr>
                <w:ilvl w:val="2"/>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47B2E90D">
            <w:pPr>
              <w:pStyle w:val="24"/>
              <w:numPr>
                <w:ilvl w:val="3"/>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35A36C9E">
            <w:pPr>
              <w:pStyle w:val="24"/>
              <w:numPr>
                <w:ilvl w:val="3"/>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598ABB85">
            <w:pPr>
              <w:pStyle w:val="24"/>
              <w:numPr>
                <w:ilvl w:val="4"/>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3A48BA2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4.2.3.2.1.1指标分类</w:t>
            </w:r>
          </w:p>
          <w:p w14:paraId="131A460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4.2.3.2.1.1.1分类规则</w:t>
            </w:r>
          </w:p>
          <w:p w14:paraId="71FD6EE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全国卫生资源与医疗服务统计调查制度》，采用树状层级结构进行指标分类。一级分类可按卫生资源、医疗服务、公共卫生、卫生经济等核心领域划分；二级及以下分类进一步细化，如卫生资源下可细分人力资源（医护人员数量、职称结构等）、物力资源（医疗机构设备数量、床位规模等）。支持自定义扩展分类层级，以适应不同业务场景和管理需求。</w:t>
            </w:r>
          </w:p>
          <w:p w14:paraId="2294977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4.2.3.2.1.1.2分类操作</w:t>
            </w:r>
          </w:p>
          <w:p w14:paraId="3984951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提供可视化的分类管理界面，管理员可通过拖拽、新增、编辑、删除等操作灵活调整指标分类结构。同时，在分类过程中，系统自动校验分类逻辑的合理性，避免出现重复、交叉或逻辑混乱的分类。</w:t>
            </w:r>
          </w:p>
          <w:p w14:paraId="2E59594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4.2.3.2.1.2指标定义</w:t>
            </w:r>
          </w:p>
          <w:p w14:paraId="34C3715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4.2.3.2.1.2.1定义内容</w:t>
            </w:r>
          </w:p>
          <w:p w14:paraId="48DF909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个指标需包含完整的定义信息，包括指标名称（唯一标识）、英文名称、指标编码、统计口径（明确统计范围、统计对象、统计时间等）、计算方法（公式、算法说明）、数据来源（具体数据库表、接口或采集方式）、计量单位、填报说明（填写要求、注意事项）等。</w:t>
            </w:r>
          </w:p>
          <w:p w14:paraId="43BB9C7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4.2.3.2.1.2.2定义管理</w:t>
            </w:r>
          </w:p>
          <w:p w14:paraId="0F6F763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在线编辑指标定义，修改后系统自动记录版本变更信息。提供指标定义模板下载与导入功能，方便批量创建或更新指标定义。同时，为指标定义设置审核流程，新定义或修改后的指标需经过审核人员确认后才能生效，确保指标定义的准确性和规范性。</w:t>
            </w:r>
          </w:p>
          <w:p w14:paraId="42174A7D">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4.2.3.2.2指标体系固化</w:t>
            </w:r>
          </w:p>
          <w:p w14:paraId="129178D3">
            <w:pPr>
              <w:pStyle w:val="24"/>
              <w:numPr>
                <w:ilvl w:val="0"/>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71D50134">
            <w:pPr>
              <w:pStyle w:val="24"/>
              <w:numPr>
                <w:ilvl w:val="4"/>
                <w:numId w:val="15"/>
              </w:numPr>
              <w:tabs>
                <w:tab w:val="left" w:pos="433"/>
                <w:tab w:val="left" w:pos="1153"/>
              </w:tabs>
              <w:snapToGrid w:val="0"/>
              <w:spacing w:line="360" w:lineRule="auto"/>
              <w:ind w:firstLineChars="0"/>
              <w:contextualSpacing w:val="0"/>
              <w:outlineLvl w:val="5"/>
              <w:rPr>
                <w:rFonts w:hint="eastAsia" w:ascii="仿宋" w:hAnsi="仿宋" w:eastAsia="仿宋" w:cs="仿宋"/>
                <w:vanish/>
                <w:color w:val="000000" w:themeColor="text1"/>
                <w:szCs w:val="21"/>
                <w14:textFill>
                  <w14:solidFill>
                    <w14:schemeClr w14:val="tx1"/>
                  </w14:solidFill>
                </w14:textFill>
              </w:rPr>
            </w:pPr>
          </w:p>
          <w:p w14:paraId="139C1DD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4.2.3.2.2.1周期结转机构</w:t>
            </w:r>
          </w:p>
          <w:p w14:paraId="6731244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4.2.3.2.2.1.1结转规则设置</w:t>
            </w:r>
          </w:p>
          <w:p w14:paraId="6348D47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可自定义数据固化的周期，如按日、周、月、季度、年度等。针对不同类型的指标，支持设置差异化的结转规则，例如部分关键指标要求实时结转，而一些统计类指标可在周期结束后统一结转。同时，可设置结转触发条件，如数据完整性校验通过后自动结转。</w:t>
            </w:r>
          </w:p>
          <w:p w14:paraId="7C0AAC1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4.2.3.2.2.1.2结转操作</w:t>
            </w:r>
          </w:p>
          <w:p w14:paraId="4078112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在达到预设结转周期或触发条件时，自动执行数据结转任务。结转过程中，生成详细的结转日志，记录结转时间、涉及指标、数据量、操作结果等信息。支持手动触发结转操作，方便用户在特殊情况下进行数据固化。</w:t>
            </w:r>
          </w:p>
          <w:p w14:paraId="593693C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4.2.3.2.2.2历史固化数据查询</w:t>
            </w:r>
          </w:p>
          <w:p w14:paraId="1DD0233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4.2.3.2.2.1查询条件</w:t>
            </w:r>
          </w:p>
          <w:p w14:paraId="54E4D53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提供丰富的查询条件，包括时间范围（可精确到具体日期或选择历史周期）、指标分类、指标名称、机构类型等。支持多条件组合查询，用户可通过筛选器快速定位所需的历史固化数据。</w:t>
            </w:r>
          </w:p>
          <w:p w14:paraId="69D49B0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4.2.3.2.2.2.2查询结果展示</w:t>
            </w:r>
          </w:p>
          <w:p w14:paraId="1C4D86D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表格形式展示查询结果，可直观查看指标名称、数据值、统计周期、数据来源等信息。支持将查询结果导出为Excel、CSV等常见文件格式，方便进行进一步的数据处理和分析。同时，提供数据可视化功能，可将历史固化数据生成折线图、柱状图、饼图等图表，更清晰地展示数据变化趋势和分布情况。</w:t>
            </w:r>
          </w:p>
          <w:p w14:paraId="653B7BCA">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4.2.3.2.3指标数据分析</w:t>
            </w:r>
          </w:p>
          <w:p w14:paraId="3608D45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4.2.3.2.3.1国家直报分析部分</w:t>
            </w:r>
          </w:p>
          <w:p w14:paraId="0BC7E7C7">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指标体系固化后的数据作为核心数据源，严格遵循国家相关规范与要求，开展陕西本省统计分析工作。具体包括编制与国家下发标准一致的统计分析、统计年鉴、医改监测以及制作各业务线专项分析表，确保数据报送与分析的规范性、统一性和权威性。</w:t>
            </w:r>
          </w:p>
          <w:p w14:paraId="0F1377A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4.2.3.2.3.2国家直报分析优化方案</w:t>
            </w:r>
          </w:p>
          <w:p w14:paraId="78E27B56">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4.2.3.2.3.2.1临时优化方案</w:t>
            </w:r>
          </w:p>
          <w:p w14:paraId="23A2967E">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国家下发优化表后，立即启动“分析表一致性”对比工作机制。运用专业的数据分析比对工具，对国家分析口径发生变化的表格进行精准识别与详细比对。针对发现的差异，陕西省相关部门将迅速响应，严格按照国家最新要求，在规定时间内完成同步调整工作，保障数据报送与国家要求无缝衔接。</w:t>
            </w:r>
          </w:p>
          <w:p w14:paraId="2F742A2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4.2.3.2.3.2.2指标管理优化后方案</w:t>
            </w:r>
          </w:p>
          <w:p w14:paraId="1682E85A">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国家完成优化指标管理工作并下发优化包后，陕西省将严格执行优化包内容，全面同步优化指标口径及对应分析表。在优化过程中，建立严谨的审核校验流程，对优化前后的数据逻辑、计算方式等进行多轮核对，确保优化工作准确无误，数据的完整性与准确性不受影响。</w:t>
            </w:r>
          </w:p>
          <w:p w14:paraId="37187CA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4.2.3.2.3.2.3陕西省决策分析部分</w:t>
            </w:r>
          </w:p>
          <w:p w14:paraId="417379E6">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托指标体系固化后的优质数据资源，紧密围绕陕西省地方发展战略与管理决策需求，精心设计并制作本省特色的决策分析表。在数据选取与分析维度上，充分结合陕西省实际情况，深度挖掘数据价值，从多视角、多层面进行数据分析，为陕西省各级政府部门及相关机构提供科学、全面、具有针对性的决策支持依据，助力提升地方治理能力与决策水平。</w:t>
            </w:r>
          </w:p>
          <w:p w14:paraId="061834D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4.2.3.2.3.2.4国家直报分析与陕西省决策分析数据一致性</w:t>
            </w:r>
          </w:p>
          <w:p w14:paraId="69B0C0A0">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确保数据的可靠性与公信力，在开展国家直报分析与陕西省决策分析工作时，坚持以同一套固化后的数据作为基础来源。在数据处理与分析过程中，针对同一指标项，严格遵循统一的计算规则与标准，在相同维度条件下，保证该指标在不同分析表中的计算数据完全一致。同时，建立常态化的数据一致性核查机制，定期对两类分析表中的数据进行交叉核验，及时发现并修正潜在的数据差异问题，切实维护数据的一致性与准确性，为各类数据分析与决策应用筑牢坚实的数据基础。</w:t>
            </w:r>
          </w:p>
          <w:p w14:paraId="3CDA98C3">
            <w:pPr>
              <w:pStyle w:val="7"/>
              <w:numPr>
                <w:ilvl w:val="4"/>
                <w:numId w:val="0"/>
              </w:numPr>
              <w:rPr>
                <w:rFonts w:hint="eastAsia" w:ascii="仿宋" w:hAnsi="仿宋" w:eastAsia="仿宋" w:cs="仿宋"/>
                <w:sz w:val="21"/>
                <w:szCs w:val="21"/>
              </w:rPr>
            </w:pPr>
            <w:r>
              <w:rPr>
                <w:rFonts w:hint="eastAsia" w:ascii="仿宋" w:hAnsi="仿宋" w:eastAsia="仿宋" w:cs="仿宋"/>
                <w:color w:val="000000" w:themeColor="text1"/>
                <w:sz w:val="21"/>
                <w:szCs w:val="21"/>
                <w14:textFill>
                  <w14:solidFill>
                    <w14:schemeClr w14:val="tx1"/>
                  </w14:solidFill>
                </w14:textFill>
              </w:rPr>
              <w:t>4.2.3.2.4</w:t>
            </w:r>
            <w:r>
              <w:rPr>
                <w:rFonts w:hint="eastAsia" w:ascii="仿宋" w:hAnsi="仿宋" w:eastAsia="仿宋" w:cs="仿宋"/>
                <w:sz w:val="21"/>
                <w:szCs w:val="21"/>
              </w:rPr>
              <w:t>指标全生命周期管理</w:t>
            </w:r>
          </w:p>
          <w:p w14:paraId="2923342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4.2.3.2.4.1指标体系版本控制</w:t>
            </w:r>
          </w:p>
          <w:p w14:paraId="46938DC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4.2.3.2.4.1.1版本创建</w:t>
            </w:r>
          </w:p>
          <w:p w14:paraId="25B4246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指标体系发生重大变更（如新增指标分类、修改核心指标定义等）时，用户可创建新的指标体系版本。在创建过程中，需填写版本说明（包括变更原因、变更内容等），系统自动继承上一版本的指标数据和配置信息，并标记变更部分。</w:t>
            </w:r>
          </w:p>
          <w:p w14:paraId="0AE553F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4.2.3.2.4.1.2版本发布</w:t>
            </w:r>
          </w:p>
          <w:p w14:paraId="1AD30EB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新创建的指标体系版本需经过审核流程后才能发布。审核人员可对版本内容进行检查和修改，审核通过后，系统将新版本发布到生产环境，同时保留历史版本供查询和回溯。</w:t>
            </w:r>
          </w:p>
          <w:p w14:paraId="2DE7354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4.2.3.2.4.1.3版本回溯</w:t>
            </w:r>
          </w:p>
          <w:p w14:paraId="19F2C4C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支持用户根据需要回溯到历史指标体系版本。回溯过程中，系统自动切换相关数据和配置信息到对应版本状态，确保数据一致性和业务连续性。同时，记录版本回溯操作日志，便于审计和追踪。</w:t>
            </w:r>
          </w:p>
          <w:p w14:paraId="1172ADD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4.2.3.2.4.2计算指标血缘关系</w:t>
            </w:r>
          </w:p>
          <w:p w14:paraId="77835AB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4.2.3.2.4.2.1同指标体系版本下与原始指标的关系</w:t>
            </w:r>
          </w:p>
          <w:p w14:paraId="053BB08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系统自动分析计算指标与原始指标之间的依赖关系，生成指标血缘图谱。通过图谱，用户可清晰查看计算指标的数据来源、计算过程和影响范围，便于进行数据溯源和问题排查。</w:t>
            </w:r>
          </w:p>
          <w:p w14:paraId="5DF06F6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4.2.3.2.4.2.2不同版本指标体系下统一指标比对关系</w:t>
            </w:r>
          </w:p>
          <w:p w14:paraId="6BEFABD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建立不同版本指标体系下同一指标的比对机制，分析指标定义、计算方法、数据来源等方面的差异。生成指标版本比对报告，直观展示指标在不同版本中的变化情况，为指标体系的优化和调整提供参考依据。</w:t>
            </w:r>
          </w:p>
          <w:p w14:paraId="71EE67C9">
            <w:pPr>
              <w:pStyle w:val="7"/>
              <w:numPr>
                <w:ilvl w:val="4"/>
                <w:numId w:val="0"/>
              </w:numPr>
              <w:rPr>
                <w:rFonts w:hint="eastAsia"/>
              </w:rPr>
            </w:pPr>
            <w:r>
              <w:rPr>
                <w:rFonts w:hint="eastAsia"/>
              </w:rPr>
              <w:t>4.2.3.2.5优化前后功能对比清单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15"/>
              <w:gridCol w:w="1755"/>
              <w:gridCol w:w="1945"/>
              <w:gridCol w:w="2130"/>
            </w:tblGrid>
            <w:tr w14:paraId="215F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2108114">
                  <w:pPr>
                    <w:jc w:val="center"/>
                    <w:rPr>
                      <w:rFonts w:hint="eastAsia" w:ascii="仿宋" w:hAnsi="仿宋" w:eastAsia="仿宋" w:cs="仿宋"/>
                      <w:b/>
                      <w:bCs/>
                      <w:szCs w:val="21"/>
                    </w:rPr>
                  </w:pPr>
                  <w:r>
                    <w:rPr>
                      <w:rFonts w:hint="eastAsia" w:ascii="仿宋" w:hAnsi="仿宋" w:eastAsia="仿宋" w:cs="仿宋"/>
                      <w:b/>
                      <w:bCs/>
                      <w:szCs w:val="21"/>
                    </w:rPr>
                    <w:t>序号</w:t>
                  </w:r>
                </w:p>
              </w:tc>
              <w:tc>
                <w:tcPr>
                  <w:tcW w:w="3430" w:type="dxa"/>
                  <w:gridSpan w:val="2"/>
                  <w:vAlign w:val="center"/>
                </w:tcPr>
                <w:p w14:paraId="2E34CE3C">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5076" w:type="dxa"/>
                  <w:gridSpan w:val="2"/>
                  <w:vAlign w:val="center"/>
                </w:tcPr>
                <w:p w14:paraId="3AD891D7">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3360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DB7C36A">
                  <w:pPr>
                    <w:rPr>
                      <w:rFonts w:hint="eastAsia" w:ascii="仿宋" w:hAnsi="仿宋" w:eastAsia="仿宋" w:cs="仿宋"/>
                      <w:szCs w:val="21"/>
                    </w:rPr>
                  </w:pPr>
                  <w:r>
                    <w:rPr>
                      <w:rFonts w:hint="eastAsia" w:ascii="仿宋" w:hAnsi="仿宋" w:eastAsia="仿宋" w:cs="仿宋"/>
                      <w:szCs w:val="21"/>
                    </w:rPr>
                    <w:t>1</w:t>
                  </w:r>
                </w:p>
              </w:tc>
              <w:tc>
                <w:tcPr>
                  <w:tcW w:w="1230" w:type="dxa"/>
                  <w:vAlign w:val="center"/>
                </w:tcPr>
                <w:p w14:paraId="3DD0BC8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0BDE87F4">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7312527C">
                  <w:pPr>
                    <w:rPr>
                      <w:rFonts w:hint="eastAsia" w:ascii="仿宋" w:hAnsi="仿宋" w:eastAsia="仿宋" w:cs="仿宋"/>
                      <w:szCs w:val="21"/>
                    </w:rPr>
                  </w:pPr>
                  <w:r>
                    <w:rPr>
                      <w:rFonts w:hint="eastAsia" w:ascii="仿宋" w:hAnsi="仿宋" w:eastAsia="仿宋" w:cs="仿宋"/>
                      <w:szCs w:val="21"/>
                    </w:rPr>
                    <w:t>指标体系构建</w:t>
                  </w:r>
                </w:p>
              </w:tc>
              <w:tc>
                <w:tcPr>
                  <w:tcW w:w="2659" w:type="dxa"/>
                  <w:vAlign w:val="center"/>
                </w:tcPr>
                <w:p w14:paraId="20F35DC1">
                  <w:pPr>
                    <w:rPr>
                      <w:rFonts w:hint="eastAsia" w:ascii="仿宋" w:hAnsi="仿宋" w:eastAsia="仿宋" w:cs="仿宋"/>
                      <w:szCs w:val="21"/>
                    </w:rPr>
                  </w:pPr>
                  <w:r>
                    <w:rPr>
                      <w:rFonts w:hint="eastAsia" w:ascii="仿宋" w:hAnsi="仿宋" w:eastAsia="仿宋" w:cs="仿宋"/>
                      <w:szCs w:val="21"/>
                    </w:rPr>
                    <w:t>指标分类</w:t>
                  </w:r>
                </w:p>
              </w:tc>
            </w:tr>
            <w:tr w14:paraId="2629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57F302F">
                  <w:pPr>
                    <w:rPr>
                      <w:rFonts w:hint="eastAsia" w:ascii="仿宋" w:hAnsi="仿宋" w:eastAsia="仿宋" w:cs="仿宋"/>
                      <w:szCs w:val="21"/>
                    </w:rPr>
                  </w:pPr>
                  <w:r>
                    <w:rPr>
                      <w:rFonts w:hint="eastAsia" w:ascii="仿宋" w:hAnsi="仿宋" w:eastAsia="仿宋" w:cs="仿宋"/>
                      <w:szCs w:val="21"/>
                    </w:rPr>
                    <w:t>2</w:t>
                  </w:r>
                </w:p>
              </w:tc>
              <w:tc>
                <w:tcPr>
                  <w:tcW w:w="1230" w:type="dxa"/>
                  <w:vAlign w:val="center"/>
                </w:tcPr>
                <w:p w14:paraId="4B683DA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79134EC4">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74C1C07E">
                  <w:pPr>
                    <w:rPr>
                      <w:rFonts w:hint="eastAsia" w:ascii="仿宋" w:hAnsi="仿宋" w:eastAsia="仿宋" w:cs="仿宋"/>
                      <w:szCs w:val="21"/>
                    </w:rPr>
                  </w:pPr>
                </w:p>
              </w:tc>
              <w:tc>
                <w:tcPr>
                  <w:tcW w:w="2659" w:type="dxa"/>
                  <w:vAlign w:val="center"/>
                </w:tcPr>
                <w:p w14:paraId="48029563">
                  <w:pPr>
                    <w:rPr>
                      <w:rFonts w:hint="eastAsia" w:ascii="仿宋" w:hAnsi="仿宋" w:eastAsia="仿宋" w:cs="仿宋"/>
                      <w:szCs w:val="21"/>
                    </w:rPr>
                  </w:pPr>
                  <w:r>
                    <w:rPr>
                      <w:rFonts w:hint="eastAsia" w:ascii="仿宋" w:hAnsi="仿宋" w:eastAsia="仿宋" w:cs="仿宋"/>
                      <w:szCs w:val="21"/>
                    </w:rPr>
                    <w:t>指标定义</w:t>
                  </w:r>
                </w:p>
              </w:tc>
            </w:tr>
            <w:tr w14:paraId="51EE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ECEAE67">
                  <w:pPr>
                    <w:rPr>
                      <w:rFonts w:hint="eastAsia" w:ascii="仿宋" w:hAnsi="仿宋" w:eastAsia="仿宋" w:cs="仿宋"/>
                      <w:szCs w:val="21"/>
                    </w:rPr>
                  </w:pPr>
                  <w:r>
                    <w:rPr>
                      <w:rFonts w:hint="eastAsia" w:ascii="仿宋" w:hAnsi="仿宋" w:eastAsia="仿宋" w:cs="仿宋"/>
                      <w:szCs w:val="21"/>
                    </w:rPr>
                    <w:t>3</w:t>
                  </w:r>
                </w:p>
              </w:tc>
              <w:tc>
                <w:tcPr>
                  <w:tcW w:w="1230" w:type="dxa"/>
                  <w:vAlign w:val="center"/>
                </w:tcPr>
                <w:p w14:paraId="4A057D4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4FA51C03">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0C30708A">
                  <w:pPr>
                    <w:rPr>
                      <w:rFonts w:hint="eastAsia" w:ascii="仿宋" w:hAnsi="仿宋" w:eastAsia="仿宋" w:cs="仿宋"/>
                      <w:szCs w:val="21"/>
                    </w:rPr>
                  </w:pPr>
                  <w:r>
                    <w:rPr>
                      <w:rFonts w:hint="eastAsia" w:ascii="仿宋" w:hAnsi="仿宋" w:eastAsia="仿宋" w:cs="仿宋"/>
                      <w:szCs w:val="21"/>
                    </w:rPr>
                    <w:t>指标体系固化</w:t>
                  </w:r>
                </w:p>
              </w:tc>
              <w:tc>
                <w:tcPr>
                  <w:tcW w:w="2659" w:type="dxa"/>
                  <w:vAlign w:val="center"/>
                </w:tcPr>
                <w:p w14:paraId="395A229E">
                  <w:pPr>
                    <w:rPr>
                      <w:rFonts w:hint="eastAsia" w:ascii="仿宋" w:hAnsi="仿宋" w:eastAsia="仿宋" w:cs="仿宋"/>
                      <w:szCs w:val="21"/>
                    </w:rPr>
                  </w:pPr>
                  <w:r>
                    <w:rPr>
                      <w:rFonts w:hint="eastAsia" w:ascii="仿宋" w:hAnsi="仿宋" w:eastAsia="仿宋" w:cs="仿宋"/>
                      <w:szCs w:val="21"/>
                    </w:rPr>
                    <w:t>周期结转</w:t>
                  </w:r>
                </w:p>
              </w:tc>
            </w:tr>
            <w:tr w14:paraId="32A9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460718A">
                  <w:pPr>
                    <w:rPr>
                      <w:rFonts w:hint="eastAsia" w:ascii="仿宋" w:hAnsi="仿宋" w:eastAsia="仿宋" w:cs="仿宋"/>
                      <w:szCs w:val="21"/>
                    </w:rPr>
                  </w:pPr>
                  <w:r>
                    <w:rPr>
                      <w:rFonts w:hint="eastAsia" w:ascii="仿宋" w:hAnsi="仿宋" w:eastAsia="仿宋" w:cs="仿宋"/>
                      <w:szCs w:val="21"/>
                    </w:rPr>
                    <w:t>4</w:t>
                  </w:r>
                </w:p>
              </w:tc>
              <w:tc>
                <w:tcPr>
                  <w:tcW w:w="1230" w:type="dxa"/>
                  <w:vAlign w:val="center"/>
                </w:tcPr>
                <w:p w14:paraId="12F091AE">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32116BD2">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61622630">
                  <w:pPr>
                    <w:rPr>
                      <w:rFonts w:hint="eastAsia" w:ascii="仿宋" w:hAnsi="仿宋" w:eastAsia="仿宋" w:cs="仿宋"/>
                      <w:szCs w:val="21"/>
                    </w:rPr>
                  </w:pPr>
                </w:p>
              </w:tc>
              <w:tc>
                <w:tcPr>
                  <w:tcW w:w="2659" w:type="dxa"/>
                  <w:vAlign w:val="center"/>
                </w:tcPr>
                <w:p w14:paraId="0D5FE38C">
                  <w:pPr>
                    <w:rPr>
                      <w:rFonts w:hint="eastAsia" w:ascii="仿宋" w:hAnsi="仿宋" w:eastAsia="仿宋" w:cs="仿宋"/>
                      <w:szCs w:val="21"/>
                    </w:rPr>
                  </w:pPr>
                  <w:r>
                    <w:rPr>
                      <w:rFonts w:hint="eastAsia" w:ascii="仿宋" w:hAnsi="仿宋" w:eastAsia="仿宋" w:cs="仿宋"/>
                      <w:szCs w:val="21"/>
                    </w:rPr>
                    <w:t>历史固化数据查询</w:t>
                  </w:r>
                </w:p>
              </w:tc>
            </w:tr>
            <w:tr w14:paraId="34BD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C273BA5">
                  <w:pPr>
                    <w:rPr>
                      <w:rFonts w:hint="eastAsia" w:ascii="仿宋" w:hAnsi="仿宋" w:eastAsia="仿宋" w:cs="仿宋"/>
                      <w:szCs w:val="21"/>
                    </w:rPr>
                  </w:pPr>
                  <w:r>
                    <w:rPr>
                      <w:rFonts w:hint="eastAsia" w:ascii="仿宋" w:hAnsi="仿宋" w:eastAsia="仿宋" w:cs="仿宋"/>
                      <w:szCs w:val="21"/>
                    </w:rPr>
                    <w:t>5</w:t>
                  </w:r>
                </w:p>
              </w:tc>
              <w:tc>
                <w:tcPr>
                  <w:tcW w:w="1230" w:type="dxa"/>
                  <w:vAlign w:val="center"/>
                </w:tcPr>
                <w:p w14:paraId="2827DDC5">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1C738438">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16A40DEC">
                  <w:pPr>
                    <w:rPr>
                      <w:rFonts w:hint="eastAsia" w:ascii="仿宋" w:hAnsi="仿宋" w:eastAsia="仿宋" w:cs="仿宋"/>
                      <w:szCs w:val="21"/>
                    </w:rPr>
                  </w:pPr>
                  <w:r>
                    <w:rPr>
                      <w:rFonts w:hint="eastAsia" w:ascii="仿宋" w:hAnsi="仿宋" w:eastAsia="仿宋" w:cs="仿宋"/>
                      <w:szCs w:val="21"/>
                    </w:rPr>
                    <w:t>指标数据分析</w:t>
                  </w:r>
                </w:p>
              </w:tc>
              <w:tc>
                <w:tcPr>
                  <w:tcW w:w="2659" w:type="dxa"/>
                  <w:vAlign w:val="center"/>
                </w:tcPr>
                <w:p w14:paraId="2EB6C557">
                  <w:pPr>
                    <w:rPr>
                      <w:rFonts w:hint="eastAsia" w:ascii="仿宋" w:hAnsi="仿宋" w:eastAsia="仿宋" w:cs="仿宋"/>
                      <w:szCs w:val="21"/>
                    </w:rPr>
                  </w:pPr>
                  <w:r>
                    <w:rPr>
                      <w:rFonts w:hint="eastAsia" w:ascii="仿宋" w:hAnsi="仿宋" w:eastAsia="仿宋" w:cs="仿宋"/>
                      <w:szCs w:val="21"/>
                    </w:rPr>
                    <w:t>国家直报分析</w:t>
                  </w:r>
                </w:p>
              </w:tc>
            </w:tr>
            <w:tr w14:paraId="495A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30C4C61">
                  <w:pPr>
                    <w:rPr>
                      <w:rFonts w:hint="eastAsia" w:ascii="仿宋" w:hAnsi="仿宋" w:eastAsia="仿宋" w:cs="仿宋"/>
                      <w:szCs w:val="21"/>
                    </w:rPr>
                  </w:pPr>
                  <w:r>
                    <w:rPr>
                      <w:rFonts w:hint="eastAsia" w:ascii="仿宋" w:hAnsi="仿宋" w:eastAsia="仿宋" w:cs="仿宋"/>
                      <w:szCs w:val="21"/>
                    </w:rPr>
                    <w:t>6</w:t>
                  </w:r>
                </w:p>
              </w:tc>
              <w:tc>
                <w:tcPr>
                  <w:tcW w:w="1230" w:type="dxa"/>
                  <w:vAlign w:val="center"/>
                </w:tcPr>
                <w:p w14:paraId="69DB0179">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11D46FCD">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1DD1D415">
                  <w:pPr>
                    <w:rPr>
                      <w:rFonts w:hint="eastAsia" w:ascii="仿宋" w:hAnsi="仿宋" w:eastAsia="仿宋" w:cs="仿宋"/>
                      <w:szCs w:val="21"/>
                    </w:rPr>
                  </w:pPr>
                </w:p>
              </w:tc>
              <w:tc>
                <w:tcPr>
                  <w:tcW w:w="2659" w:type="dxa"/>
                  <w:vAlign w:val="center"/>
                </w:tcPr>
                <w:p w14:paraId="15C1DD7B">
                  <w:pPr>
                    <w:rPr>
                      <w:rFonts w:hint="eastAsia" w:ascii="仿宋" w:hAnsi="仿宋" w:eastAsia="仿宋" w:cs="仿宋"/>
                      <w:szCs w:val="21"/>
                    </w:rPr>
                  </w:pPr>
                  <w:r>
                    <w:rPr>
                      <w:rFonts w:hint="eastAsia" w:ascii="仿宋" w:hAnsi="仿宋" w:eastAsia="仿宋" w:cs="仿宋"/>
                      <w:szCs w:val="21"/>
                    </w:rPr>
                    <w:t>陕西省决策分析</w:t>
                  </w:r>
                </w:p>
              </w:tc>
            </w:tr>
            <w:tr w14:paraId="4DE1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0CD2787">
                  <w:pPr>
                    <w:rPr>
                      <w:rFonts w:hint="eastAsia" w:ascii="仿宋" w:hAnsi="仿宋" w:eastAsia="仿宋" w:cs="仿宋"/>
                      <w:szCs w:val="21"/>
                    </w:rPr>
                  </w:pPr>
                  <w:r>
                    <w:rPr>
                      <w:rFonts w:hint="eastAsia" w:ascii="仿宋" w:hAnsi="仿宋" w:eastAsia="仿宋" w:cs="仿宋"/>
                      <w:szCs w:val="21"/>
                    </w:rPr>
                    <w:t>7</w:t>
                  </w:r>
                </w:p>
              </w:tc>
              <w:tc>
                <w:tcPr>
                  <w:tcW w:w="1230" w:type="dxa"/>
                  <w:vAlign w:val="center"/>
                </w:tcPr>
                <w:p w14:paraId="49723624">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3D93E396">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6D8EC988">
                  <w:pPr>
                    <w:rPr>
                      <w:rFonts w:hint="eastAsia" w:ascii="仿宋" w:hAnsi="仿宋" w:eastAsia="仿宋" w:cs="仿宋"/>
                      <w:szCs w:val="21"/>
                    </w:rPr>
                  </w:pPr>
                </w:p>
              </w:tc>
              <w:tc>
                <w:tcPr>
                  <w:tcW w:w="2659" w:type="dxa"/>
                  <w:vAlign w:val="center"/>
                </w:tcPr>
                <w:p w14:paraId="19D650A8">
                  <w:pPr>
                    <w:rPr>
                      <w:rFonts w:hint="eastAsia" w:ascii="仿宋" w:hAnsi="仿宋" w:eastAsia="仿宋" w:cs="仿宋"/>
                      <w:szCs w:val="21"/>
                    </w:rPr>
                  </w:pPr>
                  <w:r>
                    <w:rPr>
                      <w:rFonts w:hint="eastAsia" w:ascii="仿宋" w:hAnsi="仿宋" w:eastAsia="仿宋" w:cs="仿宋"/>
                      <w:szCs w:val="21"/>
                    </w:rPr>
                    <w:t>数据一致性对比</w:t>
                  </w:r>
                </w:p>
              </w:tc>
            </w:tr>
            <w:tr w14:paraId="7969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CBED723">
                  <w:pPr>
                    <w:rPr>
                      <w:rFonts w:hint="eastAsia" w:ascii="仿宋" w:hAnsi="仿宋" w:eastAsia="仿宋" w:cs="仿宋"/>
                      <w:szCs w:val="21"/>
                    </w:rPr>
                  </w:pPr>
                  <w:r>
                    <w:rPr>
                      <w:rFonts w:hint="eastAsia" w:ascii="仿宋" w:hAnsi="仿宋" w:eastAsia="仿宋" w:cs="仿宋"/>
                      <w:szCs w:val="21"/>
                    </w:rPr>
                    <w:t>8</w:t>
                  </w:r>
                </w:p>
              </w:tc>
              <w:tc>
                <w:tcPr>
                  <w:tcW w:w="1230" w:type="dxa"/>
                  <w:vAlign w:val="center"/>
                </w:tcPr>
                <w:p w14:paraId="50502504">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2DA8F959">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46729E94">
                  <w:pPr>
                    <w:rPr>
                      <w:rFonts w:hint="eastAsia" w:ascii="仿宋" w:hAnsi="仿宋" w:eastAsia="仿宋" w:cs="仿宋"/>
                      <w:szCs w:val="21"/>
                    </w:rPr>
                  </w:pPr>
                  <w:r>
                    <w:rPr>
                      <w:rFonts w:hint="eastAsia" w:ascii="仿宋" w:hAnsi="仿宋" w:eastAsia="仿宋" w:cs="仿宋"/>
                      <w:szCs w:val="21"/>
                    </w:rPr>
                    <w:t>指标全生命周期管理</w:t>
                  </w:r>
                </w:p>
              </w:tc>
              <w:tc>
                <w:tcPr>
                  <w:tcW w:w="2659" w:type="dxa"/>
                  <w:vAlign w:val="center"/>
                </w:tcPr>
                <w:p w14:paraId="363A660A">
                  <w:pPr>
                    <w:rPr>
                      <w:rFonts w:hint="eastAsia" w:ascii="仿宋" w:hAnsi="仿宋" w:eastAsia="仿宋" w:cs="仿宋"/>
                      <w:szCs w:val="21"/>
                    </w:rPr>
                  </w:pPr>
                  <w:r>
                    <w:rPr>
                      <w:rFonts w:hint="eastAsia" w:ascii="仿宋" w:hAnsi="仿宋" w:eastAsia="仿宋" w:cs="仿宋"/>
                      <w:szCs w:val="21"/>
                    </w:rPr>
                    <w:t>版本控制</w:t>
                  </w:r>
                </w:p>
              </w:tc>
            </w:tr>
            <w:tr w14:paraId="57DE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87D439D">
                  <w:pPr>
                    <w:rPr>
                      <w:rFonts w:hint="eastAsia" w:ascii="仿宋" w:hAnsi="仿宋" w:eastAsia="仿宋" w:cs="仿宋"/>
                      <w:szCs w:val="21"/>
                    </w:rPr>
                  </w:pPr>
                  <w:r>
                    <w:rPr>
                      <w:rFonts w:hint="eastAsia" w:ascii="仿宋" w:hAnsi="仿宋" w:eastAsia="仿宋" w:cs="仿宋"/>
                      <w:szCs w:val="21"/>
                    </w:rPr>
                    <w:t>9</w:t>
                  </w:r>
                </w:p>
              </w:tc>
              <w:tc>
                <w:tcPr>
                  <w:tcW w:w="1230" w:type="dxa"/>
                  <w:vAlign w:val="center"/>
                </w:tcPr>
                <w:p w14:paraId="5897D326">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538C2EF9">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43F2DBF3">
                  <w:pPr>
                    <w:rPr>
                      <w:rFonts w:hint="eastAsia" w:ascii="仿宋" w:hAnsi="仿宋" w:eastAsia="仿宋" w:cs="仿宋"/>
                      <w:szCs w:val="21"/>
                    </w:rPr>
                  </w:pPr>
                </w:p>
              </w:tc>
              <w:tc>
                <w:tcPr>
                  <w:tcW w:w="2659" w:type="dxa"/>
                  <w:vAlign w:val="center"/>
                </w:tcPr>
                <w:p w14:paraId="56ECDCC8">
                  <w:pPr>
                    <w:rPr>
                      <w:rFonts w:hint="eastAsia" w:ascii="仿宋" w:hAnsi="仿宋" w:eastAsia="仿宋" w:cs="仿宋"/>
                      <w:szCs w:val="21"/>
                    </w:rPr>
                  </w:pPr>
                  <w:r>
                    <w:rPr>
                      <w:rFonts w:hint="eastAsia" w:ascii="仿宋" w:hAnsi="仿宋" w:eastAsia="仿宋" w:cs="仿宋"/>
                      <w:szCs w:val="21"/>
                    </w:rPr>
                    <w:t>血缘关系</w:t>
                  </w:r>
                </w:p>
              </w:tc>
            </w:tr>
          </w:tbl>
          <w:p w14:paraId="1880D154"/>
          <w:p w14:paraId="20EB355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4.2.3.3数据查询功能优化</w:t>
            </w:r>
          </w:p>
          <w:p w14:paraId="7A6A42C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数据查询作为直报系统的核心功能，旨在为用户提供灵活、高效的数据获取方式。通过科学的查询维度建设与精准的数据汇总计算，实现数据的深度挖掘与价值利用，具体内容如下：</w:t>
            </w:r>
          </w:p>
          <w:p w14:paraId="599126B5">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4.2.3.3.1查询维度建设</w:t>
            </w:r>
          </w:p>
          <w:p w14:paraId="3086DA2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4.2.3.3.1.1基础属性维度</w:t>
            </w:r>
          </w:p>
          <w:p w14:paraId="406CC3D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围绕医疗卫生机构、卫生人员、卫生设备等基础信息，构建多维度查询条件。支持按机构类型（医院、卫生院、社区服务中心等）、行政区划（省、市、县）、机构等级（三级甲等、二级乙等）、卫生人员岗位（医生、护士、管理人员）、卫生设备类别（医用影像设备、检验设备）等属性进行单项或组合查询，快速定位目标数据。</w:t>
            </w:r>
          </w:p>
          <w:p w14:paraId="27A1101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4.2.3.3.1.2时间序列维度</w:t>
            </w:r>
          </w:p>
          <w:p w14:paraId="68F393D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建立年、季、月、日等时间维度，用户可选择特定时间段查询数据，如查询2023年全年某地区医疗服务量变化趋势；同时支持时间跨度查询，对比不同时期数据差异，满足长期数据监测与分析需求。</w:t>
            </w:r>
          </w:p>
          <w:p w14:paraId="637C0D4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4.2.3.3.1.3业务指标维度</w:t>
            </w:r>
          </w:p>
          <w:p w14:paraId="29172D8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针对卫生资源、医疗服务、公共卫生等业务领域，梳理关键指标作为查询维度。例如，以诊疗人次、住院天数、健康档案建档率等指标为条件，精准筛选符合特定业务需求的数据，辅助业务分析与决策。</w:t>
            </w:r>
          </w:p>
          <w:p w14:paraId="793A2C6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4.2.3.3.1.4自定义维度</w:t>
            </w:r>
          </w:p>
          <w:p w14:paraId="47C5F9C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提供自定义查询维度功能，允许管理员根据实际业务需求，灵活添加、编辑查询条件。如新增“医改政策实施效果”相关指标作为查询维度，满足临时性、个性化的数据查询场景。</w:t>
            </w:r>
          </w:p>
          <w:p w14:paraId="110D28E2">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4.2.3.3.2数据汇总计算</w:t>
            </w:r>
          </w:p>
          <w:p w14:paraId="40E61FC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4.2.3.3.2.1基础统计计算</w:t>
            </w:r>
          </w:p>
          <w:p w14:paraId="575EA9B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系统支持对查询结果进行基础统计运算，包括求和、平均值、最大值、最小值、计数等。例如，计算某地区所有医疗机构的平均住院日、某类设备的总数，快速生成基础统计报表，直观呈现数据概况。</w:t>
            </w:r>
          </w:p>
          <w:p w14:paraId="65A13B0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4.2.3.3.2.2复杂公式计算</w:t>
            </w:r>
          </w:p>
          <w:p w14:paraId="75615C5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定义复杂计算公式，满足多样化的数据分析需求。如通过定义公式计算“床位使用率=实际占用总床日数/实际开放总床日数×100%”，系统自动根据查询数据完成公式计算，并展示结果，辅助用户进行深度业务分析。</w:t>
            </w:r>
          </w:p>
          <w:p w14:paraId="331F902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4.2.3.3.2.3数据分组汇总</w:t>
            </w:r>
          </w:p>
          <w:p w14:paraId="5CEA046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可根据不同维度对查询数据进行分组汇总，如按机构类型分组，统计各类机构的医疗资源配置情况；按时间周期分组，分析业务指标的周期性变化规律。分组结果以图形、表格形式展示，便于用户对比分析。</w:t>
            </w:r>
          </w:p>
          <w:p w14:paraId="18B7D44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4.2.3.3.2.4动态计算</w:t>
            </w:r>
          </w:p>
          <w:p w14:paraId="5F56D6F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结合系统数据更新机制，对查询数据进行动态汇总计算。当数据发生变化时，系统计算得到最新相关统计结果，确保用户获取的汇总数据始终为最新状态，提高数据时效性与决策参考价值。</w:t>
            </w:r>
          </w:p>
          <w:p w14:paraId="2180DC21">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4.2.3.3.3数据分类查询</w:t>
            </w:r>
          </w:p>
          <w:p w14:paraId="6789AC2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4.2.3.3.3.1卫生年报数据查询</w:t>
            </w:r>
          </w:p>
          <w:p w14:paraId="279DA5D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4.2.3.3.3.1.1地区报送情况查询</w:t>
            </w:r>
          </w:p>
          <w:p w14:paraId="65F0DF6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卫生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64B6931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4.2.3.3.3.1.2机构报送情况查询</w:t>
            </w:r>
          </w:p>
          <w:p w14:paraId="4B36713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如医院、卫生院等），以及关键的报送状态。报送状态分为“已报”“未报”“填报中”三类，“已报”表示机构已完整提交年报数据；“未报”对应未在规定时间内提交任何数据的机构；“填报中”用于标记已启动报送流程但尚未完成数据提交的机构。</w:t>
            </w:r>
          </w:p>
          <w:p w14:paraId="02A20ED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4.2.3.3.3.1.3明细数据一览表查询</w:t>
            </w:r>
          </w:p>
          <w:p w14:paraId="1E2123D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卫生年报数据的深度查看与分析能力，支持对机构报送的详细数据进行一站式查询与导出。用户可在卫生年报数据查询界面中，通过专属的“机构报送明细数据一览表查询”入口进入该功能模块。进入查询界面后，系统提供丰富的筛选条件以便用户精准定位所需数据。用户不仅可以按照行政区划（省、市、区县等层级）进行筛选，还能结合机构类型（综合医院、专科医院、基层卫生院、社区卫生服务中心等）、机构等级（三级甲等、二级乙等）等条件进行组合查询。</w:t>
            </w:r>
          </w:p>
          <w:p w14:paraId="78694DC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此外，系统还支持将查询结果以Excel格式导出，导出的数据保持一览表的原有格式与内容，方便用户在本地进行数据的进一步加工、分析与存档。</w:t>
            </w:r>
          </w:p>
          <w:p w14:paraId="7ADA4F4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4.2.3.3.3.2卫生月报数据查询</w:t>
            </w:r>
          </w:p>
          <w:p w14:paraId="2420D57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4.2.3.3.3.2.1地区报送情况查询</w:t>
            </w:r>
          </w:p>
          <w:p w14:paraId="1AAA6C1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助力用户快速了解各区域下属机构的卫生月报数据报送整体状况。用户进入查询界面后，可通过下拉菜单选择具体的年份和月份，以及所需查询的行政区划层级（如省、市、区县等）。系统将以直观的表格形式呈现查询结果，表格中包含关键信息列：行政区划名称，明确数据所属区域；应报机构数，展示该区域按要求需报送月报数据的机构总数；实报机构数，反映实际完成报送的机构数量；报送比，通过公式（实报机构数÷应报机构数×100%）自动计算得出，直观体现该区域当月的报送完成比例。此外，系统还支持生成可视化图表，如柱状图可对比不同行政区划的报送比差异，折线图能展示同一区域连续数月的报送趋势变化，方便用户更直观地分析数据，及时发现报送异常区域并采取相应措施。</w:t>
            </w:r>
          </w:p>
          <w:p w14:paraId="1701356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4.2.3.3.3.2.2机构报送情况查询</w:t>
            </w:r>
          </w:p>
          <w:p w14:paraId="246A66B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度展示特定区域内各机构的详细卫生月报报送状态。用户首先选择目标行政区划以及对应的年月，系统随即展示详细的机构报送清单。清单逐行罗列区域内各机构信息，包括机构名称、统一社会信用代码、机构类型（如医院、卫生院等），以及关键的报送状态字段。报送状态分为“已报”“未报”“填报中”三类，“已报”表示机构已完整提交当月的月报数据；“未报”对应未在规定时间内提交任何数据的机构；“填报中”用于标记已启动报送流程但尚未完成数据提交的机构。</w:t>
            </w:r>
          </w:p>
          <w:p w14:paraId="20F454F3">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4.2.3.3.3.2.3明细数据一览表查询</w:t>
            </w:r>
          </w:p>
          <w:p w14:paraId="586BC48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卫生月报数据的深度查看与分析能力，支持对机构报送的详细数据进行一站式查询与导出。用户可在卫生月报数据查询界面中，通过专属的“机构报送明细数据一览表查询”入口进入该功能模块。进入查询界面后，系统提供丰富的筛选条件以便用户精准定位所需数据。用户不仅可以按照行政区划（省、市、区县等层级）进行筛选，还能结合机构类型（综合医院、专科医院、基层卫生院、社区卫生服务中心等）、机构等级（三级甲等、二级乙等）等条件进行组合查询。</w:t>
            </w:r>
          </w:p>
          <w:p w14:paraId="395EFEC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此外，系统还支持将查询结果以Excel格式导出，导出的数据保持一览表的原有格式与内容，方便用户在本地进行数据的进一步加工、分析与存档。</w:t>
            </w:r>
          </w:p>
          <w:p w14:paraId="0C60F7A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4.2.3.3.3.3.医改监测数据查询</w:t>
            </w:r>
          </w:p>
          <w:p w14:paraId="7F0A8A73">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4.2.3.3.3.3.1各地区报送情况查询</w:t>
            </w:r>
          </w:p>
          <w:p w14:paraId="526E5F7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卫生行政部门的医改监测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6F51B55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4.2.3.3.3.3.2医疗机构报送状态查询</w:t>
            </w:r>
          </w:p>
          <w:p w14:paraId="2CA6CBA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如区县卫健局等），以及关键的报送状态字段。报送状态分为“已报”“未报”“填报中”三类，“已报”表示机构已完整提交妇幼年报数据；“未报”对应未在规定时间内提交任何数据的机构；“填报中”用于标记已启动报送流程但尚未完成数据提交的机构。</w:t>
            </w:r>
          </w:p>
          <w:p w14:paraId="15DED79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4.2.3.3.3.3.3明细数据一览表查询</w:t>
            </w:r>
          </w:p>
          <w:p w14:paraId="2101E8F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医改监测年报数据的深度查看与分析能力，支持对机构报送的详细数据进行一站式查询与导出。用户可在医改监测年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61522FA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此外，系统还支持将查询结果以Excel格式导出，导出的数据保持一览表的原有格式与内容，方便用户在本地进行数据的进一步加工、分析与存档。</w:t>
            </w:r>
          </w:p>
          <w:p w14:paraId="28FB0C29">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4.2.3.3.3.4妇幼业务数据查询</w:t>
            </w:r>
          </w:p>
          <w:p w14:paraId="420E495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4.2.3.3.3.4.1各地区报送情况查询</w:t>
            </w:r>
          </w:p>
          <w:p w14:paraId="3920CDF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妇幼司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3A8A9FD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4.2.3.3.3.4.2医疗机构报送状态查询</w:t>
            </w:r>
          </w:p>
          <w:p w14:paraId="7323323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如妇幼保健机构等），以及关键的报送状态字段。报送状态分为“已报”“未报”“填报中”三类，“已报”表示机构已完整提交妇幼年报数据；“未报”对应未在规定时间内提交任何数据的机构；“填报中”用于标记已启动报送流程但尚未完成数据提交的机构。</w:t>
            </w:r>
          </w:p>
          <w:p w14:paraId="284AD89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4.2.3.3.3.4.3明细数据一览表查询</w:t>
            </w:r>
          </w:p>
          <w:p w14:paraId="5A6362D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妇幼年报数据的深度查看与分析能力，支持对机构报送的详细数据进行一站式查询与导出。用户可在妇幼司年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31D360A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此外，系统还支持将查询结果以Excel格式导出，导出的数据保持一览表的原有格式与内容，方便用户在本地进行数据的进一步加工、分析与存档。</w:t>
            </w:r>
          </w:p>
          <w:p w14:paraId="152F569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4.2.3.3.3.5老龄业务数据查询</w:t>
            </w:r>
          </w:p>
          <w:p w14:paraId="541883C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4.2.3.3.3.5.1各地区报送情况查询</w:t>
            </w:r>
          </w:p>
          <w:p w14:paraId="4B83CB8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老龄司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1A248F6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4.2.3.3.3.5.2医疗机构报送状态查询</w:t>
            </w:r>
          </w:p>
          <w:p w14:paraId="079F331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如老龄机构等），以及关键的报送状态字段。报送状态分为“已报”“未报”“填报中”三类，“已报”表示机构已完整提交老龄年报数据；“未报”对应未在规定时间内提交任何数据的机构；“填报中”用于标记已启动报送流程但尚未完成数据提交的机构。</w:t>
            </w:r>
          </w:p>
          <w:p w14:paraId="017717A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4.2.3.3.3.5.3明细数据一览表查询</w:t>
            </w:r>
          </w:p>
          <w:p w14:paraId="50D31A8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老龄司年报数据的深度查看与分析能力，支持对机构报送的详细数据进行一站式查询与导出。用户可在老龄司年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4DADF4C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此外，系统还支持将查询结果以Excel格式导出，导出的数据保持一览表的原有格式与内容，方便用户在本地进行数据的进一步加工、分析与存档。</w:t>
            </w:r>
          </w:p>
          <w:p w14:paraId="25954B8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4.2.3.3.3.6托育业务数据查询</w:t>
            </w:r>
          </w:p>
          <w:p w14:paraId="6B7EE82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4.2.3.3.3.6.1各地区报送情况查询</w:t>
            </w:r>
          </w:p>
          <w:p w14:paraId="7E9C50B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人口司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4DD2748C">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4.2.3.3.3.6.2医疗机构报送状态查询</w:t>
            </w:r>
          </w:p>
          <w:p w14:paraId="1DCDEB8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如托育机构等），以及关键的报送状态字段。报送状态分为“已报”“未报”“填报中”三类，“已报”表示机构已完整提交托育年报数据；“未报”对应未在规定时间内提交任何数据的机构；“填报中”用于标记已启动报送流程但尚未完成数据提交的机构。</w:t>
            </w:r>
          </w:p>
          <w:p w14:paraId="7FD0D37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4.2.3.3.3.6.3明细数据一览表查询</w:t>
            </w:r>
          </w:p>
          <w:p w14:paraId="094D2BA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托育年报数据的深度查看与分析能力，支持对机构报送的详细数据进行一站式查询与导出。用户可在托育年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7090CB7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4.2.3.3.3.7宣传业务数据查询</w:t>
            </w:r>
          </w:p>
          <w:p w14:paraId="7DDB2CC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4.2.3.3.3.7.1各地区报送情况查询</w:t>
            </w:r>
          </w:p>
          <w:p w14:paraId="5C51111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宣传司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2D08F6D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4.2.3.3.3.7.2医疗机构报送状态查询</w:t>
            </w:r>
          </w:p>
          <w:p w14:paraId="4BF1A5D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以及关键的报送状态字段。报送状态分为“已报”“未报”“填报中”三类，“已报”表示机构已完整提交宣传司年报数据；“未报”对应未在规定时间内提交任何数据的机构；“填报中”用于标记已启动报送流程但尚未完成数据提交的机构。</w:t>
            </w:r>
          </w:p>
          <w:p w14:paraId="1074E56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4.2.3.3.3.7.3明细数据一览表查询</w:t>
            </w:r>
          </w:p>
          <w:p w14:paraId="6F9088C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宣传司年报数据的深度查看与分析能力，支持对机构报送的详细数据进行一站式查询与导出。用户可在宣传司年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16DB8878">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4.2.3.3.3.8科教业务数据查询</w:t>
            </w:r>
          </w:p>
          <w:p w14:paraId="7F0F1F2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4.2.3.3.3.8.1各地区报送情况查询</w:t>
            </w:r>
          </w:p>
          <w:p w14:paraId="022B513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科教司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52D8A05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4.2.3.3.3.8.2医疗机构报送状态查询</w:t>
            </w:r>
          </w:p>
          <w:p w14:paraId="5B8C549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以及关键的报送状态字段。报送状态分为“已报”“未报”“填报中”三类，“已报”表示机构已完整提交科教司年报数据；“未报”对应未在规定时间内提交任何数据的机构；“填报中”用于标记已启动报送流程但尚未完成数据提交的机构。</w:t>
            </w:r>
          </w:p>
          <w:p w14:paraId="3196290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4.2.3.3.3.8.3明细数据一览表查询</w:t>
            </w:r>
          </w:p>
          <w:p w14:paraId="68B0DB4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科教司年报数据的深度查看与分析能力，支持对机构报送的详细数据进行一站式查询与导出。用户可在科教司年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63D8A4D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4.2.3.3.3.9医养结合业务数据查询</w:t>
            </w:r>
          </w:p>
          <w:p w14:paraId="093947A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4.2.3.3.3.9.1各地区报送情况查询</w:t>
            </w:r>
          </w:p>
          <w:p w14:paraId="757E2F7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老龄司医养结合年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04F121F0">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4.2.3.3.3.9.2医疗机构报送状态查询</w:t>
            </w:r>
          </w:p>
          <w:p w14:paraId="31AF9EF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份，系统随即展示详细的机构报送清单。清单逐行罗列区域内各机构信息，包括机构名称、统一社会信用代码、机构类型，以及关键的报送状态字段。报送状态分为“已报”“未报”“填报中”三类，“已报”表示机构已完整提交医养结合年报数据；“未报”对应未在规定时间内提交任何数据的机构；“填报中”用于标记已启动报送流程但尚未完成数据提交的机构。</w:t>
            </w:r>
          </w:p>
          <w:p w14:paraId="3972856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4.2.3.3.3.9.3明细数据一览表查询</w:t>
            </w:r>
          </w:p>
          <w:p w14:paraId="7975B80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老龄司医养结合年报数据的深度查看与分析能力，支持对机构报送的详细数据进行一站式查询与导出。用户可在老龄司医养结合年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3421FA6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4.2.3.3.3.10病案首页数据查询</w:t>
            </w:r>
          </w:p>
          <w:p w14:paraId="168FFFB0">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4.2.3.3.3.10.1各地区报送情况查询</w:t>
            </w:r>
          </w:p>
          <w:p w14:paraId="2D50B43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住院病案首页月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年报数据的机构总数；实报机构数，反映实际完成报送的机构数量；报送比，通过公式（实报机构数÷应报机构数×100%）自动计算得出，直观体现报送完成比例。</w:t>
            </w:r>
          </w:p>
          <w:p w14:paraId="0C1F75E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4.2.3.3.3.10.2医疗机构报送状态查询</w:t>
            </w:r>
          </w:p>
          <w:p w14:paraId="2DFC094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以及对应的年月，系统随即展示详细的机构报送清单。清单逐行罗列区域内各机构信息，包括机构名称、统一社会信用代码、机构类型（如医院、社区卫生服务中心等），以及关键的报送状态字段。报送状态分为“已报”“未报”“填报中”三类，“已报”表示机构已完整提交妇幼年报数据；“未报”对应未在规定时间内提交任何数据的机构；“填报中”用于标记已启动报送流程但尚未完成数据提交的机构。</w:t>
            </w:r>
          </w:p>
          <w:p w14:paraId="38FC85C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4.2.3.3.3.10.3明细数据一览表查询</w:t>
            </w:r>
          </w:p>
          <w:p w14:paraId="4AA57B8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病案首页月报数据的深度查看与分析能力，支持对机构报送的详细数据进行一站式查询与导出。用户可在住院病案首页月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498118D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4.2.3.3.3.11卫生人力资源数据查询</w:t>
            </w:r>
          </w:p>
          <w:p w14:paraId="78A3341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4.2.3.3.3.11.1各地区报送情况查询</w:t>
            </w:r>
          </w:p>
          <w:p w14:paraId="2813435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卫生人力个案实时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实时报数据的机构总数；实报机构数，反映实际完成报送的机构数量；报送比，通过公式（实报机构数÷应报机构数×100%）自动计算得出，直观体现报送完成比例。</w:t>
            </w:r>
          </w:p>
          <w:p w14:paraId="060AE50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4.2.3.3.3.11.2医疗机构报送状态查询</w:t>
            </w:r>
          </w:p>
          <w:p w14:paraId="6B010C8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系统随即展示详细的机构报送清单。清单逐行罗列区域内各机构信息，包括机构名称、统一社会信用代码、机构类型（如医院、卫生院、村卫生室、诊所等），以及关键的报送状态字段。报送状态分为“已报”“未报”“填报中”三类，“已报”表示机构已完整提交妇幼年报数据；“未报”对应未在规定时间内提交任何数据的机构；“填报中”用于标记已启动报送流程但尚未完成数据提交的机构。</w:t>
            </w:r>
          </w:p>
          <w:p w14:paraId="224A0F0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4.2.3.3.3.11.3明细数据一览表查询</w:t>
            </w:r>
          </w:p>
          <w:p w14:paraId="0E2F48C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卫生人力个案实时数据的深度查看与分析能力，支持对机构报送的详细数据进行一站式查询与导出。用户可在卫生人力个案实时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4706B2F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4.2.3.3.3.12卫生设备数据查询</w:t>
            </w:r>
          </w:p>
          <w:p w14:paraId="670D411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4.2.3.3.3.12.1各地区报送情况查询</w:t>
            </w:r>
          </w:p>
          <w:p w14:paraId="0286FD8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以行政区划为维度，帮助用户快速掌握各区域下属机构的设备个案实时报报送整体状况。用户进入查询界面后，可通过下拉菜单行政区划层级（如省、市、区县等）。系统将以直观的表格形式呈现查询结果，表格包含关键信息列：行政区划名称，清晰标识数据所属区域；应报机构数，展示该区域按要求需报送实时报数据的机构总数；实报机构数，反映实际完成报送的机构数量；报送比，通过公式（实报机构数÷应报机构数×100%）自动计算得出，直观体现报送完成比例。</w:t>
            </w:r>
          </w:p>
          <w:p w14:paraId="0FB7F1C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4.2.3.3.3.12.2医疗机构报送状态查询</w:t>
            </w:r>
          </w:p>
          <w:p w14:paraId="1EC3A78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查询功能基于行政区划，深入展示特定区域内各机构的详细报送状态。用户选择目标行政区划，系统随即展示详细的机构报送清单。清单逐行罗列区域内各机构信息，包括机构名称、统一社会信用代码、机构类型（如医院、卫生院、村卫生室、诊所等），以及关键的报送状态字段。报送状态分为“已报”“未报”“填报中”三类，“已报”表示机构已完整提交妇幼年报数据；“未报”对应未在规定时间内提交任何数据的机构；“填报中”用于标记已启动报送流程但尚未完成数据提交的机构。</w:t>
            </w:r>
          </w:p>
          <w:p w14:paraId="52FDD78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4.2.3.3.3.12.3明细数据一览表查询</w:t>
            </w:r>
          </w:p>
          <w:p w14:paraId="6F4243C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报送明细数据一览表查询功能为用户提供卫生设备个案实时数据的深度查看与分析能力，支持对机构报送的详细数据进行一站式查询与导出。用户可在卫生设备个案实时报数据查询界面中，通过专属的“机构报送明细数据一览表查询”入口进入该功能模块。进入查询界面后，系统提供丰富的筛选条件以便用户精准定位所需数据。用户可以按照行政区划（省、市、区县等层级）进行筛选，查询任务报表的所有机构明细数据。</w:t>
            </w:r>
          </w:p>
          <w:p w14:paraId="5C30605F">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4.2.3.3.4优化前后功能对比清单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034"/>
              <w:gridCol w:w="2026"/>
              <w:gridCol w:w="973"/>
              <w:gridCol w:w="2814"/>
            </w:tblGrid>
            <w:tr w14:paraId="20A9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6EE063C">
                  <w:pPr>
                    <w:jc w:val="center"/>
                    <w:rPr>
                      <w:rFonts w:hint="eastAsia" w:ascii="仿宋" w:hAnsi="仿宋" w:eastAsia="仿宋" w:cs="仿宋"/>
                      <w:b/>
                      <w:bCs/>
                      <w:szCs w:val="21"/>
                    </w:rPr>
                  </w:pPr>
                  <w:r>
                    <w:rPr>
                      <w:rFonts w:hint="eastAsia" w:ascii="仿宋" w:hAnsi="仿宋" w:eastAsia="仿宋" w:cs="仿宋"/>
                      <w:b/>
                      <w:bCs/>
                      <w:szCs w:val="21"/>
                    </w:rPr>
                    <w:t>序号</w:t>
                  </w:r>
                </w:p>
              </w:tc>
              <w:tc>
                <w:tcPr>
                  <w:tcW w:w="3772" w:type="dxa"/>
                  <w:gridSpan w:val="2"/>
                  <w:vAlign w:val="center"/>
                </w:tcPr>
                <w:p w14:paraId="347210F3">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4734" w:type="dxa"/>
                  <w:gridSpan w:val="2"/>
                  <w:vAlign w:val="center"/>
                </w:tcPr>
                <w:p w14:paraId="17011C5C">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2FF8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C2AFE67">
                  <w:pPr>
                    <w:rPr>
                      <w:rFonts w:hint="eastAsia" w:ascii="仿宋" w:hAnsi="仿宋" w:eastAsia="仿宋" w:cs="仿宋"/>
                      <w:szCs w:val="21"/>
                    </w:rPr>
                  </w:pPr>
                  <w:r>
                    <w:rPr>
                      <w:rFonts w:hint="eastAsia" w:ascii="仿宋" w:hAnsi="仿宋" w:eastAsia="仿宋" w:cs="仿宋"/>
                      <w:szCs w:val="21"/>
                    </w:rPr>
                    <w:t>1</w:t>
                  </w:r>
                </w:p>
              </w:tc>
              <w:tc>
                <w:tcPr>
                  <w:tcW w:w="1230" w:type="dxa"/>
                  <w:vMerge w:val="restart"/>
                  <w:vAlign w:val="center"/>
                </w:tcPr>
                <w:p w14:paraId="086E867E">
                  <w:pPr>
                    <w:jc w:val="center"/>
                    <w:rPr>
                      <w:rFonts w:hint="eastAsia" w:ascii="仿宋" w:hAnsi="仿宋" w:eastAsia="仿宋" w:cs="仿宋"/>
                      <w:szCs w:val="21"/>
                    </w:rPr>
                  </w:pPr>
                  <w:r>
                    <w:rPr>
                      <w:rFonts w:hint="eastAsia" w:ascii="仿宋" w:hAnsi="仿宋" w:eastAsia="仿宋" w:cs="仿宋"/>
                      <w:szCs w:val="21"/>
                    </w:rPr>
                    <w:t>查询维度建设</w:t>
                  </w:r>
                </w:p>
              </w:tc>
              <w:tc>
                <w:tcPr>
                  <w:tcW w:w="2542" w:type="dxa"/>
                  <w:vAlign w:val="center"/>
                </w:tcPr>
                <w:p w14:paraId="132A57C8">
                  <w:pPr>
                    <w:rPr>
                      <w:rFonts w:hint="eastAsia" w:ascii="仿宋" w:hAnsi="仿宋" w:eastAsia="仿宋" w:cs="仿宋"/>
                      <w:szCs w:val="21"/>
                    </w:rPr>
                  </w:pPr>
                  <w:r>
                    <w:rPr>
                      <w:rFonts w:hint="eastAsia" w:ascii="仿宋" w:hAnsi="仿宋" w:eastAsia="仿宋" w:cs="仿宋"/>
                      <w:szCs w:val="21"/>
                    </w:rPr>
                    <w:t>基础属性维度</w:t>
                  </w:r>
                </w:p>
              </w:tc>
              <w:tc>
                <w:tcPr>
                  <w:tcW w:w="1150" w:type="dxa"/>
                  <w:vMerge w:val="restart"/>
                  <w:vAlign w:val="center"/>
                </w:tcPr>
                <w:p w14:paraId="5A765C7C">
                  <w:pPr>
                    <w:jc w:val="center"/>
                    <w:rPr>
                      <w:rFonts w:hint="eastAsia" w:ascii="仿宋" w:hAnsi="仿宋" w:eastAsia="仿宋" w:cs="仿宋"/>
                      <w:szCs w:val="21"/>
                    </w:rPr>
                  </w:pPr>
                  <w:r>
                    <w:rPr>
                      <w:rFonts w:hint="eastAsia" w:ascii="仿宋" w:hAnsi="仿宋" w:eastAsia="仿宋" w:cs="仿宋"/>
                      <w:szCs w:val="21"/>
                    </w:rPr>
                    <w:t>查询维度建设</w:t>
                  </w:r>
                </w:p>
              </w:tc>
              <w:tc>
                <w:tcPr>
                  <w:tcW w:w="3584" w:type="dxa"/>
                  <w:vAlign w:val="center"/>
                </w:tcPr>
                <w:p w14:paraId="09C6F02B">
                  <w:pPr>
                    <w:rPr>
                      <w:rFonts w:hint="eastAsia" w:ascii="仿宋" w:hAnsi="仿宋" w:eastAsia="仿宋" w:cs="仿宋"/>
                      <w:szCs w:val="21"/>
                    </w:rPr>
                  </w:pPr>
                  <w:r>
                    <w:rPr>
                      <w:rFonts w:hint="eastAsia" w:ascii="仿宋" w:hAnsi="仿宋" w:eastAsia="仿宋" w:cs="仿宋"/>
                      <w:szCs w:val="21"/>
                    </w:rPr>
                    <w:t>基础属性维度</w:t>
                  </w:r>
                </w:p>
              </w:tc>
            </w:tr>
            <w:tr w14:paraId="16B0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70A790D">
                  <w:pPr>
                    <w:rPr>
                      <w:rFonts w:hint="eastAsia" w:ascii="仿宋" w:hAnsi="仿宋" w:eastAsia="仿宋" w:cs="仿宋"/>
                      <w:szCs w:val="21"/>
                    </w:rPr>
                  </w:pPr>
                  <w:r>
                    <w:rPr>
                      <w:rFonts w:hint="eastAsia" w:ascii="仿宋" w:hAnsi="仿宋" w:eastAsia="仿宋" w:cs="仿宋"/>
                      <w:szCs w:val="21"/>
                    </w:rPr>
                    <w:t>2</w:t>
                  </w:r>
                </w:p>
              </w:tc>
              <w:tc>
                <w:tcPr>
                  <w:tcW w:w="1230" w:type="dxa"/>
                  <w:vMerge w:val="continue"/>
                  <w:vAlign w:val="center"/>
                </w:tcPr>
                <w:p w14:paraId="17D2D39F">
                  <w:pPr>
                    <w:jc w:val="center"/>
                    <w:rPr>
                      <w:rFonts w:hint="eastAsia" w:ascii="仿宋" w:hAnsi="仿宋" w:eastAsia="仿宋" w:cs="仿宋"/>
                      <w:szCs w:val="21"/>
                    </w:rPr>
                  </w:pPr>
                </w:p>
              </w:tc>
              <w:tc>
                <w:tcPr>
                  <w:tcW w:w="2542" w:type="dxa"/>
                  <w:vAlign w:val="center"/>
                </w:tcPr>
                <w:p w14:paraId="0E0D43D2">
                  <w:pPr>
                    <w:rPr>
                      <w:rFonts w:hint="eastAsia" w:ascii="仿宋" w:hAnsi="仿宋" w:eastAsia="仿宋" w:cs="仿宋"/>
                      <w:szCs w:val="21"/>
                    </w:rPr>
                  </w:pPr>
                  <w:r>
                    <w:rPr>
                      <w:rFonts w:hint="eastAsia" w:ascii="仿宋" w:hAnsi="仿宋" w:eastAsia="仿宋" w:cs="仿宋"/>
                      <w:szCs w:val="21"/>
                    </w:rPr>
                    <w:t>时间序列维度</w:t>
                  </w:r>
                </w:p>
              </w:tc>
              <w:tc>
                <w:tcPr>
                  <w:tcW w:w="1150" w:type="dxa"/>
                  <w:vMerge w:val="continue"/>
                  <w:vAlign w:val="center"/>
                </w:tcPr>
                <w:p w14:paraId="2DEF8696">
                  <w:pPr>
                    <w:jc w:val="center"/>
                    <w:rPr>
                      <w:rFonts w:hint="eastAsia" w:ascii="仿宋" w:hAnsi="仿宋" w:eastAsia="仿宋" w:cs="仿宋"/>
                      <w:szCs w:val="21"/>
                    </w:rPr>
                  </w:pPr>
                </w:p>
              </w:tc>
              <w:tc>
                <w:tcPr>
                  <w:tcW w:w="3584" w:type="dxa"/>
                  <w:vAlign w:val="center"/>
                </w:tcPr>
                <w:p w14:paraId="590B0447">
                  <w:pPr>
                    <w:rPr>
                      <w:rFonts w:hint="eastAsia" w:ascii="仿宋" w:hAnsi="仿宋" w:eastAsia="仿宋" w:cs="仿宋"/>
                      <w:szCs w:val="21"/>
                    </w:rPr>
                  </w:pPr>
                  <w:r>
                    <w:rPr>
                      <w:rFonts w:hint="eastAsia" w:ascii="仿宋" w:hAnsi="仿宋" w:eastAsia="仿宋" w:cs="仿宋"/>
                      <w:szCs w:val="21"/>
                    </w:rPr>
                    <w:t>时间序列维度</w:t>
                  </w:r>
                </w:p>
              </w:tc>
            </w:tr>
            <w:tr w14:paraId="6986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9C3E3C4">
                  <w:pPr>
                    <w:rPr>
                      <w:rFonts w:hint="eastAsia" w:ascii="仿宋" w:hAnsi="仿宋" w:eastAsia="仿宋" w:cs="仿宋"/>
                      <w:szCs w:val="21"/>
                    </w:rPr>
                  </w:pPr>
                  <w:r>
                    <w:rPr>
                      <w:rFonts w:hint="eastAsia" w:ascii="仿宋" w:hAnsi="仿宋" w:eastAsia="仿宋" w:cs="仿宋"/>
                      <w:szCs w:val="21"/>
                    </w:rPr>
                    <w:t>3</w:t>
                  </w:r>
                </w:p>
              </w:tc>
              <w:tc>
                <w:tcPr>
                  <w:tcW w:w="1230" w:type="dxa"/>
                  <w:vMerge w:val="continue"/>
                  <w:vAlign w:val="center"/>
                </w:tcPr>
                <w:p w14:paraId="6B05D488">
                  <w:pPr>
                    <w:jc w:val="center"/>
                    <w:rPr>
                      <w:rFonts w:hint="eastAsia" w:ascii="仿宋" w:hAnsi="仿宋" w:eastAsia="仿宋" w:cs="仿宋"/>
                      <w:szCs w:val="21"/>
                    </w:rPr>
                  </w:pPr>
                </w:p>
              </w:tc>
              <w:tc>
                <w:tcPr>
                  <w:tcW w:w="2542" w:type="dxa"/>
                  <w:vAlign w:val="center"/>
                </w:tcPr>
                <w:p w14:paraId="59B748D6">
                  <w:pPr>
                    <w:rPr>
                      <w:rFonts w:hint="eastAsia" w:ascii="仿宋" w:hAnsi="仿宋" w:eastAsia="仿宋" w:cs="仿宋"/>
                      <w:szCs w:val="21"/>
                    </w:rPr>
                  </w:pPr>
                  <w:r>
                    <w:rPr>
                      <w:rFonts w:hint="eastAsia" w:ascii="仿宋" w:hAnsi="仿宋" w:eastAsia="仿宋" w:cs="仿宋"/>
                      <w:szCs w:val="21"/>
                    </w:rPr>
                    <w:t>业务指标维度</w:t>
                  </w:r>
                </w:p>
              </w:tc>
              <w:tc>
                <w:tcPr>
                  <w:tcW w:w="1150" w:type="dxa"/>
                  <w:vMerge w:val="continue"/>
                  <w:vAlign w:val="center"/>
                </w:tcPr>
                <w:p w14:paraId="67721514">
                  <w:pPr>
                    <w:jc w:val="center"/>
                    <w:rPr>
                      <w:rFonts w:hint="eastAsia" w:ascii="仿宋" w:hAnsi="仿宋" w:eastAsia="仿宋" w:cs="仿宋"/>
                      <w:szCs w:val="21"/>
                    </w:rPr>
                  </w:pPr>
                </w:p>
              </w:tc>
              <w:tc>
                <w:tcPr>
                  <w:tcW w:w="3584" w:type="dxa"/>
                  <w:vAlign w:val="center"/>
                </w:tcPr>
                <w:p w14:paraId="1E9F8A37">
                  <w:pPr>
                    <w:rPr>
                      <w:rFonts w:hint="eastAsia" w:ascii="仿宋" w:hAnsi="仿宋" w:eastAsia="仿宋" w:cs="仿宋"/>
                      <w:szCs w:val="21"/>
                    </w:rPr>
                  </w:pPr>
                  <w:r>
                    <w:rPr>
                      <w:rFonts w:hint="eastAsia" w:ascii="仿宋" w:hAnsi="仿宋" w:eastAsia="仿宋" w:cs="仿宋"/>
                      <w:szCs w:val="21"/>
                    </w:rPr>
                    <w:t>业务指标维度</w:t>
                  </w:r>
                </w:p>
              </w:tc>
            </w:tr>
            <w:tr w14:paraId="7E5D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C794990">
                  <w:pPr>
                    <w:rPr>
                      <w:rFonts w:hint="eastAsia" w:ascii="仿宋" w:hAnsi="仿宋" w:eastAsia="仿宋" w:cs="仿宋"/>
                      <w:szCs w:val="21"/>
                    </w:rPr>
                  </w:pPr>
                  <w:r>
                    <w:rPr>
                      <w:rFonts w:hint="eastAsia" w:ascii="仿宋" w:hAnsi="仿宋" w:eastAsia="仿宋" w:cs="仿宋"/>
                      <w:szCs w:val="21"/>
                    </w:rPr>
                    <w:t>4</w:t>
                  </w:r>
                </w:p>
              </w:tc>
              <w:tc>
                <w:tcPr>
                  <w:tcW w:w="1230" w:type="dxa"/>
                  <w:vMerge w:val="continue"/>
                  <w:vAlign w:val="center"/>
                </w:tcPr>
                <w:p w14:paraId="340811B9">
                  <w:pPr>
                    <w:jc w:val="center"/>
                    <w:rPr>
                      <w:rFonts w:hint="eastAsia" w:ascii="仿宋" w:hAnsi="仿宋" w:eastAsia="仿宋" w:cs="仿宋"/>
                      <w:szCs w:val="21"/>
                    </w:rPr>
                  </w:pPr>
                </w:p>
              </w:tc>
              <w:tc>
                <w:tcPr>
                  <w:tcW w:w="2542" w:type="dxa"/>
                  <w:vAlign w:val="center"/>
                </w:tcPr>
                <w:p w14:paraId="349CBC13">
                  <w:pPr>
                    <w:rPr>
                      <w:rFonts w:hint="eastAsia" w:ascii="仿宋" w:hAnsi="仿宋" w:eastAsia="仿宋" w:cs="仿宋"/>
                      <w:szCs w:val="21"/>
                    </w:rPr>
                  </w:pPr>
                  <w:r>
                    <w:rPr>
                      <w:rFonts w:hint="eastAsia" w:ascii="仿宋" w:hAnsi="仿宋" w:eastAsia="仿宋" w:cs="仿宋"/>
                      <w:szCs w:val="21"/>
                    </w:rPr>
                    <w:t>自定义维度</w:t>
                  </w:r>
                </w:p>
              </w:tc>
              <w:tc>
                <w:tcPr>
                  <w:tcW w:w="1150" w:type="dxa"/>
                  <w:vMerge w:val="continue"/>
                  <w:vAlign w:val="center"/>
                </w:tcPr>
                <w:p w14:paraId="7BE804E2">
                  <w:pPr>
                    <w:jc w:val="center"/>
                    <w:rPr>
                      <w:rFonts w:hint="eastAsia" w:ascii="仿宋" w:hAnsi="仿宋" w:eastAsia="仿宋" w:cs="仿宋"/>
                      <w:szCs w:val="21"/>
                    </w:rPr>
                  </w:pPr>
                </w:p>
              </w:tc>
              <w:tc>
                <w:tcPr>
                  <w:tcW w:w="3584" w:type="dxa"/>
                  <w:vAlign w:val="center"/>
                </w:tcPr>
                <w:p w14:paraId="0F104618">
                  <w:pPr>
                    <w:rPr>
                      <w:rFonts w:hint="eastAsia" w:ascii="仿宋" w:hAnsi="仿宋" w:eastAsia="仿宋" w:cs="仿宋"/>
                      <w:szCs w:val="21"/>
                    </w:rPr>
                  </w:pPr>
                  <w:r>
                    <w:rPr>
                      <w:rFonts w:hint="eastAsia" w:ascii="仿宋" w:hAnsi="仿宋" w:eastAsia="仿宋" w:cs="仿宋"/>
                      <w:szCs w:val="21"/>
                    </w:rPr>
                    <w:t>自定义维度</w:t>
                  </w:r>
                </w:p>
              </w:tc>
            </w:tr>
            <w:tr w14:paraId="0A3F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DC555EF">
                  <w:pPr>
                    <w:rPr>
                      <w:rFonts w:hint="eastAsia" w:ascii="仿宋" w:hAnsi="仿宋" w:eastAsia="仿宋" w:cs="仿宋"/>
                      <w:szCs w:val="21"/>
                    </w:rPr>
                  </w:pPr>
                  <w:r>
                    <w:rPr>
                      <w:rFonts w:hint="eastAsia" w:ascii="仿宋" w:hAnsi="仿宋" w:eastAsia="仿宋" w:cs="仿宋"/>
                      <w:szCs w:val="21"/>
                    </w:rPr>
                    <w:t>5</w:t>
                  </w:r>
                </w:p>
              </w:tc>
              <w:tc>
                <w:tcPr>
                  <w:tcW w:w="1230" w:type="dxa"/>
                  <w:vMerge w:val="restart"/>
                  <w:vAlign w:val="center"/>
                </w:tcPr>
                <w:p w14:paraId="467EB639">
                  <w:pPr>
                    <w:jc w:val="center"/>
                    <w:rPr>
                      <w:rFonts w:hint="eastAsia" w:ascii="仿宋" w:hAnsi="仿宋" w:eastAsia="仿宋" w:cs="仿宋"/>
                      <w:szCs w:val="21"/>
                    </w:rPr>
                  </w:pPr>
                  <w:r>
                    <w:rPr>
                      <w:rFonts w:hint="eastAsia" w:ascii="仿宋" w:hAnsi="仿宋" w:eastAsia="仿宋" w:cs="仿宋"/>
                      <w:szCs w:val="21"/>
                    </w:rPr>
                    <w:t>数据汇总计算</w:t>
                  </w:r>
                </w:p>
              </w:tc>
              <w:tc>
                <w:tcPr>
                  <w:tcW w:w="2542" w:type="dxa"/>
                  <w:vAlign w:val="center"/>
                </w:tcPr>
                <w:p w14:paraId="0621810D">
                  <w:pPr>
                    <w:rPr>
                      <w:rFonts w:hint="eastAsia" w:ascii="仿宋" w:hAnsi="仿宋" w:eastAsia="仿宋" w:cs="仿宋"/>
                      <w:szCs w:val="21"/>
                    </w:rPr>
                  </w:pPr>
                  <w:r>
                    <w:rPr>
                      <w:rFonts w:hint="eastAsia" w:ascii="仿宋" w:hAnsi="仿宋" w:eastAsia="仿宋" w:cs="仿宋"/>
                      <w:szCs w:val="21"/>
                    </w:rPr>
                    <w:t>基础统计计算</w:t>
                  </w:r>
                </w:p>
              </w:tc>
              <w:tc>
                <w:tcPr>
                  <w:tcW w:w="1150" w:type="dxa"/>
                  <w:vMerge w:val="restart"/>
                  <w:vAlign w:val="center"/>
                </w:tcPr>
                <w:p w14:paraId="4E60891E">
                  <w:pPr>
                    <w:jc w:val="center"/>
                    <w:rPr>
                      <w:rFonts w:hint="eastAsia" w:ascii="仿宋" w:hAnsi="仿宋" w:eastAsia="仿宋" w:cs="仿宋"/>
                      <w:szCs w:val="21"/>
                    </w:rPr>
                  </w:pPr>
                  <w:r>
                    <w:rPr>
                      <w:rFonts w:hint="eastAsia" w:ascii="仿宋" w:hAnsi="仿宋" w:eastAsia="仿宋" w:cs="仿宋"/>
                      <w:szCs w:val="21"/>
                    </w:rPr>
                    <w:t>数据汇总计算</w:t>
                  </w:r>
                </w:p>
              </w:tc>
              <w:tc>
                <w:tcPr>
                  <w:tcW w:w="3584" w:type="dxa"/>
                  <w:vAlign w:val="center"/>
                </w:tcPr>
                <w:p w14:paraId="687922FB">
                  <w:pPr>
                    <w:rPr>
                      <w:rFonts w:hint="eastAsia" w:ascii="仿宋" w:hAnsi="仿宋" w:eastAsia="仿宋" w:cs="仿宋"/>
                      <w:szCs w:val="21"/>
                    </w:rPr>
                  </w:pPr>
                  <w:r>
                    <w:rPr>
                      <w:rFonts w:hint="eastAsia" w:ascii="仿宋" w:hAnsi="仿宋" w:eastAsia="仿宋" w:cs="仿宋"/>
                      <w:szCs w:val="21"/>
                    </w:rPr>
                    <w:t>基础统计计算</w:t>
                  </w:r>
                </w:p>
              </w:tc>
            </w:tr>
            <w:tr w14:paraId="75D6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025639D">
                  <w:pPr>
                    <w:rPr>
                      <w:rFonts w:hint="eastAsia" w:ascii="仿宋" w:hAnsi="仿宋" w:eastAsia="仿宋" w:cs="仿宋"/>
                      <w:szCs w:val="21"/>
                    </w:rPr>
                  </w:pPr>
                  <w:r>
                    <w:rPr>
                      <w:rFonts w:hint="eastAsia" w:ascii="仿宋" w:hAnsi="仿宋" w:eastAsia="仿宋" w:cs="仿宋"/>
                      <w:szCs w:val="21"/>
                    </w:rPr>
                    <w:t>6</w:t>
                  </w:r>
                </w:p>
              </w:tc>
              <w:tc>
                <w:tcPr>
                  <w:tcW w:w="1230" w:type="dxa"/>
                  <w:vMerge w:val="continue"/>
                  <w:vAlign w:val="center"/>
                </w:tcPr>
                <w:p w14:paraId="456B667C">
                  <w:pPr>
                    <w:jc w:val="center"/>
                    <w:rPr>
                      <w:rFonts w:hint="eastAsia" w:ascii="仿宋" w:hAnsi="仿宋" w:eastAsia="仿宋" w:cs="仿宋"/>
                      <w:szCs w:val="21"/>
                    </w:rPr>
                  </w:pPr>
                </w:p>
              </w:tc>
              <w:tc>
                <w:tcPr>
                  <w:tcW w:w="2542" w:type="dxa"/>
                  <w:vAlign w:val="center"/>
                </w:tcPr>
                <w:p w14:paraId="444784D4">
                  <w:pPr>
                    <w:rPr>
                      <w:rFonts w:hint="eastAsia" w:ascii="仿宋" w:hAnsi="仿宋" w:eastAsia="仿宋" w:cs="仿宋"/>
                      <w:szCs w:val="21"/>
                    </w:rPr>
                  </w:pPr>
                  <w:r>
                    <w:rPr>
                      <w:rFonts w:hint="eastAsia" w:ascii="仿宋" w:hAnsi="仿宋" w:eastAsia="仿宋" w:cs="仿宋"/>
                      <w:szCs w:val="21"/>
                    </w:rPr>
                    <w:t>复杂公式计算</w:t>
                  </w:r>
                </w:p>
              </w:tc>
              <w:tc>
                <w:tcPr>
                  <w:tcW w:w="1150" w:type="dxa"/>
                  <w:vMerge w:val="continue"/>
                  <w:vAlign w:val="center"/>
                </w:tcPr>
                <w:p w14:paraId="06BF946F">
                  <w:pPr>
                    <w:jc w:val="center"/>
                    <w:rPr>
                      <w:rFonts w:hint="eastAsia" w:ascii="仿宋" w:hAnsi="仿宋" w:eastAsia="仿宋" w:cs="仿宋"/>
                      <w:szCs w:val="21"/>
                    </w:rPr>
                  </w:pPr>
                </w:p>
              </w:tc>
              <w:tc>
                <w:tcPr>
                  <w:tcW w:w="3584" w:type="dxa"/>
                  <w:vAlign w:val="center"/>
                </w:tcPr>
                <w:p w14:paraId="7EAE0A83">
                  <w:pPr>
                    <w:rPr>
                      <w:rFonts w:hint="eastAsia" w:ascii="仿宋" w:hAnsi="仿宋" w:eastAsia="仿宋" w:cs="仿宋"/>
                      <w:szCs w:val="21"/>
                    </w:rPr>
                  </w:pPr>
                  <w:r>
                    <w:rPr>
                      <w:rFonts w:hint="eastAsia" w:ascii="仿宋" w:hAnsi="仿宋" w:eastAsia="仿宋" w:cs="仿宋"/>
                      <w:szCs w:val="21"/>
                    </w:rPr>
                    <w:t>复杂公式计算</w:t>
                  </w:r>
                </w:p>
              </w:tc>
            </w:tr>
            <w:tr w14:paraId="7A9E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669C649">
                  <w:pPr>
                    <w:rPr>
                      <w:rFonts w:hint="eastAsia" w:ascii="仿宋" w:hAnsi="仿宋" w:eastAsia="仿宋" w:cs="仿宋"/>
                      <w:szCs w:val="21"/>
                    </w:rPr>
                  </w:pPr>
                  <w:r>
                    <w:rPr>
                      <w:rFonts w:hint="eastAsia" w:ascii="仿宋" w:hAnsi="仿宋" w:eastAsia="仿宋" w:cs="仿宋"/>
                      <w:szCs w:val="21"/>
                    </w:rPr>
                    <w:t>7</w:t>
                  </w:r>
                </w:p>
              </w:tc>
              <w:tc>
                <w:tcPr>
                  <w:tcW w:w="1230" w:type="dxa"/>
                  <w:vMerge w:val="continue"/>
                  <w:vAlign w:val="center"/>
                </w:tcPr>
                <w:p w14:paraId="12E8BB0F">
                  <w:pPr>
                    <w:jc w:val="center"/>
                    <w:rPr>
                      <w:rFonts w:hint="eastAsia" w:ascii="仿宋" w:hAnsi="仿宋" w:eastAsia="仿宋" w:cs="仿宋"/>
                      <w:szCs w:val="21"/>
                    </w:rPr>
                  </w:pPr>
                </w:p>
              </w:tc>
              <w:tc>
                <w:tcPr>
                  <w:tcW w:w="2542" w:type="dxa"/>
                  <w:vAlign w:val="center"/>
                </w:tcPr>
                <w:p w14:paraId="055CEE71">
                  <w:pPr>
                    <w:rPr>
                      <w:rFonts w:hint="eastAsia" w:ascii="仿宋" w:hAnsi="仿宋" w:eastAsia="仿宋" w:cs="仿宋"/>
                      <w:szCs w:val="21"/>
                    </w:rPr>
                  </w:pPr>
                  <w:r>
                    <w:rPr>
                      <w:rFonts w:hint="eastAsia" w:ascii="仿宋" w:hAnsi="仿宋" w:eastAsia="仿宋" w:cs="仿宋"/>
                      <w:szCs w:val="21"/>
                    </w:rPr>
                    <w:t>数据分组汇总</w:t>
                  </w:r>
                </w:p>
              </w:tc>
              <w:tc>
                <w:tcPr>
                  <w:tcW w:w="1150" w:type="dxa"/>
                  <w:vMerge w:val="continue"/>
                  <w:vAlign w:val="center"/>
                </w:tcPr>
                <w:p w14:paraId="59341D2C">
                  <w:pPr>
                    <w:jc w:val="center"/>
                    <w:rPr>
                      <w:rFonts w:hint="eastAsia" w:ascii="仿宋" w:hAnsi="仿宋" w:eastAsia="仿宋" w:cs="仿宋"/>
                      <w:szCs w:val="21"/>
                    </w:rPr>
                  </w:pPr>
                </w:p>
              </w:tc>
              <w:tc>
                <w:tcPr>
                  <w:tcW w:w="3584" w:type="dxa"/>
                  <w:vAlign w:val="center"/>
                </w:tcPr>
                <w:p w14:paraId="3F4FFCB2">
                  <w:pPr>
                    <w:rPr>
                      <w:rFonts w:hint="eastAsia" w:ascii="仿宋" w:hAnsi="仿宋" w:eastAsia="仿宋" w:cs="仿宋"/>
                      <w:szCs w:val="21"/>
                    </w:rPr>
                  </w:pPr>
                  <w:r>
                    <w:rPr>
                      <w:rFonts w:hint="eastAsia" w:ascii="仿宋" w:hAnsi="仿宋" w:eastAsia="仿宋" w:cs="仿宋"/>
                      <w:szCs w:val="21"/>
                    </w:rPr>
                    <w:t>数据分组汇总</w:t>
                  </w:r>
                </w:p>
              </w:tc>
            </w:tr>
            <w:tr w14:paraId="51E9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F1B9AD0">
                  <w:pPr>
                    <w:rPr>
                      <w:rFonts w:hint="eastAsia" w:ascii="仿宋" w:hAnsi="仿宋" w:eastAsia="仿宋" w:cs="仿宋"/>
                      <w:szCs w:val="21"/>
                    </w:rPr>
                  </w:pPr>
                  <w:r>
                    <w:rPr>
                      <w:rFonts w:hint="eastAsia" w:ascii="仿宋" w:hAnsi="仿宋" w:eastAsia="仿宋" w:cs="仿宋"/>
                      <w:szCs w:val="21"/>
                    </w:rPr>
                    <w:t>8</w:t>
                  </w:r>
                </w:p>
              </w:tc>
              <w:tc>
                <w:tcPr>
                  <w:tcW w:w="1230" w:type="dxa"/>
                  <w:vMerge w:val="continue"/>
                  <w:vAlign w:val="center"/>
                </w:tcPr>
                <w:p w14:paraId="010ECEF2">
                  <w:pPr>
                    <w:jc w:val="center"/>
                    <w:rPr>
                      <w:rFonts w:hint="eastAsia" w:ascii="仿宋" w:hAnsi="仿宋" w:eastAsia="仿宋" w:cs="仿宋"/>
                      <w:szCs w:val="21"/>
                    </w:rPr>
                  </w:pPr>
                </w:p>
              </w:tc>
              <w:tc>
                <w:tcPr>
                  <w:tcW w:w="2542" w:type="dxa"/>
                  <w:vAlign w:val="center"/>
                </w:tcPr>
                <w:p w14:paraId="3025C1ED">
                  <w:pPr>
                    <w:rPr>
                      <w:rFonts w:hint="eastAsia" w:ascii="仿宋" w:hAnsi="仿宋" w:eastAsia="仿宋" w:cs="仿宋"/>
                      <w:szCs w:val="21"/>
                    </w:rPr>
                  </w:pPr>
                  <w:r>
                    <w:rPr>
                      <w:rFonts w:hint="eastAsia" w:ascii="仿宋" w:hAnsi="仿宋" w:eastAsia="仿宋" w:cs="仿宋"/>
                      <w:szCs w:val="21"/>
                    </w:rPr>
                    <w:t>动态计算</w:t>
                  </w:r>
                </w:p>
              </w:tc>
              <w:tc>
                <w:tcPr>
                  <w:tcW w:w="1150" w:type="dxa"/>
                  <w:vMerge w:val="continue"/>
                  <w:vAlign w:val="center"/>
                </w:tcPr>
                <w:p w14:paraId="338D7ACA">
                  <w:pPr>
                    <w:jc w:val="center"/>
                    <w:rPr>
                      <w:rFonts w:hint="eastAsia" w:ascii="仿宋" w:hAnsi="仿宋" w:eastAsia="仿宋" w:cs="仿宋"/>
                      <w:szCs w:val="21"/>
                    </w:rPr>
                  </w:pPr>
                </w:p>
              </w:tc>
              <w:tc>
                <w:tcPr>
                  <w:tcW w:w="3584" w:type="dxa"/>
                  <w:vAlign w:val="center"/>
                </w:tcPr>
                <w:p w14:paraId="55AC669E">
                  <w:pPr>
                    <w:rPr>
                      <w:rFonts w:hint="eastAsia" w:ascii="仿宋" w:hAnsi="仿宋" w:eastAsia="仿宋" w:cs="仿宋"/>
                      <w:szCs w:val="21"/>
                    </w:rPr>
                  </w:pPr>
                  <w:r>
                    <w:rPr>
                      <w:rFonts w:hint="eastAsia" w:ascii="仿宋" w:hAnsi="仿宋" w:eastAsia="仿宋" w:cs="仿宋"/>
                      <w:szCs w:val="21"/>
                    </w:rPr>
                    <w:t>动态计算</w:t>
                  </w:r>
                </w:p>
              </w:tc>
            </w:tr>
            <w:tr w14:paraId="3C8F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C6C0024">
                  <w:pPr>
                    <w:rPr>
                      <w:rFonts w:hint="eastAsia" w:ascii="仿宋" w:hAnsi="仿宋" w:eastAsia="仿宋" w:cs="仿宋"/>
                      <w:szCs w:val="21"/>
                    </w:rPr>
                  </w:pPr>
                  <w:r>
                    <w:rPr>
                      <w:rFonts w:hint="eastAsia" w:ascii="仿宋" w:hAnsi="仿宋" w:eastAsia="仿宋" w:cs="仿宋"/>
                      <w:szCs w:val="21"/>
                    </w:rPr>
                    <w:t>9</w:t>
                  </w:r>
                </w:p>
              </w:tc>
              <w:tc>
                <w:tcPr>
                  <w:tcW w:w="1230" w:type="dxa"/>
                  <w:vMerge w:val="restart"/>
                  <w:vAlign w:val="center"/>
                </w:tcPr>
                <w:p w14:paraId="264E14F6">
                  <w:pPr>
                    <w:jc w:val="center"/>
                    <w:rPr>
                      <w:rFonts w:hint="eastAsia" w:ascii="仿宋" w:hAnsi="仿宋" w:eastAsia="仿宋" w:cs="仿宋"/>
                      <w:szCs w:val="21"/>
                    </w:rPr>
                  </w:pPr>
                  <w:r>
                    <w:rPr>
                      <w:rFonts w:hint="eastAsia" w:ascii="仿宋" w:hAnsi="仿宋" w:eastAsia="仿宋" w:cs="仿宋"/>
                      <w:szCs w:val="21"/>
                    </w:rPr>
                    <w:t>数据分类查询</w:t>
                  </w:r>
                </w:p>
              </w:tc>
              <w:tc>
                <w:tcPr>
                  <w:tcW w:w="2542" w:type="dxa"/>
                  <w:vAlign w:val="center"/>
                </w:tcPr>
                <w:p w14:paraId="1C86D778">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卫生年报数据查询</w:t>
                  </w:r>
                </w:p>
              </w:tc>
              <w:tc>
                <w:tcPr>
                  <w:tcW w:w="1150" w:type="dxa"/>
                  <w:vMerge w:val="restart"/>
                  <w:vAlign w:val="center"/>
                </w:tcPr>
                <w:p w14:paraId="7C04CF9C">
                  <w:pPr>
                    <w:jc w:val="center"/>
                    <w:rPr>
                      <w:rFonts w:hint="eastAsia" w:ascii="仿宋" w:hAnsi="仿宋" w:eastAsia="仿宋" w:cs="仿宋"/>
                      <w:szCs w:val="21"/>
                    </w:rPr>
                  </w:pPr>
                  <w:r>
                    <w:rPr>
                      <w:rFonts w:hint="eastAsia" w:ascii="仿宋" w:hAnsi="仿宋" w:eastAsia="仿宋" w:cs="仿宋"/>
                      <w:szCs w:val="21"/>
                    </w:rPr>
                    <w:t>数据分类查询</w:t>
                  </w:r>
                </w:p>
              </w:tc>
              <w:tc>
                <w:tcPr>
                  <w:tcW w:w="3584" w:type="dxa"/>
                  <w:vAlign w:val="center"/>
                </w:tcPr>
                <w:p w14:paraId="5F9D9CA4">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卫生年报数据查询</w:t>
                  </w:r>
                </w:p>
              </w:tc>
            </w:tr>
            <w:tr w14:paraId="70A9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9086CF5">
                  <w:pPr>
                    <w:rPr>
                      <w:rFonts w:hint="eastAsia" w:ascii="仿宋" w:hAnsi="仿宋" w:eastAsia="仿宋" w:cs="仿宋"/>
                      <w:szCs w:val="21"/>
                    </w:rPr>
                  </w:pPr>
                  <w:r>
                    <w:rPr>
                      <w:rFonts w:hint="eastAsia" w:ascii="仿宋" w:hAnsi="仿宋" w:eastAsia="仿宋" w:cs="仿宋"/>
                      <w:szCs w:val="21"/>
                    </w:rPr>
                    <w:t>10</w:t>
                  </w:r>
                </w:p>
              </w:tc>
              <w:tc>
                <w:tcPr>
                  <w:tcW w:w="1230" w:type="dxa"/>
                  <w:vMerge w:val="continue"/>
                  <w:vAlign w:val="center"/>
                </w:tcPr>
                <w:p w14:paraId="3348C6B3">
                  <w:pPr>
                    <w:jc w:val="center"/>
                    <w:rPr>
                      <w:rFonts w:hint="eastAsia" w:ascii="仿宋" w:hAnsi="仿宋" w:eastAsia="仿宋" w:cs="仿宋"/>
                      <w:szCs w:val="21"/>
                    </w:rPr>
                  </w:pPr>
                </w:p>
              </w:tc>
              <w:tc>
                <w:tcPr>
                  <w:tcW w:w="2542" w:type="dxa"/>
                  <w:vAlign w:val="center"/>
                </w:tcPr>
                <w:p w14:paraId="09FB96C0">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卫生月报数据查询</w:t>
                  </w:r>
                </w:p>
              </w:tc>
              <w:tc>
                <w:tcPr>
                  <w:tcW w:w="1150" w:type="dxa"/>
                  <w:vMerge w:val="continue"/>
                  <w:vAlign w:val="center"/>
                </w:tcPr>
                <w:p w14:paraId="13D2EF70">
                  <w:pPr>
                    <w:rPr>
                      <w:rFonts w:hint="eastAsia" w:ascii="仿宋" w:hAnsi="仿宋" w:eastAsia="仿宋" w:cs="仿宋"/>
                      <w:szCs w:val="21"/>
                    </w:rPr>
                  </w:pPr>
                </w:p>
              </w:tc>
              <w:tc>
                <w:tcPr>
                  <w:tcW w:w="3584" w:type="dxa"/>
                  <w:vAlign w:val="center"/>
                </w:tcPr>
                <w:p w14:paraId="1E384B32">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卫生月报数据查询</w:t>
                  </w:r>
                </w:p>
              </w:tc>
            </w:tr>
            <w:tr w14:paraId="564D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03ECAA6">
                  <w:pPr>
                    <w:rPr>
                      <w:rFonts w:hint="eastAsia" w:ascii="仿宋" w:hAnsi="仿宋" w:eastAsia="仿宋" w:cs="仿宋"/>
                      <w:szCs w:val="21"/>
                    </w:rPr>
                  </w:pPr>
                  <w:r>
                    <w:rPr>
                      <w:rFonts w:hint="eastAsia" w:ascii="仿宋" w:hAnsi="仿宋" w:eastAsia="仿宋" w:cs="仿宋"/>
                      <w:szCs w:val="21"/>
                    </w:rPr>
                    <w:t>11</w:t>
                  </w:r>
                </w:p>
              </w:tc>
              <w:tc>
                <w:tcPr>
                  <w:tcW w:w="1230" w:type="dxa"/>
                  <w:vMerge w:val="continue"/>
                  <w:vAlign w:val="center"/>
                </w:tcPr>
                <w:p w14:paraId="73F0FCAC">
                  <w:pPr>
                    <w:jc w:val="center"/>
                    <w:rPr>
                      <w:rFonts w:hint="eastAsia" w:ascii="仿宋" w:hAnsi="仿宋" w:eastAsia="仿宋" w:cs="仿宋"/>
                      <w:szCs w:val="21"/>
                    </w:rPr>
                  </w:pPr>
                </w:p>
              </w:tc>
              <w:tc>
                <w:tcPr>
                  <w:tcW w:w="2542" w:type="dxa"/>
                  <w:vAlign w:val="center"/>
                </w:tcPr>
                <w:p w14:paraId="7F1A3F6D">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医改监测数据查询</w:t>
                  </w:r>
                </w:p>
              </w:tc>
              <w:tc>
                <w:tcPr>
                  <w:tcW w:w="1150" w:type="dxa"/>
                  <w:vMerge w:val="continue"/>
                  <w:vAlign w:val="center"/>
                </w:tcPr>
                <w:p w14:paraId="2D003CFF">
                  <w:pPr>
                    <w:rPr>
                      <w:rFonts w:hint="eastAsia" w:ascii="仿宋" w:hAnsi="仿宋" w:eastAsia="仿宋" w:cs="仿宋"/>
                      <w:szCs w:val="21"/>
                    </w:rPr>
                  </w:pPr>
                </w:p>
              </w:tc>
              <w:tc>
                <w:tcPr>
                  <w:tcW w:w="3584" w:type="dxa"/>
                  <w:vAlign w:val="center"/>
                </w:tcPr>
                <w:p w14:paraId="7D30DAF9">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医改监测数据查询</w:t>
                  </w:r>
                </w:p>
              </w:tc>
            </w:tr>
            <w:tr w14:paraId="3427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77D74FF">
                  <w:pPr>
                    <w:rPr>
                      <w:rFonts w:hint="eastAsia" w:ascii="仿宋" w:hAnsi="仿宋" w:eastAsia="仿宋" w:cs="仿宋"/>
                      <w:szCs w:val="21"/>
                    </w:rPr>
                  </w:pPr>
                  <w:r>
                    <w:rPr>
                      <w:rFonts w:hint="eastAsia" w:ascii="仿宋" w:hAnsi="仿宋" w:eastAsia="仿宋" w:cs="仿宋"/>
                      <w:szCs w:val="21"/>
                    </w:rPr>
                    <w:t>12</w:t>
                  </w:r>
                </w:p>
              </w:tc>
              <w:tc>
                <w:tcPr>
                  <w:tcW w:w="1230" w:type="dxa"/>
                  <w:vMerge w:val="continue"/>
                  <w:vAlign w:val="center"/>
                </w:tcPr>
                <w:p w14:paraId="22FE55AC">
                  <w:pPr>
                    <w:jc w:val="center"/>
                    <w:rPr>
                      <w:rFonts w:hint="eastAsia" w:ascii="仿宋" w:hAnsi="仿宋" w:eastAsia="仿宋" w:cs="仿宋"/>
                      <w:szCs w:val="21"/>
                    </w:rPr>
                  </w:pPr>
                </w:p>
              </w:tc>
              <w:tc>
                <w:tcPr>
                  <w:tcW w:w="2542" w:type="dxa"/>
                  <w:vAlign w:val="center"/>
                </w:tcPr>
                <w:p w14:paraId="122964DB">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妇幼业务数据查询</w:t>
                  </w:r>
                </w:p>
              </w:tc>
              <w:tc>
                <w:tcPr>
                  <w:tcW w:w="1150" w:type="dxa"/>
                  <w:vMerge w:val="continue"/>
                  <w:vAlign w:val="center"/>
                </w:tcPr>
                <w:p w14:paraId="590ECFF8">
                  <w:pPr>
                    <w:rPr>
                      <w:rFonts w:hint="eastAsia" w:ascii="仿宋" w:hAnsi="仿宋" w:eastAsia="仿宋" w:cs="仿宋"/>
                      <w:szCs w:val="21"/>
                    </w:rPr>
                  </w:pPr>
                </w:p>
              </w:tc>
              <w:tc>
                <w:tcPr>
                  <w:tcW w:w="3584" w:type="dxa"/>
                  <w:vAlign w:val="center"/>
                </w:tcPr>
                <w:p w14:paraId="284D2F97">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妇幼业务数据查询</w:t>
                  </w:r>
                </w:p>
              </w:tc>
            </w:tr>
            <w:tr w14:paraId="0551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C5F983D">
                  <w:pPr>
                    <w:rPr>
                      <w:rFonts w:hint="eastAsia" w:ascii="仿宋" w:hAnsi="仿宋" w:eastAsia="仿宋" w:cs="仿宋"/>
                      <w:szCs w:val="21"/>
                    </w:rPr>
                  </w:pPr>
                  <w:r>
                    <w:rPr>
                      <w:rFonts w:hint="eastAsia" w:ascii="仿宋" w:hAnsi="仿宋" w:eastAsia="仿宋" w:cs="仿宋"/>
                      <w:szCs w:val="21"/>
                    </w:rPr>
                    <w:t>13</w:t>
                  </w:r>
                </w:p>
              </w:tc>
              <w:tc>
                <w:tcPr>
                  <w:tcW w:w="1230" w:type="dxa"/>
                  <w:vMerge w:val="continue"/>
                  <w:vAlign w:val="center"/>
                </w:tcPr>
                <w:p w14:paraId="2A605266">
                  <w:pPr>
                    <w:jc w:val="center"/>
                    <w:rPr>
                      <w:rFonts w:hint="eastAsia" w:ascii="仿宋" w:hAnsi="仿宋" w:eastAsia="仿宋" w:cs="仿宋"/>
                      <w:szCs w:val="21"/>
                    </w:rPr>
                  </w:pPr>
                </w:p>
              </w:tc>
              <w:tc>
                <w:tcPr>
                  <w:tcW w:w="2542" w:type="dxa"/>
                  <w:vAlign w:val="center"/>
                </w:tcPr>
                <w:p w14:paraId="4C45DECF">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老龄业务数据查询</w:t>
                  </w:r>
                </w:p>
              </w:tc>
              <w:tc>
                <w:tcPr>
                  <w:tcW w:w="1150" w:type="dxa"/>
                  <w:vMerge w:val="continue"/>
                  <w:vAlign w:val="center"/>
                </w:tcPr>
                <w:p w14:paraId="2F81772E">
                  <w:pPr>
                    <w:rPr>
                      <w:rFonts w:hint="eastAsia" w:ascii="仿宋" w:hAnsi="仿宋" w:eastAsia="仿宋" w:cs="仿宋"/>
                      <w:szCs w:val="21"/>
                    </w:rPr>
                  </w:pPr>
                </w:p>
              </w:tc>
              <w:tc>
                <w:tcPr>
                  <w:tcW w:w="3584" w:type="dxa"/>
                  <w:vAlign w:val="center"/>
                </w:tcPr>
                <w:p w14:paraId="14C5DA3C">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老龄业务数据查询</w:t>
                  </w:r>
                </w:p>
              </w:tc>
            </w:tr>
            <w:tr w14:paraId="7217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0BCAF49">
                  <w:pPr>
                    <w:rPr>
                      <w:rFonts w:hint="eastAsia" w:ascii="仿宋" w:hAnsi="仿宋" w:eastAsia="仿宋" w:cs="仿宋"/>
                      <w:szCs w:val="21"/>
                    </w:rPr>
                  </w:pPr>
                  <w:r>
                    <w:rPr>
                      <w:rFonts w:hint="eastAsia" w:ascii="仿宋" w:hAnsi="仿宋" w:eastAsia="仿宋" w:cs="仿宋"/>
                      <w:szCs w:val="21"/>
                    </w:rPr>
                    <w:t>14</w:t>
                  </w:r>
                </w:p>
              </w:tc>
              <w:tc>
                <w:tcPr>
                  <w:tcW w:w="1230" w:type="dxa"/>
                  <w:vMerge w:val="continue"/>
                  <w:vAlign w:val="center"/>
                </w:tcPr>
                <w:p w14:paraId="519D4E99">
                  <w:pPr>
                    <w:jc w:val="center"/>
                    <w:rPr>
                      <w:rFonts w:hint="eastAsia" w:ascii="仿宋" w:hAnsi="仿宋" w:eastAsia="仿宋" w:cs="仿宋"/>
                      <w:szCs w:val="21"/>
                    </w:rPr>
                  </w:pPr>
                </w:p>
              </w:tc>
              <w:tc>
                <w:tcPr>
                  <w:tcW w:w="2542" w:type="dxa"/>
                  <w:vAlign w:val="center"/>
                </w:tcPr>
                <w:p w14:paraId="1ADD1D93">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托育业务数据查询</w:t>
                  </w:r>
                </w:p>
              </w:tc>
              <w:tc>
                <w:tcPr>
                  <w:tcW w:w="1150" w:type="dxa"/>
                  <w:vMerge w:val="continue"/>
                  <w:vAlign w:val="center"/>
                </w:tcPr>
                <w:p w14:paraId="2FC449A6">
                  <w:pPr>
                    <w:rPr>
                      <w:rFonts w:hint="eastAsia" w:ascii="仿宋" w:hAnsi="仿宋" w:eastAsia="仿宋" w:cs="仿宋"/>
                      <w:szCs w:val="21"/>
                    </w:rPr>
                  </w:pPr>
                </w:p>
              </w:tc>
              <w:tc>
                <w:tcPr>
                  <w:tcW w:w="3584" w:type="dxa"/>
                  <w:vAlign w:val="center"/>
                </w:tcPr>
                <w:p w14:paraId="184A3674">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托育业务数据查询</w:t>
                  </w:r>
                </w:p>
              </w:tc>
            </w:tr>
            <w:tr w14:paraId="448A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671769C">
                  <w:pPr>
                    <w:rPr>
                      <w:rFonts w:hint="eastAsia" w:ascii="仿宋" w:hAnsi="仿宋" w:eastAsia="仿宋" w:cs="仿宋"/>
                      <w:szCs w:val="21"/>
                    </w:rPr>
                  </w:pPr>
                  <w:r>
                    <w:rPr>
                      <w:rFonts w:hint="eastAsia" w:ascii="仿宋" w:hAnsi="仿宋" w:eastAsia="仿宋" w:cs="仿宋"/>
                      <w:szCs w:val="21"/>
                    </w:rPr>
                    <w:t>15</w:t>
                  </w:r>
                </w:p>
              </w:tc>
              <w:tc>
                <w:tcPr>
                  <w:tcW w:w="1230" w:type="dxa"/>
                  <w:vMerge w:val="continue"/>
                  <w:vAlign w:val="center"/>
                </w:tcPr>
                <w:p w14:paraId="19E007E1">
                  <w:pPr>
                    <w:jc w:val="center"/>
                    <w:rPr>
                      <w:rFonts w:hint="eastAsia" w:ascii="仿宋" w:hAnsi="仿宋" w:eastAsia="仿宋" w:cs="仿宋"/>
                      <w:szCs w:val="21"/>
                    </w:rPr>
                  </w:pPr>
                </w:p>
              </w:tc>
              <w:tc>
                <w:tcPr>
                  <w:tcW w:w="2542" w:type="dxa"/>
                  <w:vAlign w:val="center"/>
                </w:tcPr>
                <w:p w14:paraId="429B07F9">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宣传业务数据查询</w:t>
                  </w:r>
                </w:p>
              </w:tc>
              <w:tc>
                <w:tcPr>
                  <w:tcW w:w="1150" w:type="dxa"/>
                  <w:vMerge w:val="continue"/>
                  <w:vAlign w:val="center"/>
                </w:tcPr>
                <w:p w14:paraId="508DAF00">
                  <w:pPr>
                    <w:rPr>
                      <w:rFonts w:hint="eastAsia" w:ascii="仿宋" w:hAnsi="仿宋" w:eastAsia="仿宋" w:cs="仿宋"/>
                      <w:szCs w:val="21"/>
                    </w:rPr>
                  </w:pPr>
                </w:p>
              </w:tc>
              <w:tc>
                <w:tcPr>
                  <w:tcW w:w="3584" w:type="dxa"/>
                  <w:vAlign w:val="center"/>
                </w:tcPr>
                <w:p w14:paraId="667F8124">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宣传业务数据查询</w:t>
                  </w:r>
                </w:p>
              </w:tc>
            </w:tr>
            <w:tr w14:paraId="6512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72ED50E">
                  <w:pPr>
                    <w:rPr>
                      <w:rFonts w:hint="eastAsia" w:ascii="仿宋" w:hAnsi="仿宋" w:eastAsia="仿宋" w:cs="仿宋"/>
                      <w:szCs w:val="21"/>
                    </w:rPr>
                  </w:pPr>
                  <w:r>
                    <w:rPr>
                      <w:rFonts w:hint="eastAsia" w:ascii="仿宋" w:hAnsi="仿宋" w:eastAsia="仿宋" w:cs="仿宋"/>
                      <w:szCs w:val="21"/>
                    </w:rPr>
                    <w:t>16</w:t>
                  </w:r>
                </w:p>
              </w:tc>
              <w:tc>
                <w:tcPr>
                  <w:tcW w:w="1230" w:type="dxa"/>
                  <w:vMerge w:val="continue"/>
                  <w:vAlign w:val="center"/>
                </w:tcPr>
                <w:p w14:paraId="2AB03AC0">
                  <w:pPr>
                    <w:jc w:val="center"/>
                    <w:rPr>
                      <w:rFonts w:hint="eastAsia" w:ascii="仿宋" w:hAnsi="仿宋" w:eastAsia="仿宋" w:cs="仿宋"/>
                      <w:szCs w:val="21"/>
                    </w:rPr>
                  </w:pPr>
                </w:p>
              </w:tc>
              <w:tc>
                <w:tcPr>
                  <w:tcW w:w="2542" w:type="dxa"/>
                  <w:vAlign w:val="center"/>
                </w:tcPr>
                <w:p w14:paraId="45CAA839">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科教业务数据查询</w:t>
                  </w:r>
                </w:p>
              </w:tc>
              <w:tc>
                <w:tcPr>
                  <w:tcW w:w="1150" w:type="dxa"/>
                  <w:vMerge w:val="continue"/>
                  <w:vAlign w:val="center"/>
                </w:tcPr>
                <w:p w14:paraId="0AA46FB2">
                  <w:pPr>
                    <w:rPr>
                      <w:rFonts w:hint="eastAsia" w:ascii="仿宋" w:hAnsi="仿宋" w:eastAsia="仿宋" w:cs="仿宋"/>
                      <w:szCs w:val="21"/>
                    </w:rPr>
                  </w:pPr>
                </w:p>
              </w:tc>
              <w:tc>
                <w:tcPr>
                  <w:tcW w:w="3584" w:type="dxa"/>
                  <w:vAlign w:val="center"/>
                </w:tcPr>
                <w:p w14:paraId="615DC319">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科教业务数据查询</w:t>
                  </w:r>
                </w:p>
              </w:tc>
            </w:tr>
            <w:tr w14:paraId="0AF2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219E2DB">
                  <w:pPr>
                    <w:rPr>
                      <w:rFonts w:hint="eastAsia" w:ascii="仿宋" w:hAnsi="仿宋" w:eastAsia="仿宋" w:cs="仿宋"/>
                      <w:szCs w:val="21"/>
                    </w:rPr>
                  </w:pPr>
                  <w:r>
                    <w:rPr>
                      <w:rFonts w:hint="eastAsia" w:ascii="仿宋" w:hAnsi="仿宋" w:eastAsia="仿宋" w:cs="仿宋"/>
                      <w:szCs w:val="21"/>
                    </w:rPr>
                    <w:t>17</w:t>
                  </w:r>
                </w:p>
              </w:tc>
              <w:tc>
                <w:tcPr>
                  <w:tcW w:w="1230" w:type="dxa"/>
                  <w:vMerge w:val="continue"/>
                  <w:vAlign w:val="center"/>
                </w:tcPr>
                <w:p w14:paraId="0620967F">
                  <w:pPr>
                    <w:jc w:val="center"/>
                    <w:rPr>
                      <w:rFonts w:hint="eastAsia" w:ascii="仿宋" w:hAnsi="仿宋" w:eastAsia="仿宋" w:cs="仿宋"/>
                      <w:szCs w:val="21"/>
                    </w:rPr>
                  </w:pPr>
                </w:p>
              </w:tc>
              <w:tc>
                <w:tcPr>
                  <w:tcW w:w="2542" w:type="dxa"/>
                  <w:vAlign w:val="center"/>
                </w:tcPr>
                <w:p w14:paraId="2B3A3CB0">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医养结合业务数据查询</w:t>
                  </w:r>
                </w:p>
              </w:tc>
              <w:tc>
                <w:tcPr>
                  <w:tcW w:w="1150" w:type="dxa"/>
                  <w:vMerge w:val="continue"/>
                  <w:vAlign w:val="center"/>
                </w:tcPr>
                <w:p w14:paraId="7436E867">
                  <w:pPr>
                    <w:rPr>
                      <w:rFonts w:hint="eastAsia" w:ascii="仿宋" w:hAnsi="仿宋" w:eastAsia="仿宋" w:cs="仿宋"/>
                      <w:szCs w:val="21"/>
                    </w:rPr>
                  </w:pPr>
                </w:p>
              </w:tc>
              <w:tc>
                <w:tcPr>
                  <w:tcW w:w="3584" w:type="dxa"/>
                  <w:vAlign w:val="center"/>
                </w:tcPr>
                <w:p w14:paraId="797EA7A8">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医养结合业务数据查询</w:t>
                  </w:r>
                </w:p>
              </w:tc>
            </w:tr>
            <w:tr w14:paraId="7D04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1F3C0D2">
                  <w:pPr>
                    <w:rPr>
                      <w:rFonts w:hint="eastAsia" w:ascii="仿宋" w:hAnsi="仿宋" w:eastAsia="仿宋" w:cs="仿宋"/>
                      <w:szCs w:val="21"/>
                    </w:rPr>
                  </w:pPr>
                  <w:r>
                    <w:rPr>
                      <w:rFonts w:hint="eastAsia" w:ascii="仿宋" w:hAnsi="仿宋" w:eastAsia="仿宋" w:cs="仿宋"/>
                      <w:szCs w:val="21"/>
                    </w:rPr>
                    <w:t>18</w:t>
                  </w:r>
                </w:p>
              </w:tc>
              <w:tc>
                <w:tcPr>
                  <w:tcW w:w="1230" w:type="dxa"/>
                  <w:vMerge w:val="continue"/>
                  <w:vAlign w:val="center"/>
                </w:tcPr>
                <w:p w14:paraId="1F39022C">
                  <w:pPr>
                    <w:jc w:val="center"/>
                    <w:rPr>
                      <w:rFonts w:hint="eastAsia" w:ascii="仿宋" w:hAnsi="仿宋" w:eastAsia="仿宋" w:cs="仿宋"/>
                      <w:szCs w:val="21"/>
                    </w:rPr>
                  </w:pPr>
                </w:p>
              </w:tc>
              <w:tc>
                <w:tcPr>
                  <w:tcW w:w="2542" w:type="dxa"/>
                  <w:vAlign w:val="center"/>
                </w:tcPr>
                <w:p w14:paraId="69150934">
                  <w:pPr>
                    <w:widowControl/>
                    <w:jc w:val="center"/>
                    <w:textAlignment w:val="center"/>
                    <w:rPr>
                      <w:rFonts w:hint="eastAsia" w:ascii="仿宋" w:hAnsi="仿宋" w:eastAsia="仿宋" w:cs="仿宋"/>
                      <w:szCs w:val="21"/>
                    </w:rPr>
                  </w:pPr>
                  <w:r>
                    <w:rPr>
                      <w:rFonts w:hint="eastAsia" w:ascii="仿宋" w:hAnsi="仿宋" w:eastAsia="仿宋" w:cs="仿宋"/>
                      <w:szCs w:val="21"/>
                    </w:rPr>
                    <w:t>-</w:t>
                  </w:r>
                </w:p>
              </w:tc>
              <w:tc>
                <w:tcPr>
                  <w:tcW w:w="1150" w:type="dxa"/>
                  <w:vMerge w:val="continue"/>
                  <w:vAlign w:val="center"/>
                </w:tcPr>
                <w:p w14:paraId="670F0B12">
                  <w:pPr>
                    <w:rPr>
                      <w:rFonts w:hint="eastAsia" w:ascii="仿宋" w:hAnsi="仿宋" w:eastAsia="仿宋" w:cs="仿宋"/>
                      <w:szCs w:val="21"/>
                    </w:rPr>
                  </w:pPr>
                </w:p>
              </w:tc>
              <w:tc>
                <w:tcPr>
                  <w:tcW w:w="3584" w:type="dxa"/>
                  <w:vAlign w:val="center"/>
                </w:tcPr>
                <w:p w14:paraId="4728A30E">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病案首页数据查询</w:t>
                  </w:r>
                </w:p>
              </w:tc>
            </w:tr>
            <w:tr w14:paraId="1AC3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4DA4E7C">
                  <w:pPr>
                    <w:rPr>
                      <w:rFonts w:hint="eastAsia" w:ascii="仿宋" w:hAnsi="仿宋" w:eastAsia="仿宋" w:cs="仿宋"/>
                      <w:szCs w:val="21"/>
                    </w:rPr>
                  </w:pPr>
                  <w:r>
                    <w:rPr>
                      <w:rFonts w:hint="eastAsia" w:ascii="仿宋" w:hAnsi="仿宋" w:eastAsia="仿宋" w:cs="仿宋"/>
                      <w:szCs w:val="21"/>
                    </w:rPr>
                    <w:t>19</w:t>
                  </w:r>
                </w:p>
              </w:tc>
              <w:tc>
                <w:tcPr>
                  <w:tcW w:w="1230" w:type="dxa"/>
                  <w:vMerge w:val="continue"/>
                  <w:vAlign w:val="center"/>
                </w:tcPr>
                <w:p w14:paraId="6601BCA4">
                  <w:pPr>
                    <w:jc w:val="center"/>
                    <w:rPr>
                      <w:rFonts w:hint="eastAsia" w:ascii="仿宋" w:hAnsi="仿宋" w:eastAsia="仿宋" w:cs="仿宋"/>
                      <w:szCs w:val="21"/>
                    </w:rPr>
                  </w:pPr>
                </w:p>
              </w:tc>
              <w:tc>
                <w:tcPr>
                  <w:tcW w:w="2542" w:type="dxa"/>
                  <w:vAlign w:val="center"/>
                </w:tcPr>
                <w:p w14:paraId="6BAED85C">
                  <w:pPr>
                    <w:widowControl/>
                    <w:jc w:val="center"/>
                    <w:textAlignment w:val="center"/>
                    <w:rPr>
                      <w:rFonts w:hint="eastAsia" w:ascii="仿宋" w:hAnsi="仿宋" w:eastAsia="仿宋" w:cs="仿宋"/>
                      <w:szCs w:val="21"/>
                    </w:rPr>
                  </w:pPr>
                  <w:r>
                    <w:rPr>
                      <w:rFonts w:hint="eastAsia" w:ascii="仿宋" w:hAnsi="仿宋" w:eastAsia="仿宋" w:cs="仿宋"/>
                      <w:szCs w:val="21"/>
                    </w:rPr>
                    <w:t>-</w:t>
                  </w:r>
                </w:p>
              </w:tc>
              <w:tc>
                <w:tcPr>
                  <w:tcW w:w="1150" w:type="dxa"/>
                  <w:vMerge w:val="continue"/>
                  <w:vAlign w:val="center"/>
                </w:tcPr>
                <w:p w14:paraId="2DAF3A22">
                  <w:pPr>
                    <w:rPr>
                      <w:rFonts w:hint="eastAsia" w:ascii="仿宋" w:hAnsi="仿宋" w:eastAsia="仿宋" w:cs="仿宋"/>
                      <w:szCs w:val="21"/>
                    </w:rPr>
                  </w:pPr>
                </w:p>
              </w:tc>
              <w:tc>
                <w:tcPr>
                  <w:tcW w:w="3584" w:type="dxa"/>
                  <w:vAlign w:val="center"/>
                </w:tcPr>
                <w:p w14:paraId="3655F5CE">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卫生人力资源数据查询</w:t>
                  </w:r>
                </w:p>
              </w:tc>
            </w:tr>
            <w:tr w14:paraId="0007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1359956">
                  <w:pPr>
                    <w:rPr>
                      <w:rFonts w:hint="eastAsia" w:ascii="仿宋" w:hAnsi="仿宋" w:eastAsia="仿宋" w:cs="仿宋"/>
                      <w:szCs w:val="21"/>
                    </w:rPr>
                  </w:pPr>
                  <w:r>
                    <w:rPr>
                      <w:rFonts w:hint="eastAsia" w:ascii="仿宋" w:hAnsi="仿宋" w:eastAsia="仿宋" w:cs="仿宋"/>
                      <w:szCs w:val="21"/>
                    </w:rPr>
                    <w:t>20</w:t>
                  </w:r>
                </w:p>
              </w:tc>
              <w:tc>
                <w:tcPr>
                  <w:tcW w:w="1230" w:type="dxa"/>
                  <w:vMerge w:val="continue"/>
                  <w:vAlign w:val="center"/>
                </w:tcPr>
                <w:p w14:paraId="604871A0">
                  <w:pPr>
                    <w:jc w:val="center"/>
                    <w:rPr>
                      <w:rFonts w:hint="eastAsia" w:ascii="仿宋" w:hAnsi="仿宋" w:eastAsia="仿宋" w:cs="仿宋"/>
                      <w:szCs w:val="21"/>
                    </w:rPr>
                  </w:pPr>
                </w:p>
              </w:tc>
              <w:tc>
                <w:tcPr>
                  <w:tcW w:w="2542" w:type="dxa"/>
                  <w:vAlign w:val="center"/>
                </w:tcPr>
                <w:p w14:paraId="563BEADB">
                  <w:pPr>
                    <w:widowControl/>
                    <w:textAlignment w:val="center"/>
                    <w:rPr>
                      <w:rFonts w:hint="eastAsia" w:ascii="仿宋" w:hAnsi="仿宋" w:eastAsia="仿宋" w:cs="仿宋"/>
                      <w:szCs w:val="21"/>
                    </w:rPr>
                  </w:pPr>
                  <w:r>
                    <w:rPr>
                      <w:rFonts w:hint="eastAsia" w:ascii="仿宋" w:hAnsi="仿宋" w:eastAsia="仿宋" w:cs="仿宋"/>
                      <w:color w:val="000000"/>
                      <w:szCs w:val="21"/>
                      <w:lang w:bidi="ar"/>
                    </w:rPr>
                    <w:t>卫生设备数据查询</w:t>
                  </w:r>
                </w:p>
              </w:tc>
              <w:tc>
                <w:tcPr>
                  <w:tcW w:w="1150" w:type="dxa"/>
                  <w:vMerge w:val="continue"/>
                  <w:vAlign w:val="center"/>
                </w:tcPr>
                <w:p w14:paraId="53ADA455">
                  <w:pPr>
                    <w:rPr>
                      <w:rFonts w:hint="eastAsia" w:ascii="仿宋" w:hAnsi="仿宋" w:eastAsia="仿宋" w:cs="仿宋"/>
                      <w:szCs w:val="21"/>
                    </w:rPr>
                  </w:pPr>
                </w:p>
              </w:tc>
              <w:tc>
                <w:tcPr>
                  <w:tcW w:w="3584" w:type="dxa"/>
                  <w:vAlign w:val="center"/>
                </w:tcPr>
                <w:p w14:paraId="47862360">
                  <w:pPr>
                    <w:rPr>
                      <w:rFonts w:hint="eastAsia" w:ascii="仿宋" w:hAnsi="仿宋" w:eastAsia="仿宋" w:cs="仿宋"/>
                      <w:szCs w:val="21"/>
                    </w:rPr>
                  </w:pPr>
                  <w:r>
                    <w:rPr>
                      <w:rFonts w:hint="eastAsia" w:ascii="仿宋" w:hAnsi="仿宋" w:eastAsia="仿宋" w:cs="仿宋"/>
                      <w:color w:val="000000"/>
                      <w:szCs w:val="21"/>
                      <w:lang w:bidi="ar"/>
                    </w:rPr>
                    <w:t>卫生设备数据查询</w:t>
                  </w:r>
                </w:p>
              </w:tc>
            </w:tr>
          </w:tbl>
          <w:p w14:paraId="4C09660F">
            <w:pPr>
              <w:pStyle w:val="23"/>
              <w:spacing w:line="360" w:lineRule="auto"/>
              <w:rPr>
                <w:rFonts w:hint="eastAsia" w:ascii="仿宋" w:hAnsi="仿宋" w:eastAsia="仿宋" w:cs="仿宋"/>
                <w:color w:val="000000" w:themeColor="text1"/>
                <w:szCs w:val="21"/>
                <w14:textFill>
                  <w14:solidFill>
                    <w14:schemeClr w14:val="tx1"/>
                  </w14:solidFill>
                </w14:textFill>
              </w:rPr>
            </w:pPr>
          </w:p>
          <w:p w14:paraId="1F9D1D54">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4.2.3.4数据质控功能优化</w:t>
            </w:r>
          </w:p>
          <w:p w14:paraId="697AD26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质控是保障卫生统计直报系统数据质量的核心环节，以下内容将围绕质控规则的全流程管理，从规则梳理的依据与方法，到规则定义、配置的具体内容，再到质控方案的制定、执行与优化，进行系统且详实的阐述。</w:t>
            </w:r>
          </w:p>
          <w:p w14:paraId="27E62CFB">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4.2.3.4.1质控规则梳理</w:t>
            </w:r>
          </w:p>
          <w:p w14:paraId="44586D2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控规则梳理是构建数据质量保障体系的首要环节，需全面、深入地整合多方信息。一方面，深度剖析《国家卫生资源与医疗服务调查制度》《医疗卫生统计工作规范》等国家及地方政策文件，精准提炼其中关于数据填报规范、统计口径、指标解释等强制性要求，将政策条款转化为可落地的质控规则基础。另一方面，结合卫生统计业务实际操作场景，通过与一线填报人员、审核专员访谈，以及实地调研等方式，梳理数据在填报过程中的潜在风险点，例如数据填报时的指标漏填、逻辑矛盾等问题。此外，回溯历史数据质控报告与审核记录，统计高频出现的数据质量问题类型、涉及的报表种类及机构范围，例如某类报表中医疗收入与药品收入比例异常的高频出现，将这些典型问题纳入重点梳理范围，确保质控规则贴合实际业务需求。</w:t>
            </w:r>
          </w:p>
          <w:p w14:paraId="0F6148F1">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4.2.3.4.2质控体系搭建</w:t>
            </w:r>
          </w:p>
          <w:p w14:paraId="2238071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据卫生统计工作规范，确立完整性、准确性、一致性、有效性、及时性五大核心质量维度。针对各维度细化评估指标，如要求医疗卫生机构年报表中机构名称、床位数等必填字段无遗漏，病案首页中的主要诊断、疾病编码等数据需要在代码范围内。同时，构建适用于卫生统计数据的评分体系，按业务重要程度为各质量维度分配权重，通过对实际填报数据进行评估，计算整体数据质量评分，直观衡量数据质量水平，形成全面的数据质量评估体系。</w:t>
            </w:r>
          </w:p>
          <w:p w14:paraId="5A75BAE6">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4.2.3.4.3质控规则定义</w:t>
            </w:r>
          </w:p>
          <w:p w14:paraId="719001D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以《国家卫生资源与医疗服务调查制度》等政策文件为依据，将卫生统计数据标准转化为质量规则，并据此规则检查填报规范性。</w:t>
            </w:r>
          </w:p>
          <w:p w14:paraId="3CA276D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内置贴合卫生统计业务的数据质量检查规则，涵盖空值检查、值域检查、逻辑校验等多种类型，像医用设备调查表中设备名称不得为空，村卫生室人力基本信息调查表中人员年龄需在18-70岁区间等。此外，支持用户根据地方卫生统计特色需求，通过可视化界面自定义质量规则，满足个性化质控需求。</w:t>
            </w:r>
          </w:p>
          <w:p w14:paraId="3FB697C9">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4.2.3.4.4质控规则配置</w:t>
            </w:r>
          </w:p>
          <w:p w14:paraId="5AE9C6E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控规则配置为数据质控工作提供灵活、高效的执行框架。系统配备可视化配置界面，管理员可通过直观的可视化操作，如拖拽、勾选等方式，快速完成质控规则的添加、修改、删除，同时内置规则模板库，涵盖常见质控场景，降低规则配置门槛。针对不同类型的质控规则，设置明确的优先级顺序，例如完整性规则优先于准确性规则，严重影响数据真实性的规则优先级高于一般格式错误规则，保障质控流程高效有序推进。</w:t>
            </w:r>
          </w:p>
          <w:p w14:paraId="558026F7">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4.2.3.4.5质控方案管理</w:t>
            </w:r>
          </w:p>
          <w:p w14:paraId="3063C18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可根据卫生统计业务周期，制定多样化质检计划。对常规年报设置年度集中检查；对实时性要求高的医疗服务月报表，安排每月定时检查。同时，支持按业务需求设置实时检查与定期批量检查相结合的方式，如在数据填报提交时实时校验必填项、格式等基础问题，定期对全量数据进行跨报表关联校验等深度逻辑核查，确保数据质量持续达标。</w:t>
            </w:r>
          </w:p>
          <w:p w14:paraId="7E040BD1">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4.2.3.4.6质量检查执行</w:t>
            </w:r>
          </w:p>
          <w:p w14:paraId="7C463E7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医疗机构对数据质量检查执行过程中，系统依据配置好的质检方案，对多源数据进行高效处理。</w:t>
            </w:r>
          </w:p>
          <w:p w14:paraId="2DD7710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次优化需针对卫健统年报、卫健统月报、病案首页、卫生人力的质量控制搭建模型，通过搭建数据质量控制模型，及时发现并修正问题数据，提高数据的准确性、完整性和一致性。将自定义质控规则纳入系统，减少人工核对工作量，提升质控效率和准确率。通过高质量的数据支持，为卫生健康管理提供可靠的决策依据。确保数据合格率达到国家规定标准。</w:t>
            </w:r>
          </w:p>
          <w:p w14:paraId="3D175DD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4.2.3.4.6.1年报质控</w:t>
            </w:r>
          </w:p>
          <w:p w14:paraId="44774A6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4.2.3.4.6.1.1功能需求</w:t>
            </w:r>
          </w:p>
          <w:p w14:paraId="2F6E610F">
            <w:pPr>
              <w:pStyle w:val="23"/>
              <w:numPr>
                <w:ilvl w:val="0"/>
                <w:numId w:val="16"/>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创建卫健统年报1-1表至1-7表的质量控制模型；</w:t>
            </w:r>
          </w:p>
          <w:p w14:paraId="388E37CB">
            <w:pPr>
              <w:pStyle w:val="23"/>
              <w:numPr>
                <w:ilvl w:val="0"/>
                <w:numId w:val="16"/>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增加针对年报的质检规则，包括数据完整性、合理性、一致性等；</w:t>
            </w:r>
          </w:p>
          <w:p w14:paraId="42FF3B31">
            <w:pPr>
              <w:pStyle w:val="23"/>
              <w:numPr>
                <w:ilvl w:val="0"/>
                <w:numId w:val="16"/>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每年年报报送完之后按需定期执行质检方案，自动输出问题数据报告。</w:t>
            </w:r>
          </w:p>
          <w:p w14:paraId="548E957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4.2.3.4.6.1.2技术需求</w:t>
            </w:r>
          </w:p>
          <w:p w14:paraId="7D093884">
            <w:pPr>
              <w:pStyle w:val="23"/>
              <w:numPr>
                <w:ilvl w:val="0"/>
                <w:numId w:val="17"/>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支持自动化的数据校验和问题数据标记；</w:t>
            </w:r>
          </w:p>
          <w:p w14:paraId="65CA1FEE">
            <w:pPr>
              <w:pStyle w:val="23"/>
              <w:numPr>
                <w:ilvl w:val="0"/>
                <w:numId w:val="17"/>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提供问题数据的详细报告，包括错误类型、所在表单、具体数据等信息。</w:t>
            </w:r>
          </w:p>
          <w:p w14:paraId="1637D098">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4.2.3.4.6.2月报质控</w:t>
            </w:r>
          </w:p>
          <w:p w14:paraId="764A169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4.2.3.4.6.2.1功能需求</w:t>
            </w:r>
          </w:p>
          <w:p w14:paraId="13522BC7">
            <w:pPr>
              <w:pStyle w:val="23"/>
              <w:numPr>
                <w:ilvl w:val="0"/>
                <w:numId w:val="18"/>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创建卫健统月报1-13表的质量控制模型；</w:t>
            </w:r>
          </w:p>
          <w:p w14:paraId="52662152">
            <w:pPr>
              <w:pStyle w:val="23"/>
              <w:numPr>
                <w:ilvl w:val="0"/>
                <w:numId w:val="18"/>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增加针对月报的质检规则，包括数据完整性、合理性、一致性等；</w:t>
            </w:r>
          </w:p>
          <w:p w14:paraId="33193130">
            <w:pPr>
              <w:pStyle w:val="23"/>
              <w:numPr>
                <w:ilvl w:val="0"/>
                <w:numId w:val="18"/>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每月13日定期执行质检方案，自动输出问题数据报告。</w:t>
            </w:r>
          </w:p>
          <w:p w14:paraId="6880D59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4.2.3.4.6.2.2技术需求</w:t>
            </w:r>
          </w:p>
          <w:p w14:paraId="318E721F">
            <w:pPr>
              <w:pStyle w:val="23"/>
              <w:numPr>
                <w:ilvl w:val="0"/>
                <w:numId w:val="19"/>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支持自动化的数据校验和问题数据标记；</w:t>
            </w:r>
          </w:p>
          <w:p w14:paraId="40BCE38E">
            <w:pPr>
              <w:pStyle w:val="23"/>
              <w:numPr>
                <w:ilvl w:val="0"/>
                <w:numId w:val="19"/>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提供问题数据的详细报告，包括错误类型、所在表单、具体数据等信息。</w:t>
            </w:r>
          </w:p>
          <w:p w14:paraId="2972A5B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4.2.3.4.6.3病案质控</w:t>
            </w:r>
          </w:p>
          <w:p w14:paraId="2E4B286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4.2.3.4.6.3.1功能需求</w:t>
            </w:r>
          </w:p>
          <w:p w14:paraId="1458EA1B">
            <w:pPr>
              <w:pStyle w:val="23"/>
              <w:numPr>
                <w:ilvl w:val="0"/>
                <w:numId w:val="20"/>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创建西医病案、中医病案、基层病案的质量控制模型；</w:t>
            </w:r>
          </w:p>
          <w:p w14:paraId="3219D19F">
            <w:pPr>
              <w:pStyle w:val="23"/>
              <w:numPr>
                <w:ilvl w:val="0"/>
                <w:numId w:val="20"/>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增加卫健统4-1表、4-2表、4-3表的质检规则；</w:t>
            </w:r>
          </w:p>
          <w:p w14:paraId="238B8300">
            <w:pPr>
              <w:pStyle w:val="23"/>
              <w:numPr>
                <w:ilvl w:val="0"/>
                <w:numId w:val="20"/>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每月20日定期执行质检方案，自动输出问题数据报告。</w:t>
            </w:r>
          </w:p>
          <w:p w14:paraId="3A2D605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4.2.3.4.6.3.2技术需求</w:t>
            </w:r>
          </w:p>
          <w:p w14:paraId="79D6563A">
            <w:pPr>
              <w:pStyle w:val="23"/>
              <w:numPr>
                <w:ilvl w:val="0"/>
                <w:numId w:val="21"/>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支持对病案首页数据的多维度校验，如费用合理性、诊断准确性等；</w:t>
            </w:r>
          </w:p>
          <w:p w14:paraId="2EB6E0BD">
            <w:pPr>
              <w:pStyle w:val="23"/>
              <w:numPr>
                <w:ilvl w:val="0"/>
                <w:numId w:val="21"/>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提供问题数据的详细报告，并支持问题数据的追溯和修改。</w:t>
            </w:r>
          </w:p>
          <w:p w14:paraId="38D87B4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4.2.3.4.6.4人力质控</w:t>
            </w:r>
          </w:p>
          <w:p w14:paraId="63FDB9E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4.2.3.4.6.4.1功能需求</w:t>
            </w:r>
          </w:p>
          <w:p w14:paraId="17D23A86">
            <w:pPr>
              <w:pStyle w:val="23"/>
              <w:numPr>
                <w:ilvl w:val="0"/>
                <w:numId w:val="22"/>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创建村卫生室人力、卫健统人力2表的质量控制模型；</w:t>
            </w:r>
          </w:p>
          <w:p w14:paraId="771BEB76">
            <w:pPr>
              <w:pStyle w:val="23"/>
              <w:numPr>
                <w:ilvl w:val="0"/>
                <w:numId w:val="22"/>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增加卫健统2表的质检规则；</w:t>
            </w:r>
          </w:p>
          <w:p w14:paraId="05250455">
            <w:pPr>
              <w:pStyle w:val="23"/>
              <w:numPr>
                <w:ilvl w:val="0"/>
                <w:numId w:val="22"/>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每月20日定期执行质检方案，自动输出问题数据报告。</w:t>
            </w:r>
          </w:p>
          <w:p w14:paraId="7823EB1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4.2.3.4.6.4.2技术需求</w:t>
            </w:r>
          </w:p>
          <w:p w14:paraId="14FEFD18">
            <w:pPr>
              <w:pStyle w:val="23"/>
              <w:numPr>
                <w:ilvl w:val="0"/>
                <w:numId w:val="23"/>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支持对人员信息的完整性、唯一性校验；</w:t>
            </w:r>
          </w:p>
          <w:p w14:paraId="1540417C">
            <w:pPr>
              <w:pStyle w:val="23"/>
              <w:numPr>
                <w:ilvl w:val="0"/>
                <w:numId w:val="23"/>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提供问题数据的详细报告，并支持问题数据的追溯和修改。</w:t>
            </w:r>
          </w:p>
          <w:p w14:paraId="5D1CFBA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4.2.3.4.6.5年报会审</w:t>
            </w:r>
          </w:p>
          <w:p w14:paraId="3BEE113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年报送年报之前除国家质控规则外，还需通过本省自定义规则进行数据质控，历年均采用人工核对的方式，耗时久、准确率低，因此将自定义规则开发至数据质控中，按照质控规则输出不合格数据，以分析表的形式进行展示，挂载至数据分析模块中，供各机构进行查询并及时进行修改。</w:t>
            </w:r>
          </w:p>
          <w:p w14:paraId="3716B6D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4.2.3.4.6.5.1功能需求</w:t>
            </w:r>
          </w:p>
          <w:p w14:paraId="7D70D308">
            <w:pPr>
              <w:pStyle w:val="23"/>
              <w:numPr>
                <w:ilvl w:val="0"/>
                <w:numId w:val="24"/>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在年报报送前，除国家质控规则外，增加本省自定义的质控规则；</w:t>
            </w:r>
          </w:p>
          <w:p w14:paraId="6C5CC8F3">
            <w:pPr>
              <w:pStyle w:val="23"/>
              <w:numPr>
                <w:ilvl w:val="0"/>
                <w:numId w:val="24"/>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将自定义质控规则开发至数据质控系统中，自动输出不合格数据；</w:t>
            </w:r>
          </w:p>
          <w:p w14:paraId="3E95F39C">
            <w:pPr>
              <w:pStyle w:val="23"/>
              <w:numPr>
                <w:ilvl w:val="0"/>
                <w:numId w:val="24"/>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以分析表的形式展示问题数据，挂载至数据分析模块；</w:t>
            </w:r>
          </w:p>
          <w:p w14:paraId="19AF7FB7">
            <w:pPr>
              <w:pStyle w:val="23"/>
              <w:numPr>
                <w:ilvl w:val="0"/>
                <w:numId w:val="24"/>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提供问题数据的查询和导出功能，支持机构及时修正数据。</w:t>
            </w:r>
          </w:p>
          <w:p w14:paraId="7CC3535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4.2.3.4.6.5.2技术需求</w:t>
            </w:r>
          </w:p>
          <w:p w14:paraId="6C62065A">
            <w:pPr>
              <w:pStyle w:val="23"/>
              <w:numPr>
                <w:ilvl w:val="0"/>
                <w:numId w:val="25"/>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支持自定义规则的灵活配置和管理；</w:t>
            </w:r>
          </w:p>
          <w:p w14:paraId="079A965F">
            <w:pPr>
              <w:pStyle w:val="23"/>
              <w:numPr>
                <w:ilvl w:val="0"/>
                <w:numId w:val="25"/>
              </w:numPr>
              <w:spacing w:before="0" w:after="0" w:line="360" w:lineRule="auto"/>
              <w:ind w:left="0"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提供高效的查询分析表，支持机构快速响应和修正问题数据。</w:t>
            </w:r>
          </w:p>
          <w:p w14:paraId="50876EB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4.2.3.4.7质量问题分析</w:t>
            </w:r>
          </w:p>
          <w:p w14:paraId="76B0134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质检完成后，系统精准定位问题数据，通过质检报告详细标注问题数据所在报表、字段及违反规则，方便填报人员快速定位修改。同时生成多维度质量分析报表，从机构维度分析不同医院、卫生院的数据问题分布，从时间维度对比季度间数据质量波动，从指标维度统计各关键指标的错误率，为后续整改提供全面的数据依据。</w:t>
            </w:r>
          </w:p>
          <w:p w14:paraId="5BE0D46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4.2.3.4.8机构质控延伸</w:t>
            </w:r>
          </w:p>
          <w:p w14:paraId="5B422BA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4.2.3.4.8.1任务类型化质控方案设计</w:t>
            </w:r>
          </w:p>
          <w:p w14:paraId="14912ED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构建覆盖年报、月报、医改监测、病案首页、卫生人力等多任务类型的质控规则库，按任务特性定制质控方案：年报侧重全量数据逻辑质控，月报强化时效性与必填项检查，医改监测聚焦政策指标匹配度，病案首页关注诊疗术语规范性，卫生人力突出编制结构合理性。</w:t>
            </w:r>
          </w:p>
          <w:p w14:paraId="20BD9B2F">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4.2.3.4.8.2系统嵌入式任务质控集成</w:t>
            </w:r>
          </w:p>
          <w:p w14:paraId="24F727B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卫生统计直报系统中植入任务关联的质控模块，根据年报/月报等任务类型自动匹配对应规则库。数据保存后触发“任务质控”弹窗，支持一键调用专属质控方案，同时开放非核心参数配置权限（如卫生人力任务的编制比例阈值），适配机构个性化业务需求。</w:t>
            </w:r>
          </w:p>
          <w:p w14:paraId="38BADEC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4.2.3.4.8.3任务级自动化质控执行</w:t>
            </w:r>
          </w:p>
          <w:p w14:paraId="7400A56B">
            <w:pPr>
              <w:pStyle w:val="23"/>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调用质控功能后，系统自动执行全维度规则扫描，包括跨表逻辑校验、时效性核查、极值、值域、合理性质控等，结束后生成质控结果表，确保数据完整性与准确性。</w:t>
            </w:r>
          </w:p>
          <w:p w14:paraId="57D6FE1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4.2.3.4.8.4任务闭环修正与质控追溯</w:t>
            </w:r>
          </w:p>
          <w:p w14:paraId="6DDFB5A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依据任务质控结果表定位修改后，可再次发起对应任务的质控校验。系统自动记录年报/月报等任务的全周期质控历史，生成任务版本对比报告，展示修正轨迹（如病案首页术语替换记录），形成“任务填报-质控-修正-再质控”的闭环管理，直至任务所有质控项通过后解锁上报权限。</w:t>
            </w:r>
          </w:p>
          <w:p w14:paraId="3A4922C2">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4.2.3.4.8.5任务导向的规则迭代</w:t>
            </w:r>
          </w:p>
          <w:p w14:paraId="22C74AD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立任务质控问题反馈通道，收集医疗机构在年报填报逻辑冲突、医改指标口径歧义等任务执行中的规则优化建议，定期迭代各任务类型的质控规则库，同步更新系统内置的任务校验方案，确保质控标准与业务需求动态适配。</w:t>
            </w:r>
          </w:p>
          <w:p w14:paraId="528DDB56">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4.2.3.4.9优化前后功能对比清单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204"/>
              <w:gridCol w:w="1950"/>
              <w:gridCol w:w="1578"/>
              <w:gridCol w:w="2115"/>
            </w:tblGrid>
            <w:tr w14:paraId="3B81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72460EA">
                  <w:pPr>
                    <w:jc w:val="center"/>
                    <w:rPr>
                      <w:rFonts w:hint="eastAsia" w:ascii="仿宋" w:hAnsi="仿宋" w:eastAsia="仿宋" w:cs="仿宋"/>
                      <w:b/>
                      <w:bCs/>
                      <w:szCs w:val="21"/>
                    </w:rPr>
                  </w:pPr>
                  <w:r>
                    <w:rPr>
                      <w:rFonts w:hint="eastAsia" w:ascii="仿宋" w:hAnsi="仿宋" w:eastAsia="仿宋" w:cs="仿宋"/>
                      <w:b/>
                      <w:bCs/>
                      <w:szCs w:val="21"/>
                    </w:rPr>
                    <w:t>序号</w:t>
                  </w:r>
                </w:p>
              </w:tc>
              <w:tc>
                <w:tcPr>
                  <w:tcW w:w="3897" w:type="dxa"/>
                  <w:gridSpan w:val="2"/>
                  <w:vAlign w:val="center"/>
                </w:tcPr>
                <w:p w14:paraId="39A6AF59">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4609" w:type="dxa"/>
                  <w:gridSpan w:val="2"/>
                  <w:vAlign w:val="center"/>
                </w:tcPr>
                <w:p w14:paraId="4AA1C7F7">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38A1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75CBF6C">
                  <w:pPr>
                    <w:rPr>
                      <w:rFonts w:hint="eastAsia" w:ascii="仿宋" w:hAnsi="仿宋" w:eastAsia="仿宋" w:cs="仿宋"/>
                      <w:szCs w:val="21"/>
                    </w:rPr>
                  </w:pPr>
                  <w:r>
                    <w:rPr>
                      <w:rFonts w:hint="eastAsia" w:ascii="仿宋" w:hAnsi="仿宋" w:eastAsia="仿宋" w:cs="仿宋"/>
                      <w:szCs w:val="21"/>
                    </w:rPr>
                    <w:t>1</w:t>
                  </w:r>
                </w:p>
              </w:tc>
              <w:tc>
                <w:tcPr>
                  <w:tcW w:w="1455" w:type="dxa"/>
                  <w:vAlign w:val="center"/>
                </w:tcPr>
                <w:p w14:paraId="6C28786F">
                  <w:pPr>
                    <w:jc w:val="center"/>
                    <w:rPr>
                      <w:rFonts w:hint="eastAsia" w:ascii="仿宋" w:hAnsi="仿宋" w:eastAsia="仿宋" w:cs="仿宋"/>
                      <w:szCs w:val="21"/>
                    </w:rPr>
                  </w:pPr>
                  <w:r>
                    <w:rPr>
                      <w:rFonts w:hint="eastAsia" w:ascii="仿宋" w:hAnsi="仿宋" w:eastAsia="仿宋" w:cs="仿宋"/>
                      <w:szCs w:val="21"/>
                    </w:rPr>
                    <w:t>质控规则梳理</w:t>
                  </w:r>
                </w:p>
              </w:tc>
              <w:tc>
                <w:tcPr>
                  <w:tcW w:w="2442" w:type="dxa"/>
                  <w:vAlign w:val="center"/>
                </w:tcPr>
                <w:p w14:paraId="67A1313C">
                  <w:pPr>
                    <w:jc w:val="center"/>
                    <w:rPr>
                      <w:rFonts w:hint="eastAsia" w:ascii="仿宋" w:hAnsi="仿宋" w:eastAsia="仿宋" w:cs="仿宋"/>
                      <w:szCs w:val="21"/>
                    </w:rPr>
                  </w:pPr>
                  <w:r>
                    <w:rPr>
                      <w:rFonts w:hint="eastAsia" w:ascii="仿宋" w:hAnsi="仿宋" w:eastAsia="仿宋" w:cs="仿宋"/>
                      <w:szCs w:val="21"/>
                    </w:rPr>
                    <w:t>质控规则梳理</w:t>
                  </w:r>
                </w:p>
              </w:tc>
              <w:tc>
                <w:tcPr>
                  <w:tcW w:w="1950" w:type="dxa"/>
                  <w:vAlign w:val="center"/>
                </w:tcPr>
                <w:p w14:paraId="2DEAAED4">
                  <w:pPr>
                    <w:jc w:val="center"/>
                    <w:rPr>
                      <w:rFonts w:hint="eastAsia" w:ascii="仿宋" w:hAnsi="仿宋" w:eastAsia="仿宋" w:cs="仿宋"/>
                      <w:szCs w:val="21"/>
                    </w:rPr>
                  </w:pPr>
                  <w:r>
                    <w:rPr>
                      <w:rFonts w:hint="eastAsia" w:ascii="仿宋" w:hAnsi="仿宋" w:eastAsia="仿宋" w:cs="仿宋"/>
                      <w:szCs w:val="21"/>
                    </w:rPr>
                    <w:t>质控规则梳理</w:t>
                  </w:r>
                </w:p>
              </w:tc>
              <w:tc>
                <w:tcPr>
                  <w:tcW w:w="2659" w:type="dxa"/>
                  <w:vAlign w:val="center"/>
                </w:tcPr>
                <w:p w14:paraId="1F41C14D">
                  <w:pPr>
                    <w:jc w:val="center"/>
                    <w:rPr>
                      <w:rFonts w:hint="eastAsia" w:ascii="仿宋" w:hAnsi="仿宋" w:eastAsia="仿宋" w:cs="仿宋"/>
                      <w:szCs w:val="21"/>
                    </w:rPr>
                  </w:pPr>
                  <w:r>
                    <w:rPr>
                      <w:rFonts w:hint="eastAsia" w:ascii="仿宋" w:hAnsi="仿宋" w:eastAsia="仿宋" w:cs="仿宋"/>
                      <w:szCs w:val="21"/>
                    </w:rPr>
                    <w:t>质控规则梳理</w:t>
                  </w:r>
                </w:p>
              </w:tc>
            </w:tr>
            <w:tr w14:paraId="348D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345665D">
                  <w:pPr>
                    <w:rPr>
                      <w:rFonts w:hint="eastAsia" w:ascii="仿宋" w:hAnsi="仿宋" w:eastAsia="仿宋" w:cs="仿宋"/>
                      <w:szCs w:val="21"/>
                    </w:rPr>
                  </w:pPr>
                  <w:r>
                    <w:rPr>
                      <w:rFonts w:hint="eastAsia" w:ascii="仿宋" w:hAnsi="仿宋" w:eastAsia="仿宋" w:cs="仿宋"/>
                      <w:szCs w:val="21"/>
                    </w:rPr>
                    <w:t>2</w:t>
                  </w:r>
                </w:p>
              </w:tc>
              <w:tc>
                <w:tcPr>
                  <w:tcW w:w="1455" w:type="dxa"/>
                  <w:vAlign w:val="center"/>
                </w:tcPr>
                <w:p w14:paraId="3874B6F5">
                  <w:pPr>
                    <w:jc w:val="center"/>
                    <w:rPr>
                      <w:rFonts w:hint="eastAsia" w:ascii="仿宋" w:hAnsi="仿宋" w:eastAsia="仿宋" w:cs="仿宋"/>
                      <w:szCs w:val="21"/>
                    </w:rPr>
                  </w:pPr>
                  <w:r>
                    <w:rPr>
                      <w:rFonts w:hint="eastAsia" w:ascii="仿宋" w:hAnsi="仿宋" w:eastAsia="仿宋" w:cs="仿宋"/>
                      <w:szCs w:val="21"/>
                    </w:rPr>
                    <w:t>质控体系搭建</w:t>
                  </w:r>
                </w:p>
              </w:tc>
              <w:tc>
                <w:tcPr>
                  <w:tcW w:w="2442" w:type="dxa"/>
                  <w:vAlign w:val="center"/>
                </w:tcPr>
                <w:p w14:paraId="709B9F2E">
                  <w:pPr>
                    <w:jc w:val="center"/>
                    <w:rPr>
                      <w:rFonts w:hint="eastAsia" w:ascii="仿宋" w:hAnsi="仿宋" w:eastAsia="仿宋" w:cs="仿宋"/>
                      <w:szCs w:val="21"/>
                    </w:rPr>
                  </w:pPr>
                  <w:r>
                    <w:rPr>
                      <w:rFonts w:hint="eastAsia" w:ascii="仿宋" w:hAnsi="仿宋" w:eastAsia="仿宋" w:cs="仿宋"/>
                      <w:szCs w:val="21"/>
                    </w:rPr>
                    <w:t>质控体系搭建</w:t>
                  </w:r>
                </w:p>
              </w:tc>
              <w:tc>
                <w:tcPr>
                  <w:tcW w:w="1950" w:type="dxa"/>
                  <w:vAlign w:val="center"/>
                </w:tcPr>
                <w:p w14:paraId="1D36A12C">
                  <w:pPr>
                    <w:jc w:val="center"/>
                    <w:rPr>
                      <w:rFonts w:hint="eastAsia" w:ascii="仿宋" w:hAnsi="仿宋" w:eastAsia="仿宋" w:cs="仿宋"/>
                      <w:szCs w:val="21"/>
                    </w:rPr>
                  </w:pPr>
                  <w:r>
                    <w:rPr>
                      <w:rFonts w:hint="eastAsia" w:ascii="仿宋" w:hAnsi="仿宋" w:eastAsia="仿宋" w:cs="仿宋"/>
                      <w:szCs w:val="21"/>
                    </w:rPr>
                    <w:t>质控体系搭建</w:t>
                  </w:r>
                </w:p>
              </w:tc>
              <w:tc>
                <w:tcPr>
                  <w:tcW w:w="2659" w:type="dxa"/>
                  <w:vAlign w:val="center"/>
                </w:tcPr>
                <w:p w14:paraId="53D1D965">
                  <w:pPr>
                    <w:jc w:val="center"/>
                    <w:rPr>
                      <w:rFonts w:hint="eastAsia" w:ascii="仿宋" w:hAnsi="仿宋" w:eastAsia="仿宋" w:cs="仿宋"/>
                      <w:szCs w:val="21"/>
                    </w:rPr>
                  </w:pPr>
                  <w:r>
                    <w:rPr>
                      <w:rFonts w:hint="eastAsia" w:ascii="仿宋" w:hAnsi="仿宋" w:eastAsia="仿宋" w:cs="仿宋"/>
                      <w:szCs w:val="21"/>
                    </w:rPr>
                    <w:t>质控体系搭建</w:t>
                  </w:r>
                </w:p>
              </w:tc>
            </w:tr>
            <w:tr w14:paraId="5BD8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EBD8AD0">
                  <w:pPr>
                    <w:rPr>
                      <w:rFonts w:hint="eastAsia" w:ascii="仿宋" w:hAnsi="仿宋" w:eastAsia="仿宋" w:cs="仿宋"/>
                      <w:szCs w:val="21"/>
                    </w:rPr>
                  </w:pPr>
                  <w:r>
                    <w:rPr>
                      <w:rFonts w:hint="eastAsia" w:ascii="仿宋" w:hAnsi="仿宋" w:eastAsia="仿宋" w:cs="仿宋"/>
                      <w:szCs w:val="21"/>
                    </w:rPr>
                    <w:t>3</w:t>
                  </w:r>
                </w:p>
              </w:tc>
              <w:tc>
                <w:tcPr>
                  <w:tcW w:w="1455" w:type="dxa"/>
                  <w:vAlign w:val="center"/>
                </w:tcPr>
                <w:p w14:paraId="088323BC">
                  <w:pPr>
                    <w:jc w:val="center"/>
                    <w:rPr>
                      <w:rFonts w:hint="eastAsia" w:ascii="仿宋" w:hAnsi="仿宋" w:eastAsia="仿宋" w:cs="仿宋"/>
                      <w:szCs w:val="21"/>
                    </w:rPr>
                  </w:pPr>
                  <w:r>
                    <w:rPr>
                      <w:rFonts w:hint="eastAsia" w:ascii="仿宋" w:hAnsi="仿宋" w:eastAsia="仿宋" w:cs="仿宋"/>
                      <w:szCs w:val="21"/>
                    </w:rPr>
                    <w:t>质控规则定义</w:t>
                  </w:r>
                </w:p>
              </w:tc>
              <w:tc>
                <w:tcPr>
                  <w:tcW w:w="2442" w:type="dxa"/>
                  <w:vAlign w:val="center"/>
                </w:tcPr>
                <w:p w14:paraId="29FE926E">
                  <w:pPr>
                    <w:jc w:val="center"/>
                    <w:rPr>
                      <w:rFonts w:hint="eastAsia" w:ascii="仿宋" w:hAnsi="仿宋" w:eastAsia="仿宋" w:cs="仿宋"/>
                      <w:szCs w:val="21"/>
                    </w:rPr>
                  </w:pPr>
                  <w:r>
                    <w:rPr>
                      <w:rFonts w:hint="eastAsia" w:ascii="仿宋" w:hAnsi="仿宋" w:eastAsia="仿宋" w:cs="仿宋"/>
                      <w:szCs w:val="21"/>
                    </w:rPr>
                    <w:t>质控规则定义</w:t>
                  </w:r>
                </w:p>
              </w:tc>
              <w:tc>
                <w:tcPr>
                  <w:tcW w:w="1950" w:type="dxa"/>
                  <w:vAlign w:val="center"/>
                </w:tcPr>
                <w:p w14:paraId="2644431B">
                  <w:pPr>
                    <w:jc w:val="center"/>
                    <w:rPr>
                      <w:rFonts w:hint="eastAsia" w:ascii="仿宋" w:hAnsi="仿宋" w:eastAsia="仿宋" w:cs="仿宋"/>
                      <w:szCs w:val="21"/>
                    </w:rPr>
                  </w:pPr>
                  <w:r>
                    <w:rPr>
                      <w:rFonts w:hint="eastAsia" w:ascii="仿宋" w:hAnsi="仿宋" w:eastAsia="仿宋" w:cs="仿宋"/>
                      <w:szCs w:val="21"/>
                    </w:rPr>
                    <w:t>质控规则定义</w:t>
                  </w:r>
                </w:p>
              </w:tc>
              <w:tc>
                <w:tcPr>
                  <w:tcW w:w="2659" w:type="dxa"/>
                  <w:vAlign w:val="center"/>
                </w:tcPr>
                <w:p w14:paraId="23CF1EAE">
                  <w:pPr>
                    <w:jc w:val="center"/>
                    <w:rPr>
                      <w:rFonts w:hint="eastAsia" w:ascii="仿宋" w:hAnsi="仿宋" w:eastAsia="仿宋" w:cs="仿宋"/>
                      <w:szCs w:val="21"/>
                    </w:rPr>
                  </w:pPr>
                  <w:r>
                    <w:rPr>
                      <w:rFonts w:hint="eastAsia" w:ascii="仿宋" w:hAnsi="仿宋" w:eastAsia="仿宋" w:cs="仿宋"/>
                      <w:szCs w:val="21"/>
                    </w:rPr>
                    <w:t>质控规则定义</w:t>
                  </w:r>
                </w:p>
              </w:tc>
            </w:tr>
            <w:tr w14:paraId="5E29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32644F2">
                  <w:pPr>
                    <w:rPr>
                      <w:rFonts w:hint="eastAsia" w:ascii="仿宋" w:hAnsi="仿宋" w:eastAsia="仿宋" w:cs="仿宋"/>
                      <w:szCs w:val="21"/>
                    </w:rPr>
                  </w:pPr>
                  <w:r>
                    <w:rPr>
                      <w:rFonts w:hint="eastAsia" w:ascii="仿宋" w:hAnsi="仿宋" w:eastAsia="仿宋" w:cs="仿宋"/>
                      <w:szCs w:val="21"/>
                    </w:rPr>
                    <w:t>4</w:t>
                  </w:r>
                </w:p>
              </w:tc>
              <w:tc>
                <w:tcPr>
                  <w:tcW w:w="1455" w:type="dxa"/>
                  <w:vAlign w:val="center"/>
                </w:tcPr>
                <w:p w14:paraId="0E2FC9BD">
                  <w:pPr>
                    <w:jc w:val="center"/>
                    <w:rPr>
                      <w:rFonts w:hint="eastAsia" w:ascii="仿宋" w:hAnsi="仿宋" w:eastAsia="仿宋" w:cs="仿宋"/>
                      <w:szCs w:val="21"/>
                    </w:rPr>
                  </w:pPr>
                  <w:r>
                    <w:rPr>
                      <w:rFonts w:hint="eastAsia" w:ascii="仿宋" w:hAnsi="仿宋" w:eastAsia="仿宋" w:cs="仿宋"/>
                      <w:szCs w:val="21"/>
                    </w:rPr>
                    <w:t>质控规则配置</w:t>
                  </w:r>
                </w:p>
              </w:tc>
              <w:tc>
                <w:tcPr>
                  <w:tcW w:w="2442" w:type="dxa"/>
                  <w:vAlign w:val="center"/>
                </w:tcPr>
                <w:p w14:paraId="5A5B189F">
                  <w:pPr>
                    <w:jc w:val="center"/>
                    <w:rPr>
                      <w:rFonts w:hint="eastAsia" w:ascii="仿宋" w:hAnsi="仿宋" w:eastAsia="仿宋" w:cs="仿宋"/>
                      <w:szCs w:val="21"/>
                    </w:rPr>
                  </w:pPr>
                  <w:r>
                    <w:rPr>
                      <w:rFonts w:hint="eastAsia" w:ascii="仿宋" w:hAnsi="仿宋" w:eastAsia="仿宋" w:cs="仿宋"/>
                      <w:szCs w:val="21"/>
                    </w:rPr>
                    <w:t>质控规则配置</w:t>
                  </w:r>
                </w:p>
              </w:tc>
              <w:tc>
                <w:tcPr>
                  <w:tcW w:w="1950" w:type="dxa"/>
                  <w:vAlign w:val="center"/>
                </w:tcPr>
                <w:p w14:paraId="73CC781B">
                  <w:pPr>
                    <w:jc w:val="center"/>
                    <w:rPr>
                      <w:rFonts w:hint="eastAsia" w:ascii="仿宋" w:hAnsi="仿宋" w:eastAsia="仿宋" w:cs="仿宋"/>
                      <w:szCs w:val="21"/>
                    </w:rPr>
                  </w:pPr>
                  <w:r>
                    <w:rPr>
                      <w:rFonts w:hint="eastAsia" w:ascii="仿宋" w:hAnsi="仿宋" w:eastAsia="仿宋" w:cs="仿宋"/>
                      <w:szCs w:val="21"/>
                    </w:rPr>
                    <w:t>质控规则配置</w:t>
                  </w:r>
                </w:p>
              </w:tc>
              <w:tc>
                <w:tcPr>
                  <w:tcW w:w="2659" w:type="dxa"/>
                  <w:vAlign w:val="center"/>
                </w:tcPr>
                <w:p w14:paraId="062896AD">
                  <w:pPr>
                    <w:jc w:val="center"/>
                    <w:rPr>
                      <w:rFonts w:hint="eastAsia" w:ascii="仿宋" w:hAnsi="仿宋" w:eastAsia="仿宋" w:cs="仿宋"/>
                      <w:szCs w:val="21"/>
                    </w:rPr>
                  </w:pPr>
                  <w:r>
                    <w:rPr>
                      <w:rFonts w:hint="eastAsia" w:ascii="仿宋" w:hAnsi="仿宋" w:eastAsia="仿宋" w:cs="仿宋"/>
                      <w:szCs w:val="21"/>
                    </w:rPr>
                    <w:t>质控规则配置</w:t>
                  </w:r>
                </w:p>
              </w:tc>
            </w:tr>
            <w:tr w14:paraId="2FDD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D1DC98F">
                  <w:pPr>
                    <w:rPr>
                      <w:rFonts w:hint="eastAsia" w:ascii="仿宋" w:hAnsi="仿宋" w:eastAsia="仿宋" w:cs="仿宋"/>
                      <w:szCs w:val="21"/>
                    </w:rPr>
                  </w:pPr>
                  <w:r>
                    <w:rPr>
                      <w:rFonts w:hint="eastAsia" w:ascii="仿宋" w:hAnsi="仿宋" w:eastAsia="仿宋" w:cs="仿宋"/>
                      <w:szCs w:val="21"/>
                    </w:rPr>
                    <w:t>5</w:t>
                  </w:r>
                </w:p>
              </w:tc>
              <w:tc>
                <w:tcPr>
                  <w:tcW w:w="1455" w:type="dxa"/>
                  <w:vAlign w:val="center"/>
                </w:tcPr>
                <w:p w14:paraId="2ACA6D75">
                  <w:pPr>
                    <w:jc w:val="center"/>
                    <w:rPr>
                      <w:rFonts w:hint="eastAsia" w:ascii="仿宋" w:hAnsi="仿宋" w:eastAsia="仿宋" w:cs="仿宋"/>
                      <w:szCs w:val="21"/>
                    </w:rPr>
                  </w:pPr>
                  <w:r>
                    <w:rPr>
                      <w:rFonts w:hint="eastAsia" w:ascii="仿宋" w:hAnsi="仿宋" w:eastAsia="仿宋" w:cs="仿宋"/>
                      <w:szCs w:val="21"/>
                    </w:rPr>
                    <w:t>质控方案管理</w:t>
                  </w:r>
                </w:p>
              </w:tc>
              <w:tc>
                <w:tcPr>
                  <w:tcW w:w="2442" w:type="dxa"/>
                  <w:vAlign w:val="center"/>
                </w:tcPr>
                <w:p w14:paraId="32D5FABF">
                  <w:pPr>
                    <w:jc w:val="center"/>
                    <w:rPr>
                      <w:rFonts w:hint="eastAsia" w:ascii="仿宋" w:hAnsi="仿宋" w:eastAsia="仿宋" w:cs="仿宋"/>
                      <w:szCs w:val="21"/>
                    </w:rPr>
                  </w:pPr>
                  <w:r>
                    <w:rPr>
                      <w:rFonts w:hint="eastAsia" w:ascii="仿宋" w:hAnsi="仿宋" w:eastAsia="仿宋" w:cs="仿宋"/>
                      <w:szCs w:val="21"/>
                    </w:rPr>
                    <w:t>质控方案管理</w:t>
                  </w:r>
                </w:p>
              </w:tc>
              <w:tc>
                <w:tcPr>
                  <w:tcW w:w="1950" w:type="dxa"/>
                  <w:vAlign w:val="center"/>
                </w:tcPr>
                <w:p w14:paraId="560131AD">
                  <w:pPr>
                    <w:jc w:val="center"/>
                    <w:rPr>
                      <w:rFonts w:hint="eastAsia" w:ascii="仿宋" w:hAnsi="仿宋" w:eastAsia="仿宋" w:cs="仿宋"/>
                      <w:szCs w:val="21"/>
                    </w:rPr>
                  </w:pPr>
                  <w:r>
                    <w:rPr>
                      <w:rFonts w:hint="eastAsia" w:ascii="仿宋" w:hAnsi="仿宋" w:eastAsia="仿宋" w:cs="仿宋"/>
                      <w:szCs w:val="21"/>
                    </w:rPr>
                    <w:t>质控方案管理</w:t>
                  </w:r>
                </w:p>
              </w:tc>
              <w:tc>
                <w:tcPr>
                  <w:tcW w:w="2659" w:type="dxa"/>
                  <w:vAlign w:val="center"/>
                </w:tcPr>
                <w:p w14:paraId="06DB8DD9">
                  <w:pPr>
                    <w:jc w:val="center"/>
                    <w:rPr>
                      <w:rFonts w:hint="eastAsia" w:ascii="仿宋" w:hAnsi="仿宋" w:eastAsia="仿宋" w:cs="仿宋"/>
                      <w:szCs w:val="21"/>
                    </w:rPr>
                  </w:pPr>
                  <w:r>
                    <w:rPr>
                      <w:rFonts w:hint="eastAsia" w:ascii="仿宋" w:hAnsi="仿宋" w:eastAsia="仿宋" w:cs="仿宋"/>
                      <w:szCs w:val="21"/>
                    </w:rPr>
                    <w:t>质控方案管理</w:t>
                  </w:r>
                </w:p>
              </w:tc>
            </w:tr>
            <w:tr w14:paraId="4406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B202E97">
                  <w:pPr>
                    <w:rPr>
                      <w:rFonts w:hint="eastAsia" w:ascii="仿宋" w:hAnsi="仿宋" w:eastAsia="仿宋" w:cs="仿宋"/>
                      <w:szCs w:val="21"/>
                    </w:rPr>
                  </w:pPr>
                  <w:r>
                    <w:rPr>
                      <w:rFonts w:hint="eastAsia" w:ascii="仿宋" w:hAnsi="仿宋" w:eastAsia="仿宋" w:cs="仿宋"/>
                      <w:szCs w:val="21"/>
                    </w:rPr>
                    <w:t>6</w:t>
                  </w:r>
                </w:p>
              </w:tc>
              <w:tc>
                <w:tcPr>
                  <w:tcW w:w="1455" w:type="dxa"/>
                  <w:vMerge w:val="restart"/>
                  <w:vAlign w:val="center"/>
                </w:tcPr>
                <w:p w14:paraId="7CA82E38">
                  <w:pPr>
                    <w:jc w:val="center"/>
                    <w:rPr>
                      <w:rFonts w:hint="eastAsia" w:ascii="仿宋" w:hAnsi="仿宋" w:eastAsia="仿宋" w:cs="仿宋"/>
                      <w:szCs w:val="21"/>
                    </w:rPr>
                  </w:pPr>
                  <w:r>
                    <w:rPr>
                      <w:rFonts w:hint="eastAsia" w:ascii="仿宋" w:hAnsi="仿宋" w:eastAsia="仿宋" w:cs="仿宋"/>
                      <w:szCs w:val="21"/>
                    </w:rPr>
                    <w:t>质量检查执行</w:t>
                  </w:r>
                </w:p>
              </w:tc>
              <w:tc>
                <w:tcPr>
                  <w:tcW w:w="2442" w:type="dxa"/>
                  <w:vAlign w:val="center"/>
                </w:tcPr>
                <w:p w14:paraId="5B02129A">
                  <w:pPr>
                    <w:jc w:val="center"/>
                    <w:rPr>
                      <w:rFonts w:hint="eastAsia" w:ascii="仿宋" w:hAnsi="仿宋" w:eastAsia="仿宋" w:cs="仿宋"/>
                      <w:szCs w:val="21"/>
                    </w:rPr>
                  </w:pPr>
                  <w:r>
                    <w:rPr>
                      <w:rFonts w:hint="eastAsia" w:ascii="仿宋" w:hAnsi="仿宋" w:eastAsia="仿宋" w:cs="仿宋"/>
                      <w:szCs w:val="21"/>
                    </w:rPr>
                    <w:t>年报质控</w:t>
                  </w:r>
                </w:p>
              </w:tc>
              <w:tc>
                <w:tcPr>
                  <w:tcW w:w="1950" w:type="dxa"/>
                  <w:vMerge w:val="restart"/>
                  <w:vAlign w:val="center"/>
                </w:tcPr>
                <w:p w14:paraId="79908C50">
                  <w:pPr>
                    <w:jc w:val="center"/>
                    <w:rPr>
                      <w:rFonts w:hint="eastAsia" w:ascii="仿宋" w:hAnsi="仿宋" w:eastAsia="仿宋" w:cs="仿宋"/>
                      <w:szCs w:val="21"/>
                    </w:rPr>
                  </w:pPr>
                  <w:r>
                    <w:rPr>
                      <w:rFonts w:hint="eastAsia" w:ascii="仿宋" w:hAnsi="仿宋" w:eastAsia="仿宋" w:cs="仿宋"/>
                      <w:szCs w:val="21"/>
                    </w:rPr>
                    <w:t>质量检查执行</w:t>
                  </w:r>
                </w:p>
              </w:tc>
              <w:tc>
                <w:tcPr>
                  <w:tcW w:w="2659" w:type="dxa"/>
                  <w:vAlign w:val="center"/>
                </w:tcPr>
                <w:p w14:paraId="3963C842">
                  <w:pPr>
                    <w:jc w:val="center"/>
                    <w:rPr>
                      <w:rFonts w:hint="eastAsia" w:ascii="仿宋" w:hAnsi="仿宋" w:eastAsia="仿宋" w:cs="仿宋"/>
                      <w:szCs w:val="21"/>
                    </w:rPr>
                  </w:pPr>
                  <w:r>
                    <w:rPr>
                      <w:rFonts w:hint="eastAsia" w:ascii="仿宋" w:hAnsi="仿宋" w:eastAsia="仿宋" w:cs="仿宋"/>
                      <w:szCs w:val="21"/>
                    </w:rPr>
                    <w:t>年报质控</w:t>
                  </w:r>
                </w:p>
              </w:tc>
            </w:tr>
            <w:tr w14:paraId="5649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1ED7216">
                  <w:pPr>
                    <w:rPr>
                      <w:rFonts w:hint="eastAsia" w:ascii="仿宋" w:hAnsi="仿宋" w:eastAsia="仿宋" w:cs="仿宋"/>
                      <w:szCs w:val="21"/>
                    </w:rPr>
                  </w:pPr>
                  <w:r>
                    <w:rPr>
                      <w:rFonts w:hint="eastAsia" w:ascii="仿宋" w:hAnsi="仿宋" w:eastAsia="仿宋" w:cs="仿宋"/>
                      <w:szCs w:val="21"/>
                    </w:rPr>
                    <w:t>7</w:t>
                  </w:r>
                </w:p>
              </w:tc>
              <w:tc>
                <w:tcPr>
                  <w:tcW w:w="1455" w:type="dxa"/>
                  <w:vMerge w:val="continue"/>
                  <w:vAlign w:val="center"/>
                </w:tcPr>
                <w:p w14:paraId="4D3E7BE6">
                  <w:pPr>
                    <w:jc w:val="center"/>
                    <w:rPr>
                      <w:rFonts w:hint="eastAsia" w:ascii="仿宋" w:hAnsi="仿宋" w:eastAsia="仿宋" w:cs="仿宋"/>
                      <w:szCs w:val="21"/>
                    </w:rPr>
                  </w:pPr>
                </w:p>
              </w:tc>
              <w:tc>
                <w:tcPr>
                  <w:tcW w:w="2442" w:type="dxa"/>
                  <w:vAlign w:val="center"/>
                </w:tcPr>
                <w:p w14:paraId="71241273">
                  <w:pPr>
                    <w:jc w:val="center"/>
                    <w:rPr>
                      <w:rFonts w:hint="eastAsia" w:ascii="仿宋" w:hAnsi="仿宋" w:eastAsia="仿宋" w:cs="仿宋"/>
                      <w:szCs w:val="21"/>
                    </w:rPr>
                  </w:pPr>
                  <w:r>
                    <w:rPr>
                      <w:rFonts w:hint="eastAsia" w:ascii="仿宋" w:hAnsi="仿宋" w:eastAsia="仿宋" w:cs="仿宋"/>
                      <w:szCs w:val="21"/>
                    </w:rPr>
                    <w:t>月报质控</w:t>
                  </w:r>
                </w:p>
              </w:tc>
              <w:tc>
                <w:tcPr>
                  <w:tcW w:w="1950" w:type="dxa"/>
                  <w:vMerge w:val="continue"/>
                  <w:vAlign w:val="center"/>
                </w:tcPr>
                <w:p w14:paraId="0FE4B533">
                  <w:pPr>
                    <w:jc w:val="center"/>
                    <w:rPr>
                      <w:rFonts w:hint="eastAsia" w:ascii="仿宋" w:hAnsi="仿宋" w:eastAsia="仿宋" w:cs="仿宋"/>
                      <w:szCs w:val="21"/>
                    </w:rPr>
                  </w:pPr>
                </w:p>
              </w:tc>
              <w:tc>
                <w:tcPr>
                  <w:tcW w:w="2659" w:type="dxa"/>
                  <w:vAlign w:val="center"/>
                </w:tcPr>
                <w:p w14:paraId="54081CE6">
                  <w:pPr>
                    <w:jc w:val="center"/>
                    <w:rPr>
                      <w:rFonts w:hint="eastAsia" w:ascii="仿宋" w:hAnsi="仿宋" w:eastAsia="仿宋" w:cs="仿宋"/>
                      <w:szCs w:val="21"/>
                    </w:rPr>
                  </w:pPr>
                  <w:r>
                    <w:rPr>
                      <w:rFonts w:hint="eastAsia" w:ascii="仿宋" w:hAnsi="仿宋" w:eastAsia="仿宋" w:cs="仿宋"/>
                      <w:szCs w:val="21"/>
                    </w:rPr>
                    <w:t>月报质控</w:t>
                  </w:r>
                </w:p>
              </w:tc>
            </w:tr>
            <w:tr w14:paraId="2700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DB26DF9">
                  <w:pPr>
                    <w:rPr>
                      <w:rFonts w:hint="eastAsia" w:ascii="仿宋" w:hAnsi="仿宋" w:eastAsia="仿宋" w:cs="仿宋"/>
                      <w:szCs w:val="21"/>
                    </w:rPr>
                  </w:pPr>
                  <w:r>
                    <w:rPr>
                      <w:rFonts w:hint="eastAsia" w:ascii="仿宋" w:hAnsi="仿宋" w:eastAsia="仿宋" w:cs="仿宋"/>
                      <w:szCs w:val="21"/>
                    </w:rPr>
                    <w:t>8</w:t>
                  </w:r>
                </w:p>
              </w:tc>
              <w:tc>
                <w:tcPr>
                  <w:tcW w:w="1455" w:type="dxa"/>
                  <w:vMerge w:val="continue"/>
                  <w:vAlign w:val="center"/>
                </w:tcPr>
                <w:p w14:paraId="2131CB2A">
                  <w:pPr>
                    <w:jc w:val="center"/>
                    <w:rPr>
                      <w:rFonts w:hint="eastAsia" w:ascii="仿宋" w:hAnsi="仿宋" w:eastAsia="仿宋" w:cs="仿宋"/>
                      <w:szCs w:val="21"/>
                    </w:rPr>
                  </w:pPr>
                </w:p>
              </w:tc>
              <w:tc>
                <w:tcPr>
                  <w:tcW w:w="2442" w:type="dxa"/>
                  <w:vAlign w:val="center"/>
                </w:tcPr>
                <w:p w14:paraId="0E4BDEB5">
                  <w:pPr>
                    <w:jc w:val="center"/>
                    <w:rPr>
                      <w:rFonts w:hint="eastAsia" w:ascii="仿宋" w:hAnsi="仿宋" w:eastAsia="仿宋" w:cs="仿宋"/>
                      <w:szCs w:val="21"/>
                    </w:rPr>
                  </w:pPr>
                  <w:r>
                    <w:rPr>
                      <w:rFonts w:hint="eastAsia" w:ascii="仿宋" w:hAnsi="仿宋" w:eastAsia="仿宋" w:cs="仿宋"/>
                      <w:szCs w:val="21"/>
                    </w:rPr>
                    <w:t>病案质控</w:t>
                  </w:r>
                </w:p>
              </w:tc>
              <w:tc>
                <w:tcPr>
                  <w:tcW w:w="1950" w:type="dxa"/>
                  <w:vMerge w:val="continue"/>
                  <w:vAlign w:val="center"/>
                </w:tcPr>
                <w:p w14:paraId="0FAB6E12">
                  <w:pPr>
                    <w:jc w:val="center"/>
                    <w:rPr>
                      <w:rFonts w:hint="eastAsia" w:ascii="仿宋" w:hAnsi="仿宋" w:eastAsia="仿宋" w:cs="仿宋"/>
                      <w:szCs w:val="21"/>
                    </w:rPr>
                  </w:pPr>
                </w:p>
              </w:tc>
              <w:tc>
                <w:tcPr>
                  <w:tcW w:w="2659" w:type="dxa"/>
                  <w:vAlign w:val="center"/>
                </w:tcPr>
                <w:p w14:paraId="3EAA5160">
                  <w:pPr>
                    <w:jc w:val="center"/>
                    <w:rPr>
                      <w:rFonts w:hint="eastAsia" w:ascii="仿宋" w:hAnsi="仿宋" w:eastAsia="仿宋" w:cs="仿宋"/>
                      <w:szCs w:val="21"/>
                    </w:rPr>
                  </w:pPr>
                  <w:r>
                    <w:rPr>
                      <w:rFonts w:hint="eastAsia" w:ascii="仿宋" w:hAnsi="仿宋" w:eastAsia="仿宋" w:cs="仿宋"/>
                      <w:szCs w:val="21"/>
                    </w:rPr>
                    <w:t>病案质控</w:t>
                  </w:r>
                </w:p>
              </w:tc>
            </w:tr>
            <w:tr w14:paraId="139D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F73038A">
                  <w:pPr>
                    <w:rPr>
                      <w:rFonts w:hint="eastAsia" w:ascii="仿宋" w:hAnsi="仿宋" w:eastAsia="仿宋" w:cs="仿宋"/>
                      <w:szCs w:val="21"/>
                    </w:rPr>
                  </w:pPr>
                  <w:r>
                    <w:rPr>
                      <w:rFonts w:hint="eastAsia" w:ascii="仿宋" w:hAnsi="仿宋" w:eastAsia="仿宋" w:cs="仿宋"/>
                      <w:szCs w:val="21"/>
                    </w:rPr>
                    <w:t>9</w:t>
                  </w:r>
                </w:p>
              </w:tc>
              <w:tc>
                <w:tcPr>
                  <w:tcW w:w="1455" w:type="dxa"/>
                  <w:vMerge w:val="continue"/>
                  <w:vAlign w:val="center"/>
                </w:tcPr>
                <w:p w14:paraId="5A5BAAE2">
                  <w:pPr>
                    <w:jc w:val="center"/>
                    <w:rPr>
                      <w:rFonts w:hint="eastAsia" w:ascii="仿宋" w:hAnsi="仿宋" w:eastAsia="仿宋" w:cs="仿宋"/>
                      <w:szCs w:val="21"/>
                    </w:rPr>
                  </w:pPr>
                </w:p>
              </w:tc>
              <w:tc>
                <w:tcPr>
                  <w:tcW w:w="2442" w:type="dxa"/>
                  <w:vAlign w:val="center"/>
                </w:tcPr>
                <w:p w14:paraId="09B79392">
                  <w:pPr>
                    <w:jc w:val="center"/>
                    <w:rPr>
                      <w:rFonts w:hint="eastAsia" w:ascii="仿宋" w:hAnsi="仿宋" w:eastAsia="仿宋" w:cs="仿宋"/>
                      <w:szCs w:val="21"/>
                    </w:rPr>
                  </w:pPr>
                  <w:r>
                    <w:rPr>
                      <w:rFonts w:hint="eastAsia" w:ascii="仿宋" w:hAnsi="仿宋" w:eastAsia="仿宋" w:cs="仿宋"/>
                      <w:szCs w:val="21"/>
                    </w:rPr>
                    <w:t>人力质控</w:t>
                  </w:r>
                </w:p>
              </w:tc>
              <w:tc>
                <w:tcPr>
                  <w:tcW w:w="1950" w:type="dxa"/>
                  <w:vMerge w:val="continue"/>
                  <w:vAlign w:val="center"/>
                </w:tcPr>
                <w:p w14:paraId="62A4F7FE">
                  <w:pPr>
                    <w:jc w:val="center"/>
                    <w:rPr>
                      <w:rFonts w:hint="eastAsia" w:ascii="仿宋" w:hAnsi="仿宋" w:eastAsia="仿宋" w:cs="仿宋"/>
                      <w:szCs w:val="21"/>
                    </w:rPr>
                  </w:pPr>
                </w:p>
              </w:tc>
              <w:tc>
                <w:tcPr>
                  <w:tcW w:w="2659" w:type="dxa"/>
                  <w:vAlign w:val="center"/>
                </w:tcPr>
                <w:p w14:paraId="6DCAAEB3">
                  <w:pPr>
                    <w:jc w:val="center"/>
                    <w:rPr>
                      <w:rFonts w:hint="eastAsia" w:ascii="仿宋" w:hAnsi="仿宋" w:eastAsia="仿宋" w:cs="仿宋"/>
                      <w:szCs w:val="21"/>
                    </w:rPr>
                  </w:pPr>
                  <w:r>
                    <w:rPr>
                      <w:rFonts w:hint="eastAsia" w:ascii="仿宋" w:hAnsi="仿宋" w:eastAsia="仿宋" w:cs="仿宋"/>
                      <w:szCs w:val="21"/>
                    </w:rPr>
                    <w:t>人力质控</w:t>
                  </w:r>
                </w:p>
              </w:tc>
            </w:tr>
            <w:tr w14:paraId="30A6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AAE8BCD">
                  <w:pPr>
                    <w:rPr>
                      <w:rFonts w:hint="eastAsia" w:ascii="仿宋" w:hAnsi="仿宋" w:eastAsia="仿宋" w:cs="仿宋"/>
                      <w:szCs w:val="21"/>
                    </w:rPr>
                  </w:pPr>
                  <w:r>
                    <w:rPr>
                      <w:rFonts w:hint="eastAsia" w:ascii="仿宋" w:hAnsi="仿宋" w:eastAsia="仿宋" w:cs="仿宋"/>
                      <w:szCs w:val="21"/>
                    </w:rPr>
                    <w:t>10</w:t>
                  </w:r>
                </w:p>
              </w:tc>
              <w:tc>
                <w:tcPr>
                  <w:tcW w:w="1455" w:type="dxa"/>
                  <w:vMerge w:val="continue"/>
                  <w:vAlign w:val="center"/>
                </w:tcPr>
                <w:p w14:paraId="6535F6DC">
                  <w:pPr>
                    <w:jc w:val="center"/>
                    <w:rPr>
                      <w:rFonts w:hint="eastAsia" w:ascii="仿宋" w:hAnsi="仿宋" w:eastAsia="仿宋" w:cs="仿宋"/>
                      <w:szCs w:val="21"/>
                    </w:rPr>
                  </w:pPr>
                </w:p>
              </w:tc>
              <w:tc>
                <w:tcPr>
                  <w:tcW w:w="2442" w:type="dxa"/>
                  <w:vAlign w:val="center"/>
                </w:tcPr>
                <w:p w14:paraId="624C4962">
                  <w:pPr>
                    <w:jc w:val="center"/>
                    <w:rPr>
                      <w:rFonts w:hint="eastAsia" w:ascii="仿宋" w:hAnsi="仿宋" w:eastAsia="仿宋" w:cs="仿宋"/>
                      <w:szCs w:val="21"/>
                    </w:rPr>
                  </w:pPr>
                  <w:r>
                    <w:rPr>
                      <w:rFonts w:hint="eastAsia" w:ascii="仿宋" w:hAnsi="仿宋" w:eastAsia="仿宋" w:cs="仿宋"/>
                      <w:szCs w:val="21"/>
                    </w:rPr>
                    <w:t>年报会审</w:t>
                  </w:r>
                </w:p>
              </w:tc>
              <w:tc>
                <w:tcPr>
                  <w:tcW w:w="1950" w:type="dxa"/>
                  <w:vMerge w:val="continue"/>
                  <w:vAlign w:val="center"/>
                </w:tcPr>
                <w:p w14:paraId="23A83149">
                  <w:pPr>
                    <w:jc w:val="center"/>
                    <w:rPr>
                      <w:rFonts w:hint="eastAsia" w:ascii="仿宋" w:hAnsi="仿宋" w:eastAsia="仿宋" w:cs="仿宋"/>
                      <w:szCs w:val="21"/>
                    </w:rPr>
                  </w:pPr>
                </w:p>
              </w:tc>
              <w:tc>
                <w:tcPr>
                  <w:tcW w:w="2659" w:type="dxa"/>
                  <w:vAlign w:val="center"/>
                </w:tcPr>
                <w:p w14:paraId="06777A97">
                  <w:pPr>
                    <w:jc w:val="center"/>
                    <w:rPr>
                      <w:rFonts w:hint="eastAsia" w:ascii="仿宋" w:hAnsi="仿宋" w:eastAsia="仿宋" w:cs="仿宋"/>
                      <w:szCs w:val="21"/>
                    </w:rPr>
                  </w:pPr>
                  <w:r>
                    <w:rPr>
                      <w:rFonts w:hint="eastAsia" w:ascii="仿宋" w:hAnsi="仿宋" w:eastAsia="仿宋" w:cs="仿宋"/>
                      <w:szCs w:val="21"/>
                    </w:rPr>
                    <w:t>年报会审</w:t>
                  </w:r>
                </w:p>
              </w:tc>
            </w:tr>
            <w:tr w14:paraId="1F64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47E7A19">
                  <w:pPr>
                    <w:rPr>
                      <w:rFonts w:hint="eastAsia" w:ascii="仿宋" w:hAnsi="仿宋" w:eastAsia="仿宋" w:cs="仿宋"/>
                      <w:szCs w:val="21"/>
                    </w:rPr>
                  </w:pPr>
                  <w:r>
                    <w:rPr>
                      <w:rFonts w:hint="eastAsia" w:ascii="仿宋" w:hAnsi="仿宋" w:eastAsia="仿宋" w:cs="仿宋"/>
                      <w:szCs w:val="21"/>
                    </w:rPr>
                    <w:t>11</w:t>
                  </w:r>
                </w:p>
              </w:tc>
              <w:tc>
                <w:tcPr>
                  <w:tcW w:w="1455" w:type="dxa"/>
                  <w:vAlign w:val="center"/>
                </w:tcPr>
                <w:p w14:paraId="031EC28A">
                  <w:pPr>
                    <w:jc w:val="center"/>
                    <w:rPr>
                      <w:rFonts w:hint="eastAsia" w:ascii="仿宋" w:hAnsi="仿宋" w:eastAsia="仿宋" w:cs="仿宋"/>
                      <w:szCs w:val="21"/>
                    </w:rPr>
                  </w:pPr>
                  <w:r>
                    <w:rPr>
                      <w:rFonts w:hint="eastAsia" w:ascii="仿宋" w:hAnsi="仿宋" w:eastAsia="仿宋" w:cs="仿宋"/>
                      <w:szCs w:val="21"/>
                    </w:rPr>
                    <w:t>-</w:t>
                  </w:r>
                </w:p>
              </w:tc>
              <w:tc>
                <w:tcPr>
                  <w:tcW w:w="2442" w:type="dxa"/>
                  <w:vAlign w:val="center"/>
                </w:tcPr>
                <w:p w14:paraId="4E19D71D">
                  <w:pPr>
                    <w:jc w:val="center"/>
                    <w:rPr>
                      <w:rFonts w:hint="eastAsia" w:ascii="仿宋" w:hAnsi="仿宋" w:eastAsia="仿宋" w:cs="仿宋"/>
                      <w:szCs w:val="21"/>
                    </w:rPr>
                  </w:pPr>
                  <w:r>
                    <w:rPr>
                      <w:rFonts w:hint="eastAsia" w:ascii="仿宋" w:hAnsi="仿宋" w:eastAsia="仿宋" w:cs="仿宋"/>
                      <w:szCs w:val="21"/>
                    </w:rPr>
                    <w:t>-</w:t>
                  </w:r>
                </w:p>
              </w:tc>
              <w:tc>
                <w:tcPr>
                  <w:tcW w:w="1950" w:type="dxa"/>
                  <w:vMerge w:val="restart"/>
                  <w:vAlign w:val="center"/>
                </w:tcPr>
                <w:p w14:paraId="505E491B">
                  <w:pPr>
                    <w:rPr>
                      <w:rFonts w:hint="eastAsia" w:ascii="仿宋" w:hAnsi="仿宋" w:eastAsia="仿宋" w:cs="仿宋"/>
                      <w:szCs w:val="21"/>
                    </w:rPr>
                  </w:pPr>
                  <w:r>
                    <w:rPr>
                      <w:rFonts w:hint="eastAsia" w:ascii="仿宋" w:hAnsi="仿宋" w:eastAsia="仿宋" w:cs="仿宋"/>
                      <w:szCs w:val="21"/>
                    </w:rPr>
                    <w:t>机构质控延伸</w:t>
                  </w:r>
                </w:p>
              </w:tc>
              <w:tc>
                <w:tcPr>
                  <w:tcW w:w="2659" w:type="dxa"/>
                  <w:vAlign w:val="center"/>
                </w:tcPr>
                <w:p w14:paraId="4C276BEC">
                  <w:pPr>
                    <w:rPr>
                      <w:rFonts w:hint="eastAsia" w:ascii="仿宋" w:hAnsi="仿宋" w:eastAsia="仿宋" w:cs="仿宋"/>
                      <w:szCs w:val="21"/>
                    </w:rPr>
                  </w:pPr>
                  <w:r>
                    <w:rPr>
                      <w:rFonts w:hint="eastAsia" w:ascii="仿宋" w:hAnsi="仿宋" w:eastAsia="仿宋" w:cs="仿宋"/>
                      <w:szCs w:val="21"/>
                    </w:rPr>
                    <w:t>任务类型化质控方案设计</w:t>
                  </w:r>
                </w:p>
              </w:tc>
            </w:tr>
            <w:tr w14:paraId="281F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D0ADF59">
                  <w:pPr>
                    <w:rPr>
                      <w:rFonts w:hint="eastAsia" w:ascii="仿宋" w:hAnsi="仿宋" w:eastAsia="仿宋" w:cs="仿宋"/>
                      <w:szCs w:val="21"/>
                    </w:rPr>
                  </w:pPr>
                  <w:r>
                    <w:rPr>
                      <w:rFonts w:hint="eastAsia" w:ascii="仿宋" w:hAnsi="仿宋" w:eastAsia="仿宋" w:cs="仿宋"/>
                      <w:szCs w:val="21"/>
                    </w:rPr>
                    <w:t>12</w:t>
                  </w:r>
                </w:p>
              </w:tc>
              <w:tc>
                <w:tcPr>
                  <w:tcW w:w="1455" w:type="dxa"/>
                  <w:vAlign w:val="center"/>
                </w:tcPr>
                <w:p w14:paraId="0527544B">
                  <w:pPr>
                    <w:jc w:val="center"/>
                    <w:rPr>
                      <w:rFonts w:hint="eastAsia" w:ascii="仿宋" w:hAnsi="仿宋" w:eastAsia="仿宋" w:cs="仿宋"/>
                      <w:szCs w:val="21"/>
                    </w:rPr>
                  </w:pPr>
                  <w:r>
                    <w:rPr>
                      <w:rFonts w:hint="eastAsia" w:ascii="仿宋" w:hAnsi="仿宋" w:eastAsia="仿宋" w:cs="仿宋"/>
                      <w:szCs w:val="21"/>
                    </w:rPr>
                    <w:t>-</w:t>
                  </w:r>
                </w:p>
              </w:tc>
              <w:tc>
                <w:tcPr>
                  <w:tcW w:w="2442" w:type="dxa"/>
                  <w:vAlign w:val="center"/>
                </w:tcPr>
                <w:p w14:paraId="50D9777E">
                  <w:pPr>
                    <w:jc w:val="center"/>
                    <w:rPr>
                      <w:rFonts w:hint="eastAsia" w:ascii="仿宋" w:hAnsi="仿宋" w:eastAsia="仿宋" w:cs="仿宋"/>
                      <w:szCs w:val="21"/>
                    </w:rPr>
                  </w:pPr>
                  <w:r>
                    <w:rPr>
                      <w:rFonts w:hint="eastAsia" w:ascii="仿宋" w:hAnsi="仿宋" w:eastAsia="仿宋" w:cs="仿宋"/>
                      <w:szCs w:val="21"/>
                    </w:rPr>
                    <w:t>-</w:t>
                  </w:r>
                </w:p>
              </w:tc>
              <w:tc>
                <w:tcPr>
                  <w:tcW w:w="1950" w:type="dxa"/>
                  <w:vMerge w:val="continue"/>
                  <w:vAlign w:val="center"/>
                </w:tcPr>
                <w:p w14:paraId="41CA0A18">
                  <w:pPr>
                    <w:rPr>
                      <w:rFonts w:hint="eastAsia" w:ascii="仿宋" w:hAnsi="仿宋" w:eastAsia="仿宋" w:cs="仿宋"/>
                      <w:szCs w:val="21"/>
                    </w:rPr>
                  </w:pPr>
                </w:p>
              </w:tc>
              <w:tc>
                <w:tcPr>
                  <w:tcW w:w="2659" w:type="dxa"/>
                  <w:vAlign w:val="center"/>
                </w:tcPr>
                <w:p w14:paraId="7EF21514">
                  <w:pPr>
                    <w:rPr>
                      <w:rFonts w:hint="eastAsia" w:ascii="仿宋" w:hAnsi="仿宋" w:eastAsia="仿宋" w:cs="仿宋"/>
                      <w:szCs w:val="21"/>
                    </w:rPr>
                  </w:pPr>
                  <w:r>
                    <w:rPr>
                      <w:rFonts w:hint="eastAsia" w:ascii="仿宋" w:hAnsi="仿宋" w:eastAsia="仿宋" w:cs="仿宋"/>
                      <w:szCs w:val="21"/>
                    </w:rPr>
                    <w:t>系统嵌入式任务质控集成</w:t>
                  </w:r>
                </w:p>
              </w:tc>
            </w:tr>
            <w:tr w14:paraId="7C77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0B22976">
                  <w:pPr>
                    <w:rPr>
                      <w:rFonts w:hint="eastAsia" w:ascii="仿宋" w:hAnsi="仿宋" w:eastAsia="仿宋" w:cs="仿宋"/>
                      <w:szCs w:val="21"/>
                    </w:rPr>
                  </w:pPr>
                  <w:r>
                    <w:rPr>
                      <w:rFonts w:hint="eastAsia" w:ascii="仿宋" w:hAnsi="仿宋" w:eastAsia="仿宋" w:cs="仿宋"/>
                      <w:szCs w:val="21"/>
                    </w:rPr>
                    <w:t>13</w:t>
                  </w:r>
                </w:p>
              </w:tc>
              <w:tc>
                <w:tcPr>
                  <w:tcW w:w="1455" w:type="dxa"/>
                  <w:vAlign w:val="center"/>
                </w:tcPr>
                <w:p w14:paraId="2DED6BAF">
                  <w:pPr>
                    <w:jc w:val="center"/>
                    <w:rPr>
                      <w:rFonts w:hint="eastAsia" w:ascii="仿宋" w:hAnsi="仿宋" w:eastAsia="仿宋" w:cs="仿宋"/>
                      <w:szCs w:val="21"/>
                    </w:rPr>
                  </w:pPr>
                  <w:r>
                    <w:rPr>
                      <w:rFonts w:hint="eastAsia" w:ascii="仿宋" w:hAnsi="仿宋" w:eastAsia="仿宋" w:cs="仿宋"/>
                      <w:szCs w:val="21"/>
                    </w:rPr>
                    <w:t>-</w:t>
                  </w:r>
                </w:p>
              </w:tc>
              <w:tc>
                <w:tcPr>
                  <w:tcW w:w="2442" w:type="dxa"/>
                  <w:vAlign w:val="center"/>
                </w:tcPr>
                <w:p w14:paraId="0848EDEC">
                  <w:pPr>
                    <w:jc w:val="center"/>
                    <w:rPr>
                      <w:rFonts w:hint="eastAsia" w:ascii="仿宋" w:hAnsi="仿宋" w:eastAsia="仿宋" w:cs="仿宋"/>
                      <w:szCs w:val="21"/>
                    </w:rPr>
                  </w:pPr>
                  <w:r>
                    <w:rPr>
                      <w:rFonts w:hint="eastAsia" w:ascii="仿宋" w:hAnsi="仿宋" w:eastAsia="仿宋" w:cs="仿宋"/>
                      <w:szCs w:val="21"/>
                    </w:rPr>
                    <w:t>-</w:t>
                  </w:r>
                </w:p>
              </w:tc>
              <w:tc>
                <w:tcPr>
                  <w:tcW w:w="1950" w:type="dxa"/>
                  <w:vMerge w:val="continue"/>
                  <w:vAlign w:val="center"/>
                </w:tcPr>
                <w:p w14:paraId="70DC25F0">
                  <w:pPr>
                    <w:rPr>
                      <w:rFonts w:hint="eastAsia" w:ascii="仿宋" w:hAnsi="仿宋" w:eastAsia="仿宋" w:cs="仿宋"/>
                      <w:szCs w:val="21"/>
                    </w:rPr>
                  </w:pPr>
                </w:p>
              </w:tc>
              <w:tc>
                <w:tcPr>
                  <w:tcW w:w="2659" w:type="dxa"/>
                  <w:vAlign w:val="center"/>
                </w:tcPr>
                <w:p w14:paraId="48A852A9">
                  <w:pPr>
                    <w:rPr>
                      <w:rFonts w:hint="eastAsia" w:ascii="仿宋" w:hAnsi="仿宋" w:eastAsia="仿宋" w:cs="仿宋"/>
                      <w:szCs w:val="21"/>
                    </w:rPr>
                  </w:pPr>
                  <w:r>
                    <w:rPr>
                      <w:rFonts w:hint="eastAsia" w:ascii="仿宋" w:hAnsi="仿宋" w:eastAsia="仿宋" w:cs="仿宋"/>
                      <w:szCs w:val="21"/>
                    </w:rPr>
                    <w:t>任务级自动化质控执行</w:t>
                  </w:r>
                </w:p>
              </w:tc>
            </w:tr>
            <w:tr w14:paraId="714A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1FB42F8">
                  <w:pPr>
                    <w:rPr>
                      <w:rFonts w:hint="eastAsia" w:ascii="仿宋" w:hAnsi="仿宋" w:eastAsia="仿宋" w:cs="仿宋"/>
                      <w:szCs w:val="21"/>
                    </w:rPr>
                  </w:pPr>
                  <w:r>
                    <w:rPr>
                      <w:rFonts w:hint="eastAsia" w:ascii="仿宋" w:hAnsi="仿宋" w:eastAsia="仿宋" w:cs="仿宋"/>
                      <w:szCs w:val="21"/>
                    </w:rPr>
                    <w:t>14</w:t>
                  </w:r>
                </w:p>
              </w:tc>
              <w:tc>
                <w:tcPr>
                  <w:tcW w:w="1455" w:type="dxa"/>
                  <w:vAlign w:val="center"/>
                </w:tcPr>
                <w:p w14:paraId="3F44F4A4">
                  <w:pPr>
                    <w:jc w:val="center"/>
                    <w:rPr>
                      <w:rFonts w:hint="eastAsia" w:ascii="仿宋" w:hAnsi="仿宋" w:eastAsia="仿宋" w:cs="仿宋"/>
                      <w:szCs w:val="21"/>
                    </w:rPr>
                  </w:pPr>
                  <w:r>
                    <w:rPr>
                      <w:rFonts w:hint="eastAsia" w:ascii="仿宋" w:hAnsi="仿宋" w:eastAsia="仿宋" w:cs="仿宋"/>
                      <w:szCs w:val="21"/>
                    </w:rPr>
                    <w:t>-</w:t>
                  </w:r>
                </w:p>
              </w:tc>
              <w:tc>
                <w:tcPr>
                  <w:tcW w:w="2442" w:type="dxa"/>
                  <w:vAlign w:val="center"/>
                </w:tcPr>
                <w:p w14:paraId="536A1B88">
                  <w:pPr>
                    <w:jc w:val="center"/>
                    <w:rPr>
                      <w:rFonts w:hint="eastAsia" w:ascii="仿宋" w:hAnsi="仿宋" w:eastAsia="仿宋" w:cs="仿宋"/>
                      <w:szCs w:val="21"/>
                    </w:rPr>
                  </w:pPr>
                  <w:r>
                    <w:rPr>
                      <w:rFonts w:hint="eastAsia" w:ascii="仿宋" w:hAnsi="仿宋" w:eastAsia="仿宋" w:cs="仿宋"/>
                      <w:szCs w:val="21"/>
                    </w:rPr>
                    <w:t>-</w:t>
                  </w:r>
                </w:p>
              </w:tc>
              <w:tc>
                <w:tcPr>
                  <w:tcW w:w="1950" w:type="dxa"/>
                  <w:vMerge w:val="continue"/>
                  <w:vAlign w:val="center"/>
                </w:tcPr>
                <w:p w14:paraId="28AF1616">
                  <w:pPr>
                    <w:rPr>
                      <w:rFonts w:hint="eastAsia" w:ascii="仿宋" w:hAnsi="仿宋" w:eastAsia="仿宋" w:cs="仿宋"/>
                      <w:szCs w:val="21"/>
                    </w:rPr>
                  </w:pPr>
                </w:p>
              </w:tc>
              <w:tc>
                <w:tcPr>
                  <w:tcW w:w="2659" w:type="dxa"/>
                  <w:vAlign w:val="center"/>
                </w:tcPr>
                <w:p w14:paraId="5FEF1020">
                  <w:pPr>
                    <w:rPr>
                      <w:rFonts w:hint="eastAsia" w:ascii="仿宋" w:hAnsi="仿宋" w:eastAsia="仿宋" w:cs="仿宋"/>
                      <w:szCs w:val="21"/>
                    </w:rPr>
                  </w:pPr>
                  <w:r>
                    <w:rPr>
                      <w:rFonts w:hint="eastAsia" w:ascii="仿宋" w:hAnsi="仿宋" w:eastAsia="仿宋" w:cs="仿宋"/>
                      <w:szCs w:val="21"/>
                    </w:rPr>
                    <w:t>任务闭环修正与质控追溯</w:t>
                  </w:r>
                </w:p>
              </w:tc>
            </w:tr>
            <w:tr w14:paraId="7C43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0A026DE">
                  <w:pPr>
                    <w:rPr>
                      <w:rFonts w:hint="eastAsia" w:ascii="仿宋" w:hAnsi="仿宋" w:eastAsia="仿宋" w:cs="仿宋"/>
                      <w:szCs w:val="21"/>
                    </w:rPr>
                  </w:pPr>
                  <w:r>
                    <w:rPr>
                      <w:rFonts w:hint="eastAsia" w:ascii="仿宋" w:hAnsi="仿宋" w:eastAsia="仿宋" w:cs="仿宋"/>
                      <w:szCs w:val="21"/>
                    </w:rPr>
                    <w:t>15</w:t>
                  </w:r>
                </w:p>
              </w:tc>
              <w:tc>
                <w:tcPr>
                  <w:tcW w:w="1455" w:type="dxa"/>
                  <w:vAlign w:val="center"/>
                </w:tcPr>
                <w:p w14:paraId="2AFFF196">
                  <w:pPr>
                    <w:jc w:val="center"/>
                    <w:rPr>
                      <w:rFonts w:hint="eastAsia" w:ascii="仿宋" w:hAnsi="仿宋" w:eastAsia="仿宋" w:cs="仿宋"/>
                      <w:szCs w:val="21"/>
                    </w:rPr>
                  </w:pPr>
                  <w:r>
                    <w:rPr>
                      <w:rFonts w:hint="eastAsia" w:ascii="仿宋" w:hAnsi="仿宋" w:eastAsia="仿宋" w:cs="仿宋"/>
                      <w:szCs w:val="21"/>
                    </w:rPr>
                    <w:t>-</w:t>
                  </w:r>
                </w:p>
              </w:tc>
              <w:tc>
                <w:tcPr>
                  <w:tcW w:w="2442" w:type="dxa"/>
                  <w:vAlign w:val="center"/>
                </w:tcPr>
                <w:p w14:paraId="37E3C04A">
                  <w:pPr>
                    <w:jc w:val="center"/>
                    <w:rPr>
                      <w:rFonts w:hint="eastAsia" w:ascii="仿宋" w:hAnsi="仿宋" w:eastAsia="仿宋" w:cs="仿宋"/>
                      <w:szCs w:val="21"/>
                    </w:rPr>
                  </w:pPr>
                  <w:r>
                    <w:rPr>
                      <w:rFonts w:hint="eastAsia" w:ascii="仿宋" w:hAnsi="仿宋" w:eastAsia="仿宋" w:cs="仿宋"/>
                      <w:szCs w:val="21"/>
                    </w:rPr>
                    <w:t>-</w:t>
                  </w:r>
                </w:p>
              </w:tc>
              <w:tc>
                <w:tcPr>
                  <w:tcW w:w="1950" w:type="dxa"/>
                  <w:vMerge w:val="continue"/>
                  <w:vAlign w:val="center"/>
                </w:tcPr>
                <w:p w14:paraId="3754A496">
                  <w:pPr>
                    <w:rPr>
                      <w:rFonts w:hint="eastAsia" w:ascii="仿宋" w:hAnsi="仿宋" w:eastAsia="仿宋" w:cs="仿宋"/>
                      <w:szCs w:val="21"/>
                    </w:rPr>
                  </w:pPr>
                </w:p>
              </w:tc>
              <w:tc>
                <w:tcPr>
                  <w:tcW w:w="2659" w:type="dxa"/>
                  <w:vAlign w:val="center"/>
                </w:tcPr>
                <w:p w14:paraId="453ACFD4">
                  <w:pPr>
                    <w:rPr>
                      <w:rFonts w:hint="eastAsia" w:ascii="仿宋" w:hAnsi="仿宋" w:eastAsia="仿宋" w:cs="仿宋"/>
                      <w:szCs w:val="21"/>
                    </w:rPr>
                  </w:pPr>
                  <w:r>
                    <w:rPr>
                      <w:rFonts w:hint="eastAsia" w:ascii="仿宋" w:hAnsi="仿宋" w:eastAsia="仿宋" w:cs="仿宋"/>
                      <w:szCs w:val="21"/>
                    </w:rPr>
                    <w:t>任务导向的规则迭代</w:t>
                  </w:r>
                </w:p>
              </w:tc>
            </w:tr>
            <w:tr w14:paraId="05C0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315765D">
                  <w:pPr>
                    <w:rPr>
                      <w:rFonts w:hint="eastAsia" w:ascii="仿宋" w:hAnsi="仿宋" w:eastAsia="仿宋" w:cs="仿宋"/>
                      <w:szCs w:val="21"/>
                    </w:rPr>
                  </w:pPr>
                  <w:r>
                    <w:rPr>
                      <w:rFonts w:hint="eastAsia" w:ascii="仿宋" w:hAnsi="仿宋" w:eastAsia="仿宋" w:cs="仿宋"/>
                      <w:szCs w:val="21"/>
                    </w:rPr>
                    <w:t>16</w:t>
                  </w:r>
                </w:p>
              </w:tc>
              <w:tc>
                <w:tcPr>
                  <w:tcW w:w="1455" w:type="dxa"/>
                  <w:vAlign w:val="center"/>
                </w:tcPr>
                <w:p w14:paraId="796ABB1A">
                  <w:pPr>
                    <w:jc w:val="center"/>
                    <w:rPr>
                      <w:rFonts w:hint="eastAsia" w:ascii="仿宋" w:hAnsi="仿宋" w:eastAsia="仿宋" w:cs="仿宋"/>
                      <w:szCs w:val="21"/>
                    </w:rPr>
                  </w:pPr>
                  <w:r>
                    <w:rPr>
                      <w:rFonts w:hint="eastAsia" w:ascii="仿宋" w:hAnsi="仿宋" w:eastAsia="仿宋" w:cs="仿宋"/>
                      <w:szCs w:val="21"/>
                    </w:rPr>
                    <w:t>质量问题分析</w:t>
                  </w:r>
                </w:p>
              </w:tc>
              <w:tc>
                <w:tcPr>
                  <w:tcW w:w="2442" w:type="dxa"/>
                  <w:vAlign w:val="center"/>
                </w:tcPr>
                <w:p w14:paraId="0E98D52D">
                  <w:pPr>
                    <w:jc w:val="center"/>
                    <w:rPr>
                      <w:rFonts w:hint="eastAsia" w:ascii="仿宋" w:hAnsi="仿宋" w:eastAsia="仿宋" w:cs="仿宋"/>
                      <w:szCs w:val="21"/>
                    </w:rPr>
                  </w:pPr>
                  <w:r>
                    <w:rPr>
                      <w:rFonts w:hint="eastAsia" w:ascii="仿宋" w:hAnsi="仿宋" w:eastAsia="仿宋" w:cs="仿宋"/>
                      <w:szCs w:val="21"/>
                    </w:rPr>
                    <w:t>质量问题分析</w:t>
                  </w:r>
                </w:p>
              </w:tc>
              <w:tc>
                <w:tcPr>
                  <w:tcW w:w="1950" w:type="dxa"/>
                  <w:vAlign w:val="center"/>
                </w:tcPr>
                <w:p w14:paraId="1836D539">
                  <w:pPr>
                    <w:jc w:val="center"/>
                    <w:rPr>
                      <w:rFonts w:hint="eastAsia" w:ascii="仿宋" w:hAnsi="仿宋" w:eastAsia="仿宋" w:cs="仿宋"/>
                      <w:szCs w:val="21"/>
                    </w:rPr>
                  </w:pPr>
                  <w:r>
                    <w:rPr>
                      <w:rFonts w:hint="eastAsia" w:ascii="仿宋" w:hAnsi="仿宋" w:eastAsia="仿宋" w:cs="仿宋"/>
                      <w:szCs w:val="21"/>
                    </w:rPr>
                    <w:t>质量问题分析</w:t>
                  </w:r>
                </w:p>
              </w:tc>
              <w:tc>
                <w:tcPr>
                  <w:tcW w:w="2659" w:type="dxa"/>
                  <w:vAlign w:val="center"/>
                </w:tcPr>
                <w:p w14:paraId="0A9EB630">
                  <w:pPr>
                    <w:jc w:val="center"/>
                    <w:rPr>
                      <w:rFonts w:hint="eastAsia" w:ascii="仿宋" w:hAnsi="仿宋" w:eastAsia="仿宋" w:cs="仿宋"/>
                      <w:szCs w:val="21"/>
                    </w:rPr>
                  </w:pPr>
                  <w:r>
                    <w:rPr>
                      <w:rFonts w:hint="eastAsia" w:ascii="仿宋" w:hAnsi="仿宋" w:eastAsia="仿宋" w:cs="仿宋"/>
                      <w:szCs w:val="21"/>
                    </w:rPr>
                    <w:t>质量问题分析</w:t>
                  </w:r>
                </w:p>
              </w:tc>
            </w:tr>
          </w:tbl>
          <w:p w14:paraId="35673836">
            <w:pPr>
              <w:pStyle w:val="23"/>
              <w:spacing w:line="360" w:lineRule="auto"/>
              <w:rPr>
                <w:rFonts w:hint="eastAsia" w:ascii="仿宋" w:hAnsi="仿宋" w:eastAsia="仿宋" w:cs="仿宋"/>
                <w:color w:val="000000" w:themeColor="text1"/>
                <w:szCs w:val="21"/>
                <w14:textFill>
                  <w14:solidFill>
                    <w14:schemeClr w14:val="tx1"/>
                  </w14:solidFill>
                </w14:textFill>
              </w:rPr>
            </w:pPr>
          </w:p>
          <w:p w14:paraId="53E43DC4">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4.2.3.5资产管理功能建设</w:t>
            </w:r>
          </w:p>
          <w:p w14:paraId="7622735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随着直报数据报数数量的增多，机构对数据资产的使用需求日益增加。为了规范数据资产的使用流程，确保数据安全性和合规性，需要在现有卫生直报系统中增加数据资产管理模块。该模块将实现机构对数据资产的申请、审批和下载功能，确保数据使用流程透明、可控。</w:t>
            </w:r>
          </w:p>
          <w:p w14:paraId="22B013CC">
            <w:pPr>
              <w:pStyle w:val="7"/>
              <w:numPr>
                <w:ilvl w:val="4"/>
                <w:numId w:val="0"/>
              </w:numPr>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sz w:val="21"/>
                <w:szCs w:val="21"/>
              </w:rPr>
              <w:t>4.2.3.5.1</w:t>
            </w:r>
            <w:r>
              <w:rPr>
                <w:rFonts w:hint="eastAsia" w:ascii="仿宋" w:hAnsi="仿宋" w:eastAsia="仿宋" w:cs="仿宋"/>
                <w:color w:val="000000" w:themeColor="text1"/>
                <w:sz w:val="21"/>
                <w:szCs w:val="21"/>
                <w14:textFill>
                  <w14:solidFill>
                    <w14:schemeClr w14:val="tx1"/>
                  </w14:solidFill>
                </w14:textFill>
              </w:rPr>
              <w:t>资产目录定义</w:t>
            </w:r>
          </w:p>
          <w:p w14:paraId="57F4335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数据资产目录作为卫生统计直报系统数据资产的核心管理工具，通过系统化分类与精细化标注，为用户提供直观的数据检索与应用指引，具体内容如下：</w:t>
            </w:r>
          </w:p>
          <w:p w14:paraId="4E61FC8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4.2.3.5.1.1数据资产分类体系</w:t>
            </w:r>
          </w:p>
          <w:p w14:paraId="202186C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基于卫生统计直报系统的数据特性，构建多维分类体系，确保数据资产结构清晰、便于定位：</w:t>
            </w:r>
          </w:p>
          <w:p w14:paraId="413D7CC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按报表类型分类：依据卫生统计报表的规范要求，划分为医疗卫生机构年报表、卫生人力基本信息调查表、医疗服务月报表等类型。以标准化报表为单位归类数据，便于用户按报表需求快速查找相关数据资产。</w:t>
            </w:r>
          </w:p>
          <w:p w14:paraId="6EE8C65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按业务领域分类：结合卫生行业业务范畴，分为医疗服务、公共卫生、疾病控制等领域。通过业务领域聚合数据，满足不同业务部门对数据的专项需求，如财务部门可快速获取收入、费用等相关数据。</w:t>
            </w:r>
          </w:p>
          <w:p w14:paraId="730EE97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4.2.3.5.1.2数据资产条目标注规范</w:t>
            </w:r>
          </w:p>
          <w:p w14:paraId="1E1ED0C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每个数据资产条目需完整标注核心元数据信息，形成标准化的数据资产描述框架：</w:t>
            </w:r>
          </w:p>
          <w:p w14:paraId="1F3CEAD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基础属性：包含数据名称（如“医疗服务月报表（卫健统1-13表）”）、唯一标识符（数据资产编码），确保数据资产可准确识别与区分。</w:t>
            </w:r>
          </w:p>
          <w:p w14:paraId="7F0B086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描述性信息：详细说明数据内容，如“涵盖诊疗人次、住院天数、病床使用率等医疗服务核心指标”；明确数据的业务意义，解释其在卫生统计工作中的应用价值。</w:t>
            </w:r>
          </w:p>
          <w:p w14:paraId="654F769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时间属性：标注数据更新频率（如按日、月、季度更新）。</w:t>
            </w:r>
          </w:p>
          <w:p w14:paraId="3485913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技术属性：注明数据格式（Excel、JSON、数据库表等）、存储位置（数据库名称及表名）、数据量级等技术参数，为数据调取与处理提供技术指引。</w:t>
            </w:r>
          </w:p>
          <w:p w14:paraId="031FD4D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关联属性：标明数据所属机构（如省/市/县卫健委、医疗机构），明确数据管理责任主体；关联数据产生的业务流程（如医疗服务统计流程、公共卫生监测流程），展现数据的业务脉络与应用场景。</w:t>
            </w:r>
          </w:p>
          <w:p w14:paraId="77347C30">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4.2.3.5.2数据资产盘点</w:t>
            </w:r>
          </w:p>
          <w:p w14:paraId="338D3FF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数据资产盘点是全面掌握卫生统计直报系统数据资产状况的核心工作，通过系统化、规范化的操作流程，实现数据资产的精准梳理与动态管理。</w:t>
            </w:r>
          </w:p>
          <w:p w14:paraId="4CDBC15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4.2.3.5.2.1盘点方法与流程</w:t>
            </w:r>
          </w:p>
          <w:p w14:paraId="2594316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用“自动化工具扫描+人工深度核查”的双轨模式开展数据资产盘点工作。首先，利用专业的数据资产扫描工具，对系统数据库进行全面扫描。工具可自动识别数据库表结构、字段信息等基础技术属性，快速获取数据资产的基础清单。在此基础上，组建由数据管理员、业务人员、技术人员构成的核查小组，针对扫描结果进行人工补充与修正。业务人员负责完善数据资产的业务属性，如数据的业务含义、关联业务流程；数据管理员评估数据质量状况，包括数据完整性、准确性、一致性；技术人员则确定数据安全等级，划分公开、内部、敏感等不同密级，确保数据资产信息全面覆盖技术、业务与安全维度。</w:t>
            </w:r>
          </w:p>
          <w:p w14:paraId="4138AC6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4.2.3.5.2.2数据资产台账建设</w:t>
            </w:r>
          </w:p>
          <w:p w14:paraId="363B307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立标准化的数据资产台账作为核心管理载体。台账内容涵盖多维度信息：在基础属性方面，记录数据资产的创建时间、初始版本；更新记录详细标注每次数据资产变更的时间、修改内容及操作人；使用频率通过系统日志分析，统计数据资产的查询、下载、调用次数；维护责任人明确具体负责数据资产日常管理与维护的人员或团队。台账采用电子化表格或数据库形式存储，支持便捷的检索、排序与统计功能，形成可视化的数据资产清单，为后续的数据治理、使用授权等工作提供直观依据。</w:t>
            </w:r>
          </w:p>
          <w:p w14:paraId="17BFAD9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4.2.3.5.2.3动态化盘点机制</w:t>
            </w:r>
          </w:p>
          <w:p w14:paraId="2F73113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构建定期盘点与即时更新相结合的动态管理机制。设定季度、半年度、年度等固定周期开展全面数据资产盘点工作，将台账记录与系统实际数据进行逐项比对，重点核查数据资产的新增情况、变更内容以及失效数据。同时，建立数据资产变更的即时响应流程，当系统发生数据结构调整、业务流程优化等变化时，责任人员需在规定时间内同步更新台账信息，确保资产清单与实际情况实时一致，持续为数据资产的全生命周期管理提供可靠、准确的数据支撑。</w:t>
            </w:r>
          </w:p>
          <w:p w14:paraId="6C68F80C">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4.2.3.5.3资产服务方式</w:t>
            </w:r>
          </w:p>
          <w:p w14:paraId="1200C89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4.2.3.5.3.1数据查询服务</w:t>
            </w:r>
          </w:p>
          <w:p w14:paraId="431D0A5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库类型的资产可在线查询、敏捷分析，用户通过资产标题查找自己所需资产，对单个数据库类型资产，可申请在线查询、敏捷分析，其中在线查询可以表格形式查看申请范围内的数据，敏捷分析可通过拖拽形式对申请范围内数据进行分析，生成所需图表，以满足用户需求。</w:t>
            </w:r>
          </w:p>
          <w:p w14:paraId="4C23C87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4.2.3.5.3.2文件预览与下载服务</w:t>
            </w:r>
          </w:p>
          <w:p w14:paraId="13CE2A9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于结构化数据，支持在线预览表格内容，用户可查看数据字段与部分记录，确认数据是否符合需求后再进行下载。对于非结构化数据，提供在线预览功能，支持PDF文件格式的展示。下载服务严格遵循审批流程，仅对审批通过的申请开放下载权限，下载时提供多种格式选择，并对数据传输进行加密，保障数据安全。</w:t>
            </w:r>
          </w:p>
          <w:p w14:paraId="6743AC0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4.2.3.5.3.3数据接口服务</w:t>
            </w:r>
          </w:p>
          <w:p w14:paraId="2A2B80F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满足系统间数据交互需求，提供标准化的数据接口服务。定义统一的数据接口规范，支持RESTful、WebService等接口协议，允许授权的外部系统通过接口获取数据资产。对接口访问进行严格的权限控制与流量限制，记录接口调用日志，确保数据接口服务的安全性与稳定性。</w:t>
            </w:r>
          </w:p>
          <w:p w14:paraId="61FEE682">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4.2.3.5.4数据资产监控</w:t>
            </w:r>
          </w:p>
          <w:p w14:paraId="0ADDE93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数据资产监控体系旨在构建全流程、多维度的动态监管机制，保障卫生统计直报系统数据资产的质量、安全与高效利用。</w:t>
            </w:r>
          </w:p>
          <w:p w14:paraId="7E488A3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4.2.3.5.4.1数据质量监控</w:t>
            </w:r>
          </w:p>
          <w:p w14:paraId="3FEC4D42">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建立数据质量监控模块，依托预先设定的质量规则对数据资产进行时点监测。在完整性方面，设置必填字段校验规则，确保卫生统计报表中的关键指标（无缺失；针对准确性，通过逻辑校验规则核查数据的合理性，例如医疗费用数据不得为负数、年龄字段需符合正常取值范围；一致性监控则聚焦跨表的数据关联，保证同一数据在不同统计场景下的数值保持一致。一旦检测到数据质量问题，通过系统预警机制，通知数据责任人，并详细记录问题描述、发生时间及影响范围，便于快速定位与修复，持续提升数据可信度。</w:t>
            </w:r>
          </w:p>
          <w:p w14:paraId="675CA3A2">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4.2.3.5.4.2使用情况监控</w:t>
            </w:r>
          </w:p>
          <w:p w14:paraId="67FE62B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构建全流程的数据使用行为监控系统，完整记录数据资产从申请、审批到使用的全生命周期操作。在申请环节，留存申请人信息、申请用途及审批意见；使用过程中，实时追踪数据的下载次数、使用时长、访问终端IP地址等信息。通过数据分析模型，深入挖掘使用规律，例如统计不同机构对特定数据资产的使用频率，识别高频使用的热门数据与长期闲置的数据资源。同时，基于预设的异常行为规则，自动识别潜在的数据滥用或泄露风险，定期生成预警报告并推送至管理员，确保数据使用合规、可控。</w:t>
            </w:r>
          </w:p>
          <w:p w14:paraId="251D7FF7">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4.2.3.5.5资产服务门户</w:t>
            </w:r>
          </w:p>
          <w:p w14:paraId="77C2E1C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4.2.3.5.5.1数据资产配置</w:t>
            </w:r>
          </w:p>
          <w:p w14:paraId="0A5C47D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资产开放配置：省级管理员可在管理后台对数据资产目录中的资产进行开放配置。针对不同类型的数据资产，根据数据敏感性、政策要求和业务需求，选择是否开放供机构申请使用。例如，对于公共卫生监测的汇总数据，可设置为开放；而涉及患者隐私的详细诊疗数据，可设置为限制开放或不开放。</w:t>
            </w:r>
          </w:p>
          <w:p w14:paraId="113DC88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放字段配置：对于已开放的数据资产，省级管理员能够进一步配置具体开放的字段。以“卫生人力基本信息调查表”为例，可选择开放人员姓名、职称、所在科室等非敏感字段，同时隐藏身份证号、联系方式等敏感字段。通过可视化的字段勾选界面，方便管理员灵活调整开放字段范围。</w:t>
            </w:r>
          </w:p>
          <w:p w14:paraId="0A426AF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控制策略：省级管理员可针对数据资产及开放字段设置多种安全控制策略。在访问权限方面，可根据机构类型（医院、卫生院、社区服务中心等）、用户角色分配不同的访问级别；在数据传输安全上，除通用的加密方式外，可对敏感字段采用更高级别的加密算法；还可设置数据使用期限、使用次数限制，以及对特定字段的水印添加，防止数据非法传播。</w:t>
            </w:r>
          </w:p>
          <w:p w14:paraId="310F292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4.2.3.5.5.2数据资产申请</w:t>
            </w:r>
          </w:p>
          <w:p w14:paraId="2DA999D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登录资产服务门户后，可浏览已开放的数据资产目录，选择需要申请的数据资产，进入申请流程。申请表单需填写申请理由、使用用途、使用期限、数据获取方式（查询、下载等）等信息。在选择数据资产后，系统自动展示该资产可申请开放的字段列表，申请人可根据实际需求勾选需要申请或下载的字段，并支持在申请理由中说明字段选择原因。提交申请后进入审批流程，申请提交后，用户可在门户中查看申请状态，实时跟踪审批进度。</w:t>
            </w:r>
          </w:p>
          <w:p w14:paraId="5E7F0E6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4.2.3.5.5.3数据资产审批</w:t>
            </w:r>
          </w:p>
          <w:p w14:paraId="4B57EAE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流程由省级管理员或指定审批人员负责。在审批界面，除清晰展示申请数据资产详情、申请人信息、申请理由等内容外，还会突出显示申请人选择申请的字段。审批人员根据数据资产使用政策、安全控制策略与申请内容进行判断，可选择批准、拒绝或退回修改。批准申请时，系统自动更新申请状态为“已批准”，并按照申请人所选字段开放相应的数据访问权限；拒绝申请需填写详细拒绝理由，通知申请人；退回修改则要求申请人补充或修正申请信息（包括字段选择的合理性说明）后重新提交。审批过程全程记录，确保流程透明、可追溯。</w:t>
            </w:r>
          </w:p>
          <w:p w14:paraId="06DB217F">
            <w:pPr>
              <w:pStyle w:val="8"/>
              <w:numPr>
                <w:ilvl w:val="5"/>
                <w:numId w:val="0"/>
              </w:numPr>
              <w:tabs>
                <w:tab w:val="left" w:pos="1460"/>
              </w:tabs>
              <w:rPr>
                <w:rFonts w:hint="eastAsia" w:ascii="仿宋" w:hAnsi="仿宋" w:eastAsia="仿宋" w:cs="仿宋"/>
                <w:sz w:val="21"/>
                <w:szCs w:val="21"/>
              </w:rPr>
            </w:pPr>
            <w:r>
              <w:rPr>
                <w:rFonts w:hint="eastAsia" w:ascii="仿宋" w:hAnsi="仿宋" w:eastAsia="仿宋" w:cs="仿宋"/>
                <w:sz w:val="21"/>
                <w:szCs w:val="21"/>
              </w:rPr>
              <w:t>4.2.3.5.5.4资产加密脱敏</w:t>
            </w:r>
          </w:p>
          <w:p w14:paraId="1FA0B17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存储与传输过程中，采用先进的加密技术对数据资产进行加密处理，防止数据泄露。对于涉及个人隐私、敏感信息的数据资产，在数据使用前进行脱敏处理。根据数据敏感程度与使用场景，选择合适的脱敏方式，如数据屏蔽、数据泛化、数据替换等，在保障数据可用性的同时，确保数据安全合规。对于省级管理员配置开放的字段，在传输和存储时也会按照对应安全级别进行加密脱敏处理。</w:t>
            </w:r>
          </w:p>
          <w:p w14:paraId="72C61CF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4.2.3.5.5.5数据资产使用</w:t>
            </w:r>
          </w:p>
          <w:p w14:paraId="35531D8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获得数据资产使用权限后，可在资产服务门户中进行数据查询、文件预览与下载等操作。系统记录用户的数据使用行为，包括操作时间、操作内容、数据输出结果等，形成使用日志。对于通过数据接口获取的数据资产，监控接口调用情况，确保数据使用符合申请用途与授权范围。同时，提供数据使用反馈功能，用户可提交使用过程中遇到的问题或建议，便于优化数据资产服务。若用户申请下载的数据包含敏感字段，在下载文件中会按照预设的安全策略显示脱敏后的数据，保障数据使用安全。</w:t>
            </w:r>
          </w:p>
          <w:p w14:paraId="50A0BB8E">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4.2.3.5.6优化前后功能对比清单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15"/>
              <w:gridCol w:w="1755"/>
              <w:gridCol w:w="1945"/>
              <w:gridCol w:w="2130"/>
            </w:tblGrid>
            <w:tr w14:paraId="3108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1480590">
                  <w:pPr>
                    <w:jc w:val="center"/>
                    <w:rPr>
                      <w:rFonts w:hint="eastAsia" w:ascii="仿宋" w:hAnsi="仿宋" w:eastAsia="仿宋" w:cs="仿宋"/>
                      <w:b/>
                      <w:bCs/>
                      <w:szCs w:val="21"/>
                    </w:rPr>
                  </w:pPr>
                  <w:r>
                    <w:rPr>
                      <w:rFonts w:hint="eastAsia" w:ascii="仿宋" w:hAnsi="仿宋" w:eastAsia="仿宋" w:cs="仿宋"/>
                      <w:b/>
                      <w:bCs/>
                      <w:szCs w:val="21"/>
                    </w:rPr>
                    <w:t>序号</w:t>
                  </w:r>
                </w:p>
              </w:tc>
              <w:tc>
                <w:tcPr>
                  <w:tcW w:w="3430" w:type="dxa"/>
                  <w:gridSpan w:val="2"/>
                  <w:vAlign w:val="center"/>
                </w:tcPr>
                <w:p w14:paraId="030A2A07">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5076" w:type="dxa"/>
                  <w:gridSpan w:val="2"/>
                  <w:vAlign w:val="center"/>
                </w:tcPr>
                <w:p w14:paraId="37FAF14F">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26A1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5CBAD30">
                  <w:pPr>
                    <w:rPr>
                      <w:rFonts w:hint="eastAsia" w:ascii="仿宋" w:hAnsi="仿宋" w:eastAsia="仿宋" w:cs="仿宋"/>
                      <w:szCs w:val="21"/>
                    </w:rPr>
                  </w:pPr>
                  <w:r>
                    <w:rPr>
                      <w:rFonts w:hint="eastAsia" w:ascii="仿宋" w:hAnsi="仿宋" w:eastAsia="仿宋" w:cs="仿宋"/>
                      <w:szCs w:val="21"/>
                    </w:rPr>
                    <w:t>1</w:t>
                  </w:r>
                </w:p>
              </w:tc>
              <w:tc>
                <w:tcPr>
                  <w:tcW w:w="1230" w:type="dxa"/>
                  <w:vAlign w:val="center"/>
                </w:tcPr>
                <w:p w14:paraId="11BFC8C8">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058658EE">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0E0E65C0">
                  <w:pPr>
                    <w:jc w:val="center"/>
                    <w:rPr>
                      <w:rFonts w:hint="eastAsia" w:ascii="仿宋" w:hAnsi="仿宋" w:eastAsia="仿宋" w:cs="仿宋"/>
                      <w:szCs w:val="21"/>
                    </w:rPr>
                  </w:pPr>
                  <w:r>
                    <w:rPr>
                      <w:rFonts w:hint="eastAsia" w:ascii="仿宋" w:hAnsi="仿宋" w:eastAsia="仿宋" w:cs="仿宋"/>
                      <w:szCs w:val="21"/>
                    </w:rPr>
                    <w:t>资产管理</w:t>
                  </w:r>
                </w:p>
              </w:tc>
              <w:tc>
                <w:tcPr>
                  <w:tcW w:w="2659" w:type="dxa"/>
                  <w:vAlign w:val="center"/>
                </w:tcPr>
                <w:p w14:paraId="59622E92">
                  <w:pPr>
                    <w:rPr>
                      <w:rFonts w:hint="eastAsia" w:ascii="仿宋" w:hAnsi="仿宋" w:eastAsia="仿宋" w:cs="仿宋"/>
                      <w:szCs w:val="21"/>
                    </w:rPr>
                  </w:pPr>
                  <w:r>
                    <w:rPr>
                      <w:rFonts w:hint="eastAsia" w:ascii="仿宋" w:hAnsi="仿宋" w:eastAsia="仿宋" w:cs="仿宋"/>
                      <w:szCs w:val="21"/>
                    </w:rPr>
                    <w:t>资产目录定义</w:t>
                  </w:r>
                </w:p>
              </w:tc>
            </w:tr>
            <w:tr w14:paraId="6292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C4E8413">
                  <w:pPr>
                    <w:rPr>
                      <w:rFonts w:hint="eastAsia" w:ascii="仿宋" w:hAnsi="仿宋" w:eastAsia="仿宋" w:cs="仿宋"/>
                      <w:szCs w:val="21"/>
                    </w:rPr>
                  </w:pPr>
                  <w:r>
                    <w:rPr>
                      <w:rFonts w:hint="eastAsia" w:ascii="仿宋" w:hAnsi="仿宋" w:eastAsia="仿宋" w:cs="仿宋"/>
                      <w:szCs w:val="21"/>
                    </w:rPr>
                    <w:t>2</w:t>
                  </w:r>
                </w:p>
              </w:tc>
              <w:tc>
                <w:tcPr>
                  <w:tcW w:w="1230" w:type="dxa"/>
                  <w:vAlign w:val="center"/>
                </w:tcPr>
                <w:p w14:paraId="0B2D8A7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6D26E973">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08D6CD47">
                  <w:pPr>
                    <w:rPr>
                      <w:rFonts w:hint="eastAsia" w:ascii="仿宋" w:hAnsi="仿宋" w:eastAsia="仿宋" w:cs="仿宋"/>
                      <w:szCs w:val="21"/>
                    </w:rPr>
                  </w:pPr>
                </w:p>
              </w:tc>
              <w:tc>
                <w:tcPr>
                  <w:tcW w:w="2659" w:type="dxa"/>
                  <w:vAlign w:val="center"/>
                </w:tcPr>
                <w:p w14:paraId="338DD0DF">
                  <w:pPr>
                    <w:rPr>
                      <w:rFonts w:hint="eastAsia" w:ascii="仿宋" w:hAnsi="仿宋" w:eastAsia="仿宋" w:cs="仿宋"/>
                      <w:szCs w:val="21"/>
                    </w:rPr>
                  </w:pPr>
                  <w:r>
                    <w:rPr>
                      <w:rFonts w:hint="eastAsia" w:ascii="仿宋" w:hAnsi="仿宋" w:eastAsia="仿宋" w:cs="仿宋"/>
                      <w:szCs w:val="21"/>
                    </w:rPr>
                    <w:t>数据资产盘点</w:t>
                  </w:r>
                </w:p>
              </w:tc>
            </w:tr>
            <w:tr w14:paraId="5FD4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19E532D">
                  <w:pPr>
                    <w:rPr>
                      <w:rFonts w:hint="eastAsia" w:ascii="仿宋" w:hAnsi="仿宋" w:eastAsia="仿宋" w:cs="仿宋"/>
                      <w:szCs w:val="21"/>
                    </w:rPr>
                  </w:pPr>
                  <w:r>
                    <w:rPr>
                      <w:rFonts w:hint="eastAsia" w:ascii="仿宋" w:hAnsi="仿宋" w:eastAsia="仿宋" w:cs="仿宋"/>
                      <w:szCs w:val="21"/>
                    </w:rPr>
                    <w:t>3</w:t>
                  </w:r>
                </w:p>
              </w:tc>
              <w:tc>
                <w:tcPr>
                  <w:tcW w:w="1230" w:type="dxa"/>
                  <w:vAlign w:val="center"/>
                </w:tcPr>
                <w:p w14:paraId="21E9B692">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1E0DD4FC">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13B08823">
                  <w:pPr>
                    <w:rPr>
                      <w:rFonts w:hint="eastAsia" w:ascii="仿宋" w:hAnsi="仿宋" w:eastAsia="仿宋" w:cs="仿宋"/>
                      <w:szCs w:val="21"/>
                    </w:rPr>
                  </w:pPr>
                </w:p>
              </w:tc>
              <w:tc>
                <w:tcPr>
                  <w:tcW w:w="2659" w:type="dxa"/>
                  <w:vAlign w:val="center"/>
                </w:tcPr>
                <w:p w14:paraId="76637037">
                  <w:pPr>
                    <w:rPr>
                      <w:rFonts w:hint="eastAsia" w:ascii="仿宋" w:hAnsi="仿宋" w:eastAsia="仿宋" w:cs="仿宋"/>
                      <w:szCs w:val="21"/>
                    </w:rPr>
                  </w:pPr>
                  <w:r>
                    <w:rPr>
                      <w:rFonts w:hint="eastAsia" w:ascii="仿宋" w:hAnsi="仿宋" w:eastAsia="仿宋" w:cs="仿宋"/>
                      <w:szCs w:val="21"/>
                    </w:rPr>
                    <w:t>资产服务方式</w:t>
                  </w:r>
                </w:p>
              </w:tc>
            </w:tr>
            <w:tr w14:paraId="5E6C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7D92635">
                  <w:pPr>
                    <w:rPr>
                      <w:rFonts w:hint="eastAsia" w:ascii="仿宋" w:hAnsi="仿宋" w:eastAsia="仿宋" w:cs="仿宋"/>
                      <w:szCs w:val="21"/>
                    </w:rPr>
                  </w:pPr>
                  <w:r>
                    <w:rPr>
                      <w:rFonts w:hint="eastAsia" w:ascii="仿宋" w:hAnsi="仿宋" w:eastAsia="仿宋" w:cs="仿宋"/>
                      <w:szCs w:val="21"/>
                    </w:rPr>
                    <w:t>4</w:t>
                  </w:r>
                </w:p>
              </w:tc>
              <w:tc>
                <w:tcPr>
                  <w:tcW w:w="1230" w:type="dxa"/>
                  <w:vAlign w:val="center"/>
                </w:tcPr>
                <w:p w14:paraId="309B622C">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5411FE30">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515146DC">
                  <w:pPr>
                    <w:rPr>
                      <w:rFonts w:hint="eastAsia" w:ascii="仿宋" w:hAnsi="仿宋" w:eastAsia="仿宋" w:cs="仿宋"/>
                      <w:szCs w:val="21"/>
                    </w:rPr>
                  </w:pPr>
                </w:p>
              </w:tc>
              <w:tc>
                <w:tcPr>
                  <w:tcW w:w="2659" w:type="dxa"/>
                  <w:vAlign w:val="center"/>
                </w:tcPr>
                <w:p w14:paraId="36185471">
                  <w:pPr>
                    <w:rPr>
                      <w:rFonts w:hint="eastAsia" w:ascii="仿宋" w:hAnsi="仿宋" w:eastAsia="仿宋" w:cs="仿宋"/>
                      <w:szCs w:val="21"/>
                    </w:rPr>
                  </w:pPr>
                  <w:r>
                    <w:rPr>
                      <w:rFonts w:hint="eastAsia" w:ascii="仿宋" w:hAnsi="仿宋" w:eastAsia="仿宋" w:cs="仿宋"/>
                      <w:szCs w:val="21"/>
                    </w:rPr>
                    <w:t>数据资产监控</w:t>
                  </w:r>
                </w:p>
              </w:tc>
            </w:tr>
            <w:tr w14:paraId="4F01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B58BDCD">
                  <w:pPr>
                    <w:rPr>
                      <w:rFonts w:hint="eastAsia" w:ascii="仿宋" w:hAnsi="仿宋" w:eastAsia="仿宋" w:cs="仿宋"/>
                      <w:szCs w:val="21"/>
                    </w:rPr>
                  </w:pPr>
                  <w:r>
                    <w:rPr>
                      <w:rFonts w:hint="eastAsia" w:ascii="仿宋" w:hAnsi="仿宋" w:eastAsia="仿宋" w:cs="仿宋"/>
                      <w:szCs w:val="21"/>
                    </w:rPr>
                    <w:t>5</w:t>
                  </w:r>
                </w:p>
              </w:tc>
              <w:tc>
                <w:tcPr>
                  <w:tcW w:w="1230" w:type="dxa"/>
                  <w:vAlign w:val="center"/>
                </w:tcPr>
                <w:p w14:paraId="16764A60">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531003BD">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286C52B6">
                  <w:pPr>
                    <w:rPr>
                      <w:rFonts w:hint="eastAsia" w:ascii="仿宋" w:hAnsi="仿宋" w:eastAsia="仿宋" w:cs="仿宋"/>
                      <w:szCs w:val="21"/>
                    </w:rPr>
                  </w:pPr>
                </w:p>
              </w:tc>
              <w:tc>
                <w:tcPr>
                  <w:tcW w:w="2659" w:type="dxa"/>
                  <w:vAlign w:val="center"/>
                </w:tcPr>
                <w:p w14:paraId="5EADDCEB">
                  <w:pPr>
                    <w:rPr>
                      <w:rFonts w:hint="eastAsia" w:ascii="仿宋" w:hAnsi="仿宋" w:eastAsia="仿宋" w:cs="仿宋"/>
                      <w:szCs w:val="21"/>
                    </w:rPr>
                  </w:pPr>
                  <w:r>
                    <w:rPr>
                      <w:rFonts w:hint="eastAsia" w:ascii="仿宋" w:hAnsi="仿宋" w:eastAsia="仿宋" w:cs="仿宋"/>
                      <w:szCs w:val="21"/>
                    </w:rPr>
                    <w:t>资产服务门户</w:t>
                  </w:r>
                </w:p>
              </w:tc>
            </w:tr>
          </w:tbl>
          <w:p w14:paraId="750A2642">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4.2.3.6数据分析功能优化</w:t>
            </w:r>
          </w:p>
          <w:p w14:paraId="216AB21B">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4.2.3.6.1分析维度建设</w:t>
            </w:r>
          </w:p>
          <w:p w14:paraId="153F80A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4.2.3.6.1.1业务维度</w:t>
            </w:r>
          </w:p>
          <w:p w14:paraId="4037BED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在《全国卫生资源与医疗服务统计调查制度》框架下，业务维度可从多视角深度剖析卫生体系运行情况。</w:t>
            </w:r>
          </w:p>
          <w:p w14:paraId="35A12A1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4.2.3.6.1.1.1经济类型维度</w:t>
            </w:r>
          </w:p>
          <w:p w14:paraId="02D8114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涵盖国有、集体、联营、私营、中外合资等经济类型，分析不同经济属性卫生机构的资源配置差异，如国有医院在大型医疗设备数量、财政拨款占比方面的优势，私营诊所的灵活运营模式对基层医疗服务的补充作用，助力优化医疗资源投入结构。</w:t>
            </w:r>
          </w:p>
          <w:p w14:paraId="361C1D6C">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4.2.3.6.1.1.2主办单位维度</w:t>
            </w:r>
          </w:p>
          <w:p w14:paraId="6FA1946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区分政府办、社会办、个人办等主办主体，统计各主体下卫生机构数量、卫生人员配备、服务量等指标。例如，政府办医疗机构在公共卫生服务供给中的主导地位，基层医疗机构提供中医药服务的能力，为制定差异化的行业支持政策提供依据。</w:t>
            </w:r>
          </w:p>
          <w:p w14:paraId="24C6E79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4.2.3.6.1.1.3市县维度</w:t>
            </w:r>
          </w:p>
          <w:p w14:paraId="7DAE8FB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省、市、县层级拆解数据，对比不同行政区域的卫生资源密度（每千人床位数、医师数）、医疗服务利用效率（医师日均担负诊疗人次、门诊人次数与出院人次数比、病床使用率），识别医疗资源薄弱地区，推动区域间资源均衡布局。</w:t>
            </w:r>
          </w:p>
          <w:p w14:paraId="2CCBA0B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4.2.3.6.1.1.4城乡维度</w:t>
            </w:r>
          </w:p>
          <w:p w14:paraId="1AE0780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聚焦城市与农村地区，分析卫生机构分布、服务可及性差异。如农村地区村卫生室的覆盖率、乡村医生数量，城市三甲医院出院人数转基层机构比例，为缩小城乡医疗服务差距、完善分级诊疗体系提供数据支撑。</w:t>
            </w:r>
          </w:p>
          <w:p w14:paraId="306A44B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4.2.3.6.1.1.5营利性质维度</w:t>
            </w:r>
          </w:p>
          <w:p w14:paraId="77DB10F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区分营利性与非营利性机构，研究其在服务定价、服务项目侧重、患者流量上的不同。非营利性机构在基本医疗和公共卫生服务中的兜底作用，营利性机构在高端医疗服务领域的拓展，辅助制定行业监管与发展规划。</w:t>
            </w:r>
          </w:p>
          <w:p w14:paraId="2A260668">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4.2.3.6.1.1.6地理维度</w:t>
            </w:r>
          </w:p>
          <w:p w14:paraId="0FD08C3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据经济地理划分，对比陕西北部、中部、南部卫生资源总量、人均水平及服务质量差异。如中部地区远程医疗技术应用普及度，南部基层医疗机构基础设施建设缺口，为陕西省医疗资源宏观调配、区域协同发展战略提供参考。</w:t>
            </w:r>
          </w:p>
          <w:p w14:paraId="4EA0CC70">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4.2.3.6.1.1.7医院等级维度</w:t>
            </w:r>
          </w:p>
          <w:p w14:paraId="09CFBB1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按三级、二级、一级及未定级划分，分析不同等级医院的诊疗能力、科研教学投入、运营效率（平均住院日），促进医疗资源合理分流，强化分级诊疗体系建设。</w:t>
            </w:r>
          </w:p>
          <w:p w14:paraId="0148D8AB">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4.2.3.6.1.1.8卫生机构类别维度</w:t>
            </w:r>
          </w:p>
          <w:p w14:paraId="62ACC8E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涵盖医院、基层医疗卫生机构、专业公共卫生机构等，统计各机构的资源投入占比、服务产出贡献。如基层医疗卫生机构在基本医疗服务的服务占比，优化卫生资源在不同机构间的分配机制。</w:t>
            </w:r>
          </w:p>
          <w:p w14:paraId="19A402E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4.2.3.6.1.2时间维度</w:t>
            </w:r>
          </w:p>
          <w:p w14:paraId="4410846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在《全国卫生资源与医疗服务统计调查制度》中，时间维度依托年报、月报、季报、实时报等不同统计周期，为卫生体系运行监测与决策提供动态数据支撑。</w:t>
            </w:r>
          </w:p>
          <w:p w14:paraId="48B44280">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4.2.3.6.1.2年报</w:t>
            </w:r>
          </w:p>
          <w:p w14:paraId="4668159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作为年度综合性统计报告，全面汇总全年卫生资源总量与结构数据，如全省医疗机构总数、卫生技术人员总数、实有床位总数量，以及全年总诊疗人次、总出院人数、医疗总收入与支出等关键指标。通过年度数据对比，可清晰展现卫生事业长期发展趋势，如连续多年的卫生技术人员增长率、病床使用率变化，为国家制定五年规划、调整医疗资源宏观布局提供依据，评估长期政策实施效果。</w:t>
            </w:r>
          </w:p>
          <w:p w14:paraId="2211540B">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4.2.3.6.1.2.2季报</w:t>
            </w:r>
          </w:p>
          <w:p w14:paraId="0DD1EC1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季度为周期，聚焦卫生资源与服务的阶段性变化，如每季度新增医疗机构数量、设备采购投入，以及季度内不同类型疾病的诊疗分布、重点专科服务量波动。通过分析季度数据，可及时发现季节性疾病流行对医疗资源需求的影响，如冬季呼吸系统疾病高发期的门诊量变化，为医疗机构提前调配人力、物资提供参考，同时辅助监管部门评估季度政策执行成效，及时调整策略。</w:t>
            </w:r>
          </w:p>
          <w:p w14:paraId="495AC369">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4.2.3.6.1.2.3月报</w:t>
            </w:r>
          </w:p>
          <w:p w14:paraId="3A076E8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高频次数据反馈，重点监测月度内医疗服务运行的关键指标，如各医院总诊疗人次数、出院人数等。借助月度数据对比，能快速捕捉医疗服务中的异常波动，可及时启动调查与整改，确保医疗服务质量稳定，也便于卫生部门按月度考核医疗机构绩效，动态优化资源分配。</w:t>
            </w:r>
          </w:p>
          <w:p w14:paraId="4A292E81">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4.2.3.6.1.2.4实时报</w:t>
            </w:r>
          </w:p>
          <w:p w14:paraId="28E9DA7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构建卫生人员个案与医疗设备明细个案实时报功能，通过动态采集卫生人员状态、卫生设备记录等数据，实时追踪卫生人员工作状态，精准定位异常情况，为卫生人员资源动态调配、个性化绩效评估及医疗设备科学调度与维修提供即时数据支撑，实现卫生人员管理的实时管控与医疗设备使用效率的提升，保障医疗服务连续性与安全性。</w:t>
            </w:r>
          </w:p>
          <w:p w14:paraId="2E6DD0C8">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4.2.3.6.1.3地域维度</w:t>
            </w:r>
          </w:p>
          <w:p w14:paraId="45EF572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全国卫生资源与医疗服务统计调查制度》中，基于行政区划维度进行分析，能够全面、系统地掌握不同行政区域卫生资源配置与医疗服务供给的差异，为合理规划医疗资源布局、促进区域协调发展提供重要依据。</w:t>
            </w:r>
          </w:p>
          <w:p w14:paraId="09F06757">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4.2.3.6.1.3.1省级维度</w:t>
            </w:r>
          </w:p>
          <w:p w14:paraId="66B9301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聚焦省级层面，分析本省卫生资源与医疗服务的差异。统计各地市每千人口医疗卫生机构床位数、执业（助理）医师数、注册护士数等核心指标，评估各市医疗资源的丰富程度；分析各市重点专科数量、医疗技术开展情况，衡量医疗服务能力；研究各市卫生总费用占GDP的比重、政府卫生支出比例，了解卫生投入水平。通过省级维度分析，可发现各市在卫生事业发展中的特色与不足，如部分市在中医药资源方面的优势，为国家指导各省差异化发展、实现区域间资源互补提供参考，同时也为各市制定符合自身实际的卫生事业发展规划提供依据。</w:t>
            </w:r>
          </w:p>
          <w:p w14:paraId="69771176">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4.2.3.6.1.3.2市级维度</w:t>
            </w:r>
          </w:p>
          <w:p w14:paraId="17E5C8A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深入到地级市层级，剖析市内卫生资源的分布均衡性。分析城区与郊区、不同区县之间医疗卫生机构的数量与类型分布，如三甲医院、专科医院在市区的集中程度，基层医疗卫生机构在郊区和偏远区县的覆盖情况；研究各区域医疗服务的可及性和利用效率，如不同区域居民平均就诊时间、医疗机构门诊量和住院量的区域差异。通过市级维度分析，有助于城市管理者优化市内医疗资源布局，加强薄弱区域医疗基础设施建设，推动优质医疗资源下沉，提升全市医疗服务的整体水平。</w:t>
            </w:r>
          </w:p>
          <w:p w14:paraId="654FF1B4">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4.2.3.6.1.3.3县级维度</w:t>
            </w:r>
          </w:p>
          <w:p w14:paraId="46F87F5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县区，重点关注县域内卫生资源与医疗服务对居民健康需求的保障能力。统计县域内县级医院、乡镇卫生院、村卫生室等各级医疗卫生机构的人员配备、设备配置情况，评估县域医疗服务体系的完整性；分析县级三级公立医院等级占比、设有三级医院的县（市、区）占比、县办中医医疗机构覆盖率，了解县域医疗服务水平；研究县级财政对卫生事业的投入和使用情况，探索提升县域卫生资源利用效率的途径。通过县级维度分析，能够为推动县域医共体建设、实现“大病不出县”的目标提供数据支持，助力提升基层医疗服务能力。</w:t>
            </w:r>
          </w:p>
          <w:p w14:paraId="4639736F">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4.2.3.6.1.3.4乡镇/街道维度</w:t>
            </w:r>
          </w:p>
          <w:p w14:paraId="250E52D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细化到最基层的行政区划单位，聚焦乡镇卫生院和社区卫生服务中心（站）等基层医疗卫生机构，分析基层卫生资源与服务的落实情况。统计基层医疗卫生机构的基本医疗服务量，如门诊诊疗人次、家庭医生签约服务人数；调查基层公共卫生服务开展情况，包括预防接种、老年人健康管理、慢性病患者管理等服务的覆盖率和质量；评估基层卫生人员的工作负荷和专业能力，如每名医生服务的居民数量、人员培训情况。通过乡镇/街道维度分析，可精准发现基层卫生服务的薄弱环节，为加强基层卫生人才队伍建设、改善基层医疗设施条件、提升基层卫生服务质量提供决策依据，切实保障居民能够享受到便捷、优质的基本医疗卫生服务。</w:t>
            </w:r>
          </w:p>
          <w:p w14:paraId="318C38E7">
            <w:pPr>
              <w:pStyle w:val="7"/>
              <w:numPr>
                <w:ilvl w:val="4"/>
                <w:numId w:val="0"/>
              </w:numPr>
              <w:ind w:left="630"/>
              <w:rPr>
                <w:rFonts w:hint="eastAsia" w:ascii="仿宋" w:hAnsi="仿宋" w:eastAsia="仿宋" w:cs="仿宋"/>
                <w:sz w:val="21"/>
                <w:szCs w:val="21"/>
              </w:rPr>
            </w:pPr>
            <w:r>
              <w:rPr>
                <w:rFonts w:hint="eastAsia" w:ascii="仿宋" w:hAnsi="仿宋" w:eastAsia="仿宋" w:cs="仿宋"/>
                <w:sz w:val="21"/>
                <w:szCs w:val="21"/>
              </w:rPr>
              <w:t>4.2.3.6.2主题域建设</w:t>
            </w:r>
          </w:p>
          <w:p w14:paraId="6B6FBDFF">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4.2.3.6.2.1医院统计主题域</w:t>
            </w:r>
          </w:p>
          <w:p w14:paraId="38D8D5CD">
            <w:pPr>
              <w:pStyle w:val="11"/>
              <w:numPr>
                <w:ilvl w:val="6"/>
                <w:numId w:val="0"/>
              </w:numPr>
              <w:ind w:left="1050"/>
              <w:rPr>
                <w:rFonts w:hint="eastAsia" w:ascii="仿宋" w:hAnsi="仿宋" w:eastAsia="仿宋" w:cs="仿宋"/>
                <w:sz w:val="21"/>
                <w:szCs w:val="21"/>
              </w:rPr>
            </w:pPr>
            <w:r>
              <w:rPr>
                <w:rFonts w:hint="eastAsia" w:ascii="仿宋" w:hAnsi="仿宋" w:eastAsia="仿宋" w:cs="仿宋"/>
                <w:sz w:val="21"/>
                <w:szCs w:val="21"/>
              </w:rPr>
              <w:t>4.2.3.6.2.1.1卫统年报主题</w:t>
            </w:r>
          </w:p>
          <w:p w14:paraId="718EDE2E">
            <w:pPr>
              <w:pStyle w:val="12"/>
              <w:numPr>
                <w:ilvl w:val="7"/>
                <w:numId w:val="0"/>
              </w:numPr>
              <w:rPr>
                <w:rFonts w:hint="eastAsia" w:ascii="仿宋" w:hAnsi="仿宋" w:eastAsia="仿宋" w:cs="仿宋"/>
                <w:sz w:val="21"/>
              </w:rPr>
            </w:pPr>
            <w:r>
              <w:rPr>
                <w:rFonts w:hint="eastAsia" w:ascii="仿宋" w:hAnsi="仿宋" w:eastAsia="仿宋" w:cs="仿宋"/>
                <w:sz w:val="21"/>
              </w:rPr>
              <w:t>4.2.3.6.2.1.1.1基本情况主题</w:t>
            </w:r>
          </w:p>
          <w:p w14:paraId="10EE7A3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统年报中的基本情况主题作为核心基础板块，全面、系统地概括了卫生体系的宏观架构与关键要素，为深入分析卫生资源配置、服务供给等提供底层数据支撑。该主题围绕机构基本信息、科室建设与医学建设教育情况、老年健康情况、医疗卫生体制改革情况、科技创新平台及基础资源情况等核心维度展开。</w:t>
            </w:r>
          </w:p>
          <w:p w14:paraId="27D3018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1.基本信息</w:t>
            </w:r>
          </w:p>
          <w:p w14:paraId="64EE22F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详细记录各级各类医疗卫生机构的关键标识信息，包括机构名称、统一社会信用代码、行政区划代码，明确机构所属地域；涵盖机构的经济类型（国有、集体、私营等）、主办单位（政府办、社会办、个人办）、城乡属性（城市、农村），以及医院等级（三级、二级、一级等）、卫生机构类别（医院、基层医疗卫生机构、专业公共卫生机构等），完整勾勒出卫生机构的基本轮廓，便于统计不同属性机构的数量分布与结构占比，分析其在卫生服务体系中的定位与作用。</w:t>
            </w:r>
          </w:p>
          <w:p w14:paraId="1EC0E4F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2.科室建设与医学建设教育情况</w:t>
            </w:r>
          </w:p>
          <w:p w14:paraId="691C4273">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科室建设与医学教育情况主题通过多维度关键指标，全面评估医疗机构在公共卫生服务、科研支持及医学人才培养方面的综合实力。是否设立公共卫生科室及其人员配置，体现了机构在疾病防控与健康管理等公共卫生领域的服务能力；是否拥有服务全院的统计方法学指导团队，关乎医学科研成果的质量与学术影响力；而临床类别、中医类别住院医师规范化培训基地及全科医生实践基地的认定情况，则直接反映机构在医学人才培养方面的水平与对基层医疗人才储备的贡献。这些指标相互关联，共同勾勒出医疗机构在学科建设、科研发展与人才培养的协同发展状况，通过对其整合分析，能够为优化资源配置、完善科研管理、调整医学教育规划提供有力依据，推动科室建设与医学教育的深度融合与高质量发展。</w:t>
            </w:r>
          </w:p>
          <w:p w14:paraId="7C2E1F7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3.老年健康情况</w:t>
            </w:r>
          </w:p>
          <w:p w14:paraId="107B56A8">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老年健康情况围绕老年群体健康状态与服务资源，系统整合关键数据，全面反映老年健康领域的现状与发展需求，以老年人口为核心对象，深度融合人口学特征与健康信息。</w:t>
            </w:r>
          </w:p>
          <w:p w14:paraId="66B826E6">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健康服务资源与利用情况上，统计各级医疗卫生机构针对老年群体提供的服务数据。涵盖老年病专科设置数量、老年病床数量，清晰展现老年健康服务的供给与利用水平。包含：是否为老年医院、是否设置老年绿色通道、是否为老年友善医疗机构、是否开展居家医疗服务、服务人次数、是否提供安宁疗护服务等指标项。</w:t>
            </w:r>
          </w:p>
          <w:p w14:paraId="41B9246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4.医疗卫生体制改革情况</w:t>
            </w:r>
          </w:p>
          <w:p w14:paraId="76B6CEB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卫生体制改革情况统计以《全国卫生资源与医疗服务统计调查制度》为依托，围绕医改核心任务系统整合数据，全面反映改革进展、成效与需求。统计公立医院绩效考核指标完成情况，涵盖医疗质量、运营效率、持续发展等维度的具体数据；分析医院管理体制改革进展，如院长负责制落实情况、医院内部决策机制变化。包含：是否实行党委领导下的院长负责制、是否制定章程、是否实行总会计师制度、是否建立审计机制等指标项。</w:t>
            </w:r>
          </w:p>
          <w:p w14:paraId="5E247AD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5.科技创新平台及基础资源情况</w:t>
            </w:r>
          </w:p>
          <w:p w14:paraId="3889BE2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科技创新平台及基础资源情况统计依据《全国卫生资源与医疗服务统计调查制度》，聚焦卫生健康领域科技创新的核心要素，系统整合平台建设、资源配置及成果产出等数据，全面反映科技创新能力与发展基础，统计各类科技创新平台的数量与分布，包括国家级、省级重点实验室，工程技术研究中心，临床医学研究中心等平台的设立数量、依托单位及学科领域。包含：依托本单位建设的国家级科技创新平台基地数量、国家临床医学研究中心数量、全国重点实验室数量、国家技术创新中心数量、国家新兴产业创新中心、国家产业技术工程化中心等指标项。</w:t>
            </w:r>
          </w:p>
          <w:p w14:paraId="1750F0E1">
            <w:pPr>
              <w:pStyle w:val="12"/>
              <w:numPr>
                <w:ilvl w:val="7"/>
                <w:numId w:val="0"/>
              </w:numPr>
              <w:rPr>
                <w:rFonts w:hint="eastAsia" w:ascii="仿宋" w:hAnsi="仿宋" w:eastAsia="仿宋" w:cs="仿宋"/>
                <w:sz w:val="21"/>
              </w:rPr>
            </w:pPr>
            <w:r>
              <w:rPr>
                <w:rFonts w:hint="eastAsia" w:ascii="仿宋" w:hAnsi="仿宋" w:eastAsia="仿宋" w:cs="仿宋"/>
                <w:sz w:val="21"/>
              </w:rPr>
              <w:t>4.2.3.6.2.1.1.2卫生人员主题</w:t>
            </w:r>
          </w:p>
          <w:p w14:paraId="1735B43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1.编制人数</w:t>
            </w:r>
          </w:p>
          <w:p w14:paraId="0250737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编制人数统计依据《全国卫生资源与医疗服务统计调查制度》，聚焦卫生健康领域人力资源的编制配置情况，通过系统化的数据整合，全面反映人员编制规模、结构及动态变化。</w:t>
            </w:r>
          </w:p>
          <w:p w14:paraId="636A2D8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制人数统计覆盖各级各类医疗卫生机构，包括医院（综合医院、专科医院）、基层医疗卫生机构（社区卫生服务中心、乡镇卫生院）、专业公共卫生机构（疾病预防控制中心、卫生监督所）等。统计对象为纳入机构编制管理范围内的卫生人员，明确区分在编人员与编外聘用人员，确保数据统计的准确性与规范性，为精准掌握卫生人力资源编制总量提供基础。包含：在编卫生人员数、年内新增入编人数等指标项。</w:t>
            </w:r>
          </w:p>
          <w:p w14:paraId="7B61DF6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2.在岗职工数</w:t>
            </w:r>
          </w:p>
          <w:p w14:paraId="74C43BD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在岗职工数统计依据《全国卫生资源与医疗服务统计调查制度》，聚焦医疗卫生机构实际投入工作的人员规模与结构，通过全面、系统的数据采集与整合，真实反映卫生人力资源的实际配置和使用情况。</w:t>
            </w:r>
          </w:p>
          <w:p w14:paraId="2738CDF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岗职工数统计覆盖各级各类医疗卫生机构，包括医院、基层医疗卫生机构、专业公共卫生机构等。统计对象为报告期内实际在本单位工作，并由单位支付工资的各类人员，既包含纳入编制管理的在编人员，也涵盖编外聘用人员，如合同制、劳务派遣人员等，还包括临时聘用且连续工作一定时间（通常按制度规定的统计周期计算）的人员，全面呈现机构人力投入的实际情况，避免因编制限制导致的数据遗漏，为准确掌握卫生行业人力资源总量提供完整数据。包含：卫生技术人员、其他技术人员等指标项。</w:t>
            </w:r>
          </w:p>
          <w:p w14:paraId="494290B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3.离退休人员</w:t>
            </w:r>
          </w:p>
          <w:p w14:paraId="19B68C5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离退休人员统计依据《全国卫生资源与医疗服务统计调查制度》，聚焦曾服务于卫生健康领域的离退休群体，通过系统的数据采集与整合，全面反映该群体的规模、结构及相关保障情况。</w:t>
            </w:r>
          </w:p>
          <w:p w14:paraId="0B334AA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离退休人员统计覆盖各级各类医疗卫生机构中已办理正式退休、退职手续的人员，以及符合离休条件的老干部。统计对象需曾在卫生技术、管理、工勤等岗位任职，涵盖医院、基层医疗卫生机构、专业公共卫生机构等不同类型机构的离退休人员。包含：年内离退休人员、其中：执业（助理）医师数等指标项。</w:t>
            </w:r>
          </w:p>
          <w:p w14:paraId="49C419C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4.年内人员流动情况</w:t>
            </w:r>
          </w:p>
          <w:p w14:paraId="031E903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年内人员流动情况统计依据《全国卫生资源与医疗服务统计调查制度》，聚焦报告期内卫生健康领域人员的动态变化，通过系统的数据采集与分析，全面呈现人员流动规模、方向及结构特征。</w:t>
            </w:r>
          </w:p>
          <w:p w14:paraId="4690219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内人员流动统计覆盖各级各类医疗卫生机构，统计对象为报告期内发生流入、流出或内部岗位变动的所有工作人员。流入人员包括新招聘入职、从其他单位调入、劳务派遣转入等；流出人员涵盖辞职、退休、调出、解聘等情况。包含：高等中等院校毕业生、其他医疗卫生机构调入、非医疗卫生机构调入、自然减员、退休等。</w:t>
            </w:r>
          </w:p>
          <w:p w14:paraId="2264945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5.第三方人员数</w:t>
            </w:r>
          </w:p>
          <w:p w14:paraId="079C98B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三方人员数统计依据《全国卫生资源与医疗服务统计调查制度》，聚焦各级各类医疗卫生机构通过非直接雇佣形式参与卫生服务工作的人员群体，系统采集并分析相关数据，全面呈现第三方人员的规模、构成及使用情况。</w:t>
            </w:r>
          </w:p>
          <w:p w14:paraId="1D9B71A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计对象指与卫生机构无直接劳动关系，由第三方机构派遣或通过合作形式为卫生机构提供服务的人员。具体包括劳务派遣人员（由劳务派遣公司派遣至卫生机构工作）、外包服务人员（如保洁、安保等服务外包公司派驻人员）、第三方技术支持人员（参与信息化建设、设备维护等工作的外部机构人员）、兼职专家或顾问（从外部聘请的临时性专业技术人员）等，确保完整涵盖卫生机构运营中各类第三方人力支持情况。包含：护理员（工）、信息化运维人员、医用装备运维人员等指标项。</w:t>
            </w:r>
          </w:p>
          <w:p w14:paraId="6F64175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6.医学教育与人才培养</w:t>
            </w:r>
          </w:p>
          <w:p w14:paraId="6DDF5DB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医学教育与人才培养统计以《全国卫生资源与医疗服务统计调查制度》为基准，聚焦卫生行业人才培育全流程，系统整合教育资源投入、人才培养模式及成果产出等数据，全面呈现医学人才发展的现状与趋势。</w:t>
            </w:r>
          </w:p>
          <w:p w14:paraId="2D1BD0F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计对象涵盖不同培养阶段的医学生、住院医师规范化培训学员、进修人员，以及参与继续医学教育的在职卫生技术人员，确保完整记录医学人才从院校教育到职业发展全过程的培养情况。包含：正在本机构参加住院医师规范化培训的人数、面向社会招收的培训对象、外单位委派的培训对象等指标项。</w:t>
            </w:r>
          </w:p>
          <w:p w14:paraId="1F2B405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7.进修情况</w:t>
            </w:r>
          </w:p>
          <w:p w14:paraId="5950D39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进修情况统计聚焦卫生技术人员及相关从业者通过进修提升专业能力的过程，系统整合进修人员信息、进修内容与成果等数据，全面呈现行业人才进修发展现状。包含：外单位来本机构进修人数、本机构去外单位进修人数。</w:t>
            </w:r>
          </w:p>
          <w:p w14:paraId="0CD28E0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8.借调情况</w:t>
            </w:r>
          </w:p>
          <w:p w14:paraId="04A0005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借调情况统计聚焦卫生行业内人员跨机构临时调配现象，通过系统采集借调人员信息、借调流向及借调效果等数据，全面呈现人员借调的规模、结构及运行特征。包含：外单位来本机构借调人数、本机构去外单位借调人数。</w:t>
            </w:r>
          </w:p>
          <w:p w14:paraId="0939898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9.援助情况</w:t>
            </w:r>
          </w:p>
          <w:p w14:paraId="7F5DF94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援助情况聚焦卫生健康领域跨区域、跨机构的人力、技术及资源支援行为，通过系统采集援助主体、受援对象、援助内容及实施效果等数据，全面呈现卫生援助工作的规模、结构及运行特征。包含：外单位来本机构支援人数、本机构去外单位支援人数等指标项。</w:t>
            </w:r>
          </w:p>
          <w:p w14:paraId="5330EE9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10.区域医疗中心内部交流情况</w:t>
            </w:r>
          </w:p>
          <w:p w14:paraId="173DC99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区域医疗中心内部交流情况聚焦区域医疗中心体系内各成员机构间的人员、技术、资源互动行为，通过系统采集交流主体、交流内容、实施效果等数据，全面呈现区域医疗协同发展的运行特征。包含：合作机构来本机构交流人数、本机构去合作单位交流人数。</w:t>
            </w:r>
          </w:p>
          <w:p w14:paraId="386B31D8">
            <w:pPr>
              <w:pStyle w:val="12"/>
              <w:numPr>
                <w:ilvl w:val="7"/>
                <w:numId w:val="0"/>
              </w:numPr>
              <w:rPr>
                <w:rFonts w:hint="eastAsia" w:ascii="仿宋" w:hAnsi="仿宋" w:eastAsia="仿宋" w:cs="仿宋"/>
                <w:sz w:val="21"/>
              </w:rPr>
            </w:pPr>
            <w:r>
              <w:rPr>
                <w:rFonts w:hint="eastAsia" w:ascii="仿宋" w:hAnsi="仿宋" w:eastAsia="仿宋" w:cs="仿宋"/>
                <w:sz w:val="21"/>
              </w:rPr>
              <w:t>4.2.3.6.2.1.1.3床位主题</w:t>
            </w:r>
          </w:p>
          <w:p w14:paraId="036407B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床位主题聚焦医疗卫生机构床位资源的配置、使用与管理情况，通过系统采集床位数量、结构、利用效率等数据，全面呈现床位资源在卫生健康体系中的运行特征。</w:t>
            </w:r>
          </w:p>
          <w:p w14:paraId="2F88753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床位主题统计覆盖各级各类医疗卫生机构，包括医院、基层医疗卫生机构、专业公共卫生机构（部分承担住院服务的机构）等。统计对象为报告期内医疗卫生机构实际开放并可用于患者住院治疗、康复护理等服务的床位，明确区分正规病床、观察床、待产床等不同功能类型的床位。统计内容包括床位面积、配套设施等，确保完整记录床位资源的全貌。包含：编制床位、实有床位、实际开放总床日数、实际占用总床日数等指标项。</w:t>
            </w:r>
          </w:p>
          <w:p w14:paraId="21064768">
            <w:pPr>
              <w:pStyle w:val="12"/>
              <w:numPr>
                <w:ilvl w:val="7"/>
                <w:numId w:val="0"/>
              </w:numPr>
              <w:rPr>
                <w:rFonts w:hint="eastAsia" w:ascii="仿宋" w:hAnsi="仿宋" w:eastAsia="仿宋" w:cs="仿宋"/>
                <w:sz w:val="21"/>
              </w:rPr>
            </w:pPr>
            <w:r>
              <w:rPr>
                <w:rFonts w:hint="eastAsia" w:ascii="仿宋" w:hAnsi="仿宋" w:eastAsia="仿宋" w:cs="仿宋"/>
                <w:sz w:val="21"/>
              </w:rPr>
              <w:t>4.2.3.6.2.1.1.4房屋与基本建设主题</w:t>
            </w:r>
          </w:p>
          <w:p w14:paraId="08EE14A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房屋与基本建设主题围绕医疗机构空间资源与基建发展，通过多维度数据综合反映其硬件实力与发展潜力。年末房屋建筑面积、租房面积及其业务用房占比，清晰呈现机构当前空间资源的规模与使用结构，危房面积则提示安全隐患与修缮需求；房屋租金数据进一步体现租赁空间的使用成本，为优化资源配置提供经济参考。本年批准基建项目、建筑面积及实际完成投资额，展现机构发展规划与资金投入情况，财政性投资、单位自有资金、银行贷款的构成比例，揭示资金来源的稳定性与机构融资能力。而本年房屋竣工面积、因新扩建增加的床位数，作为基建成果的直接体现，直观反映医疗服务承载能力的提升幅度。通过对这些数据的整合分析，能够全面掌握医疗机构在空间布局、基建推进、资金运作等方面的现状与趋势，为科学规划硬件建设、合理调配资源、推动可持续发展提供重要依据。</w:t>
            </w:r>
          </w:p>
          <w:p w14:paraId="309A5901">
            <w:pPr>
              <w:pStyle w:val="12"/>
              <w:numPr>
                <w:ilvl w:val="7"/>
                <w:numId w:val="0"/>
              </w:numPr>
              <w:rPr>
                <w:rFonts w:hint="eastAsia" w:ascii="仿宋" w:hAnsi="仿宋" w:eastAsia="仿宋" w:cs="仿宋"/>
                <w:sz w:val="21"/>
              </w:rPr>
            </w:pPr>
            <w:r>
              <w:rPr>
                <w:rFonts w:hint="eastAsia" w:ascii="仿宋" w:hAnsi="仿宋" w:eastAsia="仿宋" w:cs="仿宋"/>
                <w:sz w:val="21"/>
              </w:rPr>
              <w:t>4.2.3.6.2.1.1.5设备主题</w:t>
            </w:r>
          </w:p>
          <w:p w14:paraId="2C55402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备主题通过多维度数据整合，系统呈现医疗机构设备全生命周期管理状况与应用效能。从设备代码、名称、产地、生产厂家等基础标识信息，到生产日期、上账日期、购买单价等采购数据，完整勾勒设备资产画像，为设备选型、成本核算及折旧规划提供依据。设计使用期限、使用情况及报废日期等指标，动态监测设备生命周期，助力及时发现超期服役、闲置浪费等问题。设备是否联网、使用部门等信息，则反映其智能化水平与资源分配合理性，影响设备数据采集效率与科室业务适配度。通过对这些数据的综合分析，能够优化设备采购策略，提升资源配置精准度，完善运维管理机制，推动设备管理向智能化、精细化转型，为医疗服务质量提升与机构高效运营提供坚实保障。</w:t>
            </w:r>
          </w:p>
          <w:p w14:paraId="5D8AC1E7">
            <w:pPr>
              <w:pStyle w:val="12"/>
              <w:numPr>
                <w:ilvl w:val="7"/>
                <w:numId w:val="0"/>
              </w:numPr>
              <w:rPr>
                <w:rFonts w:hint="eastAsia" w:ascii="仿宋" w:hAnsi="仿宋" w:eastAsia="仿宋" w:cs="仿宋"/>
                <w:sz w:val="21"/>
              </w:rPr>
            </w:pPr>
            <w:r>
              <w:rPr>
                <w:rFonts w:hint="eastAsia" w:ascii="仿宋" w:hAnsi="仿宋" w:eastAsia="仿宋" w:cs="仿宋"/>
                <w:sz w:val="21"/>
              </w:rPr>
              <w:t>4.2.3.6.2.1.1.6收入与支出主题</w:t>
            </w:r>
          </w:p>
          <w:p w14:paraId="2F3D9B6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收入与支出主题通过系统化的财务数据，全面反映医疗机构的资金运行与运营状况。总收入覆盖财政拨款、事业收入、上级补助、捐赠等多元来源，清晰呈现资金构成，其中财政拨款体现政府支持力度，医疗收入作为核心板块，反映服务创收能力；其他收入项则展示机构综合资源获取水平。总费用涵盖业务活动、经营、资产处置等各类支出，业务活动费用中的人员经费、财政拨款经费等，直接关联人力成本与资金使用效能，其余费用项目则反映机构运营各环节的资金消耗。通过整合分析这些收支数据，能够全面评估机构收支平衡、运营效益与成本控制水平，为优化资源配置、调整服务定价、强化财务管理、保障可持续发展提供关键依据，助力医疗机构提升经济管理水平与综合竞争力。包含：总收入、财政拨款收入、事业收入、医疗收入等指标项。</w:t>
            </w:r>
          </w:p>
          <w:p w14:paraId="69807CA3">
            <w:pPr>
              <w:pStyle w:val="12"/>
              <w:numPr>
                <w:ilvl w:val="7"/>
                <w:numId w:val="0"/>
              </w:numPr>
              <w:rPr>
                <w:rFonts w:hint="eastAsia" w:ascii="仿宋" w:hAnsi="仿宋" w:eastAsia="仿宋" w:cs="仿宋"/>
                <w:sz w:val="21"/>
              </w:rPr>
            </w:pPr>
            <w:r>
              <w:rPr>
                <w:rFonts w:hint="eastAsia" w:ascii="仿宋" w:hAnsi="仿宋" w:eastAsia="仿宋" w:cs="仿宋"/>
                <w:sz w:val="21"/>
              </w:rPr>
              <w:t>4.2.3.6.2.1.1.7资产负债主题</w:t>
            </w:r>
          </w:p>
          <w:p w14:paraId="013A6378">
            <w:pPr>
              <w:pStyle w:val="23"/>
              <w:spacing w:line="360" w:lineRule="auto"/>
              <w:rPr>
                <w:rFonts w:hint="eastAsia"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负债主题通过系统化的数据整合，全面展现医疗机构的财务状况与运营根基。总资产涵盖流动资产与非流动资产，货币资金保障机构资金流动性，固定资产、在建工程、无形资产等非流动资产则体现硬件实力与发展潜力，本年新增固定资产直观反映机构的投资建设力度。负债与净资产方面，流动负债和非流动负债揭示债务规模与偿债压力，受托代理负债反映代持债务情况；净资产中的累计盈余、专用基金、本期盈余等指标，清晰呈现机构的资金积累能力、风险储备水平与当期经营成果。通过对这些数据的综合分析，可系统评估机构的资产质量、债务风险与财务健康程度，为优化</w:t>
            </w:r>
            <w:r>
              <w:rPr>
                <w:rFonts w:hint="eastAsia" w:ascii="仿宋" w:hAnsi="仿宋" w:eastAsia="仿宋" w:cs="仿宋"/>
                <w:color w:val="000000" w:themeColor="text1"/>
                <w:szCs w:val="21"/>
                <w:highlight w:val="none"/>
                <w14:textFill>
                  <w14:solidFill>
                    <w14:schemeClr w14:val="tx1"/>
                  </w14:solidFill>
                </w14:textFill>
              </w:rPr>
              <w:t>资源配置、平衡债务结构、制定可持续发展战略提供重要依据，助力医疗机构夯实财务基础，提升抗风险能力与综合竞争力。</w:t>
            </w:r>
          </w:p>
          <w:p w14:paraId="38069570">
            <w:pPr>
              <w:pStyle w:val="12"/>
              <w:numPr>
                <w:ilvl w:val="7"/>
                <w:numId w:val="0"/>
              </w:numPr>
              <w:rPr>
                <w:rFonts w:hint="eastAsia" w:ascii="仿宋" w:hAnsi="仿宋" w:eastAsia="仿宋" w:cs="仿宋"/>
                <w:sz w:val="21"/>
                <w:highlight w:val="none"/>
              </w:rPr>
            </w:pPr>
            <w:r>
              <w:rPr>
                <w:rFonts w:hint="eastAsia" w:ascii="仿宋" w:hAnsi="仿宋" w:eastAsia="仿宋" w:cs="仿宋"/>
                <w:sz w:val="21"/>
                <w:highlight w:val="none"/>
              </w:rPr>
              <w:t>4.2.3.6.2.1.1.8基本公共卫生主题</w:t>
            </w:r>
          </w:p>
          <w:p w14:paraId="6F9FAEE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基本公共卫生主题通过整合多类服务数据，全景式展现医疗机构在基层健康服务领域的实践成果与覆盖效能。居民电子健康档案建档及规范化管理数据，夯实健康服务数字化根基，为精准施策提</w:t>
            </w:r>
            <w:r>
              <w:rPr>
                <w:rFonts w:hint="eastAsia" w:ascii="仿宋" w:hAnsi="仿宋" w:eastAsia="仿宋" w:cs="仿宋"/>
                <w:color w:val="000000" w:themeColor="text1"/>
                <w:szCs w:val="21"/>
                <w14:textFill>
                  <w14:solidFill>
                    <w14:schemeClr w14:val="tx1"/>
                  </w14:solidFill>
                </w14:textFill>
              </w:rPr>
              <w:t>供信息支撑；0-6岁儿童健康管理、预防接种及新生儿筛查等数据，构建起全链条的婴幼儿健康保障体系。重点人群管理数据，如孕产妇、65岁以上老人、慢性病患者及特殊疾病群体的健康管理与服务频次，体现对脆弱人群的关怀力度与疾病防控成效。中医药健康管理、农村妇女“两癌”筛查、营养干预及优生优育等专项服务数据，则从特色服务、疾病早筛、营养改善等多元角度，凸显公共卫生服务的普惠性与针对性。通过对这些数据的综合分析，能够系统评估基本公共卫生服务的完整性、均衡性与有效性，为科学调配资源、优化服务模式、提升群众健康获得感提供关键依据，切实推动基层健康服务提质增效。</w:t>
            </w:r>
          </w:p>
          <w:p w14:paraId="5C0672BE">
            <w:pPr>
              <w:pStyle w:val="12"/>
              <w:numPr>
                <w:ilvl w:val="7"/>
                <w:numId w:val="0"/>
              </w:numPr>
              <w:rPr>
                <w:rFonts w:hint="eastAsia" w:ascii="仿宋" w:hAnsi="仿宋" w:eastAsia="仿宋" w:cs="仿宋"/>
                <w:sz w:val="21"/>
              </w:rPr>
            </w:pPr>
            <w:r>
              <w:rPr>
                <w:rFonts w:hint="eastAsia" w:ascii="仿宋" w:hAnsi="仿宋" w:eastAsia="仿宋" w:cs="仿宋"/>
                <w:sz w:val="21"/>
              </w:rPr>
              <w:t>4.2.3.6.2.1.1.9分科情况主题</w:t>
            </w:r>
          </w:p>
          <w:p w14:paraId="7E6CC92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科情况主题通过整合科室设置、人员配置、服务规模与运营效益等多维度数据，系统展现医疗机构各科室的发展全貌与运营效能。从科室基础建设来看，科室开设情况与实有床位数直观反映学科布局与资源配置规模，结合实际开放、占用及出院者占用床日数，可深入分析床位利用效率与周转情况。在服务量方面，门急诊、出院人次及中医特色服务数据，清晰呈现各科室的患者服务能力与特色优势，而门急诊与住院收入数据则进一步量化其经济贡献。人员配置上，执业医师、助理医师及注册护士数量构成科室服务的核心人力支撑，其配比直接影响医疗服务质量与效率。通过对这些数据的综合分析，能够全面评估各科室的运营状况，精准定位优势与短板，为优化资源配置、调整学科发展策略、提升整体医疗服务水平提供科学依据，推动医疗机构实现高质量、可持续发展。</w:t>
            </w:r>
          </w:p>
          <w:p w14:paraId="2E6DA6C0">
            <w:pPr>
              <w:pStyle w:val="12"/>
              <w:numPr>
                <w:ilvl w:val="7"/>
                <w:numId w:val="0"/>
              </w:numPr>
              <w:rPr>
                <w:rFonts w:hint="eastAsia" w:ascii="仿宋" w:hAnsi="仿宋" w:eastAsia="仿宋" w:cs="仿宋"/>
                <w:sz w:val="21"/>
              </w:rPr>
            </w:pPr>
            <w:r>
              <w:rPr>
                <w:rFonts w:hint="eastAsia" w:ascii="仿宋" w:hAnsi="仿宋" w:eastAsia="仿宋" w:cs="仿宋"/>
                <w:sz w:val="21"/>
              </w:rPr>
              <w:t>4.2.3.6.2.1.1.10中医特色指标主题</w:t>
            </w:r>
          </w:p>
          <w:p w14:paraId="0B0A17B6">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医特色指标主题通过聚焦核心业务与硬件设施相关数据，构建起精准衡量中医药服务能力与发展水平的指标体系。年内中医治未病服务人次数作为中医“未病先防”理念的实践量化，直观反映了中医在疾病预防与健康管理领域的社会认可度，其数值增长可体现中医治未病服务的推广成效与群众需求的契合度；年末开展中医医疗技术总项数则展现中医诊疗技术的丰富性与创新性，技术种类的拓展意味着中医服务边界的延伸，也侧面反映出中医科室人才队伍的技术储备能力。通过数据对比与趋势分析，可为中医药政策制定提供依据，为资源配置指明方向，为人才培养与科研创新提供参考，定向培育专业人才与研发团队，最终推动中医药事业在传承中创新，在创新中发展。</w:t>
            </w:r>
            <w:bookmarkEnd w:id="156"/>
          </w:p>
          <w:p w14:paraId="49AFFB65">
            <w:pPr>
              <w:pStyle w:val="12"/>
              <w:numPr>
                <w:ilvl w:val="7"/>
                <w:numId w:val="0"/>
              </w:numPr>
              <w:rPr>
                <w:rFonts w:hint="eastAsia" w:ascii="仿宋" w:hAnsi="仿宋" w:eastAsia="仿宋" w:cs="仿宋"/>
                <w:sz w:val="21"/>
              </w:rPr>
            </w:pPr>
            <w:r>
              <w:rPr>
                <w:rFonts w:hint="eastAsia" w:ascii="仿宋" w:hAnsi="仿宋" w:eastAsia="仿宋" w:cs="仿宋"/>
                <w:sz w:val="21"/>
              </w:rPr>
              <w:t>4.2.3.6.2.1.1.11急救服务能力主题</w:t>
            </w:r>
          </w:p>
          <w:p w14:paraId="50090C6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急救服务能力主题通过构建多维度数据评估体系，系统衡量医疗机构急救资源配置与应急救援效能。急救服务能力情况以基础资源数据为核心：本中心(站)服务面积(平方公里)与服务半径(公里)直接反映急救网络的地理覆盖范围，结合服务人口(万人)及城区人口(万人)的结构数据，可分析人口密度与急救需求的匹配度。院前急救服务网络平均反应时间(分钟)作为关键效率指标，受站点位置、交通状况、车辆调度等多重因素影响，其数值高低直接关联急救成功率，是评估应急响应能力的核心依据。以数据驱动优化急救资源配置、完善应急响应机制、提升人员实战能力，构建快速、高效、全覆盖的急救服务体系，为保障人民群众生命安全提供坚实支撑。</w:t>
            </w:r>
          </w:p>
          <w:p w14:paraId="0965045F">
            <w:pPr>
              <w:pStyle w:val="12"/>
              <w:numPr>
                <w:ilvl w:val="7"/>
                <w:numId w:val="0"/>
              </w:numPr>
              <w:rPr>
                <w:rFonts w:hint="eastAsia" w:ascii="仿宋" w:hAnsi="仿宋" w:eastAsia="仿宋" w:cs="仿宋"/>
                <w:sz w:val="21"/>
              </w:rPr>
            </w:pPr>
            <w:r>
              <w:rPr>
                <w:rFonts w:hint="eastAsia" w:ascii="仿宋" w:hAnsi="仿宋" w:eastAsia="仿宋" w:cs="仿宋"/>
                <w:sz w:val="21"/>
              </w:rPr>
              <w:t>4.2.3.6.2.1.1.12急救服务利用主题</w:t>
            </w:r>
          </w:p>
          <w:p w14:paraId="21B23FA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急救服务利用主题通过多维度数据监测与分析，精准刻画急救服务使用特征，优化资源配置以提升应急响应效能。急救呼叫次数作为需求入口数据，区分有效与无效呼叫占比，结合呼叫类型可洞察核心需求构成。出车次数及其细分的抢救（监护）型急救车次数与运转型急救车次数，反映不同急救场景下的车辆调度策略，前者侧重危重症现场救治，后者聚焦快速转运，两者比例可评估资源匹配合理性。以数据驱动破解急救资源供需矛盾，提升出车效率、缩短响应时间、优化救治路径，实现急救服务从“被动响应”向“精准预判”转型，最大限度保障患者生命安全与救治成功率。</w:t>
            </w:r>
          </w:p>
          <w:p w14:paraId="053AB0D8">
            <w:pPr>
              <w:pStyle w:val="12"/>
              <w:numPr>
                <w:ilvl w:val="7"/>
                <w:numId w:val="0"/>
              </w:numPr>
              <w:rPr>
                <w:rFonts w:hint="eastAsia" w:ascii="仿宋" w:hAnsi="仿宋" w:eastAsia="仿宋" w:cs="仿宋"/>
                <w:sz w:val="21"/>
              </w:rPr>
            </w:pPr>
            <w:r>
              <w:rPr>
                <w:rFonts w:hint="eastAsia" w:ascii="仿宋" w:hAnsi="仿宋" w:eastAsia="仿宋" w:cs="仿宋"/>
                <w:sz w:val="21"/>
              </w:rPr>
              <w:t>4.2.3.6.2.1.1.13院区情况主题</w:t>
            </w:r>
          </w:p>
          <w:p w14:paraId="049ECA8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院区情况主题针对多院区运营的医疗机构，深入分析各院区功能定位与协同发展情况。在基础信息方面，详细记录各院区名称、地理位置、人力规模等，明确院区规模。业务规模数据统计各院区的床位数量、人员配置、门诊人次、住院人数等关键指标，对比分析各院区业务发展水平。资源协同数据采集各院区之间的设备共享、检查检验结果互认等情况，评估院区之间的协作程度。通过对这些数据的整合分析，能够全面掌握多院区运营现状，发现资源配置不合理、协同效率低等问题，为优化院区布局、加强资源整合、实现一体化管理提供数据依据，提升医疗机构整体运营效益与服务质量。</w:t>
            </w:r>
          </w:p>
          <w:p w14:paraId="1B084D48">
            <w:pPr>
              <w:pStyle w:val="12"/>
              <w:numPr>
                <w:ilvl w:val="7"/>
                <w:numId w:val="0"/>
              </w:numPr>
              <w:rPr>
                <w:rFonts w:hint="eastAsia" w:ascii="仿宋" w:hAnsi="仿宋" w:eastAsia="仿宋" w:cs="仿宋"/>
                <w:sz w:val="21"/>
              </w:rPr>
            </w:pPr>
            <w:r>
              <w:rPr>
                <w:rFonts w:hint="eastAsia" w:ascii="仿宋" w:hAnsi="仿宋" w:eastAsia="仿宋" w:cs="仿宋"/>
                <w:sz w:val="21"/>
              </w:rPr>
              <w:t>4.2.3.6.2.1.1.14医疗能耗情况主题</w:t>
            </w:r>
          </w:p>
          <w:p w14:paraId="327B6AC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能耗情况主题围绕电、煤、天然气、购买热、汽油、柴油、水等能源，通过全面采集各能源的消耗量及费用数据，监测机构的能耗动态；可结合门诊人次、住院床日数计算单位业务量能耗强度，分析能耗在时间、区域上的分布特征与结构差异；为制定节能计划、实施改造项目、优化管理流程提供数据支撑，助力医疗机构降低运营成本、减少碳排放，实现绿色可持续发展。</w:t>
            </w:r>
          </w:p>
          <w:p w14:paraId="13661770">
            <w:pPr>
              <w:pStyle w:val="12"/>
              <w:numPr>
                <w:ilvl w:val="7"/>
                <w:numId w:val="0"/>
              </w:numPr>
              <w:rPr>
                <w:rFonts w:hint="eastAsia" w:ascii="仿宋" w:hAnsi="仿宋" w:eastAsia="仿宋" w:cs="仿宋"/>
                <w:sz w:val="21"/>
              </w:rPr>
            </w:pPr>
            <w:r>
              <w:rPr>
                <w:rFonts w:hint="eastAsia" w:ascii="仿宋" w:hAnsi="仿宋" w:eastAsia="仿宋" w:cs="仿宋"/>
                <w:sz w:val="21"/>
              </w:rPr>
              <w:t>4.2.3.6.2.1.1.15国际医疗情况主题</w:t>
            </w:r>
          </w:p>
          <w:p w14:paraId="79ADC16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国际医疗情况主题围绕人才、项目、资金、成果和设施等维度，全面呈现医疗机构在国际医学领域的竞争力与发展态势。科研人才指标涵盖专职科研人员及各类专业岗位数量，体现团队专业构成与创新实力；科研项目数据通过国家级项目立项、国际多中心临床试验数量等，展现机构在国际科研合作中的参与深度与主导能力。资金层面，科研项目立项经费、外来经费到账金额及其来源结构，反映资源获取的多元性与稳定性。科研成果方面，论文发表、专利授权、标准发布及知识产权转让数据，综合衡量学术影响力、技术创新力与成果转化价值。研究型病房及床位配置情况，则作为硬件基础，决定机构承接国际前沿医学研究的承载能力。通过整合这些数据，能够系统评估医疗机构在国际医疗领域的综合实力，为优化科研布局、深化国际合作、推动医学科研与临床实践协同发展提供数据支撑。</w:t>
            </w:r>
          </w:p>
          <w:p w14:paraId="5EF8087E">
            <w:pPr>
              <w:pStyle w:val="12"/>
              <w:numPr>
                <w:ilvl w:val="7"/>
                <w:numId w:val="0"/>
              </w:numPr>
              <w:rPr>
                <w:rFonts w:hint="eastAsia" w:ascii="仿宋" w:hAnsi="仿宋" w:eastAsia="仿宋" w:cs="仿宋"/>
                <w:sz w:val="21"/>
              </w:rPr>
            </w:pPr>
            <w:r>
              <w:rPr>
                <w:rFonts w:hint="eastAsia" w:ascii="仿宋" w:hAnsi="仿宋" w:eastAsia="仿宋" w:cs="仿宋"/>
                <w:sz w:val="21"/>
              </w:rPr>
              <w:t>4.2.3.6.2.1.1.16健康管理与体检情况主题</w:t>
            </w:r>
          </w:p>
          <w:p w14:paraId="2678FC2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健康管理与体检情况主题依托数据监测体系，全面评估健康服务水平。是否设置健康管理中心/体检中心是服务开展的基础，影响服务的可及性与专业性；卫生技术人员数及执业（助理）医师数、注册护士数，决定服务团队的专业水准；房屋建筑面积则体现硬件承载能力。体检人次数反映服务覆盖范围，分析不同人群占比可挖掘潜在需求；健康体检收入体现服务经济价值与市场认可度。</w:t>
            </w:r>
          </w:p>
          <w:p w14:paraId="3F69AAA5">
            <w:pPr>
              <w:pStyle w:val="12"/>
              <w:numPr>
                <w:ilvl w:val="7"/>
                <w:numId w:val="0"/>
              </w:numPr>
              <w:rPr>
                <w:rFonts w:hint="eastAsia" w:ascii="仿宋" w:hAnsi="仿宋" w:eastAsia="仿宋" w:cs="仿宋"/>
                <w:sz w:val="21"/>
              </w:rPr>
            </w:pPr>
            <w:r>
              <w:rPr>
                <w:rFonts w:hint="eastAsia" w:ascii="仿宋" w:hAnsi="仿宋" w:eastAsia="仿宋" w:cs="仿宋"/>
                <w:sz w:val="21"/>
              </w:rPr>
              <w:t>4.2.3.6.2.1.1.17科技活动情况主题</w:t>
            </w:r>
          </w:p>
          <w:p w14:paraId="79C3F5B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科技活动情况主题聚焦医疗机构医学科研与技术创新，通过构建系统化数据管理体系，全面监测科研全链条要素以评估创新能力。在岗职工中专职科研人员数及其细分的专职科研管理人员、转移转化技术经理人、博士后（含科研与临床博士后）、科研助理等结构数据，反映科研团队的专业化分工与梯队建设水平，是开展科研工作的核心人力基础。科研经费数据通过当年科研项目立项经费总金额、外来科研经费到账金额及研究合作转出金额，展现资金配置的多元化与转化导向。是否有省级行政主管部门认定的研究型病房及研究型床位数作为临床研究基础设施指标，其标准化管理水平是开展国际多中心试验、吸引跨国合作的关键支撑。通过数据驱动优化科研政策、配置资源、加强团队建设、促进成果转化，推动医学科研与临床实践深度协同，提升机构在国际医疗领域的核心竞争力。</w:t>
            </w:r>
          </w:p>
          <w:p w14:paraId="3881A5DA">
            <w:pPr>
              <w:pStyle w:val="12"/>
              <w:numPr>
                <w:ilvl w:val="7"/>
                <w:numId w:val="0"/>
              </w:numPr>
              <w:rPr>
                <w:rFonts w:hint="eastAsia" w:ascii="仿宋" w:hAnsi="仿宋" w:eastAsia="仿宋" w:cs="仿宋"/>
                <w:sz w:val="21"/>
              </w:rPr>
            </w:pPr>
            <w:r>
              <w:rPr>
                <w:rFonts w:hint="eastAsia" w:ascii="仿宋" w:hAnsi="仿宋" w:eastAsia="仿宋" w:cs="仿宋"/>
                <w:sz w:val="21"/>
              </w:rPr>
              <w:t>4.2.3.6.2.1.1.18村卫生室基本情况主题</w:t>
            </w:r>
          </w:p>
          <w:p w14:paraId="5B9F17F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村卫生室基本情况主题聚焦农村基层医疗卫生服务建设，构建完善的数据监测体系。在机构建设方面，统计村卫生室数量，细分村办、乡卫生院设点且无自聘人员、联合办等不同举办主体，了解村卫生室的布局。房屋面积数据记录业务用房面积、生活用房面积，评估空间使用合理性。设备配置数据详细记录基本诊疗设备、康复设备、急救设备的配备情况，确保满足基本医疗服务需求。</w:t>
            </w:r>
          </w:p>
          <w:p w14:paraId="1CDB1CC2">
            <w:pPr>
              <w:pStyle w:val="12"/>
              <w:numPr>
                <w:ilvl w:val="7"/>
                <w:numId w:val="0"/>
              </w:numPr>
              <w:rPr>
                <w:rFonts w:hint="eastAsia" w:ascii="仿宋" w:hAnsi="仿宋" w:eastAsia="仿宋" w:cs="仿宋"/>
                <w:sz w:val="21"/>
              </w:rPr>
            </w:pPr>
            <w:r>
              <w:rPr>
                <w:rFonts w:hint="eastAsia" w:ascii="仿宋" w:hAnsi="仿宋" w:eastAsia="仿宋" w:cs="仿宋"/>
                <w:sz w:val="21"/>
              </w:rPr>
              <w:t>4.2.3.6.2.1.1.19村卫生室人力情况主题</w:t>
            </w:r>
          </w:p>
          <w:p w14:paraId="2C7E823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围绕村医队伍建设，深度剖析人力资源结构与素质。在人员数量统计上，区分执业（助理）医师、乡村医生、护士等不同岗位人员数量，明确人才配置比例。学历结构数据细化至中专、大专、本科及以上学历占比，反映队伍知识层次；职称结构涵盖无职称、初级职称、中级职称及以上人员分布，衡量专业技术水平。同时，采集村医的执业年限、年龄分布，分析队伍稳定性与年龄断层风险，为制定针对性的基层卫生人才培养与引进政策提供详实数据。</w:t>
            </w:r>
          </w:p>
          <w:p w14:paraId="79D86FF1">
            <w:pPr>
              <w:pStyle w:val="12"/>
              <w:numPr>
                <w:ilvl w:val="7"/>
                <w:numId w:val="0"/>
              </w:numPr>
              <w:rPr>
                <w:rFonts w:hint="eastAsia" w:ascii="仿宋" w:hAnsi="仿宋" w:eastAsia="仿宋" w:cs="仿宋"/>
                <w:sz w:val="21"/>
              </w:rPr>
            </w:pPr>
            <w:r>
              <w:rPr>
                <w:rFonts w:hint="eastAsia" w:ascii="仿宋" w:hAnsi="仿宋" w:eastAsia="仿宋" w:cs="仿宋"/>
                <w:sz w:val="21"/>
              </w:rPr>
              <w:t>4.2.3.6.2.1.1.20卫生人力情况主题</w:t>
            </w:r>
          </w:p>
          <w:p w14:paraId="1017BCA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从宏观层面构建卫生人力资源全景数据库，实现精细化管理。除统计卫生人员总量外，进一步按专业类别划分，包括临床医师、公共卫生医师、护理人员、药学人员、医技人员等，明确各专业人才占比。深入分析职称结构，不仅统计各级职称人数，还计算不同职称在不同机构（医院、基层医疗卫生机构、专业公共卫生机构）的分布差异，揭示人才资源配置不均衡问题。在学历结构上，对比博士、硕士、本科、专科及以下学历人员比例，评估队伍整体知识储备。此外，监测人员流动情况，记录年度流入、流出人数及流向，分析流动原因，为优化人才政策、加强队伍建设、促进人才合理流动提供科学依据。</w:t>
            </w:r>
          </w:p>
          <w:p w14:paraId="3F9C6B9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4.2.3.6.2.1.2卫统月报主题</w:t>
            </w:r>
          </w:p>
          <w:p w14:paraId="1AC40A2D">
            <w:pPr>
              <w:pStyle w:val="12"/>
              <w:numPr>
                <w:ilvl w:val="7"/>
                <w:numId w:val="0"/>
              </w:numPr>
              <w:rPr>
                <w:rFonts w:hint="eastAsia" w:ascii="仿宋" w:hAnsi="仿宋" w:eastAsia="仿宋" w:cs="仿宋"/>
                <w:sz w:val="21"/>
              </w:rPr>
            </w:pPr>
            <w:r>
              <w:rPr>
                <w:rFonts w:hint="eastAsia" w:ascii="仿宋" w:hAnsi="仿宋" w:eastAsia="仿宋" w:cs="仿宋"/>
                <w:sz w:val="21"/>
              </w:rPr>
              <w:t>4.2.3.6.2.1.2.1人员及床位数</w:t>
            </w:r>
          </w:p>
          <w:p w14:paraId="6F568CC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员数据以月度为周期，动态监测在职人员总数增减变动情况，分析人员流动对业务开展的即时影响。床位指标方面，实时更新编制床位、实有床位、实际开放床位数的月度变化，计算床位使用率、周转次数的环比增长率，直观反映床位资源的月度运营趋势。同时，对比不同月份间的人员与床位匹配度，评估人力资源配置是否合理，为短期人员调配与床位调整提供决策支持。</w:t>
            </w:r>
          </w:p>
          <w:p w14:paraId="0F6D40DE">
            <w:pPr>
              <w:pStyle w:val="12"/>
              <w:numPr>
                <w:ilvl w:val="7"/>
                <w:numId w:val="0"/>
              </w:numPr>
              <w:rPr>
                <w:rFonts w:hint="eastAsia" w:ascii="仿宋" w:hAnsi="仿宋" w:eastAsia="仿宋" w:cs="仿宋"/>
                <w:sz w:val="21"/>
              </w:rPr>
            </w:pPr>
            <w:r>
              <w:rPr>
                <w:rFonts w:hint="eastAsia" w:ascii="仿宋" w:hAnsi="仿宋" w:eastAsia="仿宋" w:cs="仿宋"/>
                <w:sz w:val="21"/>
              </w:rPr>
              <w:t>4.2.3.6.2.1.2.2收入与费用</w:t>
            </w:r>
          </w:p>
          <w:p w14:paraId="604FDBD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收入板块按月度细分医疗收入、财政补助收入、其他收入的构成与金额，关注医疗收入中不同服务项目的收入占比变化，分析医疗服务价格改革对收入结构的短期影响。费用支出方面，统计各类成本的月度发生额，计算成本收入比、百元医疗收入成本等核心指标。通过与上月数据对比，找出费用增长或下降的主要驱动因素，为医疗机构月度成本管控与预算调整提供精准数据支撑。</w:t>
            </w:r>
          </w:p>
          <w:p w14:paraId="1B134E03">
            <w:pPr>
              <w:pStyle w:val="12"/>
              <w:numPr>
                <w:ilvl w:val="7"/>
                <w:numId w:val="0"/>
              </w:numPr>
              <w:rPr>
                <w:rFonts w:hint="eastAsia" w:ascii="仿宋" w:hAnsi="仿宋" w:eastAsia="仿宋" w:cs="仿宋"/>
                <w:sz w:val="21"/>
              </w:rPr>
            </w:pPr>
            <w:r>
              <w:rPr>
                <w:rFonts w:hint="eastAsia" w:ascii="仿宋" w:hAnsi="仿宋" w:eastAsia="仿宋" w:cs="仿宋"/>
                <w:sz w:val="21"/>
              </w:rPr>
              <w:t>4.2.3.6.2.1.2.3医疗卫生服务量</w:t>
            </w:r>
          </w:p>
          <w:p w14:paraId="4F72F31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卫生服务量月报通过多维度数据，全景式展现医疗机构月度服务运行态势。总诊疗人次数及其细分的门诊、急诊、中医诊疗等数据，直观体现机构服务规模与需求结构，助力优质医疗资源下沉。出院人次数衡量住院救治能力，总死亡人数及分场景数据则从反向视角评估急危重症救治水平与医疗质量安全。健康检查人次数体现疾病预防与健康管理工作成效。这些数据综合反映医疗机构服务供给能力、服务模式创新成果与质量安全水平，为科学调配资源、优化服务流程、完善应急机制提供重要依据，推动医疗服务向更高效、更便民方向发展。</w:t>
            </w:r>
          </w:p>
          <w:p w14:paraId="4CD5CA5C">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4.2.3.6.2.1.3医改进度监测主题</w:t>
            </w:r>
          </w:p>
          <w:p w14:paraId="385C90C4">
            <w:pPr>
              <w:pStyle w:val="12"/>
              <w:numPr>
                <w:ilvl w:val="7"/>
                <w:numId w:val="0"/>
              </w:numPr>
              <w:rPr>
                <w:rFonts w:hint="eastAsia" w:ascii="仿宋" w:hAnsi="仿宋" w:eastAsia="仿宋" w:cs="仿宋"/>
                <w:sz w:val="21"/>
              </w:rPr>
            </w:pPr>
            <w:r>
              <w:rPr>
                <w:rFonts w:hint="eastAsia" w:ascii="仿宋" w:hAnsi="仿宋" w:eastAsia="仿宋" w:cs="仿宋"/>
                <w:sz w:val="21"/>
              </w:rPr>
              <w:t>4.2.3.6.2.1.3.1地市医改监测主题</w:t>
            </w:r>
          </w:p>
          <w:p w14:paraId="0ED88254">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4.2.3.6.2.1.3.1.1</w:t>
            </w:r>
            <w:r>
              <w:rPr>
                <w:rFonts w:hint="eastAsia" w:ascii="仿宋" w:hAnsi="仿宋" w:eastAsia="仿宋" w:cs="仿宋"/>
                <w:szCs w:val="21"/>
              </w:rPr>
              <w:t>主要指标</w:t>
            </w:r>
          </w:p>
          <w:p w14:paraId="3796CA8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市医改监测主题的主要指标，从管理架构、考核机制和资金投入等核心层面，全面勾勒出区域医药卫生体制改革的推进格局与保障力度。一位政府负责同志统一分管“三医”的地市及县（市、区）数量，体现“三医联动”机制的落地实效，有助于打破部门藩篱，提升改革协同效能。将医改纳入政府目标管理绩效考核的地区数量，则通过刚性考核手段压实改革责任，确保政策执行不走样、见真章。财政卫生健康支出年增长率和其在一般公共预算支出中的占比，直观反映政府对卫生健康事业的重视程度与资源倾斜力度，保障医疗服务体系建设、公共卫生服务优化等重点工作稳步推进。这些指标相互关联、互为支撑，共同构成评估医改成效的关键依据，为持续优化改革策略、强化资源保障、提升群众健康福祉提供重要参考。</w:t>
            </w:r>
          </w:p>
          <w:p w14:paraId="0BDBCB37">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4.2.3.6.2.1.3.1.2</w:t>
            </w:r>
            <w:r>
              <w:rPr>
                <w:rFonts w:hint="eastAsia" w:ascii="仿宋" w:hAnsi="仿宋" w:eastAsia="仿宋" w:cs="仿宋"/>
                <w:szCs w:val="21"/>
              </w:rPr>
              <w:t>完善医疗卫生服务体系</w:t>
            </w:r>
          </w:p>
          <w:p w14:paraId="3F6C7B9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年度政府落实乡村医疗卫生人员的补助金额与受助人数，是衡量地市完善医疗卫生服务体系成效的关键指标。补助人数直观展现政策覆盖范围，其增长态势体现基层医疗人才保障体系的不断扩容，为提升乡村医疗服务可及性奠定人力基础；平均补助金额则彰显政策扶持力度，合理的资金投入能切实改善乡村医务人员待遇，增强职业吸引力与稳定性，激发其服务热情与专业效能。二者协同反映地方政府在乡村医疗人才队伍建设上的投入规模与精准度，为评估基层医疗服务体系完善程度、优化补助政策、推动城乡医疗资源均衡配置提供重要参考，助力夯实乡村医疗卫生服务根基。。</w:t>
            </w:r>
          </w:p>
          <w:p w14:paraId="207A23F7">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4.2.3.6.2.1.3.1.3</w:t>
            </w:r>
            <w:r>
              <w:rPr>
                <w:rFonts w:hint="eastAsia" w:ascii="仿宋" w:hAnsi="仿宋" w:eastAsia="仿宋" w:cs="仿宋"/>
                <w:szCs w:val="21"/>
              </w:rPr>
              <w:t>促进完善多层次医疗保障体系</w:t>
            </w:r>
          </w:p>
          <w:p w14:paraId="2D7A3D4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地市医改监测中促进完善多层次医疗保障体系的相关指标，全面呈现了区域医疗保障的覆盖广度、保障力度与运行效能。城乡医保住院补偿数据直观体现基础保障对群众就医的兜底作用，参保者门诊与住院费用及基金支付情况，深入反映不同群体在不同就医场景下的保障水平，展现基金使用效能与政策减负成效。城乡居民大病保险赔付数据，凸显多层次保障体系协同降低大病风险的作用。而按病种付费的实施规模与占比，则体现医保支付方式改革对规范医疗行为、控制成本的推动效果。这些指标相互关联，系统勾勒出区域医疗保障体系运行全貌，为优化基金分配、深化支付改革、完善多层次保障体系提供重要依据，切实增强群众医疗保障的获得感与安全感。。</w:t>
            </w:r>
          </w:p>
          <w:p w14:paraId="298E5DA9">
            <w:pPr>
              <w:pStyle w:val="12"/>
              <w:numPr>
                <w:ilvl w:val="7"/>
                <w:numId w:val="0"/>
              </w:numPr>
              <w:rPr>
                <w:rFonts w:hint="eastAsia" w:ascii="仿宋" w:hAnsi="仿宋" w:eastAsia="仿宋" w:cs="仿宋"/>
                <w:sz w:val="21"/>
              </w:rPr>
            </w:pPr>
            <w:r>
              <w:rPr>
                <w:rFonts w:hint="eastAsia" w:ascii="仿宋" w:hAnsi="仿宋" w:eastAsia="仿宋" w:cs="仿宋"/>
                <w:sz w:val="21"/>
              </w:rPr>
              <w:t>4.2.3.6.2.1.3.2省级医改监测主题</w:t>
            </w:r>
          </w:p>
          <w:p w14:paraId="1A2E7B5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省级医改监测主题通过多维度指标，全面展现省级医药卫生体制改革的推进进程与综合成效。省级医改文件出台及重要工作进展，体现政策顶层设计与实践探索的动态推进“三医”统一分管和纳入绩效考核的省份数量，反映管理机制的协同性与责任落实力度，有助于破除部门壁垒、强化政策执行。财政卫生健康支出的增长率与预算占比，揭示省级政府对卫生健康事业的资源投入规模与倾斜程度，为医改提供坚实资金保障。省级区域医疗中心数量则直观呈现优质医疗资源布局情况，关乎区域医疗服务能力提升与均衡发展。这些指标相互关联，共同构建起省级医改成效评估体系，为优化政策、深化改革、提升医疗服务质量提供重要决策依据。</w:t>
            </w:r>
          </w:p>
          <w:p w14:paraId="22E8C20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4.2.3.6.2.2数据质量主题域</w:t>
            </w:r>
          </w:p>
          <w:p w14:paraId="792E8326">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4.2.3.6.2.2.1年报主题</w:t>
            </w:r>
          </w:p>
          <w:p w14:paraId="66F0EC6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报主题聚焦年度卫生统计数据的全面性与可靠性。在质量检查中，重点核查数据是否完整覆盖机构运营、资源配置、服务量等核心业务领域，如医疗机构基本信息、诊疗收支、床位使用等基础数据的填报完整性。通过逻辑校验确保数据间勾稽关系合理，例如收入与支出的平衡性、服务量与人员配置的匹配度，避免出现明显逻辑矛盾。</w:t>
            </w:r>
          </w:p>
          <w:p w14:paraId="0903A5D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控结果分析侧重于识别年报数据的结构性问题，如部分地区因基层机构对指标理解偏差导致填报内容缺漏，或因记错统计单位导致数值异常。通过分析问题分布特征，追溯至填报流程漏洞或培训环节缺失，进而优化年报填报指南，加强对复杂指标的解释说明，提升基层人员对统计规则的掌握程度，保障年报数据能够全面、准确反映年度卫生健康事业发展状况。</w:t>
            </w:r>
          </w:p>
          <w:p w14:paraId="4F2A875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年报主题数据质量分析指标如下：</w:t>
            </w:r>
          </w:p>
          <w:p w14:paraId="6EBBAE5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1.完整性指标</w:t>
            </w:r>
          </w:p>
          <w:p w14:paraId="3DCE93F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报表覆盖率：应报机构数中实际报送报表的机构比例；</w:t>
            </w:r>
          </w:p>
          <w:p w14:paraId="30E834F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字段完整率：单张报表中必填字段（如机构编码、诊疗人次、收入总额）的完整填写比例；</w:t>
            </w:r>
          </w:p>
          <w:p w14:paraId="762A640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指标覆盖度：报表中反映核心业务（如床位、设备、公共卫生服务）的指标项填报齐全性。</w:t>
            </w:r>
          </w:p>
          <w:p w14:paraId="168D27B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2.准确性指标</w:t>
            </w:r>
          </w:p>
          <w:p w14:paraId="07F78F7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逻辑一致性：跨字段逻辑校验通过率（如“住院收入=药品收入+检查收入+其他收入”的匹配度）；</w:t>
            </w:r>
          </w:p>
          <w:p w14:paraId="2A316D6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数据合理性：关键指标数值是否符合行业常识（如“床位使用率”是否在合理区间、“人均医疗费用”是否与地区经济水平匹配）。</w:t>
            </w:r>
          </w:p>
          <w:p w14:paraId="1465888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3.一致性指标</w:t>
            </w:r>
          </w:p>
          <w:p w14:paraId="229F059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跨表一致性：同一指标在不同报表中的数值差异率（如年报与月报中“实有床位数”的差异）；</w:t>
            </w:r>
          </w:p>
          <w:p w14:paraId="3726549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历史一致性：相邻年度同一指标的波动幅度（如“诊疗人次”同比增长率是否在合理范围）。</w:t>
            </w:r>
          </w:p>
          <w:p w14:paraId="196B99F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4.规范性指标</w:t>
            </w:r>
          </w:p>
          <w:p w14:paraId="7C2CECB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格式合规率：数据格式（如日期、数值单位、文本长度）符合省级标准的比例；</w:t>
            </w:r>
          </w:p>
          <w:p w14:paraId="5DFE482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填报及时性：按时完成报表报送的机构比例，逾期报送率。</w:t>
            </w:r>
          </w:p>
          <w:p w14:paraId="5F4635B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4.2.3.6.2.2.2卫生人力主题</w:t>
            </w:r>
          </w:p>
          <w:p w14:paraId="0D1A815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人力主题数据质量管控以卫生人力资源信息的真实性与准确性为核心。检查重点包括人员基本信息（如姓名、岗位、职称）的完整性，资质信息（如医师执业证书编号、护士注册状态）的有效性，以及人员流动、培训记录的及时性。通过与行业权威注册系统对接，核验人员资质的真实性，避免虚假信息录入；通过逻辑规则校验人员年龄与职称、学历与工作年限的合理性，识别异常数据。</w:t>
            </w:r>
          </w:p>
          <w:p w14:paraId="46E8533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控结果分析聚焦于人力资源数据的质量短板，例如部分基层机构因人员变动频繁导致信息更新滞后，或因多系统数据维护不一致造成人员信息冲突。分析问题根源可追溯至基层数据管理责任不明确、信息化系统互通性不足等，进而推动建立卫生人员信息动态维护机制，加强跨部门数据协同，优化人力资源数据采集流程，确保人力数据能够真实反映卫生人才队伍结构、分布及发展趋势，为人才规划与政策制定提供可靠依据。</w:t>
            </w:r>
          </w:p>
          <w:p w14:paraId="02F77AC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人力主题数据质量分析指标如下：</w:t>
            </w:r>
          </w:p>
          <w:p w14:paraId="50AA6BC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1.完整性指标</w:t>
            </w:r>
          </w:p>
          <w:p w14:paraId="370ADBD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卫生人员信息完整率：卫生人员档案中必填项（姓名、岗位类别、执业地点）的完整填写比例；</w:t>
            </w:r>
          </w:p>
          <w:p w14:paraId="4D2135C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资质信息覆盖率：需持证上岗人员（如医师、护士）的资质证书编号填报比例；</w:t>
            </w:r>
          </w:p>
          <w:p w14:paraId="09B1981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流动记录完整性：卫生人员入职、离职、职称变动等关键节点记录的齐全性。</w:t>
            </w:r>
          </w:p>
          <w:p w14:paraId="7F92548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2.准确性指标</w:t>
            </w:r>
          </w:p>
          <w:p w14:paraId="4101D77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逻辑合理性：年龄与工龄、职称与工作年限的匹配度（如“25岁以下副高职称”异常值比例）。</w:t>
            </w:r>
          </w:p>
          <w:p w14:paraId="2A57662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3.一致性指标</w:t>
            </w:r>
          </w:p>
          <w:p w14:paraId="62EAFD9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上下级一致性：基层机构填报的人员数据与年报、月报统计卫生人员数据一致性。</w:t>
            </w:r>
          </w:p>
          <w:p w14:paraId="0CF1228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4.规范性指标</w:t>
            </w:r>
          </w:p>
          <w:p w14:paraId="5D5574F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编码标准化率：人员岗位编码、职称编码等采用省级统一标准的比例；</w:t>
            </w:r>
          </w:p>
          <w:p w14:paraId="39EFC2F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数据更新及时率：人员信息变更后，在规定时间内完成系统更新的比例；</w:t>
            </w:r>
          </w:p>
          <w:p w14:paraId="7CB6B6B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填报规范性：文本类字段（如人员简介）是否符合字数限制、语言规范。</w:t>
            </w:r>
          </w:p>
          <w:p w14:paraId="69A838F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4.2.3.6.2.2.3病案首页主题</w:t>
            </w:r>
          </w:p>
          <w:p w14:paraId="3A56EF5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案首页主题数据质量管控围绕医疗记录的规范性与临床数据的可用性展开。检查重点包括诊断与手术操作编码的准确性、主要诊断选择的合理性、病历项目填写的完整性。通过智能编码校验工具，识别编码错误或遗漏，避免因编码不准确影响医疗质量评价与医保支付；通过病历内容逻辑核查，确保病情描述、检查结果与治疗方案的一致性，提升临床数据的可信度。</w:t>
            </w:r>
          </w:p>
          <w:p w14:paraId="390CA70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控结果分析着重揭示病案数据的专业性问题，如编码人员对疾病分类标准掌握不熟练导致编码偏移，或因病历书写不规范造成关键信息缺失。通过分析问题类型与分布，针对性开展编码员专业培训，完善病历书写规范与质控流程，推动医疗机构加强病案质量管理，提升病案首页数据在医疗质量监控、临床路径管理及医学科研中的应用价值，为精细化医疗管理提供高质量数据支撑。</w:t>
            </w:r>
          </w:p>
          <w:p w14:paraId="2541BAC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病案首页主题数据质量分析指标如下：</w:t>
            </w:r>
          </w:p>
          <w:p w14:paraId="7B03788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1.完整性指标</w:t>
            </w:r>
          </w:p>
          <w:p w14:paraId="4FE04C6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项目填写完整率：病案首页中必填项目（如患者基本信息、诊断编码、手术操作记录）的填写比例；</w:t>
            </w:r>
          </w:p>
          <w:p w14:paraId="1BAC935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诊断/手术覆盖率：住院患者病案中主要诊断、并发症诊断及对应手术操作记录的齐全性；</w:t>
            </w:r>
          </w:p>
          <w:p w14:paraId="4C951BF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辅助检查记录完整性：重要检查结果（如影像、检验）在病案中的记录比例。</w:t>
            </w:r>
          </w:p>
          <w:p w14:paraId="48977FA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2.准确性指标</w:t>
            </w:r>
          </w:p>
          <w:p w14:paraId="53C68F3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编码准确率：疾病诊断编码（如ICD-10）、手术操作编码（如ICD-9-CM-3）的正确匹配率；</w:t>
            </w:r>
          </w:p>
          <w:p w14:paraId="5EF14B0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数据逻辑准确性：诊断与治疗措施、用药记录的逻辑吻合度（如抗生素使用与感染诊断的关联性）。</w:t>
            </w:r>
          </w:p>
          <w:p w14:paraId="62FF241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3.一致性指标</w:t>
            </w:r>
          </w:p>
          <w:p w14:paraId="103FBD8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病历-报表一致性：病案首页数据与医院上报统计报表（如医疗服务量）的差异率；</w:t>
            </w:r>
          </w:p>
          <w:p w14:paraId="0A4DB3F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时间一致性：入院/出院时间、手术时间等关键时间节点的逻辑合理性（如出院时间早于入院时间的异常比例）；</w:t>
            </w:r>
          </w:p>
          <w:p w14:paraId="2E807C4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跨科室一致性：同一患者在不同科室（如急诊、住院）的病案记录中关键信息（如过敏史、基础疾病）的吻合度。</w:t>
            </w:r>
          </w:p>
          <w:p w14:paraId="7A217E0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4.规范性指标</w:t>
            </w:r>
          </w:p>
          <w:p w14:paraId="097421D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编码标准化率：使用国家统一疾病分类与手术操作编码的比例，避免自定义编码；</w:t>
            </w:r>
          </w:p>
          <w:p w14:paraId="46AFBF2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术语规范性：诊断名称、手术名称等是否采用规范医学术语，杜绝模糊描述；</w:t>
            </w:r>
          </w:p>
          <w:p w14:paraId="4EC021D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书写规范率：病案首页各项目填写符合《病历书写基本规范》的比例（如签名完整性、修改痕迹合规性）。</w:t>
            </w:r>
          </w:p>
          <w:p w14:paraId="113BAA1F">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4.2.3.6.3分析报表设计</w:t>
            </w:r>
          </w:p>
          <w:p w14:paraId="294615E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分析报表中系统提供了多种形式的分析方式，如：固定报表分析、多维分析、敏捷看板分析、GIS地图分析、酷屏、移动分析等。</w:t>
            </w:r>
          </w:p>
          <w:p w14:paraId="3F5806B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4.2.3.6.3.1固定报表</w:t>
            </w:r>
          </w:p>
          <w:p w14:paraId="5DF6D8A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固定报表功能提供图形化设计界面，操作简单易用，表现形式丰富多样，充分满足预设的分析报表业务需求，更提供图形和丰富文本等数据表现形式，充分满足各种个性化需求。通过系统提供的可视化设计工具，定义各种分析报表、查询模板、统计图模板等，在需要的时候再刷新分析结果。</w:t>
            </w:r>
          </w:p>
          <w:p w14:paraId="54F6960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1）固定报表的特点就是功能强大（制作简单、主题样式多样、分析全面、分析对象灵活、数据源丰富）、报表表样灵活实现更复杂的分析；</w:t>
            </w:r>
          </w:p>
          <w:p w14:paraId="36B98D8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2）用户在进行在线数据分析时，对于一些有个性化展现要求的和某些结构复杂的报表，可以通过报表模板定义实现。通过在线报表模板定义，用户可以设计出满足特定分析需要的报表样式，并得出分析结果；</w:t>
            </w:r>
          </w:p>
          <w:p w14:paraId="6154163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3）使用固定报表，能实现复杂多样的分析报表，如下图是按各地区卫生机构、人员数、床位数统计的情况表。</w:t>
            </w:r>
          </w:p>
          <w:p w14:paraId="15E0A9E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4.2.3.6.3.2浮动维分析表</w:t>
            </w:r>
          </w:p>
          <w:p w14:paraId="231C584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当表格中每一行在维表中能一一对应上时，可以使用浮动分析表去实现。按照一个或多个维度浮动的报表，数据行不固定，由数据库实时数据决定。比例：历年卫生人员总数分析表。</w:t>
            </w:r>
          </w:p>
          <w:p w14:paraId="5D47B8B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4.2.3.6.3.3固定维分析表</w:t>
            </w:r>
          </w:p>
          <w:p w14:paraId="3B403C5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固定分析表的行列数是确定的，设计界面有几行几列，计算后就有几行几列。</w:t>
            </w:r>
          </w:p>
          <w:p w14:paraId="6F607C0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4.2.3.6.3.4统计图设计</w:t>
            </w:r>
          </w:p>
          <w:p w14:paraId="1B30638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统计图可以从数据中提取信息，为预测和决策作依据；可以把信息提供给相关人员。</w:t>
            </w:r>
          </w:p>
          <w:p w14:paraId="54C30490">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4.2.3.6.3.4.1提供丰富的统计图类型</w:t>
            </w:r>
          </w:p>
          <w:p w14:paraId="09562C9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柱状图、线状图、K线图、箱状图、条形图、面积图、饼图、点图、仪表盘、雷达图、散点图、气泡图、数学公式图、预测曲线图，正态分布图，走势图……。</w:t>
            </w:r>
          </w:p>
          <w:p w14:paraId="0DDDA88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4.2.3.6.3.4.2支持多种图形风格</w:t>
            </w:r>
          </w:p>
          <w:p w14:paraId="1CE8C59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2D、3D、Excel、Web、Html5风格。</w:t>
            </w:r>
          </w:p>
          <w:p w14:paraId="341D0CF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4.2.3.6.3.4.3支持统计图热点钻取</w:t>
            </w:r>
          </w:p>
          <w:p w14:paraId="42DFC35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支持数据点、系列、图例等热点钻取，且定义简单快捷。</w:t>
            </w:r>
          </w:p>
          <w:p w14:paraId="2E3B48E2">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4.2.3.6.3.5钻取设计</w:t>
            </w:r>
          </w:p>
          <w:p w14:paraId="1B4189A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钻取通过改变分析表中维的层次，变换分析的粒度，实现对某些指标的求精展示。比如一张陕西省卫生人员表，点击行政区划能查看该省各地市的卫生人员总数情况。</w:t>
            </w:r>
          </w:p>
          <w:p w14:paraId="3BD983A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系统支持跳转式、折叠式、逐级式、嵌入式、热区式、外链式、菜单式等十多种钻取类型。</w:t>
            </w:r>
          </w:p>
          <w:p w14:paraId="681F1DE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4.2.3.6.3.5.1折叠式+逐级式+跳转式</w:t>
            </w:r>
          </w:p>
          <w:p w14:paraId="566FD8F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折叠式钻取：点击表元前+号，按维表级次一级一级展开，支持展开到最末级的时候跳转到其他分析表。</w:t>
            </w:r>
          </w:p>
          <w:p w14:paraId="2368DB1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逐级式钻取：点击表元按照维表级次一级一级下钻，钻取页面会替换当前页面。</w:t>
            </w:r>
          </w:p>
          <w:p w14:paraId="1C8A8ED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跳转式钻取：在一张分析表中点击某一个元素跳转到另外一张分析表。</w:t>
            </w:r>
          </w:p>
          <w:p w14:paraId="6A907B9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4.2.3.6.3.5.2热区式</w:t>
            </w:r>
          </w:p>
          <w:p w14:paraId="2A209D4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联动刷新报表某个或某几个区域。</w:t>
            </w:r>
          </w:p>
          <w:p w14:paraId="05B8F98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4.2.3.6.3.5.3菜单式+外链式</w:t>
            </w:r>
          </w:p>
          <w:p w14:paraId="64F6A9D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菜单式钻取：点击弹出菜单，选择不同菜单项，执行不同钻取。</w:t>
            </w:r>
          </w:p>
          <w:p w14:paraId="086B5A6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外链式钻取：点击打开一个URL链接。</w:t>
            </w:r>
          </w:p>
          <w:p w14:paraId="3F85100D">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4.2.3.6.4分析内容呈现</w:t>
            </w:r>
          </w:p>
          <w:p w14:paraId="0BEDB142">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4.2.3.6.4.1年报数据分析</w:t>
            </w:r>
          </w:p>
          <w:p w14:paraId="2FB33F1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以自然年为单位，对全年卫生资源与医疗服务数据进行全面分析。主要来自全国各级医疗卫生机构年度上报的统计报表，包括机构数、卫生人员、床位、卫生设备、诊疗量、住院服务、费用等核心指标。</w:t>
            </w:r>
          </w:p>
          <w:p w14:paraId="33E45A63">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4.2.3.6.4.1.1统计分析</w:t>
            </w:r>
          </w:p>
          <w:p w14:paraId="2F52A98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基于全国各级医疗卫生机构年度上报的统计报表，整合卫生资源、医疗服务、公共卫生、医疗费用等核心领域数据，形成结构化数据分析体系。</w:t>
            </w:r>
          </w:p>
          <w:p w14:paraId="76AFB817">
            <w:pPr>
              <w:pStyle w:val="12"/>
              <w:numPr>
                <w:ilvl w:val="7"/>
                <w:numId w:val="0"/>
              </w:numPr>
              <w:rPr>
                <w:rFonts w:hint="eastAsia" w:ascii="仿宋" w:hAnsi="仿宋" w:eastAsia="仿宋" w:cs="仿宋"/>
                <w:sz w:val="21"/>
              </w:rPr>
            </w:pPr>
            <w:r>
              <w:rPr>
                <w:rFonts w:hint="eastAsia" w:ascii="仿宋" w:hAnsi="仿宋" w:eastAsia="仿宋" w:cs="仿宋"/>
                <w:sz w:val="21"/>
              </w:rPr>
              <w:t>4.2.3.6.4.1.1.1卫生机构</w:t>
            </w:r>
          </w:p>
          <w:p w14:paraId="6951C58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各级卫生机构年度上报的基础信息，涵盖机构类型、数量、性质、隶属关系等。统计卫生机构的整体规模与分布，分析不同区域、不同类型机构的数量占比及变化趋势；对比公立与民营机构数量差异，评估区域卫生资源均衡性；结合机构增减情况，判断卫生资源配置的政策导向与实际需求匹配度。为卫生行政部门制定区域卫生规划、优化机构布局、推进分级诊疗提供数据支撑。</w:t>
            </w:r>
          </w:p>
          <w:p w14:paraId="7AC6040C">
            <w:pPr>
              <w:pStyle w:val="12"/>
              <w:numPr>
                <w:ilvl w:val="7"/>
                <w:numId w:val="0"/>
              </w:numPr>
              <w:rPr>
                <w:rFonts w:hint="eastAsia" w:ascii="仿宋" w:hAnsi="仿宋" w:eastAsia="仿宋" w:cs="仿宋"/>
                <w:sz w:val="21"/>
              </w:rPr>
            </w:pPr>
            <w:r>
              <w:rPr>
                <w:rFonts w:hint="eastAsia" w:ascii="仿宋" w:hAnsi="仿宋" w:eastAsia="仿宋" w:cs="仿宋"/>
                <w:sz w:val="21"/>
              </w:rPr>
              <w:t>4.2.3.6.4.1.1.2医疗机构</w:t>
            </w:r>
          </w:p>
          <w:p w14:paraId="1C99ACE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各类医疗机构（医院、卫生院、门诊部等）上报的年度运营数据。从机构等级、服务能力、运营效率等维度展开，统计三级、二级、一级医院数量及服务占比；分析医疗机构诊疗人次、住院人次、手术量等服务规模指标；计算床位使用率、平均住院日等效率指标；对比不同类型医疗机构的医疗质量。帮助评估医疗机构功能定位落实情况，为提升医疗服务质量、合理分配医疗资源提供依据。</w:t>
            </w:r>
          </w:p>
          <w:p w14:paraId="3D540127">
            <w:pPr>
              <w:pStyle w:val="12"/>
              <w:numPr>
                <w:ilvl w:val="7"/>
                <w:numId w:val="0"/>
              </w:numPr>
              <w:rPr>
                <w:rFonts w:hint="eastAsia" w:ascii="仿宋" w:hAnsi="仿宋" w:eastAsia="仿宋" w:cs="仿宋"/>
                <w:sz w:val="21"/>
              </w:rPr>
            </w:pPr>
            <w:r>
              <w:rPr>
                <w:rFonts w:hint="eastAsia" w:ascii="仿宋" w:hAnsi="仿宋" w:eastAsia="仿宋" w:cs="仿宋"/>
                <w:sz w:val="21"/>
              </w:rPr>
              <w:t>4.2.3.6.4.1.1.3其他机构</w:t>
            </w:r>
          </w:p>
          <w:p w14:paraId="2C76C1F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除医疗机构外的卫生机构数据，如妇幼保健机构、疾病预防控制中心、卫生监督机构等。统计专业公共卫生机构的数量、人员配置及服务能力；助力完善公共卫生服务体系，提升公共卫生服务能力与应急处置水平。</w:t>
            </w:r>
          </w:p>
          <w:p w14:paraId="00222F21">
            <w:pPr>
              <w:pStyle w:val="12"/>
              <w:numPr>
                <w:ilvl w:val="7"/>
                <w:numId w:val="0"/>
              </w:numPr>
              <w:rPr>
                <w:rFonts w:hint="eastAsia" w:ascii="仿宋" w:hAnsi="仿宋" w:eastAsia="仿宋" w:cs="仿宋"/>
                <w:sz w:val="21"/>
              </w:rPr>
            </w:pPr>
            <w:r>
              <w:rPr>
                <w:rFonts w:hint="eastAsia" w:ascii="仿宋" w:hAnsi="仿宋" w:eastAsia="仿宋" w:cs="仿宋"/>
                <w:sz w:val="21"/>
              </w:rPr>
              <w:t>4.2.3.6.4.1.1.4卫生人力</w:t>
            </w:r>
          </w:p>
          <w:p w14:paraId="05B89D3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机构人员统计报表，包含人员数量、专业类别、职称、学历等信息。计算每千人口卫生技术人员数、执业（助理）医师数、注册护士数等核心指标；分析卫生技术人员的专业结构、职称结构、学历结构；对比不同区域、不同类型机构的人员配置差异；监测人员流动与流失情况。为卫生人才队伍建设、岗位设置、薪酬制度改革提供决策依据。</w:t>
            </w:r>
          </w:p>
          <w:p w14:paraId="5939618A">
            <w:pPr>
              <w:pStyle w:val="12"/>
              <w:numPr>
                <w:ilvl w:val="7"/>
                <w:numId w:val="0"/>
              </w:numPr>
              <w:rPr>
                <w:rFonts w:hint="eastAsia" w:ascii="仿宋" w:hAnsi="仿宋" w:eastAsia="仿宋" w:cs="仿宋"/>
                <w:sz w:val="21"/>
              </w:rPr>
            </w:pPr>
            <w:r>
              <w:rPr>
                <w:rFonts w:hint="eastAsia" w:ascii="仿宋" w:hAnsi="仿宋" w:eastAsia="仿宋" w:cs="仿宋"/>
                <w:sz w:val="21"/>
              </w:rPr>
              <w:t>4.2.3.6.4.1.1.5医用设备</w:t>
            </w:r>
          </w:p>
          <w:p w14:paraId="7770460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上报的医用设备配置信息，包括设备名称、数量、价值、使用情况等。统计大型医用设备的配置数量、区域分布及机构覆盖率；分析设备的使用率、完好率、投资回报率；对比不同地区、不同等级医院的设备配置差异，评估设备资源的合理性与可及性。辅助制定医用设备配置规划，避免资源浪费与重复建设，提高设备使用效率。</w:t>
            </w:r>
          </w:p>
          <w:p w14:paraId="341E4EAD">
            <w:pPr>
              <w:pStyle w:val="12"/>
              <w:numPr>
                <w:ilvl w:val="7"/>
                <w:numId w:val="0"/>
              </w:numPr>
              <w:rPr>
                <w:rFonts w:hint="eastAsia" w:ascii="仿宋" w:hAnsi="仿宋" w:eastAsia="仿宋" w:cs="仿宋"/>
                <w:sz w:val="21"/>
              </w:rPr>
            </w:pPr>
            <w:r>
              <w:rPr>
                <w:rFonts w:hint="eastAsia" w:ascii="仿宋" w:hAnsi="仿宋" w:eastAsia="仿宋" w:cs="仿宋"/>
                <w:sz w:val="21"/>
              </w:rPr>
              <w:t>4.2.3.6.4.1.1.6年报其他指标</w:t>
            </w:r>
          </w:p>
          <w:p w14:paraId="32CED3A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报中除上述核心指标外的其他统计数据，如卫生信息化建设等相关指标，分析相关指标的完成情况与成效；例如，统计基层医疗机构信息化系统覆盖率，评估卫生信息化建设水平；为多维度评估卫生健康事业发展、推动专项工作落地提供数据参考。</w:t>
            </w:r>
          </w:p>
          <w:p w14:paraId="110B691B">
            <w:pPr>
              <w:pStyle w:val="12"/>
              <w:numPr>
                <w:ilvl w:val="7"/>
                <w:numId w:val="0"/>
              </w:numPr>
              <w:rPr>
                <w:rFonts w:hint="eastAsia" w:ascii="仿宋" w:hAnsi="仿宋" w:eastAsia="仿宋" w:cs="仿宋"/>
                <w:sz w:val="21"/>
              </w:rPr>
            </w:pPr>
            <w:r>
              <w:rPr>
                <w:rFonts w:hint="eastAsia" w:ascii="仿宋" w:hAnsi="仿宋" w:eastAsia="仿宋" w:cs="仿宋"/>
                <w:sz w:val="21"/>
              </w:rPr>
              <w:t>4.2.3.6.4.1.1.7医改监测</w:t>
            </w:r>
          </w:p>
          <w:p w14:paraId="656EEC96">
            <w:pPr>
              <w:pStyle w:val="25"/>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改相关监测数据，涉及分级诊疗、医保支付改革、现代医院管理制度等领域。监测分级诊疗推进情况，分析双向转诊量、基层首诊率、医联体建设成效；评估医保支付方式改革的覆盖范围与实施效果；分析公立医院绩效考核指标，评估现代医院管理制度落实情况；跟踪药品耗材集中采购政策的执行效果与费用控制情况。为深化医改提供量化评估依据，助力政策调整与优化。</w:t>
            </w:r>
          </w:p>
          <w:p w14:paraId="737313A1">
            <w:pPr>
              <w:pStyle w:val="12"/>
              <w:numPr>
                <w:ilvl w:val="7"/>
                <w:numId w:val="0"/>
              </w:numPr>
              <w:rPr>
                <w:rFonts w:hint="eastAsia" w:ascii="仿宋" w:hAnsi="仿宋" w:eastAsia="仿宋" w:cs="仿宋"/>
                <w:sz w:val="21"/>
              </w:rPr>
            </w:pPr>
            <w:r>
              <w:rPr>
                <w:rFonts w:hint="eastAsia" w:ascii="仿宋" w:hAnsi="仿宋" w:eastAsia="仿宋" w:cs="仿宋"/>
                <w:sz w:val="21"/>
              </w:rPr>
              <w:t>4.2.3.6.4.1.1.8年报医改数据</w:t>
            </w:r>
          </w:p>
          <w:p w14:paraId="462B776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报中专门针对医改工作统计的数据，与医改监测数据形成补充。从年度视角系统分析医改重点任务完成情况，如财政对公立医院投入变化、医疗服务价格调整效果、医保基金收支平衡情况；对比医改前后关键指标的变化趋势，评估医改政策的长期影响。为总结医改经验、制定后续医改政策提供全面的数据支撑。</w:t>
            </w:r>
          </w:p>
          <w:p w14:paraId="46305509">
            <w:pPr>
              <w:pStyle w:val="12"/>
              <w:numPr>
                <w:ilvl w:val="7"/>
                <w:numId w:val="0"/>
              </w:numPr>
              <w:rPr>
                <w:rFonts w:hint="eastAsia" w:ascii="仿宋" w:hAnsi="仿宋" w:eastAsia="仿宋" w:cs="仿宋"/>
                <w:sz w:val="21"/>
              </w:rPr>
            </w:pPr>
            <w:r>
              <w:rPr>
                <w:rFonts w:hint="eastAsia" w:ascii="仿宋" w:hAnsi="仿宋" w:eastAsia="仿宋" w:cs="仿宋"/>
                <w:sz w:val="21"/>
              </w:rPr>
              <w:t>4.2.3.6.4.1.1.9村卫生室人力</w:t>
            </w:r>
          </w:p>
          <w:p w14:paraId="394CE1F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村卫生室人员统计报表，包括乡村医生数量、学历、职称、执业资格等信息。统计村卫生室乡村医生总数；分析乡村医生的年龄结构、学历结构、专业技能水平；评估村卫生室人员配置对基层医疗服务可及性的影响。为加强乡村医生队伍建设、提升基层医疗服务能力提供决策依据。</w:t>
            </w:r>
          </w:p>
          <w:p w14:paraId="2BA07440">
            <w:pPr>
              <w:pStyle w:val="12"/>
              <w:numPr>
                <w:ilvl w:val="7"/>
                <w:numId w:val="0"/>
              </w:numPr>
              <w:rPr>
                <w:rFonts w:hint="eastAsia" w:ascii="仿宋" w:hAnsi="仿宋" w:eastAsia="仿宋" w:cs="仿宋"/>
                <w:sz w:val="21"/>
              </w:rPr>
            </w:pPr>
            <w:r>
              <w:rPr>
                <w:rFonts w:hint="eastAsia" w:ascii="仿宋" w:hAnsi="仿宋" w:eastAsia="仿宋" w:cs="仿宋"/>
                <w:sz w:val="21"/>
              </w:rPr>
              <w:t>4.2.3.6.4.1.1.10中医药服务</w:t>
            </w:r>
          </w:p>
          <w:p w14:paraId="5C52EE3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医类医疗机构及提供中医药服务的综合医院数据，涵盖机构数量、服务量、人员、设备等信息。统计中医类医院、中医馆、中西医结合医院数量及服务占比；分析中医药诊疗人次、中药使用量、中医特色疗法开展情况；评估中医药专业技术人员数量、结构及服务能力；监测中医药服务费用及医保报销情况。推动中医药传承创新发展，优化中医药资源配置，提升中医药服务能力与影响力。</w:t>
            </w:r>
          </w:p>
          <w:p w14:paraId="07D8F3D1">
            <w:pPr>
              <w:pStyle w:val="12"/>
              <w:numPr>
                <w:ilvl w:val="7"/>
                <w:numId w:val="0"/>
              </w:numPr>
              <w:rPr>
                <w:rFonts w:hint="eastAsia" w:ascii="仿宋" w:hAnsi="仿宋" w:eastAsia="仿宋" w:cs="仿宋"/>
                <w:sz w:val="21"/>
              </w:rPr>
            </w:pPr>
            <w:r>
              <w:rPr>
                <w:rFonts w:hint="eastAsia" w:ascii="仿宋" w:hAnsi="仿宋" w:eastAsia="仿宋" w:cs="仿宋"/>
                <w:sz w:val="21"/>
              </w:rPr>
              <w:t>4.2.3.6.4.1.1.11卫生费用核算表</w:t>
            </w:r>
          </w:p>
          <w:p w14:paraId="20179A8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费用核算相关报表，包括卫生总费用、政府卫生支出、社会卫生支出、个人卫生支出等数据。计算卫生总费用占GDP的比重，评估卫生投入水平；分析卫生费用的来源结构及变化趋势；对比不同地区、不同年份的卫生费用人均支出；监测医疗费用增长速度与控制效果。为制定卫生经济政策、合理分配卫生资源、控制医疗费用过快增长提供依据。</w:t>
            </w:r>
          </w:p>
          <w:p w14:paraId="5C36774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4.2.3.6.4.1.2统计年鉴</w:t>
            </w:r>
          </w:p>
          <w:p w14:paraId="508D538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以年度为单位编纂的权威资料性文献，系统收录本省市卫生健康领域核心统计数据，兼具数据权威性、完整性与历史连续性，是行业研究、政策制定的基础参考工具。</w:t>
            </w:r>
          </w:p>
          <w:p w14:paraId="0E3CD21E">
            <w:pPr>
              <w:pStyle w:val="12"/>
              <w:numPr>
                <w:ilvl w:val="7"/>
                <w:numId w:val="0"/>
              </w:numPr>
              <w:rPr>
                <w:rFonts w:hint="eastAsia" w:ascii="仿宋" w:hAnsi="仿宋" w:eastAsia="仿宋" w:cs="仿宋"/>
                <w:sz w:val="21"/>
              </w:rPr>
            </w:pPr>
            <w:r>
              <w:rPr>
                <w:rFonts w:hint="eastAsia" w:ascii="仿宋" w:hAnsi="仿宋" w:eastAsia="仿宋" w:cs="仿宋"/>
                <w:sz w:val="21"/>
              </w:rPr>
              <w:t>4.2.3.6.4.1.2.1卫生机构</w:t>
            </w:r>
          </w:p>
          <w:p w14:paraId="3A2441F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全国各级卫生机构年度统计报表，涵盖机构类型、数量、性质、隶属关系等基础信息。按区域、层级、性质统计卫生机构数量分布，分析不同类型机构占比变化趋势；对比城乡卫生机构密度差异，评估资源均衡性；为制定区域卫生规划、优化机构布局、推动分级诊疗体系建设提供数据支撑。</w:t>
            </w:r>
          </w:p>
          <w:p w14:paraId="2EF0DED8">
            <w:pPr>
              <w:pStyle w:val="12"/>
              <w:numPr>
                <w:ilvl w:val="7"/>
                <w:numId w:val="0"/>
              </w:numPr>
              <w:rPr>
                <w:rFonts w:hint="eastAsia" w:ascii="仿宋" w:hAnsi="仿宋" w:eastAsia="仿宋" w:cs="仿宋"/>
                <w:sz w:val="21"/>
              </w:rPr>
            </w:pPr>
            <w:r>
              <w:rPr>
                <w:rFonts w:hint="eastAsia" w:ascii="仿宋" w:hAnsi="仿宋" w:eastAsia="仿宋" w:cs="仿宋"/>
                <w:sz w:val="21"/>
              </w:rPr>
              <w:t>4.2.3.6.4.1.2.2卫生人员</w:t>
            </w:r>
          </w:p>
          <w:p w14:paraId="3BD11DD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各级卫生机构人员统计报表，包括人员数量、专业类别、职称、学历、执业资格等信息。计算每千人口卫生技术人员数、执业（助理）医师数、注册护士数等核心指标；分析人员专业结构、职称结构、学历结构及区域差异；辅助制定卫生人才发展规划、优化人员配置、完善薪酬激励机制。</w:t>
            </w:r>
          </w:p>
          <w:p w14:paraId="785CFBD3">
            <w:pPr>
              <w:pStyle w:val="12"/>
              <w:numPr>
                <w:ilvl w:val="7"/>
                <w:numId w:val="0"/>
              </w:numPr>
              <w:rPr>
                <w:rFonts w:hint="eastAsia" w:ascii="仿宋" w:hAnsi="仿宋" w:eastAsia="仿宋" w:cs="仿宋"/>
                <w:sz w:val="21"/>
              </w:rPr>
            </w:pPr>
            <w:r>
              <w:rPr>
                <w:rFonts w:hint="eastAsia" w:ascii="仿宋" w:hAnsi="仿宋" w:eastAsia="仿宋" w:cs="仿宋"/>
                <w:sz w:val="21"/>
              </w:rPr>
              <w:t>4.2.3.6.4.1.2.3卫生设施</w:t>
            </w:r>
          </w:p>
          <w:p w14:paraId="015CD55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设备配置报表、基建统计数据，涉及床位、大型医用设备、基础设施建设等信息。统计床位总数、每千人口床位数及床位结构；分析大型设备配置数量、区域分布及使用效率；评估医疗机构基建投入与设施更新情况，对比不同地区卫生设施资源差距。支撑医疗设备配置规划、基础设施建设决策，提升资源利用效率。</w:t>
            </w:r>
          </w:p>
          <w:p w14:paraId="7A70AD78">
            <w:pPr>
              <w:pStyle w:val="12"/>
              <w:numPr>
                <w:ilvl w:val="7"/>
                <w:numId w:val="0"/>
              </w:numPr>
              <w:rPr>
                <w:rFonts w:hint="eastAsia" w:ascii="仿宋" w:hAnsi="仿宋" w:eastAsia="仿宋" w:cs="仿宋"/>
                <w:sz w:val="21"/>
              </w:rPr>
            </w:pPr>
            <w:r>
              <w:rPr>
                <w:rFonts w:hint="eastAsia" w:ascii="仿宋" w:hAnsi="仿宋" w:eastAsia="仿宋" w:cs="仿宋"/>
                <w:sz w:val="21"/>
              </w:rPr>
              <w:t>4.2.3.6.4.1.2.4卫生经费</w:t>
            </w:r>
          </w:p>
          <w:p w14:paraId="7F45517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费用核算报表，涵盖卫生总费用、政府卫生支出、社会卫生支出、个人卫生支出等数据。计算卫生总费用占GDP比重，衡量卫生投入水平；分析费用来源结构及变化趋势；对比不同地区人均卫生费用支出，监测医疗费用增长与控制情况。为制定卫生经济政策、优化资源分配、控制医疗成本提供依据。</w:t>
            </w:r>
          </w:p>
          <w:p w14:paraId="5D29C742">
            <w:pPr>
              <w:pStyle w:val="12"/>
              <w:numPr>
                <w:ilvl w:val="7"/>
                <w:numId w:val="0"/>
              </w:numPr>
              <w:rPr>
                <w:rFonts w:hint="eastAsia" w:ascii="仿宋" w:hAnsi="仿宋" w:eastAsia="仿宋" w:cs="仿宋"/>
                <w:sz w:val="21"/>
              </w:rPr>
            </w:pPr>
            <w:r>
              <w:rPr>
                <w:rFonts w:hint="eastAsia" w:ascii="仿宋" w:hAnsi="仿宋" w:eastAsia="仿宋" w:cs="仿宋"/>
                <w:sz w:val="21"/>
              </w:rPr>
              <w:t>4.2.3.6.4.1.2.5医疗服务</w:t>
            </w:r>
          </w:p>
          <w:p w14:paraId="70367B1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各级医疗机构年度运营报表，包括诊疗人次、住院人次、手术量、平均住院日、医疗费用等指标。统计不同类型医疗机构的服务规模与占比；分析诊疗效率；对比医疗费用构成及区域差异，评估服务质量与成本效益。助力提升医疗服务质量、优化服务流程、推进医保支付改革。</w:t>
            </w:r>
          </w:p>
          <w:p w14:paraId="570D2A54">
            <w:pPr>
              <w:pStyle w:val="12"/>
              <w:numPr>
                <w:ilvl w:val="7"/>
                <w:numId w:val="0"/>
              </w:numPr>
              <w:rPr>
                <w:rFonts w:hint="eastAsia" w:ascii="仿宋" w:hAnsi="仿宋" w:eastAsia="仿宋" w:cs="仿宋"/>
                <w:sz w:val="21"/>
              </w:rPr>
            </w:pPr>
            <w:r>
              <w:rPr>
                <w:rFonts w:hint="eastAsia" w:ascii="仿宋" w:hAnsi="仿宋" w:eastAsia="仿宋" w:cs="仿宋"/>
                <w:sz w:val="21"/>
              </w:rPr>
              <w:t>4.2.3.6.4.1.2.6基层卫生医疗服务</w:t>
            </w:r>
          </w:p>
          <w:p w14:paraId="7561818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层医疗卫生机构（社区卫生服务中心、乡镇卫生院等）统计报表，涉及服务量、人员配置、设备使用等数据。分析基层人员数量、结构及服务能力；评估基层设备配置与使用效率。推动基层医疗服务能力提升，完善分级诊疗体系。</w:t>
            </w:r>
          </w:p>
          <w:p w14:paraId="69FEF241">
            <w:pPr>
              <w:pStyle w:val="12"/>
              <w:numPr>
                <w:ilvl w:val="7"/>
                <w:numId w:val="0"/>
              </w:numPr>
              <w:rPr>
                <w:rFonts w:hint="eastAsia" w:ascii="仿宋" w:hAnsi="仿宋" w:eastAsia="仿宋" w:cs="仿宋"/>
                <w:sz w:val="21"/>
              </w:rPr>
            </w:pPr>
            <w:r>
              <w:rPr>
                <w:rFonts w:hint="eastAsia" w:ascii="仿宋" w:hAnsi="仿宋" w:eastAsia="仿宋" w:cs="仿宋"/>
                <w:sz w:val="21"/>
              </w:rPr>
              <w:t>4.2.3.6.4.1.2.7中医药服务</w:t>
            </w:r>
          </w:p>
          <w:p w14:paraId="5B7C77C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医类医疗机构及提供中医药服务的综合医院统计数据，涵盖机构数量、服务量、人员、设备等信息。统计中医类机构数量、服务占比及区域分布；分析中医药诊疗人次、中药使用量、中医特色疗法开展情况；评估中医药专业人员数量、结构及服务能力。促进中医药传承创新发展，优化中医药资源配置。</w:t>
            </w:r>
          </w:p>
          <w:p w14:paraId="15ABD86F">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4.2.3.6.4.1.3托育相关业务分析</w:t>
            </w:r>
          </w:p>
          <w:p w14:paraId="70B2C64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响应国家相关政策文件，结合卫生健康部门在托育服务体系中的职能，基于年报数据开展托育服务相关分析。</w:t>
            </w:r>
          </w:p>
          <w:p w14:paraId="5E1A0AF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4.2.3.6.4.2月报数据分析</w:t>
            </w:r>
          </w:p>
          <w:p w14:paraId="7AA1D26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服务月报数据主要来源于各级医疗机构（含医院、基层医疗卫生机构等）按月上报的统计报表，涵盖门急诊、住院等核心服务数据，以及资源利用、费用、质量等关联指标。为卫生健康行政部门提供实时监管依据，快速响应医疗服务供需变化，动态调整资源配置与政策导向。帮助医疗机构及时发现服务短板，针对性改进流程、提升服务质量与运营效率。</w:t>
            </w:r>
          </w:p>
          <w:p w14:paraId="7F1503E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4.2.3.6.4.3病案首页数据分析</w:t>
            </w:r>
          </w:p>
          <w:p w14:paraId="46CFAB1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基于医疗机构实时上传的病案首页数据，可按月度或专题需求进行分析。数据源自住院患者病案首页信息，包括患者基本特征、诊断编码（ICD-10）、手术操作、住院费用、转归情况等。</w:t>
            </w:r>
          </w:p>
          <w:p w14:paraId="3A21CFC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4.2.3.6.4.3.1统计分析</w:t>
            </w:r>
          </w:p>
          <w:p w14:paraId="3CBD639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院患者病案首页信息，包括患者基本信息、诊断编码、手术操作、住院费用、转归情况等。基于ICD编码分析疾病谱分布，识别高发疾病及重点防控病种；通过手术操作数据评估医疗机构诊疗技术水平；结合住院费用数据，分析不同病种、不同治疗方式的成本结构；利用转归情况评估医疗质量与治疗效果。为医疗质量改进、DRG/DIP付费改革、临床路径优化提供数据支持。</w:t>
            </w:r>
          </w:p>
          <w:p w14:paraId="50F13CF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4.2.3.6.4.3.2病案首页与年报对比</w:t>
            </w:r>
          </w:p>
          <w:p w14:paraId="0C808AFD">
            <w:pPr>
              <w:pStyle w:val="12"/>
              <w:numPr>
                <w:ilvl w:val="7"/>
                <w:numId w:val="0"/>
              </w:numPr>
              <w:rPr>
                <w:rFonts w:hint="eastAsia" w:ascii="仿宋" w:hAnsi="仿宋" w:eastAsia="仿宋" w:cs="仿宋"/>
                <w:sz w:val="21"/>
              </w:rPr>
            </w:pPr>
            <w:r>
              <w:rPr>
                <w:rFonts w:hint="eastAsia" w:ascii="仿宋" w:hAnsi="仿宋" w:eastAsia="仿宋" w:cs="仿宋"/>
                <w:sz w:val="21"/>
              </w:rPr>
              <w:t>4.2.3.6.4.3.2.1西医对比分析</w:t>
            </w:r>
          </w:p>
          <w:p w14:paraId="321C5A4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年度西医病案首页个案数量与年报西医出院人数总数，分析两者匹配度；通过计算个案数量与总数的比值，评估数据一致性；对比不同年份间的变化趋势，识别西医诊疗重点与发展方向的转变。帮助卫生行政部门与医疗机构发现西医病案数据填报中的异常，确保数据质量；辅助评估西医诊疗服务能力与疾病谱变化，为学科建设、资源配置提供依据。</w:t>
            </w:r>
          </w:p>
          <w:p w14:paraId="300F65EA">
            <w:pPr>
              <w:pStyle w:val="12"/>
              <w:numPr>
                <w:ilvl w:val="7"/>
                <w:numId w:val="0"/>
              </w:numPr>
              <w:rPr>
                <w:rFonts w:hint="eastAsia" w:ascii="仿宋" w:hAnsi="仿宋" w:eastAsia="仿宋" w:cs="仿宋"/>
                <w:sz w:val="21"/>
              </w:rPr>
            </w:pPr>
            <w:r>
              <w:rPr>
                <w:rFonts w:hint="eastAsia" w:ascii="仿宋" w:hAnsi="仿宋" w:eastAsia="仿宋" w:cs="仿宋"/>
                <w:sz w:val="21"/>
              </w:rPr>
              <w:t>4.2.3.6.4.3.2.2中医对比分析</w:t>
            </w:r>
          </w:p>
          <w:p w14:paraId="2A5EB90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年度中医病案首页个案数量与年报中医出院人数总数；计算中医个案占总数的比例，分析其稳定性；对比不同地区中医个案与总数的差异，评估中医服务区域发展均衡性。助力中医药管理部门掌握中医诊疗服务全貌，评估中医优势病种推广与特色疗法应用效果；为中医药政策制定、资源投入优化提供数据支撑。</w:t>
            </w:r>
          </w:p>
          <w:p w14:paraId="6ED2DBD0">
            <w:pPr>
              <w:pStyle w:val="12"/>
              <w:numPr>
                <w:ilvl w:val="7"/>
                <w:numId w:val="0"/>
              </w:numPr>
              <w:tabs>
                <w:tab w:val="left" w:pos="2021"/>
              </w:tabs>
              <w:rPr>
                <w:rFonts w:hint="eastAsia" w:ascii="仿宋" w:hAnsi="仿宋" w:eastAsia="仿宋" w:cs="仿宋"/>
                <w:sz w:val="21"/>
              </w:rPr>
            </w:pPr>
            <w:r>
              <w:rPr>
                <w:rFonts w:hint="eastAsia" w:ascii="仿宋" w:hAnsi="仿宋" w:eastAsia="仿宋" w:cs="仿宋"/>
                <w:sz w:val="21"/>
              </w:rPr>
              <w:t>4.2.3.6.4.3.2.3基层对比分析</w:t>
            </w:r>
          </w:p>
          <w:p w14:paraId="1BEF356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对比年度基层医疗机构病案首页个案数量与年报基层出院人数总数；</w:t>
            </w:r>
          </w:p>
          <w:p w14:paraId="345D6E2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计算基层个案与总数的差值及比例，查找数据偏差原因；运用趋势分析，观察基层常见疾病诊疗量的年度变化趋势；对比不同基层医疗机构间的数据差异，发现服务能力参差不齐的问题。为基层医疗服务规划提供参考，帮助识别基层医疗服务薄弱环节；评估基层医疗机构在基本医疗与公共卫生服务中的作用，推动基层医疗服务质量提升。</w:t>
            </w:r>
          </w:p>
          <w:p w14:paraId="4B27E0E7">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4.2.3.6.4.3.3病案首页与月报对比</w:t>
            </w:r>
          </w:p>
          <w:p w14:paraId="2130A1B5">
            <w:pPr>
              <w:pStyle w:val="12"/>
              <w:numPr>
                <w:ilvl w:val="7"/>
                <w:numId w:val="0"/>
              </w:numPr>
              <w:rPr>
                <w:rFonts w:hint="eastAsia" w:ascii="仿宋" w:hAnsi="仿宋" w:eastAsia="仿宋" w:cs="仿宋"/>
                <w:sz w:val="21"/>
              </w:rPr>
            </w:pPr>
            <w:r>
              <w:rPr>
                <w:rFonts w:hint="eastAsia" w:ascii="仿宋" w:hAnsi="仿宋" w:eastAsia="仿宋" w:cs="仿宋"/>
                <w:sz w:val="21"/>
              </w:rPr>
              <w:t>4.2.3.6.4.3.3.1西医对比分析</w:t>
            </w:r>
          </w:p>
          <w:p w14:paraId="112AB2A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每月西医病案首页个案数量与月报西医出院人数总数；对比不同月份间西医诊疗数据的环比变化，识别异常波动并查找原因。帮助医疗机构实时监控西医诊疗服务动态，合理调配资源应对诊疗高峰；为卫生行政部门提供短期疾病防控与医疗服务应急管理的数据支持。</w:t>
            </w:r>
          </w:p>
          <w:p w14:paraId="254CA8B3">
            <w:pPr>
              <w:pStyle w:val="12"/>
              <w:numPr>
                <w:ilvl w:val="7"/>
                <w:numId w:val="0"/>
              </w:numPr>
              <w:rPr>
                <w:rFonts w:hint="eastAsia" w:ascii="仿宋" w:hAnsi="仿宋" w:eastAsia="仿宋" w:cs="仿宋"/>
                <w:sz w:val="21"/>
              </w:rPr>
            </w:pPr>
            <w:r>
              <w:rPr>
                <w:rFonts w:hint="eastAsia" w:ascii="仿宋" w:hAnsi="仿宋" w:eastAsia="仿宋" w:cs="仿宋"/>
                <w:sz w:val="21"/>
              </w:rPr>
              <w:t>4.2.3.6.4.3.3.2中医对比分析</w:t>
            </w:r>
          </w:p>
          <w:p w14:paraId="1571322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每月中医病案首页个案数量与月报中医出院人数总数；对比不同中医医疗机构的月度数据，挖掘服务亮点与不足。助力中医医疗机构调整月度诊疗计划，发挥中医在时令病防治中的优势；为中医药管理部门制定短期中医药推广与发展策略提供依据。</w:t>
            </w:r>
          </w:p>
          <w:p w14:paraId="64DC3C3F">
            <w:pPr>
              <w:pStyle w:val="12"/>
              <w:numPr>
                <w:ilvl w:val="7"/>
                <w:numId w:val="0"/>
              </w:numPr>
              <w:rPr>
                <w:rFonts w:hint="eastAsia" w:ascii="仿宋" w:hAnsi="仿宋" w:eastAsia="仿宋" w:cs="仿宋"/>
                <w:sz w:val="21"/>
              </w:rPr>
            </w:pPr>
            <w:r>
              <w:rPr>
                <w:rFonts w:hint="eastAsia" w:ascii="仿宋" w:hAnsi="仿宋" w:eastAsia="仿宋" w:cs="仿宋"/>
                <w:sz w:val="21"/>
              </w:rPr>
              <w:t>4.2.3.6.4.3.3.3基层对比分析</w:t>
            </w:r>
          </w:p>
          <w:p w14:paraId="2A14C4F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每月基层医疗机构病案首页个案数量与月报基层出院人数总数；对比不同地区基层医疗机构的月度数据，分析区域服务能力差异。帮助基层医疗机构及时调整服务策略，提升慢性病管理与公共卫生服务质量；为卫生行政部门考核基层医疗服务绩效、优化资源配置提供数据参考。</w:t>
            </w:r>
          </w:p>
          <w:p w14:paraId="6234C09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4.2.3.6.4.4医改进度监测表</w:t>
            </w:r>
          </w:p>
          <w:p w14:paraId="6D6F947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结合医改政策实施节点，对改革进展进行跟踪评估。整合年报数据，涵盖分级诊疗、现代医院管理制度、全民医保、药品供应保障、综合监管等医改核心领域。</w:t>
            </w:r>
          </w:p>
          <w:p w14:paraId="6FC51BD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4.2.3.6.4.4.1地市监测年报</w:t>
            </w:r>
          </w:p>
          <w:p w14:paraId="4A1677B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计本地市医联体建设数量、覆盖医疗机构范围，分析双向转诊人次及病种结构，计算基层首诊率、县域内就诊率等关键指标，评估分级诊疗政策在区域内的落实效果；对比不同区县间分级诊疗推进差异，定位薄弱环节。监测DRG/DIP付费试点医疗机构覆盖率，分析医保基金支付方式转变后，医疗机构诊疗行为、费用结构的变化趋势；计算医保基金使用效率、患者自付比例等指标，评估改革对医保控费和患者减负的实际影响。评估公立医院绩效考核指标完成情况，包括人员经费占比、医疗服务收入占比、万元收入能耗等；分析医院内部管理机制改革成效，判断医院公益性与运营效率的平衡情况。</w:t>
            </w:r>
          </w:p>
          <w:p w14:paraId="63F91BD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为地市级卫生健康行政部门提供医改政策调整依据，助力优化区域内医疗资源配置；帮助地市医疗机构发现改革中的问题，针对性改进管理与服务；同时为省级医改政策制定提供基层实践数据支撑。</w:t>
            </w:r>
          </w:p>
          <w:p w14:paraId="5E1CBA3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4.2.3.6.4.4.2省级监测年报</w:t>
            </w:r>
          </w:p>
          <w:p w14:paraId="2AF6B7A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从省级层面统计分级诊疗体系覆盖范围、医联体建设总规模，分析全省基层首诊率、县域内就诊率变化趋势，评估分级诊疗制度在全省的推进水平；分析省级医保支付改革政策对全省医疗机构的影响，评估基金使用安全性与效率；统计省级财政对医改的投入规模及资金分配结构，分析投入产出效益。</w:t>
            </w:r>
          </w:p>
          <w:p w14:paraId="7BC21BF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为省级政府制定医改中长期规划、优化资源配置提供决策支持；助力省级卫生健康部门督导各地市医改任务落实；同时为国家卫健委完善医改政策提供省级层面的实践反馈，推动全国医改协同发展。</w:t>
            </w:r>
          </w:p>
          <w:p w14:paraId="2F6A71C9">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4.2.3.6.5优化前后功能对比清单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034"/>
              <w:gridCol w:w="1767"/>
              <w:gridCol w:w="1931"/>
              <w:gridCol w:w="2115"/>
            </w:tblGrid>
            <w:tr w14:paraId="32CD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9C632C7">
                  <w:pPr>
                    <w:jc w:val="center"/>
                    <w:rPr>
                      <w:rFonts w:hint="eastAsia" w:ascii="仿宋" w:hAnsi="仿宋" w:eastAsia="仿宋" w:cs="仿宋"/>
                      <w:b/>
                      <w:bCs/>
                      <w:szCs w:val="21"/>
                    </w:rPr>
                  </w:pPr>
                  <w:r>
                    <w:rPr>
                      <w:rFonts w:hint="eastAsia" w:ascii="仿宋" w:hAnsi="仿宋" w:eastAsia="仿宋" w:cs="仿宋"/>
                      <w:b/>
                      <w:bCs/>
                      <w:szCs w:val="21"/>
                    </w:rPr>
                    <w:t>序号</w:t>
                  </w:r>
                </w:p>
              </w:tc>
              <w:tc>
                <w:tcPr>
                  <w:tcW w:w="3430" w:type="dxa"/>
                  <w:gridSpan w:val="2"/>
                  <w:vAlign w:val="center"/>
                </w:tcPr>
                <w:p w14:paraId="423FC3B5">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5076" w:type="dxa"/>
                  <w:gridSpan w:val="2"/>
                  <w:vAlign w:val="center"/>
                </w:tcPr>
                <w:p w14:paraId="220E352D">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7919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C6E2609">
                  <w:pPr>
                    <w:jc w:val="center"/>
                    <w:rPr>
                      <w:rFonts w:hint="eastAsia" w:ascii="仿宋" w:hAnsi="仿宋" w:eastAsia="仿宋" w:cs="仿宋"/>
                      <w:szCs w:val="21"/>
                    </w:rPr>
                  </w:pPr>
                  <w:r>
                    <w:rPr>
                      <w:rFonts w:hint="eastAsia" w:ascii="仿宋" w:hAnsi="仿宋" w:eastAsia="仿宋" w:cs="仿宋"/>
                      <w:szCs w:val="21"/>
                    </w:rPr>
                    <w:t>1</w:t>
                  </w:r>
                </w:p>
              </w:tc>
              <w:tc>
                <w:tcPr>
                  <w:tcW w:w="1230" w:type="dxa"/>
                  <w:vAlign w:val="center"/>
                </w:tcPr>
                <w:p w14:paraId="7FC4CACC">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44F72868">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7D433C2B">
                  <w:pPr>
                    <w:rPr>
                      <w:rFonts w:hint="eastAsia" w:ascii="仿宋" w:hAnsi="仿宋" w:eastAsia="仿宋" w:cs="仿宋"/>
                      <w:szCs w:val="21"/>
                    </w:rPr>
                  </w:pPr>
                  <w:r>
                    <w:rPr>
                      <w:rFonts w:hint="eastAsia" w:ascii="仿宋" w:hAnsi="仿宋" w:eastAsia="仿宋" w:cs="仿宋"/>
                      <w:szCs w:val="21"/>
                    </w:rPr>
                    <w:t>分析维度建设</w:t>
                  </w:r>
                </w:p>
              </w:tc>
              <w:tc>
                <w:tcPr>
                  <w:tcW w:w="2659" w:type="dxa"/>
                  <w:vAlign w:val="center"/>
                </w:tcPr>
                <w:p w14:paraId="0558F9BC">
                  <w:pPr>
                    <w:rPr>
                      <w:rFonts w:hint="eastAsia" w:ascii="仿宋" w:hAnsi="仿宋" w:eastAsia="仿宋" w:cs="仿宋"/>
                      <w:szCs w:val="21"/>
                    </w:rPr>
                  </w:pPr>
                  <w:r>
                    <w:rPr>
                      <w:rFonts w:hint="eastAsia" w:ascii="仿宋" w:hAnsi="仿宋" w:eastAsia="仿宋" w:cs="仿宋"/>
                      <w:szCs w:val="21"/>
                    </w:rPr>
                    <w:t>业务维度</w:t>
                  </w:r>
                </w:p>
              </w:tc>
            </w:tr>
            <w:tr w14:paraId="4F44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359A071">
                  <w:pPr>
                    <w:jc w:val="center"/>
                    <w:rPr>
                      <w:rFonts w:hint="eastAsia" w:ascii="仿宋" w:hAnsi="仿宋" w:eastAsia="仿宋" w:cs="仿宋"/>
                      <w:szCs w:val="21"/>
                    </w:rPr>
                  </w:pPr>
                  <w:r>
                    <w:rPr>
                      <w:rFonts w:hint="eastAsia" w:ascii="仿宋" w:hAnsi="仿宋" w:eastAsia="仿宋" w:cs="仿宋"/>
                      <w:szCs w:val="21"/>
                    </w:rPr>
                    <w:t>2</w:t>
                  </w:r>
                </w:p>
              </w:tc>
              <w:tc>
                <w:tcPr>
                  <w:tcW w:w="1230" w:type="dxa"/>
                  <w:vAlign w:val="center"/>
                </w:tcPr>
                <w:p w14:paraId="202EDD3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0FE22DA6">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7B1DB1BC">
                  <w:pPr>
                    <w:rPr>
                      <w:rFonts w:hint="eastAsia" w:ascii="仿宋" w:hAnsi="仿宋" w:eastAsia="仿宋" w:cs="仿宋"/>
                      <w:szCs w:val="21"/>
                    </w:rPr>
                  </w:pPr>
                </w:p>
              </w:tc>
              <w:tc>
                <w:tcPr>
                  <w:tcW w:w="2659" w:type="dxa"/>
                  <w:vAlign w:val="center"/>
                </w:tcPr>
                <w:p w14:paraId="0E00812C">
                  <w:pPr>
                    <w:rPr>
                      <w:rFonts w:hint="eastAsia" w:ascii="仿宋" w:hAnsi="仿宋" w:eastAsia="仿宋" w:cs="仿宋"/>
                      <w:szCs w:val="21"/>
                    </w:rPr>
                  </w:pPr>
                  <w:r>
                    <w:rPr>
                      <w:rFonts w:hint="eastAsia" w:ascii="仿宋" w:hAnsi="仿宋" w:eastAsia="仿宋" w:cs="仿宋"/>
                      <w:szCs w:val="21"/>
                    </w:rPr>
                    <w:t>时间维度</w:t>
                  </w:r>
                </w:p>
              </w:tc>
            </w:tr>
            <w:tr w14:paraId="14D9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6895E77">
                  <w:pPr>
                    <w:jc w:val="center"/>
                    <w:rPr>
                      <w:rFonts w:hint="eastAsia" w:ascii="仿宋" w:hAnsi="仿宋" w:eastAsia="仿宋" w:cs="仿宋"/>
                      <w:szCs w:val="21"/>
                    </w:rPr>
                  </w:pPr>
                  <w:r>
                    <w:rPr>
                      <w:rFonts w:hint="eastAsia" w:ascii="仿宋" w:hAnsi="仿宋" w:eastAsia="仿宋" w:cs="仿宋"/>
                      <w:szCs w:val="21"/>
                    </w:rPr>
                    <w:t>3</w:t>
                  </w:r>
                </w:p>
              </w:tc>
              <w:tc>
                <w:tcPr>
                  <w:tcW w:w="1230" w:type="dxa"/>
                  <w:vAlign w:val="center"/>
                </w:tcPr>
                <w:p w14:paraId="0447052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2266B291">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445C37C5">
                  <w:pPr>
                    <w:rPr>
                      <w:rFonts w:hint="eastAsia" w:ascii="仿宋" w:hAnsi="仿宋" w:eastAsia="仿宋" w:cs="仿宋"/>
                      <w:szCs w:val="21"/>
                    </w:rPr>
                  </w:pPr>
                </w:p>
              </w:tc>
              <w:tc>
                <w:tcPr>
                  <w:tcW w:w="2659" w:type="dxa"/>
                  <w:vAlign w:val="center"/>
                </w:tcPr>
                <w:p w14:paraId="452FCBB2">
                  <w:pPr>
                    <w:rPr>
                      <w:rFonts w:hint="eastAsia" w:ascii="仿宋" w:hAnsi="仿宋" w:eastAsia="仿宋" w:cs="仿宋"/>
                      <w:szCs w:val="21"/>
                    </w:rPr>
                  </w:pPr>
                  <w:r>
                    <w:rPr>
                      <w:rFonts w:hint="eastAsia" w:ascii="仿宋" w:hAnsi="仿宋" w:eastAsia="仿宋" w:cs="仿宋"/>
                      <w:szCs w:val="21"/>
                    </w:rPr>
                    <w:t>地域维度</w:t>
                  </w:r>
                </w:p>
              </w:tc>
            </w:tr>
            <w:tr w14:paraId="22B8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8A606F8">
                  <w:pPr>
                    <w:jc w:val="center"/>
                    <w:rPr>
                      <w:rFonts w:hint="eastAsia" w:ascii="仿宋" w:hAnsi="仿宋" w:eastAsia="仿宋" w:cs="仿宋"/>
                      <w:szCs w:val="21"/>
                    </w:rPr>
                  </w:pPr>
                  <w:r>
                    <w:rPr>
                      <w:rFonts w:hint="eastAsia" w:ascii="仿宋" w:hAnsi="仿宋" w:eastAsia="仿宋" w:cs="仿宋"/>
                      <w:szCs w:val="21"/>
                    </w:rPr>
                    <w:t>4</w:t>
                  </w:r>
                </w:p>
              </w:tc>
              <w:tc>
                <w:tcPr>
                  <w:tcW w:w="1230" w:type="dxa"/>
                  <w:vAlign w:val="center"/>
                </w:tcPr>
                <w:p w14:paraId="3F89DBAA">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46A7A9C6">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4F630619">
                  <w:pPr>
                    <w:rPr>
                      <w:rFonts w:hint="eastAsia" w:ascii="仿宋" w:hAnsi="仿宋" w:eastAsia="仿宋" w:cs="仿宋"/>
                      <w:szCs w:val="21"/>
                    </w:rPr>
                  </w:pPr>
                  <w:r>
                    <w:rPr>
                      <w:rFonts w:hint="eastAsia" w:ascii="仿宋" w:hAnsi="仿宋" w:eastAsia="仿宋" w:cs="仿宋"/>
                      <w:szCs w:val="21"/>
                    </w:rPr>
                    <w:t>主题域建设</w:t>
                  </w:r>
                </w:p>
              </w:tc>
              <w:tc>
                <w:tcPr>
                  <w:tcW w:w="2659" w:type="dxa"/>
                  <w:vAlign w:val="center"/>
                </w:tcPr>
                <w:p w14:paraId="7E3CFD5C">
                  <w:pPr>
                    <w:rPr>
                      <w:rFonts w:hint="eastAsia" w:ascii="仿宋" w:hAnsi="仿宋" w:eastAsia="仿宋" w:cs="仿宋"/>
                      <w:szCs w:val="21"/>
                    </w:rPr>
                  </w:pPr>
                  <w:r>
                    <w:rPr>
                      <w:rFonts w:hint="eastAsia" w:ascii="仿宋" w:hAnsi="仿宋" w:eastAsia="仿宋" w:cs="仿宋"/>
                      <w:szCs w:val="21"/>
                    </w:rPr>
                    <w:t>医院统计主题域</w:t>
                  </w:r>
                </w:p>
              </w:tc>
            </w:tr>
            <w:tr w14:paraId="53FF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F999870">
                  <w:pPr>
                    <w:jc w:val="center"/>
                    <w:rPr>
                      <w:rFonts w:hint="eastAsia" w:ascii="仿宋" w:hAnsi="仿宋" w:eastAsia="仿宋" w:cs="仿宋"/>
                      <w:szCs w:val="21"/>
                    </w:rPr>
                  </w:pPr>
                  <w:r>
                    <w:rPr>
                      <w:rFonts w:hint="eastAsia" w:ascii="仿宋" w:hAnsi="仿宋" w:eastAsia="仿宋" w:cs="仿宋"/>
                      <w:szCs w:val="21"/>
                    </w:rPr>
                    <w:t>5</w:t>
                  </w:r>
                </w:p>
              </w:tc>
              <w:tc>
                <w:tcPr>
                  <w:tcW w:w="1230" w:type="dxa"/>
                  <w:vAlign w:val="center"/>
                </w:tcPr>
                <w:p w14:paraId="264A17E9">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00C28813">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6759BD16">
                  <w:pPr>
                    <w:rPr>
                      <w:rFonts w:hint="eastAsia" w:ascii="仿宋" w:hAnsi="仿宋" w:eastAsia="仿宋" w:cs="仿宋"/>
                      <w:szCs w:val="21"/>
                    </w:rPr>
                  </w:pPr>
                </w:p>
              </w:tc>
              <w:tc>
                <w:tcPr>
                  <w:tcW w:w="2659" w:type="dxa"/>
                  <w:vAlign w:val="center"/>
                </w:tcPr>
                <w:p w14:paraId="3813B134">
                  <w:pPr>
                    <w:rPr>
                      <w:rFonts w:hint="eastAsia" w:ascii="仿宋" w:hAnsi="仿宋" w:eastAsia="仿宋" w:cs="仿宋"/>
                      <w:szCs w:val="21"/>
                    </w:rPr>
                  </w:pPr>
                  <w:r>
                    <w:rPr>
                      <w:rFonts w:hint="eastAsia" w:ascii="仿宋" w:hAnsi="仿宋" w:eastAsia="仿宋" w:cs="仿宋"/>
                      <w:szCs w:val="21"/>
                    </w:rPr>
                    <w:t>数据质量主题域</w:t>
                  </w:r>
                </w:p>
              </w:tc>
            </w:tr>
            <w:tr w14:paraId="631E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2921396">
                  <w:pPr>
                    <w:jc w:val="center"/>
                    <w:rPr>
                      <w:rFonts w:hint="eastAsia" w:ascii="仿宋" w:hAnsi="仿宋" w:eastAsia="仿宋" w:cs="仿宋"/>
                      <w:szCs w:val="21"/>
                    </w:rPr>
                  </w:pPr>
                  <w:r>
                    <w:rPr>
                      <w:rFonts w:hint="eastAsia" w:ascii="仿宋" w:hAnsi="仿宋" w:eastAsia="仿宋" w:cs="仿宋"/>
                      <w:szCs w:val="21"/>
                    </w:rPr>
                    <w:t>6</w:t>
                  </w:r>
                </w:p>
              </w:tc>
              <w:tc>
                <w:tcPr>
                  <w:tcW w:w="1230" w:type="dxa"/>
                  <w:vMerge w:val="restart"/>
                  <w:vAlign w:val="center"/>
                </w:tcPr>
                <w:p w14:paraId="399A1911">
                  <w:pPr>
                    <w:rPr>
                      <w:rFonts w:hint="eastAsia" w:ascii="仿宋" w:hAnsi="仿宋" w:eastAsia="仿宋" w:cs="仿宋"/>
                      <w:szCs w:val="21"/>
                    </w:rPr>
                  </w:pPr>
                  <w:r>
                    <w:rPr>
                      <w:rFonts w:hint="eastAsia" w:ascii="仿宋" w:hAnsi="仿宋" w:eastAsia="仿宋" w:cs="仿宋"/>
                      <w:szCs w:val="21"/>
                    </w:rPr>
                    <w:t>分析内容呈现</w:t>
                  </w:r>
                </w:p>
              </w:tc>
              <w:tc>
                <w:tcPr>
                  <w:tcW w:w="2200" w:type="dxa"/>
                  <w:vAlign w:val="center"/>
                </w:tcPr>
                <w:p w14:paraId="13291E84">
                  <w:pPr>
                    <w:rPr>
                      <w:rFonts w:hint="eastAsia" w:ascii="仿宋" w:hAnsi="仿宋" w:eastAsia="仿宋" w:cs="仿宋"/>
                      <w:szCs w:val="21"/>
                    </w:rPr>
                  </w:pPr>
                  <w:r>
                    <w:rPr>
                      <w:rFonts w:hint="eastAsia" w:ascii="仿宋" w:hAnsi="仿宋" w:eastAsia="仿宋" w:cs="仿宋"/>
                      <w:szCs w:val="21"/>
                    </w:rPr>
                    <w:t>年报数据分析</w:t>
                  </w:r>
                </w:p>
              </w:tc>
              <w:tc>
                <w:tcPr>
                  <w:tcW w:w="2417" w:type="dxa"/>
                  <w:vMerge w:val="restart"/>
                  <w:vAlign w:val="center"/>
                </w:tcPr>
                <w:p w14:paraId="0CD9B2DC">
                  <w:pPr>
                    <w:rPr>
                      <w:rFonts w:hint="eastAsia" w:ascii="仿宋" w:hAnsi="仿宋" w:eastAsia="仿宋" w:cs="仿宋"/>
                      <w:szCs w:val="21"/>
                    </w:rPr>
                  </w:pPr>
                  <w:r>
                    <w:rPr>
                      <w:rFonts w:hint="eastAsia" w:ascii="仿宋" w:hAnsi="仿宋" w:eastAsia="仿宋" w:cs="仿宋"/>
                      <w:szCs w:val="21"/>
                    </w:rPr>
                    <w:t>分析内容呈现</w:t>
                  </w:r>
                </w:p>
              </w:tc>
              <w:tc>
                <w:tcPr>
                  <w:tcW w:w="2659" w:type="dxa"/>
                  <w:vAlign w:val="center"/>
                </w:tcPr>
                <w:p w14:paraId="3D72C974">
                  <w:pPr>
                    <w:rPr>
                      <w:rFonts w:hint="eastAsia" w:ascii="仿宋" w:hAnsi="仿宋" w:eastAsia="仿宋" w:cs="仿宋"/>
                      <w:szCs w:val="21"/>
                    </w:rPr>
                  </w:pPr>
                  <w:r>
                    <w:rPr>
                      <w:rFonts w:hint="eastAsia" w:ascii="仿宋" w:hAnsi="仿宋" w:eastAsia="仿宋" w:cs="仿宋"/>
                      <w:szCs w:val="21"/>
                    </w:rPr>
                    <w:t>年报数据分析</w:t>
                  </w:r>
                </w:p>
              </w:tc>
            </w:tr>
            <w:tr w14:paraId="7121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C1819BF">
                  <w:pPr>
                    <w:jc w:val="center"/>
                    <w:rPr>
                      <w:rFonts w:hint="eastAsia" w:ascii="仿宋" w:hAnsi="仿宋" w:eastAsia="仿宋" w:cs="仿宋"/>
                      <w:szCs w:val="21"/>
                    </w:rPr>
                  </w:pPr>
                  <w:r>
                    <w:rPr>
                      <w:rFonts w:hint="eastAsia" w:ascii="仿宋" w:hAnsi="仿宋" w:eastAsia="仿宋" w:cs="仿宋"/>
                      <w:szCs w:val="21"/>
                    </w:rPr>
                    <w:t>7</w:t>
                  </w:r>
                </w:p>
              </w:tc>
              <w:tc>
                <w:tcPr>
                  <w:tcW w:w="1230" w:type="dxa"/>
                  <w:vMerge w:val="continue"/>
                  <w:vAlign w:val="center"/>
                </w:tcPr>
                <w:p w14:paraId="2B6120F5">
                  <w:pPr>
                    <w:rPr>
                      <w:rFonts w:hint="eastAsia" w:ascii="仿宋" w:hAnsi="仿宋" w:eastAsia="仿宋" w:cs="仿宋"/>
                      <w:szCs w:val="21"/>
                    </w:rPr>
                  </w:pPr>
                </w:p>
              </w:tc>
              <w:tc>
                <w:tcPr>
                  <w:tcW w:w="2200" w:type="dxa"/>
                  <w:vAlign w:val="center"/>
                </w:tcPr>
                <w:p w14:paraId="55931461">
                  <w:pPr>
                    <w:rPr>
                      <w:rFonts w:hint="eastAsia" w:ascii="仿宋" w:hAnsi="仿宋" w:eastAsia="仿宋" w:cs="仿宋"/>
                      <w:szCs w:val="21"/>
                    </w:rPr>
                  </w:pPr>
                  <w:r>
                    <w:rPr>
                      <w:rFonts w:hint="eastAsia" w:ascii="仿宋" w:hAnsi="仿宋" w:eastAsia="仿宋" w:cs="仿宋"/>
                      <w:szCs w:val="21"/>
                    </w:rPr>
                    <w:t>月报数据分析</w:t>
                  </w:r>
                </w:p>
              </w:tc>
              <w:tc>
                <w:tcPr>
                  <w:tcW w:w="2417" w:type="dxa"/>
                  <w:vMerge w:val="continue"/>
                  <w:vAlign w:val="center"/>
                </w:tcPr>
                <w:p w14:paraId="4D24411F">
                  <w:pPr>
                    <w:rPr>
                      <w:rFonts w:hint="eastAsia" w:ascii="仿宋" w:hAnsi="仿宋" w:eastAsia="仿宋" w:cs="仿宋"/>
                      <w:szCs w:val="21"/>
                    </w:rPr>
                  </w:pPr>
                </w:p>
              </w:tc>
              <w:tc>
                <w:tcPr>
                  <w:tcW w:w="2659" w:type="dxa"/>
                  <w:vAlign w:val="center"/>
                </w:tcPr>
                <w:p w14:paraId="69F8E8F8">
                  <w:pPr>
                    <w:rPr>
                      <w:rFonts w:hint="eastAsia" w:ascii="仿宋" w:hAnsi="仿宋" w:eastAsia="仿宋" w:cs="仿宋"/>
                      <w:szCs w:val="21"/>
                    </w:rPr>
                  </w:pPr>
                  <w:r>
                    <w:rPr>
                      <w:rFonts w:hint="eastAsia" w:ascii="仿宋" w:hAnsi="仿宋" w:eastAsia="仿宋" w:cs="仿宋"/>
                      <w:szCs w:val="21"/>
                    </w:rPr>
                    <w:t>月报数据分析</w:t>
                  </w:r>
                </w:p>
              </w:tc>
            </w:tr>
            <w:tr w14:paraId="1FE8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673FA45">
                  <w:pPr>
                    <w:jc w:val="center"/>
                    <w:rPr>
                      <w:rFonts w:hint="eastAsia" w:ascii="仿宋" w:hAnsi="仿宋" w:eastAsia="仿宋" w:cs="仿宋"/>
                      <w:szCs w:val="21"/>
                    </w:rPr>
                  </w:pPr>
                  <w:r>
                    <w:rPr>
                      <w:rFonts w:hint="eastAsia" w:ascii="仿宋" w:hAnsi="仿宋" w:eastAsia="仿宋" w:cs="仿宋"/>
                      <w:szCs w:val="21"/>
                    </w:rPr>
                    <w:t>8</w:t>
                  </w:r>
                </w:p>
              </w:tc>
              <w:tc>
                <w:tcPr>
                  <w:tcW w:w="1230" w:type="dxa"/>
                  <w:vMerge w:val="continue"/>
                  <w:vAlign w:val="center"/>
                </w:tcPr>
                <w:p w14:paraId="715ECB54">
                  <w:pPr>
                    <w:rPr>
                      <w:rFonts w:hint="eastAsia" w:ascii="仿宋" w:hAnsi="仿宋" w:eastAsia="仿宋" w:cs="仿宋"/>
                      <w:szCs w:val="21"/>
                    </w:rPr>
                  </w:pPr>
                </w:p>
              </w:tc>
              <w:tc>
                <w:tcPr>
                  <w:tcW w:w="2200" w:type="dxa"/>
                  <w:vAlign w:val="center"/>
                </w:tcPr>
                <w:p w14:paraId="45034FAC">
                  <w:pPr>
                    <w:rPr>
                      <w:rFonts w:hint="eastAsia" w:ascii="仿宋" w:hAnsi="仿宋" w:eastAsia="仿宋" w:cs="仿宋"/>
                      <w:szCs w:val="21"/>
                    </w:rPr>
                  </w:pPr>
                  <w:r>
                    <w:rPr>
                      <w:rFonts w:hint="eastAsia" w:ascii="仿宋" w:hAnsi="仿宋" w:eastAsia="仿宋" w:cs="仿宋"/>
                      <w:szCs w:val="21"/>
                    </w:rPr>
                    <w:t>病案首页数据分析</w:t>
                  </w:r>
                </w:p>
              </w:tc>
              <w:tc>
                <w:tcPr>
                  <w:tcW w:w="2417" w:type="dxa"/>
                  <w:vMerge w:val="continue"/>
                  <w:vAlign w:val="center"/>
                </w:tcPr>
                <w:p w14:paraId="6892F3F7">
                  <w:pPr>
                    <w:rPr>
                      <w:rFonts w:hint="eastAsia" w:ascii="仿宋" w:hAnsi="仿宋" w:eastAsia="仿宋" w:cs="仿宋"/>
                      <w:szCs w:val="21"/>
                    </w:rPr>
                  </w:pPr>
                </w:p>
              </w:tc>
              <w:tc>
                <w:tcPr>
                  <w:tcW w:w="2659" w:type="dxa"/>
                  <w:vAlign w:val="center"/>
                </w:tcPr>
                <w:p w14:paraId="6F37DE40">
                  <w:pPr>
                    <w:rPr>
                      <w:rFonts w:hint="eastAsia" w:ascii="仿宋" w:hAnsi="仿宋" w:eastAsia="仿宋" w:cs="仿宋"/>
                      <w:szCs w:val="21"/>
                    </w:rPr>
                  </w:pPr>
                  <w:r>
                    <w:rPr>
                      <w:rFonts w:hint="eastAsia" w:ascii="仿宋" w:hAnsi="仿宋" w:eastAsia="仿宋" w:cs="仿宋"/>
                      <w:szCs w:val="21"/>
                    </w:rPr>
                    <w:t>病案首页数据分析</w:t>
                  </w:r>
                </w:p>
              </w:tc>
            </w:tr>
            <w:tr w14:paraId="0020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3BA1DE9">
                  <w:pPr>
                    <w:jc w:val="center"/>
                    <w:rPr>
                      <w:rFonts w:hint="eastAsia" w:ascii="仿宋" w:hAnsi="仿宋" w:eastAsia="仿宋" w:cs="仿宋"/>
                      <w:szCs w:val="21"/>
                    </w:rPr>
                  </w:pPr>
                  <w:r>
                    <w:rPr>
                      <w:rFonts w:hint="eastAsia" w:ascii="仿宋" w:hAnsi="仿宋" w:eastAsia="仿宋" w:cs="仿宋"/>
                      <w:szCs w:val="21"/>
                    </w:rPr>
                    <w:t>9</w:t>
                  </w:r>
                </w:p>
              </w:tc>
              <w:tc>
                <w:tcPr>
                  <w:tcW w:w="1230" w:type="dxa"/>
                  <w:vMerge w:val="continue"/>
                  <w:vAlign w:val="center"/>
                </w:tcPr>
                <w:p w14:paraId="560E1180">
                  <w:pPr>
                    <w:rPr>
                      <w:rFonts w:hint="eastAsia" w:ascii="仿宋" w:hAnsi="仿宋" w:eastAsia="仿宋" w:cs="仿宋"/>
                      <w:szCs w:val="21"/>
                    </w:rPr>
                  </w:pPr>
                </w:p>
              </w:tc>
              <w:tc>
                <w:tcPr>
                  <w:tcW w:w="2200" w:type="dxa"/>
                  <w:vAlign w:val="center"/>
                </w:tcPr>
                <w:p w14:paraId="09F1D328">
                  <w:pPr>
                    <w:rPr>
                      <w:rFonts w:hint="eastAsia" w:ascii="仿宋" w:hAnsi="仿宋" w:eastAsia="仿宋" w:cs="仿宋"/>
                      <w:szCs w:val="21"/>
                    </w:rPr>
                  </w:pPr>
                  <w:r>
                    <w:rPr>
                      <w:rFonts w:hint="eastAsia" w:ascii="仿宋" w:hAnsi="仿宋" w:eastAsia="仿宋" w:cs="仿宋"/>
                      <w:szCs w:val="21"/>
                    </w:rPr>
                    <w:t>医改进度监测表</w:t>
                  </w:r>
                </w:p>
              </w:tc>
              <w:tc>
                <w:tcPr>
                  <w:tcW w:w="2417" w:type="dxa"/>
                  <w:vMerge w:val="continue"/>
                  <w:vAlign w:val="center"/>
                </w:tcPr>
                <w:p w14:paraId="6F767ED8">
                  <w:pPr>
                    <w:rPr>
                      <w:rFonts w:hint="eastAsia" w:ascii="仿宋" w:hAnsi="仿宋" w:eastAsia="仿宋" w:cs="仿宋"/>
                      <w:szCs w:val="21"/>
                    </w:rPr>
                  </w:pPr>
                </w:p>
              </w:tc>
              <w:tc>
                <w:tcPr>
                  <w:tcW w:w="2659" w:type="dxa"/>
                  <w:vAlign w:val="center"/>
                </w:tcPr>
                <w:p w14:paraId="35E06899">
                  <w:pPr>
                    <w:rPr>
                      <w:rFonts w:hint="eastAsia" w:ascii="仿宋" w:hAnsi="仿宋" w:eastAsia="仿宋" w:cs="仿宋"/>
                      <w:szCs w:val="21"/>
                    </w:rPr>
                  </w:pPr>
                  <w:r>
                    <w:rPr>
                      <w:rFonts w:hint="eastAsia" w:ascii="仿宋" w:hAnsi="仿宋" w:eastAsia="仿宋" w:cs="仿宋"/>
                      <w:szCs w:val="21"/>
                    </w:rPr>
                    <w:t>医改进度监测表</w:t>
                  </w:r>
                </w:p>
              </w:tc>
            </w:tr>
          </w:tbl>
          <w:p w14:paraId="6C7E5A87">
            <w:pPr>
              <w:pStyle w:val="23"/>
              <w:spacing w:line="360" w:lineRule="auto"/>
              <w:rPr>
                <w:rFonts w:hint="eastAsia" w:ascii="仿宋" w:hAnsi="仿宋" w:eastAsia="仿宋" w:cs="仿宋"/>
                <w:color w:val="000000" w:themeColor="text1"/>
                <w:szCs w:val="21"/>
                <w14:textFill>
                  <w14:solidFill>
                    <w14:schemeClr w14:val="tx1"/>
                  </w14:solidFill>
                </w14:textFill>
              </w:rPr>
            </w:pPr>
          </w:p>
          <w:p w14:paraId="1640A966">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4.2.3.7决策支持功能优化</w:t>
            </w:r>
          </w:p>
          <w:p w14:paraId="7ADC6DD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在卫生统计直报系统中，为进一步提升数据处理与分析效能，深度挖掘数据价值，特规划决策支持功能模块，包括数据汇聚整合、清洗处理、分析模型建设及数据分析等，具体内容如下：</w:t>
            </w:r>
          </w:p>
          <w:p w14:paraId="1BB66A75">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4.2.3.7.1数据汇聚整合</w:t>
            </w:r>
          </w:p>
          <w:p w14:paraId="68D50B6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汇聚整合聚焦于卫生统计直报系统采集数据与外部数据的融合。一方面，系统作为核心的数据收集渠道，接收各级医疗卫生机构通过直报系统填报的业务数据，涵盖机构基本信息、医疗服务记录、卫生资源配置等关键内容，这些数据是卫生统计分析的基础。另一方面，积极拓展外部数据接入，从外部渠道或其他业务系统获取数据，适配RESTful、WebService、JDBC等不同系统的数据接口协议，实现结构化数据的无缝接入。</w:t>
            </w:r>
          </w:p>
          <w:p w14:paraId="5C90069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采集策略上，针对不同业务场景需求，设置不同的数据采集方式。对于有条件的可采用接口方式进行数据采集，对于信息化水平一般的机构可通过在线填报的方式进行数据采集，有效提高数据采集效率并降低系统资源占用。</w:t>
            </w:r>
          </w:p>
          <w:p w14:paraId="12B5E07E">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4.2.3.7.2数据清洗处理</w:t>
            </w:r>
          </w:p>
          <w:p w14:paraId="6924837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清洗处理依托系统内置的可视化ETL工具，从任务规划到执行全流程保障数据质量。在任务定义阶段，ETL工具将任务细分为批处理、交换和实时三类。批处理任务专注于数据处理、清洗、脱敏等数仓基础操作；交换任务负责库表、文件和接口间的数据传输交换；实时任务则满足实时传输交换场景需求。用户通过拖拽式操作，在设计器面板中轻松完成交换作业流程设计——将数据模型、交换组件按需拖拽，并通过连线定义数据流向。设计器不仅支持放大缩小、保存、自动布局等常规操作，还具备参数设置、语法检查、撤销等功能，且能对数据处理过程进行运行到、顺序执行、模拟运行等多种方式调试。调试过程中，详细日志会记录每个步骤的运行时长和状态信息，图形窗口实时提供状态提醒与错误说明，确保任务设计准确无误。</w:t>
            </w:r>
          </w:p>
          <w:p w14:paraId="04F5219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ETL工具丰富的组件库是数据清洗处理的有力支撑。批处理组件涵盖输入输出、安全脱敏、接口等十余类，可快速完成数据传输、清洗转换与装载落地；交换组件支持文件到文件、文件到库表等多种数据交换方式，还能先对数据进行处理再交换；实时组件基于Kafka、Spark技术，实现结构化与非结构化数据的实时处理入库，并提供实时数据预览功能，方便用户及时查看数据在流式处理后的变化。此外，平台支持组件收藏功能，用户可将常用组件收藏，大幅提升操作便捷性。</w:t>
            </w:r>
          </w:p>
          <w:p w14:paraId="633E774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任务流设计环节，采用图形化带方向连线配置作业前驱后继关系，支持缩略图显示与任务名称搜索。用户可针对每个交换过程自定义计划任务、失败重做次数和优先级，灵活设置任务流、任务的串行或并行执行方式，并可配置邮箱发送异常日志告警。为保障运行环境稳定可靠，平台采用设计区和运行区隔离机制，所有作业修订与更改在设计区完成调试和试运行后，通过发布机制部署到稳定的运行环境。智能调度管理确保ETL任务高效执行。任务流调度针对批处理和数据交换任务，支持手动执行、定时调度以及监听库表或文件触发调度，实现即刻、定时与准实时调度。调度支持crontab表达式，可精确到月份、日期、小时、分钟粒度，还能按星期执行或自定义工作日历，并依据调度结果发送邮件通知，支持调度日志导出与在线查看。同时，具备断点续传功能，避免数据传输中断造成的重复劳动。实时调度针对实时任务，可实时查询运行状态与异常信息，支持通过短信或邮件将异常通知责任人并发送异常日志。</w:t>
            </w:r>
          </w:p>
          <w:p w14:paraId="78CF8014">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4.2.3.7.3分析模型建设</w:t>
            </w:r>
          </w:p>
          <w:p w14:paraId="2440579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析模型建设以主题域、主题集、主题表及维表建设为基础，搭建多层次、结构化的模型体系。依据卫生统计业务范畴，划分出医疗服务、公共卫生、卫生资源、医疗保障等核心主题域，每个主题域代表一个相对独立的业务领域，明确界定其边界与涵盖范围。例如，医疗服务主题域聚焦诊疗、住院、手术等相关业务；公共卫生主题域涵盖慢性病管理等内容，为后续数据整合与分析奠定宏观框架。</w:t>
            </w:r>
          </w:p>
          <w:p w14:paraId="5832DD4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各主题域下，进一步细分构建主题集。以医疗服务主题域为例，可细分为门诊服务主题集、住院服务主题集、急诊服务主题集等。主题集围绕特定业务方向，聚合相关数据与分析需求，使数据组织更具条理性，便于针对具体业务场景开展深入分析。</w:t>
            </w:r>
          </w:p>
          <w:p w14:paraId="2D799F1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每个主题集，设计相应的主题表。主题表以事实表为核心，存储具体的业务事实数据，如门诊服务主题集中的门诊诊疗记录表，记录患者就诊时间、医生信息、诊断结果、诊疗费用等详细信息；同时建立与之关联的维度表，包括时间维度表、行政区划维度表、机构类别维度表、隶属关系维度表、经济类型维度表等，用于描述事实表数据的属性与背景信息，通过主外键关联，构建星型或雪花型数据模型，实现高效的数据查询与分析。</w:t>
            </w:r>
          </w:p>
          <w:p w14:paraId="2E4EA69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维表建设着重于对数据属性的精细化描述。在时间维度表中，详细记录年、月、日等时间属性；行政区划维度表涵盖省、市、县等信息。通过完善维表内容，丰富数据的分析维度，支持用户从多视角对主题表中的事实数据进行筛选、分组与对比分析。</w:t>
            </w:r>
          </w:p>
          <w:p w14:paraId="0C618F3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在上述主题化模型架构基础上，进一步构建不同类型的分析模型。基于主题表与维表数据，通过数据计算端口实现描述性统计、相关性分析、趋势分析等功能。例如，以时间维度和医疗服务主题表数据为基础。</w:t>
            </w:r>
          </w:p>
          <w:p w14:paraId="27C2AF0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同时，根据卫生统计业务需求，以主题域与主题集为导向，通过定制开发端口构建特定场景分析模型。如构建医共体运营评估模型时，整合成员单位在医疗服务、卫生资源等主题域下的相关主题集数据，通过数据整合端口综合资源共享率、双向转诊量、医疗质量指标等，评估医共体协同效率；设计公共卫生服务绩效评估模型，从公共卫生主题域下的疫苗接种、慢性病管理等主题集维度，通过数据考核端口对基层医疗卫生机构的公共卫生服务进行量化考核，为政策制定与资源分配提供数据支撑。</w:t>
            </w:r>
          </w:p>
          <w:p w14:paraId="38E5432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4.2.3.7.4决策表样设计</w:t>
            </w:r>
          </w:p>
          <w:p w14:paraId="104CF45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4.2.3.7.4.1整体视觉风格</w:t>
            </w:r>
          </w:p>
          <w:p w14:paraId="5076674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用简洁、专业的设计风格，主色调选择沉稳庄重的色系，契合卫生统计数据的严肃性；以浅色系作为底色，增强页面通透性与数据可读性。搭配少量辅助色，用于区分不同数据状态：如表示良好指标、正常范围的数据采用柔和舒适的色调；警示异常或关键数据使用具有视觉冲击力的色调；突出重点数据则选用醒目的色调，使报表整体视觉风格统一且富有层次感。同时，选择清晰易读的无衬线字体，根据内容重要程度设置不同字号，标题字号为20-24px，正文数据字号为12-14px，确保文字信息清晰传达。</w:t>
            </w:r>
          </w:p>
          <w:p w14:paraId="4D2D57D9">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4.2.3.7.4.2图表布局设计</w:t>
            </w:r>
          </w:p>
          <w:p w14:paraId="3DC2318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图表报表：对于仅展示单一数据指标或分析维度的报表，将图表置于页面中心位置，占据约70%的可视区域，使其成为视觉焦点。在图表上方添加简洁明了的标题，说明图表主题；下方或侧边设置图例、数据来源等辅助信息，采用与主色调对比度较低的色系字体，避免干扰图表主体展示。</w:t>
            </w:r>
          </w:p>
          <w:p w14:paraId="30F2BB2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多图表组合报表：当报表包含多个相关联的图表时，依据数据逻辑关系与重要程度进行布局。例如，在展示某地区医疗服务情况时，将诊疗人次、住院天数、手术量等核心指标的图表置于页面上方或左侧，占据主要视觉区域；将次要指标或对比分析图表置于下方或右侧。各图表之间保持适当间距（15-20px），使用与背景色相近的浅色分割线或空白区域进行分隔，避免视觉混淆。同时，通过统一的图表配色风格、坐标轴样式等元素增强整体协调性。</w:t>
            </w:r>
          </w:p>
          <w:p w14:paraId="5239345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4.2.3.7.4.3图表类型选择与样式优化</w:t>
            </w:r>
          </w:p>
          <w:p w14:paraId="5D4E2DA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趋势分析：对于展示数据随时间变化趋势的场景，优先选用折线图或面积图。折线采用适中粗细的实线，关键数据点使用不同形状的标记突出显示，颜色与主色调相呼应；面积图填充颜色采用低透明度设置，增强层次感。例如，展示某医院近一年每月的门诊量变化趋势，通过折线图清晰呈现数据波动情况。</w:t>
            </w:r>
          </w:p>
          <w:p w14:paraId="58384E2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分析：在进行数据对比时，柱状图或条形图是理想选择。柱状图适用于展示同一类别下不同项目的数据对比，柱体宽度保持一致，间距为柱体宽度的50%-70%，颜色根据数据类别区分；条形图则更适合数据标签较长或数据类别较多的情况，条形水平排列，便于阅读标签信息。如对比不同地区的卫生资源配置情况，使用柱状图直观展示各项指标差异。</w:t>
            </w:r>
          </w:p>
          <w:p w14:paraId="1AE1393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占比分析：对于呈现数据占比关系，采用饼图或圆环图。将占比较大的扇区置于12点钟方向，从大到小顺时针排列；圆环图中心可添加数据占比的数值或文字说明。同时，为每个扇区添加数据标签与百分比数值，标签颜色与扇区颜色形成明显对比，确保清晰易读。例如，分析某医疗机构不同科室的收入占比，通过饼图直观展示各科室贡献度。</w:t>
            </w:r>
          </w:p>
          <w:p w14:paraId="044795B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4.2.3.7.4.4交互元素设计</w:t>
            </w:r>
          </w:p>
          <w:p w14:paraId="35A006F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数据提示：当用户鼠标悬停在图表元素上时，触发数据提示框，显示详细数据信息。提示框采用半透明背景，边框颜色与图表主色一致，文字信息居中对齐，字号为12-14px，确保信息清晰且不遮挡图表内容。</w:t>
            </w:r>
          </w:p>
          <w:p w14:paraId="5E9D311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钻取与联动：对于多维度分析报表，支持数据钻取功能。用户点击图表中的数据项，可下钻查看更详细的子数据信息，如从地区级医疗费用数据钻取到具体医疗机构的费用明细。同时，实现图表间的联动交互，当用户在一个图表中选择特定数据范围或类别时，相关联的其他图表自动刷新展示对应数据，帮助用户快速发现数据间的关联关系。</w:t>
            </w:r>
          </w:p>
          <w:p w14:paraId="31D893A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缩放：对于数据量较大或包含多个数据系列的图表，提供缩放功能。用户可通过鼠标滚轮或界面上的缩放按钮进行缩放操作，方便查看图表细节信息。</w:t>
            </w:r>
          </w:p>
          <w:p w14:paraId="2AE1D56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图表置换与下载：在图表右上角设置“图表置换”按钮，用户点击该按钮后，图表可转换为表格形式展示数据，方便用户查看详细数据内容。同时，支持整张报表或单张图表的下载功能，用户可根据需求选择下载格式。在下载过程中，系统自动保留报表的格式设置、数据筛选条件等信息，确保下载后的文件与报表在系统中的展示效果一致，方便用户进行数据保存与分享。</w:t>
            </w:r>
          </w:p>
          <w:p w14:paraId="2CE0B569">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4.2.3.7.4.5数据标签与注释</w:t>
            </w:r>
          </w:p>
          <w:p w14:paraId="63D77F9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标签：在图表中合理添加数据标签，确保数据信息直观呈现。对于柱状图、折线图等，将数据标签置于柱体顶部或折线数据点上方，使用深色系字体，字号为10-12px；对于饼图、圆环图，将数据标签直接标注在扇区内或扇区外侧，采用与扇区颜色形成高对比度的字体增强可读性。</w:t>
            </w:r>
          </w:p>
          <w:p w14:paraId="47A681D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释与说明：在报表适当位置添加必要的注释与说明，解释数据来源、统计口径、特殊指标含义等信息。注释文字采用浅色系字体，字号为10-12px，置于图表下方或页面侧边栏，确保不影响图表整体美观度，同时为用户准确理解数据提供支持。</w:t>
            </w:r>
          </w:p>
          <w:p w14:paraId="7ED1B30A">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4.2.3.7.5可视化呈现</w:t>
            </w:r>
          </w:p>
          <w:p w14:paraId="4DEC99E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4.2.3.7.5.1决策看板</w:t>
            </w:r>
          </w:p>
          <w:p w14:paraId="0F66D5D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决策看板又名决策驾驶舱其主要作用是通过各种常见的图表（条形图、柱形图、折线图、饼图、雷达图等）形象标示行业运行状态的关键指标。系统提供的决策看板功能为决策层提供核心卫生数据展示，并通过移动终端等设备向领导定期推送核心卫生数据。</w:t>
            </w:r>
          </w:p>
          <w:p w14:paraId="77DCB3F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决策看板门户中的内容可由用户自行定义，可以将地图、各种统计图、报表组合起来，设置成直观的呈现形式，并定义关键维度的钻取，以全面呈现数据。</w:t>
            </w:r>
          </w:p>
          <w:p w14:paraId="1144FD6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4.2.3.7.5.2专题分析</w:t>
            </w:r>
          </w:p>
          <w:p w14:paraId="67DFC2E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卫生数据统计决策分析系统的专题分析板块中，卫生资源分析作为核心功能之一，对卫生机构数据进行深度剖析，为卫生管理部门、医疗机构及相关研究人员提供精准、全面的数据支持与决策依据。其中，卫生机构数据统计分析以独特的双重经济类型维度，构建起细致入微的数据洞察体系。</w:t>
            </w:r>
          </w:p>
          <w:p w14:paraId="79B1942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4.2.3.7.5.2.1卫生资源</w:t>
            </w:r>
          </w:p>
          <w:p w14:paraId="5E78AB11">
            <w:pPr>
              <w:pStyle w:val="12"/>
              <w:numPr>
                <w:ilvl w:val="7"/>
                <w:numId w:val="0"/>
              </w:numPr>
              <w:rPr>
                <w:rFonts w:hint="eastAsia" w:ascii="仿宋" w:hAnsi="仿宋" w:eastAsia="仿宋" w:cs="仿宋"/>
                <w:sz w:val="21"/>
              </w:rPr>
            </w:pPr>
            <w:r>
              <w:rPr>
                <w:rFonts w:hint="eastAsia" w:ascii="仿宋" w:hAnsi="仿宋" w:eastAsia="仿宋" w:cs="仿宋"/>
                <w:sz w:val="21"/>
              </w:rPr>
              <w:t>4.2.3.7.5.2.1.1卫生机构</w:t>
            </w:r>
          </w:p>
          <w:p w14:paraId="6C36C0BC">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4.2.3.7.5.2.1.1.1</w:t>
            </w:r>
            <w:r>
              <w:rPr>
                <w:rFonts w:hint="eastAsia" w:ascii="仿宋" w:hAnsi="仿宋" w:eastAsia="仿宋" w:cs="仿宋"/>
                <w:szCs w:val="21"/>
              </w:rPr>
              <w:t>按经济类型分</w:t>
            </w:r>
          </w:p>
          <w:p w14:paraId="7B5C466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以国有、集体、联营、私营、其他，以及公立、民营这两种经济类型分类方式，对卫生机构数据展开双重维度分析。这种设计打破传统单一维度的局限，能够更立体、多视角地呈现卫生机构在市场经济环境下的运营格局与发展态势。数据更新机制采用年度与月度动态更新模式，确保数据始终保持时效性与准确性，为用户提供最新鲜的卫生机构数据动态。无论是观察行业年度发展趋势，还是捕捉月度细微变化，系统均能满足需求。</w:t>
            </w:r>
          </w:p>
          <w:p w14:paraId="74FB8DC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呈现与交互层面，系统支持图表置换与数据逐级下钻操作。用户可根据分析需求确定采用柱状图、折线图或饼图等多种图表形式，以最直观的方式呈现历年、历月各地区医疗卫生机构数量及增长趋势。通过数据逐级下钻，从全省宏观数据深入到市、县，甚至具体医疗机构，精准定位并获取各类医疗卫生机构详细数据信息。例如，卫生管理部门可借助该功能快速掌握某地区民营医疗机构数量的月度变化，评估市场竞争态势；研究人员能够深入分析不同经济类型医疗机构在特定年份的增长趋势，为行业发展研究提供详实数据基础。</w:t>
            </w:r>
          </w:p>
          <w:p w14:paraId="074CE88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过这一功能模块的高效运作，不仅能够助力相关单位快速把握卫生机构发展脉络，还能为优化卫生资源配置、制定科学行业政策提供有力的数据支撑，切实提升卫生数据在决策层面的应用价值，推动卫生事业朝着更加合理、高效的方向发展。</w:t>
            </w:r>
          </w:p>
          <w:p w14:paraId="4E1B034C">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4.2.3.7.5.2.1.1.2</w:t>
            </w:r>
            <w:r>
              <w:rPr>
                <w:rFonts w:hint="eastAsia" w:ascii="仿宋" w:hAnsi="仿宋" w:eastAsia="仿宋" w:cs="仿宋"/>
                <w:szCs w:val="21"/>
              </w:rPr>
              <w:t>按主办单位分</w:t>
            </w:r>
          </w:p>
          <w:p w14:paraId="2BC21E5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中按主办单位分的数据分析维度，是精准洞察卫生机构格局与发展动态的关键一环。这一功能聚焦政府办、社会办、个人办三种主办单位类型，通过系统化的数据采集、动态更新与深度分析，为卫生行业决策提供极具针对性的支撑。</w:t>
            </w:r>
          </w:p>
          <w:p w14:paraId="5F79FE0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以政府办、社会办、个人办为分类基准，构建起完善的数据统计框架。这种分类方式深度契合我国卫生机构多元化的办医格局，能够清晰呈现不同主体在卫生服务供给中的角色与贡献。依托年度、月度动态数据更新机制，系统持续追踪各主办单位所属卫生机构的数量变化、资源配置调整等信息，确保数据实时反映行业发展现状。无论是研究宏观卫生政策对不同办医主体的影响，还是监测区域内社会办医机构的扩张趋势，系统都能提供及时、准确的数据依据。</w:t>
            </w:r>
          </w:p>
          <w:p w14:paraId="119FF6C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交互与可视化层面，系统延续图表置换与数据逐级下钻的高效操作模式。用户可自由切换柱状图、折线图、面积图等可视化形式，直观对比历年、历月各地区不同主办单位医疗卫生机构数量及其增长趋势。通过数据逐级下钻功能，从全省总量数据逐步深入至市级、区县，甚至具体医疗机构，全面获取各类卫生机构的详细信息。例如，卫生规划部门可借此快速掌握某地区政府办医疗机构的年度布局调整情况，评估公共卫生服务覆盖能力。</w:t>
            </w:r>
          </w:p>
          <w:p w14:paraId="64A2BD7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主办单位分的数据分析功能，凭借科学的分类体系、动态的数据更新与强大的交互能力，助力卫生管理部门优化资源配置、完善行业政策，推动社会办医与个人办医健康发展，为构建更加均衡、高效的医疗卫生服务体系提供坚实的数据保障，切实提升卫生数据在行业规划与决策中的应用效能。</w:t>
            </w:r>
          </w:p>
          <w:p w14:paraId="0BDF8162">
            <w:pPr>
              <w:pStyle w:val="12"/>
              <w:numPr>
                <w:ilvl w:val="7"/>
                <w:numId w:val="0"/>
              </w:numPr>
              <w:rPr>
                <w:rFonts w:hint="eastAsia" w:ascii="仿宋" w:hAnsi="仿宋" w:eastAsia="仿宋" w:cs="仿宋"/>
                <w:sz w:val="21"/>
              </w:rPr>
            </w:pPr>
            <w:r>
              <w:rPr>
                <w:rFonts w:hint="eastAsia" w:ascii="仿宋" w:hAnsi="仿宋" w:eastAsia="仿宋" w:cs="仿宋"/>
                <w:sz w:val="21"/>
              </w:rPr>
              <w:t>4.2.3.7.5.2.1.2卫生床位</w:t>
            </w:r>
          </w:p>
          <w:p w14:paraId="232B7874">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4.2.3.7.5.2.1.2.1</w:t>
            </w:r>
            <w:r>
              <w:rPr>
                <w:rFonts w:hint="eastAsia" w:ascii="仿宋" w:hAnsi="仿宋" w:eastAsia="仿宋" w:cs="仿宋"/>
                <w:szCs w:val="21"/>
              </w:rPr>
              <w:t>编制床位</w:t>
            </w:r>
          </w:p>
          <w:p w14:paraId="163D154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编制床位的数据分析维度，是衡量医疗服务承载能力、优化资源配置的重要抓手。该模块以精细化的数据管理与深度分析能力，为卫生行业科学决策提供坚实的数据支撑。</w:t>
            </w:r>
          </w:p>
          <w:p w14:paraId="651529D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围绕编制床位数据，构建起完备的年度、月度动态监测体系。通过持续采集与更新数据，实时追踪各地区编制床位数量的变化趋势，确保数据能够及时反映医疗资源配置的最新动态。无论是应对区域医疗需求增长，还是落实医疗体系改革政策，动态更新的数据都能为管理者提供精准的现状参考与趋势预判。</w:t>
            </w:r>
          </w:p>
          <w:p w14:paraId="2D8C9DA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呈现与交互方面，系统采用图表置换与数据逐级下钻的强大功能组合。用户可根据分析需求，灵活切换折线图、柱状图、堆积图等可视化图表，直观呈现历年、历月各地区编制床位数量及其增长趋势。通过数据逐级下钻，能够从全省总量数据深入到市级、区县，甚至具体医疗机构，详细获取不同层级、不同类型编制床位的具体信息。例如，卫生行政部门可利用该功能分析某地区三甲医院编制床位的年度增长情况，评估区域高端医疗资源的供给能力；</w:t>
            </w:r>
          </w:p>
          <w:p w14:paraId="607020C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制床位数据分析功能凭借动态化的数据更新机制与交互式的分析手段，帮助卫生管理部门合理规划医疗资源布局、优化编制床位配置，助力医疗机构提升资源使用效率，有效解决医疗资源供需矛盾，对推动医疗卫生服务体系高质量发展、提升整体服务水平具有重要意义。</w:t>
            </w:r>
          </w:p>
          <w:p w14:paraId="5093A475">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4.2.3.7.5.2.1.2.2</w:t>
            </w:r>
            <w:r>
              <w:rPr>
                <w:rFonts w:hint="eastAsia" w:ascii="仿宋" w:hAnsi="仿宋" w:eastAsia="仿宋" w:cs="仿宋"/>
                <w:szCs w:val="21"/>
              </w:rPr>
              <w:t>实有床位</w:t>
            </w:r>
          </w:p>
          <w:p w14:paraId="4688001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实有床位数据分析维度更是反映医疗资源实际利用情况的核心指标。该模块通过构建精准、动态的数据监测与分析体系，为卫生管理部门、医疗机构制定科学决策提供直接且有效的数据依据。</w:t>
            </w:r>
          </w:p>
          <w:p w14:paraId="6AB9FB2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针对实有床位数据，搭建起覆盖年度与月度的全周期动态监测框架。通过持续且高效的数据采集与更新机制，实时捕捉各地区实有床位数量的变化轨迹，确保数据能够精准呈现医疗资源的实际配置状态。无论是应对突发公共卫生事件导致的床位需求激增，还是跟踪区域常住人口增长带来的长期医疗需求变化，系统提供的动态数据都能让管理者第一时间掌握医疗资源供给的实时情况，为快速响应与科学决策赢得先机。</w:t>
            </w:r>
          </w:p>
          <w:p w14:paraId="2C4EAFC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交互与可视化层面，系统延续了强大的图表置换与数据逐级下钻功能。用户可根据分析需求，自由切换折线图、热力图、瀑布图等多种可视化图表形式，直观对比历年、历月各地区实有床位数量及增长趋势。借助数据逐级下钻功能，能够从宏观的全省实有床位总量，层层深入至市、县乃至具体医疗机构，精准获取不同层级、不同类型实有床位的详细信息。例如，在疫情防控期间，卫生管理部门可通过该功能迅速掌握各地区定点医院实有床位的储备与使用情况，合理调配医疗资源。</w:t>
            </w:r>
          </w:p>
          <w:p w14:paraId="01FE52D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有床位数据分析功能凭借其动态化的数据更新机制、灵活多样的交互分析手段，不仅能够帮助卫生管理部门优化区域医疗资源布局、提升资源利用效率，还能助力医疗机构精准规划床位配置、提高服务质量，切实缓解医疗资源供需矛盾，为推动医疗卫生服务体系的高效运转和高质量发展筑牢数据根基。</w:t>
            </w:r>
          </w:p>
          <w:p w14:paraId="50630558">
            <w:pPr>
              <w:pStyle w:val="12"/>
              <w:numPr>
                <w:ilvl w:val="7"/>
                <w:numId w:val="0"/>
              </w:numPr>
              <w:rPr>
                <w:rFonts w:hint="eastAsia" w:ascii="仿宋" w:hAnsi="仿宋" w:eastAsia="仿宋" w:cs="仿宋"/>
                <w:sz w:val="21"/>
              </w:rPr>
            </w:pPr>
            <w:r>
              <w:rPr>
                <w:rFonts w:hint="eastAsia" w:ascii="仿宋" w:hAnsi="仿宋" w:eastAsia="仿宋" w:cs="仿宋"/>
                <w:sz w:val="21"/>
              </w:rPr>
              <w:t>4.2.3.7.5.2.1.3卫生人员</w:t>
            </w:r>
          </w:p>
          <w:p w14:paraId="622C3C1E">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4.2.3.7.5.2.1.3.1</w:t>
            </w:r>
            <w:r>
              <w:rPr>
                <w:rFonts w:hint="eastAsia" w:ascii="仿宋" w:hAnsi="仿宋" w:eastAsia="仿宋" w:cs="仿宋"/>
                <w:szCs w:val="21"/>
              </w:rPr>
              <w:t>在岗职工</w:t>
            </w:r>
          </w:p>
          <w:p w14:paraId="7A1D404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岗职工的数据分析维度更是衡量医疗卫生机构运营效能和人才储备状况的关键指标。该模块通过构建系统化、精细化的数据管理体系，为卫生行政部门制定人才政策、医疗机构优化人员结构提供坚实的数据支撑。</w:t>
            </w:r>
          </w:p>
          <w:p w14:paraId="5F1C92C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搭建起覆盖年度与月度的在岗职工动态监测网络，通过多渠道数据采集与实时更新机制，全面追踪各地区在岗职工数量变化、人员流动趋势、岗位结构分布等核心信息。无论是应对人口老龄化加剧带来的医疗服务人员需求增长，还是适应新医改政策对基层医疗人才队伍建设的要求，系统提供的动态数据都能精准反映在岗职工资源的实际供需格局，为卫生行业人力资源的战略规划和精准调配提供可靠依据。</w:t>
            </w:r>
          </w:p>
          <w:p w14:paraId="4F0B5AC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交互与可视化层面，系统配备图表置换与数据逐级下钻的强大功能组合。用户可根据分析需求，自由切换折线图、柱状堆积图、桑基图等多种可视化图表，直观呈现历年、历月各地区在岗职工数量增长趋势及人员结构变化。通过数据逐级下钻，能够从全省总量数据深入到市级、区县，直至具体医疗机构，详细获取不同层级、不同机构类别（如医院、基层医疗卫生机构、专业公共卫生机构等）在岗职工的学历层次、职称分布、年龄结构等详细信息。例如，卫生管理部门可利用该功能快速掌握某地区基层医疗机构在岗职工数量的年度增长情况，评估基层医疗人才队伍建设成效。</w:t>
            </w:r>
          </w:p>
          <w:p w14:paraId="2D31BCD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岗职工数据分析功能凭借动态的数据更新机制与高效的交互分析能力，不仅能够助力卫生管理部门科学规划区域卫生人才队伍建设，完善人才培养与引进政策，还能帮助医疗机构精细化管理人力资源，提高人员使用效率，为推动医疗卫生服务体系高质量发展、构建合理有序的人才梯队提供坚实的数据保障</w:t>
            </w:r>
          </w:p>
          <w:p w14:paraId="1368499F">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4.2.3.7.5.2.1.3.2</w:t>
            </w:r>
            <w:r>
              <w:rPr>
                <w:rFonts w:hint="eastAsia" w:ascii="仿宋" w:hAnsi="仿宋" w:eastAsia="仿宋" w:cs="仿宋"/>
                <w:szCs w:val="21"/>
              </w:rPr>
              <w:t>卫生技术人员</w:t>
            </w:r>
          </w:p>
          <w:p w14:paraId="5DD15D9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技术人员的数据分析维度更是直接关乎医疗服务质量与专业能力的关键要素。该模块通过构建智能化、全周期的数据监测与分析体系，为卫生行政部门统筹人才布局、医疗机构强化专业队伍建设提供精准的数据驱动支持。</w:t>
            </w:r>
          </w:p>
          <w:p w14:paraId="7251DF0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构建了覆盖年度与月度的卫生技术人员动态监测体系，依托多源数据采集渠道与实时更新机制，全方位追踪各地区卫生技术人员数量变化、从事专业类别分布等核心数据。面对分级诊疗推进过程中对基层卫生技术力量的需求变化，或是新兴医疗技术发展催生的专业人才缺口，系统提供的动态数据能够精准反映卫生技术人员资源的供需态势，为前瞻性制定人才培养计划、优化资源配置提供科学依据。</w:t>
            </w:r>
          </w:p>
          <w:p w14:paraId="12A4507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交互与可视化层面，系统集成图表置换与数据逐级下钻的强大功能。用户可根据分析需求，灵活切换折线图、雷达图、树状图等多样化可视化图表，直观呈现历年、历月各地区卫生技术人员数量增长趋势、专业结构演变情况。借助数据逐级下钻功能，可从全省宏观数据层层深入至市级、区县，乃至具体医疗机构，详细获取不同层级、不同机构类别（如综合医院、专科医院、社区卫生服务中心等）卫生技术人员的从事专业类型等详细信息。例如，卫生管理部门可利用该功能快速掌握某地区基层医疗卫生机构中全科医生数量的年度增长趋势，评估分级诊疗政策的落实成效。</w:t>
            </w:r>
          </w:p>
          <w:p w14:paraId="22B9D7C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技术人员数据分析功能凭借动态的数据更新机制、灵活的交互分析手段，不仅能够助力卫生管理部门完善卫生人才发展战略、推动区域卫生技术人才均衡发展，还能赋能医疗机构实现人力资源的精细化管理，优化专业技术队伍结构，为提升医疗卫生服务的整体水平、构建高质量医疗服务体系筑牢人才数据基石。</w:t>
            </w:r>
          </w:p>
          <w:p w14:paraId="4EC6463E">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4.2.3.7.5.2.1.3.3</w:t>
            </w:r>
            <w:r>
              <w:rPr>
                <w:rFonts w:hint="eastAsia" w:ascii="仿宋" w:hAnsi="仿宋" w:eastAsia="仿宋" w:cs="仿宋"/>
                <w:szCs w:val="21"/>
              </w:rPr>
              <w:t>执业（助理）医师</w:t>
            </w:r>
          </w:p>
          <w:p w14:paraId="5415FBB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执业（助理）医师的数据分析维度更是衡量医疗服务能力、保障医疗质量安全的核心指标。该模块通过构建高精准、全维度的数据监测与分析体系，为卫生行政部门优化医疗人才战略布局、医疗机构提升临床诊疗水平提供坚实的数据决策支撑。</w:t>
            </w:r>
          </w:p>
          <w:p w14:paraId="4732CD4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建立起覆盖年度与月度的执业（助理）医师动态监测网络，依托多部门协同的数据采集机制与按期更新技术，全面追踪各地区执业（助理）医师数量变化。系统提供的动态数据能精准呈现执业（助理）医师资源的供需格局，为科学制定医师队伍培养计划、合理配置医疗人力资源提供可靠依据。</w:t>
            </w:r>
          </w:p>
          <w:p w14:paraId="0EDE70B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交互与可视化层面，系统配备图表置换与数据逐级下钻的高效功能模块。用户可根据分析需求，灵活切换折线图、面积图、旭日图等多样化可视化图表，直观展示历年、历月各地区执业（助理）医师数量增长趋势、专业结构调整情况。借助数据逐级下钻功能，能够从全省总量数据深入至市级、区县，直至具体医疗机构，详细获取不同层级、不同机构类别（如综合医院、中医医院、乡镇卫生院等）执业（助理）医师的年龄结构、职称等级、执业年限等详细信息。例如，卫生管理部门可利用该功能快速掌握某地区基层医疗机构中全科执业（助理）医师数量的月度增长趋势，评估家庭医生签约服务的推进成效；</w:t>
            </w:r>
          </w:p>
          <w:p w14:paraId="4AC9C13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执业（助理）医师数据分析功能凭借动态化的数据更新机制、灵活的交互分析手段，不仅能够助力卫生管理部门完善医师人才发展政策、推动区域医疗资源均衡配置，还能赋能医疗机构实现医师队伍的精细化管理，提升医疗服务的专业性与安全性，为构建高质量医疗卫生服务体系、保障人民群众健康需求筑牢人才数据根基。</w:t>
            </w:r>
          </w:p>
          <w:p w14:paraId="4D535FB0">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4.2.3.7.5.2.1.3.4</w:t>
            </w:r>
            <w:r>
              <w:rPr>
                <w:rFonts w:hint="eastAsia" w:ascii="仿宋" w:hAnsi="仿宋" w:eastAsia="仿宋" w:cs="仿宋"/>
                <w:szCs w:val="21"/>
              </w:rPr>
              <w:t>注册护士</w:t>
            </w:r>
          </w:p>
          <w:p w14:paraId="39E0DF5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注册护士的数据分析维度是衡量护理服务水平、保障患者安全的重要依据。该模块通过搭建精准、全面的数据监测与分析体系，为卫生行政部门优化护理人才规划、医疗机构提升护理服务质量提供关键数据支撑。</w:t>
            </w:r>
          </w:p>
          <w:p w14:paraId="124733F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构建了覆盖年度与月度的注册护士动态监测网络，借助多部门协同的数据采集机制和定期更新技术，实时追踪各地区注册护士数量变化。通过动态数据，能够清晰呈现注册护士资源的供需状况，为科学制定护理人才培养计划、合理分配护理人力资源提供可靠的数据基础。</w:t>
            </w:r>
          </w:p>
          <w:p w14:paraId="7F94443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交互与可视化展示方面，系统具备图表切换与数据深度下钻功能。用户可依据分析需求，自由切换折线图、柱状图、饼图等多种可视化图表，直观展现历年、历月各地区注册护士数量增减趋势、学历结构分布、专科护士占比变化等情况。利用数据逐级下钻功能，能从省级总量数据深入到市级、区县，乃至具体医疗机构，详细获取不同层级、不同机构类型（如综合医院、专科医院、社区卫生服务中心等）注册护士的年龄分布、职称等级、工作年限等详细信息。例如，卫生管理部门可借助该功能快速掌握某地区基层医疗机构中注册护士的数量变化趋势，评估基层护理服务能力建设成效。</w:t>
            </w:r>
          </w:p>
          <w:p w14:paraId="440D99F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册护士数据分析功能凭借动态更新的数据机制、灵活的交互分析模式，不仅助力卫生管理部门完善护理人才发展政策、推动护理资源均衡配置，还能赋能医疗机构实现护士队伍的精细化管理，提升护理服务的专业性与安全性，为构建高质量医疗卫生服务体系、满足人民群众护理需求筑牢数据基石。</w:t>
            </w:r>
          </w:p>
          <w:p w14:paraId="7739CEBD">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4.2.3.7.5.2.1.3.5</w:t>
            </w:r>
            <w:r>
              <w:rPr>
                <w:rFonts w:hint="eastAsia" w:ascii="仿宋" w:hAnsi="仿宋" w:eastAsia="仿宋" w:cs="仿宋"/>
                <w:szCs w:val="21"/>
              </w:rPr>
              <w:t>人力个案分析</w:t>
            </w:r>
          </w:p>
          <w:p w14:paraId="628FE9E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人员的人力个案分析功能，是实现医疗人才精细化管理与精准决策的关键模块。该模块聚焦执业（助理）医师个体数据，通过实时动态数据采集与深度剖析，为卫生行政部门制定个性化人才政策、医疗机构开展精准化人力资源管理提供强有力的数据支撑。</w:t>
            </w:r>
          </w:p>
          <w:p w14:paraId="27C281F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构建了实时报动态数据采集机制，突破传统周期化数据更新模式，能够对执业（助理）医师的个体信息进行即时追踪与更新。无论是医师的职称晋升、学历提升，还是岗位调动、执业地点变更等动态变化，系统均能迅速捕捉，确保数据的时效性与精准性。这一特性尤其适用于应对突发公共卫生事件时的人才调配，或是快速响应区域医疗服务需求变化，帮助管理者及时掌握人才队伍的最新状态。</w:t>
            </w:r>
          </w:p>
          <w:p w14:paraId="674295F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交互与可视化方面，系统提供图表置换与数据逐级下钻的深度分析功能。用户可根据需求，自由切换散点图、箱线图、平行坐标图等多样化可视化图表，直观呈现某时间节点各地区人力个案在年龄、学历、职称等维度的分布与变化趋势。借助数据逐级下钻，能够从宏观的全省数据层面，层层深入到具体市级、区县或医疗机构，甚至细化到每位医师个体，详细获取不同机构类别下人力个案的完整数据信息，包括执业年限、专业领域、科研成果、培训经历等。例如，医院管理者能精准分析本院重点科室医师的学历构成与科研潜力，为人才培养和学科建设制定个性化方案。</w:t>
            </w:r>
          </w:p>
          <w:p w14:paraId="42137E0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力个案分析功能凭借实时化的数据更新机制、灵活的交互分析手段，不仅能够助力卫生管理部门实现人才资源的动态监测与科学规划，还能赋能医疗机构开展精细化的人力资源管理，提升人才使用效率，优化人才队伍结构，为推动医疗卫生服务体系高质量发展提供精准的数据驱动支持。</w:t>
            </w:r>
          </w:p>
          <w:p w14:paraId="00672CC9">
            <w:pPr>
              <w:pStyle w:val="12"/>
              <w:numPr>
                <w:ilvl w:val="7"/>
                <w:numId w:val="0"/>
              </w:numPr>
              <w:rPr>
                <w:rFonts w:hint="eastAsia" w:ascii="仿宋" w:hAnsi="仿宋" w:eastAsia="仿宋" w:cs="仿宋"/>
                <w:sz w:val="21"/>
              </w:rPr>
            </w:pPr>
            <w:r>
              <w:rPr>
                <w:rFonts w:hint="eastAsia" w:ascii="仿宋" w:hAnsi="仿宋" w:eastAsia="仿宋" w:cs="仿宋"/>
                <w:sz w:val="21"/>
              </w:rPr>
              <w:t>4.2.3.7.5.2.1.4收入与支出</w:t>
            </w:r>
          </w:p>
          <w:p w14:paraId="39502F9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资源板块下的收入与支出分析模块是衡量医疗卫生机构经济运营状况、优化资源配置的核心工具。该模块通过系统化、精细化的数据采集与分析，深度剖析总收入、医疗收入、药品收入、总支出、医疗支出及药品费等关键指标，为卫生行政部门制定行业政策、医疗机构强化财务管理提供精准的数据支撑。</w:t>
            </w:r>
          </w:p>
          <w:p w14:paraId="304F2A5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构建了覆盖年度与月度的动态数据监测体系，通过多源数据整合与实时更新机制，持续追踪各地区、各机构收入与支出数据的变化情况。无论是应对医保支付方式改革带来的收入结构调整，还是管控医疗成本上涨压力，动态更新的数据能够及时、准确反映医疗机构经济运行态势，助力管理者快速做出响应。</w:t>
            </w:r>
          </w:p>
          <w:p w14:paraId="750BDAB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收入与支出分析模块凭借动态的数据更新机制、丰富的可视化图表与强大的下钻分析功能，不仅能够帮助卫生管理部门宏观调控行业经济运行，推动医疗资源合理配置，还能助力医疗机构实现精细化财务管理，提升运营效益，为医疗卫生事业的可持续发展提供坚实的数据保障。</w:t>
            </w:r>
          </w:p>
          <w:p w14:paraId="3426A988">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4.2.3.7.5.2.1.4.1</w:t>
            </w:r>
            <w:r>
              <w:rPr>
                <w:rFonts w:hint="eastAsia" w:ascii="仿宋" w:hAnsi="仿宋" w:eastAsia="仿宋" w:cs="仿宋"/>
                <w:szCs w:val="21"/>
              </w:rPr>
              <w:t>总收入</w:t>
            </w:r>
          </w:p>
          <w:p w14:paraId="6FE417C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收入聚焦医疗机构的全部收入来源，系统通过整合财政补助、医疗服务收费、药品收入、科教收入等多渠道数据，实现对总收入的全面统计与动态分析。用户可利用图表置换功能，通过折线图直观呈现历年、历月各地区医疗机构总收入的增长趋势，或借助饼图对比不同收入来源占比。数据逐级下钻功能支持从全省总收入数据深入到市级、区县，乃至具体医疗机构，帮助卫生管理部门评估区域医疗经济发展水平，辅助医疗机构制定年度预算与战略规划。</w:t>
            </w:r>
          </w:p>
          <w:p w14:paraId="4B9DE416">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4.2.3.7.5.2.1.4.2</w:t>
            </w:r>
            <w:r>
              <w:rPr>
                <w:rFonts w:hint="eastAsia" w:ascii="仿宋" w:hAnsi="仿宋" w:eastAsia="仿宋" w:cs="仿宋"/>
                <w:szCs w:val="21"/>
              </w:rPr>
              <w:t>医疗收入</w:t>
            </w:r>
          </w:p>
          <w:p w14:paraId="3AD9E80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收入重点分析诊疗、检查、手术等医疗服务产生的收入数据。用户通过切换堆积柱状图，可清晰对比各地区不同医疗机构间医疗收入构成差异；通过数据下钻，医疗机构管理者能够精准定位高收益与低效率业务，为优化服务定价、调整科室资源配置提供依据，提升医疗服务的经济效益。</w:t>
            </w:r>
          </w:p>
          <w:p w14:paraId="704356DC">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4.2.3.7.5.2.1.4.3</w:t>
            </w:r>
            <w:r>
              <w:rPr>
                <w:rFonts w:hint="eastAsia" w:ascii="仿宋" w:hAnsi="仿宋" w:eastAsia="仿宋" w:cs="仿宋"/>
                <w:szCs w:val="21"/>
              </w:rPr>
              <w:t>总费用</w:t>
            </w:r>
          </w:p>
          <w:p w14:paraId="5B03FC1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支出模块对医疗机构运营过程中的全部成本进行统计分析，涵盖人员薪酬、设备采购、基建投入、药品耗材等各项支出。系统通过动态数据监测，及时发现支出异常波动。用户借助图表可视化，能够直观了解各地区、各机构总支出的增长趋势与结构分布；通过数据下钻，可进一步探究具体支出项目超支原因，帮助卫生管理部门监管行业成本，助力医疗机构强化预算管控与成本优化。</w:t>
            </w:r>
          </w:p>
          <w:p w14:paraId="3BB020A0">
            <w:pPr>
              <w:pStyle w:val="12"/>
              <w:numPr>
                <w:ilvl w:val="7"/>
                <w:numId w:val="0"/>
              </w:numPr>
              <w:rPr>
                <w:rFonts w:hint="eastAsia" w:ascii="仿宋" w:hAnsi="仿宋" w:eastAsia="仿宋" w:cs="仿宋"/>
                <w:sz w:val="21"/>
              </w:rPr>
            </w:pPr>
            <w:r>
              <w:rPr>
                <w:rFonts w:hint="eastAsia" w:ascii="仿宋" w:hAnsi="仿宋" w:eastAsia="仿宋" w:cs="仿宋"/>
                <w:sz w:val="21"/>
              </w:rPr>
              <w:t>4.2.3.7.5.2.1.5卫生设备</w:t>
            </w:r>
          </w:p>
          <w:p w14:paraId="5950332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资源板块下的卫生设备分析模块是评估医疗机构硬件实力、优化设备资源配置的核心模块。该模块通过构建标准化、动态化的数据监测体系，对万元以上设备总价值、万元以上设备台数等关键指标进行深度剖析，为卫生行政部门统筹区域医疗资源布局、医疗机构制定设备采购与管理策略提供精准的数据支撑。</w:t>
            </w:r>
          </w:p>
          <w:p w14:paraId="5458B83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建立覆盖年度与月度的动态数据采集机制，借助多源数据整合技术，实时追踪各地区、各医疗机构卫生设备的数量变化、价值波动及使用效率等信息。无论是应对区域医疗服务需求优化带来的设备更新需求，还是落实医疗设备分级管理政策，动态更新的数据能够及时、准确反映卫生设备资源的实际状况，助力管理者快速做出科学决策。</w:t>
            </w:r>
          </w:p>
          <w:p w14:paraId="4379506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设备”分析模块凭借动态的数据更新机制、灵活的可视化图表与强大的下钻分析功能，不仅能够帮助卫生管理部门科学规划区域医疗设备布局，推动资源均衡配置，还能助力医疗机构实现设备全生命周期的精细化管理，提升设备使用效益，为构建高效、可持续的医疗卫生服务体系提供坚实的数据保障。</w:t>
            </w:r>
          </w:p>
          <w:p w14:paraId="26A7FA93">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4.2.3.7.5.2.1.5.1</w:t>
            </w:r>
            <w:r>
              <w:rPr>
                <w:rFonts w:hint="eastAsia" w:ascii="仿宋" w:hAnsi="仿宋" w:eastAsia="仿宋" w:cs="仿宋"/>
                <w:szCs w:val="21"/>
              </w:rPr>
              <w:t>万元以上设备总价值</w:t>
            </w:r>
          </w:p>
          <w:p w14:paraId="22B27E7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万元以上设备总价值聚焦医疗机构万元以上设备的资产价值，系统通过整合设备购置价格、折旧情况、市场增值或减值等数据，实现对设备总价值的全面统计与动态分析。用户可利用图表置换功能，通过折线图直观呈现历年、历月各地区医疗机构万元以上设备总价值的增长趋势；借助饼图对比不同机构类型设备资产价值占比。数据逐级下钻功能支持从全省总价值数据深入到市级、区县，乃至具体医疗机构，帮助卫生管理部门评估区域医疗设备资产配置的合理性，辅助医疗机构制定设备更新预算，优化固定资产管理策略。</w:t>
            </w:r>
          </w:p>
          <w:p w14:paraId="17EE26A8">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4.2.3.7.5.2.1.5.2</w:t>
            </w:r>
            <w:r>
              <w:rPr>
                <w:rFonts w:hint="eastAsia" w:ascii="仿宋" w:hAnsi="仿宋" w:eastAsia="仿宋" w:cs="仿宋"/>
                <w:szCs w:val="21"/>
              </w:rPr>
              <w:t>万元以上设备台数</w:t>
            </w:r>
          </w:p>
          <w:p w14:paraId="75F3C69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万元以上设备台数着重统计万元以上设备的数量情况，系统结合设备类型、购置时间、使用科室等信息，深入分析设备数量的变化趋势与分布特点。用户通过切换柱状图，可清晰对比各地区不同医疗机构间万元以上设备台数的差异；利用数据下钻功能，能够从宏观的区域设备总量数据，层层深入到具体医疗机构，详细获取不同类别设备的数量分布，为优化设备资源配置提供依据。</w:t>
            </w:r>
          </w:p>
          <w:p w14:paraId="693A46D0">
            <w:pPr>
              <w:pStyle w:val="12"/>
              <w:numPr>
                <w:ilvl w:val="7"/>
                <w:numId w:val="0"/>
              </w:numPr>
              <w:rPr>
                <w:rFonts w:hint="eastAsia" w:ascii="仿宋" w:hAnsi="仿宋" w:eastAsia="仿宋" w:cs="仿宋"/>
                <w:sz w:val="21"/>
              </w:rPr>
            </w:pPr>
            <w:r>
              <w:rPr>
                <w:rFonts w:hint="eastAsia" w:ascii="仿宋" w:hAnsi="仿宋" w:eastAsia="仿宋" w:cs="仿宋"/>
                <w:sz w:val="21"/>
              </w:rPr>
              <w:t>4.2.3.7.5.2.1.6房屋及基本情况</w:t>
            </w:r>
          </w:p>
          <w:p w14:paraId="5EEC5EC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资源板块下的房屋及基本情况分析模块是衡量医疗机构空间资源配置合理性、评估运营成本的关键工具。该模块通过建立系统化、动态化的数据监测体系，深度剖析房屋建筑面积、租房面积、本年房屋租金、每床占用面积、每机构房屋建筑面积等核心指标，为卫生行政部门优化区域医疗设施布局、医疗机构提升空间使用效率提供精准的数据支持。</w:t>
            </w:r>
          </w:p>
          <w:p w14:paraId="43B49F3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构建了覆盖年度的动态数据采集机制，借助多源数据整合技术，实时追踪各地区、各医疗机构房屋资源的使用状态、面积变化及成本投入等信息。无论是应对人口增长带来的医疗空间需求变化，还是落实医疗设施标准化建设政策，动态更新的数据能够及时、准确反映房屋资源的实际状况，助力管理者快速做出科学决策。</w:t>
            </w:r>
          </w:p>
          <w:p w14:paraId="5D90289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房屋及基本情况分析模块凭借动态的数据更新机制、灵活的可视化图表与强大的下钻分析功能，不仅能够帮助卫生管理部门科学规划区域医疗设施布局，推动资源合理配置，还能助力医疗机构实现房屋资源的精细化管理，提升空间使用效率，降低运营成本，为构建高效、舒适的医疗卫生服务环境提供坚实的数据保障。</w:t>
            </w:r>
          </w:p>
          <w:p w14:paraId="0691EA94">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4.2.3.7.5.2.1.6.1</w:t>
            </w:r>
            <w:r>
              <w:rPr>
                <w:rFonts w:hint="eastAsia" w:ascii="仿宋" w:hAnsi="仿宋" w:eastAsia="仿宋" w:cs="仿宋"/>
                <w:szCs w:val="21"/>
              </w:rPr>
              <w:t>房屋建筑面积</w:t>
            </w:r>
          </w:p>
          <w:p w14:paraId="3FCFEFE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可利用图表置换功能，通过折线图直观呈现历年各地区医疗机构房屋建筑面积的增长趋势；借助饼图对比不同机构类型房屋建筑面积的占比情况。数据逐级下钻功能支持从全省总量数据深入到市级、区县，乃至具体医疗机构，帮助卫生管理部门评估区域医疗设施建设的均衡性，辅助医疗机构制定空间扩建或改造规划，优化场地资源配置。</w:t>
            </w:r>
          </w:p>
          <w:p w14:paraId="2386732B">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4.2.3.7.5.2.1.6.2</w:t>
            </w:r>
            <w:r>
              <w:rPr>
                <w:rFonts w:hint="eastAsia" w:ascii="仿宋" w:hAnsi="仿宋" w:eastAsia="仿宋" w:cs="仿宋"/>
                <w:szCs w:val="21"/>
              </w:rPr>
              <w:t>租房面积</w:t>
            </w:r>
          </w:p>
          <w:p w14:paraId="461820D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用户通过切换柱状图，可清晰对比各地区不同医疗机构间租房面积的差异；利用数据下钻功能，能够从宏观的区域租房总面积数据，层层深入到具体医疗机构，详细获取不同用途租房面积的分布情况。</w:t>
            </w:r>
          </w:p>
          <w:p w14:paraId="728FC3FE">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4.2.3.7.5.2.1.6.3</w:t>
            </w:r>
            <w:r>
              <w:rPr>
                <w:rFonts w:hint="eastAsia" w:ascii="仿宋" w:hAnsi="仿宋" w:eastAsia="仿宋" w:cs="仿宋"/>
                <w:szCs w:val="21"/>
              </w:rPr>
              <w:t>本年房屋租金</w:t>
            </w:r>
          </w:p>
          <w:p w14:paraId="2F1F796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通过图表可视化，能够直观了解各地区、各机构本年房屋租金的增长趋势与成本占比；通过数据下钻，可进一步探究具体医疗机构、租赁场地的租金明细，帮助卫生管理部门监管行业租赁成本，助力医疗机构优化租赁预算，寻找更具性价比的租赁方案。例如，医疗机构管理者能分析本院的租金支出情况，评估租赁效益，决定是否续租或更换场地。</w:t>
            </w:r>
          </w:p>
          <w:p w14:paraId="2C4949A7">
            <w:pPr>
              <w:pStyle w:val="12"/>
              <w:numPr>
                <w:ilvl w:val="7"/>
                <w:numId w:val="0"/>
              </w:numPr>
              <w:rPr>
                <w:rFonts w:hint="eastAsia" w:ascii="仿宋" w:hAnsi="仿宋" w:eastAsia="仿宋" w:cs="仿宋"/>
                <w:sz w:val="21"/>
              </w:rPr>
            </w:pPr>
            <w:r>
              <w:rPr>
                <w:rFonts w:hint="eastAsia" w:ascii="仿宋" w:hAnsi="仿宋" w:eastAsia="仿宋" w:cs="仿宋"/>
                <w:sz w:val="21"/>
              </w:rPr>
              <w:t>4.2.3.7.5.2.1.7资产负债</w:t>
            </w:r>
          </w:p>
          <w:p w14:paraId="5852F02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资源板块下的资产负债分析模块是评估医疗机构财务健康状况、保障医疗体系可持续发展的核心模块。该模块通过构建精准、动态的数据监测与分析体系，对总资产、流动资产、非流动资产、负债及净资产等关键指标进行深度剖析，为卫生行政部门统筹行业资源、医疗机构强化财务管理提供科学的数据支撑。</w:t>
            </w:r>
          </w:p>
          <w:p w14:paraId="1FA0EE2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负债分析模块凭借动态的数据更新机制、灵活的可视化图表与强大的下钻分析功能，不仅能够帮助卫生管理部门宏观调控行业财务状况，推动医疗资源合理配置，还能助力医疗机构实现精细化财务管理，防范财务风险，提升运营效益，为医疗卫生事业的稳健发展提供坚实的数据保障。</w:t>
            </w:r>
          </w:p>
          <w:p w14:paraId="35ECEFE7">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4.2.3.7.5.2.1.7.1</w:t>
            </w:r>
            <w:r>
              <w:rPr>
                <w:rFonts w:hint="eastAsia" w:ascii="仿宋" w:hAnsi="仿宋" w:eastAsia="仿宋" w:cs="仿宋"/>
                <w:szCs w:val="21"/>
              </w:rPr>
              <w:t>总资产</w:t>
            </w:r>
          </w:p>
          <w:p w14:paraId="31DB7C2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资产聚焦医疗机构全部资产的总规模，系统整合固定资产、流动资产、无形资产等多类资产数据，实现对总资产的全面统计与动态分析。用户可利用图表置换功能，通过折线图直观呈现历年各地区医疗机构总资产的增长趋势；借助饼图对比不同机构类型总资产的构成比例。数据逐级下钻功能支持从全省总资产数据深入到市级、区县，乃至具体医疗机构，帮助卫生管理部门评估区域医疗资产配置的均衡性，辅助医疗机构制定资产优化策略。</w:t>
            </w:r>
          </w:p>
          <w:p w14:paraId="543F33C4">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4.2.3.7.5.2.1.7.2</w:t>
            </w:r>
            <w:r>
              <w:rPr>
                <w:rFonts w:hint="eastAsia" w:ascii="仿宋" w:hAnsi="仿宋" w:eastAsia="仿宋" w:cs="仿宋"/>
                <w:szCs w:val="21"/>
              </w:rPr>
              <w:t>流动资产</w:t>
            </w:r>
          </w:p>
          <w:p w14:paraId="29DE0B1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流动资产着重统计医疗机构在短期内可变现或耗用的资产数据，系统结合货币资金等信息，深入分析流动资产的流动性与周转效率。用户通过切换柱状图，可清晰对比各地区不同医疗机构间流动资产的规模差异；利用数据下钻功能，能够从宏观的区域流动资产总量数据，层层深入到具体医疗机构、资金项目，详细获取不同类别流动资产的分布与变动情况。</w:t>
            </w:r>
          </w:p>
          <w:p w14:paraId="76A1FBC1">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4.2.3.7.5.2.1.7.3</w:t>
            </w:r>
            <w:r>
              <w:rPr>
                <w:rFonts w:hint="eastAsia" w:ascii="仿宋" w:hAnsi="仿宋" w:eastAsia="仿宋" w:cs="仿宋"/>
                <w:szCs w:val="21"/>
              </w:rPr>
              <w:t>非流动资产</w:t>
            </w:r>
          </w:p>
          <w:p w14:paraId="75B7539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非流动资产分析模块专注于医疗机构长期使用或持有的资产数据，包括固定资产、在建工程、无形资产等。用户通过图表可视化，能够直观了解各地区、各机构非流动资产的增长趋势与占比；通过数据下钻，可进一步探究具体医疗机构、资产项目的明细，帮助卫生管理部门监管行业固定资产投资，助力医疗机构优化长期资产配置。</w:t>
            </w:r>
          </w:p>
          <w:p w14:paraId="0BB8E247">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4.2.3.7.5.2.1.7.4</w:t>
            </w:r>
            <w:r>
              <w:rPr>
                <w:rFonts w:hint="eastAsia" w:ascii="仿宋" w:hAnsi="仿宋" w:eastAsia="仿宋" w:cs="仿宋"/>
                <w:szCs w:val="21"/>
              </w:rPr>
              <w:t>负债</w:t>
            </w:r>
          </w:p>
          <w:p w14:paraId="69EBD61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负债分析模块专门针对医疗机构所承担的债务数据进行统计与分析，系统整合短期借款、长期负债等信息，全面评估机构的偿债能力与财务风险。用户通过图表置换功能，可对比各地区、各机构负债规模与结构的差异；利用数据下钻，深入了解具体医疗机构、债务项目的详细情况。</w:t>
            </w:r>
          </w:p>
          <w:p w14:paraId="1629A89E">
            <w:pPr>
              <w:pStyle w:val="13"/>
              <w:numPr>
                <w:ilvl w:val="8"/>
                <w:numId w:val="0"/>
              </w:numPr>
              <w:rPr>
                <w:rFonts w:hint="eastAsia" w:ascii="仿宋" w:hAnsi="仿宋" w:eastAsia="仿宋" w:cs="仿宋"/>
                <w:szCs w:val="21"/>
              </w:rPr>
            </w:pPr>
            <w:r>
              <w:rPr>
                <w:rFonts w:hint="eastAsia" w:ascii="仿宋" w:hAnsi="仿宋" w:eastAsia="仿宋" w:cs="仿宋"/>
                <w:szCs w:val="21"/>
                <w:lang w:val="en-US"/>
              </w:rPr>
              <w:t>4.2.3.7.5.2.1.7.5</w:t>
            </w:r>
            <w:r>
              <w:rPr>
                <w:rFonts w:hint="eastAsia" w:ascii="仿宋" w:hAnsi="仿宋" w:eastAsia="仿宋" w:cs="仿宋"/>
                <w:szCs w:val="21"/>
              </w:rPr>
              <w:t>净资产</w:t>
            </w:r>
          </w:p>
          <w:p w14:paraId="47D767C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净资产通过计算总资产与负债的差额，反映医疗机构的所有者权益。系统实时监测净资产的动态变化，帮助管理者评估机构的财务实力与可持续发展能力。用户可利用图表对比各地区、各机构净资产的增长趋势；通过数据下钻，深入了解具体医疗机构净资产的构成及变动原因。</w:t>
            </w:r>
          </w:p>
          <w:p w14:paraId="1DBE00E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4.2.3.7.5.2.2医疗服务</w:t>
            </w:r>
          </w:p>
          <w:p w14:paraId="43129AD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服务分析模块是衡量医疗机构服务水平、优化医疗资源配置的关键核心。该模块通过构建全方位、动态化的数据监测体系，对门诊服务、住院服务、质量与效率、病人医药费等核心指标进行深度剖析，为卫生行政部门制定行业政策、医疗机构提升服务质量提供科学的数据支撑。</w:t>
            </w:r>
          </w:p>
          <w:p w14:paraId="6D6BA6F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建立覆盖年度与月度的动态数据采集机制，实时追踪各地区、各医疗机构医疗服务数据的变化情况。无论是应对患者就医需求的季节性波动，还是评估医疗改革政策对服务模式的影响，动态更新的数据能够及时、准确反映医疗服务运行态势，助力管理者做出精准决策。</w:t>
            </w:r>
          </w:p>
          <w:p w14:paraId="0A34292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服务分析模块凭借动态的数据更新机制、灵活的可视化图表与强大的下钻分析功能，不仅能够帮助卫生管理部门宏观调控医疗服务资源，推动医疗服务体系均衡发展，还能助力医疗机构实现服务质量的精细化管理，提升运营效率，为构建高质量、可持续的医疗卫生服务体系提供坚实的数据保障。</w:t>
            </w:r>
          </w:p>
          <w:p w14:paraId="20D1E5E8">
            <w:pPr>
              <w:pStyle w:val="12"/>
              <w:numPr>
                <w:ilvl w:val="7"/>
                <w:numId w:val="0"/>
              </w:numPr>
              <w:rPr>
                <w:rFonts w:hint="eastAsia" w:ascii="仿宋" w:hAnsi="仿宋" w:eastAsia="仿宋" w:cs="仿宋"/>
                <w:sz w:val="21"/>
              </w:rPr>
            </w:pPr>
            <w:r>
              <w:rPr>
                <w:rFonts w:hint="eastAsia" w:ascii="仿宋" w:hAnsi="仿宋" w:eastAsia="仿宋" w:cs="仿宋"/>
                <w:sz w:val="21"/>
              </w:rPr>
              <w:t>4.2.3.7.5.2.2.1门诊服务</w:t>
            </w:r>
          </w:p>
          <w:p w14:paraId="52B995C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门诊服务聚焦医疗机构门诊服务的全流程数据，系统整合门诊人次、急诊人次、观察室留观、病例数等信息，实现对门诊服务的全面统计与动态分析。用户可利用图表置换功能，通过折线图直观呈现历年、历月各地区门诊接诊人次的增长趋势。数据逐级下钻功能支持从全省门诊总量数据深入到市级、区县，乃至具体医疗机构，帮助卫生管理部门评估区域门诊服务资源配置的合理性，辅助医疗机构优化门诊流程。</w:t>
            </w:r>
          </w:p>
          <w:p w14:paraId="6C8DED09">
            <w:pPr>
              <w:pStyle w:val="12"/>
              <w:numPr>
                <w:ilvl w:val="7"/>
                <w:numId w:val="0"/>
              </w:numPr>
              <w:rPr>
                <w:rFonts w:hint="eastAsia" w:ascii="仿宋" w:hAnsi="仿宋" w:eastAsia="仿宋" w:cs="仿宋"/>
                <w:sz w:val="21"/>
              </w:rPr>
            </w:pPr>
            <w:r>
              <w:rPr>
                <w:rFonts w:hint="eastAsia" w:ascii="仿宋" w:hAnsi="仿宋" w:eastAsia="仿宋" w:cs="仿宋"/>
                <w:sz w:val="21"/>
              </w:rPr>
              <w:t>4.2.3.7.5.2.2.2住院服务</w:t>
            </w:r>
          </w:p>
          <w:p w14:paraId="350DC7A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院服务分析模块着重统计医疗机构住院患者的相关数据，包括入院人数、出院人数、平均住院日、床位使用率等关键指标。系统通过监测患者入院原因、康复情况等信息，全面揭示住院服务的运行规律。用户通过切换柱状图，可清晰对比各地区不同医疗机构间住院服务规模与效率差异；利用数据下钻功能，能够从宏观的区域住院总量数据，层层深入到具体医疗机构、科室，甚至患者个体等数据。</w:t>
            </w:r>
          </w:p>
          <w:p w14:paraId="5FAE102C">
            <w:pPr>
              <w:pStyle w:val="12"/>
              <w:numPr>
                <w:ilvl w:val="7"/>
                <w:numId w:val="0"/>
              </w:numPr>
              <w:rPr>
                <w:rFonts w:hint="eastAsia" w:ascii="仿宋" w:hAnsi="仿宋" w:eastAsia="仿宋" w:cs="仿宋"/>
                <w:sz w:val="21"/>
              </w:rPr>
            </w:pPr>
            <w:r>
              <w:rPr>
                <w:rFonts w:hint="eastAsia" w:ascii="仿宋" w:hAnsi="仿宋" w:eastAsia="仿宋" w:cs="仿宋"/>
                <w:sz w:val="21"/>
              </w:rPr>
              <w:t>4.2.3.7.5.2.2.3病人医药费</w:t>
            </w:r>
          </w:p>
          <w:p w14:paraId="58EC064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人医药费分析模块专门针对患者医疗费用数据进行统计与分析，用户通过图表置换功能，可对比各地区、各机构不同疾病类型的医疗费用差异；利用数据下钻，深入了解具体医疗机构，甚至患者个体的费用明细。</w:t>
            </w:r>
          </w:p>
          <w:p w14:paraId="547779E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4.2.3.7.5.2.3病案首页分析</w:t>
            </w:r>
          </w:p>
          <w:p w14:paraId="601A923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案首页分析模块是挖掘医疗数据价值、推动医疗服务质量提升的核心引擎。该模块依托标准化的病案首页数据采集体系，通过对构成分析、医疗服务、疾病排序、机构排序、重点疾病等维度进行深度剖析，为卫生行政部门制定精准医疗政策、医疗机构优化临床诊疗流程提供坚实的数据支撑。</w:t>
            </w:r>
          </w:p>
          <w:p w14:paraId="209C34C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构建了覆盖年度与月度的动态数据更新机制，抓取并整合病案首页关键数据。无论是追踪医疗新技术应用后的诊疗模式变化，还是评估医保支付改革对临床路径的影响，动态更新的数据能够及时、准确反映医疗服务的真实情况，为管理者提供可靠的决策依据。</w:t>
            </w:r>
          </w:p>
          <w:p w14:paraId="30F6C6B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案首页分析模块凭借动态的数据更新机制、灵活的可视化图表与强大的下钻分析功能，不仅能够帮助卫生管理部门实现医疗数据的精细化管理，推动区域医疗服务均衡发展，还能助力医疗机构提升临床诊疗水平，优化资源配置，为构建高质量、高效率的医疗卫生服务体系提供强有力的数据驱动支持。</w:t>
            </w:r>
          </w:p>
          <w:p w14:paraId="4F1E8412">
            <w:pPr>
              <w:pStyle w:val="12"/>
              <w:numPr>
                <w:ilvl w:val="7"/>
                <w:numId w:val="0"/>
              </w:numPr>
              <w:rPr>
                <w:rFonts w:hint="eastAsia" w:ascii="仿宋" w:hAnsi="仿宋" w:eastAsia="仿宋" w:cs="仿宋"/>
                <w:sz w:val="21"/>
              </w:rPr>
            </w:pPr>
            <w:r>
              <w:rPr>
                <w:rFonts w:hint="eastAsia" w:ascii="仿宋" w:hAnsi="仿宋" w:eastAsia="仿宋" w:cs="仿宋"/>
                <w:sz w:val="21"/>
              </w:rPr>
              <w:t>4.2.3.7.5.2.3.1构成分析</w:t>
            </w:r>
          </w:p>
          <w:p w14:paraId="0971595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构成分析子项作为病案首页数据深度解构的核心工具，通过对多维度数据要素的分类整合与动态监测，为医疗管理精细化决策提供关键依据。系统围绕病人入院途径、离院方式、病案质量、付款方式等十二项核心指标，构建起全方位、立体化的数据分析体系，深度挖掘数据背后的业务逻辑与管理价值。</w:t>
            </w:r>
          </w:p>
          <w:p w14:paraId="74F2219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在病人入院途径构成分析上，系统实时统计急诊入院、门诊收入院、基层转诊等不同渠道的患者占比，通过堆积柱状图直观呈现各地区、各医疗机构的患者来源结构差异。</w:t>
            </w:r>
          </w:p>
          <w:p w14:paraId="38E8BAA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人离院方式构成分析聚焦治愈出院、转院、自动离院等多种离院类型，利用饼图清晰展示不同离院方式的分布比例。通过数据下钻功能，管理者能够深入分析特定疾病或科室的患者离院特征，如分析某三甲医院肿瘤科患者转院治疗的占比，从而优化出院流程、加强患者随访管理，提高医疗服务闭环质量。</w:t>
            </w:r>
          </w:p>
          <w:p w14:paraId="765F7B4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案质量构成模块通过对甲级、乙级、丙级病案数量及占比的动态监测，结合病历书写规范、诊断编码准确性等维度，采用仪表盘可视化呈现各地区、机构的病案质量水平。下钻分析可定位至具体病历，辅助医疗机构开展针对性质控培训，提升病案书写规范性与数据准确性，为医保结算、科研分析筑牢数据基础。</w:t>
            </w:r>
          </w:p>
          <w:p w14:paraId="396FAC5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人付款方式构成分析整合医保支付、自费、商业保险等多种支付类型数据，通过环形图展示不同支付方式的占比变化趋势。卫生管理部门可借此评估医保政策覆盖效果，例如分析某地区新农合支付占比的年度波动；医疗机构则能优化收费管理流程，针对高自费比例科室调整服务定价策略，减轻患者经济负担。</w:t>
            </w:r>
          </w:p>
          <w:p w14:paraId="15CE13B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出院诊断符合情况分析对比初步诊断与出院诊断的一致性，通过折线图呈现各地区、机构的诊断符合率变化趋势。结合数据下钻，可深入剖析某类疾病或科室的诊断偏差原因，帮助医疗机构加强临床诊断能力建设，优化诊疗流程，降低误诊漏诊风险。</w:t>
            </w:r>
          </w:p>
          <w:p w14:paraId="79AF7CD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入院病情构成分析将患者病情分为危急、重症、一般等类别，通过热力图展示不同病情程度在各地区、机构的分布特征。管理者可依据分析结果合理调配急救资源，如在急诊重症患者占比高的地区加强ICU床位配置与医护人员储备。</w:t>
            </w:r>
          </w:p>
          <w:p w14:paraId="50B630B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人性别构成模块通过柱状对比图展示男女患者比例差异，并结合病种、年龄等维度进行交叉分析。例如，分析某地区乳腺疾病患者中女性占比及年龄分布，辅助医疗机构优化专科资源配置，开展针对性健康宣教。</w:t>
            </w:r>
          </w:p>
          <w:p w14:paraId="37131A4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出院病人手术分析聚焦手术类型、手术级别、手术成功率等指标，利用瀑布图展示各地区、机构的手术业务构成。下钻功能可定位至具体手术案例，帮助医院评估手术科室技术水平，为设备采购、人才培养提供数据支撑。</w:t>
            </w:r>
          </w:p>
          <w:p w14:paraId="21B84FE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死亡患者情况分析从死因分类、年龄分布、救治过程等维度展开，通过桑基图呈现死亡病例的相关因素关联。卫生管理部门可据此制定重点疾病防控策略，医疗机构则能复盘救治流程，总结经验教训，提升急危重症救治能力。</w:t>
            </w:r>
          </w:p>
          <w:p w14:paraId="49B90B7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出院病人年龄构成分析采用年龄金字塔图展示不同年龄段患者分布，结合病种数据挖掘疾病高发年龄区间。例如，发现某地区老年群体中慢性疾病发病率较高，可针对性加强老年医学科建设与慢性病管理服务。</w:t>
            </w:r>
          </w:p>
          <w:p w14:paraId="66AE76F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患者来源分析通过地图可视化呈现患者的地域分布，结合县域内就诊率指标，评估区域医疗资源均衡性。下钻至县级行政区域，可分析县域内患者外流原因，助力卫生管理部门优化基层医疗服务能力，落实“大病不出县”的医改目标。</w:t>
            </w:r>
          </w:p>
          <w:p w14:paraId="768A9CC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过上述多维度、精细化的构成分析，系统不仅能够帮助卫生管理部门宏观把控医疗服务运行态势、优化行业政策，还能赋能医疗机构实现数据驱动的精准管理，提升医疗服务质量与运营效率，为构建高效、协同的医疗服务体系提供坚实的数据支撑。</w:t>
            </w:r>
          </w:p>
          <w:p w14:paraId="579065BB">
            <w:pPr>
              <w:pStyle w:val="12"/>
              <w:numPr>
                <w:ilvl w:val="7"/>
                <w:numId w:val="0"/>
              </w:numPr>
              <w:rPr>
                <w:rFonts w:hint="eastAsia" w:ascii="仿宋" w:hAnsi="仿宋" w:eastAsia="仿宋" w:cs="仿宋"/>
                <w:sz w:val="21"/>
              </w:rPr>
            </w:pPr>
            <w:r>
              <w:rPr>
                <w:rFonts w:hint="eastAsia" w:ascii="仿宋" w:hAnsi="仿宋" w:eastAsia="仿宋" w:cs="仿宋"/>
                <w:sz w:val="21"/>
              </w:rPr>
              <w:t>4.2.3.7.5.2.3.2医疗服务</w:t>
            </w:r>
          </w:p>
          <w:p w14:paraId="20BFDDC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医疗服务子项的深度剖析中，住院医疗费用分析作为衡量医疗成本与服务价值的核心维度，承担着优化医疗资源配置、控制费用不合理增长的重要使命。系统依托病案首页中住院费用明细数据，通过多维度拆解与动态监测，为卫生管理部门调控医疗经济、医疗机构优化成本管理提供精准的数据洞察。</w:t>
            </w:r>
          </w:p>
          <w:p w14:paraId="016530E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建立实时与周期性相结合的数据更新机制，确保住院医疗费用数据能够及时反映医保政策调整、药品耗材价格波动等因素带来的变化。通过与医保结算系统、医院收费系统的数据联动，精准采集患者住院期间的药品费、检查检验费、治疗费、护理费、床位费等全类目费用信息，为费用分析筑牢数据根基。</w:t>
            </w:r>
          </w:p>
          <w:p w14:paraId="5085892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可视化分析层面，用户可通过图表置换功能灵活切换分析视角。利用堆积柱状图，能够直观对比历年、历月各地区不同医疗机构的住院医疗费用总额及增长趋势；借助饼图，则可清晰展示单例患者或某类疾病住院费用的构成比例，如药品费、检查费在总费用中的占比情况。数据逐级下钻功能赋予用户深度挖掘数据的能力，从全省住院医疗费用宏观数据，可层层穿透至市级、区县，直至具体医疗机构，甚至单一患者的费用明细。</w:t>
            </w:r>
          </w:p>
          <w:p w14:paraId="4D0ED729">
            <w:pPr>
              <w:pStyle w:val="12"/>
              <w:numPr>
                <w:ilvl w:val="7"/>
                <w:numId w:val="0"/>
              </w:numPr>
              <w:rPr>
                <w:rFonts w:hint="eastAsia" w:ascii="仿宋" w:hAnsi="仿宋" w:eastAsia="仿宋" w:cs="仿宋"/>
                <w:sz w:val="21"/>
              </w:rPr>
            </w:pPr>
            <w:r>
              <w:rPr>
                <w:rFonts w:hint="eastAsia" w:ascii="仿宋" w:hAnsi="仿宋" w:eastAsia="仿宋" w:cs="仿宋"/>
                <w:sz w:val="21"/>
              </w:rPr>
              <w:t>4.2.3.7.5.2.3.3疾病排序</w:t>
            </w:r>
          </w:p>
          <w:p w14:paraId="14A8FDE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疾病排序分析模块根据病案首页的疾病诊断数据，按照发病例数、发病率、死亡率等指标对疾病进行动态排序。系统通过可视化图表直观呈现各地区、各时段疾病谱的变化趋势，帮助管理者快速识别高发疾病与重点防控病种。用户可利用折线图展示历年、历月某类疾病的发病数量变化；通过数据下钻，深入了解具体医疗机构、科室的疾病分布情况。例如，卫生管理部门可依据该数据制定区域性疾病防控策略，合理调配公共卫生资源；医疗机构能通过分析疾病排序，优化科室设置与人才培养方向，提高疾病诊治能力。</w:t>
            </w:r>
          </w:p>
          <w:p w14:paraId="2E1677E8">
            <w:pPr>
              <w:pStyle w:val="12"/>
              <w:numPr>
                <w:ilvl w:val="7"/>
                <w:numId w:val="0"/>
              </w:numPr>
              <w:rPr>
                <w:rFonts w:hint="eastAsia" w:ascii="仿宋" w:hAnsi="仿宋" w:eastAsia="仿宋" w:cs="仿宋"/>
                <w:sz w:val="21"/>
              </w:rPr>
            </w:pPr>
            <w:r>
              <w:rPr>
                <w:rFonts w:hint="eastAsia" w:ascii="仿宋" w:hAnsi="仿宋" w:eastAsia="仿宋" w:cs="仿宋"/>
                <w:sz w:val="21"/>
              </w:rPr>
              <w:t>4.2.3.7.5.2.3.4机构排序</w:t>
            </w:r>
          </w:p>
          <w:p w14:paraId="42066D7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排序子项以病案首页数据为基础，从诊疗能力、服务效率等多维度对医疗机构进行综合评估与排名。系统整合手术例数、平均住院日、诊断符合率等关键指标，构建科学的评价体系。用户通过图表可视化，能够直观对比各地区医疗机构的综合实力；利用数据下钻，可进一步探究具体医疗机构在不同科室、不同病种诊疗上的优势与不足。例如，卫生管理部门可通过该功能筛选出区域内诊疗水平领先的医疗机构，推广先进经验；患者能依据机构排序结果，合理选择就医机构；医院管理者也可通过分析排名数据，找准自身定位，针对性提升医疗服务竞争力。</w:t>
            </w:r>
          </w:p>
          <w:p w14:paraId="20CD1456">
            <w:pPr>
              <w:pStyle w:val="12"/>
              <w:numPr>
                <w:ilvl w:val="7"/>
                <w:numId w:val="0"/>
              </w:numPr>
              <w:rPr>
                <w:rFonts w:hint="eastAsia" w:ascii="仿宋" w:hAnsi="仿宋" w:eastAsia="仿宋" w:cs="仿宋"/>
                <w:sz w:val="21"/>
              </w:rPr>
            </w:pPr>
            <w:r>
              <w:rPr>
                <w:rFonts w:hint="eastAsia" w:ascii="仿宋" w:hAnsi="仿宋" w:eastAsia="仿宋" w:cs="仿宋"/>
                <w:sz w:val="21"/>
              </w:rPr>
              <w:t>4.2.3.7.5.2.3.5重点疾病</w:t>
            </w:r>
          </w:p>
          <w:p w14:paraId="2508125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重点疾病分析模块聚焦于国家重点监控疾病、区域高发疾病等关键病种，对病案首页中相关数据进行深度挖掘与分析。系统通过追踪重点疾病的诊疗过程、治疗效果、费用支出等信息，为优化疾病管理策略提供依据。用户可利用图表置换功能，对比不同地区、不同医疗机构重点疾病的诊疗差异；通过数据下钻，详细了解具体患者的诊疗细节。例如，卫生管理部门可依据该数据评估重点疾病的防控成效，调整防治政策；医疗机构能通过分析重点疾病的诊疗数据，优化临床路径，提高救治成功率，降低疾病负担。</w:t>
            </w:r>
          </w:p>
          <w:p w14:paraId="4B97C0C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4.2.3.7.5.2.4医改监测数据分析</w:t>
            </w:r>
          </w:p>
          <w:p w14:paraId="6BF961D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改监测数据分析模块是衡量医药卫生体制改革成效、推动政策优化与精准落地的核心工具。该模块以年度动态数据为基础，通过系统化、科学化的数据监测与深度剖析，为卫生行政部门评估政策实施效果、调整改革策略，以及医疗机构适应改革要求、优化运营管理提供关键的数据支撑。</w:t>
            </w:r>
          </w:p>
          <w:p w14:paraId="768CD0B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呈现与交互层面，系统配备强大的图表置换与数据逐级下钻功能。用户可根据分析需求，自由切换折线图、柱状图、雷达图等多种可视化图表，直观展示历年各地区医改关键指标的增长趋势与变化态势。例如，通过折线图可清晰呈现某地区分级诊疗政策实施后，基层医疗机构就诊人次的年度增长趋势；利用雷达图能够多维度对比不同地区在医保支付方式改革、药品零加成等政策落实效果上的差异。借助数据逐级下钻功能，可从全省宏观数据层面，层层深入至市级、区县，乃至具体医疗机构，详细获取不同机构类别在医改政策执行过程中的具体数据信息。</w:t>
            </w:r>
          </w:p>
          <w:p w14:paraId="41A5EC8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实际应用场景中，卫生管理部门可利用该模块快速掌握各地区医改政策的整体推进情况，通过下钻分析找出政策执行中的薄弱环节与典型案例。对于医疗机构而言，通过分析自身在医改监测指标中的数据表现，能够及时调整运营策略，优化资源配置，提升在医改环境下的竞争力。</w:t>
            </w:r>
          </w:p>
          <w:p w14:paraId="39525C2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改监测数据分析模块凭借科学的数据采集体系、灵活的可视化交互功能与深度的数据分析能力，不仅能够帮助卫生管理部门实现对医改政策实施效果的动态监测与精准评估，推动医改政策向更深层次、更高质量发展，还能助力医疗机构在改革浪潮中找准定位，实现可持续发展，为深化医药卫生体制改革、构建高效优质的医疗卫生服务体系提供坚实的数据保障。</w:t>
            </w:r>
          </w:p>
          <w:p w14:paraId="7BC9D46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4.2.3.7.5.2.5老龄数据分析</w:t>
            </w:r>
          </w:p>
          <w:p w14:paraId="469F8A5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老龄数据分析模块是积极应对人口老龄化、优化老年健康服务体系的核心工具。随着我国老年人口规模持续扩大，该模块以年度动态数据为基石，通过系统化的数据监测与深度剖析，为政府部门制定老龄健康政策、医疗机构规划老年医疗服务、社会资源优化配置提供精准的数据支撑。</w:t>
            </w:r>
          </w:p>
          <w:p w14:paraId="5A6C30D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在数据呈现与交互功能设计上，系统配备丰富的图表置换与强大的数据逐级下钻功能。用户可根据分析需求，自由切换折线图、柱状图、热力图、饼图等多样化可视化图表。</w:t>
            </w:r>
          </w:p>
          <w:p w14:paraId="39C29D1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实际应用场景中，卫生管理部门可利用该模块快速掌握各地区老龄健康服务体系建设情况，通过下钻分析精准定位服务短板与资源缺口。对于医疗机构而言，通过分析老龄患者在本院的就诊数据，合理配置康复护理等资源，提高养老服务的精准性与适配性。</w:t>
            </w:r>
          </w:p>
          <w:p w14:paraId="5629C2B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老龄数据分析模块凭借科学的数据采集体系、灵活的可视化交互功能与深度的数据分析能力，不仅能够助力政府部门实现老龄健康服务政策的精准制定与动态调整，推动老年健康服务体系高质量发展，还能赋能医疗机构与社会机构优化资源配置，提升老年群体健康服务可及性与满意度，为积极应对人口老龄化、构建完善的老龄健康支持体系提供坚实的数据保障。</w:t>
            </w:r>
          </w:p>
          <w:p w14:paraId="69DD9CD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4.2.3.7.5.3统计报告</w:t>
            </w:r>
          </w:p>
          <w:p w14:paraId="476C182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现word文档式的统计报告按文本模板定期更新数据，如统计公报、医疗服务月度报告以及需在官网定期发布公示的，统计信息等文本内容较为固定的可以形成文本和图表模板，可以减少人工重复工作，用户只需要选择报告期，系统自动计算当期数据，并可以导出word文档到本地。</w:t>
            </w:r>
          </w:p>
          <w:p w14:paraId="084D609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4.2.3.7.5.4统计资料</w:t>
            </w:r>
          </w:p>
          <w:p w14:paraId="11BF450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针对每年、每月要产出的统计资料，如陕西省卫生健康统计年鉴、月度统计资料等，在系统上实现一对一的报表产出，提高统计资料产出效率。</w:t>
            </w:r>
          </w:p>
          <w:p w14:paraId="1DE4031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4.2.3.7.5.5自主分析</w:t>
            </w:r>
          </w:p>
          <w:p w14:paraId="712A69F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实现拖拽式自由组合分析功能，允许用户自由拖拽指标和维度，系统自动实时计算智能生成统计分析表格或统计图，并支持用户自由切换展示形式。</w:t>
            </w:r>
          </w:p>
          <w:p w14:paraId="31AEE82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自助分析主要面向业务人员，提供拖拽方式的数据统计结果生成，包括对卫生资源、医疗服务等业务信息的自定义检索查询，包对机构、人力、设备等卫生资源指标，以及医疗服务量、医疗服务收入及费用，如门诊病人人均费用、住院人均费用、职工人均年业务收入、医师人均年业务收入、业务收入、业务支出等业务指标信息的分类检索。</w:t>
            </w:r>
          </w:p>
          <w:p w14:paraId="75EC810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4.2.3.7.5.6移动端</w:t>
            </w:r>
          </w:p>
          <w:p w14:paraId="2AD0012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随着移动互联网的发展，移动端数据展示已成为提升工作效率和决策支持的重要手段。陕西省卫生健康系统需要通过移动端实现数据分析和可视化展示，满足各级管理层随时随地查看业务数据的需求。为此，本项目计划通过微信小程序或“秦政通”APP挂载分析图表，实现数据的高效展示。</w:t>
            </w:r>
          </w:p>
          <w:p w14:paraId="50AE9560">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4.2.3.7.5.6.1目标</w:t>
            </w:r>
          </w:p>
          <w:p w14:paraId="24155BB4">
            <w:pPr>
              <w:pStyle w:val="23"/>
              <w:numPr>
                <w:ilvl w:val="0"/>
                <w:numId w:val="26"/>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实现移动端数据展示：通过微信小程序或“秦政通”APP，实现重点指标的实时展示，包括分析表和统计图；</w:t>
            </w:r>
          </w:p>
          <w:p w14:paraId="5AD20436">
            <w:pPr>
              <w:pStyle w:val="23"/>
              <w:numPr>
                <w:ilvl w:val="0"/>
                <w:numId w:val="26"/>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提升用户体验：确保展示风格与决策系统风格一致，支持多维度数据查询和分析；</w:t>
            </w:r>
          </w:p>
          <w:p w14:paraId="3FF3B323">
            <w:pPr>
              <w:pStyle w:val="23"/>
              <w:numPr>
                <w:ilvl w:val="0"/>
                <w:numId w:val="26"/>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提高工作效率：支持“碎片化”办公，用户无需下载额外应用，即可随时随地查看数据。</w:t>
            </w:r>
          </w:p>
          <w:p w14:paraId="541F39B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4.2.3.7.5.6.2功能需求</w:t>
            </w:r>
          </w:p>
          <w:p w14:paraId="50A1BEA9">
            <w:pPr>
              <w:pStyle w:val="23"/>
              <w:numPr>
                <w:ilvl w:val="0"/>
                <w:numId w:val="27"/>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数据展示形式</w:t>
            </w:r>
          </w:p>
          <w:p w14:paraId="2EF2C5E5">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支持分析表、统计图等多种展示形式；</w:t>
            </w:r>
          </w:p>
          <w:p w14:paraId="2B83D728">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提供柱状图、折线图、饼图等常用图表类型；</w:t>
            </w:r>
          </w:p>
          <w:p w14:paraId="48732BE9">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支持数据的实时更新和动态展示。</w:t>
            </w:r>
          </w:p>
          <w:p w14:paraId="7EBC9AE6">
            <w:pPr>
              <w:pStyle w:val="23"/>
              <w:numPr>
                <w:ilvl w:val="0"/>
                <w:numId w:val="27"/>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用户交互</w:t>
            </w:r>
          </w:p>
          <w:p w14:paraId="541496D0">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支持筛选、排序、滑动、缩放等交互功能；</w:t>
            </w:r>
          </w:p>
          <w:p w14:paraId="108708BE">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提供数据导出功能，方便用户将数据保存到本地。</w:t>
            </w:r>
          </w:p>
          <w:p w14:paraId="1B42B17A">
            <w:pPr>
              <w:pStyle w:val="23"/>
              <w:numPr>
                <w:ilvl w:val="0"/>
                <w:numId w:val="27"/>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系统集成</w:t>
            </w:r>
          </w:p>
          <w:p w14:paraId="5326392D">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采用微信小程序集成方式，支持系统地址域名配置；</w:t>
            </w:r>
          </w:p>
          <w:p w14:paraId="20938B6D">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或通过“秦政通”APP挂载展示，利用其现有的政务协同办公平台功能。</w:t>
            </w:r>
          </w:p>
          <w:p w14:paraId="7164F970">
            <w:pPr>
              <w:pStyle w:val="23"/>
              <w:numPr>
                <w:ilvl w:val="0"/>
                <w:numId w:val="27"/>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数据安全</w:t>
            </w:r>
          </w:p>
          <w:p w14:paraId="184A299F">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确保数据传输和存储过程中的加密处理；</w:t>
            </w:r>
          </w:p>
          <w:p w14:paraId="488CE562">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支持用户权限管理，确保不同层级用户只能查看授权范围内的数据。</w:t>
            </w:r>
          </w:p>
          <w:p w14:paraId="5BB7B353">
            <w:pPr>
              <w:pStyle w:val="23"/>
              <w:numPr>
                <w:ilvl w:val="0"/>
                <w:numId w:val="27"/>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界面设计</w:t>
            </w:r>
          </w:p>
          <w:p w14:paraId="66DA543E">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界面简洁直观，适应不同设备屏幕。</w:t>
            </w:r>
          </w:p>
          <w:p w14:paraId="2AB6227D">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4.2.3.7.6优化前后功能对比清单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034"/>
              <w:gridCol w:w="1767"/>
              <w:gridCol w:w="1434"/>
              <w:gridCol w:w="2612"/>
            </w:tblGrid>
            <w:tr w14:paraId="4C3B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1F08C34">
                  <w:pPr>
                    <w:jc w:val="center"/>
                    <w:rPr>
                      <w:rFonts w:hint="eastAsia" w:ascii="仿宋" w:hAnsi="仿宋" w:eastAsia="仿宋" w:cs="仿宋"/>
                      <w:b/>
                      <w:bCs/>
                      <w:szCs w:val="21"/>
                    </w:rPr>
                  </w:pPr>
                  <w:r>
                    <w:rPr>
                      <w:rFonts w:hint="eastAsia" w:ascii="仿宋" w:hAnsi="仿宋" w:eastAsia="仿宋" w:cs="仿宋"/>
                      <w:b/>
                      <w:bCs/>
                      <w:szCs w:val="21"/>
                    </w:rPr>
                    <w:t>序号</w:t>
                  </w:r>
                </w:p>
              </w:tc>
              <w:tc>
                <w:tcPr>
                  <w:tcW w:w="3430" w:type="dxa"/>
                  <w:gridSpan w:val="2"/>
                  <w:vAlign w:val="center"/>
                </w:tcPr>
                <w:p w14:paraId="127C25C5">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5076" w:type="dxa"/>
                  <w:gridSpan w:val="2"/>
                  <w:vAlign w:val="center"/>
                </w:tcPr>
                <w:p w14:paraId="2D705059">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2C51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3B87B53">
                  <w:pPr>
                    <w:rPr>
                      <w:rFonts w:hint="eastAsia" w:ascii="仿宋" w:hAnsi="仿宋" w:eastAsia="仿宋" w:cs="仿宋"/>
                      <w:szCs w:val="21"/>
                    </w:rPr>
                  </w:pPr>
                  <w:r>
                    <w:rPr>
                      <w:rFonts w:hint="eastAsia" w:ascii="仿宋" w:hAnsi="仿宋" w:eastAsia="仿宋" w:cs="仿宋"/>
                      <w:szCs w:val="21"/>
                    </w:rPr>
                    <w:t>1</w:t>
                  </w:r>
                </w:p>
              </w:tc>
              <w:tc>
                <w:tcPr>
                  <w:tcW w:w="1230" w:type="dxa"/>
                  <w:vAlign w:val="center"/>
                </w:tcPr>
                <w:p w14:paraId="5F879225">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77941C10">
                  <w:pPr>
                    <w:jc w:val="center"/>
                    <w:rPr>
                      <w:rFonts w:hint="eastAsia" w:ascii="仿宋" w:hAnsi="仿宋" w:eastAsia="仿宋" w:cs="仿宋"/>
                      <w:szCs w:val="21"/>
                    </w:rPr>
                  </w:pPr>
                  <w:r>
                    <w:rPr>
                      <w:rFonts w:hint="eastAsia" w:ascii="仿宋" w:hAnsi="仿宋" w:eastAsia="仿宋" w:cs="仿宋"/>
                      <w:szCs w:val="21"/>
                    </w:rPr>
                    <w:t>-</w:t>
                  </w:r>
                </w:p>
              </w:tc>
              <w:tc>
                <w:tcPr>
                  <w:tcW w:w="1759" w:type="dxa"/>
                  <w:vAlign w:val="center"/>
                </w:tcPr>
                <w:p w14:paraId="7E94717E">
                  <w:pPr>
                    <w:rPr>
                      <w:rFonts w:hint="eastAsia" w:ascii="仿宋" w:hAnsi="仿宋" w:eastAsia="仿宋" w:cs="仿宋"/>
                      <w:szCs w:val="21"/>
                    </w:rPr>
                  </w:pPr>
                  <w:r>
                    <w:rPr>
                      <w:rFonts w:hint="eastAsia" w:ascii="仿宋" w:hAnsi="仿宋" w:eastAsia="仿宋" w:cs="仿宋"/>
                      <w:szCs w:val="21"/>
                    </w:rPr>
                    <w:t>数据汇聚整合</w:t>
                  </w:r>
                </w:p>
              </w:tc>
              <w:tc>
                <w:tcPr>
                  <w:tcW w:w="3317" w:type="dxa"/>
                  <w:vAlign w:val="center"/>
                </w:tcPr>
                <w:p w14:paraId="42D398F7">
                  <w:pPr>
                    <w:rPr>
                      <w:rFonts w:hint="eastAsia" w:ascii="仿宋" w:hAnsi="仿宋" w:eastAsia="仿宋" w:cs="仿宋"/>
                      <w:szCs w:val="21"/>
                    </w:rPr>
                  </w:pPr>
                  <w:r>
                    <w:rPr>
                      <w:rFonts w:hint="eastAsia" w:ascii="仿宋" w:hAnsi="仿宋" w:eastAsia="仿宋" w:cs="仿宋"/>
                      <w:szCs w:val="21"/>
                    </w:rPr>
                    <w:t>数据汇聚整合</w:t>
                  </w:r>
                </w:p>
              </w:tc>
            </w:tr>
            <w:tr w14:paraId="1AE4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7C8E634">
                  <w:pPr>
                    <w:rPr>
                      <w:rFonts w:hint="eastAsia" w:ascii="仿宋" w:hAnsi="仿宋" w:eastAsia="仿宋" w:cs="仿宋"/>
                      <w:szCs w:val="21"/>
                    </w:rPr>
                  </w:pPr>
                  <w:r>
                    <w:rPr>
                      <w:rFonts w:hint="eastAsia" w:ascii="仿宋" w:hAnsi="仿宋" w:eastAsia="仿宋" w:cs="仿宋"/>
                      <w:szCs w:val="21"/>
                    </w:rPr>
                    <w:t>2</w:t>
                  </w:r>
                </w:p>
              </w:tc>
              <w:tc>
                <w:tcPr>
                  <w:tcW w:w="1230" w:type="dxa"/>
                  <w:vAlign w:val="center"/>
                </w:tcPr>
                <w:p w14:paraId="525A505E">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41A40DBE">
                  <w:pPr>
                    <w:jc w:val="center"/>
                    <w:rPr>
                      <w:rFonts w:hint="eastAsia" w:ascii="仿宋" w:hAnsi="仿宋" w:eastAsia="仿宋" w:cs="仿宋"/>
                      <w:szCs w:val="21"/>
                    </w:rPr>
                  </w:pPr>
                  <w:r>
                    <w:rPr>
                      <w:rFonts w:hint="eastAsia" w:ascii="仿宋" w:hAnsi="仿宋" w:eastAsia="仿宋" w:cs="仿宋"/>
                      <w:szCs w:val="21"/>
                    </w:rPr>
                    <w:t>-</w:t>
                  </w:r>
                </w:p>
              </w:tc>
              <w:tc>
                <w:tcPr>
                  <w:tcW w:w="1759" w:type="dxa"/>
                  <w:vAlign w:val="center"/>
                </w:tcPr>
                <w:p w14:paraId="787E2609">
                  <w:pPr>
                    <w:rPr>
                      <w:rFonts w:hint="eastAsia" w:ascii="仿宋" w:hAnsi="仿宋" w:eastAsia="仿宋" w:cs="仿宋"/>
                      <w:szCs w:val="21"/>
                    </w:rPr>
                  </w:pPr>
                  <w:r>
                    <w:rPr>
                      <w:rFonts w:hint="eastAsia" w:ascii="仿宋" w:hAnsi="仿宋" w:eastAsia="仿宋" w:cs="仿宋"/>
                      <w:szCs w:val="21"/>
                    </w:rPr>
                    <w:t>数据清洗处理</w:t>
                  </w:r>
                </w:p>
              </w:tc>
              <w:tc>
                <w:tcPr>
                  <w:tcW w:w="3317" w:type="dxa"/>
                  <w:vAlign w:val="center"/>
                </w:tcPr>
                <w:p w14:paraId="31DE3B03">
                  <w:pPr>
                    <w:rPr>
                      <w:rFonts w:hint="eastAsia" w:ascii="仿宋" w:hAnsi="仿宋" w:eastAsia="仿宋" w:cs="仿宋"/>
                      <w:szCs w:val="21"/>
                    </w:rPr>
                  </w:pPr>
                  <w:r>
                    <w:rPr>
                      <w:rFonts w:hint="eastAsia" w:ascii="仿宋" w:hAnsi="仿宋" w:eastAsia="仿宋" w:cs="仿宋"/>
                      <w:szCs w:val="21"/>
                    </w:rPr>
                    <w:t>数据清洗处理</w:t>
                  </w:r>
                </w:p>
              </w:tc>
            </w:tr>
            <w:tr w14:paraId="70D9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1074B3B">
                  <w:pPr>
                    <w:rPr>
                      <w:rFonts w:hint="eastAsia" w:ascii="仿宋" w:hAnsi="仿宋" w:eastAsia="仿宋" w:cs="仿宋"/>
                      <w:szCs w:val="21"/>
                    </w:rPr>
                  </w:pPr>
                  <w:r>
                    <w:rPr>
                      <w:rFonts w:hint="eastAsia" w:ascii="仿宋" w:hAnsi="仿宋" w:eastAsia="仿宋" w:cs="仿宋"/>
                      <w:szCs w:val="21"/>
                    </w:rPr>
                    <w:t>3</w:t>
                  </w:r>
                </w:p>
              </w:tc>
              <w:tc>
                <w:tcPr>
                  <w:tcW w:w="1230" w:type="dxa"/>
                  <w:vAlign w:val="center"/>
                </w:tcPr>
                <w:p w14:paraId="729EDCF1">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00734EBD">
                  <w:pPr>
                    <w:jc w:val="center"/>
                    <w:rPr>
                      <w:rFonts w:hint="eastAsia" w:ascii="仿宋" w:hAnsi="仿宋" w:eastAsia="仿宋" w:cs="仿宋"/>
                      <w:szCs w:val="21"/>
                    </w:rPr>
                  </w:pPr>
                  <w:r>
                    <w:rPr>
                      <w:rFonts w:hint="eastAsia" w:ascii="仿宋" w:hAnsi="仿宋" w:eastAsia="仿宋" w:cs="仿宋"/>
                      <w:szCs w:val="21"/>
                    </w:rPr>
                    <w:t>-</w:t>
                  </w:r>
                </w:p>
              </w:tc>
              <w:tc>
                <w:tcPr>
                  <w:tcW w:w="1759" w:type="dxa"/>
                  <w:vAlign w:val="center"/>
                </w:tcPr>
                <w:p w14:paraId="0D79C177">
                  <w:pPr>
                    <w:rPr>
                      <w:rFonts w:hint="eastAsia" w:ascii="仿宋" w:hAnsi="仿宋" w:eastAsia="仿宋" w:cs="仿宋"/>
                      <w:szCs w:val="21"/>
                    </w:rPr>
                  </w:pPr>
                  <w:r>
                    <w:rPr>
                      <w:rFonts w:hint="eastAsia" w:ascii="仿宋" w:hAnsi="仿宋" w:eastAsia="仿宋" w:cs="仿宋"/>
                      <w:szCs w:val="21"/>
                    </w:rPr>
                    <w:t>分析模型建设</w:t>
                  </w:r>
                </w:p>
              </w:tc>
              <w:tc>
                <w:tcPr>
                  <w:tcW w:w="3317" w:type="dxa"/>
                  <w:vAlign w:val="center"/>
                </w:tcPr>
                <w:p w14:paraId="53324759">
                  <w:pPr>
                    <w:rPr>
                      <w:rFonts w:hint="eastAsia" w:ascii="仿宋" w:hAnsi="仿宋" w:eastAsia="仿宋" w:cs="仿宋"/>
                      <w:szCs w:val="21"/>
                    </w:rPr>
                  </w:pPr>
                  <w:r>
                    <w:rPr>
                      <w:rFonts w:hint="eastAsia" w:ascii="仿宋" w:hAnsi="仿宋" w:eastAsia="仿宋" w:cs="仿宋"/>
                      <w:szCs w:val="21"/>
                    </w:rPr>
                    <w:t>分析模型建设</w:t>
                  </w:r>
                </w:p>
              </w:tc>
            </w:tr>
            <w:tr w14:paraId="255E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A5F43B0">
                  <w:pPr>
                    <w:rPr>
                      <w:rFonts w:hint="eastAsia" w:ascii="仿宋" w:hAnsi="仿宋" w:eastAsia="仿宋" w:cs="仿宋"/>
                      <w:szCs w:val="21"/>
                    </w:rPr>
                  </w:pPr>
                  <w:r>
                    <w:rPr>
                      <w:rFonts w:hint="eastAsia" w:ascii="仿宋" w:hAnsi="仿宋" w:eastAsia="仿宋" w:cs="仿宋"/>
                      <w:szCs w:val="21"/>
                    </w:rPr>
                    <w:t>4</w:t>
                  </w:r>
                </w:p>
              </w:tc>
              <w:tc>
                <w:tcPr>
                  <w:tcW w:w="1230" w:type="dxa"/>
                  <w:vAlign w:val="center"/>
                </w:tcPr>
                <w:p w14:paraId="164BAAB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65111BED">
                  <w:pPr>
                    <w:jc w:val="center"/>
                    <w:rPr>
                      <w:rFonts w:hint="eastAsia" w:ascii="仿宋" w:hAnsi="仿宋" w:eastAsia="仿宋" w:cs="仿宋"/>
                      <w:szCs w:val="21"/>
                    </w:rPr>
                  </w:pPr>
                  <w:r>
                    <w:rPr>
                      <w:rFonts w:hint="eastAsia" w:ascii="仿宋" w:hAnsi="仿宋" w:eastAsia="仿宋" w:cs="仿宋"/>
                      <w:szCs w:val="21"/>
                    </w:rPr>
                    <w:t>-</w:t>
                  </w:r>
                </w:p>
              </w:tc>
              <w:tc>
                <w:tcPr>
                  <w:tcW w:w="1759" w:type="dxa"/>
                  <w:vMerge w:val="restart"/>
                  <w:vAlign w:val="center"/>
                </w:tcPr>
                <w:p w14:paraId="3CD687C6">
                  <w:pPr>
                    <w:rPr>
                      <w:rFonts w:hint="eastAsia" w:ascii="仿宋" w:hAnsi="仿宋" w:eastAsia="仿宋" w:cs="仿宋"/>
                      <w:szCs w:val="21"/>
                    </w:rPr>
                  </w:pPr>
                  <w:r>
                    <w:rPr>
                      <w:rFonts w:hint="eastAsia" w:ascii="仿宋" w:hAnsi="仿宋" w:eastAsia="仿宋" w:cs="仿宋"/>
                      <w:szCs w:val="21"/>
                    </w:rPr>
                    <w:t>决策表样设计</w:t>
                  </w:r>
                </w:p>
              </w:tc>
              <w:tc>
                <w:tcPr>
                  <w:tcW w:w="3317" w:type="dxa"/>
                  <w:vAlign w:val="center"/>
                </w:tcPr>
                <w:p w14:paraId="1ED75358">
                  <w:pPr>
                    <w:rPr>
                      <w:rFonts w:hint="eastAsia" w:ascii="仿宋" w:hAnsi="仿宋" w:eastAsia="仿宋" w:cs="仿宋"/>
                      <w:szCs w:val="21"/>
                    </w:rPr>
                  </w:pPr>
                  <w:r>
                    <w:rPr>
                      <w:rFonts w:hint="eastAsia" w:ascii="仿宋" w:hAnsi="仿宋" w:eastAsia="仿宋" w:cs="仿宋"/>
                      <w:szCs w:val="21"/>
                    </w:rPr>
                    <w:t>整体视觉风格</w:t>
                  </w:r>
                </w:p>
              </w:tc>
            </w:tr>
            <w:tr w14:paraId="4AA6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498122F">
                  <w:pPr>
                    <w:rPr>
                      <w:rFonts w:hint="eastAsia" w:ascii="仿宋" w:hAnsi="仿宋" w:eastAsia="仿宋" w:cs="仿宋"/>
                      <w:szCs w:val="21"/>
                    </w:rPr>
                  </w:pPr>
                  <w:r>
                    <w:rPr>
                      <w:rFonts w:hint="eastAsia" w:ascii="仿宋" w:hAnsi="仿宋" w:eastAsia="仿宋" w:cs="仿宋"/>
                      <w:szCs w:val="21"/>
                    </w:rPr>
                    <w:t>5</w:t>
                  </w:r>
                </w:p>
              </w:tc>
              <w:tc>
                <w:tcPr>
                  <w:tcW w:w="1230" w:type="dxa"/>
                  <w:vAlign w:val="center"/>
                </w:tcPr>
                <w:p w14:paraId="61DA0798">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4958BB4C">
                  <w:pPr>
                    <w:jc w:val="center"/>
                    <w:rPr>
                      <w:rFonts w:hint="eastAsia" w:ascii="仿宋" w:hAnsi="仿宋" w:eastAsia="仿宋" w:cs="仿宋"/>
                      <w:szCs w:val="21"/>
                    </w:rPr>
                  </w:pPr>
                  <w:r>
                    <w:rPr>
                      <w:rFonts w:hint="eastAsia" w:ascii="仿宋" w:hAnsi="仿宋" w:eastAsia="仿宋" w:cs="仿宋"/>
                      <w:szCs w:val="21"/>
                    </w:rPr>
                    <w:t>-</w:t>
                  </w:r>
                </w:p>
              </w:tc>
              <w:tc>
                <w:tcPr>
                  <w:tcW w:w="1759" w:type="dxa"/>
                  <w:vMerge w:val="continue"/>
                  <w:vAlign w:val="center"/>
                </w:tcPr>
                <w:p w14:paraId="1149694D">
                  <w:pPr>
                    <w:rPr>
                      <w:rFonts w:hint="eastAsia" w:ascii="仿宋" w:hAnsi="仿宋" w:eastAsia="仿宋" w:cs="仿宋"/>
                      <w:szCs w:val="21"/>
                    </w:rPr>
                  </w:pPr>
                </w:p>
              </w:tc>
              <w:tc>
                <w:tcPr>
                  <w:tcW w:w="3317" w:type="dxa"/>
                  <w:vAlign w:val="center"/>
                </w:tcPr>
                <w:p w14:paraId="3C13353F">
                  <w:pPr>
                    <w:rPr>
                      <w:rFonts w:hint="eastAsia" w:ascii="仿宋" w:hAnsi="仿宋" w:eastAsia="仿宋" w:cs="仿宋"/>
                      <w:szCs w:val="21"/>
                    </w:rPr>
                  </w:pPr>
                  <w:r>
                    <w:rPr>
                      <w:rFonts w:hint="eastAsia" w:ascii="仿宋" w:hAnsi="仿宋" w:eastAsia="仿宋" w:cs="仿宋"/>
                      <w:szCs w:val="21"/>
                    </w:rPr>
                    <w:t>图表布局设计</w:t>
                  </w:r>
                </w:p>
              </w:tc>
            </w:tr>
            <w:tr w14:paraId="1F4F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31023A8">
                  <w:pPr>
                    <w:rPr>
                      <w:rFonts w:hint="eastAsia" w:ascii="仿宋" w:hAnsi="仿宋" w:eastAsia="仿宋" w:cs="仿宋"/>
                      <w:szCs w:val="21"/>
                    </w:rPr>
                  </w:pPr>
                  <w:r>
                    <w:rPr>
                      <w:rFonts w:hint="eastAsia" w:ascii="仿宋" w:hAnsi="仿宋" w:eastAsia="仿宋" w:cs="仿宋"/>
                      <w:szCs w:val="21"/>
                    </w:rPr>
                    <w:t>6</w:t>
                  </w:r>
                </w:p>
              </w:tc>
              <w:tc>
                <w:tcPr>
                  <w:tcW w:w="1230" w:type="dxa"/>
                  <w:vAlign w:val="center"/>
                </w:tcPr>
                <w:p w14:paraId="69155B4E">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6C18DA47">
                  <w:pPr>
                    <w:jc w:val="center"/>
                    <w:rPr>
                      <w:rFonts w:hint="eastAsia" w:ascii="仿宋" w:hAnsi="仿宋" w:eastAsia="仿宋" w:cs="仿宋"/>
                      <w:szCs w:val="21"/>
                    </w:rPr>
                  </w:pPr>
                  <w:r>
                    <w:rPr>
                      <w:rFonts w:hint="eastAsia" w:ascii="仿宋" w:hAnsi="仿宋" w:eastAsia="仿宋" w:cs="仿宋"/>
                      <w:szCs w:val="21"/>
                    </w:rPr>
                    <w:t>-</w:t>
                  </w:r>
                </w:p>
              </w:tc>
              <w:tc>
                <w:tcPr>
                  <w:tcW w:w="1759" w:type="dxa"/>
                  <w:vMerge w:val="continue"/>
                  <w:vAlign w:val="center"/>
                </w:tcPr>
                <w:p w14:paraId="4DAA818B">
                  <w:pPr>
                    <w:rPr>
                      <w:rFonts w:hint="eastAsia" w:ascii="仿宋" w:hAnsi="仿宋" w:eastAsia="仿宋" w:cs="仿宋"/>
                      <w:szCs w:val="21"/>
                    </w:rPr>
                  </w:pPr>
                </w:p>
              </w:tc>
              <w:tc>
                <w:tcPr>
                  <w:tcW w:w="3317" w:type="dxa"/>
                  <w:vAlign w:val="center"/>
                </w:tcPr>
                <w:p w14:paraId="5E2D835F">
                  <w:pPr>
                    <w:rPr>
                      <w:rFonts w:hint="eastAsia" w:ascii="仿宋" w:hAnsi="仿宋" w:eastAsia="仿宋" w:cs="仿宋"/>
                      <w:szCs w:val="21"/>
                    </w:rPr>
                  </w:pPr>
                  <w:r>
                    <w:rPr>
                      <w:rFonts w:hint="eastAsia" w:ascii="仿宋" w:hAnsi="仿宋" w:eastAsia="仿宋" w:cs="仿宋"/>
                      <w:szCs w:val="21"/>
                    </w:rPr>
                    <w:t>图表类型选择与样式优化</w:t>
                  </w:r>
                </w:p>
              </w:tc>
            </w:tr>
            <w:tr w14:paraId="7385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5F672A4">
                  <w:pPr>
                    <w:rPr>
                      <w:rFonts w:hint="eastAsia" w:ascii="仿宋" w:hAnsi="仿宋" w:eastAsia="仿宋" w:cs="仿宋"/>
                      <w:szCs w:val="21"/>
                    </w:rPr>
                  </w:pPr>
                  <w:r>
                    <w:rPr>
                      <w:rFonts w:hint="eastAsia" w:ascii="仿宋" w:hAnsi="仿宋" w:eastAsia="仿宋" w:cs="仿宋"/>
                      <w:szCs w:val="21"/>
                    </w:rPr>
                    <w:t>7</w:t>
                  </w:r>
                </w:p>
              </w:tc>
              <w:tc>
                <w:tcPr>
                  <w:tcW w:w="1230" w:type="dxa"/>
                  <w:vAlign w:val="center"/>
                </w:tcPr>
                <w:p w14:paraId="3F6FB903">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3B880B9E">
                  <w:pPr>
                    <w:jc w:val="center"/>
                    <w:rPr>
                      <w:rFonts w:hint="eastAsia" w:ascii="仿宋" w:hAnsi="仿宋" w:eastAsia="仿宋" w:cs="仿宋"/>
                      <w:szCs w:val="21"/>
                    </w:rPr>
                  </w:pPr>
                  <w:r>
                    <w:rPr>
                      <w:rFonts w:hint="eastAsia" w:ascii="仿宋" w:hAnsi="仿宋" w:eastAsia="仿宋" w:cs="仿宋"/>
                      <w:szCs w:val="21"/>
                    </w:rPr>
                    <w:t>-</w:t>
                  </w:r>
                </w:p>
              </w:tc>
              <w:tc>
                <w:tcPr>
                  <w:tcW w:w="1759" w:type="dxa"/>
                  <w:vMerge w:val="continue"/>
                  <w:vAlign w:val="center"/>
                </w:tcPr>
                <w:p w14:paraId="7030D4EE">
                  <w:pPr>
                    <w:rPr>
                      <w:rFonts w:hint="eastAsia" w:ascii="仿宋" w:hAnsi="仿宋" w:eastAsia="仿宋" w:cs="仿宋"/>
                      <w:szCs w:val="21"/>
                    </w:rPr>
                  </w:pPr>
                </w:p>
              </w:tc>
              <w:tc>
                <w:tcPr>
                  <w:tcW w:w="3317" w:type="dxa"/>
                  <w:vAlign w:val="center"/>
                </w:tcPr>
                <w:p w14:paraId="2ABD6EE5">
                  <w:pPr>
                    <w:rPr>
                      <w:rFonts w:hint="eastAsia" w:ascii="仿宋" w:hAnsi="仿宋" w:eastAsia="仿宋" w:cs="仿宋"/>
                      <w:szCs w:val="21"/>
                    </w:rPr>
                  </w:pPr>
                  <w:r>
                    <w:rPr>
                      <w:rFonts w:hint="eastAsia" w:ascii="仿宋" w:hAnsi="仿宋" w:eastAsia="仿宋" w:cs="仿宋"/>
                      <w:szCs w:val="21"/>
                    </w:rPr>
                    <w:t>交互元素设计</w:t>
                  </w:r>
                </w:p>
              </w:tc>
            </w:tr>
            <w:tr w14:paraId="32278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4680A50">
                  <w:pPr>
                    <w:rPr>
                      <w:rFonts w:hint="eastAsia" w:ascii="仿宋" w:hAnsi="仿宋" w:eastAsia="仿宋" w:cs="仿宋"/>
                      <w:szCs w:val="21"/>
                    </w:rPr>
                  </w:pPr>
                  <w:r>
                    <w:rPr>
                      <w:rFonts w:hint="eastAsia" w:ascii="仿宋" w:hAnsi="仿宋" w:eastAsia="仿宋" w:cs="仿宋"/>
                      <w:szCs w:val="21"/>
                    </w:rPr>
                    <w:t>8</w:t>
                  </w:r>
                </w:p>
              </w:tc>
              <w:tc>
                <w:tcPr>
                  <w:tcW w:w="1230" w:type="dxa"/>
                  <w:vAlign w:val="center"/>
                </w:tcPr>
                <w:p w14:paraId="74CFE260">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5441416B">
                  <w:pPr>
                    <w:jc w:val="center"/>
                    <w:rPr>
                      <w:rFonts w:hint="eastAsia" w:ascii="仿宋" w:hAnsi="仿宋" w:eastAsia="仿宋" w:cs="仿宋"/>
                      <w:szCs w:val="21"/>
                    </w:rPr>
                  </w:pPr>
                  <w:r>
                    <w:rPr>
                      <w:rFonts w:hint="eastAsia" w:ascii="仿宋" w:hAnsi="仿宋" w:eastAsia="仿宋" w:cs="仿宋"/>
                      <w:szCs w:val="21"/>
                    </w:rPr>
                    <w:t>-</w:t>
                  </w:r>
                </w:p>
              </w:tc>
              <w:tc>
                <w:tcPr>
                  <w:tcW w:w="1759" w:type="dxa"/>
                  <w:vMerge w:val="continue"/>
                  <w:vAlign w:val="center"/>
                </w:tcPr>
                <w:p w14:paraId="517EFE8A">
                  <w:pPr>
                    <w:rPr>
                      <w:rFonts w:hint="eastAsia" w:ascii="仿宋" w:hAnsi="仿宋" w:eastAsia="仿宋" w:cs="仿宋"/>
                      <w:szCs w:val="21"/>
                    </w:rPr>
                  </w:pPr>
                </w:p>
              </w:tc>
              <w:tc>
                <w:tcPr>
                  <w:tcW w:w="3317" w:type="dxa"/>
                  <w:vAlign w:val="center"/>
                </w:tcPr>
                <w:p w14:paraId="539ECECB">
                  <w:pPr>
                    <w:rPr>
                      <w:rFonts w:hint="eastAsia" w:ascii="仿宋" w:hAnsi="仿宋" w:eastAsia="仿宋" w:cs="仿宋"/>
                      <w:szCs w:val="21"/>
                    </w:rPr>
                  </w:pPr>
                  <w:r>
                    <w:rPr>
                      <w:rFonts w:hint="eastAsia" w:ascii="仿宋" w:hAnsi="仿宋" w:eastAsia="仿宋" w:cs="仿宋"/>
                      <w:szCs w:val="21"/>
                    </w:rPr>
                    <w:t>数据标签与注释</w:t>
                  </w:r>
                </w:p>
              </w:tc>
            </w:tr>
            <w:tr w14:paraId="6746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77BEA45">
                  <w:pPr>
                    <w:rPr>
                      <w:rFonts w:hint="eastAsia" w:ascii="仿宋" w:hAnsi="仿宋" w:eastAsia="仿宋" w:cs="仿宋"/>
                      <w:szCs w:val="21"/>
                    </w:rPr>
                  </w:pPr>
                  <w:r>
                    <w:rPr>
                      <w:rFonts w:hint="eastAsia" w:ascii="仿宋" w:hAnsi="仿宋" w:eastAsia="仿宋" w:cs="仿宋"/>
                      <w:szCs w:val="21"/>
                    </w:rPr>
                    <w:t>9</w:t>
                  </w:r>
                </w:p>
              </w:tc>
              <w:tc>
                <w:tcPr>
                  <w:tcW w:w="1230" w:type="dxa"/>
                  <w:vMerge w:val="restart"/>
                  <w:vAlign w:val="center"/>
                </w:tcPr>
                <w:p w14:paraId="31E7A988">
                  <w:pPr>
                    <w:rPr>
                      <w:rFonts w:hint="eastAsia" w:ascii="仿宋" w:hAnsi="仿宋" w:eastAsia="仿宋" w:cs="仿宋"/>
                      <w:szCs w:val="21"/>
                    </w:rPr>
                  </w:pPr>
                  <w:r>
                    <w:rPr>
                      <w:rFonts w:hint="eastAsia" w:ascii="仿宋" w:hAnsi="仿宋" w:eastAsia="仿宋" w:cs="仿宋"/>
                      <w:szCs w:val="21"/>
                    </w:rPr>
                    <w:t>可视化呈现</w:t>
                  </w:r>
                </w:p>
              </w:tc>
              <w:tc>
                <w:tcPr>
                  <w:tcW w:w="2200" w:type="dxa"/>
                  <w:vAlign w:val="center"/>
                </w:tcPr>
                <w:p w14:paraId="16489F75">
                  <w:pPr>
                    <w:rPr>
                      <w:rFonts w:hint="eastAsia" w:ascii="仿宋" w:hAnsi="仿宋" w:eastAsia="仿宋" w:cs="仿宋"/>
                      <w:szCs w:val="21"/>
                    </w:rPr>
                  </w:pPr>
                  <w:r>
                    <w:rPr>
                      <w:rFonts w:hint="eastAsia" w:ascii="仿宋" w:hAnsi="仿宋" w:eastAsia="仿宋" w:cs="仿宋"/>
                      <w:szCs w:val="21"/>
                    </w:rPr>
                    <w:t>决策看板</w:t>
                  </w:r>
                </w:p>
              </w:tc>
              <w:tc>
                <w:tcPr>
                  <w:tcW w:w="1759" w:type="dxa"/>
                  <w:vMerge w:val="restart"/>
                  <w:vAlign w:val="center"/>
                </w:tcPr>
                <w:p w14:paraId="087469C4">
                  <w:pPr>
                    <w:rPr>
                      <w:rFonts w:hint="eastAsia" w:ascii="仿宋" w:hAnsi="仿宋" w:eastAsia="仿宋" w:cs="仿宋"/>
                      <w:szCs w:val="21"/>
                    </w:rPr>
                  </w:pPr>
                  <w:r>
                    <w:rPr>
                      <w:rFonts w:hint="eastAsia" w:ascii="仿宋" w:hAnsi="仿宋" w:eastAsia="仿宋" w:cs="仿宋"/>
                      <w:szCs w:val="21"/>
                    </w:rPr>
                    <w:t>可视化呈现</w:t>
                  </w:r>
                </w:p>
              </w:tc>
              <w:tc>
                <w:tcPr>
                  <w:tcW w:w="3317" w:type="dxa"/>
                  <w:vAlign w:val="center"/>
                </w:tcPr>
                <w:p w14:paraId="229DCAF5">
                  <w:pPr>
                    <w:rPr>
                      <w:rFonts w:hint="eastAsia" w:ascii="仿宋" w:hAnsi="仿宋" w:eastAsia="仿宋" w:cs="仿宋"/>
                      <w:szCs w:val="21"/>
                    </w:rPr>
                  </w:pPr>
                  <w:r>
                    <w:rPr>
                      <w:rFonts w:hint="eastAsia" w:ascii="仿宋" w:hAnsi="仿宋" w:eastAsia="仿宋" w:cs="仿宋"/>
                      <w:szCs w:val="21"/>
                    </w:rPr>
                    <w:t>决策看板</w:t>
                  </w:r>
                </w:p>
              </w:tc>
            </w:tr>
            <w:tr w14:paraId="195C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560A48E">
                  <w:pPr>
                    <w:rPr>
                      <w:rFonts w:hint="eastAsia" w:ascii="仿宋" w:hAnsi="仿宋" w:eastAsia="仿宋" w:cs="仿宋"/>
                      <w:szCs w:val="21"/>
                    </w:rPr>
                  </w:pPr>
                  <w:r>
                    <w:rPr>
                      <w:rFonts w:hint="eastAsia" w:ascii="仿宋" w:hAnsi="仿宋" w:eastAsia="仿宋" w:cs="仿宋"/>
                      <w:szCs w:val="21"/>
                    </w:rPr>
                    <w:t>10</w:t>
                  </w:r>
                </w:p>
              </w:tc>
              <w:tc>
                <w:tcPr>
                  <w:tcW w:w="1230" w:type="dxa"/>
                  <w:vMerge w:val="continue"/>
                  <w:vAlign w:val="center"/>
                </w:tcPr>
                <w:p w14:paraId="590BC20A">
                  <w:pPr>
                    <w:rPr>
                      <w:rFonts w:hint="eastAsia" w:ascii="仿宋" w:hAnsi="仿宋" w:eastAsia="仿宋" w:cs="仿宋"/>
                      <w:szCs w:val="21"/>
                    </w:rPr>
                  </w:pPr>
                </w:p>
              </w:tc>
              <w:tc>
                <w:tcPr>
                  <w:tcW w:w="2200" w:type="dxa"/>
                  <w:vAlign w:val="center"/>
                </w:tcPr>
                <w:p w14:paraId="316FD417">
                  <w:pPr>
                    <w:rPr>
                      <w:rFonts w:hint="eastAsia" w:ascii="仿宋" w:hAnsi="仿宋" w:eastAsia="仿宋" w:cs="仿宋"/>
                      <w:szCs w:val="21"/>
                    </w:rPr>
                  </w:pPr>
                  <w:r>
                    <w:rPr>
                      <w:rFonts w:hint="eastAsia" w:ascii="仿宋" w:hAnsi="仿宋" w:eastAsia="仿宋" w:cs="仿宋"/>
                      <w:szCs w:val="21"/>
                    </w:rPr>
                    <w:t>专题分析</w:t>
                  </w:r>
                </w:p>
              </w:tc>
              <w:tc>
                <w:tcPr>
                  <w:tcW w:w="1759" w:type="dxa"/>
                  <w:vMerge w:val="continue"/>
                  <w:vAlign w:val="center"/>
                </w:tcPr>
                <w:p w14:paraId="4B4CB121">
                  <w:pPr>
                    <w:rPr>
                      <w:rFonts w:hint="eastAsia" w:ascii="仿宋" w:hAnsi="仿宋" w:eastAsia="仿宋" w:cs="仿宋"/>
                      <w:szCs w:val="21"/>
                    </w:rPr>
                  </w:pPr>
                </w:p>
              </w:tc>
              <w:tc>
                <w:tcPr>
                  <w:tcW w:w="3317" w:type="dxa"/>
                  <w:vAlign w:val="center"/>
                </w:tcPr>
                <w:p w14:paraId="7690C4BE">
                  <w:pPr>
                    <w:rPr>
                      <w:rFonts w:hint="eastAsia" w:ascii="仿宋" w:hAnsi="仿宋" w:eastAsia="仿宋" w:cs="仿宋"/>
                      <w:szCs w:val="21"/>
                    </w:rPr>
                  </w:pPr>
                  <w:r>
                    <w:rPr>
                      <w:rFonts w:hint="eastAsia" w:ascii="仿宋" w:hAnsi="仿宋" w:eastAsia="仿宋" w:cs="仿宋"/>
                      <w:szCs w:val="21"/>
                    </w:rPr>
                    <w:t>专题分析</w:t>
                  </w:r>
                </w:p>
              </w:tc>
            </w:tr>
            <w:tr w14:paraId="2C5E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03697F9">
                  <w:pPr>
                    <w:rPr>
                      <w:rFonts w:hint="eastAsia" w:ascii="仿宋" w:hAnsi="仿宋" w:eastAsia="仿宋" w:cs="仿宋"/>
                      <w:szCs w:val="21"/>
                    </w:rPr>
                  </w:pPr>
                  <w:r>
                    <w:rPr>
                      <w:rFonts w:hint="eastAsia" w:ascii="仿宋" w:hAnsi="仿宋" w:eastAsia="仿宋" w:cs="仿宋"/>
                      <w:szCs w:val="21"/>
                    </w:rPr>
                    <w:t>11</w:t>
                  </w:r>
                </w:p>
              </w:tc>
              <w:tc>
                <w:tcPr>
                  <w:tcW w:w="1230" w:type="dxa"/>
                  <w:vMerge w:val="continue"/>
                  <w:vAlign w:val="center"/>
                </w:tcPr>
                <w:p w14:paraId="0A065EE3">
                  <w:pPr>
                    <w:rPr>
                      <w:rFonts w:hint="eastAsia" w:ascii="仿宋" w:hAnsi="仿宋" w:eastAsia="仿宋" w:cs="仿宋"/>
                      <w:szCs w:val="21"/>
                    </w:rPr>
                  </w:pPr>
                </w:p>
              </w:tc>
              <w:tc>
                <w:tcPr>
                  <w:tcW w:w="2200" w:type="dxa"/>
                  <w:vAlign w:val="center"/>
                </w:tcPr>
                <w:p w14:paraId="709C923F">
                  <w:pPr>
                    <w:rPr>
                      <w:rFonts w:hint="eastAsia" w:ascii="仿宋" w:hAnsi="仿宋" w:eastAsia="仿宋" w:cs="仿宋"/>
                      <w:szCs w:val="21"/>
                    </w:rPr>
                  </w:pPr>
                  <w:r>
                    <w:rPr>
                      <w:rFonts w:hint="eastAsia" w:ascii="仿宋" w:hAnsi="仿宋" w:eastAsia="仿宋" w:cs="仿宋"/>
                      <w:szCs w:val="21"/>
                    </w:rPr>
                    <w:t>统计报告</w:t>
                  </w:r>
                </w:p>
              </w:tc>
              <w:tc>
                <w:tcPr>
                  <w:tcW w:w="1759" w:type="dxa"/>
                  <w:vMerge w:val="continue"/>
                  <w:vAlign w:val="center"/>
                </w:tcPr>
                <w:p w14:paraId="705B193C">
                  <w:pPr>
                    <w:rPr>
                      <w:rFonts w:hint="eastAsia" w:ascii="仿宋" w:hAnsi="仿宋" w:eastAsia="仿宋" w:cs="仿宋"/>
                      <w:szCs w:val="21"/>
                    </w:rPr>
                  </w:pPr>
                </w:p>
              </w:tc>
              <w:tc>
                <w:tcPr>
                  <w:tcW w:w="3317" w:type="dxa"/>
                  <w:vAlign w:val="center"/>
                </w:tcPr>
                <w:p w14:paraId="511D11B1">
                  <w:pPr>
                    <w:rPr>
                      <w:rFonts w:hint="eastAsia" w:ascii="仿宋" w:hAnsi="仿宋" w:eastAsia="仿宋" w:cs="仿宋"/>
                      <w:szCs w:val="21"/>
                    </w:rPr>
                  </w:pPr>
                  <w:r>
                    <w:rPr>
                      <w:rFonts w:hint="eastAsia" w:ascii="仿宋" w:hAnsi="仿宋" w:eastAsia="仿宋" w:cs="仿宋"/>
                      <w:szCs w:val="21"/>
                    </w:rPr>
                    <w:t>统计报告</w:t>
                  </w:r>
                </w:p>
              </w:tc>
            </w:tr>
            <w:tr w14:paraId="7D0B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6EE89E3">
                  <w:pPr>
                    <w:rPr>
                      <w:rFonts w:hint="eastAsia" w:ascii="仿宋" w:hAnsi="仿宋" w:eastAsia="仿宋" w:cs="仿宋"/>
                      <w:szCs w:val="21"/>
                    </w:rPr>
                  </w:pPr>
                  <w:r>
                    <w:rPr>
                      <w:rFonts w:hint="eastAsia" w:ascii="仿宋" w:hAnsi="仿宋" w:eastAsia="仿宋" w:cs="仿宋"/>
                      <w:szCs w:val="21"/>
                    </w:rPr>
                    <w:t>12</w:t>
                  </w:r>
                </w:p>
              </w:tc>
              <w:tc>
                <w:tcPr>
                  <w:tcW w:w="1230" w:type="dxa"/>
                  <w:vMerge w:val="continue"/>
                  <w:vAlign w:val="center"/>
                </w:tcPr>
                <w:p w14:paraId="5DA4F7F2">
                  <w:pPr>
                    <w:rPr>
                      <w:rFonts w:hint="eastAsia" w:ascii="仿宋" w:hAnsi="仿宋" w:eastAsia="仿宋" w:cs="仿宋"/>
                      <w:szCs w:val="21"/>
                    </w:rPr>
                  </w:pPr>
                </w:p>
              </w:tc>
              <w:tc>
                <w:tcPr>
                  <w:tcW w:w="2200" w:type="dxa"/>
                  <w:vAlign w:val="center"/>
                </w:tcPr>
                <w:p w14:paraId="1FE5AFE5">
                  <w:pPr>
                    <w:rPr>
                      <w:rFonts w:hint="eastAsia" w:ascii="仿宋" w:hAnsi="仿宋" w:eastAsia="仿宋" w:cs="仿宋"/>
                      <w:szCs w:val="21"/>
                    </w:rPr>
                  </w:pPr>
                  <w:r>
                    <w:rPr>
                      <w:rFonts w:hint="eastAsia" w:ascii="仿宋" w:hAnsi="仿宋" w:eastAsia="仿宋" w:cs="仿宋"/>
                      <w:szCs w:val="21"/>
                    </w:rPr>
                    <w:t>统计资料</w:t>
                  </w:r>
                </w:p>
              </w:tc>
              <w:tc>
                <w:tcPr>
                  <w:tcW w:w="1759" w:type="dxa"/>
                  <w:vMerge w:val="continue"/>
                  <w:vAlign w:val="center"/>
                </w:tcPr>
                <w:p w14:paraId="0BF55EDA">
                  <w:pPr>
                    <w:rPr>
                      <w:rFonts w:hint="eastAsia" w:ascii="仿宋" w:hAnsi="仿宋" w:eastAsia="仿宋" w:cs="仿宋"/>
                      <w:szCs w:val="21"/>
                    </w:rPr>
                  </w:pPr>
                </w:p>
              </w:tc>
              <w:tc>
                <w:tcPr>
                  <w:tcW w:w="3317" w:type="dxa"/>
                  <w:vAlign w:val="center"/>
                </w:tcPr>
                <w:p w14:paraId="5536CD48">
                  <w:pPr>
                    <w:rPr>
                      <w:rFonts w:hint="eastAsia" w:ascii="仿宋" w:hAnsi="仿宋" w:eastAsia="仿宋" w:cs="仿宋"/>
                      <w:szCs w:val="21"/>
                    </w:rPr>
                  </w:pPr>
                  <w:r>
                    <w:rPr>
                      <w:rFonts w:hint="eastAsia" w:ascii="仿宋" w:hAnsi="仿宋" w:eastAsia="仿宋" w:cs="仿宋"/>
                      <w:szCs w:val="21"/>
                    </w:rPr>
                    <w:t>统计资料</w:t>
                  </w:r>
                </w:p>
              </w:tc>
            </w:tr>
            <w:tr w14:paraId="64D6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4CCCA46">
                  <w:pPr>
                    <w:rPr>
                      <w:rFonts w:hint="eastAsia" w:ascii="仿宋" w:hAnsi="仿宋" w:eastAsia="仿宋" w:cs="仿宋"/>
                      <w:szCs w:val="21"/>
                    </w:rPr>
                  </w:pPr>
                  <w:r>
                    <w:rPr>
                      <w:rFonts w:hint="eastAsia" w:ascii="仿宋" w:hAnsi="仿宋" w:eastAsia="仿宋" w:cs="仿宋"/>
                      <w:szCs w:val="21"/>
                    </w:rPr>
                    <w:t>13</w:t>
                  </w:r>
                </w:p>
              </w:tc>
              <w:tc>
                <w:tcPr>
                  <w:tcW w:w="1230" w:type="dxa"/>
                  <w:vMerge w:val="continue"/>
                  <w:vAlign w:val="center"/>
                </w:tcPr>
                <w:p w14:paraId="1474FF87">
                  <w:pPr>
                    <w:rPr>
                      <w:rFonts w:hint="eastAsia" w:ascii="仿宋" w:hAnsi="仿宋" w:eastAsia="仿宋" w:cs="仿宋"/>
                      <w:szCs w:val="21"/>
                    </w:rPr>
                  </w:pPr>
                </w:p>
              </w:tc>
              <w:tc>
                <w:tcPr>
                  <w:tcW w:w="2200" w:type="dxa"/>
                  <w:vAlign w:val="center"/>
                </w:tcPr>
                <w:p w14:paraId="22598BCC">
                  <w:pPr>
                    <w:rPr>
                      <w:rFonts w:hint="eastAsia" w:ascii="仿宋" w:hAnsi="仿宋" w:eastAsia="仿宋" w:cs="仿宋"/>
                      <w:szCs w:val="21"/>
                    </w:rPr>
                  </w:pPr>
                  <w:r>
                    <w:rPr>
                      <w:rFonts w:hint="eastAsia" w:ascii="仿宋" w:hAnsi="仿宋" w:eastAsia="仿宋" w:cs="仿宋"/>
                      <w:szCs w:val="21"/>
                    </w:rPr>
                    <w:t>自主分析</w:t>
                  </w:r>
                </w:p>
              </w:tc>
              <w:tc>
                <w:tcPr>
                  <w:tcW w:w="1759" w:type="dxa"/>
                  <w:vMerge w:val="continue"/>
                  <w:vAlign w:val="center"/>
                </w:tcPr>
                <w:p w14:paraId="08733377">
                  <w:pPr>
                    <w:rPr>
                      <w:rFonts w:hint="eastAsia" w:ascii="仿宋" w:hAnsi="仿宋" w:eastAsia="仿宋" w:cs="仿宋"/>
                      <w:szCs w:val="21"/>
                    </w:rPr>
                  </w:pPr>
                </w:p>
              </w:tc>
              <w:tc>
                <w:tcPr>
                  <w:tcW w:w="3317" w:type="dxa"/>
                  <w:vAlign w:val="center"/>
                </w:tcPr>
                <w:p w14:paraId="25F7BDB1">
                  <w:pPr>
                    <w:rPr>
                      <w:rFonts w:hint="eastAsia" w:ascii="仿宋" w:hAnsi="仿宋" w:eastAsia="仿宋" w:cs="仿宋"/>
                      <w:szCs w:val="21"/>
                    </w:rPr>
                  </w:pPr>
                  <w:r>
                    <w:rPr>
                      <w:rFonts w:hint="eastAsia" w:ascii="仿宋" w:hAnsi="仿宋" w:eastAsia="仿宋" w:cs="仿宋"/>
                      <w:szCs w:val="21"/>
                    </w:rPr>
                    <w:t>自主分析</w:t>
                  </w:r>
                </w:p>
              </w:tc>
            </w:tr>
            <w:tr w14:paraId="2B67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9B85E4C">
                  <w:pPr>
                    <w:rPr>
                      <w:rFonts w:hint="eastAsia" w:ascii="仿宋" w:hAnsi="仿宋" w:eastAsia="仿宋" w:cs="仿宋"/>
                      <w:szCs w:val="21"/>
                    </w:rPr>
                  </w:pPr>
                  <w:r>
                    <w:rPr>
                      <w:rFonts w:hint="eastAsia" w:ascii="仿宋" w:hAnsi="仿宋" w:eastAsia="仿宋" w:cs="仿宋"/>
                      <w:szCs w:val="21"/>
                    </w:rPr>
                    <w:t>14</w:t>
                  </w:r>
                </w:p>
              </w:tc>
              <w:tc>
                <w:tcPr>
                  <w:tcW w:w="1230" w:type="dxa"/>
                  <w:vMerge w:val="continue"/>
                  <w:vAlign w:val="center"/>
                </w:tcPr>
                <w:p w14:paraId="424A254A">
                  <w:pPr>
                    <w:rPr>
                      <w:rFonts w:hint="eastAsia" w:ascii="仿宋" w:hAnsi="仿宋" w:eastAsia="仿宋" w:cs="仿宋"/>
                      <w:szCs w:val="21"/>
                    </w:rPr>
                  </w:pPr>
                </w:p>
              </w:tc>
              <w:tc>
                <w:tcPr>
                  <w:tcW w:w="2200" w:type="dxa"/>
                  <w:vAlign w:val="center"/>
                </w:tcPr>
                <w:p w14:paraId="68DB914D">
                  <w:pPr>
                    <w:jc w:val="center"/>
                    <w:rPr>
                      <w:rFonts w:hint="eastAsia" w:ascii="仿宋" w:hAnsi="仿宋" w:eastAsia="仿宋" w:cs="仿宋"/>
                      <w:szCs w:val="21"/>
                    </w:rPr>
                  </w:pPr>
                  <w:r>
                    <w:rPr>
                      <w:rFonts w:hint="eastAsia" w:ascii="仿宋" w:hAnsi="仿宋" w:eastAsia="仿宋" w:cs="仿宋"/>
                      <w:szCs w:val="21"/>
                    </w:rPr>
                    <w:t>-</w:t>
                  </w:r>
                </w:p>
              </w:tc>
              <w:tc>
                <w:tcPr>
                  <w:tcW w:w="1759" w:type="dxa"/>
                  <w:vMerge w:val="continue"/>
                  <w:vAlign w:val="center"/>
                </w:tcPr>
                <w:p w14:paraId="2AAAFD36">
                  <w:pPr>
                    <w:rPr>
                      <w:rFonts w:hint="eastAsia" w:ascii="仿宋" w:hAnsi="仿宋" w:eastAsia="仿宋" w:cs="仿宋"/>
                      <w:szCs w:val="21"/>
                    </w:rPr>
                  </w:pPr>
                </w:p>
              </w:tc>
              <w:tc>
                <w:tcPr>
                  <w:tcW w:w="3317" w:type="dxa"/>
                  <w:vAlign w:val="center"/>
                </w:tcPr>
                <w:p w14:paraId="29775AA9">
                  <w:pPr>
                    <w:rPr>
                      <w:rFonts w:hint="eastAsia" w:ascii="仿宋" w:hAnsi="仿宋" w:eastAsia="仿宋" w:cs="仿宋"/>
                      <w:szCs w:val="21"/>
                    </w:rPr>
                  </w:pPr>
                  <w:r>
                    <w:rPr>
                      <w:rFonts w:hint="eastAsia" w:ascii="仿宋" w:hAnsi="仿宋" w:eastAsia="仿宋" w:cs="仿宋"/>
                      <w:szCs w:val="21"/>
                    </w:rPr>
                    <w:t>移动端</w:t>
                  </w:r>
                </w:p>
              </w:tc>
            </w:tr>
          </w:tbl>
          <w:p w14:paraId="2232CEEA">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p>
          <w:p w14:paraId="1A3800B1">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4.2.3.8人力资源管理功能建设</w:t>
            </w:r>
          </w:p>
          <w:p w14:paraId="721A0A7B">
            <w:pPr>
              <w:pStyle w:val="25"/>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模块通过细化指标项、拓展信息维度，全面记录卫生人员培训经历、证书资质、流入流出状态等内容，并设置数据校验规则，有效避免信息虚假与重复问题。采用高效的数据存储与处理架构，即使在信息高频更新阶段，也能保障系统流畅运行，配合自动保存功能，杜绝数据丢失风险。模块还具备电子化档案存储、智能检索、权限管理等功能，从根本上解决原系统管理漏洞，实现档案管理的标准化、规范化，大幅降低管理成本；提高人事工作效率，为决策层提供精准的人力数据支持，增强人力资源管理的科学性与竞争力。</w:t>
            </w:r>
          </w:p>
          <w:p w14:paraId="124B16F4">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4.2.3.8.1档案录入与维护</w:t>
            </w:r>
          </w:p>
          <w:p w14:paraId="1CD0967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4.2.3.8.1.1基础信息</w:t>
            </w:r>
          </w:p>
          <w:p w14:paraId="08BE05D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提升数据填报的规范性与便捷性，现需对原有表格样式的报表呈现方式进行优化，构建结构化表单体系，通过分类集成填报模块实现各类指标项的有序填报。具体需严格参照《全国卫生资源与医疗服务统计调查制度》中卫生人力基本信息调查表、卫生监督人力基本信息调查表、村卫生室人员基本信息调查表的指标内容，在确保国家统计制度刚性要求落实的基础上，结合本省人力资源管理实际业务需求，新增符合本省特色的功能指标字段，涵盖但不限于区域性人才结构、基层卫生人员培训等特色管理维度，形成指标要素完整、逻辑关系清晰的填报指标体系。同步完善填报任务配置，通过智能分类指引、数据关联校验等功能设计，构建覆盖指标填报全流程的任务管理机制，确保填报工作既满足国家统计标准，又能精准支撑本省卫生人力资源管理的精细化决策需求。</w:t>
            </w:r>
          </w:p>
          <w:p w14:paraId="64770F5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4.2.3.8.1.2文件上传</w:t>
            </w:r>
          </w:p>
          <w:p w14:paraId="058B674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支持各类文件拍照上传，文件格式支持JPG、PNG等，单个文件不超过10MB。</w:t>
            </w:r>
          </w:p>
          <w:p w14:paraId="7DAD827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4.2.3.8.1.3维护权限</w:t>
            </w:r>
          </w:p>
          <w:p w14:paraId="146F71F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优先由机构管理员对本机构所有人员信息进行维护，对于部分信息不全或需二次确认的信息可通过免登陆配置，发送链接给到个人进行维护和确认。</w:t>
            </w:r>
          </w:p>
          <w:p w14:paraId="5C30142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4.2.3.8.1.3.1机构维护</w:t>
            </w:r>
          </w:p>
          <w:p w14:paraId="7EDA462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机构管理员拥有对本机构所有人员信息的最高维护权限，可进行新增、修改、删除等全流程操作，确保机构档案信息的完整性与准确性。</w:t>
            </w:r>
          </w:p>
          <w:p w14:paraId="23C4308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4.2.3.8.1.3.2个人维护</w:t>
            </w:r>
          </w:p>
          <w:p w14:paraId="56C82B1D">
            <w:pPr>
              <w:pStyle w:val="12"/>
              <w:numPr>
                <w:ilvl w:val="7"/>
                <w:numId w:val="0"/>
              </w:numPr>
              <w:rPr>
                <w:rFonts w:hint="eastAsia" w:ascii="仿宋" w:hAnsi="仿宋" w:eastAsia="仿宋" w:cs="仿宋"/>
                <w:sz w:val="21"/>
              </w:rPr>
            </w:pPr>
            <w:r>
              <w:rPr>
                <w:rFonts w:hint="eastAsia" w:ascii="仿宋" w:hAnsi="仿宋" w:eastAsia="仿宋" w:cs="仿宋"/>
                <w:sz w:val="21"/>
              </w:rPr>
              <w:t>4.2.3.8.1.3.2.1机构发送链接</w:t>
            </w:r>
          </w:p>
          <w:p w14:paraId="4882CA6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任务创建：机构管理员在“人力资源管理模块-人力资源任务表”中，点击“生成调查任务”按钮，系统自动生成唯一的调查任务链接。</w:t>
            </w:r>
          </w:p>
          <w:p w14:paraId="2BB915D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链接分发：管理员可线下将调查任务链接通过邮件、即时通讯工具等渠道发送给指定人员。</w:t>
            </w:r>
          </w:p>
          <w:p w14:paraId="24F476C3">
            <w:pPr>
              <w:pStyle w:val="12"/>
              <w:numPr>
                <w:ilvl w:val="7"/>
                <w:numId w:val="0"/>
              </w:numPr>
              <w:rPr>
                <w:rFonts w:hint="eastAsia" w:ascii="仿宋" w:hAnsi="仿宋" w:eastAsia="仿宋" w:cs="仿宋"/>
                <w:sz w:val="21"/>
              </w:rPr>
            </w:pPr>
            <w:r>
              <w:rPr>
                <w:rFonts w:hint="eastAsia" w:ascii="仿宋" w:hAnsi="仿宋" w:eastAsia="仿宋" w:cs="仿宋"/>
                <w:sz w:val="21"/>
              </w:rPr>
              <w:t>4.2.3.8.1.3.2.2个人维护操作</w:t>
            </w:r>
          </w:p>
          <w:p w14:paraId="7444BEA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个人点击链接后，跳转至调查表单编辑页面，按要求填写或修改相关信息。填报过程中，系统实时进行格式校验，如日期格式、手机号格式等，不符合要求时给予提示。</w:t>
            </w:r>
          </w:p>
          <w:p w14:paraId="5AFBDC05">
            <w:pPr>
              <w:pStyle w:val="12"/>
              <w:numPr>
                <w:ilvl w:val="7"/>
                <w:numId w:val="0"/>
              </w:numPr>
              <w:rPr>
                <w:rFonts w:hint="eastAsia" w:ascii="仿宋" w:hAnsi="仿宋" w:eastAsia="仿宋" w:cs="仿宋"/>
                <w:sz w:val="21"/>
              </w:rPr>
            </w:pPr>
            <w:r>
              <w:rPr>
                <w:rFonts w:hint="eastAsia" w:ascii="仿宋" w:hAnsi="仿宋" w:eastAsia="仿宋" w:cs="仿宋"/>
                <w:sz w:val="21"/>
              </w:rPr>
              <w:t>4.2.3.8.1.3.2.3移动端小程序适配</w:t>
            </w:r>
          </w:p>
          <w:p w14:paraId="79F0804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个人在移动端点击调查任务链接，自动跳转至人力资源管理小程序。小程序界面采用响应式设计，适配不同尺寸屏幕，操作流程与PC端一致。</w:t>
            </w:r>
          </w:p>
          <w:p w14:paraId="49DEDDE6">
            <w:pPr>
              <w:pStyle w:val="12"/>
              <w:numPr>
                <w:ilvl w:val="7"/>
                <w:numId w:val="0"/>
              </w:numPr>
              <w:rPr>
                <w:rFonts w:hint="eastAsia" w:ascii="仿宋" w:hAnsi="仿宋" w:eastAsia="仿宋" w:cs="仿宋"/>
                <w:sz w:val="21"/>
              </w:rPr>
            </w:pPr>
            <w:r>
              <w:rPr>
                <w:rFonts w:hint="eastAsia" w:ascii="仿宋" w:hAnsi="仿宋" w:eastAsia="仿宋" w:cs="仿宋"/>
                <w:sz w:val="21"/>
              </w:rPr>
              <w:t>4.2.3.8.1.3.2.4数据处理与反馈</w:t>
            </w:r>
          </w:p>
          <w:p w14:paraId="73F67BC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个人提交数据后，系统自动对数据进行完整性检查，若存在必填项未填，返回提醒页面。检查通过后，可上报成功。</w:t>
            </w:r>
          </w:p>
          <w:p w14:paraId="3CE78EF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4.2.3.8.1.4标准接口功能增强</w:t>
            </w:r>
          </w:p>
          <w:p w14:paraId="16770504">
            <w:pPr>
              <w:pStyle w:val="23"/>
              <w:numPr>
                <w:ilvl w:val="0"/>
                <w:numId w:val="28"/>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优化数据导入功能，支持各类文件的导入上传。</w:t>
            </w:r>
          </w:p>
          <w:p w14:paraId="54A98D8C">
            <w:pPr>
              <w:pStyle w:val="23"/>
              <w:numPr>
                <w:ilvl w:val="0"/>
                <w:numId w:val="28"/>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增加公共接口服务，可由机构进行系统对接的申请，审批通过后将接口文档以及映射关系进行开放，机构根据接口信息直接推送数据。</w:t>
            </w:r>
          </w:p>
          <w:p w14:paraId="52CD3227">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4.2.3.8.2第三方系统数据比对</w:t>
            </w:r>
          </w:p>
          <w:p w14:paraId="3E17B325">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新增与第三方系统数据比对的结果查询模块，民科系统、医学教育系统、三秦智医系统推送至本系统后对数据进行全面、精准对比。通过设定明确的对比规则与流程，将对比结果仅向机构和各级管理员开放，以实现数据的有效管理与监控，保障人力资源档案数据的准确性和一致性。</w:t>
            </w:r>
          </w:p>
          <w:p w14:paraId="4E56A37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4.2.3.8.2.1数据获取与清洗</w:t>
            </w:r>
          </w:p>
          <w:p w14:paraId="35755884">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4.2.3.8.2.1.1数据获取</w:t>
            </w:r>
          </w:p>
          <w:p w14:paraId="7E9D609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系统中开发专门的数据接收接口，依据第三方系统按时间节点推送数据的特点，设置定时任务接收数据。每次接收数据时，记录数据的接收时间、来源系统等信息，便于后续追溯与管理。针对民科系统，接收医生执业信息与资格证书相关信息；医学教育系统接收学历教育、继续教育等数据；三秦智医系统实时接收基层各机构的基本信息变动、人员变动等数据。</w:t>
            </w:r>
          </w:p>
          <w:p w14:paraId="24B70578">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4.2.3.8.2.1.2数据清洗</w:t>
            </w:r>
          </w:p>
          <w:p w14:paraId="4D7A3C1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去除重复数据：利用数据的唯一标识（如人员编号等），通过SQL语句或数据处理工具，对接收的第三方数据进行查重处理，删除重复记录。</w:t>
            </w:r>
          </w:p>
          <w:p w14:paraId="321C3F7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规范数据格式：统一数据的格式标准，如日期格式统一为“YYYYMMDD”，姓名、地址等文本字段统一字符编码和大小写格式等。对不符合格式要求的数据进行转换和修正。</w:t>
            </w:r>
          </w:p>
          <w:p w14:paraId="6D07340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4.2.3.8.2.2数据对比规则与方法</w:t>
            </w:r>
          </w:p>
          <w:p w14:paraId="5E1523C1">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4.2.3.8.2.2.1对比规则</w:t>
            </w:r>
          </w:p>
          <w:p w14:paraId="6D887C5B">
            <w:pPr>
              <w:pStyle w:val="23"/>
              <w:numPr>
                <w:ilvl w:val="0"/>
                <w:numId w:val="29"/>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人员信息对比</w:t>
            </w:r>
          </w:p>
          <w:p w14:paraId="1501F80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以人员编号作为唯一标识，对比第三方系统和本系统中人员的基本信息，包括姓名、性别、出生日期、身份证号等。若出现不一致，标记为差异数据。</w:t>
            </w:r>
          </w:p>
          <w:p w14:paraId="3E1B34D2">
            <w:pPr>
              <w:pStyle w:val="23"/>
              <w:numPr>
                <w:ilvl w:val="0"/>
                <w:numId w:val="29"/>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业务数据对比</w:t>
            </w:r>
          </w:p>
          <w:p w14:paraId="64EBFF6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民科系统：对比医生执业资格、执业地点等基本信息。若系统内部信息在第三方系统和本系统中存在差异，记录差异内容。</w:t>
            </w:r>
          </w:p>
          <w:p w14:paraId="1650ECC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医学教育系统：对比继续教育课程名称、培训时间、证书编号等信息。对于培训经历和继续教育数据的差异，重点标记并分析原因。</w:t>
            </w:r>
          </w:p>
          <w:p w14:paraId="5DF23FF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三秦智医系统：对比基层系统中机构的变动情况以及人员的变动情况，两边系统做实时校对，确保相关数据能够及时共享更新。</w:t>
            </w:r>
          </w:p>
          <w:p w14:paraId="22781BBE">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4.2.3.8.2.2.2对比方法</w:t>
            </w:r>
          </w:p>
          <w:p w14:paraId="5EE53B5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字段级对比：采用分析表对比程序，逐字段对比第三方数据与本系统数据。</w:t>
            </w:r>
          </w:p>
          <w:p w14:paraId="376C0A5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历史数据对比：建立数据版本管理机制，保存每次数据对比的结果和历史数据。通过对比不同时间节点的数据变化，分析数据的动态差异，及时发现数据的异常变动。</w:t>
            </w:r>
          </w:p>
          <w:p w14:paraId="2FC2FAF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4.2.3.8.2.3对比结果呈现与处理</w:t>
            </w:r>
          </w:p>
          <w:p w14:paraId="3A251AE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4.2.3.8.2.3.1结果呈现</w:t>
            </w:r>
          </w:p>
          <w:p w14:paraId="6DBB231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在人力资源档案管理模块中，设计专门的对比结果查询界面，仅向机构和各级管理员开放访问权限。通过权限控制机制，确保只有具备相应权限的人员才能查看对比结果。</w:t>
            </w:r>
          </w:p>
          <w:p w14:paraId="1EB915D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表格详细列出差异数据的具体信息，包括人员信息、数据来源、差异字段、差异内容等。在表格设计上，针对人员的关键字段，增加钻取效果，当机构用户点击该指标项时，触发页面钻取至人员档案录入页面，可进行数据修改及上报。分析表提供导出功能，管理员可将对比结果导出为各类型文件，方便进行进一步的分析和存档。</w:t>
            </w:r>
          </w:p>
          <w:p w14:paraId="4CA5ACD5">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4.2.3.8.2.3.2结果处理</w:t>
            </w:r>
          </w:p>
          <w:p w14:paraId="4B2E653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由各机构管理员通知与第三方系统数据对应有差异的人员，登录系统进行信息修改。</w:t>
            </w:r>
          </w:p>
          <w:p w14:paraId="18C4DA1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4.2.3.8.3人员流动管理</w:t>
            </w:r>
          </w:p>
          <w:p w14:paraId="4329198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本功能主要适用于医疗卫生机构间人员跨单位流动，包括：</w:t>
            </w:r>
          </w:p>
          <w:p w14:paraId="7FF7A45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公立医院向基层卫生服务中心的人才下沉（如县级医院医生调至乡镇卫生院）；基层机构向区域医共体牵头医院的岗位晋升（如社区护士调至市级医院急诊科）；跨区域卫生人才调配（如外省引进的学科带头人调入本省三甲医院）；村卫生室人员向乡镇卫生院的编制内流动（如乡村医生通过考核转为卫生院在编人员）等各类人员流动情况。</w:t>
            </w:r>
          </w:p>
          <w:p w14:paraId="3340089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4.2.3.8.3.1调出功能</w:t>
            </w:r>
          </w:p>
          <w:p w14:paraId="31DE782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在流动管理-调出申请处理中操作：</w:t>
            </w:r>
          </w:p>
          <w:p w14:paraId="5CB6ADF4">
            <w:pPr>
              <w:pStyle w:val="23"/>
              <w:numPr>
                <w:ilvl w:val="0"/>
                <w:numId w:val="30"/>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机构管理员登录系统，进入“调出功能”页面，输入调出人员身份证号（如410XXX19900101XXXX），点击“查询”；</w:t>
            </w:r>
          </w:p>
          <w:p w14:paraId="63D07694">
            <w:pPr>
              <w:pStyle w:val="23"/>
              <w:numPr>
                <w:ilvl w:val="0"/>
                <w:numId w:val="30"/>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确认人员信息无误后，选择调出类型（如“跨机构调动”“借调”“离职”），填写目标单位全称（XX区社区卫生服务中心）、调出日期（如2024-07-01），点击“提交调出申请”；</w:t>
            </w:r>
          </w:p>
          <w:p w14:paraId="6097BE2F">
            <w:pPr>
              <w:pStyle w:val="23"/>
              <w:numPr>
                <w:ilvl w:val="0"/>
                <w:numId w:val="30"/>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目标单位确认接收后（详见调入功能流程），原单位HR在“调出功能”页面查看流动状态为“已确认”，点击“完成调出”。</w:t>
            </w:r>
          </w:p>
          <w:p w14:paraId="43AEF1DF">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4.2.3.8.3.2调入功能</w:t>
            </w:r>
          </w:p>
          <w:p w14:paraId="512033F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在流动管理-调入申请处理中操作：</w:t>
            </w:r>
          </w:p>
          <w:p w14:paraId="0979D290">
            <w:pPr>
              <w:pStyle w:val="23"/>
              <w:numPr>
                <w:ilvl w:val="0"/>
                <w:numId w:val="31"/>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机构管理员登录系统，进入“调入功能”页面，点击“发起调入申请”，输入拟调入人员身份证号（410XXX19900101XXXX），选择目标岗位（全科主治医师），填写调入日期（2024-07-01）；</w:t>
            </w:r>
          </w:p>
          <w:p w14:paraId="4F097CFD">
            <w:pPr>
              <w:pStyle w:val="23"/>
              <w:numPr>
                <w:ilvl w:val="0"/>
                <w:numId w:val="31"/>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确认历史档案无误后，点击“提交调入申请”。系统自动向原单位发送待审批通知（含流动编号LD20240701001、调入单位/岗位/日期）；</w:t>
            </w:r>
          </w:p>
          <w:p w14:paraId="6AD0C2C1">
            <w:pPr>
              <w:pStyle w:val="23"/>
              <w:numPr>
                <w:ilvl w:val="0"/>
                <w:numId w:val="31"/>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原单位审批通过后（详见申请流程），新单位机构管理员在"调入功能"页面查看状态为“审批通过”，点击“完成调入”。</w:t>
            </w:r>
          </w:p>
          <w:p w14:paraId="73E41EA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4.2.3.8.3.3申请流程</w:t>
            </w:r>
          </w:p>
          <w:p w14:paraId="5B7EAC7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操作路径：消息中心-待办任务中可查看需要办理的事项通知。</w:t>
            </w:r>
          </w:p>
          <w:p w14:paraId="69EA377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4.2.3.8.3.3.1流动申请</w:t>
            </w:r>
          </w:p>
          <w:p w14:paraId="1DA6ABC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流入机构的管理员进入“流动管理-调入申请"页面，输入申请人身份证号，系统自动校验是否在其他机构存在在职记录（如查询到该人员在XX市第二人民医院仍显示"在职"状态）。</w:t>
            </w:r>
          </w:p>
          <w:p w14:paraId="681042A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校验通过（无重复入职）：允许填写目标单位、岗位等信息并提交；</w:t>
            </w:r>
          </w:p>
          <w:p w14:paraId="42031E9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校验不通过：弹出提示"该人员当前在XX市第二人民医院登记为在职状态，是否确认调入？"（需上传原单位离职证明方可继续）；</w:t>
            </w:r>
          </w:p>
          <w:p w14:paraId="4D02649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若校验到异常在职记录，系统自动向原在职机构发送"人员流动冲突提醒"，需三方确认后解除冲突。</w:t>
            </w:r>
          </w:p>
          <w:p w14:paraId="124CDFC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审批流程</w:t>
            </w:r>
          </w:p>
          <w:p w14:paraId="1715409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原机构管理员在“消息中心-待办任务”中查看审批信息，点击进入审批页面，查看调入申请详情。</w:t>
            </w:r>
          </w:p>
          <w:p w14:paraId="5EE6A9BA">
            <w:pPr>
              <w:pStyle w:val="23"/>
              <w:numPr>
                <w:ilvl w:val="0"/>
                <w:numId w:val="32"/>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选择“同意”：系统自动触发档案迁移逻辑（详见调出/调入功能流程）；</w:t>
            </w:r>
          </w:p>
          <w:p w14:paraId="4A4FEA63">
            <w:pPr>
              <w:pStyle w:val="23"/>
              <w:numPr>
                <w:ilvl w:val="0"/>
                <w:numId w:val="32"/>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选择“拒绝”：需填写拒绝原因（如“该人员存在未结清的培训违约金”），系统将原因反馈至流入机构并留存审批记录。</w:t>
            </w:r>
          </w:p>
          <w:p w14:paraId="2A799B00">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4.2.3.8.3.3.2移动端审批</w:t>
            </w:r>
          </w:p>
          <w:p w14:paraId="7D4AB67E">
            <w:pPr>
              <w:pStyle w:val="23"/>
              <w:numPr>
                <w:ilvl w:val="0"/>
                <w:numId w:val="33"/>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审批任务处理</w:t>
            </w:r>
          </w:p>
          <w:p w14:paraId="1C43CDE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各级审批人员登录小程序后，能实时接收待审批任务提醒。点击任务可查看详细的人员流动申请信息及附件，依据实际情况进行审批操作，包括同意、驳回、退回修改等，并可添加审批意见。</w:t>
            </w:r>
          </w:p>
          <w:p w14:paraId="5743FED4">
            <w:pPr>
              <w:pStyle w:val="23"/>
              <w:numPr>
                <w:ilvl w:val="0"/>
                <w:numId w:val="33"/>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审批记录查询</w:t>
            </w:r>
          </w:p>
          <w:p w14:paraId="0755C809">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审批人员可在小程序中查询历史审批记录，包括已完成、进行中的审批任务，方便追溯审批过程和结果。</w:t>
            </w:r>
          </w:p>
          <w:p w14:paraId="12BC4C41">
            <w:pPr>
              <w:pStyle w:val="23"/>
              <w:numPr>
                <w:ilvl w:val="0"/>
                <w:numId w:val="33"/>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可视化展示</w:t>
            </w:r>
          </w:p>
          <w:p w14:paraId="6E887BC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小程序和PC端的审批相关页面，以流程图的形式展示人员流动审批工作流。当审批流程推进时，实时高亮显示当前所在审批节点，并用不同颜色或图标标识已完成、进行中、未开始的节点，让申请人和审批人员能一目了然地了解审批进度和流程走向。</w:t>
            </w:r>
          </w:p>
          <w:p w14:paraId="5E4F7AC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4.2.3.8.3.4档案封存与查看</w:t>
            </w:r>
          </w:p>
          <w:p w14:paraId="64F966C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原机构管理员可在“已调出人员”列表查看封存档案（显示“调出”状态、调出时间、目标单位），点击可查看档案详情（姓名、身份证号、职称等），但编辑按钮置灰；</w:t>
            </w:r>
          </w:p>
          <w:p w14:paraId="261B76A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现机构管理员在“在职人员”列表查看调入档案，点击可编辑岗位、科室、联系方式等字段（职称、资格证书等核心信息锁定不可修改）。</w:t>
            </w:r>
          </w:p>
          <w:p w14:paraId="01818752">
            <w:pPr>
              <w:pStyle w:val="23"/>
              <w:numPr>
                <w:ilvl w:val="0"/>
                <w:numId w:val="34"/>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系统自动为原机构档案添加“封存”标识（页面顶部显示红色条：“该档案已调出封存，仅可查看”）；</w:t>
            </w:r>
          </w:p>
          <w:p w14:paraId="6C035061">
            <w:pPr>
              <w:pStyle w:val="23"/>
              <w:numPr>
                <w:ilvl w:val="0"/>
                <w:numId w:val="34"/>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现机构档案添加“新调入”标识（蓝色条：“该人员为新调入，基础信息可编辑”）。</w:t>
            </w:r>
          </w:p>
          <w:p w14:paraId="05C74DA3">
            <w:pPr>
              <w:pStyle w:val="23"/>
              <w:numPr>
                <w:ilvl w:val="0"/>
                <w:numId w:val="34"/>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若原机构管理员尝试修改封存档案，系统拦截并提示：“调出人员档案已封存，禁止修改”；</w:t>
            </w:r>
          </w:p>
          <w:p w14:paraId="3D851272">
            <w:pPr>
              <w:pStyle w:val="23"/>
              <w:numPr>
                <w:ilvl w:val="0"/>
                <w:numId w:val="34"/>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若现机构管理员尝试修改核心信息，提示：“职称/资格证书等信息由原单位档案同步，如需修改请填写相关备注说明后进行更正流程”。</w:t>
            </w:r>
          </w:p>
          <w:p w14:paraId="2B6A9C8F">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4.2.3.8.4流程追溯与审计</w:t>
            </w:r>
          </w:p>
          <w:p w14:paraId="79CB42C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系统自动生成《人员流动全流程日志》，包含：</w:t>
            </w:r>
          </w:p>
          <w:p w14:paraId="0D72D7C0">
            <w:pPr>
              <w:pStyle w:val="23"/>
              <w:numPr>
                <w:ilvl w:val="0"/>
                <w:numId w:val="35"/>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申请发起时间、申请人/身份证号、目标单位；</w:t>
            </w:r>
          </w:p>
          <w:p w14:paraId="09D63EA2">
            <w:pPr>
              <w:pStyle w:val="23"/>
              <w:numPr>
                <w:ilvl w:val="0"/>
                <w:numId w:val="35"/>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原单位审批时间、审批结果（同意/拒绝）及备注；</w:t>
            </w:r>
          </w:p>
          <w:p w14:paraId="31ADFE4A">
            <w:pPr>
              <w:pStyle w:val="23"/>
              <w:numPr>
                <w:ilvl w:val="0"/>
                <w:numId w:val="35"/>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档案迁移时间、原单位/新单位档案状态变更记录；</w:t>
            </w:r>
          </w:p>
          <w:p w14:paraId="496C87EE">
            <w:pPr>
              <w:pStyle w:val="23"/>
              <w:numPr>
                <w:ilvl w:val="0"/>
                <w:numId w:val="35"/>
              </w:numPr>
              <w:spacing w:before="0" w:after="0" w:line="360" w:lineRule="auto"/>
              <w:ind w:left="960" w:hanging="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操作人、IP地址、终端设备信息。</w:t>
            </w:r>
          </w:p>
          <w:p w14:paraId="3C02967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管理员可在“流动管理-流程追溯”页面，通过流动编号（如LD20240701001）或身份证号查询完整流程记录，支持导出PDF格式审计报告。</w:t>
            </w:r>
          </w:p>
          <w:p w14:paraId="34DA5C82">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4.2.3.8.5优化前后功能对比清单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009"/>
              <w:gridCol w:w="1767"/>
              <w:gridCol w:w="1937"/>
              <w:gridCol w:w="2126"/>
            </w:tblGrid>
            <w:tr w14:paraId="3284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4A1D0BC">
                  <w:pPr>
                    <w:jc w:val="center"/>
                    <w:rPr>
                      <w:rFonts w:hint="eastAsia" w:ascii="仿宋" w:hAnsi="仿宋" w:eastAsia="仿宋" w:cs="仿宋"/>
                      <w:b/>
                      <w:bCs/>
                      <w:szCs w:val="21"/>
                    </w:rPr>
                  </w:pPr>
                  <w:r>
                    <w:rPr>
                      <w:rFonts w:hint="eastAsia" w:ascii="仿宋" w:hAnsi="仿宋" w:eastAsia="仿宋" w:cs="仿宋"/>
                      <w:b/>
                      <w:bCs/>
                      <w:szCs w:val="21"/>
                    </w:rPr>
                    <w:t>序号</w:t>
                  </w:r>
                </w:p>
              </w:tc>
              <w:tc>
                <w:tcPr>
                  <w:tcW w:w="3430" w:type="dxa"/>
                  <w:gridSpan w:val="2"/>
                  <w:vAlign w:val="center"/>
                </w:tcPr>
                <w:p w14:paraId="11C3B67B">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5076" w:type="dxa"/>
                  <w:gridSpan w:val="2"/>
                  <w:vAlign w:val="center"/>
                </w:tcPr>
                <w:p w14:paraId="3E83CFD2">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188D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96983EC">
                  <w:pPr>
                    <w:rPr>
                      <w:rFonts w:hint="eastAsia" w:ascii="仿宋" w:hAnsi="仿宋" w:eastAsia="仿宋" w:cs="仿宋"/>
                      <w:szCs w:val="21"/>
                    </w:rPr>
                  </w:pPr>
                  <w:r>
                    <w:rPr>
                      <w:rFonts w:hint="eastAsia" w:ascii="仿宋" w:hAnsi="仿宋" w:eastAsia="仿宋" w:cs="仿宋"/>
                      <w:szCs w:val="21"/>
                    </w:rPr>
                    <w:t>1</w:t>
                  </w:r>
                </w:p>
              </w:tc>
              <w:tc>
                <w:tcPr>
                  <w:tcW w:w="1230" w:type="dxa"/>
                  <w:vAlign w:val="center"/>
                </w:tcPr>
                <w:p w14:paraId="6739ED29">
                  <w:pPr>
                    <w:jc w:val="center"/>
                    <w:rPr>
                      <w:rFonts w:hint="eastAsia" w:ascii="仿宋" w:hAnsi="仿宋" w:eastAsia="仿宋" w:cs="仿宋"/>
                      <w:szCs w:val="21"/>
                    </w:rPr>
                  </w:pPr>
                </w:p>
              </w:tc>
              <w:tc>
                <w:tcPr>
                  <w:tcW w:w="2200" w:type="dxa"/>
                  <w:vAlign w:val="center"/>
                </w:tcPr>
                <w:p w14:paraId="02667315">
                  <w:pPr>
                    <w:jc w:val="center"/>
                    <w:rPr>
                      <w:rFonts w:hint="eastAsia" w:ascii="仿宋" w:hAnsi="仿宋" w:eastAsia="仿宋" w:cs="仿宋"/>
                      <w:szCs w:val="21"/>
                    </w:rPr>
                  </w:pPr>
                </w:p>
              </w:tc>
              <w:tc>
                <w:tcPr>
                  <w:tcW w:w="2417" w:type="dxa"/>
                  <w:vAlign w:val="center"/>
                </w:tcPr>
                <w:p w14:paraId="797618DF">
                  <w:pPr>
                    <w:rPr>
                      <w:rFonts w:hint="eastAsia" w:ascii="仿宋" w:hAnsi="仿宋" w:eastAsia="仿宋" w:cs="仿宋"/>
                      <w:szCs w:val="21"/>
                    </w:rPr>
                  </w:pPr>
                </w:p>
              </w:tc>
              <w:tc>
                <w:tcPr>
                  <w:tcW w:w="2659" w:type="dxa"/>
                  <w:vAlign w:val="center"/>
                </w:tcPr>
                <w:p w14:paraId="207931EE">
                  <w:pPr>
                    <w:rPr>
                      <w:rFonts w:hint="eastAsia" w:ascii="仿宋" w:hAnsi="仿宋" w:eastAsia="仿宋" w:cs="仿宋"/>
                      <w:szCs w:val="21"/>
                    </w:rPr>
                  </w:pPr>
                </w:p>
              </w:tc>
            </w:tr>
            <w:tr w14:paraId="72B9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6C766A1">
                  <w:pPr>
                    <w:rPr>
                      <w:rFonts w:hint="eastAsia" w:ascii="仿宋" w:hAnsi="仿宋" w:eastAsia="仿宋" w:cs="仿宋"/>
                      <w:szCs w:val="21"/>
                    </w:rPr>
                  </w:pPr>
                  <w:r>
                    <w:rPr>
                      <w:rFonts w:hint="eastAsia" w:ascii="仿宋" w:hAnsi="仿宋" w:eastAsia="仿宋" w:cs="仿宋"/>
                      <w:szCs w:val="21"/>
                    </w:rPr>
                    <w:t>2</w:t>
                  </w:r>
                </w:p>
              </w:tc>
              <w:tc>
                <w:tcPr>
                  <w:tcW w:w="1230" w:type="dxa"/>
                  <w:vAlign w:val="center"/>
                </w:tcPr>
                <w:p w14:paraId="394AD7F3">
                  <w:pPr>
                    <w:jc w:val="center"/>
                    <w:rPr>
                      <w:rFonts w:hint="eastAsia" w:ascii="仿宋" w:hAnsi="仿宋" w:eastAsia="仿宋" w:cs="仿宋"/>
                      <w:szCs w:val="21"/>
                    </w:rPr>
                  </w:pPr>
                </w:p>
              </w:tc>
              <w:tc>
                <w:tcPr>
                  <w:tcW w:w="2200" w:type="dxa"/>
                  <w:vAlign w:val="center"/>
                </w:tcPr>
                <w:p w14:paraId="157C8E9B">
                  <w:pPr>
                    <w:jc w:val="center"/>
                    <w:rPr>
                      <w:rFonts w:hint="eastAsia" w:ascii="仿宋" w:hAnsi="仿宋" w:eastAsia="仿宋" w:cs="仿宋"/>
                      <w:szCs w:val="21"/>
                    </w:rPr>
                  </w:pPr>
                </w:p>
              </w:tc>
              <w:tc>
                <w:tcPr>
                  <w:tcW w:w="2417" w:type="dxa"/>
                  <w:vAlign w:val="center"/>
                </w:tcPr>
                <w:p w14:paraId="169E50AE">
                  <w:pPr>
                    <w:rPr>
                      <w:rFonts w:hint="eastAsia" w:ascii="仿宋" w:hAnsi="仿宋" w:eastAsia="仿宋" w:cs="仿宋"/>
                      <w:szCs w:val="21"/>
                    </w:rPr>
                  </w:pPr>
                </w:p>
              </w:tc>
              <w:tc>
                <w:tcPr>
                  <w:tcW w:w="2659" w:type="dxa"/>
                  <w:vAlign w:val="center"/>
                </w:tcPr>
                <w:p w14:paraId="0E89D435">
                  <w:pPr>
                    <w:rPr>
                      <w:rFonts w:hint="eastAsia" w:ascii="仿宋" w:hAnsi="仿宋" w:eastAsia="仿宋" w:cs="仿宋"/>
                      <w:szCs w:val="21"/>
                    </w:rPr>
                  </w:pPr>
                </w:p>
              </w:tc>
            </w:tr>
            <w:tr w14:paraId="7580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E6034FD">
                  <w:pPr>
                    <w:rPr>
                      <w:rFonts w:hint="eastAsia" w:ascii="仿宋" w:hAnsi="仿宋" w:eastAsia="仿宋" w:cs="仿宋"/>
                      <w:szCs w:val="21"/>
                    </w:rPr>
                  </w:pPr>
                  <w:r>
                    <w:rPr>
                      <w:rFonts w:hint="eastAsia" w:ascii="仿宋" w:hAnsi="仿宋" w:eastAsia="仿宋" w:cs="仿宋"/>
                      <w:szCs w:val="21"/>
                    </w:rPr>
                    <w:t>3</w:t>
                  </w:r>
                </w:p>
              </w:tc>
              <w:tc>
                <w:tcPr>
                  <w:tcW w:w="1230" w:type="dxa"/>
                  <w:vAlign w:val="center"/>
                </w:tcPr>
                <w:p w14:paraId="6699CDC4">
                  <w:pPr>
                    <w:jc w:val="center"/>
                    <w:rPr>
                      <w:rFonts w:hint="eastAsia" w:ascii="仿宋" w:hAnsi="仿宋" w:eastAsia="仿宋" w:cs="仿宋"/>
                      <w:szCs w:val="21"/>
                    </w:rPr>
                  </w:pPr>
                </w:p>
              </w:tc>
              <w:tc>
                <w:tcPr>
                  <w:tcW w:w="2200" w:type="dxa"/>
                  <w:vAlign w:val="center"/>
                </w:tcPr>
                <w:p w14:paraId="3BEBC28A">
                  <w:pPr>
                    <w:jc w:val="center"/>
                    <w:rPr>
                      <w:rFonts w:hint="eastAsia" w:ascii="仿宋" w:hAnsi="仿宋" w:eastAsia="仿宋" w:cs="仿宋"/>
                      <w:szCs w:val="21"/>
                    </w:rPr>
                  </w:pPr>
                </w:p>
              </w:tc>
              <w:tc>
                <w:tcPr>
                  <w:tcW w:w="2417" w:type="dxa"/>
                  <w:vAlign w:val="center"/>
                </w:tcPr>
                <w:p w14:paraId="09128967">
                  <w:pPr>
                    <w:rPr>
                      <w:rFonts w:hint="eastAsia" w:ascii="仿宋" w:hAnsi="仿宋" w:eastAsia="仿宋" w:cs="仿宋"/>
                      <w:szCs w:val="21"/>
                    </w:rPr>
                  </w:pPr>
                </w:p>
              </w:tc>
              <w:tc>
                <w:tcPr>
                  <w:tcW w:w="2659" w:type="dxa"/>
                  <w:vAlign w:val="center"/>
                </w:tcPr>
                <w:p w14:paraId="03D5B86B">
                  <w:pPr>
                    <w:rPr>
                      <w:rFonts w:hint="eastAsia" w:ascii="仿宋" w:hAnsi="仿宋" w:eastAsia="仿宋" w:cs="仿宋"/>
                      <w:szCs w:val="21"/>
                    </w:rPr>
                  </w:pPr>
                </w:p>
              </w:tc>
            </w:tr>
          </w:tbl>
          <w:p w14:paraId="1735B6F1">
            <w:pPr>
              <w:pStyle w:val="23"/>
              <w:spacing w:line="360" w:lineRule="auto"/>
              <w:rPr>
                <w:rFonts w:hint="eastAsia" w:ascii="仿宋" w:hAnsi="仿宋" w:eastAsia="仿宋" w:cs="仿宋"/>
                <w:color w:val="000000" w:themeColor="text1"/>
                <w:szCs w:val="21"/>
                <w14:textFill>
                  <w14:solidFill>
                    <w14:schemeClr w14:val="tx1"/>
                  </w14:solidFill>
                </w14:textFill>
              </w:rPr>
            </w:pPr>
          </w:p>
          <w:p w14:paraId="1314DE9B">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4.2.3.9知识库检索功能建设</w:t>
            </w:r>
          </w:p>
          <w:p w14:paraId="1075EBF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随着系统业务复杂度提升，用户在政策理解、系统操作及数据查询场景中面临多重痛点。统计调查制度条款解读滞后、系统操作指引分散、历史数据检索低效等问题，导致业务执行效率降低，数据应用价值未能充分挖掘。同时，现有系统各模块相对独立，缺乏统一智能交互入口，难以满足用户对高效信息获取的需求。</w:t>
            </w:r>
          </w:p>
          <w:p w14:paraId="6E4AC5F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突破上述瓶颈，新增知识库检索功能模块深度集成大语言模型技术，构建政策问答、操作指导、数据查询三大核心功能矩阵。在政策问答领域，通过导入《全国卫生资源与医疗服务统计调查制度》全量文本及动态补充文件，结合NLP语义解析技术，实现指标定义、填报口径的精准解读与多轮对话交互；操作指导模块依托高频问题场景库与智能引导式交互逻辑，可快速定位用户问题并推送图文教程等解决方案；数据查询功能打通统计年鉴数据库，支持自然语言驱动的多维度数据检索，输出结构化数据报表并提供文件下载。</w:t>
            </w:r>
          </w:p>
          <w:p w14:paraId="2CA701A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模块通过API接口与系统实现深度融合：在门户层面，提供统一智能交互入口；数据交互上，确保知识库内容与业务系统数据实时同步。功能上线后，将显著提升用户自主解决问题的能力，减少跨级别咨询沟通成本，同时增强数据利用效能，为决策管理人员提供智能辅助支撑。</w:t>
            </w:r>
          </w:p>
          <w:p w14:paraId="5A588B12">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4.2.3.9.1知识库构建</w:t>
            </w:r>
          </w:p>
          <w:p w14:paraId="21F0F468">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4.2.3.9.1.1政策问答</w:t>
            </w:r>
          </w:p>
          <w:p w14:paraId="34F878A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国家卫生部门每年会对《全国卫生资源与医疗服务统计调查制度》进行统计标准的更新，管理员通过知识库构建功能，将制度中的指标体系按业务类型分类录入，确保全省统计口径统一，为年度卫生资源统计报表编制提供准确依据。</w:t>
            </w:r>
          </w:p>
          <w:p w14:paraId="0A560BEF">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4.2.3.9.1.2操作指导</w:t>
            </w:r>
          </w:p>
          <w:p w14:paraId="4201BE3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系统使用过程中，系统管理员提前收集机构对系统操作的潜在疑问，在知识库中预置“如何注册账号”“审核不通过”等高频问题，并关联对应的操作指引教程，帮助用户快速处理各类操作问题。</w:t>
            </w:r>
          </w:p>
          <w:p w14:paraId="1BC15C8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4.2.3.9.1.3数据查询</w:t>
            </w:r>
          </w:p>
          <w:p w14:paraId="0410695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系统管理员提前将可公开的卫生健康统计年鉴数据接入并按年份、地区、机构类型分类存储，为规划制定提供数据支撑。</w:t>
            </w:r>
          </w:p>
          <w:p w14:paraId="0BBBAC3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4.2.3.9.1.4操作步骤</w:t>
            </w:r>
          </w:p>
          <w:p w14:paraId="6097366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4.2.3.9.1.4.1政策问答</w:t>
            </w:r>
          </w:p>
          <w:p w14:paraId="6147BD58">
            <w:pPr>
              <w:pStyle w:val="23"/>
              <w:numPr>
                <w:ilvl w:val="0"/>
                <w:numId w:val="36"/>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用户登录系统，点击首页“知识库检索”入口，进入对话框界面。在对话框顶部点击“政策问答”按钮。</w:t>
            </w:r>
          </w:p>
          <w:p w14:paraId="450CDE67">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系统在对话框内展示指标体系的全部大类名称，如“机构”“床位”“人员”“设备”等，每个大类名称为可点击的按钮。</w:t>
            </w:r>
          </w:p>
          <w:p w14:paraId="7BF44D8A">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对话框顶部提示：“请选择指标大类进行查询”；大类按钮高亮显示，便于区分。</w:t>
            </w:r>
          </w:p>
          <w:p w14:paraId="329B49F6">
            <w:pPr>
              <w:pStyle w:val="23"/>
              <w:numPr>
                <w:ilvl w:val="0"/>
                <w:numId w:val="36"/>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用户点击某一大类名称（如“机构”）。</w:t>
            </w:r>
          </w:p>
          <w:p w14:paraId="01CACBF3">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系统隐藏大类按钮，展示该大类下的小类名称，如“医院”“卫生院”“妇幼保健院”“社区卫生服务中心”等，小类名称同样为可点击按钮。</w:t>
            </w:r>
          </w:p>
          <w:p w14:paraId="25C6C1A5">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对话框提示：“请继续选择小类以查看具体指标”。</w:t>
            </w:r>
          </w:p>
          <w:p w14:paraId="7617501E">
            <w:pPr>
              <w:pStyle w:val="23"/>
              <w:numPr>
                <w:ilvl w:val="0"/>
                <w:numId w:val="36"/>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用户点击小类名称（如“医院”）。</w:t>
            </w:r>
          </w:p>
          <w:p w14:paraId="7A4D5478">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系统隐藏小类按钮，展示该小类下的所有指标项名称，如“三级医院数量”“医院床位数”“医院门诊人次”等，指标项为可点击按钮。</w:t>
            </w:r>
          </w:p>
          <w:p w14:paraId="68F124BB">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对话框提示：“点击指标项右侧按钮查看详细解释”。</w:t>
            </w:r>
          </w:p>
          <w:p w14:paraId="4E571856">
            <w:pPr>
              <w:pStyle w:val="23"/>
              <w:numPr>
                <w:ilvl w:val="0"/>
                <w:numId w:val="36"/>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用户点击指标项按钮（如“医院床位数”）。</w:t>
            </w:r>
          </w:p>
          <w:p w14:paraId="6B50FB59">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在对话框内展示该指标的详细解释内容，包括定义（如“医院床位数指医院实际开放的用于病人住院治疗的床位数”）、统计口径（如“按年末实有床位数统计”）、计算方法，若管理员上传了附件，提供附件下载链接；同时显示制度原文出处（如“《全国卫生资源与医疗服务统计调查制度》2024年版第X章第X条”）。</w:t>
            </w:r>
          </w:p>
          <w:p w14:paraId="515A4534">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解释内容区域背景色与对话框其他部分区分，便于阅读；附件下载链接标注文件格式及大小。</w:t>
            </w:r>
          </w:p>
          <w:p w14:paraId="124F56E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4.2.3.9.1.4.2操作指导</w:t>
            </w:r>
          </w:p>
          <w:p w14:paraId="4451D502">
            <w:pPr>
              <w:pStyle w:val="16"/>
              <w:numPr>
                <w:ilvl w:val="0"/>
                <w:numId w:val="37"/>
              </w:numPr>
              <w:adjustRightInd w:val="0"/>
              <w:snapToGrid w:val="0"/>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用户登录系统，点击首页“知识库检索”入口，进入对话框界面。在对话框顶部点击“操作指导”按钮。</w:t>
            </w:r>
          </w:p>
          <w:p w14:paraId="16544B67">
            <w:pPr>
              <w:pStyle w:val="16"/>
              <w:adjustRightInd w:val="0"/>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系统在对话框内展示操作模块的大类名称列表，如数据填报、数据查询、机构管理、人员信息管理等，每个名称以按钮形式呈现。</w:t>
            </w:r>
          </w:p>
          <w:p w14:paraId="58AE2BBA">
            <w:pPr>
              <w:pStyle w:val="16"/>
              <w:adjustRightInd w:val="0"/>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对话框顶部提示：“请选择您遇到问题的操作模块大类”；按钮下方显示对应模块的简短说明（如“数据填报：包含数据录入、保存、上报等操作问题”）。</w:t>
            </w:r>
          </w:p>
          <w:p w14:paraId="09990FB9">
            <w:pPr>
              <w:pStyle w:val="16"/>
              <w:numPr>
                <w:ilvl w:val="0"/>
                <w:numId w:val="37"/>
              </w:numPr>
              <w:adjustRightInd w:val="0"/>
              <w:snapToGrid w:val="0"/>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用户点击某一大类名称（如“数据填报”）。</w:t>
            </w:r>
          </w:p>
          <w:p w14:paraId="0CC9D188">
            <w:pPr>
              <w:pStyle w:val="16"/>
              <w:adjustRightInd w:val="0"/>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系统隐藏大类名称列表，展示该大类下的功能点名称，如保存、上报、审核、修改、导入、导出等，功能点名称同样为按钮形式。</w:t>
            </w:r>
          </w:p>
          <w:p w14:paraId="5C3B626B">
            <w:pPr>
              <w:pStyle w:val="16"/>
              <w:adjustRightInd w:val="0"/>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对话框提示：“请继续选择具体功能点，获取对应的操作说明”。</w:t>
            </w:r>
          </w:p>
          <w:p w14:paraId="54E11678">
            <w:pPr>
              <w:pStyle w:val="16"/>
              <w:numPr>
                <w:ilvl w:val="0"/>
                <w:numId w:val="37"/>
              </w:numPr>
              <w:adjustRightInd w:val="0"/>
              <w:snapToGrid w:val="0"/>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用户点击功能点名称（如“上报”）。</w:t>
            </w:r>
          </w:p>
          <w:p w14:paraId="4D7A8EB2">
            <w:pPr>
              <w:pStyle w:val="16"/>
              <w:adjustRightInd w:val="0"/>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在对话框内展示图文结合的操作说明。文字部分详细描述操作步骤，如“1.确认填报数据无误，所有必填项已填写；2.点击页面右上角的‘上报’按钮；3.在弹出的确认框中，核对上报信息，点击‘确定’完成上报；4.上报成功后，页面将显示‘上报成功’提示”。若管理员关联了视频教程，在图文下方显示“观看视频教程”按钮，点击可跳转至视频播放页面。</w:t>
            </w:r>
          </w:p>
          <w:p w14:paraId="22E2C22B">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4.2.3.9.1.4.3数据查询</w:t>
            </w:r>
          </w:p>
          <w:p w14:paraId="4EBED255">
            <w:pPr>
              <w:pStyle w:val="23"/>
              <w:numPr>
                <w:ilvl w:val="0"/>
                <w:numId w:val="38"/>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用户登录系统，点击首页“知识库检索”入口，进入对话框界面。在对话框顶部点击“数据查询”按钮。</w:t>
            </w:r>
          </w:p>
          <w:p w14:paraId="205D0F82">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对话框显示“请输入查询需求（示例：2022年陕西省二级医院门诊量）”的提示信息，下方出现输入框。</w:t>
            </w:r>
          </w:p>
          <w:p w14:paraId="4053F6FF">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输入内容不能为空，否则提示：“请输入查询内容”；查询过程中显示“正在查询数据，请稍候...”的加载提示。</w:t>
            </w:r>
          </w:p>
          <w:p w14:paraId="2047AA17">
            <w:pPr>
              <w:pStyle w:val="23"/>
              <w:numPr>
                <w:ilvl w:val="0"/>
                <w:numId w:val="38"/>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用户在输入框中输入自然语言查询语句，如“2021-2023年陕西省所有医疗卫生机构的病床使用率”，点击输入框下方的“提交”按钮。</w:t>
            </w:r>
          </w:p>
          <w:p w14:paraId="27294B25">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系统调用自然语言处理模型解析查询语句，提取“2021-2023年”“陕西省”“医疗卫生机构”“病床使用率”等关键信息，在数据查询知识库中进行多维度检索。</w:t>
            </w:r>
          </w:p>
          <w:p w14:paraId="0DA6715C">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系统检索完成后，在对话框内以结构化表格形式展示查询结果，表格包含年份、地区、病床使用率等字段。若数据量较大，表格支持分页查看（每页显示20条数据）。</w:t>
            </w:r>
          </w:p>
          <w:p w14:paraId="76A31B09">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系统自动计算并显示查询结果总数；表格支持按列排序（点击列标题可升序/降序排列）。</w:t>
            </w:r>
          </w:p>
          <w:p w14:paraId="0052E209">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表格上方标注数据来源（如“数据来源于《2021-2023年全国卫生统计年鉴》”）；若未查询到结果，显示“未找到符合条件的数据”。</w:t>
            </w:r>
          </w:p>
          <w:p w14:paraId="2A6111BC">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4.2.3.9.2完善知识库</w:t>
            </w:r>
          </w:p>
          <w:p w14:paraId="470F2BBB">
            <w:pPr>
              <w:pStyle w:val="23"/>
              <w:numPr>
                <w:ilvl w:val="0"/>
                <w:numId w:val="39"/>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用户在使用数据查询功能过程中遇到问题，如在自然语言查询未获得准确结果、数据下载格式不符等，点击页面右下角“留言反馈”悬浮按钮。</w:t>
            </w:r>
          </w:p>
          <w:p w14:paraId="2E2DD890">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系统弹出留言反馈窗口，窗口包含“问题类型”“反馈内容”“联系方式”等必填字段，以及“上传附件”选填按钮。</w:t>
            </w:r>
          </w:p>
          <w:p w14:paraId="1AE87BB0">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窗口顶部提示：“请详细描述问题，以便我们及时处理”；“问题类型”下拉菜单包含“知识库构建问题”“自然语言查询问题”“数据下载问题”“其他”选项。</w:t>
            </w:r>
          </w:p>
          <w:p w14:paraId="6A2DACC1">
            <w:pPr>
              <w:pStyle w:val="23"/>
              <w:numPr>
                <w:ilvl w:val="0"/>
                <w:numId w:val="39"/>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在“问题类型”下拉菜单中选择对应类型；在“反馈内容”文本框中详细描述问题，例如“输入‘2021-2023年陕西省中医院中药使用率’，返回结果包含西医院数据，不准确”；在“联系方式”输入框填写手机号或邮箱；如有相关截图、文件等佐证材料，点击“上传附件”按钮选择本地文件上传（支持各类格式，单个文件不超过10MB）。</w:t>
            </w:r>
          </w:p>
          <w:p w14:paraId="6D5E9F6D">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系统实时保存用户输入内容，防止意外退出导致内容丢失；对“联系方式”进行格式校验（手机号需为11位数字，邮箱需符合标准格式）。</w:t>
            </w:r>
          </w:p>
          <w:p w14:paraId="41F725BD">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若“问题类型”未选择、“反馈内容”为空或“联系方式”格式错误，提交时提示：“请填写完整且正确的反馈信息”；附件上传时提示文件格式和大小限制。</w:t>
            </w:r>
          </w:p>
          <w:p w14:paraId="5F6F101C">
            <w:pPr>
              <w:pStyle w:val="23"/>
              <w:numPr>
                <w:ilvl w:val="0"/>
                <w:numId w:val="39"/>
              </w:numPr>
              <w:spacing w:line="360" w:lineRule="auto"/>
              <w:ind w:left="0"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用户确认信息无误后，点击“提交”按钮。</w:t>
            </w:r>
          </w:p>
          <w:p w14:paraId="4CC700BF">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系统生成唯一反馈编号，将反馈信息存入后台数据库；向用户展示提示：“您的反馈已提交，反馈编号：FB20241001001，我们将尽快处理”。</w:t>
            </w:r>
          </w:p>
          <w:p w14:paraId="3278A100">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提交成功后，留言反馈窗口自动关闭，用户可在个人中心“我的反馈”页面查看反馈记录及处理进度。</w:t>
            </w:r>
          </w:p>
          <w:p w14:paraId="7C60431A">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4.2.3.9.3优化前后功能对比清单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015"/>
              <w:gridCol w:w="1755"/>
              <w:gridCol w:w="1945"/>
              <w:gridCol w:w="2130"/>
            </w:tblGrid>
            <w:tr w14:paraId="53DE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6DE38BC">
                  <w:pPr>
                    <w:jc w:val="center"/>
                    <w:rPr>
                      <w:rFonts w:hint="eastAsia" w:ascii="仿宋" w:hAnsi="仿宋" w:eastAsia="仿宋" w:cs="仿宋"/>
                      <w:b/>
                      <w:bCs/>
                      <w:szCs w:val="21"/>
                    </w:rPr>
                  </w:pPr>
                  <w:r>
                    <w:rPr>
                      <w:rFonts w:hint="eastAsia" w:ascii="仿宋" w:hAnsi="仿宋" w:eastAsia="仿宋" w:cs="仿宋"/>
                      <w:b/>
                      <w:bCs/>
                      <w:szCs w:val="21"/>
                    </w:rPr>
                    <w:t>序号</w:t>
                  </w:r>
                </w:p>
              </w:tc>
              <w:tc>
                <w:tcPr>
                  <w:tcW w:w="3430" w:type="dxa"/>
                  <w:gridSpan w:val="2"/>
                  <w:vAlign w:val="center"/>
                </w:tcPr>
                <w:p w14:paraId="7CAAF240">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5076" w:type="dxa"/>
                  <w:gridSpan w:val="2"/>
                  <w:vAlign w:val="center"/>
                </w:tcPr>
                <w:p w14:paraId="33D73616">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13DD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57F0561">
                  <w:pPr>
                    <w:jc w:val="center"/>
                    <w:rPr>
                      <w:rFonts w:hint="eastAsia" w:ascii="仿宋" w:hAnsi="仿宋" w:eastAsia="仿宋" w:cs="仿宋"/>
                      <w:szCs w:val="21"/>
                    </w:rPr>
                  </w:pPr>
                  <w:r>
                    <w:rPr>
                      <w:rFonts w:hint="eastAsia" w:ascii="仿宋" w:hAnsi="仿宋" w:eastAsia="仿宋" w:cs="仿宋"/>
                      <w:szCs w:val="21"/>
                    </w:rPr>
                    <w:t>1</w:t>
                  </w:r>
                </w:p>
              </w:tc>
              <w:tc>
                <w:tcPr>
                  <w:tcW w:w="1230" w:type="dxa"/>
                  <w:vAlign w:val="center"/>
                </w:tcPr>
                <w:p w14:paraId="421601E2">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37272C30">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restart"/>
                  <w:vAlign w:val="center"/>
                </w:tcPr>
                <w:p w14:paraId="7A3F8493">
                  <w:pPr>
                    <w:rPr>
                      <w:rFonts w:hint="eastAsia" w:ascii="仿宋" w:hAnsi="仿宋" w:eastAsia="仿宋" w:cs="仿宋"/>
                      <w:szCs w:val="21"/>
                    </w:rPr>
                  </w:pPr>
                  <w:r>
                    <w:rPr>
                      <w:rFonts w:hint="eastAsia" w:ascii="仿宋" w:hAnsi="仿宋" w:eastAsia="仿宋" w:cs="仿宋"/>
                      <w:szCs w:val="21"/>
                    </w:rPr>
                    <w:t>知识库构建</w:t>
                  </w:r>
                </w:p>
              </w:tc>
              <w:tc>
                <w:tcPr>
                  <w:tcW w:w="2659" w:type="dxa"/>
                  <w:vAlign w:val="center"/>
                </w:tcPr>
                <w:p w14:paraId="48ABA4FF">
                  <w:pPr>
                    <w:rPr>
                      <w:rFonts w:hint="eastAsia" w:ascii="仿宋" w:hAnsi="仿宋" w:eastAsia="仿宋" w:cs="仿宋"/>
                      <w:szCs w:val="21"/>
                    </w:rPr>
                  </w:pPr>
                  <w:r>
                    <w:rPr>
                      <w:rFonts w:hint="eastAsia" w:ascii="仿宋" w:hAnsi="仿宋" w:eastAsia="仿宋" w:cs="仿宋"/>
                      <w:szCs w:val="21"/>
                    </w:rPr>
                    <w:t>政策问答</w:t>
                  </w:r>
                </w:p>
              </w:tc>
            </w:tr>
            <w:tr w14:paraId="792F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5AD0E21">
                  <w:pPr>
                    <w:jc w:val="center"/>
                    <w:rPr>
                      <w:rFonts w:hint="eastAsia" w:ascii="仿宋" w:hAnsi="仿宋" w:eastAsia="仿宋" w:cs="仿宋"/>
                      <w:szCs w:val="21"/>
                    </w:rPr>
                  </w:pPr>
                  <w:r>
                    <w:rPr>
                      <w:rFonts w:hint="eastAsia" w:ascii="仿宋" w:hAnsi="仿宋" w:eastAsia="仿宋" w:cs="仿宋"/>
                      <w:szCs w:val="21"/>
                    </w:rPr>
                    <w:t>2</w:t>
                  </w:r>
                </w:p>
              </w:tc>
              <w:tc>
                <w:tcPr>
                  <w:tcW w:w="1230" w:type="dxa"/>
                  <w:vAlign w:val="center"/>
                </w:tcPr>
                <w:p w14:paraId="0E7B5E0F">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4FCBAC70">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6B315D6F">
                  <w:pPr>
                    <w:rPr>
                      <w:rFonts w:hint="eastAsia" w:ascii="仿宋" w:hAnsi="仿宋" w:eastAsia="仿宋" w:cs="仿宋"/>
                      <w:szCs w:val="21"/>
                    </w:rPr>
                  </w:pPr>
                </w:p>
              </w:tc>
              <w:tc>
                <w:tcPr>
                  <w:tcW w:w="2659" w:type="dxa"/>
                  <w:vAlign w:val="center"/>
                </w:tcPr>
                <w:p w14:paraId="75357CAF">
                  <w:pPr>
                    <w:rPr>
                      <w:rFonts w:hint="eastAsia" w:ascii="仿宋" w:hAnsi="仿宋" w:eastAsia="仿宋" w:cs="仿宋"/>
                      <w:szCs w:val="21"/>
                    </w:rPr>
                  </w:pPr>
                  <w:r>
                    <w:rPr>
                      <w:rFonts w:hint="eastAsia" w:ascii="仿宋" w:hAnsi="仿宋" w:eastAsia="仿宋" w:cs="仿宋"/>
                      <w:szCs w:val="21"/>
                    </w:rPr>
                    <w:t>操作指导</w:t>
                  </w:r>
                </w:p>
              </w:tc>
            </w:tr>
            <w:tr w14:paraId="2C07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1D21CFC">
                  <w:pPr>
                    <w:jc w:val="center"/>
                    <w:rPr>
                      <w:rFonts w:hint="eastAsia" w:ascii="仿宋" w:hAnsi="仿宋" w:eastAsia="仿宋" w:cs="仿宋"/>
                      <w:szCs w:val="21"/>
                    </w:rPr>
                  </w:pPr>
                  <w:r>
                    <w:rPr>
                      <w:rFonts w:hint="eastAsia" w:ascii="仿宋" w:hAnsi="仿宋" w:eastAsia="仿宋" w:cs="仿宋"/>
                      <w:szCs w:val="21"/>
                    </w:rPr>
                    <w:t>3</w:t>
                  </w:r>
                </w:p>
              </w:tc>
              <w:tc>
                <w:tcPr>
                  <w:tcW w:w="1230" w:type="dxa"/>
                  <w:vAlign w:val="center"/>
                </w:tcPr>
                <w:p w14:paraId="4E24EA30">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39990E4B">
                  <w:pPr>
                    <w:jc w:val="center"/>
                    <w:rPr>
                      <w:rFonts w:hint="eastAsia" w:ascii="仿宋" w:hAnsi="仿宋" w:eastAsia="仿宋" w:cs="仿宋"/>
                      <w:szCs w:val="21"/>
                    </w:rPr>
                  </w:pPr>
                  <w:r>
                    <w:rPr>
                      <w:rFonts w:hint="eastAsia" w:ascii="仿宋" w:hAnsi="仿宋" w:eastAsia="仿宋" w:cs="仿宋"/>
                      <w:szCs w:val="21"/>
                    </w:rPr>
                    <w:t>-</w:t>
                  </w:r>
                </w:p>
              </w:tc>
              <w:tc>
                <w:tcPr>
                  <w:tcW w:w="2417" w:type="dxa"/>
                  <w:vMerge w:val="continue"/>
                  <w:vAlign w:val="center"/>
                </w:tcPr>
                <w:p w14:paraId="4231FFA3">
                  <w:pPr>
                    <w:rPr>
                      <w:rFonts w:hint="eastAsia" w:ascii="仿宋" w:hAnsi="仿宋" w:eastAsia="仿宋" w:cs="仿宋"/>
                      <w:szCs w:val="21"/>
                    </w:rPr>
                  </w:pPr>
                </w:p>
              </w:tc>
              <w:tc>
                <w:tcPr>
                  <w:tcW w:w="2659" w:type="dxa"/>
                  <w:vAlign w:val="center"/>
                </w:tcPr>
                <w:p w14:paraId="14ADBAFE">
                  <w:pPr>
                    <w:rPr>
                      <w:rFonts w:hint="eastAsia" w:ascii="仿宋" w:hAnsi="仿宋" w:eastAsia="仿宋" w:cs="仿宋"/>
                      <w:szCs w:val="21"/>
                    </w:rPr>
                  </w:pPr>
                  <w:r>
                    <w:rPr>
                      <w:rFonts w:hint="eastAsia" w:ascii="仿宋" w:hAnsi="仿宋" w:eastAsia="仿宋" w:cs="仿宋"/>
                      <w:szCs w:val="21"/>
                    </w:rPr>
                    <w:t>数据查询</w:t>
                  </w:r>
                </w:p>
              </w:tc>
            </w:tr>
            <w:tr w14:paraId="2354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676B448">
                  <w:pPr>
                    <w:jc w:val="center"/>
                    <w:rPr>
                      <w:rFonts w:hint="eastAsia" w:ascii="仿宋" w:hAnsi="仿宋" w:eastAsia="仿宋" w:cs="仿宋"/>
                      <w:szCs w:val="21"/>
                    </w:rPr>
                  </w:pPr>
                  <w:r>
                    <w:rPr>
                      <w:rFonts w:hint="eastAsia" w:ascii="仿宋" w:hAnsi="仿宋" w:eastAsia="仿宋" w:cs="仿宋"/>
                      <w:szCs w:val="21"/>
                    </w:rPr>
                    <w:t>4</w:t>
                  </w:r>
                </w:p>
              </w:tc>
              <w:tc>
                <w:tcPr>
                  <w:tcW w:w="1230" w:type="dxa"/>
                  <w:vAlign w:val="center"/>
                </w:tcPr>
                <w:p w14:paraId="7A22AB41">
                  <w:pPr>
                    <w:jc w:val="center"/>
                    <w:rPr>
                      <w:rFonts w:hint="eastAsia" w:ascii="仿宋" w:hAnsi="仿宋" w:eastAsia="仿宋" w:cs="仿宋"/>
                      <w:szCs w:val="21"/>
                    </w:rPr>
                  </w:pPr>
                  <w:r>
                    <w:rPr>
                      <w:rFonts w:hint="eastAsia" w:ascii="仿宋" w:hAnsi="仿宋" w:eastAsia="仿宋" w:cs="仿宋"/>
                      <w:szCs w:val="21"/>
                    </w:rPr>
                    <w:t>-</w:t>
                  </w:r>
                </w:p>
              </w:tc>
              <w:tc>
                <w:tcPr>
                  <w:tcW w:w="2200" w:type="dxa"/>
                  <w:vAlign w:val="center"/>
                </w:tcPr>
                <w:p w14:paraId="54F45F77">
                  <w:pPr>
                    <w:jc w:val="center"/>
                    <w:rPr>
                      <w:rFonts w:hint="eastAsia" w:ascii="仿宋" w:hAnsi="仿宋" w:eastAsia="仿宋" w:cs="仿宋"/>
                      <w:szCs w:val="21"/>
                    </w:rPr>
                  </w:pPr>
                  <w:r>
                    <w:rPr>
                      <w:rFonts w:hint="eastAsia" w:ascii="仿宋" w:hAnsi="仿宋" w:eastAsia="仿宋" w:cs="仿宋"/>
                      <w:szCs w:val="21"/>
                    </w:rPr>
                    <w:t>-</w:t>
                  </w:r>
                </w:p>
              </w:tc>
              <w:tc>
                <w:tcPr>
                  <w:tcW w:w="2417" w:type="dxa"/>
                  <w:vAlign w:val="center"/>
                </w:tcPr>
                <w:p w14:paraId="27149433">
                  <w:pPr>
                    <w:rPr>
                      <w:rFonts w:hint="eastAsia" w:ascii="仿宋" w:hAnsi="仿宋" w:eastAsia="仿宋" w:cs="仿宋"/>
                      <w:szCs w:val="21"/>
                    </w:rPr>
                  </w:pPr>
                  <w:r>
                    <w:rPr>
                      <w:rFonts w:hint="eastAsia" w:ascii="仿宋" w:hAnsi="仿宋" w:eastAsia="仿宋" w:cs="仿宋"/>
                      <w:szCs w:val="21"/>
                    </w:rPr>
                    <w:t>知识库完善</w:t>
                  </w:r>
                </w:p>
              </w:tc>
              <w:tc>
                <w:tcPr>
                  <w:tcW w:w="2659" w:type="dxa"/>
                  <w:vAlign w:val="center"/>
                </w:tcPr>
                <w:p w14:paraId="07C1C5F3">
                  <w:pPr>
                    <w:rPr>
                      <w:rFonts w:hint="eastAsia" w:ascii="仿宋" w:hAnsi="仿宋" w:eastAsia="仿宋" w:cs="仿宋"/>
                      <w:szCs w:val="21"/>
                    </w:rPr>
                  </w:pPr>
                  <w:r>
                    <w:rPr>
                      <w:rFonts w:hint="eastAsia" w:ascii="仿宋" w:hAnsi="仿宋" w:eastAsia="仿宋" w:cs="仿宋"/>
                      <w:szCs w:val="21"/>
                    </w:rPr>
                    <w:t>知识库完善</w:t>
                  </w:r>
                </w:p>
              </w:tc>
            </w:tr>
          </w:tbl>
          <w:p w14:paraId="669865BD">
            <w:pPr>
              <w:rPr>
                <w:rFonts w:hint="eastAsia" w:ascii="仿宋" w:hAnsi="仿宋" w:eastAsia="仿宋" w:cs="仿宋"/>
                <w:szCs w:val="21"/>
              </w:rPr>
            </w:pPr>
          </w:p>
          <w:p w14:paraId="22469BAF">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4.2.3.10后台管理功能优化</w:t>
            </w:r>
          </w:p>
          <w:p w14:paraId="070FAC0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4.2.3.10.1门户管理</w:t>
            </w:r>
          </w:p>
          <w:p w14:paraId="5EAB438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4.2.3.10.1.1自定义门户布局</w:t>
            </w:r>
          </w:p>
          <w:p w14:paraId="766B369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支持树形结构导航，可创建多级门户分组，每个分组下挂载具体门户实例。分类管理大量门户，提升查找和维护效率。</w:t>
            </w:r>
          </w:p>
          <w:p w14:paraId="709E92E8">
            <w:pPr>
              <w:pStyle w:val="23"/>
              <w:numPr>
                <w:ilvl w:val="0"/>
                <w:numId w:val="40"/>
              </w:numPr>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门户操作</w:t>
            </w:r>
          </w:p>
          <w:p w14:paraId="309D1FD9">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可实现门户全生命周期管理。其中，创建门户是基于模板或空白创建，支持设置门户名称、标识、描述、图标；编辑门户支持修改门户基本信息、关联的数据源、布局配置；删除门户支持批量删除，删除前校验依赖关系；克隆门户可快速复制现有门户，保留配置并生成新实例。</w:t>
            </w:r>
          </w:p>
          <w:p w14:paraId="5909D0AE">
            <w:pPr>
              <w:pStyle w:val="23"/>
              <w:numPr>
                <w:ilvl w:val="0"/>
                <w:numId w:val="40"/>
              </w:numPr>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门户部署与发布</w:t>
            </w:r>
          </w:p>
          <w:p w14:paraId="1B59E9D7">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该功能可确保门户安全上线并支持迭代更新。其中：预览门户可实时查看门户在不同终端的显示效果；发布门户将编辑状态的门户发布到生产环境。</w:t>
            </w:r>
          </w:p>
          <w:p w14:paraId="11B59FAE">
            <w:pPr>
              <w:pStyle w:val="23"/>
              <w:numPr>
                <w:ilvl w:val="0"/>
                <w:numId w:val="40"/>
              </w:numPr>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门户权限控制</w:t>
            </w:r>
          </w:p>
          <w:p w14:paraId="249042AE">
            <w:pPr>
              <w:pStyle w:val="23"/>
              <w:spacing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该功能可保障门户数据安全，符合内控要求。其中，访问权限基于角色控制门户的访问权限；操作权限可区分查看、编辑、管理等不同操作级别。</w:t>
            </w:r>
          </w:p>
          <w:p w14:paraId="15F7D3D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4.2.3.10.1.2个性化主题设置</w:t>
            </w:r>
          </w:p>
          <w:p w14:paraId="5F932C7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满足不同使用场景与用户偏好，系统提供丰富的个性化主题配置功能。在配色方案上，涵盖沉稳专业的深色系、清新明快的浅色系等多种选择；通过个性化主题设置，用户能拥有舒适的视觉体验，减少操作疲劳，提高工作积极性。</w:t>
            </w:r>
          </w:p>
          <w:p w14:paraId="5227FC4B">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4.2.3.10.1.3导航菜单配置</w:t>
            </w:r>
          </w:p>
          <w:p w14:paraId="51C9CC6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管理员可依据业务流程或功能类别，对系统后台导航菜单进行全面管理。在业务流程层面，按照数据报送、审核、分析、报表生成等操作顺序，依次设置对应菜单项目，引导用户规范操作；功能类别上，将用户管理、权限管理、日志管理等系统管理功能分类整合，便于集中操作。支持添加、删除、修改菜单项目，设置多级菜单层级关系，形成清晰树状结构。同时，配备快捷搜索功能，用户输入关键词即可快速定位目标功能，有效提升功能访问便捷性，实现对系统后台功能的高效组织与使用。</w:t>
            </w:r>
          </w:p>
          <w:p w14:paraId="77DA3848">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4.2.3.10.2机构管理</w:t>
            </w:r>
          </w:p>
          <w:p w14:paraId="0F835B9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前系统的机构管理模块采用区县卫健局统一维护模式，在实际运行中暴露出数据更新滞后、管理效能不足等问题。由于信息维护依赖单一主体，数据准确性受人工处理效率、信息传递时差等因素制约，且区县卫健局需承担全域机构信息的维护工作，存在较大的管理压力。同时，现有业务流程中，机构停业或撤销缺乏规范审批，数据完整性难以保障；无审核文件支撑机制，信息真实性存疑；新机构注册流程繁琐，影响系统使用效率与管理透明度。</w:t>
            </w:r>
          </w:p>
          <w:p w14:paraId="35FA38E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实现管理模式优化与效能提升，机构管理模块优化聚焦三大核心方向。在信息维护机制上，构建“机构自主填报-上级分级审批”的协同模式，各机构可在线提交信息变更申请，上级部门按权限进行审核，通过后自动更新入库，确保数据时效性与准确性，同步减轻区县卫健局工作负荷。针对机构状态变更，建立停业、撤销事项的逐级审批流程，明确各级审批节点与责任，实现操作全程留痕、数据可追溯，有效规避因数据缺失导致的业务风险。此外，新增审核文件上传功能，要求机构在提交关键信息变更或停业、撤销申请时，同步上传证明材料，强化信息真实性验证；引入免登录注册申请功能，简化新机构准入流程，新机构通过开放入口提交基础信息及资质文件，经审核后自动获取系统账号，全面提升机构管理效率与流程透明度。</w:t>
            </w:r>
          </w:p>
          <w:p w14:paraId="7FC907C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过本次优化，系统将形成权责清晰、流程规范、协同高效的机构管理体系，不仅能提升数据质量与管理效能，还将为卫生健康行业监管、资源配置等决策提供坚实的数据支撑，助力实现数字化管理水平的全面跃升。</w:t>
            </w:r>
          </w:p>
          <w:p w14:paraId="0160A23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4.2.3.10.2.1机构信息维护</w:t>
            </w:r>
          </w:p>
          <w:p w14:paraId="78AAF11D">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4.2.3.10.2.1.1应用场景</w:t>
            </w:r>
          </w:p>
          <w:p w14:paraId="4FC82439">
            <w:pPr>
              <w:pStyle w:val="12"/>
              <w:numPr>
                <w:ilvl w:val="7"/>
                <w:numId w:val="0"/>
              </w:numPr>
              <w:rPr>
                <w:rFonts w:hint="eastAsia" w:ascii="仿宋" w:hAnsi="仿宋" w:eastAsia="仿宋" w:cs="仿宋"/>
                <w:sz w:val="21"/>
              </w:rPr>
            </w:pPr>
            <w:r>
              <w:rPr>
                <w:rFonts w:hint="eastAsia" w:ascii="仿宋" w:hAnsi="仿宋" w:eastAsia="仿宋" w:cs="仿宋"/>
                <w:sz w:val="21"/>
              </w:rPr>
              <w:t>4.2.3.10.2.1.1.1新机构入驻</w:t>
            </w:r>
          </w:p>
          <w:p w14:paraId="45DF734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新成立的机构或首次加入系统的机构，需要在系统中录入完整的基本信息，以便系统进行管理和其他用户查询。</w:t>
            </w:r>
          </w:p>
          <w:p w14:paraId="2236C1B0">
            <w:pPr>
              <w:pStyle w:val="12"/>
              <w:numPr>
                <w:ilvl w:val="7"/>
                <w:numId w:val="0"/>
              </w:numPr>
              <w:rPr>
                <w:rFonts w:hint="eastAsia" w:ascii="仿宋" w:hAnsi="仿宋" w:eastAsia="仿宋" w:cs="仿宋"/>
                <w:sz w:val="21"/>
              </w:rPr>
            </w:pPr>
            <w:r>
              <w:rPr>
                <w:rFonts w:hint="eastAsia" w:ascii="仿宋" w:hAnsi="仿宋" w:eastAsia="仿宋" w:cs="仿宋"/>
                <w:sz w:val="21"/>
              </w:rPr>
              <w:t>4.2.3.10.2.1.1.2信息变更</w:t>
            </w:r>
          </w:p>
          <w:p w14:paraId="26A0FAA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当机构的基本信息发生变化时，如机构名称变更、地址变更、联系方式变更、资质更新等，机构用户需要及时对系统中的信息进行更新，确保信息的准确性和时效性。</w:t>
            </w:r>
          </w:p>
          <w:p w14:paraId="1F4EB045">
            <w:pPr>
              <w:pStyle w:val="12"/>
              <w:numPr>
                <w:ilvl w:val="7"/>
                <w:numId w:val="0"/>
              </w:numPr>
              <w:rPr>
                <w:rFonts w:hint="eastAsia" w:ascii="仿宋" w:hAnsi="仿宋" w:eastAsia="仿宋" w:cs="仿宋"/>
                <w:sz w:val="21"/>
              </w:rPr>
            </w:pPr>
            <w:r>
              <w:rPr>
                <w:rFonts w:hint="eastAsia" w:ascii="仿宋" w:hAnsi="仿宋" w:eastAsia="仿宋" w:cs="仿宋"/>
                <w:sz w:val="21"/>
              </w:rPr>
              <w:t>4.2.3.10.2.1.1.3信息完善</w:t>
            </w:r>
          </w:p>
          <w:p w14:paraId="463E8C7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机构用户在首次录入信息时可能存在信息不完整的情况，后续可以对信息进行补充完善，例如补充详细的机构简介、业务范围等。</w:t>
            </w:r>
          </w:p>
          <w:p w14:paraId="432B3526">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4.2.3.10.2.1.2操作步骤</w:t>
            </w:r>
          </w:p>
          <w:p w14:paraId="2102D3F3">
            <w:pPr>
              <w:pStyle w:val="12"/>
              <w:numPr>
                <w:ilvl w:val="7"/>
                <w:numId w:val="0"/>
              </w:numPr>
              <w:rPr>
                <w:rFonts w:hint="eastAsia" w:ascii="仿宋" w:hAnsi="仿宋" w:eastAsia="仿宋" w:cs="仿宋"/>
                <w:sz w:val="21"/>
              </w:rPr>
            </w:pPr>
            <w:r>
              <w:rPr>
                <w:rFonts w:hint="eastAsia" w:ascii="仿宋" w:hAnsi="仿宋" w:eastAsia="仿宋" w:cs="仿宋"/>
                <w:sz w:val="21"/>
              </w:rPr>
              <w:t>4.2.3.10.2.1.2.1机构信息维护</w:t>
            </w:r>
          </w:p>
          <w:p w14:paraId="3BD5365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在主界面的导航菜单中找到“机构管理”模块，点击展开子菜单，选择“机构信息维护”选项，进入机构信息维护页面。</w:t>
            </w:r>
          </w:p>
          <w:p w14:paraId="4319D1F1">
            <w:pPr>
              <w:pStyle w:val="12"/>
              <w:numPr>
                <w:ilvl w:val="7"/>
                <w:numId w:val="0"/>
              </w:numPr>
              <w:rPr>
                <w:rFonts w:hint="eastAsia" w:ascii="仿宋" w:hAnsi="仿宋" w:eastAsia="仿宋" w:cs="仿宋"/>
                <w:sz w:val="21"/>
              </w:rPr>
            </w:pPr>
            <w:r>
              <w:rPr>
                <w:rFonts w:hint="eastAsia" w:ascii="仿宋" w:hAnsi="仿宋" w:eastAsia="仿宋" w:cs="仿宋"/>
                <w:sz w:val="21"/>
              </w:rPr>
              <w:t>4.2.3.10.2.1.2.2查看当前机构信息</w:t>
            </w:r>
          </w:p>
          <w:p w14:paraId="5DF4382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页面加载完成后，显示机构当前已录入的基本信息，包括机构名称、地址、联系方式、资质等。信息以表格或表单的形式呈现，方便用户查看和编辑。</w:t>
            </w:r>
          </w:p>
          <w:p w14:paraId="16DABBA7">
            <w:pPr>
              <w:pStyle w:val="12"/>
              <w:numPr>
                <w:ilvl w:val="7"/>
                <w:numId w:val="0"/>
              </w:numPr>
              <w:rPr>
                <w:rFonts w:hint="eastAsia" w:ascii="仿宋" w:hAnsi="仿宋" w:eastAsia="仿宋" w:cs="仿宋"/>
                <w:sz w:val="21"/>
              </w:rPr>
            </w:pPr>
            <w:r>
              <w:rPr>
                <w:rFonts w:hint="eastAsia" w:ascii="仿宋" w:hAnsi="仿宋" w:eastAsia="仿宋" w:cs="仿宋"/>
                <w:sz w:val="21"/>
              </w:rPr>
              <w:t>4.2.3.10.2.1.2.3编辑信息</w:t>
            </w:r>
          </w:p>
          <w:p w14:paraId="60F7B24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用户根据需要修改的信息，点击对应的“编辑”按钮，进入编辑状态，填写需要维护的指标信息。</w:t>
            </w:r>
          </w:p>
          <w:p w14:paraId="0751BBE6">
            <w:pPr>
              <w:pStyle w:val="12"/>
              <w:numPr>
                <w:ilvl w:val="7"/>
                <w:numId w:val="0"/>
              </w:numPr>
              <w:rPr>
                <w:rFonts w:hint="eastAsia" w:ascii="仿宋" w:hAnsi="仿宋" w:eastAsia="仿宋" w:cs="仿宋"/>
                <w:sz w:val="21"/>
              </w:rPr>
            </w:pPr>
            <w:r>
              <w:rPr>
                <w:rFonts w:hint="eastAsia" w:ascii="仿宋" w:hAnsi="仿宋" w:eastAsia="仿宋" w:cs="仿宋"/>
                <w:sz w:val="21"/>
              </w:rPr>
              <w:t>4.2.3.10.2.1.2.4文件上传</w:t>
            </w:r>
          </w:p>
          <w:p w14:paraId="33E66B9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在机构信息维护页面中，找到与审核文件上传相关的区域，点击“上传文件”按钮，进入文件上传页面。</w:t>
            </w:r>
          </w:p>
          <w:p w14:paraId="09412D9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在文件上传页面，显示支持上传的各类型文件列表，用户根据需要上传的文件类型，选择对应的文件类型选项。</w:t>
            </w:r>
          </w:p>
          <w:p w14:paraId="17097FD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选择文件：点击“浏览”按钮（或类似功能按钮），打开本地文件资源管理器，在计算机中找到需要上传的文件，选中文件后点击“打开”按钮，文件路径显示在上传页面的文件选择框中。</w:t>
            </w:r>
          </w:p>
          <w:p w14:paraId="4BBC636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上传文件：点击“上传”按钮，系统开始将文件从本地传输到服务器。上传过程中，显示上传进度条和预计剩余时间，以便用户了解上传状态。若上传过程中出现网络中断等异常情况，系统提示“文件上传失败，请重新上传”，用户可点击“重新上传”按钮再次尝试。</w:t>
            </w:r>
          </w:p>
          <w:p w14:paraId="2CEDA2A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上传成功提示：文件上传成功后，系统在文件上传页面显示“文件上传成功”的提示消息，并在文件列表中显示新上传的文件信息，包括文件名、文件类型等。</w:t>
            </w:r>
          </w:p>
          <w:p w14:paraId="094DEDEE">
            <w:pPr>
              <w:pStyle w:val="12"/>
              <w:numPr>
                <w:ilvl w:val="7"/>
                <w:numId w:val="0"/>
              </w:numPr>
              <w:rPr>
                <w:rFonts w:hint="eastAsia" w:ascii="仿宋" w:hAnsi="仿宋" w:eastAsia="仿宋" w:cs="仿宋"/>
                <w:sz w:val="21"/>
              </w:rPr>
            </w:pPr>
            <w:r>
              <w:rPr>
                <w:rFonts w:hint="eastAsia" w:ascii="仿宋" w:hAnsi="仿宋" w:eastAsia="仿宋" w:cs="仿宋"/>
                <w:sz w:val="21"/>
              </w:rPr>
              <w:t>4.2.3.10.2.1.2.5文件下载</w:t>
            </w:r>
          </w:p>
          <w:p w14:paraId="3CF31CD2">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在机构信息维护页面或专门的文件管理页面，找到已上传的文件列表。</w:t>
            </w:r>
          </w:p>
          <w:p w14:paraId="7F7D41C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点击下载按钮：在目标文件对应的操作列中，点击“下载”按钮。</w:t>
            </w:r>
          </w:p>
          <w:p w14:paraId="23BF215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下载完成提示：文件下载完成后，浏览器或系统提示文件已成功下载，用户可在指定的保存路径中找到下载的文件。</w:t>
            </w:r>
          </w:p>
          <w:p w14:paraId="5E0C7722">
            <w:pPr>
              <w:pStyle w:val="12"/>
              <w:numPr>
                <w:ilvl w:val="7"/>
                <w:numId w:val="0"/>
              </w:numPr>
              <w:rPr>
                <w:rFonts w:hint="eastAsia" w:ascii="仿宋" w:hAnsi="仿宋" w:eastAsia="仿宋" w:cs="仿宋"/>
                <w:sz w:val="21"/>
              </w:rPr>
            </w:pPr>
            <w:r>
              <w:rPr>
                <w:rFonts w:hint="eastAsia" w:ascii="仿宋" w:hAnsi="仿宋" w:eastAsia="仿宋" w:cs="仿宋"/>
                <w:sz w:val="21"/>
              </w:rPr>
              <w:t>4.2.3.10.2.1.2.6保存信息</w:t>
            </w:r>
          </w:p>
          <w:p w14:paraId="72700E5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完成所有需要修改或补充的信息后，点击页面下方的"保存"按钮。</w:t>
            </w:r>
          </w:p>
          <w:p w14:paraId="0E44883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系统自动对输入的信息进行格式校验，如机构名称是否为空、联系方式是否符合格式要求等。若校验不通过，系统在相应字段旁显示错误提示，用户根据提示修改后重新点击“保存”。</w:t>
            </w:r>
          </w:p>
          <w:p w14:paraId="096CB54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校验通过后，系统将更新后的信息提交到数据库，并显示“信息保存成功”的提示消息。</w:t>
            </w:r>
          </w:p>
          <w:p w14:paraId="651821C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4.2.3.10.2.2机构免登录注册申请</w:t>
            </w:r>
          </w:p>
          <w:p w14:paraId="78530DB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4.2.3.10.2.2.1应用场景</w:t>
            </w:r>
          </w:p>
          <w:p w14:paraId="69909B0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新机构首次入驻未在系统中注册过的机构，首次申请加入系统时，通过免登录的公开入口提交注册申请，无需预先创建账号，降低的登录门槛。示例：某新成立的医院需加入系统，通过免登录注册页面提交营业执照、资质证明等材料。</w:t>
            </w:r>
          </w:p>
          <w:p w14:paraId="7FEB5320">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4.2.3.10.2.2操作步骤</w:t>
            </w:r>
          </w:p>
          <w:p w14:paraId="1E8F3A55">
            <w:pPr>
              <w:pStyle w:val="12"/>
              <w:numPr>
                <w:ilvl w:val="7"/>
                <w:numId w:val="0"/>
              </w:numPr>
              <w:rPr>
                <w:rFonts w:hint="eastAsia" w:ascii="仿宋" w:hAnsi="仿宋" w:eastAsia="仿宋" w:cs="仿宋"/>
                <w:sz w:val="21"/>
              </w:rPr>
            </w:pPr>
            <w:r>
              <w:rPr>
                <w:rFonts w:hint="eastAsia" w:ascii="仿宋" w:hAnsi="仿宋" w:eastAsia="仿宋" w:cs="仿宋"/>
                <w:sz w:val="21"/>
              </w:rPr>
              <w:t>4.2.3.10.2.2.1访问注册申请页面</w:t>
            </w:r>
          </w:p>
          <w:p w14:paraId="4609628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用户打开系统地址，进入系统登录页面，在登录信息框中增加“机构注册申请”的按钮，无需输入账号密码，点击“开始申请”，进行注册申请。</w:t>
            </w:r>
          </w:p>
          <w:p w14:paraId="5CA73ACF">
            <w:pPr>
              <w:pStyle w:val="12"/>
              <w:numPr>
                <w:ilvl w:val="7"/>
                <w:numId w:val="0"/>
              </w:numPr>
              <w:rPr>
                <w:rFonts w:hint="eastAsia" w:ascii="仿宋" w:hAnsi="仿宋" w:eastAsia="仿宋" w:cs="仿宋"/>
                <w:sz w:val="21"/>
              </w:rPr>
            </w:pPr>
            <w:r>
              <w:rPr>
                <w:rFonts w:hint="eastAsia" w:ascii="仿宋" w:hAnsi="仿宋" w:eastAsia="仿宋" w:cs="仿宋"/>
                <w:sz w:val="21"/>
              </w:rPr>
              <w:t>4.2.3.10.2.2.2填写申请表单</w:t>
            </w:r>
          </w:p>
          <w:p w14:paraId="6A68195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基本信息模块（必填）：</w:t>
            </w:r>
          </w:p>
          <w:p w14:paraId="6F11DAA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机构名称：输入全称（需与营业执照一致），系统保存时校验是否已存在（弹窗提示“该机构名称已注册，请核对”）。</w:t>
            </w:r>
          </w:p>
          <w:p w14:paraId="61AD5FD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机构类型：下拉选择卫生机构类别。</w:t>
            </w:r>
          </w:p>
          <w:p w14:paraId="2FC66DE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注册地址：三级联动选择（省/市/区）+详细地址输入框（200字以内）。</w:t>
            </w:r>
          </w:p>
          <w:p w14:paraId="5C8DA81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以及各类与机构属性相关的指标项。</w:t>
            </w:r>
          </w:p>
          <w:p w14:paraId="47925B3E">
            <w:pPr>
              <w:pStyle w:val="12"/>
              <w:numPr>
                <w:ilvl w:val="7"/>
                <w:numId w:val="0"/>
              </w:numPr>
              <w:rPr>
                <w:rFonts w:hint="eastAsia" w:ascii="仿宋" w:hAnsi="仿宋" w:eastAsia="仿宋" w:cs="仿宋"/>
                <w:sz w:val="21"/>
              </w:rPr>
            </w:pPr>
            <w:r>
              <w:rPr>
                <w:rFonts w:hint="eastAsia" w:ascii="仿宋" w:hAnsi="仿宋" w:eastAsia="仿宋" w:cs="仿宋"/>
                <w:sz w:val="21"/>
              </w:rPr>
              <w:t>4.2.3.10.2.2.3上传审核文件</w:t>
            </w:r>
          </w:p>
          <w:p w14:paraId="6241653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在“佐证文件上传”区域，点击上传按钮，限制文件存储大小为10MB以内。</w:t>
            </w:r>
          </w:p>
          <w:p w14:paraId="64B80352">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系统自动识别文件类型并匹配用途：</w:t>
            </w:r>
          </w:p>
          <w:p w14:paraId="7E7F687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营业执照：需上传清晰的副本扫描件，边框完整、文字可识别。</w:t>
            </w:r>
          </w:p>
          <w:p w14:paraId="5B457CB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资质证书：如行业许可证等，支持上传单个文件。</w:t>
            </w:r>
          </w:p>
          <w:p w14:paraId="767BCB5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其他文件：如机构实景照片。</w:t>
            </w:r>
          </w:p>
          <w:p w14:paraId="17D11ADC">
            <w:pPr>
              <w:pStyle w:val="12"/>
              <w:numPr>
                <w:ilvl w:val="7"/>
                <w:numId w:val="0"/>
              </w:numPr>
              <w:rPr>
                <w:rFonts w:hint="eastAsia" w:ascii="仿宋" w:hAnsi="仿宋" w:eastAsia="仿宋" w:cs="仿宋"/>
                <w:sz w:val="21"/>
              </w:rPr>
            </w:pPr>
            <w:r>
              <w:rPr>
                <w:rFonts w:hint="eastAsia" w:ascii="仿宋" w:hAnsi="仿宋" w:eastAsia="仿宋" w:cs="仿宋"/>
                <w:sz w:val="21"/>
              </w:rPr>
              <w:t>4.2.3.10.2.2.4提交申请</w:t>
            </w:r>
          </w:p>
          <w:p w14:paraId="031ABF8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点击页面底部“提交”按钮，系统自动执行校验公式，如：基本信息必填项是否为空（红色星号标注未填项，弹窗提示“请完善必填信息”）等，</w:t>
            </w:r>
          </w:p>
          <w:p w14:paraId="02111130">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校验通过后，生成唯一的申请编号，并显示《申请提交成功通知》：</w:t>
            </w:r>
          </w:p>
          <w:p w14:paraId="1DB9AC1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“您的申请已提交，预计3个工作日内完成审核”。</w:t>
            </w:r>
          </w:p>
          <w:p w14:paraId="44B931CA">
            <w:pPr>
              <w:pStyle w:val="12"/>
              <w:numPr>
                <w:ilvl w:val="7"/>
                <w:numId w:val="0"/>
              </w:numPr>
              <w:rPr>
                <w:rFonts w:hint="eastAsia" w:ascii="仿宋" w:hAnsi="仿宋" w:eastAsia="仿宋" w:cs="仿宋"/>
                <w:sz w:val="21"/>
              </w:rPr>
            </w:pPr>
            <w:r>
              <w:rPr>
                <w:rFonts w:hint="eastAsia" w:ascii="仿宋" w:hAnsi="仿宋" w:eastAsia="仿宋" w:cs="仿宋"/>
                <w:sz w:val="21"/>
              </w:rPr>
              <w:t>4.2.3.10.2.2.5审批流程</w:t>
            </w:r>
          </w:p>
          <w:p w14:paraId="60C2FBB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所属上级区县卫健局在“待办事项”中收到机构注册申请通知（例：“您有1条新的机构注册申请待审核，编号：REG202505230001”）。点击申请编号，进入审核详情页，显示申请表单信息、上传文件支持在线、图片支持缩放查看。</w:t>
            </w:r>
          </w:p>
          <w:p w14:paraId="7B6347C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卫健局对申请机构的属性信息与佐证材料进行一致性与真实性核对。</w:t>
            </w:r>
          </w:p>
          <w:p w14:paraId="3D1B074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选择“通过“：申请状态变更为“已审批通过”，并且生成对应的机构登录账号及默认密码，系统自动发送邮件通知申请人。</w:t>
            </w:r>
          </w:p>
          <w:p w14:paraId="539FC3B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选择“驳回”：必须填写驳回原因（如“营业执照模糊不清”“联系方式错误”），点击“审批退回”后，系统自动发送邮件通知申请人：“您的申请（编号：XXX）初审未通过，原因：XXX”。</w:t>
            </w:r>
          </w:p>
          <w:p w14:paraId="76AC9D86">
            <w:pPr>
              <w:pStyle w:val="12"/>
              <w:numPr>
                <w:ilvl w:val="7"/>
                <w:numId w:val="0"/>
              </w:numPr>
              <w:rPr>
                <w:rFonts w:hint="eastAsia" w:ascii="仿宋" w:hAnsi="仿宋" w:eastAsia="仿宋" w:cs="仿宋"/>
                <w:sz w:val="21"/>
              </w:rPr>
            </w:pPr>
            <w:r>
              <w:rPr>
                <w:rFonts w:hint="eastAsia" w:ascii="仿宋" w:hAnsi="仿宋" w:eastAsia="仿宋" w:cs="仿宋"/>
                <w:sz w:val="21"/>
              </w:rPr>
              <w:t>4.2.3.10.2.2.6移动端审批</w:t>
            </w:r>
          </w:p>
          <w:p w14:paraId="53CA6438">
            <w:pPr>
              <w:pStyle w:val="23"/>
              <w:numPr>
                <w:ilvl w:val="0"/>
                <w:numId w:val="41"/>
              </w:numPr>
              <w:spacing w:line="360" w:lineRule="auto"/>
              <w:ind w:left="902" w:hanging="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审批任务处理</w:t>
            </w:r>
          </w:p>
          <w:p w14:paraId="6D3B776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各级审批人员登录小程序后，能实时接收待审批任务提醒。点击任务可查看详细的机构信息变更申请信息及附件，依据实际情况进行审批操作，包括同意、驳回、退回修改等，并可添加审批意见。</w:t>
            </w:r>
          </w:p>
          <w:p w14:paraId="5B22BF1E">
            <w:pPr>
              <w:pStyle w:val="23"/>
              <w:numPr>
                <w:ilvl w:val="0"/>
                <w:numId w:val="41"/>
              </w:numPr>
              <w:spacing w:line="360" w:lineRule="auto"/>
              <w:ind w:left="902" w:hanging="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审批记录查询</w:t>
            </w:r>
          </w:p>
          <w:p w14:paraId="2EF51FD6">
            <w:pPr>
              <w:pStyle w:val="23"/>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审批人员可在小程序中查询历史审批记录，包括已完成、进行中的审批任务，方便追溯审批过程和结果。</w:t>
            </w:r>
          </w:p>
          <w:p w14:paraId="4D7E37E9">
            <w:pPr>
              <w:pStyle w:val="23"/>
              <w:numPr>
                <w:ilvl w:val="0"/>
                <w:numId w:val="41"/>
              </w:numPr>
              <w:spacing w:line="360" w:lineRule="auto"/>
              <w:ind w:left="902" w:hanging="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可视化展示</w:t>
            </w:r>
          </w:p>
          <w:p w14:paraId="18AE0B2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移动端和PC端的审批相关页面，以流程图的形式展示人员流动审批工作流。当审批流程推进时，实时高亮显示当前所在审批节点，并用不同颜色或图标标识已完成、进行中、未开始的节点，让申请人和审批人员能一目了然地了解审批进度和流程走向。</w:t>
            </w:r>
          </w:p>
          <w:p w14:paraId="2986E4D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4.2.3.10.2.3第三方系统数据比对</w:t>
            </w:r>
          </w:p>
          <w:p w14:paraId="00DFB87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据与省级医政系统第三方数据对接需求，设计一套完整的数据对比流程。通过对省级医政系统按时间节点推送或文件导入的数据，与本系统机构数据进行全面对比，将对比结果仅对机构和各级管理员开放。同时，实现机构在对比结果查询表点击机构ID指标项可直接跳转至机构维护录入页面修改数据，保障机构数据的准确性与时效性。该功能的落地实施，将有效消除机构数据的“信息孤岛”与“数据鸿沟”，提升数据的准确性、及时性与权威性，为卫生健康行业监管、医疗资源规划等业务提供坚实的数据底座，进一步强化系统的协同管理能力与风险防控水平。</w:t>
            </w:r>
          </w:p>
          <w:p w14:paraId="6ADE7E3A">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4.2.3.10.2.3.1数据获取与预处理</w:t>
            </w:r>
          </w:p>
          <w:p w14:paraId="04684289">
            <w:pPr>
              <w:pStyle w:val="12"/>
              <w:numPr>
                <w:ilvl w:val="7"/>
                <w:numId w:val="0"/>
              </w:numPr>
              <w:rPr>
                <w:rFonts w:hint="eastAsia" w:ascii="仿宋" w:hAnsi="仿宋" w:eastAsia="仿宋" w:cs="仿宋"/>
                <w:sz w:val="21"/>
              </w:rPr>
            </w:pPr>
            <w:r>
              <w:rPr>
                <w:rFonts w:hint="eastAsia" w:ascii="仿宋" w:hAnsi="仿宋" w:eastAsia="仿宋" w:cs="仿宋"/>
                <w:sz w:val="21"/>
              </w:rPr>
              <w:t>4.2.3.10.2.3.1.1数据获取</w:t>
            </w:r>
          </w:p>
          <w:p w14:paraId="450E8DF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接口接收：开发专用的数据接收接口，适配省级医政系统按时间节点推送数据的时间。设置定时任务监听数据推送，每次接收数据时，记录数据接收时间、来源系统等元数据，方便后续追溯。</w:t>
            </w:r>
          </w:p>
          <w:p w14:paraId="43DEF1B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文件导入：提供文件导入功能界面，支持常见数据文件格式的上传。在文件上传后，对文件格式进行校验，确保数据符合预设规范，防止错误数据进入系统。同时，记录文件导入的相关信息，包括导入人、导入时间等。</w:t>
            </w:r>
          </w:p>
          <w:p w14:paraId="35EB3AB6">
            <w:pPr>
              <w:pStyle w:val="12"/>
              <w:numPr>
                <w:ilvl w:val="7"/>
                <w:numId w:val="0"/>
              </w:numPr>
              <w:rPr>
                <w:rFonts w:hint="eastAsia" w:ascii="仿宋" w:hAnsi="仿宋" w:eastAsia="仿宋" w:cs="仿宋"/>
                <w:sz w:val="21"/>
              </w:rPr>
            </w:pPr>
            <w:r>
              <w:rPr>
                <w:rFonts w:hint="eastAsia" w:ascii="仿宋" w:hAnsi="仿宋" w:eastAsia="仿宋" w:cs="仿宋"/>
                <w:sz w:val="21"/>
              </w:rPr>
              <w:t>4.2.3.10.2.3.1.2数据预处理</w:t>
            </w:r>
          </w:p>
          <w:p w14:paraId="73ECB41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数据清洗：对获取到的第三方数据进行清洗操作，去除重复记录，处理缺失值和异常值。针对机构名称、机构地址等文本字段，统一字符编码和格式；对于日期、数值等字段，按照本系统标准格式进行转换。</w:t>
            </w:r>
          </w:p>
          <w:p w14:paraId="7D8EDF4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数据标准化：建立统一的数据标准字典，将第三方数据中的机构属性字段映射为本系统对应的标准值，保证数据的一致性和可比性。</w:t>
            </w:r>
          </w:p>
          <w:p w14:paraId="789C9369">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4.2.3.10.2.3.2数据对比规则与方法</w:t>
            </w:r>
          </w:p>
          <w:p w14:paraId="40EDA9BA">
            <w:pPr>
              <w:pStyle w:val="12"/>
              <w:numPr>
                <w:ilvl w:val="7"/>
                <w:numId w:val="0"/>
              </w:numPr>
              <w:rPr>
                <w:rFonts w:hint="eastAsia" w:ascii="仿宋" w:hAnsi="仿宋" w:eastAsia="仿宋" w:cs="仿宋"/>
                <w:sz w:val="21"/>
              </w:rPr>
            </w:pPr>
            <w:r>
              <w:rPr>
                <w:rFonts w:hint="eastAsia" w:ascii="仿宋" w:hAnsi="仿宋" w:eastAsia="仿宋" w:cs="仿宋"/>
                <w:sz w:val="21"/>
              </w:rPr>
              <w:t>4.2.3.10.2.3.2.1对比规则</w:t>
            </w:r>
          </w:p>
          <w:p w14:paraId="3E36F92E">
            <w:pPr>
              <w:pStyle w:val="23"/>
              <w:numPr>
                <w:ilvl w:val="0"/>
                <w:numId w:val="42"/>
              </w:numPr>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基础信息对比</w:t>
            </w:r>
          </w:p>
          <w:p w14:paraId="7286452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以机构ID作为唯一标识，对比省级医政系统和本系统中机构的基础信息，包括机构名称、机构地址、法定代表人、联系电话等。若出现不一致，标记为差异数据。</w:t>
            </w:r>
          </w:p>
          <w:p w14:paraId="294BB98F">
            <w:pPr>
              <w:pStyle w:val="23"/>
              <w:numPr>
                <w:ilvl w:val="0"/>
                <w:numId w:val="42"/>
              </w:numPr>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业务信息对比</w:t>
            </w:r>
          </w:p>
          <w:p w14:paraId="15F02DB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对比机构的业务相关数据，如执业许可信息、床位数量等。</w:t>
            </w:r>
          </w:p>
          <w:p w14:paraId="321F7975">
            <w:pPr>
              <w:pStyle w:val="12"/>
              <w:numPr>
                <w:ilvl w:val="7"/>
                <w:numId w:val="0"/>
              </w:numPr>
              <w:rPr>
                <w:rFonts w:hint="eastAsia" w:ascii="仿宋" w:hAnsi="仿宋" w:eastAsia="仿宋" w:cs="仿宋"/>
                <w:sz w:val="21"/>
              </w:rPr>
            </w:pPr>
            <w:r>
              <w:rPr>
                <w:rFonts w:hint="eastAsia" w:ascii="仿宋" w:hAnsi="仿宋" w:eastAsia="仿宋" w:cs="仿宋"/>
                <w:sz w:val="21"/>
              </w:rPr>
              <w:t>4.2.3.10.2.3.2.2对比方法</w:t>
            </w:r>
          </w:p>
          <w:p w14:paraId="4DF6563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字段级对比：采用分析表对比程序，逐字段对比第三方数据与本系统数据。</w:t>
            </w:r>
          </w:p>
          <w:p w14:paraId="7A13751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历史数据对比：建立数据版本管理机制，保存每次数据对比的结果和历史数据。通过对比不同时间节点的数据变化，分析数据的动态差异，及时发现数据的异常变动。</w:t>
            </w:r>
          </w:p>
          <w:p w14:paraId="5C911C52">
            <w:pPr>
              <w:pStyle w:val="11"/>
              <w:numPr>
                <w:ilvl w:val="6"/>
                <w:numId w:val="0"/>
              </w:numPr>
              <w:rPr>
                <w:rFonts w:hint="eastAsia" w:ascii="仿宋" w:hAnsi="仿宋" w:eastAsia="仿宋" w:cs="仿宋"/>
                <w:sz w:val="21"/>
                <w:szCs w:val="21"/>
              </w:rPr>
            </w:pPr>
            <w:r>
              <w:rPr>
                <w:rFonts w:hint="eastAsia" w:ascii="仿宋" w:hAnsi="仿宋" w:eastAsia="仿宋" w:cs="仿宋"/>
                <w:sz w:val="21"/>
                <w:szCs w:val="21"/>
              </w:rPr>
              <w:t>4.2.3.10.2.3.3比结果处理与呈现</w:t>
            </w:r>
          </w:p>
          <w:p w14:paraId="5268E83C">
            <w:pPr>
              <w:pStyle w:val="12"/>
              <w:numPr>
                <w:ilvl w:val="7"/>
                <w:numId w:val="0"/>
              </w:numPr>
              <w:rPr>
                <w:rFonts w:hint="eastAsia" w:ascii="仿宋" w:hAnsi="仿宋" w:eastAsia="仿宋" w:cs="仿宋"/>
                <w:sz w:val="21"/>
              </w:rPr>
            </w:pPr>
            <w:r>
              <w:rPr>
                <w:rFonts w:hint="eastAsia" w:ascii="仿宋" w:hAnsi="仿宋" w:eastAsia="仿宋" w:cs="仿宋"/>
                <w:sz w:val="21"/>
              </w:rPr>
              <w:t>4.2.3.10.2.3.3.1结果呈现</w:t>
            </w:r>
          </w:p>
          <w:p w14:paraId="2000C3A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设计专属的对比结果查询界面，通过严格的权限控制，仅向机构和各级管理员开放访问权限。</w:t>
            </w:r>
          </w:p>
          <w:p w14:paraId="2DD5FFA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表格详细列出差异数据的具体信息，包括人员信息、数据来源、差异字段、差异内容等。在表格设计上，针对人员的关键字段，增加钻取效果，当机构用户点击该指标项时，触发页面钻取至人员档案录入页面，可进行数据修改及上报。分析表提供导出功能，管理员可将对比结果导出为各类型文件，方便进行进一步的分析和存档。</w:t>
            </w:r>
          </w:p>
          <w:p w14:paraId="1F091E20">
            <w:pPr>
              <w:pStyle w:val="12"/>
              <w:numPr>
                <w:ilvl w:val="7"/>
                <w:numId w:val="0"/>
              </w:numPr>
              <w:rPr>
                <w:rFonts w:hint="eastAsia" w:ascii="仿宋" w:hAnsi="仿宋" w:eastAsia="仿宋" w:cs="仿宋"/>
                <w:sz w:val="21"/>
              </w:rPr>
            </w:pPr>
            <w:r>
              <w:rPr>
                <w:rFonts w:hint="eastAsia" w:ascii="仿宋" w:hAnsi="仿宋" w:eastAsia="仿宋" w:cs="仿宋"/>
                <w:sz w:val="21"/>
              </w:rPr>
              <w:t>4.2.3.10.2.3.3.2结果处理</w:t>
            </w:r>
          </w:p>
          <w:p w14:paraId="4188E8C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由机构管理员对差异指标进行核实，核实之后在系统的机构信息维护中重新修改上报。</w:t>
            </w:r>
          </w:p>
          <w:p w14:paraId="61E381C1">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4.2.3.10.3角色管理</w:t>
            </w:r>
          </w:p>
          <w:p w14:paraId="299A24E8">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4.2.3.10.3.1角色创建与分类</w:t>
            </w:r>
          </w:p>
          <w:p w14:paraId="4BD6861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角色管理旨在构建系统中不同用户群体的职能与权限体系，为用户权限分配提供基础框架。管理员可依据业务需求，灵活创建多样化角色类型，如系统管理员、数据录入员、卫生健康部门管理人员等。不同角色对应特定业务职能，例如系统管理员负责系统全局配置与维护，数据录入员专注于基础数据的录入工作。</w:t>
            </w:r>
          </w:p>
          <w:p w14:paraId="0A15402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4.2.3.10.3.2权限模板预设</w:t>
            </w:r>
          </w:p>
          <w:p w14:paraId="6116849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个角色均关联一组预设权限模板，涵盖功能操作权限与数据访问权限。功能操作权限包括数据录入、报表查看、系统配置等操作；数据访问权限则限定用户可操作的数据范围，如统计分析师可查看多机构数据，而基层录入员仅能访问本机构数据。</w:t>
            </w:r>
          </w:p>
          <w:p w14:paraId="60B6E669">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4.2.3.10.3.3权限动态调整</w:t>
            </w:r>
          </w:p>
          <w:p w14:paraId="5260908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支持根据业务变化对角色权限进行实时修改，管理员可新增或删除权限项，确保权限配置与实际业务需求高度匹配，实现用户权限的精细化管理，保障系统操作安全可控。</w:t>
            </w:r>
          </w:p>
          <w:p w14:paraId="4429915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4.2.3.10.4用户管理</w:t>
            </w:r>
          </w:p>
          <w:p w14:paraId="1DEE8D6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4.2.3.10.4.1用户注册与信息维护</w:t>
            </w:r>
          </w:p>
          <w:p w14:paraId="455C27E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管理模块实现对系统用户全生命周期的综合管理，确保用户信息准确、账号安全可控。支持手动录入与批量导入两种用户添加方式，需完善用户姓名、登录账号、联系方式、所属机构等基础信息。同时，用户可自主修改个人信息，管理员对信息进行审核校验，保障数据准确性。</w:t>
            </w:r>
          </w:p>
          <w:p w14:paraId="22F2B97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4.2.3.10.4.2账号状态管控</w:t>
            </w:r>
          </w:p>
          <w:p w14:paraId="2AB91DD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具备用户账号启用、禁用、锁定等操作功能。当检测到异常登录行为（如频繁错误密码尝试）时，系统自动锁定账号；对于离职或不再使用系统的用户，及时禁用账号，防止非法访问，保障系统安全。</w:t>
            </w:r>
          </w:p>
          <w:p w14:paraId="7D872FBE">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4.2.3.10.4.3权限关联分配</w:t>
            </w:r>
          </w:p>
          <w:p w14:paraId="542AE36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通过将用户与角色进行绑定，实现权限的精准分配。每个用户根据其职位需求被赋予对应角色，从而获取相应操作权限，满足不同用户在系统中的差异化操作需求。</w:t>
            </w:r>
          </w:p>
          <w:p w14:paraId="1FFE761A">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4.2.3.10.5权限管理</w:t>
            </w:r>
          </w:p>
          <w:p w14:paraId="566499D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4.2.3.10.5.1双重权限控制</w:t>
            </w:r>
          </w:p>
          <w:p w14:paraId="6F63194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权限管理作为系统安全核心，在角色与用户管理基础上，实现权限的深度细化与动态监控。采用“角色权限+个性化定制”的双重模式，既通过角色分配通用权限，又支持针对特殊用户进行单独权限设置，满足多样化业务场景需求。</w:t>
            </w:r>
          </w:p>
          <w:p w14:paraId="58AB14D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4.2.3.10.5.2权限精细划分</w:t>
            </w:r>
          </w:p>
          <w:p w14:paraId="3E5C89A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功能权限方面，可精确到每个菜单按钮或操作功能的启用与禁用，如限制部分用户对数据删除、系统配置等敏感操作的权限；在数据权限上，能够根据机构、数据类别、时间范围等维度进行划分，确保用户只能访问其职责范围内的数据，如基层卫生服务中心的用户仅能查看本机构的统计数据，无法获取其他机构信息。</w:t>
            </w:r>
          </w:p>
          <w:p w14:paraId="7605942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4.2.3.10.5.3权限审计与监控</w:t>
            </w:r>
          </w:p>
          <w:p w14:paraId="17B341D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权限管理具备权限审计功能，可定期生成权限使用报告，展示用户权限分配情况及权限变更记录，便于管理员监督和管理权限分配，及时发现并修正潜在的权限风险。</w:t>
            </w:r>
          </w:p>
          <w:p w14:paraId="01D47F36">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4.2.3.10.6日志管理</w:t>
            </w:r>
          </w:p>
          <w:p w14:paraId="2343997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4.2.3.10.6.1操作事件记录</w:t>
            </w:r>
          </w:p>
          <w:p w14:paraId="347E097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管理用于记录系统运行过程中的各类操作事件与系统状态信息，为系统的安全审计、故障排查和性能优化提供重要依据。系统会自动记录用户登录与退出信息，包括登录时间、登录账号、登录IP地址、退出时间等，以便追踪用户的操作时间线；对用户在系统内的关键操作进行详细记录，如数据录入、修改、删除，报表生成与导出，权限变更等操作，记录操作时间、操作人、操作对象及操作内容，便于在出现数据异常或操作争议时进行追溯。</w:t>
            </w:r>
          </w:p>
          <w:p w14:paraId="15028B1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4.2.3.10.6.2系统状态监控</w:t>
            </w:r>
          </w:p>
          <w:p w14:paraId="364971E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日志管理还收集系统运行日志，包括系统启动与关闭、服务异常、数据库操作记录等信息，通过对这些日志的分析，可及时发现系统潜在问题，如服务器性能瓶颈、数据库连接异常等，并进行针对性优化。</w:t>
            </w:r>
          </w:p>
          <w:p w14:paraId="0C90241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4.2.3.10.6.3日志管理功能</w:t>
            </w:r>
          </w:p>
          <w:p w14:paraId="33BE795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日志管理支持日志的查询、导出和清理功能，管理员可根据时间、用户、操作类型等条件快速检索相关日志记录，将重要日志导出保存，定期清理过期日志以释放存储空间，确保日志管理的高效性和可持续性。</w:t>
            </w:r>
          </w:p>
          <w:p w14:paraId="6F6D2E56">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4.2.3.10.7资源监控管理</w:t>
            </w:r>
          </w:p>
          <w:p w14:paraId="120EB73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增加的资源监控管理模块将系统自带的资源监控功能集成到门户系统中，为省级管理员提供全面的系统运行状态可视化监控平台。该模块通过数据采集、分析和展示，帮助管理员实时掌握系统运行状况，及时发现并解决问题。</w:t>
            </w:r>
          </w:p>
          <w:p w14:paraId="36BF497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资源监控管理模块：</w:t>
            </w:r>
          </w:p>
          <w:p w14:paraId="5AED7A31">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系统概况</w:t>
            </w:r>
          </w:p>
          <w:p w14:paraId="23F61475">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资源访问情况统计</w:t>
            </w:r>
          </w:p>
          <w:p w14:paraId="67A70A29">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用户活跃情况统计</w:t>
            </w:r>
          </w:p>
          <w:p w14:paraId="30218B39">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操作耗时统计</w:t>
            </w:r>
          </w:p>
          <w:p w14:paraId="5AAF3494">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系统移动端分析</w:t>
            </w:r>
          </w:p>
          <w:p w14:paraId="5E6BD267">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系统占用监控</w:t>
            </w:r>
          </w:p>
          <w:p w14:paraId="209813DA">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数据库表存储情况</w:t>
            </w:r>
          </w:p>
          <w:p w14:paraId="1366DA10">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错误问题统计</w:t>
            </w:r>
          </w:p>
          <w:p w14:paraId="2F940966">
            <w:pPr>
              <w:pStyle w:val="23"/>
              <w:numPr>
                <w:ilvl w:val="0"/>
                <w:numId w:val="43"/>
              </w:numPr>
              <w:spacing w:line="360" w:lineRule="auto"/>
              <w:ind w:firstLine="295"/>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运营监控属性设置</w:t>
            </w:r>
          </w:p>
          <w:p w14:paraId="70EDCD9F">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4.2.3.10.7.1系统概况</w:t>
            </w:r>
          </w:p>
          <w:p w14:paraId="7FF4827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系统实时情况：当前在线人数、当前在线机构数、今日登录次数、累计登录次数、累计错误问题数；</w:t>
            </w:r>
          </w:p>
          <w:p w14:paraId="75AE36C2">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周期统计：同时在线人数统计、系统登录人次统计、浏览器使用占比、资源访问量占比top6。</w:t>
            </w:r>
          </w:p>
          <w:p w14:paraId="42E66DA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4.2.3.10.7.2资源访问情况统计</w:t>
            </w:r>
          </w:p>
          <w:p w14:paraId="7ECC00B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资源访问情况统计：每一种类型的资源对应多种的操作，对资源进行一次某种操作，则该种操作次数+1；</w:t>
            </w:r>
          </w:p>
          <w:p w14:paraId="04C71F1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资源访问总数前10名：上报数据、保存数据、汇总数据。</w:t>
            </w:r>
          </w:p>
          <w:p w14:paraId="7228B2B9">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4.2.3.10.7.3用户活跃情况统计</w:t>
            </w:r>
          </w:p>
          <w:p w14:paraId="5EBEE26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用户活跃度分析：按时间段分析活跃人数、非活跃人数、活跃用户数趋势。</w:t>
            </w:r>
          </w:p>
          <w:p w14:paraId="340F9D42">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4.2.3.10.7.4操作耗时统计</w:t>
            </w:r>
          </w:p>
          <w:p w14:paraId="3B938C7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操作耗时统计表：按最高耗时排序显示top10的功能。</w:t>
            </w:r>
          </w:p>
          <w:p w14:paraId="753D99F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模块被执行一次算一次记录；平均耗时指所有操作消耗的时间除以执行该操作的次数；最高耗时指某个模块在一段时间内操作消耗的最多时间；最低耗时指某个模块在一段时间内操作消耗的最少时间。</w:t>
            </w:r>
          </w:p>
          <w:p w14:paraId="239C3B0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4.2.3.10.7.5系统移动端分析</w:t>
            </w:r>
          </w:p>
          <w:p w14:paraId="348E9A6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一个移动终端对应一个用户数，新增的用户事相对于之前的用户数量增加的移动终端设备的数量。</w:t>
            </w:r>
          </w:p>
          <w:p w14:paraId="4B9028D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4.2.3.10.7.6系统占用监控</w:t>
            </w:r>
          </w:p>
          <w:p w14:paraId="70E24316">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CPU占用率是指当前系统在某段时间内CPU的占用百分比的峰值；内存占用率是指当前系统在某段时间内存的占用百分比峰值；活动连接数是指当前系统在某段时间活动连接的数目的峰值，若是12点显示11:00~12:00之间的峰值。</w:t>
            </w:r>
          </w:p>
          <w:p w14:paraId="63E57BE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4.2.3.10.7.7数据库表存储情况</w:t>
            </w:r>
          </w:p>
          <w:p w14:paraId="158A39B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系统实时情况：各系统类型个数及数据库表章数、数据量行数。</w:t>
            </w:r>
          </w:p>
          <w:p w14:paraId="5A118C9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4.2.3.10.7.8错误问题统计</w:t>
            </w:r>
          </w:p>
          <w:p w14:paraId="0DB2A358">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功能被执行报错一次则错误次数+1；</w:t>
            </w:r>
          </w:p>
          <w:p w14:paraId="4497051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错误问题统计表：统计TOP10各操作类型在一段时间内的错误次数。</w:t>
            </w:r>
          </w:p>
          <w:p w14:paraId="6582465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4.2.3.10.7.9运营监控属性设置</w:t>
            </w:r>
          </w:p>
          <w:p w14:paraId="67F6A46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系统占用监控的记录时间间隔设置值，可按需进行修改。系统占用监控记录CPU占用率、内存占用率、活动连接数。</w:t>
            </w:r>
          </w:p>
          <w:p w14:paraId="159FF97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4.2.3.10.7.10数据导出日志分析功能</w:t>
            </w:r>
          </w:p>
          <w:p w14:paraId="7B7D6E2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导出日志分析功能对系统中数据导出操作产生的日志进行收集、存储、解析和挖掘的一系列处理过程。其核心目标是通过分析日志数据，实现对数据导出行为的监控、追溯、问题定位及优化，确保数据导出过程的安全性、合规性和效率。</w:t>
            </w:r>
          </w:p>
          <w:p w14:paraId="3CC4FC3D">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4.2.3.10.7.11系统迁移前后性能分析功能</w:t>
            </w:r>
          </w:p>
          <w:p w14:paraId="7630066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迁移前后性能分析功能是指在系统从原环境迁移至新环境的过程中，通过采集、对比、分析迁移前后的性能数据，评估系统性能变化、定位潜在问题，并为迁移策略优化提供依据的一系列处理流程。其核心目标是确保系统迁移后性能不下降，甚至实现性能提升，同时验证迁移方案的可行性与稳定性。</w:t>
            </w:r>
          </w:p>
          <w:p w14:paraId="35BE831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4.2.3.10.8优化前后功能对比清单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034"/>
              <w:gridCol w:w="1767"/>
              <w:gridCol w:w="1245"/>
              <w:gridCol w:w="2801"/>
            </w:tblGrid>
            <w:tr w14:paraId="0401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16587C7">
                  <w:pPr>
                    <w:jc w:val="center"/>
                    <w:rPr>
                      <w:rFonts w:hint="eastAsia" w:ascii="仿宋" w:hAnsi="仿宋" w:eastAsia="仿宋" w:cs="仿宋"/>
                      <w:b/>
                      <w:bCs/>
                      <w:szCs w:val="21"/>
                    </w:rPr>
                  </w:pPr>
                  <w:r>
                    <w:rPr>
                      <w:rFonts w:hint="eastAsia" w:ascii="仿宋" w:hAnsi="仿宋" w:eastAsia="仿宋" w:cs="仿宋"/>
                      <w:b/>
                      <w:bCs/>
                      <w:szCs w:val="21"/>
                    </w:rPr>
                    <w:t>序号</w:t>
                  </w:r>
                </w:p>
              </w:tc>
              <w:tc>
                <w:tcPr>
                  <w:tcW w:w="3430" w:type="dxa"/>
                  <w:gridSpan w:val="2"/>
                  <w:vAlign w:val="center"/>
                </w:tcPr>
                <w:p w14:paraId="1DF0EA87">
                  <w:pPr>
                    <w:jc w:val="center"/>
                    <w:rPr>
                      <w:rFonts w:hint="eastAsia" w:ascii="仿宋" w:hAnsi="仿宋" w:eastAsia="仿宋" w:cs="仿宋"/>
                      <w:b/>
                      <w:bCs/>
                      <w:szCs w:val="21"/>
                    </w:rPr>
                  </w:pPr>
                  <w:r>
                    <w:rPr>
                      <w:rFonts w:hint="eastAsia" w:ascii="仿宋" w:hAnsi="仿宋" w:eastAsia="仿宋" w:cs="仿宋"/>
                      <w:b/>
                      <w:bCs/>
                      <w:szCs w:val="21"/>
                    </w:rPr>
                    <w:t>优化前</w:t>
                  </w:r>
                </w:p>
              </w:tc>
              <w:tc>
                <w:tcPr>
                  <w:tcW w:w="5076" w:type="dxa"/>
                  <w:gridSpan w:val="2"/>
                  <w:vAlign w:val="center"/>
                </w:tcPr>
                <w:p w14:paraId="397189D2">
                  <w:pPr>
                    <w:jc w:val="center"/>
                    <w:rPr>
                      <w:rFonts w:hint="eastAsia" w:ascii="仿宋" w:hAnsi="仿宋" w:eastAsia="仿宋" w:cs="仿宋"/>
                      <w:b/>
                      <w:bCs/>
                      <w:szCs w:val="21"/>
                    </w:rPr>
                  </w:pPr>
                  <w:r>
                    <w:rPr>
                      <w:rFonts w:hint="eastAsia" w:ascii="仿宋" w:hAnsi="仿宋" w:eastAsia="仿宋" w:cs="仿宋"/>
                      <w:b/>
                      <w:bCs/>
                      <w:szCs w:val="21"/>
                    </w:rPr>
                    <w:t>优化后</w:t>
                  </w:r>
                </w:p>
              </w:tc>
            </w:tr>
            <w:tr w14:paraId="1496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445DCD4">
                  <w:pPr>
                    <w:jc w:val="center"/>
                    <w:rPr>
                      <w:rFonts w:hint="eastAsia" w:ascii="仿宋" w:hAnsi="仿宋" w:eastAsia="仿宋" w:cs="仿宋"/>
                      <w:szCs w:val="21"/>
                    </w:rPr>
                  </w:pPr>
                  <w:r>
                    <w:rPr>
                      <w:rFonts w:hint="eastAsia" w:ascii="仿宋" w:hAnsi="仿宋" w:eastAsia="仿宋" w:cs="仿宋"/>
                      <w:szCs w:val="21"/>
                    </w:rPr>
                    <w:t>1</w:t>
                  </w:r>
                </w:p>
              </w:tc>
              <w:tc>
                <w:tcPr>
                  <w:tcW w:w="1230" w:type="dxa"/>
                  <w:vMerge w:val="restart"/>
                  <w:vAlign w:val="center"/>
                </w:tcPr>
                <w:p w14:paraId="6C043139">
                  <w:pPr>
                    <w:jc w:val="center"/>
                    <w:rPr>
                      <w:rFonts w:hint="eastAsia" w:ascii="仿宋" w:hAnsi="仿宋" w:eastAsia="仿宋" w:cs="仿宋"/>
                      <w:szCs w:val="21"/>
                    </w:rPr>
                  </w:pPr>
                  <w:r>
                    <w:rPr>
                      <w:rFonts w:hint="eastAsia" w:ascii="仿宋" w:hAnsi="仿宋" w:eastAsia="仿宋" w:cs="仿宋"/>
                      <w:szCs w:val="21"/>
                    </w:rPr>
                    <w:t>门户管理</w:t>
                  </w:r>
                </w:p>
              </w:tc>
              <w:tc>
                <w:tcPr>
                  <w:tcW w:w="2200" w:type="dxa"/>
                  <w:vAlign w:val="center"/>
                </w:tcPr>
                <w:p w14:paraId="5953B220">
                  <w:pPr>
                    <w:jc w:val="center"/>
                    <w:rPr>
                      <w:rFonts w:hint="eastAsia" w:ascii="仿宋" w:hAnsi="仿宋" w:eastAsia="仿宋" w:cs="仿宋"/>
                      <w:szCs w:val="21"/>
                    </w:rPr>
                  </w:pPr>
                  <w:r>
                    <w:rPr>
                      <w:rFonts w:hint="eastAsia" w:ascii="仿宋" w:hAnsi="仿宋" w:eastAsia="仿宋" w:cs="仿宋"/>
                      <w:szCs w:val="21"/>
                    </w:rPr>
                    <w:t>自定义门户布局</w:t>
                  </w:r>
                </w:p>
              </w:tc>
              <w:tc>
                <w:tcPr>
                  <w:tcW w:w="1509" w:type="dxa"/>
                  <w:vMerge w:val="restart"/>
                  <w:vAlign w:val="center"/>
                </w:tcPr>
                <w:p w14:paraId="3F97A558">
                  <w:pPr>
                    <w:rPr>
                      <w:rFonts w:hint="eastAsia" w:ascii="仿宋" w:hAnsi="仿宋" w:eastAsia="仿宋" w:cs="仿宋"/>
                      <w:szCs w:val="21"/>
                    </w:rPr>
                  </w:pPr>
                  <w:r>
                    <w:rPr>
                      <w:rFonts w:hint="eastAsia" w:ascii="仿宋" w:hAnsi="仿宋" w:eastAsia="仿宋" w:cs="仿宋"/>
                      <w:szCs w:val="21"/>
                    </w:rPr>
                    <w:t>门户管理</w:t>
                  </w:r>
                </w:p>
              </w:tc>
              <w:tc>
                <w:tcPr>
                  <w:tcW w:w="3567" w:type="dxa"/>
                  <w:vAlign w:val="center"/>
                </w:tcPr>
                <w:p w14:paraId="774FE8C4">
                  <w:pPr>
                    <w:rPr>
                      <w:rFonts w:hint="eastAsia" w:ascii="仿宋" w:hAnsi="仿宋" w:eastAsia="仿宋" w:cs="仿宋"/>
                      <w:szCs w:val="21"/>
                    </w:rPr>
                  </w:pPr>
                  <w:r>
                    <w:rPr>
                      <w:rFonts w:hint="eastAsia" w:ascii="仿宋" w:hAnsi="仿宋" w:eastAsia="仿宋" w:cs="仿宋"/>
                      <w:szCs w:val="21"/>
                    </w:rPr>
                    <w:t>自定义门户布局</w:t>
                  </w:r>
                </w:p>
              </w:tc>
            </w:tr>
            <w:tr w14:paraId="5279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58ECCC0">
                  <w:pPr>
                    <w:jc w:val="center"/>
                    <w:rPr>
                      <w:rFonts w:hint="eastAsia" w:ascii="仿宋" w:hAnsi="仿宋" w:eastAsia="仿宋" w:cs="仿宋"/>
                      <w:szCs w:val="21"/>
                    </w:rPr>
                  </w:pPr>
                  <w:r>
                    <w:rPr>
                      <w:rFonts w:hint="eastAsia" w:ascii="仿宋" w:hAnsi="仿宋" w:eastAsia="仿宋" w:cs="仿宋"/>
                      <w:szCs w:val="21"/>
                    </w:rPr>
                    <w:t>2</w:t>
                  </w:r>
                </w:p>
              </w:tc>
              <w:tc>
                <w:tcPr>
                  <w:tcW w:w="1230" w:type="dxa"/>
                  <w:vMerge w:val="continue"/>
                  <w:vAlign w:val="center"/>
                </w:tcPr>
                <w:p w14:paraId="4303FCD8">
                  <w:pPr>
                    <w:jc w:val="center"/>
                    <w:rPr>
                      <w:rFonts w:hint="eastAsia" w:ascii="仿宋" w:hAnsi="仿宋" w:eastAsia="仿宋" w:cs="仿宋"/>
                      <w:szCs w:val="21"/>
                    </w:rPr>
                  </w:pPr>
                </w:p>
              </w:tc>
              <w:tc>
                <w:tcPr>
                  <w:tcW w:w="2200" w:type="dxa"/>
                  <w:vAlign w:val="center"/>
                </w:tcPr>
                <w:p w14:paraId="2BD58750">
                  <w:pPr>
                    <w:jc w:val="center"/>
                    <w:rPr>
                      <w:rFonts w:hint="eastAsia" w:ascii="仿宋" w:hAnsi="仿宋" w:eastAsia="仿宋" w:cs="仿宋"/>
                      <w:szCs w:val="21"/>
                    </w:rPr>
                  </w:pPr>
                  <w:r>
                    <w:rPr>
                      <w:rFonts w:hint="eastAsia" w:ascii="仿宋" w:hAnsi="仿宋" w:eastAsia="仿宋" w:cs="仿宋"/>
                      <w:szCs w:val="21"/>
                    </w:rPr>
                    <w:t>个性化主题设置</w:t>
                  </w:r>
                </w:p>
              </w:tc>
              <w:tc>
                <w:tcPr>
                  <w:tcW w:w="1509" w:type="dxa"/>
                  <w:vMerge w:val="continue"/>
                  <w:vAlign w:val="center"/>
                </w:tcPr>
                <w:p w14:paraId="1F203E10">
                  <w:pPr>
                    <w:rPr>
                      <w:rFonts w:hint="eastAsia" w:ascii="仿宋" w:hAnsi="仿宋" w:eastAsia="仿宋" w:cs="仿宋"/>
                      <w:szCs w:val="21"/>
                    </w:rPr>
                  </w:pPr>
                </w:p>
              </w:tc>
              <w:tc>
                <w:tcPr>
                  <w:tcW w:w="3567" w:type="dxa"/>
                  <w:vAlign w:val="center"/>
                </w:tcPr>
                <w:p w14:paraId="65D800F6">
                  <w:pPr>
                    <w:rPr>
                      <w:rFonts w:hint="eastAsia" w:ascii="仿宋" w:hAnsi="仿宋" w:eastAsia="仿宋" w:cs="仿宋"/>
                      <w:szCs w:val="21"/>
                    </w:rPr>
                  </w:pPr>
                  <w:r>
                    <w:rPr>
                      <w:rFonts w:hint="eastAsia" w:ascii="仿宋" w:hAnsi="仿宋" w:eastAsia="仿宋" w:cs="仿宋"/>
                      <w:szCs w:val="21"/>
                    </w:rPr>
                    <w:t>个性化主题设置</w:t>
                  </w:r>
                </w:p>
              </w:tc>
            </w:tr>
            <w:tr w14:paraId="5EB1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4020E5E">
                  <w:pPr>
                    <w:jc w:val="center"/>
                    <w:rPr>
                      <w:rFonts w:hint="eastAsia" w:ascii="仿宋" w:hAnsi="仿宋" w:eastAsia="仿宋" w:cs="仿宋"/>
                      <w:szCs w:val="21"/>
                    </w:rPr>
                  </w:pPr>
                  <w:r>
                    <w:rPr>
                      <w:rFonts w:hint="eastAsia" w:ascii="仿宋" w:hAnsi="仿宋" w:eastAsia="仿宋" w:cs="仿宋"/>
                      <w:szCs w:val="21"/>
                    </w:rPr>
                    <w:t>3</w:t>
                  </w:r>
                </w:p>
              </w:tc>
              <w:tc>
                <w:tcPr>
                  <w:tcW w:w="1230" w:type="dxa"/>
                  <w:vMerge w:val="continue"/>
                  <w:vAlign w:val="center"/>
                </w:tcPr>
                <w:p w14:paraId="43538F58">
                  <w:pPr>
                    <w:jc w:val="center"/>
                    <w:rPr>
                      <w:rFonts w:hint="eastAsia" w:ascii="仿宋" w:hAnsi="仿宋" w:eastAsia="仿宋" w:cs="仿宋"/>
                      <w:szCs w:val="21"/>
                    </w:rPr>
                  </w:pPr>
                </w:p>
              </w:tc>
              <w:tc>
                <w:tcPr>
                  <w:tcW w:w="2200" w:type="dxa"/>
                  <w:vAlign w:val="center"/>
                </w:tcPr>
                <w:p w14:paraId="1EE44763">
                  <w:pPr>
                    <w:jc w:val="center"/>
                    <w:rPr>
                      <w:rFonts w:hint="eastAsia" w:ascii="仿宋" w:hAnsi="仿宋" w:eastAsia="仿宋" w:cs="仿宋"/>
                      <w:szCs w:val="21"/>
                    </w:rPr>
                  </w:pPr>
                  <w:r>
                    <w:rPr>
                      <w:rFonts w:hint="eastAsia" w:ascii="仿宋" w:hAnsi="仿宋" w:eastAsia="仿宋" w:cs="仿宋"/>
                      <w:szCs w:val="21"/>
                    </w:rPr>
                    <w:t>导航菜单配置</w:t>
                  </w:r>
                </w:p>
              </w:tc>
              <w:tc>
                <w:tcPr>
                  <w:tcW w:w="1509" w:type="dxa"/>
                  <w:vMerge w:val="continue"/>
                  <w:vAlign w:val="center"/>
                </w:tcPr>
                <w:p w14:paraId="429E6799">
                  <w:pPr>
                    <w:rPr>
                      <w:rFonts w:hint="eastAsia" w:ascii="仿宋" w:hAnsi="仿宋" w:eastAsia="仿宋" w:cs="仿宋"/>
                      <w:szCs w:val="21"/>
                    </w:rPr>
                  </w:pPr>
                </w:p>
              </w:tc>
              <w:tc>
                <w:tcPr>
                  <w:tcW w:w="3567" w:type="dxa"/>
                  <w:vAlign w:val="center"/>
                </w:tcPr>
                <w:p w14:paraId="35AC7518">
                  <w:pPr>
                    <w:rPr>
                      <w:rFonts w:hint="eastAsia" w:ascii="仿宋" w:hAnsi="仿宋" w:eastAsia="仿宋" w:cs="仿宋"/>
                      <w:szCs w:val="21"/>
                    </w:rPr>
                  </w:pPr>
                  <w:r>
                    <w:rPr>
                      <w:rFonts w:hint="eastAsia" w:ascii="仿宋" w:hAnsi="仿宋" w:eastAsia="仿宋" w:cs="仿宋"/>
                      <w:szCs w:val="21"/>
                    </w:rPr>
                    <w:t>导航菜单配置</w:t>
                  </w:r>
                </w:p>
              </w:tc>
            </w:tr>
            <w:tr w14:paraId="3A5B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0296510">
                  <w:pPr>
                    <w:jc w:val="center"/>
                    <w:rPr>
                      <w:rFonts w:hint="eastAsia" w:ascii="仿宋" w:hAnsi="仿宋" w:eastAsia="仿宋" w:cs="仿宋"/>
                      <w:szCs w:val="21"/>
                    </w:rPr>
                  </w:pPr>
                  <w:r>
                    <w:rPr>
                      <w:rFonts w:hint="eastAsia" w:ascii="仿宋" w:hAnsi="仿宋" w:eastAsia="仿宋" w:cs="仿宋"/>
                      <w:szCs w:val="21"/>
                    </w:rPr>
                    <w:t>4</w:t>
                  </w:r>
                </w:p>
              </w:tc>
              <w:tc>
                <w:tcPr>
                  <w:tcW w:w="1230" w:type="dxa"/>
                  <w:vMerge w:val="restart"/>
                  <w:vAlign w:val="center"/>
                </w:tcPr>
                <w:p w14:paraId="37A1DA53">
                  <w:pPr>
                    <w:jc w:val="center"/>
                    <w:rPr>
                      <w:rFonts w:hint="eastAsia" w:ascii="仿宋" w:hAnsi="仿宋" w:eastAsia="仿宋" w:cs="仿宋"/>
                      <w:szCs w:val="21"/>
                    </w:rPr>
                  </w:pPr>
                  <w:r>
                    <w:rPr>
                      <w:rFonts w:hint="eastAsia" w:ascii="仿宋" w:hAnsi="仿宋" w:eastAsia="仿宋" w:cs="仿宋"/>
                      <w:szCs w:val="21"/>
                    </w:rPr>
                    <w:t>机构管理</w:t>
                  </w:r>
                </w:p>
              </w:tc>
              <w:tc>
                <w:tcPr>
                  <w:tcW w:w="2200" w:type="dxa"/>
                  <w:vAlign w:val="center"/>
                </w:tcPr>
                <w:p w14:paraId="3FFFABDF">
                  <w:pPr>
                    <w:jc w:val="center"/>
                    <w:rPr>
                      <w:rFonts w:hint="eastAsia" w:ascii="仿宋" w:hAnsi="仿宋" w:eastAsia="仿宋" w:cs="仿宋"/>
                      <w:szCs w:val="21"/>
                    </w:rPr>
                  </w:pPr>
                  <w:r>
                    <w:rPr>
                      <w:rFonts w:hint="eastAsia" w:ascii="仿宋" w:hAnsi="仿宋" w:eastAsia="仿宋" w:cs="仿宋"/>
                      <w:szCs w:val="21"/>
                    </w:rPr>
                    <w:t>机构信息维护</w:t>
                  </w:r>
                </w:p>
              </w:tc>
              <w:tc>
                <w:tcPr>
                  <w:tcW w:w="1509" w:type="dxa"/>
                  <w:vMerge w:val="restart"/>
                  <w:vAlign w:val="center"/>
                </w:tcPr>
                <w:p w14:paraId="1F846F19">
                  <w:pPr>
                    <w:rPr>
                      <w:rFonts w:hint="eastAsia" w:ascii="仿宋" w:hAnsi="仿宋" w:eastAsia="仿宋" w:cs="仿宋"/>
                      <w:szCs w:val="21"/>
                    </w:rPr>
                  </w:pPr>
                  <w:r>
                    <w:rPr>
                      <w:rFonts w:hint="eastAsia" w:ascii="仿宋" w:hAnsi="仿宋" w:eastAsia="仿宋" w:cs="仿宋"/>
                      <w:szCs w:val="21"/>
                    </w:rPr>
                    <w:t>机构管理</w:t>
                  </w:r>
                </w:p>
              </w:tc>
              <w:tc>
                <w:tcPr>
                  <w:tcW w:w="3567" w:type="dxa"/>
                  <w:vAlign w:val="center"/>
                </w:tcPr>
                <w:p w14:paraId="40557292">
                  <w:pPr>
                    <w:rPr>
                      <w:rFonts w:hint="eastAsia" w:ascii="仿宋" w:hAnsi="仿宋" w:eastAsia="仿宋" w:cs="仿宋"/>
                      <w:szCs w:val="21"/>
                    </w:rPr>
                  </w:pPr>
                  <w:r>
                    <w:rPr>
                      <w:rFonts w:hint="eastAsia" w:ascii="仿宋" w:hAnsi="仿宋" w:eastAsia="仿宋" w:cs="仿宋"/>
                      <w:szCs w:val="21"/>
                    </w:rPr>
                    <w:t>机构信息维护</w:t>
                  </w:r>
                </w:p>
              </w:tc>
            </w:tr>
            <w:tr w14:paraId="436B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B7E125A">
                  <w:pPr>
                    <w:jc w:val="center"/>
                    <w:rPr>
                      <w:rFonts w:hint="eastAsia" w:ascii="仿宋" w:hAnsi="仿宋" w:eastAsia="仿宋" w:cs="仿宋"/>
                      <w:szCs w:val="21"/>
                    </w:rPr>
                  </w:pPr>
                  <w:r>
                    <w:rPr>
                      <w:rFonts w:hint="eastAsia" w:ascii="仿宋" w:hAnsi="仿宋" w:eastAsia="仿宋" w:cs="仿宋"/>
                      <w:szCs w:val="21"/>
                    </w:rPr>
                    <w:t>5</w:t>
                  </w:r>
                </w:p>
              </w:tc>
              <w:tc>
                <w:tcPr>
                  <w:tcW w:w="1230" w:type="dxa"/>
                  <w:vMerge w:val="continue"/>
                  <w:vAlign w:val="center"/>
                </w:tcPr>
                <w:p w14:paraId="67184244">
                  <w:pPr>
                    <w:jc w:val="center"/>
                    <w:rPr>
                      <w:rFonts w:hint="eastAsia" w:ascii="仿宋" w:hAnsi="仿宋" w:eastAsia="仿宋" w:cs="仿宋"/>
                      <w:szCs w:val="21"/>
                    </w:rPr>
                  </w:pPr>
                </w:p>
              </w:tc>
              <w:tc>
                <w:tcPr>
                  <w:tcW w:w="2200" w:type="dxa"/>
                  <w:vAlign w:val="center"/>
                </w:tcPr>
                <w:p w14:paraId="2731A81B">
                  <w:pPr>
                    <w:jc w:val="center"/>
                    <w:rPr>
                      <w:rFonts w:hint="eastAsia" w:ascii="仿宋" w:hAnsi="仿宋" w:eastAsia="仿宋" w:cs="仿宋"/>
                      <w:szCs w:val="21"/>
                    </w:rPr>
                  </w:pPr>
                  <w:r>
                    <w:rPr>
                      <w:rFonts w:hint="eastAsia" w:ascii="仿宋" w:hAnsi="仿宋" w:eastAsia="仿宋" w:cs="仿宋"/>
                      <w:szCs w:val="21"/>
                    </w:rPr>
                    <w:t>-</w:t>
                  </w:r>
                </w:p>
              </w:tc>
              <w:tc>
                <w:tcPr>
                  <w:tcW w:w="1509" w:type="dxa"/>
                  <w:vMerge w:val="continue"/>
                  <w:vAlign w:val="center"/>
                </w:tcPr>
                <w:p w14:paraId="51EF4BCC">
                  <w:pPr>
                    <w:rPr>
                      <w:rFonts w:hint="eastAsia" w:ascii="仿宋" w:hAnsi="仿宋" w:eastAsia="仿宋" w:cs="仿宋"/>
                      <w:szCs w:val="21"/>
                    </w:rPr>
                  </w:pPr>
                </w:p>
              </w:tc>
              <w:tc>
                <w:tcPr>
                  <w:tcW w:w="3567" w:type="dxa"/>
                  <w:vAlign w:val="center"/>
                </w:tcPr>
                <w:p w14:paraId="58875746">
                  <w:pPr>
                    <w:rPr>
                      <w:rFonts w:hint="eastAsia" w:ascii="仿宋" w:hAnsi="仿宋" w:eastAsia="仿宋" w:cs="仿宋"/>
                      <w:szCs w:val="21"/>
                    </w:rPr>
                  </w:pPr>
                  <w:r>
                    <w:rPr>
                      <w:rFonts w:hint="eastAsia" w:ascii="仿宋" w:hAnsi="仿宋" w:eastAsia="仿宋" w:cs="仿宋"/>
                      <w:szCs w:val="21"/>
                    </w:rPr>
                    <w:t>机构免登录注册申请</w:t>
                  </w:r>
                </w:p>
              </w:tc>
            </w:tr>
            <w:tr w14:paraId="5F67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337BF0C">
                  <w:pPr>
                    <w:jc w:val="center"/>
                    <w:rPr>
                      <w:rFonts w:hint="eastAsia" w:ascii="仿宋" w:hAnsi="仿宋" w:eastAsia="仿宋" w:cs="仿宋"/>
                      <w:szCs w:val="21"/>
                    </w:rPr>
                  </w:pPr>
                  <w:r>
                    <w:rPr>
                      <w:rFonts w:hint="eastAsia" w:ascii="仿宋" w:hAnsi="仿宋" w:eastAsia="仿宋" w:cs="仿宋"/>
                      <w:szCs w:val="21"/>
                    </w:rPr>
                    <w:t>6</w:t>
                  </w:r>
                </w:p>
              </w:tc>
              <w:tc>
                <w:tcPr>
                  <w:tcW w:w="1230" w:type="dxa"/>
                  <w:vMerge w:val="continue"/>
                  <w:vAlign w:val="center"/>
                </w:tcPr>
                <w:p w14:paraId="3D713140">
                  <w:pPr>
                    <w:jc w:val="center"/>
                    <w:rPr>
                      <w:rFonts w:hint="eastAsia" w:ascii="仿宋" w:hAnsi="仿宋" w:eastAsia="仿宋" w:cs="仿宋"/>
                      <w:szCs w:val="21"/>
                    </w:rPr>
                  </w:pPr>
                </w:p>
              </w:tc>
              <w:tc>
                <w:tcPr>
                  <w:tcW w:w="2200" w:type="dxa"/>
                  <w:vAlign w:val="center"/>
                </w:tcPr>
                <w:p w14:paraId="08FE8696">
                  <w:pPr>
                    <w:jc w:val="center"/>
                    <w:rPr>
                      <w:rFonts w:hint="eastAsia" w:ascii="仿宋" w:hAnsi="仿宋" w:eastAsia="仿宋" w:cs="仿宋"/>
                      <w:szCs w:val="21"/>
                    </w:rPr>
                  </w:pPr>
                  <w:r>
                    <w:rPr>
                      <w:rFonts w:hint="eastAsia" w:ascii="仿宋" w:hAnsi="仿宋" w:eastAsia="仿宋" w:cs="仿宋"/>
                      <w:szCs w:val="21"/>
                    </w:rPr>
                    <w:t>-</w:t>
                  </w:r>
                </w:p>
              </w:tc>
              <w:tc>
                <w:tcPr>
                  <w:tcW w:w="1509" w:type="dxa"/>
                  <w:vMerge w:val="continue"/>
                  <w:vAlign w:val="center"/>
                </w:tcPr>
                <w:p w14:paraId="242495E3">
                  <w:pPr>
                    <w:rPr>
                      <w:rFonts w:hint="eastAsia" w:ascii="仿宋" w:hAnsi="仿宋" w:eastAsia="仿宋" w:cs="仿宋"/>
                      <w:szCs w:val="21"/>
                    </w:rPr>
                  </w:pPr>
                </w:p>
              </w:tc>
              <w:tc>
                <w:tcPr>
                  <w:tcW w:w="3567" w:type="dxa"/>
                  <w:vAlign w:val="center"/>
                </w:tcPr>
                <w:p w14:paraId="4BBF8AF6">
                  <w:pPr>
                    <w:rPr>
                      <w:rFonts w:hint="eastAsia" w:ascii="仿宋" w:hAnsi="仿宋" w:eastAsia="仿宋" w:cs="仿宋"/>
                      <w:szCs w:val="21"/>
                    </w:rPr>
                  </w:pPr>
                  <w:r>
                    <w:rPr>
                      <w:rFonts w:hint="eastAsia" w:ascii="仿宋" w:hAnsi="仿宋" w:eastAsia="仿宋" w:cs="仿宋"/>
                      <w:szCs w:val="21"/>
                    </w:rPr>
                    <w:t>第三方系统数据比对</w:t>
                  </w:r>
                </w:p>
              </w:tc>
            </w:tr>
            <w:tr w14:paraId="010E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FA90900">
                  <w:pPr>
                    <w:jc w:val="center"/>
                    <w:rPr>
                      <w:rFonts w:hint="eastAsia" w:ascii="仿宋" w:hAnsi="仿宋" w:eastAsia="仿宋" w:cs="仿宋"/>
                      <w:szCs w:val="21"/>
                    </w:rPr>
                  </w:pPr>
                  <w:r>
                    <w:rPr>
                      <w:rFonts w:hint="eastAsia" w:ascii="仿宋" w:hAnsi="仿宋" w:eastAsia="仿宋" w:cs="仿宋"/>
                      <w:szCs w:val="21"/>
                    </w:rPr>
                    <w:t>7</w:t>
                  </w:r>
                </w:p>
              </w:tc>
              <w:tc>
                <w:tcPr>
                  <w:tcW w:w="1230" w:type="dxa"/>
                  <w:vMerge w:val="restart"/>
                  <w:vAlign w:val="center"/>
                </w:tcPr>
                <w:p w14:paraId="4DE3B2EF">
                  <w:pPr>
                    <w:jc w:val="center"/>
                    <w:rPr>
                      <w:rFonts w:hint="eastAsia" w:ascii="仿宋" w:hAnsi="仿宋" w:eastAsia="仿宋" w:cs="仿宋"/>
                      <w:szCs w:val="21"/>
                    </w:rPr>
                  </w:pPr>
                  <w:r>
                    <w:rPr>
                      <w:rFonts w:hint="eastAsia" w:ascii="仿宋" w:hAnsi="仿宋" w:eastAsia="仿宋" w:cs="仿宋"/>
                      <w:szCs w:val="21"/>
                    </w:rPr>
                    <w:t>角色管理</w:t>
                  </w:r>
                </w:p>
              </w:tc>
              <w:tc>
                <w:tcPr>
                  <w:tcW w:w="2200" w:type="dxa"/>
                  <w:vAlign w:val="center"/>
                </w:tcPr>
                <w:p w14:paraId="59AA5CF8">
                  <w:pPr>
                    <w:jc w:val="center"/>
                    <w:rPr>
                      <w:rFonts w:hint="eastAsia" w:ascii="仿宋" w:hAnsi="仿宋" w:eastAsia="仿宋" w:cs="仿宋"/>
                      <w:szCs w:val="21"/>
                    </w:rPr>
                  </w:pPr>
                  <w:r>
                    <w:rPr>
                      <w:rFonts w:hint="eastAsia" w:ascii="仿宋" w:hAnsi="仿宋" w:eastAsia="仿宋" w:cs="仿宋"/>
                      <w:szCs w:val="21"/>
                    </w:rPr>
                    <w:t>角色创建与分类</w:t>
                  </w:r>
                </w:p>
              </w:tc>
              <w:tc>
                <w:tcPr>
                  <w:tcW w:w="1509" w:type="dxa"/>
                  <w:vMerge w:val="restart"/>
                  <w:vAlign w:val="center"/>
                </w:tcPr>
                <w:p w14:paraId="56EE0BB9">
                  <w:pPr>
                    <w:rPr>
                      <w:rFonts w:hint="eastAsia" w:ascii="仿宋" w:hAnsi="仿宋" w:eastAsia="仿宋" w:cs="仿宋"/>
                      <w:szCs w:val="21"/>
                    </w:rPr>
                  </w:pPr>
                  <w:r>
                    <w:rPr>
                      <w:rFonts w:hint="eastAsia" w:ascii="仿宋" w:hAnsi="仿宋" w:eastAsia="仿宋" w:cs="仿宋"/>
                      <w:szCs w:val="21"/>
                    </w:rPr>
                    <w:t>角色管理</w:t>
                  </w:r>
                </w:p>
              </w:tc>
              <w:tc>
                <w:tcPr>
                  <w:tcW w:w="3567" w:type="dxa"/>
                  <w:vAlign w:val="center"/>
                </w:tcPr>
                <w:p w14:paraId="760A9021">
                  <w:pPr>
                    <w:rPr>
                      <w:rFonts w:hint="eastAsia" w:ascii="仿宋" w:hAnsi="仿宋" w:eastAsia="仿宋" w:cs="仿宋"/>
                      <w:szCs w:val="21"/>
                    </w:rPr>
                  </w:pPr>
                  <w:r>
                    <w:rPr>
                      <w:rFonts w:hint="eastAsia" w:ascii="仿宋" w:hAnsi="仿宋" w:eastAsia="仿宋" w:cs="仿宋"/>
                      <w:szCs w:val="21"/>
                    </w:rPr>
                    <w:t>角色创建与分类</w:t>
                  </w:r>
                </w:p>
              </w:tc>
            </w:tr>
            <w:tr w14:paraId="5688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A004E32">
                  <w:pPr>
                    <w:jc w:val="center"/>
                    <w:rPr>
                      <w:rFonts w:hint="eastAsia" w:ascii="仿宋" w:hAnsi="仿宋" w:eastAsia="仿宋" w:cs="仿宋"/>
                      <w:szCs w:val="21"/>
                    </w:rPr>
                  </w:pPr>
                  <w:r>
                    <w:rPr>
                      <w:rFonts w:hint="eastAsia" w:ascii="仿宋" w:hAnsi="仿宋" w:eastAsia="仿宋" w:cs="仿宋"/>
                      <w:szCs w:val="21"/>
                    </w:rPr>
                    <w:t>8</w:t>
                  </w:r>
                </w:p>
              </w:tc>
              <w:tc>
                <w:tcPr>
                  <w:tcW w:w="1230" w:type="dxa"/>
                  <w:vMerge w:val="continue"/>
                  <w:vAlign w:val="center"/>
                </w:tcPr>
                <w:p w14:paraId="453A9735">
                  <w:pPr>
                    <w:jc w:val="center"/>
                    <w:rPr>
                      <w:rFonts w:hint="eastAsia" w:ascii="仿宋" w:hAnsi="仿宋" w:eastAsia="仿宋" w:cs="仿宋"/>
                      <w:szCs w:val="21"/>
                    </w:rPr>
                  </w:pPr>
                </w:p>
              </w:tc>
              <w:tc>
                <w:tcPr>
                  <w:tcW w:w="2200" w:type="dxa"/>
                  <w:vAlign w:val="center"/>
                </w:tcPr>
                <w:p w14:paraId="203C4545">
                  <w:pPr>
                    <w:jc w:val="center"/>
                    <w:rPr>
                      <w:rFonts w:hint="eastAsia" w:ascii="仿宋" w:hAnsi="仿宋" w:eastAsia="仿宋" w:cs="仿宋"/>
                      <w:szCs w:val="21"/>
                    </w:rPr>
                  </w:pPr>
                  <w:r>
                    <w:rPr>
                      <w:rFonts w:hint="eastAsia" w:ascii="仿宋" w:hAnsi="仿宋" w:eastAsia="仿宋" w:cs="仿宋"/>
                      <w:szCs w:val="21"/>
                    </w:rPr>
                    <w:t>-</w:t>
                  </w:r>
                </w:p>
              </w:tc>
              <w:tc>
                <w:tcPr>
                  <w:tcW w:w="1509" w:type="dxa"/>
                  <w:vMerge w:val="continue"/>
                  <w:vAlign w:val="center"/>
                </w:tcPr>
                <w:p w14:paraId="6740FBF8">
                  <w:pPr>
                    <w:rPr>
                      <w:rFonts w:hint="eastAsia" w:ascii="仿宋" w:hAnsi="仿宋" w:eastAsia="仿宋" w:cs="仿宋"/>
                      <w:szCs w:val="21"/>
                    </w:rPr>
                  </w:pPr>
                </w:p>
              </w:tc>
              <w:tc>
                <w:tcPr>
                  <w:tcW w:w="3567" w:type="dxa"/>
                  <w:vAlign w:val="center"/>
                </w:tcPr>
                <w:p w14:paraId="3D9E2B0A">
                  <w:pPr>
                    <w:rPr>
                      <w:rFonts w:hint="eastAsia" w:ascii="仿宋" w:hAnsi="仿宋" w:eastAsia="仿宋" w:cs="仿宋"/>
                      <w:szCs w:val="21"/>
                    </w:rPr>
                  </w:pPr>
                  <w:r>
                    <w:rPr>
                      <w:rFonts w:hint="eastAsia" w:ascii="仿宋" w:hAnsi="仿宋" w:eastAsia="仿宋" w:cs="仿宋"/>
                      <w:szCs w:val="21"/>
                    </w:rPr>
                    <w:t>权限模板预设</w:t>
                  </w:r>
                </w:p>
              </w:tc>
            </w:tr>
            <w:tr w14:paraId="2F88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09E7443">
                  <w:pPr>
                    <w:jc w:val="center"/>
                    <w:rPr>
                      <w:rFonts w:hint="eastAsia" w:ascii="仿宋" w:hAnsi="仿宋" w:eastAsia="仿宋" w:cs="仿宋"/>
                      <w:szCs w:val="21"/>
                    </w:rPr>
                  </w:pPr>
                  <w:r>
                    <w:rPr>
                      <w:rFonts w:hint="eastAsia" w:ascii="仿宋" w:hAnsi="仿宋" w:eastAsia="仿宋" w:cs="仿宋"/>
                      <w:szCs w:val="21"/>
                    </w:rPr>
                    <w:t>9</w:t>
                  </w:r>
                </w:p>
              </w:tc>
              <w:tc>
                <w:tcPr>
                  <w:tcW w:w="1230" w:type="dxa"/>
                  <w:vMerge w:val="continue"/>
                  <w:vAlign w:val="center"/>
                </w:tcPr>
                <w:p w14:paraId="464E39B9">
                  <w:pPr>
                    <w:jc w:val="center"/>
                    <w:rPr>
                      <w:rFonts w:hint="eastAsia" w:ascii="仿宋" w:hAnsi="仿宋" w:eastAsia="仿宋" w:cs="仿宋"/>
                      <w:szCs w:val="21"/>
                    </w:rPr>
                  </w:pPr>
                </w:p>
              </w:tc>
              <w:tc>
                <w:tcPr>
                  <w:tcW w:w="2200" w:type="dxa"/>
                  <w:vAlign w:val="center"/>
                </w:tcPr>
                <w:p w14:paraId="22840747">
                  <w:pPr>
                    <w:jc w:val="center"/>
                    <w:rPr>
                      <w:rFonts w:hint="eastAsia" w:ascii="仿宋" w:hAnsi="仿宋" w:eastAsia="仿宋" w:cs="仿宋"/>
                      <w:szCs w:val="21"/>
                    </w:rPr>
                  </w:pPr>
                  <w:r>
                    <w:rPr>
                      <w:rFonts w:hint="eastAsia" w:ascii="仿宋" w:hAnsi="仿宋" w:eastAsia="仿宋" w:cs="仿宋"/>
                      <w:szCs w:val="21"/>
                    </w:rPr>
                    <w:t>-</w:t>
                  </w:r>
                </w:p>
              </w:tc>
              <w:tc>
                <w:tcPr>
                  <w:tcW w:w="1509" w:type="dxa"/>
                  <w:vMerge w:val="continue"/>
                  <w:vAlign w:val="center"/>
                </w:tcPr>
                <w:p w14:paraId="2643842B">
                  <w:pPr>
                    <w:rPr>
                      <w:rFonts w:hint="eastAsia" w:ascii="仿宋" w:hAnsi="仿宋" w:eastAsia="仿宋" w:cs="仿宋"/>
                      <w:szCs w:val="21"/>
                    </w:rPr>
                  </w:pPr>
                </w:p>
              </w:tc>
              <w:tc>
                <w:tcPr>
                  <w:tcW w:w="3567" w:type="dxa"/>
                  <w:vAlign w:val="center"/>
                </w:tcPr>
                <w:p w14:paraId="74E475F2">
                  <w:pPr>
                    <w:rPr>
                      <w:rFonts w:hint="eastAsia" w:ascii="仿宋" w:hAnsi="仿宋" w:eastAsia="仿宋" w:cs="仿宋"/>
                      <w:szCs w:val="21"/>
                    </w:rPr>
                  </w:pPr>
                  <w:r>
                    <w:rPr>
                      <w:rFonts w:hint="eastAsia" w:ascii="仿宋" w:hAnsi="仿宋" w:eastAsia="仿宋" w:cs="仿宋"/>
                      <w:szCs w:val="21"/>
                    </w:rPr>
                    <w:t>权限动态调整</w:t>
                  </w:r>
                </w:p>
              </w:tc>
            </w:tr>
            <w:tr w14:paraId="4A46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8B8D47B">
                  <w:pPr>
                    <w:jc w:val="center"/>
                    <w:rPr>
                      <w:rFonts w:hint="eastAsia" w:ascii="仿宋" w:hAnsi="仿宋" w:eastAsia="仿宋" w:cs="仿宋"/>
                      <w:szCs w:val="21"/>
                    </w:rPr>
                  </w:pPr>
                  <w:r>
                    <w:rPr>
                      <w:rFonts w:hint="eastAsia" w:ascii="仿宋" w:hAnsi="仿宋" w:eastAsia="仿宋" w:cs="仿宋"/>
                      <w:szCs w:val="21"/>
                    </w:rPr>
                    <w:t>10</w:t>
                  </w:r>
                </w:p>
              </w:tc>
              <w:tc>
                <w:tcPr>
                  <w:tcW w:w="1230" w:type="dxa"/>
                  <w:vMerge w:val="restart"/>
                  <w:vAlign w:val="center"/>
                </w:tcPr>
                <w:p w14:paraId="4D755A3B">
                  <w:pPr>
                    <w:jc w:val="center"/>
                    <w:rPr>
                      <w:rFonts w:hint="eastAsia" w:ascii="仿宋" w:hAnsi="仿宋" w:eastAsia="仿宋" w:cs="仿宋"/>
                      <w:szCs w:val="21"/>
                    </w:rPr>
                  </w:pPr>
                  <w:r>
                    <w:rPr>
                      <w:rFonts w:hint="eastAsia" w:ascii="仿宋" w:hAnsi="仿宋" w:eastAsia="仿宋" w:cs="仿宋"/>
                      <w:szCs w:val="21"/>
                    </w:rPr>
                    <w:t>用户管理</w:t>
                  </w:r>
                </w:p>
              </w:tc>
              <w:tc>
                <w:tcPr>
                  <w:tcW w:w="2200" w:type="dxa"/>
                  <w:vAlign w:val="center"/>
                </w:tcPr>
                <w:p w14:paraId="194E181C">
                  <w:pPr>
                    <w:jc w:val="center"/>
                    <w:rPr>
                      <w:rFonts w:hint="eastAsia" w:ascii="仿宋" w:hAnsi="仿宋" w:eastAsia="仿宋" w:cs="仿宋"/>
                      <w:szCs w:val="21"/>
                    </w:rPr>
                  </w:pPr>
                  <w:r>
                    <w:rPr>
                      <w:rFonts w:hint="eastAsia" w:ascii="仿宋" w:hAnsi="仿宋" w:eastAsia="仿宋" w:cs="仿宋"/>
                      <w:szCs w:val="21"/>
                    </w:rPr>
                    <w:t>用户注册与维护</w:t>
                  </w:r>
                </w:p>
              </w:tc>
              <w:tc>
                <w:tcPr>
                  <w:tcW w:w="1509" w:type="dxa"/>
                  <w:vMerge w:val="restart"/>
                  <w:vAlign w:val="center"/>
                </w:tcPr>
                <w:p w14:paraId="12237AB7">
                  <w:pPr>
                    <w:rPr>
                      <w:rFonts w:hint="eastAsia" w:ascii="仿宋" w:hAnsi="仿宋" w:eastAsia="仿宋" w:cs="仿宋"/>
                      <w:szCs w:val="21"/>
                    </w:rPr>
                  </w:pPr>
                  <w:r>
                    <w:rPr>
                      <w:rFonts w:hint="eastAsia" w:ascii="仿宋" w:hAnsi="仿宋" w:eastAsia="仿宋" w:cs="仿宋"/>
                      <w:szCs w:val="21"/>
                    </w:rPr>
                    <w:t>用户管理</w:t>
                  </w:r>
                </w:p>
              </w:tc>
              <w:tc>
                <w:tcPr>
                  <w:tcW w:w="3567" w:type="dxa"/>
                  <w:vAlign w:val="center"/>
                </w:tcPr>
                <w:p w14:paraId="0812AE94">
                  <w:pPr>
                    <w:rPr>
                      <w:rFonts w:hint="eastAsia" w:ascii="仿宋" w:hAnsi="仿宋" w:eastAsia="仿宋" w:cs="仿宋"/>
                      <w:szCs w:val="21"/>
                    </w:rPr>
                  </w:pPr>
                  <w:r>
                    <w:rPr>
                      <w:rFonts w:hint="eastAsia" w:ascii="仿宋" w:hAnsi="仿宋" w:eastAsia="仿宋" w:cs="仿宋"/>
                      <w:szCs w:val="21"/>
                    </w:rPr>
                    <w:t>用户注册与维护</w:t>
                  </w:r>
                </w:p>
              </w:tc>
            </w:tr>
            <w:tr w14:paraId="3F5D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BC59890">
                  <w:pPr>
                    <w:jc w:val="center"/>
                    <w:rPr>
                      <w:rFonts w:hint="eastAsia" w:ascii="仿宋" w:hAnsi="仿宋" w:eastAsia="仿宋" w:cs="仿宋"/>
                      <w:szCs w:val="21"/>
                    </w:rPr>
                  </w:pPr>
                  <w:r>
                    <w:rPr>
                      <w:rFonts w:hint="eastAsia" w:ascii="仿宋" w:hAnsi="仿宋" w:eastAsia="仿宋" w:cs="仿宋"/>
                      <w:szCs w:val="21"/>
                    </w:rPr>
                    <w:t>11</w:t>
                  </w:r>
                </w:p>
              </w:tc>
              <w:tc>
                <w:tcPr>
                  <w:tcW w:w="1230" w:type="dxa"/>
                  <w:vMerge w:val="continue"/>
                  <w:vAlign w:val="center"/>
                </w:tcPr>
                <w:p w14:paraId="1CCBF505">
                  <w:pPr>
                    <w:jc w:val="center"/>
                    <w:rPr>
                      <w:rFonts w:hint="eastAsia" w:ascii="仿宋" w:hAnsi="仿宋" w:eastAsia="仿宋" w:cs="仿宋"/>
                      <w:szCs w:val="21"/>
                    </w:rPr>
                  </w:pPr>
                </w:p>
              </w:tc>
              <w:tc>
                <w:tcPr>
                  <w:tcW w:w="2200" w:type="dxa"/>
                  <w:vAlign w:val="center"/>
                </w:tcPr>
                <w:p w14:paraId="4D2CE612">
                  <w:pPr>
                    <w:jc w:val="center"/>
                    <w:rPr>
                      <w:rFonts w:hint="eastAsia" w:ascii="仿宋" w:hAnsi="仿宋" w:eastAsia="仿宋" w:cs="仿宋"/>
                      <w:szCs w:val="21"/>
                    </w:rPr>
                  </w:pPr>
                  <w:r>
                    <w:rPr>
                      <w:rFonts w:hint="eastAsia" w:ascii="仿宋" w:hAnsi="仿宋" w:eastAsia="仿宋" w:cs="仿宋"/>
                      <w:szCs w:val="21"/>
                    </w:rPr>
                    <w:t>账号状态管控</w:t>
                  </w:r>
                </w:p>
              </w:tc>
              <w:tc>
                <w:tcPr>
                  <w:tcW w:w="1509" w:type="dxa"/>
                  <w:vMerge w:val="continue"/>
                  <w:vAlign w:val="center"/>
                </w:tcPr>
                <w:p w14:paraId="6F9AD5C9">
                  <w:pPr>
                    <w:rPr>
                      <w:rFonts w:hint="eastAsia" w:ascii="仿宋" w:hAnsi="仿宋" w:eastAsia="仿宋" w:cs="仿宋"/>
                      <w:szCs w:val="21"/>
                    </w:rPr>
                  </w:pPr>
                </w:p>
              </w:tc>
              <w:tc>
                <w:tcPr>
                  <w:tcW w:w="3567" w:type="dxa"/>
                  <w:vAlign w:val="center"/>
                </w:tcPr>
                <w:p w14:paraId="2A88FE98">
                  <w:pPr>
                    <w:rPr>
                      <w:rFonts w:hint="eastAsia" w:ascii="仿宋" w:hAnsi="仿宋" w:eastAsia="仿宋" w:cs="仿宋"/>
                      <w:szCs w:val="21"/>
                    </w:rPr>
                  </w:pPr>
                  <w:r>
                    <w:rPr>
                      <w:rFonts w:hint="eastAsia" w:ascii="仿宋" w:hAnsi="仿宋" w:eastAsia="仿宋" w:cs="仿宋"/>
                      <w:szCs w:val="21"/>
                    </w:rPr>
                    <w:t>账号状态管控</w:t>
                  </w:r>
                </w:p>
              </w:tc>
            </w:tr>
            <w:tr w14:paraId="61A5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A3793DA">
                  <w:pPr>
                    <w:jc w:val="center"/>
                    <w:rPr>
                      <w:rFonts w:hint="eastAsia" w:ascii="仿宋" w:hAnsi="仿宋" w:eastAsia="仿宋" w:cs="仿宋"/>
                      <w:szCs w:val="21"/>
                    </w:rPr>
                  </w:pPr>
                  <w:r>
                    <w:rPr>
                      <w:rFonts w:hint="eastAsia" w:ascii="仿宋" w:hAnsi="仿宋" w:eastAsia="仿宋" w:cs="仿宋"/>
                      <w:szCs w:val="21"/>
                    </w:rPr>
                    <w:t>12</w:t>
                  </w:r>
                </w:p>
              </w:tc>
              <w:tc>
                <w:tcPr>
                  <w:tcW w:w="1230" w:type="dxa"/>
                  <w:vMerge w:val="continue"/>
                  <w:vAlign w:val="center"/>
                </w:tcPr>
                <w:p w14:paraId="770E10CD">
                  <w:pPr>
                    <w:jc w:val="center"/>
                    <w:rPr>
                      <w:rFonts w:hint="eastAsia" w:ascii="仿宋" w:hAnsi="仿宋" w:eastAsia="仿宋" w:cs="仿宋"/>
                      <w:szCs w:val="21"/>
                    </w:rPr>
                  </w:pPr>
                </w:p>
              </w:tc>
              <w:tc>
                <w:tcPr>
                  <w:tcW w:w="2200" w:type="dxa"/>
                  <w:vAlign w:val="center"/>
                </w:tcPr>
                <w:p w14:paraId="1198A558">
                  <w:pPr>
                    <w:jc w:val="center"/>
                    <w:rPr>
                      <w:rFonts w:hint="eastAsia" w:ascii="仿宋" w:hAnsi="仿宋" w:eastAsia="仿宋" w:cs="仿宋"/>
                      <w:szCs w:val="21"/>
                    </w:rPr>
                  </w:pPr>
                  <w:r>
                    <w:rPr>
                      <w:rFonts w:hint="eastAsia" w:ascii="仿宋" w:hAnsi="仿宋" w:eastAsia="仿宋" w:cs="仿宋"/>
                      <w:szCs w:val="21"/>
                    </w:rPr>
                    <w:t>权限关联分配</w:t>
                  </w:r>
                </w:p>
              </w:tc>
              <w:tc>
                <w:tcPr>
                  <w:tcW w:w="1509" w:type="dxa"/>
                  <w:vMerge w:val="continue"/>
                  <w:vAlign w:val="center"/>
                </w:tcPr>
                <w:p w14:paraId="59F12EDD">
                  <w:pPr>
                    <w:rPr>
                      <w:rFonts w:hint="eastAsia" w:ascii="仿宋" w:hAnsi="仿宋" w:eastAsia="仿宋" w:cs="仿宋"/>
                      <w:szCs w:val="21"/>
                    </w:rPr>
                  </w:pPr>
                </w:p>
              </w:tc>
              <w:tc>
                <w:tcPr>
                  <w:tcW w:w="3567" w:type="dxa"/>
                  <w:vAlign w:val="center"/>
                </w:tcPr>
                <w:p w14:paraId="5AA8139F">
                  <w:pPr>
                    <w:rPr>
                      <w:rFonts w:hint="eastAsia" w:ascii="仿宋" w:hAnsi="仿宋" w:eastAsia="仿宋" w:cs="仿宋"/>
                      <w:szCs w:val="21"/>
                    </w:rPr>
                  </w:pPr>
                  <w:r>
                    <w:rPr>
                      <w:rFonts w:hint="eastAsia" w:ascii="仿宋" w:hAnsi="仿宋" w:eastAsia="仿宋" w:cs="仿宋"/>
                      <w:szCs w:val="21"/>
                    </w:rPr>
                    <w:t>权限关联分配</w:t>
                  </w:r>
                </w:p>
              </w:tc>
            </w:tr>
            <w:tr w14:paraId="614E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3" w:type="dxa"/>
                  <w:vAlign w:val="center"/>
                </w:tcPr>
                <w:p w14:paraId="0A18494D">
                  <w:pPr>
                    <w:jc w:val="center"/>
                    <w:rPr>
                      <w:rFonts w:hint="eastAsia" w:ascii="仿宋" w:hAnsi="仿宋" w:eastAsia="仿宋" w:cs="仿宋"/>
                      <w:szCs w:val="21"/>
                    </w:rPr>
                  </w:pPr>
                  <w:r>
                    <w:rPr>
                      <w:rFonts w:hint="eastAsia" w:ascii="仿宋" w:hAnsi="仿宋" w:eastAsia="仿宋" w:cs="仿宋"/>
                      <w:szCs w:val="21"/>
                    </w:rPr>
                    <w:t>13</w:t>
                  </w:r>
                </w:p>
              </w:tc>
              <w:tc>
                <w:tcPr>
                  <w:tcW w:w="1230" w:type="dxa"/>
                  <w:vMerge w:val="restart"/>
                  <w:vAlign w:val="center"/>
                </w:tcPr>
                <w:p w14:paraId="669287D7">
                  <w:pPr>
                    <w:jc w:val="center"/>
                    <w:rPr>
                      <w:rFonts w:hint="eastAsia" w:ascii="仿宋" w:hAnsi="仿宋" w:eastAsia="仿宋" w:cs="仿宋"/>
                      <w:szCs w:val="21"/>
                    </w:rPr>
                  </w:pPr>
                  <w:r>
                    <w:rPr>
                      <w:rFonts w:hint="eastAsia" w:ascii="仿宋" w:hAnsi="仿宋" w:eastAsia="仿宋" w:cs="仿宋"/>
                      <w:szCs w:val="21"/>
                    </w:rPr>
                    <w:t>权限管理</w:t>
                  </w:r>
                </w:p>
              </w:tc>
              <w:tc>
                <w:tcPr>
                  <w:tcW w:w="2200" w:type="dxa"/>
                  <w:vAlign w:val="center"/>
                </w:tcPr>
                <w:p w14:paraId="5BAB47AA">
                  <w:pPr>
                    <w:jc w:val="center"/>
                    <w:rPr>
                      <w:rFonts w:hint="eastAsia" w:ascii="仿宋" w:hAnsi="仿宋" w:eastAsia="仿宋" w:cs="仿宋"/>
                      <w:szCs w:val="21"/>
                    </w:rPr>
                  </w:pPr>
                  <w:r>
                    <w:rPr>
                      <w:rFonts w:hint="eastAsia" w:ascii="仿宋" w:hAnsi="仿宋" w:eastAsia="仿宋" w:cs="仿宋"/>
                      <w:szCs w:val="21"/>
                    </w:rPr>
                    <w:t>权限控制</w:t>
                  </w:r>
                </w:p>
              </w:tc>
              <w:tc>
                <w:tcPr>
                  <w:tcW w:w="1509" w:type="dxa"/>
                  <w:vMerge w:val="restart"/>
                  <w:vAlign w:val="center"/>
                </w:tcPr>
                <w:p w14:paraId="4419FEC7">
                  <w:pPr>
                    <w:rPr>
                      <w:rFonts w:hint="eastAsia" w:ascii="仿宋" w:hAnsi="仿宋" w:eastAsia="仿宋" w:cs="仿宋"/>
                      <w:szCs w:val="21"/>
                    </w:rPr>
                  </w:pPr>
                  <w:r>
                    <w:rPr>
                      <w:rFonts w:hint="eastAsia" w:ascii="仿宋" w:hAnsi="仿宋" w:eastAsia="仿宋" w:cs="仿宋"/>
                      <w:szCs w:val="21"/>
                    </w:rPr>
                    <w:t>权限管理</w:t>
                  </w:r>
                </w:p>
              </w:tc>
              <w:tc>
                <w:tcPr>
                  <w:tcW w:w="3567" w:type="dxa"/>
                  <w:vAlign w:val="center"/>
                </w:tcPr>
                <w:p w14:paraId="5444FAA7">
                  <w:pPr>
                    <w:rPr>
                      <w:rFonts w:hint="eastAsia" w:ascii="仿宋" w:hAnsi="仿宋" w:eastAsia="仿宋" w:cs="仿宋"/>
                      <w:szCs w:val="21"/>
                    </w:rPr>
                  </w:pPr>
                  <w:r>
                    <w:rPr>
                      <w:rFonts w:hint="eastAsia" w:ascii="仿宋" w:hAnsi="仿宋" w:eastAsia="仿宋" w:cs="仿宋"/>
                      <w:szCs w:val="21"/>
                    </w:rPr>
                    <w:t>双重权限控制</w:t>
                  </w:r>
                </w:p>
              </w:tc>
            </w:tr>
            <w:tr w14:paraId="1901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D9EC17E">
                  <w:pPr>
                    <w:jc w:val="center"/>
                    <w:rPr>
                      <w:rFonts w:hint="eastAsia" w:ascii="仿宋" w:hAnsi="仿宋" w:eastAsia="仿宋" w:cs="仿宋"/>
                      <w:szCs w:val="21"/>
                    </w:rPr>
                  </w:pPr>
                  <w:r>
                    <w:rPr>
                      <w:rFonts w:hint="eastAsia" w:ascii="仿宋" w:hAnsi="仿宋" w:eastAsia="仿宋" w:cs="仿宋"/>
                      <w:szCs w:val="21"/>
                    </w:rPr>
                    <w:t>14</w:t>
                  </w:r>
                </w:p>
              </w:tc>
              <w:tc>
                <w:tcPr>
                  <w:tcW w:w="1230" w:type="dxa"/>
                  <w:vMerge w:val="continue"/>
                  <w:vAlign w:val="center"/>
                </w:tcPr>
                <w:p w14:paraId="2CBD4847">
                  <w:pPr>
                    <w:jc w:val="center"/>
                    <w:rPr>
                      <w:rFonts w:hint="eastAsia" w:ascii="仿宋" w:hAnsi="仿宋" w:eastAsia="仿宋" w:cs="仿宋"/>
                      <w:szCs w:val="21"/>
                    </w:rPr>
                  </w:pPr>
                </w:p>
              </w:tc>
              <w:tc>
                <w:tcPr>
                  <w:tcW w:w="2200" w:type="dxa"/>
                  <w:vAlign w:val="center"/>
                </w:tcPr>
                <w:p w14:paraId="6E7B898C">
                  <w:pPr>
                    <w:jc w:val="center"/>
                    <w:rPr>
                      <w:rFonts w:hint="eastAsia" w:ascii="仿宋" w:hAnsi="仿宋" w:eastAsia="仿宋" w:cs="仿宋"/>
                      <w:szCs w:val="21"/>
                    </w:rPr>
                  </w:pPr>
                  <w:r>
                    <w:rPr>
                      <w:rFonts w:hint="eastAsia" w:ascii="仿宋" w:hAnsi="仿宋" w:eastAsia="仿宋" w:cs="仿宋"/>
                      <w:szCs w:val="21"/>
                    </w:rPr>
                    <w:t>权限划分</w:t>
                  </w:r>
                </w:p>
              </w:tc>
              <w:tc>
                <w:tcPr>
                  <w:tcW w:w="1509" w:type="dxa"/>
                  <w:vMerge w:val="continue"/>
                  <w:vAlign w:val="center"/>
                </w:tcPr>
                <w:p w14:paraId="33FFC934">
                  <w:pPr>
                    <w:rPr>
                      <w:rFonts w:hint="eastAsia" w:ascii="仿宋" w:hAnsi="仿宋" w:eastAsia="仿宋" w:cs="仿宋"/>
                      <w:szCs w:val="21"/>
                    </w:rPr>
                  </w:pPr>
                </w:p>
              </w:tc>
              <w:tc>
                <w:tcPr>
                  <w:tcW w:w="3567" w:type="dxa"/>
                  <w:vAlign w:val="center"/>
                </w:tcPr>
                <w:p w14:paraId="546E68D3">
                  <w:pPr>
                    <w:rPr>
                      <w:rFonts w:hint="eastAsia" w:ascii="仿宋" w:hAnsi="仿宋" w:eastAsia="仿宋" w:cs="仿宋"/>
                      <w:szCs w:val="21"/>
                    </w:rPr>
                  </w:pPr>
                  <w:r>
                    <w:rPr>
                      <w:rFonts w:hint="eastAsia" w:ascii="仿宋" w:hAnsi="仿宋" w:eastAsia="仿宋" w:cs="仿宋"/>
                      <w:szCs w:val="21"/>
                    </w:rPr>
                    <w:t>权限精细划分</w:t>
                  </w:r>
                </w:p>
              </w:tc>
            </w:tr>
            <w:tr w14:paraId="740B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14DA83D">
                  <w:pPr>
                    <w:jc w:val="center"/>
                    <w:rPr>
                      <w:rFonts w:hint="eastAsia" w:ascii="仿宋" w:hAnsi="仿宋" w:eastAsia="仿宋" w:cs="仿宋"/>
                      <w:szCs w:val="21"/>
                    </w:rPr>
                  </w:pPr>
                  <w:r>
                    <w:rPr>
                      <w:rFonts w:hint="eastAsia" w:ascii="仿宋" w:hAnsi="仿宋" w:eastAsia="仿宋" w:cs="仿宋"/>
                      <w:szCs w:val="21"/>
                    </w:rPr>
                    <w:t>15</w:t>
                  </w:r>
                </w:p>
              </w:tc>
              <w:tc>
                <w:tcPr>
                  <w:tcW w:w="1230" w:type="dxa"/>
                  <w:vMerge w:val="continue"/>
                  <w:vAlign w:val="center"/>
                </w:tcPr>
                <w:p w14:paraId="2260ADEA">
                  <w:pPr>
                    <w:jc w:val="center"/>
                    <w:rPr>
                      <w:rFonts w:hint="eastAsia" w:ascii="仿宋" w:hAnsi="仿宋" w:eastAsia="仿宋" w:cs="仿宋"/>
                      <w:szCs w:val="21"/>
                    </w:rPr>
                  </w:pPr>
                </w:p>
              </w:tc>
              <w:tc>
                <w:tcPr>
                  <w:tcW w:w="2200" w:type="dxa"/>
                  <w:vAlign w:val="center"/>
                </w:tcPr>
                <w:p w14:paraId="11A094DF">
                  <w:pPr>
                    <w:jc w:val="center"/>
                    <w:rPr>
                      <w:rFonts w:hint="eastAsia" w:ascii="仿宋" w:hAnsi="仿宋" w:eastAsia="仿宋" w:cs="仿宋"/>
                      <w:szCs w:val="21"/>
                    </w:rPr>
                  </w:pPr>
                  <w:r>
                    <w:rPr>
                      <w:rFonts w:hint="eastAsia" w:ascii="仿宋" w:hAnsi="仿宋" w:eastAsia="仿宋" w:cs="仿宋"/>
                      <w:szCs w:val="21"/>
                    </w:rPr>
                    <w:t>权限审计监控</w:t>
                  </w:r>
                </w:p>
              </w:tc>
              <w:tc>
                <w:tcPr>
                  <w:tcW w:w="1509" w:type="dxa"/>
                  <w:vMerge w:val="continue"/>
                  <w:vAlign w:val="center"/>
                </w:tcPr>
                <w:p w14:paraId="5619B5EF">
                  <w:pPr>
                    <w:rPr>
                      <w:rFonts w:hint="eastAsia" w:ascii="仿宋" w:hAnsi="仿宋" w:eastAsia="仿宋" w:cs="仿宋"/>
                      <w:szCs w:val="21"/>
                    </w:rPr>
                  </w:pPr>
                </w:p>
              </w:tc>
              <w:tc>
                <w:tcPr>
                  <w:tcW w:w="3567" w:type="dxa"/>
                  <w:vAlign w:val="center"/>
                </w:tcPr>
                <w:p w14:paraId="6CB2EF3B">
                  <w:pPr>
                    <w:rPr>
                      <w:rFonts w:hint="eastAsia" w:ascii="仿宋" w:hAnsi="仿宋" w:eastAsia="仿宋" w:cs="仿宋"/>
                      <w:szCs w:val="21"/>
                    </w:rPr>
                  </w:pPr>
                  <w:r>
                    <w:rPr>
                      <w:rFonts w:hint="eastAsia" w:ascii="仿宋" w:hAnsi="仿宋" w:eastAsia="仿宋" w:cs="仿宋"/>
                      <w:szCs w:val="21"/>
                    </w:rPr>
                    <w:t>权限审计监控</w:t>
                  </w:r>
                </w:p>
              </w:tc>
            </w:tr>
            <w:tr w14:paraId="3B0F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5ECCE11">
                  <w:pPr>
                    <w:jc w:val="center"/>
                    <w:rPr>
                      <w:rFonts w:hint="eastAsia" w:ascii="仿宋" w:hAnsi="仿宋" w:eastAsia="仿宋" w:cs="仿宋"/>
                      <w:szCs w:val="21"/>
                    </w:rPr>
                  </w:pPr>
                  <w:r>
                    <w:rPr>
                      <w:rFonts w:hint="eastAsia" w:ascii="仿宋" w:hAnsi="仿宋" w:eastAsia="仿宋" w:cs="仿宋"/>
                      <w:szCs w:val="21"/>
                    </w:rPr>
                    <w:t>16</w:t>
                  </w:r>
                </w:p>
              </w:tc>
              <w:tc>
                <w:tcPr>
                  <w:tcW w:w="1230" w:type="dxa"/>
                  <w:vMerge w:val="restart"/>
                  <w:vAlign w:val="center"/>
                </w:tcPr>
                <w:p w14:paraId="20FC6852">
                  <w:pPr>
                    <w:jc w:val="center"/>
                    <w:rPr>
                      <w:rFonts w:hint="eastAsia" w:ascii="仿宋" w:hAnsi="仿宋" w:eastAsia="仿宋" w:cs="仿宋"/>
                      <w:szCs w:val="21"/>
                    </w:rPr>
                  </w:pPr>
                  <w:r>
                    <w:rPr>
                      <w:rFonts w:hint="eastAsia" w:ascii="仿宋" w:hAnsi="仿宋" w:eastAsia="仿宋" w:cs="仿宋"/>
                      <w:szCs w:val="21"/>
                    </w:rPr>
                    <w:t>日志管理</w:t>
                  </w:r>
                </w:p>
              </w:tc>
              <w:tc>
                <w:tcPr>
                  <w:tcW w:w="2200" w:type="dxa"/>
                  <w:vAlign w:val="center"/>
                </w:tcPr>
                <w:p w14:paraId="5EA5DCAE">
                  <w:pPr>
                    <w:jc w:val="center"/>
                    <w:rPr>
                      <w:rFonts w:hint="eastAsia" w:ascii="仿宋" w:hAnsi="仿宋" w:eastAsia="仿宋" w:cs="仿宋"/>
                      <w:szCs w:val="21"/>
                    </w:rPr>
                  </w:pPr>
                  <w:r>
                    <w:rPr>
                      <w:rFonts w:hint="eastAsia" w:ascii="仿宋" w:hAnsi="仿宋" w:eastAsia="仿宋" w:cs="仿宋"/>
                      <w:szCs w:val="21"/>
                    </w:rPr>
                    <w:t>操作事件记录</w:t>
                  </w:r>
                </w:p>
              </w:tc>
              <w:tc>
                <w:tcPr>
                  <w:tcW w:w="1509" w:type="dxa"/>
                  <w:vMerge w:val="restart"/>
                  <w:vAlign w:val="center"/>
                </w:tcPr>
                <w:p w14:paraId="29A5ACF2">
                  <w:pPr>
                    <w:rPr>
                      <w:rFonts w:hint="eastAsia" w:ascii="仿宋" w:hAnsi="仿宋" w:eastAsia="仿宋" w:cs="仿宋"/>
                      <w:szCs w:val="21"/>
                    </w:rPr>
                  </w:pPr>
                  <w:r>
                    <w:rPr>
                      <w:rFonts w:hint="eastAsia" w:ascii="仿宋" w:hAnsi="仿宋" w:eastAsia="仿宋" w:cs="仿宋"/>
                      <w:szCs w:val="21"/>
                    </w:rPr>
                    <w:t>日志管理</w:t>
                  </w:r>
                </w:p>
              </w:tc>
              <w:tc>
                <w:tcPr>
                  <w:tcW w:w="3567" w:type="dxa"/>
                  <w:vAlign w:val="center"/>
                </w:tcPr>
                <w:p w14:paraId="7FCD1185">
                  <w:pPr>
                    <w:rPr>
                      <w:rFonts w:hint="eastAsia" w:ascii="仿宋" w:hAnsi="仿宋" w:eastAsia="仿宋" w:cs="仿宋"/>
                      <w:szCs w:val="21"/>
                    </w:rPr>
                  </w:pPr>
                  <w:r>
                    <w:rPr>
                      <w:rFonts w:hint="eastAsia" w:ascii="仿宋" w:hAnsi="仿宋" w:eastAsia="仿宋" w:cs="仿宋"/>
                      <w:szCs w:val="21"/>
                    </w:rPr>
                    <w:t>操作事件记录</w:t>
                  </w:r>
                </w:p>
              </w:tc>
            </w:tr>
            <w:tr w14:paraId="32F6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BDCB00C">
                  <w:pPr>
                    <w:jc w:val="center"/>
                    <w:rPr>
                      <w:rFonts w:hint="eastAsia" w:ascii="仿宋" w:hAnsi="仿宋" w:eastAsia="仿宋" w:cs="仿宋"/>
                      <w:szCs w:val="21"/>
                    </w:rPr>
                  </w:pPr>
                  <w:r>
                    <w:rPr>
                      <w:rFonts w:hint="eastAsia" w:ascii="仿宋" w:hAnsi="仿宋" w:eastAsia="仿宋" w:cs="仿宋"/>
                      <w:szCs w:val="21"/>
                    </w:rPr>
                    <w:t>17</w:t>
                  </w:r>
                </w:p>
              </w:tc>
              <w:tc>
                <w:tcPr>
                  <w:tcW w:w="1230" w:type="dxa"/>
                  <w:vMerge w:val="continue"/>
                  <w:vAlign w:val="center"/>
                </w:tcPr>
                <w:p w14:paraId="3F1161BF">
                  <w:pPr>
                    <w:jc w:val="center"/>
                    <w:rPr>
                      <w:rFonts w:hint="eastAsia" w:ascii="仿宋" w:hAnsi="仿宋" w:eastAsia="仿宋" w:cs="仿宋"/>
                      <w:szCs w:val="21"/>
                    </w:rPr>
                  </w:pPr>
                </w:p>
              </w:tc>
              <w:tc>
                <w:tcPr>
                  <w:tcW w:w="2200" w:type="dxa"/>
                  <w:vAlign w:val="center"/>
                </w:tcPr>
                <w:p w14:paraId="6276988C">
                  <w:pPr>
                    <w:jc w:val="center"/>
                    <w:rPr>
                      <w:rFonts w:hint="eastAsia" w:ascii="仿宋" w:hAnsi="仿宋" w:eastAsia="仿宋" w:cs="仿宋"/>
                      <w:szCs w:val="21"/>
                    </w:rPr>
                  </w:pPr>
                  <w:r>
                    <w:rPr>
                      <w:rFonts w:hint="eastAsia" w:ascii="仿宋" w:hAnsi="仿宋" w:eastAsia="仿宋" w:cs="仿宋"/>
                      <w:szCs w:val="21"/>
                    </w:rPr>
                    <w:t>系统状态监控</w:t>
                  </w:r>
                </w:p>
              </w:tc>
              <w:tc>
                <w:tcPr>
                  <w:tcW w:w="1509" w:type="dxa"/>
                  <w:vMerge w:val="continue"/>
                  <w:vAlign w:val="center"/>
                </w:tcPr>
                <w:p w14:paraId="41F7F0B0">
                  <w:pPr>
                    <w:rPr>
                      <w:rFonts w:hint="eastAsia" w:ascii="仿宋" w:hAnsi="仿宋" w:eastAsia="仿宋" w:cs="仿宋"/>
                      <w:szCs w:val="21"/>
                    </w:rPr>
                  </w:pPr>
                </w:p>
              </w:tc>
              <w:tc>
                <w:tcPr>
                  <w:tcW w:w="3567" w:type="dxa"/>
                  <w:vAlign w:val="center"/>
                </w:tcPr>
                <w:p w14:paraId="263B2E41">
                  <w:pPr>
                    <w:rPr>
                      <w:rFonts w:hint="eastAsia" w:ascii="仿宋" w:hAnsi="仿宋" w:eastAsia="仿宋" w:cs="仿宋"/>
                      <w:szCs w:val="21"/>
                    </w:rPr>
                  </w:pPr>
                  <w:r>
                    <w:rPr>
                      <w:rFonts w:hint="eastAsia" w:ascii="仿宋" w:hAnsi="仿宋" w:eastAsia="仿宋" w:cs="仿宋"/>
                      <w:szCs w:val="21"/>
                    </w:rPr>
                    <w:t>系统状态监控</w:t>
                  </w:r>
                </w:p>
              </w:tc>
            </w:tr>
            <w:tr w14:paraId="71FF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BECFE53">
                  <w:pPr>
                    <w:jc w:val="center"/>
                    <w:rPr>
                      <w:rFonts w:hint="eastAsia" w:ascii="仿宋" w:hAnsi="仿宋" w:eastAsia="仿宋" w:cs="仿宋"/>
                      <w:szCs w:val="21"/>
                    </w:rPr>
                  </w:pPr>
                  <w:r>
                    <w:rPr>
                      <w:rFonts w:hint="eastAsia" w:ascii="仿宋" w:hAnsi="仿宋" w:eastAsia="仿宋" w:cs="仿宋"/>
                      <w:szCs w:val="21"/>
                    </w:rPr>
                    <w:t>18</w:t>
                  </w:r>
                </w:p>
              </w:tc>
              <w:tc>
                <w:tcPr>
                  <w:tcW w:w="1230" w:type="dxa"/>
                  <w:vMerge w:val="continue"/>
                  <w:vAlign w:val="center"/>
                </w:tcPr>
                <w:p w14:paraId="7B2CAE7D">
                  <w:pPr>
                    <w:jc w:val="center"/>
                    <w:rPr>
                      <w:rFonts w:hint="eastAsia" w:ascii="仿宋" w:hAnsi="仿宋" w:eastAsia="仿宋" w:cs="仿宋"/>
                      <w:szCs w:val="21"/>
                    </w:rPr>
                  </w:pPr>
                </w:p>
              </w:tc>
              <w:tc>
                <w:tcPr>
                  <w:tcW w:w="2200" w:type="dxa"/>
                  <w:vAlign w:val="center"/>
                </w:tcPr>
                <w:p w14:paraId="7B5826DB">
                  <w:pPr>
                    <w:jc w:val="center"/>
                    <w:rPr>
                      <w:rFonts w:hint="eastAsia" w:ascii="仿宋" w:hAnsi="仿宋" w:eastAsia="仿宋" w:cs="仿宋"/>
                      <w:szCs w:val="21"/>
                    </w:rPr>
                  </w:pPr>
                  <w:r>
                    <w:rPr>
                      <w:rFonts w:hint="eastAsia" w:ascii="仿宋" w:hAnsi="仿宋" w:eastAsia="仿宋" w:cs="仿宋"/>
                      <w:szCs w:val="21"/>
                    </w:rPr>
                    <w:t>日志管理</w:t>
                  </w:r>
                </w:p>
              </w:tc>
              <w:tc>
                <w:tcPr>
                  <w:tcW w:w="1509" w:type="dxa"/>
                  <w:vMerge w:val="continue"/>
                  <w:vAlign w:val="center"/>
                </w:tcPr>
                <w:p w14:paraId="53F82D13">
                  <w:pPr>
                    <w:rPr>
                      <w:rFonts w:hint="eastAsia" w:ascii="仿宋" w:hAnsi="仿宋" w:eastAsia="仿宋" w:cs="仿宋"/>
                      <w:szCs w:val="21"/>
                    </w:rPr>
                  </w:pPr>
                </w:p>
              </w:tc>
              <w:tc>
                <w:tcPr>
                  <w:tcW w:w="3567" w:type="dxa"/>
                  <w:vAlign w:val="center"/>
                </w:tcPr>
                <w:p w14:paraId="2FCEAA7F">
                  <w:pPr>
                    <w:rPr>
                      <w:rFonts w:hint="eastAsia" w:ascii="仿宋" w:hAnsi="仿宋" w:eastAsia="仿宋" w:cs="仿宋"/>
                      <w:szCs w:val="21"/>
                    </w:rPr>
                  </w:pPr>
                  <w:r>
                    <w:rPr>
                      <w:rFonts w:hint="eastAsia" w:ascii="仿宋" w:hAnsi="仿宋" w:eastAsia="仿宋" w:cs="仿宋"/>
                      <w:szCs w:val="21"/>
                    </w:rPr>
                    <w:t>日志管理</w:t>
                  </w:r>
                </w:p>
              </w:tc>
            </w:tr>
            <w:tr w14:paraId="569D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63598B3">
                  <w:pPr>
                    <w:jc w:val="center"/>
                    <w:rPr>
                      <w:rFonts w:hint="eastAsia" w:ascii="仿宋" w:hAnsi="仿宋" w:eastAsia="仿宋" w:cs="仿宋"/>
                      <w:szCs w:val="21"/>
                    </w:rPr>
                  </w:pPr>
                  <w:r>
                    <w:rPr>
                      <w:rFonts w:hint="eastAsia" w:ascii="仿宋" w:hAnsi="仿宋" w:eastAsia="仿宋" w:cs="仿宋"/>
                      <w:szCs w:val="21"/>
                    </w:rPr>
                    <w:t>19</w:t>
                  </w:r>
                </w:p>
              </w:tc>
              <w:tc>
                <w:tcPr>
                  <w:tcW w:w="1230" w:type="dxa"/>
                  <w:vMerge w:val="restart"/>
                  <w:vAlign w:val="center"/>
                </w:tcPr>
                <w:p w14:paraId="574E5359">
                  <w:pPr>
                    <w:jc w:val="center"/>
                    <w:rPr>
                      <w:rFonts w:hint="eastAsia" w:ascii="仿宋" w:hAnsi="仿宋" w:eastAsia="仿宋" w:cs="仿宋"/>
                      <w:szCs w:val="21"/>
                    </w:rPr>
                  </w:pPr>
                  <w:r>
                    <w:rPr>
                      <w:rFonts w:hint="eastAsia" w:ascii="仿宋" w:hAnsi="仿宋" w:eastAsia="仿宋" w:cs="仿宋"/>
                      <w:szCs w:val="21"/>
                    </w:rPr>
                    <w:t>资源监控管理</w:t>
                  </w:r>
                </w:p>
              </w:tc>
              <w:tc>
                <w:tcPr>
                  <w:tcW w:w="2200" w:type="dxa"/>
                  <w:vAlign w:val="center"/>
                </w:tcPr>
                <w:p w14:paraId="7DC0D964">
                  <w:pPr>
                    <w:jc w:val="center"/>
                    <w:rPr>
                      <w:rFonts w:hint="eastAsia" w:ascii="仿宋" w:hAnsi="仿宋" w:eastAsia="仿宋" w:cs="仿宋"/>
                      <w:szCs w:val="21"/>
                    </w:rPr>
                  </w:pPr>
                  <w:r>
                    <w:rPr>
                      <w:rFonts w:hint="eastAsia" w:ascii="仿宋" w:hAnsi="仿宋" w:eastAsia="仿宋" w:cs="仿宋"/>
                      <w:szCs w:val="21"/>
                    </w:rPr>
                    <w:t>系统概况</w:t>
                  </w:r>
                </w:p>
              </w:tc>
              <w:tc>
                <w:tcPr>
                  <w:tcW w:w="1509" w:type="dxa"/>
                  <w:vMerge w:val="restart"/>
                  <w:vAlign w:val="center"/>
                </w:tcPr>
                <w:p w14:paraId="7779D237">
                  <w:pPr>
                    <w:rPr>
                      <w:rFonts w:hint="eastAsia" w:ascii="仿宋" w:hAnsi="仿宋" w:eastAsia="仿宋" w:cs="仿宋"/>
                      <w:szCs w:val="21"/>
                    </w:rPr>
                  </w:pPr>
                  <w:r>
                    <w:rPr>
                      <w:rFonts w:hint="eastAsia" w:ascii="仿宋" w:hAnsi="仿宋" w:eastAsia="仿宋" w:cs="仿宋"/>
                      <w:szCs w:val="21"/>
                    </w:rPr>
                    <w:t>资源监控管理</w:t>
                  </w:r>
                </w:p>
              </w:tc>
              <w:tc>
                <w:tcPr>
                  <w:tcW w:w="3567" w:type="dxa"/>
                  <w:vAlign w:val="center"/>
                </w:tcPr>
                <w:p w14:paraId="1D8CB6F5">
                  <w:pPr>
                    <w:rPr>
                      <w:rFonts w:hint="eastAsia" w:ascii="仿宋" w:hAnsi="仿宋" w:eastAsia="仿宋" w:cs="仿宋"/>
                      <w:szCs w:val="21"/>
                    </w:rPr>
                  </w:pPr>
                  <w:r>
                    <w:rPr>
                      <w:rFonts w:hint="eastAsia" w:ascii="仿宋" w:hAnsi="仿宋" w:eastAsia="仿宋" w:cs="仿宋"/>
                      <w:szCs w:val="21"/>
                    </w:rPr>
                    <w:t>系统概况</w:t>
                  </w:r>
                </w:p>
              </w:tc>
            </w:tr>
            <w:tr w14:paraId="6F43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3FEB1C70">
                  <w:pPr>
                    <w:jc w:val="center"/>
                    <w:rPr>
                      <w:rFonts w:hint="eastAsia" w:ascii="仿宋" w:hAnsi="仿宋" w:eastAsia="仿宋" w:cs="仿宋"/>
                      <w:szCs w:val="21"/>
                    </w:rPr>
                  </w:pPr>
                  <w:r>
                    <w:rPr>
                      <w:rFonts w:hint="eastAsia" w:ascii="仿宋" w:hAnsi="仿宋" w:eastAsia="仿宋" w:cs="仿宋"/>
                      <w:szCs w:val="21"/>
                    </w:rPr>
                    <w:t>20</w:t>
                  </w:r>
                </w:p>
              </w:tc>
              <w:tc>
                <w:tcPr>
                  <w:tcW w:w="1230" w:type="dxa"/>
                  <w:vMerge w:val="continue"/>
                  <w:vAlign w:val="center"/>
                </w:tcPr>
                <w:p w14:paraId="15BFA8D5">
                  <w:pPr>
                    <w:jc w:val="center"/>
                    <w:rPr>
                      <w:rFonts w:hint="eastAsia" w:ascii="仿宋" w:hAnsi="仿宋" w:eastAsia="仿宋" w:cs="仿宋"/>
                      <w:szCs w:val="21"/>
                    </w:rPr>
                  </w:pPr>
                </w:p>
              </w:tc>
              <w:tc>
                <w:tcPr>
                  <w:tcW w:w="2200" w:type="dxa"/>
                  <w:vAlign w:val="center"/>
                </w:tcPr>
                <w:p w14:paraId="5534632A">
                  <w:pPr>
                    <w:jc w:val="center"/>
                    <w:rPr>
                      <w:rFonts w:hint="eastAsia" w:ascii="仿宋" w:hAnsi="仿宋" w:eastAsia="仿宋" w:cs="仿宋"/>
                      <w:szCs w:val="21"/>
                    </w:rPr>
                  </w:pPr>
                  <w:r>
                    <w:rPr>
                      <w:rFonts w:hint="eastAsia" w:ascii="仿宋" w:hAnsi="仿宋" w:eastAsia="仿宋" w:cs="仿宋"/>
                      <w:szCs w:val="21"/>
                    </w:rPr>
                    <w:t>资源访问情况统计</w:t>
                  </w:r>
                </w:p>
              </w:tc>
              <w:tc>
                <w:tcPr>
                  <w:tcW w:w="1509" w:type="dxa"/>
                  <w:vMerge w:val="continue"/>
                  <w:vAlign w:val="center"/>
                </w:tcPr>
                <w:p w14:paraId="6D7A7ACC">
                  <w:pPr>
                    <w:rPr>
                      <w:rFonts w:hint="eastAsia" w:ascii="仿宋" w:hAnsi="仿宋" w:eastAsia="仿宋" w:cs="仿宋"/>
                      <w:szCs w:val="21"/>
                    </w:rPr>
                  </w:pPr>
                </w:p>
              </w:tc>
              <w:tc>
                <w:tcPr>
                  <w:tcW w:w="3567" w:type="dxa"/>
                  <w:vAlign w:val="center"/>
                </w:tcPr>
                <w:p w14:paraId="2D3F4A56">
                  <w:pPr>
                    <w:rPr>
                      <w:rFonts w:hint="eastAsia" w:ascii="仿宋" w:hAnsi="仿宋" w:eastAsia="仿宋" w:cs="仿宋"/>
                      <w:szCs w:val="21"/>
                    </w:rPr>
                  </w:pPr>
                  <w:r>
                    <w:rPr>
                      <w:rFonts w:hint="eastAsia" w:ascii="仿宋" w:hAnsi="仿宋" w:eastAsia="仿宋" w:cs="仿宋"/>
                      <w:szCs w:val="21"/>
                    </w:rPr>
                    <w:t>资源访问情况统计</w:t>
                  </w:r>
                </w:p>
              </w:tc>
            </w:tr>
            <w:tr w14:paraId="2B5E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66A63F2">
                  <w:pPr>
                    <w:jc w:val="center"/>
                    <w:rPr>
                      <w:rFonts w:hint="eastAsia" w:ascii="仿宋" w:hAnsi="仿宋" w:eastAsia="仿宋" w:cs="仿宋"/>
                      <w:szCs w:val="21"/>
                    </w:rPr>
                  </w:pPr>
                  <w:r>
                    <w:rPr>
                      <w:rFonts w:hint="eastAsia" w:ascii="仿宋" w:hAnsi="仿宋" w:eastAsia="仿宋" w:cs="仿宋"/>
                      <w:szCs w:val="21"/>
                    </w:rPr>
                    <w:t>21</w:t>
                  </w:r>
                </w:p>
              </w:tc>
              <w:tc>
                <w:tcPr>
                  <w:tcW w:w="1230" w:type="dxa"/>
                  <w:vMerge w:val="continue"/>
                  <w:vAlign w:val="center"/>
                </w:tcPr>
                <w:p w14:paraId="42CBCA9F">
                  <w:pPr>
                    <w:jc w:val="center"/>
                    <w:rPr>
                      <w:rFonts w:hint="eastAsia" w:ascii="仿宋" w:hAnsi="仿宋" w:eastAsia="仿宋" w:cs="仿宋"/>
                      <w:szCs w:val="21"/>
                    </w:rPr>
                  </w:pPr>
                </w:p>
              </w:tc>
              <w:tc>
                <w:tcPr>
                  <w:tcW w:w="2200" w:type="dxa"/>
                  <w:vAlign w:val="center"/>
                </w:tcPr>
                <w:p w14:paraId="603F59FE">
                  <w:pPr>
                    <w:jc w:val="center"/>
                    <w:rPr>
                      <w:rFonts w:hint="eastAsia" w:ascii="仿宋" w:hAnsi="仿宋" w:eastAsia="仿宋" w:cs="仿宋"/>
                      <w:szCs w:val="21"/>
                    </w:rPr>
                  </w:pPr>
                  <w:r>
                    <w:rPr>
                      <w:rFonts w:hint="eastAsia" w:ascii="仿宋" w:hAnsi="仿宋" w:eastAsia="仿宋" w:cs="仿宋"/>
                      <w:szCs w:val="21"/>
                    </w:rPr>
                    <w:t>用户活跃情况统计操作耗时统计</w:t>
                  </w:r>
                </w:p>
              </w:tc>
              <w:tc>
                <w:tcPr>
                  <w:tcW w:w="1509" w:type="dxa"/>
                  <w:vMerge w:val="continue"/>
                  <w:vAlign w:val="center"/>
                </w:tcPr>
                <w:p w14:paraId="6A63AFF7">
                  <w:pPr>
                    <w:rPr>
                      <w:rFonts w:hint="eastAsia" w:ascii="仿宋" w:hAnsi="仿宋" w:eastAsia="仿宋" w:cs="仿宋"/>
                      <w:szCs w:val="21"/>
                    </w:rPr>
                  </w:pPr>
                </w:p>
              </w:tc>
              <w:tc>
                <w:tcPr>
                  <w:tcW w:w="3567" w:type="dxa"/>
                  <w:vAlign w:val="center"/>
                </w:tcPr>
                <w:p w14:paraId="1DB5DAE0">
                  <w:pPr>
                    <w:rPr>
                      <w:rFonts w:hint="eastAsia" w:ascii="仿宋" w:hAnsi="仿宋" w:eastAsia="仿宋" w:cs="仿宋"/>
                      <w:szCs w:val="21"/>
                    </w:rPr>
                  </w:pPr>
                  <w:r>
                    <w:rPr>
                      <w:rFonts w:hint="eastAsia" w:ascii="仿宋" w:hAnsi="仿宋" w:eastAsia="仿宋" w:cs="仿宋"/>
                      <w:szCs w:val="21"/>
                    </w:rPr>
                    <w:t>用户活跃情况统计操作耗时统计</w:t>
                  </w:r>
                </w:p>
              </w:tc>
            </w:tr>
            <w:tr w14:paraId="21A4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B7DC5B9">
                  <w:pPr>
                    <w:jc w:val="center"/>
                    <w:rPr>
                      <w:rFonts w:hint="eastAsia" w:ascii="仿宋" w:hAnsi="仿宋" w:eastAsia="仿宋" w:cs="仿宋"/>
                      <w:szCs w:val="21"/>
                    </w:rPr>
                  </w:pPr>
                  <w:r>
                    <w:rPr>
                      <w:rFonts w:hint="eastAsia" w:ascii="仿宋" w:hAnsi="仿宋" w:eastAsia="仿宋" w:cs="仿宋"/>
                      <w:szCs w:val="21"/>
                    </w:rPr>
                    <w:t>22</w:t>
                  </w:r>
                </w:p>
              </w:tc>
              <w:tc>
                <w:tcPr>
                  <w:tcW w:w="1230" w:type="dxa"/>
                  <w:vMerge w:val="continue"/>
                  <w:vAlign w:val="center"/>
                </w:tcPr>
                <w:p w14:paraId="24ACC9F7">
                  <w:pPr>
                    <w:jc w:val="center"/>
                    <w:rPr>
                      <w:rFonts w:hint="eastAsia" w:ascii="仿宋" w:hAnsi="仿宋" w:eastAsia="仿宋" w:cs="仿宋"/>
                      <w:szCs w:val="21"/>
                    </w:rPr>
                  </w:pPr>
                </w:p>
              </w:tc>
              <w:tc>
                <w:tcPr>
                  <w:tcW w:w="2200" w:type="dxa"/>
                  <w:vAlign w:val="center"/>
                </w:tcPr>
                <w:p w14:paraId="4EEEBB7E">
                  <w:pPr>
                    <w:jc w:val="center"/>
                    <w:rPr>
                      <w:rFonts w:hint="eastAsia" w:ascii="仿宋" w:hAnsi="仿宋" w:eastAsia="仿宋" w:cs="仿宋"/>
                      <w:szCs w:val="21"/>
                    </w:rPr>
                  </w:pPr>
                  <w:r>
                    <w:rPr>
                      <w:rFonts w:hint="eastAsia" w:ascii="仿宋" w:hAnsi="仿宋" w:eastAsia="仿宋" w:cs="仿宋"/>
                      <w:szCs w:val="21"/>
                    </w:rPr>
                    <w:t>-</w:t>
                  </w:r>
                </w:p>
              </w:tc>
              <w:tc>
                <w:tcPr>
                  <w:tcW w:w="1509" w:type="dxa"/>
                  <w:vMerge w:val="continue"/>
                  <w:vAlign w:val="center"/>
                </w:tcPr>
                <w:p w14:paraId="2454C993">
                  <w:pPr>
                    <w:rPr>
                      <w:rFonts w:hint="eastAsia" w:ascii="仿宋" w:hAnsi="仿宋" w:eastAsia="仿宋" w:cs="仿宋"/>
                      <w:szCs w:val="21"/>
                    </w:rPr>
                  </w:pPr>
                </w:p>
              </w:tc>
              <w:tc>
                <w:tcPr>
                  <w:tcW w:w="3567" w:type="dxa"/>
                  <w:vAlign w:val="center"/>
                </w:tcPr>
                <w:p w14:paraId="01F0E49C">
                  <w:pPr>
                    <w:rPr>
                      <w:rFonts w:hint="eastAsia" w:ascii="仿宋" w:hAnsi="仿宋" w:eastAsia="仿宋" w:cs="仿宋"/>
                      <w:szCs w:val="21"/>
                    </w:rPr>
                  </w:pPr>
                  <w:r>
                    <w:rPr>
                      <w:rFonts w:hint="eastAsia" w:ascii="仿宋" w:hAnsi="仿宋" w:eastAsia="仿宋" w:cs="仿宋"/>
                      <w:szCs w:val="21"/>
                    </w:rPr>
                    <w:t>系统移动端分析</w:t>
                  </w:r>
                </w:p>
              </w:tc>
            </w:tr>
            <w:tr w14:paraId="6647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D6D339C">
                  <w:pPr>
                    <w:jc w:val="center"/>
                    <w:rPr>
                      <w:rFonts w:hint="eastAsia" w:ascii="仿宋" w:hAnsi="仿宋" w:eastAsia="仿宋" w:cs="仿宋"/>
                      <w:szCs w:val="21"/>
                    </w:rPr>
                  </w:pPr>
                  <w:r>
                    <w:rPr>
                      <w:rFonts w:hint="eastAsia" w:ascii="仿宋" w:hAnsi="仿宋" w:eastAsia="仿宋" w:cs="仿宋"/>
                      <w:szCs w:val="21"/>
                    </w:rPr>
                    <w:t>23</w:t>
                  </w:r>
                </w:p>
              </w:tc>
              <w:tc>
                <w:tcPr>
                  <w:tcW w:w="1230" w:type="dxa"/>
                  <w:vMerge w:val="continue"/>
                  <w:vAlign w:val="center"/>
                </w:tcPr>
                <w:p w14:paraId="300D135D">
                  <w:pPr>
                    <w:jc w:val="center"/>
                    <w:rPr>
                      <w:rFonts w:hint="eastAsia" w:ascii="仿宋" w:hAnsi="仿宋" w:eastAsia="仿宋" w:cs="仿宋"/>
                      <w:szCs w:val="21"/>
                    </w:rPr>
                  </w:pPr>
                </w:p>
              </w:tc>
              <w:tc>
                <w:tcPr>
                  <w:tcW w:w="2200" w:type="dxa"/>
                  <w:vAlign w:val="center"/>
                </w:tcPr>
                <w:p w14:paraId="3B6DE965">
                  <w:pPr>
                    <w:jc w:val="center"/>
                    <w:rPr>
                      <w:rFonts w:hint="eastAsia" w:ascii="仿宋" w:hAnsi="仿宋" w:eastAsia="仿宋" w:cs="仿宋"/>
                      <w:szCs w:val="21"/>
                    </w:rPr>
                  </w:pPr>
                  <w:r>
                    <w:rPr>
                      <w:rFonts w:hint="eastAsia" w:ascii="仿宋" w:hAnsi="仿宋" w:eastAsia="仿宋" w:cs="仿宋"/>
                      <w:szCs w:val="21"/>
                    </w:rPr>
                    <w:t>系统占用监控</w:t>
                  </w:r>
                </w:p>
              </w:tc>
              <w:tc>
                <w:tcPr>
                  <w:tcW w:w="1509" w:type="dxa"/>
                  <w:vMerge w:val="continue"/>
                  <w:vAlign w:val="center"/>
                </w:tcPr>
                <w:p w14:paraId="0ACF2778">
                  <w:pPr>
                    <w:rPr>
                      <w:rFonts w:hint="eastAsia" w:ascii="仿宋" w:hAnsi="仿宋" w:eastAsia="仿宋" w:cs="仿宋"/>
                      <w:szCs w:val="21"/>
                    </w:rPr>
                  </w:pPr>
                </w:p>
              </w:tc>
              <w:tc>
                <w:tcPr>
                  <w:tcW w:w="3567" w:type="dxa"/>
                  <w:vAlign w:val="center"/>
                </w:tcPr>
                <w:p w14:paraId="534A9277">
                  <w:pPr>
                    <w:rPr>
                      <w:rFonts w:hint="eastAsia" w:ascii="仿宋" w:hAnsi="仿宋" w:eastAsia="仿宋" w:cs="仿宋"/>
                      <w:szCs w:val="21"/>
                    </w:rPr>
                  </w:pPr>
                  <w:r>
                    <w:rPr>
                      <w:rFonts w:hint="eastAsia" w:ascii="仿宋" w:hAnsi="仿宋" w:eastAsia="仿宋" w:cs="仿宋"/>
                      <w:szCs w:val="21"/>
                    </w:rPr>
                    <w:t>系统占用监控</w:t>
                  </w:r>
                </w:p>
              </w:tc>
            </w:tr>
            <w:tr w14:paraId="4F95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729CFE5D">
                  <w:pPr>
                    <w:jc w:val="center"/>
                    <w:rPr>
                      <w:rFonts w:hint="eastAsia" w:ascii="仿宋" w:hAnsi="仿宋" w:eastAsia="仿宋" w:cs="仿宋"/>
                      <w:szCs w:val="21"/>
                    </w:rPr>
                  </w:pPr>
                  <w:r>
                    <w:rPr>
                      <w:rFonts w:hint="eastAsia" w:ascii="仿宋" w:hAnsi="仿宋" w:eastAsia="仿宋" w:cs="仿宋"/>
                      <w:szCs w:val="21"/>
                    </w:rPr>
                    <w:t>24</w:t>
                  </w:r>
                </w:p>
              </w:tc>
              <w:tc>
                <w:tcPr>
                  <w:tcW w:w="1230" w:type="dxa"/>
                  <w:vMerge w:val="continue"/>
                  <w:vAlign w:val="center"/>
                </w:tcPr>
                <w:p w14:paraId="149FB2DC">
                  <w:pPr>
                    <w:jc w:val="center"/>
                    <w:rPr>
                      <w:rFonts w:hint="eastAsia" w:ascii="仿宋" w:hAnsi="仿宋" w:eastAsia="仿宋" w:cs="仿宋"/>
                      <w:szCs w:val="21"/>
                    </w:rPr>
                  </w:pPr>
                </w:p>
              </w:tc>
              <w:tc>
                <w:tcPr>
                  <w:tcW w:w="2200" w:type="dxa"/>
                  <w:vAlign w:val="center"/>
                </w:tcPr>
                <w:p w14:paraId="621818BA">
                  <w:pPr>
                    <w:jc w:val="center"/>
                    <w:rPr>
                      <w:rFonts w:hint="eastAsia" w:ascii="仿宋" w:hAnsi="仿宋" w:eastAsia="仿宋" w:cs="仿宋"/>
                      <w:szCs w:val="21"/>
                    </w:rPr>
                  </w:pPr>
                  <w:r>
                    <w:rPr>
                      <w:rFonts w:hint="eastAsia" w:ascii="仿宋" w:hAnsi="仿宋" w:eastAsia="仿宋" w:cs="仿宋"/>
                      <w:szCs w:val="21"/>
                    </w:rPr>
                    <w:t>数据库表存储情况</w:t>
                  </w:r>
                </w:p>
              </w:tc>
              <w:tc>
                <w:tcPr>
                  <w:tcW w:w="1509" w:type="dxa"/>
                  <w:vMerge w:val="continue"/>
                  <w:vAlign w:val="center"/>
                </w:tcPr>
                <w:p w14:paraId="65FD3CE1">
                  <w:pPr>
                    <w:rPr>
                      <w:rFonts w:hint="eastAsia" w:ascii="仿宋" w:hAnsi="仿宋" w:eastAsia="仿宋" w:cs="仿宋"/>
                      <w:szCs w:val="21"/>
                    </w:rPr>
                  </w:pPr>
                </w:p>
              </w:tc>
              <w:tc>
                <w:tcPr>
                  <w:tcW w:w="3567" w:type="dxa"/>
                  <w:vAlign w:val="center"/>
                </w:tcPr>
                <w:p w14:paraId="45D8F9D4">
                  <w:pPr>
                    <w:rPr>
                      <w:rFonts w:hint="eastAsia" w:ascii="仿宋" w:hAnsi="仿宋" w:eastAsia="仿宋" w:cs="仿宋"/>
                      <w:szCs w:val="21"/>
                    </w:rPr>
                  </w:pPr>
                  <w:r>
                    <w:rPr>
                      <w:rFonts w:hint="eastAsia" w:ascii="仿宋" w:hAnsi="仿宋" w:eastAsia="仿宋" w:cs="仿宋"/>
                      <w:szCs w:val="21"/>
                    </w:rPr>
                    <w:t>数据库表存储情况</w:t>
                  </w:r>
                </w:p>
              </w:tc>
            </w:tr>
            <w:tr w14:paraId="04B3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00F5B86">
                  <w:pPr>
                    <w:jc w:val="center"/>
                    <w:rPr>
                      <w:rFonts w:hint="eastAsia" w:ascii="仿宋" w:hAnsi="仿宋" w:eastAsia="仿宋" w:cs="仿宋"/>
                      <w:szCs w:val="21"/>
                    </w:rPr>
                  </w:pPr>
                  <w:r>
                    <w:rPr>
                      <w:rFonts w:hint="eastAsia" w:ascii="仿宋" w:hAnsi="仿宋" w:eastAsia="仿宋" w:cs="仿宋"/>
                      <w:szCs w:val="21"/>
                    </w:rPr>
                    <w:t>25</w:t>
                  </w:r>
                </w:p>
              </w:tc>
              <w:tc>
                <w:tcPr>
                  <w:tcW w:w="1230" w:type="dxa"/>
                  <w:vMerge w:val="continue"/>
                  <w:vAlign w:val="center"/>
                </w:tcPr>
                <w:p w14:paraId="63BCDC0F">
                  <w:pPr>
                    <w:jc w:val="center"/>
                    <w:rPr>
                      <w:rFonts w:hint="eastAsia" w:ascii="仿宋" w:hAnsi="仿宋" w:eastAsia="仿宋" w:cs="仿宋"/>
                      <w:szCs w:val="21"/>
                    </w:rPr>
                  </w:pPr>
                </w:p>
              </w:tc>
              <w:tc>
                <w:tcPr>
                  <w:tcW w:w="2200" w:type="dxa"/>
                  <w:vAlign w:val="center"/>
                </w:tcPr>
                <w:p w14:paraId="44956C48">
                  <w:pPr>
                    <w:jc w:val="center"/>
                    <w:rPr>
                      <w:rFonts w:hint="eastAsia" w:ascii="仿宋" w:hAnsi="仿宋" w:eastAsia="仿宋" w:cs="仿宋"/>
                      <w:szCs w:val="21"/>
                    </w:rPr>
                  </w:pPr>
                  <w:r>
                    <w:rPr>
                      <w:rFonts w:hint="eastAsia" w:ascii="仿宋" w:hAnsi="仿宋" w:eastAsia="仿宋" w:cs="仿宋"/>
                      <w:szCs w:val="21"/>
                    </w:rPr>
                    <w:t>错误问题统计</w:t>
                  </w:r>
                </w:p>
              </w:tc>
              <w:tc>
                <w:tcPr>
                  <w:tcW w:w="1509" w:type="dxa"/>
                  <w:vMerge w:val="continue"/>
                  <w:vAlign w:val="center"/>
                </w:tcPr>
                <w:p w14:paraId="4A688213">
                  <w:pPr>
                    <w:rPr>
                      <w:rFonts w:hint="eastAsia" w:ascii="仿宋" w:hAnsi="仿宋" w:eastAsia="仿宋" w:cs="仿宋"/>
                      <w:szCs w:val="21"/>
                    </w:rPr>
                  </w:pPr>
                </w:p>
              </w:tc>
              <w:tc>
                <w:tcPr>
                  <w:tcW w:w="3567" w:type="dxa"/>
                  <w:vAlign w:val="center"/>
                </w:tcPr>
                <w:p w14:paraId="539889AA">
                  <w:pPr>
                    <w:rPr>
                      <w:rFonts w:hint="eastAsia" w:ascii="仿宋" w:hAnsi="仿宋" w:eastAsia="仿宋" w:cs="仿宋"/>
                      <w:szCs w:val="21"/>
                    </w:rPr>
                  </w:pPr>
                  <w:r>
                    <w:rPr>
                      <w:rFonts w:hint="eastAsia" w:ascii="仿宋" w:hAnsi="仿宋" w:eastAsia="仿宋" w:cs="仿宋"/>
                      <w:szCs w:val="21"/>
                    </w:rPr>
                    <w:t>错误问题统计</w:t>
                  </w:r>
                </w:p>
              </w:tc>
            </w:tr>
            <w:tr w14:paraId="4619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FC77D81">
                  <w:pPr>
                    <w:jc w:val="center"/>
                    <w:rPr>
                      <w:rFonts w:hint="eastAsia" w:ascii="仿宋" w:hAnsi="仿宋" w:eastAsia="仿宋" w:cs="仿宋"/>
                      <w:szCs w:val="21"/>
                    </w:rPr>
                  </w:pPr>
                  <w:r>
                    <w:rPr>
                      <w:rFonts w:hint="eastAsia" w:ascii="仿宋" w:hAnsi="仿宋" w:eastAsia="仿宋" w:cs="仿宋"/>
                      <w:szCs w:val="21"/>
                    </w:rPr>
                    <w:t>26</w:t>
                  </w:r>
                </w:p>
              </w:tc>
              <w:tc>
                <w:tcPr>
                  <w:tcW w:w="1230" w:type="dxa"/>
                  <w:vMerge w:val="continue"/>
                  <w:vAlign w:val="center"/>
                </w:tcPr>
                <w:p w14:paraId="0A0F191B">
                  <w:pPr>
                    <w:jc w:val="center"/>
                    <w:rPr>
                      <w:rFonts w:hint="eastAsia" w:ascii="仿宋" w:hAnsi="仿宋" w:eastAsia="仿宋" w:cs="仿宋"/>
                      <w:szCs w:val="21"/>
                    </w:rPr>
                  </w:pPr>
                </w:p>
              </w:tc>
              <w:tc>
                <w:tcPr>
                  <w:tcW w:w="2200" w:type="dxa"/>
                  <w:vAlign w:val="center"/>
                </w:tcPr>
                <w:p w14:paraId="1486662D">
                  <w:pPr>
                    <w:jc w:val="center"/>
                    <w:rPr>
                      <w:rFonts w:hint="eastAsia" w:ascii="仿宋" w:hAnsi="仿宋" w:eastAsia="仿宋" w:cs="仿宋"/>
                      <w:szCs w:val="21"/>
                    </w:rPr>
                  </w:pPr>
                  <w:r>
                    <w:rPr>
                      <w:rFonts w:hint="eastAsia" w:ascii="仿宋" w:hAnsi="仿宋" w:eastAsia="仿宋" w:cs="仿宋"/>
                      <w:szCs w:val="21"/>
                    </w:rPr>
                    <w:t>运营监控属性设置</w:t>
                  </w:r>
                </w:p>
              </w:tc>
              <w:tc>
                <w:tcPr>
                  <w:tcW w:w="1509" w:type="dxa"/>
                  <w:vMerge w:val="continue"/>
                  <w:vAlign w:val="center"/>
                </w:tcPr>
                <w:p w14:paraId="5B7FD8B2">
                  <w:pPr>
                    <w:rPr>
                      <w:rFonts w:hint="eastAsia" w:ascii="仿宋" w:hAnsi="仿宋" w:eastAsia="仿宋" w:cs="仿宋"/>
                      <w:szCs w:val="21"/>
                    </w:rPr>
                  </w:pPr>
                </w:p>
              </w:tc>
              <w:tc>
                <w:tcPr>
                  <w:tcW w:w="3567" w:type="dxa"/>
                  <w:vAlign w:val="center"/>
                </w:tcPr>
                <w:p w14:paraId="462B3087">
                  <w:pPr>
                    <w:rPr>
                      <w:rFonts w:hint="eastAsia" w:ascii="仿宋" w:hAnsi="仿宋" w:eastAsia="仿宋" w:cs="仿宋"/>
                      <w:szCs w:val="21"/>
                    </w:rPr>
                  </w:pPr>
                  <w:r>
                    <w:rPr>
                      <w:rFonts w:hint="eastAsia" w:ascii="仿宋" w:hAnsi="仿宋" w:eastAsia="仿宋" w:cs="仿宋"/>
                      <w:szCs w:val="21"/>
                    </w:rPr>
                    <w:t>运营监控属性设置</w:t>
                  </w:r>
                </w:p>
              </w:tc>
            </w:tr>
            <w:tr w14:paraId="63D7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147A729">
                  <w:pPr>
                    <w:jc w:val="center"/>
                    <w:rPr>
                      <w:rFonts w:hint="eastAsia" w:ascii="仿宋" w:hAnsi="仿宋" w:eastAsia="仿宋" w:cs="仿宋"/>
                      <w:szCs w:val="21"/>
                    </w:rPr>
                  </w:pPr>
                  <w:r>
                    <w:rPr>
                      <w:rFonts w:hint="eastAsia" w:ascii="仿宋" w:hAnsi="仿宋" w:eastAsia="仿宋" w:cs="仿宋"/>
                      <w:szCs w:val="21"/>
                    </w:rPr>
                    <w:t>27</w:t>
                  </w:r>
                </w:p>
              </w:tc>
              <w:tc>
                <w:tcPr>
                  <w:tcW w:w="1230" w:type="dxa"/>
                  <w:vMerge w:val="continue"/>
                  <w:vAlign w:val="center"/>
                </w:tcPr>
                <w:p w14:paraId="5999848B">
                  <w:pPr>
                    <w:jc w:val="center"/>
                    <w:rPr>
                      <w:rFonts w:hint="eastAsia" w:ascii="仿宋" w:hAnsi="仿宋" w:eastAsia="仿宋" w:cs="仿宋"/>
                      <w:szCs w:val="21"/>
                    </w:rPr>
                  </w:pPr>
                </w:p>
              </w:tc>
              <w:tc>
                <w:tcPr>
                  <w:tcW w:w="2200" w:type="dxa"/>
                  <w:vAlign w:val="center"/>
                </w:tcPr>
                <w:p w14:paraId="2EF8921B">
                  <w:pPr>
                    <w:jc w:val="center"/>
                    <w:rPr>
                      <w:rFonts w:hint="eastAsia" w:ascii="仿宋" w:hAnsi="仿宋" w:eastAsia="仿宋" w:cs="仿宋"/>
                      <w:szCs w:val="21"/>
                    </w:rPr>
                  </w:pPr>
                  <w:r>
                    <w:rPr>
                      <w:rFonts w:hint="eastAsia" w:ascii="仿宋" w:hAnsi="仿宋" w:eastAsia="仿宋" w:cs="仿宋"/>
                      <w:szCs w:val="21"/>
                    </w:rPr>
                    <w:t>数据导出日志分析功能</w:t>
                  </w:r>
                </w:p>
              </w:tc>
              <w:tc>
                <w:tcPr>
                  <w:tcW w:w="1509" w:type="dxa"/>
                  <w:vMerge w:val="continue"/>
                  <w:vAlign w:val="center"/>
                </w:tcPr>
                <w:p w14:paraId="6EF42F40">
                  <w:pPr>
                    <w:rPr>
                      <w:rFonts w:hint="eastAsia" w:ascii="仿宋" w:hAnsi="仿宋" w:eastAsia="仿宋" w:cs="仿宋"/>
                      <w:szCs w:val="21"/>
                    </w:rPr>
                  </w:pPr>
                </w:p>
              </w:tc>
              <w:tc>
                <w:tcPr>
                  <w:tcW w:w="3567" w:type="dxa"/>
                  <w:vAlign w:val="center"/>
                </w:tcPr>
                <w:p w14:paraId="395D18EB">
                  <w:pPr>
                    <w:rPr>
                      <w:rFonts w:hint="eastAsia" w:ascii="仿宋" w:hAnsi="仿宋" w:eastAsia="仿宋" w:cs="仿宋"/>
                      <w:szCs w:val="21"/>
                    </w:rPr>
                  </w:pPr>
                  <w:r>
                    <w:rPr>
                      <w:rFonts w:hint="eastAsia" w:ascii="仿宋" w:hAnsi="仿宋" w:eastAsia="仿宋" w:cs="仿宋"/>
                      <w:szCs w:val="21"/>
                    </w:rPr>
                    <w:t>数据导出日志分析功能</w:t>
                  </w:r>
                </w:p>
              </w:tc>
            </w:tr>
            <w:tr w14:paraId="2284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3" w:type="dxa"/>
                  <w:vAlign w:val="center"/>
                </w:tcPr>
                <w:p w14:paraId="7659538A">
                  <w:pPr>
                    <w:jc w:val="center"/>
                    <w:rPr>
                      <w:rFonts w:hint="eastAsia" w:ascii="仿宋" w:hAnsi="仿宋" w:eastAsia="仿宋" w:cs="仿宋"/>
                      <w:szCs w:val="21"/>
                    </w:rPr>
                  </w:pPr>
                  <w:r>
                    <w:rPr>
                      <w:rFonts w:hint="eastAsia" w:ascii="仿宋" w:hAnsi="仿宋" w:eastAsia="仿宋" w:cs="仿宋"/>
                      <w:szCs w:val="21"/>
                    </w:rPr>
                    <w:t>28</w:t>
                  </w:r>
                </w:p>
              </w:tc>
              <w:tc>
                <w:tcPr>
                  <w:tcW w:w="1230" w:type="dxa"/>
                  <w:vMerge w:val="continue"/>
                  <w:vAlign w:val="center"/>
                </w:tcPr>
                <w:p w14:paraId="75508D9F">
                  <w:pPr>
                    <w:jc w:val="center"/>
                    <w:rPr>
                      <w:rFonts w:hint="eastAsia" w:ascii="仿宋" w:hAnsi="仿宋" w:eastAsia="仿宋" w:cs="仿宋"/>
                      <w:szCs w:val="21"/>
                    </w:rPr>
                  </w:pPr>
                </w:p>
              </w:tc>
              <w:tc>
                <w:tcPr>
                  <w:tcW w:w="2200" w:type="dxa"/>
                  <w:vAlign w:val="center"/>
                </w:tcPr>
                <w:p w14:paraId="7DFE396C">
                  <w:pPr>
                    <w:jc w:val="center"/>
                    <w:rPr>
                      <w:rFonts w:hint="eastAsia" w:ascii="仿宋" w:hAnsi="仿宋" w:eastAsia="仿宋" w:cs="仿宋"/>
                      <w:szCs w:val="21"/>
                    </w:rPr>
                  </w:pPr>
                  <w:r>
                    <w:rPr>
                      <w:rFonts w:hint="eastAsia" w:ascii="仿宋" w:hAnsi="仿宋" w:eastAsia="仿宋" w:cs="仿宋"/>
                      <w:szCs w:val="21"/>
                    </w:rPr>
                    <w:t>-</w:t>
                  </w:r>
                </w:p>
              </w:tc>
              <w:tc>
                <w:tcPr>
                  <w:tcW w:w="1509" w:type="dxa"/>
                  <w:vMerge w:val="continue"/>
                  <w:vAlign w:val="center"/>
                </w:tcPr>
                <w:p w14:paraId="637AEFF4">
                  <w:pPr>
                    <w:rPr>
                      <w:rFonts w:hint="eastAsia" w:ascii="仿宋" w:hAnsi="仿宋" w:eastAsia="仿宋" w:cs="仿宋"/>
                      <w:szCs w:val="21"/>
                    </w:rPr>
                  </w:pPr>
                </w:p>
              </w:tc>
              <w:tc>
                <w:tcPr>
                  <w:tcW w:w="3567" w:type="dxa"/>
                  <w:vAlign w:val="center"/>
                </w:tcPr>
                <w:p w14:paraId="46E62D49">
                  <w:pPr>
                    <w:rPr>
                      <w:rFonts w:hint="eastAsia" w:ascii="仿宋" w:hAnsi="仿宋" w:eastAsia="仿宋" w:cs="仿宋"/>
                      <w:szCs w:val="21"/>
                    </w:rPr>
                  </w:pPr>
                  <w:r>
                    <w:rPr>
                      <w:rFonts w:hint="eastAsia" w:ascii="仿宋" w:hAnsi="仿宋" w:eastAsia="仿宋" w:cs="仿宋"/>
                      <w:szCs w:val="21"/>
                    </w:rPr>
                    <w:t>系统迁移前后性能分析功能</w:t>
                  </w:r>
                </w:p>
              </w:tc>
            </w:tr>
          </w:tbl>
          <w:p w14:paraId="44877A3B">
            <w:pPr>
              <w:pStyle w:val="23"/>
              <w:spacing w:line="360" w:lineRule="auto"/>
              <w:rPr>
                <w:rFonts w:hint="eastAsia" w:ascii="仿宋" w:hAnsi="仿宋" w:eastAsia="仿宋" w:cs="仿宋"/>
                <w:color w:val="000000" w:themeColor="text1"/>
                <w:szCs w:val="21"/>
                <w14:textFill>
                  <w14:solidFill>
                    <w14:schemeClr w14:val="tx1"/>
                  </w14:solidFill>
                </w14:textFill>
              </w:rPr>
            </w:pPr>
          </w:p>
          <w:p w14:paraId="7A36933D">
            <w:pPr>
              <w:pStyle w:val="6"/>
              <w:numPr>
                <w:ilvl w:val="3"/>
                <w:numId w:val="0"/>
              </w:numPr>
              <w:rPr>
                <w:rFonts w:hint="eastAsia" w:ascii="仿宋" w:hAnsi="仿宋" w:eastAsia="仿宋" w:cs="仿宋"/>
                <w:sz w:val="21"/>
                <w:szCs w:val="21"/>
              </w:rPr>
            </w:pPr>
            <w:bookmarkStart w:id="162" w:name="_Toc23714"/>
            <w:r>
              <w:rPr>
                <w:rFonts w:hint="eastAsia" w:ascii="仿宋" w:hAnsi="仿宋" w:eastAsia="仿宋" w:cs="仿宋"/>
                <w:sz w:val="21"/>
                <w:szCs w:val="21"/>
              </w:rPr>
              <w:t>4.2.3.11应用软件适配</w:t>
            </w:r>
          </w:p>
          <w:p w14:paraId="32DD6A0F">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4.2.3.11.1架构适配</w:t>
            </w:r>
          </w:p>
          <w:p w14:paraId="7D09D680">
            <w:pPr>
              <w:shd w:val="clear" w:color="auto" w:fill="FFFFFF"/>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信创体系架构特性，实施应用软件架构的系统性重构。通过将传统单体架构解耦为微服务架构模式，利用服务网格技术实现服务间的流量管理与熔断降级，结合容器化编排工具实现资源动态调度，有效满足信创环境下分布式部署与运行的技术要求。同时，建立架构适配评估体系，通过压力测试、性能基准测试等手段，验证架构在信创环境下的可扩展性与容错能力。</w:t>
            </w:r>
          </w:p>
          <w:p w14:paraId="2664CC43">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4.2.3.11.2代码适配</w:t>
            </w:r>
          </w:p>
          <w:p w14:paraId="1B5C1B2A">
            <w:pPr>
              <w:shd w:val="clear" w:color="auto" w:fill="FFFFFF"/>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针对信创芯片指令集架构及操作系统API规范，开展应用软件底层代码的深度优化与适配开发工作。运用交叉编译技术解决指令集兼容性问题，采用模块化设计思想对代码进行分层重构，确保核心业务逻辑与底层系统解耦。引入静态代码分析工具，对适配后的代码进行安全性与性能扫描，修复潜在的内存泄漏、空指针引用等问题，确保软件在信创环境中的稳定运行与功能实现。</w:t>
            </w:r>
          </w:p>
          <w:p w14:paraId="1113ECA3">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4.2.3.11.3功能适配</w:t>
            </w:r>
          </w:p>
          <w:p w14:paraId="1A05BD06">
            <w:pPr>
              <w:shd w:val="clear" w:color="auto" w:fill="FFFFFF"/>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结合业务需求与信创产业发展导向，对应用软件功能进行全面评估与优化。通过业务流程建模工具梳理现有功能模块，识别冗余环节与低效流程，对核心功能进行分布式改造与性能增强。同时，新增符合信创标准的功能模块，如基于国密算法的加密模块、国产化数字证书管理功能等，并通过测试与用户反馈迭代优化功能设计，持续提升业务流程自动化处理效能。</w:t>
            </w:r>
          </w:p>
          <w:p w14:paraId="5635C497">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4.2.3.11.4界面适配</w:t>
            </w:r>
          </w:p>
          <w:p w14:paraId="5BDE69D2">
            <w:pPr>
              <w:shd w:val="clear" w:color="auto" w:fill="FFFFFF"/>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依据信创系统交互规范与设计标准，对应用软件操作界面进行全流程重构。采用响应式设计技术，适配不同国产终端设备的屏幕尺寸与分辨率；运用无障碍设计原则，优化色彩对比度与字体规范，提升特殊用户群体的使用体验。通过测试与用户行为分析，优化人机交互逻辑，简化操作层级，将核心功能入口前置，并引入可视化图形等创新交互形式，显著提升用户操作便利性与使用体验。</w:t>
            </w:r>
          </w:p>
          <w:p w14:paraId="3425F99F">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4.2.3.11.5接口适配</w:t>
            </w:r>
          </w:p>
          <w:p w14:paraId="7C926B66">
            <w:pPr>
              <w:shd w:val="clear" w:color="auto" w:fill="FFFFFF"/>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围绕信创生态内软硬件协同需求，开展应用软件数据接口的定制开发与优化改造工作。建立标准化数据交互协议，采用RESTfulAPI等技术实现跨系统数据通信；引入API网关进行接口统一管理，实现权限控制、流量限制与日志审计功能。针对国产化数据库与中间件，开发专用数据访问接口，通过数据缓存与异步处理机制，保障系统间数据传输与调用的高效性和稳定性，同时兼容原有系统的接口规范，实现平滑过渡。</w:t>
            </w:r>
          </w:p>
          <w:p w14:paraId="4FC3FDB3">
            <w:pPr>
              <w:pStyle w:val="5"/>
              <w:numPr>
                <w:ilvl w:val="2"/>
                <w:numId w:val="0"/>
              </w:numPr>
              <w:rPr>
                <w:rFonts w:hint="eastAsia" w:ascii="仿宋" w:hAnsi="仿宋" w:eastAsia="仿宋" w:cs="仿宋"/>
                <w:sz w:val="21"/>
                <w:szCs w:val="21"/>
              </w:rPr>
            </w:pPr>
            <w:bookmarkStart w:id="163" w:name="_Toc7147"/>
            <w:r>
              <w:rPr>
                <w:rFonts w:hint="eastAsia" w:ascii="仿宋" w:hAnsi="仿宋" w:eastAsia="仿宋" w:cs="仿宋"/>
                <w:sz w:val="21"/>
                <w:szCs w:val="21"/>
              </w:rPr>
              <w:t>4.2.4其他个性化需求建设</w:t>
            </w:r>
            <w:bookmarkEnd w:id="162"/>
            <w:bookmarkEnd w:id="163"/>
          </w:p>
          <w:p w14:paraId="3AC2EDA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4.2.4.1与外部数据的比对功能</w:t>
            </w:r>
          </w:p>
          <w:p w14:paraId="328FA351">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该功能实现将外部通过文件导入数据库的数据与本系统数据进行全面对比。通过设计规范的操作流程与直观的结果展示方式，使各级管理员能够便捷地查看对比结果，快速识别数据差异，确保数据的准确性和一致性，且严格控制对比结果仅对各级管理员开放。</w:t>
            </w:r>
          </w:p>
          <w:p w14:paraId="143BC507">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4.2.4.1.1操作流程设计</w:t>
            </w:r>
          </w:p>
          <w:p w14:paraId="62FC0D3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4.2.4.1.1.1数据导入</w:t>
            </w:r>
          </w:p>
          <w:p w14:paraId="4AE41BDD">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系统管理后台设置专门的“外部数据导入”入口，管理员点击进入后，可选择本地文件进行上传，支持常见格式。上传前，系统对文件格式进行初步校验，若格式不符合要求，提示管理员重新选择文件。导入完成后，系统提示导入成功或失败信息，若失败则详细说明失败原因，如数据格式错误、数据重复等。</w:t>
            </w:r>
          </w:p>
          <w:p w14:paraId="53EB530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4.2.4.1.1.2比对任务管理</w:t>
            </w:r>
          </w:p>
          <w:p w14:paraId="1B714E99">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在数据比对管理页面，以列表形式展示所有的比对任务，包括任务名称、外部数据文件名称、导入时间等信息。</w:t>
            </w:r>
          </w:p>
          <w:p w14:paraId="7E1AF7C7">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4.2.4.1.2数据比对规则与方法</w:t>
            </w:r>
          </w:p>
          <w:p w14:paraId="262E0533">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4.2.4.1.2.1比对规则</w:t>
            </w:r>
          </w:p>
          <w:p w14:paraId="6222D2C0">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唯一标识匹配：以本系统和外部数据中共同的唯一标识字段作为数据匹配的依据，确保对比的是同一对象的数据。</w:t>
            </w:r>
          </w:p>
          <w:p w14:paraId="261F49E4">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字段对比：针对每个匹配的数据对象，对相应的字段进行逐一对比。对于数值类型字段，直接比较数值大小，若不相等则标记为差异；对于日期类型字段，比较日期是否相同，不同则视为差异。</w:t>
            </w:r>
          </w:p>
          <w:p w14:paraId="4BB51B0A">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4.2.4.1.2.2比对方法</w:t>
            </w:r>
          </w:p>
          <w:p w14:paraId="45113C3B">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全量比对：默认采用全量比对方式，即对导入的全部外部数据与本系统对应数据进行逐一对比，确保不遗漏任何差异数据。</w:t>
            </w:r>
          </w:p>
          <w:p w14:paraId="6BC0F824">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4.2.4.1.3结果展示设计</w:t>
            </w:r>
          </w:p>
          <w:p w14:paraId="6D1F252F">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4.2.4.1.3.1对比结果查询表</w:t>
            </w:r>
          </w:p>
          <w:p w14:paraId="6A0F8875">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在数据比对结果页面，以表格形式展示对比结果。表格包含列标题：唯一标识、数据对象名称、外部数据字段值、本系统数据字段值、差异状态、差异详情等。</w:t>
            </w:r>
          </w:p>
          <w:p w14:paraId="57C4EA2B">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差异标记：对于存在差异的数据行，使用醒目的颜色进行背景标记，同时在“差异状态”列显示“有差异”字样。</w:t>
            </w:r>
          </w:p>
          <w:p w14:paraId="48FD5ECF">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4.2.4.1.3.2数据导出</w:t>
            </w:r>
          </w:p>
          <w:p w14:paraId="2BE48BEB">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在对比结果查询表页面，提供数据导出功能，支持将全部对比结果导出为文件。导出文件中保留表格的所有列信息，并对存在差异的数据行同样进行颜色标记，便于管理员离线查看和分析。</w:t>
            </w:r>
          </w:p>
          <w:p w14:paraId="2C3BC15D">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4.2.4.2定制任务需求</w:t>
            </w:r>
          </w:p>
          <w:p w14:paraId="7E6C3AB9">
            <w:pPr>
              <w:snapToGrid w:val="0"/>
              <w:spacing w:line="360" w:lineRule="auto"/>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根据卫生统计工作的需要，提供3年10次的个性化需求任务的实现，包括原有报表修改、新增报表设计以及后续的数据采集、数据查询及数据分析。</w:t>
            </w:r>
          </w:p>
          <w:p w14:paraId="5F07AFEE">
            <w:pPr>
              <w:pStyle w:val="5"/>
              <w:numPr>
                <w:ilvl w:val="2"/>
                <w:numId w:val="0"/>
              </w:numPr>
              <w:rPr>
                <w:rFonts w:hint="eastAsia" w:ascii="仿宋" w:hAnsi="仿宋" w:eastAsia="仿宋" w:cs="仿宋"/>
                <w:sz w:val="21"/>
                <w:szCs w:val="21"/>
              </w:rPr>
            </w:pPr>
            <w:bookmarkStart w:id="164" w:name="_Toc9932"/>
            <w:bookmarkStart w:id="165" w:name="_Toc23367"/>
            <w:r>
              <w:rPr>
                <w:rFonts w:hint="eastAsia" w:ascii="仿宋" w:hAnsi="仿宋" w:eastAsia="仿宋" w:cs="仿宋"/>
                <w:sz w:val="21"/>
                <w:szCs w:val="21"/>
              </w:rPr>
              <w:t>4.2.5性能和安全</w:t>
            </w:r>
            <w:bookmarkEnd w:id="164"/>
            <w:bookmarkEnd w:id="165"/>
          </w:p>
          <w:p w14:paraId="2A94519D">
            <w:pPr>
              <w:pStyle w:val="6"/>
              <w:numPr>
                <w:ilvl w:val="3"/>
                <w:numId w:val="0"/>
              </w:numPr>
              <w:rPr>
                <w:rFonts w:hint="eastAsia" w:ascii="仿宋" w:hAnsi="仿宋" w:eastAsia="仿宋" w:cs="仿宋"/>
                <w:sz w:val="21"/>
                <w:szCs w:val="21"/>
              </w:rPr>
            </w:pPr>
            <w:bookmarkStart w:id="166" w:name="_Toc17630"/>
            <w:bookmarkStart w:id="167" w:name="_Toc32748"/>
            <w:bookmarkStart w:id="168" w:name="_Toc20544"/>
            <w:r>
              <w:rPr>
                <w:rFonts w:hint="eastAsia" w:ascii="仿宋" w:hAnsi="仿宋" w:eastAsia="仿宋" w:cs="仿宋"/>
                <w:sz w:val="21"/>
                <w:szCs w:val="21"/>
              </w:rPr>
              <w:t>4.2.5.1系统性能</w:t>
            </w:r>
            <w:bookmarkEnd w:id="166"/>
            <w:bookmarkEnd w:id="167"/>
            <w:bookmarkEnd w:id="168"/>
          </w:p>
          <w:p w14:paraId="06BE90EE">
            <w:pPr>
              <w:pStyle w:val="7"/>
              <w:numPr>
                <w:ilvl w:val="4"/>
                <w:numId w:val="0"/>
              </w:numPr>
              <w:rPr>
                <w:rFonts w:hint="eastAsia" w:ascii="仿宋" w:hAnsi="仿宋" w:eastAsia="仿宋" w:cs="仿宋"/>
                <w:sz w:val="21"/>
                <w:szCs w:val="21"/>
              </w:rPr>
            </w:pPr>
            <w:bookmarkStart w:id="169" w:name="_Toc9574"/>
            <w:bookmarkStart w:id="170" w:name="_Toc15818"/>
            <w:bookmarkStart w:id="171" w:name="_Toc20826"/>
            <w:r>
              <w:rPr>
                <w:rFonts w:hint="eastAsia" w:ascii="仿宋" w:hAnsi="仿宋" w:eastAsia="仿宋" w:cs="仿宋"/>
                <w:sz w:val="21"/>
                <w:szCs w:val="21"/>
              </w:rPr>
              <w:t>4.2.5.1.1用户数量</w:t>
            </w:r>
            <w:bookmarkEnd w:id="169"/>
            <w:bookmarkEnd w:id="170"/>
            <w:bookmarkEnd w:id="171"/>
          </w:p>
          <w:p w14:paraId="505EC0C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系统应具备的用户数支持能力：</w:t>
            </w:r>
          </w:p>
          <w:p w14:paraId="059F88F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最大用户数：系统设计容量不少于40000用户，支持长期稳定运行，适用于卫生系统全量用户注册与管理；</w:t>
            </w:r>
          </w:p>
          <w:p w14:paraId="5B91B5A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峰值在线用户数：在年报集中填报期（每年12月至次年1月）、季度数据核查期等业务高峰时段，支持不少于5000用户同时在线操作，包含数据填报、查询、报表导出等混合场景；</w:t>
            </w:r>
          </w:p>
          <w:p w14:paraId="68740BA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峰值并发用户数：在年报集中填报期（每年12月至次年1月），支持不少于2000用户同时执行上报数据、实时查询等操作；在日常工作日（集中填报期之外），支持不少于500用户同时执行上报数据、实时查询等操作.系统保持稳定响应，无服务中断或崩溃。</w:t>
            </w:r>
          </w:p>
          <w:p w14:paraId="456A51BE">
            <w:pPr>
              <w:pStyle w:val="7"/>
              <w:numPr>
                <w:ilvl w:val="4"/>
                <w:numId w:val="0"/>
              </w:numPr>
              <w:rPr>
                <w:rFonts w:hint="eastAsia" w:ascii="仿宋" w:hAnsi="仿宋" w:eastAsia="仿宋" w:cs="仿宋"/>
                <w:sz w:val="21"/>
                <w:szCs w:val="21"/>
              </w:rPr>
            </w:pPr>
            <w:bookmarkStart w:id="172" w:name="_Toc239159774"/>
            <w:bookmarkStart w:id="173" w:name="_Toc72859127"/>
            <w:bookmarkStart w:id="174" w:name="_Toc259014800"/>
            <w:bookmarkStart w:id="175" w:name="_Toc227757511"/>
            <w:bookmarkStart w:id="176" w:name="_Toc5080"/>
            <w:bookmarkStart w:id="177" w:name="_Toc360090456"/>
            <w:r>
              <w:rPr>
                <w:rFonts w:hint="eastAsia" w:ascii="仿宋" w:hAnsi="仿宋" w:eastAsia="仿宋" w:cs="仿宋"/>
                <w:sz w:val="21"/>
                <w:szCs w:val="21"/>
              </w:rPr>
              <w:t>4.2.5.1.2响应时间</w:t>
            </w:r>
            <w:bookmarkEnd w:id="172"/>
            <w:bookmarkEnd w:id="173"/>
            <w:bookmarkEnd w:id="174"/>
            <w:bookmarkEnd w:id="175"/>
            <w:bookmarkEnd w:id="176"/>
            <w:bookmarkEnd w:id="177"/>
          </w:p>
          <w:p w14:paraId="209E4F55">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4.2.5.1.2.1页面响应时间</w:t>
            </w:r>
          </w:p>
          <w:p w14:paraId="3F2CCED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在系统使用峰值状态（如月度数据报送截止日17:00），执行以下操作时响应时间需满足：</w:t>
            </w:r>
          </w:p>
          <w:p w14:paraId="434669A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浏览器端系统登录、页面打开及刷新操作，响应时间≤3秒；</w:t>
            </w:r>
          </w:p>
          <w:p w14:paraId="07D3BE7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切换功能模块（如从“数据查询”跳转至“指标管理”），响应时间≤2秒。</w:t>
            </w:r>
          </w:p>
          <w:p w14:paraId="6E831589">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4.2.5.1.2.2报表响应时间</w:t>
            </w:r>
          </w:p>
          <w:p w14:paraId="08F9E1A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报表响应时间是系统在进行报表计算时应满足的时间要求。</w:t>
            </w:r>
          </w:p>
          <w:p w14:paraId="4CDD2592">
            <w:pPr>
              <w:pStyle w:val="23"/>
              <w:numPr>
                <w:ilvl w:val="0"/>
                <w:numId w:val="44"/>
              </w:numPr>
              <w:spacing w:before="0" w:after="0" w:line="360" w:lineRule="auto"/>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一般报表：</w:t>
            </w:r>
            <w:r>
              <w:rPr>
                <w:rFonts w:hint="eastAsia" w:ascii="仿宋" w:hAnsi="仿宋" w:eastAsia="仿宋" w:cs="仿宋"/>
                <w:color w:val="000000" w:themeColor="text1"/>
                <w:szCs w:val="21"/>
                <w14:textFill>
                  <w14:solidFill>
                    <w14:schemeClr w14:val="tx1"/>
                  </w14:solidFill>
                </w14:textFill>
              </w:rPr>
              <w:t>适用于年报、月报等汇总数据场景。</w:t>
            </w:r>
          </w:p>
          <w:p w14:paraId="413620F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在年报报送高峰期，模拟2000用户同时提交单个机构年报数据，任务上报时间≤3秒；</w:t>
            </w:r>
          </w:p>
          <w:p w14:paraId="07F7108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日常查询时，单机构年度数据汇总报表生成与导出，响应时间≤5秒。</w:t>
            </w:r>
          </w:p>
          <w:p w14:paraId="774405F5">
            <w:pPr>
              <w:pStyle w:val="23"/>
              <w:numPr>
                <w:ilvl w:val="0"/>
                <w:numId w:val="44"/>
              </w:numPr>
              <w:spacing w:before="0" w:after="0" w:line="360" w:lineRule="auto"/>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复杂报表：适用于病案首页、人力表等个案数据场景。</w:t>
            </w:r>
          </w:p>
          <w:p w14:paraId="003941B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在月度数据核查期，模拟1000用户同时提交复杂个案报表，单个机构任务上报时间≤80秒；</w:t>
            </w:r>
          </w:p>
          <w:p w14:paraId="2974A1C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多条件复杂查询，数据生成与导出响应时间≤20秒。</w:t>
            </w:r>
          </w:p>
          <w:p w14:paraId="07A63EBF">
            <w:pPr>
              <w:pStyle w:val="23"/>
              <w:numPr>
                <w:ilvl w:val="0"/>
                <w:numId w:val="44"/>
              </w:numPr>
              <w:spacing w:before="0" w:after="0" w:line="360" w:lineRule="auto"/>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分析报表：适用于数据查询、数据分析场景。</w:t>
            </w:r>
          </w:p>
          <w:p w14:paraId="52B7135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简单数据查询，响应时间≤3秒；</w:t>
            </w:r>
          </w:p>
          <w:p w14:paraId="349DFF3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复杂分析任务，结果生成与导出响应时间≤20秒。</w:t>
            </w:r>
          </w:p>
          <w:p w14:paraId="6F6EFD8D">
            <w:pPr>
              <w:pStyle w:val="7"/>
              <w:numPr>
                <w:ilvl w:val="4"/>
                <w:numId w:val="0"/>
              </w:numPr>
              <w:rPr>
                <w:rFonts w:hint="eastAsia" w:ascii="仿宋" w:hAnsi="仿宋" w:eastAsia="仿宋" w:cs="仿宋"/>
                <w:sz w:val="21"/>
                <w:szCs w:val="21"/>
              </w:rPr>
            </w:pPr>
            <w:bookmarkStart w:id="178" w:name="_Toc17596"/>
            <w:bookmarkStart w:id="179" w:name="_Toc4861"/>
            <w:bookmarkStart w:id="180" w:name="_Toc12642"/>
            <w:r>
              <w:rPr>
                <w:rFonts w:hint="eastAsia" w:ascii="仿宋" w:hAnsi="仿宋" w:eastAsia="仿宋" w:cs="仿宋"/>
                <w:sz w:val="21"/>
                <w:szCs w:val="21"/>
              </w:rPr>
              <w:t>4.2.5.1.3可靠性、易用性及可扩展性</w:t>
            </w:r>
            <w:bookmarkEnd w:id="178"/>
            <w:bookmarkEnd w:id="179"/>
            <w:bookmarkEnd w:id="180"/>
          </w:p>
          <w:p w14:paraId="6D34BFC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可靠性要满足系统7×24小时不间断服务的要求。</w:t>
            </w:r>
          </w:p>
          <w:p w14:paraId="14D06D3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系统可用率≥99.9%，即每年的不可用时间小于9小时。</w:t>
            </w:r>
          </w:p>
          <w:p w14:paraId="79E94A4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采用标准接口、界面友好、使用方便。</w:t>
            </w:r>
          </w:p>
          <w:p w14:paraId="0568BB1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网络结构、硬件结构、软件结构、数据库等方面的设计能满足功能不断扩展，以及系统容量和用户数量不断增长的要求。</w:t>
            </w:r>
          </w:p>
          <w:p w14:paraId="18C6EC6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4.2.5.1.4软件与技术的匹配性及可靠性</w:t>
            </w:r>
          </w:p>
          <w:p w14:paraId="38E0075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软件架构采用分层设计，各层级与技术选型紧密契合，满足国产化要求。支撑软件层选用国产操作系统、数据库和中间件，其中数据库支持集群部署与读写分离，可适配千万级数据高频读写场景。采集层通过Java开发接口实现数据采集与文件导入功能，与后端SpringBoot框架无缝兼容，保障多源数据实时接入。数据处理层借助国产化ETL工具完成数据清洗与建模，结合数据库内置约束及自定义校验机制，确保数据质量可靠。分析展现层采用前端框架开发交互界面，集成可视化组件实现动态图表展示，并运用单点登录技术实现一次认证全网通行，同时与基于RBAC模型的权限管理模块联动，保障系统访问安全。</w:t>
            </w:r>
          </w:p>
          <w:p w14:paraId="564A2A5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软件可靠性通过多层机制保障：数据传输采用HTTPS加密与国密算法，存储实现字段级加密；漏洞扫描工具与恶意软件防护体系定期检测安全风险，形成检测修复验证闭环；日志管理集成Log4j2，结合国产日志分析工具实现操作轨迹审计，确保可追溯。</w:t>
            </w:r>
          </w:p>
          <w:p w14:paraId="13A63D49">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4.2.5.1.5设备与技术的匹配性和可靠性</w:t>
            </w:r>
          </w:p>
          <w:p w14:paraId="69CAD23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硬件设备选型与技术需求深度适配。应用服务器采用国产化架构、CPU及内存满足SpringBoot微服务高并发处理需求；数据库服务器部署国产化数据库集群，通过万兆以太网实现数据实时同步，支持千万级记录秒级查询。网络设备采用分层架构：核心层配置高性能交换机，汇聚层部署策略控制交换机，接入层支持有线无线混合接入，搭配防火墙实现ACL策略与DDoS攻击防护。</w:t>
            </w:r>
          </w:p>
          <w:p w14:paraId="441CE85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备可靠性通过冗余设计保障：关键服务器采用双机热备，存储设备配置RAID5/10，异地备份中心通过专用链路实时同步数据；负载均衡设备部署于应用服务器前端，支持动态流量分配与故障切换，实测单节点故障时请求切换延迟＜50ms；硬件监控集成成熟工具，实时采集CPU利用率、内存使用率等指标，预设阈值触发预警。</w:t>
            </w:r>
          </w:p>
          <w:p w14:paraId="502E95F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4.2.5.1.6技术与业务场景的匹配性</w:t>
            </w:r>
          </w:p>
          <w:p w14:paraId="278AA565">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处理技术紧密贴合业务需求：ETL工具支持卫生资源、医疗服务等多源数据标准化处理，与《全国卫生资源与医疗服务统计调查制度》指标体系无缝对接；数据分析模块采用多维分析、智能问答等功能，基于大语言模型实现自然语言检索，辅助用户快速获取数据；决策支持系统整合统计年鉴、医改监测等数据，通过GIS地图、驾驶舱等可视化形式，为管理层提供实时决策依据。</w:t>
            </w:r>
          </w:p>
          <w:p w14:paraId="3814160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技术严格遵循三级等保要求：双因素认证确保用户身份可信，动态口令有效期60秒与业务操作时效匹配；访问控制细化至按钮级权限，基层机构仅能查看本单位数据，省级管理员可跨区域分析；数据备份策略采用全量加增量模式，每周全量备份与每日增量备份结合，恢复演练验证数据还原准确率≥99.9%。</w:t>
            </w:r>
          </w:p>
          <w:p w14:paraId="1832AEF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软件、设备与技术的匹配性体现在架构分层、国产化适配、业务流程贯通等维度，可靠性通过冗余设计、安全防护、性能监控等机制保障。整体技术方案满足卫生统计业务的稳定性、安全性与扩展性需求，关键指标如并发处理能力、数据加密强度、故障恢复时效均通过实测验证，符合项目建设目标。</w:t>
            </w:r>
          </w:p>
          <w:p w14:paraId="5C47173C">
            <w:pPr>
              <w:pStyle w:val="6"/>
              <w:numPr>
                <w:ilvl w:val="3"/>
                <w:numId w:val="0"/>
              </w:numPr>
              <w:rPr>
                <w:rFonts w:hint="eastAsia" w:ascii="仿宋" w:hAnsi="仿宋" w:eastAsia="仿宋" w:cs="仿宋"/>
                <w:sz w:val="21"/>
                <w:szCs w:val="21"/>
              </w:rPr>
            </w:pPr>
            <w:bookmarkStart w:id="181" w:name="_Toc16387"/>
            <w:bookmarkStart w:id="182" w:name="_Toc30407"/>
            <w:bookmarkStart w:id="183" w:name="_Toc18098"/>
            <w:r>
              <w:rPr>
                <w:rFonts w:hint="eastAsia" w:ascii="仿宋" w:hAnsi="仿宋" w:eastAsia="仿宋" w:cs="仿宋"/>
                <w:sz w:val="21"/>
                <w:szCs w:val="21"/>
              </w:rPr>
              <w:t>4.2.5.2系统安全</w:t>
            </w:r>
            <w:bookmarkEnd w:id="181"/>
            <w:bookmarkEnd w:id="182"/>
            <w:bookmarkEnd w:id="183"/>
          </w:p>
          <w:p w14:paraId="7994250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bookmarkStart w:id="184" w:name="_Toc7264"/>
            <w:bookmarkStart w:id="185" w:name="_Toc9496"/>
            <w:r>
              <w:rPr>
                <w:rFonts w:hint="eastAsia" w:ascii="仿宋" w:hAnsi="仿宋" w:eastAsia="仿宋" w:cs="仿宋"/>
                <w:color w:val="000000" w:themeColor="text1"/>
                <w:szCs w:val="21"/>
                <w14:textFill>
                  <w14:solidFill>
                    <w14:schemeClr w14:val="tx1"/>
                  </w14:solidFill>
                </w14:textFill>
              </w:rPr>
              <w:t>网络环境和数据的安全保障是信息化建设中非常重要的一部分。《中华人民共和国网络安全法》《信息安全等级保护管理办法》等法律法规要求，本项目适用三级等保，要求按照信息系统安全等级保护三级进行建设。</w:t>
            </w:r>
          </w:p>
          <w:bookmarkEnd w:id="184"/>
          <w:bookmarkEnd w:id="185"/>
          <w:p w14:paraId="7E565E86">
            <w:pPr>
              <w:pStyle w:val="7"/>
              <w:numPr>
                <w:ilvl w:val="4"/>
                <w:numId w:val="0"/>
              </w:numPr>
              <w:rPr>
                <w:rFonts w:hint="eastAsia" w:ascii="仿宋" w:hAnsi="仿宋" w:eastAsia="仿宋" w:cs="仿宋"/>
                <w:sz w:val="21"/>
                <w:szCs w:val="21"/>
              </w:rPr>
            </w:pPr>
            <w:bookmarkStart w:id="186" w:name="_Toc28983"/>
            <w:bookmarkStart w:id="187" w:name="_Toc8966"/>
            <w:r>
              <w:rPr>
                <w:rFonts w:hint="eastAsia" w:ascii="仿宋" w:hAnsi="仿宋" w:eastAsia="仿宋" w:cs="仿宋"/>
                <w:sz w:val="21"/>
                <w:szCs w:val="21"/>
              </w:rPr>
              <w:t>4.2.5.2.1应用系统风险控制</w:t>
            </w:r>
            <w:bookmarkEnd w:id="186"/>
            <w:bookmarkEnd w:id="187"/>
          </w:p>
          <w:p w14:paraId="4648E56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应用系统风险控制要求如下表：</w:t>
            </w:r>
          </w:p>
          <w:p w14:paraId="1CDFAB79">
            <w:pPr>
              <w:pStyle w:val="14"/>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表</w:t>
            </w:r>
            <w:r>
              <w:rPr>
                <w:rFonts w:hint="eastAsia" w:ascii="仿宋" w:hAnsi="仿宋" w:eastAsia="仿宋" w:cs="仿宋"/>
                <w:szCs w:val="21"/>
              </w:rPr>
              <w:fldChar w:fldCharType="begin"/>
            </w:r>
            <w:r>
              <w:rPr>
                <w:rFonts w:hint="eastAsia" w:ascii="仿宋" w:hAnsi="仿宋" w:eastAsia="仿宋" w:cs="仿宋"/>
                <w:szCs w:val="21"/>
              </w:rPr>
              <w:instrText xml:space="preserve"> STYLEREF 1 \s </w:instrText>
            </w:r>
            <w:r>
              <w:rPr>
                <w:rFonts w:hint="eastAsia" w:ascii="仿宋" w:hAnsi="仿宋" w:eastAsia="仿宋" w:cs="仿宋"/>
                <w:szCs w:val="21"/>
              </w:rPr>
              <w:fldChar w:fldCharType="separate"/>
            </w:r>
            <w:r>
              <w:rPr>
                <w:rFonts w:hint="eastAsia" w:ascii="仿宋" w:hAnsi="仿宋" w:eastAsia="仿宋" w:cs="仿宋"/>
                <w:szCs w:val="21"/>
              </w:rPr>
              <w:t>5</w:t>
            </w:r>
            <w:r>
              <w:rPr>
                <w:rFonts w:hint="eastAsia" w:ascii="仿宋" w:hAnsi="仿宋" w:eastAsia="仿宋" w:cs="仿宋"/>
                <w:szCs w:val="21"/>
              </w:rPr>
              <w:fldChar w:fldCharType="end"/>
            </w:r>
            <w:r>
              <w:rPr>
                <w:rFonts w:hint="eastAsia" w:ascii="仿宋" w:hAnsi="仿宋" w:eastAsia="仿宋" w:cs="仿宋"/>
                <w:szCs w:val="21"/>
              </w:rPr>
              <w:t>-</w:t>
            </w:r>
            <w:r>
              <w:rPr>
                <w:rFonts w:hint="eastAsia" w:ascii="仿宋" w:hAnsi="仿宋" w:eastAsia="仿宋" w:cs="仿宋"/>
                <w:szCs w:val="21"/>
              </w:rPr>
              <w:fldChar w:fldCharType="begin"/>
            </w:r>
            <w:r>
              <w:rPr>
                <w:rFonts w:hint="eastAsia" w:ascii="仿宋" w:hAnsi="仿宋" w:eastAsia="仿宋" w:cs="仿宋"/>
                <w:szCs w:val="21"/>
              </w:rPr>
              <w:instrText xml:space="preserve"> SEQ 表 \* ARABIC \s 1 </w:instrText>
            </w:r>
            <w:r>
              <w:rPr>
                <w:rFonts w:hint="eastAsia" w:ascii="仿宋" w:hAnsi="仿宋" w:eastAsia="仿宋" w:cs="仿宋"/>
                <w:szCs w:val="21"/>
              </w:rPr>
              <w:fldChar w:fldCharType="separate"/>
            </w:r>
            <w:r>
              <w:rPr>
                <w:rFonts w:hint="eastAsia" w:ascii="仿宋" w:hAnsi="仿宋" w:eastAsia="仿宋" w:cs="仿宋"/>
                <w:szCs w:val="21"/>
              </w:rPr>
              <w:t>4</w:t>
            </w:r>
            <w:r>
              <w:rPr>
                <w:rFonts w:hint="eastAsia" w:ascii="仿宋" w:hAnsi="仿宋" w:eastAsia="仿宋" w:cs="仿宋"/>
                <w:szCs w:val="21"/>
              </w:rPr>
              <w:fldChar w:fldCharType="end"/>
            </w:r>
            <w:r>
              <w:rPr>
                <w:rFonts w:hint="eastAsia" w:ascii="仿宋" w:hAnsi="仿宋" w:eastAsia="仿宋" w:cs="仿宋"/>
                <w:color w:val="000000" w:themeColor="text1"/>
                <w:szCs w:val="21"/>
                <w14:textFill>
                  <w14:solidFill>
                    <w14:schemeClr w14:val="tx1"/>
                  </w14:solidFill>
                </w14:textFill>
              </w:rPr>
              <w:t>应用系统风险控制要求</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427"/>
              <w:gridCol w:w="5559"/>
            </w:tblGrid>
            <w:tr w14:paraId="676D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346" w:type="pct"/>
                  <w:tcBorders>
                    <w:top w:val="single" w:color="000000" w:sz="12" w:space="0"/>
                    <w:left w:val="single" w:color="000000" w:sz="12" w:space="0"/>
                    <w:bottom w:val="single" w:color="000000" w:sz="4" w:space="0"/>
                    <w:right w:val="single" w:color="000000" w:sz="4" w:space="0"/>
                    <w:tl2br w:val="nil"/>
                  </w:tcBorders>
                  <w:shd w:val="clear" w:color="auto" w:fill="FFFFFF"/>
                  <w:tcMar>
                    <w:top w:w="15" w:type="dxa"/>
                    <w:left w:w="15" w:type="dxa"/>
                    <w:bottom w:w="15" w:type="dxa"/>
                    <w:right w:w="15" w:type="dxa"/>
                  </w:tcMar>
                  <w:vAlign w:val="center"/>
                </w:tcPr>
                <w:p w14:paraId="20C32F78">
                  <w:pPr>
                    <w:pStyle w:val="29"/>
                    <w:spacing w:line="360" w:lineRule="auto"/>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序号</w:t>
                  </w:r>
                </w:p>
              </w:tc>
              <w:tc>
                <w:tcPr>
                  <w:tcW w:w="951" w:type="pct"/>
                  <w:tcBorders>
                    <w:top w:val="single" w:color="000000" w:sz="12"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70BF5607">
                  <w:pPr>
                    <w:pStyle w:val="29"/>
                    <w:spacing w:line="360" w:lineRule="auto"/>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要求项</w:t>
                  </w:r>
                </w:p>
              </w:tc>
              <w:tc>
                <w:tcPr>
                  <w:tcW w:w="3703" w:type="pct"/>
                  <w:tcBorders>
                    <w:top w:val="single" w:color="000000" w:sz="12"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6FA05D1E">
                  <w:pPr>
                    <w:pStyle w:val="29"/>
                    <w:spacing w:line="360" w:lineRule="auto"/>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内容</w:t>
                  </w:r>
                </w:p>
              </w:tc>
            </w:tr>
            <w:tr w14:paraId="0941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158821C3">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5F233071">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身份鉴别</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2546D471">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应用系统应提供专用的登录控制模块或第三方专用认证系统，实现对用户的身份进行鉴别。</w:t>
                  </w:r>
                </w:p>
              </w:tc>
            </w:tr>
            <w:tr w14:paraId="42D4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07707CAB">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5DFAB790">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访问控制</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3FCD7AC3">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应用系统应当提供访问控制功能，根据安全策略控制用户对资源等客体的访问，防止数据信息和系统资源被非法访问和使用。</w:t>
                  </w:r>
                </w:p>
              </w:tc>
            </w:tr>
            <w:tr w14:paraId="570A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60DA5679">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33F5E29F">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安全审计</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368C6088">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为了便于对应用系统的重要操作和安全事件进行追踪审查，应用系统应具有安全审计功能。</w:t>
                  </w:r>
                </w:p>
              </w:tc>
            </w:tr>
            <w:tr w14:paraId="3E4B1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16FAF472">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7E4B8C29">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剩余信息保护</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44E0B7DC">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剩余信息是指信息系统中比较敏感或者重要的位于内存或者硬盘中却不再被使用的信息，剩余信息应及时完全删除以防止信息泄露。</w:t>
                  </w:r>
                </w:p>
              </w:tc>
            </w:tr>
            <w:tr w14:paraId="4DD6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35C873AF">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6F37718A">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抗抵赖</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5F20AC05">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对于关键的操作数据应当采取安全技术防止操作行为被发起方或者接收方抵赖。</w:t>
                  </w:r>
                </w:p>
              </w:tc>
            </w:tr>
            <w:tr w14:paraId="35D9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51135048">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220BD5B7">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软件容错</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785AE5F7">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应用系统应当对非正常数据或者系统行为进行处理，防止系统的正常信息处理过程被中断或者更改，甚至被恶意的控制。</w:t>
                  </w:r>
                </w:p>
              </w:tc>
            </w:tr>
            <w:tr w14:paraId="60F4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2D7EA14B">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3552880A">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资源控制</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12A3466C">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应用系统应当能够对数据或者系统资源进行控制，防止某项资源被恶意占用以致耗尽，造成应用系统由于资源不足而中断。</w:t>
                  </w:r>
                </w:p>
              </w:tc>
            </w:tr>
            <w:tr w14:paraId="48EA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5649CBEC">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48E01981">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数据完整性</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72D92E10">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应确保系统管理数据、鉴别信息和重要业务数据在传输过程中完整性不受到破坏，并具有完整性检查机制，当检测到完整性错误时采取必要的恢复措施。</w:t>
                  </w:r>
                </w:p>
              </w:tc>
            </w:tr>
            <w:tr w14:paraId="4991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259B7CC6">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034988AF">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数据保密性</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171FAE71">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应采用加密或其他有效措施实现系统管理数据、鉴别信息和重要业务数据传输保密性。</w:t>
                  </w:r>
                </w:p>
              </w:tc>
            </w:tr>
            <w:tr w14:paraId="3C30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2EC0296B">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951"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15" w:type="dxa"/>
                    <w:right w:w="15" w:type="dxa"/>
                  </w:tcMar>
                  <w:vAlign w:val="center"/>
                </w:tcPr>
                <w:p w14:paraId="2B07339F">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通信完整性</w:t>
                  </w:r>
                </w:p>
              </w:tc>
              <w:tc>
                <w:tcPr>
                  <w:tcW w:w="3703" w:type="pct"/>
                  <w:tcBorders>
                    <w:top w:val="single" w:color="000000" w:sz="4" w:space="0"/>
                    <w:left w:val="single" w:color="000000" w:sz="4" w:space="0"/>
                    <w:bottom w:val="single" w:color="000000" w:sz="4" w:space="0"/>
                    <w:right w:val="single" w:color="000000" w:sz="12" w:space="0"/>
                  </w:tcBorders>
                  <w:shd w:val="clear" w:color="auto" w:fill="FFFFFF"/>
                  <w:tcMar>
                    <w:top w:w="15" w:type="dxa"/>
                    <w:left w:w="15" w:type="dxa"/>
                    <w:bottom w:w="15" w:type="dxa"/>
                    <w:right w:w="15" w:type="dxa"/>
                  </w:tcMar>
                  <w:vAlign w:val="center"/>
                </w:tcPr>
                <w:p w14:paraId="3B5CB100">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应采用密码技术保证通信过程中数据的完整性。</w:t>
                  </w:r>
                </w:p>
              </w:tc>
            </w:tr>
            <w:tr w14:paraId="0254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46" w:type="pct"/>
                  <w:tcBorders>
                    <w:top w:val="single" w:color="000000" w:sz="4" w:space="0"/>
                    <w:left w:val="single" w:color="000000" w:sz="12" w:space="0"/>
                    <w:bottom w:val="single" w:color="000000" w:sz="12" w:space="0"/>
                    <w:right w:val="single" w:color="000000" w:sz="4" w:space="0"/>
                  </w:tcBorders>
                  <w:shd w:val="clear" w:color="auto" w:fill="FFFFFF"/>
                  <w:tcMar>
                    <w:top w:w="15" w:type="dxa"/>
                    <w:left w:w="15" w:type="dxa"/>
                    <w:bottom w:w="15" w:type="dxa"/>
                    <w:right w:w="15" w:type="dxa"/>
                  </w:tcMar>
                  <w:vAlign w:val="center"/>
                </w:tcPr>
                <w:p w14:paraId="7B68BCE5">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951" w:type="pct"/>
                  <w:tcBorders>
                    <w:top w:val="single" w:color="000000" w:sz="4" w:space="0"/>
                    <w:left w:val="single" w:color="000000" w:sz="4" w:space="0"/>
                    <w:bottom w:val="single" w:color="000000" w:sz="12" w:space="0"/>
                    <w:right w:val="single" w:color="000000" w:sz="4" w:space="0"/>
                  </w:tcBorders>
                  <w:shd w:val="clear" w:color="auto" w:fill="FFFFFF"/>
                  <w:tcMar>
                    <w:top w:w="15" w:type="dxa"/>
                    <w:left w:w="15" w:type="dxa"/>
                    <w:bottom w:w="15" w:type="dxa"/>
                    <w:right w:w="15" w:type="dxa"/>
                  </w:tcMar>
                  <w:vAlign w:val="center"/>
                </w:tcPr>
                <w:p w14:paraId="38CF6A6B">
                  <w:pPr>
                    <w:pStyle w:val="29"/>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通信保密性</w:t>
                  </w:r>
                </w:p>
              </w:tc>
              <w:tc>
                <w:tcPr>
                  <w:tcW w:w="3703" w:type="pct"/>
                  <w:tcBorders>
                    <w:top w:val="single" w:color="000000" w:sz="4" w:space="0"/>
                    <w:left w:val="single" w:color="000000" w:sz="4" w:space="0"/>
                    <w:bottom w:val="single" w:color="000000" w:sz="12" w:space="0"/>
                    <w:right w:val="single" w:color="000000" w:sz="12" w:space="0"/>
                  </w:tcBorders>
                  <w:shd w:val="clear" w:color="auto" w:fill="FFFFFF"/>
                  <w:tcMar>
                    <w:top w:w="15" w:type="dxa"/>
                    <w:left w:w="15" w:type="dxa"/>
                    <w:bottom w:w="15" w:type="dxa"/>
                    <w:right w:w="15" w:type="dxa"/>
                  </w:tcMar>
                  <w:vAlign w:val="center"/>
                </w:tcPr>
                <w:p w14:paraId="61C23337">
                  <w:pPr>
                    <w:pStyle w:val="29"/>
                    <w:spacing w:line="360" w:lineRule="auto"/>
                    <w:jc w:val="both"/>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应对通信过程中的整个报文或会话过程进行加密。</w:t>
                  </w:r>
                </w:p>
              </w:tc>
            </w:tr>
          </w:tbl>
          <w:p w14:paraId="264CB91D">
            <w:pPr>
              <w:pStyle w:val="7"/>
              <w:numPr>
                <w:ilvl w:val="4"/>
                <w:numId w:val="0"/>
              </w:numPr>
              <w:rPr>
                <w:rFonts w:hint="eastAsia" w:ascii="仿宋" w:hAnsi="仿宋" w:eastAsia="仿宋" w:cs="仿宋"/>
                <w:sz w:val="21"/>
                <w:szCs w:val="21"/>
              </w:rPr>
            </w:pPr>
            <w:bookmarkStart w:id="188" w:name="_Toc443596728"/>
            <w:r>
              <w:rPr>
                <w:rFonts w:hint="eastAsia" w:ascii="仿宋" w:hAnsi="仿宋" w:eastAsia="仿宋" w:cs="仿宋"/>
                <w:sz w:val="21"/>
                <w:szCs w:val="21"/>
              </w:rPr>
              <w:t>4.2.5.2.2数据备份</w:t>
            </w:r>
            <w:bookmarkEnd w:id="188"/>
          </w:p>
          <w:p w14:paraId="10ABECF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系统数据的备份包括数据库备份及应用系统的备份。</w:t>
            </w:r>
          </w:p>
          <w:p w14:paraId="04C23F8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提供完善的数据备份恢复服务策略。保护数据完整性，避免关键性数据丢失，并在发生故障时尽快修复应用服务。</w:t>
            </w:r>
          </w:p>
          <w:p w14:paraId="68A2D0B6">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4.2.5.2.2.1备份策略制定</w:t>
            </w:r>
          </w:p>
          <w:p w14:paraId="2F834C8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备份类型：采用全量备份和增量备份相结合的方式，定期进行全量备份，每天进行增量备份，确保数据的完整性和一致性。</w:t>
            </w:r>
          </w:p>
          <w:p w14:paraId="7582BCD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备份频率：根据数据的重要性和变化频率，确定合理的备份频率。对于关键业务数据，每天进行备份；对于变化较小的数据，每周进行备份。</w:t>
            </w:r>
          </w:p>
          <w:p w14:paraId="6E2D80D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备份存储：将备份数据存储在不同的物理位置，如本地磁盘、磁带库、异地数据中心等，避免因单点故障导致备份数据丢失。</w:t>
            </w:r>
          </w:p>
          <w:p w14:paraId="60CA0874">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4.2.5.2.2.2备份执行与监控</w:t>
            </w:r>
          </w:p>
          <w:p w14:paraId="41E3628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自动化备份：使用专业的备份软件，实现备份过程的自动化。设置定时任务，定期执行备份操作，确保备份工作的及时性和准确性。</w:t>
            </w:r>
          </w:p>
          <w:p w14:paraId="5987428E">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备份验证：定期对备份数据进行恢复测试，验证备份数据的可用性和完整性。确保在需要恢复数据时，能够快速、准确地恢复到最近一次备份的状态。</w:t>
            </w:r>
          </w:p>
          <w:p w14:paraId="092E00D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备份监控：建立备份监控系统，实时监控备份任务的执行情况。当备份任务出现异常时，及时发出预警，通知管理员进行处理。</w:t>
            </w:r>
          </w:p>
          <w:p w14:paraId="0E1BB260">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4.2.5.2.2.3恢复策略与演练</w:t>
            </w:r>
          </w:p>
          <w:p w14:paraId="7F8AB3A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恢复流程：制定详细的数据恢复流程，明确在不同情况下的数据恢复步骤和责任分工。确保在系统出现故障时，能够按照既定流程快速恢复数据和服务。</w:t>
            </w:r>
          </w:p>
          <w:p w14:paraId="5BF3AE7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恢复演练：定期进行数据恢复演练，检验恢复流程的可行性和有效性。通过演练，发现恢复过程中存在的问题，并及时进行改进。</w:t>
            </w:r>
          </w:p>
          <w:p w14:paraId="6AD57427">
            <w:pPr>
              <w:pStyle w:val="7"/>
              <w:numPr>
                <w:ilvl w:val="4"/>
                <w:numId w:val="0"/>
              </w:numPr>
              <w:rPr>
                <w:rFonts w:hint="eastAsia" w:ascii="仿宋" w:hAnsi="仿宋" w:eastAsia="仿宋" w:cs="仿宋"/>
                <w:sz w:val="21"/>
                <w:szCs w:val="21"/>
              </w:rPr>
            </w:pPr>
            <w:bookmarkStart w:id="189" w:name="_Toc443596729"/>
            <w:r>
              <w:rPr>
                <w:rFonts w:hint="eastAsia" w:ascii="仿宋" w:hAnsi="仿宋" w:eastAsia="仿宋" w:cs="仿宋"/>
                <w:sz w:val="21"/>
                <w:szCs w:val="21"/>
              </w:rPr>
              <w:t>4.2.5.2.3日志审计</w:t>
            </w:r>
            <w:bookmarkEnd w:id="189"/>
          </w:p>
          <w:p w14:paraId="0AB84D93">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提供所有系统操作日志记录，具备防止篡改的审计追踪功能，包括对系统参数、用户数据的增删操作，以及系统登录等其他重要操作，确保系统安全运行。</w:t>
            </w:r>
          </w:p>
          <w:p w14:paraId="4D90997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过应用层访问和数据库操作请求进行多层业务关联审计，实现用户信息的完全追溯，包括：操作发生的URL、客户端的IP、请求报文等信息，通过多层业务关联审计更精确地定位事件发生前后所有层面的访问及操作请求，使管理人员对用户的行为一目了然，真正做到数据库操作行为可监控，违规操作可追溯。</w:t>
            </w:r>
          </w:p>
          <w:p w14:paraId="27EF5A0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为确保系统的安全性和合规性，我们将采取以下措施：</w:t>
            </w:r>
          </w:p>
          <w:p w14:paraId="49839F8C">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4.2.5.2.3.1日志收集与存储</w:t>
            </w:r>
          </w:p>
          <w:p w14:paraId="6B83AA1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日志收集：在系统的各个组件中配置日志收集功能，收集系统运行日志、用户操作日志、数据库操作日志等。确保所有重要的操作和事件都有日志记录。</w:t>
            </w:r>
          </w:p>
          <w:p w14:paraId="7DEE11CB">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存储：将收集到的日志数据存储在专门的日志服务器或日志管理系统中。采用分布式存储架构，确保日志数据的安全性和可靠性。设置合理的日志保留期限，根据法律法规和业务需求，保留足够长时间的日志数据。</w:t>
            </w:r>
          </w:p>
          <w:p w14:paraId="7DC8DB51">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4.2.5.2.3.2日志分析与审计</w:t>
            </w:r>
          </w:p>
          <w:p w14:paraId="3EB597B2">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日志分析工具：使用专业的日志分析工具对日志数据进行实时分析和处理。通过设置规则和告警阈值，及时发现异常行为和安全事件。</w:t>
            </w:r>
          </w:p>
          <w:p w14:paraId="35B4733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审计报表生成：定期生成审计报表，对系统的安全状况进行全面评估。审计报表应包括系统活动统计、异常行为分析、安全事件处理情况等内容，为管理人员提供决策支持。</w:t>
            </w:r>
          </w:p>
          <w:p w14:paraId="574D39E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合规性检查：定期进行合规性检查，确保系统的日志审计功能符合相关法律法规和行业标准的要求。例如，检查日志记录是否完整、是否可追溯，审计报表是否及时生成等。</w:t>
            </w:r>
          </w:p>
          <w:p w14:paraId="7A4F9DF7">
            <w:pPr>
              <w:pStyle w:val="8"/>
              <w:numPr>
                <w:ilvl w:val="5"/>
                <w:numId w:val="0"/>
              </w:numPr>
              <w:rPr>
                <w:rFonts w:hint="eastAsia" w:ascii="仿宋" w:hAnsi="仿宋" w:eastAsia="仿宋" w:cs="仿宋"/>
                <w:sz w:val="21"/>
                <w:szCs w:val="21"/>
              </w:rPr>
            </w:pPr>
            <w:r>
              <w:rPr>
                <w:rFonts w:hint="eastAsia" w:ascii="仿宋" w:hAnsi="仿宋" w:eastAsia="仿宋" w:cs="仿宋"/>
                <w:sz w:val="21"/>
                <w:szCs w:val="21"/>
              </w:rPr>
              <w:t>4.2.5.2.3.3日志安全与防篡改</w:t>
            </w:r>
          </w:p>
          <w:p w14:paraId="7D794A3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日志加密：对敏感的日志数据进行加密处理，确保日志数据在传输和存储过程中的安全性。</w:t>
            </w:r>
          </w:p>
          <w:p w14:paraId="51AF8808">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访问控制：对日志系统的访问进行严格控制，只有授权的人员才能访问和查看日志数据。设置不同的访问权限，根据用户的角色和职责，限制其对日志数据的访问范围。</w:t>
            </w:r>
          </w:p>
          <w:p w14:paraId="22BFED87">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防篡改措施：采用数字签名、时间戳等技术，确保日志数据的完整性和不可篡改。定期对日志数据进行校验，发现异常情况及时进行处理。</w:t>
            </w:r>
          </w:p>
          <w:p w14:paraId="25AEB377">
            <w:pPr>
              <w:pStyle w:val="5"/>
              <w:numPr>
                <w:ilvl w:val="2"/>
                <w:numId w:val="0"/>
              </w:numPr>
              <w:rPr>
                <w:rFonts w:hint="eastAsia" w:ascii="仿宋" w:hAnsi="仿宋" w:eastAsia="仿宋" w:cs="仿宋"/>
                <w:sz w:val="21"/>
                <w:szCs w:val="21"/>
              </w:rPr>
            </w:pPr>
            <w:bookmarkStart w:id="190" w:name="_Toc3462"/>
            <w:bookmarkStart w:id="191" w:name="_Toc127382365"/>
            <w:r>
              <w:rPr>
                <w:rFonts w:hint="eastAsia" w:ascii="仿宋" w:hAnsi="仿宋" w:eastAsia="仿宋" w:cs="仿宋"/>
                <w:sz w:val="21"/>
                <w:szCs w:val="21"/>
              </w:rPr>
              <w:t>4.2.6应用支撑设计</w:t>
            </w:r>
            <w:bookmarkEnd w:id="190"/>
            <w:bookmarkEnd w:id="191"/>
          </w:p>
          <w:p w14:paraId="6FD91003">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4.2.6.1公共应用支撑</w:t>
            </w:r>
          </w:p>
          <w:p w14:paraId="41CEC2A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在国家卫生统计直报系统功能优化中，公共应用支撑体系充分依托政务云环境的成熟能力，构建安全、高效、统一的基础服务框架。</w:t>
            </w:r>
          </w:p>
          <w:p w14:paraId="63A1C8B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4.2.6.1.1统一身份认证组件服务</w:t>
            </w:r>
          </w:p>
          <w:p w14:paraId="41BFF05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过复用政务云环境中的统一身份认证组件，实现用户身份的集中化、标准化管理。系统支持多源身份数据接入与整合，可对各级卫生机构用户、管理人员等进行统一身份标识与验证，避免重复认证带来的繁琐操作。同时，采用先进的身份认证技术，如多因素认证，强化身份核验的安全性；通过单点登录机制，用户只需一次认证，即可无缝访问系统内各功能模块，大幅提升用户使用便捷性与系统访问效率，确保用户身份管理的规范性与安全性。</w:t>
            </w:r>
          </w:p>
          <w:p w14:paraId="268EF114">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4.2.6.1.2统一商用密码服务</w:t>
            </w:r>
          </w:p>
          <w:p w14:paraId="726CFD44">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引入政务云的统一商用密码服务，为系统数据全生命周期提供安全保障。在数据传输过程中，运用高强度商用密码算法对数据进行加密处理，防止数据在网络传输时被窃取或篡改，确保数据传输链路的安全性；在数据存储环节，对敏感信息如用户隐私数据、关键统计数据等实施加密存储，结合密钥管理机制，定期更新密钥，保障数据存储的机密性。此外，统一商用密码服务还支持对数据操作进行数字签名与验签，确保数据来源可追溯、操作行为不可抵赖，满足国家对数据安全的合规要求，筑牢系统数据安全防线。</w:t>
            </w:r>
          </w:p>
          <w:p w14:paraId="77439853">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4.2.6.1.3统一短信服务</w:t>
            </w:r>
          </w:p>
          <w:p w14:paraId="55950DC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借助政务云统一短信服务能力，搭建系统与用户间的高效沟通桥梁。该服务支持多样化短信业务场景，无论是数据填报提醒、审核结果通知，还是密码找回、安全预警等消息推送，均可实现快速、准确触达。通过统一的短信接口与模板管理，确保短信内容格式规范、信息准确，同时具备高并发处理能力，可应对业务高峰期大量短信发送需求。此外，统一短信服务还提供发送状态监控与回执功能，便于系统实时掌握短信发送情况，及时处理发送失败等异常问题，提升用户交互体验与系统服务响应效率。</w:t>
            </w:r>
          </w:p>
          <w:p w14:paraId="4FEF65D2">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4.2.6.2自建应用支撑</w:t>
            </w:r>
          </w:p>
          <w:p w14:paraId="33FD5EA9">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自建应用支撑围绕报表引擎服务、ETL工具、表单设计工具、标准接口服务及计算引擎展开，构建起满足国家卫生统计直报系统运行需求的核心能力体系。</w:t>
            </w:r>
          </w:p>
          <w:p w14:paraId="5CACA60E">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4.2.6.2.1报表引擎服务</w:t>
            </w:r>
          </w:p>
          <w:p w14:paraId="26EC3DCD">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报表引擎服务深度融入数据采集全流程，提供可视化的报表与表单设计界面，支持用户自定义报表样式、字段布局及逻辑校验规则。通过拖拽式操作与参数化配置，可快速生成符合卫生统计规范的采集表单，同时具备模板复用功能，大幅提升表单制作效率；在数据采集应用中，报表引擎服务能够实时解析用户填报数据，自动进行格式校验与完整性检查，并将数据精准映射至数据库对应字段，确保数据采集的规范性与准确性。</w:t>
            </w:r>
          </w:p>
          <w:p w14:paraId="77D95C40">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4.2.6.2.2 ETL工具</w:t>
            </w:r>
          </w:p>
          <w:p w14:paraId="09542BB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ETL工具贯穿数据治理与汇总的全生命周期，以图形化工作流设计界面，支持用户灵活编排数据清洗、转换、加载流程。在数据清洗阶段，可通过内置规则库自动识别并修正重复数据、缺失值及错误格式数据；数据转换环节支持字段合并、类型转换、数据脱敏等多种操作，使原始数据标准化；加载过程则依据目标数据库结构，实现数据的高效入库，并通过数据血缘追踪技术，完整记录数据处理轨迹，确保数据的一致性与可追溯性，为后续统计分析筑牢数据质量根基。</w:t>
            </w:r>
          </w:p>
          <w:p w14:paraId="5BCE771B">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4.2.6.2.3表单设计工具</w:t>
            </w:r>
          </w:p>
          <w:p w14:paraId="7A43235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表单设计工具专注于临时性数据采集场景，提供极简且灵活的设计模式。用户无需复杂编程，即可快速创建包含文本框、下拉框、日期选择器等多种组件的采集表单，并支持自定义表单提交逻辑与数据校验规则；同时，具备版本管理功能，可对不同阶段的表单设计进行存档与回溯，方便根据业务需求动态调整表单内容，满足卫生统计工作中多样化、临时性的数据采集需求。</w:t>
            </w:r>
          </w:p>
          <w:p w14:paraId="435224D9">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4.2.6.2.4标准接口服务</w:t>
            </w:r>
          </w:p>
          <w:p w14:paraId="7DB59CB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标准接口服务遵循统一规范，搭建起系统与外部应用的数据交互桥梁。通过制定标准化接口协议与数据格式，支持RESTful、SOAP等多种接口类型，实现与其他卫生信息系统、政务平台的数据对接；提供可视化的接口开发界面，简化接口开发流程，降低开发成本，并配备完善的接口权限管理与访问控制机制，确保数据交互的安全性；同时，具备接口监控与流量控制功能，实时监测接口调用情况，保障接口服务的稳定性与可靠性。</w:t>
            </w:r>
          </w:p>
          <w:p w14:paraId="3F7930C5">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4.2.6.2.5计算引擎服务</w:t>
            </w:r>
          </w:p>
          <w:p w14:paraId="4D43B2F6">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计算引擎服务作为数据处理的核心动力，为数据汇总与报表计算提供强大算力支持。内置丰富的统计分析算法库，涵盖求和、平均值、百分比等基础计算，以及复杂的统计建模与预测算法；支持多维度数据聚合与交叉分析，能够快速处理海量统计数据，并生成精准的计算结果；在报表计算场景中，可根据报表模板与数据规则，自动填充计算结果，实现报表的动态生成，同时具备分布式计算能力，可根据业务负载动态扩展计算资源，确保计算任务高效完成。</w:t>
            </w:r>
          </w:p>
          <w:p w14:paraId="39C10170">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4.2.6.3其他支撑组件</w:t>
            </w:r>
          </w:p>
          <w:p w14:paraId="0A18EC85">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4.2.6.3.1精细化权限控制</w:t>
            </w:r>
          </w:p>
          <w:p w14:paraId="07A0BC85">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基于RBAC（角色权限访问控制）模型，按用户角色（如管理员、填报员、数据分析员）划分系统功能及数据访问权限，同时支持针对特定模块的细粒度权限设置，确保数据访问安全合规。</w:t>
            </w:r>
          </w:p>
          <w:p w14:paraId="3DE09B79">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4.2.6.3.2审计与日志管理</w:t>
            </w:r>
          </w:p>
          <w:p w14:paraId="28B6AD0F">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记录用户登录、权限变更、数据操作等全流程日志，提供多维度检索与审计功能，便于追溯操作行为，满足安全合规要求。</w:t>
            </w:r>
          </w:p>
          <w:p w14:paraId="6F3714D8">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4.2.6.3.3数据标准化管理</w:t>
            </w:r>
          </w:p>
          <w:p w14:paraId="7F1C4C33">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制定统一的数据标准规范，包括数据格式、字段定义、编码规则等，确保各系统数据的一致性；建设元数据管理平台，对数据来源、结构及流转过程进行全生命周期管理，辅助数据治理。</w:t>
            </w:r>
          </w:p>
          <w:p w14:paraId="79927B06">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4.2.6.3.4实时数据同步</w:t>
            </w:r>
          </w:p>
          <w:p w14:paraId="2AA5E9F6">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搭建基于ETL工具的数据同步机制，实现机构管理数据、质控数据等核心业务数据在各系统间的实时同步更新，为决策分析提供准确、及时的数据支撑。</w:t>
            </w:r>
          </w:p>
          <w:p w14:paraId="4947A63E">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4.2.6.3.5系统整合适配</w:t>
            </w:r>
          </w:p>
          <w:p w14:paraId="320B1D67">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提供应用集成框架，实现异构系统与统一门户的无缝对接，支持协议转换与接口适配，消除系统间技术壁垒。</w:t>
            </w:r>
          </w:p>
          <w:p w14:paraId="09CC8DAF">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4.2.6.3.6知识库检索服务</w:t>
            </w:r>
          </w:p>
          <w:p w14:paraId="6E523503">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构建智能检索引擎，支持自然语言查询，覆盖指标解读、操作指导、数据查询等场景；对接指标解释库、操作手册库及卫生健康数据库，实现知识与数据的快速检索与精准推送。</w:t>
            </w:r>
          </w:p>
          <w:p w14:paraId="7C89E883">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4.2.6.3.7文件管理服务</w:t>
            </w:r>
          </w:p>
          <w:p w14:paraId="42921170">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集成文件存储系统，支持机构审核文件、病案附件等资料的上传、存储与在线预览。</w:t>
            </w:r>
          </w:p>
          <w:p w14:paraId="0921B15F">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4.2.6.3.8低代码开发平台</w:t>
            </w:r>
          </w:p>
          <w:p w14:paraId="4DE76EB1">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引入低代码开发工具，针对人力资源档案管理定制化指标采集、机构属性审核等新增功能，实现快速开发与迭代，降低开发成本与周期。</w:t>
            </w:r>
          </w:p>
          <w:p w14:paraId="2B8B44C8">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4.2.6.3.9容器化部署与运维</w:t>
            </w:r>
          </w:p>
          <w:p w14:paraId="3657F40F">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采用技术实现应用的容器化部署与自动化运维，支持系统弹性扩展，保障高可用性与稳定性。</w:t>
            </w:r>
          </w:p>
          <w:p w14:paraId="797194D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4.2.6.4安全与运维支撑</w:t>
            </w:r>
          </w:p>
          <w:p w14:paraId="674A409A">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采用加密保障数据传输安全，对敏感数据进行存储加密；部署Web应用防火墙、入侵检测系统抵御网络攻击，确保系统安全。</w:t>
            </w:r>
          </w:p>
          <w:p w14:paraId="404B25B4">
            <w:pPr>
              <w:pStyle w:val="4"/>
              <w:numPr>
                <w:ilvl w:val="1"/>
                <w:numId w:val="0"/>
              </w:numPr>
              <w:rPr>
                <w:rFonts w:hint="eastAsia" w:ascii="仿宋" w:hAnsi="仿宋" w:eastAsia="仿宋" w:cs="仿宋"/>
                <w:sz w:val="21"/>
                <w:szCs w:val="21"/>
              </w:rPr>
            </w:pPr>
            <w:bookmarkStart w:id="192" w:name="_Toc127382366"/>
            <w:bookmarkStart w:id="193" w:name="_Toc6722"/>
            <w:r>
              <w:rPr>
                <w:rFonts w:hint="eastAsia" w:ascii="仿宋" w:hAnsi="仿宋" w:eastAsia="仿宋" w:cs="仿宋"/>
                <w:sz w:val="21"/>
                <w:szCs w:val="21"/>
              </w:rPr>
              <w:t>4.3数据资源设计</w:t>
            </w:r>
            <w:bookmarkEnd w:id="192"/>
            <w:bookmarkEnd w:id="193"/>
          </w:p>
          <w:p w14:paraId="7AC871AA">
            <w:pPr>
              <w:pStyle w:val="5"/>
              <w:numPr>
                <w:ilvl w:val="2"/>
                <w:numId w:val="0"/>
              </w:numPr>
              <w:rPr>
                <w:rFonts w:hint="eastAsia" w:ascii="仿宋" w:hAnsi="仿宋" w:eastAsia="仿宋" w:cs="仿宋"/>
                <w:sz w:val="21"/>
                <w:szCs w:val="21"/>
              </w:rPr>
            </w:pPr>
            <w:bookmarkStart w:id="194" w:name="_Toc27730"/>
            <w:bookmarkStart w:id="195" w:name="_Toc154670856"/>
            <w:bookmarkStart w:id="196" w:name="_Toc127382368"/>
            <w:bookmarkStart w:id="197" w:name="_Toc117416590"/>
            <w:bookmarkStart w:id="198" w:name="_Hlk110783144"/>
            <w:r>
              <w:rPr>
                <w:rFonts w:hint="eastAsia" w:ascii="仿宋" w:hAnsi="仿宋" w:eastAsia="仿宋" w:cs="仿宋"/>
                <w:sz w:val="21"/>
                <w:szCs w:val="21"/>
              </w:rPr>
              <w:t>4.3.1数据资源规划</w:t>
            </w:r>
            <w:bookmarkEnd w:id="194"/>
            <w:bookmarkEnd w:id="195"/>
          </w:p>
          <w:p w14:paraId="501D7C4D">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根据国家卫生健康委《卫生信息基本数据集编制规范》，结合陕西省卫生健康信息中心业务实际需要，接入数据形成原始库，建设基础库、主题库、专题库。</w:t>
            </w:r>
          </w:p>
          <w:p w14:paraId="60BD70C0">
            <w:pPr>
              <w:pStyle w:val="30"/>
              <w:numPr>
                <w:ilvl w:val="0"/>
                <w:numId w:val="45"/>
              </w:numPr>
              <w:snapToGrid w:val="0"/>
              <w:ind w:left="0" w:firstLine="420"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原始库：用于接入通过各渠道获取的原始数据，对不同来源的数据，按照数据的原始格式进行存储，完成初步的数据汇聚归集，本期项目原始库数据主要来源于国家卫生统计直报系统。</w:t>
            </w:r>
          </w:p>
          <w:p w14:paraId="175D09DF">
            <w:pPr>
              <w:pStyle w:val="30"/>
              <w:numPr>
                <w:ilvl w:val="0"/>
                <w:numId w:val="45"/>
              </w:numPr>
              <w:snapToGrid w:val="0"/>
              <w:ind w:left="0" w:firstLine="420"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础库：本项目核心业务及应用的基本信息数据，构建基础库。依托医疗服务库收纳诊疗服务诊疗人次、出院人数等数据；卫生资源库汇聚设备、床位等卫生资源基础信息；机构库整合医疗机构法人资质、院区分布等机构属性数据；其他库补充如老龄业务等支撑性基础数据，作为数据资源的基础支撑，为后续主题库、专题库建设提供通用基本信息。</w:t>
            </w:r>
          </w:p>
          <w:p w14:paraId="2E7A3CAB">
            <w:pPr>
              <w:pStyle w:val="30"/>
              <w:numPr>
                <w:ilvl w:val="0"/>
                <w:numId w:val="45"/>
              </w:numPr>
              <w:snapToGrid w:val="0"/>
              <w:ind w:left="0" w:firstLine="420"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主题库：围绕某一主题对象进行数据分析和整理后形成的数据集合，是在较高层次对相关对象的完整数据描述，能刻画各个对象所涉及的各个维度、各个要素之间的关系。本期建设主要包括妇幼健康、运营管理、卫生资源、医疗服务、老龄健康、卫生监督、人口家庭等多个库的新增表内容。</w:t>
            </w:r>
          </w:p>
          <w:p w14:paraId="63E81038">
            <w:pPr>
              <w:pStyle w:val="30"/>
              <w:numPr>
                <w:ilvl w:val="0"/>
                <w:numId w:val="45"/>
              </w:numPr>
              <w:snapToGrid w:val="0"/>
              <w:ind w:left="0" w:firstLine="420" w:firstLineChars="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专题库：存储与专项业务相关的来自不同资源、不同主题的数据，服务于某一专门领域的业务应用。本期建设主要包括医疗服务效率质量专题库、一概监测业务专题库、医疗卫生资源专题等多个库的新增表内容</w:t>
            </w:r>
            <w:r>
              <w:rPr>
                <w:rFonts w:hint="eastAsia" w:ascii="仿宋" w:hAnsi="仿宋" w:eastAsia="仿宋" w:cs="仿宋"/>
                <w:color w:val="000000" w:themeColor="text1"/>
                <w:szCs w:val="21"/>
                <w:lang w:val="zh-CN"/>
                <w14:textFill>
                  <w14:solidFill>
                    <w14:schemeClr w14:val="tx1"/>
                  </w14:solidFill>
                </w14:textFill>
              </w:rPr>
              <w:t>。</w:t>
            </w:r>
          </w:p>
          <w:p w14:paraId="634C139A">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具体数据资源规划见表：</w:t>
            </w:r>
          </w:p>
          <w:p w14:paraId="2ECC8260">
            <w:pPr>
              <w:pStyle w:val="14"/>
              <w:rPr>
                <w:rFonts w:hint="eastAsia" w:ascii="仿宋" w:hAnsi="仿宋" w:eastAsia="仿宋" w:cs="仿宋"/>
                <w:szCs w:val="21"/>
              </w:rPr>
            </w:pPr>
            <w:bookmarkStart w:id="199" w:name="_Toc135923400"/>
            <w:bookmarkStart w:id="200" w:name="_Toc133675724"/>
            <w:bookmarkStart w:id="201" w:name="_Toc134643022"/>
            <w:bookmarkStart w:id="202" w:name="_Toc135923168"/>
            <w:r>
              <w:rPr>
                <w:rFonts w:hint="eastAsia" w:ascii="仿宋" w:hAnsi="仿宋" w:eastAsia="仿宋" w:cs="仿宋"/>
                <w:szCs w:val="21"/>
              </w:rPr>
              <w:t>数据资源规划表</w:t>
            </w:r>
            <w:bookmarkEnd w:id="199"/>
            <w:bookmarkEnd w:id="200"/>
            <w:bookmarkEnd w:id="201"/>
            <w:bookmarkEnd w:id="202"/>
          </w:p>
          <w:tbl>
            <w:tblPr>
              <w:tblStyle w:val="17"/>
              <w:tblW w:w="7557" w:type="dxa"/>
              <w:jc w:val="center"/>
              <w:tblLayout w:type="autofit"/>
              <w:tblCellMar>
                <w:top w:w="0" w:type="dxa"/>
                <w:left w:w="108" w:type="dxa"/>
                <w:bottom w:w="0" w:type="dxa"/>
                <w:right w:w="108" w:type="dxa"/>
              </w:tblCellMar>
            </w:tblPr>
            <w:tblGrid>
              <w:gridCol w:w="603"/>
              <w:gridCol w:w="1327"/>
              <w:gridCol w:w="1691"/>
              <w:gridCol w:w="2173"/>
              <w:gridCol w:w="1763"/>
            </w:tblGrid>
            <w:tr w14:paraId="5D091DA7">
              <w:tblPrEx>
                <w:tblCellMar>
                  <w:top w:w="0" w:type="dxa"/>
                  <w:left w:w="108" w:type="dxa"/>
                  <w:bottom w:w="0" w:type="dxa"/>
                  <w:right w:w="108" w:type="dxa"/>
                </w:tblCellMar>
              </w:tblPrEx>
              <w:trPr>
                <w:trHeight w:val="868" w:hRule="atLeast"/>
                <w:tblHeader/>
                <w:jc w:val="center"/>
              </w:trPr>
              <w:tc>
                <w:tcPr>
                  <w:tcW w:w="603"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D79067D">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序号</w:t>
                  </w:r>
                </w:p>
              </w:tc>
              <w:tc>
                <w:tcPr>
                  <w:tcW w:w="1327"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0D6CCFC5">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类别</w:t>
                  </w:r>
                </w:p>
              </w:tc>
              <w:tc>
                <w:tcPr>
                  <w:tcW w:w="1691"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5A804C1E">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数据库</w:t>
                  </w:r>
                </w:p>
              </w:tc>
              <w:tc>
                <w:tcPr>
                  <w:tcW w:w="2173"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170CE6F3">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核心数据内容</w:t>
                  </w:r>
                </w:p>
              </w:tc>
              <w:tc>
                <w:tcPr>
                  <w:tcW w:w="1763"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625D5C54">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备注</w:t>
                  </w:r>
                </w:p>
              </w:tc>
            </w:tr>
            <w:tr w14:paraId="74B20C4B">
              <w:tblPrEx>
                <w:tblCellMar>
                  <w:top w:w="0" w:type="dxa"/>
                  <w:left w:w="108" w:type="dxa"/>
                  <w:bottom w:w="0" w:type="dxa"/>
                  <w:right w:w="108" w:type="dxa"/>
                </w:tblCellMar>
              </w:tblPrEx>
              <w:trPr>
                <w:trHeight w:val="1331"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E6CF14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BDE74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原始库</w:t>
                  </w:r>
                </w:p>
              </w:tc>
              <w:tc>
                <w:tcPr>
                  <w:tcW w:w="16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711E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原始库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4F22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接入的国家卫生统计直报系统原始数据信息 </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20D0E9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11ACA9BB">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03FF30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2DDDA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基础库</w:t>
                  </w: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3DFA0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数据采集库 </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6779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C817D9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72E7537C">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C80B6B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1765EC">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7C18CC">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3239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月报信息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27F146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472639E">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368539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DD26E">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B7359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18E4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季报信息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C03D20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5E9777C3">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B6854A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3CDF8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02C7C0">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C58E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实时报信息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FD313F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D066E18">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069B52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164F6">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A7E6F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数据分析库 </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AC3F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机构基本信息情况</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F74CC7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146A410A">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9CBD64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0D652">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25BE24">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FF26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人员信息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345F2B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302ABC92">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F10991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5C76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9C7C6">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2325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床位信息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9B2872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447B3CB">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59E0ED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43978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67914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54C6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设备信息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A25334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ACBA92C">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A7677B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A8BE9">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52896">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CB320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收入与支出信息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B4CC00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7F574CBD">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6548B4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70344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51C0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80D7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资产与负债信息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A7D5AA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865F4EB">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AC1169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D24B0A">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15ECE">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C6B9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基本公共卫生信息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93D29F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5082EEB2">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18B448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C65D9">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A2C13">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FD43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分科情况信息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7563E9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0C516E9C">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2F7A76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758F3">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23D62">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7026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中医特色指标信息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48976F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758FA7AC">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AD2DB8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E7A2BD">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C1E858">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E605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医疗能耗情况信息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32C31D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7DEF9E7B">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FEA883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91E5A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BA691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决策分析库 </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9EF9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卫生资源</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DBBBDC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17AD3942">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75F0B4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099285">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D0758">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2B18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医疗服务</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0770EB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03696260">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C350CF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F65079">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C277A2">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E3CB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病案首页分析</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4761C1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282A1D4">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168EBA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19</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173BA6">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05C643">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30BA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医改监测数据分析</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FCEA21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06BCD4D7">
              <w:tblPrEx>
                <w:tblCellMar>
                  <w:top w:w="0" w:type="dxa"/>
                  <w:left w:w="108" w:type="dxa"/>
                  <w:bottom w:w="0" w:type="dxa"/>
                  <w:right w:w="108" w:type="dxa"/>
                </w:tblCellMar>
              </w:tblPrEx>
              <w:trPr>
                <w:trHeight w:val="848"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676DB4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223A0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07B080">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A270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转（院）就诊记录信息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1089AC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CBB5FDC">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08A38D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65082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F56D0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数据资产库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7175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年报信息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06550B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52A47D71">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57B534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7F6E3B">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BD8072">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BE8A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月报信息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0066CB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08A31EB">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07FC3E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23</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60D0C5">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30A35">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3D0F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季报信息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BDAEE1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083B679B">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644EFC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24</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AE284A">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41EBFE">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F93F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实时报信息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C7C8DE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4BCF882">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D08285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25</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25E51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主题库</w:t>
                  </w: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138E1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机构基本信息库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16B0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机构属性信息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66CF84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B518097">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800F85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26</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8671AD">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BB26DC">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72014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机构管理信息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0C9FBC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3BAF0258">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E4461E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27</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C33415">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D806A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人员信息库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4050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人员基础信息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B85BF3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568FD7EE">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B6BEF9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28</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7CAD4">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F28A4E">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D6AC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培训信息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54DF79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6DCFFE7B">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E5599C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29</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7D2DF9">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E53C44">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FDF5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状态信息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6B634D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0F6D948">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ED072E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30</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B45E68">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8362B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床位信息</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35F1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实有床位信息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6977FD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60977C10">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BBD592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070A0">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19274">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ECA3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编制床位信息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277DD5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1E7B13F">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6C38DE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05AD06">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562B92">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5D84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其他床位信息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B2E30A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1D345CFE">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151642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33</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106DDE">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6B42B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设备信息库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1747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设备价值信息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F1132F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3C87E2DE">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1840654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34</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98CE0C">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AB2CE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040A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具体设备数量</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FD2D5F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780397EE">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679700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35</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876D5E">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70DFB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收入与支出信息库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2D01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总收入</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CB6EBB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7A2D43E">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2C8B57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36</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5863C6">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C49C08">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94FF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总费用</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54BF97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017A8BB2">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195CB0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37</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34E524">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C1933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75BE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医疗收入信息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D49264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7FECE155">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2D1BE2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38</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111ED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A95732">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C160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医疗费用信息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835F87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2D0A249">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348926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39</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377D57">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4A1CD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资产与负债信息库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4103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总资产信息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A8D65E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67E0858">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B6A525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40</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EC08BF">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866C1C">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7CC1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总负债信息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2D00E0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0F2AF32">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CCF664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F783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C6D36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分科信息库</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7C59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科室人员信息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73F159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01E10B91">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78ED31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E472FE">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6D6CD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13A6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科室床位信息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517337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F22CDB3">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90F25A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307116">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601A0B">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ACAD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科室诊疗信息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398D92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50340FEE">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96190E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BEFD3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专题库</w:t>
                  </w: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FA1CC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医疗服务效率与质量专题 </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A4AA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门诊服务信息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FA4C1B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1AA728B6">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F97B01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3B17A">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1E901">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C5D4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住院服务信息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0DB0C9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5A0218BD">
              <w:tblPrEx>
                <w:tblCellMar>
                  <w:top w:w="0" w:type="dxa"/>
                  <w:left w:w="108" w:type="dxa"/>
                  <w:bottom w:w="0" w:type="dxa"/>
                  <w:right w:w="108" w:type="dxa"/>
                </w:tblCellMar>
              </w:tblPrEx>
              <w:trPr>
                <w:trHeight w:val="457"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AA3265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455639">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8D8098">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2C72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病人医药费信息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9D02D9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314984E5">
              <w:tblPrEx>
                <w:tblCellMar>
                  <w:top w:w="0" w:type="dxa"/>
                  <w:left w:w="108" w:type="dxa"/>
                  <w:bottom w:w="0" w:type="dxa"/>
                  <w:right w:w="108" w:type="dxa"/>
                </w:tblCellMar>
              </w:tblPrEx>
              <w:trPr>
                <w:trHeight w:val="848"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D2E200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47</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C7293">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49E83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医疗卫生资源专题</w:t>
                  </w: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D50A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医疗机构人员管理信息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8FE578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47AEB94B">
              <w:tblPrEx>
                <w:tblCellMar>
                  <w:top w:w="0" w:type="dxa"/>
                  <w:left w:w="108" w:type="dxa"/>
                  <w:bottom w:w="0" w:type="dxa"/>
                  <w:right w:w="108" w:type="dxa"/>
                </w:tblCellMar>
              </w:tblPrEx>
              <w:trPr>
                <w:trHeight w:val="848" w:hRule="atLeast"/>
                <w:tblHeader/>
                <w:jc w:val="center"/>
              </w:trPr>
              <w:tc>
                <w:tcPr>
                  <w:tcW w:w="603"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68226A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48</w:t>
                  </w: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0A5A4B">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556393">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0204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医疗机构床位管理信息</w:t>
                  </w:r>
                </w:p>
              </w:tc>
              <w:tc>
                <w:tcPr>
                  <w:tcW w:w="1763"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D68128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r w14:paraId="263D6343">
              <w:tblPrEx>
                <w:tblCellMar>
                  <w:top w:w="0" w:type="dxa"/>
                  <w:left w:w="108" w:type="dxa"/>
                  <w:bottom w:w="0" w:type="dxa"/>
                  <w:right w:w="108" w:type="dxa"/>
                </w:tblCellMar>
              </w:tblPrEx>
              <w:trPr>
                <w:trHeight w:val="537" w:hRule="atLeast"/>
                <w:tblHeader/>
                <w:jc w:val="center"/>
              </w:trPr>
              <w:tc>
                <w:tcPr>
                  <w:tcW w:w="603"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5B8F305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49</w:t>
                  </w:r>
                </w:p>
              </w:tc>
              <w:tc>
                <w:tcPr>
                  <w:tcW w:w="1327" w:type="dxa"/>
                  <w:vMerge w:val="continue"/>
                  <w:tcBorders>
                    <w:top w:val="single" w:color="000000" w:sz="4" w:space="0"/>
                    <w:left w:val="single" w:color="000000" w:sz="4" w:space="0"/>
                    <w:bottom w:val="single" w:color="000000" w:sz="12" w:space="0"/>
                    <w:right w:val="single" w:color="000000" w:sz="4" w:space="0"/>
                  </w:tcBorders>
                  <w:shd w:val="clear" w:color="auto" w:fill="FFFFFF"/>
                  <w:vAlign w:val="center"/>
                </w:tcPr>
                <w:p w14:paraId="6DEBA99F">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1691" w:type="dxa"/>
                  <w:vMerge w:val="continue"/>
                  <w:tcBorders>
                    <w:top w:val="single" w:color="000000" w:sz="4" w:space="0"/>
                    <w:left w:val="single" w:color="000000" w:sz="4" w:space="0"/>
                    <w:bottom w:val="single" w:color="000000" w:sz="12" w:space="0"/>
                    <w:right w:val="single" w:color="000000" w:sz="4" w:space="0"/>
                  </w:tcBorders>
                  <w:shd w:val="clear" w:color="auto" w:fill="FFFFFF"/>
                  <w:vAlign w:val="center"/>
                </w:tcPr>
                <w:p w14:paraId="756E4B5D">
                  <w:pPr>
                    <w:snapToGrid w:val="0"/>
                    <w:spacing w:line="360" w:lineRule="auto"/>
                    <w:rPr>
                      <w:rFonts w:hint="eastAsia" w:ascii="仿宋" w:hAnsi="仿宋" w:eastAsia="仿宋" w:cs="仿宋"/>
                      <w:color w:val="000000" w:themeColor="text1"/>
                      <w:szCs w:val="21"/>
                      <w14:textFill>
                        <w14:solidFill>
                          <w14:schemeClr w14:val="tx1"/>
                        </w14:solidFill>
                      </w14:textFill>
                    </w:rPr>
                  </w:pPr>
                </w:p>
              </w:tc>
              <w:tc>
                <w:tcPr>
                  <w:tcW w:w="2173"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262D681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医疗机构设备信息</w:t>
                  </w:r>
                </w:p>
              </w:tc>
              <w:tc>
                <w:tcPr>
                  <w:tcW w:w="1763"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7B66231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迁移/优化</w:t>
                  </w:r>
                </w:p>
              </w:tc>
            </w:tr>
          </w:tbl>
          <w:p w14:paraId="25F879D8">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p>
          <w:p w14:paraId="16F06080">
            <w:pPr>
              <w:pStyle w:val="5"/>
              <w:numPr>
                <w:ilvl w:val="2"/>
                <w:numId w:val="0"/>
              </w:numPr>
              <w:rPr>
                <w:rFonts w:hint="eastAsia" w:ascii="仿宋" w:hAnsi="仿宋" w:eastAsia="仿宋" w:cs="仿宋"/>
                <w:sz w:val="21"/>
                <w:szCs w:val="21"/>
              </w:rPr>
            </w:pPr>
            <w:bookmarkStart w:id="203" w:name="_Toc9539"/>
            <w:r>
              <w:rPr>
                <w:rFonts w:hint="eastAsia" w:ascii="仿宋" w:hAnsi="仿宋" w:eastAsia="仿宋" w:cs="仿宋"/>
                <w:sz w:val="21"/>
                <w:szCs w:val="21"/>
              </w:rPr>
              <w:t>4.3.2数据治理</w:t>
            </w:r>
            <w:bookmarkEnd w:id="196"/>
            <w:bookmarkEnd w:id="203"/>
          </w:p>
          <w:p w14:paraId="1E9A7CBC">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按照《陕西省大数据条例》等政策文件相关要求，依据陕西省医疗卫生现状，统筹建设国家卫生统计直报系统统一数据底座，围绕“一数一源一标准”要求，结合业务流程梳理各业务数据现状与需求，规划建设完善全省卫生健康数据目录体系，梳理国家标准、行业标准、地方标准，规划制定全省卫生健康信息标准体系框架及标准清单。开展源头治理，做好系统治理，厘清数据提供方、数据使用方和数据管理方在数据治理中的权责关系，规划建立完善数据全生命周期质量管控体系。</w:t>
            </w:r>
          </w:p>
          <w:p w14:paraId="29CFCE6C">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本期项目利用国家卫生统计直报系统统一数据底座开展数据采集接入、数据标准化治理和数据库建设。</w:t>
            </w:r>
          </w:p>
          <w:p w14:paraId="2422479B">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4.3.2.1统一数据底座</w:t>
            </w:r>
          </w:p>
          <w:p w14:paraId="4B249B1F">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本期项目依托国家卫生统计直报系统统一数据底座实现数据处理、数据共享交互、数据同步等功能，数据底座功能如下：</w:t>
            </w:r>
          </w:p>
          <w:p w14:paraId="4EA9B072">
            <w:pPr>
              <w:pStyle w:val="14"/>
              <w:rPr>
                <w:rFonts w:hint="eastAsia" w:ascii="仿宋" w:hAnsi="仿宋" w:eastAsia="仿宋" w:cs="仿宋"/>
                <w:szCs w:val="21"/>
                <w:lang w:val="zh-CN"/>
              </w:rPr>
            </w:pPr>
            <w:r>
              <w:rPr>
                <w:rFonts w:hint="eastAsia" w:ascii="仿宋" w:hAnsi="仿宋" w:eastAsia="仿宋" w:cs="仿宋"/>
                <w:szCs w:val="21"/>
                <w:lang w:val="zh-CN"/>
              </w:rPr>
              <w:t>统一数据底座功能列表</w:t>
            </w:r>
          </w:p>
          <w:tbl>
            <w:tblPr>
              <w:tblStyle w:val="17"/>
              <w:tblW w:w="7679" w:type="dxa"/>
              <w:jc w:val="center"/>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Layout w:type="autofit"/>
              <w:tblCellMar>
                <w:top w:w="0" w:type="dxa"/>
                <w:left w:w="108" w:type="dxa"/>
                <w:bottom w:w="0" w:type="dxa"/>
                <w:right w:w="108" w:type="dxa"/>
              </w:tblCellMar>
            </w:tblPr>
            <w:tblGrid>
              <w:gridCol w:w="678"/>
              <w:gridCol w:w="1251"/>
              <w:gridCol w:w="2580"/>
              <w:gridCol w:w="3170"/>
            </w:tblGrid>
            <w:tr w14:paraId="515733E6">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48" w:hRule="atLeast"/>
                <w:tblHeader/>
                <w:jc w:val="center"/>
              </w:trPr>
              <w:tc>
                <w:tcPr>
                  <w:tcW w:w="678" w:type="dxa"/>
                  <w:tcBorders>
                    <w:bottom w:val="single" w:color="000000" w:sz="4" w:space="0"/>
                    <w:right w:val="single" w:color="000000" w:sz="4" w:space="0"/>
                    <w:tl2br w:val="nil"/>
                  </w:tcBorders>
                  <w:shd w:val="clear" w:color="auto" w:fill="FFFFFF"/>
                  <w:vAlign w:val="bottom"/>
                </w:tcPr>
                <w:p w14:paraId="3140DDDE">
                  <w:pPr>
                    <w:snapToGrid w:val="0"/>
                    <w:spacing w:line="360" w:lineRule="auto"/>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序号</w:t>
                  </w:r>
                </w:p>
              </w:tc>
              <w:tc>
                <w:tcPr>
                  <w:tcW w:w="7001" w:type="dxa"/>
                  <w:gridSpan w:val="3"/>
                  <w:tcBorders>
                    <w:left w:val="single" w:color="000000" w:sz="4" w:space="0"/>
                    <w:bottom w:val="single" w:color="000000" w:sz="4" w:space="0"/>
                  </w:tcBorders>
                  <w:shd w:val="clear" w:color="auto" w:fill="FFFFFF"/>
                  <w:vAlign w:val="bottom"/>
                </w:tcPr>
                <w:p w14:paraId="4642C10A">
                  <w:pPr>
                    <w:snapToGrid w:val="0"/>
                    <w:spacing w:line="360" w:lineRule="auto"/>
                    <w:jc w:val="center"/>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功能模块</w:t>
                  </w:r>
                </w:p>
              </w:tc>
            </w:tr>
            <w:tr w14:paraId="7FA789A8">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52090B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08F1F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数据采集</w:t>
                  </w: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2014D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数据探查</w:t>
                  </w:r>
                </w:p>
              </w:tc>
              <w:tc>
                <w:tcPr>
                  <w:tcW w:w="3170" w:type="dxa"/>
                  <w:tcBorders>
                    <w:top w:val="single" w:color="000000" w:sz="4" w:space="0"/>
                    <w:left w:val="single" w:color="000000" w:sz="4" w:space="0"/>
                    <w:bottom w:val="single" w:color="000000" w:sz="4" w:space="0"/>
                  </w:tcBorders>
                  <w:shd w:val="clear" w:color="auto" w:fill="FFFFFF"/>
                  <w:vAlign w:val="center"/>
                </w:tcPr>
                <w:p w14:paraId="141E103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探查任务</w:t>
                  </w:r>
                </w:p>
              </w:tc>
            </w:tr>
            <w:tr w14:paraId="759D0252">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2CA1E2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41627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04DAC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5D89488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探查任务日志</w:t>
                  </w:r>
                </w:p>
              </w:tc>
            </w:tr>
            <w:tr w14:paraId="6159285E">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57CD1C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5FB5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DAD65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离线数据接入</w:t>
                  </w:r>
                </w:p>
              </w:tc>
              <w:tc>
                <w:tcPr>
                  <w:tcW w:w="3170" w:type="dxa"/>
                  <w:tcBorders>
                    <w:top w:val="single" w:color="000000" w:sz="4" w:space="0"/>
                    <w:left w:val="single" w:color="000000" w:sz="4" w:space="0"/>
                    <w:bottom w:val="single" w:color="000000" w:sz="4" w:space="0"/>
                  </w:tcBorders>
                  <w:shd w:val="clear" w:color="auto" w:fill="FFFFFF"/>
                  <w:vAlign w:val="center"/>
                </w:tcPr>
                <w:p w14:paraId="6C80B00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离线任务分类</w:t>
                  </w:r>
                </w:p>
              </w:tc>
            </w:tr>
            <w:tr w14:paraId="73BB4D76">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43CA475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37684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5B8CF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331C795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数据智能同步</w:t>
                  </w:r>
                </w:p>
              </w:tc>
            </w:tr>
            <w:tr w14:paraId="5BD35DE5">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73EDFDA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614D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E6227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7164CED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数据交换工具</w:t>
                  </w:r>
                </w:p>
              </w:tc>
            </w:tr>
            <w:tr w14:paraId="490CA0D8">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F79B62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F27A3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5116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468F0D1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数据搬迁</w:t>
                  </w:r>
                </w:p>
              </w:tc>
            </w:tr>
            <w:tr w14:paraId="55B67888">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F9C465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5B00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6D92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67FA2D0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离线任务列表</w:t>
                  </w:r>
                </w:p>
              </w:tc>
            </w:tr>
            <w:tr w14:paraId="53951FCD">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7B3F7BC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DE325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87A58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16E4869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离线任务日志</w:t>
                  </w:r>
                </w:p>
              </w:tc>
            </w:tr>
            <w:tr w14:paraId="02756198">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4FF8903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DB66A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27066B8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实时数据接入</w:t>
                  </w:r>
                </w:p>
              </w:tc>
            </w:tr>
            <w:tr w14:paraId="7B2AD507">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63F52E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330BD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E398F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日志接入</w:t>
                  </w:r>
                </w:p>
              </w:tc>
              <w:tc>
                <w:tcPr>
                  <w:tcW w:w="3170" w:type="dxa"/>
                  <w:tcBorders>
                    <w:top w:val="single" w:color="000000" w:sz="4" w:space="0"/>
                    <w:left w:val="single" w:color="000000" w:sz="4" w:space="0"/>
                    <w:bottom w:val="single" w:color="000000" w:sz="4" w:space="0"/>
                  </w:tcBorders>
                  <w:shd w:val="clear" w:color="auto" w:fill="FFFFFF"/>
                  <w:vAlign w:val="center"/>
                </w:tcPr>
                <w:p w14:paraId="4D23C77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接入配置</w:t>
                  </w:r>
                </w:p>
              </w:tc>
            </w:tr>
            <w:tr w14:paraId="4CE56398">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ABE306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E456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9ADA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2B795C7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接入管理</w:t>
                  </w:r>
                </w:p>
              </w:tc>
            </w:tr>
            <w:tr w14:paraId="2B9A8844">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CE3F5F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12AA7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5B82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467DEE7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接入日志</w:t>
                  </w:r>
                </w:p>
              </w:tc>
            </w:tr>
            <w:tr w14:paraId="3CC10FEB">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05CA9B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97F1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033804F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文件接入</w:t>
                  </w:r>
                </w:p>
              </w:tc>
            </w:tr>
            <w:tr w14:paraId="52F7C71A">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E4B582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93B0F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028B707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接口接入</w:t>
                  </w:r>
                </w:p>
              </w:tc>
            </w:tr>
            <w:tr w14:paraId="3C3E8269">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124E90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D4DEB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数据目录</w:t>
                  </w: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2F26760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目录注册</w:t>
                  </w:r>
                </w:p>
              </w:tc>
            </w:tr>
            <w:tr w14:paraId="271AB744">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E85D23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1A295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0CA6D7A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分类分级</w:t>
                  </w:r>
                </w:p>
              </w:tc>
            </w:tr>
            <w:tr w14:paraId="2904FECB">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2ADCFF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003AF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06E8D4D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应用目录</w:t>
                  </w:r>
                </w:p>
              </w:tc>
            </w:tr>
            <w:tr w14:paraId="62865499">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0D404A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20D36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2F025A8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数据字典</w:t>
                  </w:r>
                </w:p>
              </w:tc>
            </w:tr>
            <w:tr w14:paraId="239C314A">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746D09D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19</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90DA4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1018A2B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目录发布</w:t>
                  </w:r>
                </w:p>
              </w:tc>
            </w:tr>
            <w:tr w14:paraId="03B9D8CC">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D7428B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D186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1CEFCE5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资源挂接</w:t>
                  </w:r>
                </w:p>
              </w:tc>
            </w:tr>
            <w:tr w14:paraId="65B53441">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DB505D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9B53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2B7D7AB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配置管理</w:t>
                  </w:r>
                </w:p>
              </w:tc>
            </w:tr>
            <w:tr w14:paraId="13680517">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BF40FF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5DD10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6A7E31B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主题目录</w:t>
                  </w:r>
                </w:p>
              </w:tc>
            </w:tr>
            <w:tr w14:paraId="0E40CB74">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81E6B1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23</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0AE93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数据治理</w:t>
                  </w: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4DC91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数据标准</w:t>
                  </w:r>
                </w:p>
              </w:tc>
              <w:tc>
                <w:tcPr>
                  <w:tcW w:w="3170" w:type="dxa"/>
                  <w:tcBorders>
                    <w:top w:val="single" w:color="000000" w:sz="4" w:space="0"/>
                    <w:left w:val="single" w:color="000000" w:sz="4" w:space="0"/>
                    <w:bottom w:val="single" w:color="000000" w:sz="4" w:space="0"/>
                  </w:tcBorders>
                  <w:shd w:val="clear" w:color="auto" w:fill="FFFFFF"/>
                  <w:vAlign w:val="center"/>
                </w:tcPr>
                <w:p w14:paraId="383DA34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标准文件</w:t>
                  </w:r>
                </w:p>
              </w:tc>
            </w:tr>
            <w:tr w14:paraId="5762C2AF">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3D6A75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24</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5A3BA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3673C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2F85188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命名规范</w:t>
                  </w:r>
                </w:p>
              </w:tc>
            </w:tr>
            <w:tr w14:paraId="37439557">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2C0BA0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25</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48D81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87365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2263000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数据元</w:t>
                  </w:r>
                </w:p>
              </w:tc>
            </w:tr>
            <w:tr w14:paraId="31696343">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CB721D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26</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E5993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93871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0D3B364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码表</w:t>
                  </w:r>
                </w:p>
              </w:tc>
            </w:tr>
            <w:tr w14:paraId="7F6B1B82">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66FE24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27</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576A4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7BDE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25B6E98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标准上线审核</w:t>
                  </w:r>
                </w:p>
              </w:tc>
            </w:tr>
            <w:tr w14:paraId="285B6E35">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C84AE1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28</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A9E3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5B93B84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一数一标准模型</w:t>
                  </w:r>
                </w:p>
              </w:tc>
            </w:tr>
            <w:tr w14:paraId="1EB8B5D4">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750164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29</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7CFC4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77885DD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源头治理</w:t>
                  </w:r>
                </w:p>
              </w:tc>
            </w:tr>
            <w:tr w14:paraId="56C3423C">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427B2C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30</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3A60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458F3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数据模型管理</w:t>
                  </w:r>
                </w:p>
              </w:tc>
              <w:tc>
                <w:tcPr>
                  <w:tcW w:w="3170" w:type="dxa"/>
                  <w:tcBorders>
                    <w:top w:val="single" w:color="000000" w:sz="4" w:space="0"/>
                    <w:left w:val="single" w:color="000000" w:sz="4" w:space="0"/>
                    <w:bottom w:val="single" w:color="000000" w:sz="4" w:space="0"/>
                  </w:tcBorders>
                  <w:shd w:val="clear" w:color="auto" w:fill="FFFFFF"/>
                  <w:vAlign w:val="center"/>
                </w:tcPr>
                <w:p w14:paraId="4E05569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层级管理</w:t>
                  </w:r>
                </w:p>
              </w:tc>
            </w:tr>
            <w:tr w14:paraId="3E6399B6">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385931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65553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0A477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1029F31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主题管理</w:t>
                  </w:r>
                </w:p>
              </w:tc>
            </w:tr>
            <w:tr w14:paraId="3AEAFDBD">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EF9D06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DE562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210AC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420D096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模型管理</w:t>
                  </w:r>
                </w:p>
              </w:tc>
            </w:tr>
            <w:tr w14:paraId="45EB939E">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9F38EE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33</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4576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3E1C2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数据质量</w:t>
                  </w:r>
                </w:p>
              </w:tc>
              <w:tc>
                <w:tcPr>
                  <w:tcW w:w="3170" w:type="dxa"/>
                  <w:tcBorders>
                    <w:top w:val="single" w:color="000000" w:sz="4" w:space="0"/>
                    <w:left w:val="single" w:color="000000" w:sz="4" w:space="0"/>
                    <w:bottom w:val="single" w:color="000000" w:sz="4" w:space="0"/>
                  </w:tcBorders>
                  <w:shd w:val="clear" w:color="auto" w:fill="FFFFFF"/>
                  <w:vAlign w:val="center"/>
                </w:tcPr>
                <w:p w14:paraId="15A0AC3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数据规范</w:t>
                  </w:r>
                </w:p>
              </w:tc>
            </w:tr>
            <w:tr w14:paraId="64A5C7CE">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7F63A84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34</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63A5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5600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0870746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质量校验</w:t>
                  </w:r>
                </w:p>
              </w:tc>
            </w:tr>
            <w:tr w14:paraId="3EB734EB">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F97A45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35</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0450E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2508C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4AD20D5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质量任务管理</w:t>
                  </w:r>
                </w:p>
              </w:tc>
            </w:tr>
            <w:tr w14:paraId="7B48A568">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27E329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36</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E6A05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2525F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412AAFB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质量任务日志</w:t>
                  </w:r>
                </w:p>
              </w:tc>
            </w:tr>
            <w:tr w14:paraId="3C13E962">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2E17F8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37</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0DAB9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C61BE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元数据</w:t>
                  </w:r>
                </w:p>
              </w:tc>
              <w:tc>
                <w:tcPr>
                  <w:tcW w:w="3170" w:type="dxa"/>
                  <w:tcBorders>
                    <w:top w:val="single" w:color="000000" w:sz="4" w:space="0"/>
                    <w:left w:val="single" w:color="000000" w:sz="4" w:space="0"/>
                    <w:bottom w:val="single" w:color="000000" w:sz="4" w:space="0"/>
                  </w:tcBorders>
                  <w:shd w:val="clear" w:color="auto" w:fill="FFFFFF"/>
                  <w:vAlign w:val="center"/>
                </w:tcPr>
                <w:p w14:paraId="6593AFC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元数据采集</w:t>
                  </w:r>
                </w:p>
              </w:tc>
            </w:tr>
            <w:tr w14:paraId="270248C2">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6F772B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38</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FD837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2974B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6B35ABF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采集任务日志</w:t>
                  </w:r>
                </w:p>
              </w:tc>
            </w:tr>
            <w:tr w14:paraId="1BA2A5E0">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415131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39</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8CD04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AD5DA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610D6CB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元数据补录</w:t>
                  </w:r>
                </w:p>
              </w:tc>
            </w:tr>
            <w:tr w14:paraId="63C0DB09">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F64455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40</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DBA70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CCCB2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4760E50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元数据查看</w:t>
                  </w:r>
                </w:p>
              </w:tc>
            </w:tr>
            <w:tr w14:paraId="3ABDB895">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EE29D5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DC22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CC3AF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43AFB7C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元数据版本</w:t>
                  </w:r>
                </w:p>
              </w:tc>
            </w:tr>
            <w:tr w14:paraId="57E00D77">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8A9FC5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EF586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CA175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数据标签</w:t>
                  </w:r>
                </w:p>
              </w:tc>
              <w:tc>
                <w:tcPr>
                  <w:tcW w:w="3170" w:type="dxa"/>
                  <w:tcBorders>
                    <w:top w:val="single" w:color="000000" w:sz="4" w:space="0"/>
                    <w:left w:val="single" w:color="000000" w:sz="4" w:space="0"/>
                    <w:bottom w:val="single" w:color="000000" w:sz="4" w:space="0"/>
                  </w:tcBorders>
                  <w:shd w:val="clear" w:color="auto" w:fill="FFFFFF"/>
                  <w:vAlign w:val="center"/>
                </w:tcPr>
                <w:p w14:paraId="20E424D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标签定义</w:t>
                  </w:r>
                </w:p>
              </w:tc>
            </w:tr>
            <w:tr w14:paraId="748D6036">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72A8165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6DFA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BE9FD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0E5AB9D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数据打标</w:t>
                  </w:r>
                </w:p>
              </w:tc>
            </w:tr>
            <w:tr w14:paraId="1D4C723E">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6F26CE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3C042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6890C47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主数据管理</w:t>
                  </w:r>
                </w:p>
              </w:tc>
            </w:tr>
            <w:tr w14:paraId="31820A6C">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A38904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419B1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数据资产</w:t>
                  </w: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B099E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资产目录</w:t>
                  </w:r>
                </w:p>
              </w:tc>
              <w:tc>
                <w:tcPr>
                  <w:tcW w:w="3170" w:type="dxa"/>
                  <w:tcBorders>
                    <w:top w:val="single" w:color="000000" w:sz="4" w:space="0"/>
                    <w:left w:val="single" w:color="000000" w:sz="4" w:space="0"/>
                    <w:bottom w:val="single" w:color="000000" w:sz="4" w:space="0"/>
                  </w:tcBorders>
                  <w:shd w:val="clear" w:color="auto" w:fill="FFFFFF"/>
                  <w:vAlign w:val="center"/>
                </w:tcPr>
                <w:p w14:paraId="71CAB5C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资产目录属性</w:t>
                  </w:r>
                </w:p>
              </w:tc>
            </w:tr>
            <w:tr w14:paraId="7F90323B">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B5B3F6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E708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BB08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39F65A3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资产编目</w:t>
                  </w:r>
                </w:p>
              </w:tc>
            </w:tr>
            <w:tr w14:paraId="37802AF7">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4DDD1F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47</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FF82D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4F857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5D80DD7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资产挂载</w:t>
                  </w:r>
                </w:p>
              </w:tc>
            </w:tr>
            <w:tr w14:paraId="1A2518F6">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AF39B0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48</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447A1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C83E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5988B92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资产上线审核</w:t>
                  </w:r>
                </w:p>
              </w:tc>
            </w:tr>
            <w:tr w14:paraId="6B6590E1">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E326A6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49</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3F00D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7733A14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工单审批</w:t>
                  </w:r>
                </w:p>
              </w:tc>
            </w:tr>
            <w:tr w14:paraId="4A2A085E">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247113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50</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1AD9D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5F02046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需求实施概览</w:t>
                  </w:r>
                </w:p>
              </w:tc>
            </w:tr>
            <w:tr w14:paraId="78080D50">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89E335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67809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数据安全</w:t>
                  </w:r>
                </w:p>
              </w:tc>
              <w:tc>
                <w:tcPr>
                  <w:tcW w:w="25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83E79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安全标准</w:t>
                  </w:r>
                </w:p>
              </w:tc>
              <w:tc>
                <w:tcPr>
                  <w:tcW w:w="3170" w:type="dxa"/>
                  <w:tcBorders>
                    <w:top w:val="single" w:color="000000" w:sz="4" w:space="0"/>
                    <w:left w:val="single" w:color="000000" w:sz="4" w:space="0"/>
                    <w:bottom w:val="single" w:color="000000" w:sz="4" w:space="0"/>
                  </w:tcBorders>
                  <w:shd w:val="clear" w:color="auto" w:fill="FFFFFF"/>
                  <w:vAlign w:val="center"/>
                </w:tcPr>
                <w:p w14:paraId="61C99E8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数据密集定义</w:t>
                  </w:r>
                </w:p>
              </w:tc>
            </w:tr>
            <w:tr w14:paraId="5C126213">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2F2BE0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310FC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25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16CB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3170" w:type="dxa"/>
                  <w:tcBorders>
                    <w:top w:val="single" w:color="000000" w:sz="4" w:space="0"/>
                    <w:left w:val="single" w:color="000000" w:sz="4" w:space="0"/>
                    <w:bottom w:val="single" w:color="000000" w:sz="4" w:space="0"/>
                  </w:tcBorders>
                  <w:shd w:val="clear" w:color="auto" w:fill="FFFFFF"/>
                  <w:vAlign w:val="center"/>
                </w:tcPr>
                <w:p w14:paraId="1FFEABB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用户密集定义</w:t>
                  </w:r>
                </w:p>
              </w:tc>
            </w:tr>
            <w:tr w14:paraId="132CFFF1">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AC4296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53</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53C9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0042531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密钥管理</w:t>
                  </w:r>
                </w:p>
              </w:tc>
            </w:tr>
            <w:tr w14:paraId="35371530">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009A99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54</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33FB1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2BEC8FB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数据安全运营管控</w:t>
                  </w:r>
                </w:p>
              </w:tc>
            </w:tr>
            <w:tr w14:paraId="7A57D106">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FA17D3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55</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12CDC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38268DB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数据分类分级</w:t>
                  </w:r>
                </w:p>
              </w:tc>
            </w:tr>
            <w:tr w14:paraId="2E21E3A9">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181AD325">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57</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ED475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7B32686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数据访问安全管控</w:t>
                  </w:r>
                </w:p>
              </w:tc>
            </w:tr>
            <w:tr w14:paraId="35CD7C69">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F72E6D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58</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AD349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61DC7D6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数据安全审计</w:t>
                  </w:r>
                </w:p>
              </w:tc>
            </w:tr>
            <w:tr w14:paraId="1B27A93B">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50EF1AB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59</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4C4C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6CD35B6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数据加密</w:t>
                  </w:r>
                </w:p>
              </w:tc>
            </w:tr>
            <w:tr w14:paraId="4A16995A">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00CAF74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60</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1B138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5C4D8DA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数据库防火墙</w:t>
                  </w:r>
                </w:p>
              </w:tc>
            </w:tr>
            <w:tr w14:paraId="3993E41E">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D281EF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0D053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75C541A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数据静态脱敏</w:t>
                  </w:r>
                </w:p>
              </w:tc>
            </w:tr>
            <w:tr w14:paraId="7AA9B232">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8B0EF3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222EA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7103515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数据动态脱敏</w:t>
                  </w:r>
                </w:p>
              </w:tc>
            </w:tr>
            <w:tr w14:paraId="52785FEC">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4D1375E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63</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38CDA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3AA1430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数字水印</w:t>
                  </w:r>
                </w:p>
              </w:tc>
            </w:tr>
            <w:tr w14:paraId="66BF4633">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2F181703">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64</w:t>
                  </w:r>
                </w:p>
              </w:tc>
              <w:tc>
                <w:tcPr>
                  <w:tcW w:w="12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6B53E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数据服务</w:t>
                  </w: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54D5E2E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服务组管理</w:t>
                  </w:r>
                </w:p>
              </w:tc>
            </w:tr>
            <w:tr w14:paraId="4F6A8FE2">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3832E90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65</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4F47C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267566B4">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发布服务</w:t>
                  </w:r>
                </w:p>
              </w:tc>
            </w:tr>
            <w:tr w14:paraId="0B7463FD">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18313B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66</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905B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1019F5B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服务管理</w:t>
                  </w:r>
                </w:p>
              </w:tc>
            </w:tr>
            <w:tr w14:paraId="6356882E">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27" w:hRule="atLeast"/>
                <w:tblHeader/>
                <w:jc w:val="center"/>
              </w:trPr>
              <w:tc>
                <w:tcPr>
                  <w:tcW w:w="678" w:type="dxa"/>
                  <w:tcBorders>
                    <w:top w:val="single" w:color="000000" w:sz="4" w:space="0"/>
                    <w:bottom w:val="single" w:color="000000" w:sz="4" w:space="0"/>
                    <w:right w:val="single" w:color="000000" w:sz="4" w:space="0"/>
                  </w:tcBorders>
                  <w:shd w:val="clear" w:color="auto" w:fill="FFFFFF"/>
                  <w:vAlign w:val="bottom"/>
                </w:tcPr>
                <w:p w14:paraId="68F010A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67</w:t>
                  </w:r>
                </w:p>
              </w:tc>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C674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bottom w:val="single" w:color="000000" w:sz="4" w:space="0"/>
                  </w:tcBorders>
                  <w:shd w:val="clear" w:color="auto" w:fill="FFFFFF"/>
                  <w:vAlign w:val="center"/>
                </w:tcPr>
                <w:p w14:paraId="2F94BCCE">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凭证管理</w:t>
                  </w:r>
                </w:p>
              </w:tc>
            </w:tr>
            <w:tr w14:paraId="4F13C62D">
              <w:tblPrEx>
                <w:tblBorders>
                  <w:top w:val="single" w:color="000000" w:sz="8" w:space="0"/>
                  <w:left w:val="single" w:color="000000" w:sz="8" w:space="0"/>
                  <w:bottom w:val="single" w:color="000000" w:sz="8" w:space="0"/>
                  <w:right w:val="single" w:color="000000" w:sz="8" w:space="0"/>
                  <w:insideH w:val="none" w:color="auto" w:sz="4" w:space="0"/>
                  <w:insideV w:val="none" w:color="auto" w:sz="4" w:space="0"/>
                </w:tblBorders>
                <w:tblCellMar>
                  <w:top w:w="0" w:type="dxa"/>
                  <w:left w:w="108" w:type="dxa"/>
                  <w:bottom w:w="0" w:type="dxa"/>
                  <w:right w:w="108" w:type="dxa"/>
                </w:tblCellMar>
              </w:tblPrEx>
              <w:trPr>
                <w:trHeight w:val="477" w:hRule="atLeast"/>
                <w:tblHeader/>
                <w:jc w:val="center"/>
              </w:trPr>
              <w:tc>
                <w:tcPr>
                  <w:tcW w:w="678" w:type="dxa"/>
                  <w:tcBorders>
                    <w:top w:val="single" w:color="000000" w:sz="4" w:space="0"/>
                    <w:right w:val="single" w:color="000000" w:sz="4" w:space="0"/>
                  </w:tcBorders>
                  <w:shd w:val="clear" w:color="auto" w:fill="FFFFFF"/>
                  <w:vAlign w:val="bottom"/>
                </w:tcPr>
                <w:p w14:paraId="661F107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68</w:t>
                  </w:r>
                </w:p>
              </w:tc>
              <w:tc>
                <w:tcPr>
                  <w:tcW w:w="1251" w:type="dxa"/>
                  <w:vMerge w:val="continue"/>
                  <w:tcBorders>
                    <w:top w:val="single" w:color="000000" w:sz="4" w:space="0"/>
                    <w:left w:val="single" w:color="000000" w:sz="4" w:space="0"/>
                    <w:right w:val="single" w:color="000000" w:sz="4" w:space="0"/>
                  </w:tcBorders>
                  <w:shd w:val="clear" w:color="auto" w:fill="FFFFFF"/>
                  <w:vAlign w:val="center"/>
                </w:tcPr>
                <w:p w14:paraId="478B1F9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p>
              </w:tc>
              <w:tc>
                <w:tcPr>
                  <w:tcW w:w="5750" w:type="dxa"/>
                  <w:gridSpan w:val="2"/>
                  <w:tcBorders>
                    <w:top w:val="single" w:color="000000" w:sz="4" w:space="0"/>
                    <w:left w:val="single" w:color="000000" w:sz="4" w:space="0"/>
                  </w:tcBorders>
                  <w:shd w:val="clear" w:color="auto" w:fill="FFFFFF"/>
                  <w:vAlign w:val="center"/>
                </w:tcPr>
                <w:p w14:paraId="197783D9">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发布审批</w:t>
                  </w:r>
                </w:p>
              </w:tc>
            </w:tr>
          </w:tbl>
          <w:p w14:paraId="582695AC">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p>
          <w:p w14:paraId="1FCAE1F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4.3.2.2数据接入</w:t>
            </w:r>
          </w:p>
          <w:p w14:paraId="4C6F0365">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数据</w:t>
            </w:r>
            <w:r>
              <w:rPr>
                <w:rFonts w:hint="eastAsia" w:ascii="仿宋" w:hAnsi="仿宋" w:eastAsia="仿宋" w:cs="仿宋"/>
                <w:color w:val="000000" w:themeColor="text1"/>
                <w:szCs w:val="21"/>
                <w14:textFill>
                  <w14:solidFill>
                    <w14:schemeClr w14:val="tx1"/>
                  </w14:solidFill>
                </w14:textFill>
              </w:rPr>
              <w:t>接入</w:t>
            </w:r>
            <w:r>
              <w:rPr>
                <w:rFonts w:hint="eastAsia" w:ascii="仿宋" w:hAnsi="仿宋" w:eastAsia="仿宋" w:cs="仿宋"/>
                <w:color w:val="000000" w:themeColor="text1"/>
                <w:szCs w:val="21"/>
                <w:lang w:val="zh-CN"/>
                <w14:textFill>
                  <w14:solidFill>
                    <w14:schemeClr w14:val="tx1"/>
                  </w14:solidFill>
                </w14:textFill>
              </w:rPr>
              <w:t>实现了各类源数据的采集和汇聚，为统一数据底座提供底层数据来源，负责将陕西省卫生健康信息中心内部、协同部门和互联网相关数据进行统一汇聚</w:t>
            </w:r>
            <w:r>
              <w:rPr>
                <w:rFonts w:hint="eastAsia" w:ascii="仿宋" w:hAnsi="仿宋" w:eastAsia="仿宋" w:cs="仿宋"/>
                <w:color w:val="000000" w:themeColor="text1"/>
                <w:szCs w:val="21"/>
                <w14:textFill>
                  <w14:solidFill>
                    <w14:schemeClr w14:val="tx1"/>
                  </w14:solidFill>
                </w14:textFill>
              </w:rPr>
              <w:t>和计入</w:t>
            </w:r>
            <w:r>
              <w:rPr>
                <w:rFonts w:hint="eastAsia" w:ascii="仿宋" w:hAnsi="仿宋" w:eastAsia="仿宋" w:cs="仿宋"/>
                <w:color w:val="000000" w:themeColor="text1"/>
                <w:szCs w:val="21"/>
                <w:lang w:val="zh-CN"/>
                <w14:textFill>
                  <w14:solidFill>
                    <w14:schemeClr w14:val="tx1"/>
                  </w14:solidFill>
                </w14:textFill>
              </w:rPr>
              <w:t>。</w:t>
            </w:r>
          </w:p>
          <w:p w14:paraId="1B65E768">
            <w:pPr>
              <w:pStyle w:val="6"/>
              <w:numPr>
                <w:ilvl w:val="3"/>
                <w:numId w:val="0"/>
              </w:numPr>
              <w:rPr>
                <w:rFonts w:hint="eastAsia" w:ascii="仿宋" w:hAnsi="仿宋" w:eastAsia="仿宋" w:cs="仿宋"/>
                <w:sz w:val="21"/>
                <w:szCs w:val="21"/>
                <w:lang w:val="zh-CN"/>
              </w:rPr>
            </w:pPr>
            <w:r>
              <w:rPr>
                <w:rFonts w:hint="eastAsia" w:ascii="仿宋" w:hAnsi="仿宋" w:eastAsia="仿宋" w:cs="仿宋"/>
                <w:sz w:val="21"/>
                <w:szCs w:val="21"/>
              </w:rPr>
              <w:t>4.3.2.3</w:t>
            </w:r>
            <w:r>
              <w:rPr>
                <w:rFonts w:hint="eastAsia" w:ascii="仿宋" w:hAnsi="仿宋" w:eastAsia="仿宋" w:cs="仿宋"/>
                <w:sz w:val="21"/>
                <w:szCs w:val="21"/>
                <w:lang w:val="zh-CN"/>
              </w:rPr>
              <w:t>数据治理</w:t>
            </w:r>
          </w:p>
          <w:p w14:paraId="056E827A">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为</w:t>
            </w:r>
            <w:r>
              <w:rPr>
                <w:rFonts w:hint="eastAsia" w:ascii="仿宋" w:hAnsi="仿宋" w:eastAsia="仿宋" w:cs="仿宋"/>
                <w:color w:val="000000" w:themeColor="text1"/>
                <w:szCs w:val="21"/>
                <w14:textFill>
                  <w14:solidFill>
                    <w14:schemeClr w14:val="tx1"/>
                  </w14:solidFill>
                </w14:textFill>
              </w:rPr>
              <w:t>卫生健康统计数据提</w:t>
            </w:r>
            <w:r>
              <w:rPr>
                <w:rFonts w:hint="eastAsia" w:ascii="仿宋" w:hAnsi="仿宋" w:eastAsia="仿宋" w:cs="仿宋"/>
                <w:color w:val="000000" w:themeColor="text1"/>
                <w:szCs w:val="21"/>
                <w:lang w:val="zh-CN"/>
                <w14:textFill>
                  <w14:solidFill>
                    <w14:schemeClr w14:val="tx1"/>
                  </w14:solidFill>
                </w14:textFill>
              </w:rPr>
              <w:t>供集数据集成、数据治理、数据开发、数据资产化、数据服务的全链路智能数据构建及管理服务，实现数据从资源到资产的转变，赋能行业场景。助力</w:t>
            </w:r>
            <w:r>
              <w:rPr>
                <w:rFonts w:hint="eastAsia" w:ascii="仿宋" w:hAnsi="仿宋" w:eastAsia="仿宋" w:cs="仿宋"/>
                <w:color w:val="000000" w:themeColor="text1"/>
                <w:szCs w:val="21"/>
                <w14:textFill>
                  <w14:solidFill>
                    <w14:schemeClr w14:val="tx1"/>
                  </w14:solidFill>
                </w14:textFill>
              </w:rPr>
              <w:t>卫生健康统计数据</w:t>
            </w:r>
            <w:r>
              <w:rPr>
                <w:rFonts w:hint="eastAsia" w:ascii="仿宋" w:hAnsi="仿宋" w:eastAsia="仿宋" w:cs="仿宋"/>
                <w:color w:val="000000" w:themeColor="text1"/>
                <w:szCs w:val="21"/>
                <w:lang w:val="zh-CN"/>
                <w14:textFill>
                  <w14:solidFill>
                    <w14:schemeClr w14:val="tx1"/>
                  </w14:solidFill>
                </w14:textFill>
              </w:rPr>
              <w:t>标准化、资产化、服务化。</w:t>
            </w:r>
          </w:p>
          <w:p w14:paraId="170FD381">
            <w:pPr>
              <w:pStyle w:val="26"/>
              <w:numPr>
                <w:ilvl w:val="0"/>
                <w:numId w:val="46"/>
              </w:num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数据标准</w:t>
            </w:r>
          </w:p>
          <w:p w14:paraId="16127DFA">
            <w:pPr>
              <w:snapToGrid w:val="0"/>
              <w:spacing w:line="360" w:lineRule="auto"/>
              <w:ind w:firstLine="48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对已经</w:t>
            </w:r>
            <w:r>
              <w:rPr>
                <w:rFonts w:hint="eastAsia" w:ascii="仿宋" w:hAnsi="仿宋" w:eastAsia="仿宋" w:cs="仿宋"/>
                <w:color w:val="000000" w:themeColor="text1"/>
                <w:szCs w:val="21"/>
                <w14:textFill>
                  <w14:solidFill>
                    <w14:schemeClr w14:val="tx1"/>
                  </w14:solidFill>
                </w14:textFill>
              </w:rPr>
              <w:t>接入</w:t>
            </w:r>
            <w:r>
              <w:rPr>
                <w:rFonts w:hint="eastAsia" w:ascii="仿宋" w:hAnsi="仿宋" w:eastAsia="仿宋" w:cs="仿宋"/>
                <w:color w:val="000000" w:themeColor="text1"/>
                <w:szCs w:val="21"/>
                <w:lang w:val="zh-CN"/>
                <w14:textFill>
                  <w14:solidFill>
                    <w14:schemeClr w14:val="tx1"/>
                  </w14:solidFill>
                </w14:textFill>
              </w:rPr>
              <w:t>的陕西省卫生健康信息中心的数据需要按照既定的数据标准进行标准化清洗及处理，提升数据的规范性，初步形成陕西省卫生健康信息中心数据资产，可在线定义数据标准、审批标准、定义标准化处理规则、配置标准化处理任务，由系统完成数据原料的标准化处理。</w:t>
            </w:r>
          </w:p>
          <w:p w14:paraId="422A1207">
            <w:pPr>
              <w:pStyle w:val="26"/>
              <w:numPr>
                <w:ilvl w:val="0"/>
                <w:numId w:val="46"/>
              </w:numPr>
              <w:snapToGrid w:val="0"/>
              <w:jc w:val="left"/>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数据质量</w:t>
            </w:r>
          </w:p>
          <w:p w14:paraId="42EC1F6F">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数据质量通过构建国家卫生统计直报系统统一数据底座的统一质量检核规则，基于质量规则进行检核作业，发现底座每一张表、每一个字段的质量问题，有效追溯到质量问题的源头。发现质量问题后，通过底座的治理，不断改善和提升平台数据质量。在数据治理过程中，通过复检作业等机制，不断形成正反馈，从而有效积累有效数据质量治理知识，为国家卫生统计直报系统统一数据底座后期数据规则提供质量支持和质量保障。实现“以用促质”的良性循环。</w:t>
            </w:r>
          </w:p>
          <w:p w14:paraId="659921AF">
            <w:pPr>
              <w:pStyle w:val="6"/>
              <w:numPr>
                <w:ilvl w:val="3"/>
                <w:numId w:val="0"/>
              </w:numPr>
              <w:rPr>
                <w:rFonts w:hint="eastAsia" w:ascii="仿宋" w:hAnsi="仿宋" w:eastAsia="仿宋" w:cs="仿宋"/>
                <w:sz w:val="21"/>
                <w:szCs w:val="21"/>
                <w:lang w:val="zh-CN"/>
              </w:rPr>
            </w:pPr>
            <w:r>
              <w:rPr>
                <w:rFonts w:hint="eastAsia" w:ascii="仿宋" w:hAnsi="仿宋" w:eastAsia="仿宋" w:cs="仿宋"/>
                <w:sz w:val="21"/>
                <w:szCs w:val="21"/>
              </w:rPr>
              <w:t>4.3.2.4</w:t>
            </w:r>
            <w:r>
              <w:rPr>
                <w:rFonts w:hint="eastAsia" w:ascii="仿宋" w:hAnsi="仿宋" w:eastAsia="仿宋" w:cs="仿宋"/>
                <w:sz w:val="21"/>
                <w:szCs w:val="21"/>
                <w:lang w:val="zh-CN"/>
              </w:rPr>
              <w:t>数据资产</w:t>
            </w:r>
          </w:p>
          <w:p w14:paraId="78E0D930">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数据资产是陕西省卫生健康信息中心拥有或控制预期能带来经济利益的数据资源。数据资产管理提供涵盖资产目录属性、资产编目、资产挂载、资产上线审核等功能，解决数据资产看不见、管不着、价值无法衡量的问题，优化数据资产的管理流程、效率，实现陕西省卫生健康信息中心数据资产价值最大化。</w:t>
            </w:r>
          </w:p>
          <w:p w14:paraId="0A8629D3">
            <w:pPr>
              <w:pStyle w:val="6"/>
              <w:numPr>
                <w:ilvl w:val="3"/>
                <w:numId w:val="0"/>
              </w:numPr>
              <w:rPr>
                <w:rFonts w:hint="eastAsia" w:ascii="仿宋" w:hAnsi="仿宋" w:eastAsia="仿宋" w:cs="仿宋"/>
                <w:sz w:val="21"/>
                <w:szCs w:val="21"/>
                <w:lang w:val="zh-CN"/>
              </w:rPr>
            </w:pPr>
            <w:r>
              <w:rPr>
                <w:rFonts w:hint="eastAsia" w:ascii="仿宋" w:hAnsi="仿宋" w:eastAsia="仿宋" w:cs="仿宋"/>
                <w:sz w:val="21"/>
                <w:szCs w:val="21"/>
              </w:rPr>
              <w:t>4.3.2.5</w:t>
            </w:r>
            <w:r>
              <w:rPr>
                <w:rFonts w:hint="eastAsia" w:ascii="仿宋" w:hAnsi="仿宋" w:eastAsia="仿宋" w:cs="仿宋"/>
                <w:sz w:val="21"/>
                <w:szCs w:val="21"/>
                <w:lang w:val="zh-CN"/>
              </w:rPr>
              <w:t>数据安全</w:t>
            </w:r>
          </w:p>
          <w:p w14:paraId="49ADA70F">
            <w:pPr>
              <w:snapToGrid w:val="0"/>
              <w:spacing w:line="360" w:lineRule="auto"/>
              <w:ind w:firstLine="48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利用大数据挖掘能力和处理能力，配置敏感数据扫描规则，使用脱敏算法，提供基础配置、敏感信息发现、脱敏算法配置、脱敏任务管理等服务，实现对敏感数据的变形、转换和混淆，使得系统的隐私数据能被安全、合理地使用。</w:t>
            </w:r>
          </w:p>
          <w:p w14:paraId="03F13C4E">
            <w:pPr>
              <w:pStyle w:val="6"/>
              <w:numPr>
                <w:ilvl w:val="3"/>
                <w:numId w:val="0"/>
              </w:numPr>
              <w:rPr>
                <w:rFonts w:hint="eastAsia" w:ascii="仿宋" w:hAnsi="仿宋" w:eastAsia="仿宋" w:cs="仿宋"/>
                <w:sz w:val="21"/>
                <w:szCs w:val="21"/>
                <w:lang w:val="zh-CN"/>
              </w:rPr>
            </w:pPr>
            <w:r>
              <w:rPr>
                <w:rFonts w:hint="eastAsia" w:ascii="仿宋" w:hAnsi="仿宋" w:eastAsia="仿宋" w:cs="仿宋"/>
                <w:sz w:val="21"/>
                <w:szCs w:val="21"/>
              </w:rPr>
              <w:t>4.3.2.6</w:t>
            </w:r>
            <w:r>
              <w:rPr>
                <w:rFonts w:hint="eastAsia" w:ascii="仿宋" w:hAnsi="仿宋" w:eastAsia="仿宋" w:cs="仿宋"/>
                <w:sz w:val="21"/>
                <w:szCs w:val="21"/>
                <w:lang w:val="zh-CN"/>
              </w:rPr>
              <w:t>数据服务</w:t>
            </w:r>
          </w:p>
          <w:p w14:paraId="275E0C39">
            <w:pPr>
              <w:pStyle w:val="22"/>
              <w:snapToGrid w:val="0"/>
              <w:ind w:firstLine="42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数据服务是指通过提供数据资源来满足陕西省卫生健康信息中心需求的一种服务形式。数据服务包括服务组管理、发布服务、服务管理、凭证管理、发布审批等多种形式，可以帮助陕西省卫生健康信息中心快速获取所需的数据信息，提高工作效率和决策的准确性</w:t>
            </w:r>
            <w:r>
              <w:rPr>
                <w:rFonts w:hint="eastAsia" w:ascii="仿宋" w:hAnsi="仿宋" w:eastAsia="仿宋" w:cs="仿宋"/>
                <w:color w:val="000000" w:themeColor="text1"/>
                <w:szCs w:val="21"/>
                <w14:textFill>
                  <w14:solidFill>
                    <w14:schemeClr w14:val="tx1"/>
                  </w14:solidFill>
                </w14:textFill>
              </w:rPr>
              <w:t>。</w:t>
            </w:r>
          </w:p>
          <w:p w14:paraId="2792DB48">
            <w:pPr>
              <w:pStyle w:val="5"/>
              <w:numPr>
                <w:ilvl w:val="2"/>
                <w:numId w:val="0"/>
              </w:numPr>
              <w:rPr>
                <w:rFonts w:hint="eastAsia" w:ascii="仿宋" w:hAnsi="仿宋" w:eastAsia="仿宋" w:cs="仿宋"/>
                <w:sz w:val="21"/>
                <w:szCs w:val="21"/>
              </w:rPr>
            </w:pPr>
            <w:bookmarkStart w:id="204" w:name="_Toc25920"/>
            <w:bookmarkStart w:id="205" w:name="_Toc127382369"/>
            <w:r>
              <w:rPr>
                <w:rFonts w:hint="eastAsia" w:ascii="仿宋" w:hAnsi="仿宋" w:eastAsia="仿宋" w:cs="仿宋"/>
                <w:sz w:val="21"/>
                <w:szCs w:val="21"/>
              </w:rPr>
              <w:t>4.3.3数据模型设计</w:t>
            </w:r>
            <w:bookmarkEnd w:id="204"/>
            <w:bookmarkEnd w:id="205"/>
          </w:p>
          <w:p w14:paraId="1B2B03BB">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4.3.3.1支撑的业务应用及数据服务内容</w:t>
            </w:r>
          </w:p>
          <w:p w14:paraId="626E07FB">
            <w:pPr>
              <w:pStyle w:val="22"/>
              <w:snapToGrid w:val="0"/>
              <w:ind w:firstLine="420"/>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覆盖医疗全流程业务，支撑诊疗与治疗决策；运营管理依托收入支出、资产负债、医疗能耗等模型，实现成本核算、资源优化配置；科研创新以科技活动、中医特色指标等模型，为医学研究、特色技术推广提供数据支撑。提供数据查询服务，如按机构、人员、时间维度查询相关业务数据汇总情况；数据分析服务，通过多主题库关联分析，输出医疗服务效率、资源配置合理性等分析报告；数据共享服务，支撑跨处室数据协同。</w:t>
            </w:r>
          </w:p>
          <w:p w14:paraId="4453011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4.3.3.2数据类型及数据格式要求</w:t>
            </w:r>
          </w:p>
          <w:p w14:paraId="0B327A2C">
            <w:pPr>
              <w:pStyle w:val="26"/>
              <w:snapToGrid w:val="0"/>
              <w:ind w:firstLine="420" w:firstLineChars="200"/>
              <w:jc w:val="left"/>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涵盖结构化数据（如人员信息表，遵循关系型数据库设计规范）、非结构化数据（如营业执照、证件，通过文件存储+元数据描述管理），满足卫生业务中多样数据形态需求。遵循医疗信息交换标准规范临床数据交互，疾病分类编码、诊疗操作编码等统一诊断与服务编码；基础信息（人员、机构）采用标准化格式存储，满足跨系统、跨平台数据解析与集成需求。运用实体-关系模型梳理业务实体（人员、机构、设备等）及关联关系，通过星型模型/雪花模型构建主题库维度表与事实表，实现多维度数据分析，符合数据分析模型设计的经典理论框架。</w:t>
            </w:r>
          </w:p>
          <w:p w14:paraId="15B8CA8A">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4.3.3.3标准与应用</w:t>
            </w:r>
          </w:p>
          <w:p w14:paraId="55DE22F0">
            <w:pPr>
              <w:pStyle w:val="26"/>
              <w:snapToGrid w:val="0"/>
              <w:ind w:firstLine="420" w:firstLineChars="200"/>
              <w:jc w:val="left"/>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严格参照《卫生健康信息数据元目录》等国家与行业标准，规范数据元定义、编码规则、模型架构，确保数据模型与行业通用规范兼容，支持区域医疗数据共享、国家医疗统计上报等需求。</w:t>
            </w:r>
          </w:p>
          <w:p w14:paraId="18AE3C5F">
            <w:pPr>
              <w:pStyle w:val="26"/>
              <w:snapToGrid w:val="0"/>
              <w:ind w:firstLine="420" w:firstLineChars="200"/>
              <w:jc w:val="left"/>
              <w:rPr>
                <w:rFonts w:hint="eastAsia" w:ascii="仿宋" w:hAnsi="仿宋" w:eastAsia="仿宋" w:cs="仿宋"/>
                <w:color w:val="000000" w:themeColor="text1"/>
                <w:szCs w:val="21"/>
                <w:lang w:val="zh-CN"/>
                <w14:textFill>
                  <w14:solidFill>
                    <w14:schemeClr w14:val="tx1"/>
                  </w14:solidFill>
                </w14:textFill>
              </w:rPr>
            </w:pPr>
            <w:r>
              <w:rPr>
                <w:rFonts w:hint="eastAsia" w:ascii="仿宋" w:hAnsi="仿宋" w:eastAsia="仿宋" w:cs="仿宋"/>
                <w:color w:val="000000" w:themeColor="text1"/>
                <w:szCs w:val="21"/>
                <w:lang w:val="zh-CN"/>
                <w14:textFill>
                  <w14:solidFill>
                    <w14:schemeClr w14:val="tx1"/>
                  </w14:solidFill>
                </w14:textFill>
              </w:rPr>
              <w:t>通过标准化数据模型，临床系统与运营系统数据互通，降低业务数据传输环节耗时。多主题库关联分析实现医疗质量、资源效率量化评估，辅助管理层制定决策。统一数据标准与模型规范，降低数据错误率，支撑数据资源中心长期稳定运行，为医疗数据决策、医院评级等提供可靠数据底座。</w:t>
            </w:r>
          </w:p>
          <w:bookmarkEnd w:id="197"/>
          <w:bookmarkEnd w:id="198"/>
          <w:p w14:paraId="1E852EC5">
            <w:pPr>
              <w:pStyle w:val="4"/>
              <w:numPr>
                <w:ilvl w:val="1"/>
                <w:numId w:val="0"/>
              </w:numPr>
              <w:rPr>
                <w:rFonts w:hint="eastAsia" w:ascii="仿宋" w:hAnsi="仿宋" w:eastAsia="仿宋" w:cs="仿宋"/>
                <w:sz w:val="21"/>
                <w:szCs w:val="21"/>
              </w:rPr>
            </w:pPr>
            <w:bookmarkStart w:id="206" w:name="_Toc15436"/>
            <w:bookmarkStart w:id="207" w:name="_Toc127382370"/>
            <w:bookmarkStart w:id="208" w:name="_Hlk124256102"/>
            <w:bookmarkStart w:id="209" w:name="_Hlk124256423"/>
            <w:bookmarkStart w:id="210" w:name="_Toc117416598"/>
            <w:bookmarkStart w:id="211" w:name="_Toc117416597"/>
            <w:r>
              <w:rPr>
                <w:rFonts w:hint="eastAsia" w:ascii="仿宋" w:hAnsi="仿宋" w:eastAsia="仿宋" w:cs="仿宋"/>
                <w:sz w:val="21"/>
                <w:szCs w:val="21"/>
              </w:rPr>
              <w:t>4.4基础设施设计</w:t>
            </w:r>
            <w:bookmarkEnd w:id="206"/>
            <w:bookmarkEnd w:id="207"/>
          </w:p>
          <w:p w14:paraId="4AE4FEA1">
            <w:pPr>
              <w:pStyle w:val="5"/>
              <w:numPr>
                <w:ilvl w:val="2"/>
                <w:numId w:val="0"/>
              </w:numPr>
              <w:rPr>
                <w:rFonts w:hint="eastAsia" w:ascii="仿宋" w:hAnsi="仿宋" w:eastAsia="仿宋" w:cs="仿宋"/>
                <w:sz w:val="21"/>
                <w:szCs w:val="21"/>
              </w:rPr>
            </w:pPr>
            <w:bookmarkStart w:id="212" w:name="_Toc11214"/>
            <w:bookmarkStart w:id="213" w:name="_Toc17135"/>
            <w:bookmarkStart w:id="214" w:name="_Toc201145656"/>
            <w:r>
              <w:rPr>
                <w:rFonts w:hint="eastAsia" w:ascii="仿宋" w:hAnsi="仿宋" w:eastAsia="仿宋" w:cs="仿宋"/>
                <w:sz w:val="21"/>
                <w:szCs w:val="21"/>
              </w:rPr>
              <w:t>4.4.1原资源配置汇总表</w:t>
            </w:r>
            <w:bookmarkEnd w:id="212"/>
          </w:p>
          <w:p w14:paraId="73731B13">
            <w:pPr>
              <w:pStyle w:val="14"/>
              <w:snapToGrid w:val="0"/>
              <w:rPr>
                <w:rFonts w:hint="eastAsia" w:ascii="仿宋" w:hAnsi="仿宋" w:eastAsia="仿宋" w:cs="仿宋"/>
                <w:szCs w:val="21"/>
              </w:rPr>
            </w:pPr>
            <w:r>
              <w:rPr>
                <w:rFonts w:hint="eastAsia" w:ascii="仿宋" w:hAnsi="仿宋" w:eastAsia="仿宋" w:cs="仿宋"/>
                <w:szCs w:val="21"/>
              </w:rPr>
              <w:t>原资源配置汇总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820"/>
              <w:gridCol w:w="1163"/>
              <w:gridCol w:w="1283"/>
              <w:gridCol w:w="1538"/>
            </w:tblGrid>
            <w:tr w14:paraId="3FA2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auto" w:sz="4" w:space="0"/>
                    <w:left w:val="single" w:color="auto" w:sz="4" w:space="0"/>
                    <w:bottom w:val="single" w:color="auto" w:sz="4" w:space="0"/>
                    <w:right w:val="single" w:color="auto" w:sz="4" w:space="0"/>
                  </w:tcBorders>
                </w:tcPr>
                <w:p w14:paraId="4BE5B205">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序号</w:t>
                  </w:r>
                </w:p>
              </w:tc>
              <w:tc>
                <w:tcPr>
                  <w:tcW w:w="3213" w:type="dxa"/>
                  <w:tcBorders>
                    <w:top w:val="single" w:color="auto" w:sz="4" w:space="0"/>
                    <w:left w:val="single" w:color="auto" w:sz="4" w:space="0"/>
                    <w:bottom w:val="single" w:color="auto" w:sz="4" w:space="0"/>
                    <w:right w:val="single" w:color="auto" w:sz="4" w:space="0"/>
                  </w:tcBorders>
                </w:tcPr>
                <w:p w14:paraId="617462A6">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资源名称</w:t>
                  </w:r>
                </w:p>
              </w:tc>
              <w:tc>
                <w:tcPr>
                  <w:tcW w:w="1276" w:type="dxa"/>
                  <w:tcBorders>
                    <w:top w:val="single" w:color="auto" w:sz="4" w:space="0"/>
                    <w:left w:val="single" w:color="auto" w:sz="4" w:space="0"/>
                    <w:bottom w:val="single" w:color="auto" w:sz="4" w:space="0"/>
                    <w:right w:val="single" w:color="auto" w:sz="4" w:space="0"/>
                  </w:tcBorders>
                </w:tcPr>
                <w:p w14:paraId="079ECB50">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CPU</w:t>
                  </w:r>
                </w:p>
              </w:tc>
              <w:tc>
                <w:tcPr>
                  <w:tcW w:w="1418" w:type="dxa"/>
                  <w:tcBorders>
                    <w:top w:val="single" w:color="auto" w:sz="4" w:space="0"/>
                    <w:left w:val="single" w:color="auto" w:sz="4" w:space="0"/>
                    <w:bottom w:val="single" w:color="auto" w:sz="4" w:space="0"/>
                    <w:right w:val="single" w:color="auto" w:sz="4" w:space="0"/>
                  </w:tcBorders>
                </w:tcPr>
                <w:p w14:paraId="721856A1">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内存大小</w:t>
                  </w:r>
                </w:p>
              </w:tc>
              <w:tc>
                <w:tcPr>
                  <w:tcW w:w="1738" w:type="dxa"/>
                  <w:tcBorders>
                    <w:top w:val="single" w:color="auto" w:sz="4" w:space="0"/>
                    <w:left w:val="single" w:color="auto" w:sz="4" w:space="0"/>
                    <w:bottom w:val="single" w:color="auto" w:sz="4" w:space="0"/>
                    <w:right w:val="single" w:color="auto" w:sz="4" w:space="0"/>
                  </w:tcBorders>
                </w:tcPr>
                <w:p w14:paraId="4FF694DE">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数量</w:t>
                  </w:r>
                </w:p>
              </w:tc>
            </w:tr>
            <w:tr w14:paraId="60A7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751" w:type="dxa"/>
                  <w:tcBorders>
                    <w:top w:val="single" w:color="auto" w:sz="4" w:space="0"/>
                    <w:left w:val="single" w:color="auto" w:sz="4" w:space="0"/>
                    <w:right w:val="single" w:color="auto" w:sz="4" w:space="0"/>
                  </w:tcBorders>
                  <w:vAlign w:val="center"/>
                </w:tcPr>
                <w:p w14:paraId="6A097731">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3213" w:type="dxa"/>
                  <w:tcBorders>
                    <w:top w:val="single" w:color="auto" w:sz="4" w:space="0"/>
                    <w:left w:val="single" w:color="auto" w:sz="4" w:space="0"/>
                    <w:right w:val="single" w:color="auto" w:sz="4" w:space="0"/>
                  </w:tcBorders>
                  <w:vAlign w:val="center"/>
                </w:tcPr>
                <w:p w14:paraId="67083586">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包括国家卫生统计直报系统、住院病案首页、决策支持、数据分析、数据治理</w:t>
                  </w:r>
                </w:p>
              </w:tc>
              <w:tc>
                <w:tcPr>
                  <w:tcW w:w="1276" w:type="dxa"/>
                  <w:tcBorders>
                    <w:top w:val="single" w:color="auto" w:sz="4" w:space="0"/>
                    <w:left w:val="single" w:color="auto" w:sz="4" w:space="0"/>
                    <w:right w:val="single" w:color="auto" w:sz="4" w:space="0"/>
                  </w:tcBorders>
                  <w:vAlign w:val="center"/>
                </w:tcPr>
                <w:p w14:paraId="5B3A372F">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8核</w:t>
                  </w:r>
                </w:p>
              </w:tc>
              <w:tc>
                <w:tcPr>
                  <w:tcW w:w="1418" w:type="dxa"/>
                  <w:tcBorders>
                    <w:top w:val="single" w:color="auto" w:sz="4" w:space="0"/>
                    <w:left w:val="single" w:color="auto" w:sz="4" w:space="0"/>
                    <w:right w:val="single" w:color="auto" w:sz="4" w:space="0"/>
                  </w:tcBorders>
                  <w:vAlign w:val="center"/>
                </w:tcPr>
                <w:p w14:paraId="55945FA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16G</w:t>
                  </w:r>
                </w:p>
              </w:tc>
              <w:tc>
                <w:tcPr>
                  <w:tcW w:w="1738" w:type="dxa"/>
                  <w:tcBorders>
                    <w:top w:val="single" w:color="auto" w:sz="4" w:space="0"/>
                    <w:left w:val="single" w:color="auto" w:sz="4" w:space="0"/>
                    <w:right w:val="single" w:color="auto" w:sz="4" w:space="0"/>
                  </w:tcBorders>
                  <w:vAlign w:val="center"/>
                </w:tcPr>
                <w:p w14:paraId="67328C1C">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16台</w:t>
                  </w:r>
                </w:p>
              </w:tc>
            </w:tr>
            <w:bookmarkEnd w:id="208"/>
            <w:bookmarkEnd w:id="213"/>
            <w:bookmarkEnd w:id="214"/>
          </w:tbl>
          <w:p w14:paraId="1B5B1B12">
            <w:pPr>
              <w:pStyle w:val="5"/>
              <w:numPr>
                <w:ilvl w:val="2"/>
                <w:numId w:val="0"/>
              </w:numPr>
              <w:rPr>
                <w:rFonts w:hint="eastAsia" w:ascii="仿宋" w:hAnsi="仿宋" w:eastAsia="仿宋" w:cs="仿宋"/>
                <w:sz w:val="21"/>
                <w:szCs w:val="21"/>
              </w:rPr>
            </w:pPr>
            <w:bookmarkStart w:id="215" w:name="_Toc3781"/>
            <w:bookmarkStart w:id="216" w:name="_Toc18226"/>
            <w:r>
              <w:rPr>
                <w:rFonts w:hint="eastAsia" w:ascii="仿宋" w:hAnsi="仿宋" w:eastAsia="仿宋" w:cs="仿宋"/>
                <w:sz w:val="21"/>
                <w:szCs w:val="21"/>
              </w:rPr>
              <w:t>4.4.2系统第三方报告</w:t>
            </w:r>
            <w:bookmarkEnd w:id="215"/>
            <w:bookmarkEnd w:id="216"/>
          </w:p>
          <w:p w14:paraId="240BB05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系统上线前，通过第三方机构出具《系统性能测评报告》、《系统上线安全检测报告》。</w:t>
            </w:r>
          </w:p>
          <w:p w14:paraId="10E432D3">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4.2.2.1系统性能报告</w:t>
            </w:r>
          </w:p>
          <w:p w14:paraId="64F5864F">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委托第三方具有资质的专业检测机构(CMA或CANS)根据陕西省卫生健康信息中心要求出具《系统性能测评报告》。基于现有的系统部署环境，模拟真实用户对系统进行登陆、查询、附件上传、新增等业务场景进行压测，确保系统的各项性能能够满足正常业务开展。</w:t>
            </w:r>
          </w:p>
          <w:p w14:paraId="39989F87">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4.2.2.2系统上线安全检测报告</w:t>
            </w:r>
          </w:p>
          <w:p w14:paraId="57824FA1">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委托第三方专业研究机构根据陕西省卫生健康信息中心要求出具《系统上线安全检测报告》。</w:t>
            </w:r>
          </w:p>
          <w:p w14:paraId="26F5E0B2">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目前国内基础软件从整体上来说，无论从性能还是易用性等方面，与国外产品仍存在一定差距，因此开展基础软件相关检测服务是保证基础软件质量以及应用效果的重要手段之一。</w:t>
            </w:r>
          </w:p>
          <w:p w14:paraId="3095A93C">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检测的目的是分析软件程序是否存在缺陷，而非是判断某程序有误错误，软件安全检测技术而言，其安全检测形式基本可以分成动态和静态两种软件的安全检测，是为了可以明确其运行是不是达到了初期预期目标。</w:t>
            </w:r>
          </w:p>
          <w:p w14:paraId="5E898C5A">
            <w:pPr>
              <w:pStyle w:val="23"/>
              <w:spacing w:before="0" w:after="0"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安全检测主要可以分成三个环节：</w:t>
            </w:r>
          </w:p>
          <w:p w14:paraId="4E5AC0A7">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（1）功能性检测；</w:t>
            </w:r>
          </w:p>
          <w:p w14:paraId="0E5924A0">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（2）渗透性检测；</w:t>
            </w:r>
          </w:p>
          <w:p w14:paraId="5283F244">
            <w:pPr>
              <w:pStyle w:val="23"/>
              <w:spacing w:before="0" w:after="0" w:line="360" w:lineRule="auto"/>
              <w:ind w:left="482" w:firstLine="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（3）对检测结果实施再次验证。</w:t>
            </w:r>
          </w:p>
          <w:bookmarkEnd w:id="209"/>
          <w:p w14:paraId="39C307F1">
            <w:pPr>
              <w:pStyle w:val="4"/>
              <w:numPr>
                <w:ilvl w:val="1"/>
                <w:numId w:val="0"/>
              </w:numPr>
              <w:rPr>
                <w:rFonts w:hint="eastAsia" w:ascii="仿宋" w:hAnsi="仿宋" w:eastAsia="仿宋" w:cs="仿宋"/>
                <w:sz w:val="21"/>
                <w:szCs w:val="21"/>
              </w:rPr>
            </w:pPr>
            <w:bookmarkStart w:id="217" w:name="_Toc127382371"/>
            <w:bookmarkStart w:id="218" w:name="_Toc6647"/>
            <w:r>
              <w:rPr>
                <w:rFonts w:hint="eastAsia" w:ascii="仿宋" w:hAnsi="仿宋" w:eastAsia="仿宋" w:cs="仿宋"/>
                <w:sz w:val="21"/>
                <w:szCs w:val="21"/>
              </w:rPr>
              <w:t>4.5运行维护系统设计</w:t>
            </w:r>
            <w:bookmarkEnd w:id="217"/>
            <w:bookmarkEnd w:id="218"/>
          </w:p>
          <w:p w14:paraId="45370E97">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项目建设完成后需提供完善的运行维护服务，为用户提供及时、方便、全面、有效的技术支持、技术培训和系统运行维护，保证本项目各系统的稳定运行，实现系统预期功能和目标。</w:t>
            </w:r>
          </w:p>
          <w:p w14:paraId="2A0BFFA7">
            <w:pPr>
              <w:pStyle w:val="5"/>
              <w:numPr>
                <w:ilvl w:val="2"/>
                <w:numId w:val="0"/>
              </w:numPr>
              <w:rPr>
                <w:rFonts w:hint="eastAsia" w:ascii="仿宋" w:hAnsi="仿宋" w:eastAsia="仿宋" w:cs="仿宋"/>
                <w:sz w:val="21"/>
                <w:szCs w:val="21"/>
              </w:rPr>
            </w:pPr>
            <w:bookmarkStart w:id="219" w:name="_Toc22812"/>
            <w:bookmarkStart w:id="220" w:name="_Toc3468"/>
            <w:r>
              <w:rPr>
                <w:rFonts w:hint="eastAsia" w:ascii="仿宋" w:hAnsi="仿宋" w:eastAsia="仿宋" w:cs="仿宋"/>
                <w:sz w:val="21"/>
                <w:szCs w:val="21"/>
              </w:rPr>
              <w:t>4.5.1服务目标</w:t>
            </w:r>
            <w:bookmarkEnd w:id="219"/>
            <w:bookmarkEnd w:id="220"/>
          </w:p>
          <w:p w14:paraId="5CBA59B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为保障项目目标的实现，必须采取合理的服务策略，通过适当的技术措施和管理手段，实现既定的服务目标。</w:t>
            </w:r>
          </w:p>
          <w:p w14:paraId="22E7521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（1）确保系统在各类业务场景下都能稳定运行，从硬件设备到软件程序，建立全方位的保障体系，避免因故障导致业务中断。</w:t>
            </w:r>
          </w:p>
          <w:p w14:paraId="36FD57A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（2）通过多样化的服务手段，深度挖掘系统功能，引导用户充分利用系统特性，提升业务处理效率与质量，促进系统与用户业务的深度融合。</w:t>
            </w:r>
          </w:p>
          <w:p w14:paraId="17A1F49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（3）以开放、灵活的架构设计和服务模式，应对业务规模扩大、需求变化等情况，使系统具备持续优化与扩展能力，始终贴合用户发展步伐。</w:t>
            </w:r>
          </w:p>
          <w:p w14:paraId="7AC819CA">
            <w:pPr>
              <w:pStyle w:val="5"/>
              <w:numPr>
                <w:ilvl w:val="2"/>
                <w:numId w:val="0"/>
              </w:numPr>
              <w:rPr>
                <w:rFonts w:hint="eastAsia" w:ascii="仿宋" w:hAnsi="仿宋" w:eastAsia="仿宋" w:cs="仿宋"/>
                <w:sz w:val="21"/>
                <w:szCs w:val="21"/>
              </w:rPr>
            </w:pPr>
            <w:bookmarkStart w:id="221" w:name="_Toc29696"/>
            <w:bookmarkStart w:id="222" w:name="_Toc27914"/>
            <w:r>
              <w:rPr>
                <w:rFonts w:hint="eastAsia" w:ascii="仿宋" w:hAnsi="仿宋" w:eastAsia="仿宋" w:cs="仿宋"/>
                <w:sz w:val="21"/>
                <w:szCs w:val="21"/>
              </w:rPr>
              <w:t>4.5.2服务内容</w:t>
            </w:r>
            <w:bookmarkEnd w:id="221"/>
            <w:bookmarkEnd w:id="222"/>
          </w:p>
          <w:p w14:paraId="4E87CA7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根据本项目的建设内容和用户需要，为用户提供但不限于以下服务。</w:t>
            </w:r>
          </w:p>
          <w:p w14:paraId="6144F29F">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4.5.2.1系统日常运维服务</w:t>
            </w:r>
          </w:p>
          <w:p w14:paraId="6777DD8A">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为保障本项目各子系统的有效应用，一方面需加强对相关用户的系统应用培训，一方面提供实时的技术支持服务。在应用软件使用支持上，建立“用户反馈-问题分类-分层处理-效果跟踪”的完整闭环。用户可通过服务热线、在线平台等多种渠道提交问题，客服人员会依据问题的性质、紧急程度进行细致分类。对于基础操作疑问，由经过标准化培训的初级客服通过图文指引、语音讲解等方式即时解答；遇到功能使用障碍、数据异常等复杂问题，则快速转接至中级技术人员，他们会通过远程桌面连接，直观地查看系统运行状态，逐步排查问题根源，必要时还会调取系统日志进行深度分析；若涉及系统架构、代码层面的疑难杂症，将立即组建由高级工程师、架构师构成的专项小组，通过多轮研讨、模拟测试，制定解决方案并全程跟进落实。</w:t>
            </w:r>
          </w:p>
          <w:p w14:paraId="08F03D4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系统健康检查环节，制定月度全面检查与日常重点监测相结合的机制。月度检查时，技术人员会对服务器的CPU、内存、磁盘等硬件资源使用情况进行详细检测，分析资源占用趋势，判断是否存在潜在瓶颈；对网络设备的连接状态、带宽利用率进行评估，排查网络延迟、丢包等问题；对数据库进行性能诊断，优化表结构、索引，清理冗余数据；对应用程序的各个模块进行功能验证，检查接口调用是否正常。日常监测则利用专业监测工具，实时关注系统关键指标，一旦发现异常波动，立即触发预警，技术人员会第一时间介入，进行初步诊断与处理，防止问题扩大化。</w:t>
            </w:r>
          </w:p>
          <w:p w14:paraId="4FCDCBD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4.5.2.2系统优化服务</w:t>
            </w:r>
          </w:p>
          <w:p w14:paraId="1F5C3F3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优化作为系统运行维护的重要环节，涵盖应用系统、接口、运行环境等多个层面。在优化规划阶段，成立由业务部门、技术团队、用户代表共同组成的评估小组。通过召开多轮研讨会、开展用户调研问卷、分析行业发展趋势，全面收集优化需求。在此基础上，对优化的必要性、可行性进行深入论证，评估优化可能带来的业务价值、技术风险以及对现有系统的影响。制定详细的优化方案，明确优化的范围、步骤、时间节点，规划优化过程中各阶段的人员分工与协作方式，同时制定严谨的回滚预案，确保在优化出现问题时能够迅速将系统恢复至稳定状态。</w:t>
            </w:r>
          </w:p>
          <w:p w14:paraId="5E5A466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进入优化实施阶段，采用“测试环境先行-灰度发布过渡-全面推广”的稳妥策略。先在测试环境中模拟真实业务场景，对优化内容进行全方位测试，包括功能测试、性能测试、兼容性测试、安全测试等，验证新功能的正确性、稳定性，以及与现有系统的适配性。通过测试后，进行灰度发布，逐步向小部分用户推送优化版本，密切观察系统运行状况和用户反馈，及时发现并解决潜在问题。最后，根据灰度发布的结果，在确保稳定可靠的前提下，向全体用户进行全面优化。优化完成后，持续对系统进行一段时间的跟踪监测，收集用户使用反馈，对优化效果进行综合评估，对发现的问题及时进行优化调整。</w:t>
            </w:r>
          </w:p>
          <w:p w14:paraId="39447D53">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4.5.2.3数据备份服务</w:t>
            </w:r>
          </w:p>
          <w:p w14:paraId="54F81AB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备份服务遵循“完整性、安全性、可用性”原则。在备份策略制定上，根据数据的重要程度、更新频率，将数据划分为核心业务数据、重要业务数据、一般业务数据等类别。对于核心业务数据，如医疗患者的关键诊疗信息、财务数据等，采用实时增量备份结合每日全量备份的方式，确保数据在任何时刻的变化都能及时保存；重要业务数据则进行定时增量备份与每周全量备份；一般业务数据实施定期全量备份。备份存储采用本地存储与异地存储相结合的方式，本地备份便于快速恢复，异地备份则有效防止因自然灾害、硬件故障等导致的数据丢失，两地存储之间定期进行数据同步校验，保证数据一致性。</w:t>
            </w:r>
          </w:p>
          <w:p w14:paraId="2B0FCB63">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备份过程管理严格规范，建立详细的备份日志，记录每次备份的开始时间、结束时间、备份数据量、备份状态等信息。定期对备份日志进行审查，分析备份过程中是否存在异常情况，如备份失败、备份耗时过长等，并及时调整备份策略或修复备份系统问题。同时，制定严格的备份数据访问权限控制机制，只有经过授权的特定人员在特定场景下，按照规定流程才能访问备份数据。定期对备份数据进行有效性验证，通过模拟数据恢复操作，检查数据能否完整、准确地还原，确保备份数据在需要时能够真正发挥作用。</w:t>
            </w:r>
          </w:p>
          <w:p w14:paraId="453DF2B4">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4.5.2.4安全防护服务</w:t>
            </w:r>
          </w:p>
          <w:p w14:paraId="3A2BA515">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安全防护服务构建“事前预防-事中监控-事后处置”的全流程体系。事前，制定严格的安全管理制度和操作规范，对系统的用户权限进行精细划分，遵循最小权限原则，确保用户只能访问其工作所需的数据和功能；对系统的网络端口、服务进行严格管理，关闭不必要的端口和服务，减少安全漏洞暴露风险。定期组织安全培训，提高用户和技术人员的安全意识，使其了解常见的网络攻击手段、防范方法以及数据保护的重要性。</w:t>
            </w:r>
          </w:p>
          <w:p w14:paraId="0F0070AB">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事中，部署专业的安全监测设备和软件，实时监测网络流量、系统日志、用户操作行为等。通过智能分析技术，识别异常流量、恶意攻击行为、数据非法访问等安全威胁，一旦发现异常，立即触发告警机制，并自动采取阻断措施，防止威胁扩散。同时，建立安全事件应急响应小组，随时待命，确保在安全事件发生时能够迅速响应。</w:t>
            </w:r>
          </w:p>
          <w:p w14:paraId="3F9D4C8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事后，对发生的安全事件进行全面深入的调查分析，追溯事件源头，确定事件影响范围和损失程度。根据分析结果，对受影响的系统进行修复和加固，更新安全策略和防护措施，防止类似事件再次发生。对安全事件的处理过程和结果进行详细记录，形成案例库，为后续的安全防护工作提供参考。</w:t>
            </w:r>
          </w:p>
          <w:p w14:paraId="5DBB0275">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4.5.2.5定制化开发服务</w:t>
            </w:r>
          </w:p>
          <w:p w14:paraId="7982460C">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定制化开发服务从需求调研开始，采用多种方式深入了解用户需求。安排专业的需求分析师与用户进行面对面交流，了解用户业务流程、工作习惯、痛点难点；实地观察用户工作场景，直观感受用户的实际需求；收集用户提供的业务文档、操作手册等资料，作为需求分析的重要依据。在此基础上，对收集到的需求进行整理、分析、提炼，形成详细的需求文档，与用户进行多轮沟通确认，确保需求的准确性和完整性。</w:t>
            </w:r>
          </w:p>
          <w:p w14:paraId="402530CE">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在开发过程中，采用敏捷开发模式，将开发过程划分为多个迭代周期，每个迭代周期都明确具体的开发任务和交付成果。每周召开项目例会，团队成员汇报工作进展、遇到的问题及解决方案，及时调整开发计划。建立与用户的定期沟通机制，每两周向用户展示开发成果，收集用户反馈意见，根据反馈及时调整开发方向，确保开发成果符合用户预期。在开发完成后，进行严格的测试工作，包括单元测试、集成测试、系统测试、验收测试等，确保定制化功能的质量和稳定性。提供一定期限的试运行支持，在试运行期间，安排专人跟踪系统运行情况，及时解决出现的问题，保障定制化功能顺利投入使用。</w:t>
            </w:r>
          </w:p>
          <w:p w14:paraId="4244A999">
            <w:pPr>
              <w:pStyle w:val="5"/>
              <w:numPr>
                <w:ilvl w:val="2"/>
                <w:numId w:val="0"/>
              </w:numPr>
              <w:rPr>
                <w:rFonts w:hint="eastAsia" w:ascii="仿宋" w:hAnsi="仿宋" w:eastAsia="仿宋" w:cs="仿宋"/>
                <w:sz w:val="21"/>
                <w:szCs w:val="21"/>
              </w:rPr>
            </w:pPr>
            <w:bookmarkStart w:id="223" w:name="_Toc27356"/>
            <w:bookmarkStart w:id="224" w:name="_Toc26127"/>
            <w:r>
              <w:rPr>
                <w:rFonts w:hint="eastAsia" w:ascii="仿宋" w:hAnsi="仿宋" w:eastAsia="仿宋" w:cs="仿宋"/>
                <w:sz w:val="21"/>
                <w:szCs w:val="21"/>
              </w:rPr>
              <w:t>4.5.3服务方式</w:t>
            </w:r>
            <w:bookmarkEnd w:id="223"/>
            <w:bookmarkEnd w:id="224"/>
          </w:p>
          <w:p w14:paraId="390D200B">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4.5.3.1电话响应支持</w:t>
            </w:r>
          </w:p>
          <w:p w14:paraId="1A8FF6A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话响应支持设置多级服务梯队。第一层为基础客服人员，他们经过系统的业务知识和沟通技巧培训，能够快速接听电话，礼貌、耐心地倾听用户问题，运用标准化的话术和知识库，对常见问题进行解答。若问题无法解决，将详细记录用户问题、联系方式、期望回复时间等信息，及时转接至第二层的技术支持人员。技术支持人员具备更深入的技术知识和问题处理经验，他们会与用户进一步沟通，深入了解问题细节，通过电话指导、远程协助等方式尝试解决问题。对于复杂疑难问题，技术支持人员会将问题上报至第三层的专家团队，专家团队将集中力量进行分析处理，并在规定时间内给用户反馈解决方案和处理进度。同时，建立电话服务质量监控机制，定期对通话录音进行抽查，评估客服人员的服务态度、问题解答准确性、处理效率等，对表现优秀的人员进行奖励，对存在问题的人员进行针对性培训和改进。</w:t>
            </w:r>
          </w:p>
          <w:p w14:paraId="66D71EE1">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4.5.3.2实时在线服务</w:t>
            </w:r>
          </w:p>
          <w:p w14:paraId="4334096F">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时在线服务打造多元化沟通渠道。在即时通讯工具方面，设立专门的服务账号，安排专人值守，确保用户消息能够在短时间内得到响应。对于简单问题，直接通过文字、图片等形式进行解答；对于复杂问题，引导用户提供更多信息，或通过远程协助工具进行操作演示。在线论坛则为用户提供一个交流互动的平台，用户可以在论坛上发布问题、分享经验、提出建议。安排技术人员定期浏览论坛，及时回复用户问题，对常见问题进行整理汇总，形成精华帖置顶展示。电子邮件服务作为补充，用户可以将详细的问题描述、相关截图、日志文件等发送至指定邮箱，技术人员在收到邮件后，按照问题的紧急程度和重要性进行处理，并在规定时间内给予用户详细的回复。此外，建立在线服务数据分析机制，通过分析用户咨询的热点问题、服务响应时间、问题解决率等数据，优化服务流程和知识库内容，提高服务效率和质量。</w:t>
            </w:r>
          </w:p>
          <w:p w14:paraId="75852BE3">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4.5.3.3现场驻地服务</w:t>
            </w:r>
          </w:p>
          <w:p w14:paraId="35671BE4">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现场驻地服务人员承担多重职责。每日开展系统巡检工作，按照既定的巡检路线和检查项目，对服务器硬件设备、网络设备、终端设备等进行逐一检查，详细记录设备运行状态、参数指标，及时发现设备异常和潜在隐患，并进行初步处理。为用户提供面对面的操作指导和培训服务，根据用户的岗位需求和技术水平，制定个性化的培训计划，采用理论讲解与实际操作相结合的方式，帮助用户熟练掌握系统操作技能。对于用户在使用过程中遇到的现场问题，及时进行诊断和解决，对于无法当场解决的问题，及时反馈至承建方技术团队，协调资源尽快处理。同时，现场驻地人员作为用户与承建方之间的沟通桥梁，须定期收集用户的新需求、意见和建议，及时反馈给相关部门，促进服务的持续改进。</w:t>
            </w:r>
          </w:p>
          <w:p w14:paraId="1735380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4.5.3.4远程专家服务</w:t>
            </w:r>
          </w:p>
          <w:p w14:paraId="4FBADA60">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远程专家服务针对重大技术故障或复杂问题启动。当现场技术人员或远程技术支持人员无法解决问题时，立即上报并启动会诊机制。通过视频会议、远程桌面共享等技术手段，将专家团队与现场人员紧密连接起来。专家团队成员凭借丰富的技术经验和专业知识，对问题进行集中研讨，详细了解问题现象、查看系统日志、分析故障代码，从多个角度进行深入分析和诊断。在会诊过程中，各专家充分发表意见，共同制定解决方案，并通过远程指导的方式，协助现场人员进行方案实施。在问题解决后，对整个会诊过程和解决方案进行总结归纳，形成案例文档，存入知识库，为后续类似问题的处理提供参考。</w:t>
            </w:r>
          </w:p>
          <w:p w14:paraId="23E353A1">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4.5.3.5自助服务平台</w:t>
            </w:r>
          </w:p>
          <w:p w14:paraId="2056B4B1">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自助服务平台集成丰富功能模块。知识文档模块整理汇总系统操作手册、功能介绍文档、常见问题解答等资料，按照不同主题、业务场景进行分类，方便用户快速检索。视频教程模块提供直观生动的视频教学资源，涵盖系统基础操作、高级功能使用、业务流程演示等内容，用户可以根据自己的需求在线观看学习。自助诊断模块设置一系列检测工具和向导，用户可以按照提示对系统进行初步检测，如网络连接测试、系统配置检查、数据完整性校验等，帮助用户自行排查常见问题。用户还可以在平台上提交服务请求，查看请求处理进度，与客服人员进行在线沟通。平台后台对用户的操作行为、搜索关键词、问题反馈等数据进行分析，了解用户需求和使用习惯，不断优化平台功能和内容，提升用户自助服务体验。</w:t>
            </w:r>
          </w:p>
          <w:p w14:paraId="7D4DFE47">
            <w:pPr>
              <w:pStyle w:val="5"/>
              <w:numPr>
                <w:ilvl w:val="2"/>
                <w:numId w:val="0"/>
              </w:numPr>
              <w:rPr>
                <w:rFonts w:hint="eastAsia" w:ascii="仿宋" w:hAnsi="仿宋" w:eastAsia="仿宋" w:cs="仿宋"/>
                <w:sz w:val="21"/>
                <w:szCs w:val="21"/>
              </w:rPr>
            </w:pPr>
            <w:bookmarkStart w:id="225" w:name="_Toc3453"/>
            <w:bookmarkStart w:id="226" w:name="_Toc28923"/>
            <w:r>
              <w:rPr>
                <w:rFonts w:hint="eastAsia" w:ascii="仿宋" w:hAnsi="仿宋" w:eastAsia="仿宋" w:cs="仿宋"/>
                <w:sz w:val="21"/>
                <w:szCs w:val="21"/>
              </w:rPr>
              <w:t>4.5.4服务团队</w:t>
            </w:r>
            <w:bookmarkEnd w:id="225"/>
            <w:bookmarkEnd w:id="226"/>
          </w:p>
          <w:p w14:paraId="23E51169">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服务团队由不同专业领域、不同层级的人员组成，形成协同高效的工作体系。实施工程师负责项目实施阶段的系统部署、配置、调试等工作，确保系统能够顺利上线运行。在售后服务阶段，他们协助运维人员进行系统优化和故障排查，凭借对系统实施过程的熟悉，快速定位问题根源。研发工程师专注于系统的功能开发、优化和定制化开发工作，他们紧跟技术发展趋势，运用先进的技术和理念，不断提升系统的性能和功能。UI工程师负责系统界面设计和用户体验优化，通过美观、易用的界面设计，提高用户对系统的接受度和使用满意度。</w:t>
            </w:r>
          </w:p>
          <w:p w14:paraId="6A225F0D">
            <w:pPr>
              <w:pStyle w:val="23"/>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维团队的一线驻地人员、二线远程人员、三线研发人员之间建立明确的协作流程和沟通机制。一线驻地人员在现场发现问题后，首先进行初步判断和处理，对于无法解决的问题，详细记录问题现象、环境信息等，通过内部沟通平台及时提交给二线远程人员。二线远程人员接到问题后，通过远程协助等方式进一步分析处理，若问题仍未解决，则将问题优化至三线研发人员。三线研发人员组成专项小组，进行深入研究和攻关，制定解决方案后反馈给二线远程人员，由二线远程人员指导一线驻地人员进行实施。在整个问题处理过程中，各层级人员保持密切沟通，及时共享信息，确保问题能够快速、有效地解决。</w:t>
            </w:r>
          </w:p>
          <w:p w14:paraId="4BEB5699">
            <w:pPr>
              <w:pStyle w:val="5"/>
              <w:numPr>
                <w:ilvl w:val="2"/>
                <w:numId w:val="0"/>
              </w:numPr>
              <w:rPr>
                <w:rFonts w:hint="eastAsia" w:ascii="仿宋" w:hAnsi="仿宋" w:eastAsia="仿宋" w:cs="仿宋"/>
                <w:sz w:val="21"/>
                <w:szCs w:val="21"/>
              </w:rPr>
            </w:pPr>
            <w:bookmarkStart w:id="227" w:name="_Toc89694850"/>
            <w:bookmarkStart w:id="228" w:name="_Toc259014905"/>
            <w:bookmarkStart w:id="229" w:name="_Toc360090528"/>
            <w:bookmarkStart w:id="230" w:name="_Toc239072399"/>
            <w:bookmarkStart w:id="231" w:name="_Toc15181"/>
            <w:bookmarkStart w:id="232" w:name="_Toc163397870"/>
            <w:bookmarkStart w:id="233" w:name="_Toc21664"/>
            <w:bookmarkStart w:id="234" w:name="_Toc24796"/>
            <w:r>
              <w:rPr>
                <w:rFonts w:hint="eastAsia" w:ascii="仿宋" w:hAnsi="仿宋" w:eastAsia="仿宋" w:cs="仿宋"/>
                <w:sz w:val="21"/>
                <w:szCs w:val="21"/>
              </w:rPr>
              <w:t>4.5.5服务</w:t>
            </w:r>
            <w:bookmarkEnd w:id="227"/>
            <w:bookmarkEnd w:id="228"/>
            <w:bookmarkEnd w:id="229"/>
            <w:bookmarkEnd w:id="230"/>
            <w:bookmarkEnd w:id="231"/>
            <w:bookmarkEnd w:id="232"/>
            <w:r>
              <w:rPr>
                <w:rFonts w:hint="eastAsia" w:ascii="仿宋" w:hAnsi="仿宋" w:eastAsia="仿宋" w:cs="仿宋"/>
                <w:sz w:val="21"/>
                <w:szCs w:val="21"/>
              </w:rPr>
              <w:t>保障</w:t>
            </w:r>
            <w:bookmarkEnd w:id="233"/>
            <w:bookmarkEnd w:id="234"/>
          </w:p>
          <w:p w14:paraId="372B0527">
            <w:pPr>
              <w:adjustRightInd w:val="0"/>
              <w:snapToGrid w:val="0"/>
              <w:spacing w:line="360" w:lineRule="auto"/>
              <w:ind w:firstLine="420" w:firstLineChars="200"/>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根据故障级别，在对应的时限内解决问题，对应的响应速度和时间见下表：</w:t>
            </w:r>
          </w:p>
          <w:p w14:paraId="6D7F4097">
            <w:pPr>
              <w:pStyle w:val="14"/>
              <w:adjustRightInd w:val="0"/>
              <w:snapToGrid w:val="0"/>
              <w:ind w:firstLine="420" w:firstLineChars="200"/>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故障响应时间表</w:t>
            </w:r>
          </w:p>
          <w:tbl>
            <w:tblPr>
              <w:tblStyle w:val="17"/>
              <w:tblW w:w="7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2070"/>
              <w:gridCol w:w="1113"/>
              <w:gridCol w:w="1141"/>
              <w:gridCol w:w="1832"/>
            </w:tblGrid>
            <w:tr w14:paraId="6E1B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442"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50BA791E">
                  <w:pPr>
                    <w:adjustRightInd w:val="0"/>
                    <w:snapToGrid w:val="0"/>
                    <w:spacing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故障等级</w:t>
                  </w:r>
                </w:p>
              </w:tc>
              <w:tc>
                <w:tcPr>
                  <w:tcW w:w="2070"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63097D3E">
                  <w:pPr>
                    <w:adjustRightInd w:val="0"/>
                    <w:snapToGrid w:val="0"/>
                    <w:spacing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描述</w:t>
                  </w:r>
                </w:p>
              </w:tc>
              <w:tc>
                <w:tcPr>
                  <w:tcW w:w="1113"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61A308D6">
                  <w:pPr>
                    <w:adjustRightInd w:val="0"/>
                    <w:snapToGrid w:val="0"/>
                    <w:spacing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响应速度</w:t>
                  </w:r>
                </w:p>
              </w:tc>
              <w:tc>
                <w:tcPr>
                  <w:tcW w:w="1141"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0CAEF81A">
                  <w:pPr>
                    <w:adjustRightInd w:val="0"/>
                    <w:snapToGrid w:val="0"/>
                    <w:spacing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恢复正常</w:t>
                  </w:r>
                </w:p>
              </w:tc>
              <w:tc>
                <w:tcPr>
                  <w:tcW w:w="1832"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307E677B">
                  <w:pPr>
                    <w:adjustRightInd w:val="0"/>
                    <w:snapToGrid w:val="0"/>
                    <w:spacing w:line="360" w:lineRule="auto"/>
                    <w:jc w:val="center"/>
                    <w:textAlignment w:val="baseline"/>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到达现场时间(如需到达现场）</w:t>
                  </w:r>
                </w:p>
              </w:tc>
            </w:tr>
            <w:tr w14:paraId="3E92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1442" w:type="dxa"/>
                  <w:tcBorders>
                    <w:top w:val="single" w:color="000000" w:sz="4" w:space="0"/>
                    <w:left w:val="single" w:color="000000" w:sz="12" w:space="0"/>
                    <w:bottom w:val="single" w:color="000000" w:sz="4" w:space="0"/>
                    <w:right w:val="single" w:color="000000" w:sz="4" w:space="0"/>
                  </w:tcBorders>
                  <w:shd w:val="clear" w:color="auto" w:fill="FFFFFF"/>
                </w:tcPr>
                <w:p w14:paraId="70FFA357">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特别重大</w:t>
                  </w:r>
                </w:p>
                <w:p w14:paraId="0B652740">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（1级）</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cPr>
                <w:p w14:paraId="03F861C0">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服务全部中断、数据丢失、主要功能不能正常工作等或与其他产品发生冲突。</w:t>
                  </w:r>
                </w:p>
              </w:tc>
              <w:tc>
                <w:tcPr>
                  <w:tcW w:w="1113" w:type="dxa"/>
                  <w:tcBorders>
                    <w:top w:val="single" w:color="000000" w:sz="4" w:space="0"/>
                    <w:left w:val="single" w:color="000000" w:sz="4" w:space="0"/>
                    <w:bottom w:val="single" w:color="000000" w:sz="4" w:space="0"/>
                    <w:right w:val="single" w:color="000000" w:sz="4" w:space="0"/>
                  </w:tcBorders>
                  <w:shd w:val="clear" w:color="auto" w:fill="FFFFFF"/>
                </w:tcPr>
                <w:p w14:paraId="501DD5C7">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p w14:paraId="4EE27602">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15分钟</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cPr>
                <w:p w14:paraId="1906B156">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p w14:paraId="3B27606B">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1小时</w:t>
                  </w:r>
                </w:p>
              </w:tc>
              <w:tc>
                <w:tcPr>
                  <w:tcW w:w="1832" w:type="dxa"/>
                  <w:tcBorders>
                    <w:top w:val="single" w:color="000000" w:sz="4" w:space="0"/>
                    <w:left w:val="single" w:color="000000" w:sz="4" w:space="0"/>
                    <w:bottom w:val="single" w:color="000000" w:sz="4" w:space="0"/>
                    <w:right w:val="single" w:color="000000" w:sz="12" w:space="0"/>
                  </w:tcBorders>
                  <w:shd w:val="clear" w:color="auto" w:fill="FFFFFF"/>
                </w:tcPr>
                <w:p w14:paraId="7D14C77F">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p>
                <w:p w14:paraId="792D0C8C">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0.5天</w:t>
                  </w:r>
                </w:p>
              </w:tc>
            </w:tr>
            <w:tr w14:paraId="5153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442" w:type="dxa"/>
                  <w:tcBorders>
                    <w:top w:val="single" w:color="000000" w:sz="4" w:space="0"/>
                    <w:left w:val="single" w:color="000000" w:sz="12" w:space="0"/>
                    <w:bottom w:val="single" w:color="000000" w:sz="4" w:space="0"/>
                    <w:right w:val="single" w:color="000000" w:sz="4" w:space="0"/>
                  </w:tcBorders>
                  <w:shd w:val="clear" w:color="auto" w:fill="FFFFFF"/>
                </w:tcPr>
                <w:p w14:paraId="527226F9">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重大（2级）</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cPr>
                <w:p w14:paraId="67440A5E">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局部非重要功能中断</w:t>
                  </w:r>
                </w:p>
              </w:tc>
              <w:tc>
                <w:tcPr>
                  <w:tcW w:w="1113" w:type="dxa"/>
                  <w:tcBorders>
                    <w:top w:val="single" w:color="000000" w:sz="4" w:space="0"/>
                    <w:left w:val="single" w:color="000000" w:sz="4" w:space="0"/>
                    <w:bottom w:val="single" w:color="000000" w:sz="4" w:space="0"/>
                    <w:right w:val="single" w:color="000000" w:sz="4" w:space="0"/>
                  </w:tcBorders>
                  <w:shd w:val="clear" w:color="auto" w:fill="FFFFFF"/>
                </w:tcPr>
                <w:p w14:paraId="04DC775C">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30分钟</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cPr>
                <w:p w14:paraId="571FA6F3">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2小时</w:t>
                  </w:r>
                </w:p>
              </w:tc>
              <w:tc>
                <w:tcPr>
                  <w:tcW w:w="1832" w:type="dxa"/>
                  <w:tcBorders>
                    <w:top w:val="single" w:color="000000" w:sz="4" w:space="0"/>
                    <w:left w:val="single" w:color="000000" w:sz="4" w:space="0"/>
                    <w:bottom w:val="single" w:color="000000" w:sz="4" w:space="0"/>
                    <w:right w:val="single" w:color="000000" w:sz="12" w:space="0"/>
                  </w:tcBorders>
                  <w:shd w:val="clear" w:color="auto" w:fill="FFFFFF"/>
                </w:tcPr>
                <w:p w14:paraId="61628FD9">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1天</w:t>
                  </w:r>
                </w:p>
              </w:tc>
            </w:tr>
            <w:tr w14:paraId="5A47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42" w:type="dxa"/>
                  <w:tcBorders>
                    <w:top w:val="single" w:color="000000" w:sz="4" w:space="0"/>
                    <w:left w:val="single" w:color="000000" w:sz="12" w:space="0"/>
                    <w:bottom w:val="single" w:color="000000" w:sz="4" w:space="0"/>
                    <w:right w:val="single" w:color="000000" w:sz="4" w:space="0"/>
                  </w:tcBorders>
                  <w:shd w:val="clear" w:color="auto" w:fill="FFFFFF"/>
                </w:tcPr>
                <w:p w14:paraId="62A8CEB9">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较大（3级）</w:t>
                  </w:r>
                </w:p>
              </w:tc>
              <w:tc>
                <w:tcPr>
                  <w:tcW w:w="2070" w:type="dxa"/>
                  <w:tcBorders>
                    <w:top w:val="single" w:color="000000" w:sz="4" w:space="0"/>
                    <w:left w:val="single" w:color="000000" w:sz="4" w:space="0"/>
                    <w:bottom w:val="single" w:color="000000" w:sz="4" w:space="0"/>
                    <w:right w:val="single" w:color="000000" w:sz="4" w:space="0"/>
                  </w:tcBorders>
                  <w:shd w:val="clear" w:color="auto" w:fill="FFFFFF"/>
                </w:tcPr>
                <w:p w14:paraId="5D515748">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非重要功能异常</w:t>
                  </w:r>
                </w:p>
              </w:tc>
              <w:tc>
                <w:tcPr>
                  <w:tcW w:w="1113" w:type="dxa"/>
                  <w:tcBorders>
                    <w:top w:val="single" w:color="000000" w:sz="4" w:space="0"/>
                    <w:left w:val="single" w:color="000000" w:sz="4" w:space="0"/>
                    <w:bottom w:val="single" w:color="000000" w:sz="4" w:space="0"/>
                    <w:right w:val="single" w:color="000000" w:sz="4" w:space="0"/>
                  </w:tcBorders>
                  <w:shd w:val="clear" w:color="auto" w:fill="FFFFFF"/>
                </w:tcPr>
                <w:p w14:paraId="772C256E">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1小时</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cPr>
                <w:p w14:paraId="6D01BA3B">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3天</w:t>
                  </w:r>
                </w:p>
              </w:tc>
              <w:tc>
                <w:tcPr>
                  <w:tcW w:w="1832" w:type="dxa"/>
                  <w:tcBorders>
                    <w:top w:val="single" w:color="000000" w:sz="4" w:space="0"/>
                    <w:left w:val="single" w:color="000000" w:sz="4" w:space="0"/>
                    <w:bottom w:val="single" w:color="000000" w:sz="4" w:space="0"/>
                    <w:right w:val="single" w:color="000000" w:sz="12" w:space="0"/>
                  </w:tcBorders>
                  <w:shd w:val="clear" w:color="auto" w:fill="FFFFFF"/>
                </w:tcPr>
                <w:p w14:paraId="2B897EDB">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1-2天</w:t>
                  </w:r>
                </w:p>
              </w:tc>
            </w:tr>
            <w:tr w14:paraId="6D4A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442" w:type="dxa"/>
                  <w:tcBorders>
                    <w:top w:val="single" w:color="000000" w:sz="4" w:space="0"/>
                    <w:left w:val="single" w:color="000000" w:sz="12" w:space="0"/>
                    <w:bottom w:val="single" w:color="000000" w:sz="12" w:space="0"/>
                    <w:right w:val="single" w:color="000000" w:sz="4" w:space="0"/>
                  </w:tcBorders>
                  <w:shd w:val="clear" w:color="auto" w:fill="FFFFFF"/>
                </w:tcPr>
                <w:p w14:paraId="537DC713">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一般（4级）</w:t>
                  </w:r>
                </w:p>
              </w:tc>
              <w:tc>
                <w:tcPr>
                  <w:tcW w:w="2070" w:type="dxa"/>
                  <w:tcBorders>
                    <w:top w:val="single" w:color="000000" w:sz="4" w:space="0"/>
                    <w:left w:val="single" w:color="000000" w:sz="4" w:space="0"/>
                    <w:bottom w:val="single" w:color="000000" w:sz="12" w:space="0"/>
                    <w:right w:val="single" w:color="000000" w:sz="4" w:space="0"/>
                  </w:tcBorders>
                  <w:shd w:val="clear" w:color="auto" w:fill="FFFFFF"/>
                </w:tcPr>
                <w:p w14:paraId="25D8AC0C">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系统微小漏洞</w:t>
                  </w:r>
                </w:p>
              </w:tc>
              <w:tc>
                <w:tcPr>
                  <w:tcW w:w="1113" w:type="dxa"/>
                  <w:tcBorders>
                    <w:top w:val="single" w:color="000000" w:sz="4" w:space="0"/>
                    <w:left w:val="single" w:color="000000" w:sz="4" w:space="0"/>
                    <w:bottom w:val="single" w:color="000000" w:sz="12" w:space="0"/>
                    <w:right w:val="single" w:color="000000" w:sz="4" w:space="0"/>
                  </w:tcBorders>
                  <w:shd w:val="clear" w:color="auto" w:fill="FFFFFF"/>
                </w:tcPr>
                <w:p w14:paraId="2D4ABAFA">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1天</w:t>
                  </w:r>
                </w:p>
              </w:tc>
              <w:tc>
                <w:tcPr>
                  <w:tcW w:w="1141" w:type="dxa"/>
                  <w:tcBorders>
                    <w:top w:val="single" w:color="000000" w:sz="4" w:space="0"/>
                    <w:left w:val="single" w:color="000000" w:sz="4" w:space="0"/>
                    <w:bottom w:val="single" w:color="000000" w:sz="12" w:space="0"/>
                    <w:right w:val="single" w:color="000000" w:sz="4" w:space="0"/>
                  </w:tcBorders>
                  <w:shd w:val="clear" w:color="auto" w:fill="FFFFFF"/>
                </w:tcPr>
                <w:p w14:paraId="1E48641D">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7天</w:t>
                  </w:r>
                </w:p>
              </w:tc>
              <w:tc>
                <w:tcPr>
                  <w:tcW w:w="1832" w:type="dxa"/>
                  <w:tcBorders>
                    <w:top w:val="single" w:color="000000" w:sz="4" w:space="0"/>
                    <w:left w:val="single" w:color="000000" w:sz="4" w:space="0"/>
                    <w:bottom w:val="single" w:color="000000" w:sz="12" w:space="0"/>
                    <w:right w:val="single" w:color="000000" w:sz="12" w:space="0"/>
                  </w:tcBorders>
                  <w:shd w:val="clear" w:color="auto" w:fill="FFFFFF"/>
                </w:tcPr>
                <w:p w14:paraId="3D634FEA">
                  <w:pPr>
                    <w:adjustRightInd w:val="0"/>
                    <w:snapToGrid w:val="0"/>
                    <w:spacing w:line="360" w:lineRule="auto"/>
                    <w:jc w:val="center"/>
                    <w:textAlignment w:val="baseline"/>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1-5天</w:t>
                  </w:r>
                </w:p>
              </w:tc>
            </w:tr>
          </w:tbl>
          <w:p w14:paraId="3B6019D3">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2.质保期外服务要求</w:t>
            </w:r>
          </w:p>
          <w:p w14:paraId="66B26EAB">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质量保证期过后，也同样提供免费电话咨询服务。</w:t>
            </w:r>
          </w:p>
          <w:p w14:paraId="169BD3D1">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质量保证期过后，如需要继续由原供应商和制造商提供售后服务的，该供应商和制造商应以优惠价格提供售后服务。</w:t>
            </w:r>
          </w:p>
          <w:p w14:paraId="3CD6431C">
            <w:pPr>
              <w:pStyle w:val="4"/>
              <w:numPr>
                <w:ilvl w:val="1"/>
                <w:numId w:val="0"/>
              </w:numPr>
              <w:rPr>
                <w:rFonts w:hint="eastAsia" w:ascii="仿宋" w:hAnsi="仿宋" w:eastAsia="仿宋" w:cs="仿宋"/>
                <w:sz w:val="21"/>
                <w:szCs w:val="21"/>
              </w:rPr>
            </w:pPr>
            <w:bookmarkStart w:id="235" w:name="_Toc27871"/>
            <w:bookmarkStart w:id="236" w:name="_Toc127382373"/>
            <w:r>
              <w:rPr>
                <w:rFonts w:hint="eastAsia" w:ascii="仿宋" w:hAnsi="仿宋" w:eastAsia="仿宋" w:cs="仿宋"/>
                <w:sz w:val="21"/>
                <w:szCs w:val="21"/>
              </w:rPr>
              <w:t>4.6利旧方案</w:t>
            </w:r>
            <w:bookmarkEnd w:id="235"/>
            <w:bookmarkEnd w:id="236"/>
          </w:p>
          <w:p w14:paraId="09E9CEEB">
            <w:pPr>
              <w:pStyle w:val="5"/>
              <w:numPr>
                <w:ilvl w:val="2"/>
                <w:numId w:val="0"/>
              </w:numPr>
              <w:rPr>
                <w:rFonts w:hint="eastAsia" w:ascii="仿宋" w:hAnsi="仿宋" w:eastAsia="仿宋" w:cs="仿宋"/>
                <w:sz w:val="21"/>
                <w:szCs w:val="21"/>
              </w:rPr>
            </w:pPr>
            <w:bookmarkStart w:id="237" w:name="_Toc10881"/>
            <w:r>
              <w:rPr>
                <w:rFonts w:hint="eastAsia" w:ascii="仿宋" w:hAnsi="仿宋" w:eastAsia="仿宋" w:cs="仿宋"/>
                <w:sz w:val="21"/>
                <w:szCs w:val="21"/>
              </w:rPr>
              <w:t>4.6.1资源释放情况</w:t>
            </w:r>
            <w:bookmarkEnd w:id="237"/>
          </w:p>
          <w:p w14:paraId="4D04DA93">
            <w:pPr>
              <w:pStyle w:val="14"/>
              <w:snapToGrid w:val="0"/>
              <w:rPr>
                <w:rFonts w:hint="eastAsia" w:ascii="仿宋" w:hAnsi="仿宋" w:eastAsia="仿宋" w:cs="仿宋"/>
                <w:szCs w:val="21"/>
              </w:rPr>
            </w:pPr>
            <w:r>
              <w:rPr>
                <w:rFonts w:hint="eastAsia" w:ascii="仿宋" w:hAnsi="仿宋" w:eastAsia="仿宋" w:cs="仿宋"/>
                <w:szCs w:val="21"/>
              </w:rPr>
              <w:t>表</w:t>
            </w:r>
            <w:r>
              <w:rPr>
                <w:rFonts w:hint="eastAsia" w:ascii="仿宋" w:hAnsi="仿宋" w:eastAsia="仿宋" w:cs="仿宋"/>
                <w:szCs w:val="21"/>
              </w:rPr>
              <w:fldChar w:fldCharType="begin"/>
            </w:r>
            <w:r>
              <w:rPr>
                <w:rFonts w:hint="eastAsia" w:ascii="仿宋" w:hAnsi="仿宋" w:eastAsia="仿宋" w:cs="仿宋"/>
                <w:szCs w:val="21"/>
              </w:rPr>
              <w:instrText xml:space="preserve"> STYLEREF 1 \s </w:instrText>
            </w:r>
            <w:r>
              <w:rPr>
                <w:rFonts w:hint="eastAsia" w:ascii="仿宋" w:hAnsi="仿宋" w:eastAsia="仿宋" w:cs="仿宋"/>
                <w:szCs w:val="21"/>
              </w:rPr>
              <w:fldChar w:fldCharType="separate"/>
            </w:r>
            <w:r>
              <w:rPr>
                <w:rFonts w:hint="eastAsia" w:ascii="仿宋" w:hAnsi="仿宋" w:eastAsia="仿宋" w:cs="仿宋"/>
                <w:szCs w:val="21"/>
              </w:rPr>
              <w:t>5</w:t>
            </w:r>
            <w:r>
              <w:rPr>
                <w:rFonts w:hint="eastAsia" w:ascii="仿宋" w:hAnsi="仿宋" w:eastAsia="仿宋" w:cs="仿宋"/>
                <w:szCs w:val="21"/>
              </w:rPr>
              <w:fldChar w:fldCharType="end"/>
            </w:r>
            <w:r>
              <w:rPr>
                <w:rFonts w:hint="eastAsia" w:ascii="仿宋" w:hAnsi="仿宋" w:eastAsia="仿宋" w:cs="仿宋"/>
                <w:szCs w:val="21"/>
              </w:rPr>
              <w:t>-</w:t>
            </w:r>
            <w:r>
              <w:rPr>
                <w:rFonts w:hint="eastAsia" w:ascii="仿宋" w:hAnsi="仿宋" w:eastAsia="仿宋" w:cs="仿宋"/>
                <w:szCs w:val="21"/>
              </w:rPr>
              <w:fldChar w:fldCharType="begin"/>
            </w:r>
            <w:r>
              <w:rPr>
                <w:rFonts w:hint="eastAsia" w:ascii="仿宋" w:hAnsi="仿宋" w:eastAsia="仿宋" w:cs="仿宋"/>
                <w:szCs w:val="21"/>
              </w:rPr>
              <w:instrText xml:space="preserve"> SEQ 表 \* ARABIC \s 1 </w:instrText>
            </w:r>
            <w:r>
              <w:rPr>
                <w:rFonts w:hint="eastAsia" w:ascii="仿宋" w:hAnsi="仿宋" w:eastAsia="仿宋" w:cs="仿宋"/>
                <w:szCs w:val="21"/>
              </w:rPr>
              <w:fldChar w:fldCharType="separate"/>
            </w:r>
            <w:r>
              <w:rPr>
                <w:rFonts w:hint="eastAsia" w:ascii="仿宋" w:hAnsi="仿宋" w:eastAsia="仿宋" w:cs="仿宋"/>
                <w:szCs w:val="21"/>
              </w:rPr>
              <w:t>10</w:t>
            </w:r>
            <w:r>
              <w:rPr>
                <w:rFonts w:hint="eastAsia" w:ascii="仿宋" w:hAnsi="仿宋" w:eastAsia="仿宋" w:cs="仿宋"/>
                <w:szCs w:val="21"/>
              </w:rPr>
              <w:fldChar w:fldCharType="end"/>
            </w:r>
            <w:r>
              <w:rPr>
                <w:rFonts w:hint="eastAsia" w:ascii="仿宋" w:hAnsi="仿宋" w:eastAsia="仿宋" w:cs="仿宋"/>
                <w:bCs/>
                <w:szCs w:val="21"/>
              </w:rPr>
              <w:t>软件利旧清单</w:t>
            </w:r>
          </w:p>
          <w:tbl>
            <w:tblPr>
              <w:tblStyle w:val="17"/>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762"/>
              <w:gridCol w:w="2897"/>
              <w:gridCol w:w="2394"/>
            </w:tblGrid>
            <w:tr w14:paraId="33E9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25"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4285F04B">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序号</w:t>
                  </w:r>
                </w:p>
              </w:tc>
              <w:tc>
                <w:tcPr>
                  <w:tcW w:w="1762"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518B53C3">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名称</w:t>
                  </w:r>
                </w:p>
              </w:tc>
              <w:tc>
                <w:tcPr>
                  <w:tcW w:w="2897" w:type="dxa"/>
                  <w:tcBorders>
                    <w:top w:val="single" w:color="000000" w:sz="12" w:space="0"/>
                    <w:left w:val="single" w:color="000000" w:sz="4" w:space="0"/>
                    <w:bottom w:val="single" w:color="000000" w:sz="4" w:space="0"/>
                    <w:right w:val="single" w:color="000000" w:sz="4" w:space="0"/>
                  </w:tcBorders>
                  <w:shd w:val="clear" w:color="auto" w:fill="FFFFFF"/>
                  <w:vAlign w:val="center"/>
                </w:tcPr>
                <w:p w14:paraId="2CB92A73">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版本</w:t>
                  </w:r>
                </w:p>
              </w:tc>
              <w:tc>
                <w:tcPr>
                  <w:tcW w:w="2394"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6137C827">
                  <w:pPr>
                    <w:snapToGrid w:val="0"/>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数量（套）</w:t>
                  </w:r>
                </w:p>
              </w:tc>
            </w:tr>
            <w:tr w14:paraId="7ABE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2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7A1B98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p>
              </w:tc>
              <w:tc>
                <w:tcPr>
                  <w:tcW w:w="17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792E0">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操作系统</w:t>
                  </w:r>
                </w:p>
              </w:tc>
              <w:tc>
                <w:tcPr>
                  <w:tcW w:w="28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5E76C">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WindowsServer2008</w:t>
                  </w:r>
                </w:p>
              </w:tc>
              <w:tc>
                <w:tcPr>
                  <w:tcW w:w="239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08161A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r>
            <w:tr w14:paraId="127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2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6039AFD">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p>
              </w:tc>
              <w:tc>
                <w:tcPr>
                  <w:tcW w:w="17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DCCE2">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数据库</w:t>
                  </w:r>
                </w:p>
              </w:tc>
              <w:tc>
                <w:tcPr>
                  <w:tcW w:w="28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BAA4B">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OracleDatabase19c</w:t>
                  </w:r>
                </w:p>
              </w:tc>
              <w:tc>
                <w:tcPr>
                  <w:tcW w:w="239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288D7C5A">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r>
            <w:tr w14:paraId="4FCE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5"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7CE0F838">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w:t>
                  </w:r>
                </w:p>
              </w:tc>
              <w:tc>
                <w:tcPr>
                  <w:tcW w:w="1762"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55AAA76B">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中间件</w:t>
                  </w:r>
                </w:p>
              </w:tc>
              <w:tc>
                <w:tcPr>
                  <w:tcW w:w="2897"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5ECC4106">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apache-tomcat-8</w:t>
                  </w:r>
                </w:p>
              </w:tc>
              <w:tc>
                <w:tcPr>
                  <w:tcW w:w="2394"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6B372227">
                  <w:pPr>
                    <w:snapToGrid w:val="0"/>
                    <w:spacing w:line="360" w:lineRule="auto"/>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w:t>
                  </w:r>
                </w:p>
              </w:tc>
            </w:tr>
          </w:tbl>
          <w:p w14:paraId="572F0377">
            <w:pPr>
              <w:snapToGrid w:val="0"/>
              <w:spacing w:line="360" w:lineRule="auto"/>
              <w:rPr>
                <w:rFonts w:hint="eastAsia" w:ascii="仿宋" w:hAnsi="仿宋" w:eastAsia="仿宋" w:cs="仿宋"/>
                <w:szCs w:val="21"/>
              </w:rPr>
            </w:pPr>
          </w:p>
          <w:p w14:paraId="2A3037CA">
            <w:pPr>
              <w:pStyle w:val="5"/>
              <w:numPr>
                <w:ilvl w:val="2"/>
                <w:numId w:val="0"/>
              </w:numPr>
              <w:rPr>
                <w:rFonts w:hint="eastAsia" w:ascii="仿宋" w:hAnsi="仿宋" w:eastAsia="仿宋" w:cs="仿宋"/>
                <w:sz w:val="21"/>
                <w:szCs w:val="21"/>
              </w:rPr>
            </w:pPr>
            <w:bookmarkStart w:id="238" w:name="_Toc12837"/>
            <w:r>
              <w:rPr>
                <w:rFonts w:hint="eastAsia" w:ascii="仿宋" w:hAnsi="仿宋" w:eastAsia="仿宋" w:cs="仿宋"/>
                <w:sz w:val="21"/>
                <w:szCs w:val="21"/>
              </w:rPr>
              <w:t>4.6.2硬件设备清单</w:t>
            </w:r>
            <w:bookmarkEnd w:id="238"/>
          </w:p>
          <w:p w14:paraId="62CC3827">
            <w:pPr>
              <w:snapToGrid w:val="0"/>
              <w:spacing w:line="360" w:lineRule="auto"/>
              <w:jc w:val="center"/>
              <w:rPr>
                <w:rFonts w:hint="eastAsia" w:ascii="仿宋" w:hAnsi="仿宋" w:eastAsia="仿宋" w:cs="仿宋"/>
                <w:szCs w:val="21"/>
              </w:rPr>
            </w:pPr>
            <w:r>
              <w:rPr>
                <w:rFonts w:hint="eastAsia" w:ascii="仿宋" w:hAnsi="仿宋" w:eastAsia="仿宋" w:cs="仿宋"/>
                <w:bCs/>
                <w:szCs w:val="21"/>
              </w:rPr>
              <w:t>表5</w:t>
            </w:r>
            <w:r>
              <w:rPr>
                <w:rFonts w:hint="eastAsia" w:ascii="仿宋" w:hAnsi="仿宋" w:eastAsia="仿宋" w:cs="仿宋"/>
                <w:bCs/>
                <w:szCs w:val="21"/>
              </w:rPr>
              <w:noBreakHyphen/>
            </w:r>
            <w:r>
              <w:rPr>
                <w:rFonts w:hint="eastAsia" w:ascii="仿宋" w:hAnsi="仿宋" w:eastAsia="仿宋" w:cs="仿宋"/>
                <w:bCs/>
                <w:szCs w:val="21"/>
              </w:rPr>
              <w:t>5服务器利旧清单</w:t>
            </w:r>
          </w:p>
          <w:tbl>
            <w:tblPr>
              <w:tblStyle w:val="17"/>
              <w:tblW w:w="7638" w:type="dxa"/>
              <w:jc w:val="center"/>
              <w:tblLayout w:type="autofit"/>
              <w:tblCellMar>
                <w:top w:w="0" w:type="dxa"/>
                <w:left w:w="108" w:type="dxa"/>
                <w:bottom w:w="0" w:type="dxa"/>
                <w:right w:w="108" w:type="dxa"/>
              </w:tblCellMar>
            </w:tblPr>
            <w:tblGrid>
              <w:gridCol w:w="647"/>
              <w:gridCol w:w="2357"/>
              <w:gridCol w:w="2881"/>
              <w:gridCol w:w="1753"/>
            </w:tblGrid>
            <w:tr w14:paraId="065CBF9C">
              <w:tblPrEx>
                <w:tblCellMar>
                  <w:top w:w="0" w:type="dxa"/>
                  <w:left w:w="108" w:type="dxa"/>
                  <w:bottom w:w="0" w:type="dxa"/>
                  <w:right w:w="108" w:type="dxa"/>
                </w:tblCellMar>
              </w:tblPrEx>
              <w:trPr>
                <w:trHeight w:val="774" w:hRule="atLeast"/>
                <w:jc w:val="center"/>
              </w:trPr>
              <w:tc>
                <w:tcPr>
                  <w:tcW w:w="647" w:type="dxa"/>
                  <w:tcBorders>
                    <w:top w:val="single" w:color="auto" w:sz="8" w:space="0"/>
                    <w:left w:val="single" w:color="auto" w:sz="8" w:space="0"/>
                    <w:bottom w:val="single" w:color="auto" w:sz="8" w:space="0"/>
                    <w:right w:val="single" w:color="auto" w:sz="8" w:space="0"/>
                  </w:tcBorders>
                  <w:vAlign w:val="center"/>
                </w:tcPr>
                <w:p w14:paraId="36526EC4">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序号</w:t>
                  </w:r>
                </w:p>
              </w:tc>
              <w:tc>
                <w:tcPr>
                  <w:tcW w:w="2357" w:type="dxa"/>
                  <w:tcBorders>
                    <w:top w:val="single" w:color="auto" w:sz="8" w:space="0"/>
                    <w:left w:val="nil"/>
                    <w:bottom w:val="single" w:color="auto" w:sz="8" w:space="0"/>
                    <w:right w:val="single" w:color="auto" w:sz="8" w:space="0"/>
                  </w:tcBorders>
                  <w:vAlign w:val="center"/>
                </w:tcPr>
                <w:p w14:paraId="5411B655">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资源名称</w:t>
                  </w:r>
                </w:p>
              </w:tc>
              <w:tc>
                <w:tcPr>
                  <w:tcW w:w="2881" w:type="dxa"/>
                  <w:tcBorders>
                    <w:top w:val="single" w:color="auto" w:sz="8" w:space="0"/>
                    <w:left w:val="nil"/>
                    <w:bottom w:val="single" w:color="auto" w:sz="8" w:space="0"/>
                    <w:right w:val="single" w:color="auto" w:sz="8" w:space="0"/>
                  </w:tcBorders>
                  <w:vAlign w:val="center"/>
                </w:tcPr>
                <w:p w14:paraId="11C511F3">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规格</w:t>
                  </w:r>
                  <w:r>
                    <w:rPr>
                      <w:rFonts w:hint="eastAsia" w:ascii="仿宋" w:hAnsi="仿宋" w:eastAsia="仿宋" w:cs="仿宋"/>
                      <w:b/>
                      <w:bCs/>
                      <w:color w:val="000000"/>
                      <w:szCs w:val="21"/>
                    </w:rPr>
                    <w:br w:type="textWrapping"/>
                  </w:r>
                  <w:r>
                    <w:rPr>
                      <w:rFonts w:hint="eastAsia" w:ascii="仿宋" w:hAnsi="仿宋" w:eastAsia="仿宋" w:cs="仿宋"/>
                      <w:b/>
                      <w:bCs/>
                      <w:color w:val="000000"/>
                      <w:szCs w:val="21"/>
                    </w:rPr>
                    <w:t>（CPU/内存/存储）</w:t>
                  </w:r>
                </w:p>
              </w:tc>
              <w:tc>
                <w:tcPr>
                  <w:tcW w:w="1753" w:type="dxa"/>
                  <w:tcBorders>
                    <w:top w:val="single" w:color="auto" w:sz="8" w:space="0"/>
                    <w:left w:val="nil"/>
                    <w:bottom w:val="single" w:color="auto" w:sz="8" w:space="0"/>
                    <w:right w:val="single" w:color="auto" w:sz="8" w:space="0"/>
                  </w:tcBorders>
                  <w:vAlign w:val="center"/>
                </w:tcPr>
                <w:p w14:paraId="447B9A25">
                  <w:pPr>
                    <w:snapToGrid w:val="0"/>
                    <w:spacing w:line="360" w:lineRule="auto"/>
                    <w:jc w:val="center"/>
                    <w:rPr>
                      <w:rFonts w:hint="eastAsia" w:ascii="仿宋" w:hAnsi="仿宋" w:eastAsia="仿宋" w:cs="仿宋"/>
                      <w:b/>
                      <w:bCs/>
                      <w:color w:val="000000"/>
                      <w:szCs w:val="21"/>
                    </w:rPr>
                  </w:pPr>
                  <w:r>
                    <w:rPr>
                      <w:rFonts w:hint="eastAsia" w:ascii="仿宋" w:hAnsi="仿宋" w:eastAsia="仿宋" w:cs="仿宋"/>
                      <w:b/>
                      <w:bCs/>
                      <w:color w:val="000000"/>
                      <w:szCs w:val="21"/>
                    </w:rPr>
                    <w:t>云资源占用数量</w:t>
                  </w:r>
                  <w:r>
                    <w:rPr>
                      <w:rFonts w:hint="eastAsia" w:ascii="仿宋" w:hAnsi="仿宋" w:eastAsia="仿宋" w:cs="仿宋"/>
                      <w:b/>
                      <w:bCs/>
                      <w:color w:val="000000"/>
                      <w:szCs w:val="21"/>
                    </w:rPr>
                    <w:br w:type="textWrapping"/>
                  </w:r>
                  <w:r>
                    <w:rPr>
                      <w:rFonts w:hint="eastAsia" w:ascii="仿宋" w:hAnsi="仿宋" w:eastAsia="仿宋" w:cs="仿宋"/>
                      <w:b/>
                      <w:bCs/>
                      <w:color w:val="000000"/>
                      <w:szCs w:val="21"/>
                    </w:rPr>
                    <w:t>（台）</w:t>
                  </w:r>
                </w:p>
              </w:tc>
            </w:tr>
            <w:tr w14:paraId="3B92EA91">
              <w:tblPrEx>
                <w:tblCellMar>
                  <w:top w:w="0" w:type="dxa"/>
                  <w:left w:w="108" w:type="dxa"/>
                  <w:bottom w:w="0" w:type="dxa"/>
                  <w:right w:w="108" w:type="dxa"/>
                </w:tblCellMar>
              </w:tblPrEx>
              <w:trPr>
                <w:trHeight w:val="396" w:hRule="atLeast"/>
                <w:jc w:val="center"/>
              </w:trPr>
              <w:tc>
                <w:tcPr>
                  <w:tcW w:w="647" w:type="dxa"/>
                  <w:tcBorders>
                    <w:top w:val="nil"/>
                    <w:left w:val="single" w:color="auto" w:sz="8" w:space="0"/>
                    <w:bottom w:val="single" w:color="auto" w:sz="8" w:space="0"/>
                    <w:right w:val="single" w:color="auto" w:sz="8" w:space="0"/>
                  </w:tcBorders>
                  <w:vAlign w:val="center"/>
                </w:tcPr>
                <w:p w14:paraId="509BC34D">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2357" w:type="dxa"/>
                  <w:tcBorders>
                    <w:top w:val="nil"/>
                    <w:left w:val="nil"/>
                    <w:bottom w:val="single" w:color="auto" w:sz="8" w:space="0"/>
                    <w:right w:val="single" w:color="auto" w:sz="8" w:space="0"/>
                  </w:tcBorders>
                  <w:vAlign w:val="center"/>
                </w:tcPr>
                <w:p w14:paraId="190A449B">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应用服务器</w:t>
                  </w:r>
                </w:p>
              </w:tc>
              <w:tc>
                <w:tcPr>
                  <w:tcW w:w="2881" w:type="dxa"/>
                  <w:tcBorders>
                    <w:top w:val="nil"/>
                    <w:left w:val="nil"/>
                    <w:bottom w:val="single" w:color="auto" w:sz="8" w:space="0"/>
                    <w:right w:val="single" w:color="auto" w:sz="8" w:space="0"/>
                  </w:tcBorders>
                  <w:vAlign w:val="center"/>
                </w:tcPr>
                <w:p w14:paraId="3DDD3289">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8C/16G/500G</w:t>
                  </w:r>
                </w:p>
              </w:tc>
              <w:tc>
                <w:tcPr>
                  <w:tcW w:w="1753" w:type="dxa"/>
                  <w:tcBorders>
                    <w:top w:val="nil"/>
                    <w:left w:val="nil"/>
                    <w:bottom w:val="single" w:color="auto" w:sz="8" w:space="0"/>
                    <w:right w:val="single" w:color="auto" w:sz="8" w:space="0"/>
                  </w:tcBorders>
                  <w:vAlign w:val="center"/>
                </w:tcPr>
                <w:p w14:paraId="5BED67A8">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8</w:t>
                  </w:r>
                </w:p>
              </w:tc>
            </w:tr>
            <w:tr w14:paraId="0154C3E7">
              <w:tblPrEx>
                <w:tblCellMar>
                  <w:top w:w="0" w:type="dxa"/>
                  <w:left w:w="108" w:type="dxa"/>
                  <w:bottom w:w="0" w:type="dxa"/>
                  <w:right w:w="108" w:type="dxa"/>
                </w:tblCellMar>
              </w:tblPrEx>
              <w:trPr>
                <w:trHeight w:val="425" w:hRule="atLeast"/>
                <w:jc w:val="center"/>
              </w:trPr>
              <w:tc>
                <w:tcPr>
                  <w:tcW w:w="647" w:type="dxa"/>
                  <w:tcBorders>
                    <w:top w:val="nil"/>
                    <w:left w:val="single" w:color="auto" w:sz="8" w:space="0"/>
                    <w:bottom w:val="single" w:color="auto" w:sz="8" w:space="0"/>
                    <w:right w:val="single" w:color="auto" w:sz="8" w:space="0"/>
                  </w:tcBorders>
                  <w:vAlign w:val="center"/>
                </w:tcPr>
                <w:p w14:paraId="7A11FBE1">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2357" w:type="dxa"/>
                  <w:tcBorders>
                    <w:top w:val="nil"/>
                    <w:left w:val="nil"/>
                    <w:bottom w:val="single" w:color="auto" w:sz="8" w:space="0"/>
                    <w:right w:val="single" w:color="auto" w:sz="8" w:space="0"/>
                  </w:tcBorders>
                  <w:vAlign w:val="center"/>
                </w:tcPr>
                <w:p w14:paraId="3E84BB06">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数据库服务器</w:t>
                  </w:r>
                </w:p>
              </w:tc>
              <w:tc>
                <w:tcPr>
                  <w:tcW w:w="2881" w:type="dxa"/>
                  <w:tcBorders>
                    <w:top w:val="nil"/>
                    <w:left w:val="nil"/>
                    <w:bottom w:val="single" w:color="auto" w:sz="8" w:space="0"/>
                    <w:right w:val="single" w:color="auto" w:sz="8" w:space="0"/>
                  </w:tcBorders>
                  <w:vAlign w:val="center"/>
                </w:tcPr>
                <w:p w14:paraId="4102A972">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8C/16G/500G</w:t>
                  </w:r>
                </w:p>
              </w:tc>
              <w:tc>
                <w:tcPr>
                  <w:tcW w:w="1753" w:type="dxa"/>
                  <w:tcBorders>
                    <w:top w:val="nil"/>
                    <w:left w:val="nil"/>
                    <w:bottom w:val="single" w:color="auto" w:sz="8" w:space="0"/>
                    <w:right w:val="single" w:color="auto" w:sz="8" w:space="0"/>
                  </w:tcBorders>
                  <w:vAlign w:val="center"/>
                </w:tcPr>
                <w:p w14:paraId="40362A8E">
                  <w:pPr>
                    <w:snapToGrid w:val="0"/>
                    <w:spacing w:line="360" w:lineRule="auto"/>
                    <w:jc w:val="center"/>
                    <w:rPr>
                      <w:rFonts w:hint="eastAsia" w:ascii="仿宋" w:hAnsi="仿宋" w:eastAsia="仿宋" w:cs="仿宋"/>
                      <w:color w:val="000000"/>
                      <w:szCs w:val="21"/>
                    </w:rPr>
                  </w:pPr>
                  <w:r>
                    <w:rPr>
                      <w:rFonts w:hint="eastAsia" w:ascii="仿宋" w:hAnsi="仿宋" w:eastAsia="仿宋" w:cs="仿宋"/>
                      <w:color w:val="000000"/>
                      <w:szCs w:val="21"/>
                    </w:rPr>
                    <w:t>3</w:t>
                  </w:r>
                </w:p>
              </w:tc>
            </w:tr>
          </w:tbl>
          <w:p w14:paraId="643E27D1">
            <w:pPr>
              <w:snapToGrid w:val="0"/>
              <w:spacing w:line="360" w:lineRule="auto"/>
              <w:rPr>
                <w:rFonts w:hint="eastAsia" w:ascii="仿宋" w:hAnsi="仿宋" w:eastAsia="仿宋" w:cs="仿宋"/>
                <w:szCs w:val="21"/>
              </w:rPr>
            </w:pPr>
          </w:p>
          <w:p w14:paraId="59D41C37">
            <w:pPr>
              <w:pStyle w:val="4"/>
              <w:numPr>
                <w:ilvl w:val="1"/>
                <w:numId w:val="0"/>
              </w:numPr>
              <w:rPr>
                <w:rFonts w:hint="eastAsia" w:ascii="仿宋" w:hAnsi="仿宋" w:eastAsia="仿宋" w:cs="仿宋"/>
                <w:sz w:val="21"/>
                <w:szCs w:val="21"/>
              </w:rPr>
            </w:pPr>
            <w:bookmarkStart w:id="239" w:name="_Toc11603"/>
            <w:bookmarkStart w:id="240" w:name="_Toc127382374"/>
            <w:r>
              <w:rPr>
                <w:rFonts w:hint="eastAsia" w:ascii="仿宋" w:hAnsi="仿宋" w:eastAsia="仿宋" w:cs="仿宋"/>
                <w:sz w:val="21"/>
                <w:szCs w:val="21"/>
              </w:rPr>
              <w:t>4.7系统和数据迁移方案</w:t>
            </w:r>
            <w:bookmarkEnd w:id="239"/>
            <w:bookmarkEnd w:id="240"/>
          </w:p>
          <w:p w14:paraId="572FF717">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国家卫生统计直报系统功能优化项目因涉及到信创环境的部署，需将历史数据迁移至新的环境。</w:t>
            </w:r>
          </w:p>
          <w:p w14:paraId="2B34075D">
            <w:pPr>
              <w:pStyle w:val="5"/>
              <w:numPr>
                <w:ilvl w:val="2"/>
                <w:numId w:val="0"/>
              </w:numPr>
              <w:rPr>
                <w:rFonts w:hint="eastAsia" w:ascii="仿宋" w:hAnsi="仿宋" w:eastAsia="仿宋" w:cs="仿宋"/>
                <w:sz w:val="21"/>
                <w:szCs w:val="21"/>
              </w:rPr>
            </w:pPr>
            <w:bookmarkStart w:id="241" w:name="_Toc18667"/>
            <w:bookmarkStart w:id="242" w:name="_Toc940"/>
            <w:r>
              <w:rPr>
                <w:rFonts w:hint="eastAsia" w:ascii="仿宋" w:hAnsi="仿宋" w:eastAsia="仿宋" w:cs="仿宋"/>
                <w:sz w:val="21"/>
                <w:szCs w:val="21"/>
              </w:rPr>
              <w:t>4.7.1迁移概述</w:t>
            </w:r>
            <w:bookmarkEnd w:id="241"/>
            <w:bookmarkEnd w:id="242"/>
          </w:p>
          <w:p w14:paraId="5910C5ED">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4.7.1.1迁移目标</w:t>
            </w:r>
          </w:p>
          <w:p w14:paraId="25B845F7">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完整、准确地将原系统基于Oracle数据库存储的结构化业务数据及系统配置信息迁移至新系统，确保迁移后数据的一致性、可用性和完整性。重点保障机构管理、人力资源、医疗服务等核心业务数据的无缝衔接，同时优化数据存储结构，适配新系统的标准化字段与业务逻辑，为后续数据分析、决策支持奠定基础。通过分阶段实施，最大限度减少对日常业务的影响，确保系统切换后用户可平稳过渡至新环境。</w:t>
            </w:r>
          </w:p>
          <w:p w14:paraId="629F0EE9">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4.7.1.2迁移范围</w:t>
            </w:r>
          </w:p>
          <w:p w14:paraId="1D38D4A1">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涵盖原系统中所有结构化数据，包括但不限于：</w:t>
            </w:r>
          </w:p>
          <w:p w14:paraId="2034C1CD">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基础数据：机构信息（如编码、名称、地址、隶属关系）、人员档案（如姓名、身份证号、职称）、指标字典、行政区划代码等；</w:t>
            </w:r>
          </w:p>
          <w:p w14:paraId="468D6349">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业务数据：各年度统计报表数据（如年报、月报、病案首页）、临时任务数据及相关审核记录；</w:t>
            </w:r>
          </w:p>
          <w:p w14:paraId="109091AD">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系统配置数据：用户账号、角色权限、审批流程规则、数据校验规则等元数据。</w:t>
            </w:r>
          </w:p>
          <w:p w14:paraId="2354D9CD">
            <w:pPr>
              <w:pStyle w:val="5"/>
              <w:numPr>
                <w:ilvl w:val="2"/>
                <w:numId w:val="0"/>
              </w:numPr>
              <w:rPr>
                <w:rFonts w:hint="eastAsia" w:ascii="仿宋" w:hAnsi="仿宋" w:eastAsia="仿宋" w:cs="仿宋"/>
                <w:sz w:val="21"/>
                <w:szCs w:val="21"/>
              </w:rPr>
            </w:pPr>
            <w:bookmarkStart w:id="243" w:name="_Toc17516"/>
            <w:bookmarkStart w:id="244" w:name="_Toc29033"/>
            <w:r>
              <w:rPr>
                <w:rFonts w:hint="eastAsia" w:ascii="仿宋" w:hAnsi="仿宋" w:eastAsia="仿宋" w:cs="仿宋"/>
                <w:sz w:val="21"/>
                <w:szCs w:val="21"/>
              </w:rPr>
              <w:t>4.7.2系统迁移分析</w:t>
            </w:r>
            <w:bookmarkEnd w:id="243"/>
            <w:bookmarkEnd w:id="244"/>
          </w:p>
          <w:p w14:paraId="13EDA987">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4.7.2.1数据源与目标系统对比</w:t>
            </w:r>
          </w:p>
          <w:p w14:paraId="47A210B4">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原系统基于Oracle数据库构建，数据分散存储于多个表空间，字段命名存在本地化自定义规则，部分业务逻辑依赖数据库存储过程实现。新系统采用达梦数据库，遵循国家卫生统计标准构建数据模型，字段定义与编码体系更趋标准化，业务逻辑通过应用层统一实现。两者在数据结构、存储方式和接口能力上存在差异，需通过字段映射、逻辑转换等方式实现兼容。</w:t>
            </w:r>
          </w:p>
          <w:p w14:paraId="24D6E604">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4.7.2.2关键风险与应对思路</w:t>
            </w:r>
          </w:p>
          <w:p w14:paraId="3EE36876">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原系统数据可能存在字段长度不一致、编码规则不统一、逻辑矛盾（等问题。例如，部分字段在原系统中允许为空但新系统中为必填项，或原系统中使用自定义编码而新系统要求国家标准编码。针对此类风险，需在迁移前通过数据盘点梳理差异点，制定针对性的清洗和转换规则，确保迁移后数据符合新系统业务规则。同时，需关注Oracle与国产数据库在存储过程、索引机制等方面的差异，避免因语法不兼容导致迁移失败。</w:t>
            </w:r>
          </w:p>
          <w:p w14:paraId="1F8022C0">
            <w:pPr>
              <w:pStyle w:val="5"/>
              <w:numPr>
                <w:ilvl w:val="2"/>
                <w:numId w:val="0"/>
              </w:numPr>
              <w:rPr>
                <w:rFonts w:hint="eastAsia" w:ascii="仿宋" w:hAnsi="仿宋" w:eastAsia="仿宋" w:cs="仿宋"/>
                <w:sz w:val="21"/>
                <w:szCs w:val="21"/>
              </w:rPr>
            </w:pPr>
            <w:bookmarkStart w:id="245" w:name="_Toc10708"/>
            <w:bookmarkStart w:id="246" w:name="_Toc17913"/>
            <w:r>
              <w:rPr>
                <w:rFonts w:hint="eastAsia" w:ascii="仿宋" w:hAnsi="仿宋" w:eastAsia="仿宋" w:cs="仿宋"/>
                <w:sz w:val="21"/>
                <w:szCs w:val="21"/>
              </w:rPr>
              <w:t>4.7.3迁移技术方案</w:t>
            </w:r>
            <w:bookmarkEnd w:id="245"/>
            <w:bookmarkEnd w:id="246"/>
          </w:p>
          <w:p w14:paraId="7D8870A7">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4.7.3.1准备阶段</w:t>
            </w:r>
          </w:p>
          <w:p w14:paraId="46D5A855">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数据资产梳理：全面盘点原系统数据库中的表结构、字段定义、业务逻辑，编制详细的数据清单，明确各数据表的关联关系及迁移优先级。</w:t>
            </w:r>
          </w:p>
          <w:p w14:paraId="1A34529A">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映射规则设计：针对字段命名、数据类型、编码规则等差异，制定一对一或一对多的映射规则（如原系统“医院等级代码”映射至新系统“institution_level_code”），并通过测试环境验证规则的准确性。</w:t>
            </w:r>
          </w:p>
          <w:p w14:paraId="6031FA1D">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环境搭建：在新系统部署与生产环境一致的测试环境，安装达梦数据库及配套工具，配置网络连通性，确保迁移工具可正常访问新旧系统数据库。</w:t>
            </w:r>
          </w:p>
          <w:p w14:paraId="5843B906">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4.7.3.2迁移阶段</w:t>
            </w:r>
          </w:p>
          <w:p w14:paraId="53D6C9FC">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基础数据迁移：优先迁移机构信息、人员档案等基础数据，验证数据完整性和接口连通性。通过数据迁移工具实现表结构同步和全量数据导入，过程中启用数据校验功能，自动识别空值、重复记录。</w:t>
            </w:r>
          </w:p>
          <w:p w14:paraId="35043D43">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业务数据迁移：在基础数据验证通过后，迁移诊疗记录、病案首页等业务数据。采用“双写”机制，即在原系统与新系统中并行记录数据变更，避免迁移期间数据丢失。对于历史数据，通过自研ETL工具按批次转换和加载，每批次迁移后生成校验报告，标注异常数据。</w:t>
            </w:r>
          </w:p>
          <w:p w14:paraId="3F14F9C2">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技术实现：利用数据库提供的迁移工具，支持从Oracle数据库直接抽取数据，通过可视化界面配置字段映射和转换规则。对于存储过程和视图，需手动调整语法以适配达梦数据库语法规范，确保业务逻辑的延续性。</w:t>
            </w:r>
          </w:p>
          <w:p w14:paraId="1EFF9511">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4.7.3.3验证与验收阶段</w:t>
            </w:r>
          </w:p>
          <w:p w14:paraId="37ACE697">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数据一致性校验：通过对比新旧系统的记录总数、关键指标值（如机构数量、人员总数），结合抽样人工核对，确保数据无遗漏、无错误。对于逻辑矛盾数据（如“住院天数为负数”），通过数据清洗工具标记并生成问题清单，由业务部门协助修正。</w:t>
            </w:r>
          </w:p>
          <w:p w14:paraId="04A43DA9">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功能可用性验证：模拟数据报送、审核、查询等核心业务流程，验证迁移后系统能否正常响应用户操作，如报表生成、权限控制、数据导出等功能是否符合预期。</w:t>
            </w:r>
          </w:p>
          <w:p w14:paraId="45AD9F24">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问题闭环管理：建立专门的问题跟踪台账，对验证阶段发现的差异点逐一分析。</w:t>
            </w:r>
          </w:p>
          <w:p w14:paraId="3750BB7A">
            <w:pPr>
              <w:pStyle w:val="5"/>
              <w:numPr>
                <w:ilvl w:val="2"/>
                <w:numId w:val="0"/>
              </w:numPr>
              <w:rPr>
                <w:rFonts w:hint="eastAsia" w:ascii="仿宋" w:hAnsi="仿宋" w:eastAsia="仿宋" w:cs="仿宋"/>
                <w:sz w:val="21"/>
                <w:szCs w:val="21"/>
              </w:rPr>
            </w:pPr>
            <w:bookmarkStart w:id="247" w:name="_Toc2133"/>
            <w:bookmarkStart w:id="248" w:name="_Toc21661"/>
            <w:r>
              <w:rPr>
                <w:rFonts w:hint="eastAsia" w:ascii="仿宋" w:hAnsi="仿宋" w:eastAsia="仿宋" w:cs="仿宋"/>
                <w:sz w:val="21"/>
                <w:szCs w:val="21"/>
              </w:rPr>
              <w:t>4.7.4保障措施</w:t>
            </w:r>
            <w:bookmarkEnd w:id="247"/>
            <w:bookmarkEnd w:id="248"/>
          </w:p>
          <w:p w14:paraId="024F02F1">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4.7.4.1风险场景与响应流程</w:t>
            </w:r>
          </w:p>
          <w:p w14:paraId="38063008">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4.7.4.1.1数据丢失或损坏</w:t>
            </w:r>
          </w:p>
          <w:p w14:paraId="0DF4BC4F">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场景：迁移过程中因网络中断、存储故障导致部分数据丢失或校验失败。</w:t>
            </w:r>
          </w:p>
          <w:p w14:paraId="2EFF0E51">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响应流程：</w:t>
            </w:r>
          </w:p>
          <w:p w14:paraId="7F0780C7">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立即暂停迁移任务，启用原系统备份数据（每日全量备份）进行对比，定位丢失数据范围。</w:t>
            </w:r>
          </w:p>
          <w:p w14:paraId="157B70DE">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通过迁移工具的增量同步功能，重新抽取丢失数据并补录至新系统，再次执行校验直至一致。</w:t>
            </w:r>
          </w:p>
          <w:p w14:paraId="08078F22">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记录故障原因（如硬件故障、网络波动），优化迁移环境（如更换网络链路、增加存储冗余）。</w:t>
            </w:r>
          </w:p>
          <w:p w14:paraId="5412D3B2">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4.7.4.1.2业务流程中断</w:t>
            </w:r>
          </w:p>
          <w:p w14:paraId="42E3F424">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场景：迁移后新系统功能异常（如报表生成失败、权限混乱），影响日常数据报送。</w:t>
            </w:r>
          </w:p>
          <w:p w14:paraId="552C2282">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响应流程：</w:t>
            </w:r>
          </w:p>
          <w:p w14:paraId="6278513B">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切换至“双系统并行模式”，临时保留原系统访问权限，确保业务不中断。</w:t>
            </w:r>
          </w:p>
          <w:p w14:paraId="0197780C">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技术团队分析日志定位功能异常原因（如代码逻辑错误、配置文件缺失），紧急修复后重新验证。</w:t>
            </w:r>
          </w:p>
          <w:p w14:paraId="610C7B43">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若短时间内无法修复，启用备用方案（如手工填报临时报表），同步加速问题排查。</w:t>
            </w:r>
          </w:p>
          <w:p w14:paraId="6B2E11A6">
            <w:pPr>
              <w:pStyle w:val="7"/>
              <w:numPr>
                <w:ilvl w:val="4"/>
                <w:numId w:val="0"/>
              </w:numPr>
              <w:rPr>
                <w:rFonts w:hint="eastAsia" w:ascii="仿宋" w:hAnsi="仿宋" w:eastAsia="仿宋" w:cs="仿宋"/>
                <w:sz w:val="21"/>
                <w:szCs w:val="21"/>
              </w:rPr>
            </w:pPr>
            <w:r>
              <w:rPr>
                <w:rFonts w:hint="eastAsia" w:ascii="仿宋" w:hAnsi="仿宋" w:eastAsia="仿宋" w:cs="仿宋"/>
                <w:sz w:val="21"/>
                <w:szCs w:val="21"/>
              </w:rPr>
              <w:t>4.7.4.1.3数据一致性冲突</w:t>
            </w:r>
          </w:p>
          <w:p w14:paraId="302653DB">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场景：迁移后发现关键业务数据（如机构编码、人员职称）与原系统不一致。</w:t>
            </w:r>
          </w:p>
          <w:p w14:paraId="750CFE71">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响应流程：</w:t>
            </w:r>
          </w:p>
          <w:p w14:paraId="5C9ACE68">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启动“数据差异追溯机制”，对比新旧系统数据日志，定位冲突字段及操作记录。</w:t>
            </w:r>
          </w:p>
          <w:p w14:paraId="5C6936D7">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对于结构化数据差异，通过迁移工具的回滚功能恢复至最近正确版本，重新执行清洗和迁移。</w:t>
            </w:r>
          </w:p>
          <w:p w14:paraId="23000E98">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对于系统配置差异（如权限规则），手动修正新系统配置并同步至所有用户，确保业务规则统一。</w:t>
            </w:r>
          </w:p>
          <w:p w14:paraId="3D23F45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4.7.4.2应急资源与职责</w:t>
            </w:r>
          </w:p>
          <w:p w14:paraId="4721C40C">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人员保障：</w:t>
            </w:r>
          </w:p>
          <w:p w14:paraId="14644DAE">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设立应急小组，成员包括数据库工程师（负责数据修复）、业务分析师（负责逻辑校验）、运维人员（负责环境维护），明确24小时联络机制。</w:t>
            </w:r>
          </w:p>
          <w:p w14:paraId="3F1B6C38">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技术资源：</w:t>
            </w:r>
          </w:p>
          <w:p w14:paraId="27FD94AA">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保留原系统独立运行环境至迁移验收完成，确保可随时回滚；</w:t>
            </w:r>
          </w:p>
          <w:p w14:paraId="473BA913">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准备备用服务器，预部署迁移工具与配置，应对突发硬件故障。</w:t>
            </w:r>
          </w:p>
          <w:p w14:paraId="050DED38">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流程保障：</w:t>
            </w:r>
          </w:p>
          <w:p w14:paraId="23F4575A">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周期性模拟演练（如模拟数据丢失场景），检验应急响应速度与团队协作效率；</w:t>
            </w:r>
          </w:p>
          <w:p w14:paraId="78C30254">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建立《应急操作手册》，明确各场景下的操作步骤与责任边界，避免因人为失误扩大影响。</w:t>
            </w:r>
          </w:p>
          <w:p w14:paraId="7DA605DC">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4.7.4.3长期监控与改进</w:t>
            </w:r>
          </w:p>
          <w:p w14:paraId="0C70F0AA">
            <w:pPr>
              <w:pStyle w:val="31"/>
              <w:snapToGrid w:val="0"/>
              <w:spacing w:line="360"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迁移完成后，持续监控新系统数据访问性能、用户操作反馈，设置7×24小时日志监测，及时发现潜在风险（如缓慢查询、异常登录）。</w:t>
            </w:r>
          </w:p>
          <w:p w14:paraId="4A6337C9">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定期复盘迁移过程，总结应急响应中的问题（如工具兼容性不足），优化迁移策略与技术方案，为后续系统优化积累经验。</w:t>
            </w:r>
          </w:p>
          <w:p w14:paraId="1DEC3601">
            <w:pPr>
              <w:pStyle w:val="4"/>
              <w:numPr>
                <w:ilvl w:val="1"/>
                <w:numId w:val="0"/>
              </w:numPr>
              <w:rPr>
                <w:rFonts w:hint="eastAsia" w:ascii="仿宋" w:hAnsi="仿宋" w:eastAsia="仿宋" w:cs="仿宋"/>
                <w:sz w:val="21"/>
                <w:szCs w:val="21"/>
              </w:rPr>
            </w:pPr>
            <w:bookmarkStart w:id="249" w:name="_Toc127382375"/>
            <w:bookmarkStart w:id="250" w:name="_Toc17063"/>
            <w:r>
              <w:rPr>
                <w:rFonts w:hint="eastAsia" w:ascii="仿宋" w:hAnsi="仿宋" w:eastAsia="仿宋" w:cs="仿宋"/>
                <w:sz w:val="21"/>
                <w:szCs w:val="21"/>
              </w:rPr>
              <w:t>4.8系统备份设计</w:t>
            </w:r>
            <w:bookmarkEnd w:id="249"/>
            <w:bookmarkEnd w:id="250"/>
          </w:p>
          <w:p w14:paraId="4261E8CE">
            <w:pPr>
              <w:pStyle w:val="5"/>
              <w:numPr>
                <w:ilvl w:val="2"/>
                <w:numId w:val="0"/>
              </w:numPr>
              <w:rPr>
                <w:rFonts w:hint="eastAsia" w:ascii="仿宋" w:hAnsi="仿宋" w:eastAsia="仿宋" w:cs="仿宋"/>
                <w:sz w:val="21"/>
                <w:szCs w:val="21"/>
              </w:rPr>
            </w:pPr>
            <w:bookmarkStart w:id="251" w:name="_Toc19499"/>
            <w:r>
              <w:rPr>
                <w:rFonts w:hint="eastAsia" w:ascii="仿宋" w:hAnsi="仿宋" w:eastAsia="仿宋" w:cs="仿宋"/>
                <w:sz w:val="21"/>
                <w:szCs w:val="21"/>
              </w:rPr>
              <w:t>4.8.1系统备份等级确定与设计</w:t>
            </w:r>
            <w:bookmarkEnd w:id="251"/>
          </w:p>
          <w:p w14:paraId="6A7E1C6A">
            <w:pPr>
              <w:shd w:val="clear" w:color="auto" w:fill="FFFFFF"/>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根据系统数据重要性、恢复时间目标(RTO)和恢复点目标(RPO)，将系统划分为三个备份等级：</w:t>
            </w:r>
          </w:p>
          <w:p w14:paraId="2E32F75B">
            <w:pPr>
              <w:pStyle w:val="14"/>
              <w:shd w:val="clear" w:color="auto" w:fill="FFFFFF"/>
              <w:snapToGrid w:val="0"/>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表</w:t>
            </w:r>
            <w:r>
              <w:rPr>
                <w:rFonts w:hint="eastAsia" w:ascii="仿宋" w:hAnsi="仿宋" w:eastAsia="仿宋" w:cs="仿宋"/>
                <w:szCs w:val="21"/>
              </w:rPr>
              <w:fldChar w:fldCharType="begin"/>
            </w:r>
            <w:r>
              <w:rPr>
                <w:rFonts w:hint="eastAsia" w:ascii="仿宋" w:hAnsi="仿宋" w:eastAsia="仿宋" w:cs="仿宋"/>
                <w:szCs w:val="21"/>
              </w:rPr>
              <w:instrText xml:space="preserve"> STYLEREF 1 \s </w:instrText>
            </w:r>
            <w:r>
              <w:rPr>
                <w:rFonts w:hint="eastAsia" w:ascii="仿宋" w:hAnsi="仿宋" w:eastAsia="仿宋" w:cs="仿宋"/>
                <w:szCs w:val="21"/>
              </w:rPr>
              <w:fldChar w:fldCharType="separate"/>
            </w:r>
            <w:r>
              <w:rPr>
                <w:rFonts w:hint="eastAsia" w:ascii="仿宋" w:hAnsi="仿宋" w:eastAsia="仿宋" w:cs="仿宋"/>
                <w:szCs w:val="21"/>
              </w:rPr>
              <w:t>5</w:t>
            </w:r>
            <w:r>
              <w:rPr>
                <w:rFonts w:hint="eastAsia" w:ascii="仿宋" w:hAnsi="仿宋" w:eastAsia="仿宋" w:cs="仿宋"/>
                <w:szCs w:val="21"/>
              </w:rPr>
              <w:fldChar w:fldCharType="end"/>
            </w:r>
            <w:r>
              <w:rPr>
                <w:rFonts w:hint="eastAsia" w:ascii="仿宋" w:hAnsi="仿宋" w:eastAsia="仿宋" w:cs="仿宋"/>
                <w:szCs w:val="21"/>
              </w:rPr>
              <w:t>-</w:t>
            </w:r>
            <w:r>
              <w:rPr>
                <w:rFonts w:hint="eastAsia" w:ascii="仿宋" w:hAnsi="仿宋" w:eastAsia="仿宋" w:cs="仿宋"/>
                <w:szCs w:val="21"/>
              </w:rPr>
              <w:fldChar w:fldCharType="begin"/>
            </w:r>
            <w:r>
              <w:rPr>
                <w:rFonts w:hint="eastAsia" w:ascii="仿宋" w:hAnsi="仿宋" w:eastAsia="仿宋" w:cs="仿宋"/>
                <w:szCs w:val="21"/>
              </w:rPr>
              <w:instrText xml:space="preserve"> SEQ 表 \* ARABIC \s 1 </w:instrText>
            </w:r>
            <w:r>
              <w:rPr>
                <w:rFonts w:hint="eastAsia" w:ascii="仿宋" w:hAnsi="仿宋" w:eastAsia="仿宋" w:cs="仿宋"/>
                <w:szCs w:val="21"/>
              </w:rPr>
              <w:fldChar w:fldCharType="separate"/>
            </w:r>
            <w:r>
              <w:rPr>
                <w:rFonts w:hint="eastAsia" w:ascii="仿宋" w:hAnsi="仿宋" w:eastAsia="仿宋" w:cs="仿宋"/>
                <w:szCs w:val="21"/>
              </w:rPr>
              <w:t>11</w:t>
            </w:r>
            <w:r>
              <w:rPr>
                <w:rFonts w:hint="eastAsia" w:ascii="仿宋" w:hAnsi="仿宋" w:eastAsia="仿宋" w:cs="仿宋"/>
                <w:szCs w:val="21"/>
              </w:rPr>
              <w:fldChar w:fldCharType="end"/>
            </w:r>
            <w:r>
              <w:rPr>
                <w:rFonts w:hint="eastAsia" w:ascii="仿宋" w:hAnsi="仿宋" w:eastAsia="仿宋" w:cs="仿宋"/>
                <w:color w:val="000000" w:themeColor="text1"/>
                <w:szCs w:val="21"/>
                <w14:textFill>
                  <w14:solidFill>
                    <w14:schemeClr w14:val="tx1"/>
                  </w14:solidFill>
                </w14:textFill>
              </w:rPr>
              <w:t>备份计划</w:t>
            </w:r>
          </w:p>
          <w:tbl>
            <w:tblPr>
              <w:tblStyle w:val="17"/>
              <w:tblW w:w="7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56"/>
              <w:gridCol w:w="1190"/>
              <w:gridCol w:w="1352"/>
              <w:gridCol w:w="1585"/>
              <w:gridCol w:w="2074"/>
            </w:tblGrid>
            <w:tr w14:paraId="5E71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atLeast"/>
                <w:jc w:val="center"/>
              </w:trPr>
              <w:tc>
                <w:tcPr>
                  <w:tcW w:w="1356" w:type="dxa"/>
                  <w:tcMar>
                    <w:top w:w="180" w:type="dxa"/>
                    <w:left w:w="270" w:type="dxa"/>
                    <w:bottom w:w="180" w:type="dxa"/>
                    <w:right w:w="270" w:type="dxa"/>
                  </w:tcMar>
                  <w:vAlign w:val="center"/>
                </w:tcPr>
                <w:p w14:paraId="07B9FF66">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备份等级</w:t>
                  </w:r>
                </w:p>
              </w:tc>
              <w:tc>
                <w:tcPr>
                  <w:tcW w:w="1190" w:type="dxa"/>
                  <w:tcMar>
                    <w:top w:w="180" w:type="dxa"/>
                    <w:left w:w="270" w:type="dxa"/>
                    <w:bottom w:w="180" w:type="dxa"/>
                    <w:right w:w="270" w:type="dxa"/>
                  </w:tcMar>
                  <w:vAlign w:val="center"/>
                </w:tcPr>
                <w:p w14:paraId="70B5CFEC">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数据重要性</w:t>
                  </w:r>
                </w:p>
              </w:tc>
              <w:tc>
                <w:tcPr>
                  <w:tcW w:w="1352" w:type="dxa"/>
                  <w:tcMar>
                    <w:top w:w="180" w:type="dxa"/>
                    <w:left w:w="270" w:type="dxa"/>
                    <w:bottom w:w="180" w:type="dxa"/>
                    <w:right w:w="270" w:type="dxa"/>
                  </w:tcMar>
                  <w:vAlign w:val="center"/>
                </w:tcPr>
                <w:p w14:paraId="107E6BE1">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RTO目标</w:t>
                  </w:r>
                </w:p>
              </w:tc>
              <w:tc>
                <w:tcPr>
                  <w:tcW w:w="1585" w:type="dxa"/>
                  <w:tcMar>
                    <w:top w:w="180" w:type="dxa"/>
                    <w:left w:w="270" w:type="dxa"/>
                    <w:bottom w:w="180" w:type="dxa"/>
                    <w:right w:w="270" w:type="dxa"/>
                  </w:tcMar>
                  <w:vAlign w:val="center"/>
                </w:tcPr>
                <w:p w14:paraId="2AC1A4BC">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RPO目标</w:t>
                  </w:r>
                </w:p>
              </w:tc>
              <w:tc>
                <w:tcPr>
                  <w:tcW w:w="2074" w:type="dxa"/>
                  <w:tcMar>
                    <w:top w:w="180" w:type="dxa"/>
                    <w:left w:w="270" w:type="dxa"/>
                    <w:bottom w:w="180" w:type="dxa"/>
                    <w:right w:w="270" w:type="dxa"/>
                  </w:tcMar>
                  <w:vAlign w:val="center"/>
                </w:tcPr>
                <w:p w14:paraId="2DEB8884">
                  <w:pPr>
                    <w:snapToGrid w:val="0"/>
                    <w:spacing w:line="360" w:lineRule="auto"/>
                    <w:jc w:val="center"/>
                    <w:rPr>
                      <w:rFonts w:hint="eastAsia"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szCs w:val="21"/>
                      <w14:textFill>
                        <w14:solidFill>
                          <w14:schemeClr w14:val="tx1"/>
                        </w14:solidFill>
                      </w14:textFill>
                    </w:rPr>
                    <w:t>备份设计策略</w:t>
                  </w:r>
                </w:p>
              </w:tc>
            </w:tr>
            <w:tr w14:paraId="3379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atLeast"/>
                <w:jc w:val="center"/>
              </w:trPr>
              <w:tc>
                <w:tcPr>
                  <w:tcW w:w="1356" w:type="dxa"/>
                  <w:tcMar>
                    <w:top w:w="180" w:type="dxa"/>
                    <w:left w:w="270" w:type="dxa"/>
                    <w:bottom w:w="180" w:type="dxa"/>
                    <w:right w:w="270" w:type="dxa"/>
                  </w:tcMar>
                  <w:vAlign w:val="center"/>
                </w:tcPr>
                <w:p w14:paraId="7C380C96">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关键级</w:t>
                  </w:r>
                </w:p>
              </w:tc>
              <w:tc>
                <w:tcPr>
                  <w:tcW w:w="1190" w:type="dxa"/>
                  <w:tcMar>
                    <w:top w:w="180" w:type="dxa"/>
                    <w:left w:w="270" w:type="dxa"/>
                    <w:bottom w:w="180" w:type="dxa"/>
                    <w:right w:w="270" w:type="dxa"/>
                  </w:tcMar>
                  <w:vAlign w:val="center"/>
                </w:tcPr>
                <w:p w14:paraId="0584C753">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极高</w:t>
                  </w:r>
                </w:p>
              </w:tc>
              <w:tc>
                <w:tcPr>
                  <w:tcW w:w="1352" w:type="dxa"/>
                  <w:tcMar>
                    <w:top w:w="180" w:type="dxa"/>
                    <w:left w:w="270" w:type="dxa"/>
                    <w:bottom w:w="180" w:type="dxa"/>
                    <w:right w:w="270" w:type="dxa"/>
                  </w:tcMar>
                  <w:vAlign w:val="center"/>
                </w:tcPr>
                <w:p w14:paraId="4AC89604">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≤1小时</w:t>
                  </w:r>
                </w:p>
              </w:tc>
              <w:tc>
                <w:tcPr>
                  <w:tcW w:w="1585" w:type="dxa"/>
                  <w:tcMar>
                    <w:top w:w="180" w:type="dxa"/>
                    <w:left w:w="270" w:type="dxa"/>
                    <w:bottom w:w="180" w:type="dxa"/>
                    <w:right w:w="270" w:type="dxa"/>
                  </w:tcMar>
                  <w:vAlign w:val="center"/>
                </w:tcPr>
                <w:p w14:paraId="17656D13">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≤15分钟</w:t>
                  </w:r>
                </w:p>
              </w:tc>
              <w:tc>
                <w:tcPr>
                  <w:tcW w:w="2074" w:type="dxa"/>
                  <w:tcMar>
                    <w:top w:w="180" w:type="dxa"/>
                    <w:left w:w="270" w:type="dxa"/>
                    <w:bottom w:w="180" w:type="dxa"/>
                    <w:right w:w="270" w:type="dxa"/>
                  </w:tcMar>
                  <w:vAlign w:val="center"/>
                </w:tcPr>
                <w:p w14:paraId="7F25312F">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实时数据镜像+每日全量备份</w:t>
                  </w:r>
                </w:p>
              </w:tc>
            </w:tr>
            <w:tr w14:paraId="3E72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atLeast"/>
                <w:jc w:val="center"/>
              </w:trPr>
              <w:tc>
                <w:tcPr>
                  <w:tcW w:w="1356" w:type="dxa"/>
                  <w:tcMar>
                    <w:top w:w="180" w:type="dxa"/>
                    <w:left w:w="270" w:type="dxa"/>
                    <w:bottom w:w="180" w:type="dxa"/>
                    <w:right w:w="270" w:type="dxa"/>
                  </w:tcMar>
                  <w:vAlign w:val="center"/>
                </w:tcPr>
                <w:p w14:paraId="14C22A0F">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重要级</w:t>
                  </w:r>
                </w:p>
              </w:tc>
              <w:tc>
                <w:tcPr>
                  <w:tcW w:w="1190" w:type="dxa"/>
                  <w:tcMar>
                    <w:top w:w="180" w:type="dxa"/>
                    <w:left w:w="270" w:type="dxa"/>
                    <w:bottom w:w="180" w:type="dxa"/>
                    <w:right w:w="270" w:type="dxa"/>
                  </w:tcMar>
                  <w:vAlign w:val="center"/>
                </w:tcPr>
                <w:p w14:paraId="147F738B">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高</w:t>
                  </w:r>
                </w:p>
              </w:tc>
              <w:tc>
                <w:tcPr>
                  <w:tcW w:w="1352" w:type="dxa"/>
                  <w:tcMar>
                    <w:top w:w="180" w:type="dxa"/>
                    <w:left w:w="270" w:type="dxa"/>
                    <w:bottom w:w="180" w:type="dxa"/>
                    <w:right w:w="270" w:type="dxa"/>
                  </w:tcMar>
                  <w:vAlign w:val="center"/>
                </w:tcPr>
                <w:p w14:paraId="2EDAC544">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≤4小时</w:t>
                  </w:r>
                </w:p>
              </w:tc>
              <w:tc>
                <w:tcPr>
                  <w:tcW w:w="1585" w:type="dxa"/>
                  <w:tcMar>
                    <w:top w:w="180" w:type="dxa"/>
                    <w:left w:w="270" w:type="dxa"/>
                    <w:bottom w:w="180" w:type="dxa"/>
                    <w:right w:w="270" w:type="dxa"/>
                  </w:tcMar>
                  <w:vAlign w:val="center"/>
                </w:tcPr>
                <w:p w14:paraId="12C8872B">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≤1小时</w:t>
                  </w:r>
                </w:p>
              </w:tc>
              <w:tc>
                <w:tcPr>
                  <w:tcW w:w="2074" w:type="dxa"/>
                  <w:tcMar>
                    <w:top w:w="180" w:type="dxa"/>
                    <w:left w:w="270" w:type="dxa"/>
                    <w:bottom w:w="180" w:type="dxa"/>
                    <w:right w:w="270" w:type="dxa"/>
                  </w:tcMar>
                  <w:vAlign w:val="center"/>
                </w:tcPr>
                <w:p w14:paraId="4072333B">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每小时增量备份+每日全量备份</w:t>
                  </w:r>
                </w:p>
              </w:tc>
            </w:tr>
            <w:tr w14:paraId="755A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0" w:hRule="atLeast"/>
                <w:jc w:val="center"/>
              </w:trPr>
              <w:tc>
                <w:tcPr>
                  <w:tcW w:w="1356" w:type="dxa"/>
                  <w:tcMar>
                    <w:top w:w="180" w:type="dxa"/>
                    <w:left w:w="270" w:type="dxa"/>
                    <w:bottom w:w="180" w:type="dxa"/>
                    <w:right w:w="270" w:type="dxa"/>
                  </w:tcMar>
                  <w:vAlign w:val="center"/>
                </w:tcPr>
                <w:p w14:paraId="03CBACE2">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基础级</w:t>
                  </w:r>
                </w:p>
              </w:tc>
              <w:tc>
                <w:tcPr>
                  <w:tcW w:w="1190" w:type="dxa"/>
                  <w:tcMar>
                    <w:top w:w="180" w:type="dxa"/>
                    <w:left w:w="270" w:type="dxa"/>
                    <w:bottom w:w="180" w:type="dxa"/>
                    <w:right w:w="270" w:type="dxa"/>
                  </w:tcMar>
                  <w:vAlign w:val="center"/>
                </w:tcPr>
                <w:p w14:paraId="262941B7">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中</w:t>
                  </w:r>
                </w:p>
              </w:tc>
              <w:tc>
                <w:tcPr>
                  <w:tcW w:w="1352" w:type="dxa"/>
                  <w:tcMar>
                    <w:top w:w="180" w:type="dxa"/>
                    <w:left w:w="270" w:type="dxa"/>
                    <w:bottom w:w="180" w:type="dxa"/>
                    <w:right w:w="270" w:type="dxa"/>
                  </w:tcMar>
                  <w:vAlign w:val="center"/>
                </w:tcPr>
                <w:p w14:paraId="1106637A">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≤24小时</w:t>
                  </w:r>
                </w:p>
              </w:tc>
              <w:tc>
                <w:tcPr>
                  <w:tcW w:w="1585" w:type="dxa"/>
                  <w:tcMar>
                    <w:top w:w="180" w:type="dxa"/>
                    <w:left w:w="270" w:type="dxa"/>
                    <w:bottom w:w="180" w:type="dxa"/>
                    <w:right w:w="270" w:type="dxa"/>
                  </w:tcMar>
                  <w:vAlign w:val="center"/>
                </w:tcPr>
                <w:p w14:paraId="75E5D81D">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≤8小时</w:t>
                  </w:r>
                </w:p>
              </w:tc>
              <w:tc>
                <w:tcPr>
                  <w:tcW w:w="2074" w:type="dxa"/>
                  <w:tcMar>
                    <w:top w:w="180" w:type="dxa"/>
                    <w:left w:w="270" w:type="dxa"/>
                    <w:bottom w:w="180" w:type="dxa"/>
                    <w:right w:w="270" w:type="dxa"/>
                  </w:tcMar>
                  <w:vAlign w:val="center"/>
                </w:tcPr>
                <w:p w14:paraId="37520A1D">
                  <w:pPr>
                    <w:snapToGrid w:val="0"/>
                    <w:spacing w:line="360" w:lineRule="auto"/>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每日全量备份+每周归档</w:t>
                  </w:r>
                </w:p>
              </w:tc>
            </w:tr>
          </w:tbl>
          <w:p w14:paraId="18C8654B">
            <w:pPr>
              <w:pStyle w:val="5"/>
              <w:numPr>
                <w:ilvl w:val="2"/>
                <w:numId w:val="0"/>
              </w:numPr>
              <w:rPr>
                <w:rFonts w:hint="eastAsia" w:ascii="仿宋" w:hAnsi="仿宋" w:eastAsia="仿宋" w:cs="仿宋"/>
                <w:sz w:val="21"/>
                <w:szCs w:val="21"/>
              </w:rPr>
            </w:pPr>
            <w:bookmarkStart w:id="252" w:name="_Toc4131"/>
            <w:r>
              <w:rPr>
                <w:rFonts w:hint="eastAsia" w:ascii="仿宋" w:hAnsi="仿宋" w:eastAsia="仿宋" w:cs="仿宋"/>
                <w:sz w:val="21"/>
                <w:szCs w:val="21"/>
              </w:rPr>
              <w:t>4.8.2系统备份方案</w:t>
            </w:r>
            <w:bookmarkEnd w:id="252"/>
          </w:p>
          <w:p w14:paraId="77F622B8">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4.8.2.1备份策略</w:t>
            </w:r>
          </w:p>
          <w:p w14:paraId="37AA8DB1">
            <w:pPr>
              <w:pStyle w:val="26"/>
              <w:numPr>
                <w:ilvl w:val="0"/>
                <w:numId w:val="47"/>
              </w:numPr>
              <w:snapToGrid w:val="0"/>
              <w:ind w:firstLine="60"/>
              <w:jc w:val="left"/>
              <w:rPr>
                <w:rFonts w:hint="eastAsia" w:ascii="仿宋" w:hAnsi="仿宋" w:eastAsia="仿宋" w:cs="仿宋"/>
                <w:bCs/>
                <w:color w:val="000000" w:themeColor="text1"/>
                <w:szCs w:val="21"/>
                <w14:textFill>
                  <w14:solidFill>
                    <w14:schemeClr w14:val="tx1"/>
                  </w14:solidFill>
                </w14:textFill>
              </w:rPr>
            </w:pPr>
            <w:r>
              <w:rPr>
                <w:rStyle w:val="20"/>
                <w:rFonts w:hint="eastAsia" w:ascii="仿宋" w:hAnsi="仿宋" w:eastAsia="仿宋" w:cs="仿宋"/>
                <w:b w:val="0"/>
                <w:color w:val="000000" w:themeColor="text1"/>
                <w:szCs w:val="21"/>
                <w14:textFill>
                  <w14:solidFill>
                    <w14:schemeClr w14:val="tx1"/>
                  </w14:solidFill>
                </w14:textFill>
              </w:rPr>
              <w:t>关键级系统</w:t>
            </w:r>
          </w:p>
          <w:p w14:paraId="47823E3B">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主备中心间进行时点数据同步，每60分钟生成事务日志备份，每日凌晨2点执行全量备份，备份数据保留30天。</w:t>
            </w:r>
          </w:p>
          <w:p w14:paraId="204DBCFB">
            <w:pPr>
              <w:pStyle w:val="26"/>
              <w:numPr>
                <w:ilvl w:val="0"/>
                <w:numId w:val="47"/>
              </w:numPr>
              <w:snapToGrid w:val="0"/>
              <w:ind w:firstLine="60"/>
              <w:jc w:val="left"/>
              <w:rPr>
                <w:rStyle w:val="20"/>
                <w:rFonts w:hint="eastAsia" w:ascii="仿宋" w:hAnsi="仿宋" w:eastAsia="仿宋" w:cs="仿宋"/>
                <w:b w:val="0"/>
                <w:color w:val="000000" w:themeColor="text1"/>
                <w:szCs w:val="21"/>
                <w14:textFill>
                  <w14:solidFill>
                    <w14:schemeClr w14:val="tx1"/>
                  </w14:solidFill>
                </w14:textFill>
              </w:rPr>
            </w:pPr>
            <w:r>
              <w:rPr>
                <w:rStyle w:val="20"/>
                <w:rFonts w:hint="eastAsia" w:ascii="仿宋" w:hAnsi="仿宋" w:eastAsia="仿宋" w:cs="仿宋"/>
                <w:b w:val="0"/>
                <w:color w:val="000000" w:themeColor="text1"/>
                <w:szCs w:val="21"/>
                <w14:textFill>
                  <w14:solidFill>
                    <w14:schemeClr w14:val="tx1"/>
                  </w14:solidFill>
                </w14:textFill>
              </w:rPr>
              <w:t>重要级系统</w:t>
            </w:r>
          </w:p>
          <w:p w14:paraId="3CF7E085">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每小时执行增量备份，每日凌晨4点执行全量备份，备份数据保留15天。</w:t>
            </w:r>
          </w:p>
          <w:p w14:paraId="418659FF">
            <w:pPr>
              <w:pStyle w:val="26"/>
              <w:numPr>
                <w:ilvl w:val="0"/>
                <w:numId w:val="47"/>
              </w:numPr>
              <w:snapToGrid w:val="0"/>
              <w:ind w:firstLine="60"/>
              <w:jc w:val="left"/>
              <w:rPr>
                <w:rStyle w:val="20"/>
                <w:rFonts w:hint="eastAsia" w:ascii="仿宋" w:hAnsi="仿宋" w:eastAsia="仿宋" w:cs="仿宋"/>
                <w:b w:val="0"/>
                <w:color w:val="000000" w:themeColor="text1"/>
                <w:szCs w:val="21"/>
                <w14:textFill>
                  <w14:solidFill>
                    <w14:schemeClr w14:val="tx1"/>
                  </w14:solidFill>
                </w14:textFill>
              </w:rPr>
            </w:pPr>
            <w:r>
              <w:rPr>
                <w:rStyle w:val="20"/>
                <w:rFonts w:hint="eastAsia" w:ascii="仿宋" w:hAnsi="仿宋" w:eastAsia="仿宋" w:cs="仿宋"/>
                <w:b w:val="0"/>
                <w:color w:val="000000" w:themeColor="text1"/>
                <w:szCs w:val="21"/>
                <w14:textFill>
                  <w14:solidFill>
                    <w14:schemeClr w14:val="tx1"/>
                  </w14:solidFill>
                </w14:textFill>
              </w:rPr>
              <w:t>基础级系统</w:t>
            </w:r>
          </w:p>
          <w:p w14:paraId="22589FED">
            <w:pPr>
              <w:snapToGrid w:val="0"/>
              <w:spacing w:line="360" w:lineRule="auto"/>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每日22点执行全量备份，每周日执行数据归档，备份数据保留7天。</w:t>
            </w:r>
          </w:p>
          <w:p w14:paraId="227F5364">
            <w:pPr>
              <w:pStyle w:val="6"/>
              <w:numPr>
                <w:ilvl w:val="3"/>
                <w:numId w:val="0"/>
              </w:numPr>
              <w:rPr>
                <w:rFonts w:hint="eastAsia" w:ascii="仿宋" w:hAnsi="仿宋" w:eastAsia="仿宋" w:cs="仿宋"/>
                <w:sz w:val="21"/>
                <w:szCs w:val="21"/>
              </w:rPr>
            </w:pPr>
            <w:r>
              <w:rPr>
                <w:rFonts w:hint="eastAsia" w:ascii="仿宋" w:hAnsi="仿宋" w:eastAsia="仿宋" w:cs="仿宋"/>
                <w:sz w:val="21"/>
                <w:szCs w:val="21"/>
              </w:rPr>
              <w:t>4.8.2.2异地灾备中心</w:t>
            </w:r>
          </w:p>
          <w:p w14:paraId="43A6A83D">
            <w:pPr>
              <w:pStyle w:val="15"/>
              <w:ind w:left="0" w:leftChars="0" w:right="1470"/>
            </w:pPr>
            <w:r>
              <w:rPr>
                <w:rFonts w:hint="eastAsia" w:ascii="仿宋" w:hAnsi="仿宋" w:eastAsia="仿宋" w:cs="仿宋"/>
                <w:color w:val="000000" w:themeColor="text1"/>
                <w:szCs w:val="21"/>
                <w14:textFill>
                  <w14:solidFill>
                    <w14:schemeClr w14:val="tx1"/>
                  </w14:solidFill>
                </w14:textFill>
              </w:rPr>
              <w:t>采用异步复制技术实现数据远程传输，定期进行灾难恢复演练，RTO≤2小时，RPO≤15分钟，提供完整业务恢复能力。</w:t>
            </w:r>
            <w:bookmarkEnd w:id="210"/>
            <w:bookmarkEnd w:id="211"/>
          </w:p>
          <w:p w14:paraId="52D1413C"/>
        </w:tc>
      </w:tr>
    </w:tbl>
    <w:p w14:paraId="6C986D28">
      <w:pPr>
        <w:pStyle w:val="21"/>
        <w:outlineLvl w:val="3"/>
        <w:rPr>
          <w:rFonts w:hint="default"/>
          <w:color w:val="auto"/>
        </w:rPr>
      </w:pPr>
      <w:r>
        <w:rPr>
          <w:rFonts w:ascii="仿宋_GB2312" w:hAnsi="仿宋_GB2312" w:eastAsia="仿宋_GB2312" w:cs="仿宋_GB2312"/>
          <w:b/>
          <w:color w:val="auto"/>
          <w:sz w:val="24"/>
        </w:rPr>
        <w:t>服务期限</w:t>
      </w:r>
    </w:p>
    <w:p w14:paraId="11AFA8C7">
      <w:pPr>
        <w:pStyle w:val="21"/>
        <w:rPr>
          <w:rFonts w:hint="default"/>
          <w:color w:val="auto"/>
          <w:lang w:eastAsia="zh-CN"/>
        </w:rPr>
      </w:pPr>
      <w:r>
        <w:rPr>
          <w:rFonts w:ascii="仿宋_GB2312" w:hAnsi="仿宋_GB2312" w:eastAsia="仿宋_GB2312" w:cs="仿宋_GB2312"/>
          <w:color w:val="auto"/>
        </w:rPr>
        <w:t>采购包1：</w:t>
      </w:r>
      <w:r>
        <w:rPr>
          <w:rFonts w:hint="eastAsia" w:ascii="仿宋_GB2312" w:hAnsi="仿宋_GB2312" w:eastAsia="仿宋_GB2312" w:cs="仿宋_GB2312"/>
          <w:color w:val="auto"/>
        </w:rPr>
        <w:t>自合同签订后一年</w:t>
      </w:r>
      <w:bookmarkStart w:id="253" w:name="_GoBack"/>
      <w:bookmarkEnd w:id="253"/>
    </w:p>
    <w:p w14:paraId="3B8632D7">
      <w:pPr>
        <w:pStyle w:val="21"/>
        <w:rPr>
          <w:rFonts w:hint="default"/>
          <w:color w:val="FF0000"/>
        </w:rPr>
      </w:pPr>
    </w:p>
    <w:p w14:paraId="06854A04"/>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Lucida Sans Unicode">
    <w:panose1 w:val="020B0602030504020204"/>
    <w:charset w:val="00"/>
    <w:family w:val="swiss"/>
    <w:pitch w:val="default"/>
    <w:sig w:usb0="80001AFF" w:usb1="0000396B" w:usb2="00000000" w:usb3="00000000" w:csb0="200000BF" w:csb1="D7F7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24" w:lineRule="auto"/>
      </w:pPr>
      <w:r>
        <w:separator/>
      </w:r>
    </w:p>
  </w:footnote>
  <w:footnote w:type="continuationSeparator" w:id="1">
    <w:p>
      <w:pPr>
        <w:spacing w:line="32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F87C8"/>
    <w:multiLevelType w:val="multilevel"/>
    <w:tmpl w:val="81EF87C8"/>
    <w:lvl w:ilvl="0" w:tentative="0">
      <w:start w:val="1"/>
      <w:numFmt w:val="decimal"/>
      <w:lvlText w:val="%1."/>
      <w:lvlJc w:val="left"/>
      <w:pPr>
        <w:ind w:left="420" w:hanging="420"/>
      </w:pPr>
      <w:rPr>
        <w:rFonts w:hint="eastAsia" w:eastAsia="黑体"/>
        <w:sz w:val="36"/>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D0FF905"/>
    <w:multiLevelType w:val="singleLevel"/>
    <w:tmpl w:val="9D0FF905"/>
    <w:lvl w:ilvl="0" w:tentative="0">
      <w:start w:val="1"/>
      <w:numFmt w:val="decimal"/>
      <w:suff w:val="space"/>
      <w:lvlText w:val="(%1)"/>
      <w:lvlJc w:val="left"/>
      <w:pPr>
        <w:ind w:left="425" w:hanging="425"/>
      </w:pPr>
      <w:rPr>
        <w:rFonts w:hint="default"/>
      </w:rPr>
    </w:lvl>
  </w:abstractNum>
  <w:abstractNum w:abstractNumId="2">
    <w:nsid w:val="9E0CF228"/>
    <w:multiLevelType w:val="singleLevel"/>
    <w:tmpl w:val="9E0CF228"/>
    <w:lvl w:ilvl="0" w:tentative="0">
      <w:start w:val="1"/>
      <w:numFmt w:val="decimal"/>
      <w:suff w:val="space"/>
      <w:lvlText w:val="(%1)"/>
      <w:lvlJc w:val="left"/>
      <w:pPr>
        <w:ind w:left="425" w:hanging="425"/>
      </w:pPr>
      <w:rPr>
        <w:rFonts w:hint="default"/>
      </w:rPr>
    </w:lvl>
  </w:abstractNum>
  <w:abstractNum w:abstractNumId="3">
    <w:nsid w:val="9FECDDA0"/>
    <w:multiLevelType w:val="singleLevel"/>
    <w:tmpl w:val="9FECDDA0"/>
    <w:lvl w:ilvl="0" w:tentative="0">
      <w:start w:val="1"/>
      <w:numFmt w:val="decimal"/>
      <w:suff w:val="space"/>
      <w:lvlText w:val="(%1)"/>
      <w:lvlJc w:val="left"/>
      <w:pPr>
        <w:ind w:left="425" w:hanging="425"/>
      </w:pPr>
      <w:rPr>
        <w:rFonts w:hint="default"/>
      </w:rPr>
    </w:lvl>
  </w:abstractNum>
  <w:abstractNum w:abstractNumId="4">
    <w:nsid w:val="A337B8CE"/>
    <w:multiLevelType w:val="multilevel"/>
    <w:tmpl w:val="A337B8CE"/>
    <w:lvl w:ilvl="0" w:tentative="0">
      <w:start w:val="1"/>
      <w:numFmt w:val="decimal"/>
      <w:lvlText w:val="第%1章"/>
      <w:lvlJc w:val="left"/>
      <w:pPr>
        <w:ind w:left="1134" w:hanging="1134"/>
      </w:pPr>
      <w:rPr>
        <w:rFonts w:hint="default"/>
        <w:b w:val="0"/>
        <w:bCs w:val="0"/>
        <w:i w:val="0"/>
        <w:iCs w:val="0"/>
        <w:caps w:val="0"/>
        <w:smallCaps w:val="0"/>
        <w:strike w:val="0"/>
        <w:dstrike w:val="0"/>
        <w:vanish w:val="0"/>
        <w:spacing w:val="0"/>
        <w:kern w:val="0"/>
        <w:position w:val="0"/>
        <w:sz w:val="44"/>
        <w:szCs w:val="44"/>
        <w:u w:val="none"/>
        <w:vertAlign w:val="baseline"/>
        <w14:ligatures w14:val="none"/>
        <w14:numForm w14:val="default"/>
        <w14:numSpacing w14:val="default"/>
      </w:rPr>
    </w:lvl>
    <w:lvl w:ilvl="1" w:tentative="0">
      <w:start w:val="1"/>
      <w:numFmt w:val="decimal"/>
      <w:pStyle w:val="4"/>
      <w:suff w:val="space"/>
      <w:lvlText w:val="%1.%2"/>
      <w:lvlJc w:val="left"/>
      <w:pPr>
        <w:ind w:left="1134" w:hanging="1134"/>
      </w:pPr>
      <w:rPr>
        <w:rFonts w:hint="default"/>
        <w:b w:val="0"/>
        <w:bCs w:val="0"/>
        <w:i w:val="0"/>
        <w:iCs w:val="0"/>
        <w:caps w:val="0"/>
        <w:smallCaps w:val="0"/>
        <w:strike w:val="0"/>
        <w:dstrike w:val="0"/>
        <w:vanish w:val="0"/>
        <w:spacing w:val="0"/>
        <w:kern w:val="0"/>
        <w:position w:val="0"/>
        <w:sz w:val="36"/>
        <w:szCs w:val="3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5"/>
      <w:suff w:val="space"/>
      <w:lvlText w:val="%1.%2.%3"/>
      <w:lvlJc w:val="left"/>
      <w:pPr>
        <w:ind w:left="1134" w:hanging="1134"/>
      </w:pPr>
      <w:rPr>
        <w:rFonts w:hint="default" w:ascii="Arial" w:hAnsi="Arial" w:cs="Arial"/>
        <w:sz w:val="32"/>
        <w:szCs w:val="32"/>
      </w:rPr>
    </w:lvl>
    <w:lvl w:ilvl="3" w:tentative="0">
      <w:start w:val="1"/>
      <w:numFmt w:val="decimal"/>
      <w:pStyle w:val="6"/>
      <w:suff w:val="space"/>
      <w:lvlText w:val="%1.%2.%3.%4"/>
      <w:lvlJc w:val="left"/>
      <w:pPr>
        <w:ind w:left="1276" w:hanging="1134"/>
      </w:pPr>
      <w:rPr>
        <w:rFonts w:hint="eastAsia" w:eastAsia="黑体"/>
        <w:b w:val="0"/>
        <w:i w:val="0"/>
        <w:sz w:val="30"/>
      </w:rPr>
    </w:lvl>
    <w:lvl w:ilvl="4" w:tentative="0">
      <w:start w:val="1"/>
      <w:numFmt w:val="decimal"/>
      <w:pStyle w:val="7"/>
      <w:suff w:val="space"/>
      <w:lvlText w:val="%1.%2.%3.%4.%5"/>
      <w:lvlJc w:val="left"/>
      <w:pPr>
        <w:ind w:left="1764" w:hanging="1134"/>
      </w:pPr>
      <w:rPr>
        <w:rFonts w:hint="default" w:ascii="Arial" w:hAnsi="Arial" w:cs="Arial"/>
        <w:b w:val="0"/>
        <w:bCs w:val="0"/>
        <w:sz w:val="28"/>
        <w:szCs w:val="28"/>
      </w:rPr>
    </w:lvl>
    <w:lvl w:ilvl="5" w:tentative="0">
      <w:start w:val="1"/>
      <w:numFmt w:val="decimal"/>
      <w:pStyle w:val="8"/>
      <w:suff w:val="space"/>
      <w:lvlText w:val="%1.%2.%3.%4.%5.%6"/>
      <w:lvlJc w:val="left"/>
      <w:pPr>
        <w:ind w:left="1134" w:hanging="1134"/>
      </w:pPr>
      <w:rPr>
        <w:rFonts w:hint="default" w:ascii="Arial" w:hAnsi="Arial" w:cs="Arial"/>
        <w:b w:val="0"/>
        <w:bCs w:val="0"/>
        <w:i w:val="0"/>
        <w:iCs w:val="0"/>
        <w:caps w:val="0"/>
        <w:smallCaps w:val="0"/>
        <w:strike w:val="0"/>
        <w:dstrike w:val="0"/>
        <w:vanish w:val="0"/>
        <w:spacing w:val="0"/>
        <w:kern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pStyle w:val="11"/>
      <w:suff w:val="space"/>
      <w:lvlText w:val="%1.%2.%3.%4.%5.%6.%7"/>
      <w:lvlJc w:val="left"/>
      <w:pPr>
        <w:ind w:left="2184" w:hanging="1134"/>
      </w:pPr>
      <w:rPr>
        <w:rFonts w:hint="default" w:ascii="Arial" w:hAnsi="Arial" w:cs="Arial"/>
        <w:sz w:val="28"/>
      </w:rPr>
    </w:lvl>
    <w:lvl w:ilvl="7" w:tentative="0">
      <w:start w:val="1"/>
      <w:numFmt w:val="decimal"/>
      <w:pStyle w:val="12"/>
      <w:suff w:val="space"/>
      <w:lvlText w:val="%1.%2.%3.%4.%5.%6.%7.%8"/>
      <w:lvlJc w:val="left"/>
      <w:pPr>
        <w:ind w:left="1134" w:hanging="1134"/>
      </w:pPr>
      <w:rPr>
        <w:rFonts w:hint="default" w:ascii="Arial" w:hAnsi="Arial" w:cs="Arial"/>
      </w:rPr>
    </w:lvl>
    <w:lvl w:ilvl="8" w:tentative="0">
      <w:start w:val="1"/>
      <w:numFmt w:val="decimal"/>
      <w:pStyle w:val="13"/>
      <w:suff w:val="space"/>
      <w:lvlText w:val="%1.%2.%3.%4.%5.%6.%7.%8.%9"/>
      <w:lvlJc w:val="left"/>
      <w:pPr>
        <w:ind w:left="1134" w:hanging="1134"/>
      </w:pPr>
      <w:rPr>
        <w:rFonts w:hint="default"/>
        <w:sz w:val="24"/>
        <w:szCs w:val="24"/>
      </w:rPr>
    </w:lvl>
  </w:abstractNum>
  <w:abstractNum w:abstractNumId="5">
    <w:nsid w:val="AE8E8E0A"/>
    <w:multiLevelType w:val="singleLevel"/>
    <w:tmpl w:val="AE8E8E0A"/>
    <w:lvl w:ilvl="0" w:tentative="0">
      <w:start w:val="1"/>
      <w:numFmt w:val="decimal"/>
      <w:lvlText w:val="(%1)"/>
      <w:lvlJc w:val="left"/>
      <w:pPr>
        <w:ind w:left="425" w:hanging="425"/>
      </w:pPr>
      <w:rPr>
        <w:rFonts w:hint="default"/>
      </w:rPr>
    </w:lvl>
  </w:abstractNum>
  <w:abstractNum w:abstractNumId="6">
    <w:nsid w:val="AEB50457"/>
    <w:multiLevelType w:val="singleLevel"/>
    <w:tmpl w:val="AEB50457"/>
    <w:lvl w:ilvl="0" w:tentative="0">
      <w:start w:val="1"/>
      <w:numFmt w:val="decimal"/>
      <w:suff w:val="space"/>
      <w:lvlText w:val="(%1)"/>
      <w:lvlJc w:val="left"/>
      <w:pPr>
        <w:ind w:left="425" w:hanging="425"/>
      </w:pPr>
      <w:rPr>
        <w:rFonts w:hint="default"/>
      </w:rPr>
    </w:lvl>
  </w:abstractNum>
  <w:abstractNum w:abstractNumId="7">
    <w:nsid w:val="AFCFB29C"/>
    <w:multiLevelType w:val="singleLevel"/>
    <w:tmpl w:val="AFCFB29C"/>
    <w:lvl w:ilvl="0" w:tentative="0">
      <w:start w:val="1"/>
      <w:numFmt w:val="decimal"/>
      <w:lvlText w:val="(%1)"/>
      <w:lvlJc w:val="left"/>
      <w:pPr>
        <w:ind w:left="425" w:hanging="425"/>
      </w:pPr>
      <w:rPr>
        <w:rFonts w:hint="default"/>
      </w:rPr>
    </w:lvl>
  </w:abstractNum>
  <w:abstractNum w:abstractNumId="8">
    <w:nsid w:val="B15863C6"/>
    <w:multiLevelType w:val="singleLevel"/>
    <w:tmpl w:val="B15863C6"/>
    <w:lvl w:ilvl="0" w:tentative="0">
      <w:start w:val="1"/>
      <w:numFmt w:val="decimal"/>
      <w:lvlText w:val="(%1)"/>
      <w:lvlJc w:val="left"/>
      <w:pPr>
        <w:ind w:left="425" w:hanging="425"/>
      </w:pPr>
      <w:rPr>
        <w:rFonts w:hint="default"/>
      </w:rPr>
    </w:lvl>
  </w:abstractNum>
  <w:abstractNum w:abstractNumId="9">
    <w:nsid w:val="C5C7AC6D"/>
    <w:multiLevelType w:val="singleLevel"/>
    <w:tmpl w:val="C5C7AC6D"/>
    <w:lvl w:ilvl="0" w:tentative="0">
      <w:start w:val="1"/>
      <w:numFmt w:val="decimal"/>
      <w:lvlText w:val="(%1)"/>
      <w:lvlJc w:val="left"/>
      <w:pPr>
        <w:ind w:left="425" w:hanging="425"/>
      </w:pPr>
      <w:rPr>
        <w:rFonts w:hint="default"/>
      </w:rPr>
    </w:lvl>
  </w:abstractNum>
  <w:abstractNum w:abstractNumId="10">
    <w:nsid w:val="C64DE7CD"/>
    <w:multiLevelType w:val="singleLevel"/>
    <w:tmpl w:val="C64DE7CD"/>
    <w:lvl w:ilvl="0" w:tentative="0">
      <w:start w:val="1"/>
      <w:numFmt w:val="decimal"/>
      <w:suff w:val="space"/>
      <w:lvlText w:val="(%1)"/>
      <w:lvlJc w:val="left"/>
      <w:pPr>
        <w:ind w:left="425" w:hanging="425"/>
      </w:pPr>
      <w:rPr>
        <w:rFonts w:hint="default"/>
      </w:rPr>
    </w:lvl>
  </w:abstractNum>
  <w:abstractNum w:abstractNumId="11">
    <w:nsid w:val="CA90F6AB"/>
    <w:multiLevelType w:val="singleLevel"/>
    <w:tmpl w:val="CA90F6AB"/>
    <w:lvl w:ilvl="0" w:tentative="0">
      <w:start w:val="1"/>
      <w:numFmt w:val="decimal"/>
      <w:lvlText w:val="(%1)"/>
      <w:lvlJc w:val="left"/>
      <w:pPr>
        <w:ind w:left="425" w:hanging="425"/>
      </w:pPr>
      <w:rPr>
        <w:rFonts w:hint="default"/>
      </w:rPr>
    </w:lvl>
  </w:abstractNum>
  <w:abstractNum w:abstractNumId="12">
    <w:nsid w:val="DD14BF76"/>
    <w:multiLevelType w:val="singleLevel"/>
    <w:tmpl w:val="DD14BF76"/>
    <w:lvl w:ilvl="0" w:tentative="0">
      <w:start w:val="1"/>
      <w:numFmt w:val="decimal"/>
      <w:suff w:val="space"/>
      <w:lvlText w:val="%1."/>
      <w:lvlJc w:val="left"/>
    </w:lvl>
  </w:abstractNum>
  <w:abstractNum w:abstractNumId="13">
    <w:nsid w:val="E34679EA"/>
    <w:multiLevelType w:val="singleLevel"/>
    <w:tmpl w:val="E34679EA"/>
    <w:lvl w:ilvl="0" w:tentative="0">
      <w:start w:val="1"/>
      <w:numFmt w:val="decimal"/>
      <w:suff w:val="space"/>
      <w:lvlText w:val="(%1)"/>
      <w:lvlJc w:val="left"/>
      <w:pPr>
        <w:ind w:left="425" w:hanging="425"/>
      </w:pPr>
      <w:rPr>
        <w:rFonts w:hint="default"/>
      </w:rPr>
    </w:lvl>
  </w:abstractNum>
  <w:abstractNum w:abstractNumId="14">
    <w:nsid w:val="EDAFD5EE"/>
    <w:multiLevelType w:val="singleLevel"/>
    <w:tmpl w:val="EDAFD5EE"/>
    <w:lvl w:ilvl="0" w:tentative="0">
      <w:start w:val="1"/>
      <w:numFmt w:val="decimal"/>
      <w:suff w:val="space"/>
      <w:lvlText w:val="(%1)"/>
      <w:lvlJc w:val="left"/>
      <w:pPr>
        <w:ind w:left="425" w:hanging="425"/>
      </w:pPr>
      <w:rPr>
        <w:rFonts w:hint="default"/>
      </w:rPr>
    </w:lvl>
  </w:abstractNum>
  <w:abstractNum w:abstractNumId="15">
    <w:nsid w:val="F43691BC"/>
    <w:multiLevelType w:val="singleLevel"/>
    <w:tmpl w:val="F43691BC"/>
    <w:lvl w:ilvl="0" w:tentative="0">
      <w:start w:val="1"/>
      <w:numFmt w:val="decimal"/>
      <w:suff w:val="space"/>
      <w:lvlText w:val="%1."/>
      <w:lvlJc w:val="left"/>
    </w:lvl>
  </w:abstractNum>
  <w:abstractNum w:abstractNumId="16">
    <w:nsid w:val="FB5B0232"/>
    <w:multiLevelType w:val="singleLevel"/>
    <w:tmpl w:val="FB5B0232"/>
    <w:lvl w:ilvl="0" w:tentative="0">
      <w:start w:val="1"/>
      <w:numFmt w:val="decimal"/>
      <w:lvlText w:val="(%1)"/>
      <w:lvlJc w:val="left"/>
      <w:pPr>
        <w:ind w:left="425" w:hanging="425"/>
      </w:pPr>
      <w:rPr>
        <w:rFonts w:hint="default"/>
      </w:rPr>
    </w:lvl>
  </w:abstractNum>
  <w:abstractNum w:abstractNumId="17">
    <w:nsid w:val="01BBC747"/>
    <w:multiLevelType w:val="singleLevel"/>
    <w:tmpl w:val="01BBC747"/>
    <w:lvl w:ilvl="0" w:tentative="0">
      <w:start w:val="1"/>
      <w:numFmt w:val="decimal"/>
      <w:lvlText w:val="(%1)"/>
      <w:lvlJc w:val="left"/>
      <w:pPr>
        <w:ind w:left="425" w:hanging="425"/>
      </w:pPr>
      <w:rPr>
        <w:rFonts w:hint="default"/>
      </w:rPr>
    </w:lvl>
  </w:abstractNum>
  <w:abstractNum w:abstractNumId="18">
    <w:nsid w:val="0B431DA5"/>
    <w:multiLevelType w:val="multilevel"/>
    <w:tmpl w:val="0B431DA5"/>
    <w:lvl w:ilvl="0" w:tentative="0">
      <w:start w:val="1"/>
      <w:numFmt w:val="decimal"/>
      <w:suff w:val="space"/>
      <w:lvlText w:val="%1．"/>
      <w:lvlJc w:val="left"/>
      <w:pPr>
        <w:ind w:left="900" w:hanging="420"/>
      </w:pPr>
      <w:rPr>
        <w:rFonts w:hint="default"/>
        <w:sz w:val="24"/>
        <w:szCs w:val="24"/>
      </w:rPr>
    </w:lvl>
    <w:lvl w:ilvl="1" w:tentative="0">
      <w:start w:val="3"/>
      <w:numFmt w:val="decimal"/>
      <w:lvlText w:val="（%2）"/>
      <w:lvlJc w:val="left"/>
      <w:pPr>
        <w:ind w:left="1620" w:hanging="720"/>
      </w:pPr>
      <w:rPr>
        <w:rFonts w:hint="default" w:ascii="宋体" w:hAnsi="宋体" w:cs="宋体"/>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0B4C2015"/>
    <w:multiLevelType w:val="singleLevel"/>
    <w:tmpl w:val="0B4C2015"/>
    <w:lvl w:ilvl="0" w:tentative="0">
      <w:start w:val="1"/>
      <w:numFmt w:val="decimal"/>
      <w:suff w:val="space"/>
      <w:lvlText w:val="(%1)"/>
      <w:lvlJc w:val="left"/>
      <w:pPr>
        <w:ind w:left="425" w:hanging="425"/>
      </w:pPr>
      <w:rPr>
        <w:rFonts w:hint="default"/>
      </w:rPr>
    </w:lvl>
  </w:abstractNum>
  <w:abstractNum w:abstractNumId="20">
    <w:nsid w:val="0D9F2D84"/>
    <w:multiLevelType w:val="multilevel"/>
    <w:tmpl w:val="0D9F2D84"/>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1">
    <w:nsid w:val="10984221"/>
    <w:multiLevelType w:val="multilevel"/>
    <w:tmpl w:val="10984221"/>
    <w:lvl w:ilvl="0" w:tentative="0">
      <w:start w:val="1"/>
      <w:numFmt w:val="decimal"/>
      <w:lvlText w:val="第%1章"/>
      <w:lvlJc w:val="left"/>
      <w:pPr>
        <w:ind w:left="1134" w:hanging="1134"/>
      </w:pPr>
      <w:rPr>
        <w:rFonts w:hint="eastAsia"/>
        <w:b w:val="0"/>
        <w:bCs w:val="0"/>
        <w:i w:val="0"/>
        <w:iCs w:val="0"/>
        <w:caps w:val="0"/>
        <w:smallCaps w:val="0"/>
        <w:strike w:val="0"/>
        <w:dstrike w:val="0"/>
        <w:vanish w:val="0"/>
        <w:spacing w:val="0"/>
        <w:kern w:val="0"/>
        <w:position w:val="0"/>
        <w:u w:val="none"/>
        <w:vertAlign w:val="baseline"/>
        <w14:ligatures w14:val="none"/>
        <w14:numForm w14:val="default"/>
        <w14:numSpacing w14:val="default"/>
      </w:rPr>
    </w:lvl>
    <w:lvl w:ilvl="1" w:tentative="0">
      <w:start w:val="1"/>
      <w:numFmt w:val="decimal"/>
      <w:lvlText w:val="%1.%2"/>
      <w:lvlJc w:val="left"/>
      <w:pPr>
        <w:ind w:left="1134" w:hanging="1134"/>
      </w:pPr>
      <w:rPr>
        <w:rFonts w:hint="eastAsia"/>
      </w:rPr>
    </w:lvl>
    <w:lvl w:ilvl="2" w:tentative="0">
      <w:start w:val="1"/>
      <w:numFmt w:val="decimal"/>
      <w:lvlText w:val="%1.%2.%3"/>
      <w:lvlJc w:val="left"/>
      <w:pPr>
        <w:ind w:left="1134" w:hanging="1134"/>
      </w:pPr>
      <w:rPr>
        <w:rFonts w:hint="eastAsia"/>
      </w:rPr>
    </w:lvl>
    <w:lvl w:ilvl="3" w:tentative="0">
      <w:start w:val="1"/>
      <w:numFmt w:val="decimal"/>
      <w:lvlText w:val="%1.%2.%3.%4"/>
      <w:lvlJc w:val="left"/>
      <w:pPr>
        <w:ind w:left="1134" w:hanging="1134"/>
      </w:pPr>
      <w:rPr>
        <w:rFonts w:hint="eastAsia" w:eastAsia="黑体"/>
        <w:b w:val="0"/>
        <w:i w:val="0"/>
        <w:sz w:val="30"/>
      </w:rPr>
    </w:lvl>
    <w:lvl w:ilvl="4" w:tentative="0">
      <w:start w:val="1"/>
      <w:numFmt w:val="decimal"/>
      <w:lvlText w:val="%1.%2.%3.%4.%5"/>
      <w:lvlJc w:val="left"/>
      <w:pPr>
        <w:ind w:left="1134" w:hanging="1134"/>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134" w:hanging="1134"/>
      </w:pPr>
      <w:rPr>
        <w:rFonts w:hint="eastAsia"/>
        <w:sz w:val="28"/>
      </w:rPr>
    </w:lvl>
    <w:lvl w:ilvl="7" w:tentative="0">
      <w:start w:val="1"/>
      <w:numFmt w:val="decimal"/>
      <w:lvlText w:val="%1.%2.%3.%4.%5.%6.%7.%8"/>
      <w:lvlJc w:val="left"/>
      <w:pPr>
        <w:ind w:left="1134" w:hanging="1134"/>
      </w:pPr>
      <w:rPr>
        <w:rFonts w:hint="eastAsia"/>
      </w:rPr>
    </w:lvl>
    <w:lvl w:ilvl="8" w:tentative="0">
      <w:start w:val="1"/>
      <w:numFmt w:val="decimal"/>
      <w:lvlText w:val="%1.%2.%3.%4.%5.%6.%7.%8.%9"/>
      <w:lvlJc w:val="left"/>
      <w:pPr>
        <w:ind w:left="1134" w:hanging="1134"/>
      </w:pPr>
      <w:rPr>
        <w:rFonts w:hint="eastAsia"/>
      </w:rPr>
    </w:lvl>
  </w:abstractNum>
  <w:abstractNum w:abstractNumId="22">
    <w:nsid w:val="1310A383"/>
    <w:multiLevelType w:val="singleLevel"/>
    <w:tmpl w:val="1310A383"/>
    <w:lvl w:ilvl="0" w:tentative="0">
      <w:start w:val="1"/>
      <w:numFmt w:val="decimal"/>
      <w:suff w:val="space"/>
      <w:lvlText w:val="(%1)"/>
      <w:lvlJc w:val="left"/>
      <w:pPr>
        <w:ind w:left="425" w:hanging="425"/>
      </w:pPr>
      <w:rPr>
        <w:rFonts w:hint="default"/>
      </w:rPr>
    </w:lvl>
  </w:abstractNum>
  <w:abstractNum w:abstractNumId="23">
    <w:nsid w:val="1458225C"/>
    <w:multiLevelType w:val="multilevel"/>
    <w:tmpl w:val="1458225C"/>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15F6278D"/>
    <w:multiLevelType w:val="multilevel"/>
    <w:tmpl w:val="15F6278D"/>
    <w:lvl w:ilvl="0" w:tentative="0">
      <w:start w:val="1"/>
      <w:numFmt w:val="decimal"/>
      <w:lvlText w:val="%1."/>
      <w:lvlJc w:val="left"/>
      <w:pPr>
        <w:ind w:left="902" w:hanging="420"/>
      </w:pPr>
      <w:rPr>
        <w:rFonts w:hint="default" w:ascii="宋体" w:hAnsi="宋体" w:eastAsia="宋体" w:cs="宋体"/>
        <w:b w:val="0"/>
        <w:bCs w:val="0"/>
        <w:sz w:val="24"/>
        <w:szCs w:val="24"/>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5">
    <w:nsid w:val="170E24E2"/>
    <w:multiLevelType w:val="multilevel"/>
    <w:tmpl w:val="170E24E2"/>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6">
    <w:nsid w:val="20A4606B"/>
    <w:multiLevelType w:val="multilevel"/>
    <w:tmpl w:val="20A4606B"/>
    <w:lvl w:ilvl="0" w:tentative="0">
      <w:start w:val="1"/>
      <w:numFmt w:val="decimal"/>
      <w:lvlText w:val="第%1章"/>
      <w:lvlJc w:val="left"/>
      <w:pPr>
        <w:ind w:left="1134" w:hanging="1134"/>
      </w:pPr>
      <w:rPr>
        <w:rFonts w:hint="eastAsia"/>
        <w:b w:val="0"/>
        <w:bCs w:val="0"/>
        <w:i w:val="0"/>
        <w:iCs w:val="0"/>
        <w:caps w:val="0"/>
        <w:smallCaps w:val="0"/>
        <w:strike w:val="0"/>
        <w:dstrike w:val="0"/>
        <w:vanish w:val="0"/>
        <w:spacing w:val="0"/>
        <w:kern w:val="0"/>
        <w:position w:val="0"/>
        <w:u w:val="none"/>
        <w:vertAlign w:val="baseline"/>
        <w14:ligatures w14:val="none"/>
        <w14:numForm w14:val="default"/>
        <w14:numSpacing w14:val="default"/>
      </w:rPr>
    </w:lvl>
    <w:lvl w:ilvl="1" w:tentative="0">
      <w:start w:val="1"/>
      <w:numFmt w:val="decimal"/>
      <w:lvlText w:val="%1.%2"/>
      <w:lvlJc w:val="left"/>
      <w:pPr>
        <w:ind w:left="1134" w:hanging="1134"/>
      </w:pPr>
      <w:rPr>
        <w:rFonts w:hint="eastAsia"/>
      </w:rPr>
    </w:lvl>
    <w:lvl w:ilvl="2" w:tentative="0">
      <w:start w:val="1"/>
      <w:numFmt w:val="decimal"/>
      <w:lvlText w:val="%1.%2.%3"/>
      <w:lvlJc w:val="left"/>
      <w:pPr>
        <w:ind w:left="1134" w:hanging="1134"/>
      </w:pPr>
      <w:rPr>
        <w:rFonts w:hint="eastAsia"/>
      </w:rPr>
    </w:lvl>
    <w:lvl w:ilvl="3" w:tentative="0">
      <w:start w:val="1"/>
      <w:numFmt w:val="decimal"/>
      <w:lvlText w:val="%1.%2.%3.%4"/>
      <w:lvlJc w:val="left"/>
      <w:pPr>
        <w:ind w:left="1134" w:hanging="1134"/>
      </w:pPr>
      <w:rPr>
        <w:rFonts w:hint="eastAsia" w:eastAsia="黑体"/>
        <w:b w:val="0"/>
        <w:i w:val="0"/>
        <w:sz w:val="30"/>
      </w:rPr>
    </w:lvl>
    <w:lvl w:ilvl="4" w:tentative="0">
      <w:start w:val="1"/>
      <w:numFmt w:val="decimal"/>
      <w:lvlText w:val="%1.%2.%3.%4.%5"/>
      <w:lvlJc w:val="left"/>
      <w:pPr>
        <w:ind w:left="1134" w:hanging="1134"/>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134" w:hanging="1134"/>
      </w:pPr>
      <w:rPr>
        <w:rFonts w:hint="eastAsia"/>
        <w:sz w:val="28"/>
      </w:rPr>
    </w:lvl>
    <w:lvl w:ilvl="7" w:tentative="0">
      <w:start w:val="1"/>
      <w:numFmt w:val="decimal"/>
      <w:lvlText w:val="%1.%2.%3.%4.%5.%6.%7.%8"/>
      <w:lvlJc w:val="left"/>
      <w:pPr>
        <w:ind w:left="1134" w:hanging="1134"/>
      </w:pPr>
      <w:rPr>
        <w:rFonts w:hint="eastAsia"/>
      </w:rPr>
    </w:lvl>
    <w:lvl w:ilvl="8" w:tentative="0">
      <w:start w:val="1"/>
      <w:numFmt w:val="decimal"/>
      <w:lvlText w:val="%1.%2.%3.%4.%5.%6.%7.%8.%9"/>
      <w:lvlJc w:val="left"/>
      <w:pPr>
        <w:ind w:left="1134" w:hanging="1134"/>
      </w:pPr>
      <w:rPr>
        <w:rFonts w:hint="eastAsia"/>
      </w:rPr>
    </w:lvl>
  </w:abstractNum>
  <w:abstractNum w:abstractNumId="27">
    <w:nsid w:val="25AF6C2B"/>
    <w:multiLevelType w:val="multilevel"/>
    <w:tmpl w:val="25AF6C2B"/>
    <w:lvl w:ilvl="0" w:tentative="0">
      <w:start w:val="1"/>
      <w:numFmt w:val="decimal"/>
      <w:lvlText w:val="%1)"/>
      <w:lvlJc w:val="left"/>
      <w:pPr>
        <w:ind w:left="902" w:hanging="420"/>
      </w:pPr>
      <w:rPr>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8">
    <w:nsid w:val="28A7401D"/>
    <w:multiLevelType w:val="multilevel"/>
    <w:tmpl w:val="28A7401D"/>
    <w:lvl w:ilvl="0" w:tentative="0">
      <w:start w:val="1"/>
      <w:numFmt w:val="decimal"/>
      <w:lvlText w:val="第%1章"/>
      <w:lvlJc w:val="left"/>
      <w:pPr>
        <w:ind w:left="1134" w:hanging="1134"/>
      </w:pPr>
      <w:rPr>
        <w:rFonts w:hint="eastAsia"/>
        <w:b w:val="0"/>
        <w:bCs w:val="0"/>
        <w:i w:val="0"/>
        <w:iCs w:val="0"/>
        <w:caps w:val="0"/>
        <w:smallCaps w:val="0"/>
        <w:strike w:val="0"/>
        <w:dstrike w:val="0"/>
        <w:vanish w:val="0"/>
        <w:spacing w:val="0"/>
        <w:kern w:val="0"/>
        <w:position w:val="0"/>
        <w:u w:val="none"/>
        <w:vertAlign w:val="baseline"/>
        <w14:ligatures w14:val="none"/>
        <w14:numForm w14:val="default"/>
        <w14:numSpacing w14:val="default"/>
      </w:rPr>
    </w:lvl>
    <w:lvl w:ilvl="1" w:tentative="0">
      <w:start w:val="1"/>
      <w:numFmt w:val="decimal"/>
      <w:lvlText w:val="%1.%2"/>
      <w:lvlJc w:val="left"/>
      <w:pPr>
        <w:ind w:left="1134" w:hanging="1134"/>
      </w:pPr>
      <w:rPr>
        <w:rFonts w:hint="eastAsia"/>
      </w:rPr>
    </w:lvl>
    <w:lvl w:ilvl="2" w:tentative="0">
      <w:start w:val="1"/>
      <w:numFmt w:val="decimal"/>
      <w:lvlText w:val="%1.%2.%3"/>
      <w:lvlJc w:val="left"/>
      <w:pPr>
        <w:ind w:left="1134" w:hanging="1134"/>
      </w:pPr>
      <w:rPr>
        <w:rFonts w:hint="eastAsia"/>
      </w:rPr>
    </w:lvl>
    <w:lvl w:ilvl="3" w:tentative="0">
      <w:start w:val="1"/>
      <w:numFmt w:val="decimal"/>
      <w:lvlText w:val="%1.%2.%3.%4"/>
      <w:lvlJc w:val="left"/>
      <w:pPr>
        <w:ind w:left="1134" w:hanging="1134"/>
      </w:pPr>
      <w:rPr>
        <w:rFonts w:hint="eastAsia" w:eastAsia="黑体"/>
        <w:b w:val="0"/>
        <w:i w:val="0"/>
        <w:sz w:val="30"/>
      </w:rPr>
    </w:lvl>
    <w:lvl w:ilvl="4" w:tentative="0">
      <w:start w:val="1"/>
      <w:numFmt w:val="decimal"/>
      <w:lvlText w:val="%1.%2.%3.%4.%5"/>
      <w:lvlJc w:val="left"/>
      <w:pPr>
        <w:ind w:left="1134" w:hanging="1134"/>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134" w:hanging="1134"/>
      </w:pPr>
      <w:rPr>
        <w:rFonts w:hint="eastAsia" w:eastAsia="黑体"/>
        <w:sz w:val="28"/>
      </w:rPr>
    </w:lvl>
    <w:lvl w:ilvl="7" w:tentative="0">
      <w:start w:val="1"/>
      <w:numFmt w:val="decimal"/>
      <w:lvlText w:val="%1.%2.%3.%4.%5.%6.%7.%8"/>
      <w:lvlJc w:val="left"/>
      <w:pPr>
        <w:ind w:left="1134" w:hanging="1134"/>
      </w:pPr>
      <w:rPr>
        <w:rFonts w:hint="eastAsia"/>
      </w:rPr>
    </w:lvl>
    <w:lvl w:ilvl="8" w:tentative="0">
      <w:start w:val="1"/>
      <w:numFmt w:val="decimal"/>
      <w:lvlText w:val="%1.%2.%3.%4.%5.%6.%7.%8.%9"/>
      <w:lvlJc w:val="left"/>
      <w:pPr>
        <w:ind w:left="1134" w:hanging="1134"/>
      </w:pPr>
      <w:rPr>
        <w:rFonts w:hint="eastAsia"/>
      </w:rPr>
    </w:lvl>
  </w:abstractNum>
  <w:abstractNum w:abstractNumId="29">
    <w:nsid w:val="2A298C45"/>
    <w:multiLevelType w:val="singleLevel"/>
    <w:tmpl w:val="2A298C45"/>
    <w:lvl w:ilvl="0" w:tentative="0">
      <w:start w:val="1"/>
      <w:numFmt w:val="decimal"/>
      <w:lvlText w:val="(%1)"/>
      <w:lvlJc w:val="left"/>
      <w:pPr>
        <w:ind w:left="425" w:hanging="425"/>
      </w:pPr>
      <w:rPr>
        <w:rFonts w:hint="default"/>
      </w:rPr>
    </w:lvl>
  </w:abstractNum>
  <w:abstractNum w:abstractNumId="30">
    <w:nsid w:val="30416E09"/>
    <w:multiLevelType w:val="multilevel"/>
    <w:tmpl w:val="30416E0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2D13ECD"/>
    <w:multiLevelType w:val="multilevel"/>
    <w:tmpl w:val="32D13ECD"/>
    <w:lvl w:ilvl="0" w:tentative="0">
      <w:start w:val="1"/>
      <w:numFmt w:val="decimal"/>
      <w:lvlText w:val="第%1章"/>
      <w:lvlJc w:val="left"/>
      <w:pPr>
        <w:ind w:left="1134" w:hanging="1134"/>
      </w:pPr>
      <w:rPr>
        <w:rFonts w:hint="eastAsia"/>
        <w:b w:val="0"/>
        <w:bCs w:val="0"/>
        <w:i w:val="0"/>
        <w:iCs w:val="0"/>
        <w:caps w:val="0"/>
        <w:smallCaps w:val="0"/>
        <w:strike w:val="0"/>
        <w:dstrike w:val="0"/>
        <w:vanish w:val="0"/>
        <w:spacing w:val="0"/>
        <w:kern w:val="0"/>
        <w:position w:val="0"/>
        <w:u w:val="none"/>
        <w:vertAlign w:val="baseline"/>
        <w14:ligatures w14:val="none"/>
        <w14:numForm w14:val="default"/>
        <w14:numSpacing w14:val="default"/>
      </w:rPr>
    </w:lvl>
    <w:lvl w:ilvl="1" w:tentative="0">
      <w:start w:val="1"/>
      <w:numFmt w:val="decimal"/>
      <w:lvlText w:val="%1.%2"/>
      <w:lvlJc w:val="left"/>
      <w:pPr>
        <w:ind w:left="1134" w:hanging="1134"/>
      </w:pPr>
      <w:rPr>
        <w:rFonts w:hint="eastAsia"/>
      </w:rPr>
    </w:lvl>
    <w:lvl w:ilvl="2" w:tentative="0">
      <w:start w:val="1"/>
      <w:numFmt w:val="decimal"/>
      <w:lvlText w:val="%1.%2.%3"/>
      <w:lvlJc w:val="left"/>
      <w:pPr>
        <w:ind w:left="1134" w:hanging="1134"/>
      </w:pPr>
      <w:rPr>
        <w:rFonts w:hint="eastAsia"/>
      </w:rPr>
    </w:lvl>
    <w:lvl w:ilvl="3" w:tentative="0">
      <w:start w:val="1"/>
      <w:numFmt w:val="decimal"/>
      <w:lvlText w:val="%1.%2.%3.%4"/>
      <w:lvlJc w:val="left"/>
      <w:pPr>
        <w:ind w:left="1134" w:hanging="1134"/>
      </w:pPr>
      <w:rPr>
        <w:rFonts w:hint="eastAsia" w:eastAsia="黑体"/>
        <w:b w:val="0"/>
        <w:i w:val="0"/>
        <w:sz w:val="30"/>
      </w:rPr>
    </w:lvl>
    <w:lvl w:ilvl="4" w:tentative="0">
      <w:start w:val="1"/>
      <w:numFmt w:val="decimal"/>
      <w:lvlText w:val="%1.%2.%3.%4.%5"/>
      <w:lvlJc w:val="left"/>
      <w:pPr>
        <w:ind w:left="1134" w:hanging="1134"/>
      </w:pPr>
      <w:rPr>
        <w:rFonts w:hint="eastAsia"/>
      </w:rPr>
    </w:lvl>
    <w:lvl w:ilvl="5" w:tentative="0">
      <w:start w:val="1"/>
      <w:numFmt w:val="decimal"/>
      <w:lvlText w:val="%1.%2.%3.%4.%5.%6"/>
      <w:lvlJc w:val="left"/>
      <w:pPr>
        <w:ind w:left="1134" w:hanging="1134"/>
      </w:pPr>
      <w:rPr>
        <w:rFonts w:hint="eastAsia"/>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1.%2.%3.%4.%5.%6.%7"/>
      <w:lvlJc w:val="left"/>
      <w:pPr>
        <w:ind w:left="1134" w:hanging="1134"/>
      </w:pPr>
      <w:rPr>
        <w:rFonts w:hint="eastAsia" w:eastAsia="黑体"/>
        <w:sz w:val="28"/>
      </w:rPr>
    </w:lvl>
    <w:lvl w:ilvl="7" w:tentative="0">
      <w:start w:val="1"/>
      <w:numFmt w:val="decimal"/>
      <w:lvlText w:val="%1.%2.%3.%4.%5.%6.%7.%8"/>
      <w:lvlJc w:val="left"/>
      <w:pPr>
        <w:ind w:left="1134" w:hanging="1134"/>
      </w:pPr>
      <w:rPr>
        <w:rFonts w:hint="eastAsia"/>
      </w:rPr>
    </w:lvl>
    <w:lvl w:ilvl="8" w:tentative="0">
      <w:start w:val="1"/>
      <w:numFmt w:val="decimal"/>
      <w:lvlText w:val="%1.%2.%3.%4.%5.%6.%7.%8.%9"/>
      <w:lvlJc w:val="left"/>
      <w:pPr>
        <w:ind w:left="1134" w:hanging="1134"/>
      </w:pPr>
      <w:rPr>
        <w:rFonts w:hint="eastAsia"/>
      </w:rPr>
    </w:lvl>
  </w:abstractNum>
  <w:abstractNum w:abstractNumId="32">
    <w:nsid w:val="334B0FB0"/>
    <w:multiLevelType w:val="multilevel"/>
    <w:tmpl w:val="334B0FB0"/>
    <w:lvl w:ilvl="0" w:tentative="0">
      <w:start w:val="1"/>
      <w:numFmt w:val="decimal"/>
      <w:lvlText w:val="第%1章"/>
      <w:lvlJc w:val="left"/>
      <w:pPr>
        <w:ind w:left="1134" w:hanging="1134"/>
      </w:pPr>
      <w:rPr>
        <w:rFonts w:hint="eastAsia"/>
        <w:b w:val="0"/>
        <w:bCs w:val="0"/>
        <w:i w:val="0"/>
        <w:iCs w:val="0"/>
        <w:caps w:val="0"/>
        <w:smallCaps w:val="0"/>
        <w:strike w:val="0"/>
        <w:dstrike w:val="0"/>
        <w:vanish w:val="0"/>
        <w:spacing w:val="0"/>
        <w:kern w:val="0"/>
        <w:position w:val="0"/>
        <w:u w:val="none"/>
        <w:vertAlign w:val="baseline"/>
        <w14:ligatures w14:val="none"/>
        <w14:numForm w14:val="default"/>
        <w14:numSpacing w14:val="default"/>
      </w:rPr>
    </w:lvl>
    <w:lvl w:ilvl="1" w:tentative="0">
      <w:start w:val="1"/>
      <w:numFmt w:val="decimal"/>
      <w:lvlText w:val="%1.%2"/>
      <w:lvlJc w:val="left"/>
      <w:pPr>
        <w:ind w:left="1134" w:hanging="1134"/>
      </w:pPr>
      <w:rPr>
        <w:rFonts w:hint="eastAsia"/>
      </w:rPr>
    </w:lvl>
    <w:lvl w:ilvl="2" w:tentative="0">
      <w:start w:val="1"/>
      <w:numFmt w:val="decimal"/>
      <w:lvlText w:val="%1.%2.%3"/>
      <w:lvlJc w:val="left"/>
      <w:pPr>
        <w:ind w:left="1134" w:hanging="1134"/>
      </w:pPr>
      <w:rPr>
        <w:rFonts w:hint="eastAsia"/>
      </w:rPr>
    </w:lvl>
    <w:lvl w:ilvl="3" w:tentative="0">
      <w:start w:val="1"/>
      <w:numFmt w:val="decimal"/>
      <w:lvlText w:val="%1.%2.%3.%4"/>
      <w:lvlJc w:val="left"/>
      <w:pPr>
        <w:ind w:left="1134" w:hanging="1134"/>
      </w:pPr>
      <w:rPr>
        <w:rFonts w:hint="eastAsia" w:eastAsia="黑体"/>
        <w:b w:val="0"/>
        <w:i w:val="0"/>
        <w:sz w:val="30"/>
      </w:rPr>
    </w:lvl>
    <w:lvl w:ilvl="4" w:tentative="0">
      <w:start w:val="1"/>
      <w:numFmt w:val="decimal"/>
      <w:lvlText w:val="%1.%2.%3.%4.%5"/>
      <w:lvlJc w:val="left"/>
      <w:pPr>
        <w:ind w:left="1134" w:hanging="1134"/>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134" w:hanging="1134"/>
      </w:pPr>
      <w:rPr>
        <w:rFonts w:hint="eastAsia"/>
        <w:sz w:val="28"/>
      </w:rPr>
    </w:lvl>
    <w:lvl w:ilvl="7" w:tentative="0">
      <w:start w:val="1"/>
      <w:numFmt w:val="decimal"/>
      <w:lvlText w:val="%1.%2.%3.%4.%5.%6.%7.%8"/>
      <w:lvlJc w:val="left"/>
      <w:pPr>
        <w:ind w:left="1134" w:hanging="1134"/>
      </w:pPr>
      <w:rPr>
        <w:rFonts w:hint="eastAsia"/>
      </w:rPr>
    </w:lvl>
    <w:lvl w:ilvl="8" w:tentative="0">
      <w:start w:val="1"/>
      <w:numFmt w:val="decimal"/>
      <w:lvlText w:val="%1.%2.%3.%4.%5.%6.%7.%8.%9"/>
      <w:lvlJc w:val="left"/>
      <w:pPr>
        <w:ind w:left="1134" w:hanging="1134"/>
      </w:pPr>
      <w:rPr>
        <w:rFonts w:hint="eastAsia"/>
      </w:rPr>
    </w:lvl>
  </w:abstractNum>
  <w:abstractNum w:abstractNumId="33">
    <w:nsid w:val="3378929F"/>
    <w:multiLevelType w:val="singleLevel"/>
    <w:tmpl w:val="3378929F"/>
    <w:lvl w:ilvl="0" w:tentative="0">
      <w:start w:val="1"/>
      <w:numFmt w:val="decimal"/>
      <w:lvlText w:val="(%1)"/>
      <w:lvlJc w:val="left"/>
      <w:pPr>
        <w:ind w:left="425" w:hanging="425"/>
      </w:pPr>
      <w:rPr>
        <w:rFonts w:hint="default"/>
      </w:rPr>
    </w:lvl>
  </w:abstractNum>
  <w:abstractNum w:abstractNumId="34">
    <w:nsid w:val="35A1CE1D"/>
    <w:multiLevelType w:val="singleLevel"/>
    <w:tmpl w:val="35A1CE1D"/>
    <w:lvl w:ilvl="0" w:tentative="0">
      <w:start w:val="1"/>
      <w:numFmt w:val="decimal"/>
      <w:suff w:val="space"/>
      <w:lvlText w:val="(%1)"/>
      <w:lvlJc w:val="left"/>
      <w:pPr>
        <w:ind w:left="425" w:hanging="425"/>
      </w:pPr>
      <w:rPr>
        <w:rFonts w:hint="default"/>
      </w:rPr>
    </w:lvl>
  </w:abstractNum>
  <w:abstractNum w:abstractNumId="35">
    <w:nsid w:val="35F368EB"/>
    <w:multiLevelType w:val="multilevel"/>
    <w:tmpl w:val="35F368EB"/>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6">
    <w:nsid w:val="3E081DA5"/>
    <w:multiLevelType w:val="singleLevel"/>
    <w:tmpl w:val="3E081DA5"/>
    <w:lvl w:ilvl="0" w:tentative="0">
      <w:start w:val="1"/>
      <w:numFmt w:val="decimal"/>
      <w:lvlText w:val="(%1)"/>
      <w:lvlJc w:val="left"/>
      <w:pPr>
        <w:ind w:left="425" w:hanging="425"/>
      </w:pPr>
      <w:rPr>
        <w:rFonts w:hint="default"/>
      </w:rPr>
    </w:lvl>
  </w:abstractNum>
  <w:abstractNum w:abstractNumId="37">
    <w:nsid w:val="45800359"/>
    <w:multiLevelType w:val="multilevel"/>
    <w:tmpl w:val="45800359"/>
    <w:lvl w:ilvl="0" w:tentative="0">
      <w:start w:val="1"/>
      <w:numFmt w:val="decimal"/>
      <w:lvlText w:val="%1."/>
      <w:lvlJc w:val="left"/>
      <w:pPr>
        <w:ind w:left="420" w:hanging="420"/>
      </w:pPr>
      <w:rPr>
        <w:rFonts w:hint="eastAsia" w:eastAsia="黑体"/>
        <w:sz w:val="36"/>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531B7ED2"/>
    <w:multiLevelType w:val="multilevel"/>
    <w:tmpl w:val="531B7ED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55AE2EAA"/>
    <w:multiLevelType w:val="multilevel"/>
    <w:tmpl w:val="55AE2EAA"/>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0">
    <w:nsid w:val="5A791DD3"/>
    <w:multiLevelType w:val="singleLevel"/>
    <w:tmpl w:val="5A791DD3"/>
    <w:lvl w:ilvl="0" w:tentative="0">
      <w:start w:val="1"/>
      <w:numFmt w:val="decimal"/>
      <w:suff w:val="space"/>
      <w:lvlText w:val="(%1)"/>
      <w:lvlJc w:val="left"/>
      <w:pPr>
        <w:ind w:left="425" w:hanging="425"/>
      </w:pPr>
      <w:rPr>
        <w:rFonts w:hint="default"/>
      </w:rPr>
    </w:lvl>
  </w:abstractNum>
  <w:abstractNum w:abstractNumId="41">
    <w:nsid w:val="6F427819"/>
    <w:multiLevelType w:val="multilevel"/>
    <w:tmpl w:val="6F427819"/>
    <w:lvl w:ilvl="0" w:tentative="0">
      <w:start w:val="1"/>
      <w:numFmt w:val="decimal"/>
      <w:lvlText w:val="%1."/>
      <w:lvlJc w:val="left"/>
      <w:pPr>
        <w:ind w:left="902" w:hanging="420"/>
      </w:pPr>
      <w:rPr>
        <w:rFonts w:hint="eastAsia" w:eastAsia="黑体"/>
        <w:sz w:val="28"/>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2">
    <w:nsid w:val="7218BDAC"/>
    <w:multiLevelType w:val="singleLevel"/>
    <w:tmpl w:val="7218BDAC"/>
    <w:lvl w:ilvl="0" w:tentative="0">
      <w:start w:val="1"/>
      <w:numFmt w:val="decimal"/>
      <w:suff w:val="space"/>
      <w:lvlText w:val="%1."/>
      <w:lvlJc w:val="left"/>
    </w:lvl>
  </w:abstractNum>
  <w:abstractNum w:abstractNumId="43">
    <w:nsid w:val="755A84A0"/>
    <w:multiLevelType w:val="singleLevel"/>
    <w:tmpl w:val="755A84A0"/>
    <w:lvl w:ilvl="0" w:tentative="0">
      <w:start w:val="1"/>
      <w:numFmt w:val="decimal"/>
      <w:lvlText w:val="(%1)"/>
      <w:lvlJc w:val="left"/>
      <w:pPr>
        <w:ind w:left="425" w:hanging="425"/>
      </w:pPr>
      <w:rPr>
        <w:rFonts w:hint="default"/>
      </w:rPr>
    </w:lvl>
  </w:abstractNum>
  <w:abstractNum w:abstractNumId="44">
    <w:nsid w:val="75C722F5"/>
    <w:multiLevelType w:val="multilevel"/>
    <w:tmpl w:val="75C722F5"/>
    <w:lvl w:ilvl="0" w:tentative="0">
      <w:start w:val="1"/>
      <w:numFmt w:val="decimal"/>
      <w:lvlText w:val="第%1章"/>
      <w:lvlJc w:val="left"/>
      <w:pPr>
        <w:ind w:left="1134" w:hanging="1134"/>
      </w:pPr>
      <w:rPr>
        <w:rFonts w:hint="eastAsia"/>
        <w:b w:val="0"/>
        <w:bCs w:val="0"/>
        <w:i w:val="0"/>
        <w:iCs w:val="0"/>
        <w:caps w:val="0"/>
        <w:smallCaps w:val="0"/>
        <w:strike w:val="0"/>
        <w:dstrike w:val="0"/>
        <w:vanish w:val="0"/>
        <w:spacing w:val="0"/>
        <w:kern w:val="0"/>
        <w:position w:val="0"/>
        <w:u w:val="none"/>
        <w:vertAlign w:val="baseline"/>
        <w14:ligatures w14:val="none"/>
        <w14:numForm w14:val="default"/>
        <w14:numSpacing w14:val="default"/>
      </w:rPr>
    </w:lvl>
    <w:lvl w:ilvl="1" w:tentative="0">
      <w:start w:val="1"/>
      <w:numFmt w:val="decimal"/>
      <w:lvlText w:val="%1.%2"/>
      <w:lvlJc w:val="left"/>
      <w:pPr>
        <w:ind w:left="1134" w:hanging="1134"/>
      </w:pPr>
      <w:rPr>
        <w:rFonts w:hint="eastAsia"/>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1134" w:hanging="1134"/>
      </w:pPr>
      <w:rPr>
        <w:rFonts w:hint="eastAsia"/>
      </w:rPr>
    </w:lvl>
    <w:lvl w:ilvl="3" w:tentative="0">
      <w:start w:val="1"/>
      <w:numFmt w:val="decimal"/>
      <w:lvlText w:val="%1.%2.%3.%4"/>
      <w:lvlJc w:val="left"/>
      <w:pPr>
        <w:ind w:left="1134" w:hanging="1134"/>
      </w:pPr>
      <w:rPr>
        <w:rFonts w:hint="eastAsia" w:eastAsia="黑体"/>
        <w:b w:val="0"/>
        <w:i w:val="0"/>
        <w:sz w:val="30"/>
      </w:rPr>
    </w:lvl>
    <w:lvl w:ilvl="4" w:tentative="0">
      <w:start w:val="1"/>
      <w:numFmt w:val="decimal"/>
      <w:lvlText w:val="%1.%2.%3.%4.%5"/>
      <w:lvlJc w:val="left"/>
      <w:pPr>
        <w:ind w:left="1134" w:hanging="1134"/>
      </w:pPr>
      <w:rPr>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Text w:val="%6."/>
      <w:lvlJc w:val="left"/>
      <w:pPr>
        <w:ind w:left="1134" w:hanging="850"/>
      </w:pPr>
      <w:rPr>
        <w:rFonts w:hint="eastAsia"/>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7)"/>
      <w:lvlJc w:val="left"/>
      <w:pPr>
        <w:ind w:left="1134" w:hanging="850"/>
      </w:pPr>
      <w:rPr>
        <w:rFonts w:hint="eastAsia"/>
        <w:sz w:val="28"/>
      </w:rPr>
    </w:lvl>
    <w:lvl w:ilvl="7" w:tentative="0">
      <w:start w:val="1"/>
      <w:numFmt w:val="decimal"/>
      <w:lvlText w:val="%8)"/>
      <w:lvlJc w:val="left"/>
      <w:pPr>
        <w:ind w:left="1134" w:hanging="850"/>
      </w:pPr>
      <w:rPr>
        <w:rFonts w:hint="eastAsia"/>
      </w:rPr>
    </w:lvl>
    <w:lvl w:ilvl="8" w:tentative="0">
      <w:start w:val="1"/>
      <w:numFmt w:val="upperRoman"/>
      <w:lvlText w:val="%9"/>
      <w:lvlJc w:val="left"/>
      <w:pPr>
        <w:ind w:left="1134" w:hanging="850"/>
      </w:pPr>
      <w:rPr>
        <w:rFonts w:hint="eastAsia"/>
      </w:rPr>
    </w:lvl>
  </w:abstractNum>
  <w:abstractNum w:abstractNumId="45">
    <w:nsid w:val="7C85FE54"/>
    <w:multiLevelType w:val="singleLevel"/>
    <w:tmpl w:val="7C85FE54"/>
    <w:lvl w:ilvl="0" w:tentative="0">
      <w:start w:val="1"/>
      <w:numFmt w:val="decimal"/>
      <w:lvlText w:val="(%1)"/>
      <w:lvlJc w:val="left"/>
      <w:pPr>
        <w:ind w:left="425" w:hanging="425"/>
      </w:pPr>
      <w:rPr>
        <w:rFonts w:hint="default"/>
      </w:rPr>
    </w:lvl>
  </w:abstractNum>
  <w:abstractNum w:abstractNumId="46">
    <w:nsid w:val="7D536BA2"/>
    <w:multiLevelType w:val="multilevel"/>
    <w:tmpl w:val="7D536BA2"/>
    <w:lvl w:ilvl="0" w:tentative="0">
      <w:start w:val="1"/>
      <w:numFmt w:val="decimal"/>
      <w:suff w:val="space"/>
      <w:lvlText w:val="%1."/>
      <w:lvlJc w:val="left"/>
      <w:pPr>
        <w:ind w:left="900" w:hanging="420"/>
      </w:pPr>
      <w:rPr>
        <w:rFonts w:hint="eastAsia"/>
        <w:lang w:eastAsia="zh-C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38"/>
  </w:num>
  <w:num w:numId="3">
    <w:abstractNumId w:val="23"/>
  </w:num>
  <w:num w:numId="4">
    <w:abstractNumId w:val="13"/>
  </w:num>
  <w:num w:numId="5">
    <w:abstractNumId w:val="15"/>
  </w:num>
  <w:num w:numId="6">
    <w:abstractNumId w:val="12"/>
  </w:num>
  <w:num w:numId="7">
    <w:abstractNumId w:val="42"/>
  </w:num>
  <w:num w:numId="8">
    <w:abstractNumId w:val="44"/>
  </w:num>
  <w:num w:numId="9">
    <w:abstractNumId w:val="28"/>
  </w:num>
  <w:num w:numId="10">
    <w:abstractNumId w:val="32"/>
  </w:num>
  <w:num w:numId="11">
    <w:abstractNumId w:val="26"/>
  </w:num>
  <w:num w:numId="12">
    <w:abstractNumId w:val="21"/>
  </w:num>
  <w:num w:numId="13">
    <w:abstractNumId w:val="37"/>
  </w:num>
  <w:num w:numId="14">
    <w:abstractNumId w:val="0"/>
  </w:num>
  <w:num w:numId="15">
    <w:abstractNumId w:val="31"/>
  </w:num>
  <w:num w:numId="16">
    <w:abstractNumId w:val="22"/>
  </w:num>
  <w:num w:numId="17">
    <w:abstractNumId w:val="10"/>
  </w:num>
  <w:num w:numId="18">
    <w:abstractNumId w:val="34"/>
  </w:num>
  <w:num w:numId="19">
    <w:abstractNumId w:val="1"/>
  </w:num>
  <w:num w:numId="20">
    <w:abstractNumId w:val="3"/>
  </w:num>
  <w:num w:numId="21">
    <w:abstractNumId w:val="2"/>
  </w:num>
  <w:num w:numId="22">
    <w:abstractNumId w:val="6"/>
  </w:num>
  <w:num w:numId="23">
    <w:abstractNumId w:val="40"/>
  </w:num>
  <w:num w:numId="24">
    <w:abstractNumId w:val="14"/>
  </w:num>
  <w:num w:numId="25">
    <w:abstractNumId w:val="19"/>
  </w:num>
  <w:num w:numId="26">
    <w:abstractNumId w:val="45"/>
  </w:num>
  <w:num w:numId="27">
    <w:abstractNumId w:val="7"/>
  </w:num>
  <w:num w:numId="28">
    <w:abstractNumId w:val="36"/>
  </w:num>
  <w:num w:numId="29">
    <w:abstractNumId w:val="8"/>
  </w:num>
  <w:num w:numId="30">
    <w:abstractNumId w:val="43"/>
  </w:num>
  <w:num w:numId="31">
    <w:abstractNumId w:val="33"/>
  </w:num>
  <w:num w:numId="32">
    <w:abstractNumId w:val="17"/>
  </w:num>
  <w:num w:numId="33">
    <w:abstractNumId w:val="16"/>
  </w:num>
  <w:num w:numId="34">
    <w:abstractNumId w:val="11"/>
  </w:num>
  <w:num w:numId="35">
    <w:abstractNumId w:val="9"/>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5"/>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num>
  <w:num w:numId="46">
    <w:abstractNumId w:val="18"/>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A21AAF"/>
    <w:rsid w:val="55302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4"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120" w:after="120" w:line="360" w:lineRule="auto"/>
      <w:jc w:val="center"/>
      <w:outlineLvl w:val="0"/>
    </w:pPr>
    <w:rPr>
      <w:b/>
      <w:bCs/>
      <w:kern w:val="44"/>
      <w:sz w:val="30"/>
      <w:szCs w:val="44"/>
    </w:rPr>
  </w:style>
  <w:style w:type="paragraph" w:styleId="4">
    <w:name w:val="heading 2"/>
    <w:basedOn w:val="1"/>
    <w:next w:val="1"/>
    <w:qFormat/>
    <w:uiPriority w:val="9"/>
    <w:pPr>
      <w:keepNext/>
      <w:keepLines/>
      <w:numPr>
        <w:ilvl w:val="1"/>
        <w:numId w:val="1"/>
      </w:numPr>
      <w:snapToGrid w:val="0"/>
      <w:spacing w:before="120" w:after="120" w:line="360" w:lineRule="auto"/>
      <w:outlineLvl w:val="1"/>
    </w:pPr>
    <w:rPr>
      <w:rFonts w:ascii="Arial" w:hAnsi="Arial" w:eastAsia="黑体"/>
      <w:bCs/>
      <w:color w:val="000000" w:themeColor="text1"/>
      <w:sz w:val="36"/>
      <w:szCs w:val="32"/>
      <w14:textFill>
        <w14:solidFill>
          <w14:schemeClr w14:val="tx1"/>
        </w14:solidFill>
      </w14:textFill>
    </w:rPr>
  </w:style>
  <w:style w:type="paragraph" w:styleId="5">
    <w:name w:val="heading 3"/>
    <w:basedOn w:val="1"/>
    <w:next w:val="1"/>
    <w:qFormat/>
    <w:uiPriority w:val="9"/>
    <w:pPr>
      <w:keepNext/>
      <w:keepLines/>
      <w:numPr>
        <w:ilvl w:val="2"/>
        <w:numId w:val="1"/>
      </w:numPr>
      <w:snapToGrid w:val="0"/>
      <w:spacing w:before="120" w:after="120" w:line="360" w:lineRule="auto"/>
      <w:outlineLvl w:val="2"/>
    </w:pPr>
    <w:rPr>
      <w:rFonts w:ascii="黑体" w:hAnsi="黑体" w:eastAsia="黑体"/>
      <w:color w:val="000000" w:themeColor="text1"/>
      <w:sz w:val="32"/>
      <w:szCs w:val="36"/>
      <w14:textFill>
        <w14:solidFill>
          <w14:schemeClr w14:val="tx1"/>
        </w14:solidFill>
      </w14:textFill>
    </w:rPr>
  </w:style>
  <w:style w:type="paragraph" w:styleId="6">
    <w:name w:val="heading 4"/>
    <w:basedOn w:val="1"/>
    <w:next w:val="1"/>
    <w:qFormat/>
    <w:uiPriority w:val="9"/>
    <w:pPr>
      <w:keepNext/>
      <w:keepLines/>
      <w:numPr>
        <w:ilvl w:val="3"/>
        <w:numId w:val="1"/>
      </w:numPr>
      <w:snapToGrid w:val="0"/>
      <w:spacing w:before="120" w:after="120" w:line="360" w:lineRule="auto"/>
      <w:ind w:left="1200" w:hanging="1200"/>
      <w:outlineLvl w:val="3"/>
    </w:pPr>
    <w:rPr>
      <w:rFonts w:ascii="Arial" w:hAnsi="Arial" w:eastAsia="黑体"/>
      <w:bCs/>
      <w:color w:val="000000" w:themeColor="text1"/>
      <w:sz w:val="30"/>
      <w:szCs w:val="28"/>
      <w14:textFill>
        <w14:solidFill>
          <w14:schemeClr w14:val="tx1"/>
        </w14:solidFill>
      </w14:textFill>
    </w:rPr>
  </w:style>
  <w:style w:type="paragraph" w:styleId="7">
    <w:name w:val="heading 5"/>
    <w:basedOn w:val="1"/>
    <w:next w:val="1"/>
    <w:qFormat/>
    <w:uiPriority w:val="9"/>
    <w:pPr>
      <w:keepNext/>
      <w:keepLines/>
      <w:numPr>
        <w:ilvl w:val="4"/>
        <w:numId w:val="1"/>
      </w:numPr>
      <w:snapToGrid w:val="0"/>
      <w:spacing w:before="120" w:after="120" w:line="360" w:lineRule="auto"/>
      <w:outlineLvl w:val="4"/>
    </w:pPr>
    <w:rPr>
      <w:rFonts w:ascii="黑体" w:hAnsi="黑体" w:eastAsia="黑体" w:cs="MS Gothic"/>
      <w:bCs/>
      <w:sz w:val="28"/>
      <w:szCs w:val="28"/>
    </w:rPr>
  </w:style>
  <w:style w:type="paragraph" w:styleId="8">
    <w:name w:val="heading 6"/>
    <w:basedOn w:val="1"/>
    <w:next w:val="9"/>
    <w:qFormat/>
    <w:uiPriority w:val="9"/>
    <w:pPr>
      <w:numPr>
        <w:ilvl w:val="5"/>
        <w:numId w:val="1"/>
      </w:numPr>
      <w:tabs>
        <w:tab w:val="left" w:pos="433"/>
        <w:tab w:val="left" w:pos="1153"/>
      </w:tabs>
      <w:snapToGrid w:val="0"/>
      <w:spacing w:before="120" w:after="120" w:line="360" w:lineRule="auto"/>
      <w:outlineLvl w:val="5"/>
    </w:pPr>
    <w:rPr>
      <w:rFonts w:ascii="黑体" w:hAnsi="黑体" w:eastAsia="黑体"/>
      <w:color w:val="000000" w:themeColor="text1"/>
      <w:sz w:val="28"/>
      <w:szCs w:val="20"/>
      <w14:textFill>
        <w14:solidFill>
          <w14:schemeClr w14:val="tx1"/>
        </w14:solidFill>
      </w14:textFill>
    </w:rPr>
  </w:style>
  <w:style w:type="paragraph" w:styleId="11">
    <w:name w:val="heading 7"/>
    <w:basedOn w:val="1"/>
    <w:next w:val="9"/>
    <w:qFormat/>
    <w:uiPriority w:val="0"/>
    <w:pPr>
      <w:keepNext/>
      <w:numPr>
        <w:ilvl w:val="6"/>
        <w:numId w:val="1"/>
      </w:numPr>
      <w:tabs>
        <w:tab w:val="left" w:pos="433"/>
        <w:tab w:val="left" w:pos="737"/>
        <w:tab w:val="left" w:pos="1297"/>
      </w:tabs>
      <w:snapToGrid w:val="0"/>
      <w:spacing w:before="120" w:after="120" w:line="360" w:lineRule="auto"/>
      <w:outlineLvl w:val="6"/>
    </w:pPr>
    <w:rPr>
      <w:rFonts w:ascii="黑体" w:hAnsi="黑体" w:eastAsia="黑体"/>
      <w:color w:val="000000" w:themeColor="text1"/>
      <w:sz w:val="28"/>
      <w:szCs w:val="20"/>
      <w14:textFill>
        <w14:solidFill>
          <w14:schemeClr w14:val="tx1"/>
        </w14:solidFill>
      </w14:textFill>
    </w:rPr>
  </w:style>
  <w:style w:type="paragraph" w:styleId="12">
    <w:name w:val="heading 8"/>
    <w:basedOn w:val="1"/>
    <w:next w:val="9"/>
    <w:qFormat/>
    <w:uiPriority w:val="0"/>
    <w:pPr>
      <w:keepNext/>
      <w:keepLines/>
      <w:numPr>
        <w:ilvl w:val="7"/>
        <w:numId w:val="1"/>
      </w:numPr>
      <w:tabs>
        <w:tab w:val="left" w:pos="433"/>
        <w:tab w:val="left" w:pos="737"/>
        <w:tab w:val="left" w:pos="1441"/>
      </w:tabs>
      <w:snapToGrid w:val="0"/>
      <w:spacing w:before="120" w:after="120" w:line="360" w:lineRule="auto"/>
      <w:outlineLvl w:val="7"/>
    </w:pPr>
    <w:rPr>
      <w:rFonts w:ascii="黑体" w:hAnsi="黑体" w:eastAsia="黑体"/>
      <w:color w:val="000000" w:themeColor="text1"/>
      <w:sz w:val="28"/>
      <w:szCs w:val="21"/>
      <w14:textFill>
        <w14:solidFill>
          <w14:schemeClr w14:val="tx1"/>
        </w14:solidFill>
      </w14:textFill>
    </w:rPr>
  </w:style>
  <w:style w:type="paragraph" w:styleId="13">
    <w:name w:val="heading 9"/>
    <w:basedOn w:val="1"/>
    <w:next w:val="1"/>
    <w:qFormat/>
    <w:uiPriority w:val="0"/>
    <w:pPr>
      <w:numPr>
        <w:ilvl w:val="8"/>
        <w:numId w:val="1"/>
      </w:numPr>
      <w:tabs>
        <w:tab w:val="left" w:pos="433"/>
        <w:tab w:val="left" w:pos="630"/>
        <w:tab w:val="left" w:pos="1441"/>
      </w:tabs>
      <w:snapToGrid w:val="0"/>
      <w:spacing w:before="120" w:after="120" w:line="360" w:lineRule="auto"/>
      <w:outlineLvl w:val="8"/>
    </w:pPr>
    <w:rPr>
      <w:rFonts w:ascii="Arial" w:hAnsi="Arial" w:eastAsia="黑体" w:cs="Arial"/>
      <w:color w:val="000000" w:themeColor="text1"/>
      <w:szCs w:val="22"/>
      <w:lang w:val="en-GB"/>
      <w14:textFill>
        <w14:solidFill>
          <w14:schemeClr w14:val="tx1"/>
        </w14:solidFill>
      </w14:textFill>
    </w:rPr>
  </w:style>
  <w:style w:type="character" w:default="1" w:styleId="19">
    <w:name w:val="Default Paragraph Font"/>
    <w:semiHidden/>
    <w:qFormat/>
    <w:uiPriority w:val="0"/>
  </w:style>
  <w:style w:type="table" w:default="1" w:styleId="17">
    <w:name w:val="Normal Table"/>
    <w:semiHidden/>
    <w:uiPriority w:val="0"/>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9">
    <w:name w:val="Body Text First Indent"/>
    <w:basedOn w:val="10"/>
    <w:qFormat/>
    <w:uiPriority w:val="0"/>
    <w:pPr>
      <w:ind w:firstLine="420" w:firstLineChars="100"/>
    </w:pPr>
    <w:rPr>
      <w:rFonts w:eastAsia="仿宋_GB2312"/>
      <w:sz w:val="32"/>
      <w:szCs w:val="24"/>
    </w:rPr>
  </w:style>
  <w:style w:type="paragraph" w:styleId="10">
    <w:name w:val="Body Text"/>
    <w:basedOn w:val="1"/>
    <w:qFormat/>
    <w:uiPriority w:val="99"/>
    <w:pPr>
      <w:spacing w:after="120"/>
    </w:pPr>
    <w:rPr>
      <w:szCs w:val="20"/>
    </w:rPr>
  </w:style>
  <w:style w:type="paragraph" w:styleId="14">
    <w:name w:val="caption"/>
    <w:basedOn w:val="1"/>
    <w:next w:val="1"/>
    <w:qFormat/>
    <w:uiPriority w:val="0"/>
    <w:pPr>
      <w:spacing w:line="360" w:lineRule="auto"/>
      <w:jc w:val="center"/>
    </w:pPr>
    <w:rPr>
      <w:rFonts w:ascii="Cambria" w:hAnsi="Cambria" w:eastAsia="黑体"/>
      <w:szCs w:val="20"/>
    </w:rPr>
  </w:style>
  <w:style w:type="paragraph" w:styleId="15">
    <w:name w:val="Block Text"/>
    <w:basedOn w:val="1"/>
    <w:semiHidden/>
    <w:unhideWhenUsed/>
    <w:qFormat/>
    <w:uiPriority w:val="99"/>
    <w:pPr>
      <w:spacing w:after="120"/>
      <w:ind w:left="1440" w:leftChars="700" w:right="1440" w:rightChars="700"/>
    </w:pPr>
  </w:style>
  <w:style w:type="paragraph" w:styleId="16">
    <w:name w:val="Normal (Web)"/>
    <w:basedOn w:val="1"/>
    <w:qFormat/>
    <w:uiPriority w:val="99"/>
  </w:style>
  <w:style w:type="table" w:styleId="18">
    <w:name w:val="Table Grid"/>
    <w:basedOn w:val="17"/>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22"/>
    <w:rPr>
      <w:b/>
      <w:bCs/>
    </w:rPr>
  </w:style>
  <w:style w:type="paragraph" w:customStyle="1" w:styleId="21">
    <w:name w:val="null3"/>
    <w:hidden/>
    <w:qFormat/>
    <w:uiPriority w:val="0"/>
    <w:rPr>
      <w:rFonts w:hint="eastAsia" w:asciiTheme="minorHAnsi" w:hAnsiTheme="minorHAnsi" w:eastAsiaTheme="minorEastAsia" w:cstheme="minorBidi"/>
      <w:lang w:val="en-US" w:eastAsia="zh-Hans" w:bidi="ar-SA"/>
    </w:rPr>
  </w:style>
  <w:style w:type="paragraph" w:customStyle="1" w:styleId="22">
    <w:name w:val="my正文"/>
    <w:basedOn w:val="1"/>
    <w:qFormat/>
    <w:uiPriority w:val="0"/>
    <w:pPr>
      <w:spacing w:line="360" w:lineRule="auto"/>
      <w:ind w:firstLine="480" w:firstLineChars="200"/>
    </w:pPr>
    <w:rPr>
      <w:szCs w:val="20"/>
    </w:rPr>
  </w:style>
  <w:style w:type="paragraph" w:customStyle="1" w:styleId="23">
    <w:name w:val="文档正文"/>
    <w:basedOn w:val="1"/>
    <w:unhideWhenUsed/>
    <w:qFormat/>
    <w:uiPriority w:val="0"/>
    <w:pPr>
      <w:snapToGrid w:val="0"/>
      <w:spacing w:before="60" w:after="60" w:line="360" w:lineRule="atLeast"/>
      <w:ind w:firstLine="482"/>
    </w:pPr>
    <w:rPr>
      <w:szCs w:val="20"/>
    </w:rPr>
  </w:style>
  <w:style w:type="paragraph" w:styleId="24">
    <w:name w:val="List Paragraph"/>
    <w:basedOn w:val="1"/>
    <w:qFormat/>
    <w:uiPriority w:val="34"/>
    <w:pPr>
      <w:ind w:firstLine="420" w:firstLineChars="200"/>
      <w:contextualSpacing/>
    </w:pPr>
    <w:rPr>
      <w:szCs w:val="22"/>
    </w:rPr>
  </w:style>
  <w:style w:type="paragraph" w:customStyle="1" w:styleId="25">
    <w:name w:val="00文档正文"/>
    <w:basedOn w:val="1"/>
    <w:qFormat/>
    <w:uiPriority w:val="0"/>
    <w:pPr>
      <w:snapToGrid w:val="0"/>
      <w:spacing w:before="60" w:after="60" w:line="360" w:lineRule="atLeast"/>
      <w:ind w:firstLine="482"/>
    </w:pPr>
    <w:rPr>
      <w:szCs w:val="20"/>
    </w:rPr>
  </w:style>
  <w:style w:type="paragraph" w:customStyle="1" w:styleId="26">
    <w:name w:val="!正文"/>
    <w:basedOn w:val="14"/>
    <w:qFormat/>
    <w:uiPriority w:val="0"/>
    <w:rPr>
      <w:rFonts w:ascii="黑体" w:hAnsi="黑体" w:cstheme="majorBidi"/>
      <w:szCs w:val="24"/>
    </w:rPr>
  </w:style>
  <w:style w:type="paragraph" w:customStyle="1" w:styleId="27">
    <w:name w:val="01文档正文"/>
    <w:basedOn w:val="1"/>
    <w:qFormat/>
    <w:uiPriority w:val="0"/>
    <w:pPr>
      <w:adjustRightInd w:val="0"/>
      <w:spacing w:before="60" w:after="60" w:line="360" w:lineRule="atLeast"/>
      <w:ind w:firstLine="480" w:firstLineChars="200"/>
    </w:pPr>
    <w:rPr>
      <w:rFonts w:cs="Lucida Sans Unicode"/>
    </w:rPr>
  </w:style>
  <w:style w:type="paragraph" w:customStyle="1" w:styleId="28">
    <w:name w:val="***正文"/>
    <w:basedOn w:val="1"/>
    <w:qFormat/>
    <w:uiPriority w:val="0"/>
    <w:pPr>
      <w:autoSpaceDE w:val="0"/>
      <w:autoSpaceDN w:val="0"/>
      <w:adjustRightInd w:val="0"/>
      <w:spacing w:line="360" w:lineRule="auto"/>
      <w:ind w:firstLine="480" w:firstLineChars="200"/>
    </w:pPr>
    <w:rPr>
      <w:bCs/>
      <w:color w:val="000000"/>
    </w:rPr>
  </w:style>
  <w:style w:type="paragraph" w:customStyle="1" w:styleId="29">
    <w:name w:val="表格文字"/>
    <w:basedOn w:val="23"/>
    <w:qFormat/>
    <w:uiPriority w:val="0"/>
    <w:pPr>
      <w:spacing w:before="0" w:after="0"/>
      <w:ind w:firstLine="0"/>
      <w:jc w:val="center"/>
    </w:pPr>
    <w:rPr>
      <w:rFonts w:cs="宋体"/>
    </w:rPr>
  </w:style>
  <w:style w:type="paragraph" w:customStyle="1" w:styleId="30">
    <w:name w:val="样式1-正文"/>
    <w:basedOn w:val="2"/>
    <w:qFormat/>
    <w:uiPriority w:val="0"/>
    <w:pPr>
      <w:spacing w:line="360" w:lineRule="auto"/>
      <w:ind w:firstLine="200"/>
    </w:pPr>
  </w:style>
  <w:style w:type="paragraph" w:customStyle="1" w:styleId="31">
    <w:name w:val="列出段落1"/>
    <w:basedOn w:val="1"/>
    <w:qFormat/>
    <w:uiPriority w:val="99"/>
    <w:pPr>
      <w:ind w:firstLine="420" w:firstLineChars="200"/>
    </w:pPr>
    <w:rPr>
      <w:rFonts w:ascii="Calibri" w:hAnsi="Calibri"/>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178</Pages>
  <Words>133485</Words>
  <Characters>142447</Characters>
  <Lines>0</Lines>
  <Paragraphs>0</Paragraphs>
  <TotalTime>0</TotalTime>
  <ScaleCrop>false</ScaleCrop>
  <LinksUpToDate>false</LinksUpToDate>
  <CharactersWithSpaces>142476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2025-07-25T08:29:00Z</dcterms:created>
  <dc:creator>Administrator</dc:creator>
  <cp:lastModifiedBy>安安</cp:lastModifiedBy>
  <dcterms:modified xsi:type="dcterms:W3CDTF">2025-07-25T09:08:28Z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eyJoZGlkIjoiY2JiM2Q2YTNkZTc1Mjk4ODRhOWVjZTc0YTFmYTE5NzciLCJ1c2VySWQiOiIxMTQ2NDU0OTA0In0=</vt:lpwstr>
  </property>
  <property fmtid="{D5CDD505-2E9C-101B-9397-08002B2CF9AE}" pid="4" name="ICV">
    <vt:lpwstr>6C95BAA270E441449062EEE510EA4BEB_12</vt:lpwstr>
  </property>
</Properties>
</file>