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36F1F">
      <w:pPr>
        <w:pStyle w:val="7"/>
        <w:jc w:val="center"/>
        <w:rPr>
          <w:rFonts w:hint="eastAsia"/>
          <w:sz w:val="24"/>
          <w:szCs w:val="24"/>
          <w:lang w:val="en-US" w:eastAsia="zh-CN"/>
        </w:rPr>
      </w:pPr>
      <w:r>
        <w:rPr>
          <w:rFonts w:hint="eastAsia"/>
          <w:sz w:val="24"/>
          <w:szCs w:val="24"/>
          <w:lang w:val="en-US" w:eastAsia="zh-CN"/>
        </w:rPr>
        <w:t>蓝田县公安局洩湖派出所提升改造项目</w:t>
      </w:r>
    </w:p>
    <w:p w14:paraId="2CC06782">
      <w:pPr>
        <w:pStyle w:val="7"/>
        <w:jc w:val="center"/>
        <w:rPr>
          <w:rFonts w:hint="eastAsia"/>
          <w:sz w:val="24"/>
          <w:szCs w:val="24"/>
          <w:lang w:val="en-US" w:eastAsia="zh-CN"/>
        </w:rPr>
      </w:pPr>
      <w:r>
        <w:rPr>
          <w:rFonts w:hint="eastAsia"/>
          <w:sz w:val="24"/>
          <w:szCs w:val="24"/>
        </w:rPr>
        <w:t>政府采购需求书</w:t>
      </w:r>
      <w:r>
        <w:rPr>
          <w:rFonts w:hint="eastAsia"/>
          <w:sz w:val="24"/>
          <w:szCs w:val="24"/>
          <w:lang w:val="en-US" w:eastAsia="zh-CN"/>
        </w:rPr>
        <w:t>（工程类）</w:t>
      </w:r>
    </w:p>
    <w:tbl>
      <w:tblPr>
        <w:tblStyle w:val="10"/>
        <w:tblpPr w:leftFromText="180" w:rightFromText="180" w:vertAnchor="page" w:horzAnchor="page" w:tblpX="1120" w:tblpY="2088"/>
        <w:tblOverlap w:val="never"/>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277"/>
        <w:gridCol w:w="7138"/>
      </w:tblGrid>
      <w:tr w14:paraId="7C68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EC5B4D9">
            <w:pPr>
              <w:jc w:val="center"/>
              <w:rPr>
                <w:b/>
                <w:bCs/>
                <w:sz w:val="24"/>
              </w:rPr>
            </w:pPr>
            <w:r>
              <w:rPr>
                <w:rFonts w:hint="eastAsia"/>
                <w:b/>
                <w:bCs/>
                <w:sz w:val="24"/>
              </w:rPr>
              <w:t>序号</w:t>
            </w:r>
          </w:p>
        </w:tc>
        <w:tc>
          <w:tcPr>
            <w:tcW w:w="1277" w:type="dxa"/>
          </w:tcPr>
          <w:p w14:paraId="09A1654D">
            <w:pPr>
              <w:jc w:val="center"/>
              <w:rPr>
                <w:b/>
                <w:bCs/>
                <w:sz w:val="24"/>
              </w:rPr>
            </w:pPr>
            <w:r>
              <w:rPr>
                <w:rFonts w:hint="eastAsia"/>
                <w:b/>
                <w:bCs/>
                <w:sz w:val="24"/>
              </w:rPr>
              <w:t>关键事项</w:t>
            </w:r>
          </w:p>
        </w:tc>
        <w:tc>
          <w:tcPr>
            <w:tcW w:w="7138" w:type="dxa"/>
          </w:tcPr>
          <w:p w14:paraId="39341C97">
            <w:pPr>
              <w:jc w:val="center"/>
              <w:rPr>
                <w:b/>
                <w:bCs/>
                <w:sz w:val="24"/>
              </w:rPr>
            </w:pPr>
            <w:r>
              <w:rPr>
                <w:rFonts w:hint="eastAsia"/>
                <w:b/>
                <w:bCs/>
                <w:sz w:val="24"/>
              </w:rPr>
              <w:t>说明和要求</w:t>
            </w:r>
          </w:p>
        </w:tc>
      </w:tr>
      <w:tr w14:paraId="7C08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79" w:type="dxa"/>
            <w:vAlign w:val="center"/>
          </w:tcPr>
          <w:p w14:paraId="28D1FC1F">
            <w:pPr>
              <w:jc w:val="center"/>
              <w:rPr>
                <w:szCs w:val="21"/>
              </w:rPr>
            </w:pPr>
            <w:r>
              <w:rPr>
                <w:rFonts w:hint="eastAsia"/>
                <w:szCs w:val="21"/>
              </w:rPr>
              <w:t>1</w:t>
            </w:r>
          </w:p>
        </w:tc>
        <w:tc>
          <w:tcPr>
            <w:tcW w:w="1277" w:type="dxa"/>
            <w:vAlign w:val="center"/>
          </w:tcPr>
          <w:p w14:paraId="44CBE546">
            <w:pPr>
              <w:jc w:val="center"/>
              <w:rPr>
                <w:szCs w:val="21"/>
              </w:rPr>
            </w:pPr>
            <w:r>
              <w:rPr>
                <w:rFonts w:hint="eastAsia"/>
                <w:szCs w:val="21"/>
              </w:rPr>
              <w:t>采购预算</w:t>
            </w:r>
          </w:p>
        </w:tc>
        <w:tc>
          <w:tcPr>
            <w:tcW w:w="7138" w:type="dxa"/>
          </w:tcPr>
          <w:p w14:paraId="038CBD4E">
            <w:pPr>
              <w:rPr>
                <w:szCs w:val="21"/>
              </w:rPr>
            </w:pPr>
            <w:r>
              <w:rPr>
                <w:rFonts w:hint="eastAsia"/>
                <w:szCs w:val="21"/>
              </w:rPr>
              <w:t>人民币</w:t>
            </w:r>
            <w:r>
              <w:rPr>
                <w:rFonts w:hint="eastAsia"/>
                <w:szCs w:val="21"/>
                <w:u w:val="single"/>
                <w:lang w:val="en-US" w:eastAsia="zh-CN"/>
              </w:rPr>
              <w:t>116</w:t>
            </w:r>
            <w:r>
              <w:rPr>
                <w:rFonts w:hint="eastAsia"/>
                <w:szCs w:val="21"/>
                <w:u w:val="single"/>
              </w:rPr>
              <w:t>万</w:t>
            </w:r>
            <w:r>
              <w:rPr>
                <w:rFonts w:hint="eastAsia"/>
                <w:szCs w:val="21"/>
              </w:rPr>
              <w:t>元</w:t>
            </w:r>
          </w:p>
          <w:p w14:paraId="3A328C44">
            <w:pPr>
              <w:rPr>
                <w:szCs w:val="21"/>
              </w:rPr>
            </w:pPr>
            <w:r>
              <w:rPr>
                <w:rFonts w:hint="eastAsia"/>
                <w:szCs w:val="21"/>
              </w:rPr>
              <w:t>仅指与本次釆购标的直接相关的费用，前期勘察费、设计费等已发生的费用，以及监理费、接口费等为未来预留费用，不应当包含在本项目采购预算内，甲方须向本级财政部门经费业务处室申请办理经费剥离手续。</w:t>
            </w:r>
          </w:p>
        </w:tc>
      </w:tr>
      <w:tr w14:paraId="57CF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79" w:type="dxa"/>
            <w:vAlign w:val="center"/>
          </w:tcPr>
          <w:p w14:paraId="3706F20C">
            <w:pPr>
              <w:jc w:val="center"/>
              <w:rPr>
                <w:szCs w:val="21"/>
              </w:rPr>
            </w:pPr>
            <w:r>
              <w:rPr>
                <w:rFonts w:hint="eastAsia"/>
                <w:szCs w:val="21"/>
              </w:rPr>
              <w:t>2</w:t>
            </w:r>
          </w:p>
        </w:tc>
        <w:tc>
          <w:tcPr>
            <w:tcW w:w="1277" w:type="dxa"/>
            <w:vAlign w:val="center"/>
          </w:tcPr>
          <w:p w14:paraId="5A730331">
            <w:pPr>
              <w:jc w:val="center"/>
              <w:rPr>
                <w:szCs w:val="21"/>
              </w:rPr>
            </w:pPr>
            <w:r>
              <w:rPr>
                <w:rFonts w:hint="eastAsia"/>
                <w:szCs w:val="21"/>
              </w:rPr>
              <w:t>最高限价</w:t>
            </w:r>
          </w:p>
        </w:tc>
        <w:tc>
          <w:tcPr>
            <w:tcW w:w="7138" w:type="dxa"/>
          </w:tcPr>
          <w:p w14:paraId="2BBFDADF">
            <w:pPr>
              <w:rPr>
                <w:szCs w:val="21"/>
              </w:rPr>
            </w:pPr>
            <w:r>
              <w:rPr>
                <w:rFonts w:hint="eastAsia"/>
                <w:szCs w:val="21"/>
              </w:rPr>
              <w:t>人民币</w:t>
            </w:r>
            <w:r>
              <w:rPr>
                <w:rFonts w:hint="eastAsia"/>
                <w:szCs w:val="21"/>
                <w:u w:val="single"/>
                <w:lang w:val="en-US" w:eastAsia="zh-CN"/>
              </w:rPr>
              <w:t>116</w:t>
            </w:r>
            <w:r>
              <w:rPr>
                <w:rFonts w:hint="eastAsia"/>
                <w:szCs w:val="21"/>
                <w:u w:val="single"/>
              </w:rPr>
              <w:t>万</w:t>
            </w:r>
            <w:r>
              <w:rPr>
                <w:rFonts w:hint="eastAsia"/>
                <w:szCs w:val="21"/>
              </w:rPr>
              <w:t>元</w:t>
            </w:r>
          </w:p>
          <w:p w14:paraId="2B1AC9D3">
            <w:pPr>
              <w:rPr>
                <w:szCs w:val="21"/>
                <w:u w:val="single"/>
              </w:rPr>
            </w:pPr>
            <w:r>
              <w:rPr>
                <w:rFonts w:hint="eastAsia"/>
                <w:szCs w:val="21"/>
              </w:rPr>
              <w:t>供应商投标报价高于最高限价的则其投标文件将按无效投标文件处理。</w:t>
            </w:r>
          </w:p>
        </w:tc>
      </w:tr>
      <w:tr w14:paraId="758C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79" w:type="dxa"/>
            <w:vAlign w:val="center"/>
          </w:tcPr>
          <w:p w14:paraId="2658FED9">
            <w:pPr>
              <w:jc w:val="center"/>
              <w:rPr>
                <w:rFonts w:hint="eastAsia"/>
                <w:szCs w:val="21"/>
              </w:rPr>
            </w:pPr>
            <w:r>
              <w:rPr>
                <w:rFonts w:hint="eastAsia"/>
                <w:szCs w:val="21"/>
              </w:rPr>
              <w:t>3</w:t>
            </w:r>
          </w:p>
        </w:tc>
        <w:tc>
          <w:tcPr>
            <w:tcW w:w="1277" w:type="dxa"/>
            <w:vAlign w:val="center"/>
          </w:tcPr>
          <w:p w14:paraId="68811646">
            <w:pPr>
              <w:jc w:val="center"/>
              <w:rPr>
                <w:rFonts w:hint="eastAsia"/>
                <w:szCs w:val="21"/>
              </w:rPr>
            </w:pPr>
            <w:r>
              <w:rPr>
                <w:rFonts w:hint="eastAsia"/>
                <w:szCs w:val="21"/>
              </w:rPr>
              <w:t>暂列金或暂估价</w:t>
            </w:r>
          </w:p>
        </w:tc>
        <w:tc>
          <w:tcPr>
            <w:tcW w:w="7138" w:type="dxa"/>
          </w:tcPr>
          <w:p w14:paraId="76E6975D">
            <w:pPr>
              <w:rPr>
                <w:rFonts w:hint="eastAsia"/>
                <w:szCs w:val="21"/>
              </w:rPr>
            </w:pPr>
            <w:r>
              <w:rPr>
                <w:rFonts w:hint="eastAsia"/>
                <w:szCs w:val="21"/>
              </w:rPr>
              <w:t>人民币/元</w:t>
            </w:r>
          </w:p>
          <w:p w14:paraId="0278A7B6">
            <w:pPr>
              <w:rPr>
                <w:rFonts w:hint="eastAsia"/>
                <w:szCs w:val="21"/>
              </w:rPr>
            </w:pPr>
            <w:r>
              <w:rPr>
                <w:rFonts w:hint="eastAsia"/>
                <w:szCs w:val="21"/>
              </w:rPr>
              <w:t>如有，请列明。</w:t>
            </w:r>
          </w:p>
        </w:tc>
      </w:tr>
      <w:tr w14:paraId="20A9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79" w:type="dxa"/>
            <w:vAlign w:val="center"/>
          </w:tcPr>
          <w:p w14:paraId="1F61C77C">
            <w:pPr>
              <w:jc w:val="center"/>
              <w:rPr>
                <w:rFonts w:hint="eastAsia"/>
                <w:szCs w:val="21"/>
              </w:rPr>
            </w:pPr>
            <w:r>
              <w:rPr>
                <w:rFonts w:hint="eastAsia"/>
                <w:szCs w:val="21"/>
              </w:rPr>
              <w:t>4</w:t>
            </w:r>
          </w:p>
        </w:tc>
        <w:tc>
          <w:tcPr>
            <w:tcW w:w="1277" w:type="dxa"/>
            <w:vAlign w:val="center"/>
          </w:tcPr>
          <w:p w14:paraId="4A2F56C6">
            <w:pPr>
              <w:jc w:val="center"/>
              <w:rPr>
                <w:rFonts w:hint="eastAsia"/>
                <w:szCs w:val="21"/>
              </w:rPr>
            </w:pPr>
            <w:r>
              <w:rPr>
                <w:rFonts w:hint="eastAsia"/>
                <w:szCs w:val="21"/>
              </w:rPr>
              <w:t>图纸</w:t>
            </w:r>
          </w:p>
        </w:tc>
        <w:tc>
          <w:tcPr>
            <w:tcW w:w="7138" w:type="dxa"/>
          </w:tcPr>
          <w:p w14:paraId="77BCB8F8">
            <w:pPr>
              <w:rPr>
                <w:rFonts w:hint="eastAsia"/>
                <w:szCs w:val="21"/>
              </w:rPr>
            </w:pPr>
            <w:r>
              <w:rPr>
                <w:rFonts w:hint="eastAsia"/>
                <w:szCs w:val="21"/>
              </w:rPr>
              <w:sym w:font="Wingdings 2" w:char="F052"/>
            </w:r>
            <w:r>
              <w:rPr>
                <w:rFonts w:hint="eastAsia"/>
                <w:szCs w:val="21"/>
              </w:rPr>
              <w:t>有图纸，图纸与工程量清单不一致时以工程量清单为准。</w:t>
            </w:r>
          </w:p>
          <w:p w14:paraId="66940838">
            <w:pPr>
              <w:rPr>
                <w:rFonts w:hint="eastAsia"/>
                <w:szCs w:val="21"/>
              </w:rPr>
            </w:pPr>
            <w:r>
              <w:rPr>
                <w:rFonts w:hint="eastAsia" w:asciiTheme="minorEastAsia" w:hAnsiTheme="minorEastAsia"/>
                <w:szCs w:val="21"/>
              </w:rPr>
              <w:t>□</w:t>
            </w:r>
            <w:r>
              <w:rPr>
                <w:rFonts w:hint="eastAsia"/>
                <w:szCs w:val="21"/>
              </w:rPr>
              <w:t>无图纸</w:t>
            </w:r>
          </w:p>
        </w:tc>
      </w:tr>
      <w:tr w14:paraId="19B3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79" w:type="dxa"/>
            <w:vMerge w:val="restart"/>
            <w:vAlign w:val="center"/>
          </w:tcPr>
          <w:p w14:paraId="5B812798">
            <w:pPr>
              <w:jc w:val="center"/>
              <w:rPr>
                <w:szCs w:val="21"/>
              </w:rPr>
            </w:pPr>
            <w:r>
              <w:rPr>
                <w:rFonts w:hint="eastAsia"/>
                <w:szCs w:val="21"/>
              </w:rPr>
              <w:t>5</w:t>
            </w:r>
          </w:p>
        </w:tc>
        <w:tc>
          <w:tcPr>
            <w:tcW w:w="1277" w:type="dxa"/>
            <w:vMerge w:val="restart"/>
            <w:vAlign w:val="center"/>
          </w:tcPr>
          <w:p w14:paraId="50890CB4">
            <w:pPr>
              <w:jc w:val="center"/>
              <w:rPr>
                <w:szCs w:val="21"/>
              </w:rPr>
            </w:pPr>
            <w:r>
              <w:rPr>
                <w:rFonts w:hint="eastAsia"/>
                <w:szCs w:val="21"/>
              </w:rPr>
              <w:t>项目性质</w:t>
            </w:r>
          </w:p>
        </w:tc>
        <w:tc>
          <w:tcPr>
            <w:tcW w:w="7138" w:type="dxa"/>
          </w:tcPr>
          <w:p w14:paraId="0E9BBE06">
            <w:pPr>
              <w:rPr>
                <w:rFonts w:eastAsia="宋体"/>
                <w:szCs w:val="21"/>
              </w:rPr>
            </w:pPr>
            <w:r>
              <w:rPr>
                <w:rFonts w:hint="eastAsia"/>
                <w:szCs w:val="21"/>
              </w:rPr>
              <w:sym w:font="Wingdings 2" w:char="F052"/>
            </w:r>
            <w:r>
              <w:rPr>
                <w:rFonts w:hint="eastAsia" w:eastAsia="宋体"/>
                <w:szCs w:val="21"/>
              </w:rPr>
              <w:t>专门面向中小企业采购</w:t>
            </w:r>
          </w:p>
          <w:p w14:paraId="06595C60">
            <w:pPr>
              <w:rPr>
                <w:rFonts w:eastAsia="宋体"/>
                <w:szCs w:val="21"/>
              </w:rPr>
            </w:pPr>
            <w:r>
              <w:rPr>
                <w:rFonts w:hint="eastAsia" w:eastAsia="宋体"/>
                <w:szCs w:val="21"/>
              </w:rPr>
              <w:t>仅允许中小企业或小型、微型企业参与投标。</w:t>
            </w:r>
          </w:p>
        </w:tc>
      </w:tr>
      <w:tr w14:paraId="2A97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14:paraId="7B3BEB82">
            <w:pPr>
              <w:jc w:val="center"/>
              <w:rPr>
                <w:szCs w:val="21"/>
              </w:rPr>
            </w:pPr>
          </w:p>
        </w:tc>
        <w:tc>
          <w:tcPr>
            <w:tcW w:w="1277" w:type="dxa"/>
            <w:vMerge w:val="continue"/>
            <w:vAlign w:val="center"/>
          </w:tcPr>
          <w:p w14:paraId="6C67057E">
            <w:pPr>
              <w:jc w:val="center"/>
              <w:rPr>
                <w:szCs w:val="21"/>
              </w:rPr>
            </w:pPr>
          </w:p>
        </w:tc>
        <w:tc>
          <w:tcPr>
            <w:tcW w:w="7138" w:type="dxa"/>
          </w:tcPr>
          <w:p w14:paraId="3EB54C4F">
            <w:pPr>
              <w:rPr>
                <w:rFonts w:ascii="宋体" w:hAnsi="宋体" w:eastAsia="宋体" w:cs="宋体"/>
                <w:szCs w:val="21"/>
              </w:rPr>
            </w:pPr>
            <w:r>
              <w:rPr>
                <w:rFonts w:hint="eastAsia" w:asciiTheme="minorEastAsia" w:hAnsiTheme="minorEastAsia"/>
                <w:szCs w:val="21"/>
              </w:rPr>
              <w:t>□</w:t>
            </w:r>
            <w:r>
              <w:rPr>
                <w:rFonts w:hint="eastAsia" w:ascii="宋体" w:hAnsi="宋体" w:eastAsia="宋体" w:cs="宋体"/>
                <w:szCs w:val="21"/>
              </w:rPr>
              <w:t>非专门面向中小企业采购</w:t>
            </w:r>
          </w:p>
          <w:p w14:paraId="3E64E024">
            <w:pPr>
              <w:rPr>
                <w:rFonts w:ascii="宋体" w:hAnsi="宋体" w:eastAsia="宋体" w:cs="宋体"/>
                <w:szCs w:val="21"/>
              </w:rPr>
            </w:pPr>
            <w:r>
              <w:rPr>
                <w:rFonts w:hint="eastAsia" w:ascii="宋体" w:hAnsi="宋体" w:eastAsia="宋体" w:cs="宋体"/>
                <w:szCs w:val="21"/>
              </w:rPr>
              <w:t>对符合《政府采购促进中小企业发展管理办法》（财库（2020）46号）规定的小微企业（监狱企业视同小型、微型企业）的报价给予%（3%-5%）的扣除（当釆用招标方式时，实际上是对其价格分给予一定比例的增加），用扣除后的价格参加评审。</w:t>
            </w:r>
          </w:p>
        </w:tc>
      </w:tr>
      <w:tr w14:paraId="19BA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14:paraId="3D21AB02">
            <w:pPr>
              <w:jc w:val="center"/>
              <w:rPr>
                <w:szCs w:val="21"/>
              </w:rPr>
            </w:pPr>
            <w:r>
              <w:rPr>
                <w:rFonts w:hint="eastAsia"/>
                <w:szCs w:val="21"/>
              </w:rPr>
              <w:t>6</w:t>
            </w:r>
          </w:p>
        </w:tc>
        <w:tc>
          <w:tcPr>
            <w:tcW w:w="1277" w:type="dxa"/>
            <w:vAlign w:val="center"/>
          </w:tcPr>
          <w:p w14:paraId="27568EAE">
            <w:pPr>
              <w:jc w:val="center"/>
              <w:rPr>
                <w:szCs w:val="21"/>
              </w:rPr>
            </w:pPr>
            <w:r>
              <w:rPr>
                <w:rFonts w:hint="eastAsia"/>
                <w:szCs w:val="21"/>
              </w:rPr>
              <w:t>对供应商的</w:t>
            </w:r>
          </w:p>
          <w:p w14:paraId="6003566A">
            <w:pPr>
              <w:jc w:val="center"/>
              <w:rPr>
                <w:szCs w:val="21"/>
              </w:rPr>
            </w:pPr>
            <w:r>
              <w:rPr>
                <w:rFonts w:hint="eastAsia"/>
                <w:szCs w:val="21"/>
              </w:rPr>
              <w:t>资格要求</w:t>
            </w:r>
          </w:p>
        </w:tc>
        <w:tc>
          <w:tcPr>
            <w:tcW w:w="7138" w:type="dxa"/>
          </w:tcPr>
          <w:p w14:paraId="750B187B">
            <w:pPr>
              <w:rPr>
                <w:rFonts w:hint="eastAsia" w:ascii="宋体" w:hAnsi="宋体" w:eastAsia="宋体" w:cs="宋体"/>
                <w:szCs w:val="21"/>
              </w:rPr>
            </w:pPr>
            <w:r>
              <w:rPr>
                <w:rFonts w:hint="eastAsia" w:ascii="宋体" w:hAnsi="宋体" w:eastAsia="宋体" w:cs="宋体"/>
                <w:szCs w:val="21"/>
              </w:rPr>
              <w:t>一、满足《中华人民共和国政府采购法》第二十二条规定；</w:t>
            </w:r>
          </w:p>
          <w:p w14:paraId="6D648095">
            <w:pPr>
              <w:rPr>
                <w:szCs w:val="21"/>
                <w:u w:val="single"/>
              </w:rPr>
            </w:pPr>
            <w:r>
              <w:rPr>
                <w:rFonts w:hint="eastAsia" w:ascii="宋体" w:hAnsi="宋体" w:eastAsia="宋体" w:cs="宋体"/>
                <w:szCs w:val="21"/>
              </w:rPr>
              <w:t>二、落实政府采购政策需满足的资格要求：本项目专门面向中小企业釆购；三、本项目的特定资格要求：（1）供应商须具备建设行政主管部门颁发的建筑工程施工总承包三级及以上资质，并具有合格有效的安全生产许可证；（2）供应商拟派项目经理须具备建筑工程二级及以上注册建造师证及安全生产考核合格证书；（3）外省企业需在陕西省建筑市场监管与诚信信息一体化平台登记.（4）“信用中国”网站（www.creditchina.gov.cn）和中国政府采购网（www.ccgp.gov.cn）查询供应商信用记录截图，被列入失信被执行人、重大税收违法案件当事人名单、政府采购严重违法失信行为记录名单的单位将被拒绝参与本项目磋商。</w:t>
            </w:r>
          </w:p>
        </w:tc>
      </w:tr>
      <w:tr w14:paraId="354B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center"/>
          </w:tcPr>
          <w:p w14:paraId="67FB2AC5">
            <w:pPr>
              <w:jc w:val="center"/>
              <w:rPr>
                <w:szCs w:val="21"/>
              </w:rPr>
            </w:pPr>
            <w:r>
              <w:rPr>
                <w:rFonts w:hint="eastAsia"/>
                <w:szCs w:val="21"/>
              </w:rPr>
              <w:t>7</w:t>
            </w:r>
          </w:p>
        </w:tc>
        <w:tc>
          <w:tcPr>
            <w:tcW w:w="1277" w:type="dxa"/>
            <w:vMerge w:val="restart"/>
            <w:vAlign w:val="center"/>
          </w:tcPr>
          <w:p w14:paraId="16861E76">
            <w:pPr>
              <w:jc w:val="center"/>
              <w:rPr>
                <w:szCs w:val="21"/>
              </w:rPr>
            </w:pPr>
            <w:r>
              <w:rPr>
                <w:rFonts w:hint="eastAsia"/>
                <w:szCs w:val="21"/>
              </w:rPr>
              <w:t>是否接受</w:t>
            </w:r>
          </w:p>
          <w:p w14:paraId="784CE63A">
            <w:pPr>
              <w:jc w:val="center"/>
              <w:rPr>
                <w:szCs w:val="21"/>
              </w:rPr>
            </w:pPr>
            <w:r>
              <w:rPr>
                <w:rFonts w:hint="eastAsia"/>
                <w:szCs w:val="21"/>
              </w:rPr>
              <w:t>联合体投标</w:t>
            </w:r>
          </w:p>
        </w:tc>
        <w:tc>
          <w:tcPr>
            <w:tcW w:w="7138" w:type="dxa"/>
          </w:tcPr>
          <w:p w14:paraId="35B28D7B">
            <w:pPr>
              <w:rPr>
                <w:rFonts w:asciiTheme="minorEastAsia" w:hAnsiTheme="minorEastAsia" w:cstheme="minorEastAsia"/>
                <w:szCs w:val="21"/>
              </w:rPr>
            </w:pPr>
            <w:r>
              <w:rPr>
                <w:rFonts w:hint="eastAsia" w:asciiTheme="minorEastAsia" w:hAnsiTheme="minorEastAsia"/>
                <w:szCs w:val="21"/>
              </w:rPr>
              <w:t>□</w:t>
            </w:r>
            <w:r>
              <w:rPr>
                <w:rFonts w:hint="eastAsia" w:asciiTheme="minorEastAsia" w:hAnsiTheme="minorEastAsia" w:cstheme="minorEastAsia"/>
                <w:szCs w:val="21"/>
              </w:rPr>
              <w:t>接受</w:t>
            </w:r>
          </w:p>
          <w:p w14:paraId="68EECDB0">
            <w:pPr>
              <w:rPr>
                <w:rFonts w:asciiTheme="minorEastAsia" w:hAnsiTheme="minorEastAsia" w:cstheme="minorEastAsia"/>
                <w:szCs w:val="21"/>
              </w:rPr>
            </w:pPr>
            <w:r>
              <w:rPr>
                <w:rFonts w:hint="eastAsia" w:asciiTheme="minorEastAsia" w:hAnsiTheme="minorEastAsia" w:cstheme="minorEastAsia"/>
                <w:szCs w:val="21"/>
              </w:rPr>
              <w:t>对于联合体协议或者分包意向协议约定小微企业的合同份额占到合同总金额30%以上的，对联合体或者大中型企业的报价给予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%（2%-3%）的扣除，用扣除后的报价参加评审。</w:t>
            </w:r>
          </w:p>
        </w:tc>
      </w:tr>
      <w:tr w14:paraId="7F61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14:paraId="2AA20940">
            <w:pPr>
              <w:jc w:val="center"/>
              <w:rPr>
                <w:szCs w:val="21"/>
              </w:rPr>
            </w:pPr>
          </w:p>
        </w:tc>
        <w:tc>
          <w:tcPr>
            <w:tcW w:w="1277" w:type="dxa"/>
            <w:vMerge w:val="continue"/>
            <w:vAlign w:val="center"/>
          </w:tcPr>
          <w:p w14:paraId="5C8469CE">
            <w:pPr>
              <w:jc w:val="center"/>
              <w:rPr>
                <w:szCs w:val="21"/>
              </w:rPr>
            </w:pPr>
          </w:p>
        </w:tc>
        <w:tc>
          <w:tcPr>
            <w:tcW w:w="7138" w:type="dxa"/>
          </w:tcPr>
          <w:p w14:paraId="0BD5F52B">
            <w:pPr>
              <w:rPr>
                <w:rFonts w:eastAsia="宋体"/>
                <w:szCs w:val="21"/>
              </w:rPr>
            </w:pPr>
            <w:r>
              <w:rPr>
                <w:rFonts w:hint="eastAsia"/>
                <w:szCs w:val="21"/>
              </w:rPr>
              <w:sym w:font="Wingdings 2" w:char="F052"/>
            </w:r>
            <w:r>
              <w:rPr>
                <w:rFonts w:hint="eastAsia" w:eastAsia="宋体"/>
                <w:szCs w:val="21"/>
              </w:rPr>
              <w:t>不接受</w:t>
            </w:r>
          </w:p>
        </w:tc>
      </w:tr>
      <w:tr w14:paraId="7F60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center"/>
          </w:tcPr>
          <w:p w14:paraId="2048ECCE">
            <w:pPr>
              <w:jc w:val="center"/>
              <w:rPr>
                <w:szCs w:val="21"/>
              </w:rPr>
            </w:pPr>
            <w:r>
              <w:rPr>
                <w:rFonts w:hint="eastAsia"/>
                <w:szCs w:val="21"/>
              </w:rPr>
              <w:t>8</w:t>
            </w:r>
          </w:p>
        </w:tc>
        <w:tc>
          <w:tcPr>
            <w:tcW w:w="1277" w:type="dxa"/>
            <w:vMerge w:val="restart"/>
            <w:vAlign w:val="center"/>
          </w:tcPr>
          <w:p w14:paraId="67AA6ED0">
            <w:pPr>
              <w:jc w:val="center"/>
              <w:rPr>
                <w:szCs w:val="21"/>
              </w:rPr>
            </w:pPr>
            <w:r>
              <w:rPr>
                <w:rFonts w:hint="eastAsia"/>
                <w:szCs w:val="21"/>
              </w:rPr>
              <w:t>履约保证金</w:t>
            </w:r>
          </w:p>
        </w:tc>
        <w:tc>
          <w:tcPr>
            <w:tcW w:w="7138" w:type="dxa"/>
          </w:tcPr>
          <w:p w14:paraId="2B98B7D9">
            <w:pPr>
              <w:rPr>
                <w:rFonts w:hint="eastAsia"/>
                <w:szCs w:val="21"/>
              </w:rPr>
            </w:pPr>
            <w:r>
              <w:rPr>
                <w:rFonts w:hint="eastAsia"/>
                <w:szCs w:val="21"/>
              </w:rPr>
              <w:t>占政府釆购合同金额的</w:t>
            </w:r>
            <w:r>
              <w:rPr>
                <w:rFonts w:hint="eastAsia"/>
                <w:szCs w:val="21"/>
                <w:u w:val="single"/>
              </w:rPr>
              <w:t>0</w:t>
            </w:r>
            <w:r>
              <w:rPr>
                <w:rFonts w:hint="eastAsia"/>
                <w:szCs w:val="21"/>
              </w:rPr>
              <w:t>%，本项目无履约保证金。</w:t>
            </w:r>
          </w:p>
          <w:p w14:paraId="2824794F">
            <w:pPr>
              <w:rPr>
                <w:szCs w:val="21"/>
              </w:rPr>
            </w:pPr>
            <w:r>
              <w:rPr>
                <w:rFonts w:hint="eastAsia"/>
                <w:szCs w:val="21"/>
              </w:rPr>
              <w:t>履约保证金的数额不得超过政府采购合同金额的10%；对于单价合同，其数额不得超过采购预算的10%</w:t>
            </w:r>
          </w:p>
        </w:tc>
      </w:tr>
      <w:tr w14:paraId="20EE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9" w:type="dxa"/>
            <w:vMerge w:val="continue"/>
            <w:vAlign w:val="center"/>
          </w:tcPr>
          <w:p w14:paraId="7E7C035D">
            <w:pPr>
              <w:jc w:val="center"/>
              <w:rPr>
                <w:szCs w:val="21"/>
              </w:rPr>
            </w:pPr>
          </w:p>
        </w:tc>
        <w:tc>
          <w:tcPr>
            <w:tcW w:w="1277" w:type="dxa"/>
            <w:vMerge w:val="continue"/>
            <w:vAlign w:val="center"/>
          </w:tcPr>
          <w:p w14:paraId="7BD2FEC8">
            <w:pPr>
              <w:jc w:val="center"/>
              <w:rPr>
                <w:szCs w:val="21"/>
              </w:rPr>
            </w:pPr>
          </w:p>
        </w:tc>
        <w:tc>
          <w:tcPr>
            <w:tcW w:w="7138" w:type="dxa"/>
          </w:tcPr>
          <w:p w14:paraId="047EC779">
            <w:r>
              <w:rPr>
                <w:rFonts w:hint="eastAsia" w:asciiTheme="minorEastAsia" w:hAnsiTheme="minorEastAsia"/>
                <w:szCs w:val="21"/>
              </w:rPr>
              <w:t>□</w:t>
            </w:r>
            <w:r>
              <w:rPr>
                <w:rFonts w:hint="eastAsia"/>
              </w:rPr>
              <w:t>由采购单位自行收退</w:t>
            </w:r>
          </w:p>
          <w:p w14:paraId="2747EF34">
            <w:r>
              <w:rPr>
                <w:rFonts w:hint="eastAsia" w:asciiTheme="minorEastAsia" w:hAnsiTheme="minorEastAsia"/>
                <w:szCs w:val="21"/>
              </w:rPr>
              <w:t>□</w:t>
            </w:r>
            <w:r>
              <w:rPr>
                <w:rFonts w:hint="eastAsia"/>
              </w:rPr>
              <w:t>由代理机构负责收退</w:t>
            </w:r>
          </w:p>
          <w:p w14:paraId="0344D4A8">
            <w:pPr>
              <w:rPr>
                <w:rFonts w:eastAsia="宋体"/>
              </w:rPr>
            </w:pPr>
            <w:r>
              <w:rPr>
                <w:rFonts w:hint="eastAsia"/>
                <w:szCs w:val="21"/>
              </w:rPr>
              <w:sym w:font="Wingdings 2" w:char="F052"/>
            </w:r>
            <w:r>
              <w:rPr>
                <w:rFonts w:hint="eastAsia" w:ascii="Arial" w:hAnsi="Arial" w:eastAsia="宋体" w:cs="Arial"/>
                <w:szCs w:val="21"/>
              </w:rPr>
              <w:t>不收取</w:t>
            </w:r>
          </w:p>
        </w:tc>
      </w:tr>
      <w:tr w14:paraId="3A69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79" w:type="dxa"/>
            <w:vAlign w:val="center"/>
          </w:tcPr>
          <w:p w14:paraId="3826A7A5">
            <w:pPr>
              <w:jc w:val="center"/>
              <w:rPr>
                <w:szCs w:val="21"/>
              </w:rPr>
            </w:pPr>
            <w:r>
              <w:rPr>
                <w:rFonts w:hint="eastAsia"/>
                <w:szCs w:val="21"/>
              </w:rPr>
              <w:t>9</w:t>
            </w:r>
          </w:p>
        </w:tc>
        <w:tc>
          <w:tcPr>
            <w:tcW w:w="1277" w:type="dxa"/>
            <w:vAlign w:val="center"/>
          </w:tcPr>
          <w:p w14:paraId="2FCAC470">
            <w:pPr>
              <w:jc w:val="center"/>
              <w:rPr>
                <w:szCs w:val="21"/>
              </w:rPr>
            </w:pPr>
            <w:r>
              <w:rPr>
                <w:rFonts w:hint="eastAsia"/>
                <w:szCs w:val="21"/>
              </w:rPr>
              <w:t>现场踏勘和集中答疑</w:t>
            </w:r>
          </w:p>
        </w:tc>
        <w:tc>
          <w:tcPr>
            <w:tcW w:w="7138" w:type="dxa"/>
          </w:tcPr>
          <w:p w14:paraId="62A223EA">
            <w:pPr>
              <w:rPr>
                <w:rFonts w:hint="eastAsia" w:eastAsia="宋体"/>
                <w:szCs w:val="21"/>
              </w:rPr>
            </w:pPr>
            <w:r>
              <w:rPr>
                <w:rFonts w:hint="eastAsia" w:asciiTheme="minorEastAsia" w:hAnsiTheme="minorEastAsia"/>
                <w:szCs w:val="21"/>
              </w:rPr>
              <w:t>□</w:t>
            </w:r>
            <w:r>
              <w:rPr>
                <w:rFonts w:hint="eastAsia" w:eastAsia="宋体"/>
                <w:szCs w:val="21"/>
              </w:rPr>
              <w:t>组织，集结地点为：</w:t>
            </w:r>
          </w:p>
          <w:p w14:paraId="531F3A1B">
            <w:pPr>
              <w:rPr>
                <w:rFonts w:eastAsia="宋体"/>
                <w:szCs w:val="21"/>
              </w:rPr>
            </w:pPr>
            <w:r>
              <w:rPr>
                <w:rFonts w:hint="eastAsia"/>
                <w:szCs w:val="21"/>
              </w:rPr>
              <w:sym w:font="Wingdings 2" w:char="F052"/>
            </w:r>
            <w:r>
              <w:rPr>
                <w:rFonts w:hint="eastAsia" w:eastAsia="宋体"/>
                <w:szCs w:val="21"/>
              </w:rPr>
              <w:t>不组织</w:t>
            </w:r>
          </w:p>
        </w:tc>
      </w:tr>
      <w:tr w14:paraId="10FF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79" w:type="dxa"/>
            <w:vAlign w:val="center"/>
          </w:tcPr>
          <w:p w14:paraId="7163872A">
            <w:pPr>
              <w:jc w:val="center"/>
              <w:rPr>
                <w:rFonts w:hint="eastAsia"/>
                <w:szCs w:val="21"/>
              </w:rPr>
            </w:pPr>
            <w:r>
              <w:rPr>
                <w:rFonts w:hint="eastAsia"/>
                <w:szCs w:val="21"/>
              </w:rPr>
              <w:t>10</w:t>
            </w:r>
          </w:p>
        </w:tc>
        <w:tc>
          <w:tcPr>
            <w:tcW w:w="1277" w:type="dxa"/>
            <w:vAlign w:val="center"/>
          </w:tcPr>
          <w:p w14:paraId="7F867DD0">
            <w:pPr>
              <w:jc w:val="center"/>
              <w:rPr>
                <w:rFonts w:hint="eastAsia"/>
                <w:szCs w:val="21"/>
              </w:rPr>
            </w:pPr>
            <w:r>
              <w:rPr>
                <w:rFonts w:hint="eastAsia"/>
                <w:szCs w:val="21"/>
              </w:rPr>
              <w:t>价格分比重</w:t>
            </w:r>
          </w:p>
        </w:tc>
        <w:tc>
          <w:tcPr>
            <w:tcW w:w="7138" w:type="dxa"/>
          </w:tcPr>
          <w:p w14:paraId="3B09D7D0">
            <w:pPr>
              <w:rPr>
                <w:rFonts w:hint="eastAsia" w:asciiTheme="minorEastAsia" w:hAnsiTheme="minorEastAsia"/>
                <w:szCs w:val="21"/>
              </w:rPr>
            </w:pPr>
            <w:r>
              <w:rPr>
                <w:rFonts w:hint="eastAsia" w:asciiTheme="minorEastAsia" w:hAnsiTheme="minorEastAsia"/>
                <w:szCs w:val="21"/>
              </w:rPr>
              <w:t>占总分值的</w:t>
            </w:r>
            <w:r>
              <w:rPr>
                <w:rFonts w:hint="eastAsia" w:asciiTheme="minorEastAsia" w:hAnsiTheme="minorEastAsia"/>
                <w:szCs w:val="21"/>
                <w:u w:val="single"/>
              </w:rPr>
              <w:t>30</w:t>
            </w:r>
            <w:r>
              <w:rPr>
                <w:rFonts w:hint="eastAsia" w:asciiTheme="minorEastAsia" w:hAnsiTheme="minorEastAsia"/>
                <w:szCs w:val="21"/>
              </w:rPr>
              <w:t>%</w:t>
            </w:r>
          </w:p>
          <w:p w14:paraId="59E81A4B">
            <w:pPr>
              <w:rPr>
                <w:rFonts w:hint="eastAsia" w:asciiTheme="minorEastAsia" w:hAnsiTheme="minorEastAsia"/>
                <w:szCs w:val="21"/>
              </w:rPr>
            </w:pPr>
            <w:r>
              <w:rPr>
                <w:rFonts w:hint="eastAsia" w:asciiTheme="minorEastAsia" w:hAnsiTheme="minorEastAsia"/>
                <w:szCs w:val="21"/>
              </w:rPr>
              <w:t>政府釆购法律法规未有明确限制。</w:t>
            </w:r>
          </w:p>
        </w:tc>
      </w:tr>
      <w:tr w14:paraId="4ED4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79" w:type="dxa"/>
            <w:vAlign w:val="center"/>
          </w:tcPr>
          <w:p w14:paraId="673E48E7">
            <w:pPr>
              <w:jc w:val="center"/>
              <w:rPr>
                <w:szCs w:val="21"/>
              </w:rPr>
            </w:pPr>
            <w:r>
              <w:rPr>
                <w:rFonts w:hint="eastAsia"/>
                <w:szCs w:val="21"/>
              </w:rPr>
              <w:t>11</w:t>
            </w:r>
          </w:p>
        </w:tc>
        <w:tc>
          <w:tcPr>
            <w:tcW w:w="1277" w:type="dxa"/>
            <w:vAlign w:val="center"/>
          </w:tcPr>
          <w:p w14:paraId="0A37BFC9">
            <w:pPr>
              <w:jc w:val="center"/>
              <w:rPr>
                <w:szCs w:val="21"/>
              </w:rPr>
            </w:pPr>
            <w:r>
              <w:rPr>
                <w:rFonts w:hint="eastAsia"/>
                <w:szCs w:val="21"/>
              </w:rPr>
              <w:t>合同类型</w:t>
            </w:r>
          </w:p>
        </w:tc>
        <w:tc>
          <w:tcPr>
            <w:tcW w:w="7138" w:type="dxa"/>
          </w:tcPr>
          <w:p w14:paraId="18F8C4C7">
            <w:pPr>
              <w:rPr>
                <w:rFonts w:eastAsia="宋体"/>
                <w:szCs w:val="21"/>
              </w:rPr>
            </w:pPr>
            <w:r>
              <w:rPr>
                <w:rFonts w:hint="eastAsia"/>
                <w:szCs w:val="21"/>
              </w:rPr>
              <w:sym w:font="Wingdings 2" w:char="0052"/>
            </w:r>
            <w:r>
              <w:rPr>
                <w:rFonts w:hint="eastAsia" w:eastAsia="宋体"/>
                <w:szCs w:val="21"/>
              </w:rPr>
              <w:t>固定总价</w:t>
            </w:r>
          </w:p>
          <w:p w14:paraId="3C00F210">
            <w:pPr>
              <w:rPr>
                <w:rFonts w:eastAsia="宋体"/>
                <w:szCs w:val="21"/>
              </w:rPr>
            </w:pPr>
            <w:r>
              <w:rPr>
                <w:rFonts w:hint="eastAsia" w:asciiTheme="minorEastAsia" w:hAnsiTheme="minorEastAsia"/>
                <w:szCs w:val="21"/>
                <w:lang w:eastAsia="zh-CN"/>
              </w:rPr>
              <w:t>□</w:t>
            </w:r>
            <w:r>
              <w:rPr>
                <w:rFonts w:hint="eastAsia" w:eastAsia="宋体"/>
                <w:szCs w:val="21"/>
              </w:rPr>
              <w:t>固定单价（适用于采购数量不定的情形）</w:t>
            </w:r>
          </w:p>
          <w:p w14:paraId="3E6CEE59">
            <w:pPr>
              <w:rPr>
                <w:rFonts w:eastAsia="宋体"/>
                <w:szCs w:val="21"/>
              </w:rPr>
            </w:pPr>
            <w:r>
              <w:rPr>
                <w:rFonts w:hint="eastAsia" w:asciiTheme="minorEastAsia" w:hAnsiTheme="minorEastAsia"/>
                <w:szCs w:val="21"/>
              </w:rPr>
              <w:t>□</w:t>
            </w:r>
            <w:r>
              <w:rPr>
                <w:rFonts w:hint="eastAsia" w:eastAsia="宋体"/>
                <w:szCs w:val="21"/>
              </w:rPr>
              <w:t>其他：</w:t>
            </w:r>
            <w:r>
              <w:rPr>
                <w:rFonts w:hint="eastAsia" w:eastAsia="宋体"/>
                <w:szCs w:val="21"/>
                <w:u w:val="single"/>
              </w:rPr>
              <w:t xml:space="preserve">                    </w:t>
            </w:r>
          </w:p>
        </w:tc>
      </w:tr>
      <w:tr w14:paraId="2CBC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79" w:type="dxa"/>
            <w:vAlign w:val="center"/>
          </w:tcPr>
          <w:p w14:paraId="2770A974">
            <w:pPr>
              <w:jc w:val="center"/>
              <w:rPr>
                <w:szCs w:val="21"/>
              </w:rPr>
            </w:pPr>
            <w:r>
              <w:rPr>
                <w:rFonts w:hint="eastAsia"/>
                <w:szCs w:val="21"/>
              </w:rPr>
              <w:t>12</w:t>
            </w:r>
          </w:p>
        </w:tc>
        <w:tc>
          <w:tcPr>
            <w:tcW w:w="1277" w:type="dxa"/>
            <w:vAlign w:val="center"/>
          </w:tcPr>
          <w:p w14:paraId="52EE37B3">
            <w:pPr>
              <w:jc w:val="center"/>
              <w:rPr>
                <w:szCs w:val="21"/>
              </w:rPr>
            </w:pPr>
            <w:r>
              <w:rPr>
                <w:rFonts w:hint="eastAsia"/>
                <w:szCs w:val="21"/>
              </w:rPr>
              <w:t>争议解决</w:t>
            </w:r>
          </w:p>
          <w:p w14:paraId="669A0D1F">
            <w:pPr>
              <w:jc w:val="center"/>
              <w:rPr>
                <w:szCs w:val="21"/>
              </w:rPr>
            </w:pPr>
            <w:r>
              <w:rPr>
                <w:rFonts w:hint="eastAsia"/>
                <w:szCs w:val="21"/>
              </w:rPr>
              <w:t>途径</w:t>
            </w:r>
          </w:p>
        </w:tc>
        <w:tc>
          <w:tcPr>
            <w:tcW w:w="7138" w:type="dxa"/>
          </w:tcPr>
          <w:p w14:paraId="157DB149">
            <w:pPr>
              <w:rPr>
                <w:rFonts w:eastAsia="宋体"/>
                <w:szCs w:val="21"/>
              </w:rPr>
            </w:pPr>
            <w:r>
              <w:rPr>
                <w:rFonts w:hint="eastAsia" w:asciiTheme="minorEastAsia" w:hAnsiTheme="minorEastAsia"/>
                <w:szCs w:val="21"/>
                <w:lang w:eastAsia="zh-CN"/>
              </w:rPr>
              <w:t>☑</w:t>
            </w:r>
            <w:r>
              <w:rPr>
                <w:rFonts w:hint="eastAsia" w:eastAsia="宋体"/>
                <w:szCs w:val="21"/>
              </w:rPr>
              <w:t>向有管辖权的人民法院提起诉讼</w:t>
            </w:r>
          </w:p>
          <w:p w14:paraId="7A29E35F">
            <w:pPr>
              <w:rPr>
                <w:rFonts w:eastAsia="宋体"/>
                <w:szCs w:val="21"/>
              </w:rPr>
            </w:pPr>
            <w:r>
              <w:rPr>
                <w:rFonts w:hint="eastAsia"/>
                <w:szCs w:val="21"/>
              </w:rPr>
              <w:sym w:font="Wingdings 2" w:char="00A3"/>
            </w:r>
            <w:r>
              <w:rPr>
                <w:rFonts w:hint="eastAsia" w:eastAsia="宋体"/>
                <w:szCs w:val="21"/>
              </w:rPr>
              <w:t>向西安仲裁委员会提请仲裁</w:t>
            </w:r>
          </w:p>
          <w:p w14:paraId="66532B71">
            <w:pPr>
              <w:rPr>
                <w:rFonts w:eastAsia="宋体"/>
                <w:szCs w:val="21"/>
              </w:rPr>
            </w:pPr>
            <w:r>
              <w:rPr>
                <w:rFonts w:hint="eastAsia" w:asciiTheme="minorEastAsia" w:hAnsiTheme="minorEastAsia"/>
                <w:szCs w:val="21"/>
              </w:rPr>
              <w:t>□</w:t>
            </w:r>
            <w:r>
              <w:rPr>
                <w:rFonts w:hint="eastAsia" w:eastAsia="宋体"/>
                <w:szCs w:val="21"/>
              </w:rPr>
              <w:t>由供应商作出选择</w:t>
            </w:r>
          </w:p>
        </w:tc>
      </w:tr>
      <w:tr w14:paraId="0139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14:paraId="08BAACEA">
            <w:pPr>
              <w:jc w:val="center"/>
              <w:rPr>
                <w:szCs w:val="21"/>
              </w:rPr>
            </w:pPr>
            <w:r>
              <w:rPr>
                <w:rFonts w:hint="eastAsia"/>
                <w:szCs w:val="21"/>
              </w:rPr>
              <w:t>13</w:t>
            </w:r>
          </w:p>
        </w:tc>
        <w:tc>
          <w:tcPr>
            <w:tcW w:w="1277" w:type="dxa"/>
            <w:vAlign w:val="center"/>
          </w:tcPr>
          <w:p w14:paraId="4AC4E8C3">
            <w:pPr>
              <w:jc w:val="center"/>
              <w:rPr>
                <w:szCs w:val="21"/>
              </w:rPr>
            </w:pPr>
            <w:r>
              <w:rPr>
                <w:rFonts w:hint="eastAsia"/>
                <w:szCs w:val="21"/>
              </w:rPr>
              <w:t>联系方式</w:t>
            </w:r>
          </w:p>
        </w:tc>
        <w:tc>
          <w:tcPr>
            <w:tcW w:w="7138" w:type="dxa"/>
          </w:tcPr>
          <w:p w14:paraId="47C5719B">
            <w:pPr>
              <w:rPr>
                <w:szCs w:val="21"/>
                <w:u w:val="single"/>
              </w:rPr>
            </w:pPr>
            <w:r>
              <w:rPr>
                <w:rFonts w:hint="eastAsia"/>
                <w:szCs w:val="21"/>
              </w:rPr>
              <w:t>项目对接人：</w:t>
            </w:r>
            <w:r>
              <w:rPr>
                <w:rFonts w:hint="eastAsia"/>
                <w:szCs w:val="21"/>
                <w:u w:val="single"/>
              </w:rPr>
              <w:t xml:space="preserve">  陈平      </w:t>
            </w:r>
          </w:p>
          <w:p w14:paraId="32F6617B">
            <w:pPr>
              <w:rPr>
                <w:szCs w:val="21"/>
                <w:u w:val="single"/>
              </w:rPr>
            </w:pPr>
            <w:r>
              <w:rPr>
                <w:rFonts w:hint="eastAsia"/>
                <w:szCs w:val="21"/>
              </w:rPr>
              <w:t>联系电话：</w:t>
            </w:r>
            <w:r>
              <w:rPr>
                <w:rFonts w:hint="eastAsia"/>
                <w:szCs w:val="21"/>
                <w:u w:val="single"/>
              </w:rPr>
              <w:t xml:space="preserve"> 13519137343 </w:t>
            </w:r>
          </w:p>
          <w:p w14:paraId="1274C805">
            <w:pPr>
              <w:rPr>
                <w:szCs w:val="21"/>
                <w:u w:val="single"/>
              </w:rPr>
            </w:pPr>
            <w:r>
              <w:rPr>
                <w:rFonts w:hint="eastAsia"/>
                <w:szCs w:val="21"/>
              </w:rPr>
              <w:t>电子邮箱：</w:t>
            </w:r>
            <w:r>
              <w:rPr>
                <w:szCs w:val="21"/>
                <w:u w:val="single"/>
              </w:rPr>
              <w:t>7837509@qq.com</w:t>
            </w:r>
          </w:p>
        </w:tc>
      </w:tr>
    </w:tbl>
    <w:p w14:paraId="518BAB22">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403F4"/>
    <w:rsid w:val="025F50D7"/>
    <w:rsid w:val="09A403F4"/>
    <w:rsid w:val="1BDC7B5B"/>
    <w:rsid w:val="37347E47"/>
    <w:rsid w:val="3D9745C0"/>
    <w:rsid w:val="42D4089F"/>
    <w:rsid w:val="44217C49"/>
    <w:rsid w:val="5C8C7BB2"/>
    <w:rsid w:val="5F936939"/>
    <w:rsid w:val="634863EF"/>
    <w:rsid w:val="66683F05"/>
    <w:rsid w:val="6BE94441"/>
    <w:rsid w:val="6C633ACD"/>
    <w:rsid w:val="70F72260"/>
    <w:rsid w:val="76DF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240" w:lineRule="auto"/>
      <w:jc w:val="center"/>
      <w:outlineLvl w:val="0"/>
    </w:pPr>
    <w:rPr>
      <w:rFonts w:ascii="Times New Roman" w:hAnsi="Times New Roman" w:eastAsia="宋体" w:cs="Times New Roman"/>
      <w:b/>
      <w:kern w:val="44"/>
      <w:sz w:val="36"/>
      <w:szCs w:val="22"/>
      <w:lang w:val="zh-CN" w:bidi="zh-CN"/>
    </w:rPr>
  </w:style>
  <w:style w:type="paragraph" w:styleId="5">
    <w:name w:val="heading 2"/>
    <w:basedOn w:val="1"/>
    <w:next w:val="1"/>
    <w:semiHidden/>
    <w:unhideWhenUsed/>
    <w:qFormat/>
    <w:uiPriority w:val="0"/>
    <w:pPr>
      <w:spacing w:line="360" w:lineRule="auto"/>
      <w:ind w:left="0" w:firstLine="0"/>
      <w:outlineLvl w:val="1"/>
    </w:pPr>
    <w:rPr>
      <w:rFonts w:ascii="宋体" w:hAnsi="宋体" w:eastAsia="宋体" w:cs="宋体"/>
      <w:b/>
      <w:bCs/>
      <w:sz w:val="32"/>
      <w:szCs w:val="24"/>
      <w:lang w:val="zh-CN" w:bidi="zh-CN"/>
    </w:rPr>
  </w:style>
  <w:style w:type="paragraph" w:styleId="6">
    <w:name w:val="heading 3"/>
    <w:basedOn w:val="1"/>
    <w:next w:val="1"/>
    <w:semiHidden/>
    <w:unhideWhenUsed/>
    <w:qFormat/>
    <w:uiPriority w:val="0"/>
    <w:pPr>
      <w:keepNext/>
      <w:keepLines/>
      <w:spacing w:beforeLines="0" w:beforeAutospacing="0" w:afterLines="0" w:afterAutospacing="0" w:line="360" w:lineRule="auto"/>
      <w:jc w:val="left"/>
      <w:outlineLvl w:val="2"/>
    </w:pPr>
    <w:rPr>
      <w:rFonts w:ascii="Times New Roman" w:hAnsi="Times New Roman" w:eastAsia="宋体" w:cs="Times New Roman"/>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spacing w:after="120" w:afterLines="0" w:afterAutospacing="0"/>
    </w:pPr>
  </w:style>
  <w:style w:type="paragraph" w:styleId="7">
    <w:name w:val="caption"/>
    <w:basedOn w:val="1"/>
    <w:next w:val="1"/>
    <w:unhideWhenUsed/>
    <w:qFormat/>
    <w:uiPriority w:val="0"/>
    <w:rPr>
      <w:rFonts w:ascii="Arial" w:hAnsi="Arial" w:eastAsia="黑体"/>
      <w:sz w:val="20"/>
    </w:rPr>
  </w:style>
  <w:style w:type="paragraph" w:styleId="8">
    <w:name w:val="toc 2"/>
    <w:basedOn w:val="1"/>
    <w:next w:val="1"/>
    <w:qFormat/>
    <w:uiPriority w:val="0"/>
    <w:pPr>
      <w:ind w:left="440" w:leftChars="200"/>
    </w:pPr>
    <w:rPr>
      <w:rFonts w:ascii="宋体" w:hAnsi="宋体" w:eastAsia="宋体" w:cs="宋体"/>
      <w:sz w:val="21"/>
      <w:szCs w:val="21"/>
      <w:lang w:val="zh-CN" w:bidi="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2025-07-26T03:34:00Z</dcterms:created>
  <dc:creator>13622</dc:creator>
  <cp:lastModifiedBy>13622</cp:lastModifiedBy>
  <dcterms:modified xsi:type="dcterms:W3CDTF">2025-07-26T03:34:34Z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D2A14DB625AD487AB6CD313FB50D6035_11</vt:lpwstr>
  </property>
  <property fmtid="{D5CDD505-2E9C-101B-9397-08002B2CF9AE}" pid="4" name="KSOTemplateDocerSaveRecord">
    <vt:lpwstr>eyJoZGlkIjoiMTVjNTJkZWEyZWIyMjEyNTVmMDA4NGYwNTI4OTg4ZGEiLCJ1c2VySWQiOiIzMDcyMjg3NjcifQ==</vt:lpwstr>
  </property>
</Properties>
</file>