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6402A">
      <w:pPr>
        <w:pStyle w:val="2"/>
        <w:spacing w:after="0"/>
        <w:jc w:val="center"/>
        <w:rPr>
          <w:rFonts w:hint="eastAsia" w:ascii="宋体" w:hAnsi="宋体" w:cs="宋体"/>
          <w:b/>
          <w:bCs/>
          <w:spacing w:val="-20"/>
          <w:kern w:val="44"/>
          <w:sz w:val="48"/>
          <w:szCs w:val="48"/>
        </w:rPr>
      </w:pPr>
    </w:p>
    <w:p w14:paraId="7AC4B095">
      <w:pPr>
        <w:pStyle w:val="2"/>
        <w:spacing w:after="0"/>
        <w:jc w:val="center"/>
        <w:rPr>
          <w:rFonts w:hint="eastAsia" w:ascii="宋体" w:hAnsi="宋体" w:cs="宋体"/>
          <w:b/>
          <w:bCs/>
          <w:spacing w:val="-20"/>
          <w:kern w:val="44"/>
          <w:sz w:val="48"/>
          <w:szCs w:val="48"/>
        </w:rPr>
      </w:pPr>
    </w:p>
    <w:p w14:paraId="1CCF101F">
      <w:pPr>
        <w:pStyle w:val="2"/>
        <w:spacing w:after="0"/>
        <w:jc w:val="center"/>
        <w:rPr>
          <w:rFonts w:hint="eastAsia" w:ascii="宋体" w:hAnsi="宋体" w:cs="宋体"/>
          <w:b/>
          <w:bCs/>
          <w:spacing w:val="-20"/>
          <w:kern w:val="44"/>
          <w:sz w:val="48"/>
          <w:szCs w:val="48"/>
        </w:rPr>
      </w:pPr>
    </w:p>
    <w:p w14:paraId="76358B1E">
      <w:pPr>
        <w:pStyle w:val="2"/>
        <w:spacing w:after="0"/>
        <w:jc w:val="center"/>
        <w:rPr>
          <w:rFonts w:hint="eastAsia" w:ascii="宋体" w:hAnsi="宋体" w:cs="宋体"/>
          <w:b/>
          <w:bCs/>
          <w:spacing w:val="-20"/>
          <w:kern w:val="44"/>
          <w:sz w:val="48"/>
          <w:szCs w:val="48"/>
        </w:rPr>
      </w:pPr>
    </w:p>
    <w:p w14:paraId="0EA40D1C">
      <w:pPr>
        <w:pStyle w:val="2"/>
        <w:spacing w:after="0"/>
        <w:jc w:val="center"/>
        <w:rPr>
          <w:rFonts w:hint="eastAsia" w:ascii="宋体" w:hAnsi="宋体" w:cs="宋体"/>
          <w:b/>
          <w:bCs/>
          <w:spacing w:val="-20"/>
          <w:kern w:val="44"/>
          <w:sz w:val="48"/>
          <w:szCs w:val="48"/>
        </w:rPr>
      </w:pPr>
    </w:p>
    <w:p w14:paraId="0660117B">
      <w:pPr>
        <w:pStyle w:val="2"/>
        <w:spacing w:after="0"/>
        <w:jc w:val="center"/>
        <w:rPr>
          <w:rFonts w:hint="eastAsia" w:ascii="宋体" w:hAnsi="宋体" w:cs="宋体"/>
          <w:b/>
          <w:bCs/>
          <w:spacing w:val="-20"/>
          <w:kern w:val="44"/>
          <w:sz w:val="48"/>
          <w:szCs w:val="48"/>
        </w:rPr>
      </w:pPr>
      <w:bookmarkStart w:id="4" w:name="_GoBack"/>
      <w:bookmarkEnd w:id="4"/>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787AE993">
      <w:pPr>
        <w:rPr>
          <w:rFonts w:ascii="宋体" w:hAnsi="宋体" w:cs="宋体"/>
          <w:b/>
          <w:bCs/>
          <w:spacing w:val="-20"/>
          <w:kern w:val="44"/>
          <w:sz w:val="40"/>
          <w:szCs w:val="40"/>
        </w:rPr>
      </w:pPr>
    </w:p>
    <w:p w14:paraId="0D92C8D2">
      <w:pPr>
        <w:rPr>
          <w:rFonts w:ascii="宋体" w:hAnsi="宋体" w:cs="宋体"/>
          <w:b/>
          <w:bCs/>
          <w:spacing w:val="-20"/>
          <w:kern w:val="44"/>
          <w:sz w:val="40"/>
          <w:szCs w:val="40"/>
        </w:rPr>
      </w:pPr>
    </w:p>
    <w:p w14:paraId="2A8AD2C7">
      <w:pPr>
        <w:rPr>
          <w:rFonts w:ascii="宋体" w:hAnsi="宋体" w:cs="宋体"/>
          <w:b/>
          <w:bCs/>
          <w:spacing w:val="-20"/>
          <w:kern w:val="44"/>
          <w:sz w:val="40"/>
          <w:szCs w:val="40"/>
        </w:rPr>
      </w:pPr>
    </w:p>
    <w:p w14:paraId="1F25B8ED">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6779771E">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29A6CD1B">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43EDABAF">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637BDB2C">
      <w:pPr>
        <w:spacing w:line="360" w:lineRule="auto"/>
        <w:ind w:left="420" w:leftChars="200"/>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2330968">
      <w:pPr>
        <w:rPr>
          <w:rFonts w:eastAsia="黑体"/>
          <w:sz w:val="44"/>
          <w:szCs w:val="44"/>
        </w:rPr>
      </w:pPr>
      <w:r>
        <w:rPr>
          <w:rFonts w:eastAsia="黑体"/>
          <w:sz w:val="44"/>
          <w:szCs w:val="44"/>
        </w:rPr>
        <w:br w:type="page"/>
      </w:r>
    </w:p>
    <w:p w14:paraId="7C6F6709">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493D5954">
      <w:pPr>
        <w:ind w:firstLine="640" w:firstLineChars="200"/>
        <w:rPr>
          <w:rFonts w:hint="eastAsia" w:ascii="仿宋_GB2312" w:hAnsi="仿宋_GB2312" w:eastAsia="仿宋_GB2312" w:cs="仿宋_GB2312"/>
          <w:sz w:val="32"/>
          <w:szCs w:val="32"/>
          <w:lang w:val="en-US" w:eastAsia="zh-CN"/>
        </w:rPr>
      </w:pPr>
    </w:p>
    <w:p w14:paraId="2BC83935">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353A1BF5">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39F4446A">
      <w:pPr>
        <w:ind w:firstLine="640" w:firstLineChars="200"/>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044D3327">
      <w:pPr>
        <w:pStyle w:val="3"/>
        <w:adjustRightInd w:val="0"/>
        <w:snapToGrid w:val="0"/>
        <w:spacing w:beforeLines="0" w:line="400" w:lineRule="exact"/>
        <w:jc w:val="center"/>
        <w:rPr>
          <w:rFonts w:hint="eastAsia" w:ascii="黑体" w:hAnsi="华文中宋" w:eastAsia="黑体"/>
          <w:b w:val="0"/>
          <w:bCs w:val="0"/>
          <w:sz w:val="28"/>
          <w:szCs w:val="28"/>
        </w:rPr>
      </w:pPr>
      <w:bookmarkStart w:id="0"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0"/>
    </w:p>
    <w:p w14:paraId="0A788719">
      <w:pPr>
        <w:pStyle w:val="3"/>
        <w:adjustRightInd w:val="0"/>
        <w:snapToGrid w:val="0"/>
        <w:spacing w:beforeLines="0" w:line="400" w:lineRule="exact"/>
        <w:jc w:val="center"/>
        <w:rPr>
          <w:rFonts w:hint="eastAsia" w:ascii="黑体" w:hAnsi="华文中宋" w:eastAsia="黑体"/>
          <w:b w:val="0"/>
          <w:bCs w:val="0"/>
          <w:sz w:val="28"/>
          <w:szCs w:val="28"/>
        </w:rPr>
      </w:pPr>
    </w:p>
    <w:p w14:paraId="7742470F">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2ED580FC">
      <w:pPr>
        <w:adjustRightInd w:val="0"/>
        <w:snapToGrid w:val="0"/>
        <w:spacing w:before="0" w:beforeLines="0" w:line="400" w:lineRule="exact"/>
        <w:rPr>
          <w:rFonts w:hint="default" w:eastAsia="宋体"/>
          <w:lang w:val="en-US" w:eastAsia="zh-CN"/>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33ED2699">
      <w:pPr>
        <w:pStyle w:val="4"/>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75C14CD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205DC18E">
      <w:pPr>
        <w:pStyle w:val="4"/>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0ACFCC39">
      <w:pPr>
        <w:pStyle w:val="4"/>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17EA94B3">
      <w:pPr>
        <w:pStyle w:val="4"/>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6A475B7D">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45FC21C8">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p>
    <w:p w14:paraId="78C89676">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0A27C834">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4770AA9E">
      <w:pPr>
        <w:pStyle w:val="10"/>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1843BD51">
      <w:pPr>
        <w:pStyle w:val="10"/>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2E181242">
      <w:pPr>
        <w:pStyle w:val="10"/>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27F89047">
      <w:pPr>
        <w:pStyle w:val="10"/>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41378AF2">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35A04C98">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5EC6A18">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DB11733">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3A0492C">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78E14EA">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AEEA367">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1D486861">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36933E60">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69D84AF0">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657BB1DE">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429187C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6E292D1B">
      <w:pPr>
        <w:pStyle w:val="10"/>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334072EB">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592B16D1">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092E3710">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730C1BC3">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6E9D7EE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2B7E9C2F">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5E3E0298">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60434CC">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11E35C59">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77862AAF">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34567D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D38D544">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75BE13EA">
      <w:pPr>
        <w:pStyle w:val="10"/>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DD0261E">
      <w:pPr>
        <w:pStyle w:val="10"/>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3A2FCF2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E2F1617">
      <w:pPr>
        <w:pStyle w:val="10"/>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257B2C0C">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1B56D60D">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6F33AA75">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AC068D3">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lang w:val="en-US" w:eastAsia="zh-CN"/>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C8DC812">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E38D8A0">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582F1885">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5F11AF4">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6BB1E2AF">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1B7EF25C">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08389132">
      <w:pPr>
        <w:pStyle w:val="11"/>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011355CA">
      <w:pPr>
        <w:adjustRightInd w:val="0"/>
        <w:snapToGrid w:val="0"/>
        <w:spacing w:before="0" w:beforeLines="0" w:line="400" w:lineRule="exact"/>
        <w:ind w:firstLine="630" w:firstLineChars="300"/>
        <w:rPr>
          <w:rFonts w:hint="eastAsia" w:ascii="宋体" w:hAnsi="宋体"/>
          <w:szCs w:val="21"/>
          <w:highlight w:val="none"/>
          <w:u w:val="single"/>
        </w:rPr>
      </w:pPr>
      <w:r>
        <w:rPr>
          <w:rFonts w:hint="eastAsia" w:ascii="宋体" w:hAnsi="宋体"/>
          <w:szCs w:val="21"/>
        </w:rPr>
        <w:sym w:font="Wingdings" w:char="00FE"/>
      </w:r>
      <w:r>
        <w:rPr>
          <w:rFonts w:hint="eastAsia" w:ascii="宋体" w:hAnsi="宋体"/>
          <w:szCs w:val="21"/>
        </w:rPr>
        <w:t>全额付</w:t>
      </w:r>
      <w:r>
        <w:rPr>
          <w:rFonts w:hint="eastAsia" w:ascii="宋体" w:hAnsi="宋体"/>
          <w:szCs w:val="21"/>
          <w:highlight w:val="none"/>
        </w:rPr>
        <w:t>款：</w:t>
      </w:r>
      <w:r>
        <w:rPr>
          <w:rFonts w:hint="eastAsia" w:ascii="宋体" w:hAnsi="宋体"/>
          <w:szCs w:val="21"/>
          <w:highlight w:val="none"/>
          <w:u w:val="single"/>
        </w:rPr>
        <w:t xml:space="preserve"> 自合同签订之日起10日内供应商向采购人提供产品清单、发票等相关资料，待甲方审核确认后，达到付款条件起 10 日内，支付配送本批次金额的100%。</w:t>
      </w:r>
    </w:p>
    <w:p w14:paraId="7B9FC2D7">
      <w:pPr>
        <w:adjustRightInd w:val="0"/>
        <w:snapToGrid w:val="0"/>
        <w:spacing w:before="0" w:beforeLines="0" w:line="400" w:lineRule="exact"/>
        <w:ind w:firstLine="630" w:firstLineChars="300"/>
        <w:rPr>
          <w:rFonts w:hint="eastAsia" w:ascii="宋体" w:hAnsi="宋体" w:eastAsia="宋体"/>
          <w:szCs w:val="21"/>
          <w:u w:val="single"/>
          <w:lang w:eastAsia="zh-CN"/>
        </w:rPr>
      </w:pPr>
      <w:r>
        <w:rPr>
          <w:rFonts w:hint="eastAsia" w:ascii="宋体" w:hAnsi="宋体"/>
          <w:szCs w:val="21"/>
          <w:highlight w:val="none"/>
          <w:u w:val="single"/>
          <w:lang w:val="en-US" w:eastAsia="zh-CN"/>
        </w:rPr>
        <w:t>本项目据实结算，</w:t>
      </w:r>
      <w:r>
        <w:rPr>
          <w:rFonts w:hint="eastAsia" w:ascii="宋体" w:hAnsi="宋体"/>
          <w:szCs w:val="21"/>
          <w:highlight w:val="none"/>
          <w:u w:val="single"/>
        </w:rPr>
        <w:t>最终结算金额不超过预算金额</w:t>
      </w:r>
      <w:r>
        <w:rPr>
          <w:rFonts w:hint="eastAsia" w:ascii="宋体" w:hAnsi="宋体"/>
          <w:szCs w:val="21"/>
          <w:highlight w:val="none"/>
          <w:u w:val="single"/>
          <w:lang w:eastAsia="zh-CN"/>
        </w:rPr>
        <w:t>。</w:t>
      </w:r>
    </w:p>
    <w:p w14:paraId="7F5753D2">
      <w:pPr>
        <w:snapToGrid w:val="0"/>
        <w:spacing w:beforeLines="0" w:line="400" w:lineRule="exact"/>
        <w:ind w:firstLine="630" w:firstLineChars="300"/>
        <w:rPr>
          <w:rFonts w:hint="eastAsia" w:ascii="宋体" w:hAnsi="宋体"/>
          <w:szCs w:val="21"/>
          <w:u w:val="single"/>
        </w:rPr>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2B8E94FB">
      <w:pPr>
        <w:pStyle w:val="12"/>
        <w:spacing w:line="360" w:lineRule="auto"/>
        <w:ind w:firstLine="359" w:firstLineChars="171"/>
        <w:rPr>
          <w:highlight w:val="none"/>
        </w:rPr>
      </w:pPr>
      <w:r>
        <w:rPr>
          <w:rFonts w:hint="eastAsia" w:ascii="宋体" w:hAnsi="宋体"/>
          <w:sz w:val="21"/>
          <w:szCs w:val="21"/>
          <w:highlight w:val="none"/>
        </w:rPr>
        <w:t>本合同履行期间，非因采购人故意拖延付款申请流程造成的逾期付款的，成交方对此予以谅解不得追究采购人的逾期付款责任。</w:t>
      </w:r>
    </w:p>
    <w:p w14:paraId="64A1F332">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7DACF930">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31BD60AF">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0B306F15">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0877D009">
      <w:pPr>
        <w:pStyle w:val="10"/>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23DFF487">
      <w:pPr>
        <w:pStyle w:val="10"/>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0D78DD7B">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530B1D64">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0BF3B5CB">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56E7B07A">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3E762D8">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7889607A">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2F8F70EB">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66D411DD">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0039C6F7">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1849CA7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560ED9A">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1B7B7800">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0C483552">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6BF91D90">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2870C3DF">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35BCB1B8">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6F01853B">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18DCBAFA">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6D027BC4">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63B23FE1">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2E9C8D94">
      <w:pPr>
        <w:pStyle w:val="10"/>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3076AF4">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66A5E11B">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7CED2517">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420A467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5AEFC8EF">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4461F5DD">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23D46611">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1CD20ED2">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03E61F0D">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2738FD6B">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0D1CEE4F">
      <w:pPr>
        <w:pStyle w:val="10"/>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5D03EA51">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75D5C58B">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74426B8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6E88DF9F">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2C2AEF3">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94065E6">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0251D00B">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02C2FB7C">
      <w:pPr>
        <w:pStyle w:val="11"/>
        <w:spacing w:beforeLines="0" w:line="400" w:lineRule="exact"/>
      </w:pPr>
    </w:p>
    <w:p w14:paraId="09C7339B">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689D8806">
      <w:pPr>
        <w:rPr>
          <w:rFonts w:hint="eastAsia"/>
        </w:rPr>
      </w:pPr>
      <w:r>
        <w:rPr>
          <w:rFonts w:hint="eastAsia"/>
        </w:rPr>
        <w:br w:type="page"/>
      </w:r>
    </w:p>
    <w:p w14:paraId="12DB3E3E">
      <w:pPr>
        <w:pStyle w:val="11"/>
        <w:rPr>
          <w:rFonts w:hint="eastAsia"/>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3322E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D0EED28">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343FC7B9">
            <w:pPr>
              <w:adjustRightInd w:val="0"/>
              <w:snapToGrid w:val="0"/>
              <w:spacing w:line="300" w:lineRule="exact"/>
              <w:jc w:val="center"/>
            </w:pPr>
            <w:r>
              <w:rPr>
                <w:szCs w:val="21"/>
              </w:rPr>
              <w:t>乙方</w:t>
            </w:r>
            <w:r>
              <w:rPr>
                <w:rFonts w:hint="eastAsia"/>
                <w:szCs w:val="21"/>
              </w:rPr>
              <w:t>（供应商）</w:t>
            </w:r>
          </w:p>
        </w:tc>
      </w:tr>
      <w:tr w14:paraId="1E48C7D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A30056B">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138F35D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B9961E">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6EF98BE7">
            <w:pPr>
              <w:adjustRightInd w:val="0"/>
              <w:snapToGrid w:val="0"/>
              <w:spacing w:line="300" w:lineRule="exact"/>
              <w:jc w:val="center"/>
              <w:rPr>
                <w:spacing w:val="20"/>
                <w:szCs w:val="21"/>
              </w:rPr>
            </w:pPr>
          </w:p>
        </w:tc>
      </w:tr>
      <w:tr w14:paraId="6140679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5C1E41F">
            <w:pPr>
              <w:adjustRightInd w:val="0"/>
              <w:snapToGrid w:val="0"/>
              <w:spacing w:line="300" w:lineRule="exact"/>
              <w:jc w:val="center"/>
              <w:rPr>
                <w:szCs w:val="21"/>
              </w:rPr>
            </w:pPr>
            <w:r>
              <w:rPr>
                <w:szCs w:val="21"/>
              </w:rPr>
              <w:t>法定代表人</w:t>
            </w:r>
          </w:p>
          <w:p w14:paraId="7AD37279">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460A5A59">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095BC6F8">
            <w:pPr>
              <w:adjustRightInd w:val="0"/>
              <w:snapToGrid w:val="0"/>
              <w:spacing w:line="300" w:lineRule="exact"/>
              <w:jc w:val="center"/>
              <w:rPr>
                <w:szCs w:val="21"/>
              </w:rPr>
            </w:pPr>
            <w:r>
              <w:rPr>
                <w:szCs w:val="21"/>
              </w:rPr>
              <w:t>法定代表人</w:t>
            </w:r>
          </w:p>
          <w:p w14:paraId="7E312E97">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74864B80">
            <w:pPr>
              <w:adjustRightInd w:val="0"/>
              <w:snapToGrid w:val="0"/>
              <w:spacing w:line="300" w:lineRule="exact"/>
              <w:jc w:val="center"/>
              <w:rPr>
                <w:szCs w:val="21"/>
              </w:rPr>
            </w:pPr>
          </w:p>
        </w:tc>
      </w:tr>
      <w:tr w14:paraId="736FC2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09AFF247">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182BE25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6F914AD">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6769317A">
            <w:pPr>
              <w:adjustRightInd w:val="0"/>
              <w:snapToGrid w:val="0"/>
              <w:spacing w:line="300" w:lineRule="exact"/>
              <w:jc w:val="center"/>
              <w:rPr>
                <w:spacing w:val="20"/>
                <w:szCs w:val="21"/>
              </w:rPr>
            </w:pPr>
          </w:p>
        </w:tc>
      </w:tr>
      <w:tr w14:paraId="36B92E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2980121">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06FCFAE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41CF40F">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57A6A015">
            <w:pPr>
              <w:adjustRightInd w:val="0"/>
              <w:snapToGrid w:val="0"/>
              <w:spacing w:line="300" w:lineRule="exact"/>
              <w:jc w:val="center"/>
              <w:rPr>
                <w:spacing w:val="20"/>
                <w:szCs w:val="21"/>
              </w:rPr>
            </w:pPr>
          </w:p>
        </w:tc>
      </w:tr>
      <w:tr w14:paraId="391B27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CBA617D">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50FA5F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E999DB4">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5EF07B86">
            <w:pPr>
              <w:adjustRightInd w:val="0"/>
              <w:snapToGrid w:val="0"/>
              <w:spacing w:line="300" w:lineRule="exact"/>
              <w:jc w:val="center"/>
              <w:rPr>
                <w:spacing w:val="20"/>
                <w:szCs w:val="21"/>
              </w:rPr>
            </w:pPr>
          </w:p>
        </w:tc>
      </w:tr>
      <w:tr w14:paraId="1653CC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26D52B7">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5C88B64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1EDB8AD">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51BED87A">
            <w:pPr>
              <w:adjustRightInd w:val="0"/>
              <w:snapToGrid w:val="0"/>
              <w:spacing w:line="300" w:lineRule="exact"/>
              <w:jc w:val="center"/>
              <w:rPr>
                <w:spacing w:val="20"/>
                <w:szCs w:val="21"/>
              </w:rPr>
            </w:pPr>
          </w:p>
        </w:tc>
      </w:tr>
      <w:tr w14:paraId="66FF7D6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F34F36D">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83C466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EA1BF7">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19145940">
            <w:pPr>
              <w:adjustRightInd w:val="0"/>
              <w:snapToGrid w:val="0"/>
              <w:spacing w:line="300" w:lineRule="exact"/>
              <w:jc w:val="center"/>
              <w:rPr>
                <w:spacing w:val="20"/>
                <w:szCs w:val="21"/>
              </w:rPr>
            </w:pPr>
          </w:p>
        </w:tc>
      </w:tr>
      <w:tr w14:paraId="64A2BB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80A0A3B">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BCC6BF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B6620CA">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CBD339C">
            <w:pPr>
              <w:adjustRightInd w:val="0"/>
              <w:snapToGrid w:val="0"/>
              <w:spacing w:line="300" w:lineRule="exact"/>
              <w:jc w:val="center"/>
              <w:rPr>
                <w:spacing w:val="20"/>
                <w:szCs w:val="21"/>
              </w:rPr>
            </w:pPr>
          </w:p>
        </w:tc>
      </w:tr>
      <w:tr w14:paraId="163840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93A919D">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693097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27B52A6">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7AF6089">
            <w:pPr>
              <w:adjustRightInd w:val="0"/>
              <w:snapToGrid w:val="0"/>
              <w:spacing w:line="300" w:lineRule="exact"/>
              <w:jc w:val="center"/>
              <w:rPr>
                <w:spacing w:val="20"/>
                <w:szCs w:val="21"/>
              </w:rPr>
            </w:pPr>
          </w:p>
        </w:tc>
      </w:tr>
      <w:tr w14:paraId="498AE0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21884F9">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4BE3F6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9AD2F5F">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794AEB77">
            <w:pPr>
              <w:adjustRightInd w:val="0"/>
              <w:snapToGrid w:val="0"/>
              <w:spacing w:line="300" w:lineRule="exact"/>
              <w:jc w:val="center"/>
              <w:rPr>
                <w:spacing w:val="20"/>
                <w:szCs w:val="21"/>
              </w:rPr>
            </w:pPr>
          </w:p>
        </w:tc>
      </w:tr>
      <w:tr w14:paraId="6256C9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90C6019">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3DDD59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1AD85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10C81B3F">
            <w:pPr>
              <w:adjustRightInd w:val="0"/>
              <w:snapToGrid w:val="0"/>
              <w:spacing w:line="300" w:lineRule="exact"/>
              <w:jc w:val="center"/>
              <w:rPr>
                <w:spacing w:val="20"/>
                <w:szCs w:val="21"/>
              </w:rPr>
            </w:pPr>
          </w:p>
        </w:tc>
      </w:tr>
      <w:tr w14:paraId="66EB00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3EE18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FC87C1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A1293B6">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494845DD">
            <w:pPr>
              <w:adjustRightInd w:val="0"/>
              <w:snapToGrid w:val="0"/>
              <w:spacing w:line="300" w:lineRule="exact"/>
              <w:jc w:val="center"/>
              <w:rPr>
                <w:spacing w:val="20"/>
                <w:szCs w:val="21"/>
              </w:rPr>
            </w:pPr>
          </w:p>
        </w:tc>
      </w:tr>
      <w:tr w14:paraId="74C5AC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D47A1D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DDD4B3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8BB72F7">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504920C5">
            <w:pPr>
              <w:adjustRightInd w:val="0"/>
              <w:snapToGrid w:val="0"/>
              <w:spacing w:line="300" w:lineRule="exact"/>
              <w:jc w:val="center"/>
              <w:rPr>
                <w:spacing w:val="20"/>
                <w:szCs w:val="21"/>
              </w:rPr>
            </w:pPr>
          </w:p>
        </w:tc>
      </w:tr>
      <w:tr w14:paraId="7718917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E3AB3EC">
            <w:pPr>
              <w:pStyle w:val="4"/>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1E1C5D8B">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1" w:name="_Toc27624"/>
      <w:r>
        <w:rPr>
          <w:rFonts w:hint="eastAsia" w:ascii="黑体" w:hAnsi="黑体" w:eastAsia="黑体"/>
          <w:b w:val="0"/>
          <w:bCs w:val="0"/>
          <w:sz w:val="28"/>
          <w:szCs w:val="28"/>
        </w:rPr>
        <w:t>第二节 政府采购合同通用条款</w:t>
      </w:r>
      <w:bookmarkEnd w:id="1"/>
    </w:p>
    <w:p w14:paraId="108A39F7">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113D64B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1340407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32DE787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29026E9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D34D1EB">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758AFF7D">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33616961">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377ACD6C">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46590BF">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0D65C6C7">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7375CF8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D8A94F8">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40B5D192">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3B24AB8">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6D6D0AA6">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093EC87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0C0895E9">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2FB7B6F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21C39DD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0BE7802C">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3E760549">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0165A7C">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17F7B7B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180664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66F0FFB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345FAA0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EB3B4A3">
      <w:pPr>
        <w:pStyle w:val="2"/>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74160D08">
      <w:pPr>
        <w:pStyle w:val="2"/>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C94A648">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7FB5C30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ADF7B0A">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2D2B3BFF">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3720880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5B46DC24">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47D194CB">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0C2C890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B3995E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DE9029A">
      <w:pPr>
        <w:pStyle w:val="10"/>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60EBD5B1">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1666939E">
      <w:pPr>
        <w:pStyle w:val="5"/>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2A6216F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561BC4D9">
      <w:pPr>
        <w:pStyle w:val="5"/>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E8B979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7209E41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42967F0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63FA5E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92FF7D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E7248E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70327A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497AE4BF">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31B5F8BF">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4953C17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44D4828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3BD12D1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D990305">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70E1B1A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szCs w:val="21"/>
          <w:highlight w:val="none"/>
        </w:rPr>
        <w:t>。</w:t>
      </w:r>
    </w:p>
    <w:p w14:paraId="162F4C1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1C264D20">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7F2FB39">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5D3381D0">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0E92AA7F">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3B787CD2">
      <w:pPr>
        <w:pStyle w:val="2"/>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38D18F8C">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24328FE5">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0885F1A4">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0FE3309B">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2724C5D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13E953D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52F70ED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79E90E1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259383B8">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2B8A8AD8">
      <w:pPr>
        <w:pStyle w:val="10"/>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188074F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3C7B982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6EEF00B8">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6F80F281">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3B5F0CD8">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64ADE340">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6BB3F51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9E3D9C9">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270F17A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51DD157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41054DE9">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2594A8B">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27C59BA0">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4B9F2A9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0FFC72FD">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58FEFCE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EA5127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606EE165">
      <w:pPr>
        <w:pStyle w:val="10"/>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3879DA1F">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0769B2F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412A350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41DF6009">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4B8317D5">
      <w:pPr>
        <w:pStyle w:val="1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6505FD7">
      <w:pPr>
        <w:pStyle w:val="10"/>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9D6EDD2">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68B2B49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4388C74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6E028E15">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2004875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4E873B1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2BCA54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38E5EB5E">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7FBE0D5E">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50390FF5">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4DBAE9E">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517D4FF9">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3A55C6D8">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D2CA8B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33362B2E">
      <w:pPr>
        <w:pStyle w:val="2"/>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26B191">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1D105F8">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769200D2">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26EA8DD4">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052AA739">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16B0BA9A">
      <w:pPr>
        <w:pStyle w:val="10"/>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28C4761">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724794A5">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20A36C44">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34080F5">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1F5D973C">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3" w:name="_Toc20313"/>
    </w:p>
    <w:p w14:paraId="7CBFC162">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30A9059B">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743614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925504">
            <w:pPr>
              <w:adjustRightInd w:val="0"/>
              <w:snapToGrid w:val="0"/>
              <w:jc w:val="center"/>
              <w:rPr>
                <w:rFonts w:ascii="宋体" w:hAnsi="宋体"/>
                <w:szCs w:val="21"/>
              </w:rPr>
            </w:pPr>
            <w:r>
              <w:rPr>
                <w:rFonts w:hint="eastAsia" w:ascii="宋体" w:hAnsi="宋体"/>
                <w:szCs w:val="21"/>
              </w:rPr>
              <w:t>第二节</w:t>
            </w:r>
          </w:p>
          <w:p w14:paraId="44E34720">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2B63069">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1A7289AB">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16E5B4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7B8AE993">
            <w:pPr>
              <w:adjustRightInd w:val="0"/>
              <w:snapToGrid w:val="0"/>
              <w:jc w:val="center"/>
              <w:rPr>
                <w:rFonts w:ascii="宋体" w:hAnsi="宋体"/>
                <w:szCs w:val="21"/>
              </w:rPr>
            </w:pPr>
            <w:r>
              <w:rPr>
                <w:rFonts w:hint="eastAsia" w:ascii="宋体" w:hAnsi="宋体"/>
                <w:szCs w:val="21"/>
              </w:rPr>
              <w:t>第二节</w:t>
            </w:r>
          </w:p>
          <w:p w14:paraId="5F5AD2B2">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3626DE10">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064FBD2B">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6BECC9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4EAA7C">
            <w:pPr>
              <w:adjustRightInd w:val="0"/>
              <w:snapToGrid w:val="0"/>
              <w:jc w:val="center"/>
              <w:rPr>
                <w:rFonts w:ascii="宋体" w:hAnsi="宋体"/>
                <w:szCs w:val="21"/>
              </w:rPr>
            </w:pPr>
            <w:r>
              <w:rPr>
                <w:rFonts w:hint="eastAsia" w:ascii="宋体" w:hAnsi="宋体"/>
                <w:szCs w:val="21"/>
              </w:rPr>
              <w:t>第二节</w:t>
            </w:r>
          </w:p>
          <w:p w14:paraId="1BF52D09">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03E3F01C">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3F1A3781">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验收后1日内</w:t>
            </w:r>
          </w:p>
        </w:tc>
      </w:tr>
      <w:tr w14:paraId="754CF0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92CF80">
            <w:pPr>
              <w:adjustRightInd w:val="0"/>
              <w:snapToGrid w:val="0"/>
              <w:jc w:val="center"/>
              <w:rPr>
                <w:rFonts w:ascii="宋体" w:hAnsi="宋体"/>
                <w:szCs w:val="21"/>
              </w:rPr>
            </w:pPr>
            <w:r>
              <w:rPr>
                <w:rFonts w:hint="eastAsia" w:ascii="宋体" w:hAnsi="宋体"/>
                <w:szCs w:val="21"/>
              </w:rPr>
              <w:t>第二节</w:t>
            </w:r>
          </w:p>
          <w:p w14:paraId="58DFFD1A">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4FF6A9CA">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60853730">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1DC2CC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125BC1">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E87E13E">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200F67DE">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35C5C6D2">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79D0B8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AD2337C">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2420D5F">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0D5E0077">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37EAD0F8">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5475F9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F973A7A">
            <w:pPr>
              <w:adjustRightInd w:val="0"/>
              <w:snapToGrid w:val="0"/>
              <w:jc w:val="center"/>
              <w:rPr>
                <w:rFonts w:ascii="宋体" w:hAnsi="宋体"/>
                <w:szCs w:val="21"/>
              </w:rPr>
            </w:pPr>
            <w:r>
              <w:rPr>
                <w:rFonts w:hint="eastAsia" w:ascii="宋体" w:hAnsi="宋体"/>
                <w:szCs w:val="21"/>
              </w:rPr>
              <w:t>第二节</w:t>
            </w:r>
          </w:p>
          <w:p w14:paraId="6A3D91EC">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69032236">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02A55676">
            <w:pPr>
              <w:rPr>
                <w:rFonts w:hint="eastAsia"/>
              </w:rPr>
            </w:pPr>
            <w:r>
              <w:rPr>
                <w:rFonts w:hint="eastAsia"/>
              </w:rPr>
              <w:t>必须提供具有注册商标的商品。食品独立包装，包装标签应符合《食品安全国家标准预包装食品标签通则》（GB7718-2011）要求，包括食品名称、配料表、净含量、规格、制造商（或）经销者的名称、地址生产日期和保质期、贮存条件、食品生产许可证编号、产品标准代号等内容。</w:t>
            </w:r>
          </w:p>
          <w:p w14:paraId="06122827">
            <w:pPr>
              <w:rPr>
                <w:rFonts w:hint="eastAsia"/>
              </w:rPr>
            </w:pPr>
            <w:r>
              <w:rPr>
                <w:rFonts w:hint="eastAsia"/>
              </w:rPr>
              <w:t>（1）全部货物（产品）均应按照国家、行业规定的标准和保护措施进行包装，该包装应适应于运输、防淋、防潮、防震、防锈和防野蛮装卸，以确保货物安全运抵指定地点。包装应适应于运输，并能防晒、防潮、防震、防倾斜和防野蛮装卸，以确保货品安全无损地运抵交货地点。</w:t>
            </w:r>
          </w:p>
          <w:p w14:paraId="34702D09">
            <w:pPr>
              <w:rPr>
                <w:rFonts w:hint="eastAsia"/>
              </w:rPr>
            </w:pPr>
            <w:r>
              <w:rPr>
                <w:rFonts w:hint="eastAsia"/>
              </w:rPr>
              <w:t>（2）当包装使用塑料、纸质、木材等包装材料时，除应当按照国家、行业规定的包装标准进行包装外，还需按照《商品包装政府采购需求标准（试行）》（财办库</w:t>
            </w:r>
            <w:r>
              <w:rPr>
                <w:rFonts w:hint="eastAsia"/>
                <w:lang w:eastAsia="zh-CN"/>
              </w:rPr>
              <w:t>〔2020〕</w:t>
            </w:r>
            <w:r>
              <w:rPr>
                <w:rFonts w:hint="eastAsia"/>
              </w:rPr>
              <w:t>）123号）规定的环保要求进行包装。</w:t>
            </w:r>
          </w:p>
          <w:p w14:paraId="0C250938">
            <w:r>
              <w:rPr>
                <w:rFonts w:hint="eastAsia"/>
              </w:rPr>
              <w:t>（3）当采用快递交货方式时，快递包装除应当按照国家、行业规定的包装标准进行包装外，还需按照《快递包装政府采购需求标准（试行）》（财办库</w:t>
            </w:r>
            <w:r>
              <w:rPr>
                <w:rFonts w:hint="eastAsia"/>
                <w:lang w:eastAsia="zh-CN"/>
              </w:rPr>
              <w:t>〔2020〕</w:t>
            </w:r>
            <w:r>
              <w:rPr>
                <w:rFonts w:hint="eastAsia"/>
              </w:rPr>
              <w:t>）123号）规定的环保要求进行包装。</w:t>
            </w:r>
          </w:p>
        </w:tc>
      </w:tr>
      <w:tr w14:paraId="0A648E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761BFEAB">
            <w:pPr>
              <w:adjustRightInd w:val="0"/>
              <w:snapToGrid w:val="0"/>
              <w:jc w:val="center"/>
              <w:rPr>
                <w:rFonts w:hint="eastAsia" w:ascii="宋体" w:hAnsi="宋体"/>
                <w:szCs w:val="21"/>
              </w:rPr>
            </w:pPr>
          </w:p>
        </w:tc>
        <w:tc>
          <w:tcPr>
            <w:tcW w:w="1742" w:type="dxa"/>
            <w:vAlign w:val="center"/>
          </w:tcPr>
          <w:p w14:paraId="4324890D">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34D55E6A">
            <w:pPr>
              <w:rPr>
                <w:rFonts w:hint="default" w:eastAsia="宋体"/>
                <w:lang w:val="en-US" w:eastAsia="zh-CN"/>
              </w:rPr>
            </w:pPr>
            <w:r>
              <w:rPr>
                <w:rFonts w:hint="default" w:eastAsia="宋体"/>
                <w:lang w:val="en-US" w:eastAsia="zh-CN"/>
              </w:rPr>
              <w:t>现场交付为采购人指定地点，同时供应商应派专人协助采购人将慰问品点对点送至各军休干部指定地点。若有邮寄需要，供应商须提供邮寄服务且须当面签收，邮寄费用包含在磋商总报价中，邮寄优先采用京东、顺丰快递。</w:t>
            </w:r>
          </w:p>
        </w:tc>
      </w:tr>
      <w:tr w14:paraId="6E5856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trPr>
        <w:tc>
          <w:tcPr>
            <w:tcW w:w="1607" w:type="dxa"/>
            <w:vAlign w:val="center"/>
          </w:tcPr>
          <w:p w14:paraId="251E84CD">
            <w:pPr>
              <w:adjustRightInd w:val="0"/>
              <w:snapToGrid w:val="0"/>
              <w:jc w:val="center"/>
              <w:rPr>
                <w:rFonts w:ascii="宋体" w:hAnsi="宋体"/>
                <w:szCs w:val="21"/>
              </w:rPr>
            </w:pPr>
            <w:r>
              <w:rPr>
                <w:rFonts w:hint="eastAsia" w:ascii="宋体" w:hAnsi="宋体"/>
                <w:szCs w:val="21"/>
              </w:rPr>
              <w:t>第二节</w:t>
            </w:r>
          </w:p>
          <w:p w14:paraId="42493578">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1608C97D">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3870F1F5">
            <w:pPr>
              <w:rPr>
                <w:rFonts w:hint="eastAsia"/>
              </w:rPr>
            </w:pPr>
            <w:r>
              <w:rPr>
                <w:rFonts w:hint="eastAsia"/>
              </w:rPr>
              <w:t>产品运输必须采用符合卫生标准的外包装和运载工具。运输工具应清洁卫生无污染。选择风险小、运费低和运距短的运输路线。运杂费包含在总价内，采购人不再额外支付，包括从制造商到交付的包装、装载、运输、卸载至采购人指定地点等费用。</w:t>
            </w:r>
          </w:p>
        </w:tc>
      </w:tr>
      <w:tr w14:paraId="2027BF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0840168">
            <w:pPr>
              <w:adjustRightInd w:val="0"/>
              <w:snapToGrid w:val="0"/>
              <w:jc w:val="center"/>
              <w:rPr>
                <w:rFonts w:ascii="宋体" w:hAnsi="宋体"/>
                <w:szCs w:val="21"/>
              </w:rPr>
            </w:pPr>
            <w:r>
              <w:rPr>
                <w:rFonts w:hint="eastAsia" w:ascii="宋体" w:hAnsi="宋体"/>
                <w:szCs w:val="21"/>
              </w:rPr>
              <w:t>第二节</w:t>
            </w:r>
          </w:p>
          <w:p w14:paraId="4C1D12F5">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773BC952">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6DC1AE14">
            <w:pPr>
              <w:rPr>
                <w:rFonts w:hint="eastAsia" w:eastAsia="宋体"/>
                <w:lang w:val="en-US" w:eastAsia="zh-CN"/>
              </w:rPr>
            </w:pPr>
            <w:r>
              <w:rPr>
                <w:rFonts w:hint="eastAsia" w:eastAsia="宋体"/>
                <w:lang w:val="en-US" w:eastAsia="zh-CN"/>
              </w:rPr>
              <w:t>有关运输和保险的一切费用由乙方承担</w:t>
            </w:r>
          </w:p>
        </w:tc>
      </w:tr>
      <w:tr w14:paraId="05799C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E94656F">
            <w:pPr>
              <w:adjustRightInd w:val="0"/>
              <w:snapToGrid w:val="0"/>
              <w:jc w:val="center"/>
              <w:rPr>
                <w:rFonts w:ascii="宋体" w:hAnsi="宋体"/>
                <w:szCs w:val="21"/>
              </w:rPr>
            </w:pPr>
            <w:r>
              <w:rPr>
                <w:rFonts w:hint="eastAsia" w:ascii="宋体" w:hAnsi="宋体"/>
                <w:szCs w:val="21"/>
              </w:rPr>
              <w:t>第二节</w:t>
            </w:r>
          </w:p>
          <w:p w14:paraId="6516941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1DA87AC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6414AD8">
            <w:pPr>
              <w:autoSpaceDE w:val="0"/>
              <w:autoSpaceDN w:val="0"/>
              <w:adjustRightInd w:val="0"/>
              <w:snapToGrid w:val="0"/>
              <w:jc w:val="left"/>
              <w:rPr>
                <w:rFonts w:hint="eastAsia" w:ascii="宋体" w:hAnsi="宋体" w:eastAsia="宋体"/>
                <w:szCs w:val="21"/>
                <w:lang w:eastAsia="zh-CN"/>
              </w:rPr>
            </w:pPr>
            <w:r>
              <w:rPr>
                <w:rFonts w:hint="eastAsia" w:ascii="宋体" w:hAnsi="宋体"/>
                <w:szCs w:val="21"/>
              </w:rPr>
              <w:t>供货时剩余质保期≥2/3质保期</w:t>
            </w:r>
            <w:r>
              <w:rPr>
                <w:rFonts w:hint="eastAsia" w:ascii="宋体" w:hAnsi="宋体"/>
                <w:szCs w:val="21"/>
                <w:lang w:eastAsia="zh-CN"/>
              </w:rPr>
              <w:t>，严格按照《中华人民共和国产品质量法》和《中华人民共和国食品安全法》等相关法律法规规定的最新质量标准，严禁添加剂、防腐剂和一些可能危害身体健康的元素含量超标。确保提供的产品符合质量标准，达到合格产品的要求。由于产品质量引起的一切责任由供货商承担，采购人有权终止合同。</w:t>
            </w:r>
          </w:p>
        </w:tc>
      </w:tr>
      <w:tr w14:paraId="2F2E62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E3E69E5">
            <w:pPr>
              <w:adjustRightInd w:val="0"/>
              <w:snapToGrid w:val="0"/>
              <w:jc w:val="center"/>
              <w:rPr>
                <w:rFonts w:ascii="宋体" w:hAnsi="宋体"/>
                <w:szCs w:val="21"/>
              </w:rPr>
            </w:pPr>
            <w:r>
              <w:rPr>
                <w:rFonts w:hint="eastAsia" w:ascii="宋体" w:hAnsi="宋体"/>
                <w:szCs w:val="21"/>
              </w:rPr>
              <w:t>第二节</w:t>
            </w:r>
          </w:p>
          <w:p w14:paraId="2F4CCFE9">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12B2D193">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295F56EA">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286B7BE5">
            <w:pPr>
              <w:adjustRightInd w:val="0"/>
              <w:snapToGrid w:val="0"/>
              <w:jc w:val="left"/>
              <w:rPr>
                <w:rFonts w:hint="eastAsia" w:ascii="宋体" w:hAnsi="宋体" w:eastAsia="宋体"/>
                <w:szCs w:val="21"/>
                <w:lang w:val="en-US" w:eastAsia="zh-CN"/>
              </w:rPr>
            </w:pPr>
            <w:r>
              <w:rPr>
                <w:rFonts w:hint="eastAsia" w:ascii="宋体" w:hAnsi="宋体" w:eastAsia="宋体"/>
                <w:szCs w:val="21"/>
                <w:lang w:val="en-US" w:eastAsia="zh-CN"/>
              </w:rPr>
              <w:t>发现质量缺陷24小时内做出响应并提供解决方案</w:t>
            </w:r>
          </w:p>
        </w:tc>
      </w:tr>
      <w:tr w14:paraId="6E1ECB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7BB7CF">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3D508DA6">
            <w:pPr>
              <w:pStyle w:val="10"/>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6CB6C5F8">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6129DB8">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19C5AB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DEECE18">
            <w:pPr>
              <w:adjustRightInd w:val="0"/>
              <w:snapToGrid w:val="0"/>
              <w:jc w:val="center"/>
              <w:rPr>
                <w:rFonts w:ascii="宋体" w:hAnsi="宋体"/>
                <w:szCs w:val="21"/>
              </w:rPr>
            </w:pPr>
            <w:r>
              <w:rPr>
                <w:rFonts w:hint="eastAsia" w:ascii="宋体" w:hAnsi="宋体"/>
                <w:szCs w:val="21"/>
              </w:rPr>
              <w:t>第二节</w:t>
            </w:r>
          </w:p>
          <w:p w14:paraId="6D86BA19">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3102519A">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2AC5B129">
            <w:pPr>
              <w:adjustRightInd w:val="0"/>
              <w:snapToGrid w:val="0"/>
              <w:jc w:val="left"/>
              <w:rPr>
                <w:rFonts w:hint="eastAsia" w:ascii="宋体" w:hAnsi="宋体" w:eastAsia="宋体"/>
                <w:szCs w:val="21"/>
                <w:lang w:eastAsia="zh-CN"/>
              </w:rPr>
            </w:pPr>
            <w:r>
              <w:rPr>
                <w:rFonts w:hint="eastAsia" w:ascii="宋体" w:hAnsi="宋体"/>
                <w:szCs w:val="21"/>
                <w:highlight w:val="none"/>
                <w:lang w:eastAsia="zh-CN"/>
              </w:rPr>
              <w:t>自合同签订之日起10日内供应商向采购人提供产品清单、发票等相关资料，待甲方审核确认后，达到付款条件起 10 日内，支付配送本批次金额的100%。（本合同履行期间，非因采购人故意拖延付款申请流程造成的逾期付款的，成交方对此予以谅解不得追究采购人的逾期付款责任）</w:t>
            </w:r>
          </w:p>
        </w:tc>
      </w:tr>
      <w:tr w14:paraId="5C0C49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8FF12C3">
            <w:pPr>
              <w:adjustRightInd w:val="0"/>
              <w:snapToGrid w:val="0"/>
              <w:jc w:val="center"/>
              <w:rPr>
                <w:rFonts w:hint="eastAsia" w:ascii="宋体" w:hAnsi="宋体"/>
                <w:szCs w:val="21"/>
              </w:rPr>
            </w:pPr>
            <w:r>
              <w:rPr>
                <w:rFonts w:hint="eastAsia" w:ascii="宋体" w:hAnsi="宋体"/>
                <w:szCs w:val="21"/>
              </w:rPr>
              <w:t>第二节</w:t>
            </w:r>
          </w:p>
          <w:p w14:paraId="1BCA385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0F55980C">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76AAB5D0">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65AB4A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E221AC">
            <w:pPr>
              <w:adjustRightInd w:val="0"/>
              <w:snapToGrid w:val="0"/>
              <w:jc w:val="center"/>
              <w:rPr>
                <w:rFonts w:hint="eastAsia" w:ascii="宋体" w:hAnsi="宋体"/>
                <w:szCs w:val="21"/>
              </w:rPr>
            </w:pPr>
            <w:r>
              <w:rPr>
                <w:rFonts w:hint="eastAsia" w:ascii="宋体" w:hAnsi="宋体"/>
                <w:szCs w:val="21"/>
              </w:rPr>
              <w:t>第二节</w:t>
            </w:r>
          </w:p>
          <w:p w14:paraId="299430D7">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2EC25AFF">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05C68243">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47169E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2BEA076">
            <w:pPr>
              <w:adjustRightInd w:val="0"/>
              <w:snapToGrid w:val="0"/>
              <w:jc w:val="center"/>
              <w:rPr>
                <w:rFonts w:ascii="宋体" w:hAnsi="宋体"/>
                <w:szCs w:val="21"/>
              </w:rPr>
            </w:pPr>
            <w:r>
              <w:rPr>
                <w:rFonts w:hint="eastAsia" w:ascii="宋体" w:hAnsi="宋体"/>
                <w:szCs w:val="21"/>
              </w:rPr>
              <w:t>第二节</w:t>
            </w:r>
          </w:p>
          <w:p w14:paraId="0E5A1E62">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1D3EC99">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5A4FF2E8">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7E2284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6E6C28A">
            <w:pPr>
              <w:adjustRightInd w:val="0"/>
              <w:snapToGrid w:val="0"/>
              <w:jc w:val="center"/>
              <w:rPr>
                <w:rFonts w:ascii="宋体" w:hAnsi="宋体"/>
                <w:szCs w:val="21"/>
              </w:rPr>
            </w:pPr>
            <w:r>
              <w:rPr>
                <w:rFonts w:hint="eastAsia" w:ascii="宋体" w:hAnsi="宋体"/>
                <w:szCs w:val="21"/>
              </w:rPr>
              <w:t>第二节</w:t>
            </w:r>
          </w:p>
          <w:p w14:paraId="5B158ABF">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3F2FAD01">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1FE932FD">
            <w:pPr>
              <w:adjustRightInd w:val="0"/>
              <w:snapToGrid w:val="0"/>
              <w:jc w:val="left"/>
              <w:rPr>
                <w:rFonts w:hint="eastAsia" w:ascii="宋体" w:hAnsi="宋体" w:eastAsia="宋体"/>
                <w:szCs w:val="21"/>
                <w:lang w:val="en-US" w:eastAsia="zh-CN"/>
              </w:rPr>
            </w:pPr>
            <w:r>
              <w:rPr>
                <w:rFonts w:hint="eastAsia" w:ascii="宋体" w:hAnsi="宋体" w:eastAsia="宋体"/>
                <w:szCs w:val="21"/>
                <w:lang w:val="en-US" w:eastAsia="zh-CN"/>
              </w:rPr>
              <w:t>发现质量缺陷对应货物回收并重新发货</w:t>
            </w:r>
          </w:p>
        </w:tc>
      </w:tr>
      <w:tr w14:paraId="77E1C2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EED35F9">
            <w:pPr>
              <w:adjustRightInd w:val="0"/>
              <w:snapToGrid w:val="0"/>
              <w:jc w:val="center"/>
              <w:rPr>
                <w:rFonts w:ascii="宋体" w:hAnsi="宋体"/>
                <w:szCs w:val="21"/>
              </w:rPr>
            </w:pPr>
            <w:r>
              <w:rPr>
                <w:rFonts w:hint="eastAsia" w:ascii="宋体" w:hAnsi="宋体"/>
                <w:szCs w:val="21"/>
              </w:rPr>
              <w:t>第二节</w:t>
            </w:r>
          </w:p>
          <w:p w14:paraId="5ED86C02">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5779976C">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664C2C85">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01CB07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353DB5">
            <w:pPr>
              <w:adjustRightInd w:val="0"/>
              <w:snapToGrid w:val="0"/>
              <w:jc w:val="center"/>
              <w:rPr>
                <w:rFonts w:ascii="宋体" w:hAnsi="宋体"/>
                <w:szCs w:val="21"/>
              </w:rPr>
            </w:pPr>
            <w:r>
              <w:rPr>
                <w:rFonts w:hint="eastAsia" w:ascii="宋体" w:hAnsi="宋体"/>
                <w:szCs w:val="21"/>
              </w:rPr>
              <w:t>第二节</w:t>
            </w:r>
          </w:p>
          <w:p w14:paraId="5D8FCB43">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6016D5A4">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1171A85E">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3A73E7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AB81A5">
            <w:pPr>
              <w:adjustRightInd w:val="0"/>
              <w:snapToGrid w:val="0"/>
              <w:jc w:val="center"/>
              <w:rPr>
                <w:rFonts w:ascii="宋体" w:hAnsi="宋体"/>
                <w:szCs w:val="21"/>
              </w:rPr>
            </w:pPr>
            <w:r>
              <w:rPr>
                <w:rFonts w:hint="eastAsia" w:ascii="宋体" w:hAnsi="宋体"/>
                <w:szCs w:val="21"/>
              </w:rPr>
              <w:t>第二节</w:t>
            </w:r>
          </w:p>
          <w:p w14:paraId="5899FB58">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4DDB978B">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30634259">
            <w:pPr>
              <w:adjustRightInd w:val="0"/>
              <w:snapToGrid w:val="0"/>
              <w:jc w:val="left"/>
              <w:rPr>
                <w:rFonts w:hint="eastAsia" w:ascii="宋体" w:hAnsi="宋体" w:eastAsia="宋体"/>
                <w:szCs w:val="21"/>
                <w:u w:val="none"/>
                <w:lang w:val="en-US" w:eastAsia="zh-CN"/>
              </w:rPr>
            </w:pPr>
            <w:r>
              <w:rPr>
                <w:rFonts w:hint="eastAsia" w:ascii="宋体" w:hAnsi="宋体" w:eastAsia="宋体"/>
                <w:szCs w:val="21"/>
                <w:u w:val="none"/>
                <w:lang w:val="en-US" w:eastAsia="zh-CN"/>
              </w:rPr>
              <w:t>如乙方不能交付货物，乙方应向甲方支付合同总价5％的违约金；</w:t>
            </w:r>
          </w:p>
        </w:tc>
      </w:tr>
      <w:tr w14:paraId="097F05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410354">
            <w:pPr>
              <w:adjustRightInd w:val="0"/>
              <w:snapToGrid w:val="0"/>
              <w:jc w:val="center"/>
              <w:rPr>
                <w:rFonts w:ascii="宋体" w:hAnsi="宋体"/>
                <w:szCs w:val="21"/>
              </w:rPr>
            </w:pPr>
            <w:r>
              <w:rPr>
                <w:rFonts w:hint="eastAsia" w:ascii="宋体" w:hAnsi="宋体"/>
                <w:szCs w:val="21"/>
              </w:rPr>
              <w:t>第二节</w:t>
            </w:r>
          </w:p>
          <w:p w14:paraId="327A4CD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266A7D19">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32E32D7">
            <w:pPr>
              <w:adjustRightInd w:val="0"/>
              <w:snapToGrid w:val="0"/>
              <w:jc w:val="left"/>
              <w:rPr>
                <w:rFonts w:hint="eastAsia" w:ascii="宋体" w:hAnsi="宋体" w:eastAsia="宋体"/>
                <w:szCs w:val="21"/>
                <w:u w:val="none"/>
                <w:lang w:val="en-US" w:eastAsia="zh-CN"/>
              </w:rPr>
            </w:pPr>
            <w:r>
              <w:rPr>
                <w:rFonts w:hint="eastAsia" w:ascii="宋体" w:hAnsi="宋体" w:eastAsia="宋体"/>
                <w:szCs w:val="21"/>
                <w:u w:val="none"/>
                <w:lang w:val="en-US" w:eastAsia="zh-CN"/>
              </w:rPr>
              <w:t>乙方逾期交付货物的，每逾期1天，乙方向甲方偿付逾期交货部分货款总额的3‰的违约金。如乙方逾期交货达10天，甲方有权解除合同，解除合同的通知自到达乙方时生效；</w:t>
            </w:r>
          </w:p>
        </w:tc>
      </w:tr>
      <w:tr w14:paraId="62DC06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60" w:hRule="atLeast"/>
        </w:trPr>
        <w:tc>
          <w:tcPr>
            <w:tcW w:w="1607" w:type="dxa"/>
            <w:tcBorders>
              <w:bottom w:val="single" w:color="auto" w:sz="2" w:space="0"/>
              <w:right w:val="single" w:color="auto" w:sz="2" w:space="0"/>
            </w:tcBorders>
            <w:vAlign w:val="center"/>
          </w:tcPr>
          <w:p w14:paraId="3D8C5C0D">
            <w:pPr>
              <w:adjustRightInd w:val="0"/>
              <w:snapToGrid w:val="0"/>
              <w:jc w:val="center"/>
              <w:rPr>
                <w:rFonts w:ascii="宋体" w:hAnsi="宋体"/>
                <w:szCs w:val="21"/>
              </w:rPr>
            </w:pPr>
            <w:r>
              <w:rPr>
                <w:rFonts w:hint="eastAsia" w:ascii="宋体" w:hAnsi="宋体"/>
                <w:szCs w:val="21"/>
              </w:rPr>
              <w:t>第二节</w:t>
            </w:r>
          </w:p>
          <w:p w14:paraId="02F2579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4002F97C">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0FE32866">
            <w:pPr>
              <w:adjustRightInd w:val="0"/>
              <w:snapToGrid w:val="0"/>
              <w:jc w:val="left"/>
              <w:rPr>
                <w:rFonts w:hint="eastAsia" w:ascii="宋体" w:hAnsi="宋体"/>
                <w:szCs w:val="21"/>
                <w:u w:val="none"/>
                <w:lang w:eastAsia="zh-CN"/>
              </w:rPr>
            </w:pPr>
            <w:r>
              <w:rPr>
                <w:rFonts w:hint="eastAsia" w:ascii="宋体" w:hAnsi="宋体"/>
                <w:szCs w:val="21"/>
                <w:u w:val="none"/>
                <w:lang w:eastAsia="zh-CN"/>
              </w:rPr>
              <w:t>1.甲方违约责任</w:t>
            </w:r>
          </w:p>
          <w:p w14:paraId="74D0EB7F">
            <w:pPr>
              <w:adjustRightInd w:val="0"/>
              <w:snapToGrid w:val="0"/>
              <w:jc w:val="left"/>
              <w:rPr>
                <w:rFonts w:hint="eastAsia" w:ascii="宋体" w:hAnsi="宋体"/>
                <w:szCs w:val="21"/>
                <w:u w:val="none"/>
                <w:lang w:eastAsia="zh-CN"/>
              </w:rPr>
            </w:pPr>
            <w:r>
              <w:rPr>
                <w:rFonts w:hint="eastAsia" w:ascii="宋体" w:hAnsi="宋体"/>
                <w:szCs w:val="21"/>
                <w:u w:val="none"/>
                <w:lang w:eastAsia="zh-CN"/>
              </w:rPr>
              <w:t>（1）甲方无正当理由拒收货物的，甲方应偿付合同总价</w:t>
            </w:r>
            <w:r>
              <w:rPr>
                <w:rFonts w:hint="eastAsia" w:ascii="宋体" w:hAnsi="宋体"/>
                <w:szCs w:val="21"/>
                <w:u w:val="single"/>
                <w:lang w:eastAsia="zh-CN"/>
              </w:rPr>
              <w:t xml:space="preserve">  </w:t>
            </w:r>
            <w:r>
              <w:rPr>
                <w:rFonts w:hint="eastAsia" w:ascii="宋体" w:hAnsi="宋体"/>
                <w:szCs w:val="21"/>
                <w:u w:val="none"/>
                <w:lang w:eastAsia="zh-CN"/>
              </w:rPr>
              <w:t>%的违约金；</w:t>
            </w:r>
          </w:p>
          <w:p w14:paraId="10244CAE">
            <w:pPr>
              <w:adjustRightInd w:val="0"/>
              <w:snapToGrid w:val="0"/>
              <w:jc w:val="left"/>
              <w:rPr>
                <w:rFonts w:hint="eastAsia" w:ascii="宋体" w:hAnsi="宋体"/>
                <w:szCs w:val="21"/>
                <w:u w:val="none"/>
                <w:lang w:eastAsia="zh-CN"/>
              </w:rPr>
            </w:pPr>
            <w:r>
              <w:rPr>
                <w:rFonts w:hint="eastAsia" w:ascii="宋体" w:hAnsi="宋体"/>
                <w:szCs w:val="21"/>
                <w:u w:val="none"/>
                <w:lang w:eastAsia="zh-CN"/>
              </w:rPr>
              <w:t>（2）甲方逾期支付货款的，除应及时付足货款外，应向乙方每天支付欠款总额</w:t>
            </w:r>
            <w:r>
              <w:rPr>
                <w:rFonts w:hint="eastAsia" w:ascii="宋体" w:hAnsi="宋体"/>
                <w:szCs w:val="21"/>
                <w:u w:val="single"/>
                <w:lang w:eastAsia="zh-CN"/>
              </w:rPr>
              <w:t xml:space="preserve">   </w:t>
            </w:r>
            <w:r>
              <w:rPr>
                <w:rFonts w:hint="eastAsia" w:ascii="宋体" w:hAnsi="宋体"/>
                <w:szCs w:val="21"/>
                <w:u w:val="none"/>
                <w:lang w:eastAsia="zh-CN"/>
              </w:rPr>
              <w:t>‰的滞纳金；但累计滞纳金总额不超过欠款总额的</w:t>
            </w:r>
            <w:r>
              <w:rPr>
                <w:rFonts w:hint="eastAsia" w:ascii="宋体" w:hAnsi="宋体"/>
                <w:szCs w:val="21"/>
                <w:u w:val="single"/>
                <w:lang w:eastAsia="zh-CN"/>
              </w:rPr>
              <w:t xml:space="preserve">  </w:t>
            </w:r>
            <w:r>
              <w:rPr>
                <w:rFonts w:hint="eastAsia" w:ascii="宋体" w:hAnsi="宋体"/>
                <w:szCs w:val="21"/>
                <w:u w:val="none"/>
                <w:lang w:eastAsia="zh-CN"/>
              </w:rPr>
              <w:t>%。</w:t>
            </w:r>
          </w:p>
          <w:p w14:paraId="21D4A8E1">
            <w:pPr>
              <w:adjustRightInd w:val="0"/>
              <w:snapToGrid w:val="0"/>
              <w:jc w:val="left"/>
              <w:rPr>
                <w:rFonts w:hint="eastAsia" w:ascii="宋体" w:hAnsi="宋体"/>
                <w:szCs w:val="21"/>
                <w:u w:val="none"/>
                <w:lang w:eastAsia="zh-CN"/>
              </w:rPr>
            </w:pPr>
            <w:r>
              <w:rPr>
                <w:rFonts w:hint="eastAsia" w:ascii="宋体" w:hAnsi="宋体"/>
                <w:szCs w:val="21"/>
                <w:u w:val="none"/>
                <w:lang w:eastAsia="zh-CN"/>
              </w:rPr>
              <w:t>2.乙方违约责任</w:t>
            </w:r>
          </w:p>
          <w:p w14:paraId="7A8F97FA">
            <w:pPr>
              <w:adjustRightInd w:val="0"/>
              <w:snapToGrid w:val="0"/>
              <w:jc w:val="left"/>
              <w:rPr>
                <w:rFonts w:hint="eastAsia" w:ascii="宋体" w:hAnsi="宋体"/>
                <w:szCs w:val="21"/>
                <w:u w:val="none"/>
              </w:rPr>
            </w:pPr>
            <w:r>
              <w:rPr>
                <w:rFonts w:hint="eastAsia" w:ascii="宋体" w:hAnsi="宋体"/>
                <w:szCs w:val="21"/>
                <w:u w:val="none"/>
                <w:lang w:eastAsia="zh-CN"/>
              </w:rPr>
              <w:t>（</w:t>
            </w:r>
            <w:r>
              <w:rPr>
                <w:rFonts w:hint="eastAsia" w:ascii="宋体" w:hAnsi="宋体"/>
                <w:szCs w:val="21"/>
                <w:u w:val="none"/>
                <w:lang w:val="en-US" w:eastAsia="zh-CN"/>
              </w:rPr>
              <w:t>1</w:t>
            </w:r>
            <w:r>
              <w:rPr>
                <w:rFonts w:hint="eastAsia" w:ascii="宋体" w:hAnsi="宋体"/>
                <w:szCs w:val="21"/>
                <w:u w:val="none"/>
                <w:lang w:eastAsia="zh-CN"/>
              </w:rPr>
              <w:t>）</w:t>
            </w:r>
            <w:r>
              <w:rPr>
                <w:rFonts w:hint="eastAsia" w:ascii="宋体" w:hAnsi="宋体"/>
                <w:szCs w:val="21"/>
                <w:u w:val="none"/>
              </w:rPr>
              <w:t>乙方所交付的货物品种、规格不符合合同规定的，甲方有权拒收。甲方拒收的，乙方应向甲方支付货款总额3 %的违约金；</w:t>
            </w:r>
          </w:p>
          <w:p w14:paraId="1C9C4EB5">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2</w:t>
            </w:r>
            <w:r>
              <w:rPr>
                <w:rFonts w:hint="eastAsia" w:ascii="宋体" w:hAnsi="宋体"/>
                <w:szCs w:val="21"/>
                <w:u w:val="none"/>
              </w:rPr>
              <w:t>）乙方未按合同要求提供所需服务、货物质量不能满足甲方要求、服务程序不符合相关国家或行业规定，甲方有权终止合同和对中标单位违约行为进行追究，同时按有关规定进行相应的处罚。</w:t>
            </w:r>
          </w:p>
          <w:p w14:paraId="51A56F52">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3</w:t>
            </w:r>
            <w:r>
              <w:rPr>
                <w:rFonts w:hint="eastAsia" w:ascii="宋体" w:hAnsi="宋体"/>
                <w:szCs w:val="21"/>
                <w:u w:val="none"/>
              </w:rPr>
              <w:t>）在乙方承诺的或国家规定的质量保证期内（取两者中最长的期限），如经乙方两次更换，货物仍不能达到合同约定的质量标准，甲方有权退货，乙方应退回全部货款，并按第</w:t>
            </w:r>
            <w:r>
              <w:rPr>
                <w:rFonts w:hint="eastAsia" w:ascii="宋体" w:hAnsi="宋体"/>
                <w:szCs w:val="21"/>
                <w:u w:val="none"/>
                <w:lang w:val="en-US" w:eastAsia="zh-CN"/>
              </w:rPr>
              <w:t>1</w:t>
            </w:r>
            <w:r>
              <w:rPr>
                <w:rFonts w:hint="eastAsia" w:ascii="宋体" w:hAnsi="宋体"/>
                <w:szCs w:val="21"/>
                <w:u w:val="none"/>
              </w:rPr>
              <w:t>款处理，同时，乙方还须赔偿甲方因此遭受的损失；</w:t>
            </w:r>
          </w:p>
          <w:p w14:paraId="63B5C4CD">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4</w:t>
            </w:r>
            <w:r>
              <w:rPr>
                <w:rFonts w:hint="eastAsia" w:ascii="宋体" w:hAnsi="宋体"/>
                <w:szCs w:val="21"/>
                <w:u w:val="none"/>
              </w:rPr>
              <w:t>）乙方未按本合同约定履行自身应尽义务的，应向甲方承担违约责任，按合同总价款的5%向甲方支付违约金；该违约金的支付不影响乙方应承担的其他违约责任；</w:t>
            </w:r>
          </w:p>
          <w:p w14:paraId="1E5B46C3">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5</w:t>
            </w:r>
            <w:r>
              <w:rPr>
                <w:rFonts w:hint="eastAsia" w:ascii="宋体" w:hAnsi="宋体"/>
                <w:szCs w:val="21"/>
                <w:u w:val="none"/>
              </w:rPr>
              <w:t>）乙方未按本合同的规定和“服务承诺”提供伴随服务/售后服务的，应按合同总价款的 5 %向甲方承担违约责任；</w:t>
            </w:r>
          </w:p>
          <w:p w14:paraId="10E6ED0B">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6</w:t>
            </w:r>
            <w:r>
              <w:rPr>
                <w:rFonts w:hint="eastAsia" w:ascii="宋体" w:hAnsi="宋体"/>
                <w:szCs w:val="21"/>
                <w:u w:val="none"/>
              </w:rPr>
              <w:t>）乙方在承担上述（1）-（</w:t>
            </w:r>
            <w:r>
              <w:rPr>
                <w:rFonts w:hint="eastAsia" w:ascii="宋体" w:hAnsi="宋体"/>
                <w:szCs w:val="21"/>
                <w:u w:val="none"/>
                <w:lang w:val="en-US" w:eastAsia="zh-CN"/>
              </w:rPr>
              <w:t>5</w:t>
            </w:r>
            <w:r>
              <w:rPr>
                <w:rFonts w:hint="eastAsia" w:ascii="宋体" w:hAnsi="宋体"/>
                <w:szCs w:val="21"/>
                <w:u w:val="none"/>
              </w:rPr>
              <w:t>）款一项或多项违约责任后，仍应继续履行合同规定的义务（甲方解除合同的除外）。甲方未能及时追究乙方的任何一项违约责任并不表明甲方放弃追究乙方该项或其他违约责任；</w:t>
            </w:r>
          </w:p>
          <w:p w14:paraId="3189798C">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7</w:t>
            </w:r>
            <w:r>
              <w:rPr>
                <w:rFonts w:hint="eastAsia" w:ascii="宋体" w:hAnsi="宋体"/>
                <w:szCs w:val="21"/>
                <w:u w:val="none"/>
              </w:rPr>
              <w:t>）乙方偿付的违约金不足以弥补甲方损失的，还应按甲方损失尚未弥补的部分，支付赔偿金给甲方。</w:t>
            </w:r>
          </w:p>
          <w:p w14:paraId="715FF4CB">
            <w:pPr>
              <w:adjustRightInd w:val="0"/>
              <w:snapToGrid w:val="0"/>
              <w:jc w:val="left"/>
              <w:rPr>
                <w:rFonts w:hint="eastAsia" w:ascii="宋体" w:hAnsi="宋体"/>
                <w:szCs w:val="21"/>
                <w:u w:val="none"/>
              </w:rPr>
            </w:pPr>
            <w:r>
              <w:rPr>
                <w:rFonts w:hint="eastAsia" w:ascii="宋体" w:hAnsi="宋体"/>
                <w:szCs w:val="21"/>
                <w:highlight w:val="none"/>
                <w:u w:val="none"/>
                <w:lang w:eastAsia="zh-CN"/>
              </w:rPr>
              <w:t>（</w:t>
            </w:r>
            <w:r>
              <w:rPr>
                <w:rFonts w:hint="eastAsia" w:ascii="宋体" w:hAnsi="宋体"/>
                <w:szCs w:val="21"/>
                <w:highlight w:val="none"/>
                <w:u w:val="none"/>
                <w:lang w:val="en-US" w:eastAsia="zh-CN"/>
              </w:rPr>
              <w:t>8</w:t>
            </w:r>
            <w:r>
              <w:rPr>
                <w:rFonts w:hint="eastAsia" w:ascii="宋体" w:hAnsi="宋体"/>
                <w:szCs w:val="21"/>
                <w:highlight w:val="none"/>
                <w:u w:val="none"/>
                <w:lang w:eastAsia="zh-CN"/>
              </w:rPr>
              <w:t>）</w:t>
            </w:r>
            <w:r>
              <w:rPr>
                <w:rFonts w:hint="eastAsia" w:ascii="宋体" w:hAnsi="宋体"/>
                <w:szCs w:val="21"/>
                <w:highlight w:val="none"/>
                <w:u w:val="none"/>
              </w:rPr>
              <w:t>若所验产品的数量、规格、技术标准及配置通过验收达不到竞争性</w:t>
            </w:r>
            <w:r>
              <w:rPr>
                <w:rFonts w:hint="eastAsia" w:ascii="宋体" w:hAnsi="宋体"/>
                <w:szCs w:val="21"/>
                <w:highlight w:val="none"/>
                <w:u w:val="none"/>
                <w:lang w:eastAsia="zh-CN"/>
              </w:rPr>
              <w:t>招标文件</w:t>
            </w:r>
            <w:r>
              <w:rPr>
                <w:rFonts w:hint="eastAsia" w:ascii="宋体" w:hAnsi="宋体"/>
                <w:szCs w:val="21"/>
                <w:highlight w:val="none"/>
                <w:u w:val="none"/>
              </w:rPr>
              <w:t>要求和竞争性磋商响应文件承诺，或在使用中发现采购人不能容忍的缺陷等，将视为产品验收不合格，供应商应免费更换或退货。</w:t>
            </w:r>
          </w:p>
        </w:tc>
      </w:tr>
      <w:tr w14:paraId="747D83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6FBD6802">
            <w:pPr>
              <w:adjustRightInd w:val="0"/>
              <w:snapToGrid w:val="0"/>
              <w:jc w:val="center"/>
              <w:rPr>
                <w:rFonts w:ascii="宋体" w:hAnsi="宋体"/>
                <w:szCs w:val="21"/>
              </w:rPr>
            </w:pPr>
            <w:r>
              <w:rPr>
                <w:rFonts w:hint="eastAsia" w:ascii="宋体" w:hAnsi="宋体"/>
                <w:szCs w:val="21"/>
              </w:rPr>
              <w:t>第二节</w:t>
            </w:r>
          </w:p>
          <w:p w14:paraId="21BA3606">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BD4EDB0">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4C0EDB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19D4E66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43893ECF">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5A0F53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DB9821E">
            <w:pPr>
              <w:adjustRightInd w:val="0"/>
              <w:snapToGrid w:val="0"/>
              <w:jc w:val="center"/>
              <w:rPr>
                <w:rFonts w:ascii="宋体" w:hAnsi="宋体"/>
                <w:szCs w:val="21"/>
              </w:rPr>
            </w:pPr>
            <w:r>
              <w:rPr>
                <w:rFonts w:hint="eastAsia" w:ascii="宋体" w:hAnsi="宋体"/>
                <w:szCs w:val="21"/>
              </w:rPr>
              <w:t>第二节</w:t>
            </w:r>
          </w:p>
          <w:p w14:paraId="6461E21B">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093C0447">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6EC4565C">
            <w:pPr>
              <w:adjustRightInd w:val="0"/>
              <w:snapToGrid w:val="0"/>
              <w:jc w:val="left"/>
              <w:rPr>
                <w:rFonts w:hint="default" w:ascii="宋体" w:hAnsi="宋体" w:eastAsia="宋体"/>
                <w:szCs w:val="21"/>
                <w:lang w:val="en-US" w:eastAsia="zh-CN"/>
              </w:rPr>
            </w:pPr>
          </w:p>
        </w:tc>
      </w:tr>
    </w:tbl>
    <w:p w14:paraId="3666FF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6A905">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6B327">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F928C8"/>
    <w:rsid w:val="1FF928C8"/>
    <w:rsid w:val="27D40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cs="Times New Roman"/>
      <w:b/>
      <w:sz w:val="28"/>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Body Text Indent"/>
    <w:basedOn w:val="1"/>
    <w:unhideWhenUsed/>
    <w:qFormat/>
    <w:uiPriority w:val="99"/>
    <w:pPr>
      <w:spacing w:after="120"/>
      <w:ind w:left="420" w:leftChars="200"/>
    </w:pPr>
  </w:style>
  <w:style w:type="paragraph" w:styleId="5">
    <w:name w:val="Plain Text"/>
    <w:basedOn w:val="1"/>
    <w:qFormat/>
    <w:uiPriority w:val="0"/>
    <w:rPr>
      <w:rFonts w:ascii="宋体" w:hAnsi="Courier New" w:eastAsia="宋体" w:cs="Courier New"/>
      <w:szCs w:val="21"/>
    </w:r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 w:type="paragraph" w:customStyle="1" w:styleId="12">
    <w:name w:val="样式 首行缩进:  2 字符"/>
    <w:basedOn w:val="1"/>
    <w:autoRedefine/>
    <w:qFormat/>
    <w:uiPriority w:val="0"/>
    <w:pPr>
      <w:spacing w:line="400" w:lineRule="exact"/>
      <w:ind w:firstLine="200" w:firstLineChars="200"/>
    </w:pPr>
    <w:rPr>
      <w:rFonts w:ascii="Times New Roman" w:hAnsi="Times New Roman" w:eastAsia="宋体" w:cs="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2025-07-10T09:53:00Z</dcterms:created>
  <dc:creator>代理公司</dc:creator>
  <cp:lastModifiedBy>代理公司</cp:lastModifiedBy>
  <dcterms:modified xsi:type="dcterms:W3CDTF">2025-07-10T10:01:27Z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EFED5782C6284D5FBAC36F1A2F59C94A_11</vt:lpwstr>
  </property>
  <property fmtid="{D5CDD505-2E9C-101B-9397-08002B2CF9AE}" pid="4" name="KSOTemplateDocerSaveRecord">
    <vt:lpwstr>eyJoZGlkIjoiNTU4MTg4NzM5MmMxMzE3OTU5ZTE4YzVhNTk4NDcwY2UiLCJ1c2VySWQiOiIyMjY0NTY0NzgifQ==</vt:lpwstr>
  </property>
</Properties>
</file>