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A498F">
      <w:pPr>
        <w:rPr>
          <w:rFonts w:hint="eastAsia" w:hAnsi="宋体" w:eastAsia="宋体" w:cs="宋体"/>
          <w:b/>
          <w:bCs/>
          <w:color w:val="auto"/>
          <w:sz w:val="36"/>
          <w:szCs w:val="36"/>
          <w:lang w:eastAsia="zh-CN"/>
        </w:rPr>
      </w:pPr>
      <w:r>
        <w:rPr>
          <w:rFonts w:hint="eastAsia" w:hAnsi="宋体" w:cs="宋体"/>
          <w:b/>
          <w:bCs/>
          <w:color w:val="auto"/>
          <w:sz w:val="36"/>
          <w:szCs w:val="36"/>
        </w:rPr>
        <w:t>项目编号:</w:t>
      </w:r>
      <w:r>
        <w:rPr>
          <w:rFonts w:hint="eastAsia" w:hAnsi="宋体" w:cs="宋体"/>
          <w:b/>
          <w:bCs/>
          <w:color w:val="auto"/>
          <w:sz w:val="36"/>
          <w:szCs w:val="36"/>
          <w:lang w:eastAsia="zh-CN"/>
        </w:rPr>
        <w:t>SXWXZBDL2025-ZC-GK1004</w:t>
      </w:r>
    </w:p>
    <w:p w14:paraId="426F75B8">
      <w:pPr>
        <w:rPr>
          <w:rFonts w:hAnsi="宋体" w:cs="宋体"/>
          <w:b/>
          <w:color w:val="auto"/>
          <w:sz w:val="36"/>
        </w:rPr>
      </w:pPr>
    </w:p>
    <w:p w14:paraId="4105948B">
      <w:pPr>
        <w:rPr>
          <w:rFonts w:hAnsi="宋体" w:cs="宋体"/>
          <w:b/>
          <w:color w:val="auto"/>
          <w:sz w:val="36"/>
        </w:rPr>
      </w:pPr>
    </w:p>
    <w:p w14:paraId="77243D65">
      <w:pPr>
        <w:tabs>
          <w:tab w:val="left" w:pos="3375"/>
        </w:tabs>
        <w:rPr>
          <w:rFonts w:hAnsi="宋体" w:cs="宋体"/>
          <w:color w:val="auto"/>
        </w:rPr>
      </w:pPr>
    </w:p>
    <w:p w14:paraId="1994A245">
      <w:pPr>
        <w:jc w:val="center"/>
        <w:rPr>
          <w:rFonts w:hAnsi="宋体" w:cs="宋体"/>
          <w:b/>
          <w:color w:val="auto"/>
          <w:sz w:val="52"/>
          <w:szCs w:val="52"/>
        </w:rPr>
      </w:pPr>
    </w:p>
    <w:p w14:paraId="03F08343">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Ansi="宋体" w:cs="宋体"/>
          <w:b/>
          <w:color w:val="auto"/>
          <w:sz w:val="48"/>
          <w:szCs w:val="48"/>
        </w:rPr>
      </w:pPr>
      <w:r>
        <w:rPr>
          <w:rFonts w:hint="eastAsia" w:hAnsi="宋体" w:cs="宋体"/>
          <w:b/>
          <w:color w:val="auto"/>
          <w:sz w:val="48"/>
          <w:szCs w:val="48"/>
          <w:lang w:eastAsia="zh-CN"/>
        </w:rPr>
        <w:t>城警联动人员外包服务</w:t>
      </w:r>
    </w:p>
    <w:p w14:paraId="17AE493C">
      <w:pPr>
        <w:tabs>
          <w:tab w:val="left" w:pos="4065"/>
        </w:tabs>
        <w:rPr>
          <w:rFonts w:hAnsi="宋体" w:cs="宋体"/>
          <w:b/>
          <w:color w:val="auto"/>
          <w:sz w:val="36"/>
          <w:szCs w:val="36"/>
        </w:rPr>
      </w:pPr>
    </w:p>
    <w:p w14:paraId="29E2F22C">
      <w:pPr>
        <w:spacing w:line="780" w:lineRule="auto"/>
        <w:jc w:val="center"/>
        <w:rPr>
          <w:rFonts w:hAnsi="宋体" w:cs="宋体"/>
          <w:b/>
          <w:color w:val="auto"/>
          <w:sz w:val="88"/>
          <w:szCs w:val="88"/>
        </w:rPr>
      </w:pPr>
    </w:p>
    <w:p w14:paraId="4C788F60">
      <w:pPr>
        <w:spacing w:line="780" w:lineRule="auto"/>
        <w:jc w:val="center"/>
        <w:rPr>
          <w:rFonts w:hint="eastAsia" w:hAnsi="宋体" w:cs="宋体"/>
          <w:b/>
          <w:color w:val="auto"/>
          <w:sz w:val="52"/>
          <w:szCs w:val="52"/>
        </w:rPr>
      </w:pPr>
    </w:p>
    <w:p w14:paraId="7C927A6B">
      <w:pPr>
        <w:spacing w:line="780" w:lineRule="auto"/>
        <w:jc w:val="center"/>
        <w:rPr>
          <w:rFonts w:hAnsi="宋体" w:cs="宋体"/>
          <w:b/>
          <w:color w:val="auto"/>
          <w:sz w:val="84"/>
          <w:szCs w:val="84"/>
        </w:rPr>
      </w:pPr>
      <w:r>
        <w:rPr>
          <w:rFonts w:hint="eastAsia" w:hAnsi="宋体" w:cs="宋体"/>
          <w:b/>
          <w:color w:val="auto"/>
          <w:sz w:val="52"/>
          <w:szCs w:val="52"/>
        </w:rPr>
        <w:t>招 标 文 件</w:t>
      </w:r>
    </w:p>
    <w:p w14:paraId="055F35A8">
      <w:pPr>
        <w:rPr>
          <w:rFonts w:hAnsi="宋体" w:cs="宋体"/>
          <w:color w:val="auto"/>
        </w:rPr>
      </w:pPr>
      <w:bookmarkStart w:id="0" w:name="_Toc363463325"/>
    </w:p>
    <w:p w14:paraId="567E4020">
      <w:pPr>
        <w:rPr>
          <w:rFonts w:hAnsi="宋体" w:cs="宋体"/>
          <w:color w:val="auto"/>
        </w:rPr>
      </w:pPr>
    </w:p>
    <w:p w14:paraId="654AD0C8">
      <w:pPr>
        <w:rPr>
          <w:rFonts w:hAnsi="宋体" w:cs="宋体"/>
          <w:color w:val="auto"/>
        </w:rPr>
      </w:pPr>
    </w:p>
    <w:bookmarkEnd w:id="0"/>
    <w:p w14:paraId="1877060B">
      <w:pPr>
        <w:rPr>
          <w:rFonts w:hAnsi="宋体" w:cs="宋体"/>
          <w:color w:val="auto"/>
          <w:sz w:val="18"/>
          <w:szCs w:val="18"/>
        </w:rPr>
      </w:pPr>
    </w:p>
    <w:p w14:paraId="353D656F">
      <w:pPr>
        <w:rPr>
          <w:rFonts w:hAnsi="宋体" w:cs="宋体"/>
          <w:color w:val="auto"/>
          <w:sz w:val="18"/>
          <w:szCs w:val="18"/>
        </w:rPr>
      </w:pPr>
    </w:p>
    <w:p w14:paraId="37AFE845">
      <w:pPr>
        <w:rPr>
          <w:rFonts w:hAnsi="宋体" w:cs="宋体"/>
          <w:color w:val="auto"/>
          <w:sz w:val="18"/>
          <w:szCs w:val="18"/>
        </w:rPr>
      </w:pPr>
    </w:p>
    <w:p w14:paraId="3E6F3E0B">
      <w:pPr>
        <w:rPr>
          <w:rFonts w:hAnsi="宋体" w:cs="宋体"/>
          <w:color w:val="auto"/>
          <w:sz w:val="18"/>
          <w:szCs w:val="18"/>
        </w:rPr>
      </w:pPr>
    </w:p>
    <w:p w14:paraId="501A226D">
      <w:pPr>
        <w:rPr>
          <w:rFonts w:hAnsi="宋体" w:cs="宋体"/>
          <w:color w:val="auto"/>
          <w:sz w:val="18"/>
          <w:szCs w:val="18"/>
        </w:rPr>
      </w:pPr>
    </w:p>
    <w:p w14:paraId="5582522D">
      <w:pPr>
        <w:rPr>
          <w:rFonts w:hAnsi="宋体" w:cs="宋体"/>
          <w:color w:val="auto"/>
          <w:sz w:val="18"/>
          <w:szCs w:val="18"/>
        </w:rPr>
      </w:pPr>
    </w:p>
    <w:p w14:paraId="5F6FDC6F">
      <w:pPr>
        <w:rPr>
          <w:rFonts w:hAnsi="宋体" w:cs="宋体"/>
          <w:color w:val="auto"/>
          <w:sz w:val="18"/>
          <w:szCs w:val="18"/>
        </w:rPr>
      </w:pPr>
    </w:p>
    <w:p w14:paraId="18930596">
      <w:pPr>
        <w:rPr>
          <w:rFonts w:hAnsi="宋体" w:cs="宋体"/>
          <w:color w:val="auto"/>
          <w:sz w:val="18"/>
          <w:szCs w:val="18"/>
        </w:rPr>
      </w:pPr>
    </w:p>
    <w:p w14:paraId="78C90067">
      <w:pPr>
        <w:jc w:val="center"/>
        <w:rPr>
          <w:rFonts w:hAnsi="宋体" w:cs="宋体"/>
          <w:b/>
          <w:bCs/>
          <w:color w:val="auto"/>
          <w:sz w:val="36"/>
          <w:szCs w:val="36"/>
        </w:rPr>
      </w:pPr>
      <w:r>
        <w:rPr>
          <w:rFonts w:hint="eastAsia" w:hAnsi="宋体" w:cs="宋体"/>
          <w:b/>
          <w:bCs/>
          <w:color w:val="auto"/>
          <w:sz w:val="36"/>
          <w:szCs w:val="36"/>
        </w:rPr>
        <w:t>陕西万兴招标代理有限公司</w:t>
      </w:r>
    </w:p>
    <w:p w14:paraId="42308480">
      <w:pPr>
        <w:tabs>
          <w:tab w:val="left" w:pos="525"/>
        </w:tabs>
        <w:jc w:val="center"/>
        <w:rPr>
          <w:rFonts w:hAnsi="宋体" w:cs="宋体"/>
          <w:b/>
          <w:bCs/>
          <w:color w:val="auto"/>
          <w:sz w:val="36"/>
          <w:szCs w:val="36"/>
        </w:rPr>
      </w:pPr>
      <w:r>
        <w:rPr>
          <w:rFonts w:hint="eastAsia" w:hAnsi="宋体" w:cs="宋体"/>
          <w:b/>
          <w:bCs/>
          <w:color w:val="auto"/>
          <w:sz w:val="36"/>
          <w:szCs w:val="36"/>
          <w:lang w:val="en-US" w:eastAsia="zh-CN"/>
        </w:rPr>
        <w:t>2025</w:t>
      </w:r>
      <w:r>
        <w:rPr>
          <w:rFonts w:hint="eastAsia" w:hAnsi="宋体" w:cs="宋体"/>
          <w:b/>
          <w:bCs/>
          <w:color w:val="auto"/>
          <w:sz w:val="36"/>
          <w:szCs w:val="36"/>
        </w:rPr>
        <w:t>年</w:t>
      </w:r>
      <w:r>
        <w:rPr>
          <w:rFonts w:hint="eastAsia" w:hAnsi="宋体" w:cs="宋体"/>
          <w:b/>
          <w:bCs/>
          <w:color w:val="auto"/>
          <w:sz w:val="36"/>
          <w:szCs w:val="36"/>
          <w:lang w:val="en-US" w:eastAsia="zh-CN"/>
        </w:rPr>
        <w:t>07</w:t>
      </w:r>
      <w:r>
        <w:rPr>
          <w:rFonts w:hint="eastAsia" w:hAnsi="宋体" w:cs="宋体"/>
          <w:b/>
          <w:bCs/>
          <w:color w:val="auto"/>
          <w:sz w:val="36"/>
          <w:szCs w:val="36"/>
        </w:rPr>
        <w:t>月</w:t>
      </w:r>
    </w:p>
    <w:p w14:paraId="6DF25E53">
      <w:pPr>
        <w:rPr>
          <w:rFonts w:hAnsi="宋体" w:cs="宋体"/>
          <w:b/>
          <w:bCs/>
          <w:color w:val="auto"/>
          <w:sz w:val="32"/>
          <w:szCs w:val="32"/>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docGrid w:type="lines" w:linePitch="333" w:charSpace="0"/>
        </w:sectPr>
      </w:pPr>
    </w:p>
    <w:p w14:paraId="26C92F24">
      <w:pPr>
        <w:pStyle w:val="19"/>
        <w:jc w:val="center"/>
        <w:rPr>
          <w:rFonts w:hAnsi="宋体" w:cs="宋体"/>
          <w:b/>
          <w:bCs/>
          <w:color w:val="auto"/>
          <w:sz w:val="36"/>
          <w:szCs w:val="36"/>
        </w:rPr>
      </w:pPr>
      <w:r>
        <w:rPr>
          <w:rFonts w:hint="eastAsia" w:hAnsi="宋体" w:cs="宋体"/>
          <w:b/>
          <w:bCs/>
          <w:color w:val="auto"/>
          <w:sz w:val="36"/>
          <w:szCs w:val="36"/>
        </w:rPr>
        <w:t>特别提示</w:t>
      </w:r>
    </w:p>
    <w:p w14:paraId="05CF438E">
      <w:pPr>
        <w:spacing w:line="520" w:lineRule="exact"/>
        <w:rPr>
          <w:rFonts w:cs="仿宋" w:asciiTheme="minorEastAsia" w:hAnsiTheme="minorEastAsia" w:eastAsiaTheme="minorEastAsia"/>
          <w:color w:val="auto"/>
          <w:szCs w:val="24"/>
        </w:rPr>
      </w:pPr>
      <w:r>
        <w:rPr>
          <w:rFonts w:hint="eastAsia" w:cs="仿宋" w:asciiTheme="minorEastAsia" w:hAnsiTheme="minorEastAsia" w:eastAsiaTheme="minorEastAsia"/>
          <w:color w:val="auto"/>
          <w:szCs w:val="24"/>
        </w:rPr>
        <w:t>各供应商，在此我们特别提醒您注意以下事项：</w:t>
      </w:r>
    </w:p>
    <w:p w14:paraId="7E737399">
      <w:pPr>
        <w:spacing w:line="360" w:lineRule="auto"/>
        <w:rPr>
          <w:rFonts w:hint="eastAsia" w:hAnsi="宋体" w:cs="宋体"/>
          <w:b/>
          <w:color w:val="auto"/>
          <w:szCs w:val="24"/>
        </w:rPr>
      </w:pPr>
      <w:r>
        <w:rPr>
          <w:rFonts w:hint="eastAsia" w:hAnsi="宋体" w:cs="宋体"/>
          <w:b/>
          <w:color w:val="auto"/>
          <w:szCs w:val="24"/>
        </w:rPr>
        <w:t>一、有关投标文件：</w:t>
      </w:r>
    </w:p>
    <w:p w14:paraId="193529C9">
      <w:pPr>
        <w:spacing w:line="360" w:lineRule="auto"/>
        <w:ind w:firstLine="480" w:firstLineChars="200"/>
        <w:rPr>
          <w:rFonts w:hint="eastAsia" w:hAnsi="宋体" w:cs="宋体"/>
          <w:color w:val="auto"/>
          <w:szCs w:val="24"/>
        </w:rPr>
      </w:pPr>
      <w:r>
        <w:rPr>
          <w:rFonts w:hint="eastAsia" w:hAnsi="宋体" w:cs="宋体"/>
          <w:color w:val="auto"/>
          <w:szCs w:val="24"/>
        </w:rPr>
        <w:t>1.请仔细阅读招标文件并正确理解招标文件中各项具体要求。如您对招标文件有疑问，请在招标文件规定的时间内以书面形式提出，逾期将被拒绝受理。</w:t>
      </w:r>
    </w:p>
    <w:p w14:paraId="1FF8C161">
      <w:pPr>
        <w:spacing w:line="360" w:lineRule="auto"/>
        <w:ind w:firstLine="480" w:firstLineChars="200"/>
        <w:rPr>
          <w:rFonts w:hint="eastAsia" w:hAnsi="宋体" w:cs="宋体"/>
          <w:color w:val="auto"/>
          <w:szCs w:val="24"/>
        </w:rPr>
      </w:pPr>
      <w:r>
        <w:rPr>
          <w:rFonts w:hint="eastAsia" w:hAnsi="宋体" w:cs="宋体"/>
          <w:color w:val="auto"/>
          <w:szCs w:val="24"/>
        </w:rPr>
        <w:t>2.请仔细核对投标文件是否已按照招标文件的要求签字、签章和加盖单位公章，实质性条款是否满足招标文件要求，投标文件中所附资格证明等资料是否齐全、有效且是否满足招标文件要求。</w:t>
      </w:r>
    </w:p>
    <w:p w14:paraId="41BF8A79">
      <w:pPr>
        <w:spacing w:line="360" w:lineRule="auto"/>
        <w:rPr>
          <w:rFonts w:hint="eastAsia" w:hAnsi="宋体" w:cs="宋体"/>
          <w:b/>
          <w:color w:val="auto"/>
          <w:szCs w:val="24"/>
        </w:rPr>
      </w:pPr>
      <w:r>
        <w:rPr>
          <w:rFonts w:hint="eastAsia" w:hAnsi="宋体" w:cs="宋体"/>
          <w:b/>
          <w:color w:val="auto"/>
          <w:szCs w:val="24"/>
        </w:rPr>
        <w:t>二、关于弃标的说明：</w:t>
      </w:r>
    </w:p>
    <w:p w14:paraId="7A7ECE1B">
      <w:pPr>
        <w:spacing w:line="360" w:lineRule="auto"/>
        <w:ind w:firstLine="482" w:firstLineChars="200"/>
        <w:rPr>
          <w:rFonts w:hint="eastAsia" w:hAnsi="宋体" w:cs="宋体"/>
          <w:b/>
          <w:color w:val="auto"/>
          <w:szCs w:val="24"/>
        </w:rPr>
      </w:pPr>
      <w:r>
        <w:rPr>
          <w:rFonts w:hint="eastAsia" w:hAnsi="宋体" w:cs="宋体"/>
          <w:b/>
          <w:color w:val="auto"/>
          <w:szCs w:val="24"/>
        </w:rPr>
        <w:t>按照《西安市财政局关于促进政府采购公平竞争优化营商环境的通知》（市财函〔2021</w:t>
      </w:r>
      <w:r>
        <w:rPr>
          <w:rFonts w:hAnsi="宋体" w:cs="宋体"/>
          <w:b/>
          <w:color w:val="auto"/>
          <w:szCs w:val="24"/>
        </w:rPr>
        <w:t>〕</w:t>
      </w:r>
      <w:r>
        <w:rPr>
          <w:rFonts w:hint="eastAsia" w:hAnsi="宋体" w:cs="宋体"/>
          <w:b/>
          <w:color w:val="auto"/>
          <w:szCs w:val="24"/>
        </w:rPr>
        <w:t>431号）规定：供应商登记免费领取招标文件的，如不参与项目投标，应在递交投标文件截止时间前一日以书面形式告知采购代理机构。否则，采购代理机构可以向财政部门反映情况并提供相应的佐证。供应商一年内累计出现三次该情形，将被监管部门记录为失信行为。</w:t>
      </w:r>
    </w:p>
    <w:p w14:paraId="69426E87">
      <w:pPr>
        <w:spacing w:line="360" w:lineRule="auto"/>
        <w:rPr>
          <w:rFonts w:hint="eastAsia" w:hAnsi="宋体" w:cs="宋体"/>
          <w:color w:val="auto"/>
        </w:rPr>
      </w:pPr>
      <w:r>
        <w:rPr>
          <w:rFonts w:hint="eastAsia" w:hAnsi="宋体" w:cs="宋体"/>
          <w:b/>
          <w:color w:val="auto"/>
        </w:rPr>
        <w:t>三、关于供应商注册登记提醒：</w:t>
      </w:r>
    </w:p>
    <w:p w14:paraId="31020484">
      <w:pPr>
        <w:spacing w:line="360" w:lineRule="auto"/>
        <w:ind w:firstLine="480" w:firstLineChars="200"/>
        <w:rPr>
          <w:rFonts w:hint="eastAsia" w:hAnsi="宋体" w:cs="宋体"/>
          <w:color w:val="auto"/>
        </w:rPr>
      </w:pPr>
      <w:r>
        <w:rPr>
          <w:rFonts w:hint="eastAsia" w:hAnsi="宋体" w:cs="宋体"/>
          <w:color w:val="auto"/>
        </w:rPr>
        <w:t>根据</w:t>
      </w:r>
      <w:r>
        <w:rPr>
          <w:rFonts w:hint="eastAsia" w:hAnsi="宋体" w:cs="宋体"/>
          <w:color w:val="auto"/>
          <w:lang w:eastAsia="zh-CN"/>
        </w:rPr>
        <w:t>《</w:t>
      </w:r>
      <w:r>
        <w:rPr>
          <w:rFonts w:hint="eastAsia" w:hAnsi="宋体" w:cs="宋体"/>
          <w:color w:val="auto"/>
        </w:rPr>
        <w:t>陕西省财政厅关于政府采购供应商注册登记有关事项的通知</w:t>
      </w:r>
      <w:r>
        <w:rPr>
          <w:rFonts w:hint="eastAsia" w:hAnsi="宋体" w:cs="宋体"/>
          <w:color w:val="auto"/>
          <w:lang w:eastAsia="zh-CN"/>
        </w:rPr>
        <w:t>》</w:t>
      </w:r>
      <w:r>
        <w:rPr>
          <w:rFonts w:hint="eastAsia" w:hAnsi="宋体" w:cs="宋体"/>
          <w:color w:val="auto"/>
        </w:rPr>
        <w:t>，如所投本项目的供应商未在陕西省政府采购网（</w:t>
      </w:r>
      <w:r>
        <w:rPr>
          <w:color w:val="auto"/>
        </w:rPr>
        <w:fldChar w:fldCharType="begin"/>
      </w:r>
      <w:r>
        <w:rPr>
          <w:color w:val="auto"/>
        </w:rPr>
        <w:instrText xml:space="preserve"> HYPERLINK "http://www.ccgp-shaanxi.gov.cn/" \h </w:instrText>
      </w:r>
      <w:r>
        <w:rPr>
          <w:color w:val="auto"/>
        </w:rPr>
        <w:fldChar w:fldCharType="separate"/>
      </w:r>
      <w:r>
        <w:rPr>
          <w:rStyle w:val="55"/>
          <w:rFonts w:hint="default"/>
          <w:color w:val="auto"/>
          <w:sz w:val="24"/>
          <w:szCs w:val="24"/>
        </w:rPr>
        <w:t>http://www.ccgp-shaanxi.gov.cn/</w:t>
      </w:r>
      <w:r>
        <w:rPr>
          <w:rStyle w:val="55"/>
          <w:rFonts w:hint="default"/>
          <w:color w:val="auto"/>
          <w:sz w:val="24"/>
          <w:szCs w:val="24"/>
        </w:rPr>
        <w:fldChar w:fldCharType="end"/>
      </w:r>
      <w:r>
        <w:rPr>
          <w:rFonts w:hint="eastAsia" w:hAnsi="宋体" w:cs="宋体"/>
          <w:color w:val="auto"/>
        </w:rPr>
        <w:t>）注册登记加入陕西省政府采购供应商库的，应按要求及时办理注册登记，并接受财政部门监督管理。</w:t>
      </w:r>
    </w:p>
    <w:p w14:paraId="457494B0">
      <w:pPr>
        <w:spacing w:line="520" w:lineRule="exact"/>
        <w:ind w:firstLine="480" w:firstLineChars="200"/>
        <w:rPr>
          <w:rFonts w:hAnsi="宋体" w:cs="宋体"/>
          <w:b/>
          <w:bCs/>
          <w:color w:val="auto"/>
          <w:szCs w:val="24"/>
        </w:rPr>
      </w:pPr>
      <w:r>
        <w:rPr>
          <w:rFonts w:hint="eastAsia" w:hAnsi="宋体" w:cs="宋体"/>
          <w:color w:val="auto"/>
        </w:rPr>
        <w:t>请各投标单位仔细阅读上述提示。如需帮助，请您与我们的工作人员联系，我们将非常高兴为您服务。</w:t>
      </w:r>
    </w:p>
    <w:p w14:paraId="55B52D7E">
      <w:pPr>
        <w:spacing w:before="166" w:beforeLines="50" w:line="360" w:lineRule="auto"/>
        <w:jc w:val="center"/>
        <w:rPr>
          <w:rFonts w:hAnsi="宋体" w:cs="宋体"/>
          <w:b/>
          <w:color w:val="auto"/>
          <w:sz w:val="44"/>
          <w:szCs w:val="44"/>
        </w:rPr>
      </w:pPr>
      <w:r>
        <w:rPr>
          <w:rFonts w:hint="eastAsia" w:hAnsi="宋体" w:cs="宋体"/>
          <w:b/>
          <w:color w:val="auto"/>
          <w:sz w:val="44"/>
          <w:szCs w:val="44"/>
        </w:rPr>
        <w:br w:type="page"/>
      </w:r>
    </w:p>
    <w:p w14:paraId="4917B51E">
      <w:pPr>
        <w:tabs>
          <w:tab w:val="left" w:pos="1395"/>
        </w:tabs>
        <w:spacing w:before="166" w:beforeLines="50" w:line="360" w:lineRule="auto"/>
        <w:jc w:val="center"/>
        <w:rPr>
          <w:rFonts w:hAnsi="宋体" w:cs="宋体"/>
          <w:b/>
          <w:color w:val="auto"/>
          <w:sz w:val="48"/>
          <w:szCs w:val="48"/>
        </w:rPr>
      </w:pPr>
      <w:r>
        <w:rPr>
          <w:rFonts w:hint="eastAsia" w:hAnsi="宋体" w:cs="宋体"/>
          <w:b/>
          <w:color w:val="auto"/>
          <w:sz w:val="48"/>
          <w:szCs w:val="48"/>
        </w:rPr>
        <w:t>目   录</w:t>
      </w:r>
    </w:p>
    <w:p w14:paraId="4183B670">
      <w:pPr>
        <w:pStyle w:val="33"/>
        <w:tabs>
          <w:tab w:val="right" w:leader="dot" w:pos="9355"/>
          <w:tab w:val="clear" w:pos="1418"/>
          <w:tab w:val="clear" w:pos="8302"/>
        </w:tabs>
        <w:spacing w:line="1000" w:lineRule="exact"/>
        <w:rPr>
          <w:rFonts w:hAnsi="宋体" w:cs="宋体"/>
          <w:color w:val="auto"/>
          <w:sz w:val="32"/>
          <w:szCs w:val="32"/>
        </w:rPr>
      </w:pPr>
      <w:bookmarkStart w:id="1" w:name="_Toc5293"/>
      <w:bookmarkStart w:id="2" w:name="_Toc16218"/>
      <w:bookmarkStart w:id="3" w:name="_Toc426457691"/>
      <w:bookmarkStart w:id="4" w:name="_Toc20858"/>
      <w:bookmarkStart w:id="5" w:name="_Toc20652"/>
      <w:bookmarkStart w:id="6" w:name="_Toc389582033"/>
      <w:bookmarkStart w:id="7" w:name="_Toc19886"/>
      <w:bookmarkStart w:id="8" w:name="_Toc21518"/>
      <w:bookmarkStart w:id="9" w:name="_Toc363474016"/>
      <w:bookmarkStart w:id="10" w:name="_Toc403077638"/>
      <w:bookmarkStart w:id="11" w:name="_Toc363473971"/>
      <w:r>
        <w:rPr>
          <w:rFonts w:hint="eastAsia" w:hAnsi="宋体" w:cs="宋体"/>
          <w:color w:val="auto"/>
          <w:sz w:val="32"/>
          <w:szCs w:val="32"/>
        </w:rPr>
        <w:fldChar w:fldCharType="begin"/>
      </w:r>
      <w:r>
        <w:rPr>
          <w:rFonts w:hint="eastAsia" w:hAnsi="宋体" w:cs="宋体"/>
          <w:color w:val="auto"/>
          <w:sz w:val="32"/>
          <w:szCs w:val="32"/>
        </w:rPr>
        <w:instrText xml:space="preserve">TOC \o "1-3" \h \u </w:instrText>
      </w:r>
      <w:r>
        <w:rPr>
          <w:rFonts w:hint="eastAsia" w:hAnsi="宋体" w:cs="宋体"/>
          <w:color w:val="auto"/>
          <w:sz w:val="32"/>
          <w:szCs w:val="32"/>
        </w:rPr>
        <w:fldChar w:fldCharType="separate"/>
      </w:r>
      <w:r>
        <w:rPr>
          <w:color w:val="auto"/>
        </w:rPr>
        <w:fldChar w:fldCharType="begin"/>
      </w:r>
      <w:r>
        <w:rPr>
          <w:color w:val="auto"/>
        </w:rPr>
        <w:instrText xml:space="preserve"> HYPERLINK \l "_Toc3899" </w:instrText>
      </w:r>
      <w:r>
        <w:rPr>
          <w:color w:val="auto"/>
        </w:rPr>
        <w:fldChar w:fldCharType="separate"/>
      </w:r>
      <w:r>
        <w:rPr>
          <w:rFonts w:hint="eastAsia" w:hAnsi="宋体" w:cs="宋体"/>
          <w:color w:val="auto"/>
          <w:sz w:val="32"/>
          <w:szCs w:val="32"/>
        </w:rPr>
        <w:t>第一章  招标公告</w:t>
      </w:r>
      <w:r>
        <w:rPr>
          <w:rFonts w:hint="eastAsia" w:hAnsi="宋体" w:cs="宋体"/>
          <w:color w:val="auto"/>
          <w:sz w:val="32"/>
          <w:szCs w:val="32"/>
        </w:rPr>
        <w:tab/>
      </w:r>
      <w:r>
        <w:rPr>
          <w:rFonts w:hint="eastAsia" w:hAnsi="宋体" w:cs="宋体"/>
          <w:color w:val="auto"/>
          <w:sz w:val="32"/>
          <w:szCs w:val="32"/>
        </w:rPr>
        <w:t>1</w:t>
      </w:r>
      <w:r>
        <w:rPr>
          <w:rFonts w:hint="eastAsia" w:hAnsi="宋体" w:cs="宋体"/>
          <w:color w:val="auto"/>
          <w:sz w:val="32"/>
          <w:szCs w:val="32"/>
        </w:rPr>
        <w:fldChar w:fldCharType="end"/>
      </w:r>
    </w:p>
    <w:p w14:paraId="59633510">
      <w:pPr>
        <w:pStyle w:val="33"/>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"_Toc7261" </w:instrText>
      </w:r>
      <w:r>
        <w:rPr>
          <w:color w:val="auto"/>
        </w:rPr>
        <w:fldChar w:fldCharType="separate"/>
      </w:r>
      <w:r>
        <w:rPr>
          <w:rFonts w:hint="eastAsia" w:hAnsi="宋体" w:cs="宋体"/>
          <w:color w:val="auto"/>
          <w:sz w:val="32"/>
          <w:szCs w:val="32"/>
        </w:rPr>
        <w:t>第二章  供应商须知</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_Toc7261 </w:instrText>
      </w:r>
      <w:r>
        <w:rPr>
          <w:rFonts w:hint="eastAsia" w:hAnsi="宋体" w:cs="宋体"/>
          <w:color w:val="auto"/>
          <w:sz w:val="32"/>
          <w:szCs w:val="32"/>
        </w:rPr>
        <w:fldChar w:fldCharType="separate"/>
      </w:r>
      <w:r>
        <w:rPr>
          <w:rFonts w:hint="eastAsia" w:hAnsi="宋体" w:cs="宋体"/>
          <w:color w:val="auto"/>
          <w:sz w:val="32"/>
          <w:szCs w:val="32"/>
        </w:rPr>
        <w:t>9</w:t>
      </w:r>
      <w:r>
        <w:rPr>
          <w:rFonts w:hint="eastAsia" w:hAnsi="宋体" w:cs="宋体"/>
          <w:color w:val="auto"/>
          <w:sz w:val="32"/>
          <w:szCs w:val="32"/>
        </w:rPr>
        <w:fldChar w:fldCharType="end"/>
      </w:r>
      <w:r>
        <w:rPr>
          <w:rFonts w:hint="eastAsia" w:hAnsi="宋体" w:cs="宋体"/>
          <w:color w:val="auto"/>
          <w:sz w:val="32"/>
          <w:szCs w:val="32"/>
        </w:rPr>
        <w:fldChar w:fldCharType="end"/>
      </w:r>
    </w:p>
    <w:p w14:paraId="3AA45953">
      <w:pPr>
        <w:pStyle w:val="33"/>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"_Toc26389" </w:instrText>
      </w:r>
      <w:r>
        <w:rPr>
          <w:color w:val="auto"/>
        </w:rPr>
        <w:fldChar w:fldCharType="separate"/>
      </w:r>
      <w:r>
        <w:rPr>
          <w:rFonts w:hint="eastAsia" w:hAnsi="宋体" w:cs="宋体"/>
          <w:color w:val="auto"/>
          <w:kern w:val="2"/>
          <w:sz w:val="32"/>
          <w:szCs w:val="32"/>
        </w:rPr>
        <w:t>第三章  合同条款及格式</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_Toc26389 </w:instrText>
      </w:r>
      <w:r>
        <w:rPr>
          <w:rFonts w:hint="eastAsia" w:hAnsi="宋体" w:cs="宋体"/>
          <w:color w:val="auto"/>
          <w:sz w:val="32"/>
          <w:szCs w:val="32"/>
        </w:rPr>
        <w:fldChar w:fldCharType="separate"/>
      </w:r>
      <w:r>
        <w:rPr>
          <w:rFonts w:hint="eastAsia" w:hAnsi="宋体" w:cs="宋体"/>
          <w:color w:val="auto"/>
          <w:sz w:val="32"/>
          <w:szCs w:val="32"/>
        </w:rPr>
        <w:t>38</w:t>
      </w:r>
      <w:r>
        <w:rPr>
          <w:rFonts w:hint="eastAsia" w:hAnsi="宋体" w:cs="宋体"/>
          <w:color w:val="auto"/>
          <w:sz w:val="32"/>
          <w:szCs w:val="32"/>
        </w:rPr>
        <w:fldChar w:fldCharType="end"/>
      </w:r>
      <w:r>
        <w:rPr>
          <w:rFonts w:hint="eastAsia" w:hAnsi="宋体" w:cs="宋体"/>
          <w:color w:val="auto"/>
          <w:sz w:val="32"/>
          <w:szCs w:val="32"/>
        </w:rPr>
        <w:fldChar w:fldCharType="end"/>
      </w:r>
    </w:p>
    <w:p w14:paraId="5E0F8C79">
      <w:pPr>
        <w:pStyle w:val="33"/>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"_Toc10474" </w:instrText>
      </w:r>
      <w:r>
        <w:rPr>
          <w:color w:val="auto"/>
        </w:rPr>
        <w:fldChar w:fldCharType="separate"/>
      </w:r>
      <w:r>
        <w:rPr>
          <w:rFonts w:hint="eastAsia" w:hAnsi="宋体" w:cs="宋体"/>
          <w:color w:val="auto"/>
          <w:kern w:val="2"/>
          <w:sz w:val="32"/>
          <w:szCs w:val="32"/>
        </w:rPr>
        <w:t>第四章 采购内容及技术要求</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_Toc10474 </w:instrText>
      </w:r>
      <w:r>
        <w:rPr>
          <w:rFonts w:hint="eastAsia" w:hAnsi="宋体" w:cs="宋体"/>
          <w:color w:val="auto"/>
          <w:sz w:val="32"/>
          <w:szCs w:val="32"/>
        </w:rPr>
        <w:fldChar w:fldCharType="separate"/>
      </w:r>
      <w:r>
        <w:rPr>
          <w:rFonts w:hint="eastAsia" w:hAnsi="宋体" w:cs="宋体"/>
          <w:color w:val="auto"/>
          <w:sz w:val="32"/>
          <w:szCs w:val="32"/>
        </w:rPr>
        <w:t>44</w:t>
      </w:r>
      <w:r>
        <w:rPr>
          <w:rFonts w:hint="eastAsia" w:hAnsi="宋体" w:cs="宋体"/>
          <w:color w:val="auto"/>
          <w:sz w:val="32"/>
          <w:szCs w:val="32"/>
        </w:rPr>
        <w:fldChar w:fldCharType="end"/>
      </w:r>
      <w:r>
        <w:rPr>
          <w:rFonts w:hint="eastAsia" w:hAnsi="宋体" w:cs="宋体"/>
          <w:color w:val="auto"/>
          <w:sz w:val="32"/>
          <w:szCs w:val="32"/>
        </w:rPr>
        <w:fldChar w:fldCharType="end"/>
      </w:r>
    </w:p>
    <w:p w14:paraId="24F75037">
      <w:pPr>
        <w:pStyle w:val="33"/>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"_Toc29624" </w:instrText>
      </w:r>
      <w:r>
        <w:rPr>
          <w:color w:val="auto"/>
        </w:rPr>
        <w:fldChar w:fldCharType="separate"/>
      </w:r>
      <w:r>
        <w:rPr>
          <w:rFonts w:hint="eastAsia" w:hAnsi="宋体" w:cs="宋体"/>
          <w:bCs/>
          <w:color w:val="auto"/>
          <w:sz w:val="32"/>
          <w:szCs w:val="32"/>
        </w:rPr>
        <w:t>第五章 评标方法</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_Toc29624 </w:instrText>
      </w:r>
      <w:r>
        <w:rPr>
          <w:rFonts w:hint="eastAsia" w:hAnsi="宋体" w:cs="宋体"/>
          <w:color w:val="auto"/>
          <w:sz w:val="32"/>
          <w:szCs w:val="32"/>
        </w:rPr>
        <w:fldChar w:fldCharType="separate"/>
      </w:r>
      <w:r>
        <w:rPr>
          <w:rFonts w:hint="eastAsia" w:hAnsi="宋体" w:cs="宋体"/>
          <w:color w:val="auto"/>
          <w:sz w:val="32"/>
          <w:szCs w:val="32"/>
        </w:rPr>
        <w:t>48</w:t>
      </w:r>
      <w:r>
        <w:rPr>
          <w:rFonts w:hint="eastAsia" w:hAnsi="宋体" w:cs="宋体"/>
          <w:color w:val="auto"/>
          <w:sz w:val="32"/>
          <w:szCs w:val="32"/>
        </w:rPr>
        <w:fldChar w:fldCharType="end"/>
      </w:r>
      <w:r>
        <w:rPr>
          <w:rFonts w:hint="eastAsia" w:hAnsi="宋体" w:cs="宋体"/>
          <w:color w:val="auto"/>
          <w:sz w:val="32"/>
          <w:szCs w:val="32"/>
        </w:rPr>
        <w:fldChar w:fldCharType="end"/>
      </w:r>
    </w:p>
    <w:p w14:paraId="45ABED84">
      <w:pPr>
        <w:pStyle w:val="33"/>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"_Toc31555" </w:instrText>
      </w:r>
      <w:r>
        <w:rPr>
          <w:color w:val="auto"/>
        </w:rPr>
        <w:fldChar w:fldCharType="separate"/>
      </w:r>
      <w:r>
        <w:rPr>
          <w:rFonts w:hint="eastAsia" w:hAnsi="宋体" w:cs="宋体"/>
          <w:bCs/>
          <w:color w:val="auto"/>
          <w:sz w:val="32"/>
          <w:szCs w:val="32"/>
        </w:rPr>
        <w:t>第六章 投标文件构成及格式</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_Toc31555 </w:instrText>
      </w:r>
      <w:r>
        <w:rPr>
          <w:rFonts w:hint="eastAsia" w:hAnsi="宋体" w:cs="宋体"/>
          <w:color w:val="auto"/>
          <w:sz w:val="32"/>
          <w:szCs w:val="32"/>
        </w:rPr>
        <w:fldChar w:fldCharType="separate"/>
      </w:r>
      <w:r>
        <w:rPr>
          <w:rFonts w:hint="eastAsia" w:hAnsi="宋体" w:cs="宋体"/>
          <w:color w:val="auto"/>
          <w:sz w:val="32"/>
          <w:szCs w:val="32"/>
        </w:rPr>
        <w:t>62</w:t>
      </w:r>
      <w:r>
        <w:rPr>
          <w:rFonts w:hint="eastAsia" w:hAnsi="宋体" w:cs="宋体"/>
          <w:color w:val="auto"/>
          <w:sz w:val="32"/>
          <w:szCs w:val="32"/>
        </w:rPr>
        <w:fldChar w:fldCharType="end"/>
      </w:r>
      <w:r>
        <w:rPr>
          <w:rFonts w:hint="eastAsia" w:hAnsi="宋体" w:cs="宋体"/>
          <w:color w:val="auto"/>
          <w:sz w:val="32"/>
          <w:szCs w:val="32"/>
        </w:rPr>
        <w:fldChar w:fldCharType="end"/>
      </w:r>
    </w:p>
    <w:p w14:paraId="55A1099F">
      <w:pPr>
        <w:pStyle w:val="33"/>
        <w:spacing w:line="360" w:lineRule="auto"/>
        <w:rPr>
          <w:rFonts w:hAnsi="宋体" w:cs="宋体"/>
          <w:color w:val="auto"/>
        </w:rPr>
      </w:pPr>
      <w:r>
        <w:rPr>
          <w:rFonts w:hint="eastAsia" w:hAnsi="宋体" w:cs="宋体"/>
          <w:color w:val="auto"/>
          <w:sz w:val="32"/>
          <w:szCs w:val="32"/>
        </w:rPr>
        <w:fldChar w:fldCharType="end"/>
      </w:r>
    </w:p>
    <w:p w14:paraId="2501C8FB">
      <w:pPr>
        <w:tabs>
          <w:tab w:val="left" w:pos="525"/>
        </w:tabs>
        <w:spacing w:line="560" w:lineRule="exact"/>
        <w:jc w:val="center"/>
        <w:rPr>
          <w:rFonts w:hAnsi="宋体" w:cs="宋体"/>
          <w:color w:val="auto"/>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1"/>
    <w:bookmarkEnd w:id="2"/>
    <w:bookmarkEnd w:id="3"/>
    <w:bookmarkEnd w:id="4"/>
    <w:bookmarkEnd w:id="5"/>
    <w:bookmarkEnd w:id="6"/>
    <w:bookmarkEnd w:id="7"/>
    <w:bookmarkEnd w:id="8"/>
    <w:p w14:paraId="618226CF">
      <w:pPr>
        <w:pStyle w:val="2"/>
        <w:keepNext w:val="0"/>
        <w:keepLines/>
        <w:pageBreakBefore/>
        <w:spacing w:before="156" w:beforeLines="50" w:after="156" w:afterLines="50" w:line="460" w:lineRule="exact"/>
        <w:jc w:val="center"/>
        <w:rPr>
          <w:rFonts w:asciiTheme="minorEastAsia" w:hAnsiTheme="minorEastAsia" w:eastAsiaTheme="minorEastAsia"/>
          <w:bCs/>
          <w:color w:val="auto"/>
          <w:sz w:val="36"/>
          <w:szCs w:val="36"/>
        </w:rPr>
      </w:pPr>
      <w:r>
        <w:rPr>
          <w:rFonts w:hint="eastAsia" w:asciiTheme="minorEastAsia" w:hAnsiTheme="minorEastAsia" w:eastAsiaTheme="minorEastAsia"/>
          <w:bCs/>
          <w:color w:val="auto"/>
          <w:sz w:val="36"/>
          <w:szCs w:val="36"/>
        </w:rPr>
        <w:t>第一章  招标公告</w:t>
      </w:r>
    </w:p>
    <w:tbl>
      <w:tblPr>
        <w:tblStyle w:val="47"/>
        <w:tblW w:w="52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9"/>
      </w:tblGrid>
      <w:tr w14:paraId="6D42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5000" w:type="pct"/>
          </w:tcPr>
          <w:p w14:paraId="79B17EA5">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项目概况</w:t>
            </w:r>
          </w:p>
          <w:p w14:paraId="7ACA28AA">
            <w:pPr>
              <w:widowControl/>
              <w:spacing w:line="360" w:lineRule="auto"/>
              <w:ind w:firstLine="480" w:firstLineChars="200"/>
              <w:textAlignment w:val="baseline"/>
              <w:rPr>
                <w:rFonts w:cs="宋体" w:asciiTheme="minorEastAsia" w:hAnsiTheme="minorEastAsia"/>
                <w:color w:val="auto"/>
                <w:szCs w:val="24"/>
              </w:rPr>
            </w:pPr>
            <w:r>
              <w:rPr>
                <w:rFonts w:hint="eastAsia" w:cs="宋体" w:asciiTheme="minorEastAsia" w:hAnsiTheme="minorEastAsia" w:eastAsiaTheme="minorEastAsia"/>
                <w:color w:val="auto"/>
                <w:szCs w:val="24"/>
                <w:lang w:eastAsia="zh-CN"/>
              </w:rPr>
              <w:t>城警联动人员外包服务</w:t>
            </w:r>
            <w:r>
              <w:rPr>
                <w:rFonts w:cs="宋体" w:asciiTheme="minorEastAsia" w:hAnsiTheme="minorEastAsia" w:eastAsiaTheme="minorEastAsia"/>
                <w:color w:val="auto"/>
                <w:szCs w:val="24"/>
              </w:rPr>
              <w:t>的潜在投标人应在全国公共资源交易平台(陕西省·西安市)网站〖首页&gt;电子交易平台&gt;陕西政府采购交易系统&gt;企业端〗报名自行下载</w:t>
            </w:r>
            <w:r>
              <w:rPr>
                <w:rFonts w:hint="eastAsia" w:cs="宋体" w:asciiTheme="minorEastAsia" w:hAnsiTheme="minorEastAsia" w:eastAsiaTheme="minorEastAsia"/>
                <w:color w:val="auto"/>
                <w:szCs w:val="24"/>
              </w:rPr>
              <w:t>获取招标文件。并于202</w:t>
            </w:r>
            <w:r>
              <w:rPr>
                <w:rFonts w:hint="eastAsia" w:cs="宋体" w:asciiTheme="minorEastAsia" w:hAnsiTheme="minorEastAsia" w:eastAsiaTheme="minorEastAsia"/>
                <w:color w:val="auto"/>
                <w:szCs w:val="24"/>
                <w:lang w:val="en-US" w:eastAsia="zh-CN"/>
              </w:rPr>
              <w:t>5</w:t>
            </w:r>
            <w:r>
              <w:rPr>
                <w:rFonts w:hint="eastAsia"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07</w:t>
            </w:r>
            <w:r>
              <w:rPr>
                <w:rFonts w:hint="eastAsia"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31</w:t>
            </w:r>
            <w:r>
              <w:rPr>
                <w:rFonts w:hint="eastAsia" w:cs="宋体" w:asciiTheme="minorEastAsia" w:hAnsiTheme="minorEastAsia" w:eastAsiaTheme="minorEastAsia"/>
                <w:color w:val="auto"/>
                <w:szCs w:val="24"/>
              </w:rPr>
              <w:t>日</w:t>
            </w:r>
            <w:r>
              <w:rPr>
                <w:rFonts w:hint="eastAsia" w:cs="宋体" w:asciiTheme="minorEastAsia" w:hAnsiTheme="minorEastAsia" w:eastAsiaTheme="minorEastAsia"/>
                <w:color w:val="auto"/>
                <w:szCs w:val="24"/>
                <w:lang w:val="en-US" w:eastAsia="zh-CN"/>
              </w:rPr>
              <w:t>09</w:t>
            </w:r>
            <w:r>
              <w:rPr>
                <w:rFonts w:hint="eastAsia" w:cs="宋体" w:asciiTheme="minorEastAsia" w:hAnsiTheme="minorEastAsia" w:eastAsiaTheme="minorEastAsia"/>
                <w:color w:val="auto"/>
                <w:szCs w:val="24"/>
              </w:rPr>
              <w:t>时</w:t>
            </w:r>
            <w:r>
              <w:rPr>
                <w:rFonts w:hint="eastAsia" w:cs="宋体" w:asciiTheme="minorEastAsia" w:hAnsiTheme="minorEastAsia" w:eastAsiaTheme="minorEastAsia"/>
                <w:color w:val="auto"/>
                <w:szCs w:val="24"/>
                <w:lang w:val="en-US" w:eastAsia="zh-CN"/>
              </w:rPr>
              <w:t>30</w:t>
            </w:r>
            <w:r>
              <w:rPr>
                <w:rFonts w:hint="eastAsia" w:cs="宋体" w:asciiTheme="minorEastAsia" w:hAnsiTheme="minorEastAsia" w:eastAsiaTheme="minorEastAsia"/>
                <w:color w:val="auto"/>
                <w:szCs w:val="24"/>
              </w:rPr>
              <w:t>分00秒（北京时间）前递交投标文件。</w:t>
            </w:r>
          </w:p>
        </w:tc>
      </w:tr>
    </w:tbl>
    <w:p w14:paraId="4253FE56">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一、项目基本情况</w:t>
      </w:r>
    </w:p>
    <w:p w14:paraId="3B0DFAF9">
      <w:pPr>
        <w:widowControl/>
        <w:shd w:val="clear" w:color="auto" w:fill="FFFFFF"/>
        <w:spacing w:line="360" w:lineRule="auto"/>
        <w:ind w:firstLine="480" w:firstLineChars="200"/>
        <w:textAlignment w:val="baseline"/>
        <w:rPr>
          <w:rFonts w:hint="eastAsia" w:cs="宋体" w:asciiTheme="minorEastAsia" w:hAnsiTheme="minorEastAsia" w:eastAsiaTheme="minorEastAsia"/>
          <w:color w:val="auto"/>
          <w:szCs w:val="24"/>
          <w:lang w:eastAsia="zh-CN"/>
        </w:rPr>
      </w:pPr>
      <w:r>
        <w:rPr>
          <w:rFonts w:cs="宋体" w:asciiTheme="minorEastAsia" w:hAnsiTheme="minorEastAsia" w:eastAsiaTheme="minorEastAsia"/>
          <w:color w:val="auto"/>
          <w:szCs w:val="24"/>
        </w:rPr>
        <w:t>项目编号：</w:t>
      </w:r>
      <w:r>
        <w:rPr>
          <w:rFonts w:hint="eastAsia" w:cs="宋体" w:asciiTheme="minorEastAsia" w:hAnsiTheme="minorEastAsia" w:eastAsiaTheme="minorEastAsia"/>
          <w:color w:val="auto"/>
          <w:szCs w:val="24"/>
          <w:lang w:eastAsia="zh-CN"/>
        </w:rPr>
        <w:t>SXWXZBDL2025-ZC-GK1004</w:t>
      </w:r>
    </w:p>
    <w:p w14:paraId="40310572">
      <w:pPr>
        <w:widowControl/>
        <w:shd w:val="clear" w:color="auto" w:fill="FFFFFF"/>
        <w:spacing w:line="360" w:lineRule="auto"/>
        <w:ind w:firstLine="480" w:firstLineChars="200"/>
        <w:textAlignment w:val="baseline"/>
        <w:rPr>
          <w:rFonts w:hint="eastAsia" w:cs="宋体" w:asciiTheme="minorEastAsia" w:hAnsiTheme="minorEastAsia" w:eastAsiaTheme="minorEastAsia"/>
          <w:color w:val="auto"/>
          <w:szCs w:val="24"/>
          <w:lang w:eastAsia="zh-CN"/>
        </w:rPr>
      </w:pPr>
      <w:r>
        <w:rPr>
          <w:rFonts w:cs="宋体" w:asciiTheme="minorEastAsia" w:hAnsiTheme="minorEastAsia" w:eastAsiaTheme="minorEastAsia"/>
          <w:color w:val="auto"/>
          <w:szCs w:val="24"/>
        </w:rPr>
        <w:t>项目名称：</w:t>
      </w:r>
      <w:r>
        <w:rPr>
          <w:rFonts w:hint="eastAsia" w:cs="宋体" w:asciiTheme="minorEastAsia" w:hAnsiTheme="minorEastAsia" w:eastAsiaTheme="minorEastAsia"/>
          <w:color w:val="auto"/>
          <w:szCs w:val="24"/>
          <w:lang w:eastAsia="zh-CN"/>
        </w:rPr>
        <w:t>城警联动人员外包服务</w:t>
      </w:r>
    </w:p>
    <w:p w14:paraId="4D146FE5">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采购方式：公开招标</w:t>
      </w:r>
    </w:p>
    <w:p w14:paraId="2DE76C5C">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预算金额：</w:t>
      </w:r>
      <w:r>
        <w:rPr>
          <w:rFonts w:hint="eastAsia" w:cs="宋体" w:asciiTheme="minorEastAsia" w:hAnsiTheme="minorEastAsia" w:eastAsiaTheme="minorEastAsia"/>
          <w:color w:val="auto"/>
          <w:szCs w:val="24"/>
          <w:lang w:val="en-US" w:eastAsia="zh-CN"/>
        </w:rPr>
        <w:t>11,300,000.00</w:t>
      </w:r>
      <w:r>
        <w:rPr>
          <w:rFonts w:cs="宋体" w:asciiTheme="minorEastAsia" w:hAnsiTheme="minorEastAsia" w:eastAsiaTheme="minorEastAsia"/>
          <w:color w:val="auto"/>
          <w:szCs w:val="24"/>
        </w:rPr>
        <w:t>元</w:t>
      </w:r>
    </w:p>
    <w:p w14:paraId="52422E00">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采购需求：</w:t>
      </w:r>
    </w:p>
    <w:p w14:paraId="2930EEE2">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合同包1(</w:t>
      </w:r>
      <w:r>
        <w:rPr>
          <w:rFonts w:hint="eastAsia" w:cs="宋体" w:asciiTheme="minorEastAsia" w:hAnsiTheme="minorEastAsia" w:eastAsiaTheme="minorEastAsia"/>
          <w:color w:val="auto"/>
          <w:szCs w:val="24"/>
          <w:lang w:eastAsia="zh-CN"/>
        </w:rPr>
        <w:t>城警联动人员外包服务</w:t>
      </w:r>
      <w:r>
        <w:rPr>
          <w:rFonts w:hint="eastAsia" w:cs="宋体" w:asciiTheme="minorEastAsia" w:hAnsiTheme="minorEastAsia" w:eastAsiaTheme="minorEastAsia"/>
          <w:color w:val="auto"/>
          <w:szCs w:val="24"/>
          <w:lang w:val="en-US" w:eastAsia="zh-CN"/>
        </w:rPr>
        <w:t>包1</w:t>
      </w:r>
      <w:r>
        <w:rPr>
          <w:rFonts w:cs="宋体" w:asciiTheme="minorEastAsia" w:hAnsiTheme="minorEastAsia"/>
          <w:color w:val="auto"/>
          <w:szCs w:val="24"/>
        </w:rPr>
        <w:t>)：</w:t>
      </w:r>
    </w:p>
    <w:p w14:paraId="5C84D9F8">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合同包预算金额：</w:t>
      </w:r>
      <w:r>
        <w:rPr>
          <w:rFonts w:hint="eastAsia" w:cs="宋体" w:asciiTheme="minorEastAsia" w:hAnsiTheme="minorEastAsia" w:eastAsiaTheme="minorEastAsia"/>
          <w:color w:val="auto"/>
          <w:szCs w:val="24"/>
          <w:lang w:val="en-US" w:eastAsia="zh-CN"/>
        </w:rPr>
        <w:t>3,800,000.00</w:t>
      </w:r>
      <w:r>
        <w:rPr>
          <w:rFonts w:cs="宋体" w:asciiTheme="minorEastAsia" w:hAnsiTheme="minorEastAsia" w:eastAsiaTheme="minorEastAsia"/>
          <w:color w:val="auto"/>
          <w:szCs w:val="24"/>
        </w:rPr>
        <w:t>元</w:t>
      </w:r>
    </w:p>
    <w:p w14:paraId="479DDDBF">
      <w:pPr>
        <w:pStyle w:val="26"/>
        <w:ind w:firstLine="480" w:firstLineChars="200"/>
        <w:rPr>
          <w:rFonts w:cs="宋体" w:asciiTheme="minorEastAsia" w:hAnsiTheme="minorEastAsia" w:eastAsiaTheme="minorEastAsia"/>
          <w:color w:val="auto"/>
          <w:kern w:val="0"/>
          <w:sz w:val="24"/>
          <w:szCs w:val="24"/>
          <w:lang w:val="en-US" w:eastAsia="zh-CN" w:bidi="ar-SA"/>
        </w:rPr>
      </w:pPr>
      <w:r>
        <w:rPr>
          <w:rFonts w:cs="宋体" w:asciiTheme="minorEastAsia" w:hAnsiTheme="minorEastAsia" w:eastAsiaTheme="minorEastAsia"/>
          <w:color w:val="auto"/>
          <w:kern w:val="0"/>
          <w:sz w:val="24"/>
          <w:szCs w:val="24"/>
          <w:lang w:val="en-US" w:eastAsia="zh-CN" w:bidi="ar-SA"/>
        </w:rPr>
        <w:t>合同包最高限价：</w:t>
      </w:r>
      <w:r>
        <w:rPr>
          <w:rFonts w:hint="eastAsia" w:cs="宋体" w:asciiTheme="minorEastAsia" w:hAnsiTheme="minorEastAsia" w:eastAsiaTheme="minorEastAsia"/>
          <w:color w:val="auto"/>
          <w:kern w:val="0"/>
          <w:sz w:val="24"/>
          <w:szCs w:val="24"/>
          <w:lang w:val="en-US" w:eastAsia="zh-CN" w:bidi="ar-SA"/>
        </w:rPr>
        <w:t>3,800,000.00元</w:t>
      </w:r>
    </w:p>
    <w:tbl>
      <w:tblPr>
        <w:tblStyle w:val="46"/>
        <w:tblW w:w="5483" w:type="pct"/>
        <w:tblInd w:w="0" w:type="dxa"/>
        <w:tblLayout w:type="fixed"/>
        <w:tblCellMar>
          <w:top w:w="0" w:type="dxa"/>
          <w:left w:w="0" w:type="dxa"/>
          <w:bottom w:w="0" w:type="dxa"/>
          <w:right w:w="0" w:type="dxa"/>
        </w:tblCellMar>
      </w:tblPr>
      <w:tblGrid>
        <w:gridCol w:w="1012"/>
        <w:gridCol w:w="1341"/>
        <w:gridCol w:w="1337"/>
        <w:gridCol w:w="1185"/>
        <w:gridCol w:w="1932"/>
        <w:gridCol w:w="1701"/>
        <w:gridCol w:w="1704"/>
      </w:tblGrid>
      <w:tr w14:paraId="07AE38C8">
        <w:tblPrEx>
          <w:tblCellMar>
            <w:top w:w="0" w:type="dxa"/>
            <w:left w:w="0" w:type="dxa"/>
            <w:bottom w:w="0" w:type="dxa"/>
            <w:right w:w="0" w:type="dxa"/>
          </w:tblCellMar>
        </w:tblPrEx>
        <w:trPr>
          <w:trHeight w:val="728" w:hRule="atLeast"/>
          <w:tblHeader/>
        </w:trPr>
        <w:tc>
          <w:tcPr>
            <w:tcW w:w="4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9C378E">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品目号</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D4DB69">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品目名称</w:t>
            </w:r>
          </w:p>
        </w:tc>
        <w:tc>
          <w:tcPr>
            <w:tcW w:w="6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5D29C3">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采购标的</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9AE0B5">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数量</w:t>
            </w:r>
          </w:p>
          <w:p w14:paraId="3DB51546">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（单位）</w:t>
            </w:r>
          </w:p>
        </w:tc>
        <w:tc>
          <w:tcPr>
            <w:tcW w:w="9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98FA7F">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技术规格、参数及要求</w:t>
            </w:r>
          </w:p>
        </w:tc>
        <w:tc>
          <w:tcPr>
            <w:tcW w:w="8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41D463">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品目预算</w:t>
            </w:r>
          </w:p>
          <w:p w14:paraId="4047DD5A">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(元)</w:t>
            </w:r>
          </w:p>
        </w:tc>
        <w:tc>
          <w:tcPr>
            <w:tcW w:w="83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B7BF19">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最高限价(元)</w:t>
            </w:r>
          </w:p>
        </w:tc>
      </w:tr>
      <w:tr w14:paraId="2CA09F01">
        <w:tblPrEx>
          <w:tblCellMar>
            <w:top w:w="0" w:type="dxa"/>
            <w:left w:w="0" w:type="dxa"/>
            <w:bottom w:w="0" w:type="dxa"/>
            <w:right w:w="0" w:type="dxa"/>
          </w:tblCellMar>
        </w:tblPrEx>
        <w:trPr>
          <w:trHeight w:val="480" w:hRule="atLeast"/>
        </w:trPr>
        <w:tc>
          <w:tcPr>
            <w:tcW w:w="4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23D02A">
            <w:pPr>
              <w:widowControl/>
              <w:spacing w:line="360" w:lineRule="auto"/>
              <w:jc w:val="center"/>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1-1</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BEA5C9">
            <w:pPr>
              <w:widowControl/>
              <w:spacing w:line="360" w:lineRule="auto"/>
              <w:jc w:val="center"/>
              <w:rPr>
                <w:rFonts w:hint="default" w:cs="宋体" w:asciiTheme="minorEastAsia" w:hAnsiTheme="minorEastAsia" w:eastAsiaTheme="minorEastAsia"/>
                <w:color w:val="auto"/>
                <w:szCs w:val="24"/>
                <w:lang w:val="en-US" w:eastAsia="zh-CN"/>
              </w:rPr>
            </w:pPr>
            <w:r>
              <w:rPr>
                <w:rFonts w:hint="eastAsia" w:cs="宋体" w:asciiTheme="minorEastAsia" w:hAnsiTheme="minorEastAsia" w:eastAsiaTheme="minorEastAsia"/>
                <w:color w:val="auto"/>
                <w:szCs w:val="24"/>
                <w:lang w:val="en-US" w:eastAsia="zh-CN"/>
              </w:rPr>
              <w:t>其他服务</w:t>
            </w:r>
          </w:p>
        </w:tc>
        <w:tc>
          <w:tcPr>
            <w:tcW w:w="6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C7A1A7">
            <w:pPr>
              <w:widowControl/>
              <w:spacing w:line="360" w:lineRule="auto"/>
              <w:jc w:val="center"/>
              <w:rPr>
                <w:rFonts w:hint="default" w:cs="宋体" w:asciiTheme="minorEastAsia" w:hAnsiTheme="minorEastAsia" w:eastAsiaTheme="minorEastAsia"/>
                <w:color w:val="auto"/>
                <w:szCs w:val="24"/>
                <w:lang w:val="en-US"/>
              </w:rPr>
            </w:pPr>
            <w:r>
              <w:rPr>
                <w:rFonts w:hint="eastAsia" w:cs="宋体" w:asciiTheme="minorEastAsia" w:hAnsiTheme="minorEastAsia" w:eastAsiaTheme="minorEastAsia"/>
                <w:color w:val="auto"/>
                <w:szCs w:val="24"/>
                <w:lang w:eastAsia="zh-CN"/>
              </w:rPr>
              <w:t>城警联动人员外包服务</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03CBFA">
            <w:pPr>
              <w:widowControl/>
              <w:spacing w:line="360" w:lineRule="auto"/>
              <w:jc w:val="center"/>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1(</w:t>
            </w:r>
            <w:r>
              <w:rPr>
                <w:rFonts w:hint="eastAsia" w:cs="宋体" w:asciiTheme="minorEastAsia" w:hAnsiTheme="minorEastAsia" w:eastAsiaTheme="minorEastAsia"/>
                <w:color w:val="auto"/>
                <w:szCs w:val="24"/>
              </w:rPr>
              <w:t>项</w:t>
            </w:r>
            <w:r>
              <w:rPr>
                <w:rFonts w:cs="宋体" w:asciiTheme="minorEastAsia" w:hAnsiTheme="minorEastAsia" w:eastAsiaTheme="minorEastAsia"/>
                <w:color w:val="auto"/>
                <w:szCs w:val="24"/>
              </w:rPr>
              <w:t>)</w:t>
            </w:r>
          </w:p>
        </w:tc>
        <w:tc>
          <w:tcPr>
            <w:tcW w:w="9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B64EA8">
            <w:pPr>
              <w:widowControl/>
              <w:spacing w:line="360" w:lineRule="auto"/>
              <w:jc w:val="center"/>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详见</w:t>
            </w:r>
            <w:r>
              <w:rPr>
                <w:rFonts w:hint="eastAsia" w:cs="宋体" w:asciiTheme="minorEastAsia" w:hAnsiTheme="minorEastAsia" w:eastAsiaTheme="minorEastAsia"/>
                <w:color w:val="auto"/>
                <w:szCs w:val="24"/>
              </w:rPr>
              <w:t>招标</w:t>
            </w:r>
            <w:r>
              <w:rPr>
                <w:rFonts w:cs="宋体" w:asciiTheme="minorEastAsia" w:hAnsiTheme="minorEastAsia" w:eastAsiaTheme="minorEastAsia"/>
                <w:color w:val="auto"/>
                <w:szCs w:val="24"/>
              </w:rPr>
              <w:t>文件</w:t>
            </w:r>
          </w:p>
        </w:tc>
        <w:tc>
          <w:tcPr>
            <w:tcW w:w="8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D49829">
            <w:pPr>
              <w:widowControl/>
              <w:spacing w:line="360" w:lineRule="auto"/>
              <w:jc w:val="center"/>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3,800,000.00</w:t>
            </w:r>
          </w:p>
        </w:tc>
        <w:tc>
          <w:tcPr>
            <w:tcW w:w="83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A50068">
            <w:pPr>
              <w:widowControl/>
              <w:spacing w:line="360" w:lineRule="auto"/>
              <w:jc w:val="right"/>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3,800,000.00</w:t>
            </w:r>
          </w:p>
        </w:tc>
      </w:tr>
    </w:tbl>
    <w:p w14:paraId="4C9C4FAE">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本合同包不接受联合体投标</w:t>
      </w:r>
    </w:p>
    <w:p w14:paraId="7DC436F8">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val="zh-CN" w:eastAsia="zh-CN"/>
        </w:rPr>
      </w:pPr>
      <w:r>
        <w:rPr>
          <w:rFonts w:cs="宋体" w:asciiTheme="minorEastAsia" w:hAnsiTheme="minorEastAsia" w:eastAsiaTheme="minorEastAsia"/>
          <w:color w:val="auto"/>
          <w:szCs w:val="24"/>
        </w:rPr>
        <w:t>合同履行期限：</w:t>
      </w:r>
      <w:r>
        <w:rPr>
          <w:rFonts w:hint="eastAsia" w:cs="宋体" w:asciiTheme="minorEastAsia" w:hAnsiTheme="minorEastAsia" w:eastAsiaTheme="minorEastAsia"/>
          <w:color w:val="auto"/>
          <w:szCs w:val="24"/>
          <w:lang w:val="zh-CN" w:eastAsia="zh-CN"/>
        </w:rPr>
        <w:t>两年（合同一年一签，第一年服务结束后，招标人可根据中标人第一年的服务质量考虑是否续签第二年合同）。</w:t>
      </w:r>
    </w:p>
    <w:p w14:paraId="10E47004">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w:t>
      </w:r>
      <w:r>
        <w:rPr>
          <w:rFonts w:hint="eastAsia" w:cs="宋体" w:asciiTheme="minorEastAsia" w:hAnsiTheme="minorEastAsia" w:eastAsiaTheme="minorEastAsia"/>
          <w:color w:val="auto"/>
          <w:szCs w:val="24"/>
          <w:lang w:val="en-US" w:eastAsia="zh-CN"/>
        </w:rPr>
        <w:t>2</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lang w:eastAsia="zh-CN"/>
        </w:rPr>
        <w:t>城警联动人员外包服务</w:t>
      </w:r>
      <w:r>
        <w:rPr>
          <w:rFonts w:hint="eastAsia" w:cs="宋体" w:asciiTheme="minorEastAsia" w:hAnsiTheme="minorEastAsia" w:eastAsiaTheme="minorEastAsia"/>
          <w:color w:val="auto"/>
          <w:szCs w:val="24"/>
          <w:lang w:val="en-US" w:eastAsia="zh-CN"/>
        </w:rPr>
        <w:t>包2</w:t>
      </w:r>
      <w:r>
        <w:rPr>
          <w:rFonts w:cs="宋体" w:asciiTheme="minorEastAsia" w:hAnsiTheme="minorEastAsia"/>
          <w:color w:val="auto"/>
          <w:szCs w:val="24"/>
        </w:rPr>
        <w:t>)：</w:t>
      </w:r>
    </w:p>
    <w:p w14:paraId="575220D6">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合同包预算金额：</w:t>
      </w:r>
      <w:r>
        <w:rPr>
          <w:rFonts w:hint="eastAsia" w:cs="宋体" w:asciiTheme="minorEastAsia" w:hAnsiTheme="minorEastAsia" w:eastAsiaTheme="minorEastAsia"/>
          <w:color w:val="auto"/>
          <w:szCs w:val="24"/>
          <w:lang w:val="en-US" w:eastAsia="zh-CN"/>
        </w:rPr>
        <w:t>7,500,000.00</w:t>
      </w:r>
      <w:r>
        <w:rPr>
          <w:rFonts w:cs="宋体" w:asciiTheme="minorEastAsia" w:hAnsiTheme="minorEastAsia" w:eastAsiaTheme="minorEastAsia"/>
          <w:color w:val="auto"/>
          <w:szCs w:val="24"/>
        </w:rPr>
        <w:t>元</w:t>
      </w:r>
    </w:p>
    <w:p w14:paraId="6140E854">
      <w:pPr>
        <w:pStyle w:val="26"/>
        <w:ind w:firstLine="480" w:firstLineChars="200"/>
        <w:rPr>
          <w:rFonts w:cs="宋体" w:asciiTheme="minorEastAsia" w:hAnsiTheme="minorEastAsia" w:eastAsiaTheme="minorEastAsia"/>
          <w:color w:val="auto"/>
          <w:kern w:val="0"/>
          <w:sz w:val="24"/>
          <w:szCs w:val="24"/>
          <w:lang w:val="en-US" w:eastAsia="zh-CN" w:bidi="ar-SA"/>
        </w:rPr>
      </w:pPr>
      <w:r>
        <w:rPr>
          <w:rFonts w:cs="宋体" w:asciiTheme="minorEastAsia" w:hAnsiTheme="minorEastAsia" w:eastAsiaTheme="minorEastAsia"/>
          <w:color w:val="auto"/>
          <w:kern w:val="0"/>
          <w:sz w:val="24"/>
          <w:szCs w:val="24"/>
          <w:lang w:val="en-US" w:eastAsia="zh-CN" w:bidi="ar-SA"/>
        </w:rPr>
        <w:t>合同包最高限价：</w:t>
      </w:r>
      <w:r>
        <w:rPr>
          <w:rFonts w:hint="eastAsia" w:cs="宋体" w:asciiTheme="minorEastAsia" w:hAnsiTheme="minorEastAsia" w:eastAsiaTheme="minorEastAsia"/>
          <w:color w:val="auto"/>
          <w:kern w:val="0"/>
          <w:sz w:val="24"/>
          <w:szCs w:val="24"/>
          <w:lang w:val="en-US" w:eastAsia="zh-CN" w:bidi="ar-SA"/>
        </w:rPr>
        <w:t>7,500,000.00元</w:t>
      </w:r>
    </w:p>
    <w:tbl>
      <w:tblPr>
        <w:tblStyle w:val="46"/>
        <w:tblW w:w="5483" w:type="pct"/>
        <w:tblInd w:w="0" w:type="dxa"/>
        <w:tblLayout w:type="fixed"/>
        <w:tblCellMar>
          <w:top w:w="0" w:type="dxa"/>
          <w:left w:w="0" w:type="dxa"/>
          <w:bottom w:w="0" w:type="dxa"/>
          <w:right w:w="0" w:type="dxa"/>
        </w:tblCellMar>
      </w:tblPr>
      <w:tblGrid>
        <w:gridCol w:w="1012"/>
        <w:gridCol w:w="1341"/>
        <w:gridCol w:w="1337"/>
        <w:gridCol w:w="1185"/>
        <w:gridCol w:w="1932"/>
        <w:gridCol w:w="1701"/>
        <w:gridCol w:w="1704"/>
      </w:tblGrid>
      <w:tr w14:paraId="26327BD8">
        <w:tblPrEx>
          <w:tblCellMar>
            <w:top w:w="0" w:type="dxa"/>
            <w:left w:w="0" w:type="dxa"/>
            <w:bottom w:w="0" w:type="dxa"/>
            <w:right w:w="0" w:type="dxa"/>
          </w:tblCellMar>
        </w:tblPrEx>
        <w:trPr>
          <w:trHeight w:val="728" w:hRule="atLeast"/>
          <w:tblHeader/>
        </w:trPr>
        <w:tc>
          <w:tcPr>
            <w:tcW w:w="4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5A2617">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品目号</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43ABF7">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品目名称</w:t>
            </w:r>
          </w:p>
        </w:tc>
        <w:tc>
          <w:tcPr>
            <w:tcW w:w="6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2804DC">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采购标的</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090F75">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数量</w:t>
            </w:r>
          </w:p>
          <w:p w14:paraId="5DE0130D">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（单位）</w:t>
            </w:r>
          </w:p>
        </w:tc>
        <w:tc>
          <w:tcPr>
            <w:tcW w:w="9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020BEA">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技术规格、参数及要求</w:t>
            </w:r>
          </w:p>
        </w:tc>
        <w:tc>
          <w:tcPr>
            <w:tcW w:w="8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8B32C5">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品目预算</w:t>
            </w:r>
          </w:p>
          <w:p w14:paraId="5D09D4B9">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(元)</w:t>
            </w:r>
          </w:p>
        </w:tc>
        <w:tc>
          <w:tcPr>
            <w:tcW w:w="83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CE3C7C">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最高限价(元)</w:t>
            </w:r>
          </w:p>
        </w:tc>
      </w:tr>
      <w:tr w14:paraId="1611901E">
        <w:tblPrEx>
          <w:tblCellMar>
            <w:top w:w="0" w:type="dxa"/>
            <w:left w:w="0" w:type="dxa"/>
            <w:bottom w:w="0" w:type="dxa"/>
            <w:right w:w="0" w:type="dxa"/>
          </w:tblCellMar>
        </w:tblPrEx>
        <w:trPr>
          <w:trHeight w:val="480" w:hRule="atLeast"/>
        </w:trPr>
        <w:tc>
          <w:tcPr>
            <w:tcW w:w="4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4188E5">
            <w:pPr>
              <w:widowControl/>
              <w:spacing w:line="360" w:lineRule="auto"/>
              <w:jc w:val="center"/>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2</w:t>
            </w:r>
            <w:r>
              <w:rPr>
                <w:rFonts w:cs="宋体" w:asciiTheme="minorEastAsia" w:hAnsiTheme="minorEastAsia" w:eastAsiaTheme="minorEastAsia"/>
                <w:color w:val="auto"/>
                <w:szCs w:val="24"/>
              </w:rPr>
              <w:t>-1</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D6E1ED">
            <w:pPr>
              <w:widowControl/>
              <w:spacing w:line="360" w:lineRule="auto"/>
              <w:jc w:val="center"/>
              <w:rPr>
                <w:rFonts w:hint="default" w:cs="宋体" w:asciiTheme="minorEastAsia" w:hAnsiTheme="minorEastAsia" w:eastAsiaTheme="minorEastAsia"/>
                <w:color w:val="auto"/>
                <w:szCs w:val="24"/>
                <w:lang w:val="en-US" w:eastAsia="zh-CN"/>
              </w:rPr>
            </w:pPr>
            <w:r>
              <w:rPr>
                <w:rFonts w:hint="eastAsia" w:cs="宋体" w:asciiTheme="minorEastAsia" w:hAnsiTheme="minorEastAsia" w:eastAsiaTheme="minorEastAsia"/>
                <w:color w:val="auto"/>
                <w:szCs w:val="24"/>
                <w:lang w:val="en-US" w:eastAsia="zh-CN"/>
              </w:rPr>
              <w:t>其他服务</w:t>
            </w:r>
          </w:p>
        </w:tc>
        <w:tc>
          <w:tcPr>
            <w:tcW w:w="6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A8F107">
            <w:pPr>
              <w:widowControl/>
              <w:spacing w:line="360" w:lineRule="auto"/>
              <w:jc w:val="center"/>
              <w:rPr>
                <w:rFonts w:hint="default" w:cs="宋体" w:asciiTheme="minorEastAsia" w:hAnsiTheme="minorEastAsia" w:eastAsiaTheme="minorEastAsia"/>
                <w:color w:val="auto"/>
                <w:szCs w:val="24"/>
                <w:lang w:val="en-US"/>
              </w:rPr>
            </w:pPr>
            <w:r>
              <w:rPr>
                <w:rFonts w:hint="eastAsia" w:cs="宋体" w:asciiTheme="minorEastAsia" w:hAnsiTheme="minorEastAsia" w:eastAsiaTheme="minorEastAsia"/>
                <w:color w:val="auto"/>
                <w:szCs w:val="24"/>
                <w:lang w:eastAsia="zh-CN"/>
              </w:rPr>
              <w:t>城警联动人员外包服务</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1AD489">
            <w:pPr>
              <w:widowControl/>
              <w:spacing w:line="360" w:lineRule="auto"/>
              <w:jc w:val="center"/>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1(</w:t>
            </w:r>
            <w:r>
              <w:rPr>
                <w:rFonts w:hint="eastAsia" w:cs="宋体" w:asciiTheme="minorEastAsia" w:hAnsiTheme="minorEastAsia" w:eastAsiaTheme="minorEastAsia"/>
                <w:color w:val="auto"/>
                <w:szCs w:val="24"/>
              </w:rPr>
              <w:t>项</w:t>
            </w:r>
            <w:r>
              <w:rPr>
                <w:rFonts w:cs="宋体" w:asciiTheme="minorEastAsia" w:hAnsiTheme="minorEastAsia" w:eastAsiaTheme="minorEastAsia"/>
                <w:color w:val="auto"/>
                <w:szCs w:val="24"/>
              </w:rPr>
              <w:t>)</w:t>
            </w:r>
          </w:p>
        </w:tc>
        <w:tc>
          <w:tcPr>
            <w:tcW w:w="9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F276C7">
            <w:pPr>
              <w:widowControl/>
              <w:spacing w:line="360" w:lineRule="auto"/>
              <w:jc w:val="center"/>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详见</w:t>
            </w:r>
            <w:r>
              <w:rPr>
                <w:rFonts w:hint="eastAsia" w:cs="宋体" w:asciiTheme="minorEastAsia" w:hAnsiTheme="minorEastAsia" w:eastAsiaTheme="minorEastAsia"/>
                <w:color w:val="auto"/>
                <w:szCs w:val="24"/>
              </w:rPr>
              <w:t>招标</w:t>
            </w:r>
            <w:r>
              <w:rPr>
                <w:rFonts w:cs="宋体" w:asciiTheme="minorEastAsia" w:hAnsiTheme="minorEastAsia" w:eastAsiaTheme="minorEastAsia"/>
                <w:color w:val="auto"/>
                <w:szCs w:val="24"/>
              </w:rPr>
              <w:t>文件</w:t>
            </w:r>
          </w:p>
        </w:tc>
        <w:tc>
          <w:tcPr>
            <w:tcW w:w="8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4B8399">
            <w:pPr>
              <w:widowControl/>
              <w:spacing w:line="360" w:lineRule="auto"/>
              <w:jc w:val="center"/>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7,500,000.00</w:t>
            </w:r>
          </w:p>
        </w:tc>
        <w:tc>
          <w:tcPr>
            <w:tcW w:w="83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70C990">
            <w:pPr>
              <w:widowControl/>
              <w:spacing w:line="360" w:lineRule="auto"/>
              <w:jc w:val="right"/>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7,500,000.00</w:t>
            </w:r>
          </w:p>
        </w:tc>
      </w:tr>
    </w:tbl>
    <w:p w14:paraId="67B9C01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本合同包不接受联合体投标</w:t>
      </w:r>
    </w:p>
    <w:p w14:paraId="38724A2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val="zh-CN" w:eastAsia="zh-CN"/>
        </w:rPr>
      </w:pPr>
      <w:r>
        <w:rPr>
          <w:rFonts w:cs="宋体" w:asciiTheme="minorEastAsia" w:hAnsiTheme="minorEastAsia" w:eastAsiaTheme="minorEastAsia"/>
          <w:color w:val="auto"/>
          <w:szCs w:val="24"/>
        </w:rPr>
        <w:t>合同履行期限：</w:t>
      </w:r>
      <w:r>
        <w:rPr>
          <w:rFonts w:hint="eastAsia" w:cs="宋体" w:asciiTheme="minorEastAsia" w:hAnsiTheme="minorEastAsia" w:eastAsiaTheme="minorEastAsia"/>
          <w:color w:val="auto"/>
          <w:szCs w:val="24"/>
          <w:lang w:val="zh-CN" w:eastAsia="zh-CN"/>
        </w:rPr>
        <w:t>两年（合同一年一签，第一年服务结束后，招标人可根据中标人第一年的服务质量考虑是否续签第二年合同）。</w:t>
      </w:r>
    </w:p>
    <w:p w14:paraId="01DB10C2">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二、申请人的资格要求：</w:t>
      </w:r>
    </w:p>
    <w:p w14:paraId="703DC7E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w:t>
      </w:r>
      <w:r>
        <w:rPr>
          <w:rFonts w:hint="eastAsia" w:cs="宋体" w:asciiTheme="minorEastAsia" w:hAnsiTheme="minorEastAsia" w:eastAsiaTheme="minorEastAsia"/>
          <w:color w:val="auto"/>
          <w:szCs w:val="24"/>
          <w:lang w:val="en-US" w:eastAsia="zh-CN"/>
        </w:rPr>
        <w:t>合同包1</w:t>
      </w:r>
      <w:r>
        <w:rPr>
          <w:rFonts w:hint="eastAsia" w:cs="宋体" w:asciiTheme="minorEastAsia" w:hAnsiTheme="minorEastAsia" w:eastAsiaTheme="minorEastAsia"/>
          <w:color w:val="auto"/>
          <w:szCs w:val="24"/>
          <w:lang w:eastAsia="zh-CN"/>
        </w:rPr>
        <w:t>（城警联动人员外包服务</w:t>
      </w:r>
      <w:r>
        <w:rPr>
          <w:rFonts w:hint="eastAsia" w:cs="宋体" w:asciiTheme="minorEastAsia" w:hAnsiTheme="minorEastAsia" w:eastAsiaTheme="minorEastAsia"/>
          <w:color w:val="auto"/>
          <w:szCs w:val="24"/>
          <w:lang w:val="en-US" w:eastAsia="zh-CN"/>
        </w:rPr>
        <w:t>包1</w:t>
      </w:r>
      <w:r>
        <w:rPr>
          <w:rFonts w:cs="宋体" w:asciiTheme="minorEastAsia" w:hAnsiTheme="minorEastAsia" w:eastAsiaTheme="minorEastAsia"/>
          <w:color w:val="auto"/>
          <w:szCs w:val="24"/>
        </w:rPr>
        <w:t>)满足《中华人民共和国政府</w:t>
      </w:r>
      <w:r>
        <w:rPr>
          <w:rFonts w:hint="eastAsia" w:cs="宋体" w:asciiTheme="minorEastAsia" w:hAnsiTheme="minorEastAsia" w:eastAsiaTheme="minorEastAsia"/>
          <w:color w:val="auto"/>
          <w:szCs w:val="24"/>
        </w:rPr>
        <w:t>采</w:t>
      </w:r>
      <w:r>
        <w:rPr>
          <w:rFonts w:cs="宋体" w:asciiTheme="minorEastAsia" w:hAnsiTheme="minorEastAsia" w:eastAsiaTheme="minorEastAsia"/>
          <w:color w:val="auto"/>
          <w:szCs w:val="24"/>
        </w:rPr>
        <w:t>购法》第二十二条规定</w:t>
      </w:r>
      <w:r>
        <w:rPr>
          <w:rFonts w:hint="eastAsia" w:cs="宋体" w:asciiTheme="minorEastAsia" w:hAnsiTheme="minorEastAsia" w:eastAsiaTheme="minorEastAsia"/>
          <w:color w:val="auto"/>
          <w:szCs w:val="24"/>
        </w:rPr>
        <w:t>；</w:t>
      </w:r>
    </w:p>
    <w:p w14:paraId="20C814F9">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合同包2</w:t>
      </w:r>
      <w:r>
        <w:rPr>
          <w:rFonts w:hint="eastAsia" w:cs="宋体" w:asciiTheme="minorEastAsia" w:hAnsiTheme="minorEastAsia" w:eastAsiaTheme="minorEastAsia"/>
          <w:color w:val="auto"/>
          <w:szCs w:val="24"/>
          <w:lang w:eastAsia="zh-CN"/>
        </w:rPr>
        <w:t>（城警联动人员外包服务</w:t>
      </w:r>
      <w:r>
        <w:rPr>
          <w:rFonts w:hint="eastAsia" w:cs="宋体" w:asciiTheme="minorEastAsia" w:hAnsiTheme="minorEastAsia" w:eastAsiaTheme="minorEastAsia"/>
          <w:color w:val="auto"/>
          <w:szCs w:val="24"/>
          <w:lang w:val="en-US" w:eastAsia="zh-CN"/>
        </w:rPr>
        <w:t>包2</w:t>
      </w:r>
      <w:r>
        <w:rPr>
          <w:rFonts w:cs="宋体" w:asciiTheme="minorEastAsia" w:hAnsiTheme="minorEastAsia" w:eastAsiaTheme="minorEastAsia"/>
          <w:color w:val="auto"/>
          <w:szCs w:val="24"/>
        </w:rPr>
        <w:t>)满足《中华人民共和国政府</w:t>
      </w:r>
      <w:r>
        <w:rPr>
          <w:rFonts w:hint="eastAsia" w:cs="宋体" w:asciiTheme="minorEastAsia" w:hAnsiTheme="minorEastAsia" w:eastAsiaTheme="minorEastAsia"/>
          <w:color w:val="auto"/>
          <w:szCs w:val="24"/>
        </w:rPr>
        <w:t>采</w:t>
      </w:r>
      <w:r>
        <w:rPr>
          <w:rFonts w:cs="宋体" w:asciiTheme="minorEastAsia" w:hAnsiTheme="minorEastAsia" w:eastAsiaTheme="minorEastAsia"/>
          <w:color w:val="auto"/>
          <w:szCs w:val="24"/>
        </w:rPr>
        <w:t>购法》第二十二条规定</w:t>
      </w:r>
      <w:r>
        <w:rPr>
          <w:rFonts w:hint="eastAsia" w:cs="宋体" w:asciiTheme="minorEastAsia" w:hAnsiTheme="minorEastAsia" w:eastAsiaTheme="minorEastAsia"/>
          <w:color w:val="auto"/>
          <w:szCs w:val="24"/>
        </w:rPr>
        <w:t>；</w:t>
      </w:r>
    </w:p>
    <w:p w14:paraId="109D2539">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2.</w:t>
      </w:r>
      <w:r>
        <w:rPr>
          <w:rFonts w:hint="eastAsia" w:cs="宋体" w:asciiTheme="minorEastAsia" w:hAnsiTheme="minorEastAsia" w:eastAsiaTheme="minorEastAsia"/>
          <w:color w:val="auto"/>
          <w:szCs w:val="24"/>
          <w:lang w:val="en-US" w:eastAsia="zh-CN"/>
        </w:rPr>
        <w:t>合同包1</w:t>
      </w:r>
      <w:r>
        <w:rPr>
          <w:rFonts w:hint="eastAsia" w:cs="宋体" w:asciiTheme="minorEastAsia" w:hAnsiTheme="minorEastAsia" w:eastAsiaTheme="minorEastAsia"/>
          <w:color w:val="auto"/>
          <w:szCs w:val="24"/>
          <w:lang w:eastAsia="zh-CN"/>
        </w:rPr>
        <w:t>（城警联动人员外包服务</w:t>
      </w:r>
      <w:r>
        <w:rPr>
          <w:rFonts w:hint="eastAsia" w:cs="宋体" w:asciiTheme="minorEastAsia" w:hAnsiTheme="minorEastAsia" w:eastAsiaTheme="minorEastAsia"/>
          <w:color w:val="auto"/>
          <w:szCs w:val="24"/>
          <w:lang w:val="en-US" w:eastAsia="zh-CN"/>
        </w:rPr>
        <w:t>包1</w:t>
      </w:r>
      <w:r>
        <w:rPr>
          <w:rFonts w:cs="宋体" w:asciiTheme="minorEastAsia" w:hAnsiTheme="minorEastAsia" w:eastAsiaTheme="minorEastAsia"/>
          <w:color w:val="auto"/>
          <w:szCs w:val="24"/>
        </w:rPr>
        <w:t>)落实政府采购政策需满足的资格要求：</w:t>
      </w:r>
    </w:p>
    <w:p w14:paraId="3DF53764">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（1）《政府采购促进中小企业发展管理办法》（财库〔2020〕46号）；</w:t>
      </w:r>
    </w:p>
    <w:p w14:paraId="4B4F511E">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（2）《财政部司法部关于政府采购支持监狱企业发展有关问题的通知》（财库〔2014〕68号）；</w:t>
      </w:r>
    </w:p>
    <w:p w14:paraId="3A0900A2">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（3）《国务院办公厅关于建立政府强制采购节能产品制度的通知》（国发办〔2007〕51号）；</w:t>
      </w:r>
    </w:p>
    <w:p w14:paraId="283A98EC">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（4）《节能产品政府采购实施意见》（财库〔2004〕185号）；</w:t>
      </w:r>
    </w:p>
    <w:p w14:paraId="2976EB6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（5）《环境标志产品政府采购实施的意见》（财库〔2006〕90号）；</w:t>
      </w:r>
    </w:p>
    <w:p w14:paraId="3E625E24">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（6）《三部门联合发布关于促进残疾人就业政府采购政策的通知》（财库〔2017〕141号）；</w:t>
      </w:r>
    </w:p>
    <w:p w14:paraId="49EB57A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（7）《财政部发展改革委生态环境部市场监管总局关于调整优化节能产品、环境标志产品政府采购执行机制的通知》（财库〔2019〕9号）；</w:t>
      </w:r>
    </w:p>
    <w:p w14:paraId="383D6D4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（8）陕西省财政厅关于印发《陕西省中小企业政府采购信用融资办法》（陕财办采〔2018〕23号）；</w:t>
      </w:r>
    </w:p>
    <w:p w14:paraId="292CD1A3">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（9）《财政部农业农村部国家乡村振兴局关于运用政府采购政策支持乡村产业振兴的通知》（财库〔2021〕19号）；</w:t>
      </w:r>
    </w:p>
    <w:p w14:paraId="53F1CF4A">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（10）《财政部农业农村部国家乡村振兴局中华全</w:t>
      </w:r>
      <w:r>
        <w:rPr>
          <w:rFonts w:hint="eastAsia" w:cs="宋体" w:asciiTheme="minorEastAsia" w:hAnsiTheme="minorEastAsia" w:eastAsiaTheme="minorEastAsia"/>
          <w:color w:val="auto"/>
          <w:szCs w:val="24"/>
          <w:lang w:val="en-US" w:eastAsia="zh-CN"/>
        </w:rPr>
        <w:t xml:space="preserve"> </w:t>
      </w:r>
      <w:r>
        <w:rPr>
          <w:rFonts w:cs="宋体" w:asciiTheme="minorEastAsia" w:hAnsiTheme="minorEastAsia" w:eastAsiaTheme="minorEastAsia"/>
          <w:color w:val="auto"/>
          <w:szCs w:val="24"/>
        </w:rPr>
        <w:t>国供销合作总社关于印发&lt;关于深入开展政府采购脱贫地区农副产品工作推进乡村产业振兴的实施意见&gt;的通知》（财库〔2021〕20号）；</w:t>
      </w:r>
    </w:p>
    <w:p w14:paraId="2DF14E2A">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（11）《陕西省财政厅关于进一步加强政府绿色采购有关问题的通知》（陕财办采〔2021〕29号）；</w:t>
      </w:r>
    </w:p>
    <w:p w14:paraId="55F40742">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（12）《财政部关于在政府采购活动中落实平等对待内外资企业有关政策的通知》（财库〔2021〕35号）；</w:t>
      </w:r>
    </w:p>
    <w:p w14:paraId="6F1E6DA3">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（13）陕西省财政厅《关于加快推进我省中小企业政府采购信用融资工作的通知》（陕财办采〔2020〕15号）；</w:t>
      </w:r>
    </w:p>
    <w:p w14:paraId="5C06E18A">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（14）《关于进一步加大政府采购支持中小企业力度的通知》（财库〔2022〕19号）；</w:t>
      </w:r>
    </w:p>
    <w:p w14:paraId="16EF1AD8">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（15）《陕西省财政厅关于进一步优化政府采购营商环境有关事项的通知》（陕财办采〔2023〕4号）；</w:t>
      </w:r>
    </w:p>
    <w:p w14:paraId="368AFA7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eastAsia="zh-CN"/>
        </w:rPr>
      </w:pPr>
      <w:r>
        <w:rPr>
          <w:rFonts w:cs="宋体" w:asciiTheme="minorEastAsia" w:hAnsiTheme="minorEastAsia" w:eastAsiaTheme="minorEastAsia"/>
          <w:color w:val="auto"/>
          <w:szCs w:val="24"/>
        </w:rPr>
        <w:t>（16）其他需要落实的政府采购政策，详见</w:t>
      </w:r>
      <w:r>
        <w:rPr>
          <w:rFonts w:hint="eastAsia" w:cs="宋体" w:asciiTheme="minorEastAsia" w:hAnsiTheme="minorEastAsia" w:eastAsiaTheme="minorEastAsia"/>
          <w:color w:val="auto"/>
          <w:szCs w:val="24"/>
          <w:lang w:eastAsia="zh-CN"/>
        </w:rPr>
        <w:t>招标</w:t>
      </w:r>
      <w:r>
        <w:rPr>
          <w:rFonts w:cs="宋体" w:asciiTheme="minorEastAsia" w:hAnsiTheme="minorEastAsia" w:eastAsiaTheme="minorEastAsia"/>
          <w:color w:val="auto"/>
          <w:szCs w:val="24"/>
        </w:rPr>
        <w:t>文件。</w:t>
      </w:r>
    </w:p>
    <w:p w14:paraId="740744EE">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合同包2</w:t>
      </w:r>
      <w:r>
        <w:rPr>
          <w:rFonts w:hint="eastAsia" w:cs="宋体" w:asciiTheme="minorEastAsia" w:hAnsiTheme="minorEastAsia" w:eastAsiaTheme="minorEastAsia"/>
          <w:color w:val="auto"/>
          <w:szCs w:val="24"/>
          <w:lang w:eastAsia="zh-CN"/>
        </w:rPr>
        <w:t>（城警联动人员外包服务</w:t>
      </w:r>
      <w:r>
        <w:rPr>
          <w:rFonts w:hint="eastAsia" w:cs="宋体" w:asciiTheme="minorEastAsia" w:hAnsiTheme="minorEastAsia" w:eastAsiaTheme="minorEastAsia"/>
          <w:color w:val="auto"/>
          <w:szCs w:val="24"/>
          <w:lang w:val="en-US" w:eastAsia="zh-CN"/>
        </w:rPr>
        <w:t>包2</w:t>
      </w:r>
      <w:r>
        <w:rPr>
          <w:rFonts w:cs="宋体" w:asciiTheme="minorEastAsia" w:hAnsiTheme="minorEastAsia" w:eastAsiaTheme="minorEastAsia"/>
          <w:color w:val="auto"/>
          <w:szCs w:val="24"/>
        </w:rPr>
        <w:t>)落实政府采购政策需满足的资格要求：</w:t>
      </w:r>
    </w:p>
    <w:p w14:paraId="297F5958">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（1）《政府采购促进中小企业发展管理办法》（财库〔2020〕46号）；</w:t>
      </w:r>
    </w:p>
    <w:p w14:paraId="721EC42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（2）《财政部司法部关于政府采购支持监狱企业发展有关问题的通知》（财库〔2014〕68号）；</w:t>
      </w:r>
    </w:p>
    <w:p w14:paraId="1C530C4E">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（3）《国务院办公厅关于建立政府强制采购节能产品制度的通知》（国发办〔2007〕51号）；</w:t>
      </w:r>
    </w:p>
    <w:p w14:paraId="754AD6EB">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（4）《节能产品政府采购实施意见》（财库〔2004〕185号）；</w:t>
      </w:r>
    </w:p>
    <w:p w14:paraId="511C6179">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（5）《环境标志产品政府采购实施的意见》（财库〔2006〕90号）；</w:t>
      </w:r>
    </w:p>
    <w:p w14:paraId="202B7662">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（6）《三部门联合发布关于促进残疾人就业政府采购政策的通知》（财库〔2017〕141号）；</w:t>
      </w:r>
    </w:p>
    <w:p w14:paraId="507C532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（7）《财政部发展改革委生态环境部市场监管总局关于调整优化节能产品、环境标志产品政府采购执行机制的通知》（财库〔2019〕9号）；</w:t>
      </w:r>
    </w:p>
    <w:p w14:paraId="1D317F1B">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（8）陕西省财政厅关于印发《陕西省中小企业政府采购信用融资办法》（陕财办采〔2018〕23号）；</w:t>
      </w:r>
    </w:p>
    <w:p w14:paraId="70BE3B4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（9）《财政部农业农村部国家乡村振兴局关于运用政府采购政策支持乡村产业振兴的通知》（财库〔2021〕19号）；</w:t>
      </w:r>
    </w:p>
    <w:p w14:paraId="1C9E6108">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（10）《财政部农业农村部国家乡村振兴局中华全</w:t>
      </w:r>
      <w:r>
        <w:rPr>
          <w:rFonts w:hint="eastAsia" w:cs="宋体" w:asciiTheme="minorEastAsia" w:hAnsiTheme="minorEastAsia" w:eastAsiaTheme="minorEastAsia"/>
          <w:color w:val="auto"/>
          <w:szCs w:val="24"/>
          <w:lang w:val="en-US" w:eastAsia="zh-CN"/>
        </w:rPr>
        <w:t xml:space="preserve"> </w:t>
      </w:r>
      <w:r>
        <w:rPr>
          <w:rFonts w:cs="宋体" w:asciiTheme="minorEastAsia" w:hAnsiTheme="minorEastAsia" w:eastAsiaTheme="minorEastAsia"/>
          <w:color w:val="auto"/>
          <w:szCs w:val="24"/>
        </w:rPr>
        <w:t>国供销合作总社关于印发&lt;关于深入开展政府采购脱贫地区农副产品工作推进乡村产业振兴的实施意见&gt;的通知》（财库〔2021〕20号）；</w:t>
      </w:r>
    </w:p>
    <w:p w14:paraId="46131D9E">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（11）《陕西省财政厅关于进一步加强政府绿色采购有关问题的通知》（陕财办采〔2021〕29号）；</w:t>
      </w:r>
    </w:p>
    <w:p w14:paraId="66BEB1AE">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（12）《财政部关于在政府采购活动中落实平等对待内外资企业有关政策的通知》（财库〔2021〕35号）；</w:t>
      </w:r>
    </w:p>
    <w:p w14:paraId="2DA266C9">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（13）陕西省财政厅《关于加快推进我省中小企业政府采购信用融资工作的通知》（陕财办采〔2020〕15号）；</w:t>
      </w:r>
    </w:p>
    <w:p w14:paraId="6EA1F258">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（14）《关于进一步加大政府采购支持中小企业力度的通知》（财库〔2022〕19号）；</w:t>
      </w:r>
    </w:p>
    <w:p w14:paraId="034AB71C">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cs="宋体" w:asciiTheme="minorEastAsia" w:hAnsiTheme="minorEastAsia" w:eastAsiaTheme="minorEastAsia"/>
          <w:color w:val="auto"/>
          <w:szCs w:val="24"/>
        </w:rPr>
        <w:t>（15）《陕西省财政厅关于进一步优化政府采购营商环境有关事项的通知》（陕财办采〔2023〕4号）；</w:t>
      </w:r>
    </w:p>
    <w:p w14:paraId="0B2FD334">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eastAsia="zh-CN"/>
        </w:rPr>
      </w:pPr>
      <w:r>
        <w:rPr>
          <w:rFonts w:cs="宋体" w:asciiTheme="minorEastAsia" w:hAnsiTheme="minorEastAsia" w:eastAsiaTheme="minorEastAsia"/>
          <w:color w:val="auto"/>
          <w:szCs w:val="24"/>
        </w:rPr>
        <w:t>（16）其他需要落实的政府采购政策，详见</w:t>
      </w:r>
      <w:r>
        <w:rPr>
          <w:rFonts w:hint="eastAsia" w:cs="宋体" w:asciiTheme="minorEastAsia" w:hAnsiTheme="minorEastAsia" w:eastAsiaTheme="minorEastAsia"/>
          <w:color w:val="auto"/>
          <w:szCs w:val="24"/>
          <w:lang w:eastAsia="zh-CN"/>
        </w:rPr>
        <w:t>招标</w:t>
      </w:r>
      <w:r>
        <w:rPr>
          <w:rFonts w:cs="宋体" w:asciiTheme="minorEastAsia" w:hAnsiTheme="minorEastAsia" w:eastAsiaTheme="minorEastAsia"/>
          <w:color w:val="auto"/>
          <w:szCs w:val="24"/>
        </w:rPr>
        <w:t>文件。</w:t>
      </w:r>
    </w:p>
    <w:p w14:paraId="4F0CC93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3.本项目的特定资格要求：</w:t>
      </w:r>
    </w:p>
    <w:p w14:paraId="1D4619F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合同包1</w:t>
      </w:r>
      <w:r>
        <w:rPr>
          <w:rFonts w:hint="eastAsia" w:cs="宋体" w:asciiTheme="minorEastAsia" w:hAnsiTheme="minorEastAsia" w:eastAsiaTheme="minorEastAsia"/>
          <w:color w:val="auto"/>
          <w:szCs w:val="24"/>
          <w:lang w:eastAsia="zh-CN"/>
        </w:rPr>
        <w:t>（城警联动人员外包服务</w:t>
      </w:r>
      <w:r>
        <w:rPr>
          <w:rFonts w:hint="eastAsia" w:cs="宋体" w:asciiTheme="minorEastAsia" w:hAnsiTheme="minorEastAsia" w:eastAsiaTheme="minorEastAsia"/>
          <w:color w:val="auto"/>
          <w:szCs w:val="24"/>
          <w:lang w:val="en-US" w:eastAsia="zh-CN"/>
        </w:rPr>
        <w:t>包1</w:t>
      </w:r>
      <w:r>
        <w:rPr>
          <w:rFonts w:cs="宋体" w:asciiTheme="minorEastAsia" w:hAnsiTheme="minorEastAsia" w:eastAsiaTheme="minorEastAsia"/>
          <w:color w:val="auto"/>
          <w:szCs w:val="24"/>
        </w:rPr>
        <w:t>)特定资格要求如下</w:t>
      </w:r>
      <w:r>
        <w:rPr>
          <w:rFonts w:hint="eastAsia" w:cs="宋体" w:asciiTheme="minorEastAsia" w:hAnsiTheme="minorEastAsia" w:eastAsiaTheme="minorEastAsia"/>
          <w:color w:val="auto"/>
          <w:szCs w:val="24"/>
        </w:rPr>
        <w:t>：</w:t>
      </w:r>
    </w:p>
    <w:p w14:paraId="648F228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Ansi="宋体" w:cs="宋体"/>
          <w:color w:val="auto"/>
          <w:szCs w:val="24"/>
        </w:rPr>
      </w:pPr>
      <w:r>
        <w:rPr>
          <w:rFonts w:hint="eastAsia" w:hAnsi="宋体" w:cs="宋体"/>
          <w:color w:val="auto"/>
          <w:szCs w:val="24"/>
        </w:rPr>
        <w:t>（1）法定代表人授权书（附法定代表人、被授权人身份证复印件）</w:t>
      </w:r>
      <w:r>
        <w:rPr>
          <w:rFonts w:hint="eastAsia" w:hAnsi="宋体" w:cs="宋体"/>
          <w:color w:val="auto"/>
          <w:szCs w:val="24"/>
          <w:lang w:eastAsia="zh-CN"/>
        </w:rPr>
        <w:t>，</w:t>
      </w:r>
      <w:r>
        <w:rPr>
          <w:rFonts w:hint="eastAsia" w:hAnsi="宋体" w:cs="宋体"/>
          <w:color w:val="auto"/>
          <w:szCs w:val="24"/>
        </w:rPr>
        <w:t>法定代表人直接参加投标，须提供法定代表人身份证明及身份证</w:t>
      </w:r>
      <w:r>
        <w:rPr>
          <w:rFonts w:hint="eastAsia" w:hAnsi="宋体" w:cs="宋体"/>
          <w:color w:val="auto"/>
          <w:szCs w:val="24"/>
          <w:lang w:eastAsia="zh-CN"/>
        </w:rPr>
        <w:t>复印件</w:t>
      </w:r>
      <w:r>
        <w:rPr>
          <w:rFonts w:hint="eastAsia" w:hAnsi="宋体" w:cs="宋体"/>
          <w:color w:val="auto"/>
          <w:szCs w:val="24"/>
        </w:rPr>
        <w:t>；</w:t>
      </w:r>
    </w:p>
    <w:p w14:paraId="42599298">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hAnsi="宋体" w:cs="宋体"/>
          <w:color w:val="auto"/>
          <w:szCs w:val="24"/>
        </w:rPr>
        <w:t>（2）</w:t>
      </w:r>
      <w:r>
        <w:rPr>
          <w:rFonts w:hint="eastAsia" w:hAnsi="宋体" w:cs="宋体"/>
          <w:color w:val="auto"/>
          <w:szCs w:val="24"/>
          <w:lang w:val="en-US" w:eastAsia="zh-CN"/>
        </w:rPr>
        <w:t>投标人不得为“信用中国”网站（www.creditchina.gov.cn）中列入“失信被执行人（中国执行信息公开网http：//zxgk.court.gov.cn/shixin/）”和“重大税收违法失信主体”的投标人，不得为中国政府采购网（www.ccgp.gov.cn）政府采购“严重违法失信行为记录名单”中被财政部门禁止参加政府采购活动的投标人</w:t>
      </w:r>
      <w:r>
        <w:rPr>
          <w:rFonts w:hint="eastAsia" w:hAnsi="宋体" w:cs="宋体"/>
          <w:color w:val="auto"/>
          <w:szCs w:val="24"/>
        </w:rPr>
        <w:t>；</w:t>
      </w:r>
    </w:p>
    <w:p w14:paraId="1E9E8493">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lang w:eastAsia="zh-CN"/>
        </w:rPr>
        <w:t>（</w:t>
      </w:r>
      <w:r>
        <w:rPr>
          <w:rFonts w:hint="eastAsia" w:cs="宋体" w:asciiTheme="minorEastAsia" w:hAnsiTheme="minorEastAsia" w:eastAsiaTheme="minorEastAsia"/>
          <w:color w:val="auto"/>
          <w:szCs w:val="24"/>
          <w:lang w:val="en-US" w:eastAsia="zh-CN"/>
        </w:rPr>
        <w:t>3</w:t>
      </w:r>
      <w:r>
        <w:rPr>
          <w:rFonts w:hint="eastAsia" w:cs="宋体" w:asciiTheme="minorEastAsia" w:hAnsiTheme="minorEastAsia" w:eastAsiaTheme="minorEastAsia"/>
          <w:color w:val="auto"/>
          <w:szCs w:val="24"/>
          <w:lang w:eastAsia="zh-CN"/>
        </w:rPr>
        <w:t>）</w:t>
      </w:r>
      <w:r>
        <w:rPr>
          <w:rFonts w:hint="eastAsia" w:cs="宋体" w:asciiTheme="minorEastAsia" w:hAnsiTheme="minorEastAsia" w:eastAsiaTheme="minorEastAsia"/>
          <w:color w:val="auto"/>
          <w:szCs w:val="24"/>
          <w:lang w:val="en-US" w:eastAsia="zh-CN"/>
        </w:rPr>
        <w:t>投标人应具备行业行政主管部门颁发的《人力资源服务许可证》和《劳务派遣经营许可证》；</w:t>
      </w:r>
    </w:p>
    <w:p w14:paraId="4DE8F9E8">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eastAsia="zh-CN"/>
        </w:rPr>
        <w:t>（</w:t>
      </w:r>
      <w:r>
        <w:rPr>
          <w:rFonts w:hint="eastAsia" w:cs="宋体" w:asciiTheme="minorEastAsia" w:hAnsiTheme="minorEastAsia" w:eastAsiaTheme="minorEastAsia"/>
          <w:color w:val="auto"/>
          <w:szCs w:val="24"/>
          <w:lang w:val="en-US" w:eastAsia="zh-CN"/>
        </w:rPr>
        <w:t>4</w:t>
      </w:r>
      <w:r>
        <w:rPr>
          <w:rFonts w:hint="eastAsia" w:cs="宋体" w:asciiTheme="minorEastAsia" w:hAnsiTheme="minorEastAsia" w:eastAsiaTheme="minorEastAsia"/>
          <w:color w:val="auto"/>
          <w:szCs w:val="24"/>
          <w:lang w:eastAsia="zh-CN"/>
        </w:rPr>
        <w:t>）</w:t>
      </w:r>
      <w:r>
        <w:rPr>
          <w:rFonts w:hint="eastAsia" w:cs="宋体" w:asciiTheme="minorEastAsia" w:hAnsiTheme="minorEastAsia" w:eastAsiaTheme="minorEastAsia"/>
          <w:color w:val="auto"/>
          <w:szCs w:val="24"/>
        </w:rPr>
        <w:t>本项目不接受联合体投标。</w:t>
      </w:r>
    </w:p>
    <w:p w14:paraId="5B60C52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w:t>
      </w:r>
      <w:r>
        <w:rPr>
          <w:rFonts w:hint="eastAsia" w:cs="宋体" w:asciiTheme="minorEastAsia" w:hAnsiTheme="minorEastAsia" w:eastAsiaTheme="minorEastAsia"/>
          <w:color w:val="auto"/>
          <w:szCs w:val="24"/>
          <w:lang w:val="en-US" w:eastAsia="zh-CN"/>
        </w:rPr>
        <w:t>2</w:t>
      </w:r>
      <w:r>
        <w:rPr>
          <w:rFonts w:hint="eastAsia" w:cs="宋体" w:asciiTheme="minorEastAsia" w:hAnsiTheme="minorEastAsia" w:eastAsiaTheme="minorEastAsia"/>
          <w:color w:val="auto"/>
          <w:szCs w:val="24"/>
          <w:lang w:eastAsia="zh-CN"/>
        </w:rPr>
        <w:t>（城警联动人员外包服务</w:t>
      </w:r>
      <w:r>
        <w:rPr>
          <w:rFonts w:hint="eastAsia" w:cs="宋体" w:asciiTheme="minorEastAsia" w:hAnsiTheme="minorEastAsia" w:eastAsiaTheme="minorEastAsia"/>
          <w:color w:val="auto"/>
          <w:szCs w:val="24"/>
          <w:lang w:val="en-US" w:eastAsia="zh-CN"/>
        </w:rPr>
        <w:t>包2</w:t>
      </w:r>
      <w:r>
        <w:rPr>
          <w:rFonts w:cs="宋体" w:asciiTheme="minorEastAsia" w:hAnsiTheme="minorEastAsia" w:eastAsiaTheme="minorEastAsia"/>
          <w:color w:val="auto"/>
          <w:szCs w:val="24"/>
        </w:rPr>
        <w:t>)特定资格要求如下</w:t>
      </w:r>
      <w:r>
        <w:rPr>
          <w:rFonts w:hint="eastAsia" w:cs="宋体" w:asciiTheme="minorEastAsia" w:hAnsiTheme="minorEastAsia" w:eastAsiaTheme="minorEastAsia"/>
          <w:color w:val="auto"/>
          <w:szCs w:val="24"/>
        </w:rPr>
        <w:t>：</w:t>
      </w:r>
    </w:p>
    <w:p w14:paraId="77D6214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Ansi="宋体" w:cs="宋体"/>
          <w:color w:val="auto"/>
          <w:szCs w:val="24"/>
        </w:rPr>
      </w:pPr>
      <w:r>
        <w:rPr>
          <w:rFonts w:hint="eastAsia" w:hAnsi="宋体" w:cs="宋体"/>
          <w:color w:val="auto"/>
          <w:szCs w:val="24"/>
        </w:rPr>
        <w:t>（1）法定代表人授权书（附法定代表人、被授权人身份证复印件）</w:t>
      </w:r>
      <w:r>
        <w:rPr>
          <w:rFonts w:hint="eastAsia" w:hAnsi="宋体" w:cs="宋体"/>
          <w:color w:val="auto"/>
          <w:szCs w:val="24"/>
          <w:lang w:eastAsia="zh-CN"/>
        </w:rPr>
        <w:t>，</w:t>
      </w:r>
      <w:r>
        <w:rPr>
          <w:rFonts w:hint="eastAsia" w:hAnsi="宋体" w:cs="宋体"/>
          <w:color w:val="auto"/>
          <w:szCs w:val="24"/>
        </w:rPr>
        <w:t>法定代表人直接参加投标，须提供法定代表人身份证明及身份证</w:t>
      </w:r>
      <w:r>
        <w:rPr>
          <w:rFonts w:hint="eastAsia" w:hAnsi="宋体" w:cs="宋体"/>
          <w:color w:val="auto"/>
          <w:szCs w:val="24"/>
          <w:lang w:eastAsia="zh-CN"/>
        </w:rPr>
        <w:t>复印件</w:t>
      </w:r>
      <w:r>
        <w:rPr>
          <w:rFonts w:hint="eastAsia" w:hAnsi="宋体" w:cs="宋体"/>
          <w:color w:val="auto"/>
          <w:szCs w:val="24"/>
        </w:rPr>
        <w:t>；</w:t>
      </w:r>
    </w:p>
    <w:p w14:paraId="5750808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hAnsi="宋体" w:cs="宋体"/>
          <w:color w:val="auto"/>
          <w:szCs w:val="24"/>
        </w:rPr>
        <w:t>（2）</w:t>
      </w:r>
      <w:r>
        <w:rPr>
          <w:rFonts w:hint="eastAsia" w:hAnsi="宋体" w:cs="宋体"/>
          <w:color w:val="auto"/>
          <w:szCs w:val="24"/>
          <w:lang w:val="en-US" w:eastAsia="zh-CN"/>
        </w:rPr>
        <w:t>投标人不得为“信用中国”网站（www.creditchina.gov.cn）中列入“失信被执行人（中国执行信息公开网http：//zxgk.court.gov.cn/shixin/）”和“重大税收违法失信主体”的投标人，不得为中国政府采购网（www.ccgp.gov.cn）政府采购“严重违法失信行为记录名单”中被财政部门禁止参加政府采购活动的投标人</w:t>
      </w:r>
      <w:r>
        <w:rPr>
          <w:rFonts w:hint="eastAsia" w:hAnsi="宋体" w:cs="宋体"/>
          <w:color w:val="auto"/>
          <w:szCs w:val="24"/>
        </w:rPr>
        <w:t>；</w:t>
      </w:r>
    </w:p>
    <w:p w14:paraId="3A626B5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hAnsi="宋体" w:cs="宋体"/>
          <w:color w:val="auto"/>
          <w:szCs w:val="24"/>
          <w:lang w:val="en-US" w:eastAsia="zh-CN"/>
        </w:rPr>
      </w:pPr>
      <w:r>
        <w:rPr>
          <w:rFonts w:hint="eastAsia" w:hAnsi="宋体" w:cs="宋体"/>
          <w:color w:val="auto"/>
          <w:szCs w:val="24"/>
          <w:lang w:val="en-US" w:eastAsia="zh-CN"/>
        </w:rPr>
        <w:t>（3）投标人应具备行业行政主管部门颁发的《人力资源服务许可证》和《劳务派遣经营许可证》；</w:t>
      </w:r>
    </w:p>
    <w:p w14:paraId="1A242C9A">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color w:val="auto"/>
        </w:rPr>
      </w:pPr>
      <w:r>
        <w:rPr>
          <w:rFonts w:hint="eastAsia" w:hAnsi="宋体" w:cs="宋体"/>
          <w:color w:val="auto"/>
          <w:szCs w:val="24"/>
          <w:lang w:val="en-US" w:eastAsia="zh-CN"/>
        </w:rPr>
        <w:t>（4）本项目不接受联合</w:t>
      </w:r>
      <w:r>
        <w:rPr>
          <w:rFonts w:hint="eastAsia" w:cs="宋体" w:asciiTheme="minorEastAsia" w:hAnsiTheme="minorEastAsia" w:eastAsiaTheme="minorEastAsia"/>
          <w:color w:val="auto"/>
          <w:szCs w:val="24"/>
        </w:rPr>
        <w:t>体投标。</w:t>
      </w:r>
    </w:p>
    <w:p w14:paraId="44F5CCA8">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三、获取招标文件</w:t>
      </w:r>
    </w:p>
    <w:p w14:paraId="18BD8637">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时间</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202</w:t>
      </w:r>
      <w:r>
        <w:rPr>
          <w:rFonts w:hint="eastAsia" w:cs="宋体" w:asciiTheme="minorEastAsia" w:hAnsiTheme="minorEastAsia" w:eastAsiaTheme="minorEastAsia"/>
          <w:color w:val="auto"/>
          <w:szCs w:val="24"/>
          <w:lang w:val="en-US" w:eastAsia="zh-CN"/>
        </w:rPr>
        <w:t>5</w:t>
      </w:r>
      <w:r>
        <w:rPr>
          <w:rFonts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07</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11</w:t>
      </w:r>
      <w:r>
        <w:rPr>
          <w:rFonts w:cs="宋体" w:asciiTheme="minorEastAsia" w:hAnsiTheme="minorEastAsia" w:eastAsiaTheme="minorEastAsia"/>
          <w:color w:val="auto"/>
          <w:szCs w:val="24"/>
        </w:rPr>
        <w:t>日至202</w:t>
      </w:r>
      <w:r>
        <w:rPr>
          <w:rFonts w:hint="eastAsia" w:cs="宋体" w:asciiTheme="minorEastAsia" w:hAnsiTheme="minorEastAsia" w:eastAsiaTheme="minorEastAsia"/>
          <w:color w:val="auto"/>
          <w:szCs w:val="24"/>
          <w:lang w:val="en-US" w:eastAsia="zh-CN"/>
        </w:rPr>
        <w:t>5</w:t>
      </w:r>
      <w:r>
        <w:rPr>
          <w:rFonts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07</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17</w:t>
      </w:r>
      <w:r>
        <w:rPr>
          <w:rFonts w:cs="宋体" w:asciiTheme="minorEastAsia" w:hAnsiTheme="minorEastAsia" w:eastAsiaTheme="minorEastAsia"/>
          <w:color w:val="auto"/>
          <w:szCs w:val="24"/>
        </w:rPr>
        <w:t>日，每天上午</w:t>
      </w:r>
      <w:r>
        <w:rPr>
          <w:rFonts w:hint="eastAsia" w:cs="宋体" w:asciiTheme="minorEastAsia" w:hAnsiTheme="minorEastAsia" w:eastAsiaTheme="minorEastAsia"/>
          <w:color w:val="auto"/>
          <w:szCs w:val="24"/>
        </w:rPr>
        <w:t>00:00:00至12:00:00，下午12:00:00至23:59:59（北京时间）</w:t>
      </w:r>
    </w:p>
    <w:p w14:paraId="797F0A0C">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途径</w:t>
      </w:r>
      <w:r>
        <w:rPr>
          <w:rFonts w:cs="宋体" w:asciiTheme="minorEastAsia" w:hAnsiTheme="minorEastAsia" w:eastAsiaTheme="minorEastAsia"/>
          <w:color w:val="auto"/>
          <w:szCs w:val="24"/>
        </w:rPr>
        <w:t>：全国公共资源交易平台(陕西省·西安市)网站〖首页&gt;电子交易平台&gt;陕西政府采购交易系统&gt;企业端〗</w:t>
      </w:r>
      <w:r>
        <w:rPr>
          <w:rFonts w:hint="eastAsia" w:cs="宋体" w:asciiTheme="minorEastAsia" w:hAnsiTheme="minorEastAsia" w:eastAsiaTheme="minorEastAsia"/>
          <w:color w:val="auto"/>
          <w:szCs w:val="24"/>
          <w:highlight w:val="none"/>
        </w:rPr>
        <w:t>报名自行下载</w:t>
      </w:r>
      <w:bookmarkStart w:id="325" w:name="_GoBack"/>
      <w:bookmarkEnd w:id="325"/>
    </w:p>
    <w:p w14:paraId="55281E8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方式：在线获取</w:t>
      </w:r>
    </w:p>
    <w:p w14:paraId="023E0514">
      <w:pPr>
        <w:keepNext w:val="0"/>
        <w:keepLines w:val="0"/>
        <w:pageBreakBefore w:val="0"/>
        <w:widowControl/>
        <w:shd w:val="clear" w:color="auto" w:fill="FFFFFF"/>
        <w:tabs>
          <w:tab w:val="left" w:pos="282"/>
        </w:tabs>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售价：</w:t>
      </w:r>
      <w:r>
        <w:rPr>
          <w:rFonts w:hint="eastAsia" w:cs="宋体" w:asciiTheme="minorEastAsia" w:hAnsiTheme="minorEastAsia" w:eastAsiaTheme="minorEastAsia"/>
          <w:color w:val="auto"/>
          <w:szCs w:val="24"/>
        </w:rPr>
        <w:t>0元</w:t>
      </w:r>
    </w:p>
    <w:p w14:paraId="73BA2CE4">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四、提交投标文件截止时间、开标时间和地点</w:t>
      </w:r>
    </w:p>
    <w:p w14:paraId="2CF044C1">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时间：202</w:t>
      </w:r>
      <w:r>
        <w:rPr>
          <w:rFonts w:hint="eastAsia" w:cs="宋体" w:asciiTheme="minorEastAsia" w:hAnsiTheme="minorEastAsia" w:eastAsiaTheme="minorEastAsia"/>
          <w:color w:val="auto"/>
          <w:szCs w:val="24"/>
          <w:lang w:val="en-US" w:eastAsia="zh-CN"/>
        </w:rPr>
        <w:t>5</w:t>
      </w:r>
      <w:r>
        <w:rPr>
          <w:rFonts w:hint="eastAsia"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07</w:t>
      </w:r>
      <w:r>
        <w:rPr>
          <w:rFonts w:hint="eastAsia"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31</w:t>
      </w:r>
      <w:r>
        <w:rPr>
          <w:rFonts w:hint="eastAsia" w:cs="宋体" w:asciiTheme="minorEastAsia" w:hAnsiTheme="minorEastAsia" w:eastAsiaTheme="minorEastAsia"/>
          <w:color w:val="auto"/>
          <w:szCs w:val="24"/>
        </w:rPr>
        <w:t>日09时</w:t>
      </w:r>
      <w:r>
        <w:rPr>
          <w:rFonts w:hint="eastAsia" w:cs="宋体" w:asciiTheme="minorEastAsia" w:hAnsiTheme="minorEastAsia" w:eastAsiaTheme="minorEastAsia"/>
          <w:color w:val="auto"/>
          <w:szCs w:val="24"/>
          <w:lang w:val="en-US" w:eastAsia="zh-CN"/>
        </w:rPr>
        <w:t>3</w:t>
      </w:r>
      <w:r>
        <w:rPr>
          <w:rFonts w:hint="eastAsia" w:cs="宋体" w:asciiTheme="minorEastAsia" w:hAnsiTheme="minorEastAsia" w:eastAsiaTheme="minorEastAsia"/>
          <w:color w:val="auto"/>
          <w:szCs w:val="24"/>
        </w:rPr>
        <w:t>0分00秒（北京时间）</w:t>
      </w:r>
    </w:p>
    <w:p w14:paraId="2943F92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rPr>
        <w:t>提交投标文件</w:t>
      </w:r>
      <w:r>
        <w:rPr>
          <w:rFonts w:cs="宋体" w:asciiTheme="minorEastAsia" w:hAnsiTheme="minorEastAsia" w:eastAsiaTheme="minorEastAsia"/>
          <w:color w:val="auto"/>
          <w:szCs w:val="24"/>
        </w:rPr>
        <w:t>地点：</w:t>
      </w:r>
      <w:r>
        <w:rPr>
          <w:rFonts w:hint="eastAsia" w:cs="宋体" w:asciiTheme="minorEastAsia" w:hAnsiTheme="minorEastAsia" w:eastAsiaTheme="minorEastAsia"/>
          <w:color w:val="auto"/>
          <w:highlight w:val="none"/>
        </w:rPr>
        <w:t>供应商在</w:t>
      </w:r>
      <w:r>
        <w:rPr>
          <w:rFonts w:cs="宋体" w:asciiTheme="minorEastAsia" w:hAnsiTheme="minorEastAsia" w:eastAsiaTheme="minorEastAsia"/>
          <w:color w:val="auto"/>
          <w:szCs w:val="24"/>
        </w:rPr>
        <w:t>全国公共资源交易平台（陕西省·西安市）</w:t>
      </w:r>
      <w:r>
        <w:rPr>
          <w:rFonts w:hint="eastAsia" w:cs="宋体" w:asciiTheme="minorEastAsia" w:hAnsiTheme="minorEastAsia" w:eastAsiaTheme="minorEastAsia"/>
          <w:color w:val="auto"/>
          <w:highlight w:val="none"/>
        </w:rPr>
        <w:t>递交电子</w:t>
      </w:r>
      <w:r>
        <w:rPr>
          <w:rFonts w:hint="eastAsia" w:cs="宋体" w:asciiTheme="minorEastAsia" w:hAnsiTheme="minorEastAsia" w:eastAsiaTheme="minorEastAsia"/>
          <w:color w:val="auto"/>
          <w:highlight w:val="none"/>
          <w:lang w:eastAsia="zh-CN"/>
        </w:rPr>
        <w:t>投标</w:t>
      </w:r>
      <w:r>
        <w:rPr>
          <w:rFonts w:hint="eastAsia" w:cs="宋体" w:asciiTheme="minorEastAsia" w:hAnsiTheme="minorEastAsia" w:eastAsiaTheme="minorEastAsia"/>
          <w:color w:val="auto"/>
          <w:highlight w:val="none"/>
        </w:rPr>
        <w:t>文件</w:t>
      </w:r>
      <w:r>
        <w:rPr>
          <w:rFonts w:hint="eastAsia" w:cs="宋体" w:asciiTheme="minorEastAsia" w:hAnsiTheme="minorEastAsia" w:eastAsiaTheme="minorEastAsia"/>
          <w:color w:val="auto"/>
          <w:highlight w:val="none"/>
          <w:lang w:eastAsia="zh-CN"/>
        </w:rPr>
        <w:t>。</w:t>
      </w:r>
    </w:p>
    <w:p w14:paraId="480E8D60">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baseline"/>
        <w:rPr>
          <w:rFonts w:hint="eastAsia" w:cs="宋体" w:asciiTheme="minorEastAsia" w:hAnsiTheme="minorEastAsia" w:eastAsiaTheme="minorEastAsia"/>
          <w:b/>
          <w:bCs/>
          <w:color w:val="auto"/>
          <w:szCs w:val="24"/>
          <w:lang w:eastAsia="zh-CN"/>
        </w:rPr>
      </w:pPr>
      <w:r>
        <w:rPr>
          <w:rFonts w:hint="eastAsia" w:cs="宋体" w:asciiTheme="minorEastAsia" w:hAnsiTheme="minorEastAsia" w:eastAsiaTheme="minorEastAsia"/>
          <w:b/>
          <w:bCs/>
          <w:color w:val="auto"/>
          <w:szCs w:val="24"/>
        </w:rPr>
        <w:t xml:space="preserve"> </w:t>
      </w:r>
      <w:r>
        <w:rPr>
          <w:rFonts w:cs="宋体" w:asciiTheme="minorEastAsia" w:hAnsiTheme="minorEastAsia" w:eastAsiaTheme="minorEastAsia"/>
          <w:b/>
          <w:bCs/>
          <w:color w:val="auto"/>
          <w:szCs w:val="24"/>
        </w:rPr>
        <w:t xml:space="preserve">   </w:t>
      </w:r>
      <w:r>
        <w:rPr>
          <w:rFonts w:hint="eastAsia" w:cs="宋体" w:asciiTheme="minorEastAsia" w:hAnsiTheme="minorEastAsia" w:eastAsiaTheme="minorEastAsia"/>
          <w:color w:val="auto"/>
          <w:szCs w:val="24"/>
        </w:rPr>
        <w:t>开标地点：全国公共资源交易平台（陕西省·西安市）西安市公共资源交易不见面开标</w:t>
      </w:r>
      <w:r>
        <w:rPr>
          <w:rFonts w:hint="eastAsia" w:cs="宋体" w:asciiTheme="minorEastAsia" w:hAnsiTheme="minorEastAsia" w:eastAsiaTheme="minorEastAsia"/>
          <w:color w:val="auto"/>
          <w:szCs w:val="24"/>
          <w:lang w:eastAsia="zh-CN"/>
        </w:rPr>
        <w:t>系统。</w:t>
      </w:r>
    </w:p>
    <w:p w14:paraId="0AE51510">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五、公告期限</w:t>
      </w:r>
    </w:p>
    <w:p w14:paraId="0BB400A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自本公告发布之日起5个工作日。</w:t>
      </w:r>
    </w:p>
    <w:p w14:paraId="2C2C5880">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六、其他补充事宜</w:t>
      </w:r>
    </w:p>
    <w:p w14:paraId="0CA9AD59">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2" w:firstLineChars="200"/>
        <w:textAlignment w:val="baseline"/>
        <w:rPr>
          <w:rFonts w:cs="宋体" w:asciiTheme="minorEastAsia" w:hAnsiTheme="minorEastAsia" w:eastAsiaTheme="minorEastAsia"/>
          <w:b/>
          <w:bCs/>
          <w:color w:val="auto"/>
          <w:szCs w:val="24"/>
          <w:lang w:val="en-US" w:eastAsia="zh-CN"/>
        </w:rPr>
      </w:pPr>
      <w:r>
        <w:rPr>
          <w:rFonts w:hint="eastAsia" w:cs="宋体" w:asciiTheme="minorEastAsia" w:hAnsiTheme="minorEastAsia" w:eastAsiaTheme="minorEastAsia"/>
          <w:b/>
          <w:bCs/>
          <w:color w:val="auto"/>
          <w:szCs w:val="24"/>
          <w:lang w:val="en-US" w:eastAsia="zh-CN"/>
        </w:rPr>
        <w:t>注：本项目合同包1、合同包2专门面向中小企业采购，供应商应为中小微企业或者残疾人福利性单位或者监狱企业。</w:t>
      </w:r>
    </w:p>
    <w:p w14:paraId="6CBB0BCC">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both"/>
        <w:rPr>
          <w:rFonts w:hint="eastAsia" w:cs="宋体"/>
          <w:color w:val="auto"/>
          <w:kern w:val="2"/>
        </w:rPr>
      </w:pPr>
      <w:r>
        <w:rPr>
          <w:rFonts w:hint="eastAsia" w:cs="宋体"/>
          <w:color w:val="auto"/>
          <w:kern w:val="2"/>
        </w:rPr>
        <w:t>1</w:t>
      </w:r>
      <w:r>
        <w:rPr>
          <w:rFonts w:cs="宋体"/>
          <w:color w:val="auto"/>
          <w:kern w:val="2"/>
        </w:rPr>
        <w:t>.</w:t>
      </w:r>
      <w:r>
        <w:rPr>
          <w:rFonts w:hint="eastAsia" w:cs="宋体"/>
          <w:color w:val="auto"/>
          <w:kern w:val="2"/>
        </w:rPr>
        <w:t>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w:t>
      </w:r>
    </w:p>
    <w:p w14:paraId="3941F697">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both"/>
        <w:rPr>
          <w:rFonts w:hint="eastAsia" w:cs="宋体"/>
          <w:color w:val="auto"/>
          <w:kern w:val="2"/>
        </w:rPr>
      </w:pPr>
      <w:r>
        <w:rPr>
          <w:rFonts w:hint="eastAsia" w:cs="宋体"/>
          <w:color w:val="auto"/>
          <w:kern w:val="2"/>
        </w:rPr>
        <w:t>2</w:t>
      </w:r>
      <w:r>
        <w:rPr>
          <w:rFonts w:cs="宋体"/>
          <w:color w:val="auto"/>
          <w:kern w:val="2"/>
        </w:rPr>
        <w:t>.</w:t>
      </w:r>
      <w:r>
        <w:rPr>
          <w:rFonts w:hint="eastAsia" w:cs="宋体"/>
          <w:color w:val="auto"/>
          <w:kern w:val="2"/>
        </w:rPr>
        <w:t>投标人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14:paraId="25AA04DE">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both"/>
        <w:rPr>
          <w:rFonts w:hint="eastAsia" w:cs="宋体"/>
          <w:color w:val="auto"/>
          <w:kern w:val="2"/>
        </w:rPr>
      </w:pPr>
      <w:r>
        <w:rPr>
          <w:rFonts w:hint="eastAsia" w:cs="宋体"/>
          <w:color w:val="auto"/>
          <w:kern w:val="2"/>
        </w:rPr>
        <w:t>3</w:t>
      </w:r>
      <w:r>
        <w:rPr>
          <w:rFonts w:cs="宋体"/>
          <w:color w:val="auto"/>
          <w:kern w:val="2"/>
        </w:rPr>
        <w:t>.</w:t>
      </w:r>
      <w:r>
        <w:rPr>
          <w:rFonts w:hint="eastAsia" w:cs="宋体"/>
          <w:color w:val="auto"/>
          <w:kern w:val="2"/>
        </w:rPr>
        <w:t>请供应商按照陕西省财政厅关于政府采购供应商注册登记有关事项通知中的要求，通过陕西省政府采购网（http://www.ccgp-shaanxi.gov.cn/）注册登记加入陕西省政府采购供应商库。</w:t>
      </w:r>
    </w:p>
    <w:p w14:paraId="2F8E7526">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both"/>
        <w:rPr>
          <w:rFonts w:hint="eastAsia" w:cs="宋体"/>
          <w:color w:val="auto"/>
          <w:kern w:val="2"/>
        </w:rPr>
      </w:pPr>
      <w:r>
        <w:rPr>
          <w:rFonts w:hint="eastAsia" w:cs="宋体"/>
          <w:color w:val="auto"/>
          <w:kern w:val="2"/>
        </w:rPr>
        <w:t>4</w:t>
      </w:r>
      <w:r>
        <w:rPr>
          <w:rFonts w:cs="宋体"/>
          <w:color w:val="auto"/>
          <w:kern w:val="2"/>
        </w:rPr>
        <w:t>.</w:t>
      </w:r>
      <w:r>
        <w:rPr>
          <w:rFonts w:hint="eastAsia" w:cs="宋体"/>
          <w:color w:val="auto"/>
          <w:kern w:val="2"/>
        </w:rPr>
        <w:t>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下载通道将关闭，未及时下载招标文件将会影响投标文件编制及后续投标活动。</w:t>
      </w:r>
    </w:p>
    <w:p w14:paraId="419F6EB5">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both"/>
        <w:rPr>
          <w:rFonts w:hint="eastAsia" w:cs="宋体"/>
          <w:color w:val="auto"/>
          <w:kern w:val="2"/>
        </w:rPr>
      </w:pPr>
      <w:r>
        <w:rPr>
          <w:rFonts w:hint="eastAsia" w:cs="宋体"/>
          <w:color w:val="auto"/>
          <w:kern w:val="2"/>
        </w:rPr>
        <w:t>5</w:t>
      </w:r>
      <w:r>
        <w:rPr>
          <w:rFonts w:cs="宋体"/>
          <w:color w:val="auto"/>
          <w:kern w:val="2"/>
        </w:rPr>
        <w:t>.</w:t>
      </w:r>
      <w:r>
        <w:rPr>
          <w:rFonts w:hint="eastAsia" w:cs="宋体"/>
          <w:color w:val="auto"/>
          <w:kern w:val="2"/>
        </w:rPr>
        <w:t>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14:paraId="375F545E">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jc w:val="both"/>
        <w:rPr>
          <w:rFonts w:hint="eastAsia" w:cs="宋体"/>
          <w:color w:val="auto"/>
          <w:kern w:val="2"/>
        </w:rPr>
      </w:pPr>
      <w:r>
        <w:rPr>
          <w:rFonts w:hint="eastAsia" w:cs="宋体"/>
          <w:b/>
          <w:bCs/>
          <w:color w:val="auto"/>
          <w:kern w:val="2"/>
        </w:rPr>
        <w:t>6</w:t>
      </w:r>
      <w:r>
        <w:rPr>
          <w:rFonts w:cs="宋体"/>
          <w:b/>
          <w:bCs/>
          <w:color w:val="auto"/>
          <w:kern w:val="2"/>
        </w:rPr>
        <w:t>.</w:t>
      </w:r>
      <w:r>
        <w:rPr>
          <w:rFonts w:hint="eastAsia" w:cs="宋体"/>
          <w:b/>
          <w:bCs/>
          <w:color w:val="auto"/>
          <w:kern w:val="2"/>
        </w:rPr>
        <w:t>提交投标文件截止时间前，供应商应随时留意〖陕西省政府采购网〗、〖全国公</w:t>
      </w:r>
      <w:r>
        <w:rPr>
          <w:rFonts w:hint="eastAsia" w:cs="宋体"/>
          <w:b/>
          <w:bCs/>
          <w:color w:val="auto"/>
          <w:kern w:val="2"/>
          <w:lang w:eastAsia="zh-CN"/>
        </w:rPr>
        <w:t>共</w:t>
      </w:r>
      <w:r>
        <w:rPr>
          <w:rFonts w:hint="eastAsia" w:cs="宋体"/>
          <w:b/>
          <w:bCs/>
          <w:color w:val="auto"/>
          <w:kern w:val="2"/>
        </w:rPr>
        <w:t>资源交易平台（陕西省·西安市）〗上可能发布的变更公告。</w:t>
      </w:r>
      <w:r>
        <w:rPr>
          <w:rFonts w:hint="eastAsia" w:cs="宋体"/>
          <w:color w:val="auto"/>
          <w:kern w:val="2"/>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14:paraId="4CD5B502">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both"/>
        <w:rPr>
          <w:rFonts w:hint="eastAsia" w:cs="宋体"/>
          <w:color w:val="auto"/>
          <w:kern w:val="2"/>
        </w:rPr>
      </w:pPr>
      <w:r>
        <w:rPr>
          <w:rFonts w:hint="eastAsia" w:cs="宋体"/>
          <w:color w:val="auto"/>
          <w:kern w:val="2"/>
        </w:rPr>
        <w:t>7</w:t>
      </w:r>
      <w:r>
        <w:rPr>
          <w:rFonts w:cs="宋体"/>
          <w:color w:val="auto"/>
          <w:kern w:val="2"/>
        </w:rPr>
        <w:t>.</w:t>
      </w:r>
      <w:r>
        <w:rPr>
          <w:rFonts w:hint="eastAsia" w:cs="宋体"/>
          <w:color w:val="auto"/>
          <w:kern w:val="2"/>
        </w:rPr>
        <w:t>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14:paraId="267D2E27">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jc w:val="both"/>
        <w:rPr>
          <w:rFonts w:cs="宋体"/>
          <w:color w:val="auto"/>
        </w:rPr>
      </w:pPr>
      <w:r>
        <w:rPr>
          <w:rFonts w:hint="eastAsia" w:cs="宋体"/>
          <w:color w:val="auto"/>
          <w:kern w:val="2"/>
        </w:rPr>
        <w:t>8</w:t>
      </w:r>
      <w:r>
        <w:rPr>
          <w:rFonts w:cs="宋体"/>
          <w:color w:val="auto"/>
          <w:kern w:val="2"/>
        </w:rPr>
        <w:t>.</w:t>
      </w:r>
      <w:r>
        <w:rPr>
          <w:rFonts w:hint="eastAsia" w:cs="宋体"/>
          <w:color w:val="auto"/>
          <w:kern w:val="2"/>
        </w:rPr>
        <w:t>因投标人自身设施故障或自身原因导致无法完成签到、解密或投标的，由投标人自行承担后果。</w:t>
      </w:r>
    </w:p>
    <w:p w14:paraId="6BEB14F3">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default" w:eastAsia="宋体" w:cs="宋体"/>
          <w:color w:val="auto"/>
          <w:lang w:val="en-US" w:eastAsia="zh-CN"/>
        </w:rPr>
      </w:pPr>
      <w:r>
        <w:rPr>
          <w:rFonts w:hint="eastAsia" w:cs="宋体"/>
          <w:color w:val="auto"/>
          <w:lang w:val="en-US" w:eastAsia="zh-CN"/>
        </w:rPr>
        <w:t>9</w:t>
      </w:r>
      <w:r>
        <w:rPr>
          <w:rFonts w:cs="宋体"/>
          <w:color w:val="auto"/>
        </w:rPr>
        <w:t>.</w:t>
      </w:r>
      <w:r>
        <w:rPr>
          <w:rFonts w:hint="eastAsia" w:cs="宋体"/>
          <w:color w:val="auto"/>
        </w:rPr>
        <w:t>其他事项见本项目招标文件。</w:t>
      </w:r>
    </w:p>
    <w:p w14:paraId="0EF2BE9F">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七、对本次招标提出询问，请按以下方式联系。</w:t>
      </w:r>
    </w:p>
    <w:p w14:paraId="72E29A37">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1.采购人信息</w:t>
      </w:r>
    </w:p>
    <w:p w14:paraId="54462157">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rPr>
        <w:t>名称：</w:t>
      </w:r>
      <w:r>
        <w:rPr>
          <w:rFonts w:hint="eastAsia" w:cs="宋体" w:asciiTheme="minorEastAsia" w:hAnsiTheme="minorEastAsia" w:eastAsiaTheme="minorEastAsia"/>
          <w:color w:val="auto"/>
          <w:szCs w:val="24"/>
          <w:lang w:eastAsia="zh-CN"/>
        </w:rPr>
        <w:t>西安市雁塔区城市管理和综合执法局</w:t>
      </w:r>
    </w:p>
    <w:p w14:paraId="3DDE82E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val="en-US" w:eastAsia="zh-CN"/>
        </w:rPr>
      </w:pPr>
      <w:r>
        <w:rPr>
          <w:rFonts w:hint="eastAsia" w:cs="宋体" w:asciiTheme="minorEastAsia" w:hAnsiTheme="minorEastAsia" w:eastAsiaTheme="minorEastAsia"/>
          <w:color w:val="auto"/>
          <w:szCs w:val="24"/>
        </w:rPr>
        <w:t>地址</w:t>
      </w:r>
      <w:r>
        <w:rPr>
          <w:rFonts w:hint="eastAsia" w:cs="宋体" w:asciiTheme="minorEastAsia" w:hAnsiTheme="minorEastAsia" w:eastAsiaTheme="minorEastAsia"/>
          <w:color w:val="auto"/>
          <w:szCs w:val="24"/>
          <w:lang w:eastAsia="zh-CN"/>
        </w:rPr>
        <w:t>：西安市雁塔区东仪路176号东仪厂院</w:t>
      </w:r>
    </w:p>
    <w:p w14:paraId="2B1D12D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default" w:cs="宋体" w:asciiTheme="minorEastAsia" w:hAnsiTheme="minorEastAsia" w:eastAsiaTheme="minorEastAsia"/>
          <w:color w:val="auto"/>
          <w:szCs w:val="24"/>
          <w:lang w:val="en-US" w:eastAsia="zh-CN"/>
        </w:rPr>
      </w:pPr>
      <w:r>
        <w:rPr>
          <w:rFonts w:hint="eastAsia" w:cs="宋体" w:asciiTheme="minorEastAsia" w:hAnsiTheme="minorEastAsia" w:eastAsiaTheme="minorEastAsia"/>
          <w:color w:val="auto"/>
          <w:szCs w:val="24"/>
        </w:rPr>
        <w:t>联系方式：</w:t>
      </w:r>
      <w:r>
        <w:rPr>
          <w:rFonts w:hint="eastAsia" w:cs="宋体" w:asciiTheme="minorEastAsia" w:hAnsiTheme="minorEastAsia" w:eastAsiaTheme="minorEastAsia"/>
          <w:color w:val="auto"/>
          <w:szCs w:val="24"/>
          <w:lang w:val="en-US" w:eastAsia="zh-CN"/>
        </w:rPr>
        <w:t>郭老师029-85258131</w:t>
      </w:r>
    </w:p>
    <w:p w14:paraId="25C78ADD">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2.采购代理机构信息</w:t>
      </w:r>
    </w:p>
    <w:p w14:paraId="2F13C3A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名称：陕西万兴招标代理有限公司</w:t>
      </w:r>
    </w:p>
    <w:p w14:paraId="0835B66A">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rPr>
        <w:t>地址：</w:t>
      </w:r>
      <w:r>
        <w:rPr>
          <w:rFonts w:hint="eastAsia" w:cs="宋体" w:asciiTheme="minorEastAsia" w:hAnsiTheme="minorEastAsia" w:eastAsiaTheme="minorEastAsia"/>
          <w:color w:val="auto"/>
          <w:szCs w:val="24"/>
          <w:lang w:eastAsia="zh-CN"/>
        </w:rPr>
        <w:t>西安市莲湖区北关正街35号方兴大厦4-018室</w:t>
      </w:r>
    </w:p>
    <w:p w14:paraId="098384E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联系方式：</w:t>
      </w:r>
      <w:r>
        <w:rPr>
          <w:rFonts w:cs="宋体" w:asciiTheme="minorEastAsia" w:hAnsiTheme="minorEastAsia" w:eastAsiaTheme="minorEastAsia"/>
          <w:color w:val="auto"/>
          <w:szCs w:val="24"/>
        </w:rPr>
        <w:t>029-89627187</w:t>
      </w:r>
    </w:p>
    <w:p w14:paraId="3C0CA30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3.项目联系方式</w:t>
      </w:r>
    </w:p>
    <w:p w14:paraId="14EFBFE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default" w:cs="宋体" w:asciiTheme="minorEastAsia" w:hAnsiTheme="minorEastAsia" w:eastAsiaTheme="minorEastAsia"/>
          <w:color w:val="auto"/>
          <w:szCs w:val="24"/>
          <w:lang w:val="en-US" w:eastAsia="zh-CN"/>
        </w:rPr>
      </w:pPr>
      <w:r>
        <w:rPr>
          <w:rFonts w:hint="eastAsia" w:cs="宋体" w:asciiTheme="minorEastAsia" w:hAnsiTheme="minorEastAsia" w:eastAsiaTheme="minorEastAsia"/>
          <w:color w:val="auto"/>
          <w:szCs w:val="24"/>
        </w:rPr>
        <w:t>项目联系人：</w:t>
      </w:r>
      <w:r>
        <w:rPr>
          <w:rFonts w:hint="eastAsia" w:cs="宋体" w:asciiTheme="minorEastAsia" w:hAnsiTheme="minorEastAsia" w:eastAsiaTheme="minorEastAsia"/>
          <w:color w:val="auto"/>
          <w:szCs w:val="24"/>
          <w:lang w:val="en-US" w:eastAsia="zh-CN"/>
        </w:rPr>
        <w:t>张小娜、董雪、李玉萍</w:t>
      </w:r>
    </w:p>
    <w:p w14:paraId="1293FA7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电话：</w:t>
      </w:r>
      <w:r>
        <w:rPr>
          <w:rFonts w:cs="宋体" w:asciiTheme="minorEastAsia" w:hAnsiTheme="minorEastAsia" w:eastAsiaTheme="minorEastAsia"/>
          <w:color w:val="auto"/>
          <w:szCs w:val="24"/>
        </w:rPr>
        <w:t>029-89627187</w:t>
      </w:r>
    </w:p>
    <w:p w14:paraId="244B2128">
      <w:pPr>
        <w:widowControl/>
        <w:shd w:val="clear" w:color="auto" w:fill="FFFFFF"/>
        <w:spacing w:line="360" w:lineRule="auto"/>
        <w:jc w:val="right"/>
        <w:textAlignment w:val="baseline"/>
        <w:rPr>
          <w:rFonts w:cs="宋体" w:asciiTheme="minorEastAsia" w:hAnsiTheme="minorEastAsia"/>
          <w:color w:val="auto"/>
          <w:szCs w:val="24"/>
        </w:rPr>
      </w:pPr>
    </w:p>
    <w:p w14:paraId="7737DAAE">
      <w:pPr>
        <w:widowControl/>
        <w:shd w:val="clear" w:color="auto" w:fill="FFFFFF"/>
        <w:spacing w:line="360" w:lineRule="auto"/>
        <w:jc w:val="right"/>
        <w:textAlignment w:val="baseline"/>
        <w:rPr>
          <w:rFonts w:cs="宋体" w:asciiTheme="minorEastAsia" w:hAnsiTheme="minorEastAsia" w:eastAsiaTheme="minorEastAsia"/>
          <w:color w:val="auto"/>
          <w:szCs w:val="24"/>
        </w:rPr>
      </w:pPr>
      <w:r>
        <w:rPr>
          <w:rFonts w:hint="eastAsia" w:cs="宋体" w:asciiTheme="minorEastAsia" w:hAnsiTheme="minorEastAsia"/>
          <w:color w:val="auto"/>
          <w:szCs w:val="24"/>
        </w:rPr>
        <w:t>陕西万兴招标代理有限公司</w:t>
      </w:r>
    </w:p>
    <w:p w14:paraId="719B3A58">
      <w:pPr>
        <w:jc w:val="right"/>
        <w:outlineLvl w:val="0"/>
        <w:rPr>
          <w:rFonts w:cs="宋体" w:asciiTheme="minorEastAsia" w:hAnsiTheme="minorEastAsia" w:eastAsiaTheme="minorEastAsia"/>
          <w:color w:val="auto"/>
          <w:szCs w:val="24"/>
        </w:rPr>
        <w:sectPr>
          <w:footerReference r:id="rId9" w:type="default"/>
          <w:pgSz w:w="11906" w:h="16838"/>
          <w:pgMar w:top="1417" w:right="1418" w:bottom="1417" w:left="1417" w:header="1134" w:footer="850" w:gutter="0"/>
          <w:pgNumType w:start="1"/>
          <w:cols w:space="720" w:num="1"/>
          <w:docGrid w:type="lines" w:linePitch="312" w:charSpace="0"/>
        </w:sectPr>
      </w:pPr>
      <w:r>
        <w:rPr>
          <w:rFonts w:cs="宋体" w:asciiTheme="minorEastAsia" w:hAnsiTheme="minorEastAsia" w:eastAsiaTheme="minorEastAsia"/>
          <w:color w:val="auto"/>
          <w:szCs w:val="24"/>
        </w:rPr>
        <w:t>202</w:t>
      </w:r>
      <w:r>
        <w:rPr>
          <w:rFonts w:hint="eastAsia" w:cs="宋体" w:asciiTheme="minorEastAsia" w:hAnsiTheme="minorEastAsia" w:eastAsiaTheme="minorEastAsia"/>
          <w:color w:val="auto"/>
          <w:szCs w:val="24"/>
          <w:lang w:val="en-US" w:eastAsia="zh-CN"/>
        </w:rPr>
        <w:t>5</w:t>
      </w:r>
      <w:r>
        <w:rPr>
          <w:rFonts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07</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10</w:t>
      </w:r>
      <w:r>
        <w:rPr>
          <w:rFonts w:cs="宋体" w:asciiTheme="minorEastAsia" w:hAnsiTheme="minorEastAsia" w:eastAsiaTheme="minorEastAsia"/>
          <w:color w:val="auto"/>
          <w:szCs w:val="24"/>
        </w:rPr>
        <w:t>日</w:t>
      </w:r>
    </w:p>
    <w:p w14:paraId="630933E9">
      <w:pPr>
        <w:spacing w:line="360" w:lineRule="auto"/>
        <w:jc w:val="center"/>
        <w:rPr>
          <w:rStyle w:val="63"/>
          <w:rFonts w:ascii="宋体" w:eastAsia="宋体" w:cs="宋体"/>
          <w:color w:val="auto"/>
          <w:sz w:val="36"/>
          <w:szCs w:val="36"/>
        </w:rPr>
      </w:pPr>
      <w:bookmarkStart w:id="12" w:name="_Toc389582035"/>
      <w:bookmarkStart w:id="13" w:name="_Toc2929"/>
      <w:bookmarkStart w:id="14" w:name="_Toc426457692"/>
      <w:bookmarkStart w:id="15" w:name="_Toc7261"/>
      <w:bookmarkStart w:id="16" w:name="_Toc30304"/>
      <w:r>
        <w:rPr>
          <w:rStyle w:val="63"/>
          <w:rFonts w:hint="eastAsia" w:ascii="宋体" w:eastAsia="宋体" w:cs="宋体"/>
          <w:color w:val="auto"/>
          <w:sz w:val="36"/>
          <w:szCs w:val="36"/>
        </w:rPr>
        <w:t xml:space="preserve">第二章  </w:t>
      </w:r>
      <w:bookmarkEnd w:id="12"/>
      <w:bookmarkEnd w:id="13"/>
      <w:r>
        <w:rPr>
          <w:rStyle w:val="63"/>
          <w:rFonts w:hint="eastAsia" w:eastAsia="宋体" w:cs="宋体"/>
          <w:color w:val="auto"/>
          <w:sz w:val="36"/>
          <w:szCs w:val="36"/>
        </w:rPr>
        <w:t>供应商</w:t>
      </w:r>
      <w:r>
        <w:rPr>
          <w:rStyle w:val="63"/>
          <w:rFonts w:hint="eastAsia" w:ascii="宋体" w:eastAsia="宋体" w:cs="宋体"/>
          <w:color w:val="auto"/>
          <w:sz w:val="36"/>
          <w:szCs w:val="36"/>
        </w:rPr>
        <w:t>须知</w:t>
      </w:r>
      <w:bookmarkEnd w:id="14"/>
    </w:p>
    <w:bookmarkEnd w:id="15"/>
    <w:bookmarkEnd w:id="16"/>
    <w:p w14:paraId="797890F5">
      <w:pPr>
        <w:pStyle w:val="3"/>
        <w:spacing w:before="120" w:after="120"/>
        <w:jc w:val="center"/>
        <w:rPr>
          <w:rFonts w:ascii="宋体" w:hAnsi="宋体" w:cs="宋体"/>
          <w:color w:val="auto"/>
          <w:sz w:val="32"/>
        </w:rPr>
      </w:pPr>
      <w:bookmarkStart w:id="17" w:name="_Toc1690"/>
      <w:bookmarkStart w:id="18" w:name="_Toc7400"/>
      <w:bookmarkStart w:id="19" w:name="_Toc30222"/>
      <w:bookmarkStart w:id="20" w:name="_Toc11975"/>
      <w:bookmarkStart w:id="21" w:name="_Toc426457693"/>
      <w:bookmarkStart w:id="22" w:name="_Toc23108"/>
      <w:r>
        <w:rPr>
          <w:rFonts w:hint="eastAsia" w:ascii="宋体" w:hAnsi="宋体" w:eastAsia="宋体" w:cs="宋体"/>
          <w:color w:val="auto"/>
          <w:sz w:val="32"/>
        </w:rPr>
        <w:t>供应商须知前附表</w:t>
      </w:r>
      <w:bookmarkEnd w:id="17"/>
      <w:bookmarkEnd w:id="18"/>
      <w:bookmarkEnd w:id="19"/>
      <w:bookmarkEnd w:id="20"/>
      <w:bookmarkEnd w:id="21"/>
      <w:bookmarkEnd w:id="22"/>
    </w:p>
    <w:tbl>
      <w:tblPr>
        <w:tblStyle w:val="46"/>
        <w:tblW w:w="9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45"/>
        <w:gridCol w:w="2071"/>
        <w:gridCol w:w="6142"/>
      </w:tblGrid>
      <w:tr w14:paraId="3A550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4" w:hRule="atLeast"/>
          <w:tblHeader/>
          <w:jc w:val="center"/>
        </w:trPr>
        <w:tc>
          <w:tcPr>
            <w:tcW w:w="1245" w:type="dxa"/>
            <w:vAlign w:val="center"/>
          </w:tcPr>
          <w:p w14:paraId="44D1F279">
            <w:pPr>
              <w:spacing w:before="163" w:line="360" w:lineRule="auto"/>
              <w:jc w:val="center"/>
              <w:rPr>
                <w:rFonts w:hAnsi="宋体" w:cs="宋体"/>
                <w:b/>
                <w:color w:val="auto"/>
                <w:szCs w:val="24"/>
              </w:rPr>
            </w:pPr>
            <w:r>
              <w:rPr>
                <w:rFonts w:hint="eastAsia" w:hAnsi="宋体" w:cs="宋体"/>
                <w:b/>
                <w:color w:val="auto"/>
                <w:szCs w:val="24"/>
              </w:rPr>
              <w:t>条款号</w:t>
            </w:r>
          </w:p>
        </w:tc>
        <w:tc>
          <w:tcPr>
            <w:tcW w:w="2071" w:type="dxa"/>
            <w:vAlign w:val="center"/>
          </w:tcPr>
          <w:p w14:paraId="7530EAC7">
            <w:pPr>
              <w:spacing w:before="163" w:line="360" w:lineRule="auto"/>
              <w:jc w:val="center"/>
              <w:rPr>
                <w:rFonts w:hAnsi="宋体" w:cs="宋体"/>
                <w:b/>
                <w:color w:val="auto"/>
                <w:szCs w:val="24"/>
              </w:rPr>
            </w:pPr>
            <w:r>
              <w:rPr>
                <w:rFonts w:hint="eastAsia" w:hAnsi="宋体" w:cs="宋体"/>
                <w:b/>
                <w:color w:val="auto"/>
                <w:szCs w:val="24"/>
              </w:rPr>
              <w:t>条款内容提示</w:t>
            </w:r>
          </w:p>
        </w:tc>
        <w:tc>
          <w:tcPr>
            <w:tcW w:w="6142" w:type="dxa"/>
            <w:vAlign w:val="center"/>
          </w:tcPr>
          <w:p w14:paraId="275847DE">
            <w:pPr>
              <w:spacing w:before="163" w:line="360" w:lineRule="auto"/>
              <w:jc w:val="center"/>
              <w:rPr>
                <w:rFonts w:hAnsi="宋体" w:cs="宋体"/>
                <w:b/>
                <w:color w:val="auto"/>
                <w:szCs w:val="24"/>
              </w:rPr>
            </w:pPr>
            <w:r>
              <w:rPr>
                <w:rFonts w:hint="eastAsia" w:hAnsi="宋体" w:cs="宋体"/>
                <w:b/>
                <w:color w:val="auto"/>
                <w:szCs w:val="24"/>
              </w:rPr>
              <w:t>编 列 内 容</w:t>
            </w:r>
          </w:p>
        </w:tc>
      </w:tr>
      <w:tr w14:paraId="65903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14:paraId="1C898C9F">
            <w:pPr>
              <w:spacing w:line="360" w:lineRule="auto"/>
              <w:jc w:val="center"/>
              <w:rPr>
                <w:rFonts w:hAnsi="宋体" w:cs="宋体"/>
                <w:color w:val="auto"/>
                <w:szCs w:val="24"/>
              </w:rPr>
            </w:pPr>
            <w:r>
              <w:rPr>
                <w:rFonts w:hint="eastAsia" w:hAnsi="宋体" w:cs="宋体"/>
                <w:color w:val="auto"/>
                <w:szCs w:val="24"/>
              </w:rPr>
              <w:t>2.1</w:t>
            </w:r>
          </w:p>
        </w:tc>
        <w:tc>
          <w:tcPr>
            <w:tcW w:w="2071" w:type="dxa"/>
            <w:vAlign w:val="center"/>
          </w:tcPr>
          <w:p w14:paraId="1354E1AF">
            <w:pPr>
              <w:spacing w:line="360" w:lineRule="auto"/>
              <w:jc w:val="center"/>
              <w:rPr>
                <w:rFonts w:hAnsi="宋体" w:cs="宋体"/>
                <w:color w:val="auto"/>
                <w:szCs w:val="24"/>
              </w:rPr>
            </w:pPr>
            <w:r>
              <w:rPr>
                <w:rFonts w:hint="eastAsia" w:hAnsi="宋体" w:cs="宋体"/>
                <w:color w:val="auto"/>
                <w:szCs w:val="24"/>
              </w:rPr>
              <w:t>采购人</w:t>
            </w:r>
          </w:p>
        </w:tc>
        <w:tc>
          <w:tcPr>
            <w:tcW w:w="6142" w:type="dxa"/>
          </w:tcPr>
          <w:p w14:paraId="65F38A7E">
            <w:pPr>
              <w:spacing w:line="360" w:lineRule="auto"/>
              <w:ind w:left="360" w:hanging="360" w:hangingChars="150"/>
              <w:rPr>
                <w:rFonts w:hint="eastAsia" w:hAnsi="宋体" w:eastAsia="宋体"/>
                <w:color w:val="auto"/>
                <w:szCs w:val="21"/>
                <w:lang w:eastAsia="zh-CN"/>
              </w:rPr>
            </w:pPr>
            <w:r>
              <w:rPr>
                <w:rFonts w:hint="eastAsia" w:hAnsi="宋体"/>
                <w:color w:val="auto"/>
                <w:szCs w:val="21"/>
              </w:rPr>
              <w:t>名称：</w:t>
            </w:r>
            <w:r>
              <w:rPr>
                <w:rFonts w:hint="eastAsia" w:hAnsi="宋体"/>
                <w:color w:val="auto"/>
                <w:szCs w:val="21"/>
                <w:lang w:eastAsia="zh-CN"/>
              </w:rPr>
              <w:t>西安市雁塔区城市管理和综合执法局</w:t>
            </w:r>
          </w:p>
          <w:p w14:paraId="79E1A738">
            <w:pPr>
              <w:spacing w:line="360" w:lineRule="auto"/>
              <w:rPr>
                <w:rFonts w:hint="eastAsia" w:hAnsi="宋体" w:eastAsia="宋体" w:cs="宋体"/>
                <w:color w:val="auto"/>
                <w:szCs w:val="24"/>
                <w:lang w:eastAsia="zh-CN"/>
              </w:rPr>
            </w:pPr>
            <w:r>
              <w:rPr>
                <w:rFonts w:hint="eastAsia" w:hAnsi="宋体" w:cs="宋体"/>
                <w:color w:val="auto"/>
                <w:szCs w:val="24"/>
              </w:rPr>
              <w:t>地址</w:t>
            </w:r>
            <w:r>
              <w:rPr>
                <w:rFonts w:hint="eastAsia" w:hAnsi="宋体" w:cs="宋体"/>
                <w:color w:val="auto"/>
                <w:szCs w:val="24"/>
                <w:lang w:eastAsia="zh-CN"/>
              </w:rPr>
              <w:t>：西安市雁塔区东仪路176号东仪厂院</w:t>
            </w:r>
          </w:p>
          <w:p w14:paraId="33B2F489">
            <w:pPr>
              <w:spacing w:line="360" w:lineRule="auto"/>
              <w:rPr>
                <w:rFonts w:hint="eastAsia" w:hAnsi="宋体" w:eastAsia="宋体" w:cs="宋体"/>
                <w:color w:val="auto"/>
                <w:szCs w:val="24"/>
                <w:lang w:eastAsia="zh-CN"/>
              </w:rPr>
            </w:pPr>
            <w:r>
              <w:rPr>
                <w:rFonts w:hint="eastAsia" w:hAnsi="宋体" w:cs="宋体"/>
                <w:color w:val="auto"/>
                <w:szCs w:val="24"/>
              </w:rPr>
              <w:t>联系人：</w:t>
            </w:r>
            <w:r>
              <w:rPr>
                <w:rFonts w:hint="eastAsia" w:hAnsi="宋体" w:cs="宋体"/>
                <w:color w:val="auto"/>
                <w:szCs w:val="24"/>
                <w:lang w:val="en-US" w:eastAsia="zh-CN"/>
              </w:rPr>
              <w:t>郭</w:t>
            </w:r>
            <w:r>
              <w:rPr>
                <w:rFonts w:hint="eastAsia" w:hAnsi="宋体" w:cs="宋体"/>
                <w:color w:val="auto"/>
                <w:szCs w:val="24"/>
                <w:lang w:eastAsia="zh-CN"/>
              </w:rPr>
              <w:t>老师</w:t>
            </w:r>
          </w:p>
          <w:p w14:paraId="43CBCCE0">
            <w:pPr>
              <w:spacing w:line="360" w:lineRule="auto"/>
              <w:rPr>
                <w:rFonts w:hAnsi="宋体" w:cs="宋体"/>
                <w:color w:val="auto"/>
                <w:szCs w:val="24"/>
              </w:rPr>
            </w:pPr>
            <w:r>
              <w:rPr>
                <w:rFonts w:hint="eastAsia" w:hAnsi="宋体" w:cs="宋体"/>
                <w:color w:val="auto"/>
                <w:szCs w:val="24"/>
              </w:rPr>
              <w:t>电话：</w:t>
            </w:r>
            <w:r>
              <w:rPr>
                <w:rFonts w:hint="eastAsia" w:cs="宋体" w:asciiTheme="minorEastAsia" w:hAnsiTheme="minorEastAsia" w:eastAsiaTheme="minorEastAsia"/>
                <w:color w:val="auto"/>
                <w:szCs w:val="24"/>
                <w:lang w:val="en-US" w:eastAsia="zh-CN"/>
              </w:rPr>
              <w:t>029-85258131</w:t>
            </w:r>
          </w:p>
        </w:tc>
      </w:tr>
      <w:tr w14:paraId="001A1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14:paraId="5B8C75B9">
            <w:pPr>
              <w:spacing w:line="360" w:lineRule="auto"/>
              <w:jc w:val="center"/>
              <w:rPr>
                <w:rFonts w:hAnsi="宋体" w:cs="宋体"/>
                <w:color w:val="auto"/>
                <w:szCs w:val="24"/>
              </w:rPr>
            </w:pPr>
            <w:r>
              <w:rPr>
                <w:rFonts w:hint="eastAsia" w:hAnsi="宋体" w:cs="宋体"/>
                <w:color w:val="auto"/>
                <w:szCs w:val="24"/>
              </w:rPr>
              <w:t>2.2</w:t>
            </w:r>
          </w:p>
        </w:tc>
        <w:tc>
          <w:tcPr>
            <w:tcW w:w="2071" w:type="dxa"/>
            <w:vAlign w:val="center"/>
          </w:tcPr>
          <w:p w14:paraId="2464C057">
            <w:pPr>
              <w:spacing w:line="360" w:lineRule="auto"/>
              <w:jc w:val="center"/>
              <w:rPr>
                <w:rFonts w:hAnsi="宋体" w:cs="宋体"/>
                <w:color w:val="auto"/>
                <w:szCs w:val="24"/>
              </w:rPr>
            </w:pPr>
            <w:r>
              <w:rPr>
                <w:rFonts w:hint="eastAsia" w:hAnsi="宋体" w:cs="宋体"/>
                <w:color w:val="auto"/>
                <w:szCs w:val="24"/>
              </w:rPr>
              <w:t>采购代理机构</w:t>
            </w:r>
          </w:p>
        </w:tc>
        <w:tc>
          <w:tcPr>
            <w:tcW w:w="6142" w:type="dxa"/>
          </w:tcPr>
          <w:p w14:paraId="70E3F85D">
            <w:pPr>
              <w:spacing w:line="360" w:lineRule="auto"/>
              <w:rPr>
                <w:rFonts w:hAnsi="宋体"/>
                <w:color w:val="auto"/>
                <w:szCs w:val="21"/>
              </w:rPr>
            </w:pPr>
            <w:r>
              <w:rPr>
                <w:rFonts w:hint="eastAsia" w:hAnsi="宋体"/>
                <w:color w:val="auto"/>
                <w:szCs w:val="21"/>
              </w:rPr>
              <w:t>名称：陕西万兴招标代理有限公司</w:t>
            </w:r>
          </w:p>
          <w:p w14:paraId="5832775F">
            <w:pPr>
              <w:spacing w:line="360" w:lineRule="auto"/>
              <w:rPr>
                <w:rFonts w:hint="eastAsia" w:hAnsi="宋体" w:eastAsia="宋体"/>
                <w:color w:val="auto"/>
                <w:szCs w:val="21"/>
                <w:lang w:eastAsia="zh-CN"/>
              </w:rPr>
            </w:pPr>
            <w:r>
              <w:rPr>
                <w:rFonts w:hint="eastAsia" w:hAnsi="宋体"/>
                <w:color w:val="auto"/>
                <w:szCs w:val="21"/>
              </w:rPr>
              <w:t>地址：</w:t>
            </w:r>
            <w:r>
              <w:rPr>
                <w:rFonts w:hint="eastAsia" w:hAnsi="宋体"/>
                <w:color w:val="auto"/>
                <w:szCs w:val="21"/>
                <w:lang w:eastAsia="zh-CN"/>
              </w:rPr>
              <w:t>西安市莲湖区北关正街35号方兴大厦4-018室</w:t>
            </w:r>
          </w:p>
          <w:p w14:paraId="33A7678C">
            <w:pPr>
              <w:spacing w:line="360" w:lineRule="auto"/>
              <w:rPr>
                <w:rFonts w:hint="default" w:hAnsi="宋体" w:eastAsia="宋体"/>
                <w:color w:val="auto"/>
                <w:szCs w:val="21"/>
                <w:lang w:val="en-US" w:eastAsia="zh-CN"/>
              </w:rPr>
            </w:pPr>
            <w:r>
              <w:rPr>
                <w:rFonts w:hint="eastAsia" w:hAnsi="宋体"/>
                <w:color w:val="auto"/>
                <w:szCs w:val="21"/>
              </w:rPr>
              <w:t>联系人：</w:t>
            </w:r>
            <w:r>
              <w:rPr>
                <w:rFonts w:hint="eastAsia" w:hAnsi="宋体"/>
                <w:color w:val="auto"/>
                <w:szCs w:val="21"/>
                <w:lang w:val="en-US" w:eastAsia="zh-CN"/>
              </w:rPr>
              <w:t>张小娜、</w:t>
            </w:r>
            <w:r>
              <w:rPr>
                <w:rFonts w:hint="eastAsia" w:hAnsi="宋体"/>
                <w:color w:val="auto"/>
                <w:szCs w:val="21"/>
              </w:rPr>
              <w:t>董雪</w:t>
            </w:r>
            <w:r>
              <w:rPr>
                <w:rFonts w:hint="eastAsia" w:hAnsi="宋体"/>
                <w:color w:val="auto"/>
                <w:szCs w:val="21"/>
                <w:lang w:val="en-US" w:eastAsia="zh-CN"/>
              </w:rPr>
              <w:t>、李玉萍</w:t>
            </w:r>
          </w:p>
          <w:p w14:paraId="1AAF55F4">
            <w:pPr>
              <w:spacing w:line="360" w:lineRule="auto"/>
              <w:rPr>
                <w:rFonts w:hAnsi="宋体" w:cs="宋体"/>
                <w:color w:val="auto"/>
                <w:szCs w:val="24"/>
              </w:rPr>
            </w:pPr>
            <w:r>
              <w:rPr>
                <w:rFonts w:hint="eastAsia" w:hAnsi="宋体"/>
                <w:color w:val="auto"/>
                <w:szCs w:val="21"/>
              </w:rPr>
              <w:t>联系方式：029-89627187</w:t>
            </w:r>
          </w:p>
        </w:tc>
      </w:tr>
      <w:tr w14:paraId="66D30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14:paraId="1359D20E">
            <w:pPr>
              <w:spacing w:line="360" w:lineRule="auto"/>
              <w:ind w:left="48" w:leftChars="20"/>
              <w:jc w:val="center"/>
              <w:rPr>
                <w:rFonts w:hint="eastAsia" w:hAnsi="宋体" w:eastAsia="宋体" w:cs="宋体"/>
                <w:color w:val="auto"/>
                <w:szCs w:val="24"/>
                <w:lang w:eastAsia="zh-CN"/>
              </w:rPr>
            </w:pPr>
            <w:r>
              <w:rPr>
                <w:rFonts w:hint="eastAsia"/>
                <w:color w:val="auto"/>
                <w:szCs w:val="24"/>
              </w:rPr>
              <w:t>3.</w:t>
            </w:r>
            <w:r>
              <w:rPr>
                <w:rFonts w:hint="eastAsia"/>
                <w:color w:val="auto"/>
                <w:szCs w:val="24"/>
                <w:lang w:val="en-US" w:eastAsia="zh-CN"/>
              </w:rPr>
              <w:t>6</w:t>
            </w:r>
          </w:p>
        </w:tc>
        <w:tc>
          <w:tcPr>
            <w:tcW w:w="2071" w:type="dxa"/>
            <w:vAlign w:val="center"/>
          </w:tcPr>
          <w:p w14:paraId="57A5886E">
            <w:pPr>
              <w:spacing w:line="360" w:lineRule="auto"/>
              <w:ind w:left="48" w:leftChars="20"/>
              <w:jc w:val="center"/>
              <w:rPr>
                <w:rFonts w:hAnsi="宋体" w:cs="宋体"/>
                <w:color w:val="auto"/>
                <w:szCs w:val="24"/>
              </w:rPr>
            </w:pPr>
            <w:r>
              <w:rPr>
                <w:rFonts w:hint="eastAsia" w:hAnsi="宋体"/>
                <w:color w:val="auto"/>
                <w:szCs w:val="24"/>
              </w:rPr>
              <w:t>联合体投标</w:t>
            </w:r>
          </w:p>
        </w:tc>
        <w:tc>
          <w:tcPr>
            <w:tcW w:w="6142" w:type="dxa"/>
            <w:vAlign w:val="center"/>
          </w:tcPr>
          <w:p w14:paraId="72461EA3">
            <w:pPr>
              <w:pStyle w:val="26"/>
              <w:spacing w:line="360" w:lineRule="auto"/>
              <w:jc w:val="left"/>
              <w:rPr>
                <w:rFonts w:hAnsi="宋体"/>
                <w:color w:val="auto"/>
                <w:kern w:val="0"/>
                <w:sz w:val="24"/>
                <w:szCs w:val="22"/>
              </w:rPr>
            </w:pPr>
            <w:r>
              <w:rPr>
                <w:rFonts w:hint="eastAsia" w:hAnsi="宋体"/>
                <w:color w:val="auto"/>
                <w:kern w:val="0"/>
                <w:sz w:val="24"/>
                <w:szCs w:val="22"/>
                <w:lang w:eastAsia="zh-CN"/>
              </w:rPr>
              <w:t>□</w:t>
            </w:r>
            <w:r>
              <w:rPr>
                <w:rFonts w:hint="eastAsia" w:hAnsi="宋体"/>
                <w:color w:val="auto"/>
                <w:kern w:val="0"/>
                <w:sz w:val="24"/>
                <w:szCs w:val="22"/>
              </w:rPr>
              <w:t xml:space="preserve"> 接受</w:t>
            </w:r>
          </w:p>
          <w:p w14:paraId="2B29741E">
            <w:pPr>
              <w:spacing w:line="360" w:lineRule="auto"/>
              <w:rPr>
                <w:rFonts w:hAnsi="宋体"/>
                <w:color w:val="auto"/>
                <w:szCs w:val="21"/>
              </w:rPr>
            </w:pPr>
            <w:r>
              <w:rPr>
                <w:rFonts w:hint="eastAsia" w:hAnsi="宋体"/>
                <w:color w:val="auto"/>
                <w:kern w:val="0"/>
                <w:sz w:val="24"/>
                <w:szCs w:val="22"/>
                <w:lang w:eastAsia="zh-CN"/>
              </w:rPr>
              <w:t>☑</w:t>
            </w:r>
            <w:r>
              <w:rPr>
                <w:rFonts w:ascii="Times New Roman"/>
                <w:b/>
                <w:color w:val="auto"/>
              </w:rPr>
              <w:t xml:space="preserve"> </w:t>
            </w:r>
            <w:r>
              <w:rPr>
                <w:rFonts w:hint="eastAsia" w:ascii="Times New Roman"/>
                <w:color w:val="auto"/>
              </w:rPr>
              <w:t>不接受</w:t>
            </w:r>
          </w:p>
        </w:tc>
      </w:tr>
      <w:tr w14:paraId="1598C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3" w:hRule="atLeast"/>
          <w:jc w:val="center"/>
        </w:trPr>
        <w:tc>
          <w:tcPr>
            <w:tcW w:w="1245" w:type="dxa"/>
            <w:vAlign w:val="center"/>
          </w:tcPr>
          <w:p w14:paraId="62128DFF">
            <w:pPr>
              <w:spacing w:line="360" w:lineRule="auto"/>
              <w:jc w:val="center"/>
              <w:rPr>
                <w:rFonts w:hAnsi="宋体" w:cs="宋体"/>
                <w:color w:val="auto"/>
                <w:szCs w:val="24"/>
              </w:rPr>
            </w:pPr>
            <w:r>
              <w:rPr>
                <w:rFonts w:hint="eastAsia" w:hAnsi="宋体" w:cs="宋体"/>
                <w:color w:val="auto"/>
                <w:szCs w:val="24"/>
                <w:lang w:val="en-US" w:eastAsia="zh-CN"/>
              </w:rPr>
              <w:t>9</w:t>
            </w:r>
            <w:r>
              <w:rPr>
                <w:rFonts w:hint="eastAsia" w:hAnsi="宋体" w:cs="宋体"/>
                <w:color w:val="auto"/>
                <w:szCs w:val="24"/>
              </w:rPr>
              <w:t>.2</w:t>
            </w:r>
          </w:p>
        </w:tc>
        <w:tc>
          <w:tcPr>
            <w:tcW w:w="2071" w:type="dxa"/>
            <w:vAlign w:val="center"/>
          </w:tcPr>
          <w:p w14:paraId="6A2A5B7A">
            <w:pPr>
              <w:spacing w:line="360" w:lineRule="auto"/>
              <w:jc w:val="center"/>
              <w:rPr>
                <w:rFonts w:hAnsi="宋体" w:cs="宋体"/>
                <w:color w:val="auto"/>
                <w:szCs w:val="24"/>
              </w:rPr>
            </w:pPr>
            <w:r>
              <w:rPr>
                <w:rFonts w:hint="eastAsia" w:hAnsi="宋体"/>
                <w:color w:val="auto"/>
                <w:szCs w:val="24"/>
              </w:rPr>
              <w:t>是否允许备选方案</w:t>
            </w:r>
          </w:p>
        </w:tc>
        <w:tc>
          <w:tcPr>
            <w:tcW w:w="6142" w:type="dxa"/>
            <w:vAlign w:val="center"/>
          </w:tcPr>
          <w:p w14:paraId="092DB08C">
            <w:pPr>
              <w:spacing w:line="360" w:lineRule="auto"/>
              <w:ind w:left="48" w:leftChars="20"/>
              <w:rPr>
                <w:rFonts w:hAnsi="宋体" w:cs="宋体"/>
                <w:color w:val="auto"/>
                <w:szCs w:val="24"/>
              </w:rPr>
            </w:pPr>
            <w:r>
              <w:rPr>
                <w:rFonts w:hint="eastAsia" w:hAnsi="宋体"/>
                <w:color w:val="auto"/>
                <w:kern w:val="0"/>
                <w:sz w:val="24"/>
                <w:szCs w:val="22"/>
                <w:lang w:eastAsia="zh-CN"/>
              </w:rPr>
              <w:t>□</w:t>
            </w:r>
            <w:r>
              <w:rPr>
                <w:rFonts w:hint="eastAsia" w:hAnsi="宋体" w:cs="宋体"/>
                <w:color w:val="auto"/>
                <w:szCs w:val="24"/>
              </w:rPr>
              <w:t>允许</w:t>
            </w:r>
          </w:p>
          <w:p w14:paraId="55D8D2E5">
            <w:pPr>
              <w:spacing w:line="360" w:lineRule="auto"/>
              <w:rPr>
                <w:rFonts w:hAnsi="宋体" w:cs="宋体"/>
                <w:color w:val="auto"/>
                <w:szCs w:val="24"/>
              </w:rPr>
            </w:pPr>
            <w:r>
              <w:rPr>
                <w:rFonts w:hint="eastAsia" w:hAnsi="宋体"/>
                <w:color w:val="auto"/>
                <w:kern w:val="0"/>
                <w:sz w:val="24"/>
                <w:szCs w:val="22"/>
                <w:lang w:eastAsia="zh-CN"/>
              </w:rPr>
              <w:t>☑</w:t>
            </w:r>
            <w:r>
              <w:rPr>
                <w:rFonts w:hint="eastAsia" w:hAnsi="宋体" w:cs="宋体"/>
                <w:color w:val="auto"/>
                <w:szCs w:val="24"/>
              </w:rPr>
              <w:t>不允许</w:t>
            </w:r>
          </w:p>
        </w:tc>
      </w:tr>
      <w:tr w14:paraId="4E52B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6" w:hRule="atLeast"/>
          <w:jc w:val="center"/>
        </w:trPr>
        <w:tc>
          <w:tcPr>
            <w:tcW w:w="1245" w:type="dxa"/>
            <w:vAlign w:val="center"/>
          </w:tcPr>
          <w:p w14:paraId="0F97458A">
            <w:pPr>
              <w:spacing w:line="360" w:lineRule="auto"/>
              <w:jc w:val="center"/>
              <w:rPr>
                <w:rFonts w:hAnsi="宋体" w:cs="宋体"/>
                <w:color w:val="auto"/>
                <w:szCs w:val="24"/>
              </w:rPr>
            </w:pPr>
            <w:r>
              <w:rPr>
                <w:rFonts w:hint="eastAsia" w:hAnsi="宋体" w:cs="宋体"/>
                <w:color w:val="auto"/>
                <w:szCs w:val="24"/>
                <w:lang w:val="en-US" w:eastAsia="zh-CN"/>
              </w:rPr>
              <w:t>9</w:t>
            </w:r>
            <w:r>
              <w:rPr>
                <w:rFonts w:hint="eastAsia" w:hAnsi="宋体" w:cs="宋体"/>
                <w:color w:val="auto"/>
                <w:szCs w:val="24"/>
              </w:rPr>
              <w:t>.3</w:t>
            </w:r>
          </w:p>
        </w:tc>
        <w:tc>
          <w:tcPr>
            <w:tcW w:w="2071" w:type="dxa"/>
            <w:vAlign w:val="center"/>
          </w:tcPr>
          <w:p w14:paraId="53241F8F">
            <w:pPr>
              <w:spacing w:line="360" w:lineRule="auto"/>
              <w:jc w:val="center"/>
              <w:rPr>
                <w:rFonts w:hAnsi="宋体" w:cs="宋体"/>
                <w:color w:val="auto"/>
                <w:szCs w:val="24"/>
              </w:rPr>
            </w:pPr>
            <w:r>
              <w:rPr>
                <w:rFonts w:hint="eastAsia" w:hAnsi="宋体"/>
                <w:color w:val="auto"/>
                <w:szCs w:val="24"/>
              </w:rPr>
              <w:t>本次投标的最小单元</w:t>
            </w:r>
          </w:p>
        </w:tc>
        <w:tc>
          <w:tcPr>
            <w:tcW w:w="6142" w:type="dxa"/>
          </w:tcPr>
          <w:p w14:paraId="057057A9">
            <w:pPr>
              <w:spacing w:line="360" w:lineRule="auto"/>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sym w:font="Wingdings" w:char="00A8"/>
            </w:r>
            <w:r>
              <w:rPr>
                <w:rFonts w:hint="eastAsia" w:asciiTheme="minorEastAsia" w:hAnsiTheme="minorEastAsia" w:eastAsiaTheme="minorEastAsia"/>
                <w:color w:val="auto"/>
                <w:szCs w:val="24"/>
                <w:highlight w:val="none"/>
              </w:rPr>
              <w:t>本次投标的最小单元为“项目全部内容”。任何不完全的投标将按照无效投标处理。</w:t>
            </w:r>
          </w:p>
          <w:p w14:paraId="4111C0EE">
            <w:pPr>
              <w:spacing w:line="360" w:lineRule="auto"/>
              <w:rPr>
                <w:color w:val="auto"/>
                <w:szCs w:val="24"/>
              </w:rPr>
            </w:pPr>
            <w:r>
              <w:rPr>
                <w:rFonts w:hint="eastAsia" w:asciiTheme="minorEastAsia" w:hAnsiTheme="minorEastAsia" w:eastAsiaTheme="minorEastAsia"/>
                <w:color w:val="auto"/>
                <w:szCs w:val="24"/>
                <w:highlight w:val="none"/>
              </w:rPr>
              <w:sym w:font="Wingdings" w:char="00FE"/>
            </w:r>
            <w:r>
              <w:rPr>
                <w:rFonts w:hint="eastAsia" w:asciiTheme="minorEastAsia" w:hAnsiTheme="minorEastAsia" w:eastAsiaTheme="minorEastAsia"/>
                <w:color w:val="auto"/>
                <w:szCs w:val="24"/>
                <w:highlight w:val="none"/>
              </w:rPr>
              <w:t>本次投标的最小单元为“标段”，投标人可对任一标段进行投标，但不能对各标段中的内容或者分项内容进行不完全投标。任何不完全的投标将按照无效投标处理。</w:t>
            </w:r>
          </w:p>
        </w:tc>
      </w:tr>
      <w:tr w14:paraId="741BC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8" w:hRule="atLeast"/>
          <w:jc w:val="center"/>
        </w:trPr>
        <w:tc>
          <w:tcPr>
            <w:tcW w:w="1245" w:type="dxa"/>
            <w:vAlign w:val="center"/>
          </w:tcPr>
          <w:p w14:paraId="55FFC182">
            <w:pPr>
              <w:spacing w:line="360" w:lineRule="auto"/>
              <w:jc w:val="center"/>
              <w:rPr>
                <w:rFonts w:hAnsi="宋体" w:cs="宋体"/>
                <w:color w:val="auto"/>
                <w:szCs w:val="24"/>
              </w:rPr>
            </w:pPr>
            <w:r>
              <w:rPr>
                <w:rFonts w:hint="eastAsia" w:hAnsi="宋体" w:cs="宋体"/>
                <w:color w:val="auto"/>
                <w:szCs w:val="24"/>
                <w:lang w:val="en-US" w:eastAsia="zh-CN"/>
              </w:rPr>
              <w:t>11</w:t>
            </w:r>
            <w:r>
              <w:rPr>
                <w:rFonts w:hint="eastAsia" w:hAnsi="宋体" w:cs="宋体"/>
                <w:color w:val="auto"/>
                <w:szCs w:val="24"/>
              </w:rPr>
              <w:t>.1</w:t>
            </w:r>
          </w:p>
        </w:tc>
        <w:tc>
          <w:tcPr>
            <w:tcW w:w="2071" w:type="dxa"/>
            <w:vAlign w:val="center"/>
          </w:tcPr>
          <w:p w14:paraId="21EA6CBC">
            <w:pPr>
              <w:spacing w:line="360" w:lineRule="auto"/>
              <w:jc w:val="center"/>
              <w:rPr>
                <w:rFonts w:hAnsi="宋体" w:cs="宋体"/>
                <w:color w:val="auto"/>
                <w:szCs w:val="24"/>
              </w:rPr>
            </w:pPr>
            <w:r>
              <w:rPr>
                <w:rFonts w:hint="eastAsia" w:hAnsi="宋体" w:cs="宋体"/>
                <w:color w:val="auto"/>
                <w:szCs w:val="24"/>
              </w:rPr>
              <w:t>投标报价</w:t>
            </w:r>
          </w:p>
        </w:tc>
        <w:tc>
          <w:tcPr>
            <w:tcW w:w="6142" w:type="dxa"/>
          </w:tcPr>
          <w:p w14:paraId="7F7C3CA1">
            <w:pPr>
              <w:spacing w:line="360" w:lineRule="auto"/>
              <w:rPr>
                <w:rFonts w:hAnsi="宋体" w:cs="宋体"/>
                <w:color w:val="auto"/>
                <w:szCs w:val="24"/>
              </w:rPr>
            </w:pPr>
            <w:r>
              <w:rPr>
                <w:rFonts w:hint="eastAsia" w:cs="宋体" w:asciiTheme="minorEastAsia" w:hAnsiTheme="minorEastAsia" w:eastAsiaTheme="minorEastAsia"/>
                <w:color w:val="auto"/>
                <w:szCs w:val="24"/>
                <w:highlight w:val="none"/>
              </w:rPr>
              <w:t>投标报价是投标人为完成本项目要求的全部服务（含为完成服务提供的货物）内容最终价格的体现。投标人所报的价格应考虑到可能发生的所有与完成本项目相关服务及履行合同义务有关的一切费用，任何有选择的报价将不予接受，按无效投标处理。</w:t>
            </w:r>
          </w:p>
        </w:tc>
      </w:tr>
      <w:tr w14:paraId="4919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8" w:hRule="atLeast"/>
          <w:jc w:val="center"/>
        </w:trPr>
        <w:tc>
          <w:tcPr>
            <w:tcW w:w="1245" w:type="dxa"/>
            <w:vAlign w:val="center"/>
          </w:tcPr>
          <w:p w14:paraId="033B67CE">
            <w:pPr>
              <w:spacing w:line="360" w:lineRule="auto"/>
              <w:jc w:val="center"/>
              <w:rPr>
                <w:rFonts w:hint="default" w:hAnsi="宋体" w:cs="宋体"/>
                <w:color w:val="auto"/>
                <w:szCs w:val="24"/>
                <w:lang w:val="en-US" w:eastAsia="zh-CN"/>
              </w:rPr>
            </w:pPr>
            <w:r>
              <w:rPr>
                <w:rFonts w:hint="eastAsia" w:hAnsi="宋体" w:cs="宋体"/>
                <w:color w:val="auto"/>
                <w:szCs w:val="24"/>
                <w:lang w:val="en-US" w:eastAsia="zh-CN"/>
              </w:rPr>
              <w:t>12</w:t>
            </w:r>
          </w:p>
        </w:tc>
        <w:tc>
          <w:tcPr>
            <w:tcW w:w="2071" w:type="dxa"/>
            <w:vAlign w:val="center"/>
          </w:tcPr>
          <w:p w14:paraId="265B4574">
            <w:pPr>
              <w:spacing w:line="360" w:lineRule="auto"/>
              <w:jc w:val="center"/>
              <w:rPr>
                <w:rFonts w:hint="eastAsia" w:hAnsi="宋体" w:cs="宋体"/>
                <w:color w:val="auto"/>
                <w:szCs w:val="24"/>
              </w:rPr>
            </w:pPr>
            <w:r>
              <w:rPr>
                <w:rFonts w:hint="eastAsia" w:hAnsi="宋体" w:cs="宋体"/>
                <w:color w:val="auto"/>
                <w:szCs w:val="24"/>
              </w:rPr>
              <w:t>投标编制文件</w:t>
            </w:r>
          </w:p>
        </w:tc>
        <w:tc>
          <w:tcPr>
            <w:tcW w:w="6142" w:type="dxa"/>
          </w:tcPr>
          <w:p w14:paraId="5D2EBA2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 xml:space="preserve">编制投标文件时，应使用最新发布的电子招标文件及专用制作工具进行编制。并使用CA(数字认证证书)对电子投标文件进行签署、加密、及开标时解密等相关操作。   </w:t>
            </w:r>
          </w:p>
          <w:p w14:paraId="0ACBC07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1</w:t>
            </w:r>
            <w:r>
              <w:rPr>
                <w:rFonts w:hint="eastAsia" w:ascii="宋体" w:hAnsi="宋体" w:eastAsia="宋体" w:cs="宋体"/>
                <w:color w:val="auto"/>
                <w:spacing w:val="3"/>
                <w:position w:val="17"/>
                <w:sz w:val="24"/>
                <w:szCs w:val="24"/>
                <w:lang w:val="en-US" w:eastAsia="zh-CN"/>
              </w:rPr>
              <w:t>.</w:t>
            </w:r>
            <w:r>
              <w:rPr>
                <w:rFonts w:hint="eastAsia" w:ascii="宋体" w:hAnsi="宋体" w:eastAsia="宋体" w:cs="宋体"/>
                <w:color w:val="auto"/>
                <w:spacing w:val="3"/>
                <w:position w:val="17"/>
                <w:sz w:val="24"/>
                <w:szCs w:val="24"/>
              </w:rPr>
              <w:t>电子招标文件获取方式：供应商登录〖西安市公共资源交易平台·〉首页·〉电子交易平台·〉企业端〗后，在〖招标公告/出让公告〗模块中选择有意向的项目点击“我要投标”，成功后点击“我的项目·〉项目流程·〉交易文件下载”免费下载电子招标文件 (*.SXSZF) 。</w:t>
            </w:r>
          </w:p>
          <w:p w14:paraId="21AB53D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注意：①正常下载电子招标文件后，“交易文件下载”按钮前的图标将变为“✔” ，未正常下载或从其他途径获取招标文件的，将无法上传电子投标文件；②供应商应随时留意可能发布的变更公告，变更公告是招标文件的组成部分。变更内容影响投标文件编制时，集采机构将同时发布答疑文件，此时供应商应从“项目流程〉答疑文件下载”下载更新后的电子招标文件 (*. SXSCF) ，使用旧版电子招标文件制作的电子投标文件 (*.SXSTF) ，系统将拒绝接收。</w:t>
            </w:r>
          </w:p>
          <w:p w14:paraId="31DB26F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2</w:t>
            </w:r>
            <w:r>
              <w:rPr>
                <w:rFonts w:hint="eastAsia" w:ascii="宋体" w:hAnsi="宋体" w:eastAsia="宋体" w:cs="宋体"/>
                <w:color w:val="auto"/>
                <w:spacing w:val="3"/>
                <w:position w:val="17"/>
                <w:sz w:val="24"/>
                <w:szCs w:val="24"/>
                <w:lang w:val="en-US" w:eastAsia="zh-CN"/>
              </w:rPr>
              <w:t>.</w:t>
            </w:r>
            <w:r>
              <w:rPr>
                <w:rFonts w:hint="eastAsia" w:ascii="宋体" w:hAnsi="宋体" w:eastAsia="宋体" w:cs="宋体"/>
                <w:color w:val="auto"/>
                <w:spacing w:val="3"/>
                <w:position w:val="17"/>
                <w:sz w:val="24"/>
                <w:szCs w:val="24"/>
              </w:rPr>
              <w:t>电子招标文件需要使用专用软件打开、浏览。软件下载地址及操作手册详见〖西安市公共资源交易平台·〉首页·〉服务指南·〉下载专区〗中的《政府采购项目投标文件制作软件及操作手册》。</w:t>
            </w:r>
          </w:p>
          <w:p w14:paraId="68C4C12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3"/>
                <w:position w:val="17"/>
                <w:sz w:val="24"/>
                <w:szCs w:val="24"/>
                <w:lang w:val="en-US" w:eastAsia="zh-CN"/>
              </w:rPr>
              <w:t>.</w:t>
            </w:r>
            <w:r>
              <w:rPr>
                <w:rFonts w:hint="eastAsia" w:ascii="宋体" w:hAnsi="宋体" w:eastAsia="宋体" w:cs="宋体"/>
                <w:color w:val="auto"/>
                <w:spacing w:val="3"/>
                <w:position w:val="17"/>
                <w:sz w:val="24"/>
                <w:szCs w:val="24"/>
              </w:rPr>
              <w:t>电子投标文件中需要法定代表人签字或盖章的地方，请使用“法人 CA”进行签章；需要加盖供应商公章的地方，请使用“企业 CA”进行盖章。加密和解密应当使用同一 CA，否则将会导致解密失败。</w:t>
            </w:r>
          </w:p>
          <w:p w14:paraId="4E38F1C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4</w:t>
            </w:r>
            <w:r>
              <w:rPr>
                <w:rFonts w:hint="eastAsia" w:ascii="宋体" w:hAnsi="宋体" w:eastAsia="宋体" w:cs="宋体"/>
                <w:color w:val="auto"/>
                <w:spacing w:val="3"/>
                <w:position w:val="17"/>
                <w:sz w:val="24"/>
                <w:szCs w:val="24"/>
                <w:lang w:val="en-US" w:eastAsia="zh-CN"/>
              </w:rPr>
              <w:t>.</w:t>
            </w:r>
            <w:r>
              <w:rPr>
                <w:rFonts w:hint="eastAsia" w:ascii="宋体" w:hAnsi="宋体" w:eastAsia="宋体" w:cs="宋体"/>
                <w:color w:val="auto"/>
                <w:spacing w:val="3"/>
                <w:position w:val="17"/>
                <w:sz w:val="24"/>
                <w:szCs w:val="24"/>
              </w:rPr>
              <w:t>电子投标文件同样需要使用专用软件进行编制。</w:t>
            </w:r>
          </w:p>
          <w:p w14:paraId="082C84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若电子投标文件签章后，导出的PDF文件里看不到签章，请尝试使用查看投标文件工具打开未加密的电子投标文件重新导出。在编制过程中，如有其他技术性问题，请先翻阅操作手册，或致电软件开发商：</w:t>
            </w:r>
          </w:p>
          <w:p w14:paraId="66D88AA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(1)技术支持热线：400-998-0000</w:t>
            </w:r>
          </w:p>
          <w:p w14:paraId="14FDAD5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rPr>
              <w:t>(2)驻场技术人员：029-86510166/86510167 人工转80310 (徐工)</w:t>
            </w:r>
          </w:p>
          <w:p w14:paraId="4540A7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pacing w:val="3"/>
                <w:position w:val="17"/>
                <w:sz w:val="24"/>
                <w:szCs w:val="24"/>
              </w:rPr>
            </w:pPr>
            <w:r>
              <w:rPr>
                <w:rFonts w:hint="eastAsia" w:ascii="宋体" w:hAnsi="宋体" w:eastAsia="宋体" w:cs="宋体"/>
                <w:color w:val="auto"/>
                <w:spacing w:val="3"/>
                <w:position w:val="17"/>
                <w:sz w:val="24"/>
                <w:szCs w:val="24"/>
                <w:lang w:val="en-US" w:eastAsia="zh-CN"/>
              </w:rPr>
              <w:t>5.</w:t>
            </w:r>
            <w:r>
              <w:rPr>
                <w:rFonts w:hint="eastAsia" w:ascii="宋体" w:hAnsi="宋体" w:eastAsia="宋体" w:cs="宋体"/>
                <w:b/>
                <w:bCs/>
                <w:color w:val="auto"/>
                <w:spacing w:val="3"/>
                <w:position w:val="17"/>
                <w:sz w:val="24"/>
                <w:szCs w:val="24"/>
              </w:rPr>
              <w:t>纸质投标文件</w:t>
            </w:r>
            <w:r>
              <w:rPr>
                <w:rFonts w:hint="eastAsia" w:ascii="宋体" w:hAnsi="宋体" w:eastAsia="宋体" w:cs="宋体"/>
                <w:b/>
                <w:bCs/>
                <w:color w:val="auto"/>
                <w:spacing w:val="3"/>
                <w:position w:val="17"/>
                <w:sz w:val="24"/>
                <w:szCs w:val="24"/>
                <w:lang w:eastAsia="zh-CN"/>
              </w:rPr>
              <w:t>：供应商应在开标时间前，将密封完好的一正两</w:t>
            </w:r>
            <w:r>
              <w:rPr>
                <w:rFonts w:hint="eastAsia" w:ascii="宋体" w:hAnsi="宋体" w:eastAsia="宋体" w:cs="宋体"/>
                <w:b/>
                <w:bCs/>
                <w:color w:val="auto"/>
                <w:spacing w:val="3"/>
                <w:position w:val="17"/>
                <w:sz w:val="24"/>
                <w:szCs w:val="24"/>
                <w:lang w:val="en-US" w:eastAsia="zh-CN"/>
              </w:rPr>
              <w:t>副</w:t>
            </w:r>
            <w:r>
              <w:rPr>
                <w:rFonts w:hint="eastAsia" w:ascii="宋体" w:hAnsi="宋体" w:eastAsia="宋体" w:cs="宋体"/>
                <w:b/>
                <w:bCs/>
                <w:color w:val="auto"/>
                <w:spacing w:val="3"/>
                <w:position w:val="17"/>
                <w:sz w:val="24"/>
                <w:szCs w:val="24"/>
                <w:lang w:eastAsia="zh-CN"/>
              </w:rPr>
              <w:t>纸质版投标文件及电子版（U盘中存放Word、Pdf版本）送至西安市公共资源交易中心</w:t>
            </w:r>
            <w:r>
              <w:rPr>
                <w:rFonts w:hint="eastAsia" w:ascii="宋体" w:hAnsi="宋体" w:eastAsia="宋体" w:cs="宋体"/>
                <w:b/>
                <w:bCs/>
                <w:color w:val="auto"/>
                <w:spacing w:val="3"/>
                <w:position w:val="17"/>
                <w:sz w:val="24"/>
                <w:szCs w:val="24"/>
                <w:highlight w:val="none"/>
                <w:lang w:val="en-US" w:eastAsia="zh-CN"/>
              </w:rPr>
              <w:t>5楼开标室5</w:t>
            </w:r>
            <w:r>
              <w:rPr>
                <w:rFonts w:hint="eastAsia" w:hAnsi="宋体" w:cs="宋体"/>
                <w:b/>
                <w:bCs/>
                <w:color w:val="auto"/>
                <w:spacing w:val="3"/>
                <w:position w:val="17"/>
                <w:sz w:val="24"/>
                <w:szCs w:val="24"/>
                <w:highlight w:val="none"/>
                <w:lang w:val="en-US" w:eastAsia="zh-CN"/>
              </w:rPr>
              <w:t>0</w:t>
            </w:r>
            <w:r>
              <w:rPr>
                <w:rFonts w:hint="eastAsia" w:ascii="宋体" w:hAnsi="宋体" w:eastAsia="宋体" w:cs="宋体"/>
                <w:b/>
                <w:bCs/>
                <w:color w:val="auto"/>
                <w:spacing w:val="3"/>
                <w:position w:val="17"/>
                <w:sz w:val="24"/>
                <w:szCs w:val="24"/>
                <w:highlight w:val="none"/>
                <w:lang w:val="en-US" w:eastAsia="zh-CN"/>
              </w:rPr>
              <w:t>2</w:t>
            </w:r>
            <w:r>
              <w:rPr>
                <w:rFonts w:hint="eastAsia" w:ascii="宋体" w:hAnsi="宋体" w:eastAsia="宋体" w:cs="宋体"/>
                <w:b/>
                <w:bCs/>
                <w:color w:val="auto"/>
                <w:spacing w:val="3"/>
                <w:position w:val="17"/>
                <w:sz w:val="24"/>
                <w:szCs w:val="24"/>
                <w:lang w:eastAsia="zh-CN"/>
              </w:rPr>
              <w:t>。（地址：西安市未央区文景北路16号白桦林国际B座 、联系电话：</w:t>
            </w:r>
            <w:r>
              <w:rPr>
                <w:rFonts w:hint="eastAsia" w:ascii="宋体" w:hAnsi="宋体" w:eastAsia="宋体" w:cs="宋体"/>
                <w:b/>
                <w:bCs/>
                <w:color w:val="auto"/>
                <w:spacing w:val="3"/>
                <w:position w:val="17"/>
                <w:sz w:val="24"/>
                <w:szCs w:val="24"/>
                <w:lang w:val="en-US" w:eastAsia="zh-CN"/>
              </w:rPr>
              <w:t>17629039929</w:t>
            </w:r>
            <w:r>
              <w:rPr>
                <w:rFonts w:hint="eastAsia" w:ascii="宋体" w:hAnsi="宋体" w:eastAsia="宋体" w:cs="宋体"/>
                <w:b/>
                <w:bCs/>
                <w:color w:val="auto"/>
                <w:spacing w:val="3"/>
                <w:position w:val="17"/>
                <w:sz w:val="24"/>
                <w:szCs w:val="24"/>
                <w:lang w:eastAsia="zh-CN"/>
              </w:rPr>
              <w:t>）应通过专用制作软件直接打印，确保与电子投标文件保持一致，不允许修改和补充。</w:t>
            </w:r>
          </w:p>
          <w:p w14:paraId="0929D06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宋体" w:asciiTheme="minorEastAsia" w:hAnsiTheme="minorEastAsia" w:eastAsiaTheme="minorEastAsia"/>
                <w:color w:val="auto"/>
                <w:szCs w:val="24"/>
                <w:highlight w:val="none"/>
              </w:rPr>
            </w:pPr>
            <w:r>
              <w:rPr>
                <w:rFonts w:hint="eastAsia" w:ascii="宋体" w:hAnsi="宋体" w:eastAsia="宋体" w:cs="宋体"/>
                <w:color w:val="auto"/>
                <w:spacing w:val="3"/>
                <w:position w:val="17"/>
                <w:sz w:val="24"/>
                <w:szCs w:val="24"/>
              </w:rPr>
              <w:t>采用电子化评审系统的采购项目，其纸质投标文件应从政府采购项目投标文件制作软件中导出。并按规定的纸质投标文件份数要求进行印刷，其正本及各副本分别装订成册。电子版投标文件应包括最终生成加密上传的投标格式文件及对应的PDF格式文件等全部资料。</w:t>
            </w:r>
          </w:p>
        </w:tc>
      </w:tr>
      <w:tr w14:paraId="0FE60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245" w:type="dxa"/>
            <w:vAlign w:val="center"/>
          </w:tcPr>
          <w:p w14:paraId="046C20FB">
            <w:pPr>
              <w:spacing w:line="360" w:lineRule="auto"/>
              <w:jc w:val="center"/>
              <w:rPr>
                <w:rFonts w:hAnsi="宋体" w:cs="宋体"/>
                <w:color w:val="auto"/>
                <w:szCs w:val="24"/>
              </w:rPr>
            </w:pPr>
            <w:r>
              <w:rPr>
                <w:rFonts w:hint="eastAsia" w:hAnsi="宋体" w:cs="宋体"/>
                <w:color w:val="auto"/>
                <w:szCs w:val="24"/>
              </w:rPr>
              <w:t>13.1</w:t>
            </w:r>
          </w:p>
        </w:tc>
        <w:tc>
          <w:tcPr>
            <w:tcW w:w="2071" w:type="dxa"/>
            <w:vAlign w:val="center"/>
          </w:tcPr>
          <w:p w14:paraId="29BF0B01">
            <w:pPr>
              <w:spacing w:line="360" w:lineRule="auto"/>
              <w:ind w:firstLine="480"/>
              <w:jc w:val="center"/>
              <w:rPr>
                <w:rFonts w:hAnsi="宋体"/>
                <w:color w:val="auto"/>
                <w:szCs w:val="21"/>
              </w:rPr>
            </w:pPr>
          </w:p>
          <w:p w14:paraId="49585B62">
            <w:pPr>
              <w:spacing w:line="360" w:lineRule="auto"/>
              <w:jc w:val="center"/>
              <w:rPr>
                <w:rFonts w:hAnsi="宋体" w:cs="宋体"/>
                <w:b/>
                <w:bCs/>
                <w:color w:val="auto"/>
                <w:szCs w:val="24"/>
              </w:rPr>
            </w:pPr>
            <w:r>
              <w:rPr>
                <w:rFonts w:hint="eastAsia" w:hAnsi="宋体"/>
                <w:color w:val="auto"/>
                <w:szCs w:val="21"/>
              </w:rPr>
              <w:t>供应商资格证明文件</w:t>
            </w:r>
          </w:p>
        </w:tc>
        <w:tc>
          <w:tcPr>
            <w:tcW w:w="6142" w:type="dxa"/>
          </w:tcPr>
          <w:p w14:paraId="171F62CB">
            <w:pPr>
              <w:spacing w:line="360" w:lineRule="auto"/>
              <w:rPr>
                <w:rFonts w:hAnsi="宋体" w:cs="宋体"/>
                <w:color w:val="auto"/>
                <w:szCs w:val="24"/>
              </w:rPr>
            </w:pPr>
            <w:r>
              <w:rPr>
                <w:rFonts w:hint="eastAsia" w:hAnsi="宋体" w:cs="宋体"/>
                <w:b/>
                <w:bCs/>
                <w:color w:val="auto"/>
                <w:szCs w:val="24"/>
              </w:rPr>
              <w:t>1.基本资格条件：符合《中华人民共和国政府采购法》第二十二条的规定，并提供以下资料；</w:t>
            </w:r>
          </w:p>
          <w:p w14:paraId="2F536438">
            <w:pPr>
              <w:spacing w:line="360" w:lineRule="auto"/>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w:t>
            </w:r>
            <w:r>
              <w:rPr>
                <w:rFonts w:hint="eastAsia"/>
                <w:color w:val="auto"/>
              </w:rPr>
              <w:t>具有独立承担民事责任的法人、其他组织或自然人，并出具合法有效的营业执照或事业单位法人证书等国家规定的相关证明，自然人参与的提供其身份证明；</w:t>
            </w:r>
          </w:p>
          <w:p w14:paraId="79D7CDA2">
            <w:pPr>
              <w:spacing w:line="360" w:lineRule="auto"/>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w:t>
            </w:r>
            <w:r>
              <w:rPr>
                <w:rFonts w:hint="eastAsia" w:hAnsi="宋体" w:cs="宋体" w:eastAsiaTheme="minorEastAsia"/>
                <w:color w:val="auto"/>
                <w:szCs w:val="24"/>
                <w:lang w:eastAsia="zh-CN"/>
              </w:rPr>
              <w:t>提供2024年度</w:t>
            </w:r>
            <w:r>
              <w:rPr>
                <w:rFonts w:hint="eastAsia" w:hAnsi="宋体" w:cs="宋体"/>
                <w:color w:val="auto"/>
                <w:szCs w:val="24"/>
              </w:rPr>
              <w:t>经审计的完整财务报告（成立时间至提交投标文件截止时间不足一年的可提供成立后任意时段的资产负债表），或其基本存款账户开户银行出具的资信证明；</w:t>
            </w:r>
          </w:p>
          <w:p w14:paraId="0CA2B314">
            <w:pPr>
              <w:spacing w:line="360" w:lineRule="auto"/>
              <w:rPr>
                <w:color w:val="auto"/>
              </w:rPr>
            </w:pPr>
            <w:r>
              <w:rPr>
                <w:rFonts w:hint="eastAsia"/>
                <w:color w:val="auto"/>
                <w:highlight w:val="none"/>
              </w:rPr>
              <w:t>（3）</w:t>
            </w:r>
            <w:r>
              <w:rPr>
                <w:rFonts w:hint="eastAsia" w:hAnsi="宋体" w:cs="宋体"/>
                <w:color w:val="auto"/>
                <w:szCs w:val="24"/>
              </w:rPr>
              <w:t>提供具有履行合同所必需的设备和专业技术能力的承诺；</w:t>
            </w:r>
          </w:p>
          <w:p w14:paraId="7E7641C7">
            <w:pPr>
              <w:spacing w:line="360" w:lineRule="auto"/>
              <w:rPr>
                <w:color w:val="auto"/>
              </w:rPr>
            </w:pPr>
            <w:r>
              <w:rPr>
                <w:rFonts w:hint="eastAsia"/>
                <w:color w:val="auto"/>
              </w:rPr>
              <w:t>（4）</w:t>
            </w:r>
            <w:r>
              <w:rPr>
                <w:rFonts w:hint="eastAsia"/>
                <w:color w:val="auto"/>
                <w:lang w:eastAsia="zh-CN"/>
              </w:rPr>
              <w:t>提供投标截止日前一年内任意一个月的纳税凭据或完税证明（增值税、印花税、城市维护建设费、企业所得税等一种或多种税种），依法免税的应提供相关证明材料</w:t>
            </w:r>
            <w:r>
              <w:rPr>
                <w:rFonts w:hint="eastAsia" w:ascii="宋体" w:hAnsi="宋体" w:eastAsia="宋体" w:cs="宋体"/>
                <w:color w:val="auto"/>
                <w:sz w:val="24"/>
                <w:szCs w:val="24"/>
              </w:rPr>
              <w:t>。</w:t>
            </w:r>
          </w:p>
          <w:p w14:paraId="119F97A8">
            <w:pPr>
              <w:spacing w:line="360" w:lineRule="auto"/>
              <w:rPr>
                <w:color w:val="auto"/>
              </w:rPr>
            </w:pPr>
            <w:r>
              <w:rPr>
                <w:rFonts w:hint="eastAsia"/>
                <w:color w:val="auto"/>
                <w:highlight w:val="none"/>
              </w:rPr>
              <w:t>（5）</w:t>
            </w:r>
            <w:r>
              <w:rPr>
                <w:rFonts w:hint="eastAsia"/>
                <w:color w:val="auto"/>
                <w:lang w:eastAsia="zh-CN"/>
              </w:rPr>
              <w:t>提供投标截止日前一年内任意一个月的社会保障资金缴存单据或社保机构开具的社会保险参保缴费情况证明，依法不需要缴纳社会保障资金的应提供相关证明材料</w:t>
            </w:r>
            <w:r>
              <w:rPr>
                <w:rFonts w:hint="eastAsia"/>
                <w:color w:val="auto"/>
              </w:rPr>
              <w:t>；</w:t>
            </w:r>
          </w:p>
          <w:p w14:paraId="1667AE42">
            <w:pPr>
              <w:pStyle w:val="19"/>
              <w:spacing w:after="0" w:line="360" w:lineRule="auto"/>
              <w:rPr>
                <w:rFonts w:cs="宋体" w:asciiTheme="minorEastAsia" w:hAnsiTheme="minorEastAsia" w:eastAsiaTheme="minorEastAsia"/>
                <w:color w:val="auto"/>
                <w:sz w:val="24"/>
                <w:szCs w:val="24"/>
              </w:rPr>
            </w:pPr>
            <w:r>
              <w:rPr>
                <w:rFonts w:hint="eastAsia" w:ascii="宋体"/>
                <w:color w:val="auto"/>
                <w:kern w:val="0"/>
                <w:sz w:val="24"/>
              </w:rPr>
              <w:t>（6）参加政府采购活动前三年内，在经营活动中没有重大违法记录的书面声明。</w:t>
            </w:r>
          </w:p>
          <w:p w14:paraId="0D957E68">
            <w:pPr>
              <w:spacing w:line="360" w:lineRule="auto"/>
              <w:rPr>
                <w:rFonts w:hAnsi="宋体" w:cs="宋体"/>
                <w:b/>
                <w:bCs/>
                <w:color w:val="auto"/>
                <w:szCs w:val="24"/>
              </w:rPr>
            </w:pPr>
            <w:r>
              <w:rPr>
                <w:rFonts w:hAnsi="宋体" w:cs="宋体"/>
                <w:b/>
                <w:bCs/>
                <w:color w:val="auto"/>
                <w:szCs w:val="24"/>
              </w:rPr>
              <w:t>2</w:t>
            </w:r>
            <w:r>
              <w:rPr>
                <w:rFonts w:hint="eastAsia" w:hAnsi="宋体" w:cs="宋体"/>
                <w:b/>
                <w:bCs/>
                <w:color w:val="auto"/>
                <w:szCs w:val="24"/>
              </w:rPr>
              <w:t>.特定资格条件：</w:t>
            </w:r>
          </w:p>
          <w:p w14:paraId="41D8942A">
            <w:pPr>
              <w:spacing w:line="360" w:lineRule="auto"/>
              <w:ind w:left="48" w:leftChars="20"/>
              <w:rPr>
                <w:color w:val="auto"/>
              </w:rPr>
            </w:pPr>
            <w:r>
              <w:rPr>
                <w:rFonts w:hint="eastAsia" w:hAnsi="宋体" w:cs="宋体"/>
                <w:color w:val="auto"/>
                <w:szCs w:val="24"/>
                <w:shd w:val="clear" w:color="auto" w:fill="FFFFFF"/>
              </w:rPr>
              <w:t>（1）法定代表人授权书（附法定代表人、被授权人身份证复印件）</w:t>
            </w:r>
            <w:r>
              <w:rPr>
                <w:rFonts w:hint="eastAsia" w:hAnsi="宋体" w:cs="宋体"/>
                <w:color w:val="auto"/>
                <w:szCs w:val="24"/>
                <w:shd w:val="clear" w:color="auto" w:fill="FFFFFF"/>
                <w:lang w:eastAsia="zh-CN"/>
              </w:rPr>
              <w:t>，</w:t>
            </w:r>
            <w:r>
              <w:rPr>
                <w:rFonts w:hint="eastAsia" w:hAnsi="宋体" w:cs="宋体"/>
                <w:color w:val="auto"/>
                <w:szCs w:val="24"/>
                <w:shd w:val="clear" w:color="auto" w:fill="FFFFFF"/>
              </w:rPr>
              <w:t>法定代表人直接参加投标，须提供法定代表人身份证明及身份证</w:t>
            </w:r>
            <w:r>
              <w:rPr>
                <w:rFonts w:hint="eastAsia" w:hAnsi="宋体" w:cs="宋体"/>
                <w:color w:val="auto"/>
                <w:szCs w:val="24"/>
                <w:shd w:val="clear" w:color="auto" w:fill="FFFFFF"/>
                <w:lang w:eastAsia="zh-CN"/>
              </w:rPr>
              <w:t>复印件</w:t>
            </w:r>
            <w:r>
              <w:rPr>
                <w:rFonts w:hint="eastAsia" w:hAnsi="宋体" w:cs="宋体"/>
                <w:color w:val="auto"/>
                <w:szCs w:val="24"/>
                <w:shd w:val="clear" w:color="auto" w:fill="FFFFFF"/>
              </w:rPr>
              <w:t>；</w:t>
            </w:r>
          </w:p>
          <w:p w14:paraId="7666AC4B">
            <w:pPr>
              <w:spacing w:line="360" w:lineRule="auto"/>
              <w:jc w:val="left"/>
              <w:rPr>
                <w:rFonts w:hAnsi="宋体" w:cs="宋体"/>
                <w:color w:val="auto"/>
                <w:szCs w:val="24"/>
              </w:rPr>
            </w:pPr>
            <w:r>
              <w:rPr>
                <w:rFonts w:hint="eastAsia"/>
                <w:color w:val="auto"/>
              </w:rPr>
              <w:t>（2）</w:t>
            </w:r>
            <w:r>
              <w:rPr>
                <w:rFonts w:hint="eastAsia"/>
                <w:color w:val="auto"/>
                <w:lang w:eastAsia="zh-CN"/>
              </w:rPr>
              <w:t>投标人不得为“信用中国”网站（www.creditchina.gov.cn）中列入“失信被执行人（中国执行信息公开网http：//zxgk.court.gov.cn/shixin/）”和“重大税收违法失信主体”的投标人，不得为中国政府采购网（www.ccgp.gov.cn）政府采购“严重违法失信行为记录名单”中被财政部门禁止参加政府采购活动的投标人</w:t>
            </w:r>
            <w:r>
              <w:rPr>
                <w:rFonts w:hint="eastAsia"/>
                <w:color w:val="auto"/>
              </w:rPr>
              <w:t>；</w:t>
            </w:r>
          </w:p>
          <w:p w14:paraId="4D12B6D4">
            <w:pPr>
              <w:spacing w:line="360" w:lineRule="auto"/>
              <w:rPr>
                <w:rFonts w:hint="eastAsia" w:hAnsi="宋体" w:cs="宋体"/>
                <w:color w:val="auto"/>
                <w:szCs w:val="24"/>
                <w:lang w:eastAsia="zh-CN"/>
              </w:rPr>
            </w:pPr>
            <w:r>
              <w:rPr>
                <w:rFonts w:hint="eastAsia" w:hAnsi="宋体" w:cs="宋体"/>
                <w:color w:val="auto"/>
                <w:szCs w:val="24"/>
                <w:lang w:val="en-US" w:eastAsia="zh-CN"/>
              </w:rPr>
              <w:t>（3）投标人应具备行业行政主管部门颁发的《人力资源服务许可证》和《劳务派遣经营许可证》；</w:t>
            </w:r>
          </w:p>
          <w:p w14:paraId="0C7C3906">
            <w:pPr>
              <w:spacing w:line="360" w:lineRule="auto"/>
              <w:rPr>
                <w:color w:val="auto"/>
              </w:rPr>
            </w:pPr>
            <w:r>
              <w:rPr>
                <w:rFonts w:hint="eastAsia" w:hAnsi="宋体" w:cs="宋体"/>
                <w:color w:val="auto"/>
                <w:szCs w:val="24"/>
                <w:lang w:eastAsia="zh-CN"/>
              </w:rPr>
              <w:t>（</w:t>
            </w:r>
            <w:r>
              <w:rPr>
                <w:rFonts w:hint="eastAsia" w:hAnsi="宋体" w:cs="宋体"/>
                <w:color w:val="auto"/>
                <w:szCs w:val="24"/>
                <w:lang w:val="en-US" w:eastAsia="zh-CN"/>
              </w:rPr>
              <w:t>4</w:t>
            </w:r>
            <w:r>
              <w:rPr>
                <w:rFonts w:hint="eastAsia" w:hAnsi="宋体" w:cs="宋体"/>
                <w:color w:val="auto"/>
                <w:szCs w:val="24"/>
                <w:lang w:eastAsia="zh-CN"/>
              </w:rPr>
              <w:t>）</w:t>
            </w:r>
            <w:r>
              <w:rPr>
                <w:rFonts w:hint="eastAsia" w:hAnsi="宋体" w:cs="宋体"/>
                <w:color w:val="auto"/>
                <w:szCs w:val="24"/>
              </w:rPr>
              <w:t>本项目不接受联合体投标。</w:t>
            </w:r>
          </w:p>
          <w:p w14:paraId="48A34BF9">
            <w:pPr>
              <w:spacing w:line="360" w:lineRule="auto"/>
              <w:ind w:firstLine="480"/>
              <w:rPr>
                <w:rFonts w:hAnsi="宋体" w:cs="宋体"/>
                <w:color w:val="auto"/>
                <w:szCs w:val="24"/>
              </w:rPr>
            </w:pPr>
            <w:r>
              <w:rPr>
                <w:rFonts w:hint="eastAsia" w:hAnsi="宋体" w:cs="宋体"/>
                <w:b/>
                <w:color w:val="auto"/>
              </w:rPr>
              <w:t>（信用记录由采购代理机构在响应文件资格审查阶段通过互联网或者相关系统查询，对列入失信被执行人、重大税收违法失信主体、政府采购严重违法失信行为记录名单内的，采购构将拒绝其参与政府采购活动，查询结果以纸质方式留存。）以上为必备资质，缺一项或某项达不到要求，按无效投标处理。</w:t>
            </w:r>
          </w:p>
        </w:tc>
      </w:tr>
      <w:tr w14:paraId="6745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jc w:val="center"/>
        </w:trPr>
        <w:tc>
          <w:tcPr>
            <w:tcW w:w="1245" w:type="dxa"/>
            <w:vAlign w:val="center"/>
          </w:tcPr>
          <w:p w14:paraId="2B254629">
            <w:pPr>
              <w:spacing w:line="360" w:lineRule="auto"/>
              <w:jc w:val="center"/>
              <w:rPr>
                <w:rFonts w:hAnsi="宋体" w:cs="宋体"/>
                <w:color w:val="auto"/>
                <w:szCs w:val="24"/>
              </w:rPr>
            </w:pPr>
            <w:r>
              <w:rPr>
                <w:rFonts w:hint="eastAsia" w:hAnsi="宋体" w:cs="宋体"/>
                <w:color w:val="auto"/>
                <w:szCs w:val="24"/>
              </w:rPr>
              <w:t>1</w:t>
            </w:r>
            <w:r>
              <w:rPr>
                <w:rFonts w:hint="eastAsia" w:hAnsi="宋体" w:cs="宋体"/>
                <w:color w:val="auto"/>
                <w:szCs w:val="24"/>
                <w:lang w:val="en-US" w:eastAsia="zh-CN"/>
              </w:rPr>
              <w:t>5</w:t>
            </w:r>
            <w:r>
              <w:rPr>
                <w:rFonts w:hint="eastAsia" w:hAnsi="宋体" w:cs="宋体"/>
                <w:color w:val="auto"/>
                <w:szCs w:val="24"/>
              </w:rPr>
              <w:t>.1</w:t>
            </w:r>
          </w:p>
        </w:tc>
        <w:tc>
          <w:tcPr>
            <w:tcW w:w="2071" w:type="dxa"/>
            <w:vAlign w:val="center"/>
          </w:tcPr>
          <w:p w14:paraId="092627D4">
            <w:pPr>
              <w:spacing w:line="360" w:lineRule="auto"/>
              <w:jc w:val="center"/>
              <w:rPr>
                <w:rFonts w:hAnsi="宋体" w:cs="宋体"/>
                <w:color w:val="auto"/>
                <w:szCs w:val="24"/>
              </w:rPr>
            </w:pPr>
            <w:r>
              <w:rPr>
                <w:rFonts w:hint="eastAsia" w:hAnsi="宋体" w:cs="宋体"/>
                <w:color w:val="auto"/>
                <w:szCs w:val="24"/>
              </w:rPr>
              <w:t>投标有效期</w:t>
            </w:r>
          </w:p>
        </w:tc>
        <w:tc>
          <w:tcPr>
            <w:tcW w:w="6142" w:type="dxa"/>
          </w:tcPr>
          <w:p w14:paraId="5D19FFF7">
            <w:pPr>
              <w:spacing w:line="360" w:lineRule="auto"/>
              <w:rPr>
                <w:rFonts w:hAnsi="宋体" w:cs="宋体"/>
                <w:color w:val="auto"/>
                <w:szCs w:val="24"/>
              </w:rPr>
            </w:pPr>
            <w:r>
              <w:rPr>
                <w:rFonts w:hint="eastAsia" w:hAnsi="宋体" w:cs="宋体"/>
                <w:color w:val="auto"/>
                <w:szCs w:val="24"/>
                <w:lang w:eastAsia="zh-CN"/>
              </w:rPr>
              <w:t>自</w:t>
            </w:r>
            <w:r>
              <w:rPr>
                <w:rFonts w:hint="eastAsia" w:hAnsi="宋体" w:cs="宋体"/>
                <w:color w:val="auto"/>
                <w:szCs w:val="24"/>
              </w:rPr>
              <w:t>投标文件的递交截止之日起</w:t>
            </w:r>
            <w:r>
              <w:rPr>
                <w:rFonts w:hint="eastAsia" w:hAnsi="宋体" w:cs="宋体"/>
                <w:color w:val="auto"/>
                <w:szCs w:val="24"/>
                <w:u w:val="single"/>
              </w:rPr>
              <w:t>90</w:t>
            </w:r>
            <w:r>
              <w:rPr>
                <w:rFonts w:hint="eastAsia" w:hAnsi="宋体" w:cs="宋体"/>
                <w:color w:val="auto"/>
                <w:szCs w:val="24"/>
              </w:rPr>
              <w:t>天。</w:t>
            </w:r>
          </w:p>
        </w:tc>
      </w:tr>
      <w:tr w14:paraId="1F807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jc w:val="center"/>
        </w:trPr>
        <w:tc>
          <w:tcPr>
            <w:tcW w:w="1245" w:type="dxa"/>
            <w:vAlign w:val="center"/>
          </w:tcPr>
          <w:p w14:paraId="1F485550">
            <w:pPr>
              <w:spacing w:line="360" w:lineRule="auto"/>
              <w:jc w:val="center"/>
              <w:rPr>
                <w:rFonts w:hint="eastAsia" w:hAnsi="宋体" w:eastAsia="宋体" w:cs="宋体"/>
                <w:color w:val="auto"/>
                <w:szCs w:val="24"/>
                <w:lang w:eastAsia="zh-CN"/>
              </w:rPr>
            </w:pPr>
            <w:r>
              <w:rPr>
                <w:rFonts w:hint="eastAsia" w:hAnsi="宋体" w:cs="宋体"/>
                <w:color w:val="auto"/>
                <w:szCs w:val="24"/>
              </w:rPr>
              <w:t>17.</w:t>
            </w:r>
            <w:r>
              <w:rPr>
                <w:rFonts w:hint="eastAsia" w:hAnsi="宋体" w:cs="宋体"/>
                <w:color w:val="auto"/>
                <w:szCs w:val="24"/>
                <w:lang w:val="en-US" w:eastAsia="zh-CN"/>
              </w:rPr>
              <w:t>1</w:t>
            </w:r>
          </w:p>
        </w:tc>
        <w:tc>
          <w:tcPr>
            <w:tcW w:w="2071" w:type="dxa"/>
            <w:vAlign w:val="center"/>
          </w:tcPr>
          <w:p w14:paraId="4F344A0B">
            <w:pPr>
              <w:spacing w:line="360" w:lineRule="auto"/>
              <w:ind w:left="48" w:leftChars="20"/>
              <w:jc w:val="center"/>
              <w:rPr>
                <w:rFonts w:hAnsi="宋体" w:cs="宋体"/>
                <w:b/>
                <w:bCs/>
                <w:color w:val="auto"/>
                <w:szCs w:val="24"/>
              </w:rPr>
            </w:pPr>
            <w:r>
              <w:rPr>
                <w:rFonts w:hint="eastAsia" w:ascii="宋体" w:hAnsi="宋体" w:cs="宋体"/>
                <w:color w:val="auto"/>
                <w:sz w:val="24"/>
                <w:szCs w:val="24"/>
              </w:rPr>
              <w:t>是否提供纸质投标文件</w:t>
            </w:r>
          </w:p>
        </w:tc>
        <w:tc>
          <w:tcPr>
            <w:tcW w:w="6142" w:type="dxa"/>
            <w:vAlign w:val="top"/>
          </w:tcPr>
          <w:p w14:paraId="2F0037BF">
            <w:pPr>
              <w:pStyle w:val="26"/>
              <w:spacing w:line="360" w:lineRule="auto"/>
              <w:jc w:val="left"/>
              <w:rPr>
                <w:rFonts w:hAnsi="宋体" w:cs="宋体"/>
                <w:color w:val="auto"/>
                <w:kern w:val="0"/>
                <w:sz w:val="24"/>
                <w:szCs w:val="24"/>
              </w:rPr>
            </w:pPr>
            <w:r>
              <w:rPr>
                <w:rFonts w:hint="eastAsia" w:hAnsi="宋体" w:cs="Segoe UI Symbol"/>
                <w:color w:val="auto"/>
                <w:kern w:val="0"/>
                <w:sz w:val="24"/>
                <w:szCs w:val="24"/>
              </w:rPr>
              <w:t>□</w:t>
            </w:r>
            <w:r>
              <w:rPr>
                <w:rFonts w:hint="eastAsia" w:hAnsi="宋体" w:cs="宋体"/>
                <w:color w:val="auto"/>
                <w:kern w:val="0"/>
                <w:sz w:val="24"/>
                <w:szCs w:val="24"/>
              </w:rPr>
              <w:t xml:space="preserve"> 是</w:t>
            </w:r>
          </w:p>
          <w:p w14:paraId="005C4049">
            <w:pPr>
              <w:spacing w:line="360" w:lineRule="auto"/>
              <w:ind w:left="48" w:leftChars="20"/>
              <w:rPr>
                <w:rFonts w:hAnsi="宋体" w:cs="宋体"/>
                <w:color w:val="auto"/>
                <w:szCs w:val="24"/>
              </w:rPr>
            </w:pPr>
            <w:r>
              <w:rPr>
                <w:rFonts w:ascii="Segoe UI Symbol" w:hAnsi="Segoe UI Symbol" w:cs="Segoe UI Symbol"/>
                <w:color w:val="auto"/>
                <w:sz w:val="24"/>
                <w:szCs w:val="24"/>
              </w:rPr>
              <w:t>☑</w:t>
            </w:r>
            <w:r>
              <w:rPr>
                <w:rFonts w:hint="eastAsia" w:ascii="宋体" w:hAnsi="宋体" w:cs="宋体"/>
                <w:color w:val="auto"/>
                <w:sz w:val="24"/>
                <w:szCs w:val="24"/>
              </w:rPr>
              <w:t xml:space="preserve"> 否</w:t>
            </w:r>
          </w:p>
        </w:tc>
      </w:tr>
      <w:tr w14:paraId="0D0F1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2" w:hRule="atLeast"/>
          <w:jc w:val="center"/>
        </w:trPr>
        <w:tc>
          <w:tcPr>
            <w:tcW w:w="1245" w:type="dxa"/>
            <w:vAlign w:val="center"/>
          </w:tcPr>
          <w:p w14:paraId="01B529CD">
            <w:pPr>
              <w:spacing w:line="360" w:lineRule="auto"/>
              <w:jc w:val="center"/>
              <w:rPr>
                <w:rFonts w:hint="eastAsia" w:hAnsi="宋体" w:eastAsia="宋体" w:cs="宋体"/>
                <w:color w:val="auto"/>
                <w:szCs w:val="24"/>
                <w:lang w:eastAsia="zh-CN"/>
              </w:rPr>
            </w:pPr>
            <w:r>
              <w:rPr>
                <w:rFonts w:hint="eastAsia" w:hAnsi="宋体" w:cs="宋体"/>
                <w:color w:val="auto"/>
                <w:szCs w:val="24"/>
                <w:lang w:val="en-US" w:eastAsia="zh-CN"/>
              </w:rPr>
              <w:t>17</w:t>
            </w:r>
            <w:r>
              <w:rPr>
                <w:rFonts w:hint="eastAsia" w:hAnsi="宋体" w:cs="宋体"/>
                <w:color w:val="auto"/>
                <w:szCs w:val="24"/>
              </w:rPr>
              <w:t>.</w:t>
            </w:r>
            <w:r>
              <w:rPr>
                <w:rFonts w:hint="eastAsia" w:hAnsi="宋体" w:cs="宋体"/>
                <w:color w:val="auto"/>
                <w:szCs w:val="24"/>
                <w:lang w:val="en-US" w:eastAsia="zh-CN"/>
              </w:rPr>
              <w:t>2</w:t>
            </w:r>
          </w:p>
        </w:tc>
        <w:tc>
          <w:tcPr>
            <w:tcW w:w="2071" w:type="dxa"/>
            <w:vAlign w:val="center"/>
          </w:tcPr>
          <w:p w14:paraId="082E6FCB">
            <w:pPr>
              <w:spacing w:line="360" w:lineRule="auto"/>
              <w:jc w:val="center"/>
              <w:rPr>
                <w:rFonts w:hAnsi="宋体" w:cs="宋体"/>
                <w:color w:val="auto"/>
                <w:szCs w:val="24"/>
              </w:rPr>
            </w:pPr>
            <w:r>
              <w:rPr>
                <w:rFonts w:hint="eastAsia" w:hAnsi="宋体"/>
                <w:color w:val="auto"/>
                <w:szCs w:val="21"/>
              </w:rPr>
              <w:t>投标文件的递交</w:t>
            </w:r>
          </w:p>
        </w:tc>
        <w:tc>
          <w:tcPr>
            <w:tcW w:w="6142" w:type="dxa"/>
          </w:tcPr>
          <w:p w14:paraId="2B7B9ED1">
            <w:pPr>
              <w:spacing w:line="360" w:lineRule="auto"/>
              <w:rPr>
                <w:rFonts w:hAnsi="宋体" w:cs="宋体"/>
                <w:color w:val="auto"/>
                <w:szCs w:val="24"/>
              </w:rPr>
            </w:pPr>
            <w:r>
              <w:rPr>
                <w:rFonts w:hint="eastAsia" w:hAnsi="宋体" w:cs="宋体"/>
                <w:color w:val="auto"/>
                <w:szCs w:val="24"/>
              </w:rPr>
              <w:t>投标文件递交截止时间：详见招标公告。</w:t>
            </w:r>
          </w:p>
          <w:p w14:paraId="0EAEB3E6">
            <w:pPr>
              <w:spacing w:line="360" w:lineRule="auto"/>
              <w:rPr>
                <w:rFonts w:hAnsi="宋体" w:cs="宋体"/>
                <w:color w:val="auto"/>
                <w:szCs w:val="24"/>
              </w:rPr>
            </w:pPr>
            <w:r>
              <w:rPr>
                <w:rFonts w:hint="eastAsia" w:hAnsi="宋体" w:cs="宋体"/>
                <w:color w:val="auto"/>
                <w:szCs w:val="24"/>
              </w:rPr>
              <w:t>投标文件递交地址：详见招标公告。</w:t>
            </w:r>
          </w:p>
          <w:p w14:paraId="16CE3A1A">
            <w:pPr>
              <w:spacing w:line="360" w:lineRule="auto"/>
              <w:rPr>
                <w:rFonts w:hAnsi="宋体" w:cs="宋体"/>
                <w:color w:val="auto"/>
                <w:szCs w:val="24"/>
              </w:rPr>
            </w:pPr>
            <w:r>
              <w:rPr>
                <w:rFonts w:hint="eastAsia" w:hAnsi="宋体" w:cs="宋体"/>
                <w:color w:val="auto"/>
                <w:szCs w:val="24"/>
              </w:rPr>
              <w:t>投标文件接收人：陕西万兴招标代理有限公司。</w:t>
            </w:r>
          </w:p>
        </w:tc>
      </w:tr>
      <w:tr w14:paraId="615E4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1245" w:type="dxa"/>
            <w:vAlign w:val="center"/>
          </w:tcPr>
          <w:p w14:paraId="492A7F1B">
            <w:pPr>
              <w:spacing w:line="360" w:lineRule="auto"/>
              <w:jc w:val="center"/>
              <w:rPr>
                <w:rFonts w:hAnsi="宋体" w:cs="宋体"/>
                <w:color w:val="auto"/>
                <w:szCs w:val="24"/>
              </w:rPr>
            </w:pPr>
            <w:r>
              <w:rPr>
                <w:rFonts w:hint="eastAsia" w:hAnsi="宋体" w:cs="宋体"/>
                <w:color w:val="auto"/>
                <w:szCs w:val="24"/>
              </w:rPr>
              <w:t>22</w:t>
            </w:r>
          </w:p>
        </w:tc>
        <w:tc>
          <w:tcPr>
            <w:tcW w:w="2071" w:type="dxa"/>
            <w:vAlign w:val="center"/>
          </w:tcPr>
          <w:p w14:paraId="6FEA29AD">
            <w:pPr>
              <w:spacing w:line="360" w:lineRule="auto"/>
              <w:jc w:val="center"/>
              <w:rPr>
                <w:rFonts w:hAnsi="宋体" w:cs="宋体"/>
                <w:color w:val="auto"/>
                <w:szCs w:val="24"/>
              </w:rPr>
            </w:pPr>
            <w:r>
              <w:rPr>
                <w:rFonts w:hint="eastAsia" w:hAnsi="宋体"/>
                <w:color w:val="auto"/>
                <w:szCs w:val="21"/>
              </w:rPr>
              <w:t>开标时间和地点</w:t>
            </w:r>
          </w:p>
        </w:tc>
        <w:tc>
          <w:tcPr>
            <w:tcW w:w="6142" w:type="dxa"/>
          </w:tcPr>
          <w:p w14:paraId="111B5A49">
            <w:pPr>
              <w:spacing w:line="360" w:lineRule="auto"/>
              <w:rPr>
                <w:rFonts w:hAnsi="宋体" w:cs="宋体"/>
                <w:color w:val="auto"/>
                <w:szCs w:val="24"/>
              </w:rPr>
            </w:pPr>
            <w:r>
              <w:rPr>
                <w:rFonts w:hint="eastAsia" w:hAnsi="宋体" w:cs="宋体"/>
                <w:color w:val="auto"/>
                <w:szCs w:val="24"/>
              </w:rPr>
              <w:t>开标时间：详见招标公告。</w:t>
            </w:r>
          </w:p>
          <w:p w14:paraId="5DEF1EA6">
            <w:pPr>
              <w:spacing w:line="360" w:lineRule="auto"/>
              <w:rPr>
                <w:rFonts w:hAnsi="宋体" w:cs="宋体"/>
                <w:color w:val="auto"/>
                <w:szCs w:val="24"/>
              </w:rPr>
            </w:pPr>
            <w:r>
              <w:rPr>
                <w:rFonts w:hint="eastAsia" w:hAnsi="宋体" w:cs="宋体"/>
                <w:color w:val="auto"/>
                <w:szCs w:val="24"/>
              </w:rPr>
              <w:t>开标地点：详见招标公告。</w:t>
            </w:r>
          </w:p>
        </w:tc>
      </w:tr>
      <w:tr w14:paraId="16840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0" w:hRule="atLeast"/>
          <w:jc w:val="center"/>
        </w:trPr>
        <w:tc>
          <w:tcPr>
            <w:tcW w:w="1245" w:type="dxa"/>
            <w:vAlign w:val="center"/>
          </w:tcPr>
          <w:p w14:paraId="7DA508AC">
            <w:pPr>
              <w:spacing w:line="360" w:lineRule="auto"/>
              <w:jc w:val="center"/>
              <w:rPr>
                <w:rFonts w:hAnsi="宋体" w:cs="宋体"/>
                <w:color w:val="auto"/>
                <w:szCs w:val="24"/>
              </w:rPr>
            </w:pPr>
            <w:r>
              <w:rPr>
                <w:rFonts w:hint="eastAsia" w:hAnsi="宋体" w:cs="宋体"/>
                <w:color w:val="auto"/>
                <w:szCs w:val="24"/>
              </w:rPr>
              <w:t>2</w:t>
            </w:r>
            <w:r>
              <w:rPr>
                <w:rFonts w:hint="eastAsia" w:hAnsi="宋体" w:cs="宋体"/>
                <w:color w:val="auto"/>
                <w:szCs w:val="24"/>
                <w:lang w:val="en-US" w:eastAsia="zh-CN"/>
              </w:rPr>
              <w:t>6</w:t>
            </w:r>
            <w:r>
              <w:rPr>
                <w:rFonts w:hint="eastAsia" w:hAnsi="宋体" w:cs="宋体"/>
                <w:color w:val="auto"/>
                <w:szCs w:val="24"/>
              </w:rPr>
              <w:t>.1</w:t>
            </w:r>
          </w:p>
        </w:tc>
        <w:tc>
          <w:tcPr>
            <w:tcW w:w="2071" w:type="dxa"/>
            <w:vAlign w:val="center"/>
          </w:tcPr>
          <w:p w14:paraId="3EA7809D">
            <w:pPr>
              <w:spacing w:line="360" w:lineRule="auto"/>
              <w:jc w:val="center"/>
              <w:rPr>
                <w:rFonts w:hAnsi="宋体" w:cs="宋体"/>
                <w:color w:val="auto"/>
                <w:szCs w:val="24"/>
              </w:rPr>
            </w:pPr>
            <w:r>
              <w:rPr>
                <w:rFonts w:hint="eastAsia" w:hAnsi="宋体" w:cs="宋体"/>
                <w:color w:val="auto"/>
                <w:szCs w:val="24"/>
              </w:rPr>
              <w:t>评标方法</w:t>
            </w:r>
          </w:p>
        </w:tc>
        <w:tc>
          <w:tcPr>
            <w:tcW w:w="6142" w:type="dxa"/>
            <w:vAlign w:val="center"/>
          </w:tcPr>
          <w:p w14:paraId="796C21EA">
            <w:pPr>
              <w:spacing w:line="360" w:lineRule="auto"/>
              <w:jc w:val="left"/>
              <w:rPr>
                <w:rFonts w:hAnsi="宋体" w:cs="宋体"/>
                <w:color w:val="auto"/>
                <w:szCs w:val="24"/>
              </w:rPr>
            </w:pPr>
            <w:r>
              <w:rPr>
                <w:rFonts w:hint="eastAsia" w:hAnsi="宋体" w:cs="宋体"/>
                <w:color w:val="auto"/>
                <w:szCs w:val="24"/>
              </w:rPr>
              <w:t>综合评分法（详见第五章）。</w:t>
            </w:r>
          </w:p>
        </w:tc>
      </w:tr>
      <w:tr w14:paraId="05285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1245" w:type="dxa"/>
            <w:vAlign w:val="center"/>
          </w:tcPr>
          <w:p w14:paraId="42571D6C">
            <w:pPr>
              <w:spacing w:line="360" w:lineRule="auto"/>
              <w:jc w:val="center"/>
              <w:rPr>
                <w:rFonts w:hint="eastAsia" w:hAnsi="宋体" w:eastAsia="宋体" w:cs="宋体"/>
                <w:color w:val="auto"/>
                <w:szCs w:val="24"/>
                <w:lang w:eastAsia="zh-CN"/>
              </w:rPr>
            </w:pPr>
            <w:r>
              <w:rPr>
                <w:rFonts w:hint="eastAsia" w:hAnsi="宋体" w:cs="宋体"/>
                <w:color w:val="auto"/>
                <w:szCs w:val="24"/>
              </w:rPr>
              <w:t>3</w:t>
            </w:r>
            <w:r>
              <w:rPr>
                <w:rFonts w:hint="eastAsia" w:hAnsi="宋体" w:cs="宋体"/>
                <w:color w:val="auto"/>
                <w:szCs w:val="24"/>
                <w:lang w:val="en-US" w:eastAsia="zh-CN"/>
              </w:rPr>
              <w:t>0</w:t>
            </w:r>
          </w:p>
        </w:tc>
        <w:tc>
          <w:tcPr>
            <w:tcW w:w="2071" w:type="dxa"/>
            <w:vAlign w:val="center"/>
          </w:tcPr>
          <w:p w14:paraId="0108CB7F">
            <w:pPr>
              <w:spacing w:line="360" w:lineRule="auto"/>
              <w:jc w:val="center"/>
              <w:rPr>
                <w:rFonts w:hAnsi="宋体" w:cs="宋体"/>
                <w:color w:val="auto"/>
                <w:szCs w:val="24"/>
              </w:rPr>
            </w:pPr>
            <w:r>
              <w:rPr>
                <w:rFonts w:hint="eastAsia" w:hAnsi="宋体" w:cs="宋体"/>
                <w:color w:val="auto"/>
                <w:szCs w:val="24"/>
              </w:rPr>
              <w:t>招标代理服务费</w:t>
            </w:r>
          </w:p>
        </w:tc>
        <w:tc>
          <w:tcPr>
            <w:tcW w:w="6142" w:type="dxa"/>
            <w:vAlign w:val="center"/>
          </w:tcPr>
          <w:p w14:paraId="41F7290C">
            <w:pPr>
              <w:spacing w:line="360" w:lineRule="auto"/>
              <w:rPr>
                <w:rFonts w:hint="eastAsia" w:ascii="宋体" w:hAnsi="宋体" w:eastAsia="宋体" w:cs="宋体"/>
                <w:color w:val="auto"/>
                <w:szCs w:val="24"/>
              </w:rPr>
            </w:pPr>
            <w:r>
              <w:rPr>
                <w:rFonts w:hint="eastAsia" w:hAnsi="宋体" w:cs="宋体"/>
                <w:color w:val="auto"/>
                <w:szCs w:val="24"/>
              </w:rPr>
              <w:t>参照国家计委颁发的《招标代理服务收费管理暂行办法》（计价格[2002]1980号）和国家发展</w:t>
            </w:r>
            <w:r>
              <w:rPr>
                <w:rFonts w:hint="eastAsia" w:hAnsi="宋体" w:cs="宋体"/>
                <w:color w:val="auto"/>
                <w:szCs w:val="24"/>
                <w:lang w:eastAsia="zh-CN"/>
              </w:rPr>
              <w:t>和</w:t>
            </w:r>
            <w:r>
              <w:rPr>
                <w:rFonts w:hint="eastAsia" w:hAnsi="宋体" w:cs="宋体"/>
                <w:color w:val="auto"/>
                <w:szCs w:val="24"/>
              </w:rPr>
              <w:t>改革委员会办公厅颁发的《关于招标代理服务收费有关问题的通知》（发改办价格[2003]857号）的有关</w:t>
            </w:r>
            <w:r>
              <w:rPr>
                <w:rFonts w:hint="eastAsia" w:ascii="宋体" w:hAnsi="宋体" w:eastAsia="宋体" w:cs="宋体"/>
                <w:color w:val="auto"/>
                <w:szCs w:val="24"/>
              </w:rPr>
              <w:t>规定执行。</w:t>
            </w:r>
          </w:p>
          <w:p w14:paraId="286CEE73">
            <w:pPr>
              <w:spacing w:line="360" w:lineRule="auto"/>
            </w:pPr>
            <w:r>
              <w:rPr>
                <w:rFonts w:hint="eastAsia" w:ascii="宋体" w:hAnsi="宋体" w:eastAsia="宋体" w:cs="宋体"/>
                <w:color w:val="auto"/>
                <w:szCs w:val="24"/>
                <w:lang w:val="en-US" w:eastAsia="zh-CN"/>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tc>
      </w:tr>
      <w:tr w14:paraId="4CA7C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1245" w:type="dxa"/>
            <w:vAlign w:val="center"/>
          </w:tcPr>
          <w:p w14:paraId="4061FA11">
            <w:pPr>
              <w:spacing w:line="360" w:lineRule="auto"/>
              <w:jc w:val="center"/>
              <w:rPr>
                <w:rFonts w:hint="default" w:hAnsi="宋体" w:eastAsia="宋体" w:cs="宋体"/>
                <w:color w:val="auto"/>
                <w:szCs w:val="24"/>
                <w:lang w:val="en-US" w:eastAsia="zh-CN"/>
              </w:rPr>
            </w:pPr>
            <w:r>
              <w:rPr>
                <w:rFonts w:hint="eastAsia" w:hAnsi="宋体" w:cs="宋体"/>
                <w:color w:val="auto"/>
                <w:szCs w:val="24"/>
                <w:lang w:val="en-US" w:eastAsia="zh-CN"/>
              </w:rPr>
              <w:t>31</w:t>
            </w:r>
          </w:p>
        </w:tc>
        <w:tc>
          <w:tcPr>
            <w:tcW w:w="2071" w:type="dxa"/>
            <w:vAlign w:val="center"/>
          </w:tcPr>
          <w:p w14:paraId="446DD6C2">
            <w:pPr>
              <w:spacing w:line="360" w:lineRule="auto"/>
              <w:jc w:val="center"/>
              <w:rPr>
                <w:rFonts w:hAnsi="宋体" w:cs="宋体"/>
                <w:color w:val="auto"/>
                <w:szCs w:val="24"/>
              </w:rPr>
            </w:pPr>
            <w:r>
              <w:rPr>
                <w:rFonts w:hint="eastAsia" w:hAnsi="宋体" w:cs="宋体"/>
                <w:color w:val="auto"/>
                <w:szCs w:val="24"/>
              </w:rPr>
              <w:t>履约验收</w:t>
            </w:r>
          </w:p>
        </w:tc>
        <w:tc>
          <w:tcPr>
            <w:tcW w:w="6142" w:type="dxa"/>
            <w:vAlign w:val="center"/>
          </w:tcPr>
          <w:p w14:paraId="5249F144">
            <w:pPr>
              <w:spacing w:line="360" w:lineRule="auto"/>
              <w:ind w:left="48" w:leftChars="20"/>
              <w:rPr>
                <w:color w:val="auto"/>
                <w:szCs w:val="24"/>
              </w:rPr>
            </w:pPr>
            <w:r>
              <w:rPr>
                <w:rFonts w:hint="eastAsia"/>
                <w:color w:val="auto"/>
                <w:szCs w:val="24"/>
              </w:rPr>
              <w:t>是否委托采购代理机构组织履约验收：</w:t>
            </w:r>
          </w:p>
          <w:p w14:paraId="0A386764">
            <w:pPr>
              <w:spacing w:line="360" w:lineRule="auto"/>
              <w:ind w:left="48" w:leftChars="20"/>
              <w:rPr>
                <w:color w:val="auto"/>
                <w:szCs w:val="24"/>
              </w:rPr>
            </w:pPr>
            <w:r>
              <w:rPr>
                <w:rFonts w:hint="eastAsia"/>
                <w:color w:val="auto"/>
                <w:szCs w:val="24"/>
              </w:rPr>
              <w:t>□是，验收费用由采购人/成交供应商支付，费用标准按成交金额的5‰计算</w:t>
            </w:r>
            <w:r>
              <w:rPr>
                <w:rFonts w:hint="eastAsia"/>
                <w:color w:val="auto"/>
                <w:szCs w:val="24"/>
                <w:lang w:eastAsia="zh-CN"/>
              </w:rPr>
              <w:t>；</w:t>
            </w:r>
            <w:r>
              <w:rPr>
                <w:rFonts w:hint="eastAsia"/>
                <w:color w:val="auto"/>
                <w:szCs w:val="24"/>
              </w:rPr>
              <w:t>不足5000元的，按5000元收取。</w:t>
            </w:r>
          </w:p>
          <w:p w14:paraId="368A56CC">
            <w:pPr>
              <w:spacing w:line="360" w:lineRule="auto"/>
              <w:rPr>
                <w:rFonts w:hAnsi="宋体" w:cs="宋体"/>
                <w:color w:val="auto"/>
                <w:szCs w:val="24"/>
              </w:rPr>
            </w:pPr>
            <w:r>
              <w:rPr>
                <w:rFonts w:ascii="Segoe UI Symbol" w:hAnsi="Segoe UI Symbol" w:cs="Segoe UI Symbol"/>
                <w:color w:val="auto"/>
                <w:szCs w:val="24"/>
              </w:rPr>
              <w:t>☑</w:t>
            </w:r>
            <w:r>
              <w:rPr>
                <w:rFonts w:hint="eastAsia"/>
                <w:color w:val="auto"/>
                <w:szCs w:val="24"/>
              </w:rPr>
              <w:t>否。</w:t>
            </w:r>
          </w:p>
        </w:tc>
      </w:tr>
      <w:tr w14:paraId="66F1E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13" w:hRule="atLeast"/>
          <w:jc w:val="center"/>
        </w:trPr>
        <w:tc>
          <w:tcPr>
            <w:tcW w:w="1245" w:type="dxa"/>
            <w:vAlign w:val="center"/>
          </w:tcPr>
          <w:p w14:paraId="0CE4510D">
            <w:pPr>
              <w:spacing w:line="360" w:lineRule="auto"/>
              <w:jc w:val="center"/>
              <w:rPr>
                <w:rFonts w:hAnsi="宋体" w:cs="宋体"/>
                <w:color w:val="auto"/>
                <w:szCs w:val="24"/>
              </w:rPr>
            </w:pPr>
            <w:r>
              <w:rPr>
                <w:rFonts w:hint="eastAsia" w:hAnsi="宋体" w:cs="宋体"/>
                <w:b w:val="0"/>
                <w:bCs w:val="0"/>
                <w:color w:val="auto"/>
                <w:szCs w:val="24"/>
              </w:rPr>
              <w:t>/</w:t>
            </w:r>
          </w:p>
        </w:tc>
        <w:tc>
          <w:tcPr>
            <w:tcW w:w="2071" w:type="dxa"/>
            <w:vAlign w:val="center"/>
          </w:tcPr>
          <w:p w14:paraId="195EEB13">
            <w:pPr>
              <w:spacing w:line="360" w:lineRule="auto"/>
              <w:jc w:val="center"/>
              <w:rPr>
                <w:rFonts w:hAnsi="宋体" w:cs="宋体"/>
                <w:color w:val="auto"/>
                <w:szCs w:val="24"/>
              </w:rPr>
            </w:pPr>
            <w:r>
              <w:rPr>
                <w:rFonts w:hint="eastAsia" w:hAnsi="宋体" w:cs="宋体"/>
                <w:color w:val="auto"/>
                <w:szCs w:val="24"/>
              </w:rPr>
              <w:t>招标代理服务费账户</w:t>
            </w:r>
          </w:p>
        </w:tc>
        <w:tc>
          <w:tcPr>
            <w:tcW w:w="6142" w:type="dxa"/>
            <w:vAlign w:val="center"/>
          </w:tcPr>
          <w:p w14:paraId="67402875">
            <w:pPr>
              <w:spacing w:line="360" w:lineRule="auto"/>
              <w:rPr>
                <w:rFonts w:hAnsi="宋体" w:cs="宋体"/>
                <w:color w:val="auto"/>
                <w:szCs w:val="24"/>
              </w:rPr>
            </w:pPr>
            <w:r>
              <w:rPr>
                <w:rFonts w:hint="eastAsia" w:hAnsi="宋体" w:cs="宋体"/>
                <w:color w:val="auto"/>
                <w:szCs w:val="24"/>
              </w:rPr>
              <w:t>户名：陕西万兴招标代理有限公司</w:t>
            </w:r>
          </w:p>
          <w:p w14:paraId="4AEFA3AB">
            <w:pPr>
              <w:spacing w:line="360" w:lineRule="auto"/>
              <w:rPr>
                <w:rFonts w:hAnsi="宋体" w:cs="宋体"/>
                <w:color w:val="auto"/>
                <w:szCs w:val="24"/>
              </w:rPr>
            </w:pPr>
            <w:r>
              <w:rPr>
                <w:rFonts w:hint="eastAsia" w:hAnsi="宋体" w:cs="宋体"/>
                <w:color w:val="auto"/>
                <w:szCs w:val="24"/>
              </w:rPr>
              <w:t>开户行：北京银行股份有限公司西安大明宫支行</w:t>
            </w:r>
          </w:p>
          <w:p w14:paraId="5DACC63A">
            <w:pPr>
              <w:spacing w:line="360" w:lineRule="auto"/>
              <w:rPr>
                <w:rFonts w:hAnsi="宋体" w:cs="宋体"/>
                <w:color w:val="auto"/>
                <w:szCs w:val="24"/>
              </w:rPr>
            </w:pPr>
            <w:r>
              <w:rPr>
                <w:rFonts w:hint="eastAsia" w:hAnsi="宋体" w:cs="宋体"/>
                <w:color w:val="auto"/>
                <w:szCs w:val="24"/>
              </w:rPr>
              <w:t>账号：2000 0034 4675 0001 6437 653</w:t>
            </w:r>
          </w:p>
          <w:p w14:paraId="3FC7DBB6">
            <w:pPr>
              <w:spacing w:line="360" w:lineRule="auto"/>
              <w:ind w:firstLine="480" w:firstLineChars="200"/>
              <w:rPr>
                <w:rFonts w:hAnsi="宋体" w:cs="宋体"/>
                <w:color w:val="auto"/>
                <w:szCs w:val="24"/>
              </w:rPr>
            </w:pPr>
            <w:r>
              <w:rPr>
                <w:rFonts w:hint="eastAsia" w:hAnsi="宋体" w:cs="宋体"/>
                <w:color w:val="auto"/>
                <w:szCs w:val="24"/>
              </w:rPr>
              <w:t>请中标供应商按照要求将招标代理服务费转入以上指定账户</w:t>
            </w:r>
            <w:r>
              <w:rPr>
                <w:rFonts w:hint="eastAsia" w:hAnsi="宋体" w:cs="宋体"/>
                <w:color w:val="auto"/>
                <w:szCs w:val="24"/>
                <w:lang w:eastAsia="zh-CN"/>
              </w:rPr>
              <w:t>。</w:t>
            </w:r>
            <w:r>
              <w:rPr>
                <w:rFonts w:hint="eastAsia" w:hAnsi="宋体" w:cs="宋体"/>
                <w:color w:val="auto"/>
                <w:szCs w:val="24"/>
              </w:rPr>
              <w:t>如因自身原因发生错误，产生的不利后果均由供应商自行承担。</w:t>
            </w:r>
          </w:p>
        </w:tc>
      </w:tr>
      <w:tr w14:paraId="5E960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3" w:hRule="atLeast"/>
          <w:jc w:val="center"/>
        </w:trPr>
        <w:tc>
          <w:tcPr>
            <w:tcW w:w="1245" w:type="dxa"/>
            <w:vAlign w:val="center"/>
          </w:tcPr>
          <w:p w14:paraId="03BD7FD7">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16D65B50">
            <w:pPr>
              <w:spacing w:line="360" w:lineRule="auto"/>
              <w:ind w:left="48" w:leftChars="20"/>
              <w:jc w:val="center"/>
              <w:rPr>
                <w:rFonts w:hAnsi="宋体" w:cs="宋体"/>
                <w:color w:val="auto"/>
                <w:szCs w:val="24"/>
              </w:rPr>
            </w:pPr>
            <w:r>
              <w:rPr>
                <w:rFonts w:hint="eastAsia" w:hAnsi="宋体" w:cs="宋体"/>
                <w:color w:val="auto"/>
                <w:szCs w:val="24"/>
              </w:rPr>
              <w:t>履约担保</w:t>
            </w:r>
          </w:p>
        </w:tc>
        <w:tc>
          <w:tcPr>
            <w:tcW w:w="6142" w:type="dxa"/>
            <w:vAlign w:val="center"/>
          </w:tcPr>
          <w:p w14:paraId="0587A4F6">
            <w:pPr>
              <w:spacing w:line="360" w:lineRule="auto"/>
              <w:ind w:left="48" w:leftChars="20"/>
              <w:rPr>
                <w:rFonts w:hAnsi="宋体" w:cs="宋体"/>
                <w:color w:val="auto"/>
                <w:szCs w:val="24"/>
              </w:rPr>
            </w:pPr>
            <w:r>
              <w:rPr>
                <w:rFonts w:ascii="Segoe UI Symbol" w:hAnsi="Segoe UI Symbol" w:cs="Segoe UI Symbol"/>
                <w:color w:val="auto"/>
                <w:szCs w:val="24"/>
              </w:rPr>
              <w:t>☑</w:t>
            </w:r>
            <w:r>
              <w:rPr>
                <w:rFonts w:hint="eastAsia" w:hAnsi="宋体" w:cs="宋体"/>
                <w:color w:val="auto"/>
                <w:szCs w:val="24"/>
              </w:rPr>
              <w:t>不要求提供</w:t>
            </w:r>
          </w:p>
          <w:p w14:paraId="7DE7CB03">
            <w:pPr>
              <w:spacing w:line="360" w:lineRule="auto"/>
              <w:ind w:left="48" w:leftChars="20"/>
              <w:rPr>
                <w:rFonts w:hAnsi="宋体"/>
                <w:b/>
                <w:bCs/>
                <w:color w:val="auto"/>
                <w:szCs w:val="24"/>
              </w:rPr>
            </w:pPr>
            <w:r>
              <w:rPr>
                <w:rFonts w:hint="eastAsia" w:hAnsi="宋体" w:cs="宋体"/>
                <w:color w:val="auto"/>
                <w:szCs w:val="24"/>
              </w:rPr>
              <w:t>□要求提供，本采购项目履约保证金为合同金额的</w:t>
            </w:r>
            <w:r>
              <w:rPr>
                <w:rFonts w:hAnsi="宋体" w:cs="宋体"/>
                <w:color w:val="auto"/>
                <w:szCs w:val="24"/>
              </w:rPr>
              <w:t>5</w:t>
            </w:r>
            <w:r>
              <w:rPr>
                <w:rFonts w:hint="eastAsia" w:hAnsi="宋体" w:cs="宋体"/>
                <w:color w:val="auto"/>
                <w:szCs w:val="24"/>
              </w:rPr>
              <w:t>%，提交方式为：转账、电汇、担保机构保函。</w:t>
            </w:r>
          </w:p>
        </w:tc>
      </w:tr>
      <w:tr w14:paraId="21501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jc w:val="center"/>
        </w:trPr>
        <w:tc>
          <w:tcPr>
            <w:tcW w:w="1245" w:type="dxa"/>
            <w:vAlign w:val="center"/>
          </w:tcPr>
          <w:p w14:paraId="3A6CA896">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205834A6">
            <w:pPr>
              <w:pStyle w:val="19"/>
              <w:spacing w:after="0" w:line="360" w:lineRule="auto"/>
              <w:jc w:val="center"/>
              <w:rPr>
                <w:rFonts w:ascii="宋体" w:hAnsi="宋体" w:cs="宋体"/>
                <w:color w:val="auto"/>
                <w:kern w:val="0"/>
                <w:sz w:val="24"/>
                <w:szCs w:val="24"/>
              </w:rPr>
            </w:pPr>
            <w:r>
              <w:rPr>
                <w:rFonts w:hint="eastAsia" w:ascii="宋体" w:hAnsi="宋体" w:cs="宋体"/>
                <w:color w:val="auto"/>
                <w:kern w:val="0"/>
                <w:sz w:val="24"/>
                <w:szCs w:val="24"/>
              </w:rPr>
              <w:t>现场踏勘</w:t>
            </w:r>
          </w:p>
        </w:tc>
        <w:tc>
          <w:tcPr>
            <w:tcW w:w="6142" w:type="dxa"/>
            <w:vAlign w:val="center"/>
          </w:tcPr>
          <w:p w14:paraId="688D5F98">
            <w:pPr>
              <w:pStyle w:val="19"/>
              <w:spacing w:after="0" w:line="360" w:lineRule="auto"/>
              <w:rPr>
                <w:rFonts w:ascii="宋体" w:hAnsi="宋体" w:cs="宋体"/>
                <w:color w:val="auto"/>
                <w:kern w:val="0"/>
                <w:sz w:val="24"/>
                <w:szCs w:val="24"/>
              </w:rPr>
            </w:pPr>
            <w:r>
              <w:rPr>
                <w:rFonts w:hint="eastAsia" w:ascii="宋体" w:hAnsi="宋体" w:cs="宋体"/>
                <w:color w:val="auto"/>
                <w:kern w:val="0"/>
                <w:sz w:val="24"/>
                <w:szCs w:val="24"/>
              </w:rPr>
              <w:t>不踏勘</w:t>
            </w:r>
          </w:p>
        </w:tc>
      </w:tr>
      <w:tr w14:paraId="3F1AB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6" w:hRule="atLeast"/>
          <w:jc w:val="center"/>
        </w:trPr>
        <w:tc>
          <w:tcPr>
            <w:tcW w:w="1245" w:type="dxa"/>
            <w:vAlign w:val="center"/>
          </w:tcPr>
          <w:p w14:paraId="31FB5F23">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64791C5C">
            <w:pPr>
              <w:pStyle w:val="19"/>
              <w:spacing w:after="0" w:line="360" w:lineRule="auto"/>
              <w:jc w:val="center"/>
              <w:rPr>
                <w:rFonts w:ascii="宋体" w:hAnsi="宋体" w:cs="宋体"/>
                <w:color w:val="auto"/>
                <w:kern w:val="0"/>
                <w:sz w:val="24"/>
                <w:szCs w:val="24"/>
              </w:rPr>
            </w:pPr>
            <w:r>
              <w:rPr>
                <w:rFonts w:hint="eastAsia" w:ascii="宋体" w:hAnsi="宋体" w:cs="宋体"/>
                <w:color w:val="auto"/>
                <w:kern w:val="0"/>
                <w:sz w:val="24"/>
                <w:szCs w:val="24"/>
              </w:rPr>
              <w:t>一致性</w:t>
            </w:r>
          </w:p>
        </w:tc>
        <w:tc>
          <w:tcPr>
            <w:tcW w:w="6142" w:type="dxa"/>
            <w:vAlign w:val="center"/>
          </w:tcPr>
          <w:p w14:paraId="591DEB8F">
            <w:pPr>
              <w:pStyle w:val="19"/>
              <w:spacing w:after="0" w:line="360" w:lineRule="auto"/>
              <w:rPr>
                <w:rFonts w:ascii="宋体" w:hAnsi="宋体" w:cs="宋体"/>
                <w:color w:val="auto"/>
                <w:kern w:val="0"/>
                <w:sz w:val="24"/>
                <w:szCs w:val="24"/>
              </w:rPr>
            </w:pPr>
            <w:r>
              <w:rPr>
                <w:rFonts w:hint="eastAsia" w:ascii="宋体" w:hAnsi="宋体" w:cs="宋体"/>
                <w:color w:val="auto"/>
                <w:kern w:val="0"/>
                <w:sz w:val="24"/>
                <w:szCs w:val="24"/>
              </w:rPr>
              <w:t>供应商须知前附表和须知不一致的地方，以前附表为准。</w:t>
            </w:r>
          </w:p>
        </w:tc>
      </w:tr>
      <w:tr w14:paraId="73571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6" w:hRule="atLeast"/>
          <w:jc w:val="center"/>
        </w:trPr>
        <w:tc>
          <w:tcPr>
            <w:tcW w:w="1245" w:type="dxa"/>
            <w:vAlign w:val="center"/>
          </w:tcPr>
          <w:p w14:paraId="264360FB">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0E059C78">
            <w:pPr>
              <w:pStyle w:val="19"/>
              <w:spacing w:after="0" w:line="360" w:lineRule="auto"/>
              <w:jc w:val="center"/>
              <w:rPr>
                <w:rFonts w:ascii="宋体" w:hAnsi="宋体" w:cs="宋体"/>
                <w:color w:val="auto"/>
                <w:kern w:val="0"/>
                <w:sz w:val="24"/>
                <w:szCs w:val="24"/>
              </w:rPr>
            </w:pPr>
            <w:r>
              <w:rPr>
                <w:rFonts w:hint="eastAsia" w:ascii="宋体" w:hAnsi="宋体" w:cs="宋体"/>
                <w:color w:val="auto"/>
                <w:kern w:val="0"/>
                <w:sz w:val="24"/>
                <w:szCs w:val="24"/>
              </w:rPr>
              <w:t>其他</w:t>
            </w:r>
          </w:p>
        </w:tc>
        <w:tc>
          <w:tcPr>
            <w:tcW w:w="6142" w:type="dxa"/>
            <w:vAlign w:val="center"/>
          </w:tcPr>
          <w:p w14:paraId="7592AA86">
            <w:pPr>
              <w:numPr>
                <w:ilvl w:val="0"/>
                <w:numId w:val="0"/>
              </w:numPr>
              <w:spacing w:line="360" w:lineRule="auto"/>
              <w:ind w:left="0" w:leftChars="0"/>
              <w:rPr>
                <w:rFonts w:hAnsi="宋体" w:cs="宋体"/>
                <w:color w:val="auto"/>
                <w:szCs w:val="22"/>
              </w:rPr>
            </w:pPr>
            <w:r>
              <w:rPr>
                <w:rFonts w:ascii="宋体" w:hAnsi="宋体" w:eastAsia="宋体" w:cs="宋体"/>
                <w:color w:val="auto"/>
                <w:sz w:val="24"/>
                <w:szCs w:val="22"/>
                <w:lang w:val="en-US" w:eastAsia="zh-CN" w:bidi="ar-SA"/>
              </w:rPr>
              <w:t>1、</w:t>
            </w:r>
            <w:r>
              <w:rPr>
                <w:rFonts w:hint="eastAsia"/>
                <w:color w:val="auto"/>
                <w:szCs w:val="22"/>
              </w:rPr>
              <w:t>本项目专门面向中小</w:t>
            </w:r>
            <w:r>
              <w:rPr>
                <w:rFonts w:hint="eastAsia" w:hAnsi="宋体" w:cs="宋体"/>
                <w:color w:val="auto"/>
                <w:szCs w:val="22"/>
              </w:rPr>
              <w:t>企业采购。</w:t>
            </w:r>
          </w:p>
          <w:p w14:paraId="76618597">
            <w:pPr>
              <w:numPr>
                <w:ilvl w:val="0"/>
                <w:numId w:val="0"/>
              </w:numPr>
              <w:spacing w:line="360" w:lineRule="auto"/>
              <w:ind w:left="0" w:leftChars="0"/>
              <w:rPr>
                <w:rFonts w:hAnsi="宋体" w:cs="宋体"/>
                <w:color w:val="auto"/>
                <w:szCs w:val="22"/>
              </w:rPr>
            </w:pPr>
            <w:r>
              <w:rPr>
                <w:rFonts w:ascii="宋体" w:hAnsi="宋体" w:eastAsia="宋体" w:cs="宋体"/>
                <w:color w:val="auto"/>
                <w:sz w:val="24"/>
                <w:szCs w:val="22"/>
                <w:lang w:val="en-US" w:eastAsia="zh-CN" w:bidi="ar-SA"/>
              </w:rPr>
              <w:t>2、</w:t>
            </w:r>
            <w:r>
              <w:rPr>
                <w:rFonts w:hint="eastAsia" w:hAnsi="宋体" w:cs="宋体"/>
                <w:color w:val="auto"/>
                <w:szCs w:val="22"/>
              </w:rPr>
              <w:t>本项目属性为</w:t>
            </w:r>
            <w:r>
              <w:rPr>
                <w:rFonts w:hint="eastAsia"/>
                <w:color w:val="auto"/>
                <w:lang w:eastAsia="zh-CN"/>
              </w:rPr>
              <w:t>服务</w:t>
            </w:r>
            <w:r>
              <w:rPr>
                <w:rFonts w:hint="eastAsia" w:hAnsi="宋体" w:cs="宋体"/>
                <w:color w:val="auto"/>
                <w:szCs w:val="22"/>
              </w:rPr>
              <w:t>。</w:t>
            </w:r>
          </w:p>
          <w:p w14:paraId="0FEE6A79">
            <w:pPr>
              <w:pStyle w:val="19"/>
              <w:spacing w:after="0" w:line="360" w:lineRule="auto"/>
              <w:rPr>
                <w:rFonts w:ascii="宋体" w:hAnsi="宋体" w:cs="宋体"/>
                <w:color w:val="auto"/>
                <w:kern w:val="0"/>
                <w:sz w:val="24"/>
                <w:szCs w:val="24"/>
              </w:rPr>
            </w:pPr>
            <w:r>
              <w:rPr>
                <w:rFonts w:hint="eastAsia" w:ascii="宋体" w:hAnsi="宋体" w:cs="宋体"/>
                <w:color w:val="auto"/>
                <w:sz w:val="24"/>
                <w:szCs w:val="24"/>
              </w:rPr>
              <w:t>3、本</w:t>
            </w:r>
            <w:r>
              <w:rPr>
                <w:rFonts w:hint="eastAsia" w:ascii="宋体" w:hAnsi="宋体" w:cs="宋体"/>
                <w:color w:val="auto"/>
                <w:kern w:val="0"/>
                <w:sz w:val="24"/>
                <w:szCs w:val="24"/>
              </w:rPr>
              <w:t>项目</w:t>
            </w:r>
            <w:r>
              <w:rPr>
                <w:rFonts w:hint="eastAsia" w:ascii="宋体"/>
                <w:color w:val="auto"/>
                <w:kern w:val="0"/>
                <w:sz w:val="24"/>
                <w:szCs w:val="22"/>
              </w:rPr>
              <w:t>采购标的所属行业为：</w:t>
            </w:r>
            <w:r>
              <w:rPr>
                <w:rFonts w:hint="eastAsia" w:ascii="宋体"/>
                <w:b/>
                <w:bCs/>
                <w:color w:val="auto"/>
                <w:kern w:val="0"/>
                <w:sz w:val="24"/>
                <w:szCs w:val="22"/>
                <w:u w:val="single"/>
                <w:lang w:val="en-US" w:eastAsia="zh-CN"/>
              </w:rPr>
              <w:t>其他未列明行业</w:t>
            </w:r>
            <w:r>
              <w:rPr>
                <w:rFonts w:hint="eastAsia" w:ascii="宋体"/>
                <w:color w:val="auto"/>
                <w:kern w:val="0"/>
                <w:sz w:val="24"/>
                <w:szCs w:val="22"/>
              </w:rPr>
              <w:t>。</w:t>
            </w:r>
          </w:p>
        </w:tc>
      </w:tr>
      <w:bookmarkEnd w:id="9"/>
      <w:bookmarkEnd w:id="10"/>
      <w:bookmarkEnd w:id="11"/>
    </w:tbl>
    <w:p w14:paraId="56EC0775">
      <w:pPr>
        <w:spacing w:before="166" w:beforeLines="50" w:line="360" w:lineRule="auto"/>
        <w:jc w:val="center"/>
        <w:outlineLvl w:val="1"/>
        <w:rPr>
          <w:rFonts w:hint="eastAsia" w:hAnsi="宋体" w:cs="宋体"/>
          <w:b/>
          <w:color w:val="auto"/>
          <w:sz w:val="32"/>
          <w:szCs w:val="32"/>
        </w:rPr>
        <w:sectPr>
          <w:headerReference r:id="rId11" w:type="first"/>
          <w:footerReference r:id="rId13" w:type="first"/>
          <w:headerReference r:id="rId10" w:type="default"/>
          <w:footerReference r:id="rId12" w:type="default"/>
          <w:pgSz w:w="11906" w:h="16838"/>
          <w:pgMar w:top="1417" w:right="1134" w:bottom="1417" w:left="1417" w:header="1134" w:footer="992" w:gutter="0"/>
          <w:cols w:space="720" w:num="1"/>
          <w:titlePg/>
          <w:docGrid w:type="lines" w:linePitch="333" w:charSpace="0"/>
        </w:sectPr>
      </w:pPr>
      <w:bookmarkStart w:id="23" w:name="_Toc363474017"/>
      <w:bookmarkStart w:id="24" w:name="_Toc403077639"/>
      <w:bookmarkStart w:id="25" w:name="_Toc20968"/>
      <w:bookmarkStart w:id="26" w:name="_Toc363473972"/>
      <w:bookmarkStart w:id="27" w:name="_Toc15533"/>
    </w:p>
    <w:p w14:paraId="5EB7F761">
      <w:pPr>
        <w:spacing w:before="166" w:beforeLines="50" w:line="360" w:lineRule="auto"/>
        <w:jc w:val="center"/>
        <w:outlineLvl w:val="1"/>
        <w:rPr>
          <w:rFonts w:hAnsi="宋体" w:cs="宋体"/>
          <w:color w:val="auto"/>
          <w:sz w:val="32"/>
          <w:szCs w:val="32"/>
        </w:rPr>
      </w:pPr>
      <w:r>
        <w:rPr>
          <w:rFonts w:hint="eastAsia" w:hAnsi="宋体" w:cs="宋体"/>
          <w:b/>
          <w:color w:val="auto"/>
          <w:sz w:val="32"/>
          <w:szCs w:val="32"/>
        </w:rPr>
        <w:t>一、总  则</w:t>
      </w:r>
      <w:bookmarkEnd w:id="23"/>
      <w:bookmarkEnd w:id="24"/>
      <w:bookmarkEnd w:id="25"/>
      <w:bookmarkEnd w:id="26"/>
      <w:bookmarkEnd w:id="27"/>
    </w:p>
    <w:p w14:paraId="318EE57D">
      <w:pPr>
        <w:spacing w:line="360" w:lineRule="auto"/>
        <w:outlineLvl w:val="1"/>
        <w:rPr>
          <w:rFonts w:hint="eastAsia" w:hAnsi="宋体" w:cs="宋体"/>
          <w:b/>
          <w:color w:val="auto"/>
          <w:szCs w:val="24"/>
        </w:rPr>
      </w:pPr>
      <w:bookmarkStart w:id="28" w:name="_Toc12540"/>
      <w:bookmarkStart w:id="29" w:name="_Toc27824"/>
      <w:bookmarkStart w:id="30" w:name="_Toc363474023"/>
      <w:r>
        <w:rPr>
          <w:rFonts w:hint="eastAsia" w:hAnsi="宋体" w:cs="宋体"/>
          <w:b/>
          <w:color w:val="auto"/>
          <w:szCs w:val="24"/>
        </w:rPr>
        <w:t>1.资金来源</w:t>
      </w:r>
      <w:bookmarkEnd w:id="28"/>
      <w:bookmarkEnd w:id="29"/>
    </w:p>
    <w:p w14:paraId="3A397634">
      <w:pPr>
        <w:spacing w:line="360" w:lineRule="auto"/>
        <w:ind w:firstLine="480" w:firstLineChars="200"/>
        <w:outlineLvl w:val="2"/>
        <w:rPr>
          <w:rFonts w:hint="eastAsia" w:hAnsi="宋体" w:cs="宋体"/>
          <w:color w:val="auto"/>
          <w:szCs w:val="24"/>
        </w:rPr>
      </w:pPr>
      <w:r>
        <w:rPr>
          <w:rFonts w:hint="eastAsia" w:hAnsi="宋体" w:cs="宋体"/>
          <w:color w:val="auto"/>
          <w:szCs w:val="24"/>
        </w:rPr>
        <w:t>1.1本次招标采购所签合同使用财政资金支付，资金已落实到位。</w:t>
      </w:r>
    </w:p>
    <w:p w14:paraId="22EB57C6">
      <w:pPr>
        <w:numPr>
          <w:ilvl w:val="0"/>
          <w:numId w:val="5"/>
        </w:numPr>
        <w:spacing w:line="360" w:lineRule="auto"/>
        <w:outlineLvl w:val="1"/>
        <w:rPr>
          <w:rFonts w:hint="eastAsia" w:hAnsi="宋体" w:cs="宋体"/>
          <w:b/>
          <w:color w:val="auto"/>
          <w:szCs w:val="24"/>
        </w:rPr>
      </w:pPr>
      <w:bookmarkStart w:id="31" w:name="_Toc8378"/>
      <w:bookmarkStart w:id="32" w:name="_Toc13182"/>
      <w:r>
        <w:rPr>
          <w:rFonts w:hint="eastAsia" w:hAnsi="宋体" w:cs="宋体"/>
          <w:b/>
          <w:color w:val="auto"/>
          <w:szCs w:val="24"/>
        </w:rPr>
        <w:t>名词解释</w:t>
      </w:r>
      <w:bookmarkEnd w:id="31"/>
      <w:bookmarkEnd w:id="32"/>
    </w:p>
    <w:p w14:paraId="38259FFC">
      <w:pPr>
        <w:spacing w:line="360" w:lineRule="auto"/>
        <w:ind w:firstLine="480" w:firstLineChars="200"/>
        <w:rPr>
          <w:rFonts w:hint="eastAsia" w:hAnsi="宋体" w:cs="宋体"/>
          <w:color w:val="auto"/>
          <w:szCs w:val="24"/>
        </w:rPr>
      </w:pPr>
      <w:r>
        <w:rPr>
          <w:rFonts w:hint="eastAsia" w:hAnsi="宋体" w:cs="宋体"/>
          <w:color w:val="auto"/>
          <w:szCs w:val="24"/>
        </w:rPr>
        <w:t>2.1采购人：</w:t>
      </w:r>
      <w:r>
        <w:rPr>
          <w:rFonts w:hint="eastAsia" w:cs="宋体" w:asciiTheme="minorEastAsia" w:hAnsiTheme="minorEastAsia" w:eastAsiaTheme="minorEastAsia"/>
          <w:color w:val="auto"/>
          <w:szCs w:val="24"/>
          <w:lang w:eastAsia="zh-CN"/>
        </w:rPr>
        <w:t>西安市雁塔区城市管理和综合执法局</w:t>
      </w:r>
    </w:p>
    <w:p w14:paraId="75A5B15F">
      <w:pPr>
        <w:spacing w:line="360" w:lineRule="auto"/>
        <w:ind w:firstLine="480" w:firstLineChars="200"/>
        <w:rPr>
          <w:rFonts w:hint="eastAsia" w:hAnsi="宋体" w:cs="宋体"/>
          <w:color w:val="auto"/>
          <w:szCs w:val="24"/>
        </w:rPr>
      </w:pPr>
      <w:r>
        <w:rPr>
          <w:rFonts w:hint="eastAsia" w:hAnsi="宋体" w:cs="宋体"/>
          <w:color w:val="auto"/>
          <w:szCs w:val="24"/>
        </w:rPr>
        <w:t>2.2监督机构：同级人民政府财政部门</w:t>
      </w:r>
    </w:p>
    <w:p w14:paraId="77C2AA20">
      <w:pPr>
        <w:tabs>
          <w:tab w:val="left" w:pos="7665"/>
        </w:tabs>
        <w:spacing w:line="360" w:lineRule="auto"/>
        <w:ind w:firstLine="480" w:firstLineChars="200"/>
        <w:rPr>
          <w:rFonts w:hint="eastAsia" w:hAnsi="宋体" w:cs="宋体"/>
          <w:color w:val="auto"/>
        </w:rPr>
      </w:pPr>
      <w:r>
        <w:rPr>
          <w:rFonts w:hint="eastAsia" w:hAnsi="宋体" w:cs="宋体"/>
          <w:color w:val="auto"/>
        </w:rPr>
        <w:t>2.3采购代理机构：</w:t>
      </w:r>
      <w:r>
        <w:rPr>
          <w:rFonts w:hint="eastAsia" w:cs="宋体" w:asciiTheme="minorEastAsia" w:hAnsiTheme="minorEastAsia" w:eastAsiaTheme="minorEastAsia"/>
          <w:color w:val="auto"/>
          <w:szCs w:val="24"/>
        </w:rPr>
        <w:t>陕西万兴招标代理有限公司</w:t>
      </w:r>
    </w:p>
    <w:p w14:paraId="014EC593">
      <w:pPr>
        <w:tabs>
          <w:tab w:val="left" w:pos="7665"/>
        </w:tabs>
        <w:spacing w:line="360" w:lineRule="auto"/>
        <w:ind w:firstLine="480" w:firstLineChars="200"/>
        <w:rPr>
          <w:rFonts w:hint="eastAsia" w:hAnsi="宋体" w:cs="宋体"/>
          <w:color w:val="auto"/>
        </w:rPr>
      </w:pPr>
      <w:r>
        <w:rPr>
          <w:rFonts w:hint="eastAsia" w:hAnsi="宋体" w:cs="宋体"/>
          <w:color w:val="auto"/>
        </w:rPr>
        <w:t>2.4供应商：是指响应和符合招标文件规定资格条件且参与投标竞争的法人、其他组织或者自然人。</w:t>
      </w:r>
    </w:p>
    <w:p w14:paraId="62615F9E">
      <w:pPr>
        <w:tabs>
          <w:tab w:val="left" w:pos="7665"/>
        </w:tabs>
        <w:spacing w:line="360" w:lineRule="auto"/>
        <w:ind w:firstLine="480" w:firstLineChars="200"/>
        <w:rPr>
          <w:rFonts w:hint="eastAsia" w:hAnsi="宋体" w:cs="宋体"/>
          <w:color w:val="auto"/>
        </w:rPr>
      </w:pPr>
      <w:r>
        <w:rPr>
          <w:rFonts w:hint="eastAsia" w:hAnsi="宋体" w:cs="宋体"/>
          <w:color w:val="auto"/>
        </w:rPr>
        <w:t>2.5西安市公共资源交易平台：即【全国公共资源交易平台（陕西省·西安市）】的简称，官网地址</w:t>
      </w:r>
      <w:r>
        <w:rPr>
          <w:color w:val="auto"/>
        </w:rPr>
        <w:fldChar w:fldCharType="begin"/>
      </w:r>
      <w:r>
        <w:rPr>
          <w:color w:val="auto"/>
        </w:rPr>
        <w:instrText xml:space="preserve"> HYPERLINK "http://sxggzyjy.xa.gov.cn/" </w:instrText>
      </w:r>
      <w:r>
        <w:rPr>
          <w:color w:val="auto"/>
        </w:rPr>
        <w:fldChar w:fldCharType="separate"/>
      </w:r>
      <w:r>
        <w:rPr>
          <w:rFonts w:hint="eastAsia" w:hAnsi="宋体" w:cs="宋体"/>
          <w:color w:val="auto"/>
        </w:rPr>
        <w:t>http：//sxggzyjy.xa.gov.cn/</w:t>
      </w:r>
      <w:r>
        <w:rPr>
          <w:rFonts w:hint="eastAsia" w:hAnsi="宋体" w:cs="宋体"/>
          <w:color w:val="auto"/>
        </w:rPr>
        <w:fldChar w:fldCharType="end"/>
      </w:r>
      <w:r>
        <w:rPr>
          <w:rFonts w:hint="eastAsia" w:hAnsi="宋体" w:cs="宋体"/>
          <w:color w:val="auto"/>
        </w:rPr>
        <w:t>。</w:t>
      </w:r>
    </w:p>
    <w:p w14:paraId="690BC9A5">
      <w:pPr>
        <w:tabs>
          <w:tab w:val="left" w:pos="7665"/>
        </w:tabs>
        <w:spacing w:line="360" w:lineRule="auto"/>
        <w:ind w:firstLine="480" w:firstLineChars="200"/>
        <w:rPr>
          <w:rFonts w:hint="eastAsia" w:hAnsi="宋体" w:eastAsia="宋体" w:cs="宋体"/>
          <w:color w:val="auto"/>
          <w:lang w:eastAsia="zh-CN"/>
        </w:rPr>
      </w:pPr>
      <w:r>
        <w:rPr>
          <w:rFonts w:hint="eastAsia" w:hAnsi="宋体" w:cs="宋体"/>
          <w:color w:val="auto"/>
        </w:rPr>
        <w:t>2.6</w:t>
      </w:r>
      <w:r>
        <w:rPr>
          <w:rFonts w:hint="eastAsia" w:hAnsi="宋体" w:cs="宋体"/>
          <w:color w:val="auto"/>
          <w:spacing w:val="-11"/>
        </w:rPr>
        <w:t>企业端：指西安市公共资源交易平台〖首页·〉电子交易平台·〉陕西政府采购交易系统·〉企业端〗，快捷登录网址</w:t>
      </w:r>
      <w:r>
        <w:rPr>
          <w:rFonts w:hint="eastAsia"/>
          <w:color w:val="auto"/>
        </w:rPr>
        <w:t>http://www.sxggzyjy.cn:9002/TPBidder/memberLogin</w:t>
      </w:r>
      <w:r>
        <w:rPr>
          <w:rFonts w:hint="eastAsia"/>
          <w:color w:val="auto"/>
          <w:lang w:eastAsia="zh-CN"/>
        </w:rPr>
        <w:t>。</w:t>
      </w:r>
    </w:p>
    <w:p w14:paraId="4380B09A">
      <w:pPr>
        <w:tabs>
          <w:tab w:val="left" w:pos="7665"/>
        </w:tabs>
        <w:spacing w:line="360" w:lineRule="auto"/>
        <w:ind w:firstLine="480" w:firstLineChars="200"/>
        <w:rPr>
          <w:rFonts w:hint="eastAsia" w:hAnsi="宋体" w:cs="宋体"/>
          <w:color w:val="auto"/>
        </w:rPr>
      </w:pPr>
      <w:r>
        <w:rPr>
          <w:rFonts w:hint="eastAsia" w:hAnsi="宋体" w:cs="宋体"/>
          <w:color w:val="auto"/>
        </w:rPr>
        <w:t>2.</w:t>
      </w:r>
      <w:r>
        <w:rPr>
          <w:rFonts w:hint="eastAsia" w:hAnsi="宋体" w:cs="宋体"/>
          <w:color w:val="auto"/>
          <w:lang w:val="en-US" w:eastAsia="zh-CN"/>
        </w:rPr>
        <w:t>7</w:t>
      </w:r>
      <w:r>
        <w:rPr>
          <w:rFonts w:hint="eastAsia" w:hAnsi="宋体" w:cs="宋体"/>
          <w:color w:val="auto"/>
        </w:rPr>
        <w:t>服务是指供应商为满足招标文件要求而提供的服务。</w:t>
      </w:r>
    </w:p>
    <w:p w14:paraId="40BAB90E">
      <w:pPr>
        <w:spacing w:line="360" w:lineRule="auto"/>
        <w:ind w:firstLine="480" w:firstLineChars="200"/>
        <w:rPr>
          <w:rFonts w:hint="eastAsia" w:hAnsi="宋体" w:cs="宋体"/>
          <w:color w:val="auto"/>
        </w:rPr>
      </w:pPr>
      <w:r>
        <w:rPr>
          <w:rFonts w:hint="eastAsia" w:hAnsi="宋体" w:cs="宋体"/>
          <w:color w:val="auto"/>
        </w:rPr>
        <w:t>2.</w:t>
      </w:r>
      <w:r>
        <w:rPr>
          <w:rFonts w:hint="eastAsia" w:hAnsi="宋体" w:cs="宋体"/>
          <w:color w:val="auto"/>
          <w:lang w:val="en-US" w:eastAsia="zh-CN"/>
        </w:rPr>
        <w:t>8</w:t>
      </w:r>
      <w:r>
        <w:rPr>
          <w:rFonts w:hint="eastAsia" w:hAnsi="宋体" w:cs="宋体"/>
          <w:color w:val="auto"/>
        </w:rPr>
        <w:t>中小企业是指符合《工业和信息化部、国家统计局、国家发展和改革委员会、财政部关于印发中小企业划型标准规定的通知》（工信部联企业〔2011〕300号）规定的符合中小企业的划分标准的企业，包括中型、小型、微型三种类型的企业。</w:t>
      </w:r>
    </w:p>
    <w:p w14:paraId="15FB0420">
      <w:pPr>
        <w:spacing w:line="360" w:lineRule="auto"/>
        <w:ind w:firstLine="480" w:firstLineChars="200"/>
        <w:rPr>
          <w:rFonts w:hint="eastAsia" w:hAnsi="宋体" w:cs="宋体"/>
          <w:color w:val="auto"/>
        </w:rPr>
      </w:pPr>
      <w:r>
        <w:rPr>
          <w:rFonts w:hint="eastAsia" w:hAnsi="宋体" w:cs="宋体"/>
          <w:color w:val="auto"/>
        </w:rPr>
        <w:t>2.</w:t>
      </w:r>
      <w:r>
        <w:rPr>
          <w:rFonts w:hint="eastAsia" w:hAnsi="宋体" w:cs="宋体"/>
          <w:color w:val="auto"/>
          <w:lang w:val="en-US" w:eastAsia="zh-CN"/>
        </w:rPr>
        <w:t>9</w:t>
      </w:r>
      <w:r>
        <w:rPr>
          <w:rFonts w:hint="eastAsia" w:hAnsi="宋体" w:cs="宋体"/>
          <w:color w:val="auto"/>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30208A1">
      <w:pPr>
        <w:spacing w:line="360" w:lineRule="auto"/>
        <w:ind w:firstLine="480" w:firstLineChars="200"/>
        <w:rPr>
          <w:rFonts w:hint="eastAsia" w:hAnsi="宋体" w:cs="宋体"/>
          <w:color w:val="auto"/>
        </w:rPr>
      </w:pPr>
      <w:r>
        <w:rPr>
          <w:rFonts w:hint="eastAsia" w:hAnsi="宋体" w:cs="宋体"/>
          <w:color w:val="auto"/>
        </w:rPr>
        <w:t>2.1</w:t>
      </w:r>
      <w:r>
        <w:rPr>
          <w:rFonts w:hint="eastAsia" w:hAnsi="宋体" w:cs="宋体"/>
          <w:color w:val="auto"/>
          <w:lang w:val="en-US" w:eastAsia="zh-CN"/>
        </w:rPr>
        <w:t>0</w:t>
      </w:r>
      <w:r>
        <w:rPr>
          <w:rFonts w:hint="eastAsia" w:hAnsi="宋体" w:cs="宋体"/>
          <w:color w:val="auto"/>
        </w:rPr>
        <w:t>残疾人福利性单位是指符合《关于促进残疾人就业政府采购政策的通知》财库〔2017〕141号规定的对残疾人福利性单位划分标准的单位。</w:t>
      </w:r>
    </w:p>
    <w:p w14:paraId="3CCBCF72">
      <w:pPr>
        <w:spacing w:line="360" w:lineRule="auto"/>
        <w:outlineLvl w:val="1"/>
        <w:rPr>
          <w:rFonts w:hint="eastAsia" w:hAnsi="宋体" w:cs="宋体"/>
          <w:b/>
          <w:color w:val="auto"/>
          <w:szCs w:val="24"/>
        </w:rPr>
      </w:pPr>
      <w:bookmarkStart w:id="33" w:name="_Toc14860"/>
      <w:bookmarkStart w:id="34" w:name="_Toc14290"/>
      <w:r>
        <w:rPr>
          <w:rFonts w:hint="eastAsia" w:hAnsi="宋体" w:cs="宋体"/>
          <w:b/>
          <w:color w:val="auto"/>
          <w:szCs w:val="24"/>
        </w:rPr>
        <w:t>3.合格的供应商</w:t>
      </w:r>
      <w:bookmarkEnd w:id="33"/>
      <w:bookmarkEnd w:id="34"/>
    </w:p>
    <w:p w14:paraId="6320D921">
      <w:pPr>
        <w:spacing w:line="360" w:lineRule="auto"/>
        <w:ind w:firstLine="480" w:firstLineChars="200"/>
        <w:rPr>
          <w:rFonts w:hint="eastAsia" w:hAnsi="宋体" w:cs="宋体"/>
          <w:color w:val="auto"/>
          <w:szCs w:val="24"/>
        </w:rPr>
      </w:pPr>
      <w:r>
        <w:rPr>
          <w:rFonts w:hint="eastAsia" w:hAnsi="宋体" w:cs="宋体"/>
          <w:color w:val="auto"/>
          <w:szCs w:val="24"/>
        </w:rPr>
        <w:t>3.1满足《中华人民共和国政府采购法》第二十二条规定，并提供下列材料：见供应商须知前附表。</w:t>
      </w:r>
    </w:p>
    <w:p w14:paraId="012F9612">
      <w:pPr>
        <w:spacing w:line="360" w:lineRule="auto"/>
        <w:ind w:firstLine="480" w:firstLineChars="200"/>
        <w:rPr>
          <w:rFonts w:hint="eastAsia" w:hAnsi="宋体" w:cs="宋体"/>
          <w:color w:val="auto"/>
          <w:szCs w:val="24"/>
        </w:rPr>
      </w:pPr>
      <w:r>
        <w:rPr>
          <w:rFonts w:hint="eastAsia" w:hAnsi="宋体" w:cs="宋体"/>
          <w:color w:val="auto"/>
          <w:szCs w:val="24"/>
        </w:rPr>
        <w:t>3.2落实政府采购政策需满足的资格要求：见供应商须知前附表。</w:t>
      </w:r>
    </w:p>
    <w:p w14:paraId="293B7046">
      <w:pPr>
        <w:spacing w:line="360" w:lineRule="auto"/>
        <w:ind w:firstLine="480" w:firstLineChars="200"/>
        <w:rPr>
          <w:rFonts w:hint="eastAsia" w:hAnsi="宋体" w:cs="宋体"/>
          <w:color w:val="auto"/>
          <w:szCs w:val="24"/>
        </w:rPr>
      </w:pPr>
      <w:r>
        <w:rPr>
          <w:rFonts w:hint="eastAsia" w:hAnsi="宋体" w:cs="宋体"/>
          <w:color w:val="auto"/>
          <w:szCs w:val="24"/>
        </w:rPr>
        <w:t>3.3本项目的特定资格要求：见供应商须知前附表。</w:t>
      </w:r>
    </w:p>
    <w:p w14:paraId="029A2392">
      <w:pPr>
        <w:spacing w:line="360" w:lineRule="auto"/>
        <w:ind w:firstLine="480" w:firstLineChars="200"/>
        <w:rPr>
          <w:rFonts w:hint="eastAsia" w:hAnsi="宋体" w:cs="宋体"/>
          <w:color w:val="auto"/>
          <w:szCs w:val="24"/>
        </w:rPr>
      </w:pPr>
      <w:r>
        <w:rPr>
          <w:rFonts w:hint="eastAsia" w:hAnsi="宋体" w:cs="宋体"/>
          <w:color w:val="auto"/>
          <w:szCs w:val="24"/>
        </w:rPr>
        <w:t>3.4供应商不得直接或间接地与采购人或采购代理机构有任何关联，亦不得是采购人或采购代理机构的附属机构。如果供应商在投标中隐瞒了上述关系，一经证实，则该投标无效。</w:t>
      </w:r>
    </w:p>
    <w:p w14:paraId="50F62EAC">
      <w:pPr>
        <w:spacing w:line="360" w:lineRule="auto"/>
        <w:ind w:firstLine="480" w:firstLineChars="200"/>
        <w:outlineLvl w:val="2"/>
        <w:rPr>
          <w:rFonts w:hint="eastAsia" w:hAnsi="宋体" w:cs="宋体"/>
          <w:color w:val="auto"/>
          <w:szCs w:val="24"/>
        </w:rPr>
      </w:pPr>
      <w:bookmarkStart w:id="35" w:name="OLE_LINK33"/>
      <w:r>
        <w:rPr>
          <w:rFonts w:hint="eastAsia" w:hAnsi="宋体" w:cs="宋体"/>
          <w:color w:val="auto"/>
          <w:szCs w:val="24"/>
        </w:rPr>
        <w:t>3.5供应商投标流程</w:t>
      </w:r>
    </w:p>
    <w:p w14:paraId="0D11C30C">
      <w:pPr>
        <w:spacing w:line="360" w:lineRule="auto"/>
        <w:ind w:firstLine="480" w:firstLineChars="200"/>
        <w:rPr>
          <w:rFonts w:hint="eastAsia" w:hAnsi="宋体" w:cs="宋体"/>
          <w:color w:val="auto"/>
          <w:szCs w:val="24"/>
        </w:rPr>
      </w:pPr>
      <w:r>
        <w:rPr>
          <w:rFonts w:hint="eastAsia" w:hAnsi="宋体" w:cs="宋体"/>
          <w:color w:val="auto"/>
          <w:szCs w:val="24"/>
        </w:rPr>
        <w:t>使用电子交易系统的采购项目（即线上项目），将同时提供WORD</w:t>
      </w:r>
      <w:r>
        <w:rPr>
          <w:rFonts w:hAnsi="宋体" w:cs="宋体"/>
          <w:color w:val="auto"/>
          <w:szCs w:val="24"/>
        </w:rPr>
        <w:t>/</w:t>
      </w:r>
      <w:r>
        <w:rPr>
          <w:rFonts w:hint="eastAsia" w:hAnsi="宋体" w:cs="宋体"/>
          <w:color w:val="auto"/>
          <w:szCs w:val="24"/>
        </w:rPr>
        <w:t>PDF格式（仅用于预览）和SXSZF格式（用于制作电子投标文件）两个版本，文件内容一致。</w:t>
      </w:r>
    </w:p>
    <w:p w14:paraId="3822EE0E">
      <w:pPr>
        <w:spacing w:line="360" w:lineRule="auto"/>
        <w:ind w:firstLine="480" w:firstLineChars="200"/>
        <w:rPr>
          <w:rFonts w:hint="eastAsia" w:hAnsi="宋体" w:cs="宋体"/>
          <w:color w:val="auto"/>
          <w:szCs w:val="24"/>
        </w:rPr>
      </w:pPr>
      <w:r>
        <w:rPr>
          <w:rFonts w:hint="eastAsia" w:hAnsi="宋体" w:cs="宋体"/>
          <w:color w:val="auto"/>
          <w:szCs w:val="24"/>
        </w:rPr>
        <w:t>3.5.1预览采购文件：打开西安市公共资源交易平台〖首页·〉交易大厅·〉政府采购〗栏目，下载和阅读本项目采购文件的预览版本（WORD\PDF格式）；</w:t>
      </w:r>
    </w:p>
    <w:p w14:paraId="125C179C">
      <w:pPr>
        <w:spacing w:line="360" w:lineRule="auto"/>
        <w:ind w:firstLine="480" w:firstLineChars="200"/>
        <w:outlineLvl w:val="3"/>
        <w:rPr>
          <w:rFonts w:hint="eastAsia" w:hAnsi="宋体" w:cs="宋体"/>
          <w:color w:val="auto"/>
          <w:szCs w:val="24"/>
        </w:rPr>
      </w:pPr>
      <w:r>
        <w:rPr>
          <w:rFonts w:hint="eastAsia" w:hAnsi="宋体" w:cs="宋体"/>
          <w:color w:val="auto"/>
          <w:szCs w:val="24"/>
        </w:rPr>
        <w:t>3.5.2办理注册登记（针对初次使用电子交易系统的用户）：</w:t>
      </w:r>
    </w:p>
    <w:p w14:paraId="07DBA467">
      <w:pPr>
        <w:spacing w:line="360" w:lineRule="auto"/>
        <w:ind w:firstLine="480" w:firstLineChars="200"/>
        <w:rPr>
          <w:rFonts w:hint="eastAsia" w:hAnsi="宋体" w:cs="宋体"/>
          <w:color w:val="auto"/>
          <w:szCs w:val="24"/>
        </w:rPr>
      </w:pPr>
      <w:r>
        <w:rPr>
          <w:rFonts w:hint="eastAsia" w:hAnsi="宋体" w:cs="宋体"/>
          <w:color w:val="auto"/>
          <w:szCs w:val="24"/>
        </w:rPr>
        <w:t>（1）办理诚信入库注册：在决定参加本项目采购活动后，供应商应先在西安市公共资源交易平台上完成“诚信入库登记”；</w:t>
      </w:r>
    </w:p>
    <w:p w14:paraId="4323CD0D">
      <w:pPr>
        <w:spacing w:line="360" w:lineRule="auto"/>
        <w:ind w:firstLine="480" w:firstLineChars="200"/>
        <w:rPr>
          <w:rFonts w:hint="eastAsia" w:hAnsi="宋体" w:cs="宋体"/>
          <w:color w:val="auto"/>
          <w:szCs w:val="24"/>
        </w:rPr>
      </w:pPr>
      <w:r>
        <w:rPr>
          <w:rFonts w:hint="eastAsia" w:hAnsi="宋体" w:cs="宋体"/>
          <w:color w:val="auto"/>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7A619F28">
      <w:pPr>
        <w:spacing w:line="360" w:lineRule="auto"/>
        <w:ind w:firstLine="480" w:firstLineChars="200"/>
        <w:rPr>
          <w:rFonts w:hint="eastAsia" w:hAnsi="宋体" w:cs="宋体"/>
          <w:color w:val="auto"/>
          <w:szCs w:val="24"/>
        </w:rPr>
      </w:pPr>
      <w:r>
        <w:rPr>
          <w:rFonts w:hint="eastAsia" w:hAnsi="宋体" w:cs="宋体"/>
          <w:color w:val="auto"/>
          <w:szCs w:val="24"/>
        </w:rPr>
        <w:t>办理须知：http://www.snca.com.cn/channel/show/27.html</w:t>
      </w:r>
    </w:p>
    <w:p w14:paraId="4D0A5082">
      <w:pPr>
        <w:spacing w:line="360" w:lineRule="auto"/>
        <w:ind w:firstLine="480" w:firstLineChars="200"/>
        <w:rPr>
          <w:rFonts w:hint="eastAsia" w:hAnsi="宋体" w:cs="宋体"/>
          <w:color w:val="auto"/>
          <w:szCs w:val="24"/>
        </w:rPr>
      </w:pPr>
      <w:r>
        <w:rPr>
          <w:rFonts w:hint="eastAsia" w:hAnsi="宋体" w:cs="宋体"/>
          <w:color w:val="auto"/>
          <w:szCs w:val="24"/>
        </w:rPr>
        <w:t>（3）绑定和激活CA：将数字证书与诚信库中的供应商账户进行绑定。</w:t>
      </w:r>
    </w:p>
    <w:p w14:paraId="1FE3E41C">
      <w:pPr>
        <w:spacing w:line="360" w:lineRule="auto"/>
        <w:ind w:firstLine="480" w:firstLineChars="200"/>
        <w:rPr>
          <w:rFonts w:hint="eastAsia" w:hAnsi="宋体" w:cs="宋体"/>
          <w:color w:val="auto"/>
          <w:szCs w:val="24"/>
        </w:rPr>
      </w:pPr>
      <w:r>
        <w:rPr>
          <w:rFonts w:hint="eastAsia" w:hAnsi="宋体" w:cs="宋体"/>
          <w:color w:val="auto"/>
          <w:szCs w:val="24"/>
        </w:rPr>
        <w:t>3.5.3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w:t>
      </w:r>
      <w:r>
        <w:rPr>
          <w:rFonts w:hint="eastAsia" w:hAnsi="宋体" w:cs="宋体"/>
          <w:b/>
          <w:bCs/>
          <w:color w:val="auto"/>
          <w:szCs w:val="24"/>
        </w:rPr>
        <w:t>逾期无法再下载</w:t>
      </w:r>
      <w:r>
        <w:rPr>
          <w:rFonts w:hint="eastAsia" w:hAnsi="宋体" w:cs="宋体"/>
          <w:color w:val="auto"/>
          <w:szCs w:val="24"/>
        </w:rPr>
        <w:t>。</w:t>
      </w:r>
    </w:p>
    <w:p w14:paraId="3E338EE9">
      <w:pPr>
        <w:spacing w:line="360" w:lineRule="auto"/>
        <w:ind w:firstLine="480" w:firstLineChars="200"/>
        <w:rPr>
          <w:rFonts w:hint="eastAsia" w:hAnsi="宋体" w:cs="宋体"/>
          <w:color w:val="auto"/>
          <w:szCs w:val="24"/>
        </w:rPr>
      </w:pPr>
      <w:r>
        <w:rPr>
          <w:rFonts w:hint="eastAsia" w:hAnsi="宋体" w:cs="宋体"/>
          <w:color w:val="auto"/>
          <w:szCs w:val="24"/>
        </w:rPr>
        <w:t>3.5.4制作电子投标文件：需要使用专用制作软件“新点投标文件制作软件（陕西公共资源）”进行编制，编制完成后使用CA锁对电子投标文件进行签章、加密。详见本章中的“投标文件”相关内容。</w:t>
      </w:r>
    </w:p>
    <w:p w14:paraId="05FA208B">
      <w:pPr>
        <w:spacing w:line="360" w:lineRule="auto"/>
        <w:ind w:firstLine="480" w:firstLineChars="200"/>
        <w:rPr>
          <w:rFonts w:hint="eastAsia" w:hAnsi="宋体" w:cs="宋体"/>
          <w:color w:val="auto"/>
          <w:szCs w:val="24"/>
        </w:rPr>
      </w:pPr>
      <w:r>
        <w:rPr>
          <w:rFonts w:hint="eastAsia" w:hAnsi="宋体" w:cs="宋体"/>
          <w:color w:val="auto"/>
          <w:szCs w:val="24"/>
        </w:rPr>
        <w:t>3.5.5提交电子投标文件：在提交投标文件截止时间前及时提交加密后电子投标文件，逾期提交的，系统将会拒收；</w:t>
      </w:r>
    </w:p>
    <w:p w14:paraId="2AC1B0DB">
      <w:pPr>
        <w:spacing w:line="360" w:lineRule="auto"/>
        <w:ind w:firstLine="480" w:firstLineChars="200"/>
        <w:rPr>
          <w:rFonts w:hint="eastAsia" w:hAnsi="宋体" w:cs="宋体"/>
          <w:color w:val="auto"/>
          <w:szCs w:val="24"/>
        </w:rPr>
      </w:pPr>
      <w:r>
        <w:rPr>
          <w:rFonts w:hint="eastAsia" w:hAnsi="宋体" w:cs="宋体"/>
          <w:color w:val="auto"/>
          <w:szCs w:val="24"/>
        </w:rPr>
        <w:t>3.5.6在线参加开标大会：开标当日，供应商法定代表人或其授权代表需提前登录“不见面开标”系统，收到主持人“开始解密”指令后，使用CA锁（</w:t>
      </w:r>
      <w:r>
        <w:rPr>
          <w:rFonts w:hint="eastAsia" w:hAnsi="宋体" w:cs="宋体"/>
          <w:b/>
          <w:bCs/>
          <w:color w:val="auto"/>
          <w:szCs w:val="24"/>
        </w:rPr>
        <w:t>必须与加密文件时的CA锁为同一把锁</w:t>
      </w:r>
      <w:r>
        <w:rPr>
          <w:rFonts w:hint="eastAsia" w:hAnsi="宋体" w:cs="宋体"/>
          <w:color w:val="auto"/>
          <w:szCs w:val="24"/>
        </w:rPr>
        <w:t>）在线对电子投标文件进行解密。采用“不见面开标”系统后，供应商无需到达开标现场，即可在线参与整个开标过程。相关技术问题，请咨询软件开发商。</w:t>
      </w:r>
    </w:p>
    <w:p w14:paraId="23B9420D">
      <w:pPr>
        <w:spacing w:line="360" w:lineRule="auto"/>
        <w:ind w:firstLine="480" w:firstLineChars="200"/>
        <w:rPr>
          <w:rFonts w:hint="eastAsia" w:hAnsi="宋体" w:cs="宋体"/>
          <w:color w:val="auto"/>
          <w:szCs w:val="24"/>
        </w:rPr>
      </w:pPr>
      <w:r>
        <w:rPr>
          <w:rFonts w:hint="eastAsia" w:hAnsi="宋体" w:cs="宋体"/>
          <w:color w:val="auto"/>
          <w:szCs w:val="24"/>
        </w:rPr>
        <w:t>3.5.7等待专家评审：评审期间，可能需要对评审专家提出的问题进行澄清或答复。在主持人宣布评审结束前，供应商请勿擅自离席，否则由此造成的不利后果，由供应商自行承担。</w:t>
      </w:r>
    </w:p>
    <w:p w14:paraId="4539D6B0">
      <w:pPr>
        <w:spacing w:line="360" w:lineRule="auto"/>
        <w:ind w:firstLine="480" w:firstLineChars="200"/>
        <w:rPr>
          <w:rFonts w:hint="eastAsia" w:hAnsi="宋体" w:cs="宋体"/>
          <w:color w:val="auto"/>
          <w:szCs w:val="24"/>
        </w:rPr>
      </w:pPr>
      <w:r>
        <w:rPr>
          <w:rFonts w:hint="eastAsia" w:hAnsi="宋体" w:cs="宋体"/>
          <w:color w:val="auto"/>
          <w:szCs w:val="24"/>
        </w:rPr>
        <w:t>3.5.8中标供应商注册：按照陕西省政府采购监管部门的要求，采购代理机构在发布中标公告前，应由中标供应商在陕西省政府采购网上完成注册。</w:t>
      </w:r>
    </w:p>
    <w:p w14:paraId="53EC93A1">
      <w:pPr>
        <w:spacing w:line="360" w:lineRule="auto"/>
        <w:ind w:firstLine="480" w:firstLineChars="200"/>
        <w:outlineLvl w:val="2"/>
        <w:rPr>
          <w:rFonts w:hint="eastAsia" w:hAnsi="宋体" w:cs="宋体"/>
          <w:color w:val="auto"/>
          <w:szCs w:val="24"/>
        </w:rPr>
      </w:pPr>
      <w:r>
        <w:rPr>
          <w:rFonts w:hint="eastAsia" w:hAnsi="宋体" w:cs="宋体"/>
          <w:color w:val="auto"/>
          <w:szCs w:val="24"/>
        </w:rPr>
        <w:t>3.</w:t>
      </w:r>
      <w:bookmarkEnd w:id="35"/>
      <w:r>
        <w:rPr>
          <w:rFonts w:hint="eastAsia" w:hAnsi="宋体" w:cs="宋体"/>
          <w:color w:val="auto"/>
          <w:szCs w:val="24"/>
        </w:rPr>
        <w:t>6联合体投标</w:t>
      </w:r>
    </w:p>
    <w:p w14:paraId="16676880">
      <w:pPr>
        <w:pStyle w:val="20"/>
        <w:spacing w:line="360" w:lineRule="auto"/>
        <w:ind w:firstLine="480" w:firstLineChars="200"/>
        <w:rPr>
          <w:rFonts w:hint="eastAsia" w:ascii="宋体" w:hAnsi="宋体" w:eastAsia="宋体" w:cs="宋体"/>
          <w:color w:val="auto"/>
          <w:szCs w:val="24"/>
          <w:lang w:eastAsia="zh-CN"/>
        </w:rPr>
      </w:pPr>
      <w:r>
        <w:rPr>
          <w:rFonts w:hint="eastAsia" w:ascii="宋体" w:hAnsi="宋体" w:eastAsia="宋体" w:cs="宋体"/>
          <w:color w:val="auto"/>
          <w:sz w:val="24"/>
          <w:szCs w:val="24"/>
          <w:lang w:val="en-US" w:eastAsia="zh-CN" w:bidi="ar-SA"/>
        </w:rPr>
        <w:t>本项目不接受联合体投标</w:t>
      </w:r>
      <w:r>
        <w:rPr>
          <w:rFonts w:hint="eastAsia" w:ascii="宋体" w:hAnsi="宋体" w:cs="宋体"/>
          <w:color w:val="auto"/>
          <w:sz w:val="24"/>
          <w:szCs w:val="24"/>
          <w:lang w:val="en-US" w:eastAsia="zh-CN" w:bidi="ar-SA"/>
        </w:rPr>
        <w:t>。</w:t>
      </w:r>
    </w:p>
    <w:p w14:paraId="505C794A">
      <w:pPr>
        <w:spacing w:line="360" w:lineRule="auto"/>
        <w:ind w:firstLine="480" w:firstLineChars="200"/>
        <w:rPr>
          <w:rFonts w:hint="eastAsia" w:hAnsi="宋体" w:cs="宋体"/>
          <w:color w:val="auto"/>
          <w:szCs w:val="24"/>
        </w:rPr>
      </w:pPr>
      <w:r>
        <w:rPr>
          <w:rFonts w:hint="eastAsia" w:hAnsi="宋体" w:cs="宋体"/>
          <w:color w:val="auto"/>
          <w:szCs w:val="24"/>
        </w:rPr>
        <w:t>3.7投标费用自理。不论投标的结果如何，供应商均应自行承担所有与参加投标有关的费用。</w:t>
      </w:r>
    </w:p>
    <w:p w14:paraId="4AB5E1D7">
      <w:pPr>
        <w:tabs>
          <w:tab w:val="left" w:pos="747"/>
        </w:tabs>
        <w:snapToGrid w:val="0"/>
        <w:spacing w:line="500" w:lineRule="exact"/>
        <w:outlineLvl w:val="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4.合格的服务</w:t>
      </w:r>
    </w:p>
    <w:p w14:paraId="54ACABCE">
      <w:pPr>
        <w:tabs>
          <w:tab w:val="left" w:pos="747"/>
        </w:tabs>
        <w:snapToGrid w:val="0"/>
        <w:spacing w:line="500" w:lineRule="exact"/>
        <w:ind w:firstLine="480" w:firstLineChars="2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4.1供应商提供的所有服务，必须符合国家有关标准要求，并满足招标文件规定的服务要求。</w:t>
      </w:r>
    </w:p>
    <w:p w14:paraId="763D07BD">
      <w:pPr>
        <w:tabs>
          <w:tab w:val="left" w:pos="747"/>
        </w:tabs>
        <w:snapToGrid w:val="0"/>
        <w:spacing w:line="360" w:lineRule="auto"/>
        <w:ind w:firstLine="480" w:firstLineChars="200"/>
        <w:rPr>
          <w:rFonts w:hint="eastAsia" w:hAnsi="宋体" w:cs="宋体"/>
          <w:color w:val="auto"/>
          <w:szCs w:val="24"/>
        </w:rPr>
      </w:pPr>
      <w:r>
        <w:rPr>
          <w:rFonts w:hint="eastAsia" w:cs="宋体" w:asciiTheme="minorEastAsia" w:hAnsiTheme="minorEastAsia" w:eastAsiaTheme="minorEastAsia"/>
          <w:color w:val="auto"/>
          <w:highlight w:val="none"/>
        </w:rPr>
        <w:t>4.2采购人有权拒绝接受任何不合格的服务，由此产生的费用及相关后果均由供应商自行承担。</w:t>
      </w:r>
    </w:p>
    <w:p w14:paraId="229E8017">
      <w:pPr>
        <w:tabs>
          <w:tab w:val="left" w:pos="747"/>
        </w:tabs>
        <w:snapToGrid w:val="0"/>
        <w:spacing w:line="500" w:lineRule="exact"/>
        <w:outlineLvl w:val="2"/>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5.投标人信用记录查询及使用</w:t>
      </w:r>
    </w:p>
    <w:p w14:paraId="11D46B0D">
      <w:pPr>
        <w:spacing w:line="360" w:lineRule="auto"/>
        <w:ind w:firstLine="480" w:firstLineChars="200"/>
        <w:rPr>
          <w:rFonts w:hint="eastAsia" w:hAnsi="宋体" w:cs="宋体"/>
          <w:color w:val="auto"/>
        </w:rPr>
      </w:pPr>
      <w:r>
        <w:rPr>
          <w:rFonts w:hint="eastAsia" w:cs="宋体" w:asciiTheme="minorEastAsia" w:hAnsiTheme="minorEastAsia" w:eastAsiaTheme="minorEastAsia"/>
          <w:color w:val="auto"/>
          <w:szCs w:val="21"/>
          <w:highlight w:val="none"/>
        </w:rPr>
        <w:t>“信用中国”网站（www.creditchina.gov.cn）和“中国政府采购网”（www.ccgp.gov.cn）为供应商信用信息查询渠道，如果供应商被查实在投标截止时间前已列入失信被执行人、重大税收违法案件当事人名单、政府采购严重违法失信行为记录名单，其投标为无效投标。采购代理机构将打印查询记录作为证据留存。</w:t>
      </w:r>
    </w:p>
    <w:p w14:paraId="40BC4295">
      <w:pPr>
        <w:spacing w:line="360" w:lineRule="auto"/>
        <w:jc w:val="center"/>
        <w:outlineLvl w:val="2"/>
        <w:rPr>
          <w:rFonts w:hint="eastAsia" w:hAnsi="宋体" w:cs="宋体"/>
          <w:b/>
          <w:color w:val="auto"/>
          <w:sz w:val="32"/>
          <w:szCs w:val="32"/>
        </w:rPr>
      </w:pPr>
      <w:bookmarkStart w:id="36" w:name="_Toc363474018"/>
      <w:bookmarkStart w:id="37" w:name="_Toc403077640"/>
      <w:bookmarkStart w:id="38" w:name="_Toc363473973"/>
      <w:r>
        <w:rPr>
          <w:rFonts w:hint="eastAsia" w:hAnsi="宋体" w:cs="宋体"/>
          <w:b/>
          <w:color w:val="auto"/>
          <w:sz w:val="32"/>
          <w:szCs w:val="32"/>
        </w:rPr>
        <w:t>二、招标文件</w:t>
      </w:r>
      <w:bookmarkEnd w:id="36"/>
      <w:bookmarkEnd w:id="37"/>
      <w:bookmarkEnd w:id="38"/>
    </w:p>
    <w:p w14:paraId="28253119">
      <w:pPr>
        <w:spacing w:line="360" w:lineRule="auto"/>
        <w:outlineLvl w:val="1"/>
        <w:rPr>
          <w:rFonts w:hint="eastAsia" w:hAnsi="宋体" w:cs="宋体"/>
          <w:b/>
          <w:color w:val="auto"/>
          <w:szCs w:val="24"/>
        </w:rPr>
      </w:pPr>
      <w:bookmarkStart w:id="39" w:name="_Toc3603"/>
      <w:bookmarkStart w:id="40" w:name="_Toc29157"/>
      <w:r>
        <w:rPr>
          <w:rFonts w:hint="eastAsia" w:hAnsi="宋体" w:cs="宋体"/>
          <w:b/>
          <w:color w:val="auto"/>
          <w:szCs w:val="24"/>
        </w:rPr>
        <w:t>6.招标文件构成</w:t>
      </w:r>
      <w:bookmarkEnd w:id="39"/>
      <w:bookmarkEnd w:id="40"/>
    </w:p>
    <w:p w14:paraId="23537AB4">
      <w:pPr>
        <w:spacing w:line="360" w:lineRule="auto"/>
        <w:ind w:firstLine="480" w:firstLineChars="200"/>
        <w:rPr>
          <w:rFonts w:hint="eastAsia" w:hAnsi="宋体" w:cs="宋体"/>
          <w:color w:val="auto"/>
          <w:szCs w:val="24"/>
        </w:rPr>
      </w:pPr>
      <w:r>
        <w:rPr>
          <w:rFonts w:hint="eastAsia" w:hAnsi="宋体" w:cs="宋体"/>
          <w:color w:val="auto"/>
          <w:szCs w:val="24"/>
        </w:rPr>
        <w:t>6.1招标文件要求提供的货物、服务，招标程序和合同条件在招标文件中均有说明。招标文件共六章，内容如下：</w:t>
      </w:r>
    </w:p>
    <w:p w14:paraId="328AEF3A">
      <w:pPr>
        <w:spacing w:line="360" w:lineRule="auto"/>
        <w:ind w:firstLine="480" w:firstLineChars="200"/>
        <w:rPr>
          <w:rFonts w:hint="eastAsia" w:hAnsi="宋体" w:cs="宋体"/>
          <w:color w:val="auto"/>
          <w:szCs w:val="24"/>
        </w:rPr>
      </w:pPr>
      <w:r>
        <w:rPr>
          <w:rFonts w:hint="eastAsia" w:hAnsi="宋体" w:cs="宋体"/>
          <w:color w:val="auto"/>
          <w:szCs w:val="24"/>
        </w:rPr>
        <w:t>第一章 招标公告</w:t>
      </w:r>
    </w:p>
    <w:p w14:paraId="3D5968C2">
      <w:pPr>
        <w:spacing w:line="360" w:lineRule="auto"/>
        <w:ind w:firstLine="480" w:firstLineChars="200"/>
        <w:rPr>
          <w:rFonts w:hint="eastAsia" w:hAnsi="宋体" w:cs="宋体"/>
          <w:color w:val="auto"/>
          <w:szCs w:val="24"/>
        </w:rPr>
      </w:pPr>
      <w:r>
        <w:rPr>
          <w:rFonts w:hint="eastAsia" w:hAnsi="宋体" w:cs="宋体"/>
          <w:color w:val="auto"/>
          <w:szCs w:val="24"/>
        </w:rPr>
        <w:t>第二章 供应商须知</w:t>
      </w:r>
    </w:p>
    <w:p w14:paraId="6050BF88">
      <w:pPr>
        <w:spacing w:line="360" w:lineRule="auto"/>
        <w:ind w:firstLine="480" w:firstLineChars="200"/>
        <w:rPr>
          <w:rFonts w:hint="eastAsia" w:hAnsi="宋体" w:cs="宋体"/>
          <w:color w:val="auto"/>
          <w:szCs w:val="24"/>
        </w:rPr>
      </w:pPr>
      <w:r>
        <w:rPr>
          <w:rFonts w:hint="eastAsia" w:hAnsi="宋体" w:cs="宋体"/>
          <w:color w:val="auto"/>
          <w:szCs w:val="24"/>
        </w:rPr>
        <w:t>第三章 合同条款及格式</w:t>
      </w:r>
    </w:p>
    <w:p w14:paraId="333C38A2">
      <w:pPr>
        <w:spacing w:line="360" w:lineRule="auto"/>
        <w:ind w:firstLine="480" w:firstLineChars="200"/>
        <w:rPr>
          <w:rFonts w:hint="eastAsia" w:hAnsi="宋体" w:cs="宋体"/>
          <w:color w:val="auto"/>
          <w:szCs w:val="24"/>
        </w:rPr>
      </w:pPr>
      <w:r>
        <w:rPr>
          <w:rFonts w:hint="eastAsia" w:hAnsi="宋体" w:cs="宋体"/>
          <w:color w:val="auto"/>
          <w:szCs w:val="24"/>
        </w:rPr>
        <w:t>第四章 采购内容及技术要求</w:t>
      </w:r>
    </w:p>
    <w:p w14:paraId="7386FF68">
      <w:pPr>
        <w:spacing w:line="360" w:lineRule="auto"/>
        <w:ind w:firstLine="480" w:firstLineChars="200"/>
        <w:rPr>
          <w:rFonts w:hint="eastAsia" w:hAnsi="宋体" w:cs="宋体"/>
          <w:color w:val="auto"/>
          <w:szCs w:val="24"/>
        </w:rPr>
      </w:pPr>
      <w:r>
        <w:rPr>
          <w:rFonts w:hint="eastAsia" w:hAnsi="宋体" w:cs="宋体"/>
          <w:color w:val="auto"/>
          <w:szCs w:val="24"/>
        </w:rPr>
        <w:t>第五章 评标方法</w:t>
      </w:r>
    </w:p>
    <w:p w14:paraId="5400A4A8">
      <w:pPr>
        <w:spacing w:line="360" w:lineRule="auto"/>
        <w:ind w:firstLine="480" w:firstLineChars="200"/>
        <w:rPr>
          <w:rFonts w:hint="eastAsia" w:hAnsi="宋体" w:cs="宋体"/>
          <w:color w:val="auto"/>
          <w:szCs w:val="24"/>
        </w:rPr>
      </w:pPr>
      <w:r>
        <w:rPr>
          <w:rFonts w:hint="eastAsia" w:hAnsi="宋体" w:cs="宋体"/>
          <w:color w:val="auto"/>
          <w:szCs w:val="24"/>
        </w:rPr>
        <w:t>第六章 投标文件构成及格式</w:t>
      </w:r>
    </w:p>
    <w:p w14:paraId="7DC870BE">
      <w:pPr>
        <w:spacing w:line="360" w:lineRule="auto"/>
        <w:ind w:firstLine="480" w:firstLineChars="200"/>
        <w:rPr>
          <w:rFonts w:hint="eastAsia" w:hAnsi="宋体" w:cs="宋体"/>
          <w:color w:val="auto"/>
          <w:szCs w:val="24"/>
        </w:rPr>
      </w:pPr>
      <w:r>
        <w:rPr>
          <w:rFonts w:hint="eastAsia" w:hAnsi="宋体" w:cs="宋体"/>
          <w:color w:val="auto"/>
          <w:szCs w:val="24"/>
        </w:rPr>
        <w:t>6.2供应商应认真阅读招标文件中所有的事项、格式、条款和规范等要求。如果供应商没有按照招标文件要求提交全部资料，或者投标文件没有对招标文件在各方面都做出实质性响应，由此带来不利于供应商的评标结果，其风险由供应商承担。</w:t>
      </w:r>
    </w:p>
    <w:p w14:paraId="36ADCFF7">
      <w:pPr>
        <w:spacing w:line="360" w:lineRule="auto"/>
        <w:ind w:firstLine="480" w:firstLineChars="200"/>
        <w:rPr>
          <w:rFonts w:hint="eastAsia" w:hAnsi="宋体" w:cs="宋体"/>
          <w:color w:val="auto"/>
          <w:szCs w:val="24"/>
        </w:rPr>
      </w:pPr>
      <w:r>
        <w:rPr>
          <w:rFonts w:hint="eastAsia" w:hAnsi="宋体" w:cs="宋体"/>
          <w:color w:val="auto"/>
          <w:szCs w:val="24"/>
        </w:rPr>
        <w:t>6.3本招标文件的解释权归</w:t>
      </w:r>
      <w:r>
        <w:rPr>
          <w:rFonts w:hint="eastAsia" w:hAnsi="宋体" w:cs="宋体"/>
          <w:color w:val="auto"/>
          <w:szCs w:val="24"/>
          <w:u w:val="single"/>
          <w:lang w:eastAsia="zh-CN"/>
        </w:rPr>
        <w:t>陕西万兴招标代理有限公司</w:t>
      </w:r>
      <w:r>
        <w:rPr>
          <w:rFonts w:hint="eastAsia" w:hAnsi="宋体" w:cs="宋体"/>
          <w:color w:val="auto"/>
          <w:szCs w:val="24"/>
        </w:rPr>
        <w:t>，如发现招标文件内容与现行法律法规不相符的情况，以现行法律法规为准。</w:t>
      </w:r>
    </w:p>
    <w:p w14:paraId="0106CC1B">
      <w:pPr>
        <w:spacing w:line="360" w:lineRule="auto"/>
        <w:outlineLvl w:val="1"/>
        <w:rPr>
          <w:rFonts w:hint="eastAsia" w:hAnsi="宋体" w:cs="宋体"/>
          <w:b/>
          <w:color w:val="auto"/>
          <w:szCs w:val="24"/>
        </w:rPr>
      </w:pPr>
      <w:bookmarkStart w:id="41" w:name="_Toc11382"/>
      <w:bookmarkStart w:id="42" w:name="_Toc8856"/>
      <w:r>
        <w:rPr>
          <w:rFonts w:hint="eastAsia" w:hAnsi="宋体" w:cs="宋体"/>
          <w:b/>
          <w:color w:val="auto"/>
          <w:szCs w:val="24"/>
        </w:rPr>
        <w:t>7.招标文件的修改和澄清</w:t>
      </w:r>
      <w:bookmarkEnd w:id="41"/>
      <w:bookmarkEnd w:id="42"/>
    </w:p>
    <w:p w14:paraId="24461F1C">
      <w:pPr>
        <w:tabs>
          <w:tab w:val="left" w:pos="720"/>
        </w:tabs>
        <w:spacing w:line="360" w:lineRule="auto"/>
        <w:ind w:firstLine="480" w:firstLineChars="200"/>
        <w:rPr>
          <w:rFonts w:hint="eastAsia" w:hAnsi="宋体" w:cs="宋体"/>
          <w:color w:val="auto"/>
        </w:rPr>
      </w:pPr>
      <w:bookmarkStart w:id="43" w:name="_Toc363473974"/>
      <w:bookmarkStart w:id="44" w:name="_Toc363474019"/>
      <w:bookmarkStart w:id="45" w:name="_Toc403077641"/>
      <w:r>
        <w:rPr>
          <w:rFonts w:hint="eastAsia" w:hAnsi="宋体" w:cs="宋体"/>
          <w:color w:val="auto"/>
        </w:rPr>
        <w:t>7.1在投标截止时间前，采购代理机构无论出于何种原因，可以对已发出招标文件进行必要的澄清或者修改，但不得修改采购标的和资格条件。</w:t>
      </w:r>
    </w:p>
    <w:p w14:paraId="7530F40B">
      <w:pPr>
        <w:spacing w:line="360" w:lineRule="auto"/>
        <w:ind w:firstLine="480" w:firstLineChars="200"/>
        <w:rPr>
          <w:rFonts w:hint="eastAsia" w:hAnsi="宋体" w:cs="宋体"/>
          <w:color w:val="auto"/>
        </w:rPr>
      </w:pPr>
      <w:r>
        <w:rPr>
          <w:rFonts w:hint="eastAsia" w:hAnsi="宋体" w:cs="宋体"/>
          <w:color w:val="auto"/>
        </w:rPr>
        <w:t>7.2澄清或者修改的内容可能影响投标文件编制的，采购代理机构应当在投标文件截止时间</w:t>
      </w:r>
      <w:r>
        <w:rPr>
          <w:rFonts w:hint="eastAsia" w:hAnsi="宋体" w:cs="宋体"/>
          <w:b/>
          <w:color w:val="auto"/>
        </w:rPr>
        <w:t>15</w:t>
      </w:r>
      <w:r>
        <w:rPr>
          <w:rFonts w:hint="eastAsia" w:hAnsi="宋体" w:cs="宋体"/>
          <w:color w:val="auto"/>
        </w:rPr>
        <w:t>日前，以书面形式将澄清或者修改的内容通知所有获取招标文件的潜在供应商，同时在原信息发布媒体上发布变更公告。该澄清或者修改的内容为招标文件的组成部分。如果澄清或者修改发出的时间距规定的投标截止时间不足</w:t>
      </w:r>
      <w:r>
        <w:rPr>
          <w:rFonts w:hint="eastAsia" w:hAnsi="宋体" w:cs="宋体"/>
          <w:b/>
          <w:color w:val="auto"/>
        </w:rPr>
        <w:t>15</w:t>
      </w:r>
      <w:r>
        <w:rPr>
          <w:rFonts w:hint="eastAsia" w:hAnsi="宋体" w:cs="宋体"/>
          <w:color w:val="auto"/>
        </w:rPr>
        <w:t>日，将相应顺延投标截止时间。</w:t>
      </w:r>
    </w:p>
    <w:p w14:paraId="1991D783">
      <w:pPr>
        <w:pStyle w:val="19"/>
        <w:spacing w:after="0" w:line="360" w:lineRule="auto"/>
        <w:ind w:firstLine="480" w:firstLineChars="200"/>
        <w:rPr>
          <w:rFonts w:hint="eastAsia" w:ascii="宋体" w:hAnsi="宋体" w:eastAsia="宋体" w:cs="宋体"/>
          <w:color w:val="auto"/>
          <w:kern w:val="0"/>
          <w:sz w:val="24"/>
          <w:lang w:val="en-US" w:eastAsia="zh-CN" w:bidi="ar-SA"/>
        </w:rPr>
      </w:pPr>
      <w:r>
        <w:rPr>
          <w:rFonts w:hint="eastAsia" w:ascii="宋体" w:hAnsi="宋体" w:eastAsia="宋体" w:cs="宋体"/>
          <w:color w:val="auto"/>
          <w:kern w:val="0"/>
          <w:sz w:val="24"/>
          <w:lang w:val="en-US" w:eastAsia="zh-CN" w:bidi="ar-SA"/>
        </w:rPr>
        <w:t>7.3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6C69E939">
      <w:pPr>
        <w:spacing w:line="360" w:lineRule="auto"/>
        <w:ind w:firstLine="482" w:firstLineChars="200"/>
        <w:rPr>
          <w:rFonts w:hint="eastAsia" w:hAnsi="宋体" w:cs="宋体"/>
          <w:color w:val="auto"/>
          <w:szCs w:val="22"/>
        </w:rPr>
      </w:pPr>
      <w:r>
        <w:rPr>
          <w:rFonts w:hint="eastAsia" w:hAnsi="宋体" w:cs="宋体"/>
          <w:b/>
          <w:bCs/>
          <w:color w:val="auto"/>
          <w:szCs w:val="22"/>
        </w:rPr>
        <w:t>7.4请各供应商在提交投标文件截止时间之前，务必随时关注“政府采购信息发布媒体”上发布的变更公告，采购代理机构不再另行通知，因供应商未及时关注所造成的一切后果由供应商自行承担</w:t>
      </w:r>
      <w:r>
        <w:rPr>
          <w:rFonts w:hint="eastAsia" w:hAnsi="宋体" w:cs="宋体"/>
          <w:color w:val="auto"/>
          <w:szCs w:val="22"/>
        </w:rPr>
        <w:t>：</w:t>
      </w:r>
    </w:p>
    <w:p w14:paraId="4F429656">
      <w:pPr>
        <w:spacing w:line="360" w:lineRule="auto"/>
        <w:ind w:firstLine="240" w:firstLineChars="100"/>
        <w:rPr>
          <w:rFonts w:hint="eastAsia" w:hAnsi="宋体" w:cs="宋体"/>
          <w:color w:val="auto"/>
          <w:szCs w:val="22"/>
        </w:rPr>
      </w:pPr>
      <w:r>
        <w:rPr>
          <w:rFonts w:hint="eastAsia" w:hAnsi="宋体" w:cs="宋体"/>
          <w:color w:val="auto"/>
          <w:szCs w:val="22"/>
        </w:rPr>
        <w:t>（1）【</w:t>
      </w:r>
      <w:r>
        <w:rPr>
          <w:color w:val="auto"/>
        </w:rPr>
        <w:fldChar w:fldCharType="begin"/>
      </w:r>
      <w:r>
        <w:rPr>
          <w:color w:val="auto"/>
        </w:rPr>
        <w:instrText xml:space="preserve"> HYPERLINK "http://www.ccgp-shaanxi.gov.cn" </w:instrText>
      </w:r>
      <w:r>
        <w:rPr>
          <w:color w:val="auto"/>
        </w:rPr>
        <w:fldChar w:fldCharType="separate"/>
      </w:r>
      <w:r>
        <w:rPr>
          <w:rFonts w:hint="eastAsia" w:hAnsi="宋体" w:cs="宋体"/>
          <w:color w:val="auto"/>
          <w:szCs w:val="22"/>
        </w:rPr>
        <w:t>陕西省政府采购网</w:t>
      </w:r>
      <w:r>
        <w:rPr>
          <w:rFonts w:hint="eastAsia" w:hAnsi="宋体" w:cs="宋体"/>
          <w:color w:val="auto"/>
          <w:szCs w:val="22"/>
        </w:rPr>
        <w:fldChar w:fldCharType="end"/>
      </w:r>
      <w:r>
        <w:rPr>
          <w:rFonts w:hint="eastAsia" w:hAnsi="宋体" w:cs="宋体"/>
          <w:color w:val="auto"/>
          <w:szCs w:val="22"/>
        </w:rPr>
        <w:t>】（</w:t>
      </w:r>
      <w:r>
        <w:rPr>
          <w:color w:val="auto"/>
        </w:rPr>
        <w:fldChar w:fldCharType="begin"/>
      </w:r>
      <w:r>
        <w:rPr>
          <w:color w:val="auto"/>
        </w:rPr>
        <w:instrText xml:space="preserve"> HYPERLINK "http://www.ccgp-shaanxi.gov.cn/" </w:instrText>
      </w:r>
      <w:r>
        <w:rPr>
          <w:color w:val="auto"/>
        </w:rPr>
        <w:fldChar w:fldCharType="separate"/>
      </w:r>
      <w:r>
        <w:rPr>
          <w:rFonts w:hint="eastAsia" w:hAnsi="宋体" w:cs="宋体"/>
          <w:color w:val="auto"/>
          <w:szCs w:val="22"/>
        </w:rPr>
        <w:t>http://www.ccgp-shaanxi.gov.cn/</w:t>
      </w:r>
      <w:r>
        <w:rPr>
          <w:rFonts w:hint="eastAsia" w:hAnsi="宋体" w:cs="宋体"/>
          <w:color w:val="auto"/>
          <w:szCs w:val="22"/>
        </w:rPr>
        <w:fldChar w:fldCharType="end"/>
      </w:r>
      <w:r>
        <w:rPr>
          <w:rFonts w:hint="eastAsia" w:hAnsi="宋体" w:cs="宋体"/>
          <w:color w:val="auto"/>
          <w:szCs w:val="22"/>
        </w:rPr>
        <w:t>）中的〖首页·〉信息公告·〉市级·〉西安市〗；</w:t>
      </w:r>
    </w:p>
    <w:p w14:paraId="3F204549">
      <w:pPr>
        <w:spacing w:line="360" w:lineRule="auto"/>
        <w:ind w:firstLine="240" w:firstLineChars="100"/>
        <w:rPr>
          <w:rFonts w:hint="eastAsia" w:hAnsi="宋体" w:cs="宋体"/>
          <w:color w:val="auto"/>
          <w:szCs w:val="22"/>
        </w:rPr>
      </w:pPr>
      <w:r>
        <w:rPr>
          <w:rFonts w:hint="eastAsia" w:hAnsi="宋体" w:cs="宋体"/>
          <w:color w:val="auto"/>
          <w:szCs w:val="22"/>
        </w:rPr>
        <w:t>（2）【</w:t>
      </w:r>
      <w:r>
        <w:rPr>
          <w:color w:val="auto"/>
        </w:rPr>
        <w:fldChar w:fldCharType="begin"/>
      </w:r>
      <w:r>
        <w:rPr>
          <w:color w:val="auto"/>
        </w:rPr>
        <w:instrText xml:space="preserve"> HYPERLINK "http://xa.sxggzyjy.cn/" </w:instrText>
      </w:r>
      <w:r>
        <w:rPr>
          <w:color w:val="auto"/>
        </w:rPr>
        <w:fldChar w:fldCharType="separate"/>
      </w:r>
      <w:r>
        <w:rPr>
          <w:rFonts w:hint="eastAsia" w:hAnsi="宋体" w:cs="宋体"/>
          <w:color w:val="auto"/>
          <w:szCs w:val="22"/>
        </w:rPr>
        <w:t>全国公共资源交易网（陕西省·西安市）</w:t>
      </w:r>
      <w:r>
        <w:rPr>
          <w:rFonts w:hint="eastAsia" w:hAnsi="宋体" w:cs="宋体"/>
          <w:color w:val="auto"/>
          <w:szCs w:val="22"/>
        </w:rPr>
        <w:fldChar w:fldCharType="end"/>
      </w:r>
      <w:r>
        <w:rPr>
          <w:rFonts w:hint="eastAsia" w:hAnsi="宋体" w:cs="宋体"/>
          <w:color w:val="auto"/>
          <w:szCs w:val="22"/>
        </w:rPr>
        <w:t>】（</w:t>
      </w:r>
      <w:r>
        <w:rPr>
          <w:rFonts w:hint="eastAsia"/>
          <w:color w:val="auto"/>
        </w:rPr>
        <w:t>http://sxggzyjy.xa.gov.cn/</w:t>
      </w:r>
      <w:r>
        <w:rPr>
          <w:rFonts w:hint="eastAsia" w:hAnsi="宋体" w:cs="宋体"/>
          <w:color w:val="auto"/>
          <w:szCs w:val="22"/>
        </w:rPr>
        <w:t>）中的〖首页·〉交易大厅·〉政府采购〗。</w:t>
      </w:r>
    </w:p>
    <w:p w14:paraId="56E4F601">
      <w:pPr>
        <w:pStyle w:val="19"/>
        <w:spacing w:after="0" w:line="360" w:lineRule="auto"/>
        <w:ind w:firstLine="480"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7.5在投标文件递交截止时间前，采购代理机构可以视采购具体情况，延长投标截止时间和开标时间并在财政部门指定的媒体上发布变更公告，同时将变更时间书面通知获取招标文件的潜在供应商（具体以全国公共资源交易网（陕西省·西安市）政府采购线上项目要求为准）。</w:t>
      </w:r>
    </w:p>
    <w:p w14:paraId="3B563C2C">
      <w:pPr>
        <w:spacing w:line="360" w:lineRule="auto"/>
        <w:ind w:firstLine="480" w:firstLineChars="200"/>
        <w:rPr>
          <w:rFonts w:hint="eastAsia" w:hAnsi="宋体" w:cs="宋体"/>
          <w:color w:val="auto"/>
          <w:szCs w:val="24"/>
        </w:rPr>
      </w:pPr>
      <w:r>
        <w:rPr>
          <w:rFonts w:hint="eastAsia" w:hAnsi="宋体" w:cs="宋体"/>
          <w:color w:val="auto"/>
          <w:szCs w:val="24"/>
        </w:rPr>
        <w:t>7.6已经领取招标文件的供应商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供应商，且作为招标文件的组成部分。</w:t>
      </w:r>
    </w:p>
    <w:p w14:paraId="38C79C7F">
      <w:pPr>
        <w:spacing w:line="360" w:lineRule="auto"/>
        <w:ind w:firstLine="480" w:firstLineChars="200"/>
        <w:outlineLvl w:val="2"/>
        <w:rPr>
          <w:rFonts w:hint="eastAsia" w:hAnsi="宋体" w:cs="宋体"/>
          <w:color w:val="auto"/>
        </w:rPr>
      </w:pPr>
      <w:r>
        <w:rPr>
          <w:rFonts w:hint="eastAsia" w:hAnsi="宋体" w:cs="宋体"/>
          <w:color w:val="auto"/>
          <w:szCs w:val="24"/>
        </w:rPr>
        <w:t>7.7</w:t>
      </w:r>
      <w:r>
        <w:rPr>
          <w:rFonts w:hint="eastAsia" w:hAnsi="宋体" w:cs="宋体"/>
          <w:color w:val="auto"/>
        </w:rPr>
        <w:t>供应商在收到上述通知后，应立即向采购代理机构回函确认。</w:t>
      </w:r>
    </w:p>
    <w:p w14:paraId="1A44661A">
      <w:pPr>
        <w:spacing w:line="360" w:lineRule="auto"/>
        <w:jc w:val="center"/>
        <w:outlineLvl w:val="3"/>
        <w:rPr>
          <w:rFonts w:hint="eastAsia" w:hAnsi="宋体" w:cs="宋体"/>
          <w:b/>
          <w:color w:val="auto"/>
          <w:sz w:val="32"/>
          <w:szCs w:val="32"/>
        </w:rPr>
      </w:pPr>
      <w:r>
        <w:rPr>
          <w:rFonts w:hint="eastAsia" w:hAnsi="宋体" w:cs="宋体"/>
          <w:b/>
          <w:color w:val="auto"/>
          <w:sz w:val="32"/>
          <w:szCs w:val="32"/>
        </w:rPr>
        <w:t>三、投标文件的编制</w:t>
      </w:r>
      <w:bookmarkEnd w:id="43"/>
      <w:bookmarkEnd w:id="44"/>
      <w:bookmarkEnd w:id="45"/>
    </w:p>
    <w:p w14:paraId="3A1B1782">
      <w:pPr>
        <w:spacing w:line="360" w:lineRule="auto"/>
        <w:outlineLvl w:val="1"/>
        <w:rPr>
          <w:rFonts w:hint="eastAsia" w:hAnsi="宋体" w:cs="宋体"/>
          <w:b/>
          <w:color w:val="auto"/>
          <w:szCs w:val="24"/>
        </w:rPr>
      </w:pPr>
      <w:bookmarkStart w:id="46" w:name="_Toc204"/>
      <w:bookmarkStart w:id="47" w:name="_Toc14267"/>
      <w:r>
        <w:rPr>
          <w:rFonts w:hint="eastAsia" w:hAnsi="宋体" w:cs="宋体"/>
          <w:b/>
          <w:color w:val="auto"/>
          <w:szCs w:val="24"/>
        </w:rPr>
        <w:t>8.投标语言和投标货币</w:t>
      </w:r>
      <w:bookmarkEnd w:id="46"/>
      <w:bookmarkEnd w:id="47"/>
    </w:p>
    <w:p w14:paraId="35F7757E">
      <w:pPr>
        <w:spacing w:line="360" w:lineRule="auto"/>
        <w:ind w:firstLine="480" w:firstLineChars="200"/>
        <w:rPr>
          <w:rFonts w:hint="eastAsia" w:hAnsi="宋体" w:cs="宋体"/>
          <w:b/>
          <w:color w:val="auto"/>
          <w:szCs w:val="24"/>
        </w:rPr>
      </w:pPr>
      <w:r>
        <w:rPr>
          <w:rFonts w:hint="eastAsia" w:hAnsi="宋体" w:cs="宋体"/>
          <w:color w:val="auto"/>
          <w:szCs w:val="24"/>
        </w:rPr>
        <w:t>8.1供应商提交的投标文件以及供应商与采购代理机构就有关投标的所有来往函电均应使用简体中文。</w:t>
      </w:r>
    </w:p>
    <w:p w14:paraId="4598C6EA">
      <w:pPr>
        <w:spacing w:line="360" w:lineRule="auto"/>
        <w:ind w:firstLine="480" w:firstLineChars="200"/>
        <w:rPr>
          <w:rFonts w:hint="eastAsia" w:hAnsi="宋体" w:cs="宋体"/>
          <w:color w:val="auto"/>
          <w:szCs w:val="24"/>
        </w:rPr>
      </w:pPr>
      <w:r>
        <w:rPr>
          <w:rFonts w:hint="eastAsia" w:hAnsi="宋体" w:cs="宋体"/>
          <w:color w:val="auto"/>
          <w:szCs w:val="24"/>
        </w:rPr>
        <w:t>8.2投标应以人民币报价。任何包含非人民币报价的投标将按无效投标处理。</w:t>
      </w:r>
    </w:p>
    <w:p w14:paraId="6C5CD6B3">
      <w:pPr>
        <w:spacing w:line="360" w:lineRule="auto"/>
        <w:outlineLvl w:val="1"/>
        <w:rPr>
          <w:rFonts w:hint="eastAsia" w:hAnsi="宋体" w:cs="宋体"/>
          <w:b/>
          <w:color w:val="auto"/>
          <w:szCs w:val="24"/>
        </w:rPr>
      </w:pPr>
      <w:bookmarkStart w:id="48" w:name="_Toc15635"/>
      <w:bookmarkStart w:id="49" w:name="_Toc15666"/>
      <w:r>
        <w:rPr>
          <w:rFonts w:hint="eastAsia" w:hAnsi="宋体" w:cs="宋体"/>
          <w:b/>
          <w:color w:val="auto"/>
          <w:szCs w:val="24"/>
        </w:rPr>
        <w:t>9.投标文件的构成</w:t>
      </w:r>
      <w:bookmarkEnd w:id="48"/>
      <w:bookmarkEnd w:id="49"/>
    </w:p>
    <w:p w14:paraId="28C02C3F">
      <w:pPr>
        <w:spacing w:line="360" w:lineRule="auto"/>
        <w:ind w:firstLine="480" w:firstLineChars="200"/>
        <w:outlineLvl w:val="2"/>
        <w:rPr>
          <w:rFonts w:hint="eastAsia" w:hAnsi="宋体" w:cs="宋体"/>
          <w:color w:val="auto"/>
          <w:szCs w:val="24"/>
        </w:rPr>
      </w:pPr>
      <w:r>
        <w:rPr>
          <w:rFonts w:hint="eastAsia" w:hAnsi="宋体" w:cs="宋体"/>
          <w:color w:val="auto"/>
          <w:szCs w:val="24"/>
        </w:rPr>
        <w:t>9.1供应商提交的投标文件应包括下列部分的内容：</w:t>
      </w:r>
    </w:p>
    <w:p w14:paraId="762F56B1">
      <w:pPr>
        <w:spacing w:line="360" w:lineRule="auto"/>
        <w:ind w:firstLine="480" w:firstLineChars="200"/>
        <w:rPr>
          <w:rFonts w:hint="eastAsia" w:hAnsi="宋体" w:cs="宋体"/>
          <w:color w:val="auto"/>
          <w:szCs w:val="24"/>
        </w:rPr>
      </w:pPr>
      <w:r>
        <w:rPr>
          <w:rFonts w:hint="eastAsia" w:hAnsi="宋体" w:cs="宋体"/>
          <w:color w:val="auto"/>
          <w:szCs w:val="24"/>
        </w:rPr>
        <w:t>（1）按照供应商须知的要求和招标文件规定的格式填写的投标函、开标一览表、法定代表人授权书。</w:t>
      </w:r>
    </w:p>
    <w:p w14:paraId="7AFC3CF1">
      <w:pPr>
        <w:spacing w:line="360" w:lineRule="auto"/>
        <w:ind w:firstLine="480" w:firstLineChars="200"/>
        <w:outlineLvl w:val="3"/>
        <w:rPr>
          <w:rFonts w:hint="eastAsia" w:hAnsi="宋体" w:cs="宋体"/>
          <w:color w:val="auto"/>
          <w:szCs w:val="24"/>
        </w:rPr>
      </w:pPr>
      <w:r>
        <w:rPr>
          <w:rFonts w:hint="eastAsia" w:hAnsi="宋体" w:cs="宋体"/>
          <w:color w:val="auto"/>
          <w:szCs w:val="24"/>
        </w:rPr>
        <w:t>（2）按照招标文件的要求编制的投标方案。</w:t>
      </w:r>
    </w:p>
    <w:p w14:paraId="032E2544">
      <w:pPr>
        <w:spacing w:line="360" w:lineRule="auto"/>
        <w:ind w:firstLine="480" w:firstLineChars="200"/>
        <w:rPr>
          <w:rFonts w:hint="eastAsia" w:hAnsi="宋体" w:cs="宋体"/>
          <w:color w:val="auto"/>
          <w:szCs w:val="24"/>
        </w:rPr>
      </w:pPr>
      <w:r>
        <w:rPr>
          <w:rFonts w:hint="eastAsia" w:hAnsi="宋体" w:cs="宋体"/>
          <w:color w:val="auto"/>
          <w:szCs w:val="24"/>
        </w:rPr>
        <w:t>（3）按照招标文件供应商须知前附表的要求提交的资格证明文件；</w:t>
      </w:r>
    </w:p>
    <w:p w14:paraId="77730392">
      <w:pPr>
        <w:spacing w:line="360" w:lineRule="auto"/>
        <w:ind w:firstLine="480" w:firstLineChars="200"/>
        <w:outlineLvl w:val="3"/>
        <w:rPr>
          <w:rFonts w:hint="eastAsia" w:hAnsi="宋体" w:cs="宋体"/>
          <w:color w:val="auto"/>
          <w:szCs w:val="24"/>
        </w:rPr>
      </w:pPr>
      <w:r>
        <w:rPr>
          <w:rFonts w:hint="eastAsia" w:hAnsi="宋体" w:cs="宋体"/>
          <w:color w:val="auto"/>
          <w:szCs w:val="24"/>
        </w:rPr>
        <w:t>（4）招标文件中要求的其他证明文件。</w:t>
      </w:r>
    </w:p>
    <w:p w14:paraId="4771145C">
      <w:pPr>
        <w:spacing w:line="360" w:lineRule="auto"/>
        <w:ind w:firstLine="480" w:firstLineChars="200"/>
        <w:rPr>
          <w:rFonts w:hint="eastAsia" w:hAnsi="宋体" w:cs="宋体"/>
          <w:color w:val="auto"/>
          <w:szCs w:val="24"/>
        </w:rPr>
      </w:pPr>
      <w:r>
        <w:rPr>
          <w:rFonts w:hint="eastAsia" w:hAnsi="宋体" w:cs="宋体"/>
          <w:color w:val="auto"/>
          <w:szCs w:val="24"/>
        </w:rPr>
        <w:t>9.2如果在招标文件中没有允许提供备选方案，则每个供应商只允许提交一个投标方案，否则，其投标将按照无效投标处理。</w:t>
      </w:r>
    </w:p>
    <w:p w14:paraId="3EF890D1">
      <w:pPr>
        <w:spacing w:line="360" w:lineRule="auto"/>
        <w:ind w:firstLine="480" w:firstLineChars="200"/>
        <w:rPr>
          <w:rFonts w:hint="eastAsia" w:hAnsi="宋体" w:cs="宋体"/>
          <w:color w:val="auto"/>
          <w:szCs w:val="24"/>
        </w:rPr>
      </w:pPr>
      <w:r>
        <w:rPr>
          <w:rFonts w:hint="eastAsia" w:hAnsi="宋体" w:cs="宋体"/>
          <w:color w:val="auto"/>
          <w:szCs w:val="24"/>
        </w:rPr>
        <w:t>9.3本次投标的最小单元为“项目”，供应商可根据自身的资质情况和经营范围对本次项目进行投标，不得将其子目再行分解或只对本次项目中的各品目进行不完全投标，任何不完全的响应将会被拒绝。</w:t>
      </w:r>
    </w:p>
    <w:p w14:paraId="2BFF6779">
      <w:pPr>
        <w:spacing w:line="360" w:lineRule="auto"/>
        <w:outlineLvl w:val="1"/>
        <w:rPr>
          <w:rFonts w:hint="eastAsia" w:hAnsi="宋体" w:cs="宋体"/>
          <w:b/>
          <w:color w:val="auto"/>
          <w:szCs w:val="24"/>
        </w:rPr>
      </w:pPr>
      <w:bookmarkStart w:id="50" w:name="_Toc17674"/>
      <w:bookmarkStart w:id="51" w:name="_Toc28265"/>
      <w:r>
        <w:rPr>
          <w:rFonts w:hint="eastAsia" w:hAnsi="宋体" w:cs="宋体"/>
          <w:b/>
          <w:color w:val="auto"/>
          <w:szCs w:val="24"/>
        </w:rPr>
        <w:t>10.投标文件格式</w:t>
      </w:r>
      <w:bookmarkEnd w:id="50"/>
      <w:bookmarkEnd w:id="51"/>
    </w:p>
    <w:p w14:paraId="34811AD8">
      <w:pPr>
        <w:spacing w:line="360" w:lineRule="auto"/>
        <w:ind w:firstLine="480" w:firstLineChars="200"/>
        <w:rPr>
          <w:rFonts w:hint="eastAsia" w:hAnsi="宋体" w:cs="宋体"/>
          <w:color w:val="auto"/>
          <w:szCs w:val="24"/>
        </w:rPr>
      </w:pPr>
      <w:r>
        <w:rPr>
          <w:rFonts w:hint="eastAsia" w:hAnsi="宋体" w:cs="宋体"/>
          <w:color w:val="auto"/>
          <w:szCs w:val="24"/>
        </w:rPr>
        <w:t>10.1供应商应按照招标文件中第六章所提供的格式和要求制作投标文件，明确表达投标意愿，详细说明投标方案、承诺及价格。</w:t>
      </w:r>
    </w:p>
    <w:p w14:paraId="6EFD427F">
      <w:pPr>
        <w:spacing w:line="360" w:lineRule="auto"/>
        <w:ind w:firstLine="480" w:firstLineChars="200"/>
        <w:rPr>
          <w:rFonts w:hint="eastAsia" w:hAnsi="宋体" w:cs="宋体"/>
          <w:color w:val="auto"/>
          <w:szCs w:val="24"/>
        </w:rPr>
      </w:pPr>
      <w:r>
        <w:rPr>
          <w:rFonts w:hint="eastAsia" w:hAnsi="宋体" w:cs="宋体"/>
          <w:color w:val="auto"/>
          <w:szCs w:val="24"/>
        </w:rPr>
        <w:t>10.2按招标文件第9条的内容及要求和第六章提供的格式和要求编写其投标文件，供应商不得缺少或留空任何招标文件要求填写的表格或提交的资料。</w:t>
      </w:r>
    </w:p>
    <w:p w14:paraId="5B791378">
      <w:pPr>
        <w:spacing w:line="360" w:lineRule="auto"/>
        <w:outlineLvl w:val="1"/>
        <w:rPr>
          <w:rFonts w:hint="eastAsia" w:hAnsi="宋体" w:cs="宋体"/>
          <w:b/>
          <w:color w:val="auto"/>
          <w:szCs w:val="24"/>
        </w:rPr>
      </w:pPr>
      <w:bookmarkStart w:id="52" w:name="_Toc29298"/>
      <w:bookmarkStart w:id="53" w:name="_Toc12195"/>
      <w:r>
        <w:rPr>
          <w:rFonts w:hint="eastAsia" w:hAnsi="宋体" w:cs="宋体"/>
          <w:b/>
          <w:color w:val="auto"/>
          <w:szCs w:val="24"/>
        </w:rPr>
        <w:t>11.投标报价</w:t>
      </w:r>
      <w:bookmarkEnd w:id="52"/>
      <w:bookmarkEnd w:id="53"/>
    </w:p>
    <w:p w14:paraId="795F7BDF">
      <w:pPr>
        <w:spacing w:line="360" w:lineRule="auto"/>
        <w:ind w:firstLine="480" w:firstLineChars="200"/>
        <w:rPr>
          <w:rFonts w:hint="eastAsia" w:hAnsi="宋体" w:cs="宋体"/>
          <w:color w:val="auto"/>
          <w:kern w:val="2"/>
          <w:szCs w:val="24"/>
        </w:rPr>
      </w:pPr>
      <w:r>
        <w:rPr>
          <w:rFonts w:hint="eastAsia" w:hAnsi="宋体" w:cs="宋体"/>
          <w:color w:val="auto"/>
          <w:szCs w:val="24"/>
        </w:rPr>
        <w:t>11.1</w:t>
      </w:r>
      <w:r>
        <w:rPr>
          <w:rFonts w:hint="eastAsia" w:cs="宋体" w:asciiTheme="minorEastAsia" w:hAnsiTheme="minorEastAsia" w:eastAsiaTheme="minorEastAsia"/>
          <w:color w:val="auto"/>
          <w:szCs w:val="24"/>
          <w:highlight w:val="none"/>
        </w:rPr>
        <w:t>投标报价：见投标人须知前附表。</w:t>
      </w:r>
    </w:p>
    <w:p w14:paraId="49E45E1C">
      <w:pPr>
        <w:spacing w:line="360" w:lineRule="auto"/>
        <w:ind w:firstLine="480" w:firstLineChars="200"/>
        <w:rPr>
          <w:rFonts w:hint="default" w:hAnsi="宋体" w:eastAsia="宋体" w:cs="宋体"/>
          <w:color w:val="auto"/>
          <w:kern w:val="2"/>
          <w:szCs w:val="24"/>
          <w:lang w:val="en-US" w:eastAsia="zh-CN"/>
        </w:rPr>
      </w:pPr>
      <w:bookmarkStart w:id="54" w:name="_Toc26432"/>
      <w:r>
        <w:rPr>
          <w:rFonts w:hint="eastAsia" w:hAnsi="宋体" w:cs="宋体"/>
          <w:color w:val="auto"/>
          <w:kern w:val="2"/>
          <w:szCs w:val="24"/>
          <w:lang w:val="en-US" w:eastAsia="zh-CN"/>
        </w:rPr>
        <w:t>11.2</w:t>
      </w:r>
      <w:r>
        <w:rPr>
          <w:rFonts w:hint="eastAsia" w:cs="宋体" w:asciiTheme="minorEastAsia" w:hAnsiTheme="minorEastAsia" w:eastAsiaTheme="minorEastAsia"/>
          <w:color w:val="auto"/>
          <w:szCs w:val="24"/>
          <w:highlight w:val="none"/>
        </w:rPr>
        <w:t>投标报价表中标明的价格应为履行合同的固定价格，不得以任何理由予以变更。以可调整的价格提交的投标文件将按无效投标处理。</w:t>
      </w:r>
    </w:p>
    <w:p w14:paraId="77C6F098">
      <w:pPr>
        <w:spacing w:line="360" w:lineRule="auto"/>
        <w:ind w:firstLine="480" w:firstLineChars="200"/>
        <w:rPr>
          <w:rFonts w:hint="eastAsia" w:hAnsi="宋体" w:cs="宋体"/>
          <w:color w:val="auto"/>
          <w:kern w:val="2"/>
          <w:szCs w:val="24"/>
        </w:rPr>
      </w:pPr>
      <w:r>
        <w:rPr>
          <w:rFonts w:hint="eastAsia" w:hAnsi="宋体" w:cs="宋体"/>
          <w:color w:val="auto"/>
          <w:kern w:val="2"/>
          <w:szCs w:val="24"/>
        </w:rPr>
        <w:t>注：政府采购合同履行中，采购人需追加与合同标的相同服务的，在不改变合同其他条款的前提下，可以与供应商协商签订补充合同，但所有补充合同的采购金额不得超过原合同采购金额的10%。</w:t>
      </w:r>
    </w:p>
    <w:p w14:paraId="715120AF">
      <w:pPr>
        <w:spacing w:line="360" w:lineRule="auto"/>
        <w:outlineLvl w:val="1"/>
        <w:rPr>
          <w:rFonts w:hint="eastAsia" w:hAnsi="宋体" w:cs="宋体"/>
          <w:b/>
          <w:color w:val="auto"/>
          <w:szCs w:val="24"/>
        </w:rPr>
      </w:pPr>
      <w:bookmarkStart w:id="55" w:name="_Toc24645"/>
      <w:r>
        <w:rPr>
          <w:rFonts w:hint="eastAsia" w:hAnsi="宋体" w:cs="宋体"/>
          <w:b/>
          <w:bCs/>
          <w:color w:val="auto"/>
          <w:szCs w:val="24"/>
        </w:rPr>
        <w:t>12.投标文</w:t>
      </w:r>
      <w:r>
        <w:rPr>
          <w:rFonts w:hint="eastAsia" w:hAnsi="宋体" w:cs="宋体"/>
          <w:b/>
          <w:color w:val="auto"/>
          <w:szCs w:val="24"/>
        </w:rPr>
        <w:t>件的制作</w:t>
      </w:r>
      <w:bookmarkEnd w:id="54"/>
      <w:bookmarkEnd w:id="55"/>
    </w:p>
    <w:p w14:paraId="7A3854F5">
      <w:pPr>
        <w:spacing w:line="360" w:lineRule="auto"/>
        <w:ind w:firstLine="480" w:firstLineChars="200"/>
        <w:rPr>
          <w:rFonts w:hint="eastAsia" w:hAnsi="宋体" w:cs="宋体"/>
          <w:color w:val="auto"/>
          <w:szCs w:val="24"/>
          <w:lang w:val="zh-CN"/>
        </w:rPr>
      </w:pPr>
      <w:r>
        <w:rPr>
          <w:rFonts w:hint="eastAsia" w:hAnsi="宋体" w:cs="宋体"/>
          <w:color w:val="auto"/>
          <w:szCs w:val="24"/>
        </w:rPr>
        <w:t>12.1</w:t>
      </w:r>
      <w:r>
        <w:rPr>
          <w:rFonts w:hint="eastAsia" w:hAnsi="宋体" w:cs="宋体"/>
          <w:color w:val="auto"/>
          <w:szCs w:val="24"/>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00BE8585">
      <w:pPr>
        <w:spacing w:line="360" w:lineRule="auto"/>
        <w:ind w:firstLine="480" w:firstLineChars="200"/>
        <w:rPr>
          <w:rFonts w:hint="eastAsia" w:hAnsi="宋体" w:cs="宋体"/>
          <w:color w:val="auto"/>
          <w:szCs w:val="24"/>
          <w:lang w:val="zh-CN"/>
        </w:rPr>
      </w:pPr>
      <w:r>
        <w:rPr>
          <w:rFonts w:hint="eastAsia" w:hAnsi="宋体" w:cs="宋体"/>
          <w:color w:val="auto"/>
          <w:szCs w:val="24"/>
          <w:lang w:val="zh-CN"/>
        </w:rPr>
        <w:t>链接地址：</w:t>
      </w:r>
    </w:p>
    <w:p w14:paraId="7CBCAA06">
      <w:pPr>
        <w:spacing w:line="360" w:lineRule="auto"/>
        <w:ind w:firstLine="480" w:firstLineChars="200"/>
        <w:rPr>
          <w:rFonts w:hint="eastAsia" w:hAnsi="宋体" w:cs="宋体"/>
          <w:color w:val="auto"/>
          <w:szCs w:val="24"/>
          <w:lang w:val="zh-CN"/>
        </w:rPr>
      </w:pPr>
      <w:r>
        <w:rPr>
          <w:color w:val="auto"/>
        </w:rPr>
        <w:fldChar w:fldCharType="begin"/>
      </w:r>
      <w:r>
        <w:rPr>
          <w:color w:val="auto"/>
        </w:rPr>
        <w:instrText xml:space="preserve"> HYPERLINK "http://sxggzyjy.xa.gov.cn/fwzn/004003/20181115/4d59c184-e8f6-4d5a-a416-c2f6b0601e66.html" </w:instrText>
      </w:r>
      <w:r>
        <w:rPr>
          <w:color w:val="auto"/>
        </w:rPr>
        <w:fldChar w:fldCharType="separate"/>
      </w:r>
      <w:r>
        <w:rPr>
          <w:rFonts w:hint="eastAsia" w:hAnsi="宋体" w:cs="宋体"/>
          <w:color w:val="auto"/>
          <w:szCs w:val="24"/>
          <w:lang w:val="zh-CN"/>
        </w:rPr>
        <w:t>http://sxggzyjy.xa.gov.cn/fwzn/004003/20181115/4d59c184-e8f6-4d5a-a416-c2f6b0601e66.html</w:t>
      </w:r>
      <w:r>
        <w:rPr>
          <w:rFonts w:hint="eastAsia" w:hAnsi="宋体" w:cs="宋体"/>
          <w:color w:val="auto"/>
          <w:szCs w:val="24"/>
          <w:lang w:val="zh-CN"/>
        </w:rPr>
        <w:fldChar w:fldCharType="end"/>
      </w:r>
    </w:p>
    <w:p w14:paraId="74E16FDB">
      <w:pPr>
        <w:spacing w:line="360" w:lineRule="auto"/>
        <w:ind w:firstLine="480" w:firstLineChars="200"/>
        <w:rPr>
          <w:rFonts w:hint="eastAsia" w:hAnsi="宋体" w:cs="宋体"/>
          <w:color w:val="auto"/>
          <w:szCs w:val="24"/>
          <w:lang w:val="zh-CN"/>
        </w:rPr>
      </w:pPr>
      <w:r>
        <w:rPr>
          <w:rFonts w:hint="eastAsia" w:hAnsi="宋体" w:cs="宋体"/>
          <w:color w:val="auto"/>
          <w:szCs w:val="24"/>
        </w:rPr>
        <w:t>12.2</w:t>
      </w:r>
      <w:r>
        <w:rPr>
          <w:rFonts w:hint="eastAsia" w:hAnsi="宋体" w:cs="宋体"/>
          <w:color w:val="auto"/>
          <w:szCs w:val="24"/>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27AD18D3">
      <w:pPr>
        <w:spacing w:line="360" w:lineRule="auto"/>
        <w:ind w:firstLine="482" w:firstLineChars="200"/>
        <w:rPr>
          <w:rFonts w:hint="eastAsia" w:hAnsi="宋体" w:cs="宋体"/>
          <w:color w:val="auto"/>
          <w:szCs w:val="24"/>
          <w:lang w:val="zh-CN"/>
        </w:rPr>
      </w:pPr>
      <w:r>
        <w:rPr>
          <w:rFonts w:hint="eastAsia" w:hAnsi="宋体" w:cs="宋体"/>
          <w:b/>
          <w:bCs/>
          <w:color w:val="auto"/>
          <w:szCs w:val="24"/>
          <w:lang w:val="zh-CN"/>
        </w:rPr>
        <w:t>再次提醒：</w:t>
      </w:r>
      <w:r>
        <w:rPr>
          <w:rFonts w:hint="eastAsia" w:hAnsi="宋体" w:cs="宋体"/>
          <w:color w:val="auto"/>
          <w:szCs w:val="24"/>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14:paraId="25195860">
      <w:pPr>
        <w:spacing w:line="360" w:lineRule="auto"/>
        <w:outlineLvl w:val="1"/>
        <w:rPr>
          <w:rFonts w:hint="eastAsia" w:hAnsi="宋体" w:cs="宋体"/>
          <w:b/>
          <w:color w:val="auto"/>
          <w:szCs w:val="24"/>
        </w:rPr>
      </w:pPr>
      <w:bookmarkStart w:id="56" w:name="_Toc27384"/>
      <w:bookmarkStart w:id="57" w:name="_Toc22686"/>
      <w:r>
        <w:rPr>
          <w:rFonts w:hint="eastAsia" w:hAnsi="宋体" w:cs="宋体"/>
          <w:b/>
          <w:color w:val="auto"/>
          <w:szCs w:val="24"/>
        </w:rPr>
        <w:t>13.证明供应商合格和资格的文件</w:t>
      </w:r>
      <w:bookmarkEnd w:id="56"/>
      <w:bookmarkEnd w:id="57"/>
    </w:p>
    <w:p w14:paraId="602AE346">
      <w:pPr>
        <w:spacing w:line="360" w:lineRule="auto"/>
        <w:ind w:firstLine="480" w:firstLineChars="200"/>
        <w:rPr>
          <w:rFonts w:hint="eastAsia" w:hAnsi="宋体" w:cs="宋体"/>
          <w:color w:val="auto"/>
          <w:szCs w:val="24"/>
        </w:rPr>
      </w:pPr>
      <w:r>
        <w:rPr>
          <w:rFonts w:hint="eastAsia" w:hAnsi="宋体" w:cs="宋体"/>
          <w:color w:val="auto"/>
          <w:szCs w:val="24"/>
        </w:rPr>
        <w:t>13.1供应商应按照招标文件“供应商须知前附表”的要求，在投标文件中提交合格的资格证明文件。如果资格证明文件不齐全或不合格的，其投标将按无效投标处理。</w:t>
      </w:r>
    </w:p>
    <w:p w14:paraId="6AD4A645">
      <w:pPr>
        <w:spacing w:line="360" w:lineRule="auto"/>
        <w:outlineLvl w:val="1"/>
        <w:rPr>
          <w:rFonts w:hint="eastAsia" w:hAnsi="宋体" w:cs="宋体"/>
          <w:b/>
          <w:color w:val="auto"/>
          <w:szCs w:val="24"/>
        </w:rPr>
      </w:pPr>
      <w:bookmarkStart w:id="58" w:name="_Toc24013"/>
      <w:bookmarkStart w:id="59" w:name="_Toc23365"/>
      <w:r>
        <w:rPr>
          <w:rFonts w:hint="eastAsia" w:hAnsi="宋体" w:cs="宋体"/>
          <w:b/>
          <w:color w:val="auto"/>
          <w:szCs w:val="24"/>
        </w:rPr>
        <w:t>1</w:t>
      </w:r>
      <w:r>
        <w:rPr>
          <w:rFonts w:hint="eastAsia" w:hAnsi="宋体" w:cs="宋体"/>
          <w:b/>
          <w:color w:val="auto"/>
          <w:szCs w:val="24"/>
          <w:lang w:val="en-US" w:eastAsia="zh-CN"/>
        </w:rPr>
        <w:t>4</w:t>
      </w:r>
      <w:r>
        <w:rPr>
          <w:rFonts w:hint="eastAsia" w:hAnsi="宋体" w:cs="宋体"/>
          <w:b/>
          <w:color w:val="auto"/>
          <w:szCs w:val="24"/>
        </w:rPr>
        <w:t>.投标有效期</w:t>
      </w:r>
      <w:bookmarkEnd w:id="58"/>
      <w:bookmarkEnd w:id="59"/>
    </w:p>
    <w:p w14:paraId="1EDD9364">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4</w:t>
      </w:r>
      <w:r>
        <w:rPr>
          <w:rFonts w:hint="eastAsia" w:hAnsi="宋体" w:cs="宋体"/>
          <w:color w:val="auto"/>
          <w:szCs w:val="24"/>
        </w:rPr>
        <w:t>.1投标有效期从递交投标文件截止之日起</w:t>
      </w:r>
      <w:r>
        <w:rPr>
          <w:rFonts w:hint="eastAsia" w:hAnsi="宋体" w:cs="宋体"/>
          <w:color w:val="auto"/>
          <w:szCs w:val="24"/>
          <w:u w:val="single"/>
        </w:rPr>
        <w:t>90</w:t>
      </w:r>
      <w:r>
        <w:rPr>
          <w:rFonts w:hint="eastAsia" w:hAnsi="宋体" w:cs="宋体"/>
          <w:color w:val="auto"/>
          <w:szCs w:val="24"/>
        </w:rPr>
        <w:t>日历天。投标文件应在投标有效期内保持有效。投标有效期不满足规定有效期的投标文件将被视为无效投标而拒绝。</w:t>
      </w:r>
    </w:p>
    <w:p w14:paraId="0B0063CA">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4</w:t>
      </w:r>
      <w:r>
        <w:rPr>
          <w:rFonts w:hint="eastAsia" w:hAnsi="宋体" w:cs="宋体"/>
          <w:color w:val="auto"/>
          <w:szCs w:val="24"/>
        </w:rPr>
        <w:t>.2特殊情况下，在原投标有效期期满之前，采购代理机构可向供应商提出延长投标有效期的要求。这种要求与答复均应以书面的形式。同意延长的供应商既不能要求也不允许修改其投标文件。</w:t>
      </w:r>
    </w:p>
    <w:p w14:paraId="0073C010">
      <w:pPr>
        <w:spacing w:line="360" w:lineRule="auto"/>
        <w:outlineLvl w:val="1"/>
        <w:rPr>
          <w:rFonts w:hint="eastAsia" w:hAnsi="宋体" w:cs="宋体"/>
          <w:b/>
          <w:color w:val="auto"/>
          <w:szCs w:val="24"/>
        </w:rPr>
      </w:pPr>
      <w:bookmarkStart w:id="60" w:name="_Toc31776"/>
      <w:bookmarkStart w:id="61" w:name="_Toc12527"/>
      <w:r>
        <w:rPr>
          <w:rFonts w:hint="eastAsia" w:hAnsi="宋体" w:cs="宋体"/>
          <w:b/>
          <w:color w:val="auto"/>
          <w:szCs w:val="24"/>
        </w:rPr>
        <w:t>1</w:t>
      </w:r>
      <w:r>
        <w:rPr>
          <w:rFonts w:hint="eastAsia" w:hAnsi="宋体" w:cs="宋体"/>
          <w:b/>
          <w:color w:val="auto"/>
          <w:szCs w:val="24"/>
          <w:lang w:val="en-US" w:eastAsia="zh-CN"/>
        </w:rPr>
        <w:t>5</w:t>
      </w:r>
      <w:r>
        <w:rPr>
          <w:rFonts w:hint="eastAsia" w:hAnsi="宋体" w:cs="宋体"/>
          <w:b/>
          <w:color w:val="auto"/>
          <w:szCs w:val="24"/>
        </w:rPr>
        <w:t>.投标文件的式样和签署</w:t>
      </w:r>
      <w:bookmarkEnd w:id="60"/>
      <w:bookmarkEnd w:id="61"/>
    </w:p>
    <w:p w14:paraId="771151E0">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5</w:t>
      </w:r>
      <w:r>
        <w:rPr>
          <w:rFonts w:hint="eastAsia" w:hAnsi="宋体" w:cs="宋体"/>
          <w:color w:val="auto"/>
          <w:szCs w:val="24"/>
        </w:rPr>
        <w:t>.1投标文件需由供应商法定代表人或经法定代表人正式授权的代表签字。授权代表须将按招标文件规定的格式出具的“法定代表人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14:paraId="2A1EA356">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5</w:t>
      </w:r>
      <w:r>
        <w:rPr>
          <w:rFonts w:hint="eastAsia" w:hAnsi="宋体" w:cs="宋体"/>
          <w:color w:val="auto"/>
          <w:szCs w:val="24"/>
        </w:rPr>
        <w:t>.2任何行间插字、涂改和增删，必须由供应商的法定代表人或其授权代表在旁边签字方有效。</w:t>
      </w:r>
    </w:p>
    <w:p w14:paraId="67E3C4CB">
      <w:pPr>
        <w:spacing w:line="360" w:lineRule="auto"/>
        <w:ind w:firstLine="482" w:firstLineChars="200"/>
        <w:rPr>
          <w:rFonts w:hint="eastAsia" w:hAnsi="宋体" w:cs="宋体"/>
          <w:b/>
          <w:bCs/>
          <w:color w:val="auto"/>
        </w:rPr>
      </w:pPr>
      <w:r>
        <w:rPr>
          <w:rFonts w:hint="eastAsia" w:hAnsi="宋体" w:cs="宋体"/>
          <w:b/>
          <w:bCs/>
          <w:color w:val="auto"/>
        </w:rPr>
        <w:t>1</w:t>
      </w:r>
      <w:r>
        <w:rPr>
          <w:rFonts w:hint="eastAsia" w:hAnsi="宋体" w:cs="宋体"/>
          <w:b/>
          <w:bCs/>
          <w:color w:val="auto"/>
          <w:lang w:val="en-US" w:eastAsia="zh-CN"/>
        </w:rPr>
        <w:t>5</w:t>
      </w:r>
      <w:r>
        <w:rPr>
          <w:rFonts w:hint="eastAsia" w:hAnsi="宋体" w:cs="宋体"/>
          <w:b/>
          <w:bCs/>
          <w:color w:val="auto"/>
        </w:rPr>
        <w:t>.3供应商名称应填写全称，投标文件按招标文件要求加盖供应商公章。</w:t>
      </w:r>
    </w:p>
    <w:p w14:paraId="5DF59B4A">
      <w:pPr>
        <w:spacing w:line="360" w:lineRule="auto"/>
        <w:ind w:firstLine="480" w:firstLineChars="200"/>
        <w:rPr>
          <w:rFonts w:hint="eastAsia" w:hAnsi="宋体" w:cs="宋体"/>
          <w:color w:val="auto"/>
          <w:szCs w:val="24"/>
        </w:rPr>
      </w:pPr>
      <w:r>
        <w:rPr>
          <w:rFonts w:hint="eastAsia" w:hAnsi="宋体" w:cs="宋体"/>
          <w:bCs/>
          <w:color w:val="auto"/>
          <w:szCs w:val="24"/>
        </w:rPr>
        <w:t>1</w:t>
      </w:r>
      <w:r>
        <w:rPr>
          <w:rFonts w:hint="eastAsia" w:hAnsi="宋体" w:cs="宋体"/>
          <w:bCs/>
          <w:color w:val="auto"/>
          <w:szCs w:val="24"/>
          <w:lang w:val="en-US" w:eastAsia="zh-CN"/>
        </w:rPr>
        <w:t>5</w:t>
      </w:r>
      <w:r>
        <w:rPr>
          <w:rFonts w:hint="eastAsia" w:hAnsi="宋体" w:cs="宋体"/>
          <w:bCs/>
          <w:color w:val="auto"/>
          <w:szCs w:val="24"/>
        </w:rPr>
        <w:t>.4</w:t>
      </w:r>
      <w:r>
        <w:rPr>
          <w:rFonts w:hint="eastAsia" w:hAnsi="宋体" w:cs="宋体"/>
          <w:color w:val="auto"/>
          <w:szCs w:val="24"/>
        </w:rPr>
        <w:t>因字迹潦草、表述不清或不按招标文件格式编制的投标文件，所引起的对供应商不利的后果，由供应商自行负责。</w:t>
      </w:r>
    </w:p>
    <w:p w14:paraId="389B8FE2">
      <w:pPr>
        <w:spacing w:line="360" w:lineRule="auto"/>
        <w:jc w:val="center"/>
        <w:outlineLvl w:val="2"/>
        <w:rPr>
          <w:rFonts w:hint="eastAsia" w:hAnsi="宋体" w:cs="宋体"/>
          <w:b/>
          <w:color w:val="auto"/>
          <w:sz w:val="32"/>
          <w:szCs w:val="32"/>
        </w:rPr>
      </w:pPr>
      <w:bookmarkStart w:id="62" w:name="_Toc363474020"/>
      <w:bookmarkStart w:id="63" w:name="_Toc403077642"/>
      <w:bookmarkStart w:id="64" w:name="_Toc363473975"/>
      <w:r>
        <w:rPr>
          <w:rFonts w:hint="eastAsia" w:hAnsi="宋体" w:cs="宋体"/>
          <w:b/>
          <w:color w:val="auto"/>
          <w:sz w:val="32"/>
          <w:szCs w:val="32"/>
        </w:rPr>
        <w:t>四、投标文件的递交</w:t>
      </w:r>
      <w:bookmarkEnd w:id="62"/>
      <w:bookmarkEnd w:id="63"/>
      <w:bookmarkEnd w:id="64"/>
    </w:p>
    <w:p w14:paraId="03E49B7C">
      <w:pPr>
        <w:spacing w:line="360" w:lineRule="auto"/>
        <w:outlineLvl w:val="1"/>
        <w:rPr>
          <w:rFonts w:hint="eastAsia" w:hAnsi="宋体" w:cs="宋体"/>
          <w:b/>
          <w:color w:val="auto"/>
          <w:szCs w:val="24"/>
        </w:rPr>
      </w:pPr>
      <w:bookmarkStart w:id="65" w:name="_Toc3781"/>
      <w:bookmarkStart w:id="66" w:name="_Toc29957"/>
      <w:r>
        <w:rPr>
          <w:rFonts w:hint="eastAsia" w:hAnsi="宋体" w:cs="宋体"/>
          <w:b/>
          <w:color w:val="auto"/>
          <w:szCs w:val="24"/>
        </w:rPr>
        <w:t>1</w:t>
      </w:r>
      <w:r>
        <w:rPr>
          <w:rFonts w:hint="eastAsia" w:hAnsi="宋体" w:cs="宋体"/>
          <w:b/>
          <w:color w:val="auto"/>
          <w:szCs w:val="24"/>
          <w:lang w:val="en-US" w:eastAsia="zh-CN"/>
        </w:rPr>
        <w:t>6</w:t>
      </w:r>
      <w:r>
        <w:rPr>
          <w:rFonts w:hint="eastAsia" w:hAnsi="宋体" w:cs="宋体"/>
          <w:b/>
          <w:color w:val="auto"/>
          <w:szCs w:val="24"/>
        </w:rPr>
        <w:t>.投标文件的密封和标记</w:t>
      </w:r>
      <w:bookmarkEnd w:id="65"/>
      <w:bookmarkEnd w:id="66"/>
    </w:p>
    <w:p w14:paraId="095308A6">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6</w:t>
      </w:r>
      <w:r>
        <w:rPr>
          <w:rFonts w:hint="eastAsia" w:hAnsi="宋体" w:cs="宋体"/>
          <w:color w:val="auto"/>
          <w:szCs w:val="24"/>
        </w:rPr>
        <w:t>.1在生成电子投标文件时，需要使用CA锁对投标文件进行加密。</w:t>
      </w:r>
    </w:p>
    <w:p w14:paraId="29F5B0EF">
      <w:pPr>
        <w:spacing w:line="360" w:lineRule="auto"/>
        <w:ind w:firstLine="482" w:firstLineChars="200"/>
        <w:rPr>
          <w:rFonts w:hint="eastAsia" w:hAnsi="宋体" w:cs="宋体"/>
          <w:color w:val="auto"/>
          <w:szCs w:val="24"/>
        </w:rPr>
      </w:pPr>
      <w:r>
        <w:rPr>
          <w:rFonts w:hint="eastAsia" w:hAnsi="宋体" w:cs="宋体"/>
          <w:b/>
          <w:bCs/>
          <w:color w:val="auto"/>
          <w:szCs w:val="24"/>
        </w:rPr>
        <w:t>注意：加密投标文件和开标时解密投标文件应当使用同一CA，否则将会导致解密失败。</w:t>
      </w:r>
    </w:p>
    <w:p w14:paraId="147D5155">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6</w:t>
      </w:r>
      <w:r>
        <w:rPr>
          <w:rFonts w:hint="eastAsia" w:hAnsi="宋体" w:cs="宋体"/>
          <w:color w:val="auto"/>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48CBCE97">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6</w:t>
      </w:r>
      <w:r>
        <w:rPr>
          <w:rFonts w:hint="eastAsia" w:hAnsi="宋体" w:cs="宋体"/>
          <w:color w:val="auto"/>
          <w:szCs w:val="24"/>
        </w:rPr>
        <w:t>.3上传文件有误或需要重新提交的，可先撤销已经上传的文件，然后重新上传新文件。</w:t>
      </w:r>
      <w:r>
        <w:rPr>
          <w:rFonts w:hint="eastAsia" w:hAnsi="宋体" w:cs="宋体"/>
          <w:b/>
          <w:bCs/>
          <w:color w:val="auto"/>
          <w:szCs w:val="24"/>
          <w:lang w:val="en-US" w:eastAsia="zh-CN"/>
        </w:rPr>
        <w:t>投标单位</w:t>
      </w:r>
      <w:r>
        <w:rPr>
          <w:rFonts w:hint="eastAsia" w:hAnsi="宋体" w:cs="宋体"/>
          <w:b/>
          <w:bCs/>
          <w:color w:val="auto"/>
          <w:szCs w:val="24"/>
        </w:rPr>
        <w:t>提交的纸质文件应从专用制作软件中直接打印，与电子投标文件保持一致，不允许补充和修改。</w:t>
      </w:r>
    </w:p>
    <w:p w14:paraId="37E17990">
      <w:pPr>
        <w:spacing w:line="360" w:lineRule="auto"/>
        <w:outlineLvl w:val="1"/>
        <w:rPr>
          <w:rFonts w:hint="eastAsia" w:hAnsi="宋体" w:cs="宋体"/>
          <w:b/>
          <w:color w:val="auto"/>
          <w:szCs w:val="24"/>
        </w:rPr>
      </w:pPr>
      <w:bookmarkStart w:id="67" w:name="_Toc32694"/>
      <w:bookmarkStart w:id="68" w:name="_Toc9576"/>
      <w:bookmarkStart w:id="69" w:name="_Toc403077643"/>
      <w:bookmarkStart w:id="70" w:name="_Toc363474021"/>
      <w:bookmarkStart w:id="71" w:name="_Toc363473976"/>
      <w:r>
        <w:rPr>
          <w:rFonts w:hint="eastAsia" w:hAnsi="宋体" w:cs="宋体"/>
          <w:b/>
          <w:color w:val="auto"/>
          <w:szCs w:val="24"/>
        </w:rPr>
        <w:t>1</w:t>
      </w:r>
      <w:r>
        <w:rPr>
          <w:rFonts w:hint="eastAsia" w:hAnsi="宋体" w:cs="宋体"/>
          <w:b/>
          <w:color w:val="auto"/>
          <w:szCs w:val="24"/>
          <w:lang w:val="en-US" w:eastAsia="zh-CN"/>
        </w:rPr>
        <w:t>7</w:t>
      </w:r>
      <w:r>
        <w:rPr>
          <w:rFonts w:hint="eastAsia" w:hAnsi="宋体" w:cs="宋体"/>
          <w:b/>
          <w:color w:val="auto"/>
          <w:szCs w:val="24"/>
        </w:rPr>
        <w:t>.投标文件的补充、修改和撤回</w:t>
      </w:r>
      <w:bookmarkEnd w:id="67"/>
      <w:bookmarkEnd w:id="68"/>
    </w:p>
    <w:p w14:paraId="59ED3AE6">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7</w:t>
      </w:r>
      <w:r>
        <w:rPr>
          <w:rFonts w:hint="eastAsia" w:hAnsi="宋体" w:cs="宋体"/>
          <w:color w:val="auto"/>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0E207B47">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7</w:t>
      </w:r>
      <w:r>
        <w:rPr>
          <w:rFonts w:hint="eastAsia" w:hAnsi="宋体" w:cs="宋体"/>
          <w:color w:val="auto"/>
          <w:szCs w:val="24"/>
        </w:rPr>
        <w:t>.</w:t>
      </w:r>
      <w:r>
        <w:rPr>
          <w:rFonts w:hint="eastAsia" w:hAnsi="宋体" w:cs="宋体"/>
          <w:color w:val="auto"/>
          <w:szCs w:val="24"/>
          <w:lang w:val="en-US" w:eastAsia="zh-CN"/>
        </w:rPr>
        <w:t>2</w:t>
      </w:r>
      <w:r>
        <w:rPr>
          <w:rFonts w:hint="eastAsia" w:hAnsi="宋体" w:cs="宋体"/>
          <w:color w:val="auto"/>
          <w:szCs w:val="24"/>
        </w:rPr>
        <w:t>对已提交的电子投标文件进行补充、修改的，应先从电子交易平台上撤回旧文件，再重新提交新文件；</w:t>
      </w:r>
    </w:p>
    <w:p w14:paraId="394A74F1">
      <w:pPr>
        <w:spacing w:line="360" w:lineRule="auto"/>
        <w:outlineLvl w:val="1"/>
        <w:rPr>
          <w:rFonts w:hint="eastAsia" w:hAnsi="宋体" w:cs="宋体"/>
          <w:b/>
          <w:color w:val="auto"/>
          <w:szCs w:val="24"/>
        </w:rPr>
      </w:pPr>
      <w:bookmarkStart w:id="72" w:name="_Toc28536"/>
      <w:bookmarkStart w:id="73" w:name="_Toc10294"/>
      <w:r>
        <w:rPr>
          <w:rFonts w:hint="eastAsia" w:hAnsi="宋体" w:cs="宋体"/>
          <w:b/>
          <w:color w:val="auto"/>
          <w:szCs w:val="24"/>
        </w:rPr>
        <w:t>1</w:t>
      </w:r>
      <w:r>
        <w:rPr>
          <w:rFonts w:hint="eastAsia" w:hAnsi="宋体" w:cs="宋体"/>
          <w:b/>
          <w:color w:val="auto"/>
          <w:szCs w:val="24"/>
          <w:lang w:val="en-US" w:eastAsia="zh-CN"/>
        </w:rPr>
        <w:t>8</w:t>
      </w:r>
      <w:r>
        <w:rPr>
          <w:rFonts w:hint="eastAsia" w:hAnsi="宋体" w:cs="宋体"/>
          <w:b/>
          <w:color w:val="auto"/>
          <w:szCs w:val="24"/>
        </w:rPr>
        <w:t>.关于投标文件的雷同性分析</w:t>
      </w:r>
      <w:bookmarkEnd w:id="72"/>
      <w:bookmarkEnd w:id="73"/>
    </w:p>
    <w:p w14:paraId="6B9021EB">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8</w:t>
      </w:r>
      <w:r>
        <w:rPr>
          <w:rFonts w:hint="eastAsia" w:hAnsi="宋体" w:cs="宋体"/>
          <w:color w:val="auto"/>
          <w:szCs w:val="24"/>
        </w:rPr>
        <w:t>.1根据陕西省公共资源交易中心2021年07月22日印发的《关于在政府采购交易系统中开通标书雷同性分析功能的通知》，在符合性审查环节，将由评标委员会在评标系统中对供应商的电子投标文件进行雷同性分析。</w:t>
      </w:r>
    </w:p>
    <w:p w14:paraId="0191D32B">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8</w:t>
      </w:r>
      <w:r>
        <w:rPr>
          <w:rFonts w:hint="eastAsia" w:hAnsi="宋体" w:cs="宋体"/>
          <w:color w:val="auto"/>
          <w:szCs w:val="24"/>
        </w:rPr>
        <w:t>.2雷同性分析由两项指标组成，分别是“文件制作机器码”和“文件创建标识码”。其中，前者通过验证电子投标文件制作设备的特征信息（如MAC地址、硬盘序列号、CPU编号、主板号等），判断电子投标文件是否出自同一台设备。</w:t>
      </w:r>
    </w:p>
    <w:p w14:paraId="21C34265">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8</w:t>
      </w:r>
      <w:r>
        <w:rPr>
          <w:rFonts w:hint="eastAsia" w:hAnsi="宋体" w:cs="宋体"/>
          <w:color w:val="auto"/>
          <w:szCs w:val="24"/>
        </w:rPr>
        <w:t>.3若“文件制作机器码”一致，</w:t>
      </w:r>
      <w:r>
        <w:rPr>
          <w:rFonts w:hint="eastAsia" w:hAnsi="宋体" w:cs="宋体"/>
          <w:b/>
          <w:bCs/>
          <w:color w:val="auto"/>
          <w:szCs w:val="24"/>
        </w:rPr>
        <w:t>则表明不同投标供应商的电子投标文件出自同一台制作设备</w:t>
      </w:r>
      <w:r>
        <w:rPr>
          <w:rFonts w:hint="eastAsia" w:hAnsi="宋体" w:cs="宋体"/>
          <w:color w:val="auto"/>
          <w:szCs w:val="24"/>
        </w:rPr>
        <w:t>，根据《陕西省财政厅关于政府采购有关政策的复函》（陕财办采函〔2019〕18号），该情形可以视为投标供应商串通投标，其投标无效。</w:t>
      </w:r>
    </w:p>
    <w:p w14:paraId="4144AAF0">
      <w:pPr>
        <w:spacing w:line="360" w:lineRule="auto"/>
        <w:ind w:firstLine="480" w:firstLineChars="200"/>
        <w:rPr>
          <w:rFonts w:hint="eastAsia" w:hAnsi="宋体" w:cs="宋体"/>
          <w:color w:val="auto"/>
          <w:szCs w:val="24"/>
        </w:rPr>
      </w:pPr>
      <w:r>
        <w:rPr>
          <w:rFonts w:hint="eastAsia" w:hAnsi="宋体" w:cs="宋体"/>
          <w:color w:val="auto"/>
          <w:szCs w:val="24"/>
        </w:rPr>
        <w:t>1</w:t>
      </w:r>
      <w:r>
        <w:rPr>
          <w:rFonts w:hint="eastAsia" w:hAnsi="宋体" w:cs="宋体"/>
          <w:color w:val="auto"/>
          <w:szCs w:val="24"/>
          <w:lang w:val="en-US" w:eastAsia="zh-CN"/>
        </w:rPr>
        <w:t>8</w:t>
      </w:r>
      <w:r>
        <w:rPr>
          <w:rFonts w:hint="eastAsia" w:hAnsi="宋体" w:cs="宋体"/>
          <w:color w:val="auto"/>
          <w:szCs w:val="24"/>
        </w:rPr>
        <w:t>.4若“文件创建标识码”一致，</w:t>
      </w:r>
      <w:r>
        <w:rPr>
          <w:rFonts w:hint="eastAsia" w:hAnsi="宋体" w:cs="宋体"/>
          <w:b/>
          <w:bCs/>
          <w:color w:val="auto"/>
          <w:szCs w:val="24"/>
        </w:rPr>
        <w:t>则表示不同投标供应商使用投标文件制作软件时，使用同一源工程文件</w:t>
      </w:r>
      <w:r>
        <w:rPr>
          <w:rFonts w:hint="eastAsia" w:hAnsi="宋体" w:cs="宋体"/>
          <w:color w:val="auto"/>
          <w:szCs w:val="24"/>
        </w:rPr>
        <w:t>，该情形建议由评标委员会结合项目情况综合判定。</w:t>
      </w:r>
    </w:p>
    <w:p w14:paraId="3908EDCD">
      <w:pPr>
        <w:spacing w:line="360" w:lineRule="auto"/>
        <w:outlineLvl w:val="1"/>
        <w:rPr>
          <w:rFonts w:hint="eastAsia" w:hAnsi="宋体" w:cs="宋体"/>
          <w:b/>
          <w:color w:val="auto"/>
          <w:szCs w:val="24"/>
        </w:rPr>
      </w:pPr>
      <w:bookmarkStart w:id="74" w:name="_Toc11440"/>
      <w:bookmarkStart w:id="75" w:name="_Toc14929"/>
      <w:r>
        <w:rPr>
          <w:rFonts w:hint="eastAsia" w:hAnsi="宋体" w:cs="宋体"/>
          <w:b/>
          <w:color w:val="auto"/>
          <w:szCs w:val="24"/>
          <w:lang w:val="en-US" w:eastAsia="zh-CN"/>
        </w:rPr>
        <w:t>19</w:t>
      </w:r>
      <w:r>
        <w:rPr>
          <w:rFonts w:hint="eastAsia" w:hAnsi="宋体" w:cs="宋体"/>
          <w:b/>
          <w:color w:val="auto"/>
          <w:szCs w:val="24"/>
        </w:rPr>
        <w:t>.投标文件被拒绝接收的情形</w:t>
      </w:r>
      <w:bookmarkEnd w:id="74"/>
      <w:bookmarkEnd w:id="75"/>
    </w:p>
    <w:p w14:paraId="383B97C1">
      <w:pPr>
        <w:spacing w:line="360" w:lineRule="auto"/>
        <w:ind w:firstLine="480" w:firstLineChars="200"/>
        <w:rPr>
          <w:rFonts w:hint="eastAsia" w:hAnsi="宋体" w:cs="宋体"/>
          <w:color w:val="auto"/>
          <w:szCs w:val="24"/>
        </w:rPr>
      </w:pPr>
      <w:r>
        <w:rPr>
          <w:rFonts w:hint="eastAsia" w:hAnsi="宋体" w:cs="宋体"/>
          <w:color w:val="auto"/>
          <w:szCs w:val="24"/>
          <w:lang w:val="en-US" w:eastAsia="zh-CN"/>
        </w:rPr>
        <w:t>19</w:t>
      </w:r>
      <w:r>
        <w:rPr>
          <w:rFonts w:hint="eastAsia" w:hAnsi="宋体" w:cs="宋体"/>
          <w:color w:val="auto"/>
          <w:szCs w:val="24"/>
        </w:rPr>
        <w:t>.1误投的或采用旧版电子招标文件制作的；</w:t>
      </w:r>
    </w:p>
    <w:p w14:paraId="2DDA30AE">
      <w:pPr>
        <w:spacing w:line="360" w:lineRule="auto"/>
        <w:ind w:firstLine="480" w:firstLineChars="200"/>
        <w:rPr>
          <w:rFonts w:hint="eastAsia" w:hAnsi="宋体" w:cs="宋体"/>
          <w:color w:val="auto"/>
          <w:szCs w:val="24"/>
        </w:rPr>
      </w:pPr>
      <w:r>
        <w:rPr>
          <w:rFonts w:hint="eastAsia" w:hAnsi="宋体" w:cs="宋体"/>
          <w:color w:val="auto"/>
          <w:szCs w:val="24"/>
          <w:lang w:val="en-US" w:eastAsia="zh-CN"/>
        </w:rPr>
        <w:t>19</w:t>
      </w:r>
      <w:r>
        <w:rPr>
          <w:rFonts w:hint="eastAsia" w:hAnsi="宋体" w:cs="宋体"/>
          <w:color w:val="auto"/>
          <w:szCs w:val="24"/>
        </w:rPr>
        <w:t>.2逾期提交电子投标文件的。</w:t>
      </w:r>
    </w:p>
    <w:p w14:paraId="6D9A0212">
      <w:pPr>
        <w:spacing w:line="360" w:lineRule="auto"/>
        <w:jc w:val="center"/>
        <w:outlineLvl w:val="2"/>
        <w:rPr>
          <w:rFonts w:hint="eastAsia" w:hAnsi="宋体" w:cs="宋体"/>
          <w:b/>
          <w:color w:val="auto"/>
          <w:sz w:val="32"/>
          <w:szCs w:val="32"/>
        </w:rPr>
      </w:pPr>
      <w:r>
        <w:rPr>
          <w:rFonts w:hint="eastAsia" w:hAnsi="宋体" w:cs="宋体"/>
          <w:b/>
          <w:color w:val="auto"/>
          <w:sz w:val="32"/>
          <w:szCs w:val="32"/>
        </w:rPr>
        <w:t>五、开标与评标</w:t>
      </w:r>
      <w:bookmarkEnd w:id="69"/>
      <w:bookmarkEnd w:id="70"/>
      <w:bookmarkEnd w:id="71"/>
    </w:p>
    <w:p w14:paraId="5F40D65A">
      <w:pPr>
        <w:spacing w:line="360" w:lineRule="auto"/>
        <w:outlineLvl w:val="1"/>
        <w:rPr>
          <w:rFonts w:hint="eastAsia" w:hAnsi="宋体" w:cs="宋体"/>
          <w:b/>
          <w:color w:val="auto"/>
          <w:szCs w:val="24"/>
        </w:rPr>
      </w:pPr>
      <w:bookmarkStart w:id="76" w:name="_Toc9693"/>
      <w:bookmarkStart w:id="77" w:name="_Toc24133"/>
      <w:r>
        <w:rPr>
          <w:rFonts w:hint="eastAsia" w:hAnsi="宋体" w:cs="宋体"/>
          <w:b/>
          <w:color w:val="auto"/>
          <w:szCs w:val="24"/>
        </w:rPr>
        <w:t>2</w:t>
      </w:r>
      <w:r>
        <w:rPr>
          <w:rFonts w:hint="eastAsia" w:hAnsi="宋体" w:cs="宋体"/>
          <w:b/>
          <w:color w:val="auto"/>
          <w:szCs w:val="24"/>
          <w:lang w:val="en-US" w:eastAsia="zh-CN"/>
        </w:rPr>
        <w:t>0</w:t>
      </w:r>
      <w:r>
        <w:rPr>
          <w:rFonts w:hint="eastAsia" w:hAnsi="宋体" w:cs="宋体"/>
          <w:b/>
          <w:color w:val="auto"/>
          <w:szCs w:val="24"/>
        </w:rPr>
        <w:t>.开标</w:t>
      </w:r>
      <w:bookmarkEnd w:id="76"/>
      <w:bookmarkEnd w:id="77"/>
    </w:p>
    <w:p w14:paraId="51A94BC8">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0</w:t>
      </w:r>
      <w:r>
        <w:rPr>
          <w:rFonts w:hAnsi="宋体" w:cs="宋体"/>
          <w:color w:val="auto"/>
          <w:szCs w:val="24"/>
        </w:rPr>
        <w:t>.1</w:t>
      </w:r>
      <w:r>
        <w:rPr>
          <w:rFonts w:hint="eastAsia" w:hAnsi="宋体" w:cs="宋体"/>
          <w:color w:val="auto"/>
          <w:szCs w:val="24"/>
        </w:rPr>
        <w:t>开标工作由采购代理机构组织实施，整个过程受同级政府采购监管机构的监督、管理。</w:t>
      </w:r>
    </w:p>
    <w:p w14:paraId="0D71A40B">
      <w:pPr>
        <w:spacing w:line="360" w:lineRule="auto"/>
        <w:ind w:firstLine="482" w:firstLineChars="200"/>
        <w:rPr>
          <w:rFonts w:hint="eastAsia" w:hAnsi="宋体" w:cs="宋体"/>
          <w:b/>
          <w:bCs/>
          <w:color w:val="auto"/>
          <w:szCs w:val="24"/>
        </w:rPr>
      </w:pPr>
      <w:r>
        <w:rPr>
          <w:rFonts w:hAnsi="宋体" w:cs="宋体"/>
          <w:b/>
          <w:bCs/>
          <w:color w:val="auto"/>
          <w:szCs w:val="24"/>
        </w:rPr>
        <w:t>2</w:t>
      </w:r>
      <w:r>
        <w:rPr>
          <w:rFonts w:hint="eastAsia" w:hAnsi="宋体" w:cs="宋体"/>
          <w:b/>
          <w:bCs/>
          <w:color w:val="auto"/>
          <w:szCs w:val="24"/>
          <w:lang w:val="en-US" w:eastAsia="zh-CN"/>
        </w:rPr>
        <w:t>0</w:t>
      </w:r>
      <w:r>
        <w:rPr>
          <w:rFonts w:hAnsi="宋体" w:cs="宋体"/>
          <w:b/>
          <w:bCs/>
          <w:color w:val="auto"/>
          <w:szCs w:val="24"/>
        </w:rPr>
        <w:t>.2</w:t>
      </w:r>
      <w:r>
        <w:rPr>
          <w:rFonts w:hint="eastAsia" w:hAnsi="宋体" w:cs="宋体"/>
          <w:b/>
          <w:bCs/>
          <w:color w:val="auto"/>
          <w:szCs w:val="24"/>
        </w:rPr>
        <w:t>“不见面开标”基本流程：</w:t>
      </w:r>
      <w:r>
        <w:rPr>
          <w:rFonts w:hint="eastAsia" w:hAnsi="宋体" w:cs="宋体"/>
          <w:color w:val="auto"/>
          <w:szCs w:val="24"/>
        </w:rPr>
        <w:t>“不见面开标”是依托政府采购云平台实现的供应商在线参与开标的一种组织形式。供应商无需抵达开标现场，即可在线实现开标、解密、澄清等操作。</w:t>
      </w:r>
    </w:p>
    <w:p w14:paraId="06F96C13">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0</w:t>
      </w:r>
      <w:r>
        <w:rPr>
          <w:rFonts w:hint="eastAsia" w:hAnsi="宋体" w:cs="宋体"/>
          <w:color w:val="auto"/>
          <w:szCs w:val="24"/>
        </w:rPr>
        <w:t>.</w:t>
      </w:r>
      <w:r>
        <w:rPr>
          <w:rFonts w:hAnsi="宋体" w:cs="宋体"/>
          <w:color w:val="auto"/>
          <w:szCs w:val="24"/>
        </w:rPr>
        <w:t>3</w:t>
      </w:r>
      <w:r>
        <w:rPr>
          <w:rFonts w:hint="eastAsia" w:hAnsi="宋体" w:cs="宋体"/>
          <w:color w:val="auto"/>
          <w:szCs w:val="24"/>
        </w:rPr>
        <w:t>供应商登录：开标前，请各供应商至少提前半小时登录西安市公共资源交易平台〖首页·〉不见面开标〗系统。</w:t>
      </w:r>
    </w:p>
    <w:p w14:paraId="0A5A6298">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0</w:t>
      </w:r>
      <w:r>
        <w:rPr>
          <w:rFonts w:hint="eastAsia" w:hAnsi="宋体" w:cs="宋体"/>
          <w:color w:val="auto"/>
          <w:szCs w:val="24"/>
        </w:rPr>
        <w:t>.</w:t>
      </w:r>
      <w:r>
        <w:rPr>
          <w:rFonts w:hAnsi="宋体" w:cs="宋体"/>
          <w:color w:val="auto"/>
          <w:szCs w:val="24"/>
        </w:rPr>
        <w:t>4</w:t>
      </w:r>
      <w:r>
        <w:rPr>
          <w:rFonts w:hint="eastAsia" w:hAnsi="宋体" w:cs="宋体"/>
          <w:color w:val="auto"/>
          <w:szCs w:val="24"/>
        </w:rPr>
        <w:t>主持人宣布开标：提交投标文件截止时间过后，系统将不再接收任何投标文件。</w:t>
      </w:r>
    </w:p>
    <w:p w14:paraId="108711E4">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0</w:t>
      </w:r>
      <w:r>
        <w:rPr>
          <w:rFonts w:hint="eastAsia" w:hAnsi="宋体" w:cs="宋体"/>
          <w:color w:val="auto"/>
          <w:szCs w:val="24"/>
        </w:rPr>
        <w:t>.</w:t>
      </w:r>
      <w:r>
        <w:rPr>
          <w:rFonts w:hAnsi="宋体" w:cs="宋体"/>
          <w:color w:val="auto"/>
          <w:szCs w:val="24"/>
        </w:rPr>
        <w:t>5</w:t>
      </w:r>
      <w:r>
        <w:rPr>
          <w:rFonts w:hint="eastAsia" w:hAnsi="宋体" w:cs="宋体"/>
          <w:color w:val="auto"/>
          <w:szCs w:val="24"/>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14:paraId="098A3BAF">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0</w:t>
      </w:r>
      <w:r>
        <w:rPr>
          <w:rFonts w:hint="eastAsia" w:hAnsi="宋体" w:cs="宋体"/>
          <w:color w:val="auto"/>
          <w:szCs w:val="24"/>
        </w:rPr>
        <w:t>.</w:t>
      </w:r>
      <w:r>
        <w:rPr>
          <w:rFonts w:hAnsi="宋体" w:cs="宋体"/>
          <w:color w:val="auto"/>
          <w:szCs w:val="24"/>
        </w:rPr>
        <w:t>6</w:t>
      </w:r>
      <w:r>
        <w:rPr>
          <w:rFonts w:hint="eastAsia" w:hAnsi="宋体" w:cs="宋体"/>
          <w:color w:val="auto"/>
          <w:szCs w:val="24"/>
        </w:rPr>
        <w:t>唱标：对于公开招标项目，“不见面开标”系统将自动展示供应商名单及其投标报价。</w:t>
      </w:r>
    </w:p>
    <w:p w14:paraId="6DB7398C">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0</w:t>
      </w:r>
      <w:r>
        <w:rPr>
          <w:rFonts w:hint="eastAsia" w:hAnsi="宋体" w:cs="宋体"/>
          <w:color w:val="auto"/>
          <w:szCs w:val="24"/>
        </w:rPr>
        <w:t>.</w:t>
      </w:r>
      <w:r>
        <w:rPr>
          <w:rFonts w:hAnsi="宋体" w:cs="宋体"/>
          <w:color w:val="auto"/>
          <w:szCs w:val="24"/>
        </w:rPr>
        <w:t>7</w:t>
      </w:r>
      <w:r>
        <w:rPr>
          <w:rFonts w:hint="eastAsia" w:hAnsi="宋体" w:cs="宋体"/>
          <w:color w:val="auto"/>
          <w:szCs w:val="24"/>
        </w:rPr>
        <w:t>开标结束：进入评审环节。供应商请保持在线，评审期间评标委员会可能会要求供应商做相应的澄清。因供应商擅自离席造成的不利后果，由供应商自行承担。</w:t>
      </w:r>
    </w:p>
    <w:p w14:paraId="526113B5">
      <w:pPr>
        <w:spacing w:line="360" w:lineRule="auto"/>
        <w:ind w:firstLine="480" w:firstLineChars="200"/>
        <w:rPr>
          <w:rFonts w:hint="eastAsia" w:hAnsi="宋体" w:cs="宋体"/>
          <w:color w:val="auto"/>
          <w:szCs w:val="24"/>
        </w:rPr>
      </w:pPr>
      <w:r>
        <w:rPr>
          <w:rFonts w:hint="eastAsia" w:hAnsi="宋体" w:cs="宋体"/>
          <w:color w:val="auto"/>
          <w:szCs w:val="24"/>
        </w:rPr>
        <w:t>“不见面开标”系统操作说明：详见西安市公共资源交易平台〖首页·〉服务指南·〉下载专区〗中的《西安公共资源交易不见面开标大厅供应商操作手册》。</w:t>
      </w:r>
    </w:p>
    <w:p w14:paraId="0D88E6E3">
      <w:pPr>
        <w:spacing w:line="360" w:lineRule="auto"/>
        <w:ind w:firstLine="480" w:firstLineChars="200"/>
        <w:jc w:val="left"/>
        <w:rPr>
          <w:rFonts w:hint="eastAsia" w:hAnsi="宋体" w:cs="宋体"/>
          <w:color w:val="auto"/>
          <w:szCs w:val="24"/>
        </w:rPr>
      </w:pPr>
      <w:r>
        <w:rPr>
          <w:rFonts w:hint="eastAsia" w:hAnsi="宋体" w:cs="宋体"/>
          <w:color w:val="auto"/>
          <w:szCs w:val="24"/>
        </w:rPr>
        <w:t>链接地址</w:t>
      </w:r>
      <w:r>
        <w:rPr>
          <w:rFonts w:hint="eastAsia" w:hAnsi="宋体" w:cs="宋体"/>
          <w:color w:val="auto"/>
          <w:szCs w:val="24"/>
          <w:lang w:eastAsia="zh-CN"/>
        </w:rPr>
        <w:t>：</w:t>
      </w:r>
      <w:r>
        <w:rPr>
          <w:color w:val="auto"/>
        </w:rPr>
        <w:fldChar w:fldCharType="begin"/>
      </w:r>
      <w:r>
        <w:rPr>
          <w:color w:val="auto"/>
        </w:rPr>
        <w:instrText xml:space="preserve"> HYPERLINK "http://sxggzyjy.xa.gov.cn/fwzn/004003/20200426/bc8b2c1e-abe2-4168-913c-68ff93345faf.html" </w:instrText>
      </w:r>
      <w:r>
        <w:rPr>
          <w:color w:val="auto"/>
        </w:rPr>
        <w:fldChar w:fldCharType="separate"/>
      </w:r>
      <w:r>
        <w:rPr>
          <w:rFonts w:hint="eastAsia" w:hAnsi="宋体" w:cs="宋体"/>
          <w:color w:val="auto"/>
          <w:szCs w:val="24"/>
        </w:rPr>
        <w:t>http</w:t>
      </w:r>
      <w:r>
        <w:rPr>
          <w:rFonts w:hint="eastAsia" w:hAnsi="宋体" w:cs="宋体"/>
          <w:color w:val="auto"/>
          <w:szCs w:val="24"/>
          <w:lang w:val="en-US" w:eastAsia="zh-CN"/>
        </w:rPr>
        <w:t>:</w:t>
      </w:r>
      <w:r>
        <w:rPr>
          <w:rFonts w:hint="eastAsia" w:hAnsi="宋体" w:cs="宋体"/>
          <w:color w:val="auto"/>
          <w:szCs w:val="24"/>
        </w:rPr>
        <w:t>//sxggzyjy.xa.gov.cn/fwzn/004003/20200426/bc8b2c1e-abe2-4168-913c-68ff93345faf.html</w:t>
      </w:r>
      <w:r>
        <w:rPr>
          <w:rFonts w:hint="eastAsia" w:hAnsi="宋体" w:cs="宋体"/>
          <w:color w:val="auto"/>
          <w:szCs w:val="24"/>
        </w:rPr>
        <w:fldChar w:fldCharType="end"/>
      </w:r>
    </w:p>
    <w:p w14:paraId="339D98BB">
      <w:pPr>
        <w:spacing w:line="360" w:lineRule="auto"/>
        <w:outlineLvl w:val="1"/>
        <w:rPr>
          <w:rFonts w:hint="eastAsia" w:hAnsi="宋体" w:cs="宋体"/>
          <w:b/>
          <w:color w:val="auto"/>
          <w:szCs w:val="24"/>
        </w:rPr>
      </w:pPr>
      <w:bookmarkStart w:id="78" w:name="_Toc8618"/>
      <w:bookmarkStart w:id="79" w:name="_Toc26976"/>
      <w:r>
        <w:rPr>
          <w:rFonts w:hint="eastAsia" w:hAnsi="宋体" w:cs="宋体"/>
          <w:b/>
          <w:color w:val="auto"/>
          <w:szCs w:val="24"/>
        </w:rPr>
        <w:t>2</w:t>
      </w:r>
      <w:r>
        <w:rPr>
          <w:rFonts w:hint="eastAsia" w:hAnsi="宋体" w:cs="宋体"/>
          <w:b/>
          <w:color w:val="auto"/>
          <w:szCs w:val="24"/>
          <w:lang w:val="en-US" w:eastAsia="zh-CN"/>
        </w:rPr>
        <w:t>1</w:t>
      </w:r>
      <w:r>
        <w:rPr>
          <w:rFonts w:hint="eastAsia" w:hAnsi="宋体" w:cs="宋体"/>
          <w:b/>
          <w:color w:val="auto"/>
          <w:szCs w:val="24"/>
        </w:rPr>
        <w:t>.开标环节投标文件视为无效的情形</w:t>
      </w:r>
      <w:bookmarkEnd w:id="78"/>
      <w:bookmarkEnd w:id="79"/>
    </w:p>
    <w:p w14:paraId="6A8BD11A">
      <w:pPr>
        <w:spacing w:line="360" w:lineRule="auto"/>
        <w:ind w:firstLine="480" w:firstLineChars="200"/>
        <w:outlineLvl w:val="2"/>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1</w:t>
      </w:r>
      <w:r>
        <w:rPr>
          <w:rFonts w:hint="eastAsia" w:hAnsi="宋体" w:cs="宋体"/>
          <w:color w:val="auto"/>
          <w:szCs w:val="24"/>
        </w:rPr>
        <w:t>.1供应商放弃或拒绝对电子投标文件进行解密的；</w:t>
      </w:r>
    </w:p>
    <w:p w14:paraId="1A0B5D69">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1</w:t>
      </w:r>
      <w:r>
        <w:rPr>
          <w:rFonts w:hint="eastAsia" w:hAnsi="宋体" w:cs="宋体"/>
          <w:color w:val="auto"/>
          <w:szCs w:val="24"/>
        </w:rPr>
        <w:t>.2因供应商自身原因，导致未在规定的解密时限内完整解密的，如忘带CA锁、或携带的CA锁与加密文件的CA锁不同、或使用旧版招标文件编制投标文件等情形；</w:t>
      </w:r>
    </w:p>
    <w:p w14:paraId="17E5548D">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1</w:t>
      </w:r>
      <w:r>
        <w:rPr>
          <w:rFonts w:hint="eastAsia" w:hAnsi="宋体" w:cs="宋体"/>
          <w:color w:val="auto"/>
          <w:szCs w:val="24"/>
        </w:rPr>
        <w:t>.3上传的电子投标文件无法正常打开的；</w:t>
      </w:r>
    </w:p>
    <w:p w14:paraId="652985CE">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1</w:t>
      </w:r>
      <w:r>
        <w:rPr>
          <w:rFonts w:hint="eastAsia" w:hAnsi="宋体" w:cs="宋体"/>
          <w:color w:val="auto"/>
          <w:szCs w:val="24"/>
        </w:rPr>
        <w:t>.4政府采购法律法规规定的其他无效情形。</w:t>
      </w:r>
    </w:p>
    <w:p w14:paraId="6995DD14">
      <w:pPr>
        <w:spacing w:line="360" w:lineRule="auto"/>
        <w:outlineLvl w:val="1"/>
        <w:rPr>
          <w:rFonts w:hint="eastAsia" w:hAnsi="宋体" w:cs="宋体"/>
          <w:b/>
          <w:color w:val="auto"/>
          <w:szCs w:val="24"/>
        </w:rPr>
      </w:pPr>
      <w:bookmarkStart w:id="80" w:name="_Toc3344"/>
      <w:bookmarkStart w:id="81" w:name="_Toc20349"/>
      <w:r>
        <w:rPr>
          <w:rFonts w:hint="eastAsia" w:hAnsi="宋体" w:cs="宋体"/>
          <w:b/>
          <w:color w:val="auto"/>
          <w:szCs w:val="24"/>
        </w:rPr>
        <w:t>2</w:t>
      </w:r>
      <w:r>
        <w:rPr>
          <w:rFonts w:hint="eastAsia" w:hAnsi="宋体" w:cs="宋体"/>
          <w:b/>
          <w:color w:val="auto"/>
          <w:szCs w:val="24"/>
          <w:lang w:val="en-US" w:eastAsia="zh-CN"/>
        </w:rPr>
        <w:t>2</w:t>
      </w:r>
      <w:r>
        <w:rPr>
          <w:rFonts w:hint="eastAsia" w:hAnsi="宋体" w:cs="宋体"/>
          <w:b/>
          <w:color w:val="auto"/>
          <w:szCs w:val="24"/>
        </w:rPr>
        <w:t>.突发状况的应急处置</w:t>
      </w:r>
      <w:bookmarkEnd w:id="80"/>
      <w:bookmarkEnd w:id="81"/>
    </w:p>
    <w:p w14:paraId="03CC8231">
      <w:pPr>
        <w:spacing w:line="360" w:lineRule="auto"/>
        <w:ind w:firstLine="480" w:firstLineChars="200"/>
        <w:rPr>
          <w:rFonts w:hint="eastAsia" w:hAnsi="宋体" w:cs="宋体"/>
          <w:color w:val="auto"/>
          <w:szCs w:val="24"/>
        </w:rPr>
      </w:pPr>
      <w:r>
        <w:rPr>
          <w:rFonts w:hint="eastAsia" w:hAnsi="宋体" w:cs="宋体"/>
          <w:color w:val="auto"/>
          <w:szCs w:val="24"/>
        </w:rPr>
        <w:t>在开评标过程中，如因停电、断网、电子化系统故障等特殊原因导致电子化开、评标工作无法正常进行时，采购代理机构将及时汇报政府采购监管部门，并等待或中止后续活动。</w:t>
      </w:r>
    </w:p>
    <w:p w14:paraId="7E0B9D04">
      <w:pPr>
        <w:spacing w:line="360" w:lineRule="auto"/>
        <w:outlineLvl w:val="1"/>
        <w:rPr>
          <w:rFonts w:hint="eastAsia" w:hAnsi="宋体" w:cs="宋体"/>
          <w:b/>
          <w:color w:val="auto"/>
          <w:szCs w:val="24"/>
        </w:rPr>
      </w:pPr>
      <w:bookmarkStart w:id="82" w:name="_Toc7348"/>
      <w:bookmarkStart w:id="83" w:name="_Toc5452"/>
      <w:r>
        <w:rPr>
          <w:rFonts w:hint="eastAsia" w:hAnsi="宋体" w:cs="宋体"/>
          <w:b/>
          <w:color w:val="auto"/>
          <w:szCs w:val="24"/>
        </w:rPr>
        <w:t>2</w:t>
      </w:r>
      <w:r>
        <w:rPr>
          <w:rFonts w:hint="eastAsia" w:hAnsi="宋体" w:cs="宋体"/>
          <w:b/>
          <w:color w:val="auto"/>
          <w:szCs w:val="24"/>
          <w:lang w:val="en-US" w:eastAsia="zh-CN"/>
        </w:rPr>
        <w:t>3</w:t>
      </w:r>
      <w:r>
        <w:rPr>
          <w:rFonts w:hint="eastAsia" w:hAnsi="宋体" w:cs="宋体"/>
          <w:b/>
          <w:color w:val="auto"/>
          <w:szCs w:val="24"/>
        </w:rPr>
        <w:t>.评标组织及评标原则</w:t>
      </w:r>
      <w:bookmarkEnd w:id="82"/>
      <w:bookmarkEnd w:id="83"/>
    </w:p>
    <w:p w14:paraId="1C8FAFE9">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w:t>
      </w:r>
      <w:r>
        <w:rPr>
          <w:rFonts w:hAnsi="宋体" w:cs="宋体"/>
          <w:color w:val="auto"/>
          <w:szCs w:val="24"/>
        </w:rPr>
        <w:t>1</w:t>
      </w:r>
      <w:r>
        <w:rPr>
          <w:rFonts w:hint="eastAsia" w:hAnsi="宋体" w:cs="宋体"/>
          <w:color w:val="auto"/>
          <w:szCs w:val="24"/>
        </w:rPr>
        <w:t>按照《中华人民共和国政府采购法》</w:t>
      </w:r>
      <w:r>
        <w:rPr>
          <w:rFonts w:hint="eastAsia" w:hAnsi="宋体" w:cs="宋体"/>
          <w:color w:val="auto"/>
          <w:szCs w:val="24"/>
          <w:lang w:eastAsia="zh-CN"/>
        </w:rPr>
        <w:t>《中华人民共和国政府采购法实施条例》</w:t>
      </w:r>
      <w:r>
        <w:rPr>
          <w:rFonts w:hint="eastAsia" w:hAnsi="宋体" w:cs="宋体"/>
          <w:color w:val="auto"/>
          <w:szCs w:val="24"/>
        </w:rPr>
        <w:t>及《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14:paraId="3DC73B9C">
      <w:pPr>
        <w:spacing w:line="360" w:lineRule="auto"/>
        <w:ind w:firstLine="480" w:firstLineChars="200"/>
        <w:outlineLvl w:val="2"/>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.2评标委员会负责具体评标事务，并独立履行下列职责：</w:t>
      </w:r>
    </w:p>
    <w:p w14:paraId="529B4A59">
      <w:pPr>
        <w:spacing w:line="360" w:lineRule="auto"/>
        <w:ind w:firstLine="480" w:firstLineChars="200"/>
        <w:rPr>
          <w:rFonts w:hint="eastAsia" w:hAnsi="宋体" w:cs="宋体"/>
          <w:color w:val="auto"/>
          <w:szCs w:val="24"/>
        </w:rPr>
      </w:pPr>
      <w:r>
        <w:rPr>
          <w:rFonts w:hint="eastAsia" w:hAnsi="宋体" w:cs="宋体"/>
          <w:color w:val="auto"/>
          <w:szCs w:val="24"/>
        </w:rPr>
        <w:t>（1）审查、评价投标文件是否符合招标文件的商务、技术、服务等实质性要求；</w:t>
      </w:r>
    </w:p>
    <w:p w14:paraId="5B449630">
      <w:pPr>
        <w:spacing w:line="360" w:lineRule="auto"/>
        <w:ind w:firstLine="480" w:firstLineChars="200"/>
        <w:rPr>
          <w:rFonts w:hint="eastAsia" w:hAnsi="宋体" w:cs="宋体"/>
          <w:color w:val="auto"/>
          <w:szCs w:val="24"/>
        </w:rPr>
      </w:pPr>
      <w:r>
        <w:rPr>
          <w:rFonts w:hint="eastAsia" w:hAnsi="宋体" w:cs="宋体"/>
          <w:color w:val="auto"/>
          <w:szCs w:val="24"/>
        </w:rPr>
        <w:t>（2）要求供应商对投标文件有关事项作出澄清或者说明；</w:t>
      </w:r>
    </w:p>
    <w:p w14:paraId="1C16DDEA">
      <w:pPr>
        <w:spacing w:line="360" w:lineRule="auto"/>
        <w:ind w:firstLine="480" w:firstLineChars="200"/>
        <w:rPr>
          <w:rFonts w:hint="eastAsia" w:hAnsi="宋体" w:cs="宋体"/>
          <w:color w:val="auto"/>
          <w:szCs w:val="24"/>
        </w:rPr>
      </w:pPr>
      <w:r>
        <w:rPr>
          <w:rFonts w:hint="eastAsia" w:hAnsi="宋体" w:cs="宋体"/>
          <w:color w:val="auto"/>
          <w:szCs w:val="24"/>
        </w:rPr>
        <w:t>（3）对投标文件进行比较和评价；</w:t>
      </w:r>
    </w:p>
    <w:p w14:paraId="681E1121">
      <w:pPr>
        <w:spacing w:line="360" w:lineRule="auto"/>
        <w:ind w:firstLine="480" w:firstLineChars="200"/>
        <w:rPr>
          <w:rFonts w:hint="eastAsia" w:hAnsi="宋体" w:cs="宋体"/>
          <w:color w:val="auto"/>
          <w:szCs w:val="24"/>
        </w:rPr>
      </w:pPr>
      <w:r>
        <w:rPr>
          <w:rFonts w:hint="eastAsia" w:hAnsi="宋体" w:cs="宋体"/>
          <w:color w:val="auto"/>
          <w:szCs w:val="24"/>
        </w:rPr>
        <w:t>（4）确定中标候选人名单，以及根据采购人委托直接确定中标人；</w:t>
      </w:r>
    </w:p>
    <w:p w14:paraId="39401057">
      <w:pPr>
        <w:spacing w:line="360" w:lineRule="auto"/>
        <w:ind w:firstLine="480" w:firstLineChars="200"/>
        <w:rPr>
          <w:rFonts w:hint="eastAsia" w:hAnsi="宋体" w:cs="宋体"/>
          <w:color w:val="auto"/>
          <w:szCs w:val="24"/>
        </w:rPr>
      </w:pPr>
      <w:r>
        <w:rPr>
          <w:rFonts w:hint="eastAsia" w:hAnsi="宋体" w:cs="宋体"/>
          <w:color w:val="auto"/>
          <w:szCs w:val="24"/>
        </w:rPr>
        <w:t>（5）向采购人、采购代理机构或者有关部门报告评标中发现的违法行为。</w:t>
      </w:r>
    </w:p>
    <w:p w14:paraId="17611591">
      <w:pPr>
        <w:spacing w:line="360" w:lineRule="auto"/>
        <w:ind w:firstLine="480" w:firstLineChars="200"/>
        <w:outlineLvl w:val="2"/>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.3采购代理机构负责组织评标工作并履行下列职责：</w:t>
      </w:r>
    </w:p>
    <w:p w14:paraId="083A3621">
      <w:pPr>
        <w:spacing w:line="360" w:lineRule="auto"/>
        <w:ind w:firstLine="480" w:firstLineChars="200"/>
        <w:rPr>
          <w:rFonts w:hint="eastAsia" w:hAnsi="宋体" w:cs="宋体"/>
          <w:color w:val="auto"/>
          <w:szCs w:val="24"/>
        </w:rPr>
      </w:pPr>
      <w:r>
        <w:rPr>
          <w:rFonts w:hint="eastAsia" w:hAnsi="宋体" w:cs="宋体"/>
          <w:color w:val="auto"/>
          <w:szCs w:val="24"/>
        </w:rPr>
        <w:t>（1）核对评审专家身份和采购人代表授权函，对评审专家在政府采购活动中的职责履行情况予以记录，并及时将有关违法违规行为向财政部门报告；</w:t>
      </w:r>
    </w:p>
    <w:p w14:paraId="412FEEC9">
      <w:pPr>
        <w:spacing w:line="360" w:lineRule="auto"/>
        <w:ind w:firstLine="480" w:firstLineChars="200"/>
        <w:rPr>
          <w:rFonts w:hint="eastAsia" w:hAnsi="宋体" w:cs="宋体"/>
          <w:color w:val="auto"/>
          <w:szCs w:val="24"/>
        </w:rPr>
      </w:pPr>
      <w:r>
        <w:rPr>
          <w:rFonts w:hint="eastAsia" w:hAnsi="宋体" w:cs="宋体"/>
          <w:color w:val="auto"/>
          <w:szCs w:val="24"/>
        </w:rPr>
        <w:t>（2）宣布评标纪律；</w:t>
      </w:r>
    </w:p>
    <w:p w14:paraId="40FF1C36">
      <w:pPr>
        <w:spacing w:line="360" w:lineRule="auto"/>
        <w:ind w:firstLine="480" w:firstLineChars="200"/>
        <w:rPr>
          <w:rFonts w:hint="eastAsia" w:hAnsi="宋体" w:cs="宋体"/>
          <w:color w:val="auto"/>
          <w:szCs w:val="24"/>
        </w:rPr>
      </w:pPr>
      <w:r>
        <w:rPr>
          <w:rFonts w:hint="eastAsia" w:hAnsi="宋体" w:cs="宋体"/>
          <w:color w:val="auto"/>
          <w:szCs w:val="24"/>
        </w:rPr>
        <w:t>（3）公布供应商名单，告知评标专家应当回避的情形；</w:t>
      </w:r>
    </w:p>
    <w:p w14:paraId="5E5EF7FE">
      <w:pPr>
        <w:spacing w:line="360" w:lineRule="auto"/>
        <w:ind w:firstLine="480" w:firstLineChars="200"/>
        <w:rPr>
          <w:rFonts w:hint="eastAsia" w:hAnsi="宋体" w:cs="宋体"/>
          <w:color w:val="auto"/>
          <w:szCs w:val="24"/>
        </w:rPr>
      </w:pPr>
      <w:r>
        <w:rPr>
          <w:rFonts w:hint="eastAsia" w:hAnsi="宋体" w:cs="宋体"/>
          <w:color w:val="auto"/>
          <w:szCs w:val="24"/>
        </w:rPr>
        <w:t>（4）组织评标委员会推选评标组长，采购人代表不得担任组长；</w:t>
      </w:r>
    </w:p>
    <w:p w14:paraId="595B6073">
      <w:pPr>
        <w:spacing w:line="360" w:lineRule="auto"/>
        <w:ind w:firstLine="480" w:firstLineChars="200"/>
        <w:rPr>
          <w:rFonts w:hint="eastAsia" w:hAnsi="宋体" w:cs="宋体"/>
          <w:color w:val="auto"/>
          <w:szCs w:val="24"/>
        </w:rPr>
      </w:pPr>
      <w:r>
        <w:rPr>
          <w:rFonts w:hint="eastAsia" w:hAnsi="宋体" w:cs="宋体"/>
          <w:color w:val="auto"/>
          <w:szCs w:val="24"/>
        </w:rPr>
        <w:t>（5）在评标期间采取必要的通讯管理措施，保证评标活动不受外界干扰；</w:t>
      </w:r>
    </w:p>
    <w:p w14:paraId="44DF91BD">
      <w:pPr>
        <w:spacing w:line="360" w:lineRule="auto"/>
        <w:ind w:firstLine="480" w:firstLineChars="200"/>
        <w:rPr>
          <w:rFonts w:hint="eastAsia" w:hAnsi="宋体" w:cs="宋体"/>
          <w:color w:val="auto"/>
          <w:szCs w:val="24"/>
        </w:rPr>
      </w:pPr>
      <w:r>
        <w:rPr>
          <w:rFonts w:hint="eastAsia" w:hAnsi="宋体" w:cs="宋体"/>
          <w:color w:val="auto"/>
          <w:szCs w:val="24"/>
        </w:rPr>
        <w:t>（6）根据评标委员会的要求介绍政府采购相关政策法规、招标文件；</w:t>
      </w:r>
    </w:p>
    <w:p w14:paraId="1EA02417">
      <w:pPr>
        <w:spacing w:line="360" w:lineRule="auto"/>
        <w:ind w:firstLine="480" w:firstLineChars="200"/>
        <w:rPr>
          <w:rFonts w:hint="eastAsia" w:hAnsi="宋体" w:cs="宋体"/>
          <w:color w:val="auto"/>
          <w:szCs w:val="24"/>
        </w:rPr>
      </w:pPr>
      <w:r>
        <w:rPr>
          <w:rFonts w:hint="eastAsia" w:hAnsi="宋体" w:cs="宋体"/>
          <w:color w:val="auto"/>
          <w:szCs w:val="24"/>
        </w:rPr>
        <w:t>（7）维护评标秩序，监督评标委员会依照评标文件规定的评审程序、方法和标准进行独立评审，及时制止和纠正采购人代表、评审专家的倾向性言论或违法违规行为；</w:t>
      </w:r>
    </w:p>
    <w:p w14:paraId="4302B6D0">
      <w:pPr>
        <w:spacing w:line="360" w:lineRule="auto"/>
        <w:ind w:firstLine="480" w:firstLineChars="200"/>
        <w:rPr>
          <w:rFonts w:hint="eastAsia" w:hAnsi="宋体" w:cs="宋体"/>
          <w:color w:val="auto"/>
          <w:szCs w:val="24"/>
        </w:rPr>
      </w:pPr>
      <w:r>
        <w:rPr>
          <w:rFonts w:hint="eastAsia" w:hAnsi="宋体" w:cs="宋体"/>
          <w:color w:val="auto"/>
          <w:szCs w:val="24"/>
        </w:rPr>
        <w:t>（8）核对评标结果，有《政府采购货物和服务招标投标管理办法》第六十四条规定情形的，要求评标委员会复核或书面说明理由，评标委员会拒绝的，应予记录并向本级财政部门报告；</w:t>
      </w:r>
    </w:p>
    <w:p w14:paraId="297400C4">
      <w:pPr>
        <w:spacing w:line="360" w:lineRule="auto"/>
        <w:ind w:firstLine="480" w:firstLineChars="200"/>
        <w:rPr>
          <w:rFonts w:hint="eastAsia" w:hAnsi="宋体" w:cs="宋体"/>
          <w:color w:val="auto"/>
          <w:szCs w:val="24"/>
        </w:rPr>
      </w:pPr>
      <w:r>
        <w:rPr>
          <w:rFonts w:hint="eastAsia" w:hAnsi="宋体" w:cs="宋体"/>
          <w:color w:val="auto"/>
          <w:szCs w:val="24"/>
        </w:rPr>
        <w:t>（9）评审工作完成后，按照规定向评审专家支付劳务报酬和异地评审差旅费；</w:t>
      </w:r>
    </w:p>
    <w:p w14:paraId="70D8D87E">
      <w:pPr>
        <w:spacing w:line="360" w:lineRule="auto"/>
        <w:ind w:firstLine="480" w:firstLineChars="200"/>
        <w:outlineLvl w:val="3"/>
        <w:rPr>
          <w:rFonts w:hint="eastAsia" w:hAnsi="宋体" w:cs="宋体"/>
          <w:color w:val="auto"/>
          <w:szCs w:val="24"/>
        </w:rPr>
      </w:pPr>
      <w:r>
        <w:rPr>
          <w:rFonts w:hint="eastAsia" w:hAnsi="宋体" w:cs="宋体"/>
          <w:color w:val="auto"/>
          <w:szCs w:val="24"/>
        </w:rPr>
        <w:t>（10）处理与评标有关的其他事项。</w:t>
      </w:r>
    </w:p>
    <w:p w14:paraId="5F37472C">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.4招标文件和投标文件是评标的依据。在评标中，不得改变招标文件中规定的评标标准、方法和中标条件。供应商不得在开标后使用任何方式对投标文件的实质性内容做任何更改。</w:t>
      </w:r>
    </w:p>
    <w:p w14:paraId="3F7E2431">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.5在评标期间，对投标文件中含义不明确、同类问题表述不一致或者有明显文字和计算错误的内容，评标委员会可以书面形式</w:t>
      </w:r>
      <w:r>
        <w:rPr>
          <w:rFonts w:hint="eastAsia" w:hAnsi="宋体" w:cs="宋体"/>
          <w:color w:val="auto"/>
        </w:rPr>
        <w:t>（由评标委员会专家签字）</w:t>
      </w:r>
      <w:r>
        <w:rPr>
          <w:rFonts w:hint="eastAsia" w:hAnsi="宋体" w:cs="宋体"/>
          <w:color w:val="auto"/>
          <w:szCs w:val="24"/>
        </w:rPr>
        <w:t>要求供应商作出必要的澄清、说明或者纠正。供应商的澄清、说明或者补正应当采用书面形式，由其授权的代表签字，并不得超出投标文件的范围或者改变投标文件的实质性内容。</w:t>
      </w:r>
    </w:p>
    <w:p w14:paraId="122ECDE5">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.6如果供应商在澄清规定期限内，未能答复或拒绝答复评委会提出的澄清要求，将由评委会根据其投标文件按最大风险进行评标。</w:t>
      </w:r>
    </w:p>
    <w:p w14:paraId="6416A40C">
      <w:pPr>
        <w:spacing w:line="360" w:lineRule="auto"/>
        <w:ind w:firstLine="480" w:firstLineChars="200"/>
        <w:outlineLvl w:val="2"/>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.7投标文件的初审（含资格性、符合性审查）</w:t>
      </w:r>
    </w:p>
    <w:p w14:paraId="6DFD92B4">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.7.1采购人或采购代理机构将审查资格证明文件是否合格齐全，评标委员会审查投标文件是否完整等。</w:t>
      </w:r>
    </w:p>
    <w:p w14:paraId="0C72BBAC">
      <w:pPr>
        <w:spacing w:line="360" w:lineRule="auto"/>
        <w:ind w:firstLine="480" w:firstLineChars="200"/>
        <w:outlineLvl w:val="3"/>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.7.2投标文件报价出现前后不一致的，按照下列规定修正：</w:t>
      </w:r>
    </w:p>
    <w:p w14:paraId="51C5B285">
      <w:pPr>
        <w:numPr>
          <w:ilvl w:val="0"/>
          <w:numId w:val="6"/>
        </w:numPr>
        <w:spacing w:line="360" w:lineRule="auto"/>
        <w:ind w:firstLine="480" w:firstLineChars="200"/>
        <w:rPr>
          <w:rFonts w:hint="eastAsia" w:hAnsi="宋体" w:cs="宋体"/>
          <w:color w:val="auto"/>
          <w:szCs w:val="24"/>
        </w:rPr>
      </w:pPr>
      <w:r>
        <w:rPr>
          <w:rFonts w:hint="eastAsia" w:hAnsi="宋体" w:cs="宋体"/>
          <w:color w:val="auto"/>
          <w:szCs w:val="24"/>
        </w:rPr>
        <w:t>投标文件中开标一览表(报价表)内容与投标文件中相应内容不一致的，以投标文件中开标一览表(报价表)内容为准；</w:t>
      </w:r>
    </w:p>
    <w:p w14:paraId="3260F92E">
      <w:pPr>
        <w:numPr>
          <w:ilvl w:val="0"/>
          <w:numId w:val="6"/>
        </w:numPr>
        <w:spacing w:line="360" w:lineRule="auto"/>
        <w:ind w:firstLine="480" w:firstLineChars="200"/>
        <w:outlineLvl w:val="4"/>
        <w:rPr>
          <w:rFonts w:hint="eastAsia" w:hAnsi="宋体" w:cs="宋体"/>
          <w:color w:val="auto"/>
          <w:szCs w:val="24"/>
        </w:rPr>
      </w:pPr>
      <w:r>
        <w:rPr>
          <w:rFonts w:hint="eastAsia" w:hAnsi="宋体" w:cs="宋体"/>
          <w:color w:val="auto"/>
          <w:szCs w:val="24"/>
        </w:rPr>
        <w:t>投标文件的大写金额和小写金额不一致的，以大写金额为准；</w:t>
      </w:r>
    </w:p>
    <w:p w14:paraId="2FCD2A63">
      <w:pPr>
        <w:numPr>
          <w:ilvl w:val="0"/>
          <w:numId w:val="6"/>
        </w:numPr>
        <w:spacing w:line="360" w:lineRule="auto"/>
        <w:ind w:firstLine="480" w:firstLineChars="200"/>
        <w:rPr>
          <w:rFonts w:hint="eastAsia" w:hAnsi="宋体" w:cs="宋体"/>
          <w:color w:val="auto"/>
          <w:szCs w:val="24"/>
        </w:rPr>
      </w:pPr>
      <w:r>
        <w:rPr>
          <w:rFonts w:hint="eastAsia" w:hAnsi="宋体" w:cs="宋体"/>
          <w:color w:val="auto"/>
          <w:szCs w:val="24"/>
        </w:rPr>
        <w:t>单价金额小数点或者百分比有明显错位的，以投标文件中的开标一览表的总价为准，并修改单价；</w:t>
      </w:r>
    </w:p>
    <w:p w14:paraId="41CD5294">
      <w:pPr>
        <w:numPr>
          <w:ilvl w:val="0"/>
          <w:numId w:val="6"/>
        </w:numPr>
        <w:spacing w:line="360" w:lineRule="auto"/>
        <w:ind w:firstLine="480" w:firstLineChars="200"/>
        <w:rPr>
          <w:rFonts w:hint="eastAsia" w:hAnsi="宋体" w:cs="宋体"/>
          <w:color w:val="auto"/>
          <w:szCs w:val="24"/>
        </w:rPr>
      </w:pPr>
      <w:r>
        <w:rPr>
          <w:rFonts w:hint="eastAsia" w:hAnsi="宋体" w:cs="宋体"/>
          <w:color w:val="auto"/>
          <w:szCs w:val="24"/>
        </w:rPr>
        <w:t>总价金额与按单价汇总金额不一致的，以单价金额计算结果为准。</w:t>
      </w:r>
    </w:p>
    <w:p w14:paraId="396F9F31">
      <w:pPr>
        <w:widowControl/>
        <w:autoSpaceDE w:val="0"/>
        <w:autoSpaceDN w:val="0"/>
        <w:spacing w:line="360" w:lineRule="auto"/>
        <w:ind w:right="51" w:firstLine="482" w:firstLineChars="200"/>
        <w:textAlignment w:val="bottom"/>
        <w:rPr>
          <w:rFonts w:hint="eastAsia" w:hAnsi="宋体" w:cs="宋体"/>
          <w:color w:val="auto"/>
          <w:szCs w:val="24"/>
        </w:rPr>
      </w:pPr>
      <w:r>
        <w:rPr>
          <w:rFonts w:hint="eastAsia" w:hAnsi="宋体" w:cs="宋体"/>
          <w:b/>
          <w:color w:val="auto"/>
        </w:rPr>
        <w:t>按上述修正的顺序和方法调整的投标报价应对供应商具有约束力。如果供应商不接受修正后的价格，其投标将按无效投标处理。</w:t>
      </w:r>
    </w:p>
    <w:p w14:paraId="156E40B0">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.7.3在详细评标之前，根据本须知第2</w:t>
      </w:r>
      <w:r>
        <w:rPr>
          <w:rFonts w:hint="eastAsia" w:hAnsi="宋体" w:cs="宋体"/>
          <w:color w:val="auto"/>
          <w:szCs w:val="24"/>
          <w:lang w:val="en-US" w:eastAsia="zh-CN"/>
        </w:rPr>
        <w:t>4.7.4</w:t>
      </w:r>
      <w:r>
        <w:rPr>
          <w:rFonts w:hint="eastAsia" w:hAnsi="宋体" w:cs="宋体"/>
          <w:color w:val="auto"/>
          <w:szCs w:val="24"/>
        </w:rPr>
        <w:t>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14:paraId="45FA1032">
      <w:pPr>
        <w:spacing w:line="360" w:lineRule="auto"/>
        <w:ind w:firstLine="482" w:firstLineChars="200"/>
        <w:rPr>
          <w:rFonts w:hint="eastAsia" w:hAnsi="宋体" w:cs="宋体"/>
          <w:b/>
          <w:bCs/>
          <w:color w:val="auto"/>
          <w:szCs w:val="24"/>
        </w:rPr>
      </w:pPr>
      <w:r>
        <w:rPr>
          <w:rFonts w:hint="eastAsia" w:hAnsi="宋体" w:cs="宋体"/>
          <w:b/>
          <w:bCs/>
          <w:color w:val="auto"/>
          <w:szCs w:val="24"/>
        </w:rPr>
        <w:t>2</w:t>
      </w:r>
      <w:r>
        <w:rPr>
          <w:rFonts w:hint="eastAsia" w:hAnsi="宋体" w:cs="宋体"/>
          <w:b/>
          <w:bCs/>
          <w:color w:val="auto"/>
          <w:szCs w:val="24"/>
          <w:lang w:val="en-US" w:eastAsia="zh-CN"/>
        </w:rPr>
        <w:t>3</w:t>
      </w:r>
      <w:r>
        <w:rPr>
          <w:rFonts w:hint="eastAsia" w:hAnsi="宋体" w:cs="宋体"/>
          <w:b/>
          <w:bCs/>
          <w:color w:val="auto"/>
          <w:szCs w:val="24"/>
        </w:rPr>
        <w:t>.7.4实质上没有响应招标文件要求的投标将按无效投标处理。供应商不得通过修正或撤销不合要求的偏离从而使其投标成为实质性响应的投标。如发现下列情况之一的，其投标将构成非实质性响应，按无效投标处理：</w:t>
      </w:r>
    </w:p>
    <w:p w14:paraId="51295002">
      <w:pPr>
        <w:tabs>
          <w:tab w:val="left" w:pos="1260"/>
        </w:tabs>
        <w:spacing w:line="360" w:lineRule="auto"/>
        <w:ind w:firstLine="480" w:firstLineChars="200"/>
        <w:rPr>
          <w:rFonts w:hint="eastAsia" w:hAnsi="宋体" w:cs="宋体"/>
          <w:color w:val="auto"/>
          <w:szCs w:val="24"/>
        </w:rPr>
      </w:pPr>
      <w:r>
        <w:rPr>
          <w:rFonts w:hint="eastAsia" w:hAnsi="宋体" w:cs="宋体"/>
          <w:color w:val="auto"/>
          <w:szCs w:val="24"/>
        </w:rPr>
        <w:t>1）没有按照招标文件要求提供投标文件或投标文件构成有重大缺项；</w:t>
      </w:r>
    </w:p>
    <w:p w14:paraId="3E2BF394">
      <w:pPr>
        <w:kinsoku w:val="0"/>
        <w:spacing w:line="360" w:lineRule="auto"/>
        <w:ind w:firstLine="480" w:firstLineChars="200"/>
        <w:rPr>
          <w:rFonts w:hint="eastAsia" w:hAnsi="宋体" w:cs="宋体"/>
          <w:color w:val="auto"/>
          <w:spacing w:val="-6"/>
        </w:rPr>
      </w:pPr>
      <w:r>
        <w:rPr>
          <w:rFonts w:hint="eastAsia" w:hAnsi="宋体" w:cs="宋体"/>
          <w:color w:val="auto"/>
        </w:rPr>
        <w:t>2）投标</w:t>
      </w:r>
      <w:r>
        <w:rPr>
          <w:rFonts w:hint="eastAsia" w:hAnsi="宋体" w:cs="宋体"/>
          <w:color w:val="auto"/>
          <w:spacing w:val="-6"/>
        </w:rPr>
        <w:t>文件</w:t>
      </w:r>
      <w:r>
        <w:rPr>
          <w:rFonts w:hint="eastAsia" w:hAnsi="宋体" w:cs="宋体"/>
          <w:color w:val="auto"/>
        </w:rPr>
        <w:t>未按招标文件要求签署、盖章的；</w:t>
      </w:r>
    </w:p>
    <w:p w14:paraId="443437F5">
      <w:pPr>
        <w:tabs>
          <w:tab w:val="left" w:pos="1260"/>
        </w:tabs>
        <w:spacing w:line="360" w:lineRule="auto"/>
        <w:ind w:firstLine="480" w:firstLineChars="200"/>
        <w:rPr>
          <w:rFonts w:hAnsi="宋体" w:cs="宋体"/>
          <w:color w:val="auto"/>
          <w:szCs w:val="24"/>
        </w:rPr>
      </w:pPr>
      <w:r>
        <w:rPr>
          <w:rFonts w:hint="eastAsia" w:hAnsi="宋体" w:cs="宋体"/>
          <w:color w:val="auto"/>
          <w:szCs w:val="24"/>
        </w:rPr>
        <w:t>3）不具备招标文件中规定的资格要求的；</w:t>
      </w:r>
    </w:p>
    <w:p w14:paraId="6249F084">
      <w:pPr>
        <w:tabs>
          <w:tab w:val="left" w:pos="1260"/>
        </w:tabs>
        <w:spacing w:line="360" w:lineRule="auto"/>
        <w:ind w:firstLine="480" w:firstLineChars="200"/>
        <w:rPr>
          <w:rFonts w:hint="eastAsia" w:hAnsi="宋体" w:cs="宋体"/>
          <w:color w:val="auto"/>
          <w:szCs w:val="24"/>
        </w:rPr>
      </w:pPr>
      <w:r>
        <w:rPr>
          <w:rFonts w:hint="eastAsia" w:hAnsi="宋体" w:cs="宋体"/>
          <w:color w:val="auto"/>
          <w:szCs w:val="24"/>
        </w:rPr>
        <w:t>4）</w:t>
      </w:r>
      <w:r>
        <w:rPr>
          <w:rFonts w:hint="eastAsia" w:hAnsi="宋体" w:cs="宋体"/>
          <w:color w:val="auto"/>
          <w:spacing w:val="-6"/>
        </w:rPr>
        <w:t>无投标有效期或有效期达不到招标文件要求的</w:t>
      </w:r>
      <w:r>
        <w:rPr>
          <w:rFonts w:hint="eastAsia" w:hAnsi="宋体" w:cs="宋体"/>
          <w:color w:val="auto"/>
          <w:szCs w:val="24"/>
        </w:rPr>
        <w:t>；</w:t>
      </w:r>
    </w:p>
    <w:p w14:paraId="098C7BE6">
      <w:pPr>
        <w:tabs>
          <w:tab w:val="left" w:pos="1260"/>
        </w:tabs>
        <w:spacing w:line="360" w:lineRule="auto"/>
        <w:ind w:firstLine="480" w:firstLineChars="200"/>
        <w:rPr>
          <w:rFonts w:hint="eastAsia" w:hAnsi="宋体" w:cs="宋体"/>
          <w:color w:val="auto"/>
          <w:szCs w:val="24"/>
        </w:rPr>
      </w:pPr>
      <w:r>
        <w:rPr>
          <w:rFonts w:hint="eastAsia" w:hAnsi="宋体" w:cs="宋体"/>
          <w:color w:val="auto"/>
          <w:szCs w:val="24"/>
        </w:rPr>
        <w:t>5）供应商有串通投标、以他人名义投标、弄虚作假、行贿等违法行为的；</w:t>
      </w:r>
    </w:p>
    <w:p w14:paraId="4DEF46E0">
      <w:pPr>
        <w:spacing w:line="360" w:lineRule="auto"/>
        <w:ind w:firstLine="480" w:firstLineChars="200"/>
        <w:rPr>
          <w:rFonts w:hint="eastAsia" w:hAnsi="宋体" w:cs="宋体"/>
          <w:color w:val="auto"/>
          <w:szCs w:val="24"/>
        </w:rPr>
      </w:pPr>
      <w:r>
        <w:rPr>
          <w:rFonts w:hint="eastAsia" w:hAnsi="宋体" w:cs="宋体"/>
          <w:color w:val="auto"/>
          <w:szCs w:val="24"/>
        </w:rPr>
        <w:t>6）投标报价超过招标文件公布的采购预算的；</w:t>
      </w:r>
    </w:p>
    <w:p w14:paraId="70368243">
      <w:pPr>
        <w:pStyle w:val="42"/>
        <w:spacing w:before="0" w:beforeAutospacing="0" w:after="0" w:afterAutospacing="0" w:line="360" w:lineRule="auto"/>
        <w:ind w:firstLine="480" w:firstLineChars="200"/>
        <w:jc w:val="both"/>
        <w:rPr>
          <w:rFonts w:hint="eastAsia" w:cs="宋体"/>
          <w:color w:val="auto"/>
        </w:rPr>
      </w:pPr>
      <w:r>
        <w:rPr>
          <w:rFonts w:hint="eastAsia" w:cs="宋体"/>
          <w:color w:val="auto"/>
        </w:rPr>
        <w:t>7）投标文件含有采购人不能接受的附加条件的；</w:t>
      </w:r>
    </w:p>
    <w:p w14:paraId="1B359098">
      <w:pPr>
        <w:pStyle w:val="42"/>
        <w:spacing w:before="0" w:beforeAutospacing="0" w:after="0" w:afterAutospacing="0" w:line="360" w:lineRule="auto"/>
        <w:ind w:firstLine="480" w:firstLineChars="200"/>
        <w:jc w:val="both"/>
        <w:rPr>
          <w:rFonts w:hint="eastAsia" w:cs="宋体"/>
          <w:color w:val="auto"/>
        </w:rPr>
      </w:pPr>
      <w:r>
        <w:rPr>
          <w:rFonts w:hint="eastAsia" w:cs="宋体"/>
          <w:color w:val="auto"/>
        </w:rPr>
        <w:t>8）供应商被列入失信被执行人、重大税收违法案件当事人名单、政府采购严重违法失信行为记录名单的；</w:t>
      </w:r>
    </w:p>
    <w:p w14:paraId="04E7453F">
      <w:pPr>
        <w:spacing w:line="360" w:lineRule="auto"/>
        <w:ind w:firstLine="480" w:firstLineChars="200"/>
        <w:rPr>
          <w:rFonts w:hint="eastAsia" w:hAnsi="宋体" w:cs="宋体"/>
          <w:color w:val="auto"/>
          <w:szCs w:val="24"/>
        </w:rPr>
      </w:pPr>
      <w:r>
        <w:rPr>
          <w:rFonts w:hint="eastAsia" w:hAnsi="宋体" w:cs="宋体"/>
          <w:color w:val="auto"/>
          <w:szCs w:val="24"/>
        </w:rPr>
        <w:t>9）法律、法规规定的其他无效情形。</w:t>
      </w:r>
    </w:p>
    <w:p w14:paraId="60AE63B6">
      <w:pPr>
        <w:spacing w:line="360" w:lineRule="auto"/>
        <w:ind w:firstLine="480" w:firstLineChars="200"/>
        <w:outlineLvl w:val="2"/>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.8投标文件的详细评审</w:t>
      </w:r>
    </w:p>
    <w:p w14:paraId="1E813E96">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.8.1评标委员会将按照本须知规定，只对确定为实质性响应招标文件要求的投标进行详细评审。</w:t>
      </w:r>
    </w:p>
    <w:p w14:paraId="6744A19A">
      <w:pPr>
        <w:spacing w:line="360" w:lineRule="auto"/>
        <w:ind w:firstLine="480" w:firstLineChars="200"/>
        <w:outlineLvl w:val="3"/>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.8.2详细评审按照第五章“评标方法”的评标方法进行。</w:t>
      </w:r>
    </w:p>
    <w:p w14:paraId="6F1DE26B">
      <w:pPr>
        <w:spacing w:line="360" w:lineRule="auto"/>
        <w:ind w:firstLine="480" w:firstLineChars="200"/>
        <w:outlineLvl w:val="2"/>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3</w:t>
      </w:r>
      <w:r>
        <w:rPr>
          <w:rFonts w:hint="eastAsia" w:hAnsi="宋体" w:cs="宋体"/>
          <w:color w:val="auto"/>
          <w:szCs w:val="24"/>
        </w:rPr>
        <w:t>.9中标候选人的确定</w:t>
      </w:r>
    </w:p>
    <w:p w14:paraId="0012AB8E">
      <w:pPr>
        <w:spacing w:line="360" w:lineRule="auto"/>
        <w:ind w:firstLine="480" w:firstLineChars="200"/>
        <w:rPr>
          <w:rFonts w:hint="eastAsia" w:hAnsi="宋体" w:cs="宋体"/>
          <w:color w:val="auto"/>
          <w:szCs w:val="24"/>
        </w:rPr>
      </w:pPr>
      <w:r>
        <w:rPr>
          <w:rFonts w:hint="eastAsia" w:hAnsi="宋体" w:cs="宋体"/>
          <w:color w:val="auto"/>
          <w:szCs w:val="24"/>
        </w:rPr>
        <w:t>评标委员会完成评标后，向采购人提出书面评标报告，并推荐三名中标候选人，标明排列顺序。</w:t>
      </w:r>
    </w:p>
    <w:p w14:paraId="11164253">
      <w:pPr>
        <w:spacing w:line="360" w:lineRule="auto"/>
        <w:outlineLvl w:val="1"/>
        <w:rPr>
          <w:rFonts w:hint="eastAsia" w:hAnsi="宋体" w:cs="宋体"/>
          <w:b/>
          <w:color w:val="auto"/>
          <w:szCs w:val="24"/>
        </w:rPr>
      </w:pPr>
      <w:bookmarkStart w:id="84" w:name="_Toc13550"/>
      <w:bookmarkStart w:id="85" w:name="_Toc10468"/>
      <w:r>
        <w:rPr>
          <w:rFonts w:hint="eastAsia" w:hAnsi="宋体" w:cs="宋体"/>
          <w:b/>
          <w:color w:val="auto"/>
          <w:szCs w:val="24"/>
        </w:rPr>
        <w:t>2</w:t>
      </w:r>
      <w:r>
        <w:rPr>
          <w:rFonts w:hint="eastAsia" w:hAnsi="宋体" w:cs="宋体"/>
          <w:b/>
          <w:color w:val="auto"/>
          <w:szCs w:val="24"/>
          <w:lang w:val="en-US" w:eastAsia="zh-CN"/>
        </w:rPr>
        <w:t>4</w:t>
      </w:r>
      <w:r>
        <w:rPr>
          <w:rFonts w:hint="eastAsia" w:hAnsi="宋体" w:cs="宋体"/>
          <w:b/>
          <w:color w:val="auto"/>
          <w:szCs w:val="24"/>
        </w:rPr>
        <w:t>.评标过程的保密</w:t>
      </w:r>
      <w:bookmarkEnd w:id="84"/>
      <w:bookmarkEnd w:id="85"/>
    </w:p>
    <w:p w14:paraId="71887BF5">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4</w:t>
      </w:r>
      <w:r>
        <w:rPr>
          <w:rFonts w:hint="eastAsia" w:hAnsi="宋体" w:cs="宋体"/>
          <w:color w:val="auto"/>
          <w:szCs w:val="24"/>
        </w:rPr>
        <w:t>.1评标委员会成员和与评标活动有关的工作人员不得泄露有关投标文件的评审和比较、中标候选人的推荐以及与评标有关的其他情况。</w:t>
      </w:r>
    </w:p>
    <w:p w14:paraId="4D75032F">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4</w:t>
      </w:r>
      <w:r>
        <w:rPr>
          <w:rFonts w:hint="eastAsia" w:hAnsi="宋体" w:cs="宋体"/>
          <w:color w:val="auto"/>
          <w:szCs w:val="24"/>
        </w:rPr>
        <w:t>.2在评标过程中，如果供应商试图在投标文件的评审和比较、中标候选人的推荐以及与评标有关的其他方面，向评标人、采购人和采购代理机构施加任何影响，其投标应做无效投标处理。</w:t>
      </w:r>
    </w:p>
    <w:p w14:paraId="6444732F">
      <w:pPr>
        <w:spacing w:line="360" w:lineRule="auto"/>
        <w:outlineLvl w:val="1"/>
        <w:rPr>
          <w:rFonts w:hint="eastAsia" w:hAnsi="宋体" w:cs="宋体"/>
          <w:b/>
          <w:color w:val="auto"/>
          <w:szCs w:val="24"/>
        </w:rPr>
      </w:pPr>
      <w:bookmarkStart w:id="86" w:name="_Toc8401"/>
      <w:bookmarkStart w:id="87" w:name="_Toc5797"/>
      <w:r>
        <w:rPr>
          <w:rFonts w:hint="eastAsia" w:hAnsi="宋体" w:cs="宋体"/>
          <w:b/>
          <w:color w:val="auto"/>
          <w:szCs w:val="24"/>
        </w:rPr>
        <w:t>2</w:t>
      </w:r>
      <w:r>
        <w:rPr>
          <w:rFonts w:hint="eastAsia" w:hAnsi="宋体" w:cs="宋体"/>
          <w:b/>
          <w:color w:val="auto"/>
          <w:szCs w:val="24"/>
          <w:lang w:val="en-US" w:eastAsia="zh-CN"/>
        </w:rPr>
        <w:t>5</w:t>
      </w:r>
      <w:r>
        <w:rPr>
          <w:rFonts w:hint="eastAsia" w:hAnsi="宋体" w:cs="宋体"/>
          <w:b/>
          <w:color w:val="auto"/>
          <w:szCs w:val="24"/>
        </w:rPr>
        <w:t>.评标方法</w:t>
      </w:r>
      <w:bookmarkEnd w:id="86"/>
      <w:bookmarkEnd w:id="87"/>
    </w:p>
    <w:p w14:paraId="2BEA4948">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5</w:t>
      </w:r>
      <w:r>
        <w:rPr>
          <w:rFonts w:hint="eastAsia" w:hAnsi="宋体" w:cs="宋体"/>
          <w:color w:val="auto"/>
          <w:szCs w:val="24"/>
        </w:rPr>
        <w:t>.1按照中华人民共和国财政部令第87号--《政府采购货物和服务招标投标管理办法》的规定，本次评标采用以下评标方法中的一种：具体见“供应商须知前附表”。</w:t>
      </w:r>
    </w:p>
    <w:p w14:paraId="3D93D8CE">
      <w:pPr>
        <w:pStyle w:val="42"/>
        <w:spacing w:before="0" w:beforeAutospacing="0" w:after="0" w:afterAutospacing="0" w:line="360" w:lineRule="auto"/>
        <w:ind w:firstLine="480" w:firstLineChars="200"/>
        <w:jc w:val="both"/>
        <w:rPr>
          <w:rFonts w:hint="eastAsia" w:cs="宋体"/>
          <w:color w:val="auto"/>
        </w:rPr>
      </w:pPr>
      <w:r>
        <w:rPr>
          <w:rFonts w:hint="eastAsia" w:cs="宋体"/>
          <w:color w:val="auto"/>
        </w:rPr>
        <w:t>①最低评标价法，即在全部满足招标文件实质性要求前提下，且投标报价最低的供应商为中标候选人的评标方法。</w:t>
      </w:r>
    </w:p>
    <w:p w14:paraId="3F25B3F4">
      <w:pPr>
        <w:spacing w:line="360" w:lineRule="auto"/>
        <w:ind w:firstLine="480" w:firstLineChars="200"/>
        <w:rPr>
          <w:rFonts w:hint="eastAsia" w:hAnsi="宋体" w:cs="宋体"/>
          <w:color w:val="auto"/>
          <w:szCs w:val="24"/>
        </w:rPr>
      </w:pPr>
      <w:r>
        <w:rPr>
          <w:rFonts w:hint="eastAsia" w:hAnsi="宋体" w:cs="宋体"/>
          <w:color w:val="auto"/>
          <w:szCs w:val="24"/>
        </w:rPr>
        <w:t>②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供应商作为中标候选人并依次排序。</w:t>
      </w:r>
    </w:p>
    <w:p w14:paraId="45FB4A51">
      <w:pPr>
        <w:spacing w:line="360" w:lineRule="auto"/>
        <w:outlineLvl w:val="1"/>
        <w:rPr>
          <w:rFonts w:hint="eastAsia" w:hAnsi="宋体" w:cs="宋体"/>
          <w:b/>
          <w:color w:val="auto"/>
          <w:szCs w:val="24"/>
        </w:rPr>
      </w:pPr>
      <w:bookmarkStart w:id="88" w:name="_Toc2932"/>
      <w:bookmarkStart w:id="89" w:name="_Toc25314"/>
      <w:r>
        <w:rPr>
          <w:rFonts w:hint="eastAsia" w:hAnsi="宋体" w:cs="宋体"/>
          <w:b/>
          <w:color w:val="auto"/>
          <w:szCs w:val="24"/>
        </w:rPr>
        <w:t>2</w:t>
      </w:r>
      <w:r>
        <w:rPr>
          <w:rFonts w:hint="eastAsia" w:hAnsi="宋体" w:cs="宋体"/>
          <w:b/>
          <w:color w:val="auto"/>
          <w:szCs w:val="24"/>
          <w:lang w:val="en-US" w:eastAsia="zh-CN"/>
        </w:rPr>
        <w:t>6</w:t>
      </w:r>
      <w:r>
        <w:rPr>
          <w:rFonts w:hint="eastAsia" w:hAnsi="宋体" w:cs="宋体"/>
          <w:b/>
          <w:color w:val="auto"/>
          <w:szCs w:val="24"/>
        </w:rPr>
        <w:t>.评标程序</w:t>
      </w:r>
      <w:bookmarkEnd w:id="88"/>
      <w:bookmarkEnd w:id="89"/>
    </w:p>
    <w:p w14:paraId="3451863C">
      <w:pPr>
        <w:spacing w:line="360" w:lineRule="auto"/>
        <w:ind w:firstLine="480" w:firstLineChars="200"/>
        <w:rPr>
          <w:rFonts w:hint="eastAsia" w:hAnsi="宋体" w:cs="宋体"/>
          <w:color w:val="auto"/>
        </w:rPr>
      </w:pPr>
      <w:r>
        <w:rPr>
          <w:rFonts w:hint="eastAsia" w:hAnsi="宋体" w:cs="宋体"/>
          <w:color w:val="auto"/>
          <w:szCs w:val="24"/>
        </w:rPr>
        <w:t>按照投标文件初审、澄清有关问题、比较与评价、推荐中标候选人名单的工作程序进行评标。在上一步评审中供应商被认定无效投标者，不进入下一步的评审。</w:t>
      </w:r>
    </w:p>
    <w:p w14:paraId="41E93389">
      <w:pPr>
        <w:spacing w:line="500" w:lineRule="exact"/>
        <w:jc w:val="center"/>
        <w:outlineLvl w:val="2"/>
        <w:rPr>
          <w:rFonts w:hint="eastAsia" w:hAnsi="宋体" w:cs="宋体"/>
          <w:b/>
          <w:color w:val="auto"/>
          <w:sz w:val="32"/>
          <w:szCs w:val="32"/>
        </w:rPr>
      </w:pPr>
      <w:bookmarkStart w:id="90" w:name="_Toc363473977"/>
      <w:bookmarkStart w:id="91" w:name="_Toc363474022"/>
      <w:bookmarkStart w:id="92" w:name="_Toc403077644"/>
      <w:r>
        <w:rPr>
          <w:rFonts w:hint="eastAsia" w:hAnsi="宋体" w:cs="宋体"/>
          <w:b/>
          <w:color w:val="auto"/>
          <w:sz w:val="32"/>
          <w:szCs w:val="32"/>
        </w:rPr>
        <w:t>六、定标、中标通知与签约</w:t>
      </w:r>
      <w:bookmarkEnd w:id="90"/>
      <w:bookmarkEnd w:id="91"/>
      <w:bookmarkEnd w:id="92"/>
    </w:p>
    <w:p w14:paraId="761820A2">
      <w:pPr>
        <w:spacing w:line="360" w:lineRule="auto"/>
        <w:outlineLvl w:val="1"/>
        <w:rPr>
          <w:rFonts w:hint="eastAsia" w:hAnsi="宋体" w:cs="宋体"/>
          <w:b/>
          <w:color w:val="auto"/>
          <w:szCs w:val="24"/>
        </w:rPr>
      </w:pPr>
      <w:bookmarkStart w:id="93" w:name="_Toc3012"/>
      <w:bookmarkStart w:id="94" w:name="_Toc24882"/>
      <w:r>
        <w:rPr>
          <w:rFonts w:hint="eastAsia" w:hAnsi="宋体" w:cs="宋体"/>
          <w:b/>
          <w:color w:val="auto"/>
          <w:szCs w:val="24"/>
        </w:rPr>
        <w:t>2</w:t>
      </w:r>
      <w:r>
        <w:rPr>
          <w:rFonts w:hint="eastAsia" w:hAnsi="宋体" w:cs="宋体"/>
          <w:b/>
          <w:color w:val="auto"/>
          <w:szCs w:val="24"/>
          <w:lang w:val="en-US" w:eastAsia="zh-CN"/>
        </w:rPr>
        <w:t>7</w:t>
      </w:r>
      <w:r>
        <w:rPr>
          <w:rFonts w:hint="eastAsia" w:hAnsi="宋体" w:cs="宋体"/>
          <w:b/>
          <w:color w:val="auto"/>
          <w:szCs w:val="24"/>
        </w:rPr>
        <w:t>.定标程序</w:t>
      </w:r>
      <w:bookmarkEnd w:id="93"/>
      <w:bookmarkEnd w:id="94"/>
    </w:p>
    <w:p w14:paraId="2C12F3B9">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7</w:t>
      </w:r>
      <w:r>
        <w:rPr>
          <w:rFonts w:hint="eastAsia" w:hAnsi="宋体" w:cs="宋体"/>
          <w:color w:val="auto"/>
          <w:szCs w:val="24"/>
        </w:rPr>
        <w:t>.1评标委员会根据评标方法的规定对供应商进行评审排序，推荐3名中标候选人，作为评标结果。评标结果由评标委员会成员签字确认。</w:t>
      </w:r>
    </w:p>
    <w:p w14:paraId="52AA3AB5">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7</w:t>
      </w:r>
      <w:r>
        <w:rPr>
          <w:rFonts w:hint="eastAsia" w:hAnsi="宋体" w:cs="宋体"/>
          <w:color w:val="auto"/>
          <w:szCs w:val="24"/>
        </w:rPr>
        <w:t>.2</w:t>
      </w:r>
      <w:r>
        <w:rPr>
          <w:rFonts w:hint="eastAsia" w:hAnsi="宋体" w:cs="宋体"/>
          <w:color w:val="auto"/>
        </w:rPr>
        <w:t>采购代理机构在评标结束后1个工作日内将评标报告送采购人。采购人应当在收到评标报告后4个工作日内，按照评标报告中推荐的中标候选人顺序和有关规定确定中标人。</w:t>
      </w:r>
    </w:p>
    <w:p w14:paraId="0EFE1C35">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7</w:t>
      </w:r>
      <w:r>
        <w:rPr>
          <w:rFonts w:hint="eastAsia" w:hAnsi="宋体" w:cs="宋体"/>
          <w:color w:val="auto"/>
          <w:szCs w:val="24"/>
        </w:rPr>
        <w:t>.3</w:t>
      </w:r>
      <w:r>
        <w:rPr>
          <w:rFonts w:hint="eastAsia" w:hAnsi="宋体" w:cs="宋体"/>
          <w:color w:val="auto"/>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hAnsi="宋体" w:cs="宋体"/>
          <w:color w:val="auto"/>
          <w:szCs w:val="24"/>
        </w:rPr>
        <w:t>。</w:t>
      </w:r>
    </w:p>
    <w:p w14:paraId="76C7ABB2">
      <w:pPr>
        <w:spacing w:line="360" w:lineRule="auto"/>
        <w:ind w:firstLine="480" w:firstLineChars="200"/>
        <w:outlineLvl w:val="2"/>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7</w:t>
      </w:r>
      <w:r>
        <w:rPr>
          <w:rFonts w:hint="eastAsia" w:hAnsi="宋体" w:cs="宋体"/>
          <w:color w:val="auto"/>
          <w:szCs w:val="24"/>
        </w:rPr>
        <w:t>.4采购人也可以授权评标委员会评标后直接确定中标人。</w:t>
      </w:r>
    </w:p>
    <w:p w14:paraId="489B3CE5">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7</w:t>
      </w:r>
      <w:r>
        <w:rPr>
          <w:rFonts w:hint="eastAsia" w:hAnsi="宋体" w:cs="宋体"/>
          <w:color w:val="auto"/>
          <w:szCs w:val="24"/>
        </w:rPr>
        <w:t>.5中标人确定之后，中标结果将在财政部门指定的政府采购信息发布媒体上公告。</w:t>
      </w:r>
    </w:p>
    <w:p w14:paraId="14328963">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7</w:t>
      </w:r>
      <w:r>
        <w:rPr>
          <w:rFonts w:hint="eastAsia" w:hAnsi="宋体" w:cs="宋体"/>
          <w:color w:val="auto"/>
          <w:szCs w:val="24"/>
        </w:rPr>
        <w:t>.6供应商或者其他利害关系人对评标结果有异议的，应当在法律规定的时间内提出。</w:t>
      </w:r>
    </w:p>
    <w:p w14:paraId="6A7E76AB">
      <w:pPr>
        <w:spacing w:line="360" w:lineRule="auto"/>
        <w:outlineLvl w:val="1"/>
        <w:rPr>
          <w:rFonts w:hint="eastAsia" w:hAnsi="宋体" w:cs="宋体"/>
          <w:b/>
          <w:color w:val="auto"/>
          <w:szCs w:val="24"/>
        </w:rPr>
      </w:pPr>
      <w:bookmarkStart w:id="95" w:name="_Toc25553"/>
      <w:bookmarkStart w:id="96" w:name="_Toc22441"/>
      <w:r>
        <w:rPr>
          <w:rFonts w:hint="eastAsia" w:hAnsi="宋体" w:cs="宋体"/>
          <w:b/>
          <w:color w:val="auto"/>
          <w:szCs w:val="24"/>
        </w:rPr>
        <w:t>2</w:t>
      </w:r>
      <w:r>
        <w:rPr>
          <w:rFonts w:hint="eastAsia" w:hAnsi="宋体" w:cs="宋体"/>
          <w:b/>
          <w:color w:val="auto"/>
          <w:szCs w:val="24"/>
          <w:lang w:val="en-US" w:eastAsia="zh-CN"/>
        </w:rPr>
        <w:t>8</w:t>
      </w:r>
      <w:r>
        <w:rPr>
          <w:rFonts w:hint="eastAsia" w:hAnsi="宋体" w:cs="宋体"/>
          <w:b/>
          <w:color w:val="auto"/>
          <w:szCs w:val="24"/>
        </w:rPr>
        <w:t>.中标和落标通知</w:t>
      </w:r>
      <w:bookmarkEnd w:id="95"/>
      <w:bookmarkEnd w:id="96"/>
    </w:p>
    <w:p w14:paraId="4B813518">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8</w:t>
      </w:r>
      <w:r>
        <w:rPr>
          <w:rFonts w:hint="eastAsia" w:hAnsi="宋体" w:cs="宋体"/>
          <w:color w:val="auto"/>
          <w:szCs w:val="24"/>
        </w:rPr>
        <w:t>.1采购代理机构在发布中标公告后，采购代理机构在线向中标单位发出中标通知书，供应商可登录【全国公共资源交易平台(陕西省•西安市)】网站〖首页〉电子交易平台〉企业端〗后，在〖我的项目/项目流程〗模块中点击下载“中标(成交)通知书”。</w:t>
      </w:r>
    </w:p>
    <w:p w14:paraId="50AB134A">
      <w:pPr>
        <w:spacing w:line="360" w:lineRule="auto"/>
        <w:ind w:firstLine="480" w:firstLineChars="200"/>
        <w:rPr>
          <w:rFonts w:hint="eastAsia" w:hAnsi="宋体" w:cs="宋体"/>
          <w:color w:val="auto"/>
          <w:szCs w:val="24"/>
        </w:rPr>
      </w:pPr>
      <w:r>
        <w:rPr>
          <w:rFonts w:hint="eastAsia" w:hAnsi="宋体" w:cs="宋体"/>
          <w:color w:val="auto"/>
          <w:szCs w:val="24"/>
        </w:rPr>
        <w:t>2</w:t>
      </w:r>
      <w:r>
        <w:rPr>
          <w:rFonts w:hint="eastAsia" w:hAnsi="宋体" w:cs="宋体"/>
          <w:color w:val="auto"/>
          <w:szCs w:val="24"/>
          <w:lang w:val="en-US" w:eastAsia="zh-CN"/>
        </w:rPr>
        <w:t>8</w:t>
      </w:r>
      <w:r>
        <w:rPr>
          <w:rFonts w:hint="eastAsia" w:hAnsi="宋体" w:cs="宋体"/>
          <w:color w:val="auto"/>
          <w:szCs w:val="24"/>
        </w:rPr>
        <w:t>.2中标通知书对采购人和中标人具有同等法律效力。中标通知书发出之后，采购人改变中标结果，或者中标人放弃中标，应当承担相应的法律责任。</w:t>
      </w:r>
    </w:p>
    <w:p w14:paraId="674EEAF1">
      <w:pPr>
        <w:spacing w:line="360" w:lineRule="auto"/>
        <w:ind w:firstLine="480" w:firstLineChars="200"/>
        <w:rPr>
          <w:rFonts w:hint="eastAsia" w:hAnsi="宋体" w:cs="宋体"/>
          <w:color w:val="auto"/>
          <w:szCs w:val="24"/>
          <w:highlight w:val="yellow"/>
        </w:rPr>
      </w:pPr>
      <w:r>
        <w:rPr>
          <w:rFonts w:hint="eastAsia" w:hAnsi="宋体" w:cs="宋体"/>
          <w:color w:val="auto"/>
          <w:szCs w:val="24"/>
        </w:rPr>
        <w:t>2</w:t>
      </w:r>
      <w:r>
        <w:rPr>
          <w:rFonts w:hint="eastAsia" w:hAnsi="宋体" w:cs="宋体"/>
          <w:color w:val="auto"/>
          <w:szCs w:val="24"/>
          <w:lang w:val="en-US" w:eastAsia="zh-CN"/>
        </w:rPr>
        <w:t>8</w:t>
      </w:r>
      <w:r>
        <w:rPr>
          <w:rFonts w:hint="eastAsia" w:hAnsi="宋体" w:cs="宋体"/>
          <w:color w:val="auto"/>
          <w:szCs w:val="24"/>
        </w:rPr>
        <w:t>.</w:t>
      </w:r>
      <w:r>
        <w:rPr>
          <w:rFonts w:hint="eastAsia" w:hAnsi="宋体" w:cs="宋体"/>
          <w:color w:val="auto"/>
          <w:szCs w:val="24"/>
          <w:lang w:val="en-US" w:eastAsia="zh-CN"/>
        </w:rPr>
        <w:t>3</w:t>
      </w:r>
      <w:r>
        <w:rPr>
          <w:rFonts w:hint="eastAsia" w:hAnsi="宋体" w:cs="宋体"/>
          <w:color w:val="auto"/>
          <w:szCs w:val="24"/>
        </w:rPr>
        <w:t>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4EEDE3F3">
      <w:pPr>
        <w:spacing w:line="360" w:lineRule="auto"/>
        <w:outlineLvl w:val="1"/>
        <w:rPr>
          <w:rFonts w:hint="eastAsia" w:hAnsi="宋体" w:cs="宋体"/>
          <w:b/>
          <w:color w:val="auto"/>
          <w:szCs w:val="24"/>
        </w:rPr>
      </w:pPr>
      <w:bookmarkStart w:id="97" w:name="_Toc12577"/>
      <w:bookmarkStart w:id="98" w:name="_Toc9024"/>
      <w:r>
        <w:rPr>
          <w:rFonts w:hint="eastAsia" w:hAnsi="宋体" w:cs="宋体"/>
          <w:b/>
          <w:color w:val="auto"/>
          <w:szCs w:val="24"/>
          <w:lang w:val="en-US" w:eastAsia="zh-CN"/>
        </w:rPr>
        <w:t>29</w:t>
      </w:r>
      <w:r>
        <w:rPr>
          <w:rFonts w:hint="eastAsia" w:hAnsi="宋体" w:cs="宋体"/>
          <w:b/>
          <w:color w:val="auto"/>
          <w:szCs w:val="24"/>
        </w:rPr>
        <w:t>.中标合同的签订</w:t>
      </w:r>
      <w:bookmarkEnd w:id="97"/>
      <w:bookmarkEnd w:id="98"/>
    </w:p>
    <w:p w14:paraId="5C47A688">
      <w:pPr>
        <w:spacing w:line="500" w:lineRule="exact"/>
        <w:ind w:firstLine="480" w:firstLineChars="200"/>
        <w:rPr>
          <w:rFonts w:hint="eastAsia" w:hAnsi="宋体" w:cs="宋体"/>
          <w:color w:val="auto"/>
          <w:szCs w:val="24"/>
        </w:rPr>
      </w:pPr>
      <w:r>
        <w:rPr>
          <w:rFonts w:hint="eastAsia" w:hAnsi="宋体" w:cs="宋体"/>
          <w:color w:val="auto"/>
          <w:szCs w:val="24"/>
          <w:lang w:val="en-US" w:eastAsia="zh-CN"/>
        </w:rPr>
        <w:t>29</w:t>
      </w:r>
      <w:r>
        <w:rPr>
          <w:rFonts w:hint="eastAsia" w:hAnsi="宋体" w:cs="宋体"/>
          <w:color w:val="auto"/>
          <w:szCs w:val="24"/>
        </w:rPr>
        <w:t>.1采购人应当自中标通知书发出之日起三十日内，按照招标文件和中标人投标文件（包括评标中形成的澄清文件）的约定，与中标人签订书面合同。所签订的合同不得对招标文件和中标人的投标文件（包括评标中形成的澄清文件）作实质性修改。</w:t>
      </w:r>
    </w:p>
    <w:p w14:paraId="7F25D518">
      <w:pPr>
        <w:spacing w:line="500" w:lineRule="exact"/>
        <w:ind w:firstLine="480" w:firstLineChars="200"/>
        <w:rPr>
          <w:rFonts w:hint="eastAsia" w:hAnsi="宋体" w:cs="宋体"/>
          <w:color w:val="auto"/>
          <w:szCs w:val="24"/>
        </w:rPr>
      </w:pPr>
      <w:r>
        <w:rPr>
          <w:rFonts w:hint="eastAsia" w:hAnsi="宋体" w:cs="宋体"/>
          <w:color w:val="auto"/>
          <w:szCs w:val="24"/>
          <w:lang w:val="en-US" w:eastAsia="zh-CN"/>
        </w:rPr>
        <w:t>29</w:t>
      </w:r>
      <w:r>
        <w:rPr>
          <w:rFonts w:hint="eastAsia" w:hAnsi="宋体" w:cs="宋体"/>
          <w:color w:val="auto"/>
          <w:szCs w:val="24"/>
        </w:rPr>
        <w:t>.2中标供应商拒绝与采购人签订合同的，采购人可以按照评审报告推荐的中标候选供应商名单排序，确定下一候选供应商为中标供应商，也可以重新开展政府采购活动。</w:t>
      </w:r>
    </w:p>
    <w:p w14:paraId="39192A1D">
      <w:pPr>
        <w:spacing w:line="500" w:lineRule="exact"/>
        <w:ind w:firstLine="480" w:firstLineChars="200"/>
        <w:rPr>
          <w:rFonts w:hint="eastAsia" w:hAnsi="宋体" w:cs="宋体"/>
          <w:color w:val="auto"/>
          <w:szCs w:val="24"/>
        </w:rPr>
      </w:pPr>
      <w:r>
        <w:rPr>
          <w:rFonts w:hint="eastAsia" w:hAnsi="宋体" w:cs="宋体"/>
          <w:color w:val="auto"/>
          <w:szCs w:val="24"/>
          <w:lang w:val="en-US" w:eastAsia="zh-CN"/>
        </w:rPr>
        <w:t>29</w:t>
      </w:r>
      <w:r>
        <w:rPr>
          <w:rFonts w:hint="eastAsia" w:hAnsi="宋体" w:cs="宋体"/>
          <w:color w:val="auto"/>
          <w:szCs w:val="24"/>
        </w:rPr>
        <w:t>.3政府采购合同应当包括采购人与中标供应商的名称和住所、标的、数量、质量、价款或者报酬、履行期限及地点和方式、验收要求、违约责任、解决争议的方法等内容。</w:t>
      </w:r>
    </w:p>
    <w:p w14:paraId="4D966A31">
      <w:pPr>
        <w:spacing w:line="500" w:lineRule="exact"/>
        <w:ind w:firstLine="480" w:firstLineChars="200"/>
        <w:rPr>
          <w:rFonts w:hint="eastAsia" w:hAnsi="宋体" w:cs="宋体"/>
          <w:color w:val="auto"/>
        </w:rPr>
      </w:pPr>
      <w:r>
        <w:rPr>
          <w:rFonts w:hint="eastAsia" w:hAnsi="宋体" w:cs="宋体"/>
          <w:color w:val="auto"/>
          <w:szCs w:val="24"/>
          <w:lang w:val="en-US" w:eastAsia="zh-CN"/>
        </w:rPr>
        <w:t>29</w:t>
      </w:r>
      <w:r>
        <w:rPr>
          <w:rFonts w:hint="eastAsia" w:hAnsi="宋体" w:cs="宋体"/>
          <w:color w:val="auto"/>
          <w:szCs w:val="24"/>
        </w:rPr>
        <w:t>.4采购人自政府采购合同签订之日起 2 个工作日内，将政府采购合同在省级以上人民政府财政部门指定的媒体上公告，但政府采购合同中涉及国家秘密、商业秘密的内容除外。自采购合同签订之日起七个工作日内，将采购合同副本报同级人民政府财政部门备案。</w:t>
      </w:r>
    </w:p>
    <w:p w14:paraId="14EC36F6">
      <w:pPr>
        <w:spacing w:line="500" w:lineRule="exact"/>
        <w:ind w:firstLine="480" w:firstLineChars="200"/>
        <w:rPr>
          <w:rFonts w:hint="eastAsia" w:hAnsi="宋体" w:cs="宋体"/>
          <w:color w:val="auto"/>
          <w:szCs w:val="24"/>
        </w:rPr>
      </w:pPr>
      <w:r>
        <w:rPr>
          <w:rFonts w:hint="eastAsia" w:hAnsi="宋体" w:cs="宋体"/>
          <w:color w:val="auto"/>
          <w:szCs w:val="24"/>
          <w:lang w:val="en-US" w:eastAsia="zh-CN"/>
        </w:rPr>
        <w:t>29</w:t>
      </w:r>
      <w:r>
        <w:rPr>
          <w:rFonts w:hint="eastAsia" w:hAnsi="宋体" w:cs="宋体"/>
          <w:color w:val="auto"/>
          <w:szCs w:val="24"/>
        </w:rPr>
        <w:t>.5采购人与中标供应商应当根据合同的约定依法履行合同义务。政府采购合同的履行、违约责任和解决争议的方法等适用《中华人民共和国民法典》。</w:t>
      </w:r>
    </w:p>
    <w:p w14:paraId="2BA53D66">
      <w:pPr>
        <w:spacing w:line="360" w:lineRule="auto"/>
        <w:outlineLvl w:val="1"/>
        <w:rPr>
          <w:rFonts w:hint="eastAsia" w:hAnsi="宋体" w:cs="宋体"/>
          <w:b/>
          <w:color w:val="auto"/>
          <w:szCs w:val="24"/>
        </w:rPr>
      </w:pPr>
      <w:bookmarkStart w:id="99" w:name="_Toc26489"/>
      <w:bookmarkStart w:id="100" w:name="_Toc27129"/>
      <w:r>
        <w:rPr>
          <w:rFonts w:hint="eastAsia" w:hAnsi="宋体" w:cs="宋体"/>
          <w:b/>
          <w:color w:val="auto"/>
          <w:szCs w:val="24"/>
        </w:rPr>
        <w:t>3</w:t>
      </w:r>
      <w:r>
        <w:rPr>
          <w:rFonts w:hint="eastAsia" w:hAnsi="宋体" w:cs="宋体"/>
          <w:b/>
          <w:color w:val="auto"/>
          <w:szCs w:val="24"/>
          <w:lang w:val="en-US" w:eastAsia="zh-CN"/>
        </w:rPr>
        <w:t>0</w:t>
      </w:r>
      <w:r>
        <w:rPr>
          <w:rFonts w:hint="eastAsia" w:hAnsi="宋体" w:cs="宋体"/>
          <w:b/>
          <w:color w:val="auto"/>
          <w:szCs w:val="24"/>
        </w:rPr>
        <w:t>.招标代理服务费</w:t>
      </w:r>
      <w:bookmarkEnd w:id="99"/>
      <w:bookmarkEnd w:id="100"/>
    </w:p>
    <w:p w14:paraId="37AFC1BE">
      <w:pPr>
        <w:spacing w:line="360" w:lineRule="auto"/>
        <w:ind w:firstLine="480" w:firstLineChars="200"/>
        <w:rPr>
          <w:rFonts w:hint="eastAsia" w:hAnsi="宋体" w:cs="宋体"/>
          <w:bCs/>
          <w:color w:val="auto"/>
          <w:szCs w:val="24"/>
        </w:rPr>
      </w:pPr>
      <w:r>
        <w:rPr>
          <w:rFonts w:hint="eastAsia" w:hAnsi="宋体" w:cs="宋体"/>
          <w:bCs/>
          <w:color w:val="auto"/>
          <w:szCs w:val="24"/>
        </w:rPr>
        <w:t>3</w:t>
      </w:r>
      <w:r>
        <w:rPr>
          <w:rFonts w:hint="eastAsia" w:hAnsi="宋体" w:cs="宋体"/>
          <w:bCs/>
          <w:color w:val="auto"/>
          <w:szCs w:val="24"/>
          <w:lang w:val="en-US" w:eastAsia="zh-CN"/>
        </w:rPr>
        <w:t>0</w:t>
      </w:r>
      <w:r>
        <w:rPr>
          <w:rFonts w:hint="eastAsia" w:hAnsi="宋体" w:cs="宋体"/>
          <w:bCs/>
          <w:color w:val="auto"/>
          <w:szCs w:val="24"/>
        </w:rPr>
        <w:t>.1</w:t>
      </w:r>
      <w:r>
        <w:rPr>
          <w:rFonts w:hint="eastAsia" w:hAnsi="宋体" w:cs="宋体"/>
          <w:bCs/>
          <w:color w:val="auto"/>
        </w:rPr>
        <w:t>参照《招标代理服务规范》《政府采购货物和服务招标投标管理办法》等有关规定执行。</w:t>
      </w:r>
    </w:p>
    <w:p w14:paraId="1CBB1E6E">
      <w:pPr>
        <w:spacing w:line="360" w:lineRule="auto"/>
        <w:ind w:firstLine="480" w:firstLineChars="200"/>
        <w:rPr>
          <w:rFonts w:hint="eastAsia" w:hAnsi="宋体" w:cs="宋体"/>
          <w:bCs/>
          <w:color w:val="auto"/>
          <w:szCs w:val="24"/>
        </w:rPr>
      </w:pPr>
      <w:r>
        <w:rPr>
          <w:rFonts w:hint="eastAsia" w:hAnsi="宋体" w:cs="宋体"/>
          <w:bCs/>
          <w:color w:val="auto"/>
          <w:szCs w:val="24"/>
        </w:rPr>
        <w:t>3</w:t>
      </w:r>
      <w:r>
        <w:rPr>
          <w:rFonts w:hint="eastAsia" w:hAnsi="宋体" w:cs="宋体"/>
          <w:bCs/>
          <w:color w:val="auto"/>
          <w:szCs w:val="24"/>
          <w:lang w:val="en-US" w:eastAsia="zh-CN"/>
        </w:rPr>
        <w:t>0</w:t>
      </w:r>
      <w:r>
        <w:rPr>
          <w:rFonts w:hint="eastAsia" w:hAnsi="宋体" w:cs="宋体"/>
          <w:bCs/>
          <w:color w:val="auto"/>
        </w:rPr>
        <w:t>.2由</w:t>
      </w:r>
      <w:r>
        <w:rPr>
          <w:rFonts w:hint="eastAsia" w:hAnsi="宋体" w:cs="宋体"/>
          <w:bCs/>
          <w:color w:val="auto"/>
          <w:szCs w:val="24"/>
        </w:rPr>
        <w:t>中标人承担招标代理服务费，中标人在领取中标通知书前，须向采购代理机构一次性支付招标代理服务费。</w:t>
      </w:r>
    </w:p>
    <w:p w14:paraId="43F1AA80">
      <w:pPr>
        <w:spacing w:line="360" w:lineRule="auto"/>
        <w:rPr>
          <w:rFonts w:hint="eastAsia" w:hAnsi="宋体" w:cs="宋体"/>
          <w:b/>
          <w:bCs/>
          <w:color w:val="auto"/>
          <w:szCs w:val="24"/>
        </w:rPr>
      </w:pPr>
      <w:r>
        <w:rPr>
          <w:rFonts w:hint="eastAsia" w:hAnsi="宋体" w:cs="宋体"/>
          <w:b/>
          <w:bCs/>
          <w:color w:val="auto"/>
          <w:szCs w:val="24"/>
        </w:rPr>
        <w:t>3</w:t>
      </w:r>
      <w:r>
        <w:rPr>
          <w:rFonts w:hint="eastAsia" w:hAnsi="宋体" w:cs="宋体"/>
          <w:b/>
          <w:bCs/>
          <w:color w:val="auto"/>
          <w:szCs w:val="24"/>
          <w:lang w:val="en-US" w:eastAsia="zh-CN"/>
        </w:rPr>
        <w:t>1</w:t>
      </w:r>
      <w:r>
        <w:rPr>
          <w:rFonts w:hint="eastAsia" w:hAnsi="宋体" w:cs="宋体"/>
          <w:b/>
          <w:bCs/>
          <w:color w:val="auto"/>
          <w:szCs w:val="24"/>
        </w:rPr>
        <w:t>.履约验收：</w:t>
      </w:r>
      <w:r>
        <w:rPr>
          <w:rFonts w:hint="eastAsia" w:hAnsi="宋体" w:cs="宋体"/>
          <w:b/>
          <w:color w:val="auto"/>
          <w:szCs w:val="24"/>
        </w:rPr>
        <w:t>无。</w:t>
      </w:r>
    </w:p>
    <w:p w14:paraId="0E1F6093">
      <w:pPr>
        <w:spacing w:line="360" w:lineRule="auto"/>
        <w:rPr>
          <w:rFonts w:hint="eastAsia" w:hAnsi="宋体" w:cs="宋体"/>
          <w:b/>
          <w:color w:val="auto"/>
          <w:szCs w:val="24"/>
        </w:rPr>
      </w:pPr>
      <w:r>
        <w:rPr>
          <w:rFonts w:hint="eastAsia" w:hAnsi="宋体" w:cs="宋体"/>
          <w:b/>
          <w:bCs/>
          <w:color w:val="auto"/>
          <w:szCs w:val="24"/>
        </w:rPr>
        <w:t>3</w:t>
      </w:r>
      <w:r>
        <w:rPr>
          <w:rFonts w:hint="eastAsia" w:hAnsi="宋体" w:cs="宋体"/>
          <w:b/>
          <w:bCs/>
          <w:color w:val="auto"/>
          <w:szCs w:val="24"/>
          <w:lang w:val="en-US" w:eastAsia="zh-CN"/>
        </w:rPr>
        <w:t>2</w:t>
      </w:r>
      <w:r>
        <w:rPr>
          <w:rFonts w:hint="eastAsia" w:hAnsi="宋体" w:cs="宋体"/>
          <w:b/>
          <w:bCs/>
          <w:color w:val="auto"/>
          <w:szCs w:val="24"/>
        </w:rPr>
        <w:t>.履约保证金：</w:t>
      </w:r>
      <w:r>
        <w:rPr>
          <w:rFonts w:hint="eastAsia" w:hAnsi="宋体" w:cs="宋体"/>
          <w:b/>
          <w:color w:val="auto"/>
          <w:szCs w:val="24"/>
        </w:rPr>
        <w:t>无。</w:t>
      </w:r>
    </w:p>
    <w:p w14:paraId="25CD607C">
      <w:pPr>
        <w:spacing w:line="360" w:lineRule="auto"/>
        <w:rPr>
          <w:rFonts w:hint="eastAsia" w:hAnsi="宋体" w:cs="宋体"/>
          <w:b/>
          <w:bCs/>
          <w:color w:val="auto"/>
          <w:szCs w:val="24"/>
        </w:rPr>
      </w:pPr>
      <w:r>
        <w:rPr>
          <w:rFonts w:hint="eastAsia" w:hAnsi="宋体" w:cs="宋体"/>
          <w:b/>
          <w:bCs/>
          <w:color w:val="auto"/>
          <w:szCs w:val="24"/>
        </w:rPr>
        <w:t>3</w:t>
      </w:r>
      <w:r>
        <w:rPr>
          <w:rFonts w:hint="eastAsia" w:hAnsi="宋体" w:cs="宋体"/>
          <w:b/>
          <w:bCs/>
          <w:color w:val="auto"/>
          <w:szCs w:val="24"/>
          <w:lang w:val="en-US" w:eastAsia="zh-CN"/>
        </w:rPr>
        <w:t>3</w:t>
      </w:r>
      <w:r>
        <w:rPr>
          <w:rFonts w:hint="eastAsia" w:hAnsi="宋体" w:cs="宋体"/>
          <w:b/>
          <w:bCs/>
          <w:color w:val="auto"/>
          <w:szCs w:val="24"/>
        </w:rPr>
        <w:t>.质疑</w:t>
      </w:r>
    </w:p>
    <w:p w14:paraId="2CFA8264">
      <w:pPr>
        <w:spacing w:line="360" w:lineRule="auto"/>
        <w:ind w:right="12" w:firstLine="48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.1供应商认为招标文件、招标过程、中标结果使自己的权益受到损害的，可以在知道或者应知其权益受到损害之日起7个工作日内，以书面形式向采购人、采购代理机构提出质疑。</w:t>
      </w:r>
    </w:p>
    <w:p w14:paraId="2E8145F6">
      <w:pPr>
        <w:spacing w:line="360" w:lineRule="auto"/>
        <w:ind w:right="12" w:firstLine="480"/>
        <w:rPr>
          <w:rStyle w:val="49"/>
          <w:rFonts w:hint="eastAsia" w:hAnsi="宋体" w:cs="宋体"/>
          <w:bCs w:val="0"/>
          <w:color w:val="auto"/>
          <w:szCs w:val="24"/>
          <w:shd w:val="clear" w:color="auto" w:fill="FFFFFF"/>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.2供应商必须在法定质疑期内一次性提出针对同一采购程序环节的质疑。</w:t>
      </w:r>
    </w:p>
    <w:p w14:paraId="739D32A3">
      <w:pPr>
        <w:spacing w:line="360" w:lineRule="auto"/>
        <w:ind w:firstLine="480" w:firstLineChars="200"/>
        <w:rPr>
          <w:rStyle w:val="49"/>
          <w:rFonts w:hint="eastAsia" w:hAnsi="宋体" w:cs="宋体"/>
          <w:b w:val="0"/>
          <w:color w:val="auto"/>
          <w:szCs w:val="24"/>
          <w:shd w:val="clear" w:color="auto" w:fill="FFFFFF"/>
        </w:rPr>
      </w:pPr>
      <w:r>
        <w:rPr>
          <w:rFonts w:hint="eastAsia" w:hAnsi="宋体" w:cs="宋体"/>
          <w:color w:val="auto"/>
          <w:szCs w:val="24"/>
        </w:rPr>
        <w:t>3</w:t>
      </w:r>
      <w:r>
        <w:rPr>
          <w:rFonts w:hint="eastAsia" w:hAnsi="宋体" w:cs="宋体"/>
          <w:color w:val="auto"/>
          <w:szCs w:val="24"/>
          <w:lang w:val="en-US" w:eastAsia="zh-CN"/>
        </w:rPr>
        <w:t>3</w:t>
      </w:r>
      <w:r>
        <w:rPr>
          <w:rStyle w:val="49"/>
          <w:rFonts w:hint="eastAsia" w:hAnsi="宋体" w:cs="宋体"/>
          <w:b w:val="0"/>
          <w:color w:val="auto"/>
          <w:szCs w:val="24"/>
          <w:shd w:val="clear" w:color="auto" w:fill="FFFFFF"/>
        </w:rPr>
        <w:t>.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CE51EF0">
      <w:pPr>
        <w:spacing w:line="360" w:lineRule="auto"/>
        <w:ind w:left="3" w:firstLine="518" w:firstLineChars="216"/>
        <w:rPr>
          <w:rStyle w:val="49"/>
          <w:rFonts w:hint="eastAsia" w:hAnsi="宋体" w:cs="宋体"/>
          <w:b w:val="0"/>
          <w:color w:val="auto"/>
          <w:szCs w:val="24"/>
          <w:shd w:val="clear" w:color="auto" w:fill="FFFFFF"/>
        </w:rPr>
      </w:pPr>
      <w:r>
        <w:rPr>
          <w:rFonts w:hint="eastAsia" w:hAnsi="宋体" w:cs="宋体"/>
          <w:color w:val="auto"/>
          <w:szCs w:val="24"/>
        </w:rPr>
        <w:t>3</w:t>
      </w:r>
      <w:r>
        <w:rPr>
          <w:rFonts w:hint="eastAsia" w:hAnsi="宋体" w:cs="宋体"/>
          <w:color w:val="auto"/>
          <w:szCs w:val="24"/>
          <w:lang w:val="en-US" w:eastAsia="zh-CN"/>
        </w:rPr>
        <w:t>3</w:t>
      </w:r>
      <w:r>
        <w:rPr>
          <w:rStyle w:val="49"/>
          <w:rFonts w:hint="eastAsia" w:hAnsi="宋体" w:cs="宋体"/>
          <w:b w:val="0"/>
          <w:color w:val="auto"/>
          <w:szCs w:val="24"/>
          <w:shd w:val="clear" w:color="auto" w:fill="FFFFFF"/>
        </w:rPr>
        <w:t>.4</w:t>
      </w:r>
      <w:r>
        <w:rPr>
          <w:rStyle w:val="49"/>
          <w:rFonts w:hAnsi="宋体" w:cs="宋体"/>
          <w:b w:val="0"/>
          <w:color w:val="auto"/>
          <w:szCs w:val="24"/>
          <w:shd w:val="clear" w:color="auto" w:fill="FFFFFF"/>
        </w:rPr>
        <w:t>本项目</w:t>
      </w:r>
      <w:r>
        <w:rPr>
          <w:rStyle w:val="49"/>
          <w:rFonts w:hint="eastAsia" w:hAnsi="宋体" w:cs="宋体"/>
          <w:b w:val="0"/>
          <w:color w:val="auto"/>
          <w:szCs w:val="24"/>
          <w:shd w:val="clear" w:color="auto" w:fill="FFFFFF"/>
        </w:rPr>
        <w:t>不接受联合体投标，其质疑应当由投标供应商单独提出。</w:t>
      </w:r>
    </w:p>
    <w:p w14:paraId="1C585B22">
      <w:pPr>
        <w:spacing w:line="360" w:lineRule="auto"/>
        <w:ind w:right="12"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.5供应商提出质疑应当提交质疑函和必要的证明材料。质疑函应当包括下列内容：</w:t>
      </w:r>
    </w:p>
    <w:p w14:paraId="06A9132F">
      <w:pPr>
        <w:spacing w:line="360" w:lineRule="auto"/>
        <w:ind w:right="12"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.5.1供应商的姓名或者名称、地址、邮编、联系人及联系电话；</w:t>
      </w:r>
    </w:p>
    <w:p w14:paraId="0398BCB8">
      <w:pPr>
        <w:spacing w:line="360" w:lineRule="auto"/>
        <w:ind w:right="12"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.5.2质疑项目的名称、编号；</w:t>
      </w:r>
    </w:p>
    <w:p w14:paraId="15AF24D1">
      <w:pPr>
        <w:spacing w:line="360" w:lineRule="auto"/>
        <w:ind w:right="12"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.5.3具体、明确的质疑事项和与质疑事项相关的请求；</w:t>
      </w:r>
    </w:p>
    <w:p w14:paraId="7FCA2385">
      <w:pPr>
        <w:spacing w:line="360" w:lineRule="auto"/>
        <w:ind w:right="12"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.5.4事实依据；</w:t>
      </w:r>
    </w:p>
    <w:p w14:paraId="722B917C">
      <w:pPr>
        <w:spacing w:line="360" w:lineRule="auto"/>
        <w:ind w:right="12"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.5.5必要的法律依据；</w:t>
      </w:r>
    </w:p>
    <w:p w14:paraId="67D0745F">
      <w:pPr>
        <w:spacing w:line="360" w:lineRule="auto"/>
        <w:ind w:right="12" w:firstLine="480" w:firstLineChars="200"/>
        <w:rPr>
          <w:rStyle w:val="49"/>
          <w:rFonts w:hint="eastAsia" w:hAnsi="宋体" w:cs="宋体"/>
          <w:b w:val="0"/>
          <w:color w:val="auto"/>
          <w:szCs w:val="24"/>
          <w:shd w:val="clear" w:color="auto" w:fill="FFFFFF"/>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.5.6提出质疑的日期。</w:t>
      </w:r>
    </w:p>
    <w:p w14:paraId="6D012FAF">
      <w:pPr>
        <w:widowControl/>
        <w:spacing w:line="360" w:lineRule="auto"/>
        <w:ind w:firstLine="480" w:firstLineChars="200"/>
        <w:rPr>
          <w:rFonts w:hint="eastAsia" w:hAnsi="宋体" w:cs="宋体"/>
          <w:color w:val="auto"/>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.6有下列情形之一的，属于无效质疑，采购代理机构和采购人不予受理：</w:t>
      </w:r>
    </w:p>
    <w:p w14:paraId="1DE7264B">
      <w:pPr>
        <w:widowControl/>
        <w:spacing w:line="360" w:lineRule="auto"/>
        <w:ind w:firstLine="480" w:firstLineChars="200"/>
        <w:rPr>
          <w:rFonts w:hint="eastAsia" w:hAnsi="宋体" w:cs="宋体"/>
          <w:color w:val="auto"/>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.6.1质疑供应商不是参与本次政府采购项目的供应商；</w:t>
      </w:r>
    </w:p>
    <w:p w14:paraId="06F1E1C5">
      <w:pPr>
        <w:widowControl/>
        <w:spacing w:line="360" w:lineRule="auto"/>
        <w:ind w:firstLine="480" w:firstLineChars="200"/>
        <w:rPr>
          <w:rFonts w:hint="eastAsia" w:hAnsi="宋体" w:cs="宋体"/>
          <w:color w:val="auto"/>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.6.2质疑供应商与质疑事项不存在利害关系的；</w:t>
      </w:r>
    </w:p>
    <w:p w14:paraId="7C675382">
      <w:pPr>
        <w:widowControl/>
        <w:spacing w:line="360" w:lineRule="auto"/>
        <w:ind w:firstLine="480" w:firstLineChars="200"/>
        <w:rPr>
          <w:rFonts w:hint="eastAsia" w:hAnsi="宋体" w:cs="宋体"/>
          <w:color w:val="auto"/>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.6.3未在法定期限内提出质疑的；</w:t>
      </w:r>
    </w:p>
    <w:p w14:paraId="29D00DF3">
      <w:pPr>
        <w:widowControl/>
        <w:spacing w:line="360" w:lineRule="auto"/>
        <w:ind w:firstLine="480" w:firstLineChars="200"/>
        <w:rPr>
          <w:rFonts w:hint="eastAsia" w:hAnsi="宋体" w:cs="宋体"/>
          <w:color w:val="auto"/>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.6.4质疑未以书面形式提出，或质疑函主要内容构成不完整的；</w:t>
      </w:r>
    </w:p>
    <w:p w14:paraId="6E64856B">
      <w:pPr>
        <w:widowControl/>
        <w:spacing w:line="360" w:lineRule="auto"/>
        <w:ind w:firstLine="480" w:firstLineChars="200"/>
        <w:rPr>
          <w:rFonts w:hint="eastAsia" w:hAnsi="宋体" w:cs="宋体"/>
          <w:color w:val="auto"/>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.6.5应当提交授权书而未提交的；</w:t>
      </w:r>
    </w:p>
    <w:p w14:paraId="31CDC368">
      <w:pPr>
        <w:widowControl/>
        <w:spacing w:line="360" w:lineRule="auto"/>
        <w:ind w:firstLine="480" w:firstLineChars="200"/>
        <w:rPr>
          <w:rFonts w:hint="eastAsia" w:hAnsi="宋体" w:cs="宋体"/>
          <w:color w:val="auto"/>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.6.6以非法手段取得证据、材料的；</w:t>
      </w:r>
    </w:p>
    <w:p w14:paraId="35D76894">
      <w:pPr>
        <w:widowControl/>
        <w:spacing w:line="360" w:lineRule="auto"/>
        <w:ind w:firstLine="480" w:firstLineChars="200"/>
        <w:rPr>
          <w:rFonts w:hint="eastAsia" w:hAnsi="宋体" w:cs="宋体"/>
          <w:color w:val="auto"/>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.6.7质疑答复后，同一质疑人就同一事项或同一采购程序环节再次提出质疑的；</w:t>
      </w:r>
    </w:p>
    <w:p w14:paraId="503B03C8">
      <w:pPr>
        <w:widowControl/>
        <w:spacing w:line="360" w:lineRule="auto"/>
        <w:ind w:firstLine="480" w:firstLineChars="200"/>
        <w:rPr>
          <w:rStyle w:val="49"/>
          <w:rFonts w:hAnsi="宋体" w:cs="宋体"/>
          <w:b w:val="0"/>
          <w:color w:val="auto"/>
          <w:szCs w:val="24"/>
          <w:shd w:val="clear" w:color="auto" w:fill="FFFFFF"/>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rPr>
        <w:t>.6.8不符合法律、法规、规章和政府采购监管机构规定的其他条件的。</w:t>
      </w:r>
    </w:p>
    <w:p w14:paraId="45777648">
      <w:pPr>
        <w:widowControl/>
        <w:spacing w:line="360" w:lineRule="auto"/>
        <w:ind w:firstLine="480" w:firstLineChars="200"/>
        <w:rPr>
          <w:rFonts w:hint="eastAsia" w:hAnsi="宋体" w:cs="宋体"/>
          <w:bCs/>
          <w:color w:val="auto"/>
          <w:szCs w:val="24"/>
          <w:shd w:val="clear" w:color="auto" w:fill="FFFFFF"/>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.7质疑答复</w:t>
      </w:r>
    </w:p>
    <w:p w14:paraId="5E6EAE14">
      <w:pPr>
        <w:pStyle w:val="170"/>
        <w:spacing w:line="360" w:lineRule="auto"/>
        <w:ind w:firstLine="48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.7.1采购人或采购代理机构在收到质疑函后7个工作日内作出答复，并以书面形式通知质疑供应商和其他有关供应商。</w:t>
      </w:r>
    </w:p>
    <w:p w14:paraId="03F926EF">
      <w:pPr>
        <w:pStyle w:val="170"/>
        <w:spacing w:line="360" w:lineRule="auto"/>
        <w:ind w:firstLine="480" w:firstLineChars="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.7.2质疑供应商对采购人、采购代理机构的答复不满意，或者采购人、采购代理机构未在规定时间内作出答复的，可以在答复期满后15个工作日内向</w:t>
      </w:r>
      <w:r>
        <w:rPr>
          <w:rFonts w:hint="eastAsia" w:hAnsi="宋体" w:cs="宋体"/>
          <w:b/>
          <w:bCs/>
          <w:color w:val="auto"/>
          <w:szCs w:val="24"/>
        </w:rPr>
        <w:t>同级财政部门</w:t>
      </w:r>
      <w:r>
        <w:rPr>
          <w:rFonts w:hint="eastAsia" w:hAnsi="宋体" w:cs="宋体"/>
          <w:color w:val="auto"/>
          <w:szCs w:val="24"/>
        </w:rPr>
        <w:t>提起投诉。</w:t>
      </w:r>
    </w:p>
    <w:p w14:paraId="7F6FC1AC">
      <w:pPr>
        <w:pStyle w:val="170"/>
        <w:spacing w:line="360" w:lineRule="auto"/>
        <w:ind w:firstLine="480" w:firstLineChars="0"/>
        <w:jc w:val="left"/>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8.1质疑函须按财政部《质疑函范本》给定的格式进行填写，范本下载详见【财政部国库司（gks.mof.gov.cn）】网站〖首页·政府采购管理〗栏目中的《政府采购投标单位质疑函范本》。《政府采购投标单位质疑函范本》链接地址：</w:t>
      </w:r>
    </w:p>
    <w:p w14:paraId="60315766">
      <w:pPr>
        <w:pStyle w:val="170"/>
        <w:spacing w:line="360" w:lineRule="auto"/>
        <w:ind w:firstLine="480" w:firstLineChars="0"/>
        <w:jc w:val="left"/>
        <w:rPr>
          <w:rFonts w:hint="eastAsia" w:hAnsi="宋体" w:cs="宋体"/>
          <w:color w:val="auto"/>
          <w:szCs w:val="24"/>
        </w:rPr>
      </w:pPr>
      <w:r>
        <w:rPr>
          <w:rFonts w:hint="eastAsia" w:hAnsi="宋体" w:cs="宋体"/>
          <w:color w:val="auto"/>
          <w:szCs w:val="24"/>
          <w:highlight w:val="none"/>
        </w:rPr>
        <w:t>http://gks.mof.gov.cn/ztztz/zhengfucaigouguanli/201802/t20180201_2804589.htm</w:t>
      </w:r>
    </w:p>
    <w:p w14:paraId="1764B5C3">
      <w:pPr>
        <w:pStyle w:val="170"/>
        <w:spacing w:line="360" w:lineRule="auto"/>
        <w:ind w:firstLine="480" w:firstLineChars="0"/>
        <w:jc w:val="left"/>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.8.2接收质疑函的方式：书面形式</w:t>
      </w:r>
    </w:p>
    <w:p w14:paraId="044C80D9">
      <w:pPr>
        <w:pStyle w:val="170"/>
        <w:spacing w:line="360" w:lineRule="auto"/>
        <w:ind w:firstLine="480" w:firstLineChars="0"/>
        <w:jc w:val="left"/>
        <w:rPr>
          <w:rFonts w:hint="eastAsia" w:hAnsi="宋体" w:eastAsia="宋体" w:cs="宋体"/>
          <w:color w:val="auto"/>
          <w:szCs w:val="24"/>
          <w:lang w:eastAsia="zh-CN"/>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.8.3联系部门：</w:t>
      </w:r>
      <w:r>
        <w:rPr>
          <w:rFonts w:hint="eastAsia" w:hAnsi="宋体" w:cs="宋体"/>
          <w:color w:val="auto"/>
          <w:szCs w:val="24"/>
          <w:lang w:eastAsia="zh-CN"/>
        </w:rPr>
        <w:t>陕西万兴招标代理有限公司</w:t>
      </w:r>
    </w:p>
    <w:p w14:paraId="51786FE3">
      <w:pPr>
        <w:pStyle w:val="170"/>
        <w:spacing w:line="360" w:lineRule="auto"/>
        <w:ind w:firstLine="480" w:firstLineChars="0"/>
        <w:jc w:val="left"/>
        <w:rPr>
          <w:rFonts w:hint="default" w:hAnsi="宋体" w:eastAsia="宋体" w:cs="宋体"/>
          <w:color w:val="auto"/>
          <w:szCs w:val="24"/>
          <w:lang w:val="en-US" w:eastAsia="zh-CN"/>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.8.4联系电话：</w:t>
      </w:r>
      <w:r>
        <w:rPr>
          <w:rFonts w:hint="eastAsia" w:hAnsi="宋体" w:cs="宋体"/>
          <w:color w:val="auto"/>
          <w:szCs w:val="24"/>
          <w:lang w:val="en-US" w:eastAsia="zh-CN"/>
        </w:rPr>
        <w:t>029-89627187</w:t>
      </w:r>
    </w:p>
    <w:p w14:paraId="0316CF2F">
      <w:pPr>
        <w:pStyle w:val="170"/>
        <w:spacing w:line="360" w:lineRule="auto"/>
        <w:ind w:firstLine="480" w:firstLineChars="0"/>
        <w:jc w:val="left"/>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3</w:t>
      </w:r>
      <w:r>
        <w:rPr>
          <w:rFonts w:hint="eastAsia" w:hAnsi="宋体" w:cs="宋体"/>
          <w:color w:val="auto"/>
          <w:szCs w:val="24"/>
        </w:rPr>
        <w:t>.8.5通讯地址：</w:t>
      </w:r>
      <w:r>
        <w:rPr>
          <w:rFonts w:hint="eastAsia" w:cs="宋体" w:asciiTheme="minorEastAsia" w:hAnsiTheme="minorEastAsia" w:eastAsiaTheme="minorEastAsia"/>
          <w:color w:val="auto"/>
          <w:szCs w:val="24"/>
          <w:lang w:eastAsia="zh-CN"/>
        </w:rPr>
        <w:t>西安市莲湖区北关正街35号方兴大厦4-018室</w:t>
      </w:r>
    </w:p>
    <w:p w14:paraId="2547584E">
      <w:pPr>
        <w:spacing w:line="360" w:lineRule="auto"/>
        <w:outlineLvl w:val="1"/>
        <w:rPr>
          <w:rFonts w:hint="eastAsia" w:hAnsi="宋体" w:cs="宋体"/>
          <w:color w:val="auto"/>
          <w:szCs w:val="24"/>
        </w:rPr>
      </w:pPr>
      <w:bookmarkStart w:id="101" w:name="_Toc19849"/>
      <w:bookmarkStart w:id="102" w:name="_Toc13825"/>
      <w:r>
        <w:rPr>
          <w:rFonts w:hint="eastAsia" w:hAnsi="宋体" w:cs="宋体"/>
          <w:b/>
          <w:bCs/>
          <w:color w:val="auto"/>
          <w:szCs w:val="24"/>
        </w:rPr>
        <w:t>3</w:t>
      </w:r>
      <w:r>
        <w:rPr>
          <w:rFonts w:hint="eastAsia" w:hAnsi="宋体" w:cs="宋体"/>
          <w:b/>
          <w:bCs/>
          <w:color w:val="auto"/>
          <w:szCs w:val="24"/>
          <w:lang w:val="en-US" w:eastAsia="zh-CN"/>
        </w:rPr>
        <w:t>4</w:t>
      </w:r>
      <w:r>
        <w:rPr>
          <w:rFonts w:hint="eastAsia" w:hAnsi="宋体" w:cs="宋体"/>
          <w:b/>
          <w:bCs/>
          <w:color w:val="auto"/>
          <w:szCs w:val="24"/>
        </w:rPr>
        <w:t>.其他</w:t>
      </w:r>
      <w:bookmarkEnd w:id="101"/>
      <w:bookmarkEnd w:id="102"/>
    </w:p>
    <w:p w14:paraId="3708270B">
      <w:pPr>
        <w:spacing w:line="360" w:lineRule="auto"/>
        <w:ind w:firstLine="480" w:firstLineChars="200"/>
        <w:outlineLvl w:val="2"/>
        <w:rPr>
          <w:rFonts w:hint="eastAsia" w:hAnsi="宋体" w:cs="宋体"/>
          <w:color w:val="auto"/>
        </w:rPr>
      </w:pPr>
      <w:r>
        <w:rPr>
          <w:rFonts w:hint="eastAsia" w:hAnsi="宋体" w:cs="宋体"/>
          <w:color w:val="auto"/>
        </w:rPr>
        <w:t>3</w:t>
      </w:r>
      <w:r>
        <w:rPr>
          <w:rFonts w:hint="eastAsia" w:hAnsi="宋体" w:cs="宋体"/>
          <w:color w:val="auto"/>
          <w:lang w:val="en-US" w:eastAsia="zh-CN"/>
        </w:rPr>
        <w:t>4</w:t>
      </w:r>
      <w:r>
        <w:rPr>
          <w:rFonts w:hint="eastAsia" w:hAnsi="宋体" w:cs="宋体"/>
          <w:color w:val="auto"/>
        </w:rPr>
        <w:t>.1废标的情形</w:t>
      </w:r>
    </w:p>
    <w:p w14:paraId="59319217">
      <w:pPr>
        <w:spacing w:line="360" w:lineRule="auto"/>
        <w:ind w:firstLine="480" w:firstLineChars="200"/>
        <w:outlineLvl w:val="3"/>
        <w:rPr>
          <w:rFonts w:hint="eastAsia" w:hAnsi="宋体" w:cs="宋体"/>
          <w:color w:val="auto"/>
        </w:rPr>
      </w:pPr>
      <w:r>
        <w:rPr>
          <w:rFonts w:hint="eastAsia" w:hAnsi="宋体" w:cs="宋体"/>
          <w:color w:val="auto"/>
        </w:rPr>
        <w:t>3</w:t>
      </w:r>
      <w:r>
        <w:rPr>
          <w:rFonts w:hint="eastAsia" w:hAnsi="宋体" w:cs="宋体"/>
          <w:color w:val="auto"/>
          <w:lang w:val="en-US" w:eastAsia="zh-CN"/>
        </w:rPr>
        <w:t>4</w:t>
      </w:r>
      <w:r>
        <w:rPr>
          <w:rFonts w:hint="eastAsia" w:hAnsi="宋体" w:cs="宋体"/>
          <w:color w:val="auto"/>
        </w:rPr>
        <w:t>.1.1招标采购中，出现下列情形之一的，应予以废标：</w:t>
      </w:r>
    </w:p>
    <w:p w14:paraId="6BAD5574">
      <w:pPr>
        <w:spacing w:line="360" w:lineRule="auto"/>
        <w:ind w:firstLine="480" w:firstLineChars="200"/>
        <w:rPr>
          <w:rFonts w:hint="eastAsia" w:hAnsi="宋体" w:cs="宋体"/>
          <w:color w:val="auto"/>
        </w:rPr>
      </w:pPr>
      <w:r>
        <w:rPr>
          <w:rFonts w:hint="eastAsia" w:hAnsi="宋体" w:cs="宋体"/>
          <w:color w:val="auto"/>
        </w:rPr>
        <w:t>（1）符合专业条件的供应商或者对招标文件作实质响应的供应商不足3家的；</w:t>
      </w:r>
    </w:p>
    <w:p w14:paraId="2689B53C">
      <w:pPr>
        <w:spacing w:line="360" w:lineRule="auto"/>
        <w:ind w:firstLine="480" w:firstLineChars="200"/>
        <w:rPr>
          <w:rFonts w:hint="eastAsia" w:hAnsi="宋体" w:cs="宋体"/>
          <w:color w:val="auto"/>
        </w:rPr>
      </w:pPr>
      <w:r>
        <w:rPr>
          <w:rFonts w:hint="eastAsia" w:hAnsi="宋体" w:cs="宋体"/>
          <w:color w:val="auto"/>
        </w:rPr>
        <w:t>（2）出现影响采购公正的违法、违规行为的；</w:t>
      </w:r>
    </w:p>
    <w:p w14:paraId="71A8F3F2">
      <w:pPr>
        <w:spacing w:line="360" w:lineRule="auto"/>
        <w:ind w:firstLine="480" w:firstLineChars="200"/>
        <w:rPr>
          <w:rFonts w:hint="eastAsia" w:hAnsi="宋体" w:cs="宋体"/>
          <w:color w:val="auto"/>
        </w:rPr>
      </w:pPr>
      <w:r>
        <w:rPr>
          <w:rFonts w:hint="eastAsia" w:hAnsi="宋体" w:cs="宋体"/>
          <w:color w:val="auto"/>
        </w:rPr>
        <w:t>（3）供应商的报价均超过了采购预算，采购人不能支付的；</w:t>
      </w:r>
    </w:p>
    <w:p w14:paraId="4B8C5079">
      <w:pPr>
        <w:spacing w:line="360" w:lineRule="auto"/>
        <w:ind w:firstLine="480" w:firstLineChars="200"/>
        <w:rPr>
          <w:rFonts w:hint="eastAsia" w:hAnsi="宋体" w:cs="宋体"/>
          <w:color w:val="auto"/>
        </w:rPr>
      </w:pPr>
      <w:r>
        <w:rPr>
          <w:rFonts w:hint="eastAsia" w:hAnsi="宋体" w:cs="宋体"/>
          <w:color w:val="auto"/>
        </w:rPr>
        <w:t>（4）因重大变故，投标取消的。</w:t>
      </w:r>
    </w:p>
    <w:p w14:paraId="3F4E2FE3">
      <w:pPr>
        <w:spacing w:line="360" w:lineRule="auto"/>
        <w:ind w:firstLine="480" w:firstLineChars="200"/>
        <w:rPr>
          <w:rFonts w:hint="eastAsia" w:hAnsi="宋体" w:cs="宋体"/>
          <w:color w:val="auto"/>
        </w:rPr>
      </w:pPr>
      <w:r>
        <w:rPr>
          <w:rFonts w:hint="eastAsia" w:hAnsi="宋体" w:cs="宋体"/>
          <w:color w:val="auto"/>
        </w:rPr>
        <w:t>3</w:t>
      </w:r>
      <w:r>
        <w:rPr>
          <w:rFonts w:hint="eastAsia" w:hAnsi="宋体" w:cs="宋体"/>
          <w:color w:val="auto"/>
          <w:lang w:val="en-US" w:eastAsia="zh-CN"/>
        </w:rPr>
        <w:t>4</w:t>
      </w:r>
      <w:r>
        <w:rPr>
          <w:rFonts w:hint="eastAsia" w:hAnsi="宋体" w:cs="宋体"/>
          <w:color w:val="auto"/>
        </w:rPr>
        <w:t>.1.2废标后，采购代理机构应在财政部门指定采购网上公告，并公告废标的详细理由。</w:t>
      </w:r>
    </w:p>
    <w:p w14:paraId="5DB525E9">
      <w:pPr>
        <w:spacing w:line="360" w:lineRule="auto"/>
        <w:ind w:firstLine="480" w:firstLineChars="200"/>
        <w:outlineLvl w:val="2"/>
        <w:rPr>
          <w:rFonts w:hint="eastAsia" w:hAnsi="宋体" w:cs="宋体"/>
          <w:color w:val="auto"/>
        </w:rPr>
      </w:pPr>
      <w:r>
        <w:rPr>
          <w:rFonts w:hint="eastAsia" w:hAnsi="宋体" w:cs="宋体"/>
          <w:color w:val="auto"/>
        </w:rPr>
        <w:t>3</w:t>
      </w:r>
      <w:r>
        <w:rPr>
          <w:rFonts w:hint="eastAsia" w:hAnsi="宋体" w:cs="宋体"/>
          <w:color w:val="auto"/>
          <w:lang w:val="en-US" w:eastAsia="zh-CN"/>
        </w:rPr>
        <w:t>4</w:t>
      </w:r>
      <w:r>
        <w:rPr>
          <w:rFonts w:hint="eastAsia" w:hAnsi="宋体" w:cs="宋体"/>
          <w:color w:val="auto"/>
        </w:rPr>
        <w:t>.2变更采购方式</w:t>
      </w:r>
    </w:p>
    <w:p w14:paraId="60F22E99">
      <w:pPr>
        <w:spacing w:line="360" w:lineRule="auto"/>
        <w:ind w:firstLine="480" w:firstLineChars="200"/>
        <w:rPr>
          <w:rFonts w:hint="eastAsia" w:hAnsi="宋体" w:cs="宋体"/>
          <w:color w:val="auto"/>
        </w:rPr>
      </w:pPr>
      <w:r>
        <w:rPr>
          <w:rFonts w:hint="eastAsia" w:hAnsi="宋体" w:cs="宋体"/>
          <w:color w:val="auto"/>
        </w:rPr>
        <w:t>3</w:t>
      </w:r>
      <w:r>
        <w:rPr>
          <w:rFonts w:hint="eastAsia" w:hAnsi="宋体" w:cs="宋体"/>
          <w:color w:val="auto"/>
          <w:lang w:val="en-US" w:eastAsia="zh-CN"/>
        </w:rPr>
        <w:t>4</w:t>
      </w:r>
      <w:r>
        <w:rPr>
          <w:rFonts w:hint="eastAsia" w:hAnsi="宋体" w:cs="宋体"/>
          <w:color w:val="auto"/>
        </w:rPr>
        <w:t>.2.1存在下列情形之一的，除采购任务取消情形外，采购人经同级财政部门同意后，可按《政府采购货物和服务招标投标管理办法》（财政部87号令）第四十三条规定的方式处理：</w:t>
      </w:r>
    </w:p>
    <w:p w14:paraId="2363EC25">
      <w:pPr>
        <w:spacing w:line="360" w:lineRule="auto"/>
        <w:ind w:firstLine="480" w:firstLineChars="200"/>
        <w:rPr>
          <w:rFonts w:hint="eastAsia" w:hAnsi="宋体" w:cs="宋体"/>
          <w:color w:val="auto"/>
        </w:rPr>
      </w:pPr>
      <w:r>
        <w:rPr>
          <w:rFonts w:hint="eastAsia" w:hAnsi="宋体" w:cs="宋体"/>
          <w:color w:val="auto"/>
        </w:rPr>
        <w:t>（1）投标截止后参加投标的人不足3家的；</w:t>
      </w:r>
    </w:p>
    <w:p w14:paraId="518F9F68">
      <w:pPr>
        <w:spacing w:line="360" w:lineRule="auto"/>
        <w:ind w:firstLine="480" w:firstLineChars="200"/>
        <w:rPr>
          <w:rFonts w:hint="eastAsia" w:hAnsi="宋体" w:cs="宋体"/>
          <w:color w:val="auto"/>
        </w:rPr>
      </w:pPr>
      <w:r>
        <w:rPr>
          <w:rFonts w:hint="eastAsia" w:hAnsi="宋体" w:cs="宋体"/>
          <w:color w:val="auto"/>
        </w:rPr>
        <w:t>（2）通过资格审查的供应商不足3家的；</w:t>
      </w:r>
    </w:p>
    <w:p w14:paraId="3A9C4744">
      <w:pPr>
        <w:spacing w:line="360" w:lineRule="auto"/>
        <w:ind w:firstLine="480" w:firstLineChars="200"/>
        <w:rPr>
          <w:rFonts w:hint="eastAsia" w:hAnsi="宋体" w:cs="宋体"/>
          <w:color w:val="auto"/>
        </w:rPr>
      </w:pPr>
      <w:r>
        <w:rPr>
          <w:rFonts w:hint="eastAsia" w:hAnsi="宋体" w:cs="宋体"/>
          <w:color w:val="auto"/>
        </w:rPr>
        <w:t>（3）通过符合性审查的供应商不足3家的。</w:t>
      </w:r>
    </w:p>
    <w:p w14:paraId="668A6A6D">
      <w:pPr>
        <w:spacing w:line="360" w:lineRule="auto"/>
        <w:ind w:firstLine="480" w:firstLineChars="200"/>
        <w:rPr>
          <w:rFonts w:hint="eastAsia" w:hAnsi="宋体" w:cs="宋体"/>
          <w:color w:val="auto"/>
        </w:rPr>
      </w:pPr>
      <w:r>
        <w:rPr>
          <w:rFonts w:hint="eastAsia" w:hAnsi="宋体" w:cs="宋体"/>
          <w:color w:val="auto"/>
        </w:rPr>
        <w:t>3</w:t>
      </w:r>
      <w:r>
        <w:rPr>
          <w:rFonts w:hint="eastAsia" w:hAnsi="宋体" w:cs="宋体"/>
          <w:color w:val="auto"/>
          <w:lang w:val="en-US" w:eastAsia="zh-CN"/>
        </w:rPr>
        <w:t>4</w:t>
      </w:r>
      <w:r>
        <w:rPr>
          <w:rFonts w:hint="eastAsia" w:hAnsi="宋体" w:cs="宋体"/>
          <w:color w:val="auto"/>
        </w:rPr>
        <w:t>.2.2通过符合性审查的供应商只有2家时，采购人经同级财政部门同意后，可以按《政府采购非招标采购方式管理办法》（财政部第74号令）的规定与该2家供应商进行竞争性谈判采购。</w:t>
      </w:r>
    </w:p>
    <w:p w14:paraId="33D91A72">
      <w:pPr>
        <w:spacing w:line="360" w:lineRule="auto"/>
        <w:outlineLvl w:val="1"/>
        <w:rPr>
          <w:rFonts w:hint="eastAsia" w:hAnsi="宋体" w:cs="宋体"/>
          <w:b/>
          <w:color w:val="auto"/>
          <w:sz w:val="36"/>
          <w:szCs w:val="36"/>
        </w:rPr>
      </w:pPr>
      <w:bookmarkStart w:id="103" w:name="_Toc23363"/>
      <w:bookmarkStart w:id="104" w:name="_Toc5188"/>
      <w:r>
        <w:rPr>
          <w:rFonts w:hint="eastAsia" w:hAnsi="宋体" w:cs="宋体"/>
          <w:b/>
          <w:color w:val="auto"/>
          <w:szCs w:val="24"/>
        </w:rPr>
        <w:t>3</w:t>
      </w:r>
      <w:r>
        <w:rPr>
          <w:rFonts w:hint="eastAsia" w:hAnsi="宋体" w:cs="宋体"/>
          <w:b/>
          <w:color w:val="auto"/>
          <w:szCs w:val="24"/>
          <w:lang w:val="en-US" w:eastAsia="zh-CN"/>
        </w:rPr>
        <w:t>5</w:t>
      </w:r>
      <w:r>
        <w:rPr>
          <w:rFonts w:hint="eastAsia" w:hAnsi="宋体" w:cs="宋体"/>
          <w:b/>
          <w:color w:val="auto"/>
          <w:szCs w:val="24"/>
        </w:rPr>
        <w:t>.信用担保及信用融资</w:t>
      </w:r>
      <w:bookmarkEnd w:id="103"/>
      <w:bookmarkEnd w:id="104"/>
    </w:p>
    <w:p w14:paraId="26A41A76">
      <w:pPr>
        <w:widowControl/>
        <w:spacing w:line="360" w:lineRule="auto"/>
        <w:ind w:firstLine="480" w:firstLineChars="200"/>
        <w:outlineLvl w:val="2"/>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5</w:t>
      </w:r>
      <w:r>
        <w:rPr>
          <w:rFonts w:hint="eastAsia" w:hAnsi="宋体" w:cs="宋体"/>
          <w:color w:val="auto"/>
          <w:szCs w:val="24"/>
        </w:rPr>
        <w:t>.1本项目是否属于信用担保试点范围见供应商须知前附表。</w:t>
      </w:r>
    </w:p>
    <w:p w14:paraId="2D2DDA8D">
      <w:pPr>
        <w:widowControl/>
        <w:spacing w:line="360" w:lineRule="auto"/>
        <w:ind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5</w:t>
      </w:r>
      <w:r>
        <w:rPr>
          <w:rFonts w:hint="eastAsia" w:hAnsi="宋体" w:cs="宋体"/>
          <w:color w:val="auto"/>
          <w:szCs w:val="24"/>
        </w:rPr>
        <w:t>.2如属于政府采购信用担保试点范围内，中小型企业供应商可以自由按照财政部门的规定，采用履约担保和融资担保。</w:t>
      </w:r>
    </w:p>
    <w:p w14:paraId="7158BEA6">
      <w:pPr>
        <w:widowControl/>
        <w:spacing w:line="360" w:lineRule="auto"/>
        <w:ind w:firstLine="480" w:firstLineChars="200"/>
        <w:outlineLvl w:val="3"/>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5</w:t>
      </w:r>
      <w:r>
        <w:rPr>
          <w:rFonts w:hint="eastAsia" w:hAnsi="宋体" w:cs="宋体"/>
          <w:color w:val="auto"/>
          <w:szCs w:val="24"/>
        </w:rPr>
        <w:t>.2.1供应商递交的履约担保函应符合本招标文件的规定。</w:t>
      </w:r>
    </w:p>
    <w:p w14:paraId="59671C75">
      <w:pPr>
        <w:widowControl/>
        <w:spacing w:line="360" w:lineRule="auto"/>
        <w:ind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5</w:t>
      </w:r>
      <w:r>
        <w:rPr>
          <w:rFonts w:hint="eastAsia" w:hAnsi="宋体" w:cs="宋体"/>
          <w:color w:val="auto"/>
          <w:szCs w:val="24"/>
        </w:rPr>
        <w:t>.2.2中标人可以采取融资担保的形式为政府采购项目履约进行融资。</w:t>
      </w:r>
    </w:p>
    <w:p w14:paraId="7939819D">
      <w:pPr>
        <w:widowControl/>
        <w:spacing w:line="360" w:lineRule="auto"/>
        <w:ind w:firstLine="480" w:firstLineChars="200"/>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5</w:t>
      </w:r>
      <w:r>
        <w:rPr>
          <w:rFonts w:hint="eastAsia" w:hAnsi="宋体" w:cs="宋体"/>
          <w:color w:val="auto"/>
          <w:szCs w:val="24"/>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w:t>
      </w:r>
      <w:r>
        <w:rPr>
          <w:rFonts w:hint="eastAsia" w:hAnsi="宋体" w:cs="宋体"/>
          <w:color w:val="auto"/>
          <w:kern w:val="2"/>
          <w:szCs w:val="24"/>
        </w:rPr>
        <w:t>〔</w:t>
      </w:r>
      <w:r>
        <w:rPr>
          <w:rFonts w:hint="eastAsia" w:hAnsi="宋体" w:cs="宋体"/>
          <w:color w:val="auto"/>
          <w:szCs w:val="24"/>
        </w:rPr>
        <w:t>2020</w:t>
      </w:r>
      <w:r>
        <w:rPr>
          <w:rFonts w:hint="eastAsia" w:hAnsi="宋体" w:cs="宋体"/>
          <w:color w:val="auto"/>
          <w:kern w:val="2"/>
          <w:szCs w:val="24"/>
        </w:rPr>
        <w:t>〕</w:t>
      </w:r>
      <w:r>
        <w:rPr>
          <w:rFonts w:hint="eastAsia" w:hAnsi="宋体" w:cs="宋体"/>
          <w:color w:val="auto"/>
          <w:szCs w:val="24"/>
        </w:rPr>
        <w:t>46号）、《陕西省财政厅关于加快推进我省中小企业政府采购信用融资工作的通知》（陕财办采</w:t>
      </w:r>
      <w:r>
        <w:rPr>
          <w:rFonts w:hint="eastAsia" w:hAnsi="宋体" w:cs="宋体"/>
          <w:color w:val="auto"/>
          <w:kern w:val="2"/>
          <w:szCs w:val="24"/>
        </w:rPr>
        <w:t>〔</w:t>
      </w:r>
      <w:r>
        <w:rPr>
          <w:rFonts w:hint="eastAsia" w:hAnsi="宋体" w:cs="宋体"/>
          <w:color w:val="auto"/>
          <w:szCs w:val="24"/>
        </w:rPr>
        <w:t>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419C4F6A">
      <w:pPr>
        <w:widowControl/>
        <w:spacing w:line="360" w:lineRule="auto"/>
        <w:ind w:firstLine="480" w:firstLineChars="200"/>
        <w:outlineLvl w:val="3"/>
        <w:rPr>
          <w:rFonts w:hint="eastAsia" w:hAnsi="宋体" w:cs="宋体"/>
          <w:color w:val="auto"/>
          <w:szCs w:val="24"/>
        </w:rPr>
      </w:pPr>
      <w:r>
        <w:rPr>
          <w:rFonts w:hint="eastAsia" w:hAnsi="宋体" w:cs="宋体"/>
          <w:color w:val="auto"/>
          <w:szCs w:val="24"/>
        </w:rPr>
        <w:t>3</w:t>
      </w:r>
      <w:r>
        <w:rPr>
          <w:rFonts w:hint="eastAsia" w:hAnsi="宋体" w:cs="宋体"/>
          <w:color w:val="auto"/>
          <w:szCs w:val="24"/>
          <w:lang w:val="en-US" w:eastAsia="zh-CN"/>
        </w:rPr>
        <w:t>5</w:t>
      </w:r>
      <w:r>
        <w:rPr>
          <w:rFonts w:hint="eastAsia" w:hAnsi="宋体" w:cs="宋体"/>
          <w:color w:val="auto"/>
          <w:szCs w:val="24"/>
        </w:rPr>
        <w:t>.2.4陕西政府采购供应商信用融资信息服务平台操作手册</w:t>
      </w:r>
    </w:p>
    <w:p w14:paraId="55E078F8">
      <w:pPr>
        <w:widowControl/>
        <w:spacing w:line="360" w:lineRule="auto"/>
        <w:ind w:firstLine="480" w:firstLineChars="200"/>
        <w:rPr>
          <w:rFonts w:hint="eastAsia" w:hAnsi="宋体" w:cs="宋体"/>
          <w:color w:val="auto"/>
          <w:szCs w:val="24"/>
        </w:rPr>
      </w:pPr>
      <w:r>
        <w:rPr>
          <w:rFonts w:hint="eastAsia" w:hAnsi="宋体" w:cs="宋体"/>
          <w:color w:val="auto"/>
          <w:szCs w:val="24"/>
        </w:rPr>
        <w:t>陕西政府采购供应商信用融资信息服务平台主要功能为：供应商凭中标项目或成交合同提交融资意向，查看融资申请进度等功能，本操作手册将详细说明这些功能。</w:t>
      </w:r>
    </w:p>
    <w:p w14:paraId="44A12AEA">
      <w:pPr>
        <w:pStyle w:val="2"/>
        <w:spacing w:line="360" w:lineRule="auto"/>
        <w:jc w:val="center"/>
        <w:rPr>
          <w:rFonts w:hint="eastAsia" w:ascii="宋体" w:eastAsia="宋体" w:cs="宋体"/>
          <w:bCs/>
          <w:color w:val="auto"/>
          <w:kern w:val="0"/>
          <w:sz w:val="24"/>
          <w:szCs w:val="24"/>
        </w:rPr>
      </w:pPr>
      <w:bookmarkStart w:id="105" w:name="_Toc20892"/>
      <w:r>
        <w:rPr>
          <w:rFonts w:hint="eastAsia" w:ascii="宋体" w:eastAsia="宋体" w:cs="宋体"/>
          <w:color w:val="auto"/>
        </w:rPr>
        <w:drawing>
          <wp:inline distT="0" distB="0" distL="0" distR="0">
            <wp:extent cx="5268595" cy="3691255"/>
            <wp:effectExtent l="0" t="0" r="825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8595" cy="3691255"/>
                    </a:xfrm>
                    <a:prstGeom prst="rect">
                      <a:avLst/>
                    </a:prstGeom>
                    <a:noFill/>
                    <a:ln>
                      <a:noFill/>
                    </a:ln>
                  </pic:spPr>
                </pic:pic>
              </a:graphicData>
            </a:graphic>
          </wp:inline>
        </w:drawing>
      </w:r>
      <w:bookmarkEnd w:id="105"/>
    </w:p>
    <w:p w14:paraId="707915F6">
      <w:pPr>
        <w:pStyle w:val="19"/>
        <w:spacing w:after="0" w:line="360" w:lineRule="auto"/>
        <w:jc w:val="left"/>
        <w:rPr>
          <w:rFonts w:ascii="宋体" w:hAnsi="宋体" w:cs="宋体"/>
          <w:color w:val="auto"/>
          <w:sz w:val="24"/>
          <w:szCs w:val="24"/>
        </w:rPr>
      </w:pPr>
      <w:bookmarkStart w:id="106" w:name="_Toc30116"/>
      <w:r>
        <w:rPr>
          <w:rFonts w:hint="eastAsia" w:ascii="宋体" w:eastAsia="宋体" w:cs="宋体"/>
          <w:color w:val="auto"/>
        </w:rPr>
        <w:drawing>
          <wp:inline distT="0" distB="0" distL="0" distR="0">
            <wp:extent cx="5268595" cy="3791585"/>
            <wp:effectExtent l="0" t="0" r="825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8595" cy="3791585"/>
                    </a:xfrm>
                    <a:prstGeom prst="rect">
                      <a:avLst/>
                    </a:prstGeom>
                    <a:noFill/>
                    <a:ln>
                      <a:noFill/>
                    </a:ln>
                  </pic:spPr>
                </pic:pic>
              </a:graphicData>
            </a:graphic>
          </wp:inline>
        </w:drawing>
      </w:r>
      <w:r>
        <w:rPr>
          <w:rFonts w:hint="eastAsia" w:ascii="宋体" w:eastAsia="宋体" w:cs="宋体"/>
          <w:color w:val="auto"/>
        </w:rPr>
        <w:drawing>
          <wp:inline distT="0" distB="0" distL="0" distR="0">
            <wp:extent cx="5276850" cy="39179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3917950"/>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3968115"/>
            <wp:effectExtent l="0" t="0" r="825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8595" cy="3968115"/>
                    </a:xfrm>
                    <a:prstGeom prst="rect">
                      <a:avLst/>
                    </a:prstGeom>
                    <a:noFill/>
                    <a:ln>
                      <a:noFill/>
                    </a:ln>
                  </pic:spPr>
                </pic:pic>
              </a:graphicData>
            </a:graphic>
          </wp:inline>
        </w:drawing>
      </w:r>
      <w:r>
        <w:rPr>
          <w:rFonts w:hint="eastAsia" w:ascii="宋体" w:eastAsia="宋体" w:cs="宋体"/>
          <w:color w:val="auto"/>
        </w:rPr>
        <w:drawing>
          <wp:inline distT="0" distB="0" distL="0" distR="0">
            <wp:extent cx="5151120" cy="4378960"/>
            <wp:effectExtent l="0" t="0" r="1143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51120" cy="4378960"/>
                    </a:xfrm>
                    <a:prstGeom prst="rect">
                      <a:avLst/>
                    </a:prstGeom>
                    <a:noFill/>
                    <a:ln>
                      <a:noFill/>
                    </a:ln>
                    <a:effectLst/>
                  </pic:spPr>
                </pic:pic>
              </a:graphicData>
            </a:graphic>
          </wp:inline>
        </w:drawing>
      </w:r>
      <w:r>
        <w:rPr>
          <w:rFonts w:hint="eastAsia" w:ascii="宋体" w:eastAsia="宋体" w:cs="宋体"/>
          <w:color w:val="auto"/>
        </w:rPr>
        <w:drawing>
          <wp:inline distT="0" distB="0" distL="0" distR="0">
            <wp:extent cx="5151120" cy="374142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51120" cy="3741420"/>
                    </a:xfrm>
                    <a:prstGeom prst="rect">
                      <a:avLst/>
                    </a:prstGeom>
                    <a:noFill/>
                    <a:ln>
                      <a:noFill/>
                    </a:ln>
                    <a:effectLst/>
                  </pic:spPr>
                </pic:pic>
              </a:graphicData>
            </a:graphic>
          </wp:inline>
        </w:drawing>
      </w:r>
      <w:r>
        <w:rPr>
          <w:rFonts w:hint="eastAsia" w:ascii="宋体" w:eastAsia="宋体" w:cs="宋体"/>
          <w:color w:val="auto"/>
        </w:rPr>
        <w:drawing>
          <wp:inline distT="0" distB="0" distL="0" distR="0">
            <wp:extent cx="5276850" cy="50666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6850" cy="5066665"/>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3213100"/>
            <wp:effectExtent l="0" t="0" r="825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8595" cy="3213100"/>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4127500"/>
            <wp:effectExtent l="0" t="0" r="825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8595" cy="4127500"/>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5100320"/>
            <wp:effectExtent l="0" t="0" r="825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8595" cy="5100320"/>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1376045"/>
            <wp:effectExtent l="0" t="0" r="825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8595" cy="1376045"/>
                    </a:xfrm>
                    <a:prstGeom prst="rect">
                      <a:avLst/>
                    </a:prstGeom>
                    <a:noFill/>
                    <a:ln>
                      <a:noFill/>
                    </a:ln>
                  </pic:spPr>
                </pic:pic>
              </a:graphicData>
            </a:graphic>
          </wp:inline>
        </w:drawing>
      </w:r>
      <w:bookmarkEnd w:id="106"/>
    </w:p>
    <w:p w14:paraId="22D99B81">
      <w:pPr>
        <w:rPr>
          <w:color w:val="auto"/>
        </w:rPr>
      </w:pPr>
    </w:p>
    <w:p w14:paraId="18B25753">
      <w:pPr>
        <w:pStyle w:val="26"/>
        <w:rPr>
          <w:color w:val="auto"/>
        </w:rPr>
      </w:pPr>
    </w:p>
    <w:p w14:paraId="64374FC9">
      <w:pPr>
        <w:pStyle w:val="26"/>
        <w:rPr>
          <w:color w:val="auto"/>
        </w:rPr>
      </w:pPr>
    </w:p>
    <w:p w14:paraId="43739727">
      <w:pPr>
        <w:pStyle w:val="26"/>
        <w:rPr>
          <w:color w:val="auto"/>
        </w:rPr>
      </w:pPr>
    </w:p>
    <w:p w14:paraId="323AACFF">
      <w:pPr>
        <w:pStyle w:val="26"/>
        <w:rPr>
          <w:color w:val="auto"/>
        </w:rPr>
      </w:pPr>
    </w:p>
    <w:p w14:paraId="0035EAEB">
      <w:pPr>
        <w:pStyle w:val="26"/>
        <w:rPr>
          <w:color w:val="auto"/>
        </w:rPr>
      </w:pPr>
    </w:p>
    <w:p w14:paraId="3B17D118">
      <w:pPr>
        <w:pStyle w:val="26"/>
        <w:rPr>
          <w:color w:val="auto"/>
        </w:rPr>
      </w:pPr>
    </w:p>
    <w:p w14:paraId="34144EC6">
      <w:pPr>
        <w:pStyle w:val="26"/>
        <w:rPr>
          <w:color w:val="auto"/>
        </w:rPr>
      </w:pPr>
    </w:p>
    <w:p w14:paraId="430F14C6">
      <w:pPr>
        <w:pStyle w:val="26"/>
        <w:rPr>
          <w:color w:val="auto"/>
        </w:rPr>
      </w:pPr>
    </w:p>
    <w:p w14:paraId="6B539EDD">
      <w:pPr>
        <w:pStyle w:val="26"/>
        <w:rPr>
          <w:color w:val="auto"/>
        </w:rPr>
        <w:sectPr>
          <w:pgSz w:w="11906" w:h="16838"/>
          <w:pgMar w:top="1417" w:right="1134" w:bottom="1417" w:left="1417" w:header="1134" w:footer="992" w:gutter="0"/>
          <w:cols w:space="720" w:num="1"/>
          <w:titlePg/>
          <w:docGrid w:type="lines" w:linePitch="333" w:charSpace="0"/>
        </w:sectPr>
      </w:pPr>
    </w:p>
    <w:p w14:paraId="35115B31">
      <w:pPr>
        <w:pStyle w:val="26"/>
        <w:numPr>
          <w:ilvl w:val="0"/>
          <w:numId w:val="7"/>
        </w:numPr>
        <w:jc w:val="center"/>
        <w:rPr>
          <w:rFonts w:hint="eastAsia" w:ascii="宋体" w:eastAsia="宋体" w:cs="宋体"/>
          <w:b/>
          <w:bCs/>
          <w:color w:val="auto"/>
          <w:sz w:val="36"/>
          <w:szCs w:val="36"/>
        </w:rPr>
      </w:pPr>
      <w:bookmarkStart w:id="107" w:name="_Toc26389"/>
      <w:bookmarkStart w:id="108" w:name="_Toc3798"/>
      <w:bookmarkStart w:id="109" w:name="_Toc15898"/>
      <w:bookmarkStart w:id="110" w:name="_Toc426457694"/>
      <w:bookmarkStart w:id="111" w:name="_Toc403077645"/>
      <w:bookmarkStart w:id="112" w:name="_Toc11810"/>
      <w:r>
        <w:rPr>
          <w:rFonts w:hint="eastAsia" w:ascii="宋体" w:eastAsia="宋体" w:cs="宋体"/>
          <w:b/>
          <w:bCs/>
          <w:color w:val="auto"/>
          <w:sz w:val="36"/>
          <w:szCs w:val="36"/>
        </w:rPr>
        <w:t xml:space="preserve"> 合同条款及格式</w:t>
      </w:r>
      <w:bookmarkEnd w:id="107"/>
      <w:bookmarkEnd w:id="108"/>
      <w:bookmarkEnd w:id="109"/>
      <w:bookmarkEnd w:id="110"/>
      <w:bookmarkEnd w:id="111"/>
      <w:bookmarkEnd w:id="112"/>
    </w:p>
    <w:p w14:paraId="2B7FA85D">
      <w:pPr>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本表是对合同条款的具体补充和修改，如有矛盾，应以本资料表为准。</w:t>
      </w:r>
    </w:p>
    <w:tbl>
      <w:tblPr>
        <w:tblStyle w:val="4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391"/>
        <w:gridCol w:w="8016"/>
      </w:tblGrid>
      <w:tr w14:paraId="5DDBB2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5" w:hRule="atLeast"/>
          <w:tblHeader/>
        </w:trPr>
        <w:tc>
          <w:tcPr>
            <w:tcW w:w="739" w:type="pct"/>
            <w:vAlign w:val="center"/>
          </w:tcPr>
          <w:p w14:paraId="16AD7161">
            <w:pPr>
              <w:spacing w:line="360" w:lineRule="auto"/>
              <w:jc w:val="center"/>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lang w:val="en-US" w:eastAsia="zh-Hans"/>
              </w:rPr>
              <w:t>序</w:t>
            </w:r>
            <w:r>
              <w:rPr>
                <w:rFonts w:hint="eastAsia" w:cs="宋体" w:asciiTheme="minorEastAsia" w:hAnsiTheme="minorEastAsia" w:eastAsiaTheme="minorEastAsia"/>
                <w:b/>
                <w:bCs/>
                <w:color w:val="auto"/>
                <w:szCs w:val="24"/>
                <w:highlight w:val="none"/>
              </w:rPr>
              <w:t>号</w:t>
            </w:r>
          </w:p>
        </w:tc>
        <w:tc>
          <w:tcPr>
            <w:tcW w:w="4260" w:type="pct"/>
            <w:vAlign w:val="center"/>
          </w:tcPr>
          <w:p w14:paraId="00B98E4B">
            <w:pPr>
              <w:spacing w:line="360" w:lineRule="auto"/>
              <w:jc w:val="center"/>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内      容</w:t>
            </w:r>
          </w:p>
        </w:tc>
      </w:tr>
      <w:tr w14:paraId="2CC66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16" w:hRule="exact"/>
        </w:trPr>
        <w:tc>
          <w:tcPr>
            <w:tcW w:w="739" w:type="pct"/>
            <w:vAlign w:val="center"/>
          </w:tcPr>
          <w:p w14:paraId="223F14AD">
            <w:pPr>
              <w:spacing w:line="360" w:lineRule="auto"/>
              <w:jc w:val="center"/>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w:t>
            </w:r>
          </w:p>
        </w:tc>
        <w:tc>
          <w:tcPr>
            <w:tcW w:w="4260" w:type="pct"/>
            <w:vAlign w:val="center"/>
          </w:tcPr>
          <w:p w14:paraId="66DCCEF2">
            <w:pPr>
              <w:spacing w:line="440" w:lineRule="exact"/>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rPr>
              <w:t>采购人名称：</w:t>
            </w:r>
            <w:r>
              <w:rPr>
                <w:rFonts w:hint="eastAsia" w:asciiTheme="minorEastAsia" w:hAnsiTheme="minorEastAsia" w:eastAsiaTheme="minorEastAsia"/>
                <w:color w:val="auto"/>
                <w:highlight w:val="none"/>
                <w:lang w:eastAsia="zh-CN"/>
              </w:rPr>
              <w:t>西安市雁塔区城市管理和综合执法局</w:t>
            </w:r>
          </w:p>
          <w:p w14:paraId="0871434F">
            <w:pPr>
              <w:spacing w:line="440" w:lineRule="exact"/>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rPr>
              <w:t>地</w:t>
            </w:r>
            <w:r>
              <w:rPr>
                <w:rFonts w:hint="eastAsia" w:asciiTheme="minorEastAsia" w:hAnsiTheme="minorEastAsia" w:eastAsiaTheme="minorEastAsia"/>
                <w:color w:val="auto"/>
                <w:highlight w:val="none"/>
                <w:lang w:val="en-US" w:eastAsia="zh-CN"/>
              </w:rPr>
              <w:t xml:space="preserve">      </w:t>
            </w:r>
            <w:r>
              <w:rPr>
                <w:rFonts w:hint="eastAsia" w:asciiTheme="minorEastAsia" w:hAnsiTheme="minorEastAsia" w:eastAsiaTheme="minorEastAsia"/>
                <w:color w:val="auto"/>
                <w:highlight w:val="none"/>
              </w:rPr>
              <w:t>址</w:t>
            </w:r>
            <w:r>
              <w:rPr>
                <w:rFonts w:hint="eastAsia" w:asciiTheme="minorEastAsia" w:hAnsiTheme="minorEastAsia" w:eastAsiaTheme="minorEastAsia"/>
                <w:color w:val="auto"/>
                <w:highlight w:val="none"/>
                <w:lang w:eastAsia="zh-CN"/>
              </w:rPr>
              <w:t>：西安市雁塔区东仪路176号东仪厂院</w:t>
            </w:r>
          </w:p>
          <w:p w14:paraId="3A43B983">
            <w:pPr>
              <w:spacing w:line="44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项目名称：</w:t>
            </w:r>
            <w:r>
              <w:rPr>
                <w:rFonts w:hint="eastAsia" w:cs="宋体" w:asciiTheme="minorEastAsia" w:hAnsiTheme="minorEastAsia" w:eastAsiaTheme="minorEastAsia"/>
                <w:color w:val="auto"/>
                <w:szCs w:val="24"/>
                <w:lang w:eastAsia="zh-CN"/>
              </w:rPr>
              <w:t>城警联动人员外包服务</w:t>
            </w:r>
          </w:p>
          <w:p w14:paraId="56F61D46">
            <w:pPr>
              <w:spacing w:line="440" w:lineRule="exact"/>
              <w:rPr>
                <w:rFonts w:cs="宋体" w:asciiTheme="minorEastAsia" w:hAnsiTheme="minorEastAsia" w:eastAsiaTheme="minorEastAsia"/>
                <w:color w:val="auto"/>
                <w:szCs w:val="24"/>
                <w:highlight w:val="none"/>
              </w:rPr>
            </w:pPr>
            <w:r>
              <w:rPr>
                <w:rFonts w:hint="eastAsia" w:asciiTheme="minorEastAsia" w:hAnsiTheme="minorEastAsia" w:eastAsiaTheme="minorEastAsia"/>
                <w:color w:val="auto"/>
                <w:highlight w:val="none"/>
              </w:rPr>
              <w:t>资金来源</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财政资金</w:t>
            </w:r>
            <w:r>
              <w:rPr>
                <w:rFonts w:asciiTheme="minorEastAsia" w:hAnsiTheme="minorEastAsia" w:eastAsiaTheme="minorEastAsia"/>
                <w:color w:val="auto"/>
                <w:highlight w:val="none"/>
              </w:rPr>
              <w:t>，资金已落实</w:t>
            </w:r>
          </w:p>
        </w:tc>
      </w:tr>
      <w:tr w14:paraId="1D54F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0" w:hRule="exact"/>
        </w:trPr>
        <w:tc>
          <w:tcPr>
            <w:tcW w:w="739" w:type="pct"/>
            <w:vAlign w:val="center"/>
          </w:tcPr>
          <w:p w14:paraId="356E24FD">
            <w:pPr>
              <w:spacing w:line="360" w:lineRule="auto"/>
              <w:jc w:val="center"/>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w:t>
            </w:r>
          </w:p>
        </w:tc>
        <w:tc>
          <w:tcPr>
            <w:tcW w:w="4260" w:type="pct"/>
            <w:vAlign w:val="center"/>
          </w:tcPr>
          <w:p w14:paraId="561486BA">
            <w:pPr>
              <w:spacing w:line="440" w:lineRule="exact"/>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项目服务地点：采购人指定地点。</w:t>
            </w:r>
          </w:p>
        </w:tc>
      </w:tr>
      <w:tr w14:paraId="1CF16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6" w:hRule="exact"/>
        </w:trPr>
        <w:tc>
          <w:tcPr>
            <w:tcW w:w="739" w:type="pct"/>
            <w:vAlign w:val="center"/>
          </w:tcPr>
          <w:p w14:paraId="792C4427">
            <w:pPr>
              <w:spacing w:line="360" w:lineRule="auto"/>
              <w:jc w:val="center"/>
              <w:rPr>
                <w:rFonts w:cs="宋体" w:asciiTheme="minorEastAsia" w:hAnsiTheme="minorEastAsia" w:eastAsiaTheme="minorEastAsia"/>
                <w:color w:val="auto"/>
                <w:szCs w:val="24"/>
                <w:highlight w:val="none"/>
              </w:rPr>
            </w:pPr>
            <w:r>
              <w:rPr>
                <w:rFonts w:cs="宋体" w:asciiTheme="minorEastAsia" w:hAnsiTheme="minorEastAsia" w:eastAsiaTheme="minorEastAsia"/>
                <w:color w:val="auto"/>
                <w:szCs w:val="24"/>
                <w:highlight w:val="none"/>
              </w:rPr>
              <w:t>3</w:t>
            </w:r>
          </w:p>
        </w:tc>
        <w:tc>
          <w:tcPr>
            <w:tcW w:w="4260" w:type="pct"/>
            <w:vAlign w:val="center"/>
          </w:tcPr>
          <w:p w14:paraId="509D3919">
            <w:pPr>
              <w:spacing w:line="440" w:lineRule="exact"/>
              <w:rPr>
                <w:rFonts w:hint="default" w:asciiTheme="minorEastAsia" w:hAnsiTheme="minorEastAsia" w:eastAsiaTheme="minorEastAsia"/>
                <w:color w:val="auto"/>
                <w:szCs w:val="24"/>
                <w:highlight w:val="none"/>
                <w:lang w:val="en-US" w:eastAsia="zh-CN"/>
              </w:rPr>
            </w:pPr>
            <w:bookmarkStart w:id="113" w:name="_Hlk66891163"/>
            <w:r>
              <w:rPr>
                <w:rFonts w:hint="eastAsia" w:asciiTheme="minorEastAsia" w:hAnsiTheme="minorEastAsia" w:eastAsiaTheme="minorEastAsia"/>
                <w:color w:val="auto"/>
                <w:szCs w:val="24"/>
                <w:highlight w:val="none"/>
              </w:rPr>
              <w:t>服务期：</w:t>
            </w:r>
            <w:r>
              <w:rPr>
                <w:rFonts w:hint="eastAsia" w:asciiTheme="minorEastAsia" w:hAnsiTheme="minorEastAsia" w:eastAsiaTheme="minorEastAsia"/>
                <w:color w:val="auto"/>
                <w:szCs w:val="24"/>
                <w:highlight w:val="none"/>
                <w:lang w:val="zh-CN" w:eastAsia="zh-CN"/>
              </w:rPr>
              <w:t>两年（合同一年一签，第一年服务结束后，招标人可根据中标人第一年的服务质量考虑是否续签第二年合同）。</w:t>
            </w:r>
          </w:p>
          <w:bookmarkEnd w:id="113"/>
          <w:p w14:paraId="22642ADD">
            <w:pPr>
              <w:spacing w:line="440" w:lineRule="exact"/>
              <w:rPr>
                <w:rFonts w:asciiTheme="minorEastAsia" w:hAnsiTheme="minorEastAsia" w:eastAsiaTheme="minorEastAsia"/>
                <w:color w:val="auto"/>
                <w:szCs w:val="24"/>
                <w:highlight w:val="none"/>
              </w:rPr>
            </w:pPr>
            <w:r>
              <w:rPr>
                <w:rFonts w:hint="eastAsia" w:asciiTheme="minorEastAsia" w:hAnsiTheme="minorEastAsia" w:eastAsiaTheme="minorEastAsia"/>
                <w:bCs/>
                <w:color w:val="auto"/>
                <w:szCs w:val="24"/>
                <w:highlight w:val="none"/>
              </w:rPr>
              <w:t>服务内容：即交付的服务与投标文件所指明的，或者与本合同所指明的服务内容及分项相一致。</w:t>
            </w:r>
          </w:p>
        </w:tc>
      </w:tr>
      <w:tr w14:paraId="18B5D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739" w:type="pct"/>
            <w:vAlign w:val="center"/>
          </w:tcPr>
          <w:p w14:paraId="6F0D077F">
            <w:pPr>
              <w:spacing w:line="360" w:lineRule="auto"/>
              <w:jc w:val="center"/>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w:t>
            </w:r>
          </w:p>
        </w:tc>
        <w:tc>
          <w:tcPr>
            <w:tcW w:w="4260" w:type="pct"/>
            <w:vAlign w:val="center"/>
          </w:tcPr>
          <w:p w14:paraId="41D7B0F7">
            <w:pPr>
              <w:spacing w:line="44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1.投标人应在投标报价表中标明完成本次投标所要求的服务且验收合格的所有费用。</w:t>
            </w:r>
            <w:r>
              <w:rPr>
                <w:rFonts w:cs="宋体" w:asciiTheme="minorEastAsia" w:hAnsiTheme="minorEastAsia" w:eastAsiaTheme="minorEastAsia"/>
                <w:color w:val="auto"/>
                <w:szCs w:val="24"/>
                <w:highlight w:val="none"/>
              </w:rPr>
              <w:t>中标总金额如遇财政预算核减，按财政核算执行</w:t>
            </w:r>
            <w:r>
              <w:rPr>
                <w:rFonts w:hint="eastAsia" w:cs="宋体" w:asciiTheme="minorEastAsia" w:hAnsiTheme="minorEastAsia" w:eastAsiaTheme="minorEastAsia"/>
                <w:color w:val="auto"/>
                <w:szCs w:val="24"/>
                <w:highlight w:val="none"/>
              </w:rPr>
              <w:t>。</w:t>
            </w:r>
          </w:p>
          <w:p w14:paraId="3DF75B5E">
            <w:pPr>
              <w:numPr>
                <w:ilvl w:val="0"/>
                <w:numId w:val="0"/>
              </w:numPr>
              <w:spacing w:line="440" w:lineRule="exact"/>
              <w:rPr>
                <w:rFonts w:hint="eastAsia"/>
                <w:color w:val="auto"/>
                <w:highlight w:val="none"/>
              </w:rPr>
            </w:pPr>
            <w:r>
              <w:rPr>
                <w:rFonts w:hint="eastAsia"/>
                <w:color w:val="auto"/>
                <w:highlight w:val="none"/>
                <w:lang w:val="en-US" w:eastAsia="zh-CN"/>
              </w:rPr>
              <w:t>2.</w:t>
            </w:r>
            <w:r>
              <w:rPr>
                <w:rFonts w:hint="eastAsia"/>
                <w:color w:val="auto"/>
                <w:highlight w:val="none"/>
              </w:rPr>
              <w:t>付款方式和程序：</w:t>
            </w:r>
          </w:p>
          <w:p w14:paraId="678679B1">
            <w:pPr>
              <w:numPr>
                <w:ilvl w:val="0"/>
                <w:numId w:val="0"/>
              </w:numPr>
              <w:spacing w:line="440" w:lineRule="exact"/>
              <w:rPr>
                <w:rFonts w:hint="eastAsia"/>
                <w:color w:val="auto"/>
                <w:highlight w:val="none"/>
                <w:lang w:eastAsia="zh-CN"/>
              </w:rPr>
            </w:pPr>
            <w:r>
              <w:rPr>
                <w:rFonts w:hint="eastAsia"/>
                <w:color w:val="auto"/>
                <w:highlight w:val="none"/>
                <w:lang w:val="en-US" w:eastAsia="zh-CN"/>
              </w:rPr>
              <w:t>（1）付款方式：按月支付，据实结算（每次付款前，乙方均需提交付款申请书和等额合格发票，并经甲方审核）</w:t>
            </w:r>
          </w:p>
          <w:p w14:paraId="753125DB">
            <w:pPr>
              <w:numPr>
                <w:ilvl w:val="0"/>
                <w:numId w:val="0"/>
              </w:numPr>
              <w:spacing w:line="440" w:lineRule="exact"/>
              <w:rPr>
                <w:rFonts w:hint="default" w:hAnsi="宋体" w:cs="宋体"/>
                <w:color w:val="auto"/>
                <w:szCs w:val="24"/>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支付方式：银行对公转账。</w:t>
            </w:r>
          </w:p>
        </w:tc>
      </w:tr>
      <w:tr w14:paraId="6BD967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739" w:type="pct"/>
            <w:vAlign w:val="center"/>
          </w:tcPr>
          <w:p w14:paraId="5582F9B6">
            <w:pPr>
              <w:spacing w:line="360" w:lineRule="auto"/>
              <w:jc w:val="center"/>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5</w:t>
            </w:r>
          </w:p>
        </w:tc>
        <w:tc>
          <w:tcPr>
            <w:tcW w:w="4260" w:type="pct"/>
            <w:vAlign w:val="center"/>
          </w:tcPr>
          <w:p w14:paraId="776479D3">
            <w:pPr>
              <w:spacing w:line="440" w:lineRule="exact"/>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违约责任：</w:t>
            </w:r>
          </w:p>
          <w:p w14:paraId="0BF82A31">
            <w:pPr>
              <w:spacing w:line="44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按《中华人民共和国政府采购法》《中华人民共和国民法典》中的相关条款执行。</w:t>
            </w:r>
          </w:p>
          <w:p w14:paraId="0898F354">
            <w:pPr>
              <w:tabs>
                <w:tab w:val="left" w:pos="152"/>
              </w:tabs>
              <w:spacing w:line="440" w:lineRule="exact"/>
              <w:ind w:firstLine="480" w:firstLineChars="200"/>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未按合同或招标文件要求提供服务或服务不能满足采购人技术要求，采购单位有权终止合同，甚至对供应商违约行为进行追究。</w:t>
            </w:r>
          </w:p>
        </w:tc>
      </w:tr>
    </w:tbl>
    <w:p w14:paraId="35F5710F">
      <w:pPr>
        <w:pStyle w:val="26"/>
        <w:widowControl w:val="0"/>
        <w:numPr>
          <w:ilvl w:val="0"/>
          <w:numId w:val="0"/>
        </w:numPr>
        <w:jc w:val="center"/>
        <w:rPr>
          <w:rFonts w:hint="eastAsia" w:ascii="宋体" w:eastAsia="宋体" w:cs="宋体"/>
          <w:b/>
          <w:bCs/>
          <w:color w:val="auto"/>
          <w:sz w:val="36"/>
          <w:szCs w:val="36"/>
        </w:rPr>
        <w:sectPr>
          <w:pgSz w:w="11906" w:h="16838"/>
          <w:pgMar w:top="1417" w:right="1134" w:bottom="1417" w:left="1417" w:header="1134" w:footer="992" w:gutter="0"/>
          <w:cols w:space="720" w:num="1"/>
          <w:titlePg/>
          <w:docGrid w:type="lines" w:linePitch="333" w:charSpace="0"/>
        </w:sectPr>
      </w:pPr>
    </w:p>
    <w:p w14:paraId="2813ECA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hAnsi="宋体" w:cs="宋体"/>
          <w:b/>
          <w:bCs/>
          <w:color w:val="auto"/>
          <w:sz w:val="44"/>
          <w:szCs w:val="44"/>
          <w:highlight w:val="none"/>
          <w:lang w:val="en-US" w:eastAsia="zh-CN"/>
        </w:rPr>
      </w:pPr>
    </w:p>
    <w:p w14:paraId="11F69ED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hAnsi="宋体" w:cs="宋体"/>
          <w:b/>
          <w:bCs/>
          <w:color w:val="auto"/>
          <w:sz w:val="44"/>
          <w:szCs w:val="44"/>
          <w:highlight w:val="none"/>
          <w:lang w:val="en-US" w:eastAsia="zh-CN"/>
        </w:rPr>
      </w:pPr>
    </w:p>
    <w:p w14:paraId="45FF7AED">
      <w:pPr>
        <w:spacing w:before="156" w:line="220" w:lineRule="auto"/>
        <w:jc w:val="center"/>
        <w:outlineLvl w:val="0"/>
        <w:rPr>
          <w:rFonts w:hint="eastAsia" w:ascii="宋体" w:hAnsi="宋体" w:eastAsia="宋体" w:cs="宋体"/>
          <w:b/>
          <w:bCs/>
          <w:spacing w:val="-6"/>
          <w:sz w:val="48"/>
          <w:szCs w:val="48"/>
          <w:lang w:val="en-US" w:eastAsia="zh-CN"/>
        </w:rPr>
      </w:pPr>
      <w:bookmarkStart w:id="114" w:name="_Toc19246"/>
      <w:bookmarkStart w:id="115" w:name="_Toc31520"/>
      <w:bookmarkStart w:id="116" w:name="_Toc20230"/>
      <w:bookmarkStart w:id="117" w:name="_Toc9053"/>
      <w:bookmarkStart w:id="118" w:name="_Toc29888"/>
      <w:bookmarkStart w:id="119" w:name="_Toc426457696"/>
      <w:bookmarkStart w:id="120" w:name="_Toc26595"/>
      <w:bookmarkStart w:id="121" w:name="_Toc19199"/>
      <w:bookmarkStart w:id="122" w:name="_Toc8333"/>
      <w:bookmarkStart w:id="123" w:name="_Toc31683"/>
      <w:bookmarkStart w:id="124" w:name="_Toc389582037"/>
      <w:r>
        <w:rPr>
          <w:rFonts w:hint="eastAsia" w:ascii="宋体" w:hAnsi="宋体" w:eastAsia="宋体" w:cs="宋体"/>
          <w:b/>
          <w:bCs/>
          <w:spacing w:val="-6"/>
          <w:sz w:val="48"/>
          <w:szCs w:val="48"/>
          <w:lang w:eastAsia="zh-CN"/>
        </w:rPr>
        <w:t>城警联动人员外包服务</w:t>
      </w:r>
      <w:r>
        <w:rPr>
          <w:rFonts w:hint="eastAsia" w:ascii="宋体" w:hAnsi="宋体" w:eastAsia="宋体" w:cs="宋体"/>
          <w:b/>
          <w:bCs/>
          <w:spacing w:val="-6"/>
          <w:sz w:val="48"/>
          <w:szCs w:val="48"/>
          <w:lang w:val="en-US" w:eastAsia="zh-CN"/>
        </w:rPr>
        <w:t>合同</w:t>
      </w:r>
    </w:p>
    <w:p w14:paraId="31FB766A">
      <w:pPr>
        <w:spacing w:before="156" w:line="220" w:lineRule="auto"/>
        <w:jc w:val="center"/>
        <w:outlineLvl w:val="0"/>
        <w:rPr>
          <w:rFonts w:hint="eastAsia" w:ascii="宋体" w:hAnsi="宋体" w:eastAsia="宋体" w:cs="宋体"/>
          <w:sz w:val="32"/>
          <w:szCs w:val="32"/>
          <w:lang w:eastAsia="zh-CN"/>
        </w:rPr>
      </w:pPr>
    </w:p>
    <w:p w14:paraId="11BB26F2">
      <w:pPr>
        <w:bidi w:val="0"/>
        <w:rPr>
          <w:rFonts w:hint="eastAsia" w:ascii="宋体" w:hAnsi="宋体" w:eastAsia="宋体" w:cs="宋体"/>
          <w:lang w:eastAsia="zh-CN"/>
        </w:rPr>
      </w:pPr>
    </w:p>
    <w:p w14:paraId="498B8D6A">
      <w:pPr>
        <w:spacing w:before="156" w:line="220" w:lineRule="auto"/>
        <w:jc w:val="center"/>
        <w:outlineLvl w:val="0"/>
        <w:rPr>
          <w:rFonts w:hint="eastAsia" w:ascii="宋体" w:hAnsi="宋体" w:eastAsia="宋体" w:cs="宋体"/>
          <w:sz w:val="52"/>
          <w:szCs w:val="52"/>
          <w:lang w:eastAsia="zh-CN"/>
        </w:rPr>
      </w:pP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示范文本</w:t>
      </w:r>
      <w:r>
        <w:rPr>
          <w:rFonts w:hint="eastAsia" w:ascii="宋体" w:hAnsi="宋体" w:eastAsia="宋体" w:cs="宋体"/>
          <w:sz w:val="32"/>
          <w:szCs w:val="32"/>
          <w:lang w:eastAsia="zh-CN"/>
        </w:rPr>
        <w:t>）</w:t>
      </w:r>
    </w:p>
    <w:p w14:paraId="4B70AA94">
      <w:pPr>
        <w:pStyle w:val="19"/>
        <w:rPr>
          <w:rFonts w:hint="eastAsia" w:ascii="宋体" w:hAnsi="宋体" w:eastAsia="宋体" w:cs="宋体"/>
        </w:rPr>
      </w:pPr>
    </w:p>
    <w:p w14:paraId="27C6C710">
      <w:pPr>
        <w:pStyle w:val="19"/>
        <w:rPr>
          <w:rFonts w:hint="eastAsia" w:ascii="宋体" w:hAnsi="宋体" w:eastAsia="宋体" w:cs="宋体"/>
        </w:rPr>
      </w:pPr>
    </w:p>
    <w:p w14:paraId="51C3BEEE">
      <w:pPr>
        <w:rPr>
          <w:rFonts w:hint="eastAsia" w:ascii="宋体" w:hAnsi="宋体" w:eastAsia="宋体" w:cs="宋体"/>
        </w:rPr>
      </w:pPr>
    </w:p>
    <w:p w14:paraId="11AD18EC">
      <w:pPr>
        <w:pStyle w:val="19"/>
        <w:rPr>
          <w:rFonts w:hint="eastAsia" w:ascii="宋体" w:hAnsi="宋体" w:eastAsia="宋体" w:cs="宋体"/>
        </w:rPr>
      </w:pPr>
    </w:p>
    <w:p w14:paraId="456DCCF4">
      <w:pPr>
        <w:rPr>
          <w:rFonts w:hint="eastAsia" w:ascii="宋体" w:hAnsi="宋体" w:eastAsia="宋体" w:cs="宋体"/>
        </w:rPr>
      </w:pPr>
    </w:p>
    <w:p w14:paraId="38A16521">
      <w:pPr>
        <w:spacing w:line="560" w:lineRule="exact"/>
        <w:jc w:val="center"/>
        <w:rPr>
          <w:rFonts w:hint="eastAsia" w:ascii="宋体" w:hAnsi="宋体" w:eastAsia="宋体" w:cs="宋体"/>
          <w:b/>
          <w:sz w:val="32"/>
          <w:szCs w:val="32"/>
        </w:rPr>
      </w:pPr>
      <w:r>
        <w:rPr>
          <w:rFonts w:hint="eastAsia" w:ascii="宋体" w:hAnsi="宋体" w:eastAsia="宋体" w:cs="宋体"/>
          <w:b/>
          <w:sz w:val="32"/>
          <w:szCs w:val="32"/>
        </w:rPr>
        <w:t>合同编号：</w:t>
      </w:r>
    </w:p>
    <w:p w14:paraId="52CDA320">
      <w:pPr>
        <w:spacing w:line="560" w:lineRule="exact"/>
        <w:jc w:val="center"/>
        <w:rPr>
          <w:rFonts w:hint="eastAsia" w:ascii="宋体" w:hAnsi="宋体" w:eastAsia="宋体" w:cs="宋体"/>
          <w:lang w:val="en-US" w:eastAsia="zh-CN"/>
        </w:rPr>
      </w:pPr>
      <w:r>
        <w:rPr>
          <w:rFonts w:hint="eastAsia" w:ascii="宋体" w:hAnsi="宋体" w:eastAsia="宋体" w:cs="宋体"/>
          <w:b/>
          <w:sz w:val="32"/>
          <w:szCs w:val="32"/>
          <w:lang w:val="en-US" w:eastAsia="zh-CN"/>
        </w:rPr>
        <w:t>采购合同包：</w:t>
      </w:r>
    </w:p>
    <w:p w14:paraId="22B178EF">
      <w:pPr>
        <w:spacing w:line="560" w:lineRule="exact"/>
        <w:rPr>
          <w:rFonts w:hint="eastAsia" w:ascii="宋体" w:hAnsi="宋体" w:eastAsia="宋体" w:cs="宋体"/>
          <w:b/>
          <w:bCs/>
          <w:sz w:val="36"/>
          <w:szCs w:val="36"/>
        </w:rPr>
      </w:pPr>
    </w:p>
    <w:p w14:paraId="0D79296A">
      <w:pPr>
        <w:pStyle w:val="19"/>
        <w:rPr>
          <w:rFonts w:hint="eastAsia" w:ascii="宋体" w:hAnsi="宋体" w:eastAsia="宋体" w:cs="宋体"/>
        </w:rPr>
      </w:pPr>
    </w:p>
    <w:p w14:paraId="7C369102">
      <w:pPr>
        <w:rPr>
          <w:rFonts w:hint="eastAsia" w:ascii="宋体" w:hAnsi="宋体" w:eastAsia="宋体" w:cs="宋体"/>
        </w:rPr>
      </w:pPr>
    </w:p>
    <w:p w14:paraId="54660132">
      <w:pPr>
        <w:spacing w:line="560" w:lineRule="exact"/>
        <w:rPr>
          <w:rFonts w:hint="eastAsia" w:ascii="宋体" w:hAnsi="宋体" w:eastAsia="宋体" w:cs="宋体"/>
          <w:b/>
          <w:bCs/>
          <w:sz w:val="36"/>
          <w:szCs w:val="36"/>
        </w:rPr>
      </w:pPr>
    </w:p>
    <w:p w14:paraId="6848C496">
      <w:pPr>
        <w:pStyle w:val="31"/>
        <w:rPr>
          <w:rFonts w:hint="eastAsia" w:ascii="宋体" w:hAnsi="宋体" w:eastAsia="宋体" w:cs="宋体"/>
          <w:b/>
          <w:bCs/>
          <w:sz w:val="36"/>
          <w:szCs w:val="36"/>
        </w:rPr>
      </w:pPr>
    </w:p>
    <w:p w14:paraId="4AAA9E23">
      <w:pPr>
        <w:pStyle w:val="31"/>
        <w:rPr>
          <w:rFonts w:hint="eastAsia" w:ascii="宋体" w:hAnsi="宋体" w:eastAsia="宋体" w:cs="宋体"/>
          <w:b/>
          <w:bCs/>
          <w:sz w:val="36"/>
          <w:szCs w:val="36"/>
        </w:rPr>
      </w:pPr>
    </w:p>
    <w:p w14:paraId="0E8170EC">
      <w:pPr>
        <w:spacing w:line="560" w:lineRule="exact"/>
        <w:rPr>
          <w:rFonts w:hint="eastAsia" w:ascii="宋体" w:hAnsi="宋体" w:eastAsia="宋体" w:cs="宋体"/>
          <w:b/>
          <w:bCs/>
          <w:sz w:val="36"/>
          <w:szCs w:val="36"/>
        </w:rPr>
      </w:pPr>
    </w:p>
    <w:p w14:paraId="16D5B6CC">
      <w:pPr>
        <w:spacing w:line="560" w:lineRule="exact"/>
        <w:ind w:firstLine="1928" w:firstLineChars="600"/>
        <w:jc w:val="both"/>
        <w:rPr>
          <w:rFonts w:hint="eastAsia" w:ascii="宋体" w:hAnsi="宋体" w:eastAsia="宋体" w:cs="宋体"/>
          <w:b/>
          <w:bCs/>
          <w:sz w:val="32"/>
          <w:szCs w:val="32"/>
          <w:u w:val="single"/>
          <w:lang w:val="en-US" w:eastAsia="zh-CN"/>
        </w:rPr>
      </w:pPr>
      <w:r>
        <w:rPr>
          <w:rFonts w:hint="eastAsia" w:ascii="宋体" w:hAnsi="宋体" w:eastAsia="宋体" w:cs="宋体"/>
          <w:b/>
          <w:bCs/>
          <w:sz w:val="32"/>
          <w:szCs w:val="32"/>
        </w:rPr>
        <w:t>甲方(</w:t>
      </w:r>
      <w:r>
        <w:rPr>
          <w:rFonts w:hint="eastAsia" w:ascii="宋体" w:hAnsi="宋体" w:eastAsia="宋体" w:cs="宋体"/>
        </w:rPr>
        <w:fldChar w:fldCharType="begin"/>
      </w:r>
      <w:r>
        <w:rPr>
          <w:rFonts w:hint="eastAsia" w:ascii="宋体" w:hAnsi="宋体" w:eastAsia="宋体" w:cs="宋体"/>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rPr>
        <w:fldChar w:fldCharType="separate"/>
      </w:r>
      <w:r>
        <w:rPr>
          <w:rFonts w:hint="eastAsia" w:ascii="宋体" w:hAnsi="宋体" w:eastAsia="宋体" w:cs="宋体"/>
          <w:b/>
          <w:bCs/>
          <w:sz w:val="32"/>
          <w:szCs w:val="32"/>
        </w:rPr>
        <w:t>采购人</w:t>
      </w:r>
      <w:r>
        <w:rPr>
          <w:rFonts w:hint="eastAsia" w:ascii="宋体" w:hAnsi="宋体" w:eastAsia="宋体" w:cs="宋体"/>
          <w:b/>
          <w:bCs/>
          <w:sz w:val="32"/>
          <w:szCs w:val="32"/>
        </w:rPr>
        <w:fldChar w:fldCharType="end"/>
      </w:r>
      <w:r>
        <w:rPr>
          <w:rFonts w:hint="eastAsia" w:ascii="宋体" w:hAnsi="宋体" w:eastAsia="宋体" w:cs="宋体"/>
          <w:b/>
          <w:bCs/>
          <w:sz w:val="32"/>
          <w:szCs w:val="32"/>
        </w:rPr>
        <w:t>)：</w:t>
      </w:r>
      <w:r>
        <w:rPr>
          <w:rFonts w:hint="eastAsia" w:ascii="宋体" w:hAnsi="宋体" w:eastAsia="宋体" w:cs="宋体"/>
          <w:b/>
          <w:bCs/>
          <w:sz w:val="32"/>
          <w:szCs w:val="32"/>
          <w:u w:val="single"/>
          <w:lang w:val="en-US" w:eastAsia="zh-CN"/>
        </w:rPr>
        <w:t xml:space="preserve">                       </w:t>
      </w:r>
    </w:p>
    <w:p w14:paraId="1FD27845">
      <w:pPr>
        <w:ind w:firstLine="2160" w:firstLineChars="900"/>
        <w:jc w:val="both"/>
        <w:rPr>
          <w:rFonts w:hint="eastAsia" w:ascii="宋体" w:hAnsi="宋体" w:eastAsia="宋体" w:cs="宋体"/>
          <w:b/>
          <w:bCs/>
          <w:kern w:val="0"/>
          <w:sz w:val="30"/>
          <w:u w:val="single"/>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"http://set2.mail.qq.com/cgi-bin/mail_spam?action=check_link&amp;spam=0&amp;url=http://www.baidu.com/s?wd=%E4%B9%99%E6%96%B9&amp;hl_tag=textlink&amp;tn=SE_hldp01350_v6v6zkg6" </w:instrText>
      </w:r>
      <w:r>
        <w:rPr>
          <w:rFonts w:hint="eastAsia" w:ascii="宋体" w:hAnsi="宋体" w:eastAsia="宋体" w:cs="宋体"/>
        </w:rPr>
        <w:fldChar w:fldCharType="separate"/>
      </w:r>
      <w:r>
        <w:rPr>
          <w:rFonts w:hint="eastAsia" w:ascii="宋体" w:hAnsi="宋体" w:eastAsia="宋体" w:cs="宋体"/>
          <w:b/>
          <w:bCs/>
          <w:sz w:val="32"/>
          <w:szCs w:val="32"/>
        </w:rPr>
        <w:t>乙方</w:t>
      </w:r>
      <w:r>
        <w:rPr>
          <w:rFonts w:hint="eastAsia" w:ascii="宋体" w:hAnsi="宋体" w:eastAsia="宋体" w:cs="宋体"/>
          <w:b/>
          <w:bCs/>
          <w:sz w:val="32"/>
          <w:szCs w:val="32"/>
        </w:rPr>
        <w:fldChar w:fldCharType="end"/>
      </w:r>
      <w:r>
        <w:rPr>
          <w:rFonts w:hint="eastAsia" w:ascii="宋体" w:hAnsi="宋体" w:eastAsia="宋体" w:cs="宋体"/>
          <w:b/>
          <w:bCs/>
          <w:sz w:val="32"/>
          <w:szCs w:val="32"/>
        </w:rPr>
        <w:t>(</w:t>
      </w:r>
      <w:r>
        <w:rPr>
          <w:rFonts w:hint="eastAsia" w:ascii="宋体" w:hAnsi="宋体" w:eastAsia="宋体" w:cs="宋体"/>
          <w:b/>
          <w:bCs/>
          <w:sz w:val="32"/>
          <w:szCs w:val="32"/>
          <w:lang w:val="en-US" w:eastAsia="zh-CN"/>
        </w:rPr>
        <w:t>投标人</w:t>
      </w:r>
      <w:r>
        <w:rPr>
          <w:rFonts w:hint="eastAsia" w:ascii="宋体" w:hAnsi="宋体" w:eastAsia="宋体" w:cs="宋体"/>
          <w:b/>
          <w:bCs/>
          <w:sz w:val="32"/>
          <w:szCs w:val="32"/>
        </w:rPr>
        <w:t>)：</w:t>
      </w:r>
      <w:r>
        <w:rPr>
          <w:rFonts w:hint="eastAsia" w:ascii="宋体" w:hAnsi="宋体" w:eastAsia="宋体" w:cs="宋体"/>
          <w:b/>
          <w:bCs/>
          <w:sz w:val="32"/>
          <w:szCs w:val="32"/>
          <w:u w:val="single"/>
          <w:lang w:val="en-US" w:eastAsia="zh-CN"/>
        </w:rPr>
        <w:t xml:space="preserve">                       </w:t>
      </w:r>
    </w:p>
    <w:p w14:paraId="685C9F78">
      <w:pPr>
        <w:pStyle w:val="26"/>
        <w:jc w:val="center"/>
        <w:rPr>
          <w:rFonts w:hint="eastAsia" w:ascii="宋体" w:hAnsi="宋体" w:eastAsia="宋体" w:cs="宋体"/>
        </w:rPr>
      </w:pPr>
    </w:p>
    <w:p w14:paraId="56C3BB25">
      <w:pPr>
        <w:spacing w:before="120" w:line="190" w:lineRule="auto"/>
        <w:jc w:val="center"/>
        <w:rPr>
          <w:rFonts w:hint="eastAsia" w:ascii="宋体" w:hAnsi="宋体" w:eastAsia="宋体" w:cs="宋体"/>
          <w:spacing w:val="-5"/>
          <w:sz w:val="30"/>
          <w:szCs w:val="30"/>
          <w:u w:val="single" w:color="auto"/>
          <w:lang w:val="en-US" w:eastAsia="zh-CN"/>
        </w:rPr>
      </w:pPr>
      <w:r>
        <w:rPr>
          <w:rFonts w:hint="eastAsia" w:ascii="宋体" w:hAnsi="宋体" w:eastAsia="宋体" w:cs="宋体"/>
          <w:spacing w:val="23"/>
          <w:sz w:val="32"/>
          <w:szCs w:val="32"/>
        </w:rPr>
        <w:t>签订时间：</w:t>
      </w:r>
      <w:r>
        <w:rPr>
          <w:rFonts w:hint="eastAsia" w:ascii="宋体" w:hAnsi="宋体" w:eastAsia="宋体" w:cs="宋体"/>
          <w:spacing w:val="23"/>
          <w:sz w:val="32"/>
          <w:szCs w:val="32"/>
          <w:u w:val="single"/>
          <w:lang w:val="en-US"/>
        </w:rPr>
        <w:t xml:space="preserve">   </w:t>
      </w:r>
      <w:r>
        <w:rPr>
          <w:rFonts w:hint="eastAsia" w:ascii="宋体" w:hAnsi="宋体" w:eastAsia="宋体" w:cs="宋体"/>
          <w:spacing w:val="23"/>
          <w:sz w:val="32"/>
          <w:szCs w:val="32"/>
        </w:rPr>
        <w:t>年</w:t>
      </w:r>
      <w:r>
        <w:rPr>
          <w:rFonts w:hint="eastAsia" w:ascii="宋体" w:hAnsi="宋体" w:eastAsia="宋体" w:cs="宋体"/>
          <w:spacing w:val="23"/>
          <w:sz w:val="32"/>
          <w:szCs w:val="32"/>
          <w:u w:val="single"/>
          <w:lang w:val="en-US"/>
        </w:rPr>
        <w:t xml:space="preserve">   </w:t>
      </w:r>
      <w:r>
        <w:rPr>
          <w:rFonts w:hint="eastAsia" w:ascii="宋体" w:hAnsi="宋体" w:eastAsia="宋体" w:cs="宋体"/>
          <w:spacing w:val="23"/>
          <w:sz w:val="32"/>
          <w:szCs w:val="32"/>
        </w:rPr>
        <w:t>月</w:t>
      </w:r>
      <w:r>
        <w:rPr>
          <w:rFonts w:hint="eastAsia" w:ascii="宋体" w:hAnsi="宋体" w:eastAsia="宋体" w:cs="宋体"/>
          <w:spacing w:val="23"/>
          <w:sz w:val="32"/>
          <w:szCs w:val="32"/>
          <w:u w:val="single"/>
          <w:lang w:val="en-US"/>
        </w:rPr>
        <w:t xml:space="preserve">   </w:t>
      </w:r>
      <w:r>
        <w:rPr>
          <w:rFonts w:hint="eastAsia" w:ascii="宋体" w:hAnsi="宋体" w:eastAsia="宋体" w:cs="宋体"/>
          <w:spacing w:val="23"/>
          <w:sz w:val="32"/>
          <w:szCs w:val="32"/>
        </w:rPr>
        <w:t>日</w:t>
      </w:r>
    </w:p>
    <w:p w14:paraId="21A33E68">
      <w:pPr>
        <w:pStyle w:val="19"/>
        <w:spacing w:line="258" w:lineRule="auto"/>
        <w:rPr>
          <w:rFonts w:hint="eastAsia" w:ascii="宋体" w:hAnsi="宋体" w:eastAsia="宋体" w:cs="宋体"/>
          <w:sz w:val="30"/>
          <w:szCs w:val="30"/>
        </w:rPr>
      </w:pPr>
    </w:p>
    <w:p w14:paraId="41D3A43F">
      <w:pPr>
        <w:spacing w:before="120" w:line="190" w:lineRule="auto"/>
        <w:ind w:left="1210"/>
        <w:jc w:val="center"/>
        <w:rPr>
          <w:rFonts w:hint="eastAsia" w:ascii="宋体" w:hAnsi="宋体" w:eastAsia="宋体" w:cs="宋体"/>
        </w:rPr>
        <w:sectPr>
          <w:pgSz w:w="11906" w:h="16838"/>
          <w:pgMar w:top="1440" w:right="1080" w:bottom="1440" w:left="1080" w:header="851" w:footer="992" w:gutter="0"/>
          <w:pgNumType w:fmt="decimal"/>
          <w:cols w:space="425" w:num="1"/>
          <w:docGrid w:type="lines" w:linePitch="312" w:charSpace="0"/>
        </w:sectPr>
      </w:pPr>
    </w:p>
    <w:p w14:paraId="4F4A5418">
      <w:pPr>
        <w:pStyle w:val="19"/>
        <w:spacing w:before="0" w:line="360" w:lineRule="auto"/>
        <w:ind w:firstLine="540" w:firstLineChars="225"/>
        <w:rPr>
          <w:rFonts w:hint="eastAsia" w:ascii="宋体" w:hAnsi="宋体" w:eastAsia="宋体" w:cs="宋体"/>
          <w:sz w:val="24"/>
          <w:szCs w:val="24"/>
        </w:rPr>
      </w:pPr>
      <w:r>
        <w:rPr>
          <w:rFonts w:hint="eastAsia" w:ascii="宋体" w:hAnsi="宋体" w:eastAsia="宋体" w:cs="宋体"/>
          <w:sz w:val="24"/>
          <w:szCs w:val="24"/>
        </w:rPr>
        <w:t>甲方：（前款所称采购人）     住所：</w:t>
      </w:r>
    </w:p>
    <w:p w14:paraId="76B5501E">
      <w:pPr>
        <w:pStyle w:val="19"/>
        <w:spacing w:before="0" w:line="360" w:lineRule="auto"/>
        <w:ind w:firstLine="540" w:firstLineChars="225"/>
        <w:rPr>
          <w:rFonts w:hint="eastAsia" w:ascii="宋体" w:hAnsi="宋体" w:eastAsia="宋体" w:cs="宋体"/>
          <w:sz w:val="24"/>
          <w:szCs w:val="24"/>
        </w:rPr>
      </w:pPr>
      <w:r>
        <w:rPr>
          <w:rFonts w:hint="eastAsia" w:ascii="宋体" w:hAnsi="宋体" w:eastAsia="宋体" w:cs="宋体"/>
          <w:sz w:val="24"/>
          <w:szCs w:val="24"/>
        </w:rPr>
        <w:t>乙方：（前款所称中标人）     住所：</w:t>
      </w:r>
    </w:p>
    <w:p w14:paraId="412C8B46">
      <w:pPr>
        <w:pStyle w:val="19"/>
        <w:spacing w:before="0" w:line="360" w:lineRule="auto"/>
        <w:ind w:left="-206" w:leftChars="-86" w:firstLine="663" w:firstLineChars="275"/>
        <w:rPr>
          <w:rFonts w:hint="eastAsia" w:ascii="宋体" w:hAnsi="宋体" w:eastAsia="宋体" w:cs="宋体"/>
          <w:b/>
          <w:sz w:val="24"/>
          <w:szCs w:val="24"/>
        </w:rPr>
      </w:pPr>
      <w:r>
        <w:rPr>
          <w:rFonts w:hint="eastAsia" w:ascii="宋体" w:hAnsi="宋体" w:eastAsia="宋体" w:cs="宋体"/>
          <w:b/>
          <w:sz w:val="24"/>
          <w:szCs w:val="24"/>
        </w:rPr>
        <w:t>一、合同内容</w:t>
      </w:r>
      <w:r>
        <w:rPr>
          <w:rFonts w:hint="eastAsia" w:ascii="宋体" w:hAnsi="宋体" w:eastAsia="宋体" w:cs="宋体"/>
          <w:sz w:val="24"/>
          <w:szCs w:val="24"/>
        </w:rPr>
        <w:t>（标的、数量、质量等）</w:t>
      </w:r>
      <w:r>
        <w:rPr>
          <w:rFonts w:hint="eastAsia" w:ascii="宋体" w:hAnsi="宋体" w:eastAsia="宋体" w:cs="宋体"/>
          <w:b/>
          <w:sz w:val="24"/>
          <w:szCs w:val="24"/>
        </w:rPr>
        <w:t>:</w:t>
      </w:r>
    </w:p>
    <w:p w14:paraId="6C3BB986">
      <w:pPr>
        <w:pStyle w:val="19"/>
        <w:spacing w:before="0" w:line="360" w:lineRule="auto"/>
        <w:ind w:left="-206" w:leftChars="-86" w:firstLine="663" w:firstLineChars="275"/>
        <w:rPr>
          <w:rFonts w:hint="eastAsia" w:ascii="宋体" w:hAnsi="宋体" w:eastAsia="宋体" w:cs="宋体"/>
          <w:b/>
          <w:sz w:val="24"/>
          <w:szCs w:val="24"/>
        </w:rPr>
      </w:pPr>
      <w:r>
        <w:rPr>
          <w:rFonts w:hint="eastAsia" w:ascii="宋体" w:hAnsi="宋体" w:eastAsia="宋体" w:cs="宋体"/>
          <w:b/>
          <w:sz w:val="24"/>
          <w:szCs w:val="24"/>
        </w:rPr>
        <w:t>二、合同价款</w:t>
      </w:r>
    </w:p>
    <w:p w14:paraId="01A2544E">
      <w:pPr>
        <w:pStyle w:val="19"/>
        <w:spacing w:before="0" w:line="360" w:lineRule="auto"/>
        <w:ind w:left="-6" w:leftChars="0" w:firstLine="458" w:firstLineChars="191"/>
        <w:rPr>
          <w:rFonts w:hint="eastAsia" w:ascii="宋体" w:hAnsi="宋体" w:eastAsia="宋体" w:cs="宋体"/>
          <w:b/>
          <w:sz w:val="24"/>
          <w:szCs w:val="24"/>
          <w:highlight w:val="yellow"/>
        </w:rPr>
      </w:pPr>
      <w:r>
        <w:rPr>
          <w:rFonts w:hint="eastAsia" w:ascii="宋体" w:hAnsi="宋体" w:eastAsia="宋体" w:cs="宋体"/>
          <w:sz w:val="24"/>
          <w:szCs w:val="24"/>
        </w:rPr>
        <w:t>合同总价为人民币：</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r>
        <w:rPr>
          <w:rFonts w:hint="eastAsia" w:ascii="宋体" w:hAnsi="宋体" w:eastAsia="宋体" w:cs="宋体"/>
          <w:sz w:val="24"/>
          <w:szCs w:val="24"/>
          <w:highlight w:val="none"/>
          <w:lang w:eastAsia="zh-CN"/>
        </w:rPr>
        <w:t>（该项目费用包含但不限于乙方员工的工资、保险、驻场管理人员人工费、运营管理费、招标代理服务费、团建费、招聘费、培训费、风险金、残保金、税费、福利费、等所有费用。）</w:t>
      </w:r>
    </w:p>
    <w:p w14:paraId="140EE2A4">
      <w:pPr>
        <w:pStyle w:val="19"/>
        <w:spacing w:before="0" w:line="360" w:lineRule="auto"/>
        <w:ind w:firstLine="542" w:firstLineChars="225"/>
        <w:rPr>
          <w:rFonts w:hint="eastAsia" w:ascii="宋体" w:hAnsi="宋体" w:eastAsia="宋体" w:cs="宋体"/>
          <w:b/>
          <w:sz w:val="24"/>
          <w:szCs w:val="24"/>
        </w:rPr>
      </w:pPr>
      <w:bookmarkStart w:id="125" w:name="_Toc20342"/>
      <w:bookmarkStart w:id="126" w:name="_Toc521307608"/>
      <w:bookmarkStart w:id="127" w:name="_Toc3174"/>
      <w:r>
        <w:rPr>
          <w:rFonts w:hint="eastAsia" w:ascii="宋体" w:hAnsi="宋体" w:eastAsia="宋体" w:cs="宋体"/>
          <w:b/>
          <w:sz w:val="24"/>
          <w:szCs w:val="24"/>
        </w:rPr>
        <w:t>三、</w:t>
      </w:r>
      <w:bookmarkEnd w:id="125"/>
      <w:bookmarkEnd w:id="126"/>
      <w:bookmarkEnd w:id="127"/>
      <w:r>
        <w:rPr>
          <w:rFonts w:hint="eastAsia" w:ascii="宋体" w:hAnsi="宋体" w:eastAsia="宋体" w:cs="宋体"/>
          <w:b/>
          <w:sz w:val="24"/>
          <w:szCs w:val="24"/>
        </w:rPr>
        <w:t>合同结算</w:t>
      </w:r>
    </w:p>
    <w:p w14:paraId="59B03143">
      <w:pPr>
        <w:pStyle w:val="19"/>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1、资金支付条件及时间：按月支付</w:t>
      </w:r>
      <w:r>
        <w:rPr>
          <w:rFonts w:hint="eastAsia" w:ascii="宋体" w:hAnsi="宋体" w:eastAsia="宋体" w:cs="宋体"/>
          <w:sz w:val="24"/>
          <w:szCs w:val="24"/>
          <w:lang w:eastAsia="zh-CN"/>
        </w:rPr>
        <w:t>，据实结算。</w:t>
      </w:r>
      <w:r>
        <w:rPr>
          <w:rFonts w:hint="eastAsia" w:ascii="宋体" w:hAnsi="宋体" w:eastAsia="宋体" w:cs="宋体"/>
          <w:sz w:val="24"/>
          <w:szCs w:val="24"/>
        </w:rPr>
        <w:t>（每次付款前，乙方均需提交付款申请书和等额合格发票，并经甲方审核）。</w:t>
      </w:r>
    </w:p>
    <w:p w14:paraId="3666EDC0">
      <w:pPr>
        <w:pStyle w:val="19"/>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2、结算方式：银行转账。</w:t>
      </w:r>
    </w:p>
    <w:p w14:paraId="43E20D02">
      <w:pPr>
        <w:pStyle w:val="19"/>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3、结算单位：由</w:t>
      </w:r>
      <w:r>
        <w:rPr>
          <w:rFonts w:hint="eastAsia" w:ascii="宋体" w:hAnsi="宋体" w:eastAsia="宋体" w:cs="宋体"/>
          <w:sz w:val="24"/>
          <w:szCs w:val="24"/>
          <w:u w:val="single"/>
        </w:rPr>
        <w:t>甲方</w:t>
      </w:r>
      <w:r>
        <w:rPr>
          <w:rFonts w:hint="eastAsia" w:ascii="宋体" w:hAnsi="宋体" w:eastAsia="宋体" w:cs="宋体"/>
          <w:sz w:val="24"/>
          <w:szCs w:val="24"/>
        </w:rPr>
        <w:t>负责结算，乙方开具合同总价数的全额发票交采购人。</w:t>
      </w:r>
    </w:p>
    <w:p w14:paraId="1B16651F">
      <w:pPr>
        <w:pStyle w:val="19"/>
        <w:spacing w:before="0" w:line="360" w:lineRule="auto"/>
        <w:ind w:firstLine="542" w:firstLineChars="225"/>
        <w:rPr>
          <w:rFonts w:hint="eastAsia" w:ascii="宋体" w:hAnsi="宋体" w:eastAsia="宋体" w:cs="宋体"/>
          <w:sz w:val="24"/>
          <w:szCs w:val="24"/>
        </w:rPr>
      </w:pPr>
      <w:bookmarkStart w:id="128" w:name="_Toc521307609"/>
      <w:bookmarkStart w:id="129" w:name="_Toc663"/>
      <w:r>
        <w:rPr>
          <w:rFonts w:hint="eastAsia" w:ascii="宋体" w:hAnsi="宋体" w:eastAsia="宋体" w:cs="宋体"/>
          <w:b/>
          <w:sz w:val="24"/>
          <w:szCs w:val="24"/>
        </w:rPr>
        <w:t>四</w:t>
      </w:r>
      <w:bookmarkEnd w:id="128"/>
      <w:bookmarkEnd w:id="129"/>
      <w:r>
        <w:rPr>
          <w:rFonts w:hint="eastAsia" w:ascii="宋体" w:hAnsi="宋体" w:eastAsia="宋体" w:cs="宋体"/>
          <w:b/>
          <w:sz w:val="24"/>
          <w:szCs w:val="24"/>
        </w:rPr>
        <w:t>、履行期限、地点及方式:</w:t>
      </w:r>
    </w:p>
    <w:p w14:paraId="25FE6A1B">
      <w:pPr>
        <w:pStyle w:val="19"/>
        <w:spacing w:before="0" w:line="360" w:lineRule="auto"/>
        <w:ind w:firstLine="540" w:firstLineChars="225"/>
        <w:rPr>
          <w:rFonts w:hint="eastAsia" w:ascii="宋体" w:hAnsi="宋体" w:eastAsia="宋体" w:cs="宋体"/>
          <w:sz w:val="24"/>
          <w:szCs w:val="24"/>
        </w:rPr>
      </w:pPr>
      <w:r>
        <w:rPr>
          <w:rFonts w:hint="eastAsia" w:ascii="宋体" w:hAnsi="宋体" w:eastAsia="宋体" w:cs="宋体"/>
          <w:sz w:val="24"/>
          <w:szCs w:val="24"/>
        </w:rPr>
        <w:t>1、服务期：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45EC36FC">
      <w:pPr>
        <w:pStyle w:val="19"/>
        <w:spacing w:before="0" w:line="360" w:lineRule="auto"/>
        <w:ind w:firstLine="540" w:firstLineChars="225"/>
        <w:rPr>
          <w:rFonts w:hint="eastAsia" w:ascii="宋体" w:hAnsi="宋体" w:eastAsia="宋体" w:cs="宋体"/>
          <w:sz w:val="24"/>
          <w:szCs w:val="24"/>
        </w:rPr>
      </w:pPr>
      <w:r>
        <w:rPr>
          <w:rFonts w:hint="eastAsia" w:ascii="宋体" w:hAnsi="宋体" w:eastAsia="宋体" w:cs="宋体"/>
          <w:sz w:val="24"/>
          <w:szCs w:val="24"/>
        </w:rPr>
        <w:t>2、服务地点：采购人指定地点</w:t>
      </w:r>
    </w:p>
    <w:p w14:paraId="0042D4F5">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bCs/>
          <w:sz w:val="24"/>
          <w:szCs w:val="24"/>
          <w:lang w:val="zh-CN"/>
        </w:rPr>
        <w:t>3、方式：按照采购人要求方式</w:t>
      </w:r>
    </w:p>
    <w:p w14:paraId="73A1835B">
      <w:pPr>
        <w:adjustRightInd w:val="0"/>
        <w:snapToGrid w:val="0"/>
        <w:spacing w:line="360" w:lineRule="auto"/>
        <w:ind w:firstLine="482" w:firstLineChars="200"/>
        <w:rPr>
          <w:rFonts w:hint="eastAsia" w:ascii="宋体" w:hAnsi="宋体" w:eastAsia="宋体" w:cs="宋体"/>
          <w:b/>
          <w:sz w:val="24"/>
          <w:szCs w:val="24"/>
          <w:lang w:val="zh-CN"/>
        </w:rPr>
      </w:pPr>
      <w:bookmarkStart w:id="130" w:name="_Toc19515388"/>
      <w:r>
        <w:rPr>
          <w:rFonts w:hint="eastAsia" w:ascii="宋体" w:hAnsi="宋体" w:eastAsia="宋体" w:cs="宋体"/>
          <w:b/>
          <w:sz w:val="24"/>
          <w:szCs w:val="24"/>
          <w:lang w:val="zh-CN"/>
        </w:rPr>
        <w:t>五、</w:t>
      </w:r>
      <w:bookmarkEnd w:id="130"/>
      <w:r>
        <w:rPr>
          <w:rFonts w:hint="eastAsia" w:ascii="宋体" w:hAnsi="宋体" w:eastAsia="宋体" w:cs="宋体"/>
          <w:b/>
          <w:sz w:val="24"/>
          <w:szCs w:val="24"/>
          <w:lang w:val="zh-CN"/>
        </w:rPr>
        <w:t>服务工作要求和质量保证</w:t>
      </w:r>
    </w:p>
    <w:p w14:paraId="5D28EDB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（一）根据采购人需求，对岗位缺少的人员进行及时招聘补充</w:t>
      </w:r>
    </w:p>
    <w:p w14:paraId="512B773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hAnsi="宋体" w:cs="宋体"/>
          <w:sz w:val="24"/>
          <w:szCs w:val="24"/>
          <w:lang w:eastAsia="zh-CN"/>
        </w:rPr>
        <w:t>、</w:t>
      </w:r>
      <w:r>
        <w:rPr>
          <w:rFonts w:hint="eastAsia" w:ascii="宋体" w:hAnsi="宋体" w:eastAsia="宋体" w:cs="宋体"/>
          <w:sz w:val="24"/>
          <w:szCs w:val="24"/>
        </w:rPr>
        <w:t>按时为外包员工签订劳动合同、建立员工档案、缴纳社会保险、发放工资及缴纳个税；</w:t>
      </w:r>
    </w:p>
    <w:p w14:paraId="7D66F7B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hAnsi="宋体" w:cs="宋体"/>
          <w:sz w:val="24"/>
          <w:szCs w:val="24"/>
          <w:lang w:eastAsia="zh-CN"/>
        </w:rPr>
        <w:t>、</w:t>
      </w:r>
      <w:r>
        <w:rPr>
          <w:rFonts w:hint="eastAsia" w:ascii="宋体" w:hAnsi="宋体" w:eastAsia="宋体" w:cs="宋体"/>
          <w:sz w:val="24"/>
          <w:szCs w:val="24"/>
        </w:rPr>
        <w:t>为外包员工办理工伤、生育、医疗报销、开具证明等手续；</w:t>
      </w:r>
    </w:p>
    <w:p w14:paraId="7D6F050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hAnsi="宋体" w:cs="宋体"/>
          <w:sz w:val="24"/>
          <w:szCs w:val="24"/>
          <w:lang w:eastAsia="zh-CN"/>
        </w:rPr>
        <w:t>、</w:t>
      </w:r>
      <w:r>
        <w:rPr>
          <w:rFonts w:hint="eastAsia" w:ascii="宋体" w:hAnsi="宋体" w:eastAsia="宋体" w:cs="宋体"/>
          <w:sz w:val="24"/>
          <w:szCs w:val="24"/>
        </w:rPr>
        <w:t>协助外包员工办理人事档案、党组织关系的转接手续；</w:t>
      </w:r>
    </w:p>
    <w:p w14:paraId="2B328A1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hAnsi="宋体" w:cs="宋体"/>
          <w:sz w:val="24"/>
          <w:szCs w:val="24"/>
          <w:lang w:eastAsia="zh-CN"/>
        </w:rPr>
        <w:t>、</w:t>
      </w:r>
      <w:r>
        <w:rPr>
          <w:rFonts w:hint="eastAsia" w:ascii="宋体" w:hAnsi="宋体" w:eastAsia="宋体" w:cs="宋体"/>
          <w:sz w:val="24"/>
          <w:szCs w:val="24"/>
        </w:rPr>
        <w:t>负责外包员工的的日常管理、关系转接、劳动争议、纠纷等；</w:t>
      </w:r>
    </w:p>
    <w:p w14:paraId="72E8DAD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hAnsi="宋体" w:cs="宋体"/>
          <w:sz w:val="24"/>
          <w:szCs w:val="24"/>
          <w:lang w:eastAsia="zh-CN"/>
        </w:rPr>
        <w:t>、</w:t>
      </w:r>
      <w:r>
        <w:rPr>
          <w:rFonts w:hint="eastAsia" w:ascii="宋体" w:hAnsi="宋体" w:eastAsia="宋体" w:cs="宋体"/>
          <w:sz w:val="24"/>
          <w:szCs w:val="24"/>
        </w:rPr>
        <w:t>负责为外包员工提供岗前培训、日常培训等。</w:t>
      </w:r>
    </w:p>
    <w:p w14:paraId="722A41C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（二）保障采购人工作稳定有序进行</w:t>
      </w:r>
    </w:p>
    <w:p w14:paraId="78C1977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1.发生劳动纠纷时承担取证、出庭等工作；</w:t>
      </w:r>
    </w:p>
    <w:p w14:paraId="798DA6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2.按照合同及法定程序争取权益；</w:t>
      </w:r>
    </w:p>
    <w:p w14:paraId="239E91B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3.按照解聘程序办理外包人员退回、解聘等手续；</w:t>
      </w:r>
    </w:p>
    <w:p w14:paraId="0499D43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4.根据采购人需求及时补充外包员工。</w:t>
      </w:r>
    </w:p>
    <w:p w14:paraId="70561DB9">
      <w:pPr>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六、甲方的权利和义务</w:t>
      </w:r>
    </w:p>
    <w:p w14:paraId="4F61066E">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1、甲方单位人员有权指导乙方</w:t>
      </w:r>
      <w:r>
        <w:rPr>
          <w:rFonts w:hint="eastAsia" w:ascii="宋体" w:hAnsi="宋体" w:eastAsia="宋体" w:cs="宋体"/>
          <w:sz w:val="24"/>
          <w:szCs w:val="24"/>
        </w:rPr>
        <w:t>工作人</w:t>
      </w:r>
      <w:r>
        <w:rPr>
          <w:rFonts w:hint="eastAsia" w:ascii="宋体" w:hAnsi="宋体" w:eastAsia="宋体" w:cs="宋体"/>
          <w:sz w:val="24"/>
          <w:szCs w:val="24"/>
          <w:lang w:val="zh-CN"/>
        </w:rPr>
        <w:t>员的各项工作，监督乙方合同执行效果，并对不完善的地方提出整改要求，乙方需配合执行。</w:t>
      </w:r>
    </w:p>
    <w:p w14:paraId="72D66DD4">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2、甲方有权检查乙方</w:t>
      </w:r>
      <w:r>
        <w:rPr>
          <w:rFonts w:hint="eastAsia" w:ascii="宋体" w:hAnsi="宋体" w:eastAsia="宋体" w:cs="宋体"/>
          <w:sz w:val="24"/>
          <w:szCs w:val="24"/>
        </w:rPr>
        <w:t>人员</w:t>
      </w:r>
      <w:r>
        <w:rPr>
          <w:rFonts w:hint="eastAsia" w:ascii="宋体" w:hAnsi="宋体" w:eastAsia="宋体" w:cs="宋体"/>
          <w:sz w:val="24"/>
          <w:szCs w:val="24"/>
          <w:lang w:val="zh-CN"/>
        </w:rPr>
        <w:t>的劳动合同及社会保险凭证，有权要求乙方更换不合格</w:t>
      </w:r>
      <w:r>
        <w:rPr>
          <w:rFonts w:hint="eastAsia" w:ascii="宋体" w:hAnsi="宋体" w:eastAsia="宋体" w:cs="宋体"/>
          <w:sz w:val="24"/>
          <w:szCs w:val="24"/>
        </w:rPr>
        <w:t>工作</w:t>
      </w:r>
      <w:r>
        <w:rPr>
          <w:rFonts w:hint="eastAsia" w:ascii="宋体" w:hAnsi="宋体" w:eastAsia="宋体" w:cs="宋体"/>
          <w:sz w:val="24"/>
          <w:szCs w:val="24"/>
          <w:lang w:val="zh-CN"/>
        </w:rPr>
        <w:t>人员。</w:t>
      </w:r>
    </w:p>
    <w:p w14:paraId="5452C8CB">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3、甲方有权对进入服务区内</w:t>
      </w:r>
      <w:r>
        <w:rPr>
          <w:rFonts w:hint="eastAsia" w:ascii="宋体" w:hAnsi="宋体" w:eastAsia="宋体" w:cs="宋体"/>
          <w:sz w:val="24"/>
          <w:szCs w:val="24"/>
        </w:rPr>
        <w:t>工作人</w:t>
      </w:r>
      <w:r>
        <w:rPr>
          <w:rFonts w:hint="eastAsia" w:ascii="宋体" w:hAnsi="宋体" w:eastAsia="宋体" w:cs="宋体"/>
          <w:sz w:val="24"/>
          <w:szCs w:val="24"/>
          <w:lang w:val="zh-CN"/>
        </w:rPr>
        <w:t>员进行年龄核对，以身份证为准。</w:t>
      </w:r>
    </w:p>
    <w:p w14:paraId="4EB6BFB0">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4、甲方有权对</w:t>
      </w:r>
      <w:r>
        <w:rPr>
          <w:rFonts w:hint="eastAsia" w:ascii="宋体" w:hAnsi="宋体" w:eastAsia="宋体" w:cs="宋体"/>
          <w:sz w:val="24"/>
          <w:szCs w:val="24"/>
        </w:rPr>
        <w:t>工作人员</w:t>
      </w:r>
      <w:r>
        <w:rPr>
          <w:rFonts w:hint="eastAsia" w:ascii="宋体" w:hAnsi="宋体" w:eastAsia="宋体" w:cs="宋体"/>
          <w:sz w:val="24"/>
          <w:szCs w:val="24"/>
          <w:lang w:val="zh-CN"/>
        </w:rPr>
        <w:t>进行合理询问，依据合同检查是否执行岗位服务内容。</w:t>
      </w:r>
    </w:p>
    <w:p w14:paraId="1CBBFD2E">
      <w:pPr>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七、乙方的权利和义务</w:t>
      </w:r>
    </w:p>
    <w:p w14:paraId="145BF54C">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1、乙方的</w:t>
      </w:r>
      <w:r>
        <w:rPr>
          <w:rFonts w:hint="eastAsia" w:ascii="宋体" w:hAnsi="宋体" w:eastAsia="宋体" w:cs="宋体"/>
          <w:sz w:val="24"/>
          <w:szCs w:val="24"/>
        </w:rPr>
        <w:t>员工</w:t>
      </w:r>
      <w:r>
        <w:rPr>
          <w:rFonts w:hint="eastAsia" w:ascii="宋体" w:hAnsi="宋体" w:eastAsia="宋体" w:cs="宋体"/>
          <w:sz w:val="24"/>
          <w:szCs w:val="24"/>
          <w:lang w:val="zh-CN"/>
        </w:rPr>
        <w:t>必须严格遵守甲方的规章制度，以良好的形象和积极的工作态度，按甲方要求开展工作；</w:t>
      </w:r>
    </w:p>
    <w:p w14:paraId="24175097">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2、乙方为甲方提供的</w:t>
      </w:r>
      <w:r>
        <w:rPr>
          <w:rFonts w:hint="eastAsia" w:ascii="宋体" w:hAnsi="宋体" w:eastAsia="宋体" w:cs="宋体"/>
          <w:sz w:val="24"/>
          <w:szCs w:val="24"/>
        </w:rPr>
        <w:t>工作人员</w:t>
      </w:r>
      <w:r>
        <w:rPr>
          <w:rFonts w:hint="eastAsia" w:ascii="宋体" w:hAnsi="宋体" w:eastAsia="宋体" w:cs="宋体"/>
          <w:sz w:val="24"/>
          <w:szCs w:val="24"/>
          <w:lang w:val="zh-CN"/>
        </w:rPr>
        <w:t>必须符合</w:t>
      </w:r>
      <w:r>
        <w:rPr>
          <w:rFonts w:hint="eastAsia" w:ascii="宋体" w:hAnsi="宋体" w:eastAsia="宋体" w:cs="宋体"/>
          <w:sz w:val="24"/>
          <w:szCs w:val="24"/>
        </w:rPr>
        <w:t>甲方</w:t>
      </w:r>
      <w:r>
        <w:rPr>
          <w:rFonts w:hint="eastAsia" w:ascii="宋体" w:hAnsi="宋体" w:eastAsia="宋体" w:cs="宋体"/>
          <w:sz w:val="24"/>
          <w:szCs w:val="24"/>
          <w:lang w:val="zh-CN"/>
        </w:rPr>
        <w:t>的要求，培训达标后持证上岗；</w:t>
      </w:r>
    </w:p>
    <w:p w14:paraId="5AFCBCEE">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3、乙方应遵照《</w:t>
      </w:r>
      <w:r>
        <w:rPr>
          <w:rFonts w:hint="eastAsia" w:ascii="宋体" w:hAnsi="宋体" w:eastAsia="宋体" w:cs="宋体"/>
          <w:sz w:val="24"/>
          <w:szCs w:val="24"/>
          <w:lang w:val="en-US" w:eastAsia="zh-CN"/>
        </w:rPr>
        <w:t>中华人民共和国</w:t>
      </w:r>
      <w:r>
        <w:rPr>
          <w:rFonts w:hint="eastAsia" w:ascii="宋体" w:hAnsi="宋体" w:eastAsia="宋体" w:cs="宋体"/>
          <w:sz w:val="24"/>
          <w:szCs w:val="24"/>
          <w:lang w:val="zh-CN"/>
        </w:rPr>
        <w:t>劳动法》，与</w:t>
      </w:r>
      <w:r>
        <w:rPr>
          <w:rFonts w:hint="eastAsia" w:ascii="宋体" w:hAnsi="宋体" w:eastAsia="宋体" w:cs="宋体"/>
          <w:sz w:val="24"/>
          <w:szCs w:val="24"/>
        </w:rPr>
        <w:t>员工</w:t>
      </w:r>
      <w:r>
        <w:rPr>
          <w:rFonts w:hint="eastAsia" w:ascii="宋体" w:hAnsi="宋体" w:eastAsia="宋体" w:cs="宋体"/>
          <w:sz w:val="24"/>
          <w:szCs w:val="24"/>
          <w:lang w:val="zh-CN"/>
        </w:rPr>
        <w:t>签订劳动合同，应根据《</w:t>
      </w:r>
      <w:r>
        <w:rPr>
          <w:rFonts w:hint="eastAsia" w:ascii="宋体" w:hAnsi="宋体" w:eastAsia="宋体" w:cs="宋体"/>
          <w:sz w:val="24"/>
          <w:szCs w:val="24"/>
          <w:lang w:val="en-US" w:eastAsia="zh-CN"/>
        </w:rPr>
        <w:t>中华人民共和国</w:t>
      </w:r>
      <w:r>
        <w:rPr>
          <w:rFonts w:hint="eastAsia" w:ascii="宋体" w:hAnsi="宋体" w:eastAsia="宋体" w:cs="宋体"/>
          <w:sz w:val="24"/>
          <w:szCs w:val="24"/>
          <w:lang w:val="zh-CN"/>
        </w:rPr>
        <w:t>劳动法》、《工伤保险条例》等法律法规规定，为</w:t>
      </w:r>
      <w:r>
        <w:rPr>
          <w:rFonts w:hint="eastAsia" w:ascii="宋体" w:hAnsi="宋体" w:eastAsia="宋体" w:cs="宋体"/>
          <w:sz w:val="24"/>
          <w:szCs w:val="24"/>
        </w:rPr>
        <w:t>员工</w:t>
      </w:r>
      <w:r>
        <w:rPr>
          <w:rFonts w:hint="eastAsia" w:ascii="宋体" w:hAnsi="宋体" w:eastAsia="宋体" w:cs="宋体"/>
          <w:sz w:val="24"/>
          <w:szCs w:val="24"/>
          <w:lang w:val="zh-CN"/>
        </w:rPr>
        <w:t>提供社会保险等福利，并向采购人提供劳动合同、社会保险原件，经甲方确认后，由甲方留存劳动合同、社会保险复印件；</w:t>
      </w:r>
    </w:p>
    <w:p w14:paraId="16C3CE40">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4、乙方应严格履行甲方的</w:t>
      </w:r>
      <w:r>
        <w:rPr>
          <w:rFonts w:hint="eastAsia" w:ascii="宋体" w:hAnsi="宋体" w:eastAsia="宋体" w:cs="宋体"/>
          <w:sz w:val="24"/>
          <w:szCs w:val="24"/>
        </w:rPr>
        <w:t>工作要求</w:t>
      </w:r>
      <w:r>
        <w:rPr>
          <w:rFonts w:hint="eastAsia" w:ascii="宋体" w:hAnsi="宋体" w:eastAsia="宋体" w:cs="宋体"/>
          <w:sz w:val="24"/>
          <w:szCs w:val="24"/>
          <w:lang w:val="zh-CN"/>
        </w:rPr>
        <w:t>；</w:t>
      </w:r>
    </w:p>
    <w:p w14:paraId="2BE55C7F">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5、乙方</w:t>
      </w:r>
      <w:r>
        <w:rPr>
          <w:rFonts w:hint="eastAsia" w:ascii="宋体" w:hAnsi="宋体" w:eastAsia="宋体" w:cs="宋体"/>
          <w:sz w:val="24"/>
          <w:szCs w:val="24"/>
        </w:rPr>
        <w:t>员工</w:t>
      </w:r>
      <w:r>
        <w:rPr>
          <w:rFonts w:hint="eastAsia" w:ascii="宋体" w:hAnsi="宋体" w:eastAsia="宋体" w:cs="宋体"/>
          <w:sz w:val="24"/>
          <w:szCs w:val="24"/>
          <w:lang w:val="zh-CN"/>
        </w:rPr>
        <w:t>凡违反岗位要求及附件中各项规章制度规定，甲方经乙方确认后，扣除</w:t>
      </w:r>
      <w:r>
        <w:rPr>
          <w:rFonts w:hint="eastAsia" w:ascii="宋体" w:hAnsi="宋体" w:eastAsia="宋体" w:cs="宋体"/>
          <w:sz w:val="24"/>
          <w:szCs w:val="24"/>
        </w:rPr>
        <w:t>员工</w:t>
      </w:r>
      <w:r>
        <w:rPr>
          <w:rFonts w:hint="eastAsia" w:ascii="宋体" w:hAnsi="宋体" w:eastAsia="宋体" w:cs="宋体"/>
          <w:sz w:val="24"/>
          <w:szCs w:val="24"/>
          <w:lang w:val="zh-CN"/>
        </w:rPr>
        <w:t>当日服务费的50%；</w:t>
      </w:r>
    </w:p>
    <w:p w14:paraId="4EC6031A">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6、乙方需满足甲方</w:t>
      </w:r>
      <w:r>
        <w:rPr>
          <w:rFonts w:hint="eastAsia" w:ascii="宋体" w:hAnsi="宋体" w:eastAsia="宋体" w:cs="宋体"/>
          <w:sz w:val="24"/>
          <w:szCs w:val="24"/>
        </w:rPr>
        <w:t>员工</w:t>
      </w:r>
      <w:r>
        <w:rPr>
          <w:rFonts w:hint="eastAsia" w:ascii="宋体" w:hAnsi="宋体" w:eastAsia="宋体" w:cs="宋体"/>
          <w:sz w:val="24"/>
          <w:szCs w:val="24"/>
          <w:lang w:val="zh-CN"/>
        </w:rPr>
        <w:t>人数和服务质量要求，经甲方与乙方双方</w:t>
      </w:r>
      <w:r>
        <w:rPr>
          <w:rFonts w:hint="eastAsia" w:ascii="宋体" w:hAnsi="宋体" w:eastAsia="宋体" w:cs="宋体"/>
          <w:sz w:val="24"/>
          <w:szCs w:val="24"/>
        </w:rPr>
        <w:t>员工</w:t>
      </w:r>
      <w:r>
        <w:rPr>
          <w:rFonts w:hint="eastAsia" w:ascii="宋体" w:hAnsi="宋体" w:eastAsia="宋体" w:cs="宋体"/>
          <w:sz w:val="24"/>
          <w:szCs w:val="24"/>
          <w:lang w:val="zh-CN"/>
        </w:rPr>
        <w:t>负责人确认，对达不到本项目采购要求所述条件要求的人员进行更换；</w:t>
      </w:r>
    </w:p>
    <w:p w14:paraId="4424AE21">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7、</w:t>
      </w:r>
      <w:r>
        <w:rPr>
          <w:rFonts w:hint="eastAsia" w:ascii="宋体" w:hAnsi="宋体" w:eastAsia="宋体" w:cs="宋体"/>
          <w:sz w:val="24"/>
          <w:szCs w:val="24"/>
        </w:rPr>
        <w:t>员工</w:t>
      </w:r>
      <w:r>
        <w:rPr>
          <w:rFonts w:hint="eastAsia" w:ascii="宋体" w:hAnsi="宋体" w:eastAsia="宋体" w:cs="宋体"/>
          <w:sz w:val="24"/>
          <w:szCs w:val="24"/>
          <w:lang w:val="zh-CN"/>
        </w:rPr>
        <w:t>根据采购人不同区域的不同特点，做好防火、防盗、防破坏工作，如遇紧急事件，及时向相关领导汇报；</w:t>
      </w:r>
    </w:p>
    <w:p w14:paraId="03F3219F">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8</w:t>
      </w:r>
      <w:r>
        <w:rPr>
          <w:rFonts w:hint="eastAsia" w:ascii="宋体" w:hAnsi="宋体" w:eastAsia="宋体" w:cs="宋体"/>
          <w:sz w:val="24"/>
          <w:szCs w:val="24"/>
          <w:lang w:val="zh-CN"/>
        </w:rPr>
        <w:t>、乙方</w:t>
      </w:r>
      <w:r>
        <w:rPr>
          <w:rFonts w:hint="eastAsia" w:ascii="宋体" w:hAnsi="宋体" w:eastAsia="宋体" w:cs="宋体"/>
          <w:sz w:val="24"/>
          <w:szCs w:val="24"/>
        </w:rPr>
        <w:t>员工</w:t>
      </w:r>
      <w:r>
        <w:rPr>
          <w:rFonts w:hint="eastAsia" w:ascii="宋体" w:hAnsi="宋体" w:eastAsia="宋体" w:cs="宋体"/>
          <w:sz w:val="24"/>
          <w:szCs w:val="24"/>
          <w:lang w:val="zh-CN"/>
        </w:rPr>
        <w:t>在甲方服务区域内违法、犯罪，乙方应负全部责任；</w:t>
      </w:r>
    </w:p>
    <w:p w14:paraId="02B9DE9B">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9</w:t>
      </w:r>
      <w:r>
        <w:rPr>
          <w:rFonts w:hint="eastAsia" w:ascii="宋体" w:hAnsi="宋体" w:eastAsia="宋体" w:cs="宋体"/>
          <w:sz w:val="24"/>
          <w:szCs w:val="24"/>
          <w:lang w:val="zh-CN"/>
        </w:rPr>
        <w:t>、如乙方</w:t>
      </w:r>
      <w:r>
        <w:rPr>
          <w:rFonts w:hint="eastAsia" w:ascii="宋体" w:hAnsi="宋体" w:eastAsia="宋体" w:cs="宋体"/>
          <w:sz w:val="24"/>
          <w:szCs w:val="24"/>
        </w:rPr>
        <w:t>员工</w:t>
      </w:r>
      <w:r>
        <w:rPr>
          <w:rFonts w:hint="eastAsia" w:ascii="宋体" w:hAnsi="宋体" w:eastAsia="宋体" w:cs="宋体"/>
          <w:sz w:val="24"/>
          <w:szCs w:val="24"/>
          <w:lang w:val="zh-CN"/>
        </w:rPr>
        <w:t>在经营服务中为抢救采购人生命、财产致伤、致残、致死亡，其赔偿费用应从工伤保险基金中支付；</w:t>
      </w:r>
    </w:p>
    <w:p w14:paraId="3EA16FD8">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w:t>
      </w:r>
      <w:r>
        <w:rPr>
          <w:rFonts w:hint="eastAsia" w:ascii="宋体" w:hAnsi="宋体" w:eastAsia="宋体" w:cs="宋体"/>
          <w:sz w:val="24"/>
          <w:szCs w:val="24"/>
        </w:rPr>
        <w:t>0</w:t>
      </w:r>
      <w:r>
        <w:rPr>
          <w:rFonts w:hint="eastAsia" w:ascii="宋体" w:hAnsi="宋体" w:eastAsia="宋体" w:cs="宋体"/>
          <w:sz w:val="24"/>
          <w:szCs w:val="24"/>
          <w:lang w:val="zh-CN"/>
        </w:rPr>
        <w:t>、对甲方区域内的不安全隐患应及时提出书面建议并积极配合改进、解决。</w:t>
      </w:r>
    </w:p>
    <w:p w14:paraId="562D838E">
      <w:pPr>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八、保密规定</w:t>
      </w:r>
    </w:p>
    <w:p w14:paraId="2D48D9E8">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甲、乙双方应永久恪守因签署或履行本合同而获知的对方秘密信息及其它秘密资料。任何一方如将获知的对方秘密信息泄露给第三方，应赔偿因泄密而给对方造成的一切损失并承担相应的法律责任（包括刑事责任）。</w:t>
      </w:r>
    </w:p>
    <w:p w14:paraId="22A927F7">
      <w:pPr>
        <w:adjustRightInd w:val="0"/>
        <w:snapToGrid w:val="0"/>
        <w:spacing w:line="360" w:lineRule="auto"/>
        <w:ind w:firstLine="482" w:firstLineChars="200"/>
        <w:rPr>
          <w:rFonts w:hint="eastAsia" w:ascii="宋体" w:hAnsi="宋体" w:eastAsia="宋体" w:cs="宋体"/>
          <w:b/>
          <w:sz w:val="24"/>
          <w:szCs w:val="24"/>
          <w:lang w:val="zh-CN"/>
        </w:rPr>
      </w:pPr>
      <w:bookmarkStart w:id="131" w:name="_Toc19515391"/>
      <w:r>
        <w:rPr>
          <w:rFonts w:hint="eastAsia" w:ascii="宋体" w:hAnsi="宋体" w:eastAsia="宋体" w:cs="宋体"/>
          <w:b/>
          <w:sz w:val="24"/>
          <w:szCs w:val="24"/>
          <w:lang w:val="zh-CN"/>
        </w:rPr>
        <w:t>九、验收</w:t>
      </w:r>
      <w:bookmarkEnd w:id="131"/>
    </w:p>
    <w:p w14:paraId="1EA406E6">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验收依据：</w:t>
      </w:r>
    </w:p>
    <w:p w14:paraId="314412AC">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1、合同文本、合同附件、招标文件、投标文件。</w:t>
      </w:r>
    </w:p>
    <w:p w14:paraId="31B373C5">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2、国内相应的标准、规范。</w:t>
      </w:r>
    </w:p>
    <w:p w14:paraId="4C85987A">
      <w:pPr>
        <w:adjustRightInd w:val="0"/>
        <w:snapToGrid w:val="0"/>
        <w:spacing w:line="360" w:lineRule="auto"/>
        <w:ind w:firstLine="482" w:firstLineChars="200"/>
        <w:rPr>
          <w:rFonts w:hint="eastAsia" w:ascii="宋体" w:hAnsi="宋体" w:eastAsia="宋体" w:cs="宋体"/>
          <w:b/>
          <w:sz w:val="24"/>
          <w:szCs w:val="24"/>
          <w:lang w:val="zh-CN"/>
        </w:rPr>
      </w:pPr>
      <w:bookmarkStart w:id="132" w:name="_Toc19515392"/>
      <w:r>
        <w:rPr>
          <w:rFonts w:hint="eastAsia" w:ascii="宋体" w:hAnsi="宋体" w:eastAsia="宋体" w:cs="宋体"/>
          <w:b/>
          <w:sz w:val="24"/>
          <w:szCs w:val="24"/>
          <w:lang w:val="zh-CN"/>
        </w:rPr>
        <w:t>十、违约责任</w:t>
      </w:r>
      <w:bookmarkEnd w:id="132"/>
    </w:p>
    <w:p w14:paraId="16B19182">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乙方违反本协议约定，不能完成本协议约定的服务内容或标准，甲方有权要求乙方限期整改、逾期未改正的甲方有权终止服务合同，若同时给甲方或使用方造成经济损失的乙方应承担相应的赔偿责任。</w:t>
      </w:r>
    </w:p>
    <w:p w14:paraId="519DC7A1">
      <w:pPr>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十一、不可抗力事件处理</w:t>
      </w:r>
    </w:p>
    <w:p w14:paraId="3CC96068">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因不可抗力造成违约的，遭受不可抗力一方应及时向对方通报不能履行或不能完全履行的理由，并在随后取得有关权威机构出具的证明后的15日内向另一方提供不可抗力发生以及持续期间的充分证据。基本于以上行为，允许遭受不可抗力一方延期履行、部分履行或者不履行合同，并根据情况可部分或全部免于承担违约责任。</w:t>
      </w:r>
    </w:p>
    <w:p w14:paraId="6686F503">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本合同中的不可抗力指不能预见、不能避免并不能克服的客观情况。包括但不限于：自然灾害如地震、台风、洪水、火灾、新冠疫情等；政府行为、法律规定或其适用的变化或者其他任何无法预见、避免或者控制的事件。</w:t>
      </w:r>
    </w:p>
    <w:p w14:paraId="44D497D9">
      <w:pPr>
        <w:adjustRightInd w:val="0"/>
        <w:snapToGrid w:val="0"/>
        <w:spacing w:line="360" w:lineRule="auto"/>
        <w:ind w:firstLine="482" w:firstLineChars="200"/>
        <w:rPr>
          <w:rFonts w:hint="eastAsia" w:ascii="宋体" w:hAnsi="宋体" w:eastAsia="宋体" w:cs="宋体"/>
          <w:b/>
          <w:sz w:val="24"/>
          <w:szCs w:val="24"/>
          <w:lang w:val="zh-CN"/>
        </w:rPr>
      </w:pPr>
      <w:bookmarkStart w:id="133" w:name="_Toc19515393"/>
      <w:r>
        <w:rPr>
          <w:rFonts w:hint="eastAsia" w:ascii="宋体" w:hAnsi="宋体" w:eastAsia="宋体" w:cs="宋体"/>
          <w:b/>
          <w:sz w:val="24"/>
          <w:szCs w:val="24"/>
          <w:lang w:val="zh-CN"/>
        </w:rPr>
        <w:t>十二、合同组成</w:t>
      </w:r>
      <w:bookmarkEnd w:id="133"/>
    </w:p>
    <w:p w14:paraId="208776C0">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1、中标通知书</w:t>
      </w:r>
    </w:p>
    <w:p w14:paraId="48779EBD">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2、合同文件</w:t>
      </w:r>
    </w:p>
    <w:p w14:paraId="30A6B0F0">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3、国家相关规范及标准</w:t>
      </w:r>
    </w:p>
    <w:p w14:paraId="0E1CA8CF">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4、公开招标文件</w:t>
      </w:r>
    </w:p>
    <w:p w14:paraId="353518D9">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5、投标文件</w:t>
      </w:r>
    </w:p>
    <w:p w14:paraId="77AC3AA4">
      <w:pPr>
        <w:adjustRightInd w:val="0"/>
        <w:snapToGrid w:val="0"/>
        <w:spacing w:line="360" w:lineRule="auto"/>
        <w:ind w:firstLine="482" w:firstLineChars="200"/>
        <w:rPr>
          <w:rFonts w:hint="eastAsia" w:ascii="宋体" w:hAnsi="宋体" w:eastAsia="宋体" w:cs="宋体"/>
          <w:b/>
          <w:sz w:val="24"/>
          <w:szCs w:val="24"/>
          <w:lang w:val="zh-CN"/>
        </w:rPr>
      </w:pPr>
      <w:bookmarkStart w:id="134" w:name="_Toc19515394"/>
      <w:r>
        <w:rPr>
          <w:rFonts w:hint="eastAsia" w:ascii="宋体" w:hAnsi="宋体" w:eastAsia="宋体" w:cs="宋体"/>
          <w:b/>
          <w:sz w:val="24"/>
          <w:szCs w:val="24"/>
          <w:lang w:val="zh-CN"/>
        </w:rPr>
        <w:t>十三、解决争议的方法</w:t>
      </w:r>
      <w:bookmarkEnd w:id="134"/>
    </w:p>
    <w:p w14:paraId="0A8567D2">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凡因本合同引起的或与本合同有关的争议，双方应友好协商解决。协商不成时，双方均同意采用以下第（  ）种争议解决方式：</w:t>
      </w:r>
    </w:p>
    <w:p w14:paraId="1A672A1A">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（1）甲、乙双方均同意向（甲方所在地人民法院）提起诉讼。</w:t>
      </w:r>
    </w:p>
    <w:p w14:paraId="455C034E">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（2）甲、乙双方均同意向（</w:t>
      </w:r>
      <w:r>
        <w:rPr>
          <w:rFonts w:hint="eastAsia" w:ascii="宋体" w:hAnsi="宋体" w:eastAsia="宋体" w:cs="宋体"/>
          <w:sz w:val="24"/>
          <w:szCs w:val="24"/>
          <w:lang w:val="zh-CN"/>
        </w:rPr>
        <w:fldChar w:fldCharType="begin"/>
      </w:r>
      <w:r>
        <w:rPr>
          <w:rFonts w:hint="eastAsia" w:ascii="宋体" w:hAnsi="宋体" w:eastAsia="宋体" w:cs="宋体"/>
          <w:sz w:val="24"/>
          <w:szCs w:val="24"/>
          <w:lang w:val="zh-CN"/>
        </w:rPr>
        <w:instrText xml:space="preserve"> HYPERLINK "http://www.baidu.com/s?wd=%E4%BB%B2%E8%A3%81%E5%A7%94%E5%91%98%E4%BC%9A&amp;tn=SE_PcZhidaonwhc_ngpagmjz&amp;rsv_dl=gh_pc_zhidao" \t "_blank" </w:instrText>
      </w:r>
      <w:r>
        <w:rPr>
          <w:rFonts w:hint="eastAsia" w:ascii="宋体" w:hAnsi="宋体" w:eastAsia="宋体" w:cs="宋体"/>
          <w:sz w:val="24"/>
          <w:szCs w:val="24"/>
          <w:lang w:val="zh-CN"/>
        </w:rPr>
        <w:fldChar w:fldCharType="separate"/>
      </w:r>
      <w:r>
        <w:rPr>
          <w:rFonts w:hint="eastAsia" w:ascii="宋体" w:hAnsi="宋体" w:eastAsia="宋体" w:cs="宋体"/>
          <w:sz w:val="24"/>
          <w:szCs w:val="24"/>
          <w:lang w:val="zh-CN"/>
        </w:rPr>
        <w:t>仲裁委员会</w:t>
      </w:r>
      <w:r>
        <w:rPr>
          <w:rFonts w:hint="eastAsia" w:ascii="宋体" w:hAnsi="宋体" w:eastAsia="宋体" w:cs="宋体"/>
          <w:sz w:val="24"/>
          <w:szCs w:val="24"/>
          <w:lang w:val="zh-CN"/>
        </w:rPr>
        <w:fldChar w:fldCharType="end"/>
      </w:r>
      <w:r>
        <w:rPr>
          <w:rFonts w:hint="eastAsia" w:ascii="宋体" w:hAnsi="宋体" w:eastAsia="宋体" w:cs="宋体"/>
          <w:sz w:val="24"/>
          <w:szCs w:val="24"/>
          <w:lang w:val="zh-CN"/>
        </w:rPr>
        <w:t>）提起仲裁。</w:t>
      </w:r>
    </w:p>
    <w:p w14:paraId="3D70C246">
      <w:pPr>
        <w:adjustRightInd w:val="0"/>
        <w:snapToGrid w:val="0"/>
        <w:spacing w:line="360" w:lineRule="auto"/>
        <w:ind w:firstLine="482" w:firstLineChars="200"/>
        <w:rPr>
          <w:rFonts w:hint="eastAsia" w:ascii="宋体" w:hAnsi="宋体" w:eastAsia="宋体" w:cs="宋体"/>
          <w:b/>
          <w:sz w:val="24"/>
          <w:szCs w:val="24"/>
          <w:lang w:val="zh-CN"/>
        </w:rPr>
      </w:pPr>
      <w:bookmarkStart w:id="135" w:name="_Toc19515395"/>
      <w:r>
        <w:rPr>
          <w:rFonts w:hint="eastAsia" w:ascii="宋体" w:hAnsi="宋体" w:eastAsia="宋体" w:cs="宋体"/>
          <w:b/>
          <w:sz w:val="24"/>
          <w:szCs w:val="24"/>
          <w:lang w:val="zh-CN"/>
        </w:rPr>
        <w:t>十四、合同生效及其它</w:t>
      </w:r>
      <w:bookmarkEnd w:id="135"/>
    </w:p>
    <w:p w14:paraId="1589880E">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1、合同未尽事宜、由甲、乙双方协商，作为合同补充，与原合同具有同等法律效力。</w:t>
      </w:r>
    </w:p>
    <w:p w14:paraId="71580436">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2、本合同一式</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 xml:space="preserve">份，甲方、乙方双方分别执 </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份，</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备案</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份。</w:t>
      </w:r>
    </w:p>
    <w:p w14:paraId="221B8960">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3、合同经甲乙双方盖章、签字后生效，合同签订地点为</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7FDB7DB7">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4、生效时间：</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年</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月</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日</w:t>
      </w:r>
    </w:p>
    <w:tbl>
      <w:tblPr>
        <w:tblStyle w:val="46"/>
        <w:tblpPr w:leftFromText="180" w:rightFromText="180" w:vertAnchor="text" w:horzAnchor="page" w:tblpX="1375" w:tblpY="389"/>
        <w:tblOverlap w:val="never"/>
        <w:tblW w:w="0" w:type="auto"/>
        <w:tblInd w:w="0" w:type="dxa"/>
        <w:tblLayout w:type="fixed"/>
        <w:tblCellMar>
          <w:top w:w="0" w:type="dxa"/>
          <w:left w:w="108" w:type="dxa"/>
          <w:bottom w:w="0" w:type="dxa"/>
          <w:right w:w="108" w:type="dxa"/>
        </w:tblCellMar>
      </w:tblPr>
      <w:tblGrid>
        <w:gridCol w:w="4640"/>
        <w:gridCol w:w="4640"/>
      </w:tblGrid>
      <w:tr w14:paraId="112D25ED">
        <w:tblPrEx>
          <w:tblCellMar>
            <w:top w:w="0" w:type="dxa"/>
            <w:left w:w="108" w:type="dxa"/>
            <w:bottom w:w="0" w:type="dxa"/>
            <w:right w:w="108" w:type="dxa"/>
          </w:tblCellMar>
        </w:tblPrEx>
        <w:trPr>
          <w:trHeight w:val="3626" w:hRule="atLeast"/>
        </w:trPr>
        <w:tc>
          <w:tcPr>
            <w:tcW w:w="4640" w:type="dxa"/>
            <w:noWrap w:val="0"/>
            <w:vAlign w:val="top"/>
          </w:tcPr>
          <w:p w14:paraId="13A20284">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甲方名称（盖章）:</w:t>
            </w:r>
          </w:p>
          <w:p w14:paraId="564E89B5">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地址：</w:t>
            </w:r>
          </w:p>
          <w:p w14:paraId="68DDAD3C">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代表人（签字）：</w:t>
            </w:r>
          </w:p>
          <w:p w14:paraId="69DD0088">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电话：</w:t>
            </w:r>
          </w:p>
          <w:p w14:paraId="29443FF1">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开户银行：</w:t>
            </w:r>
          </w:p>
          <w:p w14:paraId="1BACF03E">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帐号：</w:t>
            </w:r>
          </w:p>
        </w:tc>
        <w:tc>
          <w:tcPr>
            <w:tcW w:w="4640" w:type="dxa"/>
            <w:noWrap w:val="0"/>
            <w:vAlign w:val="top"/>
          </w:tcPr>
          <w:p w14:paraId="11BB82FA">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乙方名称（盖章）:</w:t>
            </w:r>
          </w:p>
          <w:p w14:paraId="11147B82">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地址：</w:t>
            </w:r>
          </w:p>
          <w:p w14:paraId="22ED8DEE">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代表人（签字）：</w:t>
            </w:r>
          </w:p>
          <w:p w14:paraId="416EADB6">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电话：</w:t>
            </w:r>
          </w:p>
          <w:p w14:paraId="3DDCF7B2">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开户银行：</w:t>
            </w:r>
          </w:p>
          <w:p w14:paraId="42484B7E">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帐号：</w:t>
            </w:r>
          </w:p>
        </w:tc>
      </w:tr>
    </w:tbl>
    <w:p w14:paraId="77D64479">
      <w:pPr>
        <w:adjustRightInd w:val="0"/>
        <w:snapToGrid w:val="0"/>
        <w:spacing w:line="360" w:lineRule="auto"/>
        <w:ind w:firstLine="420" w:firstLineChars="200"/>
        <w:rPr>
          <w:rFonts w:hint="eastAsia" w:ascii="宋体" w:hAnsi="宋体" w:eastAsia="宋体" w:cs="宋体"/>
          <w:sz w:val="21"/>
          <w:szCs w:val="21"/>
          <w:lang w:val="zh-CN"/>
        </w:rPr>
      </w:pPr>
    </w:p>
    <w:p w14:paraId="0B049919">
      <w:pPr>
        <w:pStyle w:val="2"/>
        <w:spacing w:before="333" w:beforeLines="100" w:after="333" w:afterLines="100" w:line="360" w:lineRule="exact"/>
        <w:jc w:val="center"/>
        <w:rPr>
          <w:rFonts w:ascii="宋体" w:eastAsia="宋体" w:cs="宋体"/>
          <w:color w:val="auto"/>
          <w:sz w:val="36"/>
          <w:szCs w:val="36"/>
        </w:rPr>
      </w:pPr>
      <w:r>
        <w:rPr>
          <w:rFonts w:hint="eastAsia" w:ascii="宋体" w:eastAsia="宋体" w:cs="宋体"/>
          <w:color w:val="auto"/>
          <w:sz w:val="36"/>
          <w:szCs w:val="36"/>
        </w:rPr>
        <w:br w:type="page"/>
      </w:r>
      <w:bookmarkStart w:id="136" w:name="_Toc10474"/>
      <w:r>
        <w:rPr>
          <w:rFonts w:hint="eastAsia" w:ascii="宋体" w:eastAsia="宋体" w:cs="宋体"/>
          <w:color w:val="auto"/>
          <w:sz w:val="36"/>
          <w:szCs w:val="36"/>
        </w:rPr>
        <w:t>第四章 采购内容及技术要求</w:t>
      </w:r>
      <w:bookmarkEnd w:id="114"/>
      <w:bookmarkEnd w:id="115"/>
      <w:bookmarkEnd w:id="116"/>
      <w:bookmarkEnd w:id="117"/>
      <w:bookmarkEnd w:id="118"/>
      <w:bookmarkEnd w:id="119"/>
      <w:bookmarkEnd w:id="120"/>
      <w:bookmarkEnd w:id="121"/>
      <w:bookmarkEnd w:id="122"/>
      <w:bookmarkEnd w:id="123"/>
      <w:bookmarkEnd w:id="124"/>
      <w:bookmarkEnd w:id="136"/>
      <w:bookmarkStart w:id="137" w:name="_Toc317530110"/>
      <w:bookmarkStart w:id="138" w:name="_Toc23856"/>
      <w:bookmarkStart w:id="139" w:name="_Toc20481"/>
      <w:bookmarkStart w:id="140" w:name="_Toc4053"/>
      <w:bookmarkStart w:id="141" w:name="_Toc1025"/>
      <w:bookmarkStart w:id="142" w:name="_Toc389582038"/>
      <w:bookmarkStart w:id="143" w:name="_Toc2711"/>
      <w:bookmarkStart w:id="144" w:name="_Toc11450"/>
    </w:p>
    <w:p w14:paraId="30CB102A">
      <w:pPr>
        <w:spacing w:line="360" w:lineRule="auto"/>
        <w:rPr>
          <w:rFonts w:hint="eastAsia" w:hAnsi="宋体" w:cs="宋体"/>
          <w:color w:val="auto"/>
          <w:szCs w:val="24"/>
        </w:rPr>
      </w:pPr>
      <w:r>
        <w:rPr>
          <w:rFonts w:hint="eastAsia"/>
          <w:b/>
          <w:bCs/>
          <w:color w:val="auto"/>
        </w:rPr>
        <w:t>一、</w:t>
      </w:r>
      <w:r>
        <w:rPr>
          <w:rFonts w:hint="eastAsia" w:hAnsi="宋体" w:cs="宋体"/>
          <w:color w:val="auto"/>
          <w:szCs w:val="24"/>
          <w:lang w:val="en-US" w:eastAsia="zh-CN"/>
        </w:rPr>
        <w:t>项目概况</w:t>
      </w:r>
    </w:p>
    <w:p w14:paraId="7795E31B">
      <w:pPr>
        <w:spacing w:line="360" w:lineRule="auto"/>
        <w:ind w:firstLine="480" w:firstLineChars="200"/>
        <w:rPr>
          <w:rFonts w:hint="default" w:ascii="宋体" w:hAnsi="宋体" w:eastAsia="宋体" w:cs="宋体"/>
          <w:color w:val="auto"/>
          <w:szCs w:val="24"/>
          <w:lang w:val="en-US" w:eastAsia="zh-CN"/>
        </w:rPr>
      </w:pPr>
      <w:r>
        <w:rPr>
          <w:rFonts w:hint="default" w:ascii="宋体" w:hAnsi="宋体" w:eastAsia="宋体" w:cs="宋体"/>
          <w:color w:val="auto"/>
          <w:szCs w:val="24"/>
          <w:lang w:val="en-US" w:eastAsia="zh-CN"/>
        </w:rPr>
        <w:t>根据《中共西安市雁塔区委办公室西安市雁塔区人民政府办公室&lt;关于印发西安市雁塔区机关事业单位编制外聘用人员管理暂行办法&gt;的通知》【雁办字（2020）74号】文件、2021年6月11日《区政府专题会议纪要》及2022年3月21日《区政府专题会议纪要》精神，招录一批城警联动专职队员。</w:t>
      </w:r>
    </w:p>
    <w:p w14:paraId="28BDAB4A">
      <w:pPr>
        <w:spacing w:line="360" w:lineRule="auto"/>
        <w:ind w:firstLine="480" w:firstLineChars="200"/>
        <w:rPr>
          <w:rFonts w:hint="default" w:ascii="宋体" w:hAnsi="宋体" w:eastAsia="宋体" w:cs="宋体"/>
          <w:color w:val="auto"/>
          <w:szCs w:val="24"/>
          <w:lang w:val="en-US" w:eastAsia="zh-CN"/>
        </w:rPr>
      </w:pPr>
      <w:r>
        <w:rPr>
          <w:rFonts w:hint="default" w:ascii="宋体" w:hAnsi="宋体" w:eastAsia="宋体" w:cs="宋体"/>
          <w:color w:val="auto"/>
          <w:szCs w:val="24"/>
          <w:lang w:val="en-US" w:eastAsia="zh-CN"/>
        </w:rPr>
        <w:t>城警联动人员外包服务包1</w:t>
      </w:r>
      <w:r>
        <w:rPr>
          <w:rFonts w:hint="eastAsia" w:hAnsi="宋体" w:cs="宋体"/>
          <w:color w:val="auto"/>
          <w:szCs w:val="24"/>
          <w:lang w:val="en-US" w:eastAsia="zh-CN"/>
        </w:rPr>
        <w:t>：</w:t>
      </w:r>
      <w:r>
        <w:rPr>
          <w:rFonts w:hint="default" w:ascii="宋体" w:hAnsi="宋体" w:eastAsia="宋体" w:cs="宋体"/>
          <w:color w:val="auto"/>
          <w:szCs w:val="24"/>
          <w:lang w:val="en-US" w:eastAsia="zh-CN"/>
        </w:rPr>
        <w:t>招录人数80人，包预算380万元/年。</w:t>
      </w:r>
    </w:p>
    <w:p w14:paraId="1310AB64">
      <w:pPr>
        <w:spacing w:line="360" w:lineRule="auto"/>
        <w:ind w:firstLine="480" w:firstLineChars="200"/>
        <w:rPr>
          <w:rFonts w:hint="default" w:ascii="宋体" w:hAnsi="宋体" w:eastAsia="宋体" w:cs="宋体"/>
          <w:color w:val="auto"/>
          <w:szCs w:val="24"/>
          <w:lang w:val="en-US" w:eastAsia="zh-CN"/>
        </w:rPr>
      </w:pPr>
      <w:r>
        <w:rPr>
          <w:rFonts w:hint="default" w:ascii="宋体" w:hAnsi="宋体" w:eastAsia="宋体" w:cs="宋体"/>
          <w:color w:val="auto"/>
          <w:szCs w:val="24"/>
          <w:lang w:val="en-US" w:eastAsia="zh-CN"/>
        </w:rPr>
        <w:t>城警联动人员外包服务包2</w:t>
      </w:r>
      <w:r>
        <w:rPr>
          <w:rFonts w:hint="eastAsia" w:hAnsi="宋体" w:cs="宋体"/>
          <w:color w:val="auto"/>
          <w:szCs w:val="24"/>
          <w:lang w:val="en-US" w:eastAsia="zh-CN"/>
        </w:rPr>
        <w:t>：</w:t>
      </w:r>
      <w:r>
        <w:rPr>
          <w:rFonts w:hint="default" w:ascii="宋体" w:hAnsi="宋体" w:eastAsia="宋体" w:cs="宋体"/>
          <w:color w:val="auto"/>
          <w:szCs w:val="24"/>
          <w:lang w:val="en-US" w:eastAsia="zh-CN"/>
        </w:rPr>
        <w:t>招录人数150人，包预算750万元/年。</w:t>
      </w:r>
    </w:p>
    <w:p w14:paraId="09442B82">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二、服务内容</w:t>
      </w:r>
    </w:p>
    <w:p w14:paraId="0561EE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乙方接受甲方委托，为甲方人事外包员工（以下简称“外包员工”）办理以下事宜：</w:t>
      </w:r>
    </w:p>
    <w:p w14:paraId="3A7D40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用工服务—乙方为甲方提供人事外包，具体外包人数根据甲方的外包要求及外包名单计算。被外包员工与乙方签订劳动合同，外包员工的工作地点、岗位、方式等工作状况由甲方根据业务需要安排。乙方负责为外包员工办理以下手续：</w:t>
      </w:r>
    </w:p>
    <w:p w14:paraId="046DC9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1.为外包员工办理合法用工手续；</w:t>
      </w:r>
    </w:p>
    <w:p w14:paraId="68DE34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2.为外包员工建立员工档案；</w:t>
      </w:r>
    </w:p>
    <w:p w14:paraId="282BC5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3.依法为外包员工缴纳社会保险或者意外伤害险；</w:t>
      </w:r>
    </w:p>
    <w:p w14:paraId="690CC9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4.处理外包员工发生工伤、生育、医疗等相关事宜；</w:t>
      </w:r>
    </w:p>
    <w:p w14:paraId="5D3F97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5.根据实际需要，为外包员工出具各种有关证明等；</w:t>
      </w:r>
    </w:p>
    <w:p w14:paraId="0B6F72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6.协助外包员工办理党员组织关系的接收手续；</w:t>
      </w:r>
    </w:p>
    <w:p w14:paraId="476B0E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7.乙方为甲方提供社保的年检及员工社保的申报服务</w:t>
      </w:r>
      <w:r>
        <w:rPr>
          <w:rFonts w:hint="eastAsia" w:hAnsi="宋体" w:cs="宋体"/>
          <w:kern w:val="0"/>
          <w:sz w:val="24"/>
          <w:szCs w:val="24"/>
          <w:lang w:val="en-US" w:eastAsia="zh-CN"/>
        </w:rPr>
        <w:t>；</w:t>
      </w:r>
    </w:p>
    <w:p w14:paraId="02A694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8.退工服务—乙方为离职的外包员工办理合法退工手续</w:t>
      </w:r>
      <w:r>
        <w:rPr>
          <w:rFonts w:hint="eastAsia" w:hAnsi="宋体" w:cs="宋体"/>
          <w:kern w:val="0"/>
          <w:sz w:val="24"/>
          <w:szCs w:val="24"/>
          <w:lang w:val="en-US" w:eastAsia="zh-CN"/>
        </w:rPr>
        <w:t>；</w:t>
      </w:r>
    </w:p>
    <w:p w14:paraId="402F5A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9.为符合条件的外包员工办理失业金申领手续；</w:t>
      </w:r>
    </w:p>
    <w:p w14:paraId="62C6ED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10.为符合条件的外包员工办理社保的转移手续；</w:t>
      </w:r>
    </w:p>
    <w:p w14:paraId="7BDAD5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11.协助外包员工办理党员关系的转移；</w:t>
      </w:r>
    </w:p>
    <w:p w14:paraId="675595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12.对于非因为甲方原因与外包员工发生的劳务争议，由乙方处理，与甲方无关。</w:t>
      </w:r>
    </w:p>
    <w:p w14:paraId="5C7BD9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13.工资发放服务—由乙方发放外包员工工资，并由乙方统一代扣代缴个人所得税，以及通过合法有效的途径减少或避免个人所得税的缴纳； </w:t>
      </w:r>
    </w:p>
    <w:p w14:paraId="2F9994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none"/>
          <w:lang w:val="en-US" w:eastAsia="zh-CN"/>
        </w:rPr>
        <w:t>14.员工福利管理服务—根据采购人需求，为外包员工提供福利保障，包括但不限于节日慰问（如春节、端午、中秋等）及其他福利发放；</w:t>
      </w:r>
    </w:p>
    <w:p w14:paraId="127DB5A2">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15.政策咨询—根据甲方的情况，乙方提供本地范围内的人事、劳动、社保待遇及员工福利政策咨询，仅以政府发布政策的提供和解释为限。</w:t>
      </w:r>
    </w:p>
    <w:p w14:paraId="087D129F">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三、服务要求</w:t>
      </w:r>
    </w:p>
    <w:p w14:paraId="69D26E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甲方对外包员工的聘用有选择权、决定权，并在外包期间具有工作安排管理指挥权。</w:t>
      </w:r>
    </w:p>
    <w:p w14:paraId="4F9F7C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甲方有权根据业务需要确定外包员工的工作地点、岗位、考核方式等标准，但上述内容应符法律法规的规定。</w:t>
      </w:r>
    </w:p>
    <w:p w14:paraId="394D16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甲方应履行劳动合同法第62条规定的义务，维护被外包劳动者的合法权益。</w:t>
      </w:r>
    </w:p>
    <w:p w14:paraId="6077DE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对于乙方与外包员工签订劳动合同并外包到甲方工作的员工，甲方可以设定试用期，试用期期限根据外包期确定，且计入外包期。试用期按照法律规定，被外包劳动者的试用期按照以下约定执行：</w:t>
      </w:r>
    </w:p>
    <w:p w14:paraId="79105A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外包期限在3个月以上不满一年的，试用期为1个月；</w:t>
      </w:r>
    </w:p>
    <w:p w14:paraId="367A50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外包期限在1年以上不满3年的，试用期为2个月；</w:t>
      </w:r>
    </w:p>
    <w:p w14:paraId="647C0B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外包期限在3年以上的，试用期为6个月。</w:t>
      </w:r>
    </w:p>
    <w:p w14:paraId="4D7767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特殊用工与特殊人员的试用期由双方协商后确定。</w:t>
      </w:r>
    </w:p>
    <w:p w14:paraId="0FE1BA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外包员工有下列情形之一的，甲方提供书面证明材料可以将外包员工退回乙方，且无须向乙方支付经济补偿，但应提前5个工作日以书面形式通知乙方。</w:t>
      </w:r>
    </w:p>
    <w:p w14:paraId="748EE7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在试用期间被证明不符合甲方录用条件的；</w:t>
      </w:r>
    </w:p>
    <w:p w14:paraId="18991F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严重违反甲方单位的规章制度的；</w:t>
      </w:r>
    </w:p>
    <w:p w14:paraId="392E4F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严重失职，营私舞弊，给甲方造成重大损害的；</w:t>
      </w:r>
    </w:p>
    <w:p w14:paraId="3DE266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外包员工同时与其他用人单位建立劳动关系、对完成甲方的工作任务造成严重影响，或者经用人单位提出，拒不改正的；</w:t>
      </w:r>
    </w:p>
    <w:p w14:paraId="70940B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以欺诈、胁迫的手段或者乘人之危，使对方在违背真实意思的情况下订立或者变更劳动合同的致使劳动合同无效的；</w:t>
      </w:r>
    </w:p>
    <w:p w14:paraId="4A4531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被依法追究刑事责任的；</w:t>
      </w:r>
    </w:p>
    <w:p w14:paraId="69FE06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外包期未满，被外包员工提出停止外包或擅自离岗；</w:t>
      </w:r>
    </w:p>
    <w:p w14:paraId="64993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其他符合法律、法规、政策规定的情形。</w:t>
      </w:r>
    </w:p>
    <w:p w14:paraId="7AFA5A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外包员工有下列情形之一的，甲方有权将外包人员退回乙方，但应提前35日以书面形式通知乙方，涉及以下情况所产生经济补偿，甲方按照国家有关规定办理。</w:t>
      </w:r>
    </w:p>
    <w:p w14:paraId="232EB7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患病或者非因工负伤，在规定的医疗期满后不能从事原工作，也不能从事由用人单位另行安排的工作的；</w:t>
      </w:r>
    </w:p>
    <w:p w14:paraId="0ED231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不能胜任工作，经过培训或者调整工作岗位，仍不能胜任工作的；</w:t>
      </w:r>
    </w:p>
    <w:p w14:paraId="75104C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本协议订立时所依据的客观情况发生重大变化，致使劳动合同无法履行，经甲、乙双方与其协商，未能就变更劳动合同内容达成协议的；</w:t>
      </w:r>
    </w:p>
    <w:p w14:paraId="1B4BFE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外包员工外包期限满而终止外包的（除用工单位维持或提高劳动条件，但外包员工拒绝续签的情形以外）；</w:t>
      </w:r>
    </w:p>
    <w:p w14:paraId="61E2DE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经甲、乙双方和外包员工协商，达成书面协议同意解除外包的；</w:t>
      </w:r>
    </w:p>
    <w:p w14:paraId="27C29C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法律、法规规定的其他情形。</w:t>
      </w:r>
    </w:p>
    <w:p w14:paraId="47D8FE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外包人员因以下原因提出与乙方解除劳动合同，外包人员按规定应得的经济补偿及依法所得的赔偿金由甲方承担：</w:t>
      </w:r>
    </w:p>
    <w:p w14:paraId="517A63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甲方未按法律规定或本协议的约定提供劳动保护和劳动条件的；</w:t>
      </w:r>
    </w:p>
    <w:p w14:paraId="582F93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因甲方原因未能及时向乙方足额支付劳动报酬的；</w:t>
      </w:r>
    </w:p>
    <w:p w14:paraId="053FE2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因甲方原因未依法向乙方支付社会保险费的；</w:t>
      </w:r>
    </w:p>
    <w:p w14:paraId="3004D5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甲方无故或者违反法律规定辞退外包员工的；</w:t>
      </w:r>
    </w:p>
    <w:p w14:paraId="6DBAE0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甲方的规章制度违反法律、法规的规定，损害劳动者权益的；</w:t>
      </w:r>
    </w:p>
    <w:p w14:paraId="0907AF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外包员工与乙方发生劳动争议、诉讼或其他法律纠纷时，由乙方负责协调处理，甲方应予以配合，并及时向乙方提供相关的资料。</w:t>
      </w:r>
    </w:p>
    <w:p w14:paraId="3395F4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根据法律规定和地方政府的规定，甲方要求乙方代办的有关事项所发生的实际费用，由甲方支付。</w:t>
      </w:r>
    </w:p>
    <w:p w14:paraId="123D02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甲方有权随时派员查看外包员工的社保保险账目，乙方必须配合。</w:t>
      </w:r>
    </w:p>
    <w:p w14:paraId="430655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甲方每月18日前向乙方提供次月人事外包新增及离职人员信息，因甲方提供离职信息不及时从而造成乙方已申报缴纳社保费用，且社保部门不予以退费时，已产生的个人及单位的社保费用由甲方承担。</w:t>
      </w:r>
    </w:p>
    <w:p w14:paraId="030D73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11</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甲方应依法向乙方外包员工提供符合劳动保护规定的工作场所、工作条件和福利待遇。外包员工从事有职业危害工作的，甲方应依照国家相关法律规定执行。</w:t>
      </w:r>
    </w:p>
    <w:p w14:paraId="239756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12</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甲方有权对外包员工的工作班次、休息日，根据工作需要合理调整。如甲方需安排外包员工加班的，甲方应支付加班费并应符合政府的有关规定；</w:t>
      </w:r>
    </w:p>
    <w:p w14:paraId="2664CF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13</w:t>
      </w:r>
      <w:r>
        <w:rPr>
          <w:rFonts w:hint="eastAsia" w:hAnsi="宋体" w:cs="宋体"/>
          <w:kern w:val="0"/>
          <w:sz w:val="24"/>
          <w:szCs w:val="24"/>
          <w:lang w:val="en-US" w:eastAsia="zh-CN"/>
        </w:rPr>
        <w:t>.</w:t>
      </w:r>
      <w:r>
        <w:rPr>
          <w:rFonts w:hint="eastAsia" w:ascii="宋体" w:hAnsi="宋体" w:eastAsia="宋体" w:cs="宋体"/>
          <w:kern w:val="0"/>
          <w:sz w:val="24"/>
          <w:szCs w:val="24"/>
          <w:lang w:val="en-US" w:eastAsia="zh-CN"/>
        </w:rPr>
        <w:t>甲方在接到外包人员的离职通知后，甲方应在5日（如遇国家法定节假日顺延）内书面告知乙方并将外包人员经本人签字的辞职申请或其它资料交乙方。</w:t>
      </w:r>
    </w:p>
    <w:p w14:paraId="1CE1C063">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rPr>
        <w:t>四、其他服务</w:t>
      </w:r>
    </w:p>
    <w:p w14:paraId="712FB3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1.配备驻场人员进行现场管理；</w:t>
      </w:r>
    </w:p>
    <w:p w14:paraId="55793D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2.每年提供不少于1次组织外包员工团建服务；</w:t>
      </w:r>
    </w:p>
    <w:p w14:paraId="73B7D7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3.组织外包员工开展培训，不限于入职培训、业务技能提升培训、党风廉政建设培训等其他培训服务；</w:t>
      </w:r>
    </w:p>
    <w:p w14:paraId="47DB7B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4.对外包员工提供日常绩效考核管理服务；</w:t>
      </w:r>
    </w:p>
    <w:p w14:paraId="764567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5.对外包员工提供日常团队管理服务；</w:t>
      </w:r>
    </w:p>
    <w:p w14:paraId="4E6D4697">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宋体" w:hAnsi="宋体" w:eastAsia="宋体" w:cs="宋体"/>
          <w:kern w:val="0"/>
          <w:sz w:val="24"/>
          <w:szCs w:val="24"/>
          <w:highlight w:val="none"/>
          <w:lang w:val="en-US" w:eastAsia="zh-CN"/>
        </w:rPr>
        <w:t>6.对外包员工提供其他增值服务。</w:t>
      </w:r>
    </w:p>
    <w:p w14:paraId="4DD768C3">
      <w:pPr>
        <w:pStyle w:val="26"/>
        <w:rPr>
          <w:color w:val="auto"/>
        </w:rPr>
      </w:pPr>
    </w:p>
    <w:p w14:paraId="309418F2">
      <w:pPr>
        <w:pStyle w:val="26"/>
        <w:rPr>
          <w:color w:val="auto"/>
        </w:rPr>
      </w:pPr>
    </w:p>
    <w:p w14:paraId="23237BAD">
      <w:pPr>
        <w:pStyle w:val="26"/>
        <w:rPr>
          <w:color w:val="auto"/>
        </w:rPr>
      </w:pPr>
    </w:p>
    <w:p w14:paraId="0F494860">
      <w:pPr>
        <w:pStyle w:val="26"/>
        <w:rPr>
          <w:color w:val="auto"/>
        </w:rPr>
      </w:pPr>
    </w:p>
    <w:p w14:paraId="6F658E3E">
      <w:pPr>
        <w:pStyle w:val="26"/>
        <w:rPr>
          <w:color w:val="auto"/>
        </w:rPr>
      </w:pPr>
    </w:p>
    <w:p w14:paraId="13F1E4FB">
      <w:pPr>
        <w:pStyle w:val="26"/>
        <w:rPr>
          <w:color w:val="auto"/>
        </w:rPr>
      </w:pPr>
    </w:p>
    <w:p w14:paraId="3A0753BF">
      <w:pPr>
        <w:pStyle w:val="26"/>
        <w:rPr>
          <w:color w:val="auto"/>
        </w:rPr>
        <w:sectPr>
          <w:pgSz w:w="11906" w:h="16838"/>
          <w:pgMar w:top="1417" w:right="1134" w:bottom="1417" w:left="1417" w:header="1134" w:footer="992" w:gutter="0"/>
          <w:cols w:space="720" w:num="1"/>
          <w:titlePg/>
          <w:docGrid w:type="lines" w:linePitch="333" w:charSpace="0"/>
        </w:sectPr>
      </w:pPr>
    </w:p>
    <w:bookmarkEnd w:id="137"/>
    <w:p w14:paraId="35E4C474">
      <w:pPr>
        <w:pStyle w:val="2"/>
        <w:jc w:val="center"/>
        <w:rPr>
          <w:rFonts w:ascii="宋体" w:eastAsia="宋体" w:cs="宋体"/>
          <w:b w:val="0"/>
          <w:color w:val="auto"/>
          <w:sz w:val="36"/>
          <w:szCs w:val="36"/>
        </w:rPr>
      </w:pPr>
      <w:bookmarkStart w:id="145" w:name="_Toc29624"/>
      <w:bookmarkStart w:id="146" w:name="_Toc2203"/>
      <w:bookmarkStart w:id="147" w:name="_Toc426457697"/>
      <w:bookmarkStart w:id="148" w:name="_Toc1462"/>
      <w:bookmarkStart w:id="149" w:name="_Toc25607"/>
      <w:r>
        <w:rPr>
          <w:rFonts w:hint="eastAsia" w:ascii="宋体" w:eastAsia="宋体" w:cs="宋体"/>
          <w:bCs/>
          <w:color w:val="auto"/>
          <w:sz w:val="36"/>
          <w:szCs w:val="36"/>
        </w:rPr>
        <w:t>第五章 评标方法</w:t>
      </w:r>
      <w:bookmarkEnd w:id="145"/>
      <w:bookmarkEnd w:id="146"/>
      <w:bookmarkEnd w:id="147"/>
      <w:bookmarkEnd w:id="148"/>
      <w:bookmarkEnd w:id="149"/>
    </w:p>
    <w:p w14:paraId="647FA9C5">
      <w:pPr>
        <w:spacing w:line="500" w:lineRule="exact"/>
        <w:outlineLvl w:val="1"/>
        <w:rPr>
          <w:rFonts w:hAnsi="宋体" w:cs="宋体"/>
          <w:b/>
          <w:color w:val="auto"/>
          <w:szCs w:val="24"/>
        </w:rPr>
      </w:pPr>
      <w:bookmarkStart w:id="150" w:name="_Toc12882"/>
      <w:bookmarkStart w:id="151" w:name="_Toc363463332"/>
      <w:bookmarkStart w:id="152" w:name="_Toc8449"/>
      <w:r>
        <w:rPr>
          <w:rFonts w:hint="eastAsia" w:hAnsi="宋体" w:cs="宋体"/>
          <w:b/>
          <w:color w:val="auto"/>
          <w:szCs w:val="24"/>
        </w:rPr>
        <w:t>一．评标方法</w:t>
      </w:r>
      <w:bookmarkEnd w:id="150"/>
      <w:bookmarkEnd w:id="151"/>
      <w:bookmarkEnd w:id="152"/>
    </w:p>
    <w:p w14:paraId="7032EAFA">
      <w:pPr>
        <w:spacing w:line="360" w:lineRule="auto"/>
        <w:ind w:firstLine="480" w:firstLineChars="200"/>
        <w:rPr>
          <w:rFonts w:hAnsi="宋体" w:cs="宋体"/>
          <w:color w:val="auto"/>
          <w:spacing w:val="4"/>
          <w:szCs w:val="24"/>
        </w:rPr>
      </w:pPr>
      <w:r>
        <w:rPr>
          <w:rFonts w:hint="eastAsia" w:hAnsi="宋体"/>
          <w:color w:val="auto"/>
          <w:szCs w:val="21"/>
        </w:rPr>
        <w:t>按照《中华人民共和国政府采购法》《中华人民共和国政府采购法实施条例》及中华《政府采购货物和服务招标投标管理办法》的规定，</w:t>
      </w:r>
      <w:r>
        <w:rPr>
          <w:rFonts w:hint="eastAsia" w:hAnsi="宋体"/>
          <w:color w:val="auto"/>
          <w:spacing w:val="4"/>
          <w:szCs w:val="21"/>
        </w:rPr>
        <w:t>本次评标采用</w:t>
      </w:r>
      <w:r>
        <w:rPr>
          <w:rFonts w:hint="eastAsia" w:hAnsi="宋体"/>
          <w:b/>
          <w:color w:val="auto"/>
          <w:spacing w:val="4"/>
          <w:szCs w:val="21"/>
        </w:rPr>
        <w:t>综合评分法</w:t>
      </w:r>
      <w:r>
        <w:rPr>
          <w:rFonts w:hint="eastAsia" w:hAnsi="宋体"/>
          <w:color w:val="auto"/>
          <w:spacing w:val="4"/>
          <w:szCs w:val="21"/>
        </w:rPr>
        <w:t>--</w:t>
      </w:r>
      <w:r>
        <w:rPr>
          <w:rFonts w:hint="eastAsia" w:hAnsi="宋体"/>
          <w:color w:val="auto"/>
          <w:szCs w:val="21"/>
        </w:rPr>
        <w:t>投标文件满足招标文件全部实质性要求，且按照评审因素的量化指标评审得分最高的供应商为中标候选人。</w:t>
      </w:r>
      <w:r>
        <w:rPr>
          <w:rFonts w:hint="eastAsia" w:hAnsi="宋体" w:cs="宋体"/>
          <w:color w:val="auto"/>
          <w:spacing w:val="4"/>
          <w:szCs w:val="24"/>
        </w:rPr>
        <w:t>（最低报价不是中标的唯一标准）。</w:t>
      </w:r>
    </w:p>
    <w:p w14:paraId="31DAEBFD">
      <w:pPr>
        <w:spacing w:line="360" w:lineRule="auto"/>
        <w:outlineLvl w:val="1"/>
        <w:rPr>
          <w:rFonts w:hAnsi="宋体"/>
          <w:b/>
          <w:color w:val="auto"/>
          <w:spacing w:val="4"/>
          <w:szCs w:val="21"/>
        </w:rPr>
      </w:pPr>
      <w:bookmarkStart w:id="153" w:name="_Toc14393"/>
      <w:bookmarkStart w:id="154" w:name="_Toc20618"/>
      <w:r>
        <w:rPr>
          <w:rFonts w:hint="eastAsia" w:hAnsi="宋体"/>
          <w:b/>
          <w:color w:val="auto"/>
          <w:spacing w:val="4"/>
          <w:szCs w:val="21"/>
        </w:rPr>
        <w:t>二．评标委员会负责具体评标事务，并独立履行下列职责</w:t>
      </w:r>
      <w:bookmarkEnd w:id="153"/>
      <w:bookmarkEnd w:id="154"/>
    </w:p>
    <w:p w14:paraId="008386B2">
      <w:pPr>
        <w:spacing w:line="360" w:lineRule="auto"/>
        <w:ind w:firstLine="496" w:firstLineChars="200"/>
        <w:rPr>
          <w:rFonts w:hAnsi="宋体"/>
          <w:color w:val="auto"/>
          <w:spacing w:val="4"/>
          <w:szCs w:val="21"/>
        </w:rPr>
      </w:pPr>
      <w:r>
        <w:rPr>
          <w:rFonts w:hint="eastAsia" w:hAnsi="宋体"/>
          <w:color w:val="auto"/>
          <w:spacing w:val="4"/>
          <w:szCs w:val="21"/>
        </w:rPr>
        <w:t>2.1审查、评价投标文件是否符合招标文件的商务、技术、合同条款等实质性要求；</w:t>
      </w:r>
    </w:p>
    <w:p w14:paraId="3E28950F">
      <w:pPr>
        <w:spacing w:line="360" w:lineRule="auto"/>
        <w:ind w:firstLine="496" w:firstLineChars="200"/>
        <w:rPr>
          <w:rFonts w:hAnsi="宋体"/>
          <w:color w:val="auto"/>
          <w:spacing w:val="4"/>
          <w:szCs w:val="21"/>
        </w:rPr>
      </w:pPr>
      <w:r>
        <w:rPr>
          <w:rFonts w:hint="eastAsia" w:hAnsi="宋体"/>
          <w:color w:val="auto"/>
          <w:spacing w:val="4"/>
          <w:szCs w:val="21"/>
        </w:rPr>
        <w:t>2.2要求供应商对投标文件有关事项作出澄清或者说明；</w:t>
      </w:r>
    </w:p>
    <w:p w14:paraId="53F1EDCB">
      <w:pPr>
        <w:spacing w:line="360" w:lineRule="auto"/>
        <w:ind w:firstLine="496" w:firstLineChars="200"/>
        <w:rPr>
          <w:rFonts w:hAnsi="宋体"/>
          <w:color w:val="auto"/>
          <w:spacing w:val="4"/>
          <w:szCs w:val="21"/>
        </w:rPr>
      </w:pPr>
      <w:r>
        <w:rPr>
          <w:rFonts w:hint="eastAsia" w:hAnsi="宋体"/>
          <w:color w:val="auto"/>
          <w:spacing w:val="4"/>
          <w:szCs w:val="21"/>
        </w:rPr>
        <w:t>2.3对投标文件进行比较和评价；</w:t>
      </w:r>
    </w:p>
    <w:p w14:paraId="4527577F">
      <w:pPr>
        <w:spacing w:line="360" w:lineRule="auto"/>
        <w:ind w:firstLine="496" w:firstLineChars="200"/>
        <w:rPr>
          <w:rFonts w:hAnsi="宋体"/>
          <w:color w:val="auto"/>
          <w:spacing w:val="4"/>
          <w:szCs w:val="21"/>
        </w:rPr>
      </w:pPr>
      <w:r>
        <w:rPr>
          <w:rFonts w:hint="eastAsia" w:hAnsi="宋体"/>
          <w:color w:val="auto"/>
          <w:spacing w:val="4"/>
          <w:szCs w:val="21"/>
        </w:rPr>
        <w:t>2.4确定中标候选人名单，以及根据采购人委托直接确定中标人；</w:t>
      </w:r>
    </w:p>
    <w:p w14:paraId="70D7A8B9">
      <w:pPr>
        <w:spacing w:line="360" w:lineRule="auto"/>
        <w:ind w:firstLine="496" w:firstLineChars="200"/>
        <w:rPr>
          <w:rFonts w:hAnsi="宋体"/>
          <w:color w:val="auto"/>
          <w:spacing w:val="4"/>
          <w:szCs w:val="21"/>
        </w:rPr>
      </w:pPr>
      <w:r>
        <w:rPr>
          <w:rFonts w:hint="eastAsia" w:hAnsi="宋体"/>
          <w:color w:val="auto"/>
          <w:spacing w:val="4"/>
          <w:szCs w:val="21"/>
        </w:rPr>
        <w:t>2.5向采购人、采购代理机构或者有关部门报告评标中发现的违法行为。</w:t>
      </w:r>
    </w:p>
    <w:p w14:paraId="41CEB7A2">
      <w:pPr>
        <w:spacing w:line="360" w:lineRule="auto"/>
        <w:outlineLvl w:val="1"/>
        <w:rPr>
          <w:rFonts w:hAnsi="宋体"/>
          <w:color w:val="auto"/>
          <w:spacing w:val="4"/>
          <w:szCs w:val="21"/>
        </w:rPr>
      </w:pPr>
      <w:bookmarkStart w:id="155" w:name="_Toc31944"/>
      <w:r>
        <w:rPr>
          <w:rFonts w:hint="eastAsia" w:hAnsi="宋体"/>
          <w:b/>
          <w:color w:val="auto"/>
          <w:spacing w:val="4"/>
          <w:szCs w:val="21"/>
        </w:rPr>
        <w:t>三．供应商存在下列情况之一的，投标无效</w:t>
      </w:r>
      <w:bookmarkEnd w:id="155"/>
    </w:p>
    <w:p w14:paraId="6C66571E">
      <w:pPr>
        <w:spacing w:line="360" w:lineRule="auto"/>
        <w:ind w:firstLine="496" w:firstLineChars="200"/>
        <w:rPr>
          <w:rFonts w:hAnsi="宋体"/>
          <w:color w:val="auto"/>
          <w:spacing w:val="4"/>
          <w:szCs w:val="21"/>
        </w:rPr>
      </w:pPr>
      <w:r>
        <w:rPr>
          <w:rFonts w:hint="eastAsia" w:hAnsi="宋体"/>
          <w:color w:val="auto"/>
          <w:spacing w:val="4"/>
          <w:szCs w:val="21"/>
        </w:rPr>
        <w:t>3.1投标文件未按招标文件要求签署、盖章的；</w:t>
      </w:r>
    </w:p>
    <w:p w14:paraId="1F385F2C">
      <w:pPr>
        <w:spacing w:line="360" w:lineRule="auto"/>
        <w:ind w:firstLine="496" w:firstLineChars="200"/>
        <w:rPr>
          <w:rFonts w:hAnsi="宋体"/>
          <w:color w:val="auto"/>
          <w:spacing w:val="4"/>
          <w:szCs w:val="21"/>
        </w:rPr>
      </w:pPr>
      <w:r>
        <w:rPr>
          <w:rFonts w:hint="eastAsia" w:hAnsi="宋体"/>
          <w:color w:val="auto"/>
          <w:spacing w:val="4"/>
          <w:szCs w:val="21"/>
        </w:rPr>
        <w:t>3.2不具备招标文件中规定的资格要求的；</w:t>
      </w:r>
    </w:p>
    <w:p w14:paraId="6746B42B">
      <w:pPr>
        <w:spacing w:line="360" w:lineRule="auto"/>
        <w:ind w:firstLine="496" w:firstLineChars="200"/>
        <w:rPr>
          <w:rFonts w:hAnsi="宋体"/>
          <w:color w:val="auto"/>
          <w:spacing w:val="4"/>
          <w:szCs w:val="21"/>
        </w:rPr>
      </w:pPr>
      <w:r>
        <w:rPr>
          <w:rFonts w:hint="eastAsia" w:hAnsi="宋体"/>
          <w:color w:val="auto"/>
          <w:spacing w:val="4"/>
          <w:szCs w:val="21"/>
        </w:rPr>
        <w:t>3.3报价超过招标文件中规定的预算金额或者最高限价的；</w:t>
      </w:r>
    </w:p>
    <w:p w14:paraId="0B31F137">
      <w:pPr>
        <w:spacing w:line="360" w:lineRule="auto"/>
        <w:ind w:firstLine="496" w:firstLineChars="200"/>
        <w:rPr>
          <w:rFonts w:hAnsi="宋体"/>
          <w:color w:val="auto"/>
          <w:spacing w:val="4"/>
          <w:szCs w:val="21"/>
        </w:rPr>
      </w:pPr>
      <w:r>
        <w:rPr>
          <w:rFonts w:hint="eastAsia" w:hAnsi="宋体"/>
          <w:color w:val="auto"/>
          <w:spacing w:val="4"/>
          <w:szCs w:val="21"/>
        </w:rPr>
        <w:t>3.4投标文件含有采购人不能接受的附加条件的；</w:t>
      </w:r>
    </w:p>
    <w:p w14:paraId="4B2E722D">
      <w:pPr>
        <w:pStyle w:val="19"/>
        <w:ind w:firstLine="496" w:firstLineChars="200"/>
        <w:rPr>
          <w:rFonts w:ascii="宋体" w:hAnsi="宋体"/>
          <w:color w:val="auto"/>
          <w:spacing w:val="4"/>
          <w:kern w:val="0"/>
          <w:sz w:val="24"/>
          <w:szCs w:val="21"/>
        </w:rPr>
      </w:pPr>
      <w:r>
        <w:rPr>
          <w:rFonts w:hint="eastAsia" w:ascii="宋体" w:hAnsi="宋体"/>
          <w:color w:val="auto"/>
          <w:spacing w:val="4"/>
          <w:kern w:val="0"/>
          <w:sz w:val="24"/>
          <w:szCs w:val="21"/>
        </w:rPr>
        <w:t>3.6无投标有效期或有效期达不到招标文件要求的；</w:t>
      </w:r>
    </w:p>
    <w:p w14:paraId="04F92B63">
      <w:pPr>
        <w:spacing w:line="360" w:lineRule="auto"/>
        <w:ind w:firstLine="496" w:firstLineChars="200"/>
        <w:rPr>
          <w:rFonts w:hAnsi="宋体"/>
          <w:color w:val="auto"/>
          <w:spacing w:val="4"/>
          <w:szCs w:val="21"/>
        </w:rPr>
      </w:pPr>
      <w:r>
        <w:rPr>
          <w:rFonts w:hint="eastAsia" w:hAnsi="宋体"/>
          <w:color w:val="auto"/>
          <w:spacing w:val="4"/>
          <w:szCs w:val="21"/>
        </w:rPr>
        <w:t>3.</w:t>
      </w:r>
      <w:r>
        <w:rPr>
          <w:rFonts w:hAnsi="宋体"/>
          <w:color w:val="auto"/>
          <w:spacing w:val="4"/>
          <w:szCs w:val="21"/>
        </w:rPr>
        <w:t>7</w:t>
      </w:r>
      <w:r>
        <w:rPr>
          <w:rFonts w:hint="eastAsia" w:hAnsi="宋体"/>
          <w:color w:val="auto"/>
          <w:spacing w:val="4"/>
          <w:szCs w:val="21"/>
        </w:rPr>
        <w:t>单位负责人为同一人或者存在直接控股、管理关系的不同供应商，参加本项目同一合同项下的投标的；</w:t>
      </w:r>
    </w:p>
    <w:p w14:paraId="47A71955">
      <w:pPr>
        <w:spacing w:line="360" w:lineRule="auto"/>
        <w:ind w:firstLine="496" w:firstLineChars="200"/>
        <w:rPr>
          <w:rFonts w:hAnsi="宋体"/>
          <w:color w:val="auto"/>
          <w:spacing w:val="4"/>
          <w:szCs w:val="21"/>
        </w:rPr>
      </w:pPr>
      <w:r>
        <w:rPr>
          <w:rFonts w:hint="eastAsia" w:hAnsi="宋体"/>
          <w:color w:val="auto"/>
          <w:spacing w:val="4"/>
          <w:szCs w:val="21"/>
        </w:rPr>
        <w:t>3.</w:t>
      </w:r>
      <w:r>
        <w:rPr>
          <w:rFonts w:hAnsi="宋体"/>
          <w:color w:val="auto"/>
          <w:spacing w:val="4"/>
          <w:szCs w:val="21"/>
        </w:rPr>
        <w:t>8</w:t>
      </w:r>
      <w:r>
        <w:rPr>
          <w:rFonts w:hint="eastAsia" w:hAnsi="宋体"/>
          <w:color w:val="auto"/>
          <w:spacing w:val="4"/>
          <w:szCs w:val="21"/>
        </w:rPr>
        <w:t>为本采购项目提供整体设计、规范编制或者项目管理、监理、检测等服务的供应商，参加本采购项目投标的；</w:t>
      </w:r>
    </w:p>
    <w:p w14:paraId="53F64B16">
      <w:pPr>
        <w:spacing w:line="360" w:lineRule="auto"/>
        <w:ind w:firstLine="496" w:firstLineChars="200"/>
        <w:rPr>
          <w:rFonts w:hAnsi="宋体"/>
          <w:color w:val="auto"/>
          <w:spacing w:val="4"/>
          <w:szCs w:val="21"/>
        </w:rPr>
      </w:pPr>
      <w:r>
        <w:rPr>
          <w:rFonts w:hint="eastAsia" w:hAnsi="宋体"/>
          <w:color w:val="auto"/>
          <w:spacing w:val="4"/>
          <w:szCs w:val="21"/>
        </w:rPr>
        <w:t>3.</w:t>
      </w:r>
      <w:r>
        <w:rPr>
          <w:rFonts w:hAnsi="宋体"/>
          <w:color w:val="auto"/>
          <w:spacing w:val="4"/>
          <w:szCs w:val="21"/>
        </w:rPr>
        <w:t>9</w:t>
      </w:r>
      <w:r>
        <w:rPr>
          <w:rFonts w:hint="eastAsia" w:hAnsi="宋体"/>
          <w:color w:val="auto"/>
          <w:spacing w:val="4"/>
          <w:szCs w:val="21"/>
        </w:rPr>
        <w:t>提供虚假投标文件和资料的。</w:t>
      </w:r>
    </w:p>
    <w:p w14:paraId="77E377B0">
      <w:pPr>
        <w:spacing w:line="360" w:lineRule="auto"/>
        <w:ind w:firstLine="496" w:firstLineChars="200"/>
        <w:rPr>
          <w:rFonts w:hAnsi="宋体"/>
          <w:color w:val="auto"/>
          <w:spacing w:val="4"/>
          <w:szCs w:val="21"/>
        </w:rPr>
      </w:pPr>
      <w:r>
        <w:rPr>
          <w:rFonts w:hint="eastAsia" w:hAnsi="宋体"/>
          <w:color w:val="auto"/>
          <w:spacing w:val="4"/>
          <w:szCs w:val="21"/>
        </w:rPr>
        <w:t>3.</w:t>
      </w:r>
      <w:r>
        <w:rPr>
          <w:rFonts w:hAnsi="宋体"/>
          <w:color w:val="auto"/>
          <w:spacing w:val="4"/>
          <w:szCs w:val="21"/>
        </w:rPr>
        <w:t>10</w:t>
      </w:r>
      <w:r>
        <w:rPr>
          <w:rFonts w:hint="eastAsia" w:hAnsi="宋体"/>
          <w:color w:val="auto"/>
          <w:spacing w:val="4"/>
          <w:szCs w:val="21"/>
        </w:rPr>
        <w:t>法律、法规和招标文件规定的其他无效情形；</w:t>
      </w:r>
    </w:p>
    <w:p w14:paraId="278BA7E1">
      <w:pPr>
        <w:spacing w:line="360" w:lineRule="auto"/>
        <w:outlineLvl w:val="1"/>
        <w:rPr>
          <w:rFonts w:hAnsi="宋体"/>
          <w:b/>
          <w:color w:val="auto"/>
          <w:spacing w:val="4"/>
          <w:szCs w:val="21"/>
        </w:rPr>
      </w:pPr>
      <w:bookmarkStart w:id="156" w:name="_Toc6695"/>
      <w:r>
        <w:rPr>
          <w:rFonts w:hint="eastAsia" w:hAnsi="宋体"/>
          <w:b/>
          <w:color w:val="auto"/>
          <w:spacing w:val="4"/>
          <w:szCs w:val="21"/>
        </w:rPr>
        <w:t>四．供应商有下列情形之一的，视为供应商串通投标，其投标无效</w:t>
      </w:r>
      <w:bookmarkEnd w:id="156"/>
    </w:p>
    <w:p w14:paraId="27B1248D">
      <w:pPr>
        <w:spacing w:line="360" w:lineRule="auto"/>
        <w:ind w:firstLine="496" w:firstLineChars="200"/>
        <w:rPr>
          <w:rFonts w:hAnsi="宋体"/>
          <w:color w:val="auto"/>
          <w:spacing w:val="4"/>
          <w:szCs w:val="21"/>
        </w:rPr>
      </w:pPr>
      <w:r>
        <w:rPr>
          <w:rFonts w:hint="eastAsia" w:hAnsi="宋体"/>
          <w:color w:val="auto"/>
          <w:spacing w:val="4"/>
          <w:szCs w:val="21"/>
        </w:rPr>
        <w:t>4.1不同供应商的投标文件由同一单位或者个人编制；</w:t>
      </w:r>
    </w:p>
    <w:p w14:paraId="0E4523F9">
      <w:pPr>
        <w:spacing w:line="360" w:lineRule="auto"/>
        <w:ind w:firstLine="496" w:firstLineChars="200"/>
        <w:rPr>
          <w:rFonts w:hAnsi="宋体"/>
          <w:color w:val="auto"/>
          <w:spacing w:val="4"/>
          <w:szCs w:val="21"/>
        </w:rPr>
      </w:pPr>
      <w:r>
        <w:rPr>
          <w:rFonts w:hint="eastAsia" w:hAnsi="宋体"/>
          <w:color w:val="auto"/>
          <w:spacing w:val="4"/>
          <w:szCs w:val="21"/>
        </w:rPr>
        <w:t>4.2不同供应商委托同一单位或者个人办理投标事宜；</w:t>
      </w:r>
    </w:p>
    <w:p w14:paraId="71A11A53">
      <w:pPr>
        <w:spacing w:line="360" w:lineRule="auto"/>
        <w:ind w:firstLine="496" w:firstLineChars="200"/>
        <w:rPr>
          <w:rFonts w:hAnsi="宋体"/>
          <w:color w:val="auto"/>
          <w:spacing w:val="4"/>
          <w:szCs w:val="21"/>
        </w:rPr>
      </w:pPr>
      <w:r>
        <w:rPr>
          <w:rFonts w:hint="eastAsia" w:hAnsi="宋体"/>
          <w:color w:val="auto"/>
          <w:spacing w:val="4"/>
          <w:szCs w:val="21"/>
        </w:rPr>
        <w:t>4.3不同供应商的投标文件载明的项目管理成员或者联系人员为同一人；</w:t>
      </w:r>
    </w:p>
    <w:p w14:paraId="5F708531">
      <w:pPr>
        <w:spacing w:line="360" w:lineRule="auto"/>
        <w:ind w:firstLine="496" w:firstLineChars="200"/>
        <w:rPr>
          <w:rFonts w:hAnsi="宋体"/>
          <w:color w:val="auto"/>
          <w:spacing w:val="4"/>
          <w:szCs w:val="21"/>
        </w:rPr>
      </w:pPr>
      <w:r>
        <w:rPr>
          <w:rFonts w:hint="eastAsia" w:hAnsi="宋体"/>
          <w:color w:val="auto"/>
          <w:spacing w:val="4"/>
          <w:szCs w:val="21"/>
        </w:rPr>
        <w:t>4.4不同供应商的投标文件异常一致或者投标报价呈规律性差异；</w:t>
      </w:r>
    </w:p>
    <w:p w14:paraId="57121E64">
      <w:pPr>
        <w:spacing w:line="360" w:lineRule="auto"/>
        <w:ind w:firstLine="496" w:firstLineChars="200"/>
        <w:rPr>
          <w:rFonts w:hAnsi="宋体"/>
          <w:color w:val="auto"/>
          <w:spacing w:val="4"/>
          <w:szCs w:val="21"/>
        </w:rPr>
      </w:pPr>
      <w:r>
        <w:rPr>
          <w:rFonts w:hint="eastAsia" w:hAnsi="宋体"/>
          <w:color w:val="auto"/>
          <w:spacing w:val="4"/>
          <w:szCs w:val="21"/>
        </w:rPr>
        <w:t>4.5不同供应商的投标文件相互混装；</w:t>
      </w:r>
    </w:p>
    <w:p w14:paraId="24528C59">
      <w:pPr>
        <w:spacing w:line="500" w:lineRule="exact"/>
        <w:outlineLvl w:val="1"/>
        <w:rPr>
          <w:rFonts w:hAnsi="宋体" w:cs="宋体"/>
          <w:b/>
          <w:color w:val="auto"/>
          <w:szCs w:val="24"/>
        </w:rPr>
      </w:pPr>
      <w:bookmarkStart w:id="157" w:name="_Toc4963"/>
      <w:bookmarkStart w:id="158" w:name="_Toc9174"/>
      <w:r>
        <w:rPr>
          <w:rFonts w:hint="eastAsia" w:hAnsi="宋体" w:cs="宋体"/>
          <w:b/>
          <w:color w:val="auto"/>
          <w:szCs w:val="24"/>
        </w:rPr>
        <w:t>五、评审标准</w:t>
      </w:r>
      <w:bookmarkEnd w:id="157"/>
      <w:bookmarkEnd w:id="158"/>
    </w:p>
    <w:p w14:paraId="6B3ADEE5">
      <w:pPr>
        <w:tabs>
          <w:tab w:val="left" w:pos="0"/>
        </w:tabs>
        <w:adjustRightInd w:val="0"/>
        <w:snapToGrid w:val="0"/>
        <w:spacing w:line="500" w:lineRule="exact"/>
        <w:ind w:firstLine="470" w:firstLineChars="196"/>
        <w:rPr>
          <w:rFonts w:hAnsi="宋体" w:cs="宋体"/>
          <w:bCs/>
          <w:color w:val="auto"/>
          <w:szCs w:val="24"/>
        </w:rPr>
      </w:pPr>
      <w:r>
        <w:rPr>
          <w:rFonts w:hint="eastAsia" w:hAnsi="宋体" w:cs="宋体"/>
          <w:bCs/>
          <w:color w:val="auto"/>
          <w:szCs w:val="24"/>
        </w:rPr>
        <w:t>5.1初步评审标准：</w:t>
      </w:r>
    </w:p>
    <w:p w14:paraId="6645F25A">
      <w:pPr>
        <w:tabs>
          <w:tab w:val="left" w:pos="0"/>
        </w:tabs>
        <w:adjustRightInd w:val="0"/>
        <w:snapToGrid w:val="0"/>
        <w:spacing w:line="500" w:lineRule="exact"/>
        <w:ind w:firstLine="470" w:firstLineChars="196"/>
        <w:rPr>
          <w:rFonts w:hAnsi="宋体" w:cs="宋体"/>
          <w:bCs/>
          <w:color w:val="auto"/>
          <w:szCs w:val="24"/>
        </w:rPr>
      </w:pPr>
      <w:r>
        <w:rPr>
          <w:rFonts w:hint="eastAsia" w:hAnsi="宋体" w:cs="宋体"/>
          <w:bCs/>
          <w:color w:val="auto"/>
          <w:szCs w:val="24"/>
        </w:rPr>
        <w:t>5.1.1资格评审标准：见附件1初步审查要素表</w:t>
      </w:r>
    </w:p>
    <w:p w14:paraId="60460CD0">
      <w:pPr>
        <w:tabs>
          <w:tab w:val="left" w:pos="0"/>
        </w:tabs>
        <w:adjustRightInd w:val="0"/>
        <w:snapToGrid w:val="0"/>
        <w:spacing w:line="500" w:lineRule="exact"/>
        <w:ind w:firstLine="470" w:firstLineChars="196"/>
        <w:rPr>
          <w:color w:val="auto"/>
          <w:szCs w:val="24"/>
        </w:rPr>
      </w:pPr>
      <w:r>
        <w:rPr>
          <w:rFonts w:hint="eastAsia" w:hAnsi="宋体" w:cs="宋体"/>
          <w:bCs/>
          <w:color w:val="auto"/>
          <w:szCs w:val="24"/>
        </w:rPr>
        <w:t>5.1.2符合性评审标准：见</w:t>
      </w:r>
      <w:r>
        <w:rPr>
          <w:rFonts w:hint="eastAsia" w:hAnsi="宋体" w:cs="宋体"/>
          <w:color w:val="auto"/>
          <w:szCs w:val="24"/>
        </w:rPr>
        <w:t>附件1初步审查要素表</w:t>
      </w:r>
    </w:p>
    <w:p w14:paraId="13D20096">
      <w:pPr>
        <w:tabs>
          <w:tab w:val="left" w:pos="0"/>
        </w:tabs>
        <w:adjustRightInd w:val="0"/>
        <w:snapToGrid w:val="0"/>
        <w:spacing w:line="500" w:lineRule="exact"/>
        <w:ind w:firstLine="470" w:firstLineChars="196"/>
        <w:rPr>
          <w:rFonts w:hAnsi="宋体" w:cs="宋体"/>
          <w:bCs/>
          <w:color w:val="auto"/>
          <w:szCs w:val="24"/>
        </w:rPr>
      </w:pPr>
      <w:r>
        <w:rPr>
          <w:rFonts w:hint="eastAsia" w:hAnsi="宋体" w:cs="宋体"/>
          <w:bCs/>
          <w:color w:val="auto"/>
          <w:szCs w:val="24"/>
        </w:rPr>
        <w:t>5.2分值构成与评分标准</w:t>
      </w:r>
      <w:r>
        <w:rPr>
          <w:rFonts w:hint="eastAsia" w:hAnsi="宋体" w:cs="宋体"/>
          <w:b/>
          <w:color w:val="auto"/>
          <w:szCs w:val="24"/>
        </w:rPr>
        <w:t>:</w:t>
      </w:r>
      <w:r>
        <w:rPr>
          <w:rFonts w:hint="eastAsia" w:hAnsi="宋体" w:cs="宋体"/>
          <w:bCs/>
          <w:color w:val="auto"/>
          <w:szCs w:val="24"/>
        </w:rPr>
        <w:t>见附件2评标因素及权重分值表</w:t>
      </w:r>
    </w:p>
    <w:p w14:paraId="6D3BE5E0">
      <w:pPr>
        <w:spacing w:line="500" w:lineRule="exact"/>
        <w:outlineLvl w:val="1"/>
        <w:rPr>
          <w:rFonts w:hAnsi="宋体" w:cs="宋体"/>
          <w:b/>
          <w:color w:val="auto"/>
          <w:szCs w:val="24"/>
        </w:rPr>
      </w:pPr>
      <w:bookmarkStart w:id="159" w:name="_Toc27272"/>
      <w:bookmarkStart w:id="160" w:name="_Toc363463333"/>
      <w:bookmarkStart w:id="161" w:name="_Toc14485"/>
      <w:r>
        <w:rPr>
          <w:rFonts w:hint="eastAsia" w:hAnsi="宋体" w:cs="宋体"/>
          <w:b/>
          <w:color w:val="auto"/>
          <w:szCs w:val="24"/>
        </w:rPr>
        <w:t>六．评审程序</w:t>
      </w:r>
      <w:bookmarkEnd w:id="159"/>
      <w:bookmarkEnd w:id="160"/>
      <w:bookmarkEnd w:id="161"/>
    </w:p>
    <w:p w14:paraId="48EB2311">
      <w:pPr>
        <w:spacing w:line="500" w:lineRule="exact"/>
        <w:ind w:firstLine="482" w:firstLineChars="200"/>
        <w:rPr>
          <w:rFonts w:hAnsi="宋体" w:cs="宋体"/>
          <w:b/>
          <w:color w:val="auto"/>
        </w:rPr>
      </w:pPr>
      <w:r>
        <w:rPr>
          <w:rFonts w:hint="eastAsia" w:hAnsi="宋体" w:cs="宋体"/>
          <w:b/>
          <w:color w:val="auto"/>
        </w:rPr>
        <w:t>6.1本采购项目评标按照下列工作程序进行</w:t>
      </w:r>
      <w:r>
        <w:rPr>
          <w:rFonts w:hint="eastAsia" w:hAnsi="宋体" w:cs="宋体"/>
          <w:bCs/>
          <w:color w:val="auto"/>
        </w:rPr>
        <w:t>（在上一步评审中被认定无效投标者，不进入下一步的评审）</w:t>
      </w:r>
      <w:r>
        <w:rPr>
          <w:rFonts w:hint="eastAsia" w:hAnsi="宋体" w:cs="宋体"/>
          <w:b/>
          <w:color w:val="auto"/>
        </w:rPr>
        <w:t>。</w:t>
      </w:r>
    </w:p>
    <w:p w14:paraId="4D023507">
      <w:pPr>
        <w:spacing w:line="500" w:lineRule="exact"/>
        <w:ind w:firstLine="495"/>
        <w:rPr>
          <w:rFonts w:hAnsi="宋体" w:cs="宋体"/>
          <w:color w:val="auto"/>
        </w:rPr>
      </w:pPr>
      <w:r>
        <w:rPr>
          <w:rFonts w:hint="eastAsia" w:hAnsi="宋体" w:cs="宋体"/>
          <w:color w:val="auto"/>
        </w:rPr>
        <w:t>6.1.1投标文件初审；</w:t>
      </w:r>
    </w:p>
    <w:p w14:paraId="30A49163">
      <w:pPr>
        <w:spacing w:line="500" w:lineRule="exact"/>
        <w:ind w:firstLine="495"/>
        <w:rPr>
          <w:rFonts w:hAnsi="宋体" w:cs="宋体"/>
          <w:color w:val="auto"/>
        </w:rPr>
      </w:pPr>
      <w:r>
        <w:rPr>
          <w:rFonts w:hint="eastAsia" w:hAnsi="宋体" w:cs="宋体"/>
          <w:color w:val="auto"/>
        </w:rPr>
        <w:t>6.1.2澄清有关问题；</w:t>
      </w:r>
    </w:p>
    <w:p w14:paraId="45694EEF">
      <w:pPr>
        <w:spacing w:line="500" w:lineRule="exact"/>
        <w:ind w:firstLine="495"/>
        <w:rPr>
          <w:rFonts w:hAnsi="宋体" w:cs="宋体"/>
          <w:color w:val="auto"/>
        </w:rPr>
      </w:pPr>
      <w:r>
        <w:rPr>
          <w:rFonts w:hint="eastAsia" w:hAnsi="宋体" w:cs="宋体"/>
          <w:color w:val="auto"/>
        </w:rPr>
        <w:t>6.1.3比较与评价；</w:t>
      </w:r>
    </w:p>
    <w:p w14:paraId="1AC2DE5C">
      <w:pPr>
        <w:spacing w:line="500" w:lineRule="exact"/>
        <w:ind w:firstLine="495"/>
        <w:rPr>
          <w:rFonts w:hAnsi="宋体" w:cs="宋体"/>
          <w:color w:val="auto"/>
        </w:rPr>
      </w:pPr>
      <w:r>
        <w:rPr>
          <w:rFonts w:hint="eastAsia" w:hAnsi="宋体" w:cs="宋体"/>
          <w:color w:val="auto"/>
        </w:rPr>
        <w:t>6.1.4推荐中标候选人名单。</w:t>
      </w:r>
    </w:p>
    <w:p w14:paraId="2F0FCAF7">
      <w:pPr>
        <w:spacing w:before="120" w:after="120" w:line="500" w:lineRule="exact"/>
        <w:ind w:firstLine="482" w:firstLineChars="200"/>
        <w:rPr>
          <w:rFonts w:hAnsi="宋体" w:cs="宋体"/>
          <w:b/>
          <w:color w:val="auto"/>
        </w:rPr>
      </w:pPr>
      <w:r>
        <w:rPr>
          <w:rFonts w:hint="eastAsia" w:hAnsi="宋体" w:cs="宋体"/>
          <w:b/>
          <w:color w:val="auto"/>
        </w:rPr>
        <w:t>6.2投标文件初审</w:t>
      </w:r>
    </w:p>
    <w:p w14:paraId="3A538D76">
      <w:pPr>
        <w:tabs>
          <w:tab w:val="left" w:pos="0"/>
        </w:tabs>
        <w:adjustRightInd w:val="0"/>
        <w:snapToGrid w:val="0"/>
        <w:spacing w:line="500" w:lineRule="exact"/>
        <w:ind w:firstLine="470" w:firstLineChars="196"/>
        <w:rPr>
          <w:rFonts w:hAnsi="宋体" w:cs="宋体"/>
          <w:color w:val="auto"/>
        </w:rPr>
      </w:pPr>
      <w:r>
        <w:rPr>
          <w:rFonts w:hint="eastAsia" w:hAnsi="宋体" w:cs="宋体"/>
          <w:color w:val="auto"/>
        </w:rPr>
        <w:t>采购人或采购代理机构根据本章第</w:t>
      </w:r>
      <w:r>
        <w:rPr>
          <w:rFonts w:hint="eastAsia" w:hAnsi="宋体" w:cs="宋体"/>
          <w:bCs/>
          <w:color w:val="auto"/>
          <w:szCs w:val="24"/>
        </w:rPr>
        <w:t>5.1.1</w:t>
      </w:r>
      <w:r>
        <w:rPr>
          <w:rFonts w:hint="eastAsia" w:hAnsi="宋体" w:cs="宋体"/>
          <w:color w:val="auto"/>
        </w:rPr>
        <w:t xml:space="preserve"> 项规定的评审标准对投标文件进行资格性审查。有一项不符合评审标准的，将被认定为无效投标。</w:t>
      </w:r>
    </w:p>
    <w:p w14:paraId="440A6104">
      <w:pPr>
        <w:tabs>
          <w:tab w:val="left" w:pos="0"/>
        </w:tabs>
        <w:adjustRightInd w:val="0"/>
        <w:snapToGrid w:val="0"/>
        <w:spacing w:line="500" w:lineRule="exact"/>
        <w:ind w:firstLine="470" w:firstLineChars="196"/>
        <w:rPr>
          <w:rFonts w:hAnsi="宋体" w:cs="宋体"/>
          <w:color w:val="auto"/>
        </w:rPr>
      </w:pPr>
      <w:r>
        <w:rPr>
          <w:rFonts w:hint="eastAsia" w:hAnsi="宋体" w:cs="宋体"/>
          <w:color w:val="auto"/>
        </w:rPr>
        <w:t xml:space="preserve">评标委员会根据本章第 </w:t>
      </w:r>
      <w:r>
        <w:rPr>
          <w:rFonts w:hint="eastAsia" w:hAnsi="宋体" w:cs="宋体"/>
          <w:bCs/>
          <w:color w:val="auto"/>
          <w:szCs w:val="24"/>
        </w:rPr>
        <w:t>5.1.2</w:t>
      </w:r>
      <w:r>
        <w:rPr>
          <w:rFonts w:hint="eastAsia" w:hAnsi="宋体" w:cs="宋体"/>
          <w:color w:val="auto"/>
        </w:rPr>
        <w:t>项规定的评审标准对投标文件进行符合性评审。有一项不符合评审标准的，评标委员会应当否决其投标。</w:t>
      </w:r>
    </w:p>
    <w:p w14:paraId="1127BC74">
      <w:pPr>
        <w:tabs>
          <w:tab w:val="left" w:pos="0"/>
        </w:tabs>
        <w:adjustRightInd w:val="0"/>
        <w:snapToGrid w:val="0"/>
        <w:spacing w:line="500" w:lineRule="exact"/>
        <w:ind w:firstLine="470" w:firstLineChars="196"/>
        <w:rPr>
          <w:rFonts w:hAnsi="宋体" w:cs="宋体"/>
          <w:color w:val="auto"/>
        </w:rPr>
      </w:pPr>
      <w:r>
        <w:rPr>
          <w:rFonts w:hint="eastAsia" w:hAnsi="宋体" w:cs="宋体"/>
          <w:color w:val="auto"/>
        </w:rPr>
        <w:t>在资格性审查阶段，不符合招标文件要求的，不得进入符合性审查，在符合性审查时未通过的，不得进入后续评审环节。</w:t>
      </w:r>
    </w:p>
    <w:p w14:paraId="4B5C8C05">
      <w:pPr>
        <w:spacing w:before="120" w:after="120" w:line="500" w:lineRule="exact"/>
        <w:ind w:firstLine="482" w:firstLineChars="200"/>
        <w:rPr>
          <w:rFonts w:hAnsi="宋体" w:cs="宋体"/>
          <w:b/>
          <w:color w:val="auto"/>
        </w:rPr>
      </w:pPr>
      <w:r>
        <w:rPr>
          <w:rFonts w:hint="eastAsia" w:hAnsi="宋体" w:cs="宋体"/>
          <w:b/>
          <w:color w:val="auto"/>
        </w:rPr>
        <w:t>6.3投标文件的澄清</w:t>
      </w:r>
    </w:p>
    <w:p w14:paraId="505707FB">
      <w:pPr>
        <w:spacing w:line="500" w:lineRule="exact"/>
        <w:ind w:firstLine="480" w:firstLineChars="200"/>
        <w:rPr>
          <w:rFonts w:hAnsi="宋体" w:cs="宋体"/>
          <w:color w:val="auto"/>
        </w:rPr>
      </w:pPr>
      <w:r>
        <w:rPr>
          <w:rFonts w:hint="eastAsia" w:hAnsi="宋体" w:cs="宋体"/>
          <w:color w:val="auto"/>
        </w:rPr>
        <w:t>6.3.1为有助于投标文件的审查、比较和评价，评标委员会可要求供应商对其投标文件中非实质性（投标文件中含义不明确、同类问题表述不一致或者有明显文字和计算错误的内容）的有关问题进行澄清、说明或者补正。有关澄清、说明或者补正的要求和答复应以书面形式提交，并由其法定代表人或被授权人签字。供应商的澄清、说明或者补正不得超出投标文件的范围或者改变投标文件的实质性内容。评标委员会不接受供应商主动提出的澄清、说明。</w:t>
      </w:r>
    </w:p>
    <w:p w14:paraId="730550CF">
      <w:pPr>
        <w:spacing w:line="500" w:lineRule="exact"/>
        <w:ind w:firstLine="480" w:firstLineChars="200"/>
        <w:rPr>
          <w:rFonts w:hAnsi="宋体" w:cs="宋体"/>
          <w:color w:val="auto"/>
          <w:szCs w:val="24"/>
        </w:rPr>
      </w:pPr>
      <w:r>
        <w:rPr>
          <w:rFonts w:hint="eastAsia" w:hAnsi="宋体" w:cs="宋体"/>
          <w:color w:val="auto"/>
        </w:rPr>
        <w:t>6.3.2有效的书面澄清材料，是投标文件的补充材料，成为投标文件的组成部分。</w:t>
      </w:r>
    </w:p>
    <w:p w14:paraId="4CCD0CE8">
      <w:pPr>
        <w:tabs>
          <w:tab w:val="left" w:pos="851"/>
        </w:tabs>
        <w:spacing w:line="500" w:lineRule="exact"/>
        <w:ind w:firstLine="480" w:firstLineChars="200"/>
        <w:rPr>
          <w:rFonts w:hAnsi="宋体" w:cs="宋体"/>
          <w:color w:val="auto"/>
          <w:szCs w:val="24"/>
        </w:rPr>
      </w:pPr>
      <w:r>
        <w:rPr>
          <w:rFonts w:hint="eastAsia" w:hAnsi="宋体" w:cs="宋体"/>
          <w:color w:val="auto"/>
          <w:szCs w:val="24"/>
        </w:rPr>
        <w:t>6.3.3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0FE8522">
      <w:pPr>
        <w:spacing w:before="120" w:after="120" w:line="500" w:lineRule="exact"/>
        <w:ind w:firstLine="482" w:firstLineChars="200"/>
        <w:jc w:val="left"/>
        <w:rPr>
          <w:rFonts w:hAnsi="宋体" w:cs="宋体"/>
          <w:b/>
          <w:color w:val="auto"/>
        </w:rPr>
      </w:pPr>
      <w:r>
        <w:rPr>
          <w:rFonts w:hint="eastAsia" w:hAnsi="宋体" w:cs="宋体"/>
          <w:b/>
          <w:color w:val="auto"/>
        </w:rPr>
        <w:t>6.4投标文件比较与评价</w:t>
      </w:r>
    </w:p>
    <w:p w14:paraId="50D9E61B">
      <w:pPr>
        <w:tabs>
          <w:tab w:val="left" w:pos="0"/>
        </w:tabs>
        <w:adjustRightInd w:val="0"/>
        <w:snapToGrid w:val="0"/>
        <w:spacing w:before="120" w:line="500" w:lineRule="exact"/>
        <w:ind w:firstLine="480" w:firstLineChars="200"/>
        <w:rPr>
          <w:rFonts w:hAnsi="宋体" w:cs="宋体"/>
          <w:color w:val="auto"/>
        </w:rPr>
      </w:pPr>
      <w:r>
        <w:rPr>
          <w:rFonts w:hint="eastAsia" w:hAnsi="宋体" w:cs="宋体"/>
          <w:color w:val="auto"/>
        </w:rPr>
        <w:t>6.4.1</w:t>
      </w:r>
      <w:r>
        <w:rPr>
          <w:rFonts w:hint="eastAsia" w:hAnsi="宋体" w:cs="宋体"/>
          <w:bCs/>
          <w:color w:val="auto"/>
        </w:rPr>
        <w:t>评委会应按照招标文件中规定的评标方法</w:t>
      </w:r>
      <w:r>
        <w:rPr>
          <w:rFonts w:hint="eastAsia" w:hAnsi="宋体" w:cs="宋体"/>
          <w:color w:val="auto"/>
        </w:rPr>
        <w:t>和标准，</w:t>
      </w:r>
      <w:r>
        <w:rPr>
          <w:rFonts w:hint="eastAsia" w:hAnsi="宋体" w:cs="宋体"/>
          <w:bCs/>
          <w:color w:val="auto"/>
        </w:rPr>
        <w:t>对</w:t>
      </w:r>
      <w:r>
        <w:rPr>
          <w:rFonts w:hint="eastAsia" w:hAnsi="宋体" w:cs="宋体"/>
          <w:color w:val="auto"/>
        </w:rPr>
        <w:t>资格性检查和符合性检查</w:t>
      </w:r>
      <w:r>
        <w:rPr>
          <w:rFonts w:hint="eastAsia" w:hAnsi="宋体" w:cs="宋体"/>
          <w:bCs/>
          <w:color w:val="auto"/>
        </w:rPr>
        <w:t>合格的投标文件进行商务和技术评估，综合比较与评价。</w:t>
      </w:r>
    </w:p>
    <w:p w14:paraId="0372E51F">
      <w:pPr>
        <w:spacing w:line="500" w:lineRule="exact"/>
        <w:ind w:firstLine="470" w:firstLineChars="196"/>
        <w:rPr>
          <w:rFonts w:hAnsi="宋体" w:cs="宋体"/>
          <w:color w:val="auto"/>
          <w:szCs w:val="24"/>
        </w:rPr>
      </w:pPr>
      <w:r>
        <w:rPr>
          <w:rFonts w:hint="eastAsia" w:hAnsi="宋体" w:cs="宋体"/>
          <w:color w:val="auto"/>
        </w:rPr>
        <w:t>6.4.2如果投标文件没有实质性响应招标文件的要求，评委会将予以拒绝。供应商不得通过修正或撤销不合要求的偏离或保留，从而使其投标成为实质性响应的投标。</w:t>
      </w:r>
    </w:p>
    <w:p w14:paraId="668A97EB">
      <w:pPr>
        <w:spacing w:line="500" w:lineRule="exact"/>
        <w:outlineLvl w:val="1"/>
        <w:rPr>
          <w:rFonts w:hAnsi="宋体" w:cs="宋体"/>
          <w:b/>
          <w:color w:val="auto"/>
          <w:szCs w:val="24"/>
        </w:rPr>
      </w:pPr>
      <w:bookmarkStart w:id="162" w:name="_Toc23931"/>
      <w:bookmarkStart w:id="163" w:name="_Toc8036"/>
      <w:r>
        <w:rPr>
          <w:rFonts w:hint="eastAsia" w:hAnsi="宋体" w:cs="宋体"/>
          <w:b/>
          <w:color w:val="auto"/>
          <w:szCs w:val="24"/>
        </w:rPr>
        <w:t>七．政策性扣减</w:t>
      </w:r>
      <w:bookmarkEnd w:id="162"/>
      <w:bookmarkEnd w:id="163"/>
    </w:p>
    <w:p w14:paraId="5B3B2D02">
      <w:pPr>
        <w:spacing w:line="360" w:lineRule="auto"/>
        <w:ind w:firstLine="482" w:firstLineChars="200"/>
        <w:rPr>
          <w:rFonts w:hAnsi="宋体" w:cs="宋体"/>
          <w:b/>
          <w:color w:val="auto"/>
          <w:szCs w:val="24"/>
        </w:rPr>
      </w:pPr>
      <w:r>
        <w:rPr>
          <w:rFonts w:hint="eastAsia" w:hAnsi="宋体" w:cs="宋体"/>
          <w:b/>
          <w:color w:val="auto"/>
          <w:szCs w:val="24"/>
        </w:rPr>
        <w:t>7.1政策性扣减范围</w:t>
      </w:r>
    </w:p>
    <w:p w14:paraId="06BE05A0">
      <w:pPr>
        <w:spacing w:line="360" w:lineRule="auto"/>
        <w:ind w:firstLine="480" w:firstLineChars="200"/>
        <w:rPr>
          <w:rFonts w:hAnsi="宋体" w:cs="宋体"/>
          <w:color w:val="auto"/>
          <w:szCs w:val="24"/>
        </w:rPr>
      </w:pPr>
      <w:r>
        <w:rPr>
          <w:rFonts w:hint="eastAsia" w:hAnsi="宋体" w:cs="宋体"/>
          <w:color w:val="auto"/>
          <w:szCs w:val="24"/>
        </w:rPr>
        <w:t>7.1.1供应商符合小型、微型企业或监狱企业、残疾人福利性单位条件的，其投标报价价格评审时将按相应比例进行扣减。</w:t>
      </w:r>
    </w:p>
    <w:p w14:paraId="5F5D1105">
      <w:pPr>
        <w:spacing w:line="360" w:lineRule="auto"/>
        <w:ind w:firstLine="480" w:firstLineChars="200"/>
        <w:rPr>
          <w:rFonts w:hAnsi="宋体" w:cs="宋体"/>
          <w:color w:val="auto"/>
          <w:szCs w:val="24"/>
        </w:rPr>
      </w:pPr>
      <w:r>
        <w:rPr>
          <w:rFonts w:hint="eastAsia" w:hAnsi="宋体" w:cs="宋体"/>
          <w:color w:val="auto"/>
          <w:szCs w:val="24"/>
        </w:rPr>
        <w:t>7.1.2依据关于印发《政府采购促进中小企业发展管理办法》的通知（财库〔2020〕46号）的规定，在政府采购活动中，供应商提供的货物、工程或者服务符合下列情形的，享受中小企业扶持政策：</w:t>
      </w:r>
    </w:p>
    <w:p w14:paraId="73803D81">
      <w:pPr>
        <w:spacing w:line="360" w:lineRule="auto"/>
        <w:ind w:firstLine="480" w:firstLineChars="200"/>
        <w:rPr>
          <w:rFonts w:hAnsi="宋体" w:cs="宋体"/>
          <w:color w:val="auto"/>
          <w:szCs w:val="24"/>
        </w:rPr>
      </w:pPr>
      <w:r>
        <w:rPr>
          <w:rFonts w:hint="eastAsia" w:hAnsi="宋体" w:cs="宋体"/>
          <w:color w:val="auto"/>
          <w:szCs w:val="24"/>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000B9293">
      <w:pPr>
        <w:spacing w:line="360" w:lineRule="auto"/>
        <w:ind w:firstLine="480" w:firstLineChars="200"/>
        <w:rPr>
          <w:rFonts w:hAnsi="宋体" w:cs="宋体"/>
          <w:color w:val="auto"/>
          <w:szCs w:val="24"/>
        </w:rPr>
      </w:pPr>
      <w:r>
        <w:rPr>
          <w:rFonts w:hint="eastAsia" w:hAnsi="宋体" w:cs="宋体"/>
          <w:color w:val="auto"/>
          <w:szCs w:val="24"/>
        </w:rPr>
        <w:t>（2）在货物采购项目中，供应商提供的货物既有中小企业制造货物，也有大型企业制造货物的，不享受本办法规定的中小企业扶持政策。</w:t>
      </w:r>
    </w:p>
    <w:p w14:paraId="29DD0F12">
      <w:pPr>
        <w:spacing w:line="360" w:lineRule="auto"/>
        <w:ind w:firstLine="480" w:firstLineChars="200"/>
        <w:rPr>
          <w:rFonts w:hAnsi="宋体" w:cs="宋体"/>
          <w:color w:val="auto"/>
          <w:szCs w:val="24"/>
        </w:rPr>
      </w:pPr>
      <w:r>
        <w:rPr>
          <w:rFonts w:hint="eastAsia" w:hAnsi="宋体" w:cs="宋体"/>
          <w:color w:val="auto"/>
          <w:szCs w:val="24"/>
        </w:rPr>
        <w:t>（3）中小企业参加政府采购活动，应当出具符合财库〔2020〕46号规定的《中小企业声明函》,否则不得享受相关中小企业扶持政策。</w:t>
      </w:r>
    </w:p>
    <w:p w14:paraId="6F3CCAEF">
      <w:pPr>
        <w:spacing w:line="360" w:lineRule="auto"/>
        <w:ind w:firstLine="480" w:firstLineChars="200"/>
        <w:rPr>
          <w:color w:val="auto"/>
        </w:rPr>
      </w:pPr>
      <w:r>
        <w:rPr>
          <w:rFonts w:hint="eastAsia" w:hAnsi="宋体" w:cs="宋体"/>
          <w:color w:val="auto"/>
          <w:szCs w:val="24"/>
          <w:lang w:eastAsia="zh-CN"/>
        </w:rPr>
        <w:t>（</w:t>
      </w:r>
      <w:r>
        <w:rPr>
          <w:rFonts w:hint="eastAsia" w:hAnsi="宋体" w:cs="宋体"/>
          <w:color w:val="auto"/>
          <w:szCs w:val="24"/>
          <w:lang w:val="en-US" w:eastAsia="zh-CN"/>
        </w:rPr>
        <w:t>4</w:t>
      </w:r>
      <w:r>
        <w:rPr>
          <w:rFonts w:hint="eastAsia" w:hAnsi="宋体" w:cs="宋体"/>
          <w:color w:val="auto"/>
          <w:szCs w:val="24"/>
          <w:lang w:eastAsia="zh-CN"/>
        </w:rPr>
        <w:t>）</w:t>
      </w:r>
      <w:r>
        <w:rPr>
          <w:rFonts w:hint="eastAsia" w:hAnsi="宋体" w:cs="宋体"/>
          <w:color w:val="auto"/>
          <w:szCs w:val="24"/>
        </w:rPr>
        <w:t>中小企业参加政府采购活动，应当出具符合财库〔2020〕46号规定的《中小企业声明函》,否则不得享受相关中小企业扶持政策。</w:t>
      </w:r>
    </w:p>
    <w:p w14:paraId="362EA585">
      <w:pPr>
        <w:spacing w:line="360" w:lineRule="auto"/>
        <w:ind w:firstLine="480" w:firstLineChars="200"/>
        <w:rPr>
          <w:rFonts w:hAnsi="宋体" w:cs="宋体"/>
          <w:color w:val="auto"/>
          <w:szCs w:val="24"/>
        </w:rPr>
      </w:pPr>
      <w:r>
        <w:rPr>
          <w:rFonts w:hint="eastAsia" w:hAnsi="宋体" w:cs="宋体"/>
          <w:color w:val="auto"/>
          <w:szCs w:val="24"/>
        </w:rPr>
        <w:t>7.1.3采购人拟采购产品属于优先采购节能、环境标志产品范围的，应当优先采购节能、环境标志产品；拟采购产品符合政府采购强制采购政策的，实行强制采购。</w:t>
      </w:r>
    </w:p>
    <w:p w14:paraId="757E0D48">
      <w:pPr>
        <w:spacing w:line="360" w:lineRule="auto"/>
        <w:ind w:firstLine="480" w:firstLineChars="200"/>
        <w:rPr>
          <w:rFonts w:hAnsi="宋体" w:cs="宋体"/>
          <w:color w:val="auto"/>
          <w:szCs w:val="24"/>
        </w:rPr>
      </w:pPr>
      <w:r>
        <w:rPr>
          <w:rFonts w:hint="eastAsia" w:hAnsi="宋体" w:cs="宋体"/>
          <w:color w:val="auto"/>
          <w:szCs w:val="24"/>
        </w:rPr>
        <w:t>（1）采购人依据节能产品、环境标志产品品目清单和节能、环境标志产品认证证书实施政府优先采购和强制采购。</w:t>
      </w:r>
    </w:p>
    <w:p w14:paraId="7914F6D4">
      <w:pPr>
        <w:spacing w:line="360" w:lineRule="auto"/>
        <w:ind w:firstLine="480" w:firstLineChars="200"/>
        <w:rPr>
          <w:rFonts w:hAnsi="宋体" w:cs="宋体"/>
          <w:color w:val="auto"/>
        </w:rPr>
      </w:pPr>
      <w:r>
        <w:rPr>
          <w:rFonts w:hint="eastAsia" w:hAnsi="宋体" w:cs="宋体"/>
          <w:color w:val="auto"/>
          <w:szCs w:val="24"/>
        </w:rPr>
        <w:t>（2）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7D02FA15">
      <w:pPr>
        <w:spacing w:line="360" w:lineRule="auto"/>
        <w:ind w:firstLine="480" w:firstLineChars="200"/>
        <w:rPr>
          <w:rFonts w:hAnsi="宋体" w:cs="宋体"/>
          <w:color w:val="auto"/>
          <w:szCs w:val="24"/>
        </w:rPr>
      </w:pPr>
      <w:r>
        <w:rPr>
          <w:rFonts w:hint="eastAsia" w:hAnsi="宋体" w:cs="宋体"/>
          <w:color w:val="auto"/>
          <w:szCs w:val="24"/>
        </w:rPr>
        <w:t>7.1.4监狱企业参加政府采购活动时，应当提供由省级以上监狱管理局、戒毒管理局(含新疆生产建设兵团)出具的属于监狱企业的证明文件。</w:t>
      </w:r>
      <w:r>
        <w:rPr>
          <w:rFonts w:hint="eastAsia" w:hAnsi="宋体" w:cs="宋体"/>
          <w:color w:val="auto"/>
        </w:rPr>
        <w:t>监狱企业参加政府采购活动时，视同小型、微型企业。</w:t>
      </w:r>
    </w:p>
    <w:p w14:paraId="608A1D29">
      <w:pPr>
        <w:spacing w:line="360" w:lineRule="auto"/>
        <w:ind w:firstLine="480" w:firstLineChars="200"/>
        <w:rPr>
          <w:rFonts w:hAnsi="宋体" w:cs="宋体"/>
          <w:color w:val="auto"/>
          <w:szCs w:val="24"/>
        </w:rPr>
      </w:pPr>
      <w:r>
        <w:rPr>
          <w:rFonts w:hint="eastAsia" w:hAnsi="宋体" w:cs="宋体"/>
          <w:color w:val="auto"/>
          <w:szCs w:val="24"/>
        </w:rPr>
        <w:t>7.1.5符合条件的残疾人福利性单位在参加政府采购活动时，应当提供《残疾人福利性单位声明函》，并对声明的真实性负责。残疾人福利性单位</w:t>
      </w:r>
      <w:r>
        <w:rPr>
          <w:rFonts w:hint="eastAsia" w:hAnsi="宋体" w:cs="宋体"/>
          <w:color w:val="auto"/>
        </w:rPr>
        <w:t>参加政府采购活动时，视同小型、微型企业；</w:t>
      </w:r>
      <w:r>
        <w:rPr>
          <w:rFonts w:hint="eastAsia" w:hAnsi="宋体" w:cs="宋体"/>
          <w:color w:val="auto"/>
          <w:szCs w:val="24"/>
        </w:rPr>
        <w:t>残疾人福利性单位属于小型、微型企业的，不重复享受政策。</w:t>
      </w:r>
    </w:p>
    <w:p w14:paraId="1AF51770">
      <w:pPr>
        <w:spacing w:line="360" w:lineRule="auto"/>
        <w:ind w:firstLine="482" w:firstLineChars="200"/>
        <w:rPr>
          <w:rFonts w:hAnsi="宋体" w:cs="宋体"/>
          <w:b/>
          <w:color w:val="auto"/>
          <w:szCs w:val="24"/>
        </w:rPr>
      </w:pPr>
      <w:r>
        <w:rPr>
          <w:rFonts w:hint="eastAsia" w:hAnsi="宋体" w:cs="宋体"/>
          <w:b/>
          <w:color w:val="auto"/>
          <w:szCs w:val="24"/>
        </w:rPr>
        <w:t>7.2政策性扣减方式</w:t>
      </w:r>
    </w:p>
    <w:p w14:paraId="5C1FF900">
      <w:pPr>
        <w:spacing w:line="360" w:lineRule="auto"/>
        <w:ind w:firstLine="480" w:firstLineChars="200"/>
        <w:rPr>
          <w:rFonts w:hAnsi="宋体" w:cs="宋体"/>
          <w:color w:val="auto"/>
        </w:rPr>
      </w:pPr>
      <w:r>
        <w:rPr>
          <w:rFonts w:hint="eastAsia" w:hAnsi="宋体" w:cs="宋体"/>
          <w:color w:val="auto"/>
          <w:szCs w:val="24"/>
        </w:rPr>
        <w:t>7.2.1</w:t>
      </w:r>
      <w:r>
        <w:rPr>
          <w:rFonts w:hint="eastAsia" w:hAnsi="宋体" w:cs="宋体"/>
          <w:color w:val="auto"/>
        </w:rPr>
        <w:t>对于</w:t>
      </w:r>
      <w:r>
        <w:rPr>
          <w:rFonts w:hint="eastAsia" w:hAnsi="宋体" w:cs="宋体"/>
          <w:color w:val="auto"/>
          <w:spacing w:val="8"/>
        </w:rPr>
        <w:t>未预留份额专门</w:t>
      </w:r>
      <w:r>
        <w:rPr>
          <w:rFonts w:hint="eastAsia" w:hAnsi="宋体" w:cs="宋体"/>
          <w:color w:val="auto"/>
        </w:rPr>
        <w:t>面向中小企业采购的采购项目，以及预留份额项目的非预</w:t>
      </w:r>
      <w:r>
        <w:rPr>
          <w:rFonts w:hint="eastAsia" w:hAnsi="宋体" w:cs="宋体"/>
          <w:color w:val="auto"/>
          <w:spacing w:val="-2"/>
        </w:rPr>
        <w:t>留部分采购包中</w:t>
      </w:r>
      <w:r>
        <w:rPr>
          <w:rFonts w:hint="eastAsia" w:hAnsi="宋体" w:cs="宋体"/>
          <w:color w:val="auto"/>
        </w:rPr>
        <w:t>符合条件的小微企业</w:t>
      </w:r>
      <w:r>
        <w:rPr>
          <w:rFonts w:hint="eastAsia" w:hAnsi="宋体" w:cs="宋体"/>
          <w:color w:val="auto"/>
          <w:szCs w:val="24"/>
        </w:rPr>
        <w:t>报价给予10%的扣除。</w:t>
      </w:r>
    </w:p>
    <w:p w14:paraId="4798DE85">
      <w:pPr>
        <w:spacing w:line="360" w:lineRule="auto"/>
        <w:ind w:firstLine="480" w:firstLineChars="200"/>
        <w:rPr>
          <w:rFonts w:hAnsi="宋体" w:cs="宋体"/>
          <w:b/>
          <w:bCs/>
          <w:color w:val="auto"/>
          <w:szCs w:val="24"/>
        </w:rPr>
      </w:pPr>
      <w:r>
        <w:rPr>
          <w:rFonts w:hint="eastAsia" w:hAnsi="宋体" w:cs="宋体"/>
          <w:color w:val="auto"/>
          <w:szCs w:val="24"/>
        </w:rPr>
        <w:t>7.2.2</w:t>
      </w:r>
      <w:r>
        <w:rPr>
          <w:rFonts w:hint="eastAsia" w:hAnsi="宋体" w:cs="宋体"/>
          <w:b/>
          <w:bCs/>
          <w:color w:val="auto"/>
          <w:szCs w:val="24"/>
        </w:rPr>
        <w:t>享受扶持政策获得政府采购合同的，小微企业不得将合同分包给大中型企业，中型企业不得将合同分包给大型企业。</w:t>
      </w:r>
    </w:p>
    <w:p w14:paraId="3DE7E65C">
      <w:pPr>
        <w:spacing w:line="360" w:lineRule="auto"/>
        <w:ind w:firstLine="480" w:firstLineChars="200"/>
        <w:rPr>
          <w:rFonts w:hAnsi="宋体" w:cs="宋体"/>
          <w:color w:val="auto"/>
          <w:szCs w:val="24"/>
        </w:rPr>
      </w:pPr>
      <w:r>
        <w:rPr>
          <w:rFonts w:hint="eastAsia" w:hAnsi="宋体" w:cs="宋体"/>
          <w:color w:val="auto"/>
          <w:szCs w:val="24"/>
        </w:rPr>
        <w:t>7.2.3监狱企业、残疾人福利性单位视同小微企业，享受预留份额、评审中价格扣除等促进中小企业发展的政府采购政策。监狱企业、残疾人福利性单位属于小微企业的，不重复享受政策。</w:t>
      </w:r>
    </w:p>
    <w:p w14:paraId="799B0780">
      <w:pPr>
        <w:spacing w:line="360" w:lineRule="auto"/>
        <w:ind w:firstLine="480" w:firstLineChars="200"/>
        <w:rPr>
          <w:rFonts w:hAnsi="宋体" w:cs="宋体"/>
          <w:color w:val="auto"/>
          <w:szCs w:val="24"/>
        </w:rPr>
      </w:pPr>
      <w:r>
        <w:rPr>
          <w:rFonts w:hint="eastAsia" w:hAnsi="宋体" w:cs="宋体"/>
          <w:color w:val="auto"/>
          <w:szCs w:val="24"/>
        </w:rPr>
        <w:t>7.2.4供应商享受支持中小型企业发展政策优惠的，可以同时享受节能、环境标志产品优先采购政策。</w:t>
      </w:r>
    </w:p>
    <w:p w14:paraId="14400241">
      <w:pPr>
        <w:pStyle w:val="42"/>
        <w:shd w:val="clear" w:color="auto" w:fill="FFFFFF"/>
        <w:spacing w:before="0" w:beforeAutospacing="0" w:after="0" w:afterAutospacing="0" w:line="500" w:lineRule="exact"/>
        <w:outlineLvl w:val="1"/>
        <w:rPr>
          <w:rFonts w:cs="宋体"/>
          <w:b/>
          <w:color w:val="auto"/>
        </w:rPr>
      </w:pPr>
      <w:bookmarkStart w:id="164" w:name="_Toc3202"/>
      <w:bookmarkStart w:id="165" w:name="_Toc21804"/>
      <w:r>
        <w:rPr>
          <w:rFonts w:hint="eastAsia" w:cs="宋体"/>
          <w:b/>
          <w:color w:val="auto"/>
        </w:rPr>
        <w:t>八．特殊情况的处理</w:t>
      </w:r>
      <w:bookmarkEnd w:id="164"/>
      <w:bookmarkEnd w:id="165"/>
    </w:p>
    <w:p w14:paraId="3F41A629">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8.1单一产品采购项目中，提供相同品牌的产品的不同供应商参加同一合同项下投标的，按以下方法处理：</w:t>
      </w:r>
    </w:p>
    <w:p w14:paraId="1F75D9EF">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8.1.</w:t>
      </w:r>
      <w:r>
        <w:rPr>
          <w:rFonts w:hint="eastAsia" w:cs="宋体"/>
          <w:bCs/>
          <w:color w:val="auto"/>
          <w:kern w:val="2"/>
          <w:lang w:val="en-US" w:eastAsia="zh-CN"/>
        </w:rPr>
        <w:t>1</w:t>
      </w:r>
      <w:r>
        <w:rPr>
          <w:rFonts w:hint="eastAsia" w:cs="宋体"/>
          <w:bCs/>
          <w:color w:val="auto"/>
          <w:kern w:val="2"/>
        </w:rPr>
        <w:t>使用综合评分法的采购项目，提供相同品牌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14:paraId="336A7E81">
      <w:pPr>
        <w:widowControl/>
        <w:spacing w:line="500" w:lineRule="exact"/>
        <w:ind w:right="-226" w:rightChars="-94" w:firstLine="480" w:firstLineChars="200"/>
        <w:jc w:val="left"/>
        <w:rPr>
          <w:rFonts w:hAnsi="宋体" w:cs="宋体"/>
          <w:bCs/>
          <w:color w:val="auto"/>
          <w:kern w:val="2"/>
          <w:szCs w:val="24"/>
        </w:rPr>
      </w:pPr>
      <w:r>
        <w:rPr>
          <w:rFonts w:hint="eastAsia" w:hAnsi="宋体" w:cs="宋体"/>
          <w:bCs/>
          <w:color w:val="auto"/>
          <w:kern w:val="2"/>
          <w:szCs w:val="24"/>
        </w:rPr>
        <w:t>8.2非单一产品采购项目中，提供相同品牌的核心产品的不同供应商参加同一合同项下投标的，按以下方法处理：</w:t>
      </w:r>
    </w:p>
    <w:p w14:paraId="149A5B14">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8.2.</w:t>
      </w:r>
      <w:r>
        <w:rPr>
          <w:rFonts w:hint="eastAsia" w:cs="宋体"/>
          <w:bCs/>
          <w:color w:val="auto"/>
          <w:kern w:val="2"/>
          <w:lang w:val="en-US" w:eastAsia="zh-CN"/>
        </w:rPr>
        <w:t>1</w:t>
      </w:r>
      <w:r>
        <w:rPr>
          <w:rFonts w:hint="eastAsia" w:cs="宋体"/>
          <w:bCs/>
          <w:color w:val="auto"/>
          <w:kern w:val="2"/>
        </w:rPr>
        <w:t>使用综合评分法的采购项目，提供相同品牌核心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14:paraId="3C80295D">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8.2.</w:t>
      </w:r>
      <w:r>
        <w:rPr>
          <w:rFonts w:hint="eastAsia" w:cs="宋体"/>
          <w:bCs/>
          <w:color w:val="auto"/>
          <w:kern w:val="2"/>
          <w:lang w:val="en-US" w:eastAsia="zh-CN"/>
        </w:rPr>
        <w:t>2</w:t>
      </w:r>
      <w:r>
        <w:rPr>
          <w:rFonts w:hint="eastAsia" w:cs="宋体"/>
          <w:bCs/>
          <w:color w:val="auto"/>
          <w:kern w:val="2"/>
        </w:rPr>
        <w:t>核心产品为两个及以上时，当所有核心产品品牌均相同时，在评审时按同一供应商计算；部分核心产品品牌相同时按不同供应商计算。</w:t>
      </w:r>
    </w:p>
    <w:p w14:paraId="08B1F5B7">
      <w:pPr>
        <w:spacing w:line="480" w:lineRule="exact"/>
        <w:ind w:firstLine="480" w:firstLineChars="200"/>
        <w:rPr>
          <w:rFonts w:hAnsi="宋体" w:cs="宋体"/>
          <w:color w:val="auto"/>
          <w:szCs w:val="24"/>
        </w:rPr>
      </w:pPr>
      <w:r>
        <w:rPr>
          <w:rFonts w:hint="eastAsia" w:hAnsi="宋体" w:cs="宋体"/>
          <w:color w:val="auto"/>
          <w:szCs w:val="24"/>
        </w:rPr>
        <w:t>8.3投标文件报价出现前后不一致的，按照下列规定修正：</w:t>
      </w:r>
    </w:p>
    <w:p w14:paraId="3C04FFA5">
      <w:pPr>
        <w:spacing w:line="480" w:lineRule="exact"/>
        <w:ind w:firstLine="480" w:firstLineChars="200"/>
        <w:rPr>
          <w:rFonts w:hAnsi="宋体" w:cs="宋体"/>
          <w:color w:val="auto"/>
          <w:szCs w:val="24"/>
        </w:rPr>
      </w:pPr>
      <w:r>
        <w:rPr>
          <w:rFonts w:hint="eastAsia" w:hAnsi="宋体" w:cs="宋体"/>
          <w:color w:val="auto"/>
          <w:szCs w:val="24"/>
        </w:rPr>
        <w:t>8.3.1投标文件的大写金额和小写金额不一致的，以大写金额为准；</w:t>
      </w:r>
    </w:p>
    <w:p w14:paraId="499FF656">
      <w:pPr>
        <w:spacing w:line="480" w:lineRule="exact"/>
        <w:ind w:firstLine="480" w:firstLineChars="200"/>
        <w:rPr>
          <w:rFonts w:hint="eastAsia" w:hAnsi="宋体" w:eastAsia="宋体" w:cs="宋体"/>
          <w:color w:val="auto"/>
          <w:szCs w:val="24"/>
          <w:lang w:eastAsia="zh-CN"/>
        </w:rPr>
      </w:pPr>
      <w:r>
        <w:rPr>
          <w:rFonts w:hint="eastAsia" w:hAnsi="宋体" w:cs="宋体"/>
          <w:color w:val="auto"/>
          <w:szCs w:val="24"/>
        </w:rPr>
        <w:t>8.3.</w:t>
      </w:r>
      <w:r>
        <w:rPr>
          <w:rFonts w:hint="eastAsia" w:hAnsi="宋体" w:cs="宋体"/>
          <w:color w:val="auto"/>
          <w:szCs w:val="24"/>
          <w:lang w:val="en-US" w:eastAsia="zh-CN"/>
        </w:rPr>
        <w:t>2</w:t>
      </w:r>
      <w:r>
        <w:rPr>
          <w:rFonts w:hint="eastAsia" w:hAnsi="宋体" w:cs="宋体"/>
          <w:color w:val="auto"/>
          <w:szCs w:val="24"/>
        </w:rPr>
        <w:t>总价金额与按单价汇总金额不一致的，以单价金额计算结果为准</w:t>
      </w:r>
      <w:r>
        <w:rPr>
          <w:rFonts w:hint="eastAsia" w:hAnsi="宋体" w:cs="宋体"/>
          <w:color w:val="auto"/>
          <w:szCs w:val="24"/>
          <w:lang w:eastAsia="zh-CN"/>
        </w:rPr>
        <w:t>；</w:t>
      </w:r>
    </w:p>
    <w:p w14:paraId="0657F161">
      <w:pPr>
        <w:widowControl/>
        <w:autoSpaceDE w:val="0"/>
        <w:autoSpaceDN w:val="0"/>
        <w:spacing w:line="480" w:lineRule="exact"/>
        <w:ind w:right="51" w:firstLine="480" w:firstLineChars="200"/>
        <w:textAlignment w:val="bottom"/>
        <w:rPr>
          <w:rFonts w:hint="eastAsia" w:hAnsi="宋体" w:cs="宋体"/>
          <w:b/>
          <w:color w:val="auto"/>
        </w:rPr>
      </w:pPr>
      <w:r>
        <w:rPr>
          <w:rFonts w:hint="eastAsia" w:hAnsi="宋体"/>
          <w:b w:val="0"/>
          <w:bCs/>
          <w:color w:val="auto"/>
          <w:szCs w:val="24"/>
          <w:highlight w:val="none"/>
          <w:lang w:val="en-US" w:eastAsia="zh-CN"/>
        </w:rPr>
        <w:t>8.3.3 报价一览表报价</w:t>
      </w:r>
      <w:r>
        <w:rPr>
          <w:rFonts w:hint="eastAsia" w:hAnsi="宋体"/>
          <w:color w:val="auto"/>
          <w:szCs w:val="24"/>
          <w:highlight w:val="none"/>
          <w:lang w:val="en-US" w:eastAsia="zh-CN"/>
        </w:rPr>
        <w:t>与</w:t>
      </w:r>
      <w:r>
        <w:rPr>
          <w:rFonts w:hint="eastAsia" w:cs="宋体" w:asciiTheme="minorEastAsia" w:hAnsiTheme="minorEastAsia" w:eastAsiaTheme="minorEastAsia"/>
          <w:color w:val="auto"/>
          <w:szCs w:val="24"/>
          <w:highlight w:val="none"/>
        </w:rPr>
        <w:t>电子化系统</w:t>
      </w:r>
      <w:r>
        <w:rPr>
          <w:rFonts w:hint="eastAsia" w:cs="宋体" w:asciiTheme="minorEastAsia" w:hAnsiTheme="minorEastAsia" w:eastAsiaTheme="minorEastAsia"/>
          <w:color w:val="auto"/>
          <w:szCs w:val="24"/>
          <w:highlight w:val="none"/>
          <w:lang w:eastAsia="zh-CN"/>
        </w:rPr>
        <w:t>中报价不一致的，以电</w:t>
      </w:r>
      <w:r>
        <w:rPr>
          <w:rFonts w:hint="eastAsia" w:cs="宋体" w:asciiTheme="minorEastAsia" w:hAnsiTheme="minorEastAsia" w:eastAsiaTheme="minorEastAsia"/>
          <w:color w:val="auto"/>
          <w:szCs w:val="24"/>
          <w:highlight w:val="none"/>
        </w:rPr>
        <w:t>子化系统</w:t>
      </w:r>
      <w:r>
        <w:rPr>
          <w:rFonts w:hint="eastAsia" w:cs="宋体" w:asciiTheme="minorEastAsia" w:hAnsiTheme="minorEastAsia" w:eastAsiaTheme="minorEastAsia"/>
          <w:color w:val="auto"/>
          <w:szCs w:val="24"/>
          <w:highlight w:val="none"/>
          <w:lang w:eastAsia="zh-CN"/>
        </w:rPr>
        <w:t>中报价为准。</w:t>
      </w:r>
    </w:p>
    <w:p w14:paraId="5DD36BBC">
      <w:pPr>
        <w:widowControl/>
        <w:autoSpaceDE w:val="0"/>
        <w:autoSpaceDN w:val="0"/>
        <w:spacing w:line="480" w:lineRule="exact"/>
        <w:ind w:right="51" w:firstLine="482" w:firstLineChars="200"/>
        <w:textAlignment w:val="bottom"/>
        <w:rPr>
          <w:rFonts w:hAnsi="宋体" w:cs="宋体"/>
          <w:color w:val="auto"/>
          <w:szCs w:val="24"/>
        </w:rPr>
      </w:pPr>
      <w:r>
        <w:rPr>
          <w:rFonts w:hint="eastAsia" w:hAnsi="宋体" w:cs="宋体"/>
          <w:b/>
          <w:color w:val="auto"/>
        </w:rPr>
        <w:t>按上述修正的顺序和方法调整的投标报价应对供应商具有约束力。如果供应商不接受修正后的价格，其投标将按无效投标处理。</w:t>
      </w:r>
    </w:p>
    <w:p w14:paraId="2B5233AA">
      <w:pPr>
        <w:spacing w:line="500" w:lineRule="exact"/>
        <w:outlineLvl w:val="1"/>
        <w:rPr>
          <w:rFonts w:hAnsi="宋体" w:cs="宋体"/>
          <w:b/>
          <w:color w:val="auto"/>
          <w:spacing w:val="4"/>
          <w:szCs w:val="24"/>
        </w:rPr>
      </w:pPr>
      <w:bookmarkStart w:id="166" w:name="_Toc3952"/>
      <w:bookmarkStart w:id="167" w:name="_Toc28281"/>
      <w:r>
        <w:rPr>
          <w:rFonts w:hint="eastAsia" w:hAnsi="宋体" w:cs="宋体"/>
          <w:b/>
          <w:color w:val="auto"/>
          <w:spacing w:val="4"/>
          <w:szCs w:val="24"/>
        </w:rPr>
        <w:t>九．定标</w:t>
      </w:r>
      <w:bookmarkEnd w:id="166"/>
      <w:bookmarkEnd w:id="167"/>
    </w:p>
    <w:p w14:paraId="2654520A">
      <w:pPr>
        <w:spacing w:line="500" w:lineRule="exact"/>
        <w:ind w:firstLine="496" w:firstLineChars="200"/>
        <w:rPr>
          <w:rFonts w:hAnsi="宋体" w:cs="宋体"/>
          <w:color w:val="auto"/>
          <w:spacing w:val="4"/>
          <w:szCs w:val="24"/>
        </w:rPr>
      </w:pPr>
      <w:r>
        <w:rPr>
          <w:rFonts w:hint="eastAsia" w:hAnsi="宋体" w:cs="宋体"/>
          <w:color w:val="auto"/>
          <w:spacing w:val="4"/>
          <w:szCs w:val="24"/>
        </w:rPr>
        <w:t>9.1评标结果由全体</w:t>
      </w:r>
      <w:r>
        <w:rPr>
          <w:rFonts w:hint="eastAsia" w:hAnsi="宋体" w:cs="宋体"/>
          <w:color w:val="auto"/>
          <w:szCs w:val="24"/>
        </w:rPr>
        <w:t>评标委员会成员</w:t>
      </w:r>
      <w:r>
        <w:rPr>
          <w:rFonts w:hint="eastAsia" w:hAnsi="宋体" w:cs="宋体"/>
          <w:color w:val="auto"/>
          <w:spacing w:val="4"/>
          <w:szCs w:val="24"/>
        </w:rPr>
        <w:t>签字确认。</w:t>
      </w:r>
    </w:p>
    <w:p w14:paraId="476C0D5B">
      <w:pPr>
        <w:spacing w:line="500" w:lineRule="exact"/>
        <w:ind w:firstLine="496" w:firstLineChars="200"/>
        <w:rPr>
          <w:rFonts w:hAnsi="宋体" w:cs="宋体"/>
          <w:color w:val="auto"/>
          <w:spacing w:val="4"/>
          <w:szCs w:val="24"/>
        </w:rPr>
      </w:pPr>
      <w:r>
        <w:rPr>
          <w:rFonts w:hint="eastAsia" w:hAnsi="宋体" w:cs="宋体"/>
          <w:color w:val="auto"/>
          <w:spacing w:val="4"/>
          <w:szCs w:val="24"/>
        </w:rPr>
        <w:t>9.2采购人根据评标报告中推荐的中标候选人排列顺序确定中标人，以复函通知采购代理机构。</w:t>
      </w:r>
    </w:p>
    <w:p w14:paraId="377CDA14">
      <w:pPr>
        <w:spacing w:line="600" w:lineRule="exact"/>
        <w:rPr>
          <w:rFonts w:hAnsi="宋体" w:cs="宋体"/>
          <w:color w:val="auto"/>
          <w:szCs w:val="24"/>
        </w:rPr>
      </w:pPr>
    </w:p>
    <w:p w14:paraId="5C8D689B">
      <w:pPr>
        <w:pStyle w:val="19"/>
        <w:rPr>
          <w:rFonts w:ascii="宋体" w:hAnsi="宋体" w:cs="宋体"/>
          <w:color w:val="auto"/>
          <w:szCs w:val="24"/>
        </w:rPr>
      </w:pPr>
    </w:p>
    <w:p w14:paraId="1790F243">
      <w:pPr>
        <w:pStyle w:val="19"/>
        <w:rPr>
          <w:rFonts w:ascii="宋体" w:hAnsi="宋体" w:cs="宋体"/>
          <w:color w:val="auto"/>
          <w:szCs w:val="24"/>
        </w:rPr>
      </w:pPr>
      <w:r>
        <w:rPr>
          <w:rFonts w:hint="eastAsia" w:ascii="宋体" w:hAnsi="宋体" w:cs="宋体"/>
          <w:color w:val="auto"/>
          <w:szCs w:val="24"/>
        </w:rPr>
        <w:br w:type="page"/>
      </w:r>
      <w:r>
        <w:rPr>
          <w:rFonts w:hint="eastAsia" w:ascii="宋体" w:hAnsi="宋体" w:cs="宋体"/>
          <w:b/>
          <w:bCs/>
          <w:color w:val="auto"/>
          <w:sz w:val="24"/>
          <w:szCs w:val="24"/>
        </w:rPr>
        <w:t>附件1：</w:t>
      </w:r>
    </w:p>
    <w:p w14:paraId="5BFDA014">
      <w:pPr>
        <w:spacing w:line="560" w:lineRule="exact"/>
        <w:jc w:val="center"/>
        <w:outlineLvl w:val="2"/>
        <w:rPr>
          <w:rFonts w:hint="eastAsia" w:hAnsi="宋体" w:cs="宋体"/>
          <w:b/>
          <w:bCs/>
          <w:color w:val="auto"/>
          <w:szCs w:val="24"/>
        </w:rPr>
      </w:pPr>
      <w:bookmarkStart w:id="168" w:name="_Toc973"/>
      <w:bookmarkStart w:id="169" w:name="_Toc25300"/>
      <w:r>
        <w:rPr>
          <w:rFonts w:hint="eastAsia" w:hAnsi="宋体" w:cs="宋体"/>
          <w:b/>
          <w:bCs/>
          <w:color w:val="auto"/>
          <w:szCs w:val="24"/>
        </w:rPr>
        <w:t>初步审查要素表</w:t>
      </w:r>
      <w:bookmarkEnd w:id="168"/>
      <w:bookmarkEnd w:id="169"/>
    </w:p>
    <w:p w14:paraId="133617BD">
      <w:pPr>
        <w:pStyle w:val="19"/>
        <w:rPr>
          <w:rFonts w:hint="eastAsia"/>
          <w:lang w:eastAsia="zh-CN"/>
        </w:rPr>
      </w:pPr>
      <w:r>
        <w:rPr>
          <w:rFonts w:hint="eastAsia" w:ascii="宋体" w:hAnsi="宋体" w:cs="宋体"/>
          <w:b/>
          <w:bCs/>
          <w:sz w:val="24"/>
          <w:szCs w:val="24"/>
          <w:lang w:val="en-US" w:eastAsia="zh-CN"/>
        </w:rPr>
        <w:t>适用于合同包1、合同包2</w:t>
      </w:r>
    </w:p>
    <w:tbl>
      <w:tblPr>
        <w:tblStyle w:val="46"/>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39"/>
        <w:gridCol w:w="907"/>
        <w:gridCol w:w="1475"/>
        <w:gridCol w:w="5934"/>
      </w:tblGrid>
      <w:tr w14:paraId="3279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trPr>
        <w:tc>
          <w:tcPr>
            <w:tcW w:w="1203" w:type="dxa"/>
            <w:gridSpan w:val="2"/>
            <w:vAlign w:val="center"/>
          </w:tcPr>
          <w:p w14:paraId="27376192">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条款号</w:t>
            </w:r>
          </w:p>
        </w:tc>
        <w:tc>
          <w:tcPr>
            <w:tcW w:w="2382" w:type="dxa"/>
            <w:gridSpan w:val="2"/>
            <w:vAlign w:val="center"/>
          </w:tcPr>
          <w:p w14:paraId="70970C80">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评审因素</w:t>
            </w:r>
          </w:p>
        </w:tc>
        <w:tc>
          <w:tcPr>
            <w:tcW w:w="5934" w:type="dxa"/>
            <w:vAlign w:val="center"/>
          </w:tcPr>
          <w:p w14:paraId="4E28D2F9">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评审标准</w:t>
            </w:r>
          </w:p>
        </w:tc>
      </w:tr>
      <w:tr w14:paraId="7B08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764" w:type="dxa"/>
            <w:vMerge w:val="restart"/>
            <w:vAlign w:val="center"/>
          </w:tcPr>
          <w:p w14:paraId="56B9B5E2">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2.1.1</w:t>
            </w:r>
          </w:p>
        </w:tc>
        <w:tc>
          <w:tcPr>
            <w:tcW w:w="439" w:type="dxa"/>
            <w:vMerge w:val="restart"/>
            <w:vAlign w:val="center"/>
          </w:tcPr>
          <w:p w14:paraId="2B390E2A">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资格评审</w:t>
            </w:r>
          </w:p>
          <w:p w14:paraId="5EDB48B8">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标准</w:t>
            </w:r>
          </w:p>
        </w:tc>
        <w:tc>
          <w:tcPr>
            <w:tcW w:w="2382" w:type="dxa"/>
            <w:gridSpan w:val="2"/>
            <w:vAlign w:val="center"/>
          </w:tcPr>
          <w:p w14:paraId="7FE8C330">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基本资格条件</w:t>
            </w:r>
          </w:p>
        </w:tc>
        <w:tc>
          <w:tcPr>
            <w:tcW w:w="5934" w:type="dxa"/>
            <w:vAlign w:val="center"/>
          </w:tcPr>
          <w:p w14:paraId="131CC58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（1）具有独立承担民事责任的法人、其他组织或自然人，并出具合法有效的营业执照或事业单位法人证书等国家规定的相关证明，自然人参与的提供其身份证明；</w:t>
            </w:r>
          </w:p>
          <w:p w14:paraId="1CC628B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hAnsi="宋体" w:cs="宋体"/>
                <w:color w:val="auto"/>
                <w:sz w:val="24"/>
                <w:szCs w:val="24"/>
                <w:lang w:eastAsia="zh-CN"/>
              </w:rPr>
              <w:t>提供2024年度</w:t>
            </w:r>
            <w:r>
              <w:rPr>
                <w:rFonts w:hint="eastAsia" w:ascii="宋体" w:hAnsi="宋体" w:eastAsia="宋体" w:cs="宋体"/>
                <w:color w:val="auto"/>
                <w:sz w:val="24"/>
                <w:szCs w:val="24"/>
              </w:rPr>
              <w:t>经审计的完整财务报告（成立时间至提交投标文件截止时间不足一年的可提供成立后任意时段的资产负债表），或其基本存款账户开户银行出具的资信证明；</w:t>
            </w:r>
          </w:p>
          <w:p w14:paraId="4ED8CF0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（3）提供具有履行合同所必需的设备和专业技术能力的承诺； </w:t>
            </w:r>
          </w:p>
          <w:p w14:paraId="4AC98E04">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（4）</w:t>
            </w:r>
            <w:r>
              <w:rPr>
                <w:rFonts w:hint="eastAsia" w:hAnsi="宋体" w:cs="宋体"/>
                <w:color w:val="auto"/>
                <w:sz w:val="24"/>
                <w:szCs w:val="24"/>
                <w:lang w:eastAsia="zh-CN"/>
              </w:rPr>
              <w:t>提供投标截止日前一年内任意一个月的纳税凭据或完税证明（增值税、印花税、城市维护建设费、企业所得税等一种或多种税种），依法免税的应提供相关证明材料；</w:t>
            </w:r>
          </w:p>
          <w:p w14:paraId="1C77D7B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hAnsi="宋体" w:cs="宋体"/>
                <w:color w:val="auto"/>
                <w:sz w:val="24"/>
                <w:szCs w:val="24"/>
                <w:lang w:eastAsia="zh-CN"/>
              </w:rPr>
              <w:t>提供投标截止日前一年内任意一个月的社会保障资金缴存单据或社保机构开具的社会保险参保缴费情况证明，依法不需要缴纳社会保障资金的应提供相关证明材料</w:t>
            </w:r>
            <w:r>
              <w:rPr>
                <w:rFonts w:hint="eastAsia" w:ascii="宋体" w:hAnsi="宋体" w:eastAsia="宋体" w:cs="宋体"/>
                <w:color w:val="auto"/>
                <w:sz w:val="24"/>
                <w:szCs w:val="24"/>
              </w:rPr>
              <w:t>；</w:t>
            </w:r>
          </w:p>
          <w:p w14:paraId="6D7C5C1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（6）参加政府采购活动前三年内，在经营活动中没有重大违法记录的书面声明。</w:t>
            </w:r>
          </w:p>
        </w:tc>
      </w:tr>
      <w:tr w14:paraId="0C81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64" w:type="dxa"/>
            <w:vMerge w:val="continue"/>
            <w:vAlign w:val="center"/>
          </w:tcPr>
          <w:p w14:paraId="5002312B">
            <w:pPr>
              <w:tabs>
                <w:tab w:val="left" w:pos="0"/>
              </w:tabs>
              <w:adjustRightInd w:val="0"/>
              <w:snapToGrid w:val="0"/>
              <w:jc w:val="center"/>
              <w:rPr>
                <w:rFonts w:hint="eastAsia" w:ascii="宋体" w:hAnsi="宋体" w:eastAsia="宋体" w:cs="宋体"/>
                <w:bCs/>
                <w:color w:val="auto"/>
                <w:sz w:val="24"/>
                <w:szCs w:val="24"/>
              </w:rPr>
            </w:pPr>
          </w:p>
        </w:tc>
        <w:tc>
          <w:tcPr>
            <w:tcW w:w="439" w:type="dxa"/>
            <w:vMerge w:val="continue"/>
            <w:vAlign w:val="center"/>
          </w:tcPr>
          <w:p w14:paraId="387ED51C">
            <w:pPr>
              <w:tabs>
                <w:tab w:val="left" w:pos="0"/>
              </w:tabs>
              <w:adjustRightInd w:val="0"/>
              <w:snapToGrid w:val="0"/>
              <w:jc w:val="center"/>
              <w:rPr>
                <w:rFonts w:hint="eastAsia" w:ascii="宋体" w:hAnsi="宋体" w:eastAsia="宋体" w:cs="宋体"/>
                <w:bCs/>
                <w:color w:val="auto"/>
                <w:sz w:val="24"/>
                <w:szCs w:val="24"/>
              </w:rPr>
            </w:pPr>
          </w:p>
        </w:tc>
        <w:tc>
          <w:tcPr>
            <w:tcW w:w="2382" w:type="dxa"/>
            <w:gridSpan w:val="2"/>
            <w:vMerge w:val="restart"/>
            <w:vAlign w:val="center"/>
          </w:tcPr>
          <w:p w14:paraId="053B2426">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特定资格条件</w:t>
            </w:r>
          </w:p>
          <w:p w14:paraId="394E2E81">
            <w:pPr>
              <w:tabs>
                <w:tab w:val="left" w:pos="0"/>
              </w:tabs>
              <w:adjustRightInd w:val="0"/>
              <w:snapToGrid w:val="0"/>
              <w:jc w:val="center"/>
              <w:rPr>
                <w:rFonts w:hint="eastAsia" w:ascii="宋体" w:hAnsi="宋体" w:eastAsia="宋体" w:cs="宋体"/>
                <w:bCs/>
                <w:color w:val="auto"/>
                <w:sz w:val="24"/>
                <w:szCs w:val="24"/>
              </w:rPr>
            </w:pPr>
          </w:p>
        </w:tc>
        <w:tc>
          <w:tcPr>
            <w:tcW w:w="5934" w:type="dxa"/>
            <w:vAlign w:val="center"/>
          </w:tcPr>
          <w:p w14:paraId="3FEF3F86">
            <w:pPr>
              <w:rPr>
                <w:rFonts w:hint="eastAsia" w:ascii="宋体" w:hAnsi="宋体" w:eastAsia="宋体" w:cs="宋体"/>
                <w:bCs/>
                <w:color w:val="auto"/>
                <w:sz w:val="24"/>
                <w:szCs w:val="24"/>
              </w:rPr>
            </w:pPr>
            <w:r>
              <w:rPr>
                <w:rFonts w:hint="eastAsia" w:ascii="宋体" w:hAnsi="宋体" w:eastAsia="宋体" w:cs="宋体"/>
                <w:color w:val="auto"/>
                <w:sz w:val="24"/>
                <w:szCs w:val="24"/>
              </w:rPr>
              <w:t>1.法定代表人授权书（附法定代表人、被授权人身份证复印件）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法定代表人直接参加投标，须提供法定代表人身份证明及身份证</w:t>
            </w:r>
            <w:r>
              <w:rPr>
                <w:rFonts w:hint="eastAsia" w:ascii="宋体" w:hAnsi="宋体" w:eastAsia="宋体" w:cs="宋体"/>
                <w:color w:val="auto"/>
                <w:sz w:val="24"/>
                <w:szCs w:val="24"/>
                <w:lang w:eastAsia="zh-CN"/>
              </w:rPr>
              <w:t>复印件</w:t>
            </w:r>
            <w:r>
              <w:rPr>
                <w:rFonts w:hint="eastAsia" w:ascii="宋体" w:hAnsi="宋体" w:eastAsia="宋体" w:cs="宋体"/>
                <w:color w:val="auto"/>
                <w:sz w:val="24"/>
                <w:szCs w:val="24"/>
              </w:rPr>
              <w:t>；</w:t>
            </w:r>
          </w:p>
        </w:tc>
      </w:tr>
      <w:tr w14:paraId="65B5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64" w:type="dxa"/>
            <w:vMerge w:val="continue"/>
            <w:vAlign w:val="center"/>
          </w:tcPr>
          <w:p w14:paraId="67CD184A">
            <w:pPr>
              <w:tabs>
                <w:tab w:val="left" w:pos="0"/>
              </w:tabs>
              <w:adjustRightInd w:val="0"/>
              <w:snapToGrid w:val="0"/>
              <w:jc w:val="center"/>
              <w:rPr>
                <w:rFonts w:hint="eastAsia" w:ascii="宋体" w:hAnsi="宋体" w:eastAsia="宋体" w:cs="宋体"/>
                <w:bCs/>
                <w:color w:val="auto"/>
                <w:sz w:val="24"/>
                <w:szCs w:val="24"/>
              </w:rPr>
            </w:pPr>
          </w:p>
        </w:tc>
        <w:tc>
          <w:tcPr>
            <w:tcW w:w="439" w:type="dxa"/>
            <w:vMerge w:val="continue"/>
            <w:vAlign w:val="center"/>
          </w:tcPr>
          <w:p w14:paraId="03AF56FE">
            <w:pPr>
              <w:tabs>
                <w:tab w:val="left" w:pos="0"/>
              </w:tabs>
              <w:adjustRightInd w:val="0"/>
              <w:snapToGrid w:val="0"/>
              <w:jc w:val="center"/>
              <w:rPr>
                <w:rFonts w:hint="eastAsia" w:ascii="宋体" w:hAnsi="宋体" w:eastAsia="宋体" w:cs="宋体"/>
                <w:bCs/>
                <w:color w:val="auto"/>
                <w:sz w:val="24"/>
                <w:szCs w:val="24"/>
              </w:rPr>
            </w:pPr>
          </w:p>
        </w:tc>
        <w:tc>
          <w:tcPr>
            <w:tcW w:w="2382" w:type="dxa"/>
            <w:gridSpan w:val="2"/>
            <w:vMerge w:val="continue"/>
            <w:vAlign w:val="center"/>
          </w:tcPr>
          <w:p w14:paraId="7B6A8D3D">
            <w:pPr>
              <w:tabs>
                <w:tab w:val="left" w:pos="0"/>
              </w:tabs>
              <w:adjustRightInd w:val="0"/>
              <w:snapToGrid w:val="0"/>
              <w:jc w:val="center"/>
              <w:rPr>
                <w:rFonts w:hint="eastAsia" w:ascii="宋体" w:hAnsi="宋体" w:eastAsia="宋体" w:cs="宋体"/>
                <w:bCs/>
                <w:color w:val="auto"/>
                <w:sz w:val="24"/>
                <w:szCs w:val="24"/>
              </w:rPr>
            </w:pPr>
          </w:p>
        </w:tc>
        <w:tc>
          <w:tcPr>
            <w:tcW w:w="5934" w:type="dxa"/>
            <w:vAlign w:val="center"/>
          </w:tcPr>
          <w:p w14:paraId="32AEE759">
            <w:pPr>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hAnsi="宋体" w:cs="宋体"/>
                <w:color w:val="auto"/>
                <w:sz w:val="24"/>
                <w:szCs w:val="24"/>
                <w:lang w:eastAsia="zh-CN"/>
              </w:rPr>
              <w:t>投标人不得为“信用中国”网站（www.creditchina.gov.cn）中列入“失信被执行人（中国执行信息公开网http：//zxgk.court.gov.cn/shixin/）”和“重大税收违法失信主体”的投标人，不得为中国政府采购网（www.ccgp.gov.cn）政府采购“严重违法失信行为记录名单”中被财政部门禁止参加政府采购活动的投标人</w:t>
            </w:r>
            <w:r>
              <w:rPr>
                <w:rFonts w:hint="eastAsia" w:ascii="宋体" w:hAnsi="宋体" w:eastAsia="宋体" w:cs="宋体"/>
                <w:color w:val="auto"/>
                <w:sz w:val="24"/>
                <w:szCs w:val="24"/>
              </w:rPr>
              <w:t>；（采购代理机构在开标现场查询相关信用记录，对列入失信被执行人、重大税收违法案件当事人名单、政府采购严重违法失信行为记录名单及其他不符合《中华人民共和国政府采购法》第二十二条规定条件的采购代理机构将拒绝其参与政府采购活动，查询结果以电子或纸质方式留存）；</w:t>
            </w:r>
          </w:p>
        </w:tc>
      </w:tr>
      <w:tr w14:paraId="10AA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64" w:type="dxa"/>
            <w:vMerge w:val="continue"/>
            <w:vAlign w:val="center"/>
          </w:tcPr>
          <w:p w14:paraId="76029EFF">
            <w:pPr>
              <w:tabs>
                <w:tab w:val="left" w:pos="0"/>
              </w:tabs>
              <w:adjustRightInd w:val="0"/>
              <w:snapToGrid w:val="0"/>
              <w:jc w:val="center"/>
              <w:rPr>
                <w:rFonts w:hint="eastAsia" w:ascii="宋体" w:hAnsi="宋体" w:eastAsia="宋体" w:cs="宋体"/>
                <w:bCs/>
                <w:color w:val="auto"/>
                <w:sz w:val="24"/>
                <w:szCs w:val="24"/>
              </w:rPr>
            </w:pPr>
          </w:p>
        </w:tc>
        <w:tc>
          <w:tcPr>
            <w:tcW w:w="439" w:type="dxa"/>
            <w:vMerge w:val="continue"/>
            <w:vAlign w:val="center"/>
          </w:tcPr>
          <w:p w14:paraId="27A5789E">
            <w:pPr>
              <w:tabs>
                <w:tab w:val="left" w:pos="0"/>
              </w:tabs>
              <w:adjustRightInd w:val="0"/>
              <w:snapToGrid w:val="0"/>
              <w:jc w:val="center"/>
              <w:rPr>
                <w:rFonts w:hint="eastAsia" w:ascii="宋体" w:hAnsi="宋体" w:eastAsia="宋体" w:cs="宋体"/>
                <w:bCs/>
                <w:color w:val="auto"/>
                <w:sz w:val="24"/>
                <w:szCs w:val="24"/>
              </w:rPr>
            </w:pPr>
          </w:p>
        </w:tc>
        <w:tc>
          <w:tcPr>
            <w:tcW w:w="2382" w:type="dxa"/>
            <w:gridSpan w:val="2"/>
            <w:vMerge w:val="continue"/>
            <w:vAlign w:val="center"/>
          </w:tcPr>
          <w:p w14:paraId="37D4B175">
            <w:pPr>
              <w:tabs>
                <w:tab w:val="left" w:pos="0"/>
              </w:tabs>
              <w:adjustRightInd w:val="0"/>
              <w:snapToGrid w:val="0"/>
              <w:jc w:val="center"/>
              <w:rPr>
                <w:rFonts w:hint="eastAsia" w:ascii="宋体" w:hAnsi="宋体" w:eastAsia="宋体" w:cs="宋体"/>
                <w:bCs/>
                <w:color w:val="auto"/>
                <w:sz w:val="24"/>
                <w:szCs w:val="24"/>
              </w:rPr>
            </w:pPr>
          </w:p>
        </w:tc>
        <w:tc>
          <w:tcPr>
            <w:tcW w:w="5934" w:type="dxa"/>
            <w:vAlign w:val="center"/>
          </w:tcPr>
          <w:p w14:paraId="5BBB0DF1">
            <w:pPr>
              <w:rPr>
                <w:rFonts w:hint="eastAsia" w:ascii="宋体" w:hAnsi="宋体" w:eastAsia="宋体" w:cs="宋体"/>
                <w:color w:val="auto"/>
                <w:sz w:val="24"/>
                <w:szCs w:val="24"/>
              </w:rPr>
            </w:pP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投标人应具备行业行政主管部门颁发的《人力资源服务许可证》和《劳务派遣经营许可证》</w:t>
            </w:r>
          </w:p>
        </w:tc>
      </w:tr>
      <w:tr w14:paraId="329A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64" w:type="dxa"/>
            <w:vMerge w:val="continue"/>
            <w:vAlign w:val="center"/>
          </w:tcPr>
          <w:p w14:paraId="6BE25AA9">
            <w:pPr>
              <w:tabs>
                <w:tab w:val="left" w:pos="0"/>
              </w:tabs>
              <w:adjustRightInd w:val="0"/>
              <w:snapToGrid w:val="0"/>
              <w:jc w:val="center"/>
              <w:rPr>
                <w:rFonts w:hint="eastAsia" w:ascii="宋体" w:hAnsi="宋体" w:eastAsia="宋体" w:cs="宋体"/>
                <w:bCs/>
                <w:color w:val="auto"/>
                <w:sz w:val="24"/>
                <w:szCs w:val="24"/>
              </w:rPr>
            </w:pPr>
          </w:p>
        </w:tc>
        <w:tc>
          <w:tcPr>
            <w:tcW w:w="439" w:type="dxa"/>
            <w:vMerge w:val="continue"/>
            <w:vAlign w:val="center"/>
          </w:tcPr>
          <w:p w14:paraId="55B10C34">
            <w:pPr>
              <w:tabs>
                <w:tab w:val="left" w:pos="0"/>
              </w:tabs>
              <w:adjustRightInd w:val="0"/>
              <w:snapToGrid w:val="0"/>
              <w:jc w:val="center"/>
              <w:rPr>
                <w:rFonts w:hint="eastAsia" w:ascii="宋体" w:hAnsi="宋体" w:eastAsia="宋体" w:cs="宋体"/>
                <w:bCs/>
                <w:color w:val="auto"/>
                <w:sz w:val="24"/>
                <w:szCs w:val="24"/>
              </w:rPr>
            </w:pPr>
          </w:p>
        </w:tc>
        <w:tc>
          <w:tcPr>
            <w:tcW w:w="2382" w:type="dxa"/>
            <w:gridSpan w:val="2"/>
            <w:vMerge w:val="continue"/>
            <w:vAlign w:val="center"/>
          </w:tcPr>
          <w:p w14:paraId="37F13A55">
            <w:pPr>
              <w:tabs>
                <w:tab w:val="left" w:pos="0"/>
              </w:tabs>
              <w:adjustRightInd w:val="0"/>
              <w:snapToGrid w:val="0"/>
              <w:jc w:val="center"/>
              <w:rPr>
                <w:rFonts w:hint="eastAsia" w:ascii="宋体" w:hAnsi="宋体" w:eastAsia="宋体" w:cs="宋体"/>
                <w:bCs/>
                <w:color w:val="auto"/>
                <w:sz w:val="24"/>
                <w:szCs w:val="24"/>
              </w:rPr>
            </w:pPr>
          </w:p>
        </w:tc>
        <w:tc>
          <w:tcPr>
            <w:tcW w:w="5934" w:type="dxa"/>
            <w:vAlign w:val="center"/>
          </w:tcPr>
          <w:p w14:paraId="7324A5C6">
            <w:pPr>
              <w:tabs>
                <w:tab w:val="left" w:pos="0"/>
              </w:tabs>
              <w:adjustRightInd w:val="0"/>
              <w:snapToGrid w:val="0"/>
              <w:jc w:val="left"/>
              <w:rPr>
                <w:rFonts w:hint="eastAsia" w:ascii="宋体" w:hAnsi="宋体" w:eastAsia="宋体" w:cs="宋体"/>
                <w:color w:val="auto"/>
                <w:sz w:val="24"/>
                <w:szCs w:val="24"/>
              </w:rPr>
            </w:pPr>
            <w:r>
              <w:rPr>
                <w:rFonts w:hint="eastAsia" w:hAnsi="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bCs/>
                <w:color w:val="auto"/>
                <w:sz w:val="24"/>
                <w:szCs w:val="24"/>
              </w:rPr>
              <w:t>本项目不接受联合体投标。</w:t>
            </w:r>
          </w:p>
        </w:tc>
      </w:tr>
      <w:tr w14:paraId="5195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19" w:type="dxa"/>
            <w:gridSpan w:val="5"/>
            <w:vAlign w:val="center"/>
          </w:tcPr>
          <w:p w14:paraId="5BC8A8E0">
            <w:pPr>
              <w:tabs>
                <w:tab w:val="left" w:pos="0"/>
              </w:tabs>
              <w:adjustRightInd w:val="0"/>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注：以上为必备资格条件，缺一项或某项达不到要求，按无效投标处理。资格审查时以投标文件中所附证明材料（信用中国和中国政府采购网信用记录可不提供，由代理机构查询并留存）为准。</w:t>
            </w:r>
          </w:p>
        </w:tc>
      </w:tr>
      <w:tr w14:paraId="7E7C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64" w:type="dxa"/>
            <w:vMerge w:val="restart"/>
            <w:vAlign w:val="center"/>
          </w:tcPr>
          <w:p w14:paraId="38B8002B">
            <w:pPr>
              <w:tabs>
                <w:tab w:val="left" w:pos="0"/>
              </w:tabs>
              <w:adjustRightInd w:val="0"/>
              <w:snapToGrid w:val="0"/>
              <w:spacing w:line="360" w:lineRule="auto"/>
              <w:rPr>
                <w:rFonts w:hint="eastAsia" w:ascii="宋体" w:hAnsi="宋体" w:eastAsia="宋体" w:cs="宋体"/>
                <w:bCs/>
                <w:color w:val="auto"/>
                <w:sz w:val="24"/>
                <w:szCs w:val="24"/>
              </w:rPr>
            </w:pPr>
            <w:r>
              <w:rPr>
                <w:rFonts w:hint="eastAsia" w:ascii="宋体" w:hAnsi="宋体" w:eastAsia="宋体" w:cs="宋体"/>
                <w:bCs/>
                <w:color w:val="auto"/>
                <w:sz w:val="24"/>
                <w:szCs w:val="24"/>
              </w:rPr>
              <w:t>2.1.2</w:t>
            </w:r>
          </w:p>
        </w:tc>
        <w:tc>
          <w:tcPr>
            <w:tcW w:w="439" w:type="dxa"/>
            <w:vMerge w:val="restart"/>
            <w:vAlign w:val="center"/>
          </w:tcPr>
          <w:p w14:paraId="4B1B30B4">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符合性评审标准</w:t>
            </w:r>
          </w:p>
        </w:tc>
        <w:tc>
          <w:tcPr>
            <w:tcW w:w="907" w:type="dxa"/>
            <w:vMerge w:val="restart"/>
            <w:vAlign w:val="center"/>
          </w:tcPr>
          <w:p w14:paraId="20BA8A2D">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有效性审查</w:t>
            </w:r>
          </w:p>
        </w:tc>
        <w:tc>
          <w:tcPr>
            <w:tcW w:w="1475" w:type="dxa"/>
            <w:vAlign w:val="center"/>
          </w:tcPr>
          <w:p w14:paraId="6DC7F44C">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投标文件的签署盖章</w:t>
            </w:r>
          </w:p>
        </w:tc>
        <w:tc>
          <w:tcPr>
            <w:tcW w:w="5934" w:type="dxa"/>
            <w:vAlign w:val="center"/>
          </w:tcPr>
          <w:p w14:paraId="72E447F8">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投标文件上法定代表人或被授权人的签字齐全并加盖公章</w:t>
            </w:r>
          </w:p>
        </w:tc>
      </w:tr>
      <w:tr w14:paraId="03E9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64" w:type="dxa"/>
            <w:vMerge w:val="continue"/>
            <w:vAlign w:val="center"/>
          </w:tcPr>
          <w:p w14:paraId="2A5FA9FB">
            <w:pPr>
              <w:tabs>
                <w:tab w:val="left" w:pos="0"/>
              </w:tabs>
              <w:adjustRightInd w:val="0"/>
              <w:snapToGrid w:val="0"/>
              <w:spacing w:line="360" w:lineRule="auto"/>
              <w:rPr>
                <w:rFonts w:hint="eastAsia" w:ascii="宋体" w:hAnsi="宋体" w:eastAsia="宋体" w:cs="宋体"/>
                <w:bCs/>
                <w:color w:val="auto"/>
                <w:sz w:val="24"/>
                <w:szCs w:val="24"/>
              </w:rPr>
            </w:pPr>
          </w:p>
        </w:tc>
        <w:tc>
          <w:tcPr>
            <w:tcW w:w="439" w:type="dxa"/>
            <w:vMerge w:val="continue"/>
            <w:vAlign w:val="center"/>
          </w:tcPr>
          <w:p w14:paraId="6C3BD183">
            <w:pPr>
              <w:tabs>
                <w:tab w:val="left" w:pos="0"/>
              </w:tabs>
              <w:adjustRightInd w:val="0"/>
              <w:snapToGrid w:val="0"/>
              <w:jc w:val="center"/>
              <w:rPr>
                <w:rFonts w:hint="eastAsia" w:ascii="宋体" w:hAnsi="宋体" w:eastAsia="宋体" w:cs="宋体"/>
                <w:bCs/>
                <w:color w:val="auto"/>
                <w:sz w:val="24"/>
                <w:szCs w:val="24"/>
              </w:rPr>
            </w:pPr>
          </w:p>
        </w:tc>
        <w:tc>
          <w:tcPr>
            <w:tcW w:w="907" w:type="dxa"/>
            <w:vMerge w:val="continue"/>
            <w:vAlign w:val="center"/>
          </w:tcPr>
          <w:p w14:paraId="1D4718B3">
            <w:pPr>
              <w:tabs>
                <w:tab w:val="left" w:pos="0"/>
              </w:tabs>
              <w:adjustRightInd w:val="0"/>
              <w:snapToGrid w:val="0"/>
              <w:jc w:val="center"/>
              <w:rPr>
                <w:rFonts w:hint="eastAsia" w:ascii="宋体" w:hAnsi="宋体" w:eastAsia="宋体" w:cs="宋体"/>
                <w:bCs/>
                <w:color w:val="auto"/>
                <w:sz w:val="24"/>
                <w:szCs w:val="24"/>
              </w:rPr>
            </w:pPr>
          </w:p>
        </w:tc>
        <w:tc>
          <w:tcPr>
            <w:tcW w:w="1475" w:type="dxa"/>
            <w:vAlign w:val="center"/>
          </w:tcPr>
          <w:p w14:paraId="4122A9C5">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是否专门面向中小企业</w:t>
            </w:r>
          </w:p>
        </w:tc>
        <w:tc>
          <w:tcPr>
            <w:tcW w:w="5934" w:type="dxa"/>
            <w:vAlign w:val="center"/>
          </w:tcPr>
          <w:p w14:paraId="3EF88890">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本项目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tc>
      </w:tr>
      <w:tr w14:paraId="1091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36802F4A">
            <w:pPr>
              <w:tabs>
                <w:tab w:val="left" w:pos="0"/>
              </w:tabs>
              <w:adjustRightInd w:val="0"/>
              <w:snapToGrid w:val="0"/>
              <w:spacing w:line="360" w:lineRule="auto"/>
              <w:rPr>
                <w:rFonts w:hint="eastAsia" w:ascii="宋体" w:hAnsi="宋体" w:eastAsia="宋体" w:cs="宋体"/>
                <w:bCs/>
                <w:color w:val="auto"/>
                <w:sz w:val="24"/>
                <w:szCs w:val="24"/>
              </w:rPr>
            </w:pPr>
          </w:p>
        </w:tc>
        <w:tc>
          <w:tcPr>
            <w:tcW w:w="439" w:type="dxa"/>
            <w:vMerge w:val="continue"/>
          </w:tcPr>
          <w:p w14:paraId="4C6F4D6F">
            <w:pPr>
              <w:tabs>
                <w:tab w:val="left" w:pos="0"/>
              </w:tabs>
              <w:adjustRightInd w:val="0"/>
              <w:snapToGrid w:val="0"/>
              <w:spacing w:line="360" w:lineRule="auto"/>
              <w:rPr>
                <w:rFonts w:hint="eastAsia" w:ascii="宋体" w:hAnsi="宋体" w:eastAsia="宋体" w:cs="宋体"/>
                <w:bCs/>
                <w:color w:val="auto"/>
                <w:sz w:val="24"/>
                <w:szCs w:val="24"/>
              </w:rPr>
            </w:pPr>
          </w:p>
        </w:tc>
        <w:tc>
          <w:tcPr>
            <w:tcW w:w="907" w:type="dxa"/>
            <w:vMerge w:val="continue"/>
          </w:tcPr>
          <w:p w14:paraId="6D1FB937">
            <w:pPr>
              <w:tabs>
                <w:tab w:val="left" w:pos="0"/>
              </w:tabs>
              <w:adjustRightInd w:val="0"/>
              <w:snapToGrid w:val="0"/>
              <w:spacing w:line="360" w:lineRule="auto"/>
              <w:rPr>
                <w:rFonts w:hint="eastAsia" w:ascii="宋体" w:hAnsi="宋体" w:eastAsia="宋体" w:cs="宋体"/>
                <w:bCs/>
                <w:color w:val="auto"/>
                <w:sz w:val="24"/>
                <w:szCs w:val="24"/>
              </w:rPr>
            </w:pPr>
          </w:p>
        </w:tc>
        <w:tc>
          <w:tcPr>
            <w:tcW w:w="1475" w:type="dxa"/>
            <w:vAlign w:val="center"/>
          </w:tcPr>
          <w:p w14:paraId="5A67A2EE">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投标文件格式</w:t>
            </w:r>
          </w:p>
        </w:tc>
        <w:tc>
          <w:tcPr>
            <w:tcW w:w="5934" w:type="dxa"/>
            <w:vAlign w:val="center"/>
          </w:tcPr>
          <w:p w14:paraId="7F572919">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应符合“投标文件格式”要求</w:t>
            </w:r>
          </w:p>
        </w:tc>
      </w:tr>
      <w:tr w14:paraId="77A9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41617F64">
            <w:pPr>
              <w:tabs>
                <w:tab w:val="left" w:pos="0"/>
              </w:tabs>
              <w:adjustRightInd w:val="0"/>
              <w:snapToGrid w:val="0"/>
              <w:spacing w:line="360" w:lineRule="auto"/>
              <w:rPr>
                <w:rFonts w:hint="eastAsia" w:ascii="宋体" w:hAnsi="宋体" w:eastAsia="宋体" w:cs="宋体"/>
                <w:bCs/>
                <w:color w:val="auto"/>
                <w:sz w:val="24"/>
                <w:szCs w:val="24"/>
              </w:rPr>
            </w:pPr>
          </w:p>
        </w:tc>
        <w:tc>
          <w:tcPr>
            <w:tcW w:w="439" w:type="dxa"/>
            <w:vMerge w:val="continue"/>
          </w:tcPr>
          <w:p w14:paraId="31C50490">
            <w:pPr>
              <w:tabs>
                <w:tab w:val="left" w:pos="0"/>
              </w:tabs>
              <w:adjustRightInd w:val="0"/>
              <w:snapToGrid w:val="0"/>
              <w:spacing w:line="360" w:lineRule="auto"/>
              <w:rPr>
                <w:rFonts w:hint="eastAsia" w:ascii="宋体" w:hAnsi="宋体" w:eastAsia="宋体" w:cs="宋体"/>
                <w:bCs/>
                <w:color w:val="auto"/>
                <w:sz w:val="24"/>
                <w:szCs w:val="24"/>
              </w:rPr>
            </w:pPr>
          </w:p>
        </w:tc>
        <w:tc>
          <w:tcPr>
            <w:tcW w:w="907" w:type="dxa"/>
            <w:vMerge w:val="continue"/>
          </w:tcPr>
          <w:p w14:paraId="4B7945C9">
            <w:pPr>
              <w:tabs>
                <w:tab w:val="left" w:pos="0"/>
              </w:tabs>
              <w:adjustRightInd w:val="0"/>
              <w:snapToGrid w:val="0"/>
              <w:spacing w:line="360" w:lineRule="auto"/>
              <w:rPr>
                <w:rFonts w:hint="eastAsia" w:ascii="宋体" w:hAnsi="宋体" w:eastAsia="宋体" w:cs="宋体"/>
                <w:bCs/>
                <w:color w:val="auto"/>
                <w:sz w:val="24"/>
                <w:szCs w:val="24"/>
              </w:rPr>
            </w:pPr>
          </w:p>
        </w:tc>
        <w:tc>
          <w:tcPr>
            <w:tcW w:w="1475" w:type="dxa"/>
            <w:vAlign w:val="center"/>
          </w:tcPr>
          <w:p w14:paraId="675FC205">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报价唯一</w:t>
            </w:r>
          </w:p>
        </w:tc>
        <w:tc>
          <w:tcPr>
            <w:tcW w:w="5934" w:type="dxa"/>
            <w:vAlign w:val="center"/>
          </w:tcPr>
          <w:p w14:paraId="7DAF1B95">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只能有一个有效报价，不得提交选择性报价，且报价不超过采购预算金额或最高限价。</w:t>
            </w:r>
          </w:p>
        </w:tc>
      </w:tr>
      <w:tr w14:paraId="78E8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338FB61C">
            <w:pPr>
              <w:tabs>
                <w:tab w:val="left" w:pos="0"/>
              </w:tabs>
              <w:adjustRightInd w:val="0"/>
              <w:snapToGrid w:val="0"/>
              <w:spacing w:line="360" w:lineRule="auto"/>
              <w:rPr>
                <w:rFonts w:hint="eastAsia" w:ascii="宋体" w:hAnsi="宋体" w:eastAsia="宋体" w:cs="宋体"/>
                <w:bCs/>
                <w:color w:val="auto"/>
                <w:sz w:val="24"/>
                <w:szCs w:val="24"/>
              </w:rPr>
            </w:pPr>
          </w:p>
        </w:tc>
        <w:tc>
          <w:tcPr>
            <w:tcW w:w="439" w:type="dxa"/>
            <w:vMerge w:val="continue"/>
          </w:tcPr>
          <w:p w14:paraId="219077A8">
            <w:pPr>
              <w:tabs>
                <w:tab w:val="left" w:pos="0"/>
              </w:tabs>
              <w:adjustRightInd w:val="0"/>
              <w:snapToGrid w:val="0"/>
              <w:spacing w:line="360" w:lineRule="auto"/>
              <w:rPr>
                <w:rFonts w:hint="eastAsia" w:ascii="宋体" w:hAnsi="宋体" w:eastAsia="宋体" w:cs="宋体"/>
                <w:bCs/>
                <w:color w:val="auto"/>
                <w:sz w:val="24"/>
                <w:szCs w:val="24"/>
              </w:rPr>
            </w:pPr>
          </w:p>
        </w:tc>
        <w:tc>
          <w:tcPr>
            <w:tcW w:w="907" w:type="dxa"/>
            <w:vMerge w:val="continue"/>
          </w:tcPr>
          <w:p w14:paraId="63381D1C">
            <w:pPr>
              <w:tabs>
                <w:tab w:val="left" w:pos="0"/>
              </w:tabs>
              <w:adjustRightInd w:val="0"/>
              <w:snapToGrid w:val="0"/>
              <w:spacing w:line="360" w:lineRule="auto"/>
              <w:rPr>
                <w:rFonts w:hint="eastAsia" w:ascii="宋体" w:hAnsi="宋体" w:eastAsia="宋体" w:cs="宋体"/>
                <w:bCs/>
                <w:color w:val="auto"/>
                <w:sz w:val="24"/>
                <w:szCs w:val="24"/>
              </w:rPr>
            </w:pPr>
          </w:p>
        </w:tc>
        <w:tc>
          <w:tcPr>
            <w:tcW w:w="1475" w:type="dxa"/>
            <w:vAlign w:val="center"/>
          </w:tcPr>
          <w:p w14:paraId="73A2A27E">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投标文件内容</w:t>
            </w:r>
          </w:p>
        </w:tc>
        <w:tc>
          <w:tcPr>
            <w:tcW w:w="5934" w:type="dxa"/>
            <w:vAlign w:val="center"/>
          </w:tcPr>
          <w:p w14:paraId="1C5F519A">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投标文件内容齐全、无遗漏</w:t>
            </w:r>
          </w:p>
        </w:tc>
      </w:tr>
      <w:tr w14:paraId="1967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14:paraId="60328EC0">
            <w:pPr>
              <w:tabs>
                <w:tab w:val="left" w:pos="0"/>
              </w:tabs>
              <w:adjustRightInd w:val="0"/>
              <w:snapToGrid w:val="0"/>
              <w:spacing w:line="360" w:lineRule="auto"/>
              <w:jc w:val="center"/>
              <w:rPr>
                <w:rFonts w:hint="eastAsia" w:ascii="宋体" w:hAnsi="宋体" w:eastAsia="宋体" w:cs="宋体"/>
                <w:bCs/>
                <w:color w:val="auto"/>
                <w:sz w:val="24"/>
                <w:szCs w:val="24"/>
              </w:rPr>
            </w:pPr>
          </w:p>
        </w:tc>
        <w:tc>
          <w:tcPr>
            <w:tcW w:w="439" w:type="dxa"/>
            <w:vMerge w:val="continue"/>
            <w:vAlign w:val="center"/>
          </w:tcPr>
          <w:p w14:paraId="61E3CBA4">
            <w:pPr>
              <w:tabs>
                <w:tab w:val="left" w:pos="0"/>
              </w:tabs>
              <w:adjustRightInd w:val="0"/>
              <w:snapToGrid w:val="0"/>
              <w:jc w:val="center"/>
              <w:rPr>
                <w:rFonts w:hint="eastAsia" w:ascii="宋体" w:hAnsi="宋体" w:eastAsia="宋体" w:cs="宋体"/>
                <w:bCs/>
                <w:color w:val="auto"/>
                <w:sz w:val="24"/>
                <w:szCs w:val="24"/>
              </w:rPr>
            </w:pPr>
          </w:p>
        </w:tc>
        <w:tc>
          <w:tcPr>
            <w:tcW w:w="907" w:type="dxa"/>
            <w:vMerge w:val="restart"/>
            <w:vAlign w:val="center"/>
          </w:tcPr>
          <w:p w14:paraId="3A60C2F9">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响应性审查</w:t>
            </w:r>
          </w:p>
        </w:tc>
        <w:tc>
          <w:tcPr>
            <w:tcW w:w="1475" w:type="dxa"/>
            <w:vAlign w:val="center"/>
          </w:tcPr>
          <w:p w14:paraId="61FC9618">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对招标文件响应程度</w:t>
            </w:r>
          </w:p>
        </w:tc>
        <w:tc>
          <w:tcPr>
            <w:tcW w:w="5934" w:type="dxa"/>
            <w:vAlign w:val="center"/>
          </w:tcPr>
          <w:p w14:paraId="2169850B">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要求实质性条款全部响应，不能有采购人不能接受的附加条件</w:t>
            </w:r>
          </w:p>
        </w:tc>
      </w:tr>
      <w:tr w14:paraId="3A71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0B48672E">
            <w:pPr>
              <w:tabs>
                <w:tab w:val="left" w:pos="0"/>
              </w:tabs>
              <w:adjustRightInd w:val="0"/>
              <w:snapToGrid w:val="0"/>
              <w:spacing w:line="360" w:lineRule="auto"/>
              <w:rPr>
                <w:rFonts w:hint="eastAsia" w:ascii="宋体" w:hAnsi="宋体" w:eastAsia="宋体" w:cs="宋体"/>
                <w:bCs/>
                <w:color w:val="auto"/>
                <w:sz w:val="24"/>
                <w:szCs w:val="24"/>
              </w:rPr>
            </w:pPr>
          </w:p>
        </w:tc>
        <w:tc>
          <w:tcPr>
            <w:tcW w:w="439" w:type="dxa"/>
            <w:vMerge w:val="continue"/>
          </w:tcPr>
          <w:p w14:paraId="4E73A90F">
            <w:pPr>
              <w:tabs>
                <w:tab w:val="left" w:pos="0"/>
              </w:tabs>
              <w:adjustRightInd w:val="0"/>
              <w:snapToGrid w:val="0"/>
              <w:spacing w:line="360" w:lineRule="auto"/>
              <w:rPr>
                <w:rFonts w:hint="eastAsia" w:ascii="宋体" w:hAnsi="宋体" w:eastAsia="宋体" w:cs="宋体"/>
                <w:bCs/>
                <w:color w:val="auto"/>
                <w:sz w:val="24"/>
                <w:szCs w:val="24"/>
              </w:rPr>
            </w:pPr>
          </w:p>
        </w:tc>
        <w:tc>
          <w:tcPr>
            <w:tcW w:w="907" w:type="dxa"/>
            <w:vMerge w:val="continue"/>
          </w:tcPr>
          <w:p w14:paraId="682AD1AA">
            <w:pPr>
              <w:tabs>
                <w:tab w:val="left" w:pos="0"/>
              </w:tabs>
              <w:adjustRightInd w:val="0"/>
              <w:snapToGrid w:val="0"/>
              <w:spacing w:line="360" w:lineRule="auto"/>
              <w:rPr>
                <w:rFonts w:hint="eastAsia" w:ascii="宋体" w:hAnsi="宋体" w:eastAsia="宋体" w:cs="宋体"/>
                <w:bCs/>
                <w:color w:val="auto"/>
                <w:sz w:val="24"/>
                <w:szCs w:val="24"/>
              </w:rPr>
            </w:pPr>
          </w:p>
        </w:tc>
        <w:tc>
          <w:tcPr>
            <w:tcW w:w="1475" w:type="dxa"/>
            <w:vAlign w:val="center"/>
          </w:tcPr>
          <w:p w14:paraId="6DC4465B">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服务</w:t>
            </w:r>
            <w:r>
              <w:rPr>
                <w:rFonts w:hint="eastAsia" w:ascii="宋体" w:hAnsi="宋体" w:eastAsia="宋体" w:cs="宋体"/>
                <w:bCs/>
                <w:color w:val="auto"/>
                <w:sz w:val="24"/>
                <w:szCs w:val="24"/>
              </w:rPr>
              <w:t>期</w:t>
            </w:r>
          </w:p>
        </w:tc>
        <w:tc>
          <w:tcPr>
            <w:tcW w:w="5934" w:type="dxa"/>
            <w:vAlign w:val="center"/>
          </w:tcPr>
          <w:p w14:paraId="624E573A">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应满足招标文件中要求的</w:t>
            </w:r>
            <w:r>
              <w:rPr>
                <w:rFonts w:hint="eastAsia" w:ascii="宋体" w:hAnsi="宋体" w:eastAsia="宋体" w:cs="宋体"/>
                <w:bCs/>
                <w:color w:val="auto"/>
                <w:sz w:val="24"/>
                <w:szCs w:val="24"/>
                <w:lang w:eastAsia="zh-CN"/>
              </w:rPr>
              <w:t>服务</w:t>
            </w:r>
            <w:r>
              <w:rPr>
                <w:rFonts w:hint="eastAsia" w:ascii="宋体" w:hAnsi="宋体" w:eastAsia="宋体" w:cs="宋体"/>
                <w:bCs/>
                <w:color w:val="auto"/>
                <w:sz w:val="24"/>
                <w:szCs w:val="24"/>
              </w:rPr>
              <w:t>期</w:t>
            </w:r>
          </w:p>
        </w:tc>
      </w:tr>
      <w:tr w14:paraId="388B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26391DC0">
            <w:pPr>
              <w:tabs>
                <w:tab w:val="left" w:pos="0"/>
              </w:tabs>
              <w:adjustRightInd w:val="0"/>
              <w:snapToGrid w:val="0"/>
              <w:spacing w:line="360" w:lineRule="auto"/>
              <w:rPr>
                <w:rFonts w:hint="eastAsia" w:ascii="宋体" w:hAnsi="宋体" w:eastAsia="宋体" w:cs="宋体"/>
                <w:bCs/>
                <w:color w:val="auto"/>
                <w:sz w:val="24"/>
                <w:szCs w:val="24"/>
              </w:rPr>
            </w:pPr>
          </w:p>
        </w:tc>
        <w:tc>
          <w:tcPr>
            <w:tcW w:w="439" w:type="dxa"/>
            <w:vMerge w:val="continue"/>
          </w:tcPr>
          <w:p w14:paraId="192732D2">
            <w:pPr>
              <w:tabs>
                <w:tab w:val="left" w:pos="0"/>
              </w:tabs>
              <w:adjustRightInd w:val="0"/>
              <w:snapToGrid w:val="0"/>
              <w:spacing w:line="360" w:lineRule="auto"/>
              <w:rPr>
                <w:rFonts w:hint="eastAsia" w:ascii="宋体" w:hAnsi="宋体" w:eastAsia="宋体" w:cs="宋体"/>
                <w:bCs/>
                <w:color w:val="auto"/>
                <w:sz w:val="24"/>
                <w:szCs w:val="24"/>
              </w:rPr>
            </w:pPr>
          </w:p>
        </w:tc>
        <w:tc>
          <w:tcPr>
            <w:tcW w:w="907" w:type="dxa"/>
            <w:vMerge w:val="continue"/>
          </w:tcPr>
          <w:p w14:paraId="7BB2EDA4">
            <w:pPr>
              <w:tabs>
                <w:tab w:val="left" w:pos="0"/>
              </w:tabs>
              <w:adjustRightInd w:val="0"/>
              <w:snapToGrid w:val="0"/>
              <w:spacing w:line="360" w:lineRule="auto"/>
              <w:rPr>
                <w:rFonts w:hint="eastAsia" w:ascii="宋体" w:hAnsi="宋体" w:eastAsia="宋体" w:cs="宋体"/>
                <w:bCs/>
                <w:color w:val="auto"/>
                <w:sz w:val="24"/>
                <w:szCs w:val="24"/>
              </w:rPr>
            </w:pPr>
          </w:p>
        </w:tc>
        <w:tc>
          <w:tcPr>
            <w:tcW w:w="1475" w:type="dxa"/>
            <w:vAlign w:val="center"/>
          </w:tcPr>
          <w:p w14:paraId="273FD107">
            <w:pPr>
              <w:tabs>
                <w:tab w:val="left" w:pos="0"/>
              </w:tabs>
              <w:adjustRightInd w:val="0"/>
              <w:snapToGrid w:val="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投标有效期</w:t>
            </w:r>
          </w:p>
        </w:tc>
        <w:tc>
          <w:tcPr>
            <w:tcW w:w="5934" w:type="dxa"/>
            <w:vAlign w:val="center"/>
          </w:tcPr>
          <w:p w14:paraId="553F4998">
            <w:pPr>
              <w:tabs>
                <w:tab w:val="left" w:pos="0"/>
              </w:tabs>
              <w:adjustRightInd w:val="0"/>
              <w:snapToGrid w:val="0"/>
              <w:rPr>
                <w:rFonts w:hint="eastAsia" w:ascii="宋体" w:hAnsi="宋体" w:eastAsia="宋体" w:cs="宋体"/>
                <w:bCs/>
                <w:color w:val="auto"/>
                <w:sz w:val="24"/>
                <w:szCs w:val="24"/>
              </w:rPr>
            </w:pPr>
            <w:r>
              <w:rPr>
                <w:rFonts w:hint="eastAsia" w:ascii="宋体" w:hAnsi="宋体" w:eastAsia="宋体" w:cs="宋体"/>
                <w:bCs/>
                <w:color w:val="auto"/>
                <w:sz w:val="24"/>
                <w:szCs w:val="24"/>
              </w:rPr>
              <w:t>应满足招标文件中的规定</w:t>
            </w:r>
          </w:p>
        </w:tc>
      </w:tr>
    </w:tbl>
    <w:p w14:paraId="121CB73E">
      <w:pPr>
        <w:pStyle w:val="19"/>
        <w:jc w:val="center"/>
        <w:rPr>
          <w:rFonts w:ascii="宋体" w:hAnsi="宋体" w:cs="宋体"/>
          <w:b/>
          <w:bCs/>
          <w:color w:val="auto"/>
          <w:sz w:val="24"/>
          <w:szCs w:val="24"/>
        </w:rPr>
      </w:pPr>
    </w:p>
    <w:p w14:paraId="2D6C93F5">
      <w:pPr>
        <w:rPr>
          <w:color w:val="auto"/>
        </w:rPr>
      </w:pPr>
    </w:p>
    <w:p w14:paraId="73C79B79">
      <w:pPr>
        <w:pStyle w:val="26"/>
        <w:rPr>
          <w:color w:val="auto"/>
        </w:rPr>
      </w:pPr>
    </w:p>
    <w:p w14:paraId="05E26C20">
      <w:pPr>
        <w:pStyle w:val="26"/>
        <w:rPr>
          <w:color w:val="auto"/>
        </w:rPr>
      </w:pPr>
    </w:p>
    <w:p w14:paraId="79D8EF15">
      <w:pPr>
        <w:pStyle w:val="26"/>
        <w:rPr>
          <w:color w:val="auto"/>
        </w:rPr>
      </w:pPr>
    </w:p>
    <w:p w14:paraId="6426EDDE">
      <w:pPr>
        <w:pStyle w:val="26"/>
        <w:rPr>
          <w:color w:val="auto"/>
        </w:rPr>
      </w:pPr>
    </w:p>
    <w:p w14:paraId="30A24A97">
      <w:pPr>
        <w:spacing w:line="560" w:lineRule="exact"/>
        <w:rPr>
          <w:rFonts w:hAnsi="宋体" w:cs="宋体"/>
          <w:b/>
          <w:color w:val="auto"/>
          <w:sz w:val="28"/>
          <w:szCs w:val="28"/>
        </w:rPr>
      </w:pPr>
      <w:r>
        <w:rPr>
          <w:rFonts w:hint="eastAsia" w:hAnsi="宋体" w:cs="宋体"/>
          <w:b/>
          <w:color w:val="auto"/>
          <w:szCs w:val="24"/>
        </w:rPr>
        <w:t>附件2：</w:t>
      </w:r>
    </w:p>
    <w:p w14:paraId="28C00EC2">
      <w:pPr>
        <w:spacing w:line="560" w:lineRule="exact"/>
        <w:jc w:val="center"/>
        <w:outlineLvl w:val="2"/>
        <w:rPr>
          <w:rFonts w:hint="eastAsia" w:hAnsi="宋体" w:cs="宋体"/>
          <w:b/>
          <w:color w:val="auto"/>
          <w:szCs w:val="24"/>
        </w:rPr>
      </w:pPr>
      <w:bookmarkStart w:id="170" w:name="_Toc13424"/>
      <w:r>
        <w:rPr>
          <w:rFonts w:hint="eastAsia" w:hAnsi="宋体" w:cs="宋体"/>
          <w:b/>
          <w:color w:val="auto"/>
          <w:szCs w:val="24"/>
        </w:rPr>
        <w:t>评标因素及权重分值表</w:t>
      </w:r>
      <w:bookmarkEnd w:id="170"/>
    </w:p>
    <w:p w14:paraId="5A94EFE0">
      <w:pPr>
        <w:pStyle w:val="19"/>
        <w:rPr>
          <w:rFonts w:hint="eastAsia"/>
          <w:lang w:eastAsia="zh-CN"/>
        </w:rPr>
      </w:pPr>
      <w:r>
        <w:rPr>
          <w:rFonts w:hint="eastAsia" w:ascii="宋体" w:hAnsi="宋体" w:cs="宋体"/>
          <w:b/>
          <w:bCs/>
          <w:sz w:val="24"/>
          <w:szCs w:val="24"/>
          <w:lang w:val="en-US" w:eastAsia="zh-CN"/>
        </w:rPr>
        <w:t>适用于合同包1、合同包2</w:t>
      </w:r>
    </w:p>
    <w:tbl>
      <w:tblPr>
        <w:tblStyle w:val="46"/>
        <w:tblpPr w:leftFromText="180" w:rightFromText="180" w:vertAnchor="text" w:horzAnchor="page" w:tblpX="1420" w:tblpY="285"/>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45"/>
        <w:gridCol w:w="5869"/>
        <w:gridCol w:w="1282"/>
        <w:gridCol w:w="726"/>
      </w:tblGrid>
      <w:tr w14:paraId="009C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38" w:type="pct"/>
            <w:vAlign w:val="center"/>
          </w:tcPr>
          <w:p w14:paraId="54A3602C">
            <w:pPr>
              <w:pStyle w:val="28"/>
              <w:spacing w:line="520" w:lineRule="exact"/>
              <w:rPr>
                <w:rFonts w:cs="宋体" w:asciiTheme="minorEastAsia" w:hAnsiTheme="minorEastAsia" w:eastAsiaTheme="minorEastAsia"/>
                <w:b/>
                <w:bCs/>
                <w:color w:val="auto"/>
                <w:kern w:val="0"/>
                <w:sz w:val="24"/>
                <w:szCs w:val="24"/>
                <w:highlight w:val="none"/>
              </w:rPr>
            </w:pPr>
            <w:r>
              <w:rPr>
                <w:rFonts w:hint="eastAsia" w:cs="宋体" w:asciiTheme="minorEastAsia" w:hAnsiTheme="minorEastAsia" w:eastAsiaTheme="minorEastAsia"/>
                <w:b/>
                <w:bCs/>
                <w:color w:val="auto"/>
                <w:kern w:val="0"/>
                <w:sz w:val="24"/>
                <w:szCs w:val="24"/>
                <w:highlight w:val="none"/>
              </w:rPr>
              <w:t>类别</w:t>
            </w:r>
          </w:p>
        </w:tc>
        <w:tc>
          <w:tcPr>
            <w:tcW w:w="441" w:type="pct"/>
            <w:vAlign w:val="center"/>
          </w:tcPr>
          <w:p w14:paraId="30647F54">
            <w:pPr>
              <w:spacing w:line="520" w:lineRule="exact"/>
              <w:jc w:val="center"/>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总分</w:t>
            </w:r>
          </w:p>
        </w:tc>
        <w:tc>
          <w:tcPr>
            <w:tcW w:w="3069" w:type="pct"/>
            <w:vAlign w:val="center"/>
          </w:tcPr>
          <w:p w14:paraId="6917093C">
            <w:pPr>
              <w:spacing w:line="520" w:lineRule="exact"/>
              <w:jc w:val="center"/>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评标因素</w:t>
            </w:r>
          </w:p>
        </w:tc>
        <w:tc>
          <w:tcPr>
            <w:tcW w:w="670" w:type="pct"/>
            <w:vAlign w:val="center"/>
          </w:tcPr>
          <w:p w14:paraId="7C55A9D6">
            <w:pPr>
              <w:spacing w:line="520" w:lineRule="exact"/>
              <w:jc w:val="center"/>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rPr>
              <w:t>最高得分</w:t>
            </w:r>
          </w:p>
        </w:tc>
        <w:tc>
          <w:tcPr>
            <w:tcW w:w="379" w:type="pct"/>
            <w:vMerge w:val="restart"/>
            <w:vAlign w:val="center"/>
          </w:tcPr>
          <w:p w14:paraId="0A8C70A8">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根</w:t>
            </w:r>
          </w:p>
          <w:p w14:paraId="03D6B62F">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据</w:t>
            </w:r>
          </w:p>
          <w:p w14:paraId="6E6142EA">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投</w:t>
            </w:r>
          </w:p>
          <w:p w14:paraId="1E939683">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标</w:t>
            </w:r>
          </w:p>
          <w:p w14:paraId="5691EC55">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文</w:t>
            </w:r>
          </w:p>
          <w:p w14:paraId="0E484C36">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件</w:t>
            </w:r>
          </w:p>
          <w:p w14:paraId="06C5F9EC">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的</w:t>
            </w:r>
          </w:p>
          <w:p w14:paraId="294157C0">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响</w:t>
            </w:r>
          </w:p>
          <w:p w14:paraId="0A348537">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应</w:t>
            </w:r>
          </w:p>
          <w:p w14:paraId="786D4126">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程  度</w:t>
            </w:r>
          </w:p>
          <w:p w14:paraId="6F58AAF9">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按</w:t>
            </w:r>
          </w:p>
          <w:p w14:paraId="259ADFAC">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差</w:t>
            </w:r>
          </w:p>
          <w:p w14:paraId="0C6C10DA">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别</w:t>
            </w:r>
          </w:p>
          <w:p w14:paraId="7A19612C">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计</w:t>
            </w:r>
          </w:p>
          <w:p w14:paraId="31F3C8FB">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分</w:t>
            </w:r>
          </w:p>
          <w:p w14:paraId="4566E438">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w:t>
            </w:r>
          </w:p>
          <w:p w14:paraId="21983E7D">
            <w:pPr>
              <w:widowControl/>
              <w:spacing w:line="520" w:lineRule="exact"/>
              <w:rPr>
                <w:rFonts w:cs="宋体" w:asciiTheme="minorEastAsia" w:hAnsiTheme="minorEastAsia" w:eastAsiaTheme="minorEastAsia"/>
                <w:b/>
                <w:bCs/>
                <w:color w:val="auto"/>
                <w:szCs w:val="24"/>
                <w:highlight w:val="none"/>
              </w:rPr>
            </w:pPr>
          </w:p>
        </w:tc>
      </w:tr>
      <w:tr w14:paraId="2C5D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438" w:type="pct"/>
            <w:vAlign w:val="center"/>
          </w:tcPr>
          <w:p w14:paraId="30670E1B">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投标价格</w:t>
            </w:r>
          </w:p>
        </w:tc>
        <w:tc>
          <w:tcPr>
            <w:tcW w:w="441" w:type="pct"/>
            <w:vAlign w:val="center"/>
          </w:tcPr>
          <w:p w14:paraId="321CFC65">
            <w:pPr>
              <w:spacing w:line="520" w:lineRule="exact"/>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10分</w:t>
            </w:r>
          </w:p>
        </w:tc>
        <w:tc>
          <w:tcPr>
            <w:tcW w:w="3069" w:type="pct"/>
            <w:vAlign w:val="center"/>
          </w:tcPr>
          <w:p w14:paraId="2C7A9AB9">
            <w:pPr>
              <w:widowControl/>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1.经初审合格的投标文件，其投标报价为有效投标价。对符合政策性扣减的有效投标报价进行政策性扣减，并依据扣减后的价格（评审价格）进行价格评审。</w:t>
            </w:r>
          </w:p>
          <w:p w14:paraId="76431EB2">
            <w:pPr>
              <w:widowControl/>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2.有效最低报价为基准价得</w:t>
            </w:r>
            <w:r>
              <w:rPr>
                <w:rFonts w:cs="宋体" w:asciiTheme="minorEastAsia" w:hAnsiTheme="minorEastAsia" w:eastAsiaTheme="minorEastAsia"/>
                <w:color w:val="auto"/>
                <w:szCs w:val="24"/>
                <w:highlight w:val="none"/>
              </w:rPr>
              <w:t>1</w:t>
            </w:r>
            <w:r>
              <w:rPr>
                <w:rFonts w:hint="eastAsia" w:cs="宋体" w:asciiTheme="minorEastAsia" w:hAnsiTheme="minorEastAsia" w:eastAsiaTheme="minorEastAsia"/>
                <w:color w:val="auto"/>
                <w:szCs w:val="24"/>
                <w:highlight w:val="none"/>
              </w:rPr>
              <w:t>0分。</w:t>
            </w:r>
          </w:p>
          <w:p w14:paraId="6AB2A40F">
            <w:pPr>
              <w:widowControl/>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3.按（有效最低报价/有效投标报价）×</w:t>
            </w:r>
            <w:r>
              <w:rPr>
                <w:rFonts w:cs="宋体" w:asciiTheme="minorEastAsia" w:hAnsiTheme="minorEastAsia" w:eastAsiaTheme="minorEastAsia"/>
                <w:color w:val="auto"/>
                <w:szCs w:val="24"/>
                <w:highlight w:val="none"/>
              </w:rPr>
              <w:t>1</w:t>
            </w:r>
            <w:r>
              <w:rPr>
                <w:rFonts w:hint="eastAsia" w:cs="宋体" w:asciiTheme="minorEastAsia" w:hAnsiTheme="minorEastAsia" w:eastAsiaTheme="minorEastAsia"/>
                <w:color w:val="auto"/>
                <w:szCs w:val="24"/>
                <w:highlight w:val="none"/>
              </w:rPr>
              <w:t>0的公式计算其得分。</w:t>
            </w:r>
          </w:p>
          <w:p w14:paraId="26113ACD">
            <w:pPr>
              <w:widowControl/>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4.投标报价不完整的，不进入评标基准价的计算，本项得0分。</w:t>
            </w:r>
          </w:p>
        </w:tc>
        <w:tc>
          <w:tcPr>
            <w:tcW w:w="670" w:type="pct"/>
            <w:vAlign w:val="center"/>
          </w:tcPr>
          <w:p w14:paraId="14A1C0CD">
            <w:pPr>
              <w:spacing w:line="520" w:lineRule="exact"/>
              <w:jc w:val="center"/>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10分</w:t>
            </w:r>
          </w:p>
        </w:tc>
        <w:tc>
          <w:tcPr>
            <w:tcW w:w="379" w:type="pct"/>
            <w:vMerge w:val="continue"/>
            <w:tcBorders/>
            <w:vAlign w:val="center"/>
          </w:tcPr>
          <w:p w14:paraId="3AD9944C">
            <w:pPr>
              <w:spacing w:line="520" w:lineRule="exact"/>
              <w:jc w:val="center"/>
              <w:rPr>
                <w:rFonts w:cs="宋体" w:asciiTheme="minorEastAsia" w:hAnsiTheme="minorEastAsia" w:eastAsiaTheme="minorEastAsia"/>
                <w:color w:val="auto"/>
                <w:szCs w:val="24"/>
                <w:highlight w:val="none"/>
              </w:rPr>
            </w:pPr>
          </w:p>
        </w:tc>
      </w:tr>
      <w:tr w14:paraId="1EC2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restart"/>
            <w:vAlign w:val="center"/>
          </w:tcPr>
          <w:p w14:paraId="5A66EA45">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技术评审</w:t>
            </w:r>
          </w:p>
        </w:tc>
        <w:tc>
          <w:tcPr>
            <w:tcW w:w="441" w:type="pct"/>
            <w:vMerge w:val="restart"/>
            <w:vAlign w:val="center"/>
          </w:tcPr>
          <w:p w14:paraId="78DF3CD9">
            <w:pPr>
              <w:spacing w:line="520" w:lineRule="exact"/>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lang w:val="en-US" w:eastAsia="zh-CN"/>
              </w:rPr>
              <w:t>64</w:t>
            </w:r>
            <w:r>
              <w:rPr>
                <w:rFonts w:hint="eastAsia" w:cs="宋体" w:asciiTheme="minorEastAsia" w:hAnsiTheme="minorEastAsia" w:eastAsiaTheme="minorEastAsia"/>
                <w:b/>
                <w:bCs/>
                <w:color w:val="auto"/>
                <w:szCs w:val="24"/>
                <w:highlight w:val="none"/>
              </w:rPr>
              <w:t>分</w:t>
            </w:r>
          </w:p>
        </w:tc>
        <w:tc>
          <w:tcPr>
            <w:tcW w:w="3069" w:type="pct"/>
            <w:vAlign w:val="center"/>
          </w:tcPr>
          <w:p w14:paraId="2A5DA6F1">
            <w:pPr>
              <w:spacing w:line="520" w:lineRule="exact"/>
              <w:rPr>
                <w:rFonts w:hint="eastAsia"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b/>
                <w:bCs/>
                <w:color w:val="auto"/>
                <w:szCs w:val="24"/>
                <w:highlight w:val="none"/>
                <w:lang w:val="en-US" w:eastAsia="zh-CN"/>
              </w:rPr>
              <w:t>服务方案：</w:t>
            </w:r>
          </w:p>
          <w:p w14:paraId="5BB1B289">
            <w:pPr>
              <w:spacing w:line="520" w:lineRule="exact"/>
              <w:rPr>
                <w:rFonts w:hint="eastAsia" w:cs="宋体" w:asciiTheme="minorEastAsia" w:hAnsiTheme="minorEastAsia" w:eastAsiaTheme="minorEastAsia"/>
                <w:color w:val="auto"/>
                <w:szCs w:val="24"/>
                <w:highlight w:val="none"/>
                <w:lang w:val="zh-CN"/>
              </w:rPr>
            </w:pPr>
            <w:r>
              <w:rPr>
                <w:rFonts w:hint="eastAsia" w:cs="宋体" w:asciiTheme="minorEastAsia" w:hAnsiTheme="minorEastAsia" w:eastAsiaTheme="minorEastAsia"/>
                <w:color w:val="auto"/>
                <w:szCs w:val="24"/>
                <w:highlight w:val="none"/>
                <w:lang w:val="zh-CN"/>
              </w:rPr>
              <w:t>一、评审内容</w:t>
            </w:r>
          </w:p>
          <w:p w14:paraId="2224898F">
            <w:pPr>
              <w:spacing w:line="520" w:lineRule="exact"/>
              <w:rPr>
                <w:rFonts w:hint="eastAsia" w:cs="宋体" w:asciiTheme="minorEastAsia" w:hAnsiTheme="minorEastAsia" w:eastAsiaTheme="minorEastAsia"/>
                <w:color w:val="auto"/>
                <w:szCs w:val="24"/>
                <w:highlight w:val="none"/>
                <w:lang w:val="zh-CN"/>
              </w:rPr>
            </w:pPr>
            <w:r>
              <w:rPr>
                <w:rFonts w:hint="eastAsia" w:cs="宋体" w:asciiTheme="minorEastAsia" w:hAnsiTheme="minorEastAsia" w:eastAsiaTheme="minorEastAsia"/>
                <w:color w:val="auto"/>
                <w:szCs w:val="24"/>
                <w:highlight w:val="none"/>
                <w:lang w:val="zh-CN"/>
              </w:rPr>
              <w:t>1、投标人根据招标文件内容及要求做出具体响应内容、列出具体的</w:t>
            </w:r>
            <w:r>
              <w:rPr>
                <w:rFonts w:hint="eastAsia" w:cs="宋体" w:asciiTheme="minorEastAsia" w:hAnsiTheme="minorEastAsia" w:eastAsiaTheme="minorEastAsia"/>
                <w:color w:val="auto"/>
                <w:szCs w:val="24"/>
                <w:highlight w:val="none"/>
                <w:lang w:val="en-US" w:eastAsia="zh-CN"/>
              </w:rPr>
              <w:t>人员聘用方案</w:t>
            </w:r>
            <w:r>
              <w:rPr>
                <w:rFonts w:hint="eastAsia" w:cs="宋体" w:asciiTheme="minorEastAsia" w:hAnsiTheme="minorEastAsia" w:eastAsiaTheme="minorEastAsia"/>
                <w:color w:val="auto"/>
                <w:szCs w:val="24"/>
                <w:highlight w:val="none"/>
                <w:lang w:val="zh-CN"/>
              </w:rPr>
              <w:t>；</w:t>
            </w:r>
          </w:p>
          <w:p w14:paraId="3E7DBCEC">
            <w:pPr>
              <w:numPr>
                <w:ilvl w:val="0"/>
                <w:numId w:val="0"/>
              </w:numPr>
              <w:spacing w:line="520" w:lineRule="exact"/>
              <w:ind w:left="0" w:leftChars="0" w:firstLine="0" w:firstLineChars="0"/>
              <w:rPr>
                <w:rFonts w:hint="eastAsia" w:cs="宋体" w:asciiTheme="minorEastAsia" w:hAnsiTheme="minorEastAsia" w:eastAsiaTheme="minorEastAsia"/>
                <w:color w:val="auto"/>
                <w:szCs w:val="24"/>
                <w:highlight w:val="none"/>
                <w:lang w:val="zh-CN"/>
              </w:rPr>
            </w:pPr>
            <w:r>
              <w:rPr>
                <w:rFonts w:hint="eastAsia" w:cs="宋体" w:asciiTheme="minorEastAsia" w:hAnsiTheme="minorEastAsia" w:eastAsiaTheme="minorEastAsia"/>
                <w:color w:val="auto"/>
                <w:sz w:val="24"/>
                <w:szCs w:val="24"/>
                <w:lang w:val="en-US" w:eastAsia="zh-CN" w:bidi="ar-SA"/>
              </w:rPr>
              <w:t>2</w:t>
            </w:r>
            <w:r>
              <w:rPr>
                <w:rFonts w:hint="eastAsia" w:cs="宋体" w:asciiTheme="minorEastAsia" w:hAnsiTheme="minorEastAsia" w:eastAsiaTheme="minorEastAsia"/>
                <w:color w:val="auto"/>
                <w:sz w:val="24"/>
                <w:szCs w:val="24"/>
                <w:lang w:val="zh-CN" w:eastAsia="zh-CN" w:bidi="ar-SA"/>
              </w:rPr>
              <w:t>、</w:t>
            </w:r>
            <w:r>
              <w:rPr>
                <w:rFonts w:hint="eastAsia" w:cs="宋体" w:asciiTheme="minorEastAsia" w:hAnsiTheme="minorEastAsia" w:eastAsiaTheme="minorEastAsia"/>
                <w:color w:val="auto"/>
                <w:szCs w:val="24"/>
                <w:highlight w:val="none"/>
                <w:lang w:val="zh-CN" w:eastAsia="zh-CN"/>
              </w:rPr>
              <w:t>针对本项目提供《人员管理规范》建立常态化招聘渠道提供详细的描述；</w:t>
            </w:r>
          </w:p>
          <w:p w14:paraId="4EED2416">
            <w:pPr>
              <w:spacing w:line="520" w:lineRule="exact"/>
              <w:rPr>
                <w:rFonts w:hint="eastAsia" w:cs="宋体" w:asciiTheme="minorEastAsia" w:hAnsiTheme="minorEastAsia" w:eastAsiaTheme="minorEastAsia"/>
                <w:color w:val="auto"/>
                <w:szCs w:val="24"/>
                <w:highlight w:val="none"/>
                <w:lang w:val="zh-CN"/>
              </w:rPr>
            </w:pPr>
            <w:r>
              <w:rPr>
                <w:rFonts w:hint="eastAsia" w:cs="宋体" w:asciiTheme="minorEastAsia" w:hAnsiTheme="minorEastAsia" w:eastAsiaTheme="minorEastAsia"/>
                <w:color w:val="auto"/>
                <w:szCs w:val="24"/>
                <w:highlight w:val="none"/>
                <w:lang w:val="zh-CN"/>
              </w:rPr>
              <w:t>3、针对本项目情况及采购人要求，岗前培训、技能提升培训、新业务培训对投入本项目服务人员进行岗位培训；</w:t>
            </w:r>
          </w:p>
          <w:p w14:paraId="3B047180">
            <w:pPr>
              <w:spacing w:line="520" w:lineRule="exact"/>
              <w:rPr>
                <w:rFonts w:hint="eastAsia"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en-US" w:eastAsia="zh-CN"/>
              </w:rPr>
              <w:t>4、</w:t>
            </w:r>
            <w:r>
              <w:rPr>
                <w:rFonts w:hint="eastAsia" w:cs="宋体" w:asciiTheme="minorEastAsia" w:hAnsiTheme="minorEastAsia" w:eastAsiaTheme="minorEastAsia"/>
                <w:color w:val="auto"/>
                <w:szCs w:val="24"/>
                <w:highlight w:val="none"/>
                <w:lang w:val="zh-CN"/>
              </w:rPr>
              <w:t>具有完善的档案资料管理和移交工作制度；</w:t>
            </w:r>
          </w:p>
          <w:p w14:paraId="22D003F5">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二、赋分标准</w:t>
            </w:r>
          </w:p>
          <w:p w14:paraId="529EE43B">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每个单项内容完整</w:t>
            </w:r>
            <w:r>
              <w:rPr>
                <w:rFonts w:hint="eastAsia" w:cs="宋体" w:asciiTheme="minorEastAsia" w:hAnsiTheme="minorEastAsia" w:eastAsiaTheme="minorEastAsia"/>
                <w:color w:val="auto"/>
                <w:szCs w:val="24"/>
                <w:highlight w:val="none"/>
                <w:lang w:val="en-US" w:eastAsia="zh-CN"/>
              </w:rPr>
              <w:t>丰富</w:t>
            </w:r>
            <w:r>
              <w:rPr>
                <w:rFonts w:hint="eastAsia" w:cs="宋体" w:asciiTheme="minorEastAsia" w:hAnsiTheme="minorEastAsia" w:eastAsiaTheme="minorEastAsia"/>
                <w:color w:val="auto"/>
                <w:szCs w:val="24"/>
                <w:highlight w:val="none"/>
                <w:lang w:val="zh-CN" w:eastAsia="zh-CN"/>
              </w:rPr>
              <w:t>、思路明晰合理、科学、实用、针对性强得</w:t>
            </w:r>
            <w:r>
              <w:rPr>
                <w:rFonts w:hint="eastAsia" w:cs="宋体" w:asciiTheme="minorEastAsia" w:hAnsiTheme="minorEastAsia" w:eastAsiaTheme="minorEastAsia"/>
                <w:color w:val="auto"/>
                <w:szCs w:val="24"/>
                <w:highlight w:val="none"/>
                <w:lang w:val="en-US" w:eastAsia="zh-CN"/>
              </w:rPr>
              <w:t>5</w:t>
            </w:r>
            <w:r>
              <w:rPr>
                <w:rFonts w:hint="eastAsia" w:cs="宋体" w:asciiTheme="minorEastAsia" w:hAnsiTheme="minorEastAsia" w:eastAsiaTheme="minorEastAsia"/>
                <w:color w:val="auto"/>
                <w:szCs w:val="24"/>
                <w:highlight w:val="none"/>
                <w:lang w:val="zh-CN" w:eastAsia="zh-CN"/>
              </w:rPr>
              <w:t>分；</w:t>
            </w:r>
          </w:p>
          <w:p w14:paraId="709E885D">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每个单项内容相对完整、思路相对明晰合理、科学、实用、针对性相对合理得</w:t>
            </w:r>
            <w:r>
              <w:rPr>
                <w:rFonts w:hint="eastAsia" w:cs="宋体" w:asciiTheme="minorEastAsia" w:hAnsiTheme="minorEastAsia" w:eastAsiaTheme="minorEastAsia"/>
                <w:color w:val="auto"/>
                <w:szCs w:val="24"/>
                <w:highlight w:val="none"/>
                <w:lang w:val="en-US" w:eastAsia="zh-CN"/>
              </w:rPr>
              <w:t>4</w:t>
            </w:r>
            <w:r>
              <w:rPr>
                <w:rFonts w:hint="eastAsia" w:cs="宋体" w:asciiTheme="minorEastAsia" w:hAnsiTheme="minorEastAsia" w:eastAsiaTheme="minorEastAsia"/>
                <w:color w:val="auto"/>
                <w:szCs w:val="24"/>
                <w:highlight w:val="none"/>
                <w:lang w:val="zh-CN" w:eastAsia="zh-CN"/>
              </w:rPr>
              <w:t>分；</w:t>
            </w:r>
          </w:p>
          <w:p w14:paraId="3712A967">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w:t>
            </w:r>
            <w:r>
              <w:rPr>
                <w:rFonts w:hint="eastAsia" w:cs="宋体" w:asciiTheme="minorEastAsia" w:hAnsiTheme="minorEastAsia" w:eastAsiaTheme="minorEastAsia"/>
                <w:color w:val="auto"/>
                <w:szCs w:val="24"/>
                <w:highlight w:val="none"/>
                <w:lang w:val="en-US" w:eastAsia="zh-CN"/>
              </w:rPr>
              <w:t>基本完整具有可行性，针对性一般得3分；</w:t>
            </w:r>
          </w:p>
          <w:p w14:paraId="0C952E66">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每个单项内容不够完整、思路不够明晰合理、针对性相对</w:t>
            </w:r>
            <w:r>
              <w:rPr>
                <w:rFonts w:hint="eastAsia" w:cs="宋体" w:asciiTheme="minorEastAsia" w:hAnsiTheme="minorEastAsia" w:eastAsiaTheme="minorEastAsia"/>
                <w:color w:val="auto"/>
                <w:szCs w:val="24"/>
                <w:highlight w:val="none"/>
                <w:lang w:val="en-US" w:eastAsia="zh-CN"/>
              </w:rPr>
              <w:t>弱</w:t>
            </w:r>
            <w:r>
              <w:rPr>
                <w:rFonts w:hint="eastAsia" w:cs="宋体" w:asciiTheme="minorEastAsia" w:hAnsiTheme="minorEastAsia" w:eastAsiaTheme="minorEastAsia"/>
                <w:color w:val="auto"/>
                <w:szCs w:val="24"/>
                <w:highlight w:val="none"/>
                <w:lang w:val="zh-CN" w:eastAsia="zh-CN"/>
              </w:rPr>
              <w:t>得</w:t>
            </w:r>
            <w:r>
              <w:rPr>
                <w:rFonts w:hint="eastAsia" w:cs="宋体" w:asciiTheme="minorEastAsia" w:hAnsiTheme="minorEastAsia" w:eastAsiaTheme="minorEastAsia"/>
                <w:color w:val="auto"/>
                <w:szCs w:val="24"/>
                <w:highlight w:val="none"/>
                <w:lang w:val="en-US" w:eastAsia="zh-CN"/>
              </w:rPr>
              <w:t>2</w:t>
            </w:r>
            <w:r>
              <w:rPr>
                <w:rFonts w:hint="eastAsia" w:cs="宋体" w:asciiTheme="minorEastAsia" w:hAnsiTheme="minorEastAsia" w:eastAsiaTheme="minorEastAsia"/>
                <w:color w:val="auto"/>
                <w:szCs w:val="24"/>
                <w:highlight w:val="none"/>
                <w:lang w:val="zh-CN" w:eastAsia="zh-CN"/>
              </w:rPr>
              <w:t>分；</w:t>
            </w:r>
          </w:p>
          <w:p w14:paraId="76B32FD4">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w:t>
            </w:r>
            <w:r>
              <w:rPr>
                <w:rFonts w:hint="eastAsia" w:cs="宋体" w:asciiTheme="minorEastAsia" w:hAnsiTheme="minorEastAsia" w:eastAsiaTheme="minorEastAsia"/>
                <w:color w:val="auto"/>
                <w:szCs w:val="24"/>
                <w:highlight w:val="none"/>
                <w:lang w:val="en-US" w:eastAsia="zh-CN"/>
              </w:rPr>
              <w:t>简略</w:t>
            </w:r>
            <w:r>
              <w:rPr>
                <w:rFonts w:hint="eastAsia" w:cs="宋体" w:asciiTheme="minorEastAsia" w:hAnsiTheme="minorEastAsia" w:eastAsiaTheme="minorEastAsia"/>
                <w:color w:val="auto"/>
                <w:szCs w:val="24"/>
                <w:highlight w:val="none"/>
                <w:lang w:val="zh-CN" w:eastAsia="zh-CN"/>
              </w:rPr>
              <w:t>、可行</w:t>
            </w:r>
            <w:r>
              <w:rPr>
                <w:rFonts w:hint="eastAsia" w:cs="宋体" w:asciiTheme="minorEastAsia" w:hAnsiTheme="minorEastAsia" w:eastAsiaTheme="minorEastAsia"/>
                <w:color w:val="auto"/>
                <w:szCs w:val="24"/>
                <w:highlight w:val="none"/>
                <w:lang w:val="en-US" w:eastAsia="zh-CN"/>
              </w:rPr>
              <w:t>性存在不足</w:t>
            </w:r>
            <w:r>
              <w:rPr>
                <w:rFonts w:hint="eastAsia" w:cs="宋体" w:asciiTheme="minorEastAsia" w:hAnsiTheme="minorEastAsia" w:eastAsiaTheme="minorEastAsia"/>
                <w:color w:val="auto"/>
                <w:szCs w:val="24"/>
                <w:highlight w:val="none"/>
                <w:lang w:val="zh-CN" w:eastAsia="zh-CN"/>
              </w:rPr>
              <w:t>得</w:t>
            </w:r>
            <w:r>
              <w:rPr>
                <w:rFonts w:hint="eastAsia" w:cs="宋体" w:asciiTheme="minorEastAsia" w:hAnsiTheme="minorEastAsia" w:eastAsiaTheme="minorEastAsia"/>
                <w:color w:val="auto"/>
                <w:szCs w:val="24"/>
                <w:highlight w:val="none"/>
                <w:lang w:val="en-US" w:eastAsia="zh-CN"/>
              </w:rPr>
              <w:t>1</w:t>
            </w:r>
            <w:r>
              <w:rPr>
                <w:rFonts w:hint="eastAsia" w:cs="宋体" w:asciiTheme="minorEastAsia" w:hAnsiTheme="minorEastAsia" w:eastAsiaTheme="minorEastAsia"/>
                <w:color w:val="auto"/>
                <w:szCs w:val="24"/>
                <w:highlight w:val="none"/>
                <w:lang w:val="zh-CN" w:eastAsia="zh-CN"/>
              </w:rPr>
              <w:t>分；</w:t>
            </w:r>
          </w:p>
          <w:p w14:paraId="795E39CE">
            <w:pPr>
              <w:spacing w:line="520" w:lineRule="exact"/>
              <w:rPr>
                <w:color w:val="auto"/>
                <w:highlight w:val="none"/>
              </w:rPr>
            </w:pPr>
            <w:r>
              <w:rPr>
                <w:rFonts w:hint="eastAsia" w:cs="宋体" w:asciiTheme="minorEastAsia" w:hAnsiTheme="minorEastAsia" w:eastAsiaTheme="minorEastAsia"/>
                <w:color w:val="auto"/>
                <w:szCs w:val="24"/>
                <w:highlight w:val="none"/>
                <w:lang w:val="zh-CN" w:eastAsia="zh-CN"/>
              </w:rPr>
              <w:t>未提供相关内容不得分</w:t>
            </w:r>
            <w:r>
              <w:rPr>
                <w:rFonts w:hint="eastAsia" w:cs="宋体" w:asciiTheme="minorEastAsia" w:hAnsiTheme="minorEastAsia" w:eastAsiaTheme="minorEastAsia"/>
                <w:color w:val="auto"/>
                <w:szCs w:val="24"/>
                <w:highlight w:val="none"/>
              </w:rPr>
              <w:t>。</w:t>
            </w:r>
          </w:p>
        </w:tc>
        <w:tc>
          <w:tcPr>
            <w:tcW w:w="670" w:type="pct"/>
            <w:vAlign w:val="center"/>
          </w:tcPr>
          <w:p w14:paraId="45B67655">
            <w:pPr>
              <w:spacing w:line="520" w:lineRule="exact"/>
              <w:jc w:val="center"/>
              <w:rPr>
                <w:color w:val="auto"/>
                <w:highlight w:val="none"/>
              </w:rPr>
            </w:pPr>
            <w:r>
              <w:rPr>
                <w:rFonts w:hint="eastAsia"/>
                <w:color w:val="auto"/>
                <w:highlight w:val="none"/>
                <w:lang w:val="en-US" w:eastAsia="zh-CN"/>
              </w:rPr>
              <w:t>20</w:t>
            </w:r>
            <w:r>
              <w:rPr>
                <w:rFonts w:hint="eastAsia"/>
                <w:color w:val="auto"/>
                <w:highlight w:val="none"/>
              </w:rPr>
              <w:t>分</w:t>
            </w:r>
          </w:p>
        </w:tc>
        <w:tc>
          <w:tcPr>
            <w:tcW w:w="379" w:type="pct"/>
            <w:vMerge w:val="continue"/>
            <w:tcBorders/>
            <w:vAlign w:val="center"/>
          </w:tcPr>
          <w:p w14:paraId="0988EB81">
            <w:pPr>
              <w:spacing w:line="520" w:lineRule="exact"/>
              <w:jc w:val="center"/>
              <w:rPr>
                <w:rFonts w:cs="宋体" w:asciiTheme="minorEastAsia" w:hAnsiTheme="minorEastAsia" w:eastAsiaTheme="minorEastAsia"/>
                <w:color w:val="auto"/>
                <w:szCs w:val="24"/>
                <w:highlight w:val="none"/>
              </w:rPr>
            </w:pPr>
          </w:p>
        </w:tc>
      </w:tr>
      <w:tr w14:paraId="4569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continue"/>
            <w:vAlign w:val="center"/>
          </w:tcPr>
          <w:p w14:paraId="22DA481F">
            <w:pPr>
              <w:spacing w:line="520" w:lineRule="exact"/>
              <w:jc w:val="center"/>
              <w:rPr>
                <w:rFonts w:hint="eastAsia" w:cs="宋体" w:asciiTheme="minorEastAsia" w:hAnsiTheme="minorEastAsia" w:eastAsiaTheme="minorEastAsia"/>
                <w:b/>
                <w:color w:val="auto"/>
                <w:szCs w:val="24"/>
                <w:highlight w:val="none"/>
              </w:rPr>
            </w:pPr>
          </w:p>
        </w:tc>
        <w:tc>
          <w:tcPr>
            <w:tcW w:w="441" w:type="pct"/>
            <w:vMerge w:val="continue"/>
            <w:vAlign w:val="center"/>
          </w:tcPr>
          <w:p w14:paraId="75F7E2AD">
            <w:pPr>
              <w:spacing w:line="520" w:lineRule="exact"/>
              <w:rPr>
                <w:rFonts w:hint="eastAsia" w:cs="宋体" w:asciiTheme="minorEastAsia" w:hAnsiTheme="minorEastAsia" w:eastAsiaTheme="minorEastAsia"/>
                <w:b/>
                <w:bCs/>
                <w:color w:val="auto"/>
                <w:szCs w:val="24"/>
                <w:highlight w:val="none"/>
                <w:lang w:val="en-US" w:eastAsia="zh-CN"/>
              </w:rPr>
            </w:pPr>
          </w:p>
        </w:tc>
        <w:tc>
          <w:tcPr>
            <w:tcW w:w="3069" w:type="pct"/>
            <w:vAlign w:val="center"/>
          </w:tcPr>
          <w:p w14:paraId="3F105DB2">
            <w:pPr>
              <w:spacing w:line="520" w:lineRule="exact"/>
              <w:rPr>
                <w:rFonts w:hint="default"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b/>
                <w:bCs/>
                <w:color w:val="auto"/>
                <w:szCs w:val="24"/>
                <w:highlight w:val="none"/>
                <w:lang w:val="en-US" w:eastAsia="zh-CN"/>
              </w:rPr>
              <w:t>应急预案管理方案：</w:t>
            </w:r>
          </w:p>
          <w:p w14:paraId="0CE78246">
            <w:pPr>
              <w:spacing w:line="520" w:lineRule="exact"/>
              <w:rPr>
                <w:rFonts w:hint="eastAsia"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zh-CN"/>
              </w:rPr>
              <w:t>一、评审内容</w:t>
            </w:r>
          </w:p>
          <w:p w14:paraId="46BA09B5">
            <w:pPr>
              <w:spacing w:line="520" w:lineRule="exact"/>
              <w:rPr>
                <w:rFonts w:hint="eastAsia" w:cs="宋体" w:asciiTheme="minorEastAsia" w:hAnsiTheme="minorEastAsia" w:eastAsiaTheme="minorEastAsia"/>
                <w:color w:val="auto"/>
                <w:szCs w:val="24"/>
                <w:highlight w:val="none"/>
                <w:lang w:val="zh-CN"/>
              </w:rPr>
            </w:pPr>
            <w:r>
              <w:rPr>
                <w:rFonts w:hint="eastAsia" w:cs="宋体" w:asciiTheme="minorEastAsia" w:hAnsiTheme="minorEastAsia" w:eastAsiaTheme="minorEastAsia"/>
                <w:color w:val="auto"/>
                <w:szCs w:val="24"/>
                <w:highlight w:val="none"/>
                <w:lang w:val="en-US" w:eastAsia="zh-CN"/>
              </w:rPr>
              <w:t>1、</w:t>
            </w:r>
            <w:r>
              <w:rPr>
                <w:rFonts w:hint="eastAsia" w:cs="宋体" w:asciiTheme="minorEastAsia" w:hAnsiTheme="minorEastAsia" w:eastAsiaTheme="minorEastAsia"/>
                <w:color w:val="auto"/>
                <w:szCs w:val="24"/>
                <w:highlight w:val="none"/>
                <w:lang w:val="zh-CN" w:eastAsia="zh-CN"/>
              </w:rPr>
              <w:t>投标</w:t>
            </w:r>
            <w:r>
              <w:rPr>
                <w:rFonts w:hint="eastAsia" w:cs="宋体" w:asciiTheme="minorEastAsia" w:hAnsiTheme="minorEastAsia" w:eastAsiaTheme="minorEastAsia"/>
                <w:color w:val="auto"/>
                <w:szCs w:val="24"/>
                <w:highlight w:val="none"/>
                <w:lang w:val="zh-CN"/>
              </w:rPr>
              <w:t>人具有具体的针对劳务纠纷的处理办法及形式；</w:t>
            </w:r>
          </w:p>
          <w:p w14:paraId="3FA49346">
            <w:pPr>
              <w:numPr>
                <w:ilvl w:val="0"/>
                <w:numId w:val="0"/>
              </w:numPr>
              <w:spacing w:line="520" w:lineRule="exact"/>
              <w:ind w:left="0" w:leftChars="0" w:firstLine="0" w:firstLineChars="0"/>
              <w:rPr>
                <w:rFonts w:hint="default"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en-US" w:eastAsia="zh-CN"/>
              </w:rPr>
              <w:t>2、具有可行完善的突发事件处理预案管理措施；</w:t>
            </w:r>
          </w:p>
          <w:p w14:paraId="6A884E50">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二、赋分标准</w:t>
            </w:r>
          </w:p>
          <w:p w14:paraId="0FDAC13E">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每个单项内容完整</w:t>
            </w:r>
            <w:r>
              <w:rPr>
                <w:rFonts w:hint="eastAsia" w:cs="宋体" w:asciiTheme="minorEastAsia" w:hAnsiTheme="minorEastAsia" w:eastAsiaTheme="minorEastAsia"/>
                <w:color w:val="auto"/>
                <w:szCs w:val="24"/>
                <w:highlight w:val="none"/>
                <w:lang w:val="en-US" w:eastAsia="zh-CN"/>
              </w:rPr>
              <w:t>丰富</w:t>
            </w:r>
            <w:r>
              <w:rPr>
                <w:rFonts w:hint="eastAsia" w:cs="宋体" w:asciiTheme="minorEastAsia" w:hAnsiTheme="minorEastAsia" w:eastAsiaTheme="minorEastAsia"/>
                <w:color w:val="auto"/>
                <w:szCs w:val="24"/>
                <w:highlight w:val="none"/>
                <w:lang w:val="zh-CN" w:eastAsia="zh-CN"/>
              </w:rPr>
              <w:t>、思路明晰合理、科学、实用、针对性强得</w:t>
            </w:r>
            <w:r>
              <w:rPr>
                <w:rFonts w:hint="eastAsia" w:cs="宋体" w:asciiTheme="minorEastAsia" w:hAnsiTheme="minorEastAsia" w:eastAsiaTheme="minorEastAsia"/>
                <w:color w:val="auto"/>
                <w:szCs w:val="24"/>
                <w:highlight w:val="none"/>
                <w:lang w:val="en-US" w:eastAsia="zh-CN"/>
              </w:rPr>
              <w:t>5</w:t>
            </w:r>
            <w:r>
              <w:rPr>
                <w:rFonts w:hint="eastAsia" w:cs="宋体" w:asciiTheme="minorEastAsia" w:hAnsiTheme="minorEastAsia" w:eastAsiaTheme="minorEastAsia"/>
                <w:color w:val="auto"/>
                <w:szCs w:val="24"/>
                <w:highlight w:val="none"/>
                <w:lang w:val="zh-CN" w:eastAsia="zh-CN"/>
              </w:rPr>
              <w:t>分；</w:t>
            </w:r>
          </w:p>
          <w:p w14:paraId="01CC10FA">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每个单项内容相对完整、思路相对明晰合理、科学、实用、</w:t>
            </w:r>
            <w:r>
              <w:rPr>
                <w:rFonts w:hint="eastAsia" w:cs="宋体" w:asciiTheme="minorEastAsia" w:hAnsiTheme="minorEastAsia" w:eastAsiaTheme="minorEastAsia"/>
                <w:color w:val="auto"/>
                <w:szCs w:val="24"/>
                <w:highlight w:val="none"/>
                <w:lang w:val="en-US" w:eastAsia="zh-CN"/>
              </w:rPr>
              <w:t>有一定的针对性</w:t>
            </w:r>
            <w:r>
              <w:rPr>
                <w:rFonts w:hint="eastAsia" w:cs="宋体" w:asciiTheme="minorEastAsia" w:hAnsiTheme="minorEastAsia" w:eastAsiaTheme="minorEastAsia"/>
                <w:color w:val="auto"/>
                <w:szCs w:val="24"/>
                <w:highlight w:val="none"/>
                <w:lang w:val="zh-CN" w:eastAsia="zh-CN"/>
              </w:rPr>
              <w:t>得</w:t>
            </w:r>
            <w:r>
              <w:rPr>
                <w:rFonts w:hint="eastAsia" w:cs="宋体" w:asciiTheme="minorEastAsia" w:hAnsiTheme="minorEastAsia" w:eastAsiaTheme="minorEastAsia"/>
                <w:color w:val="auto"/>
                <w:szCs w:val="24"/>
                <w:highlight w:val="none"/>
                <w:lang w:val="en-US" w:eastAsia="zh-CN"/>
              </w:rPr>
              <w:t>4</w:t>
            </w:r>
            <w:r>
              <w:rPr>
                <w:rFonts w:hint="eastAsia" w:cs="宋体" w:asciiTheme="minorEastAsia" w:hAnsiTheme="minorEastAsia" w:eastAsiaTheme="minorEastAsia"/>
                <w:color w:val="auto"/>
                <w:szCs w:val="24"/>
                <w:highlight w:val="none"/>
                <w:lang w:val="zh-CN" w:eastAsia="zh-CN"/>
              </w:rPr>
              <w:t>分；</w:t>
            </w:r>
          </w:p>
          <w:p w14:paraId="2165805A">
            <w:pPr>
              <w:spacing w:line="520" w:lineRule="exact"/>
              <w:rPr>
                <w:rFonts w:hint="default"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zh-CN" w:eastAsia="zh-CN"/>
              </w:rPr>
              <w:t>每个单项内容</w:t>
            </w:r>
            <w:r>
              <w:rPr>
                <w:rFonts w:hint="eastAsia" w:cs="宋体" w:asciiTheme="minorEastAsia" w:hAnsiTheme="minorEastAsia" w:eastAsiaTheme="minorEastAsia"/>
                <w:color w:val="auto"/>
                <w:szCs w:val="24"/>
                <w:highlight w:val="none"/>
                <w:lang w:val="en-US" w:eastAsia="zh-CN"/>
              </w:rPr>
              <w:t>基本完整具有可行性，针对性一般得3分；</w:t>
            </w:r>
          </w:p>
          <w:p w14:paraId="25185021">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每个单项内容不够完整、思路不够明晰合理、针对性相对弱得</w:t>
            </w:r>
            <w:r>
              <w:rPr>
                <w:rFonts w:hint="eastAsia" w:cs="宋体" w:asciiTheme="minorEastAsia" w:hAnsiTheme="minorEastAsia" w:eastAsiaTheme="minorEastAsia"/>
                <w:color w:val="auto"/>
                <w:szCs w:val="24"/>
                <w:highlight w:val="none"/>
                <w:lang w:val="en-US" w:eastAsia="zh-CN"/>
              </w:rPr>
              <w:t>2</w:t>
            </w:r>
            <w:r>
              <w:rPr>
                <w:rFonts w:hint="eastAsia" w:cs="宋体" w:asciiTheme="minorEastAsia" w:hAnsiTheme="minorEastAsia" w:eastAsiaTheme="minorEastAsia"/>
                <w:color w:val="auto"/>
                <w:szCs w:val="24"/>
                <w:highlight w:val="none"/>
                <w:lang w:val="zh-CN" w:eastAsia="zh-CN"/>
              </w:rPr>
              <w:t>分；</w:t>
            </w:r>
          </w:p>
          <w:p w14:paraId="65F069B6">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w:t>
            </w:r>
            <w:r>
              <w:rPr>
                <w:rFonts w:hint="eastAsia" w:cs="宋体" w:asciiTheme="minorEastAsia" w:hAnsiTheme="minorEastAsia" w:eastAsiaTheme="minorEastAsia"/>
                <w:color w:val="auto"/>
                <w:szCs w:val="24"/>
                <w:highlight w:val="none"/>
                <w:lang w:val="en-US" w:eastAsia="zh-CN"/>
              </w:rPr>
              <w:t>简略</w:t>
            </w:r>
            <w:r>
              <w:rPr>
                <w:rFonts w:hint="eastAsia" w:cs="宋体" w:asciiTheme="minorEastAsia" w:hAnsiTheme="minorEastAsia" w:eastAsiaTheme="minorEastAsia"/>
                <w:color w:val="auto"/>
                <w:szCs w:val="24"/>
                <w:highlight w:val="none"/>
                <w:lang w:val="zh-CN" w:eastAsia="zh-CN"/>
              </w:rPr>
              <w:t>、可行</w:t>
            </w:r>
            <w:r>
              <w:rPr>
                <w:rFonts w:hint="eastAsia" w:cs="宋体" w:asciiTheme="minorEastAsia" w:hAnsiTheme="minorEastAsia" w:eastAsiaTheme="minorEastAsia"/>
                <w:color w:val="auto"/>
                <w:szCs w:val="24"/>
                <w:highlight w:val="none"/>
                <w:lang w:val="en-US" w:eastAsia="zh-CN"/>
              </w:rPr>
              <w:t>性存在不足</w:t>
            </w:r>
            <w:r>
              <w:rPr>
                <w:rFonts w:hint="eastAsia" w:cs="宋体" w:asciiTheme="minorEastAsia" w:hAnsiTheme="minorEastAsia" w:eastAsiaTheme="minorEastAsia"/>
                <w:color w:val="auto"/>
                <w:szCs w:val="24"/>
                <w:highlight w:val="none"/>
                <w:lang w:val="zh-CN" w:eastAsia="zh-CN"/>
              </w:rPr>
              <w:t>得</w:t>
            </w:r>
            <w:r>
              <w:rPr>
                <w:rFonts w:hint="eastAsia" w:cs="宋体" w:asciiTheme="minorEastAsia" w:hAnsiTheme="minorEastAsia" w:eastAsiaTheme="minorEastAsia"/>
                <w:color w:val="auto"/>
                <w:szCs w:val="24"/>
                <w:highlight w:val="none"/>
                <w:lang w:val="en-US" w:eastAsia="zh-CN"/>
              </w:rPr>
              <w:t>1</w:t>
            </w:r>
            <w:r>
              <w:rPr>
                <w:rFonts w:hint="eastAsia" w:cs="宋体" w:asciiTheme="minorEastAsia" w:hAnsiTheme="minorEastAsia" w:eastAsiaTheme="minorEastAsia"/>
                <w:color w:val="auto"/>
                <w:szCs w:val="24"/>
                <w:highlight w:val="none"/>
                <w:lang w:val="zh-CN" w:eastAsia="zh-CN"/>
              </w:rPr>
              <w:t>分；</w:t>
            </w:r>
          </w:p>
          <w:p w14:paraId="4CFB72CB">
            <w:pPr>
              <w:numPr>
                <w:ilvl w:val="0"/>
                <w:numId w:val="0"/>
              </w:numPr>
              <w:spacing w:line="520" w:lineRule="exact"/>
              <w:ind w:left="0" w:leftChars="0" w:firstLine="0" w:firstLineChars="0"/>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未提供相关内容不得分</w:t>
            </w:r>
            <w:r>
              <w:rPr>
                <w:rFonts w:hint="eastAsia" w:cs="宋体" w:asciiTheme="minorEastAsia" w:hAnsiTheme="minorEastAsia" w:eastAsiaTheme="minorEastAsia"/>
                <w:color w:val="auto"/>
                <w:szCs w:val="24"/>
                <w:highlight w:val="none"/>
              </w:rPr>
              <w:t>。</w:t>
            </w:r>
          </w:p>
        </w:tc>
        <w:tc>
          <w:tcPr>
            <w:tcW w:w="670" w:type="pct"/>
            <w:vAlign w:val="center"/>
          </w:tcPr>
          <w:p w14:paraId="520508F1">
            <w:pPr>
              <w:spacing w:line="520" w:lineRule="exact"/>
              <w:jc w:val="center"/>
              <w:rPr>
                <w:rFonts w:hint="default"/>
                <w:color w:val="auto"/>
                <w:highlight w:val="none"/>
                <w:lang w:val="en-US" w:eastAsia="zh-CN"/>
              </w:rPr>
            </w:pPr>
            <w:r>
              <w:rPr>
                <w:rFonts w:hint="eastAsia"/>
                <w:color w:val="auto"/>
                <w:highlight w:val="none"/>
                <w:lang w:val="en-US" w:eastAsia="zh-CN"/>
              </w:rPr>
              <w:t>10分</w:t>
            </w:r>
          </w:p>
        </w:tc>
        <w:tc>
          <w:tcPr>
            <w:tcW w:w="379" w:type="pct"/>
            <w:vMerge w:val="continue"/>
            <w:tcBorders/>
            <w:vAlign w:val="center"/>
          </w:tcPr>
          <w:p w14:paraId="031412E1">
            <w:pPr>
              <w:spacing w:line="520" w:lineRule="exact"/>
              <w:jc w:val="center"/>
              <w:rPr>
                <w:rFonts w:cs="宋体" w:asciiTheme="minorEastAsia" w:hAnsiTheme="minorEastAsia" w:eastAsiaTheme="minorEastAsia"/>
                <w:color w:val="auto"/>
                <w:szCs w:val="24"/>
                <w:highlight w:val="none"/>
              </w:rPr>
            </w:pPr>
          </w:p>
        </w:tc>
      </w:tr>
      <w:tr w14:paraId="0C70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continue"/>
            <w:vAlign w:val="center"/>
          </w:tcPr>
          <w:p w14:paraId="43DB78F1">
            <w:pPr>
              <w:spacing w:line="520" w:lineRule="exact"/>
              <w:jc w:val="center"/>
              <w:rPr>
                <w:rFonts w:cs="宋体" w:asciiTheme="minorEastAsia" w:hAnsiTheme="minorEastAsia" w:eastAsiaTheme="minorEastAsia"/>
                <w:b/>
                <w:color w:val="auto"/>
                <w:szCs w:val="24"/>
                <w:highlight w:val="none"/>
              </w:rPr>
            </w:pPr>
          </w:p>
        </w:tc>
        <w:tc>
          <w:tcPr>
            <w:tcW w:w="441" w:type="pct"/>
            <w:vMerge w:val="continue"/>
            <w:vAlign w:val="center"/>
          </w:tcPr>
          <w:p w14:paraId="0D5A4230">
            <w:pPr>
              <w:spacing w:line="520" w:lineRule="exact"/>
              <w:rPr>
                <w:rFonts w:cs="宋体" w:asciiTheme="minorEastAsia" w:hAnsiTheme="minorEastAsia" w:eastAsiaTheme="minorEastAsia"/>
                <w:b/>
                <w:bCs/>
                <w:color w:val="auto"/>
                <w:szCs w:val="24"/>
                <w:highlight w:val="none"/>
              </w:rPr>
            </w:pPr>
          </w:p>
        </w:tc>
        <w:tc>
          <w:tcPr>
            <w:tcW w:w="3069" w:type="pct"/>
            <w:vAlign w:val="center"/>
          </w:tcPr>
          <w:p w14:paraId="438ED8AE">
            <w:pPr>
              <w:spacing w:line="520" w:lineRule="exact"/>
              <w:rPr>
                <w:rFonts w:hint="eastAsia" w:eastAsiaTheme="minorEastAsia"/>
                <w:color w:val="auto"/>
                <w:highlight w:val="none"/>
                <w:lang w:val="en-US" w:eastAsia="zh-CN"/>
              </w:rPr>
            </w:pPr>
            <w:r>
              <w:rPr>
                <w:rFonts w:hint="eastAsia" w:eastAsiaTheme="minorEastAsia"/>
                <w:b/>
                <w:bCs/>
                <w:color w:val="auto"/>
                <w:highlight w:val="none"/>
                <w:lang w:val="en-US" w:eastAsia="zh-CN"/>
              </w:rPr>
              <w:t>考核方案：</w:t>
            </w:r>
          </w:p>
          <w:p w14:paraId="77BC8016">
            <w:pPr>
              <w:spacing w:line="520" w:lineRule="exact"/>
              <w:rPr>
                <w:rFonts w:hint="eastAsia" w:eastAsiaTheme="minorEastAsia"/>
                <w:color w:val="auto"/>
                <w:highlight w:val="none"/>
                <w:lang w:val="zh-CN"/>
              </w:rPr>
            </w:pPr>
            <w:r>
              <w:rPr>
                <w:rFonts w:hint="eastAsia" w:eastAsiaTheme="minorEastAsia"/>
                <w:color w:val="auto"/>
                <w:highlight w:val="none"/>
                <w:lang w:val="zh-CN"/>
              </w:rPr>
              <w:t>一、评审内容</w:t>
            </w:r>
          </w:p>
          <w:p w14:paraId="6F9FF4C9">
            <w:pPr>
              <w:spacing w:line="520" w:lineRule="exact"/>
              <w:rPr>
                <w:rFonts w:hint="default" w:eastAsiaTheme="minorEastAsia"/>
                <w:color w:val="auto"/>
                <w:highlight w:val="none"/>
                <w:lang w:val="en-US" w:eastAsia="zh-CN"/>
              </w:rPr>
            </w:pPr>
            <w:r>
              <w:rPr>
                <w:rFonts w:hint="eastAsia" w:cs="宋体" w:asciiTheme="minorEastAsia" w:hAnsiTheme="minorEastAsia" w:eastAsiaTheme="minorEastAsia"/>
                <w:color w:val="auto"/>
                <w:szCs w:val="24"/>
                <w:highlight w:val="none"/>
                <w:lang w:val="en-US" w:eastAsia="zh-CN"/>
              </w:rPr>
              <w:t>投标人</w:t>
            </w:r>
            <w:r>
              <w:rPr>
                <w:rFonts w:hint="default" w:cs="宋体" w:asciiTheme="minorEastAsia" w:hAnsiTheme="minorEastAsia" w:eastAsiaTheme="minorEastAsia"/>
                <w:color w:val="auto"/>
                <w:szCs w:val="24"/>
                <w:highlight w:val="none"/>
                <w:lang w:val="en-US" w:eastAsia="zh-CN"/>
              </w:rPr>
              <w:t>针对本项目</w:t>
            </w:r>
            <w:r>
              <w:rPr>
                <w:rFonts w:hint="eastAsia" w:cs="宋体" w:asciiTheme="minorEastAsia" w:hAnsiTheme="minorEastAsia" w:eastAsiaTheme="minorEastAsia"/>
                <w:color w:val="auto"/>
                <w:szCs w:val="24"/>
                <w:highlight w:val="none"/>
                <w:lang w:val="en-US" w:eastAsia="zh-CN"/>
              </w:rPr>
              <w:t>的</w:t>
            </w:r>
            <w:r>
              <w:rPr>
                <w:rFonts w:hint="eastAsia" w:eastAsiaTheme="minorEastAsia"/>
                <w:color w:val="auto"/>
                <w:highlight w:val="none"/>
                <w:lang w:val="zh-CN"/>
              </w:rPr>
              <w:t>工作人员实际出勤情况、现场工作纪律和业务能力等方面</w:t>
            </w:r>
            <w:r>
              <w:rPr>
                <w:rFonts w:hint="eastAsia" w:eastAsiaTheme="minorEastAsia"/>
                <w:color w:val="auto"/>
                <w:highlight w:val="none"/>
                <w:lang w:val="en-US" w:eastAsia="zh-CN"/>
              </w:rPr>
              <w:t>提供详细考核方案</w:t>
            </w:r>
            <w:r>
              <w:rPr>
                <w:rFonts w:hint="eastAsia" w:eastAsiaTheme="minorEastAsia"/>
                <w:color w:val="auto"/>
                <w:highlight w:val="none"/>
                <w:lang w:val="zh-CN"/>
              </w:rPr>
              <w:t>；</w:t>
            </w:r>
          </w:p>
          <w:p w14:paraId="575419BF">
            <w:pPr>
              <w:spacing w:line="520" w:lineRule="exact"/>
              <w:rPr>
                <w:rFonts w:hint="eastAsia" w:eastAsiaTheme="minorEastAsia"/>
                <w:color w:val="auto"/>
                <w:highlight w:val="none"/>
                <w:lang w:val="zh-CN" w:eastAsia="zh-CN"/>
              </w:rPr>
            </w:pPr>
            <w:r>
              <w:rPr>
                <w:rFonts w:hint="eastAsia" w:eastAsiaTheme="minorEastAsia"/>
                <w:color w:val="auto"/>
                <w:highlight w:val="none"/>
                <w:lang w:val="zh-CN" w:eastAsia="zh-CN"/>
              </w:rPr>
              <w:t>二、赋分标准</w:t>
            </w:r>
          </w:p>
          <w:p w14:paraId="45E874C7">
            <w:pPr>
              <w:spacing w:line="520" w:lineRule="exact"/>
              <w:rPr>
                <w:rFonts w:hint="eastAsia" w:eastAsiaTheme="minorEastAsia"/>
                <w:color w:val="auto"/>
                <w:highlight w:val="none"/>
                <w:lang w:val="zh-CN" w:eastAsia="zh-CN"/>
              </w:rPr>
            </w:pPr>
            <w:r>
              <w:rPr>
                <w:rFonts w:hint="eastAsia" w:eastAsiaTheme="minorEastAsia"/>
                <w:color w:val="auto"/>
                <w:highlight w:val="none"/>
                <w:lang w:val="en-US" w:eastAsia="zh-CN"/>
              </w:rPr>
              <w:t>考核</w:t>
            </w:r>
            <w:r>
              <w:rPr>
                <w:rFonts w:hint="eastAsia" w:eastAsiaTheme="minorEastAsia"/>
                <w:color w:val="auto"/>
                <w:highlight w:val="none"/>
                <w:lang w:val="zh-CN" w:eastAsia="zh-CN"/>
              </w:rPr>
              <w:t>内容完整、思路明晰合理、科学、实用、针对性强得</w:t>
            </w:r>
            <w:r>
              <w:rPr>
                <w:rFonts w:hint="eastAsia" w:eastAsiaTheme="minorEastAsia"/>
                <w:color w:val="auto"/>
                <w:highlight w:val="none"/>
                <w:lang w:val="en-US" w:eastAsia="zh-CN"/>
              </w:rPr>
              <w:t>5</w:t>
            </w:r>
            <w:r>
              <w:rPr>
                <w:rFonts w:hint="eastAsia" w:eastAsiaTheme="minorEastAsia"/>
                <w:color w:val="auto"/>
                <w:highlight w:val="none"/>
                <w:lang w:val="zh-CN" w:eastAsia="zh-CN"/>
              </w:rPr>
              <w:t>分；</w:t>
            </w:r>
          </w:p>
          <w:p w14:paraId="5B21E3F6">
            <w:pPr>
              <w:spacing w:line="520" w:lineRule="exact"/>
              <w:rPr>
                <w:rFonts w:hint="eastAsia" w:eastAsiaTheme="minorEastAsia"/>
                <w:color w:val="auto"/>
                <w:highlight w:val="none"/>
                <w:lang w:val="zh-CN" w:eastAsia="zh-CN"/>
              </w:rPr>
            </w:pPr>
            <w:r>
              <w:rPr>
                <w:rFonts w:hint="eastAsia" w:eastAsiaTheme="minorEastAsia"/>
                <w:color w:val="auto"/>
                <w:highlight w:val="none"/>
                <w:lang w:val="en-US" w:eastAsia="zh-CN"/>
              </w:rPr>
              <w:t>考核</w:t>
            </w:r>
            <w:r>
              <w:rPr>
                <w:rFonts w:hint="eastAsia" w:eastAsiaTheme="minorEastAsia"/>
                <w:color w:val="auto"/>
                <w:highlight w:val="none"/>
                <w:lang w:val="zh-CN" w:eastAsia="zh-CN"/>
              </w:rPr>
              <w:t>内容相对完整、思路相对明晰合理、科学、实用、针对性相对合理得</w:t>
            </w:r>
            <w:r>
              <w:rPr>
                <w:rFonts w:hint="eastAsia" w:eastAsiaTheme="minorEastAsia"/>
                <w:color w:val="auto"/>
                <w:highlight w:val="none"/>
                <w:lang w:val="en-US" w:eastAsia="zh-CN"/>
              </w:rPr>
              <w:t>4</w:t>
            </w:r>
            <w:r>
              <w:rPr>
                <w:rFonts w:hint="eastAsia" w:eastAsiaTheme="minorEastAsia"/>
                <w:color w:val="auto"/>
                <w:highlight w:val="none"/>
                <w:lang w:val="zh-CN" w:eastAsia="zh-CN"/>
              </w:rPr>
              <w:t>分；</w:t>
            </w:r>
          </w:p>
          <w:p w14:paraId="3F1469D0">
            <w:pPr>
              <w:spacing w:line="520" w:lineRule="exact"/>
              <w:rPr>
                <w:rFonts w:hint="eastAsia" w:eastAsiaTheme="minorEastAsia"/>
                <w:color w:val="auto"/>
                <w:highlight w:val="none"/>
                <w:lang w:val="zh-CN" w:eastAsia="zh-CN"/>
              </w:rPr>
            </w:pPr>
            <w:r>
              <w:rPr>
                <w:rFonts w:hint="eastAsia" w:cs="宋体" w:asciiTheme="minorEastAsia" w:hAnsiTheme="minorEastAsia" w:eastAsiaTheme="minorEastAsia"/>
                <w:color w:val="auto"/>
                <w:szCs w:val="24"/>
                <w:highlight w:val="none"/>
                <w:lang w:val="en-US" w:eastAsia="zh-CN"/>
              </w:rPr>
              <w:t>考核</w:t>
            </w:r>
            <w:r>
              <w:rPr>
                <w:rFonts w:hint="eastAsia" w:cs="宋体" w:asciiTheme="minorEastAsia" w:hAnsiTheme="minorEastAsia" w:eastAsiaTheme="minorEastAsia"/>
                <w:color w:val="auto"/>
                <w:szCs w:val="24"/>
                <w:highlight w:val="none"/>
                <w:lang w:val="zh-CN" w:eastAsia="zh-CN"/>
              </w:rPr>
              <w:t>内容</w:t>
            </w:r>
            <w:r>
              <w:rPr>
                <w:rFonts w:hint="eastAsia" w:cs="宋体" w:asciiTheme="minorEastAsia" w:hAnsiTheme="minorEastAsia" w:eastAsiaTheme="minorEastAsia"/>
                <w:color w:val="auto"/>
                <w:szCs w:val="24"/>
                <w:highlight w:val="none"/>
                <w:lang w:val="en-US" w:eastAsia="zh-CN"/>
              </w:rPr>
              <w:t>基本完整具有可行性，针对性一般得3分；</w:t>
            </w:r>
          </w:p>
          <w:p w14:paraId="5B294219">
            <w:pPr>
              <w:spacing w:line="520" w:lineRule="exact"/>
              <w:rPr>
                <w:rFonts w:hint="eastAsia" w:eastAsiaTheme="minorEastAsia"/>
                <w:color w:val="auto"/>
                <w:highlight w:val="none"/>
                <w:lang w:val="zh-CN" w:eastAsia="zh-CN"/>
              </w:rPr>
            </w:pPr>
            <w:r>
              <w:rPr>
                <w:rFonts w:hint="eastAsia" w:eastAsiaTheme="minorEastAsia"/>
                <w:color w:val="auto"/>
                <w:highlight w:val="none"/>
                <w:lang w:val="en-US" w:eastAsia="zh-CN"/>
              </w:rPr>
              <w:t>考核</w:t>
            </w:r>
            <w:r>
              <w:rPr>
                <w:rFonts w:hint="eastAsia" w:eastAsiaTheme="minorEastAsia"/>
                <w:color w:val="auto"/>
                <w:highlight w:val="none"/>
                <w:lang w:val="zh-CN" w:eastAsia="zh-CN"/>
              </w:rPr>
              <w:t>内容不够完整、思路不够明晰合理、针对性相对弱得</w:t>
            </w:r>
            <w:r>
              <w:rPr>
                <w:rFonts w:hint="eastAsia" w:eastAsiaTheme="minorEastAsia"/>
                <w:color w:val="auto"/>
                <w:highlight w:val="none"/>
                <w:lang w:val="en-US" w:eastAsia="zh-CN"/>
              </w:rPr>
              <w:t>2</w:t>
            </w:r>
            <w:r>
              <w:rPr>
                <w:rFonts w:hint="eastAsia" w:eastAsiaTheme="minorEastAsia"/>
                <w:color w:val="auto"/>
                <w:highlight w:val="none"/>
                <w:lang w:val="zh-CN" w:eastAsia="zh-CN"/>
              </w:rPr>
              <w:t>分；</w:t>
            </w:r>
          </w:p>
          <w:p w14:paraId="402D0F1C">
            <w:pPr>
              <w:spacing w:line="520" w:lineRule="exact"/>
              <w:rPr>
                <w:rFonts w:hint="default" w:eastAsiaTheme="minorEastAsia"/>
                <w:color w:val="auto"/>
                <w:highlight w:val="none"/>
                <w:lang w:val="en-US" w:eastAsia="zh-CN"/>
              </w:rPr>
            </w:pPr>
            <w:r>
              <w:rPr>
                <w:rFonts w:hint="eastAsia" w:cs="宋体" w:asciiTheme="minorEastAsia" w:hAnsiTheme="minorEastAsia" w:eastAsiaTheme="minorEastAsia"/>
                <w:color w:val="auto"/>
                <w:szCs w:val="24"/>
                <w:highlight w:val="none"/>
                <w:lang w:val="en-US" w:eastAsia="zh-CN"/>
              </w:rPr>
              <w:t>考核</w:t>
            </w:r>
            <w:r>
              <w:rPr>
                <w:rFonts w:hint="default" w:cs="宋体" w:asciiTheme="minorEastAsia" w:hAnsiTheme="minorEastAsia" w:eastAsiaTheme="minorEastAsia"/>
                <w:color w:val="auto"/>
                <w:szCs w:val="24"/>
                <w:highlight w:val="none"/>
                <w:lang w:val="en-US" w:eastAsia="zh-CN"/>
              </w:rPr>
              <w:t>内容简略、可行性存在不足得</w:t>
            </w:r>
            <w:r>
              <w:rPr>
                <w:rFonts w:hint="eastAsia" w:cs="宋体" w:asciiTheme="minorEastAsia" w:hAnsiTheme="minorEastAsia" w:eastAsiaTheme="minorEastAsia"/>
                <w:color w:val="auto"/>
                <w:szCs w:val="24"/>
                <w:highlight w:val="none"/>
                <w:lang w:val="en-US" w:eastAsia="zh-CN"/>
              </w:rPr>
              <w:t>1</w:t>
            </w:r>
            <w:r>
              <w:rPr>
                <w:rFonts w:hint="default" w:cs="宋体" w:asciiTheme="minorEastAsia" w:hAnsiTheme="minorEastAsia" w:eastAsiaTheme="minorEastAsia"/>
                <w:color w:val="auto"/>
                <w:szCs w:val="24"/>
                <w:highlight w:val="none"/>
                <w:lang w:val="en-US" w:eastAsia="zh-CN"/>
              </w:rPr>
              <w:t>分</w:t>
            </w:r>
            <w:r>
              <w:rPr>
                <w:rFonts w:hint="eastAsia" w:cs="宋体" w:asciiTheme="minorEastAsia" w:hAnsiTheme="minorEastAsia" w:eastAsiaTheme="minorEastAsia"/>
                <w:color w:val="auto"/>
                <w:szCs w:val="24"/>
                <w:highlight w:val="none"/>
                <w:lang w:val="en-US" w:eastAsia="zh-CN"/>
              </w:rPr>
              <w:t>；</w:t>
            </w:r>
          </w:p>
          <w:p w14:paraId="0B7CEDE7">
            <w:pPr>
              <w:spacing w:line="520" w:lineRule="exact"/>
              <w:rPr>
                <w:rFonts w:eastAsiaTheme="minorEastAsia"/>
                <w:color w:val="auto"/>
                <w:highlight w:val="none"/>
              </w:rPr>
            </w:pPr>
            <w:r>
              <w:rPr>
                <w:rFonts w:hint="eastAsia" w:eastAsiaTheme="minorEastAsia"/>
                <w:color w:val="auto"/>
                <w:highlight w:val="none"/>
                <w:lang w:val="zh-CN" w:eastAsia="zh-CN"/>
              </w:rPr>
              <w:t>未提供相关内容不得分。</w:t>
            </w:r>
          </w:p>
        </w:tc>
        <w:tc>
          <w:tcPr>
            <w:tcW w:w="670" w:type="pct"/>
            <w:vAlign w:val="center"/>
          </w:tcPr>
          <w:p w14:paraId="19FB13EB">
            <w:pPr>
              <w:spacing w:line="520" w:lineRule="exact"/>
              <w:jc w:val="center"/>
              <w:rPr>
                <w:rFonts w:hint="eastAsia"/>
                <w:color w:val="auto"/>
                <w:highlight w:val="none"/>
              </w:rPr>
            </w:pPr>
            <w:r>
              <w:rPr>
                <w:rFonts w:hint="eastAsia"/>
                <w:color w:val="auto"/>
                <w:highlight w:val="none"/>
                <w:lang w:val="en-US" w:eastAsia="zh-CN"/>
              </w:rPr>
              <w:t>5</w:t>
            </w:r>
            <w:r>
              <w:rPr>
                <w:rFonts w:hint="eastAsia"/>
                <w:color w:val="auto"/>
                <w:highlight w:val="none"/>
              </w:rPr>
              <w:t>分</w:t>
            </w:r>
          </w:p>
        </w:tc>
        <w:tc>
          <w:tcPr>
            <w:tcW w:w="379" w:type="pct"/>
            <w:vMerge w:val="continue"/>
            <w:tcBorders/>
            <w:vAlign w:val="center"/>
          </w:tcPr>
          <w:p w14:paraId="0923E553">
            <w:pPr>
              <w:spacing w:line="520" w:lineRule="exact"/>
              <w:jc w:val="center"/>
              <w:rPr>
                <w:rFonts w:cs="宋体" w:asciiTheme="minorEastAsia" w:hAnsiTheme="minorEastAsia" w:eastAsiaTheme="minorEastAsia"/>
                <w:color w:val="auto"/>
                <w:szCs w:val="24"/>
                <w:highlight w:val="none"/>
              </w:rPr>
            </w:pPr>
          </w:p>
        </w:tc>
      </w:tr>
      <w:tr w14:paraId="1ACE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continue"/>
            <w:vAlign w:val="center"/>
          </w:tcPr>
          <w:p w14:paraId="2611AFFD">
            <w:pPr>
              <w:spacing w:line="520" w:lineRule="exact"/>
              <w:jc w:val="center"/>
              <w:rPr>
                <w:rFonts w:cs="宋体" w:asciiTheme="minorEastAsia" w:hAnsiTheme="minorEastAsia" w:eastAsiaTheme="minorEastAsia"/>
                <w:b/>
                <w:color w:val="auto"/>
                <w:szCs w:val="24"/>
                <w:highlight w:val="none"/>
              </w:rPr>
            </w:pPr>
          </w:p>
        </w:tc>
        <w:tc>
          <w:tcPr>
            <w:tcW w:w="441" w:type="pct"/>
            <w:vMerge w:val="continue"/>
            <w:vAlign w:val="center"/>
          </w:tcPr>
          <w:p w14:paraId="0760DCF7">
            <w:pPr>
              <w:spacing w:line="520" w:lineRule="exact"/>
              <w:rPr>
                <w:rFonts w:cs="宋体" w:asciiTheme="minorEastAsia" w:hAnsiTheme="minorEastAsia" w:eastAsiaTheme="minorEastAsia"/>
                <w:b/>
                <w:bCs/>
                <w:color w:val="auto"/>
                <w:szCs w:val="24"/>
                <w:highlight w:val="none"/>
              </w:rPr>
            </w:pPr>
          </w:p>
        </w:tc>
        <w:tc>
          <w:tcPr>
            <w:tcW w:w="3069" w:type="pct"/>
            <w:vAlign w:val="center"/>
          </w:tcPr>
          <w:p w14:paraId="33659B8B">
            <w:pPr>
              <w:spacing w:line="520" w:lineRule="exact"/>
              <w:rPr>
                <w:rFonts w:hint="default" w:eastAsiaTheme="minorEastAsia"/>
                <w:color w:val="auto"/>
                <w:highlight w:val="none"/>
                <w:lang w:val="en-US" w:eastAsia="zh-CN"/>
              </w:rPr>
            </w:pPr>
            <w:r>
              <w:rPr>
                <w:rFonts w:hint="eastAsia" w:eastAsiaTheme="minorEastAsia"/>
                <w:b/>
                <w:bCs/>
                <w:color w:val="auto"/>
                <w:highlight w:val="none"/>
                <w:lang w:val="en-US" w:eastAsia="zh-CN"/>
              </w:rPr>
              <w:t>考核相关管理制度：</w:t>
            </w:r>
          </w:p>
          <w:p w14:paraId="08B9B994">
            <w:pPr>
              <w:spacing w:line="520" w:lineRule="exact"/>
              <w:rPr>
                <w:rFonts w:hint="default" w:eastAsiaTheme="minorEastAsia"/>
                <w:color w:val="auto"/>
                <w:highlight w:val="none"/>
                <w:lang w:val="en-US" w:eastAsia="zh-CN"/>
              </w:rPr>
            </w:pPr>
            <w:r>
              <w:rPr>
                <w:rFonts w:hint="eastAsia" w:eastAsiaTheme="minorEastAsia"/>
                <w:color w:val="auto"/>
                <w:highlight w:val="none"/>
                <w:lang w:val="en-US" w:eastAsia="zh-CN"/>
              </w:rPr>
              <w:t>一、评审内容</w:t>
            </w:r>
          </w:p>
          <w:p w14:paraId="413BE2F1">
            <w:pPr>
              <w:spacing w:line="520" w:lineRule="exact"/>
              <w:rPr>
                <w:rFonts w:hint="eastAsia" w:eastAsiaTheme="minorEastAsia"/>
                <w:color w:val="auto"/>
                <w:highlight w:val="none"/>
                <w:lang w:val="zh-CN"/>
              </w:rPr>
            </w:pPr>
            <w:r>
              <w:rPr>
                <w:rFonts w:hint="eastAsia" w:eastAsiaTheme="minorEastAsia"/>
                <w:color w:val="auto"/>
                <w:highlight w:val="none"/>
                <w:lang w:val="en-US" w:eastAsia="zh-CN"/>
              </w:rPr>
              <w:t>1</w:t>
            </w:r>
            <w:r>
              <w:rPr>
                <w:rFonts w:hint="eastAsia" w:eastAsiaTheme="minorEastAsia"/>
                <w:color w:val="auto"/>
                <w:highlight w:val="none"/>
                <w:lang w:val="zh-CN"/>
              </w:rPr>
              <w:t>、根据有关法律法规和实际情况制定《请销假管理制度及考核办法》；</w:t>
            </w:r>
          </w:p>
          <w:p w14:paraId="08C294C6">
            <w:pPr>
              <w:spacing w:line="520" w:lineRule="exact"/>
              <w:rPr>
                <w:rFonts w:hint="eastAsia" w:eastAsiaTheme="minorEastAsia"/>
                <w:color w:val="auto"/>
                <w:highlight w:val="none"/>
                <w:lang w:val="zh-CN"/>
              </w:rPr>
            </w:pPr>
            <w:r>
              <w:rPr>
                <w:rFonts w:hint="eastAsia" w:eastAsiaTheme="minorEastAsia"/>
                <w:color w:val="auto"/>
                <w:highlight w:val="none"/>
                <w:lang w:val="en-US" w:eastAsia="zh-CN"/>
              </w:rPr>
              <w:t>2</w:t>
            </w:r>
            <w:r>
              <w:rPr>
                <w:rFonts w:hint="eastAsia" w:eastAsiaTheme="minorEastAsia"/>
                <w:color w:val="auto"/>
                <w:highlight w:val="none"/>
                <w:lang w:val="zh-CN"/>
              </w:rPr>
              <w:t>、根据有关法律法规和各岗位实际情况制定《岗位考核细则》；</w:t>
            </w:r>
          </w:p>
          <w:p w14:paraId="43BC5974">
            <w:pPr>
              <w:spacing w:line="520" w:lineRule="exact"/>
              <w:rPr>
                <w:rFonts w:hint="eastAsia" w:eastAsiaTheme="minorEastAsia"/>
                <w:color w:val="auto"/>
                <w:highlight w:val="none"/>
                <w:lang w:val="zh-CN"/>
              </w:rPr>
            </w:pPr>
            <w:r>
              <w:rPr>
                <w:rFonts w:hint="eastAsia" w:eastAsiaTheme="minorEastAsia"/>
                <w:color w:val="auto"/>
                <w:highlight w:val="none"/>
                <w:lang w:val="en-US" w:eastAsia="zh-CN"/>
              </w:rPr>
              <w:t>3</w:t>
            </w:r>
            <w:r>
              <w:rPr>
                <w:rFonts w:hint="eastAsia" w:eastAsiaTheme="minorEastAsia"/>
                <w:color w:val="auto"/>
                <w:highlight w:val="none"/>
                <w:lang w:val="zh-CN"/>
              </w:rPr>
              <w:t>、根据有关法律法规和实际情况制定适合本单位工作的《工作人员奖惩制度》；</w:t>
            </w:r>
          </w:p>
          <w:p w14:paraId="3957021E">
            <w:pPr>
              <w:spacing w:line="520" w:lineRule="exact"/>
              <w:rPr>
                <w:rFonts w:hint="eastAsia" w:eastAsiaTheme="minorEastAsia"/>
                <w:color w:val="auto"/>
                <w:highlight w:val="none"/>
                <w:lang w:val="zh-CN"/>
              </w:rPr>
            </w:pPr>
            <w:r>
              <w:rPr>
                <w:rFonts w:hint="eastAsia" w:eastAsiaTheme="minorEastAsia"/>
                <w:color w:val="auto"/>
                <w:highlight w:val="none"/>
                <w:lang w:val="en-US" w:eastAsia="zh-CN"/>
              </w:rPr>
              <w:t>4</w:t>
            </w:r>
            <w:r>
              <w:rPr>
                <w:rFonts w:hint="eastAsia" w:eastAsiaTheme="minorEastAsia"/>
                <w:color w:val="auto"/>
                <w:highlight w:val="none"/>
                <w:lang w:val="zh-CN"/>
              </w:rPr>
              <w:t>、根据有关法律法规和各岗位实际情况制定《绩效考核管理办法》；</w:t>
            </w:r>
          </w:p>
          <w:p w14:paraId="6386A75E">
            <w:pPr>
              <w:spacing w:line="520" w:lineRule="exact"/>
              <w:rPr>
                <w:rFonts w:hint="eastAsia" w:eastAsiaTheme="minorEastAsia"/>
                <w:color w:val="auto"/>
                <w:highlight w:val="none"/>
                <w:lang w:val="zh-CN" w:eastAsia="zh-CN"/>
              </w:rPr>
            </w:pPr>
            <w:r>
              <w:rPr>
                <w:rFonts w:hint="eastAsia" w:eastAsiaTheme="minorEastAsia"/>
                <w:color w:val="auto"/>
                <w:highlight w:val="none"/>
                <w:lang w:val="zh-CN" w:eastAsia="zh-CN"/>
              </w:rPr>
              <w:t>二、赋分标准</w:t>
            </w:r>
          </w:p>
          <w:p w14:paraId="105A0F4C">
            <w:pPr>
              <w:spacing w:line="520" w:lineRule="exact"/>
              <w:rPr>
                <w:rFonts w:hint="eastAsia" w:eastAsiaTheme="minorEastAsia"/>
                <w:color w:val="auto"/>
                <w:highlight w:val="none"/>
                <w:lang w:val="zh-CN" w:eastAsia="zh-CN"/>
              </w:rPr>
            </w:pPr>
            <w:r>
              <w:rPr>
                <w:rFonts w:hint="eastAsia" w:eastAsiaTheme="minorEastAsia"/>
                <w:color w:val="auto"/>
                <w:highlight w:val="none"/>
                <w:lang w:val="zh-CN" w:eastAsia="zh-CN"/>
              </w:rPr>
              <w:t>每个单项内容完整、</w:t>
            </w:r>
            <w:r>
              <w:rPr>
                <w:rFonts w:hint="eastAsia" w:eastAsiaTheme="minorEastAsia"/>
                <w:color w:val="auto"/>
                <w:highlight w:val="none"/>
                <w:lang w:val="en-US" w:eastAsia="zh-CN"/>
              </w:rPr>
              <w:t>制度明确</w:t>
            </w:r>
            <w:r>
              <w:rPr>
                <w:rFonts w:hint="eastAsia" w:eastAsiaTheme="minorEastAsia"/>
                <w:color w:val="auto"/>
                <w:highlight w:val="none"/>
                <w:lang w:val="zh-CN" w:eastAsia="zh-CN"/>
              </w:rPr>
              <w:t>合理、科学、实用，针对性强得</w:t>
            </w:r>
            <w:r>
              <w:rPr>
                <w:rFonts w:hint="eastAsia" w:eastAsiaTheme="minorEastAsia"/>
                <w:color w:val="auto"/>
                <w:highlight w:val="none"/>
                <w:lang w:val="en-US" w:eastAsia="zh-CN"/>
              </w:rPr>
              <w:t>3</w:t>
            </w:r>
            <w:r>
              <w:rPr>
                <w:rFonts w:hint="eastAsia" w:eastAsiaTheme="minorEastAsia"/>
                <w:color w:val="auto"/>
                <w:highlight w:val="none"/>
                <w:lang w:val="zh-CN" w:eastAsia="zh-CN"/>
              </w:rPr>
              <w:t>分；</w:t>
            </w:r>
          </w:p>
          <w:p w14:paraId="5ED10111">
            <w:pPr>
              <w:spacing w:line="520" w:lineRule="exact"/>
              <w:rPr>
                <w:rFonts w:hint="eastAsia" w:eastAsiaTheme="minorEastAsia"/>
                <w:color w:val="auto"/>
                <w:highlight w:val="none"/>
                <w:lang w:val="zh-CN" w:eastAsia="zh-CN"/>
              </w:rPr>
            </w:pPr>
            <w:r>
              <w:rPr>
                <w:rFonts w:hint="eastAsia" w:eastAsiaTheme="minorEastAsia"/>
                <w:color w:val="auto"/>
                <w:highlight w:val="none"/>
                <w:lang w:val="zh-CN" w:eastAsia="zh-CN"/>
              </w:rPr>
              <w:t>每个单项内容相对完整、</w:t>
            </w:r>
            <w:r>
              <w:rPr>
                <w:rFonts w:hint="eastAsia" w:eastAsiaTheme="minorEastAsia"/>
                <w:color w:val="auto"/>
                <w:highlight w:val="none"/>
                <w:lang w:val="en-US" w:eastAsia="zh-CN"/>
              </w:rPr>
              <w:t>制度</w:t>
            </w:r>
            <w:r>
              <w:rPr>
                <w:rFonts w:hint="eastAsia" w:eastAsiaTheme="minorEastAsia"/>
                <w:color w:val="auto"/>
                <w:highlight w:val="none"/>
                <w:lang w:val="zh-CN" w:eastAsia="zh-CN"/>
              </w:rPr>
              <w:t>相对合理、科学、实用，针对性</w:t>
            </w:r>
            <w:r>
              <w:rPr>
                <w:rFonts w:hint="eastAsia" w:eastAsiaTheme="minorEastAsia"/>
                <w:color w:val="auto"/>
                <w:highlight w:val="none"/>
                <w:lang w:val="en-US" w:eastAsia="zh-CN"/>
              </w:rPr>
              <w:t>一般</w:t>
            </w:r>
            <w:r>
              <w:rPr>
                <w:rFonts w:hint="eastAsia" w:eastAsiaTheme="minorEastAsia"/>
                <w:color w:val="auto"/>
                <w:highlight w:val="none"/>
                <w:lang w:val="zh-CN" w:eastAsia="zh-CN"/>
              </w:rPr>
              <w:t>得</w:t>
            </w:r>
            <w:r>
              <w:rPr>
                <w:rFonts w:hint="eastAsia" w:eastAsiaTheme="minorEastAsia"/>
                <w:color w:val="auto"/>
                <w:highlight w:val="none"/>
                <w:lang w:val="en-US" w:eastAsia="zh-CN"/>
              </w:rPr>
              <w:t>2</w:t>
            </w:r>
            <w:r>
              <w:rPr>
                <w:rFonts w:hint="eastAsia" w:eastAsiaTheme="minorEastAsia"/>
                <w:color w:val="auto"/>
                <w:highlight w:val="none"/>
                <w:lang w:val="zh-CN" w:eastAsia="zh-CN"/>
              </w:rPr>
              <w:t>分；</w:t>
            </w:r>
          </w:p>
          <w:p w14:paraId="3CEDB4F0">
            <w:pPr>
              <w:spacing w:line="520" w:lineRule="exact"/>
              <w:rPr>
                <w:rFonts w:hint="default" w:eastAsiaTheme="minorEastAsia"/>
                <w:color w:val="auto"/>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每个单项内容简略、</w:t>
            </w:r>
            <w:r>
              <w:rPr>
                <w:rFonts w:hint="eastAsia" w:cs="宋体" w:asciiTheme="minorEastAsia" w:hAnsiTheme="minorEastAsia" w:eastAsiaTheme="minorEastAsia"/>
                <w:color w:val="auto"/>
                <w:szCs w:val="24"/>
                <w:highlight w:val="none"/>
                <w:lang w:val="en-US" w:eastAsia="zh-CN"/>
              </w:rPr>
              <w:t>针对性差</w:t>
            </w:r>
            <w:r>
              <w:rPr>
                <w:rFonts w:hint="default" w:cs="宋体" w:asciiTheme="minorEastAsia" w:hAnsiTheme="minorEastAsia" w:eastAsiaTheme="minorEastAsia"/>
                <w:color w:val="auto"/>
                <w:szCs w:val="24"/>
                <w:highlight w:val="none"/>
                <w:lang w:val="en-US" w:eastAsia="zh-CN"/>
              </w:rPr>
              <w:t>得</w:t>
            </w:r>
            <w:r>
              <w:rPr>
                <w:rFonts w:hint="eastAsia" w:cs="宋体" w:asciiTheme="minorEastAsia" w:hAnsiTheme="minorEastAsia" w:eastAsiaTheme="minorEastAsia"/>
                <w:color w:val="auto"/>
                <w:szCs w:val="24"/>
                <w:highlight w:val="none"/>
                <w:lang w:val="en-US" w:eastAsia="zh-CN"/>
              </w:rPr>
              <w:t>1</w:t>
            </w:r>
            <w:r>
              <w:rPr>
                <w:rFonts w:hint="default" w:cs="宋体" w:asciiTheme="minorEastAsia" w:hAnsiTheme="minorEastAsia" w:eastAsiaTheme="minorEastAsia"/>
                <w:color w:val="auto"/>
                <w:szCs w:val="24"/>
                <w:highlight w:val="none"/>
                <w:lang w:val="en-US" w:eastAsia="zh-CN"/>
              </w:rPr>
              <w:t>分</w:t>
            </w:r>
            <w:r>
              <w:rPr>
                <w:rFonts w:hint="eastAsia" w:cs="宋体" w:asciiTheme="minorEastAsia" w:hAnsiTheme="minorEastAsia" w:eastAsiaTheme="minorEastAsia"/>
                <w:color w:val="auto"/>
                <w:szCs w:val="24"/>
                <w:highlight w:val="none"/>
                <w:lang w:val="en-US" w:eastAsia="zh-CN"/>
              </w:rPr>
              <w:t>；</w:t>
            </w:r>
          </w:p>
          <w:p w14:paraId="175F4D1D">
            <w:pPr>
              <w:spacing w:line="520" w:lineRule="exact"/>
              <w:rPr>
                <w:rFonts w:hint="eastAsia" w:eastAsiaTheme="minorEastAsia"/>
                <w:color w:val="auto"/>
                <w:highlight w:val="none"/>
                <w:lang w:val="zh-CN" w:eastAsia="zh-CN"/>
              </w:rPr>
            </w:pPr>
            <w:r>
              <w:rPr>
                <w:rFonts w:hint="eastAsia" w:eastAsiaTheme="minorEastAsia"/>
                <w:color w:val="auto"/>
                <w:highlight w:val="none"/>
                <w:lang w:val="zh-CN" w:eastAsia="zh-CN"/>
              </w:rPr>
              <w:t>未提供相关内容不得分。</w:t>
            </w:r>
          </w:p>
        </w:tc>
        <w:tc>
          <w:tcPr>
            <w:tcW w:w="670" w:type="pct"/>
            <w:vAlign w:val="center"/>
          </w:tcPr>
          <w:p w14:paraId="5719D51B">
            <w:pPr>
              <w:spacing w:line="520" w:lineRule="exact"/>
              <w:jc w:val="center"/>
              <w:rPr>
                <w:rFonts w:hint="default"/>
                <w:color w:val="auto"/>
                <w:highlight w:val="none"/>
                <w:lang w:val="en-US" w:eastAsia="zh-CN"/>
              </w:rPr>
            </w:pPr>
            <w:r>
              <w:rPr>
                <w:rFonts w:hint="eastAsia"/>
                <w:color w:val="auto"/>
                <w:highlight w:val="none"/>
                <w:lang w:val="en-US" w:eastAsia="zh-CN"/>
              </w:rPr>
              <w:t>12分</w:t>
            </w:r>
          </w:p>
        </w:tc>
        <w:tc>
          <w:tcPr>
            <w:tcW w:w="379" w:type="pct"/>
            <w:vMerge w:val="continue"/>
            <w:tcBorders/>
            <w:vAlign w:val="center"/>
          </w:tcPr>
          <w:p w14:paraId="49C3E876">
            <w:pPr>
              <w:spacing w:line="520" w:lineRule="exact"/>
              <w:jc w:val="center"/>
              <w:rPr>
                <w:rFonts w:cs="宋体" w:asciiTheme="minorEastAsia" w:hAnsiTheme="minorEastAsia" w:eastAsiaTheme="minorEastAsia"/>
                <w:color w:val="auto"/>
                <w:szCs w:val="24"/>
                <w:highlight w:val="none"/>
              </w:rPr>
            </w:pPr>
          </w:p>
        </w:tc>
      </w:tr>
      <w:tr w14:paraId="1A24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continue"/>
            <w:vAlign w:val="center"/>
          </w:tcPr>
          <w:p w14:paraId="22DAF36C">
            <w:pPr>
              <w:spacing w:line="520" w:lineRule="exact"/>
              <w:jc w:val="center"/>
              <w:rPr>
                <w:rFonts w:cs="宋体" w:asciiTheme="minorEastAsia" w:hAnsiTheme="minorEastAsia" w:eastAsiaTheme="minorEastAsia"/>
                <w:b/>
                <w:color w:val="auto"/>
                <w:szCs w:val="24"/>
                <w:highlight w:val="none"/>
              </w:rPr>
            </w:pPr>
          </w:p>
        </w:tc>
        <w:tc>
          <w:tcPr>
            <w:tcW w:w="441" w:type="pct"/>
            <w:vMerge w:val="continue"/>
            <w:vAlign w:val="center"/>
          </w:tcPr>
          <w:p w14:paraId="742B0010">
            <w:pPr>
              <w:spacing w:line="520" w:lineRule="exact"/>
              <w:rPr>
                <w:rFonts w:cs="宋体" w:asciiTheme="minorEastAsia" w:hAnsiTheme="minorEastAsia" w:eastAsiaTheme="minorEastAsia"/>
                <w:b/>
                <w:bCs/>
                <w:color w:val="auto"/>
                <w:szCs w:val="24"/>
                <w:highlight w:val="none"/>
              </w:rPr>
            </w:pPr>
          </w:p>
        </w:tc>
        <w:tc>
          <w:tcPr>
            <w:tcW w:w="3069" w:type="pct"/>
            <w:vAlign w:val="center"/>
          </w:tcPr>
          <w:p w14:paraId="76051A56">
            <w:pPr>
              <w:spacing w:line="520" w:lineRule="exact"/>
              <w:rPr>
                <w:rFonts w:hint="eastAsia"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b/>
                <w:bCs/>
                <w:color w:val="auto"/>
                <w:szCs w:val="24"/>
                <w:highlight w:val="none"/>
                <w:lang w:val="en-US" w:eastAsia="zh-CN"/>
              </w:rPr>
              <w:t>服务保障措施及方案：</w:t>
            </w:r>
          </w:p>
          <w:p w14:paraId="57049F35">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rPr>
              <w:t>一、评审内容</w:t>
            </w:r>
          </w:p>
          <w:p w14:paraId="59EB598A">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1、</w:t>
            </w:r>
            <w:r>
              <w:rPr>
                <w:rFonts w:hint="eastAsia" w:cs="宋体" w:asciiTheme="minorEastAsia" w:hAnsiTheme="minorEastAsia" w:eastAsiaTheme="minorEastAsia"/>
                <w:color w:val="auto"/>
                <w:szCs w:val="24"/>
                <w:highlight w:val="none"/>
                <w:lang w:val="en-US" w:eastAsia="zh-CN"/>
              </w:rPr>
              <w:t>针对本项目提供</w:t>
            </w:r>
            <w:r>
              <w:rPr>
                <w:rFonts w:hint="eastAsia" w:cs="宋体" w:asciiTheme="minorEastAsia" w:hAnsiTheme="minorEastAsia" w:eastAsiaTheme="minorEastAsia"/>
                <w:color w:val="auto"/>
                <w:szCs w:val="24"/>
                <w:highlight w:val="none"/>
                <w:lang w:val="zh-CN" w:eastAsia="zh-CN"/>
              </w:rPr>
              <w:t>服务保障措施；</w:t>
            </w:r>
          </w:p>
          <w:p w14:paraId="0B09EE26">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2、</w:t>
            </w:r>
            <w:r>
              <w:rPr>
                <w:rFonts w:hint="eastAsia" w:cs="宋体" w:asciiTheme="minorEastAsia" w:hAnsiTheme="minorEastAsia" w:eastAsiaTheme="minorEastAsia"/>
                <w:color w:val="auto"/>
                <w:szCs w:val="24"/>
                <w:highlight w:val="none"/>
                <w:lang w:val="en-US" w:eastAsia="zh-CN"/>
              </w:rPr>
              <w:t>针对本项目</w:t>
            </w:r>
            <w:r>
              <w:rPr>
                <w:rFonts w:hint="eastAsia" w:cs="宋体" w:asciiTheme="minorEastAsia" w:hAnsiTheme="minorEastAsia" w:eastAsiaTheme="minorEastAsia"/>
                <w:color w:val="auto"/>
                <w:szCs w:val="24"/>
                <w:highlight w:val="none"/>
                <w:lang w:val="zh-CN" w:eastAsia="zh-CN"/>
              </w:rPr>
              <w:t>有定期回访方案，保证服务质量；</w:t>
            </w:r>
          </w:p>
          <w:p w14:paraId="5819887F">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二、赋分标准</w:t>
            </w:r>
          </w:p>
          <w:p w14:paraId="7AE8F359">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每个单项内容完整、思路明晰合理、科学、实用、针对性强得</w:t>
            </w:r>
            <w:r>
              <w:rPr>
                <w:rFonts w:hint="eastAsia" w:cs="宋体" w:asciiTheme="minorEastAsia" w:hAnsiTheme="minorEastAsia" w:eastAsiaTheme="minorEastAsia"/>
                <w:color w:val="auto"/>
                <w:szCs w:val="24"/>
                <w:highlight w:val="none"/>
                <w:lang w:val="en-US" w:eastAsia="zh-CN"/>
              </w:rPr>
              <w:t>4</w:t>
            </w:r>
            <w:r>
              <w:rPr>
                <w:rFonts w:hint="eastAsia" w:cs="宋体" w:asciiTheme="minorEastAsia" w:hAnsiTheme="minorEastAsia" w:eastAsiaTheme="minorEastAsia"/>
                <w:color w:val="auto"/>
                <w:szCs w:val="24"/>
                <w:highlight w:val="none"/>
                <w:lang w:val="zh-CN" w:eastAsia="zh-CN"/>
              </w:rPr>
              <w:t>分；</w:t>
            </w:r>
          </w:p>
          <w:p w14:paraId="6A2101A2">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每个单项内容相对完整、思路相对明晰合理、科学、实用、针对性相对合理得</w:t>
            </w:r>
            <w:r>
              <w:rPr>
                <w:rFonts w:hint="eastAsia" w:cs="宋体" w:asciiTheme="minorEastAsia" w:hAnsiTheme="minorEastAsia" w:eastAsiaTheme="minorEastAsia"/>
                <w:color w:val="auto"/>
                <w:szCs w:val="24"/>
                <w:highlight w:val="none"/>
                <w:lang w:val="en-US" w:eastAsia="zh-CN"/>
              </w:rPr>
              <w:t>3</w:t>
            </w:r>
            <w:r>
              <w:rPr>
                <w:rFonts w:hint="eastAsia" w:cs="宋体" w:asciiTheme="minorEastAsia" w:hAnsiTheme="minorEastAsia" w:eastAsiaTheme="minorEastAsia"/>
                <w:color w:val="auto"/>
                <w:szCs w:val="24"/>
                <w:highlight w:val="none"/>
                <w:lang w:val="zh-CN" w:eastAsia="zh-CN"/>
              </w:rPr>
              <w:t>分；</w:t>
            </w:r>
          </w:p>
          <w:p w14:paraId="45673CC1">
            <w:pPr>
              <w:spacing w:line="520" w:lineRule="exact"/>
              <w:rPr>
                <w:rFonts w:hint="eastAsia" w:cs="宋体" w:asciiTheme="minorEastAsia" w:hAnsiTheme="minorEastAsia" w:eastAsiaTheme="minorEastAsia"/>
                <w:color w:val="auto"/>
                <w:szCs w:val="24"/>
                <w:highlight w:val="none"/>
                <w:lang w:val="zh-CN" w:eastAsia="zh-CN"/>
              </w:rPr>
            </w:pPr>
            <w:r>
              <w:rPr>
                <w:rFonts w:hint="eastAsia" w:cs="宋体" w:asciiTheme="minorEastAsia" w:hAnsiTheme="minorEastAsia" w:eastAsiaTheme="minorEastAsia"/>
                <w:color w:val="auto"/>
                <w:szCs w:val="24"/>
                <w:highlight w:val="none"/>
                <w:lang w:val="zh-CN" w:eastAsia="zh-CN"/>
              </w:rPr>
              <w:t>每个单项内容不够完整、思路不够明晰合理、针对性相对弱得</w:t>
            </w:r>
            <w:r>
              <w:rPr>
                <w:rFonts w:hint="eastAsia" w:cs="宋体" w:asciiTheme="minorEastAsia" w:hAnsiTheme="minorEastAsia" w:eastAsiaTheme="minorEastAsia"/>
                <w:color w:val="auto"/>
                <w:szCs w:val="24"/>
                <w:highlight w:val="none"/>
                <w:lang w:val="en-US" w:eastAsia="zh-CN"/>
              </w:rPr>
              <w:t>2</w:t>
            </w:r>
            <w:r>
              <w:rPr>
                <w:rFonts w:hint="eastAsia" w:cs="宋体" w:asciiTheme="minorEastAsia" w:hAnsiTheme="minorEastAsia" w:eastAsiaTheme="minorEastAsia"/>
                <w:color w:val="auto"/>
                <w:szCs w:val="24"/>
                <w:highlight w:val="none"/>
                <w:lang w:val="zh-CN" w:eastAsia="zh-CN"/>
              </w:rPr>
              <w:t>分；</w:t>
            </w:r>
          </w:p>
          <w:p w14:paraId="4A4994C9">
            <w:pPr>
              <w:spacing w:line="520" w:lineRule="exact"/>
              <w:rPr>
                <w:rFonts w:hint="eastAsia" w:cs="宋体" w:asciiTheme="minorEastAsia" w:hAnsiTheme="minorEastAsia" w:eastAsiaTheme="minorEastAsia"/>
                <w:color w:val="auto"/>
                <w:szCs w:val="24"/>
                <w:highlight w:val="none"/>
                <w:lang w:val="zh-CN" w:eastAsia="zh-CN"/>
              </w:rPr>
            </w:pPr>
            <w:r>
              <w:rPr>
                <w:rFonts w:hint="default" w:cs="宋体" w:asciiTheme="minorEastAsia" w:hAnsiTheme="minorEastAsia" w:eastAsiaTheme="minorEastAsia"/>
                <w:color w:val="auto"/>
                <w:szCs w:val="24"/>
                <w:highlight w:val="none"/>
                <w:lang w:val="en-US" w:eastAsia="zh-CN"/>
              </w:rPr>
              <w:t>每个单项内容简略、可行性存在不足得</w:t>
            </w:r>
            <w:r>
              <w:rPr>
                <w:rFonts w:hint="eastAsia" w:cs="宋体" w:asciiTheme="minorEastAsia" w:hAnsiTheme="minorEastAsia" w:eastAsiaTheme="minorEastAsia"/>
                <w:color w:val="auto"/>
                <w:szCs w:val="24"/>
                <w:highlight w:val="none"/>
                <w:lang w:val="en-US" w:eastAsia="zh-CN"/>
              </w:rPr>
              <w:t>1</w:t>
            </w:r>
            <w:r>
              <w:rPr>
                <w:rFonts w:hint="default" w:cs="宋体" w:asciiTheme="minorEastAsia" w:hAnsiTheme="minorEastAsia" w:eastAsiaTheme="minorEastAsia"/>
                <w:color w:val="auto"/>
                <w:szCs w:val="24"/>
                <w:highlight w:val="none"/>
                <w:lang w:val="en-US" w:eastAsia="zh-CN"/>
              </w:rPr>
              <w:t>分</w:t>
            </w:r>
            <w:r>
              <w:rPr>
                <w:rFonts w:hint="eastAsia" w:cs="宋体" w:asciiTheme="minorEastAsia" w:hAnsiTheme="minorEastAsia" w:eastAsiaTheme="minorEastAsia"/>
                <w:color w:val="auto"/>
                <w:szCs w:val="24"/>
                <w:highlight w:val="none"/>
                <w:lang w:val="en-US" w:eastAsia="zh-CN"/>
              </w:rPr>
              <w:t>；</w:t>
            </w:r>
          </w:p>
          <w:p w14:paraId="417216A2">
            <w:pPr>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val="zh-CN" w:eastAsia="zh-CN"/>
              </w:rPr>
              <w:t>未提供相关内容不得分。</w:t>
            </w:r>
          </w:p>
        </w:tc>
        <w:tc>
          <w:tcPr>
            <w:tcW w:w="670" w:type="pct"/>
            <w:vAlign w:val="center"/>
          </w:tcPr>
          <w:p w14:paraId="78D3DD74">
            <w:pPr>
              <w:spacing w:line="520" w:lineRule="exact"/>
              <w:jc w:val="center"/>
              <w:rPr>
                <w:color w:val="auto"/>
                <w:highlight w:val="none"/>
              </w:rPr>
            </w:pPr>
            <w:r>
              <w:rPr>
                <w:rFonts w:hint="eastAsia"/>
                <w:color w:val="auto"/>
                <w:highlight w:val="none"/>
                <w:lang w:val="en-US" w:eastAsia="zh-CN"/>
              </w:rPr>
              <w:t>8</w:t>
            </w:r>
            <w:r>
              <w:rPr>
                <w:rFonts w:hint="eastAsia"/>
                <w:color w:val="auto"/>
                <w:highlight w:val="none"/>
              </w:rPr>
              <w:t>分</w:t>
            </w:r>
          </w:p>
        </w:tc>
        <w:tc>
          <w:tcPr>
            <w:tcW w:w="379" w:type="pct"/>
            <w:vMerge w:val="continue"/>
            <w:tcBorders/>
            <w:vAlign w:val="center"/>
          </w:tcPr>
          <w:p w14:paraId="1321E573">
            <w:pPr>
              <w:spacing w:line="520" w:lineRule="exact"/>
              <w:jc w:val="center"/>
              <w:rPr>
                <w:rFonts w:cs="宋体" w:asciiTheme="minorEastAsia" w:hAnsiTheme="minorEastAsia" w:eastAsiaTheme="minorEastAsia"/>
                <w:color w:val="auto"/>
                <w:szCs w:val="24"/>
                <w:highlight w:val="none"/>
              </w:rPr>
            </w:pPr>
          </w:p>
        </w:tc>
      </w:tr>
      <w:tr w14:paraId="2469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continue"/>
            <w:vAlign w:val="center"/>
          </w:tcPr>
          <w:p w14:paraId="1DC3274C">
            <w:pPr>
              <w:spacing w:line="520" w:lineRule="exact"/>
              <w:jc w:val="center"/>
              <w:rPr>
                <w:rFonts w:cs="宋体" w:asciiTheme="minorEastAsia" w:hAnsiTheme="minorEastAsia" w:eastAsiaTheme="minorEastAsia"/>
                <w:b/>
                <w:color w:val="auto"/>
                <w:szCs w:val="24"/>
                <w:highlight w:val="none"/>
              </w:rPr>
            </w:pPr>
          </w:p>
        </w:tc>
        <w:tc>
          <w:tcPr>
            <w:tcW w:w="441" w:type="pct"/>
            <w:vMerge w:val="continue"/>
            <w:vAlign w:val="center"/>
          </w:tcPr>
          <w:p w14:paraId="70146618">
            <w:pPr>
              <w:spacing w:line="520" w:lineRule="exact"/>
              <w:rPr>
                <w:rFonts w:cs="宋体" w:asciiTheme="minorEastAsia" w:hAnsiTheme="minorEastAsia" w:eastAsiaTheme="minorEastAsia"/>
                <w:b/>
                <w:bCs/>
                <w:color w:val="auto"/>
                <w:szCs w:val="24"/>
                <w:highlight w:val="none"/>
              </w:rPr>
            </w:pPr>
          </w:p>
        </w:tc>
        <w:tc>
          <w:tcPr>
            <w:tcW w:w="3069" w:type="pct"/>
            <w:vAlign w:val="center"/>
          </w:tcPr>
          <w:p w14:paraId="4D88D44A">
            <w:pPr>
              <w:spacing w:line="520" w:lineRule="exact"/>
              <w:rPr>
                <w:rFonts w:hint="eastAsia"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b/>
                <w:bCs/>
                <w:color w:val="auto"/>
                <w:szCs w:val="24"/>
                <w:highlight w:val="none"/>
                <w:lang w:val="en-US" w:eastAsia="zh-CN"/>
              </w:rPr>
              <w:t>安全保证措施：</w:t>
            </w:r>
          </w:p>
          <w:p w14:paraId="45CC571C">
            <w:pPr>
              <w:spacing w:line="520" w:lineRule="exact"/>
              <w:rPr>
                <w:rFonts w:hint="default"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zh-CN"/>
              </w:rPr>
              <w:t>一、评审内容</w:t>
            </w:r>
          </w:p>
          <w:p w14:paraId="6F830177">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结合本项目实际情况，提供安全保证措施。</w:t>
            </w:r>
          </w:p>
          <w:p w14:paraId="1F1EC78F">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措施详细完整、可行性、针对性强，能确保项目安全的得</w:t>
            </w:r>
            <w:r>
              <w:rPr>
                <w:rFonts w:hint="eastAsia" w:cs="宋体" w:asciiTheme="minorEastAsia" w:hAnsiTheme="minorEastAsia" w:eastAsiaTheme="minorEastAsia"/>
                <w:color w:val="auto"/>
                <w:szCs w:val="24"/>
                <w:highlight w:val="none"/>
                <w:lang w:val="en-US" w:eastAsia="zh-CN"/>
              </w:rPr>
              <w:t>5</w:t>
            </w:r>
            <w:r>
              <w:rPr>
                <w:rFonts w:hint="default" w:cs="宋体" w:asciiTheme="minorEastAsia" w:hAnsiTheme="minorEastAsia" w:eastAsiaTheme="minorEastAsia"/>
                <w:color w:val="auto"/>
                <w:szCs w:val="24"/>
                <w:highlight w:val="none"/>
                <w:lang w:val="en-US" w:eastAsia="zh-CN"/>
              </w:rPr>
              <w:t>分；</w:t>
            </w:r>
          </w:p>
          <w:p w14:paraId="1609774D">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措施</w:t>
            </w:r>
            <w:r>
              <w:rPr>
                <w:rFonts w:hint="eastAsia" w:cs="宋体" w:asciiTheme="minorEastAsia" w:hAnsiTheme="minorEastAsia" w:eastAsiaTheme="minorEastAsia"/>
                <w:color w:val="auto"/>
                <w:szCs w:val="24"/>
                <w:highlight w:val="none"/>
                <w:lang w:val="en-US" w:eastAsia="zh-CN"/>
              </w:rPr>
              <w:t>相对</w:t>
            </w:r>
            <w:r>
              <w:rPr>
                <w:rFonts w:hint="default" w:cs="宋体" w:asciiTheme="minorEastAsia" w:hAnsiTheme="minorEastAsia" w:eastAsiaTheme="minorEastAsia"/>
                <w:color w:val="auto"/>
                <w:szCs w:val="24"/>
                <w:highlight w:val="none"/>
                <w:lang w:val="en-US" w:eastAsia="zh-CN"/>
              </w:rPr>
              <w:t>完整，有一定的可行性及针对性以保证项目安全的得4分；</w:t>
            </w:r>
          </w:p>
          <w:p w14:paraId="36B197ED">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措施基本完整、符合项目实际需求，但可行性、针对性一般的得3分；</w:t>
            </w:r>
          </w:p>
          <w:p w14:paraId="3C750518">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措施简单，与项目实际需求存在偏离但有一定可行性的得2分；</w:t>
            </w:r>
          </w:p>
          <w:p w14:paraId="58161D6E">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措施简单、有较大的不合理性得1分；</w:t>
            </w:r>
          </w:p>
          <w:p w14:paraId="185DB3B6">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未提供相关内容不得分。</w:t>
            </w:r>
          </w:p>
        </w:tc>
        <w:tc>
          <w:tcPr>
            <w:tcW w:w="670" w:type="pct"/>
            <w:vAlign w:val="center"/>
          </w:tcPr>
          <w:p w14:paraId="5BB24557">
            <w:pPr>
              <w:spacing w:line="520" w:lineRule="exact"/>
              <w:jc w:val="center"/>
              <w:rPr>
                <w:rFonts w:hint="default"/>
                <w:color w:val="auto"/>
                <w:highlight w:val="none"/>
                <w:lang w:val="en-US" w:eastAsia="zh-CN"/>
              </w:rPr>
            </w:pPr>
            <w:r>
              <w:rPr>
                <w:rFonts w:hint="eastAsia"/>
                <w:color w:val="auto"/>
                <w:highlight w:val="none"/>
                <w:lang w:val="en-US" w:eastAsia="zh-CN"/>
              </w:rPr>
              <w:t>5分</w:t>
            </w:r>
          </w:p>
        </w:tc>
        <w:tc>
          <w:tcPr>
            <w:tcW w:w="379" w:type="pct"/>
            <w:vMerge w:val="continue"/>
            <w:tcBorders/>
            <w:vAlign w:val="center"/>
          </w:tcPr>
          <w:p w14:paraId="51E8A7FD">
            <w:pPr>
              <w:spacing w:line="520" w:lineRule="exact"/>
              <w:jc w:val="center"/>
              <w:rPr>
                <w:rFonts w:cs="宋体" w:asciiTheme="minorEastAsia" w:hAnsiTheme="minorEastAsia" w:eastAsiaTheme="minorEastAsia"/>
                <w:color w:val="auto"/>
                <w:szCs w:val="24"/>
                <w:highlight w:val="none"/>
              </w:rPr>
            </w:pPr>
          </w:p>
        </w:tc>
      </w:tr>
      <w:tr w14:paraId="72EE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continue"/>
            <w:vAlign w:val="center"/>
          </w:tcPr>
          <w:p w14:paraId="5DCF90E3">
            <w:pPr>
              <w:spacing w:line="520" w:lineRule="exact"/>
              <w:jc w:val="center"/>
              <w:rPr>
                <w:rFonts w:cs="宋体" w:asciiTheme="minorEastAsia" w:hAnsiTheme="minorEastAsia" w:eastAsiaTheme="minorEastAsia"/>
                <w:b/>
                <w:color w:val="auto"/>
                <w:szCs w:val="24"/>
                <w:highlight w:val="none"/>
              </w:rPr>
            </w:pPr>
          </w:p>
        </w:tc>
        <w:tc>
          <w:tcPr>
            <w:tcW w:w="441" w:type="pct"/>
            <w:vMerge w:val="continue"/>
            <w:vAlign w:val="center"/>
          </w:tcPr>
          <w:p w14:paraId="7E19A224">
            <w:pPr>
              <w:spacing w:line="520" w:lineRule="exact"/>
              <w:rPr>
                <w:rFonts w:cs="宋体" w:asciiTheme="minorEastAsia" w:hAnsiTheme="minorEastAsia" w:eastAsiaTheme="minorEastAsia"/>
                <w:b/>
                <w:bCs/>
                <w:color w:val="auto"/>
                <w:szCs w:val="24"/>
                <w:highlight w:val="none"/>
              </w:rPr>
            </w:pPr>
          </w:p>
        </w:tc>
        <w:tc>
          <w:tcPr>
            <w:tcW w:w="3069" w:type="pct"/>
            <w:vAlign w:val="center"/>
          </w:tcPr>
          <w:p w14:paraId="5CB33114">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b/>
                <w:bCs/>
                <w:color w:val="auto"/>
                <w:szCs w:val="24"/>
                <w:highlight w:val="none"/>
                <w:lang w:val="en-US" w:eastAsia="zh-CN"/>
              </w:rPr>
              <w:t>关键点、重难点分析</w:t>
            </w:r>
            <w:r>
              <w:rPr>
                <w:rFonts w:hint="eastAsia" w:cs="宋体" w:asciiTheme="minorEastAsia" w:hAnsiTheme="minorEastAsia" w:eastAsiaTheme="minorEastAsia"/>
                <w:color w:val="auto"/>
                <w:szCs w:val="24"/>
                <w:highlight w:val="none"/>
                <w:lang w:val="en-US" w:eastAsia="zh-CN"/>
              </w:rPr>
              <w:t>：</w:t>
            </w:r>
          </w:p>
          <w:p w14:paraId="61E0CE95">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一、评审内容</w:t>
            </w:r>
          </w:p>
          <w:p w14:paraId="2FD6B6DE">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针对本项目正确识别本项目关键点及重难点，逐条列出且分析全面、具体、透彻，解决对策；</w:t>
            </w:r>
          </w:p>
          <w:p w14:paraId="00ECCF4B">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二、赋分标准</w:t>
            </w:r>
          </w:p>
          <w:p w14:paraId="65EA6FEB">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内容完整</w:t>
            </w:r>
            <w:r>
              <w:rPr>
                <w:rFonts w:hint="eastAsia" w:cs="宋体" w:asciiTheme="minorEastAsia" w:hAnsiTheme="minorEastAsia" w:eastAsiaTheme="minorEastAsia"/>
                <w:color w:val="auto"/>
                <w:szCs w:val="24"/>
                <w:highlight w:val="none"/>
                <w:lang w:val="en-US" w:eastAsia="zh-CN"/>
              </w:rPr>
              <w:t>丰富</w:t>
            </w:r>
            <w:r>
              <w:rPr>
                <w:rFonts w:hint="default" w:cs="宋体" w:asciiTheme="minorEastAsia" w:hAnsiTheme="minorEastAsia" w:eastAsiaTheme="minorEastAsia"/>
                <w:color w:val="auto"/>
                <w:szCs w:val="24"/>
                <w:highlight w:val="none"/>
                <w:lang w:val="en-US" w:eastAsia="zh-CN"/>
              </w:rPr>
              <w:t>、思路明晰合理、</w:t>
            </w:r>
            <w:r>
              <w:rPr>
                <w:rFonts w:hint="eastAsia" w:cs="宋体" w:asciiTheme="minorEastAsia" w:hAnsiTheme="minorEastAsia" w:eastAsiaTheme="minorEastAsia"/>
                <w:color w:val="auto"/>
                <w:szCs w:val="24"/>
                <w:highlight w:val="none"/>
                <w:lang w:val="en-US" w:eastAsia="zh-CN"/>
              </w:rPr>
              <w:t>分析明确、针对性强</w:t>
            </w:r>
            <w:r>
              <w:rPr>
                <w:rFonts w:hint="default" w:cs="宋体" w:asciiTheme="minorEastAsia" w:hAnsiTheme="minorEastAsia" w:eastAsiaTheme="minorEastAsia"/>
                <w:color w:val="auto"/>
                <w:szCs w:val="24"/>
                <w:highlight w:val="none"/>
                <w:lang w:val="en-US" w:eastAsia="zh-CN"/>
              </w:rPr>
              <w:t>得</w:t>
            </w:r>
            <w:r>
              <w:rPr>
                <w:rFonts w:hint="eastAsia" w:cs="宋体" w:asciiTheme="minorEastAsia" w:hAnsiTheme="minorEastAsia" w:eastAsiaTheme="minorEastAsia"/>
                <w:color w:val="auto"/>
                <w:szCs w:val="24"/>
                <w:highlight w:val="none"/>
                <w:lang w:val="en-US" w:eastAsia="zh-CN"/>
              </w:rPr>
              <w:t>4</w:t>
            </w:r>
            <w:r>
              <w:rPr>
                <w:rFonts w:hint="default" w:cs="宋体" w:asciiTheme="minorEastAsia" w:hAnsiTheme="minorEastAsia" w:eastAsiaTheme="minorEastAsia"/>
                <w:color w:val="auto"/>
                <w:szCs w:val="24"/>
                <w:highlight w:val="none"/>
                <w:lang w:val="en-US" w:eastAsia="zh-CN"/>
              </w:rPr>
              <w:t>分；</w:t>
            </w:r>
          </w:p>
          <w:p w14:paraId="75B26B5A">
            <w:pPr>
              <w:spacing w:line="520" w:lineRule="exact"/>
              <w:rPr>
                <w:rFonts w:hint="default"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en-US" w:eastAsia="zh-CN"/>
              </w:rPr>
              <w:t>内容完整、思路分析不全面、针对性一般得3分；</w:t>
            </w:r>
          </w:p>
          <w:p w14:paraId="5DE801A4">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内容不够完整、思路</w:t>
            </w:r>
            <w:r>
              <w:rPr>
                <w:rFonts w:hint="eastAsia" w:cs="宋体" w:asciiTheme="minorEastAsia" w:hAnsiTheme="minorEastAsia" w:eastAsiaTheme="minorEastAsia"/>
                <w:color w:val="auto"/>
                <w:szCs w:val="24"/>
                <w:highlight w:val="none"/>
                <w:lang w:val="en-US" w:eastAsia="zh-CN"/>
              </w:rPr>
              <w:t>模糊</w:t>
            </w:r>
            <w:r>
              <w:rPr>
                <w:rFonts w:hint="default" w:cs="宋体" w:asciiTheme="minorEastAsia" w:hAnsiTheme="minorEastAsia" w:eastAsiaTheme="minorEastAsia"/>
                <w:color w:val="auto"/>
                <w:szCs w:val="24"/>
                <w:highlight w:val="none"/>
                <w:lang w:val="en-US" w:eastAsia="zh-CN"/>
              </w:rPr>
              <w:t>、针对性</w:t>
            </w:r>
            <w:r>
              <w:rPr>
                <w:rFonts w:hint="eastAsia" w:cs="宋体" w:asciiTheme="minorEastAsia" w:hAnsiTheme="minorEastAsia" w:eastAsiaTheme="minorEastAsia"/>
                <w:color w:val="auto"/>
                <w:szCs w:val="24"/>
                <w:highlight w:val="none"/>
                <w:lang w:val="en-US" w:eastAsia="zh-CN"/>
              </w:rPr>
              <w:t>较</w:t>
            </w:r>
            <w:r>
              <w:rPr>
                <w:rFonts w:hint="default" w:cs="宋体" w:asciiTheme="minorEastAsia" w:hAnsiTheme="minorEastAsia" w:eastAsiaTheme="minorEastAsia"/>
                <w:color w:val="auto"/>
                <w:szCs w:val="24"/>
                <w:highlight w:val="none"/>
                <w:lang w:val="en-US" w:eastAsia="zh-CN"/>
              </w:rPr>
              <w:t>弱得</w:t>
            </w:r>
            <w:r>
              <w:rPr>
                <w:rFonts w:hint="eastAsia" w:cs="宋体" w:asciiTheme="minorEastAsia" w:hAnsiTheme="minorEastAsia" w:eastAsiaTheme="minorEastAsia"/>
                <w:color w:val="auto"/>
                <w:szCs w:val="24"/>
                <w:highlight w:val="none"/>
                <w:lang w:val="en-US" w:eastAsia="zh-CN"/>
              </w:rPr>
              <w:t>2</w:t>
            </w:r>
            <w:r>
              <w:rPr>
                <w:rFonts w:hint="default" w:cs="宋体" w:asciiTheme="minorEastAsia" w:hAnsiTheme="minorEastAsia" w:eastAsiaTheme="minorEastAsia"/>
                <w:color w:val="auto"/>
                <w:szCs w:val="24"/>
                <w:highlight w:val="none"/>
                <w:lang w:val="en-US" w:eastAsia="zh-CN"/>
              </w:rPr>
              <w:t>分；</w:t>
            </w:r>
          </w:p>
          <w:p w14:paraId="5000AA38">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内容简略、</w:t>
            </w:r>
            <w:r>
              <w:rPr>
                <w:rFonts w:hint="eastAsia" w:cs="宋体" w:asciiTheme="minorEastAsia" w:hAnsiTheme="minorEastAsia" w:eastAsiaTheme="minorEastAsia"/>
                <w:color w:val="auto"/>
                <w:szCs w:val="24"/>
                <w:highlight w:val="none"/>
                <w:lang w:val="en-US" w:eastAsia="zh-CN"/>
              </w:rPr>
              <w:t>分析差无针对性</w:t>
            </w:r>
            <w:r>
              <w:rPr>
                <w:rFonts w:hint="default" w:cs="宋体" w:asciiTheme="minorEastAsia" w:hAnsiTheme="minorEastAsia" w:eastAsiaTheme="minorEastAsia"/>
                <w:color w:val="auto"/>
                <w:szCs w:val="24"/>
                <w:highlight w:val="none"/>
                <w:lang w:val="en-US" w:eastAsia="zh-CN"/>
              </w:rPr>
              <w:t>得</w:t>
            </w:r>
            <w:r>
              <w:rPr>
                <w:rFonts w:hint="eastAsia" w:cs="宋体" w:asciiTheme="minorEastAsia" w:hAnsiTheme="minorEastAsia" w:eastAsiaTheme="minorEastAsia"/>
                <w:color w:val="auto"/>
                <w:szCs w:val="24"/>
                <w:highlight w:val="none"/>
                <w:lang w:val="en-US" w:eastAsia="zh-CN"/>
              </w:rPr>
              <w:t>1</w:t>
            </w:r>
            <w:r>
              <w:rPr>
                <w:rFonts w:hint="default" w:cs="宋体" w:asciiTheme="minorEastAsia" w:hAnsiTheme="minorEastAsia" w:eastAsiaTheme="minorEastAsia"/>
                <w:color w:val="auto"/>
                <w:szCs w:val="24"/>
                <w:highlight w:val="none"/>
                <w:lang w:val="en-US" w:eastAsia="zh-CN"/>
              </w:rPr>
              <w:t>分</w:t>
            </w:r>
            <w:r>
              <w:rPr>
                <w:rFonts w:hint="eastAsia" w:cs="宋体" w:asciiTheme="minorEastAsia" w:hAnsiTheme="minorEastAsia" w:eastAsiaTheme="minorEastAsia"/>
                <w:color w:val="auto"/>
                <w:szCs w:val="24"/>
                <w:highlight w:val="none"/>
                <w:lang w:val="en-US" w:eastAsia="zh-CN"/>
              </w:rPr>
              <w:t>；</w:t>
            </w:r>
          </w:p>
          <w:p w14:paraId="6B0EEDC1">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未提供相关内容不得分。</w:t>
            </w:r>
          </w:p>
        </w:tc>
        <w:tc>
          <w:tcPr>
            <w:tcW w:w="670" w:type="pct"/>
            <w:vAlign w:val="center"/>
          </w:tcPr>
          <w:p w14:paraId="3731610B">
            <w:pPr>
              <w:spacing w:line="520" w:lineRule="exact"/>
              <w:jc w:val="center"/>
              <w:rPr>
                <w:rFonts w:hint="default"/>
                <w:color w:val="auto"/>
                <w:highlight w:val="none"/>
                <w:lang w:val="en-US" w:eastAsia="zh-CN"/>
              </w:rPr>
            </w:pPr>
            <w:r>
              <w:rPr>
                <w:rFonts w:hint="eastAsia"/>
                <w:color w:val="auto"/>
                <w:highlight w:val="none"/>
                <w:lang w:val="en-US" w:eastAsia="zh-CN"/>
              </w:rPr>
              <w:t>4分</w:t>
            </w:r>
          </w:p>
        </w:tc>
        <w:tc>
          <w:tcPr>
            <w:tcW w:w="379" w:type="pct"/>
            <w:vMerge w:val="continue"/>
            <w:tcBorders/>
            <w:vAlign w:val="center"/>
          </w:tcPr>
          <w:p w14:paraId="1277A958">
            <w:pPr>
              <w:spacing w:line="520" w:lineRule="exact"/>
              <w:jc w:val="center"/>
              <w:rPr>
                <w:rFonts w:cs="宋体" w:asciiTheme="minorEastAsia" w:hAnsiTheme="minorEastAsia" w:eastAsiaTheme="minorEastAsia"/>
                <w:color w:val="auto"/>
                <w:szCs w:val="24"/>
                <w:highlight w:val="none"/>
              </w:rPr>
            </w:pPr>
          </w:p>
        </w:tc>
      </w:tr>
      <w:tr w14:paraId="2973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38" w:type="pct"/>
            <w:vAlign w:val="center"/>
          </w:tcPr>
          <w:p w14:paraId="4DD6A777">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人员配备管理</w:t>
            </w:r>
          </w:p>
        </w:tc>
        <w:tc>
          <w:tcPr>
            <w:tcW w:w="441" w:type="pct"/>
            <w:vAlign w:val="center"/>
          </w:tcPr>
          <w:p w14:paraId="454117F4">
            <w:pPr>
              <w:spacing w:line="520" w:lineRule="exact"/>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lang w:val="en-US" w:eastAsia="zh-CN"/>
              </w:rPr>
              <w:t>10</w:t>
            </w:r>
            <w:r>
              <w:rPr>
                <w:rFonts w:hint="eastAsia" w:cs="宋体" w:asciiTheme="minorEastAsia" w:hAnsiTheme="minorEastAsia" w:eastAsiaTheme="minorEastAsia"/>
                <w:b/>
                <w:bCs/>
                <w:color w:val="auto"/>
                <w:szCs w:val="24"/>
                <w:highlight w:val="none"/>
              </w:rPr>
              <w:t>分</w:t>
            </w:r>
          </w:p>
        </w:tc>
        <w:tc>
          <w:tcPr>
            <w:tcW w:w="3069" w:type="pct"/>
            <w:vAlign w:val="center"/>
          </w:tcPr>
          <w:p w14:paraId="4C9A4CC3">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一、评审内容</w:t>
            </w:r>
          </w:p>
          <w:p w14:paraId="64DB38D6">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1、针对本项目提供项目配备人员，人员数量，人员具有丰富从业工作经验，且人员配置全面、合理，对人员的年龄、职业经历、劳动合同、社保缴纳证明、相关证书（如有）等提供详细的描述</w:t>
            </w:r>
            <w:r>
              <w:rPr>
                <w:rFonts w:hint="eastAsia" w:cs="宋体" w:asciiTheme="minorEastAsia" w:hAnsiTheme="minorEastAsia" w:eastAsiaTheme="minorEastAsia"/>
                <w:color w:val="auto"/>
                <w:szCs w:val="24"/>
                <w:highlight w:val="none"/>
                <w:lang w:val="en-US" w:eastAsia="zh-CN"/>
              </w:rPr>
              <w:t>和佐证</w:t>
            </w:r>
            <w:r>
              <w:rPr>
                <w:rFonts w:hint="default" w:cs="宋体" w:asciiTheme="minorEastAsia" w:hAnsiTheme="minorEastAsia" w:eastAsiaTheme="minorEastAsia"/>
                <w:color w:val="auto"/>
                <w:szCs w:val="24"/>
                <w:highlight w:val="none"/>
                <w:lang w:val="en-US" w:eastAsia="zh-CN"/>
              </w:rPr>
              <w:t>；</w:t>
            </w:r>
          </w:p>
          <w:p w14:paraId="51E21DFD">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2、针对本项目人员薪酬体系、福利、社会保险方案等提供详细的描述；</w:t>
            </w:r>
          </w:p>
          <w:p w14:paraId="5E2BBD36">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二、赋分标准</w:t>
            </w:r>
          </w:p>
          <w:p w14:paraId="6953B1A5">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每个单项内容完整</w:t>
            </w:r>
            <w:r>
              <w:rPr>
                <w:rFonts w:hint="eastAsia" w:cs="宋体" w:asciiTheme="minorEastAsia" w:hAnsiTheme="minorEastAsia" w:eastAsiaTheme="minorEastAsia"/>
                <w:color w:val="auto"/>
                <w:szCs w:val="24"/>
                <w:highlight w:val="none"/>
                <w:lang w:val="en-US" w:eastAsia="zh-CN"/>
              </w:rPr>
              <w:t>丰富</w:t>
            </w:r>
            <w:r>
              <w:rPr>
                <w:rFonts w:hint="default" w:cs="宋体" w:asciiTheme="minorEastAsia" w:hAnsiTheme="minorEastAsia" w:eastAsiaTheme="minorEastAsia"/>
                <w:color w:val="auto"/>
                <w:szCs w:val="24"/>
                <w:highlight w:val="none"/>
                <w:lang w:val="en-US" w:eastAsia="zh-CN"/>
              </w:rPr>
              <w:t>、</w:t>
            </w:r>
            <w:r>
              <w:rPr>
                <w:rFonts w:hint="eastAsia" w:cs="宋体" w:asciiTheme="minorEastAsia" w:hAnsiTheme="minorEastAsia" w:eastAsiaTheme="minorEastAsia"/>
                <w:color w:val="auto"/>
                <w:szCs w:val="24"/>
                <w:highlight w:val="none"/>
                <w:lang w:val="en-US" w:eastAsia="zh-CN"/>
              </w:rPr>
              <w:t>配备</w:t>
            </w:r>
            <w:r>
              <w:rPr>
                <w:rFonts w:hint="default" w:cs="宋体" w:asciiTheme="minorEastAsia" w:hAnsiTheme="minorEastAsia" w:eastAsiaTheme="minorEastAsia"/>
                <w:color w:val="auto"/>
                <w:szCs w:val="24"/>
                <w:highlight w:val="none"/>
                <w:lang w:val="en-US" w:eastAsia="zh-CN"/>
              </w:rPr>
              <w:t>合理</w:t>
            </w:r>
            <w:r>
              <w:rPr>
                <w:rFonts w:hint="eastAsia" w:cs="宋体" w:asciiTheme="minorEastAsia" w:hAnsiTheme="minorEastAsia" w:eastAsiaTheme="minorEastAsia"/>
                <w:color w:val="auto"/>
                <w:szCs w:val="24"/>
                <w:highlight w:val="none"/>
                <w:lang w:val="en-US" w:eastAsia="zh-CN"/>
              </w:rPr>
              <w:t>、佐证资料完整</w:t>
            </w:r>
            <w:r>
              <w:rPr>
                <w:rFonts w:hint="default" w:cs="宋体" w:asciiTheme="minorEastAsia" w:hAnsiTheme="minorEastAsia" w:eastAsiaTheme="minorEastAsia"/>
                <w:color w:val="auto"/>
                <w:szCs w:val="24"/>
                <w:highlight w:val="none"/>
                <w:lang w:val="en-US" w:eastAsia="zh-CN"/>
              </w:rPr>
              <w:t>、科学、实用、针对性强得</w:t>
            </w:r>
            <w:r>
              <w:rPr>
                <w:rFonts w:hint="eastAsia" w:cs="宋体" w:asciiTheme="minorEastAsia" w:hAnsiTheme="minorEastAsia" w:eastAsiaTheme="minorEastAsia"/>
                <w:color w:val="auto"/>
                <w:szCs w:val="24"/>
                <w:highlight w:val="none"/>
                <w:lang w:val="en-US" w:eastAsia="zh-CN"/>
              </w:rPr>
              <w:t>5</w:t>
            </w:r>
            <w:r>
              <w:rPr>
                <w:rFonts w:hint="default" w:cs="宋体" w:asciiTheme="minorEastAsia" w:hAnsiTheme="minorEastAsia" w:eastAsiaTheme="minorEastAsia"/>
                <w:color w:val="auto"/>
                <w:szCs w:val="24"/>
                <w:highlight w:val="none"/>
                <w:lang w:val="en-US" w:eastAsia="zh-CN"/>
              </w:rPr>
              <w:t>分；</w:t>
            </w:r>
          </w:p>
          <w:p w14:paraId="7DA76093">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每个单项内容相对完整、</w:t>
            </w:r>
            <w:r>
              <w:rPr>
                <w:rFonts w:hint="eastAsia" w:cs="宋体" w:asciiTheme="minorEastAsia" w:hAnsiTheme="minorEastAsia" w:eastAsiaTheme="minorEastAsia"/>
                <w:color w:val="auto"/>
                <w:szCs w:val="24"/>
                <w:highlight w:val="none"/>
                <w:lang w:val="en-US" w:eastAsia="zh-CN"/>
              </w:rPr>
              <w:t>配备</w:t>
            </w:r>
            <w:r>
              <w:rPr>
                <w:rFonts w:hint="default" w:cs="宋体" w:asciiTheme="minorEastAsia" w:hAnsiTheme="minorEastAsia" w:eastAsiaTheme="minorEastAsia"/>
                <w:color w:val="auto"/>
                <w:szCs w:val="24"/>
                <w:highlight w:val="none"/>
                <w:lang w:val="en-US" w:eastAsia="zh-CN"/>
              </w:rPr>
              <w:t>相对合理</w:t>
            </w:r>
            <w:r>
              <w:rPr>
                <w:rFonts w:hint="eastAsia" w:cs="宋体" w:asciiTheme="minorEastAsia" w:hAnsiTheme="minorEastAsia" w:eastAsiaTheme="minorEastAsia"/>
                <w:color w:val="auto"/>
                <w:szCs w:val="24"/>
                <w:highlight w:val="none"/>
                <w:lang w:val="en-US" w:eastAsia="zh-CN"/>
              </w:rPr>
              <w:t>、佐证资料完整</w:t>
            </w:r>
            <w:r>
              <w:rPr>
                <w:rFonts w:hint="default" w:cs="宋体" w:asciiTheme="minorEastAsia" w:hAnsiTheme="minorEastAsia" w:eastAsiaTheme="minorEastAsia"/>
                <w:color w:val="auto"/>
                <w:szCs w:val="24"/>
                <w:highlight w:val="none"/>
                <w:lang w:val="en-US" w:eastAsia="zh-CN"/>
              </w:rPr>
              <w:t>、针对性相对合理得4分；</w:t>
            </w:r>
          </w:p>
          <w:p w14:paraId="515F5063">
            <w:pPr>
              <w:spacing w:line="520" w:lineRule="exact"/>
              <w:rPr>
                <w:rFonts w:hint="default" w:cs="宋体" w:asciiTheme="minorEastAsia" w:hAnsiTheme="minorEastAsia" w:eastAsiaTheme="minorEastAsia"/>
                <w:color w:val="auto"/>
                <w:szCs w:val="24"/>
                <w:highlight w:val="none"/>
                <w:lang w:val="en-US" w:eastAsia="zh-CN"/>
              </w:rPr>
            </w:pPr>
            <w:r>
              <w:rPr>
                <w:rFonts w:hint="eastAsia" w:cs="宋体" w:asciiTheme="minorEastAsia" w:hAnsiTheme="minorEastAsia" w:eastAsiaTheme="minorEastAsia"/>
                <w:color w:val="auto"/>
                <w:szCs w:val="24"/>
                <w:highlight w:val="none"/>
                <w:lang w:val="en-US" w:eastAsia="zh-CN"/>
              </w:rPr>
              <w:t>每个内容完整、配备较弱、有佐证、针对性一般得3分；</w:t>
            </w:r>
          </w:p>
          <w:p w14:paraId="4DEE8F39">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每个单项内容不够完整、</w:t>
            </w:r>
            <w:r>
              <w:rPr>
                <w:rFonts w:hint="eastAsia" w:cs="宋体" w:asciiTheme="minorEastAsia" w:hAnsiTheme="minorEastAsia" w:eastAsiaTheme="minorEastAsia"/>
                <w:color w:val="auto"/>
                <w:szCs w:val="24"/>
                <w:highlight w:val="none"/>
                <w:lang w:val="en-US" w:eastAsia="zh-CN"/>
              </w:rPr>
              <w:t>配备一般、缺少佐证</w:t>
            </w:r>
            <w:r>
              <w:rPr>
                <w:rFonts w:hint="default" w:cs="宋体" w:asciiTheme="minorEastAsia" w:hAnsiTheme="minorEastAsia" w:eastAsiaTheme="minorEastAsia"/>
                <w:color w:val="auto"/>
                <w:szCs w:val="24"/>
                <w:highlight w:val="none"/>
                <w:lang w:val="en-US" w:eastAsia="zh-CN"/>
              </w:rPr>
              <w:t>、针对性相对弱得</w:t>
            </w:r>
            <w:r>
              <w:rPr>
                <w:rFonts w:hint="eastAsia" w:cs="宋体" w:asciiTheme="minorEastAsia" w:hAnsiTheme="minorEastAsia" w:eastAsiaTheme="minorEastAsia"/>
                <w:color w:val="auto"/>
                <w:szCs w:val="24"/>
                <w:highlight w:val="none"/>
                <w:lang w:val="en-US" w:eastAsia="zh-CN"/>
              </w:rPr>
              <w:t>2</w:t>
            </w:r>
            <w:r>
              <w:rPr>
                <w:rFonts w:hint="default" w:cs="宋体" w:asciiTheme="minorEastAsia" w:hAnsiTheme="minorEastAsia" w:eastAsiaTheme="minorEastAsia"/>
                <w:color w:val="auto"/>
                <w:szCs w:val="24"/>
                <w:highlight w:val="none"/>
                <w:lang w:val="en-US" w:eastAsia="zh-CN"/>
              </w:rPr>
              <w:t>分；</w:t>
            </w:r>
          </w:p>
          <w:p w14:paraId="0A226C0F">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每个单项内容简略、</w:t>
            </w:r>
            <w:r>
              <w:rPr>
                <w:rFonts w:hint="eastAsia" w:cs="宋体" w:asciiTheme="minorEastAsia" w:hAnsiTheme="minorEastAsia" w:eastAsiaTheme="minorEastAsia"/>
                <w:color w:val="auto"/>
                <w:szCs w:val="24"/>
                <w:highlight w:val="none"/>
                <w:lang w:val="en-US" w:eastAsia="zh-CN"/>
              </w:rPr>
              <w:t>配备不合理、无佐证</w:t>
            </w:r>
            <w:r>
              <w:rPr>
                <w:rFonts w:hint="default" w:cs="宋体" w:asciiTheme="minorEastAsia" w:hAnsiTheme="minorEastAsia" w:eastAsiaTheme="minorEastAsia"/>
                <w:color w:val="auto"/>
                <w:szCs w:val="24"/>
                <w:highlight w:val="none"/>
                <w:lang w:val="en-US" w:eastAsia="zh-CN"/>
              </w:rPr>
              <w:t>得</w:t>
            </w:r>
            <w:r>
              <w:rPr>
                <w:rFonts w:hint="eastAsia" w:cs="宋体" w:asciiTheme="minorEastAsia" w:hAnsiTheme="minorEastAsia" w:eastAsiaTheme="minorEastAsia"/>
                <w:color w:val="auto"/>
                <w:szCs w:val="24"/>
                <w:highlight w:val="none"/>
                <w:lang w:val="en-US" w:eastAsia="zh-CN"/>
              </w:rPr>
              <w:t>1</w:t>
            </w:r>
            <w:r>
              <w:rPr>
                <w:rFonts w:hint="default" w:cs="宋体" w:asciiTheme="minorEastAsia" w:hAnsiTheme="minorEastAsia" w:eastAsiaTheme="minorEastAsia"/>
                <w:color w:val="auto"/>
                <w:szCs w:val="24"/>
                <w:highlight w:val="none"/>
                <w:lang w:val="en-US" w:eastAsia="zh-CN"/>
              </w:rPr>
              <w:t>分；</w:t>
            </w:r>
          </w:p>
          <w:p w14:paraId="5E58F3E7">
            <w:pPr>
              <w:spacing w:line="360" w:lineRule="auto"/>
              <w:rPr>
                <w:rFonts w:cs="宋体" w:asciiTheme="minorEastAsia" w:hAnsiTheme="minorEastAsia" w:eastAsiaTheme="minorEastAsia"/>
                <w:color w:val="auto"/>
                <w:szCs w:val="24"/>
                <w:highlight w:val="none"/>
              </w:rPr>
            </w:pPr>
            <w:r>
              <w:rPr>
                <w:rFonts w:hint="default" w:cs="宋体" w:asciiTheme="minorEastAsia" w:hAnsiTheme="minorEastAsia" w:eastAsiaTheme="minorEastAsia"/>
                <w:color w:val="auto"/>
                <w:szCs w:val="24"/>
                <w:highlight w:val="none"/>
                <w:lang w:val="en-US" w:eastAsia="zh-CN"/>
              </w:rPr>
              <w:t>未提供相关内容不得分。</w:t>
            </w:r>
          </w:p>
        </w:tc>
        <w:tc>
          <w:tcPr>
            <w:tcW w:w="670" w:type="pct"/>
            <w:vAlign w:val="center"/>
          </w:tcPr>
          <w:p w14:paraId="2F56B928">
            <w:pPr>
              <w:spacing w:line="520" w:lineRule="exact"/>
              <w:jc w:val="center"/>
              <w:rPr>
                <w:color w:val="auto"/>
                <w:highlight w:val="none"/>
              </w:rPr>
            </w:pPr>
            <w:r>
              <w:rPr>
                <w:rFonts w:hint="eastAsia"/>
                <w:color w:val="auto"/>
                <w:highlight w:val="none"/>
                <w:lang w:val="en-US" w:eastAsia="zh-CN"/>
              </w:rPr>
              <w:t>10</w:t>
            </w:r>
            <w:r>
              <w:rPr>
                <w:rFonts w:hint="eastAsia"/>
                <w:color w:val="auto"/>
                <w:highlight w:val="none"/>
              </w:rPr>
              <w:t>分</w:t>
            </w:r>
          </w:p>
        </w:tc>
        <w:tc>
          <w:tcPr>
            <w:tcW w:w="379" w:type="pct"/>
            <w:vMerge w:val="continue"/>
            <w:tcBorders/>
            <w:vAlign w:val="center"/>
          </w:tcPr>
          <w:p w14:paraId="1A9D71CD">
            <w:pPr>
              <w:spacing w:line="520" w:lineRule="exact"/>
              <w:jc w:val="center"/>
              <w:rPr>
                <w:rFonts w:cs="宋体" w:asciiTheme="minorEastAsia" w:hAnsiTheme="minorEastAsia" w:eastAsiaTheme="minorEastAsia"/>
                <w:color w:val="auto"/>
                <w:szCs w:val="24"/>
                <w:highlight w:val="none"/>
              </w:rPr>
            </w:pPr>
          </w:p>
        </w:tc>
      </w:tr>
      <w:tr w14:paraId="472E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38" w:type="pct"/>
            <w:vAlign w:val="center"/>
          </w:tcPr>
          <w:p w14:paraId="2E9E18CB">
            <w:pPr>
              <w:spacing w:line="520" w:lineRule="exact"/>
              <w:jc w:val="center"/>
              <w:rPr>
                <w:rFonts w:hint="default" w:cs="宋体" w:asciiTheme="minorEastAsia" w:hAnsiTheme="minorEastAsia" w:eastAsiaTheme="minorEastAsia"/>
                <w:b/>
                <w:color w:val="auto"/>
                <w:szCs w:val="24"/>
                <w:highlight w:val="none"/>
                <w:lang w:val="en-US" w:eastAsia="zh-CN"/>
              </w:rPr>
            </w:pPr>
            <w:r>
              <w:rPr>
                <w:rFonts w:hint="eastAsia" w:cs="宋体" w:asciiTheme="minorEastAsia" w:hAnsiTheme="minorEastAsia" w:eastAsiaTheme="minorEastAsia"/>
                <w:b/>
                <w:color w:val="auto"/>
                <w:szCs w:val="24"/>
                <w:highlight w:val="none"/>
              </w:rPr>
              <w:t>服务承诺</w:t>
            </w:r>
            <w:r>
              <w:rPr>
                <w:rFonts w:hint="eastAsia" w:cs="宋体" w:asciiTheme="minorEastAsia" w:hAnsiTheme="minorEastAsia" w:eastAsiaTheme="minorEastAsia"/>
                <w:b/>
                <w:color w:val="auto"/>
                <w:szCs w:val="24"/>
                <w:highlight w:val="none"/>
                <w:lang w:val="en-US" w:eastAsia="zh-CN"/>
              </w:rPr>
              <w:t>及建议</w:t>
            </w:r>
          </w:p>
        </w:tc>
        <w:tc>
          <w:tcPr>
            <w:tcW w:w="441" w:type="pct"/>
            <w:vAlign w:val="center"/>
          </w:tcPr>
          <w:p w14:paraId="53C866D4">
            <w:pPr>
              <w:spacing w:line="520" w:lineRule="exact"/>
              <w:jc w:val="center"/>
              <w:rPr>
                <w:rFonts w:cs="宋体" w:asciiTheme="minorEastAsia" w:hAnsiTheme="minorEastAsia" w:eastAsiaTheme="minorEastAsia"/>
                <w:b/>
                <w:bCs/>
                <w:color w:val="auto"/>
                <w:szCs w:val="24"/>
                <w:highlight w:val="none"/>
              </w:rPr>
            </w:pPr>
            <w:r>
              <w:rPr>
                <w:rFonts w:hint="eastAsia" w:cs="宋体" w:asciiTheme="minorEastAsia" w:hAnsiTheme="minorEastAsia" w:eastAsiaTheme="minorEastAsia"/>
                <w:b/>
                <w:bCs/>
                <w:color w:val="auto"/>
                <w:szCs w:val="24"/>
                <w:highlight w:val="none"/>
                <w:lang w:val="en-US" w:eastAsia="zh-CN"/>
              </w:rPr>
              <w:t>8</w:t>
            </w:r>
            <w:r>
              <w:rPr>
                <w:rFonts w:hint="eastAsia" w:cs="宋体" w:asciiTheme="minorEastAsia" w:hAnsiTheme="minorEastAsia" w:eastAsiaTheme="minorEastAsia"/>
                <w:b/>
                <w:bCs/>
                <w:color w:val="auto"/>
                <w:szCs w:val="24"/>
                <w:highlight w:val="none"/>
              </w:rPr>
              <w:t>分</w:t>
            </w:r>
          </w:p>
        </w:tc>
        <w:tc>
          <w:tcPr>
            <w:tcW w:w="3069" w:type="pct"/>
          </w:tcPr>
          <w:p w14:paraId="384137B3">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一、评审内容</w:t>
            </w:r>
          </w:p>
          <w:p w14:paraId="525CE7D2">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1、为更好的服务于本项目，投标人对项目提出合理化建议；</w:t>
            </w:r>
          </w:p>
          <w:p w14:paraId="0C32BA6C">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2、为更好的服务于本项目及采购人，投标人对项目提出相应的服务承诺（包括不限于针对本项目服务过程中的人员到岗情况等）；</w:t>
            </w:r>
          </w:p>
          <w:p w14:paraId="27778120">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二、赋分标准</w:t>
            </w:r>
          </w:p>
          <w:p w14:paraId="206F2BAD">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每个单项内容完整、思路明晰合理、科学、实用、针对性强得4分；</w:t>
            </w:r>
          </w:p>
          <w:p w14:paraId="4B1DCFCF">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每个单项内容相对完整、思路相对明晰合理、科学、实用、针对性相对合理得</w:t>
            </w:r>
            <w:r>
              <w:rPr>
                <w:rFonts w:hint="eastAsia" w:cs="宋体" w:asciiTheme="minorEastAsia" w:hAnsiTheme="minorEastAsia" w:eastAsiaTheme="minorEastAsia"/>
                <w:color w:val="auto"/>
                <w:szCs w:val="24"/>
                <w:highlight w:val="none"/>
                <w:lang w:val="en-US" w:eastAsia="zh-CN"/>
              </w:rPr>
              <w:t>3</w:t>
            </w:r>
            <w:r>
              <w:rPr>
                <w:rFonts w:hint="default" w:cs="宋体" w:asciiTheme="minorEastAsia" w:hAnsiTheme="minorEastAsia" w:eastAsiaTheme="minorEastAsia"/>
                <w:color w:val="auto"/>
                <w:szCs w:val="24"/>
                <w:highlight w:val="none"/>
                <w:lang w:val="en-US" w:eastAsia="zh-CN"/>
              </w:rPr>
              <w:t>分；</w:t>
            </w:r>
          </w:p>
          <w:p w14:paraId="3DB348B1">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每个单项内容不够完整、思路不够明晰合理、针对性相对弱得</w:t>
            </w:r>
            <w:r>
              <w:rPr>
                <w:rFonts w:hint="eastAsia" w:cs="宋体" w:asciiTheme="minorEastAsia" w:hAnsiTheme="minorEastAsia" w:eastAsiaTheme="minorEastAsia"/>
                <w:color w:val="auto"/>
                <w:szCs w:val="24"/>
                <w:highlight w:val="none"/>
                <w:lang w:val="en-US" w:eastAsia="zh-CN"/>
              </w:rPr>
              <w:t>2</w:t>
            </w:r>
            <w:r>
              <w:rPr>
                <w:rFonts w:hint="default" w:cs="宋体" w:asciiTheme="minorEastAsia" w:hAnsiTheme="minorEastAsia" w:eastAsiaTheme="minorEastAsia"/>
                <w:color w:val="auto"/>
                <w:szCs w:val="24"/>
                <w:highlight w:val="none"/>
                <w:lang w:val="en-US" w:eastAsia="zh-CN"/>
              </w:rPr>
              <w:t>分；</w:t>
            </w:r>
          </w:p>
          <w:p w14:paraId="592DB393">
            <w:pPr>
              <w:spacing w:line="520" w:lineRule="exact"/>
              <w:rPr>
                <w:rFonts w:hint="default" w:cs="宋体" w:asciiTheme="minorEastAsia" w:hAnsiTheme="minorEastAsia" w:eastAsiaTheme="minorEastAsia"/>
                <w:color w:val="auto"/>
                <w:szCs w:val="24"/>
                <w:highlight w:val="none"/>
                <w:lang w:val="en-US" w:eastAsia="zh-CN"/>
              </w:rPr>
            </w:pPr>
            <w:r>
              <w:rPr>
                <w:rFonts w:hint="default" w:cs="宋体" w:asciiTheme="minorEastAsia" w:hAnsiTheme="minorEastAsia" w:eastAsiaTheme="minorEastAsia"/>
                <w:color w:val="auto"/>
                <w:szCs w:val="24"/>
                <w:highlight w:val="none"/>
                <w:lang w:val="en-US" w:eastAsia="zh-CN"/>
              </w:rPr>
              <w:t>每个单项内容简略、可行性存在不足得</w:t>
            </w:r>
            <w:r>
              <w:rPr>
                <w:rFonts w:hint="eastAsia" w:cs="宋体" w:asciiTheme="minorEastAsia" w:hAnsiTheme="minorEastAsia" w:eastAsiaTheme="minorEastAsia"/>
                <w:color w:val="auto"/>
                <w:szCs w:val="24"/>
                <w:highlight w:val="none"/>
                <w:lang w:val="en-US" w:eastAsia="zh-CN"/>
              </w:rPr>
              <w:t>1</w:t>
            </w:r>
            <w:r>
              <w:rPr>
                <w:rFonts w:hint="default" w:cs="宋体" w:asciiTheme="minorEastAsia" w:hAnsiTheme="minorEastAsia" w:eastAsiaTheme="minorEastAsia"/>
                <w:color w:val="auto"/>
                <w:szCs w:val="24"/>
                <w:highlight w:val="none"/>
                <w:lang w:val="en-US" w:eastAsia="zh-CN"/>
              </w:rPr>
              <w:t>分</w:t>
            </w:r>
            <w:r>
              <w:rPr>
                <w:rFonts w:hint="eastAsia" w:cs="宋体" w:asciiTheme="minorEastAsia" w:hAnsiTheme="minorEastAsia" w:eastAsiaTheme="minorEastAsia"/>
                <w:color w:val="auto"/>
                <w:szCs w:val="24"/>
                <w:highlight w:val="none"/>
                <w:lang w:val="en-US" w:eastAsia="zh-CN"/>
              </w:rPr>
              <w:t>；</w:t>
            </w:r>
          </w:p>
          <w:p w14:paraId="5BF80131">
            <w:pPr>
              <w:spacing w:line="520" w:lineRule="exact"/>
              <w:rPr>
                <w:rFonts w:cs="宋体" w:asciiTheme="minorEastAsia" w:hAnsiTheme="minorEastAsia" w:eastAsiaTheme="minorEastAsia"/>
                <w:color w:val="auto"/>
                <w:szCs w:val="24"/>
                <w:highlight w:val="none"/>
              </w:rPr>
            </w:pPr>
            <w:r>
              <w:rPr>
                <w:rFonts w:hint="default" w:cs="宋体" w:asciiTheme="minorEastAsia" w:hAnsiTheme="minorEastAsia" w:eastAsiaTheme="minorEastAsia"/>
                <w:color w:val="auto"/>
                <w:szCs w:val="24"/>
                <w:highlight w:val="none"/>
                <w:lang w:val="en-US" w:eastAsia="zh-CN"/>
              </w:rPr>
              <w:t>未提供相关内容不得分。</w:t>
            </w:r>
          </w:p>
        </w:tc>
        <w:tc>
          <w:tcPr>
            <w:tcW w:w="670" w:type="pct"/>
            <w:vAlign w:val="center"/>
          </w:tcPr>
          <w:p w14:paraId="6EE5C137">
            <w:pPr>
              <w:spacing w:line="520" w:lineRule="exact"/>
              <w:jc w:val="center"/>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val="en-US" w:eastAsia="zh-CN"/>
              </w:rPr>
              <w:t>8</w:t>
            </w:r>
            <w:r>
              <w:rPr>
                <w:rFonts w:hint="eastAsia" w:cs="宋体" w:asciiTheme="minorEastAsia" w:hAnsiTheme="minorEastAsia" w:eastAsiaTheme="minorEastAsia"/>
                <w:color w:val="auto"/>
                <w:szCs w:val="24"/>
                <w:highlight w:val="none"/>
              </w:rPr>
              <w:t>分</w:t>
            </w:r>
          </w:p>
        </w:tc>
        <w:tc>
          <w:tcPr>
            <w:tcW w:w="379" w:type="pct"/>
            <w:vMerge w:val="continue"/>
            <w:tcBorders/>
            <w:vAlign w:val="center"/>
          </w:tcPr>
          <w:p w14:paraId="1F26BB49">
            <w:pPr>
              <w:spacing w:line="520" w:lineRule="exact"/>
              <w:jc w:val="center"/>
              <w:rPr>
                <w:rFonts w:cs="宋体" w:asciiTheme="minorEastAsia" w:hAnsiTheme="minorEastAsia" w:eastAsiaTheme="minorEastAsia"/>
                <w:color w:val="auto"/>
                <w:szCs w:val="24"/>
                <w:highlight w:val="none"/>
              </w:rPr>
            </w:pPr>
          </w:p>
        </w:tc>
      </w:tr>
      <w:tr w14:paraId="5D16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38" w:type="pct"/>
            <w:shd w:val="clear"/>
            <w:vAlign w:val="center"/>
          </w:tcPr>
          <w:p w14:paraId="14BB010C">
            <w:pPr>
              <w:spacing w:line="520" w:lineRule="exact"/>
              <w:jc w:val="center"/>
              <w:rPr>
                <w:rFonts w:hint="eastAsia" w:cs="宋体" w:asciiTheme="minorEastAsia" w:hAnsiTheme="minorEastAsia" w:eastAsiaTheme="minorEastAsia"/>
                <w:b/>
                <w:color w:val="auto"/>
                <w:sz w:val="24"/>
                <w:szCs w:val="24"/>
                <w:highlight w:val="none"/>
                <w:lang w:val="en-US" w:eastAsia="zh-CN" w:bidi="ar-SA"/>
              </w:rPr>
            </w:pPr>
            <w:r>
              <w:rPr>
                <w:rFonts w:hint="eastAsia" w:cs="宋体" w:asciiTheme="minorEastAsia" w:hAnsiTheme="minorEastAsia" w:eastAsiaTheme="minorEastAsia"/>
                <w:b/>
                <w:color w:val="auto"/>
                <w:szCs w:val="24"/>
                <w:highlight w:val="none"/>
              </w:rPr>
              <w:t>业绩</w:t>
            </w:r>
          </w:p>
        </w:tc>
        <w:tc>
          <w:tcPr>
            <w:tcW w:w="441" w:type="pct"/>
            <w:shd w:val="clear"/>
            <w:vAlign w:val="center"/>
          </w:tcPr>
          <w:p w14:paraId="646CFF7A">
            <w:pPr>
              <w:spacing w:line="520" w:lineRule="exact"/>
              <w:rPr>
                <w:rFonts w:hint="eastAsia" w:cs="宋体" w:asciiTheme="minorEastAsia" w:hAnsiTheme="minorEastAsia" w:eastAsiaTheme="minorEastAsia"/>
                <w:b/>
                <w:bCs/>
                <w:color w:val="auto"/>
                <w:sz w:val="24"/>
                <w:szCs w:val="24"/>
                <w:highlight w:val="none"/>
                <w:lang w:val="en-US" w:eastAsia="zh-CN" w:bidi="ar-SA"/>
              </w:rPr>
            </w:pPr>
            <w:r>
              <w:rPr>
                <w:rFonts w:hint="eastAsia" w:cs="宋体" w:asciiTheme="minorEastAsia" w:hAnsiTheme="minorEastAsia" w:eastAsiaTheme="minorEastAsia"/>
                <w:b/>
                <w:bCs/>
                <w:color w:val="auto"/>
                <w:szCs w:val="24"/>
                <w:highlight w:val="none"/>
                <w:lang w:val="en-US" w:eastAsia="zh-CN"/>
              </w:rPr>
              <w:t>8</w:t>
            </w:r>
            <w:r>
              <w:rPr>
                <w:rFonts w:hint="eastAsia" w:cs="宋体" w:asciiTheme="minorEastAsia" w:hAnsiTheme="minorEastAsia" w:eastAsiaTheme="minorEastAsia"/>
                <w:b/>
                <w:bCs/>
                <w:color w:val="auto"/>
                <w:szCs w:val="24"/>
                <w:highlight w:val="none"/>
              </w:rPr>
              <w:t>分</w:t>
            </w:r>
          </w:p>
        </w:tc>
        <w:tc>
          <w:tcPr>
            <w:tcW w:w="3069" w:type="pct"/>
            <w:shd w:val="clear"/>
            <w:vAlign w:val="center"/>
          </w:tcPr>
          <w:p w14:paraId="37A84D0D">
            <w:pPr>
              <w:spacing w:line="520" w:lineRule="exact"/>
              <w:rPr>
                <w:rFonts w:hint="default" w:cs="宋体" w:asciiTheme="minorEastAsia" w:hAnsiTheme="minorEastAsia" w:eastAsiaTheme="minorEastAsia"/>
                <w:color w:val="auto"/>
                <w:sz w:val="24"/>
                <w:szCs w:val="24"/>
                <w:highlight w:val="none"/>
                <w:lang w:val="en-US" w:eastAsia="zh-CN" w:bidi="ar-SA"/>
              </w:rPr>
            </w:pPr>
            <w:r>
              <w:rPr>
                <w:rFonts w:hint="eastAsia" w:cs="宋体" w:asciiTheme="minorEastAsia" w:hAnsiTheme="minorEastAsia" w:eastAsiaTheme="minorEastAsia"/>
                <w:color w:val="auto"/>
                <w:szCs w:val="24"/>
                <w:highlight w:val="none"/>
                <w:lang w:val="en-US" w:eastAsia="zh-CN"/>
              </w:rPr>
              <w:t>提供自2022年1月1日至今类似项目的业绩（需附合同复印件并加盖公章或中标通知书复印件，时间以合同签订时间或中标通知书落款时间为准），每提供一个业绩得2分，满分8分。</w:t>
            </w:r>
          </w:p>
        </w:tc>
        <w:tc>
          <w:tcPr>
            <w:tcW w:w="670" w:type="pct"/>
            <w:shd w:val="clear"/>
            <w:vAlign w:val="center"/>
          </w:tcPr>
          <w:p w14:paraId="4876E54E">
            <w:pPr>
              <w:spacing w:line="520" w:lineRule="exact"/>
              <w:jc w:val="center"/>
              <w:rPr>
                <w:rFonts w:hint="eastAsia" w:cs="宋体" w:asciiTheme="minorEastAsia" w:hAnsiTheme="minorEastAsia" w:eastAsiaTheme="minorEastAsia"/>
                <w:color w:val="auto"/>
                <w:sz w:val="24"/>
                <w:szCs w:val="24"/>
                <w:highlight w:val="none"/>
                <w:lang w:val="en-US" w:eastAsia="zh-CN" w:bidi="ar-SA"/>
              </w:rPr>
            </w:pPr>
            <w:r>
              <w:rPr>
                <w:rFonts w:hint="eastAsia" w:cs="宋体" w:asciiTheme="minorEastAsia" w:hAnsiTheme="minorEastAsia" w:eastAsiaTheme="minorEastAsia"/>
                <w:color w:val="auto"/>
                <w:szCs w:val="24"/>
                <w:highlight w:val="none"/>
                <w:lang w:val="en-US" w:eastAsia="zh-CN"/>
              </w:rPr>
              <w:t>8</w:t>
            </w:r>
            <w:r>
              <w:rPr>
                <w:rFonts w:hint="eastAsia" w:cs="宋体" w:asciiTheme="minorEastAsia" w:hAnsiTheme="minorEastAsia" w:eastAsiaTheme="minorEastAsia"/>
                <w:color w:val="auto"/>
                <w:szCs w:val="24"/>
                <w:highlight w:val="none"/>
              </w:rPr>
              <w:t>分</w:t>
            </w:r>
          </w:p>
        </w:tc>
        <w:tc>
          <w:tcPr>
            <w:tcW w:w="379" w:type="pct"/>
            <w:vMerge w:val="continue"/>
            <w:tcBorders/>
            <w:vAlign w:val="center"/>
          </w:tcPr>
          <w:p w14:paraId="1F431790">
            <w:pPr>
              <w:spacing w:line="520" w:lineRule="exact"/>
              <w:jc w:val="center"/>
              <w:rPr>
                <w:rFonts w:cs="宋体" w:asciiTheme="minorEastAsia" w:hAnsiTheme="minorEastAsia" w:eastAsiaTheme="minorEastAsia"/>
                <w:color w:val="auto"/>
                <w:szCs w:val="24"/>
                <w:highlight w:val="none"/>
              </w:rPr>
            </w:pPr>
          </w:p>
        </w:tc>
      </w:tr>
      <w:tr w14:paraId="0F52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438" w:type="pct"/>
            <w:vAlign w:val="center"/>
          </w:tcPr>
          <w:p w14:paraId="4649A223">
            <w:pPr>
              <w:spacing w:line="520" w:lineRule="exact"/>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备注</w:t>
            </w:r>
          </w:p>
        </w:tc>
        <w:tc>
          <w:tcPr>
            <w:tcW w:w="4561" w:type="pct"/>
            <w:gridSpan w:val="4"/>
            <w:tcBorders>
              <w:top w:val="single" w:color="auto" w:sz="4" w:space="0"/>
              <w:bottom w:val="single" w:color="auto" w:sz="4" w:space="0"/>
            </w:tcBorders>
          </w:tcPr>
          <w:p w14:paraId="3E3C68E7">
            <w:pPr>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1.各评委应按照本评标方法独立打分。</w:t>
            </w:r>
          </w:p>
          <w:p w14:paraId="730DD3F3">
            <w:pPr>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2.分项评分超出评分标准范围或评标委员会成员对客观评审因素评分不一致时，采购代理机构可以要求评标委员会复核或者书面说明理由，评标委员会拒绝的，应予记录并向本级财政部门报告。</w:t>
            </w:r>
          </w:p>
          <w:p w14:paraId="043BFA86">
            <w:pPr>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3.若出现综合得分并列时，比较投标价格，价格低的排序在前；若价格得分仍相同，比较技术得分，此分项得分高者排序在前；若技术得分仍相同，则由全体评标委员会成员无记名投票，得票高者排序在前。</w:t>
            </w:r>
          </w:p>
          <w:p w14:paraId="3FC223D1">
            <w:pPr>
              <w:spacing w:line="520" w:lineRule="exact"/>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rPr>
              <w:t>4.评标过程中，若出现特殊情况时，由评标委员会决定暂停评标，并提出具体处理意见。</w:t>
            </w:r>
          </w:p>
        </w:tc>
      </w:tr>
    </w:tbl>
    <w:p w14:paraId="0DCED3B4">
      <w:pPr>
        <w:pStyle w:val="26"/>
        <w:rPr>
          <w:rFonts w:cs="仿宋" w:asciiTheme="minorEastAsia" w:hAnsiTheme="minorEastAsia" w:eastAsiaTheme="minorEastAsia"/>
          <w:b/>
          <w:color w:val="auto"/>
          <w:sz w:val="24"/>
          <w:szCs w:val="24"/>
        </w:rPr>
        <w:sectPr>
          <w:pgSz w:w="11906" w:h="16838"/>
          <w:pgMar w:top="1417" w:right="1134" w:bottom="1417" w:left="1417" w:header="1134" w:footer="992" w:gutter="0"/>
          <w:cols w:space="720" w:num="1"/>
          <w:titlePg/>
          <w:docGrid w:type="lines" w:linePitch="333" w:charSpace="0"/>
        </w:sectPr>
      </w:pPr>
    </w:p>
    <w:bookmarkEnd w:id="30"/>
    <w:bookmarkEnd w:id="138"/>
    <w:bookmarkEnd w:id="139"/>
    <w:bookmarkEnd w:id="140"/>
    <w:bookmarkEnd w:id="141"/>
    <w:bookmarkEnd w:id="142"/>
    <w:bookmarkEnd w:id="143"/>
    <w:bookmarkEnd w:id="144"/>
    <w:p w14:paraId="3DBFF483">
      <w:pPr>
        <w:pStyle w:val="2"/>
        <w:spacing w:line="360" w:lineRule="auto"/>
        <w:jc w:val="center"/>
        <w:rPr>
          <w:rFonts w:ascii="宋体" w:eastAsia="宋体" w:cs="宋体"/>
          <w:bCs/>
          <w:color w:val="auto"/>
          <w:sz w:val="36"/>
          <w:szCs w:val="36"/>
        </w:rPr>
      </w:pPr>
      <w:bookmarkStart w:id="171" w:name="_Toc31555"/>
      <w:bookmarkStart w:id="172" w:name="_Toc8830"/>
      <w:bookmarkStart w:id="173" w:name="_Toc22538"/>
      <w:bookmarkStart w:id="174" w:name="_Toc426457698"/>
      <w:bookmarkStart w:id="175" w:name="_Toc363474025"/>
      <w:bookmarkStart w:id="176" w:name="_Toc28411"/>
      <w:r>
        <w:rPr>
          <w:rFonts w:hint="eastAsia" w:ascii="宋体" w:eastAsia="宋体" w:cs="宋体"/>
          <w:bCs/>
          <w:color w:val="auto"/>
          <w:sz w:val="36"/>
          <w:szCs w:val="36"/>
        </w:rPr>
        <w:t>第六章 投标文件构成及格式</w:t>
      </w:r>
      <w:bookmarkEnd w:id="171"/>
      <w:bookmarkEnd w:id="172"/>
      <w:bookmarkEnd w:id="173"/>
      <w:bookmarkEnd w:id="174"/>
      <w:bookmarkEnd w:id="175"/>
      <w:bookmarkEnd w:id="176"/>
    </w:p>
    <w:p w14:paraId="00A284DC">
      <w:pPr>
        <w:rPr>
          <w:rFonts w:hAnsi="宋体" w:cs="宋体"/>
          <w:color w:val="auto"/>
        </w:rPr>
      </w:pPr>
    </w:p>
    <w:p w14:paraId="5B3789D3">
      <w:pPr>
        <w:rPr>
          <w:rFonts w:hint="eastAsia" w:hAnsi="宋体" w:eastAsia="宋体" w:cs="宋体"/>
          <w:b/>
          <w:color w:val="auto"/>
          <w:sz w:val="32"/>
          <w:szCs w:val="32"/>
          <w:lang w:eastAsia="zh-CN"/>
        </w:rPr>
      </w:pPr>
      <w:r>
        <w:rPr>
          <w:rFonts w:hint="eastAsia" w:hAnsi="宋体" w:cs="宋体"/>
          <w:b/>
          <w:color w:val="auto"/>
          <w:sz w:val="32"/>
          <w:szCs w:val="32"/>
        </w:rPr>
        <w:t>项目编号：</w:t>
      </w:r>
      <w:r>
        <w:rPr>
          <w:rFonts w:hint="eastAsia" w:hAnsi="宋体" w:cs="宋体"/>
          <w:b/>
          <w:color w:val="auto"/>
          <w:sz w:val="32"/>
          <w:szCs w:val="32"/>
          <w:lang w:eastAsia="zh-CN"/>
        </w:rPr>
        <w:t>SXWXZBDL2025-ZC-GK1004</w:t>
      </w:r>
    </w:p>
    <w:p w14:paraId="529806E7">
      <w:pPr>
        <w:jc w:val="right"/>
        <w:rPr>
          <w:rFonts w:hAnsi="宋体" w:cs="宋体"/>
          <w:b/>
          <w:color w:val="auto"/>
          <w:sz w:val="32"/>
          <w:szCs w:val="32"/>
        </w:rPr>
      </w:pPr>
      <w:r>
        <w:rPr>
          <w:rFonts w:hint="eastAsia" w:hAnsi="宋体" w:cs="宋体"/>
          <w:b/>
          <w:color w:val="auto"/>
          <w:sz w:val="32"/>
          <w:szCs w:val="32"/>
        </w:rPr>
        <w:t>（正本或副本）</w:t>
      </w:r>
    </w:p>
    <w:p w14:paraId="07BE3C4B">
      <w:pPr>
        <w:jc w:val="center"/>
        <w:rPr>
          <w:rFonts w:hAnsi="宋体" w:cs="宋体"/>
          <w:b/>
          <w:color w:val="auto"/>
          <w:sz w:val="36"/>
          <w:szCs w:val="36"/>
        </w:rPr>
      </w:pPr>
    </w:p>
    <w:p w14:paraId="541521F3">
      <w:pPr>
        <w:rPr>
          <w:rFonts w:hAnsi="宋体" w:cs="宋体"/>
          <w:b/>
          <w:color w:val="auto"/>
          <w:sz w:val="52"/>
          <w:szCs w:val="52"/>
        </w:rPr>
      </w:pPr>
    </w:p>
    <w:p w14:paraId="78E520AC">
      <w:pPr>
        <w:jc w:val="center"/>
        <w:rPr>
          <w:rFonts w:hint="eastAsia" w:hAnsi="宋体" w:eastAsia="宋体" w:cs="宋体"/>
          <w:b/>
          <w:color w:val="auto"/>
          <w:sz w:val="48"/>
          <w:szCs w:val="48"/>
          <w:lang w:eastAsia="zh-CN"/>
        </w:rPr>
      </w:pPr>
      <w:r>
        <w:rPr>
          <w:rFonts w:hint="eastAsia" w:hAnsi="宋体" w:cs="宋体"/>
          <w:b/>
          <w:color w:val="auto"/>
          <w:sz w:val="48"/>
          <w:szCs w:val="48"/>
          <w:lang w:eastAsia="zh-CN"/>
        </w:rPr>
        <w:t>城警联动人员外包服务</w:t>
      </w:r>
    </w:p>
    <w:p w14:paraId="5C48C7E5">
      <w:pPr>
        <w:rPr>
          <w:rFonts w:hAnsi="宋体" w:cs="宋体"/>
          <w:b/>
          <w:color w:val="auto"/>
          <w:sz w:val="48"/>
          <w:szCs w:val="48"/>
        </w:rPr>
      </w:pPr>
    </w:p>
    <w:p w14:paraId="5463C7E4">
      <w:pPr>
        <w:rPr>
          <w:rFonts w:hAnsi="宋体" w:cs="宋体"/>
          <w:b/>
          <w:color w:val="auto"/>
          <w:sz w:val="48"/>
          <w:szCs w:val="48"/>
        </w:rPr>
      </w:pPr>
    </w:p>
    <w:p w14:paraId="2B8570CB">
      <w:pPr>
        <w:jc w:val="center"/>
        <w:rPr>
          <w:rFonts w:hAnsi="宋体" w:cs="宋体"/>
          <w:b/>
          <w:color w:val="auto"/>
          <w:sz w:val="72"/>
          <w:szCs w:val="72"/>
        </w:rPr>
      </w:pPr>
      <w:r>
        <w:rPr>
          <w:rFonts w:hint="eastAsia" w:hAnsi="宋体" w:cs="宋体"/>
          <w:b/>
          <w:color w:val="auto"/>
          <w:sz w:val="72"/>
          <w:szCs w:val="72"/>
        </w:rPr>
        <w:t>投 标 文 件</w:t>
      </w:r>
    </w:p>
    <w:p w14:paraId="578042AB">
      <w:pPr>
        <w:ind w:firstLine="3975" w:firstLineChars="900"/>
        <w:jc w:val="both"/>
        <w:rPr>
          <w:rFonts w:hint="default" w:hAnsi="宋体" w:eastAsia="宋体" w:cs="宋体"/>
          <w:b/>
          <w:color w:val="auto"/>
          <w:sz w:val="44"/>
          <w:szCs w:val="44"/>
          <w:u w:val="single"/>
          <w:lang w:val="en-US" w:eastAsia="zh-CN"/>
        </w:rPr>
      </w:pPr>
      <w:r>
        <w:rPr>
          <w:rFonts w:hint="eastAsia" w:hAnsi="宋体" w:cs="宋体"/>
          <w:b/>
          <w:color w:val="auto"/>
          <w:sz w:val="44"/>
          <w:szCs w:val="44"/>
          <w:lang w:val="en-US" w:eastAsia="zh-CN"/>
        </w:rPr>
        <w:t>包号：</w:t>
      </w:r>
      <w:r>
        <w:rPr>
          <w:rFonts w:hint="eastAsia" w:hAnsi="宋体" w:cs="宋体"/>
          <w:b/>
          <w:color w:val="auto"/>
          <w:sz w:val="44"/>
          <w:szCs w:val="44"/>
          <w:u w:val="single"/>
          <w:lang w:val="en-US" w:eastAsia="zh-CN"/>
        </w:rPr>
        <w:t xml:space="preserve">    </w:t>
      </w:r>
    </w:p>
    <w:p w14:paraId="4B79ECD3">
      <w:pPr>
        <w:pStyle w:val="19"/>
        <w:rPr>
          <w:rFonts w:hint="eastAsia" w:hAnsi="宋体" w:eastAsia="宋体" w:cs="宋体"/>
          <w:b/>
          <w:color w:val="auto"/>
          <w:sz w:val="44"/>
          <w:szCs w:val="44"/>
          <w:lang w:eastAsia="zh-CN"/>
        </w:rPr>
      </w:pPr>
    </w:p>
    <w:p w14:paraId="035502C5">
      <w:pPr>
        <w:rPr>
          <w:rFonts w:hint="eastAsia" w:hAnsi="宋体" w:eastAsia="宋体" w:cs="宋体"/>
          <w:b/>
          <w:color w:val="auto"/>
          <w:sz w:val="44"/>
          <w:szCs w:val="44"/>
          <w:lang w:eastAsia="zh-CN"/>
        </w:rPr>
      </w:pPr>
    </w:p>
    <w:p w14:paraId="622920B1">
      <w:pPr>
        <w:pStyle w:val="19"/>
        <w:rPr>
          <w:rFonts w:hint="eastAsia"/>
          <w:lang w:eastAsia="zh-CN"/>
        </w:rPr>
      </w:pPr>
    </w:p>
    <w:p w14:paraId="2CC80778">
      <w:pPr>
        <w:rPr>
          <w:rFonts w:hAnsi="宋体" w:cs="宋体"/>
          <w:b/>
          <w:color w:val="auto"/>
          <w:sz w:val="36"/>
          <w:szCs w:val="36"/>
        </w:rPr>
      </w:pPr>
    </w:p>
    <w:p w14:paraId="218C854E">
      <w:pPr>
        <w:tabs>
          <w:tab w:val="center" w:pos="5346"/>
        </w:tabs>
        <w:spacing w:line="720" w:lineRule="auto"/>
        <w:jc w:val="center"/>
        <w:rPr>
          <w:rFonts w:hAnsi="宋体" w:cs="宋体"/>
          <w:b/>
          <w:color w:val="auto"/>
          <w:sz w:val="32"/>
          <w:szCs w:val="32"/>
        </w:rPr>
      </w:pPr>
      <w:r>
        <w:rPr>
          <w:rFonts w:hint="eastAsia" w:hAnsi="宋体" w:cs="宋体"/>
          <w:b/>
          <w:color w:val="auto"/>
          <w:sz w:val="32"/>
          <w:szCs w:val="32"/>
        </w:rPr>
        <w:t xml:space="preserve"> 供应商名称：</w:t>
      </w:r>
      <w:r>
        <w:rPr>
          <w:rFonts w:hint="eastAsia" w:hAnsi="宋体" w:cs="宋体"/>
          <w:b/>
          <w:color w:val="auto"/>
          <w:sz w:val="32"/>
          <w:szCs w:val="32"/>
          <w:u w:val="single"/>
        </w:rPr>
        <w:t xml:space="preserve">               </w:t>
      </w:r>
      <w:r>
        <w:rPr>
          <w:rFonts w:hint="eastAsia" w:hAnsi="宋体" w:cs="宋体"/>
          <w:b/>
          <w:color w:val="auto"/>
          <w:sz w:val="32"/>
          <w:szCs w:val="32"/>
        </w:rPr>
        <w:t>（公章）</w:t>
      </w:r>
    </w:p>
    <w:p w14:paraId="2E9BC5C2">
      <w:pPr>
        <w:spacing w:line="720" w:lineRule="auto"/>
        <w:jc w:val="center"/>
        <w:rPr>
          <w:rFonts w:hAnsi="宋体" w:cs="宋体"/>
          <w:b/>
          <w:bCs/>
          <w:color w:val="auto"/>
          <w:sz w:val="32"/>
          <w:szCs w:val="32"/>
        </w:rPr>
      </w:pPr>
      <w:r>
        <w:rPr>
          <w:rFonts w:hint="eastAsia" w:hAnsi="宋体" w:cs="宋体"/>
          <w:b/>
          <w:color w:val="auto"/>
          <w:sz w:val="32"/>
          <w:szCs w:val="32"/>
        </w:rPr>
        <w:t xml:space="preserve">  年   月   日</w:t>
      </w:r>
      <w:r>
        <w:rPr>
          <w:rFonts w:hint="eastAsia" w:hAnsi="宋体" w:cs="宋体"/>
          <w:b/>
          <w:color w:val="auto"/>
          <w:sz w:val="36"/>
          <w:szCs w:val="36"/>
        </w:rPr>
        <w:br w:type="page"/>
      </w:r>
      <w:bookmarkStart w:id="177" w:name="_Toc22537"/>
      <w:bookmarkStart w:id="178" w:name="_Toc363474026"/>
      <w:bookmarkStart w:id="179" w:name="_Toc23850"/>
      <w:bookmarkStart w:id="180" w:name="_Toc30983"/>
      <w:bookmarkStart w:id="181" w:name="_Toc426457699"/>
      <w:bookmarkStart w:id="182" w:name="_Toc403077647"/>
      <w:bookmarkStart w:id="183" w:name="_Toc23267"/>
      <w:bookmarkStart w:id="184" w:name="_Toc17702"/>
      <w:r>
        <w:rPr>
          <w:rFonts w:hint="eastAsia" w:hAnsi="宋体" w:cs="宋体"/>
          <w:b/>
          <w:bCs/>
          <w:color w:val="auto"/>
          <w:sz w:val="32"/>
          <w:szCs w:val="32"/>
        </w:rPr>
        <w:t>目    录</w:t>
      </w:r>
      <w:bookmarkEnd w:id="177"/>
      <w:bookmarkEnd w:id="178"/>
      <w:bookmarkEnd w:id="179"/>
      <w:bookmarkEnd w:id="180"/>
      <w:bookmarkEnd w:id="181"/>
      <w:bookmarkEnd w:id="182"/>
      <w:bookmarkEnd w:id="183"/>
      <w:bookmarkEnd w:id="184"/>
    </w:p>
    <w:p w14:paraId="7B5FDA36">
      <w:pPr>
        <w:numPr>
          <w:ilvl w:val="0"/>
          <w:numId w:val="8"/>
        </w:numPr>
        <w:tabs>
          <w:tab w:val="left" w:pos="1418"/>
        </w:tabs>
        <w:spacing w:line="720" w:lineRule="auto"/>
        <w:ind w:left="831"/>
        <w:rPr>
          <w:rFonts w:hAnsi="宋体" w:cs="宋体"/>
          <w:color w:val="auto"/>
          <w:spacing w:val="4"/>
          <w:szCs w:val="24"/>
        </w:rPr>
      </w:pPr>
      <w:r>
        <w:rPr>
          <w:rFonts w:hint="eastAsia" w:hAnsi="宋体" w:cs="宋体"/>
          <w:color w:val="auto"/>
          <w:spacing w:val="4"/>
          <w:szCs w:val="24"/>
        </w:rPr>
        <w:t>投标函</w:t>
      </w:r>
    </w:p>
    <w:p w14:paraId="62F379D8">
      <w:pPr>
        <w:numPr>
          <w:ilvl w:val="0"/>
          <w:numId w:val="8"/>
        </w:numPr>
        <w:tabs>
          <w:tab w:val="left" w:pos="1418"/>
        </w:tabs>
        <w:spacing w:line="720" w:lineRule="auto"/>
        <w:ind w:left="831"/>
        <w:rPr>
          <w:rFonts w:hAnsi="宋体" w:cs="宋体"/>
          <w:color w:val="auto"/>
          <w:spacing w:val="4"/>
          <w:szCs w:val="24"/>
        </w:rPr>
      </w:pPr>
      <w:r>
        <w:rPr>
          <w:rFonts w:hint="eastAsia" w:hAnsi="宋体" w:cs="宋体"/>
          <w:color w:val="auto"/>
          <w:spacing w:val="4"/>
          <w:szCs w:val="24"/>
        </w:rPr>
        <w:t>投标报价表</w:t>
      </w:r>
    </w:p>
    <w:p w14:paraId="3F003933">
      <w:pPr>
        <w:numPr>
          <w:ilvl w:val="0"/>
          <w:numId w:val="8"/>
        </w:numPr>
        <w:tabs>
          <w:tab w:val="left" w:pos="1418"/>
        </w:tabs>
        <w:spacing w:line="720" w:lineRule="auto"/>
        <w:ind w:left="831"/>
        <w:rPr>
          <w:rFonts w:hAnsi="宋体" w:cs="宋体"/>
          <w:color w:val="auto"/>
          <w:spacing w:val="4"/>
          <w:szCs w:val="24"/>
        </w:rPr>
      </w:pPr>
      <w:r>
        <w:rPr>
          <w:rFonts w:hint="eastAsia" w:hAnsi="宋体" w:cs="宋体"/>
          <w:color w:val="auto"/>
          <w:szCs w:val="24"/>
        </w:rPr>
        <w:t>投标方案说明书</w:t>
      </w:r>
    </w:p>
    <w:p w14:paraId="36EC1AED">
      <w:pPr>
        <w:numPr>
          <w:ilvl w:val="0"/>
          <w:numId w:val="8"/>
        </w:numPr>
        <w:tabs>
          <w:tab w:val="left" w:pos="1418"/>
        </w:tabs>
        <w:spacing w:line="720" w:lineRule="auto"/>
        <w:ind w:left="831"/>
        <w:rPr>
          <w:rFonts w:hAnsi="宋体" w:cs="宋体"/>
          <w:color w:val="auto"/>
          <w:spacing w:val="4"/>
          <w:szCs w:val="24"/>
        </w:rPr>
      </w:pPr>
      <w:r>
        <w:rPr>
          <w:rFonts w:hint="eastAsia" w:hAnsi="宋体" w:cs="宋体"/>
          <w:color w:val="auto"/>
          <w:szCs w:val="24"/>
        </w:rPr>
        <w:t>商务条款偏离表</w:t>
      </w:r>
    </w:p>
    <w:p w14:paraId="5C9F8745">
      <w:pPr>
        <w:numPr>
          <w:ilvl w:val="0"/>
          <w:numId w:val="8"/>
        </w:numPr>
        <w:tabs>
          <w:tab w:val="left" w:pos="1418"/>
        </w:tabs>
        <w:spacing w:line="720" w:lineRule="auto"/>
        <w:ind w:left="831"/>
        <w:rPr>
          <w:rFonts w:hAnsi="宋体" w:cs="宋体"/>
          <w:color w:val="auto"/>
          <w:spacing w:val="4"/>
          <w:szCs w:val="24"/>
        </w:rPr>
      </w:pPr>
      <w:r>
        <w:rPr>
          <w:rFonts w:hint="eastAsia" w:hAnsi="宋体" w:cs="宋体"/>
          <w:color w:val="auto"/>
          <w:spacing w:val="4"/>
          <w:szCs w:val="24"/>
        </w:rPr>
        <w:t>供应商承诺书</w:t>
      </w:r>
    </w:p>
    <w:p w14:paraId="1813B757">
      <w:pPr>
        <w:numPr>
          <w:ilvl w:val="0"/>
          <w:numId w:val="8"/>
        </w:numPr>
        <w:tabs>
          <w:tab w:val="left" w:pos="1418"/>
        </w:tabs>
        <w:spacing w:line="720" w:lineRule="auto"/>
        <w:ind w:left="831"/>
        <w:rPr>
          <w:rFonts w:hAnsi="宋体" w:cs="宋体"/>
          <w:color w:val="auto"/>
          <w:spacing w:val="4"/>
          <w:szCs w:val="24"/>
        </w:rPr>
      </w:pPr>
      <w:r>
        <w:rPr>
          <w:rFonts w:hint="eastAsia" w:hAnsi="宋体" w:cs="宋体"/>
          <w:color w:val="auto"/>
          <w:szCs w:val="24"/>
        </w:rPr>
        <w:t>资格证明文件</w:t>
      </w:r>
    </w:p>
    <w:p w14:paraId="73431120">
      <w:pPr>
        <w:numPr>
          <w:ilvl w:val="0"/>
          <w:numId w:val="8"/>
        </w:numPr>
        <w:tabs>
          <w:tab w:val="left" w:pos="1418"/>
        </w:tabs>
        <w:spacing w:line="720" w:lineRule="auto"/>
        <w:ind w:left="831"/>
        <w:rPr>
          <w:rFonts w:hAnsi="宋体" w:cs="宋体"/>
          <w:color w:val="auto"/>
          <w:szCs w:val="24"/>
        </w:rPr>
      </w:pPr>
      <w:r>
        <w:rPr>
          <w:rFonts w:hint="eastAsia" w:hAnsi="宋体" w:cs="宋体"/>
          <w:color w:val="auto"/>
          <w:szCs w:val="24"/>
        </w:rPr>
        <w:t>其他资料</w:t>
      </w:r>
    </w:p>
    <w:p w14:paraId="59D9E8C5">
      <w:pPr>
        <w:spacing w:line="480" w:lineRule="auto"/>
        <w:ind w:firstLine="1574" w:firstLineChars="635"/>
        <w:rPr>
          <w:rFonts w:hAnsi="宋体" w:cs="宋体"/>
          <w:color w:val="auto"/>
          <w:spacing w:val="4"/>
          <w:szCs w:val="24"/>
        </w:rPr>
      </w:pPr>
    </w:p>
    <w:p w14:paraId="55891E36">
      <w:pPr>
        <w:spacing w:line="480" w:lineRule="auto"/>
        <w:ind w:left="105"/>
        <w:rPr>
          <w:rFonts w:hAnsi="宋体" w:cs="宋体"/>
          <w:color w:val="auto"/>
          <w:spacing w:val="4"/>
          <w:szCs w:val="24"/>
        </w:rPr>
      </w:pPr>
    </w:p>
    <w:p w14:paraId="7D8061E8">
      <w:pPr>
        <w:pStyle w:val="3"/>
        <w:keepNext w:val="0"/>
        <w:keepLines w:val="0"/>
        <w:widowControl w:val="0"/>
        <w:spacing w:before="166" w:beforeLines="50" w:after="0" w:line="360" w:lineRule="auto"/>
        <w:ind w:left="0"/>
        <w:jc w:val="center"/>
        <w:rPr>
          <w:rFonts w:ascii="宋体" w:hAnsi="宋体" w:cs="宋体"/>
          <w:color w:val="auto"/>
          <w:sz w:val="32"/>
        </w:rPr>
      </w:pPr>
      <w:r>
        <w:rPr>
          <w:rFonts w:hint="eastAsia" w:ascii="宋体" w:hAnsi="宋体" w:cs="宋体"/>
          <w:color w:val="auto"/>
        </w:rPr>
        <w:br w:type="page"/>
      </w:r>
      <w:bookmarkStart w:id="185" w:name="_Toc403077648"/>
      <w:bookmarkStart w:id="186" w:name="_Toc363474027"/>
      <w:bookmarkStart w:id="187" w:name="_Toc14057"/>
      <w:bookmarkStart w:id="188" w:name="_Toc28404"/>
      <w:bookmarkStart w:id="189" w:name="_Toc18434"/>
      <w:bookmarkStart w:id="190" w:name="_Toc23752"/>
      <w:bookmarkStart w:id="191" w:name="_Toc4930"/>
      <w:bookmarkStart w:id="192" w:name="_Toc426457700"/>
      <w:bookmarkStart w:id="193" w:name="_Toc24231"/>
      <w:bookmarkStart w:id="194" w:name="_Toc23702"/>
      <w:bookmarkStart w:id="195" w:name="_Toc13414"/>
      <w:r>
        <w:rPr>
          <w:rFonts w:hint="eastAsia" w:ascii="宋体" w:hAnsi="宋体" w:eastAsia="宋体" w:cs="宋体"/>
          <w:color w:val="auto"/>
          <w:sz w:val="32"/>
        </w:rPr>
        <w:t>一、投标</w:t>
      </w:r>
      <w:bookmarkEnd w:id="185"/>
      <w:bookmarkEnd w:id="186"/>
      <w:r>
        <w:rPr>
          <w:rFonts w:hint="eastAsia" w:ascii="宋体" w:hAnsi="宋体" w:eastAsia="宋体" w:cs="宋体"/>
          <w:color w:val="auto"/>
          <w:sz w:val="32"/>
        </w:rPr>
        <w:t>函</w:t>
      </w:r>
      <w:bookmarkEnd w:id="187"/>
      <w:bookmarkEnd w:id="188"/>
      <w:bookmarkEnd w:id="189"/>
      <w:bookmarkEnd w:id="190"/>
      <w:bookmarkEnd w:id="191"/>
      <w:bookmarkEnd w:id="192"/>
      <w:bookmarkEnd w:id="193"/>
      <w:bookmarkEnd w:id="194"/>
      <w:bookmarkEnd w:id="195"/>
    </w:p>
    <w:p w14:paraId="255FD716">
      <w:pPr>
        <w:spacing w:line="500" w:lineRule="exact"/>
        <w:jc w:val="left"/>
        <w:rPr>
          <w:rFonts w:hAnsi="宋体" w:cs="宋体"/>
          <w:color w:val="auto"/>
          <w:spacing w:val="4"/>
          <w:szCs w:val="24"/>
          <w:u w:val="single"/>
        </w:rPr>
      </w:pPr>
      <w:r>
        <w:rPr>
          <w:rFonts w:hint="eastAsia" w:hAnsi="宋体" w:cs="宋体"/>
          <w:b/>
          <w:color w:val="auto"/>
          <w:spacing w:val="4"/>
          <w:szCs w:val="24"/>
        </w:rPr>
        <w:t>致</w:t>
      </w:r>
      <w:r>
        <w:rPr>
          <w:rFonts w:hint="eastAsia" w:hAnsi="宋体" w:cs="宋体"/>
          <w:b/>
          <w:color w:val="auto"/>
          <w:spacing w:val="4"/>
          <w:szCs w:val="24"/>
          <w:u w:val="single"/>
        </w:rPr>
        <w:t>：采购人名称/陕西万兴招标代理有限公司</w:t>
      </w:r>
    </w:p>
    <w:p w14:paraId="78F43ECC">
      <w:pPr>
        <w:spacing w:line="500" w:lineRule="exact"/>
        <w:ind w:firstLine="496" w:firstLineChars="200"/>
        <w:rPr>
          <w:rFonts w:hAnsi="宋体" w:cs="宋体"/>
          <w:color w:val="auto"/>
          <w:spacing w:val="4"/>
        </w:rPr>
      </w:pPr>
      <w:r>
        <w:rPr>
          <w:rFonts w:hint="eastAsia" w:hAnsi="宋体" w:cs="宋体"/>
          <w:color w:val="auto"/>
          <w:spacing w:val="4"/>
        </w:rPr>
        <w:t xml:space="preserve">根据贵方“ </w:t>
      </w:r>
      <w:r>
        <w:rPr>
          <w:rFonts w:hint="eastAsia" w:hAnsi="宋体" w:cs="宋体"/>
          <w:color w:val="auto"/>
          <w:spacing w:val="4"/>
          <w:u w:val="single"/>
        </w:rPr>
        <w:t xml:space="preserve">      项目名称                 </w:t>
      </w:r>
      <w:r>
        <w:rPr>
          <w:rFonts w:hint="eastAsia" w:hAnsi="宋体" w:cs="宋体"/>
          <w:color w:val="auto"/>
          <w:spacing w:val="4"/>
        </w:rPr>
        <w:t>”的投标邀请</w:t>
      </w:r>
      <w:r>
        <w:rPr>
          <w:rFonts w:hint="eastAsia" w:hAnsi="宋体" w:cs="宋体"/>
          <w:color w:val="auto"/>
          <w:spacing w:val="4"/>
          <w:u w:val="single"/>
        </w:rPr>
        <w:t>(编号：       )</w:t>
      </w:r>
      <w:r>
        <w:rPr>
          <w:rFonts w:hint="eastAsia" w:hAnsi="宋体" w:cs="宋体"/>
          <w:color w:val="auto"/>
          <w:spacing w:val="4"/>
          <w:u w:val="single"/>
          <w:lang w:val="en-US" w:eastAsia="zh-CN"/>
        </w:rPr>
        <w:t xml:space="preserve">包号：   </w:t>
      </w:r>
      <w:r>
        <w:rPr>
          <w:rFonts w:hint="eastAsia" w:hAnsi="宋体" w:cs="宋体"/>
          <w:color w:val="auto"/>
          <w:spacing w:val="4"/>
        </w:rPr>
        <w:t>，签字代表</w:t>
      </w:r>
      <w:r>
        <w:rPr>
          <w:rFonts w:hint="eastAsia" w:hAnsi="宋体" w:cs="宋体"/>
          <w:color w:val="auto"/>
          <w:spacing w:val="4"/>
          <w:u w:val="single"/>
        </w:rPr>
        <w:t>（全名、职务）</w:t>
      </w:r>
      <w:r>
        <w:rPr>
          <w:rFonts w:hint="eastAsia" w:hAnsi="宋体" w:cs="宋体"/>
          <w:color w:val="auto"/>
          <w:spacing w:val="4"/>
        </w:rPr>
        <w:t>经正式授权并代表供应商</w:t>
      </w:r>
      <w:r>
        <w:rPr>
          <w:rFonts w:hint="eastAsia" w:hAnsi="宋体" w:cs="宋体"/>
          <w:color w:val="auto"/>
          <w:spacing w:val="4"/>
          <w:u w:val="single"/>
        </w:rPr>
        <w:t>(供应商名称、地址)</w:t>
      </w:r>
      <w:r>
        <w:rPr>
          <w:rFonts w:hint="eastAsia" w:hAnsi="宋体" w:cs="宋体"/>
          <w:color w:val="auto"/>
          <w:spacing w:val="4"/>
        </w:rPr>
        <w:t xml:space="preserve"> 提交</w:t>
      </w:r>
      <w:r>
        <w:rPr>
          <w:rFonts w:hint="eastAsia" w:cs="宋体" w:asciiTheme="minorEastAsia" w:hAnsiTheme="minorEastAsia" w:eastAsiaTheme="minorEastAsia"/>
          <w:color w:val="auto"/>
          <w:spacing w:val="4"/>
          <w:highlight w:val="none"/>
          <w:lang w:val="en-US" w:eastAsia="zh-CN"/>
        </w:rPr>
        <w:t>电子</w:t>
      </w:r>
      <w:r>
        <w:rPr>
          <w:rFonts w:hint="eastAsia" w:cs="宋体" w:asciiTheme="minorEastAsia" w:hAnsiTheme="minorEastAsia" w:eastAsiaTheme="minorEastAsia"/>
          <w:color w:val="auto"/>
          <w:spacing w:val="4"/>
          <w:highlight w:val="none"/>
        </w:rPr>
        <w:t>投标文件</w:t>
      </w:r>
      <w:r>
        <w:rPr>
          <w:rFonts w:hint="eastAsia" w:cs="宋体" w:asciiTheme="minorEastAsia" w:hAnsiTheme="minorEastAsia" w:eastAsiaTheme="minorEastAsia"/>
          <w:color w:val="auto"/>
          <w:spacing w:val="4"/>
          <w:highlight w:val="none"/>
          <w:lang w:val="en-US" w:eastAsia="zh-CN"/>
        </w:rPr>
        <w:t>并做以下</w:t>
      </w:r>
      <w:r>
        <w:rPr>
          <w:rFonts w:hint="eastAsia" w:cs="宋体" w:asciiTheme="minorEastAsia" w:hAnsiTheme="minorEastAsia" w:eastAsiaTheme="minorEastAsia"/>
          <w:color w:val="auto"/>
          <w:spacing w:val="4"/>
          <w:highlight w:val="none"/>
        </w:rPr>
        <w:t>承诺</w:t>
      </w:r>
      <w:r>
        <w:rPr>
          <w:rFonts w:hint="eastAsia" w:cs="宋体" w:asciiTheme="minorEastAsia" w:hAnsiTheme="minorEastAsia" w:eastAsiaTheme="minorEastAsia"/>
          <w:color w:val="auto"/>
          <w:spacing w:val="4"/>
          <w:highlight w:val="none"/>
          <w:lang w:eastAsia="zh-CN"/>
        </w:rPr>
        <w:t>，并负法律责任</w:t>
      </w:r>
      <w:r>
        <w:rPr>
          <w:rFonts w:hint="eastAsia" w:cs="宋体" w:asciiTheme="minorEastAsia" w:hAnsiTheme="minorEastAsia" w:eastAsiaTheme="minorEastAsia"/>
          <w:color w:val="auto"/>
          <w:spacing w:val="4"/>
          <w:highlight w:val="none"/>
        </w:rPr>
        <w:t>：</w:t>
      </w:r>
    </w:p>
    <w:p w14:paraId="0948CD5F">
      <w:pPr>
        <w:numPr>
          <w:ilvl w:val="0"/>
          <w:numId w:val="9"/>
        </w:numPr>
        <w:tabs>
          <w:tab w:val="left" w:pos="2160"/>
        </w:tabs>
        <w:spacing w:line="500" w:lineRule="exact"/>
        <w:ind w:left="0" w:firstLine="0"/>
        <w:jc w:val="left"/>
        <w:rPr>
          <w:rFonts w:hAnsi="宋体" w:cs="宋体"/>
          <w:color w:val="auto"/>
          <w:spacing w:val="4"/>
        </w:rPr>
      </w:pPr>
      <w:r>
        <w:rPr>
          <w:rFonts w:hint="eastAsia" w:ascii="宋体" w:hAnsi="宋体" w:eastAsia="宋体" w:cs="宋体"/>
          <w:color w:val="auto"/>
          <w:spacing w:val="4"/>
          <w:highlight w:val="none"/>
        </w:rPr>
        <w:t>投标</w:t>
      </w:r>
      <w:r>
        <w:rPr>
          <w:rFonts w:hint="eastAsia" w:hAnsi="宋体" w:cs="宋体"/>
          <w:color w:val="auto"/>
          <w:spacing w:val="4"/>
          <w:highlight w:val="none"/>
          <w:lang w:val="en-US" w:eastAsia="zh-CN"/>
        </w:rPr>
        <w:t>报价</w:t>
      </w:r>
      <w:r>
        <w:rPr>
          <w:rFonts w:hint="eastAsia" w:hAnsi="宋体" w:eastAsia="宋体" w:cs="宋体"/>
          <w:color w:val="auto"/>
          <w:spacing w:val="4"/>
          <w:highlight w:val="none"/>
          <w:lang w:val="en-US" w:eastAsia="zh-CN"/>
        </w:rPr>
        <w:t>为：</w:t>
      </w:r>
      <w:r>
        <w:rPr>
          <w:rFonts w:hint="eastAsia" w:hAnsi="宋体" w:eastAsia="宋体" w:cs="宋体"/>
          <w:color w:val="auto"/>
          <w:spacing w:val="4"/>
          <w:highlight w:val="none"/>
          <w:u w:val="single"/>
          <w:lang w:val="en-US" w:eastAsia="zh-CN"/>
        </w:rPr>
        <w:t xml:space="preserve">      </w:t>
      </w:r>
      <w:r>
        <w:rPr>
          <w:rFonts w:hint="eastAsia" w:hAnsi="宋体" w:cs="宋体"/>
          <w:color w:val="auto"/>
          <w:spacing w:val="4"/>
          <w:highlight w:val="none"/>
          <w:lang w:val="en-US" w:eastAsia="zh-CN"/>
        </w:rPr>
        <w:t>元</w:t>
      </w:r>
      <w:r>
        <w:rPr>
          <w:rFonts w:hint="eastAsia" w:hAnsi="宋体" w:eastAsia="宋体" w:cs="宋体"/>
          <w:color w:val="auto"/>
          <w:spacing w:val="4"/>
          <w:highlight w:val="none"/>
          <w:lang w:val="en-US" w:eastAsia="zh-CN"/>
        </w:rPr>
        <w:t>。</w:t>
      </w:r>
    </w:p>
    <w:p w14:paraId="6C8F0924">
      <w:pPr>
        <w:numPr>
          <w:ilvl w:val="0"/>
          <w:numId w:val="9"/>
        </w:numPr>
        <w:tabs>
          <w:tab w:val="left" w:pos="2160"/>
        </w:tabs>
        <w:spacing w:line="500" w:lineRule="exact"/>
        <w:ind w:left="0" w:firstLine="0"/>
        <w:jc w:val="left"/>
        <w:rPr>
          <w:rFonts w:hAnsi="宋体" w:cs="宋体"/>
          <w:color w:val="auto"/>
          <w:spacing w:val="4"/>
        </w:rPr>
      </w:pPr>
      <w:r>
        <w:rPr>
          <w:rFonts w:hint="eastAsia" w:hAnsi="宋体" w:cs="宋体"/>
          <w:color w:val="auto"/>
          <w:spacing w:val="4"/>
        </w:rPr>
        <w:t>如果中标，我们根据招标文件的规定，履行合同的责任和义务。</w:t>
      </w:r>
    </w:p>
    <w:p w14:paraId="2E4B914E">
      <w:pPr>
        <w:numPr>
          <w:ilvl w:val="0"/>
          <w:numId w:val="9"/>
        </w:numPr>
        <w:tabs>
          <w:tab w:val="left" w:pos="2160"/>
        </w:tabs>
        <w:spacing w:line="500" w:lineRule="exact"/>
        <w:ind w:left="0" w:firstLine="0"/>
        <w:jc w:val="left"/>
        <w:rPr>
          <w:rFonts w:hAnsi="宋体" w:cs="宋体"/>
          <w:color w:val="auto"/>
          <w:spacing w:val="4"/>
        </w:rPr>
      </w:pPr>
      <w:r>
        <w:rPr>
          <w:rFonts w:hint="eastAsia" w:hAnsi="宋体" w:cs="宋体"/>
          <w:color w:val="auto"/>
          <w:spacing w:val="4"/>
        </w:rPr>
        <w:t>我们已详细阅读和审核全部招标文件（含修改部分，如有的话）及有关附件，我们知道必须放弃提出含糊不清或误解的问题的权利。</w:t>
      </w:r>
    </w:p>
    <w:p w14:paraId="7E2D2B72">
      <w:pPr>
        <w:numPr>
          <w:ilvl w:val="0"/>
          <w:numId w:val="9"/>
        </w:numPr>
        <w:tabs>
          <w:tab w:val="left" w:pos="2160"/>
        </w:tabs>
        <w:spacing w:line="500" w:lineRule="exact"/>
        <w:ind w:left="0" w:firstLine="0"/>
        <w:jc w:val="left"/>
        <w:rPr>
          <w:rFonts w:hAnsi="宋体" w:cs="宋体"/>
          <w:color w:val="auto"/>
          <w:spacing w:val="4"/>
        </w:rPr>
      </w:pPr>
      <w:r>
        <w:rPr>
          <w:rFonts w:hint="eastAsia" w:hAnsi="宋体" w:cs="宋体"/>
          <w:color w:val="auto"/>
          <w:spacing w:val="4"/>
        </w:rPr>
        <w:t>我们同意在投标有效期内（</w:t>
      </w:r>
      <w:r>
        <w:rPr>
          <w:rFonts w:hint="eastAsia" w:hAnsi="宋体" w:cs="宋体"/>
          <w:color w:val="auto"/>
          <w:spacing w:val="4"/>
          <w:u w:val="single"/>
        </w:rPr>
        <w:t>自开标之日起    天</w:t>
      </w:r>
      <w:r>
        <w:rPr>
          <w:rFonts w:hint="eastAsia" w:hAnsi="宋体" w:cs="宋体"/>
          <w:color w:val="auto"/>
          <w:spacing w:val="4"/>
        </w:rPr>
        <w:t>），本投标函对我方具有约束力。</w:t>
      </w:r>
    </w:p>
    <w:p w14:paraId="7E0F7478">
      <w:pPr>
        <w:numPr>
          <w:ilvl w:val="0"/>
          <w:numId w:val="9"/>
        </w:numPr>
        <w:tabs>
          <w:tab w:val="left" w:pos="2160"/>
        </w:tabs>
        <w:spacing w:line="500" w:lineRule="exact"/>
        <w:ind w:left="0" w:firstLine="0"/>
        <w:jc w:val="left"/>
        <w:rPr>
          <w:rFonts w:hAnsi="宋体" w:cs="宋体"/>
          <w:color w:val="auto"/>
          <w:spacing w:val="4"/>
        </w:rPr>
      </w:pPr>
      <w:r>
        <w:rPr>
          <w:rFonts w:hint="eastAsia" w:cs="宋体" w:asciiTheme="minorEastAsia" w:hAnsiTheme="minorEastAsia" w:eastAsiaTheme="minorEastAsia"/>
          <w:color w:val="auto"/>
          <w:spacing w:val="4"/>
          <w:highlight w:val="none"/>
        </w:rPr>
        <w:t>同意提供贵方可能另外要求的与本投标有关的任何证据和资料。</w:t>
      </w:r>
    </w:p>
    <w:p w14:paraId="1705924D">
      <w:pPr>
        <w:numPr>
          <w:ilvl w:val="0"/>
          <w:numId w:val="9"/>
        </w:numPr>
        <w:tabs>
          <w:tab w:val="left" w:pos="2160"/>
        </w:tabs>
        <w:spacing w:line="500" w:lineRule="exact"/>
        <w:ind w:left="0" w:firstLine="0"/>
        <w:jc w:val="left"/>
        <w:rPr>
          <w:rFonts w:hAnsi="宋体" w:cs="宋体"/>
          <w:color w:val="auto"/>
          <w:spacing w:val="4"/>
        </w:rPr>
      </w:pPr>
      <w:r>
        <w:rPr>
          <w:rFonts w:hint="eastAsia" w:cs="宋体" w:asciiTheme="minorEastAsia" w:hAnsiTheme="minorEastAsia" w:eastAsiaTheme="minorEastAsia"/>
          <w:color w:val="auto"/>
          <w:spacing w:val="4"/>
          <w:highlight w:val="none"/>
        </w:rPr>
        <w:t>我们同意，如果中标，向陕西万兴招标代理有限公司交纳招标代理服务费。</w:t>
      </w:r>
    </w:p>
    <w:p w14:paraId="28C800C9">
      <w:pPr>
        <w:numPr>
          <w:ilvl w:val="0"/>
          <w:numId w:val="9"/>
        </w:numPr>
        <w:tabs>
          <w:tab w:val="left" w:pos="2160"/>
        </w:tabs>
        <w:spacing w:line="500" w:lineRule="exact"/>
        <w:ind w:left="0" w:firstLine="0"/>
        <w:jc w:val="left"/>
        <w:rPr>
          <w:rFonts w:hAnsi="宋体" w:cs="宋体"/>
          <w:color w:val="auto"/>
          <w:spacing w:val="4"/>
        </w:rPr>
      </w:pPr>
      <w:r>
        <w:rPr>
          <w:rFonts w:hint="eastAsia" w:hAnsi="宋体" w:cs="宋体"/>
          <w:color w:val="auto"/>
          <w:spacing w:val="4"/>
        </w:rPr>
        <w:t>与本投标有关的一切正式往来通讯为：</w:t>
      </w:r>
    </w:p>
    <w:p w14:paraId="4D94A2FE">
      <w:pPr>
        <w:spacing w:line="500" w:lineRule="exact"/>
        <w:ind w:firstLine="1240" w:firstLineChars="500"/>
        <w:jc w:val="left"/>
        <w:rPr>
          <w:rFonts w:hAnsi="宋体" w:cs="宋体"/>
          <w:color w:val="auto"/>
          <w:spacing w:val="4"/>
        </w:rPr>
      </w:pPr>
      <w:r>
        <w:rPr>
          <w:rFonts w:hint="eastAsia" w:hAnsi="宋体" w:cs="宋体"/>
          <w:color w:val="auto"/>
          <w:spacing w:val="4"/>
        </w:rPr>
        <w:t>联系地址：</w:t>
      </w:r>
    </w:p>
    <w:p w14:paraId="09B3C650">
      <w:pPr>
        <w:spacing w:line="500" w:lineRule="exact"/>
        <w:ind w:firstLine="1240" w:firstLineChars="500"/>
        <w:jc w:val="left"/>
        <w:rPr>
          <w:rFonts w:hAnsi="宋体" w:cs="宋体"/>
          <w:color w:val="auto"/>
          <w:spacing w:val="4"/>
        </w:rPr>
      </w:pPr>
      <w:r>
        <w:rPr>
          <w:rFonts w:hint="eastAsia" w:hAnsi="宋体" w:cs="宋体"/>
          <w:color w:val="auto"/>
          <w:spacing w:val="4"/>
        </w:rPr>
        <w:t>邮政编码：</w:t>
      </w:r>
    </w:p>
    <w:p w14:paraId="7E9781FB">
      <w:pPr>
        <w:spacing w:line="500" w:lineRule="exact"/>
        <w:ind w:firstLine="1240" w:firstLineChars="500"/>
        <w:jc w:val="left"/>
        <w:rPr>
          <w:rFonts w:hAnsi="宋体" w:cs="宋体"/>
          <w:color w:val="auto"/>
          <w:spacing w:val="4"/>
        </w:rPr>
      </w:pPr>
      <w:r>
        <w:rPr>
          <w:rFonts w:hint="eastAsia" w:hAnsi="宋体" w:cs="宋体"/>
          <w:color w:val="auto"/>
          <w:spacing w:val="4"/>
        </w:rPr>
        <w:t>电    话：</w:t>
      </w:r>
    </w:p>
    <w:p w14:paraId="4DC33F3F">
      <w:pPr>
        <w:spacing w:line="500" w:lineRule="exact"/>
        <w:ind w:firstLine="1240" w:firstLineChars="500"/>
        <w:jc w:val="left"/>
        <w:rPr>
          <w:rFonts w:hAnsi="宋体" w:cs="宋体"/>
          <w:color w:val="auto"/>
          <w:spacing w:val="4"/>
        </w:rPr>
      </w:pPr>
      <w:r>
        <w:rPr>
          <w:rFonts w:hint="eastAsia" w:hAnsi="宋体" w:cs="宋体"/>
          <w:color w:val="auto"/>
          <w:spacing w:val="4"/>
        </w:rPr>
        <w:t>传    真：</w:t>
      </w:r>
    </w:p>
    <w:p w14:paraId="4975778A">
      <w:pPr>
        <w:spacing w:line="500" w:lineRule="exact"/>
        <w:ind w:firstLine="1240" w:firstLineChars="500"/>
        <w:jc w:val="left"/>
        <w:rPr>
          <w:rFonts w:hAnsi="宋体" w:cs="宋体"/>
          <w:color w:val="auto"/>
          <w:spacing w:val="4"/>
        </w:rPr>
      </w:pPr>
      <w:r>
        <w:rPr>
          <w:rFonts w:hint="eastAsia" w:hAnsi="宋体" w:cs="宋体"/>
          <w:color w:val="auto"/>
          <w:spacing w:val="4"/>
        </w:rPr>
        <w:t>供应商名称：</w:t>
      </w:r>
      <w:r>
        <w:rPr>
          <w:rFonts w:hint="eastAsia" w:hAnsi="宋体" w:cs="宋体"/>
          <w:color w:val="auto"/>
          <w:spacing w:val="4"/>
          <w:u w:val="single"/>
        </w:rPr>
        <w:t xml:space="preserve">                   </w:t>
      </w:r>
      <w:r>
        <w:rPr>
          <w:rFonts w:hint="eastAsia" w:hAnsi="宋体" w:cs="宋体"/>
          <w:color w:val="auto"/>
          <w:spacing w:val="4"/>
        </w:rPr>
        <w:t>（盖单位公章）</w:t>
      </w:r>
    </w:p>
    <w:p w14:paraId="76DD0A3D">
      <w:pPr>
        <w:spacing w:line="500" w:lineRule="exact"/>
        <w:ind w:firstLine="1240" w:firstLineChars="500"/>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3CC2DA0D">
      <w:pPr>
        <w:spacing w:line="500" w:lineRule="exact"/>
        <w:ind w:firstLine="1240" w:firstLineChars="500"/>
        <w:jc w:val="left"/>
        <w:rPr>
          <w:rFonts w:hAnsi="宋体" w:cs="宋体"/>
          <w:color w:val="auto"/>
          <w:spacing w:val="4"/>
        </w:rPr>
      </w:pPr>
      <w:r>
        <w:rPr>
          <w:rFonts w:hint="eastAsia" w:hAnsi="宋体" w:cs="宋体"/>
          <w:color w:val="auto"/>
          <w:spacing w:val="4"/>
        </w:rPr>
        <w:t>日    期：   年   月    日</w:t>
      </w:r>
    </w:p>
    <w:p w14:paraId="7495F4A9">
      <w:pPr>
        <w:spacing w:before="333" w:beforeLines="100"/>
        <w:jc w:val="center"/>
        <w:outlineLvl w:val="1"/>
        <w:rPr>
          <w:rFonts w:hAnsi="宋体" w:cs="宋体"/>
          <w:b/>
          <w:bCs/>
          <w:color w:val="auto"/>
          <w:sz w:val="32"/>
          <w:szCs w:val="32"/>
        </w:rPr>
      </w:pPr>
      <w:r>
        <w:rPr>
          <w:rFonts w:hint="eastAsia" w:hAnsi="宋体" w:cs="宋体"/>
          <w:color w:val="auto"/>
          <w:sz w:val="28"/>
        </w:rPr>
        <w:br w:type="page"/>
      </w:r>
      <w:bookmarkStart w:id="196" w:name="_Toc426457703"/>
      <w:bookmarkStart w:id="197" w:name="_Toc4332"/>
      <w:bookmarkStart w:id="198" w:name="_Toc15042"/>
      <w:bookmarkStart w:id="199" w:name="_Toc21319"/>
      <w:bookmarkStart w:id="200" w:name="_Toc29025"/>
      <w:bookmarkStart w:id="201" w:name="_Toc17802"/>
      <w:bookmarkStart w:id="202" w:name="_Toc27599"/>
      <w:bookmarkStart w:id="203" w:name="_Toc403077651"/>
      <w:bookmarkStart w:id="204" w:name="_Toc21967"/>
      <w:bookmarkStart w:id="205" w:name="_Toc7018"/>
      <w:bookmarkStart w:id="206" w:name="_Toc363474030"/>
      <w:r>
        <w:rPr>
          <w:rFonts w:hint="eastAsia" w:hAnsi="宋体" w:cs="宋体"/>
          <w:b/>
          <w:bCs/>
          <w:color w:val="auto"/>
          <w:sz w:val="32"/>
          <w:szCs w:val="32"/>
        </w:rPr>
        <w:t>二、投标报价表</w:t>
      </w:r>
      <w:bookmarkEnd w:id="196"/>
      <w:bookmarkEnd w:id="197"/>
      <w:bookmarkEnd w:id="198"/>
      <w:bookmarkEnd w:id="199"/>
      <w:bookmarkEnd w:id="200"/>
      <w:bookmarkEnd w:id="201"/>
      <w:bookmarkEnd w:id="202"/>
      <w:bookmarkEnd w:id="203"/>
      <w:bookmarkEnd w:id="204"/>
      <w:bookmarkEnd w:id="205"/>
      <w:bookmarkEnd w:id="206"/>
    </w:p>
    <w:p w14:paraId="1495870F">
      <w:pPr>
        <w:jc w:val="center"/>
        <w:rPr>
          <w:rFonts w:hAnsi="宋体" w:cs="宋体"/>
          <w:b/>
          <w:color w:val="auto"/>
          <w:sz w:val="30"/>
          <w:szCs w:val="30"/>
        </w:rPr>
      </w:pPr>
      <w:r>
        <w:rPr>
          <w:rFonts w:hint="eastAsia" w:hAnsi="宋体" w:cs="宋体"/>
          <w:b/>
          <w:color w:val="auto"/>
          <w:sz w:val="30"/>
          <w:szCs w:val="30"/>
        </w:rPr>
        <w:t>2.1开标一览表</w:t>
      </w:r>
    </w:p>
    <w:p w14:paraId="56C7F3D5">
      <w:pPr>
        <w:jc w:val="left"/>
        <w:rPr>
          <w:rFonts w:hAnsi="宋体" w:cs="宋体"/>
          <w:bCs/>
          <w:color w:val="auto"/>
          <w:szCs w:val="24"/>
        </w:rPr>
      </w:pPr>
      <w:r>
        <w:rPr>
          <w:rFonts w:hint="eastAsia" w:hAnsi="宋体" w:cs="宋体"/>
          <w:bCs/>
          <w:color w:val="auto"/>
          <w:szCs w:val="24"/>
        </w:rPr>
        <w:t>项目名称：</w:t>
      </w:r>
    </w:p>
    <w:p w14:paraId="4EB19F8D">
      <w:pPr>
        <w:jc w:val="left"/>
        <w:rPr>
          <w:rFonts w:hint="eastAsia" w:ascii="宋体" w:hAnsi="宋体" w:eastAsia="宋体" w:cs="宋体"/>
          <w:bCs/>
          <w:color w:val="auto"/>
          <w:szCs w:val="24"/>
        </w:rPr>
      </w:pPr>
      <w:r>
        <w:rPr>
          <w:rFonts w:hint="eastAsia" w:ascii="宋体" w:hAnsi="宋体" w:eastAsia="宋体" w:cs="宋体"/>
          <w:bCs/>
          <w:color w:val="auto"/>
          <w:szCs w:val="24"/>
        </w:rPr>
        <w:t>项目编号：</w:t>
      </w:r>
    </w:p>
    <w:p w14:paraId="360E8BF2">
      <w:pPr>
        <w:jc w:val="left"/>
        <w:rPr>
          <w:rFonts w:hint="eastAsia" w:ascii="宋体" w:hAnsi="宋体" w:eastAsia="宋体" w:cs="宋体"/>
          <w:bCs/>
          <w:color w:val="auto"/>
          <w:szCs w:val="24"/>
          <w:lang w:val="en-US" w:eastAsia="zh-CN"/>
        </w:rPr>
      </w:pPr>
      <w:r>
        <w:rPr>
          <w:rFonts w:hint="eastAsia" w:ascii="宋体" w:hAnsi="宋体" w:eastAsia="宋体" w:cs="宋体"/>
          <w:bCs/>
          <w:color w:val="auto"/>
          <w:szCs w:val="24"/>
          <w:lang w:val="en-US" w:eastAsia="zh-CN"/>
        </w:rPr>
        <w:t>包号：</w:t>
      </w:r>
    </w:p>
    <w:tbl>
      <w:tblPr>
        <w:tblStyle w:val="46"/>
        <w:tblpPr w:leftFromText="180" w:rightFromText="180" w:vertAnchor="text" w:horzAnchor="page" w:tblpX="1618" w:tblpY="335"/>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3"/>
        <w:gridCol w:w="3112"/>
        <w:gridCol w:w="2515"/>
      </w:tblGrid>
      <w:tr w14:paraId="27FC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3273" w:type="dxa"/>
            <w:vAlign w:val="center"/>
          </w:tcPr>
          <w:p w14:paraId="1DA8586D">
            <w:pPr>
              <w:jc w:val="center"/>
              <w:rPr>
                <w:rFonts w:hAnsi="宋体" w:cs="宋体"/>
                <w:color w:val="auto"/>
                <w:szCs w:val="24"/>
              </w:rPr>
            </w:pPr>
            <w:r>
              <w:rPr>
                <w:rFonts w:hint="eastAsia" w:ascii="宋体" w:hAnsi="宋体" w:eastAsia="宋体" w:cs="宋体"/>
                <w:color w:val="auto"/>
                <w:szCs w:val="24"/>
                <w:highlight w:val="none"/>
              </w:rPr>
              <w:t>投标</w:t>
            </w:r>
            <w:r>
              <w:rPr>
                <w:rFonts w:hint="eastAsia" w:hAnsi="宋体" w:cs="宋体"/>
                <w:color w:val="auto"/>
                <w:szCs w:val="24"/>
                <w:highlight w:val="none"/>
                <w:lang w:eastAsia="zh-CN"/>
              </w:rPr>
              <w:t>报价</w:t>
            </w:r>
            <w:r>
              <w:rPr>
                <w:rFonts w:hint="eastAsia" w:hAnsi="宋体" w:eastAsia="宋体" w:cs="宋体"/>
                <w:color w:val="auto"/>
                <w:szCs w:val="24"/>
                <w:highlight w:val="none"/>
                <w:lang w:eastAsia="zh-CN"/>
              </w:rPr>
              <w:t>（</w:t>
            </w:r>
            <w:r>
              <w:rPr>
                <w:rFonts w:hint="eastAsia" w:hAnsi="宋体" w:cs="宋体"/>
                <w:color w:val="auto"/>
                <w:szCs w:val="24"/>
                <w:highlight w:val="none"/>
                <w:lang w:val="en-US" w:eastAsia="zh-CN"/>
              </w:rPr>
              <w:t>元</w:t>
            </w:r>
            <w:r>
              <w:rPr>
                <w:rFonts w:hint="eastAsia" w:hAnsi="宋体" w:eastAsia="宋体" w:cs="宋体"/>
                <w:color w:val="auto"/>
                <w:szCs w:val="24"/>
                <w:highlight w:val="none"/>
                <w:lang w:eastAsia="zh-CN"/>
              </w:rPr>
              <w:t>）</w:t>
            </w:r>
          </w:p>
        </w:tc>
        <w:tc>
          <w:tcPr>
            <w:tcW w:w="3112" w:type="dxa"/>
            <w:vAlign w:val="center"/>
          </w:tcPr>
          <w:p w14:paraId="1A74EB81">
            <w:pPr>
              <w:jc w:val="center"/>
              <w:rPr>
                <w:rFonts w:hAnsi="宋体" w:cs="宋体"/>
                <w:color w:val="auto"/>
                <w:szCs w:val="24"/>
              </w:rPr>
            </w:pPr>
            <w:r>
              <w:rPr>
                <w:rFonts w:hint="eastAsia" w:hAnsi="宋体" w:cs="宋体"/>
                <w:color w:val="auto"/>
                <w:szCs w:val="24"/>
                <w:lang w:eastAsia="zh-CN"/>
              </w:rPr>
              <w:t>服务</w:t>
            </w:r>
            <w:r>
              <w:rPr>
                <w:rFonts w:hint="eastAsia" w:hAnsi="宋体" w:cs="宋体"/>
                <w:color w:val="auto"/>
                <w:szCs w:val="24"/>
              </w:rPr>
              <w:t>期</w:t>
            </w:r>
          </w:p>
        </w:tc>
        <w:tc>
          <w:tcPr>
            <w:tcW w:w="2515" w:type="dxa"/>
            <w:vAlign w:val="center"/>
          </w:tcPr>
          <w:p w14:paraId="190C736E">
            <w:pPr>
              <w:jc w:val="center"/>
              <w:rPr>
                <w:rFonts w:hAnsi="宋体" w:cs="宋体"/>
                <w:color w:val="auto"/>
                <w:szCs w:val="24"/>
              </w:rPr>
            </w:pPr>
            <w:r>
              <w:rPr>
                <w:rFonts w:hint="eastAsia" w:hAnsi="宋体" w:cs="宋体"/>
                <w:color w:val="auto"/>
                <w:szCs w:val="24"/>
              </w:rPr>
              <w:t>备注</w:t>
            </w:r>
          </w:p>
        </w:tc>
      </w:tr>
      <w:tr w14:paraId="0DDF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3273" w:type="dxa"/>
            <w:vAlign w:val="center"/>
          </w:tcPr>
          <w:p w14:paraId="41CBB488">
            <w:pPr>
              <w:jc w:val="center"/>
              <w:rPr>
                <w:rFonts w:hAnsi="宋体" w:cs="宋体"/>
                <w:color w:val="auto"/>
                <w:szCs w:val="24"/>
              </w:rPr>
            </w:pPr>
          </w:p>
        </w:tc>
        <w:tc>
          <w:tcPr>
            <w:tcW w:w="3112" w:type="dxa"/>
            <w:vAlign w:val="center"/>
          </w:tcPr>
          <w:p w14:paraId="69D140E2">
            <w:pPr>
              <w:jc w:val="center"/>
              <w:rPr>
                <w:rFonts w:hAnsi="宋体" w:cs="宋体"/>
                <w:color w:val="auto"/>
                <w:szCs w:val="24"/>
              </w:rPr>
            </w:pPr>
          </w:p>
        </w:tc>
        <w:tc>
          <w:tcPr>
            <w:tcW w:w="2515" w:type="dxa"/>
            <w:vAlign w:val="center"/>
          </w:tcPr>
          <w:p w14:paraId="463D1D13">
            <w:pPr>
              <w:jc w:val="center"/>
              <w:rPr>
                <w:rFonts w:hAnsi="宋体" w:cs="宋体"/>
                <w:color w:val="auto"/>
                <w:szCs w:val="24"/>
              </w:rPr>
            </w:pPr>
          </w:p>
        </w:tc>
      </w:tr>
      <w:tr w14:paraId="4077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6" w:hRule="atLeast"/>
        </w:trPr>
        <w:tc>
          <w:tcPr>
            <w:tcW w:w="8900" w:type="dxa"/>
            <w:gridSpan w:val="3"/>
            <w:vAlign w:val="center"/>
          </w:tcPr>
          <w:p w14:paraId="27844148">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hAnsi="宋体" w:cs="宋体"/>
                <w:color w:val="auto"/>
                <w:szCs w:val="24"/>
                <w:u w:val="none"/>
                <w:lang w:val="en-US" w:eastAsia="zh-CN"/>
              </w:rPr>
            </w:pPr>
            <w:r>
              <w:rPr>
                <w:rFonts w:hint="eastAsia" w:hAnsi="宋体" w:cs="宋体"/>
                <w:color w:val="auto"/>
                <w:szCs w:val="24"/>
                <w:lang w:eastAsia="zh-CN"/>
              </w:rPr>
              <w:t>大写：人民币</w:t>
            </w:r>
            <w:r>
              <w:rPr>
                <w:rFonts w:hint="eastAsia" w:hAnsi="宋体" w:cs="宋体"/>
                <w:color w:val="auto"/>
                <w:szCs w:val="24"/>
                <w:u w:val="single"/>
                <w:lang w:val="en-US" w:eastAsia="zh-CN"/>
              </w:rPr>
              <w:t xml:space="preserve">                    </w:t>
            </w:r>
            <w:r>
              <w:rPr>
                <w:rFonts w:hint="eastAsia" w:hAnsi="宋体" w:cs="宋体"/>
                <w:color w:val="auto"/>
                <w:szCs w:val="24"/>
                <w:u w:val="none"/>
                <w:lang w:val="en-US" w:eastAsia="zh-CN"/>
              </w:rPr>
              <w:t>元</w:t>
            </w:r>
          </w:p>
          <w:p w14:paraId="1BFA9A0E">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default" w:hAnsi="宋体" w:cs="宋体"/>
                <w:color w:val="auto"/>
                <w:szCs w:val="24"/>
                <w:u w:val="none"/>
                <w:lang w:val="en-US" w:eastAsia="zh-CN"/>
              </w:rPr>
            </w:pPr>
            <w:r>
              <w:rPr>
                <w:rFonts w:hint="eastAsia" w:hAnsi="宋体" w:cs="宋体"/>
                <w:color w:val="auto"/>
                <w:szCs w:val="24"/>
                <w:u w:val="none"/>
                <w:lang w:val="en-US" w:eastAsia="zh-CN"/>
              </w:rPr>
              <w:t>小写：¥</w:t>
            </w:r>
            <w:r>
              <w:rPr>
                <w:rFonts w:hint="eastAsia" w:hAnsi="宋体" w:cs="宋体"/>
                <w:color w:val="auto"/>
                <w:szCs w:val="24"/>
                <w:u w:val="single"/>
                <w:lang w:val="en-US" w:eastAsia="zh-CN"/>
              </w:rPr>
              <w:t xml:space="preserve">                         </w:t>
            </w:r>
            <w:r>
              <w:rPr>
                <w:rFonts w:hint="eastAsia" w:hAnsi="宋体" w:cs="宋体"/>
                <w:color w:val="auto"/>
                <w:szCs w:val="24"/>
                <w:u w:val="none"/>
                <w:lang w:val="en-US" w:eastAsia="zh-CN"/>
              </w:rPr>
              <w:t>元</w:t>
            </w:r>
          </w:p>
        </w:tc>
      </w:tr>
      <w:tr w14:paraId="2ED1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8900" w:type="dxa"/>
            <w:gridSpan w:val="3"/>
            <w:vAlign w:val="center"/>
          </w:tcPr>
          <w:p w14:paraId="43F67F3D">
            <w:pPr>
              <w:jc w:val="left"/>
              <w:rPr>
                <w:rFonts w:hAnsi="宋体" w:cs="宋体"/>
                <w:color w:val="auto"/>
                <w:szCs w:val="24"/>
              </w:rPr>
            </w:pPr>
            <w:r>
              <w:rPr>
                <w:rFonts w:hint="eastAsia" w:hAnsi="宋体" w:cs="宋体"/>
                <w:b/>
                <w:bCs/>
                <w:color w:val="auto"/>
                <w:szCs w:val="21"/>
                <w:u w:val="none"/>
              </w:rPr>
              <w:t>注：电子化开标一览表填写时，“投标总价（合计）”值须按本栏所填写值填写，若不按照本规则填写，可能导致电子化系统无法识别报价，后果自负。</w:t>
            </w:r>
          </w:p>
        </w:tc>
      </w:tr>
    </w:tbl>
    <w:p w14:paraId="04714E9B">
      <w:pPr>
        <w:tabs>
          <w:tab w:val="left" w:pos="7200"/>
          <w:tab w:val="left" w:pos="8504"/>
        </w:tabs>
        <w:spacing w:line="360" w:lineRule="auto"/>
        <w:ind w:right="-1"/>
        <w:rPr>
          <w:rFonts w:hAnsi="宋体" w:cs="宋体"/>
          <w:color w:val="auto"/>
        </w:rPr>
      </w:pPr>
    </w:p>
    <w:p w14:paraId="0983E8F2">
      <w:pPr>
        <w:spacing w:line="120" w:lineRule="exact"/>
        <w:rPr>
          <w:rFonts w:hAnsi="宋体" w:cs="宋体"/>
          <w:color w:val="auto"/>
        </w:rPr>
      </w:pPr>
    </w:p>
    <w:p w14:paraId="53E73AB3">
      <w:pPr>
        <w:spacing w:line="480" w:lineRule="auto"/>
        <w:ind w:right="617" w:rightChars="257"/>
        <w:jc w:val="left"/>
        <w:rPr>
          <w:rFonts w:hAnsi="宋体" w:cs="宋体"/>
          <w:color w:val="auto"/>
        </w:rPr>
      </w:pPr>
      <w:r>
        <w:rPr>
          <w:rFonts w:hint="eastAsia" w:hAnsi="宋体" w:cs="宋体"/>
          <w:color w:val="auto"/>
        </w:rPr>
        <w:t>供应商名称：</w:t>
      </w:r>
      <w:r>
        <w:rPr>
          <w:rFonts w:hint="eastAsia" w:hAnsi="宋体" w:cs="宋体"/>
          <w:color w:val="auto"/>
          <w:spacing w:val="4"/>
          <w:u w:val="single"/>
        </w:rPr>
        <w:t xml:space="preserve">                   </w:t>
      </w:r>
      <w:r>
        <w:rPr>
          <w:rFonts w:hint="eastAsia" w:hAnsi="宋体" w:cs="宋体"/>
          <w:color w:val="auto"/>
          <w:spacing w:val="4"/>
        </w:rPr>
        <w:t>（盖单位公章）</w:t>
      </w:r>
    </w:p>
    <w:p w14:paraId="1A789F0D">
      <w:pPr>
        <w:spacing w:line="480" w:lineRule="auto"/>
        <w:ind w:right="617" w:rightChars="257"/>
        <w:jc w:val="left"/>
        <w:rPr>
          <w:rFonts w:hAnsi="宋体" w:cs="宋体"/>
          <w:color w:val="auto"/>
        </w:rPr>
      </w:pPr>
    </w:p>
    <w:p w14:paraId="13936453">
      <w:pPr>
        <w:spacing w:line="500" w:lineRule="exact"/>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2C394451">
      <w:pPr>
        <w:spacing w:line="480" w:lineRule="auto"/>
        <w:ind w:right="617" w:rightChars="257"/>
        <w:jc w:val="left"/>
        <w:rPr>
          <w:rFonts w:hAnsi="宋体" w:cs="宋体"/>
          <w:color w:val="auto"/>
        </w:rPr>
      </w:pPr>
    </w:p>
    <w:p w14:paraId="7D07F73D">
      <w:pPr>
        <w:spacing w:line="480" w:lineRule="auto"/>
        <w:ind w:right="617" w:rightChars="257"/>
        <w:rPr>
          <w:rFonts w:hAnsi="宋体" w:cs="宋体"/>
          <w:color w:val="auto"/>
        </w:rPr>
      </w:pPr>
      <w:r>
        <w:rPr>
          <w:rFonts w:hint="eastAsia" w:hAnsi="宋体" w:cs="宋体"/>
          <w:color w:val="auto"/>
        </w:rPr>
        <w:t>日    期：      年   月    日</w:t>
      </w:r>
    </w:p>
    <w:p w14:paraId="56B2BE11">
      <w:pPr>
        <w:keepNext w:val="0"/>
        <w:keepLines w:val="0"/>
        <w:pageBreakBefore w:val="0"/>
        <w:widowControl w:val="0"/>
        <w:kinsoku/>
        <w:wordWrap/>
        <w:overflowPunct/>
        <w:topLinePunct w:val="0"/>
        <w:autoSpaceDE/>
        <w:autoSpaceDN/>
        <w:bidi w:val="0"/>
        <w:adjustRightInd/>
        <w:snapToGrid/>
        <w:spacing w:before="166" w:beforeLines="50" w:after="166" w:afterLines="50" w:line="520" w:lineRule="exact"/>
        <w:textAlignment w:val="auto"/>
        <w:rPr>
          <w:rFonts w:hAnsi="宋体" w:cs="宋体"/>
          <w:color w:val="auto"/>
          <w:szCs w:val="21"/>
          <w:u w:val="single"/>
        </w:rPr>
      </w:pPr>
    </w:p>
    <w:p w14:paraId="24E0E1B4">
      <w:pPr>
        <w:rPr>
          <w:rFonts w:hAnsi="宋体" w:cs="宋体"/>
          <w:color w:val="auto"/>
        </w:rPr>
      </w:pPr>
      <w:r>
        <w:rPr>
          <w:rFonts w:hint="eastAsia" w:hAnsi="宋体" w:cs="宋体"/>
          <w:color w:val="auto"/>
        </w:rPr>
        <w:br w:type="page"/>
      </w:r>
    </w:p>
    <w:p w14:paraId="78BCFD5C">
      <w:pPr>
        <w:pStyle w:val="3"/>
        <w:keepNext w:val="0"/>
        <w:keepLines w:val="0"/>
        <w:widowControl w:val="0"/>
        <w:spacing w:before="166" w:beforeLines="50" w:after="0" w:line="360" w:lineRule="auto"/>
        <w:ind w:left="0"/>
        <w:jc w:val="center"/>
        <w:rPr>
          <w:rFonts w:hint="eastAsia" w:ascii="宋体" w:hAnsi="宋体" w:eastAsia="宋体" w:cs="宋体"/>
          <w:color w:val="auto"/>
          <w:sz w:val="32"/>
        </w:rPr>
        <w:sectPr>
          <w:pgSz w:w="11906" w:h="16838"/>
          <w:pgMar w:top="1417" w:right="1134" w:bottom="1417" w:left="1417" w:header="1134" w:footer="992" w:gutter="0"/>
          <w:cols w:space="720" w:num="1"/>
          <w:titlePg/>
          <w:docGrid w:type="lines" w:linePitch="333" w:charSpace="0"/>
        </w:sectPr>
      </w:pPr>
      <w:bookmarkStart w:id="207" w:name="_Toc14384"/>
      <w:bookmarkStart w:id="208" w:name="_Toc4085"/>
      <w:bookmarkStart w:id="209" w:name="_Toc609"/>
      <w:bookmarkStart w:id="210" w:name="_Toc28866"/>
      <w:bookmarkStart w:id="211" w:name="_Toc8367"/>
      <w:bookmarkStart w:id="212" w:name="_Toc31326"/>
      <w:bookmarkStart w:id="213" w:name="_Toc19152"/>
      <w:bookmarkStart w:id="214" w:name="_Toc26207"/>
    </w:p>
    <w:p w14:paraId="11464C8A">
      <w:pPr>
        <w:jc w:val="center"/>
        <w:rPr>
          <w:rFonts w:hint="eastAsia" w:eastAsia="宋体"/>
          <w:lang w:eastAsia="zh-CN"/>
        </w:rPr>
      </w:pPr>
      <w:r>
        <w:rPr>
          <w:rFonts w:hint="eastAsia" w:hAnsi="宋体" w:cs="宋体"/>
          <w:b/>
          <w:color w:val="auto"/>
          <w:sz w:val="30"/>
          <w:szCs w:val="30"/>
        </w:rPr>
        <w:t>2.</w:t>
      </w:r>
      <w:r>
        <w:rPr>
          <w:rFonts w:hint="eastAsia" w:hAnsi="宋体" w:cs="宋体"/>
          <w:b/>
          <w:color w:val="auto"/>
          <w:sz w:val="30"/>
          <w:szCs w:val="30"/>
          <w:lang w:val="en-US" w:eastAsia="zh-CN"/>
        </w:rPr>
        <w:t>2分项报价</w:t>
      </w:r>
    </w:p>
    <w:p w14:paraId="60D2085F">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项目名称：</w:t>
      </w:r>
    </w:p>
    <w:p w14:paraId="74980AB6">
      <w:pPr>
        <w:pStyle w:val="188"/>
        <w:spacing w:line="480" w:lineRule="exact"/>
        <w:ind w:firstLine="0" w:firstLineChars="0"/>
        <w:rPr>
          <w:rFonts w:hint="eastAsia" w:ascii="宋体" w:hAnsi="宋体" w:eastAsia="宋体" w:cs="宋体"/>
          <w:bCs/>
          <w:szCs w:val="24"/>
        </w:rPr>
      </w:pPr>
      <w:r>
        <w:rPr>
          <w:rFonts w:hint="eastAsia" w:ascii="宋体" w:hAnsi="宋体" w:eastAsia="宋体" w:cs="宋体"/>
          <w:bCs/>
          <w:szCs w:val="24"/>
        </w:rPr>
        <w:t>项目编号：</w:t>
      </w:r>
    </w:p>
    <w:p w14:paraId="42D72823">
      <w:pPr>
        <w:pStyle w:val="188"/>
        <w:spacing w:line="480" w:lineRule="exact"/>
        <w:ind w:firstLine="0" w:firstLineChars="0"/>
        <w:rPr>
          <w:rFonts w:hint="eastAsia" w:ascii="宋体" w:hAnsi="宋体" w:eastAsia="宋体" w:cs="宋体"/>
          <w:bCs/>
          <w:szCs w:val="24"/>
          <w:lang w:val="en-US" w:eastAsia="zh-CN"/>
        </w:rPr>
      </w:pPr>
      <w:r>
        <w:rPr>
          <w:rFonts w:hint="eastAsia" w:hAnsi="宋体" w:cs="宋体"/>
          <w:bCs/>
          <w:szCs w:val="24"/>
          <w:lang w:val="en-US" w:eastAsia="zh-CN"/>
        </w:rPr>
        <w:t>包号：</w:t>
      </w:r>
    </w:p>
    <w:p w14:paraId="22C0F479">
      <w:pPr>
        <w:pStyle w:val="188"/>
        <w:spacing w:line="480" w:lineRule="exact"/>
        <w:ind w:firstLine="0" w:firstLineChars="0"/>
        <w:rPr>
          <w:rFonts w:hint="eastAsia" w:ascii="宋体" w:hAnsi="宋体" w:eastAsia="宋体" w:cs="宋体"/>
          <w:bCs/>
          <w:szCs w:val="24"/>
          <w:lang w:val="en-US" w:eastAsia="zh-CN"/>
        </w:rPr>
      </w:pPr>
    </w:p>
    <w:p w14:paraId="634C2DFA">
      <w:pPr>
        <w:pStyle w:val="188"/>
        <w:spacing w:line="360" w:lineRule="auto"/>
        <w:ind w:firstLine="0" w:firstLineChars="0"/>
        <w:jc w:val="center"/>
        <w:rPr>
          <w:rFonts w:hint="eastAsia" w:ascii="宋体" w:hAnsi="宋体" w:eastAsia="宋体" w:cs="宋体"/>
          <w:bCs/>
          <w:szCs w:val="24"/>
        </w:rPr>
      </w:pP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lang w:val="en-US" w:eastAsia="zh-CN"/>
        </w:rPr>
        <w:t>格式自拟</w:t>
      </w:r>
      <w:r>
        <w:rPr>
          <w:rFonts w:hint="eastAsia" w:ascii="宋体" w:hAnsi="宋体" w:eastAsia="宋体" w:cs="宋体"/>
          <w:b/>
          <w:bCs/>
          <w:color w:val="auto"/>
          <w:sz w:val="32"/>
          <w:szCs w:val="32"/>
          <w:highlight w:val="none"/>
          <w:lang w:eastAsia="zh-CN"/>
        </w:rPr>
        <w:t>）</w:t>
      </w:r>
    </w:p>
    <w:p w14:paraId="09774F89">
      <w:pPr>
        <w:pStyle w:val="188"/>
        <w:spacing w:line="360" w:lineRule="auto"/>
        <w:ind w:firstLine="0" w:firstLineChars="0"/>
        <w:jc w:val="center"/>
        <w:rPr>
          <w:rFonts w:hint="eastAsia" w:ascii="宋体" w:hAnsi="宋体" w:eastAsia="宋体" w:cs="宋体"/>
          <w:bCs/>
          <w:szCs w:val="24"/>
        </w:rPr>
      </w:pPr>
    </w:p>
    <w:p w14:paraId="40154045">
      <w:pPr>
        <w:pStyle w:val="188"/>
        <w:spacing w:line="360" w:lineRule="auto"/>
        <w:ind w:firstLine="0" w:firstLineChars="0"/>
        <w:jc w:val="center"/>
        <w:rPr>
          <w:rFonts w:hint="eastAsia" w:ascii="宋体" w:hAnsi="宋体" w:eastAsia="宋体" w:cs="宋体"/>
          <w:bCs/>
          <w:szCs w:val="24"/>
        </w:rPr>
      </w:pPr>
    </w:p>
    <w:p w14:paraId="2FA3A6A2">
      <w:pPr>
        <w:pStyle w:val="188"/>
        <w:spacing w:line="360" w:lineRule="auto"/>
        <w:ind w:firstLine="0" w:firstLineChars="0"/>
        <w:jc w:val="center"/>
        <w:rPr>
          <w:rFonts w:hint="eastAsia" w:ascii="宋体" w:hAnsi="宋体" w:eastAsia="宋体" w:cs="宋体"/>
          <w:bCs/>
          <w:szCs w:val="24"/>
        </w:rPr>
      </w:pPr>
    </w:p>
    <w:p w14:paraId="7B3B1542">
      <w:pPr>
        <w:pStyle w:val="188"/>
        <w:spacing w:line="360" w:lineRule="auto"/>
        <w:ind w:firstLine="0" w:firstLineChars="0"/>
        <w:jc w:val="center"/>
        <w:rPr>
          <w:rFonts w:hint="eastAsia" w:ascii="宋体" w:hAnsi="宋体" w:eastAsia="宋体" w:cs="宋体"/>
          <w:bCs/>
          <w:szCs w:val="24"/>
        </w:rPr>
      </w:pPr>
    </w:p>
    <w:p w14:paraId="03A37916">
      <w:pPr>
        <w:pStyle w:val="188"/>
        <w:spacing w:line="360" w:lineRule="auto"/>
        <w:ind w:firstLine="0" w:firstLineChars="0"/>
        <w:jc w:val="center"/>
        <w:rPr>
          <w:rFonts w:hint="eastAsia" w:ascii="宋体" w:hAnsi="宋体" w:eastAsia="宋体" w:cs="宋体"/>
          <w:bCs/>
          <w:szCs w:val="24"/>
        </w:rPr>
      </w:pPr>
    </w:p>
    <w:p w14:paraId="46329403">
      <w:pPr>
        <w:pStyle w:val="188"/>
        <w:spacing w:line="360" w:lineRule="auto"/>
        <w:ind w:firstLine="0" w:firstLineChars="0"/>
        <w:jc w:val="center"/>
        <w:rPr>
          <w:rFonts w:hint="eastAsia" w:ascii="宋体" w:hAnsi="宋体" w:eastAsia="宋体" w:cs="宋体"/>
          <w:bCs/>
          <w:szCs w:val="24"/>
        </w:rPr>
      </w:pPr>
    </w:p>
    <w:p w14:paraId="7065ED9B">
      <w:pPr>
        <w:pStyle w:val="188"/>
        <w:spacing w:line="360" w:lineRule="auto"/>
        <w:ind w:firstLine="0" w:firstLineChars="0"/>
        <w:jc w:val="center"/>
        <w:rPr>
          <w:rFonts w:hint="eastAsia" w:ascii="宋体" w:hAnsi="宋体" w:eastAsia="宋体" w:cs="宋体"/>
          <w:bCs/>
          <w:szCs w:val="24"/>
        </w:rPr>
      </w:pPr>
    </w:p>
    <w:p w14:paraId="3C2D5423">
      <w:pPr>
        <w:spacing w:line="360" w:lineRule="auto"/>
        <w:rPr>
          <w:rFonts w:hint="eastAsia" w:ascii="宋体" w:hAnsi="宋体" w:eastAsia="宋体" w:cs="宋体"/>
          <w:kern w:val="2"/>
          <w:szCs w:val="24"/>
          <w:highlight w:val="none"/>
          <w:lang w:val="zh-CN"/>
        </w:rPr>
      </w:pPr>
      <w:r>
        <w:rPr>
          <w:rFonts w:hint="eastAsia" w:ascii="宋体" w:hAnsi="宋体" w:eastAsia="宋体" w:cs="宋体"/>
          <w:b/>
          <w:bCs/>
          <w:kern w:val="2"/>
          <w:szCs w:val="24"/>
          <w:highlight w:val="none"/>
          <w:lang w:val="zh-CN"/>
        </w:rPr>
        <w:t>注：</w:t>
      </w:r>
      <w:r>
        <w:rPr>
          <w:rFonts w:hint="eastAsia" w:hAnsi="宋体" w:cs="宋体"/>
          <w:b/>
          <w:bCs/>
          <w:kern w:val="2"/>
          <w:szCs w:val="24"/>
          <w:highlight w:val="none"/>
          <w:lang w:val="en-US" w:eastAsia="zh-CN"/>
        </w:rPr>
        <w:t>1.</w:t>
      </w:r>
      <w:r>
        <w:rPr>
          <w:rFonts w:hint="eastAsia" w:ascii="宋体" w:hAnsi="宋体" w:eastAsia="宋体" w:cs="宋体"/>
          <w:b/>
          <w:bCs/>
          <w:kern w:val="2"/>
          <w:szCs w:val="24"/>
          <w:highlight w:val="none"/>
          <w:lang w:val="en-US" w:eastAsia="zh-CN"/>
        </w:rPr>
        <w:t>投标人</w:t>
      </w:r>
      <w:r>
        <w:rPr>
          <w:rFonts w:hint="eastAsia" w:ascii="宋体" w:hAnsi="宋体" w:eastAsia="宋体" w:cs="宋体"/>
          <w:b/>
          <w:bCs/>
          <w:kern w:val="2"/>
          <w:szCs w:val="24"/>
          <w:highlight w:val="none"/>
          <w:lang w:val="zh-CN"/>
        </w:rPr>
        <w:t>需体现出费用明细，应确保完成本项目的所有费用均包含在分项报价中</w:t>
      </w:r>
      <w:r>
        <w:rPr>
          <w:rFonts w:hint="eastAsia" w:ascii="宋体" w:hAnsi="宋体" w:eastAsia="宋体" w:cs="宋体"/>
          <w:kern w:val="2"/>
          <w:szCs w:val="24"/>
          <w:highlight w:val="none"/>
          <w:lang w:val="zh-CN"/>
        </w:rPr>
        <w:t>。</w:t>
      </w:r>
    </w:p>
    <w:p w14:paraId="2189B1F1">
      <w:pPr>
        <w:spacing w:line="360" w:lineRule="auto"/>
        <w:rPr>
          <w:rFonts w:hint="default" w:ascii="宋体" w:hAnsi="宋体" w:eastAsia="宋体" w:cs="宋体"/>
          <w:kern w:val="2"/>
          <w:szCs w:val="24"/>
          <w:highlight w:val="none"/>
          <w:lang w:val="en-US" w:eastAsia="zh-CN"/>
        </w:rPr>
      </w:pPr>
      <w:r>
        <w:rPr>
          <w:rFonts w:hint="eastAsia" w:hAnsi="宋体" w:cs="宋体"/>
          <w:kern w:val="2"/>
          <w:szCs w:val="24"/>
          <w:highlight w:val="none"/>
          <w:lang w:val="en-US" w:eastAsia="zh-CN"/>
        </w:rPr>
        <w:t xml:space="preserve">    </w:t>
      </w:r>
      <w:r>
        <w:rPr>
          <w:rFonts w:hint="eastAsia" w:hAnsi="宋体" w:cs="宋体"/>
          <w:b/>
          <w:bCs/>
          <w:kern w:val="2"/>
          <w:szCs w:val="24"/>
          <w:highlight w:val="none"/>
          <w:lang w:val="en-US" w:eastAsia="zh-CN"/>
        </w:rPr>
        <w:t>2.分项报价合计总金额与开标一览表投标报价保持一致。</w:t>
      </w:r>
    </w:p>
    <w:p w14:paraId="1F903DEF">
      <w:pPr>
        <w:rPr>
          <w:rFonts w:hint="eastAsia" w:ascii="宋体" w:hAnsi="宋体" w:eastAsia="宋体" w:cs="宋体"/>
          <w:kern w:val="2"/>
          <w:szCs w:val="24"/>
          <w:highlight w:val="none"/>
          <w:lang w:val="zh-CN"/>
        </w:rPr>
      </w:pPr>
    </w:p>
    <w:p w14:paraId="1069D428">
      <w:pPr>
        <w:rPr>
          <w:rFonts w:hint="eastAsia" w:ascii="宋体" w:hAnsi="宋体" w:eastAsia="宋体" w:cs="宋体"/>
          <w:kern w:val="2"/>
          <w:szCs w:val="24"/>
          <w:highlight w:val="none"/>
          <w:lang w:val="zh-CN"/>
        </w:rPr>
      </w:pPr>
    </w:p>
    <w:p w14:paraId="13AF4AC8">
      <w:pPr>
        <w:spacing w:line="600" w:lineRule="auto"/>
        <w:ind w:right="617" w:rightChars="257"/>
        <w:jc w:val="left"/>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名称：</w:t>
      </w:r>
      <w:r>
        <w:rPr>
          <w:rFonts w:hint="eastAsia" w:ascii="宋体" w:hAnsi="宋体" w:eastAsia="宋体" w:cs="宋体"/>
          <w:sz w:val="24"/>
          <w:szCs w:val="24"/>
          <w:u w:val="single"/>
        </w:rPr>
        <w:t xml:space="preserve">      （加盖单位公章）      </w:t>
      </w:r>
    </w:p>
    <w:p w14:paraId="46D48B23">
      <w:pPr>
        <w:spacing w:line="60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法定代表人或被授权人：</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（签字或盖章）</w:t>
      </w:r>
    </w:p>
    <w:p w14:paraId="57304D27">
      <w:pPr>
        <w:rPr>
          <w:rFonts w:hint="eastAsia" w:ascii="宋体" w:hAnsi="宋体" w:eastAsia="宋体" w:cs="宋体"/>
          <w:kern w:val="2"/>
          <w:szCs w:val="24"/>
          <w:highlight w:val="none"/>
          <w:lang w:val="zh-CN"/>
        </w:rPr>
      </w:pPr>
      <w:r>
        <w:rPr>
          <w:rFonts w:hint="eastAsia" w:ascii="宋体" w:hAnsi="宋体" w:eastAsia="宋体" w:cs="宋体"/>
          <w:szCs w:val="24"/>
        </w:rPr>
        <w:t>日    期：</w:t>
      </w:r>
    </w:p>
    <w:p w14:paraId="717C9386">
      <w:pPr>
        <w:rPr>
          <w:rFonts w:hint="eastAsia"/>
        </w:rPr>
      </w:pPr>
    </w:p>
    <w:p w14:paraId="429E03C2">
      <w:pPr>
        <w:rPr>
          <w:rFonts w:hint="eastAsia"/>
        </w:rPr>
        <w:sectPr>
          <w:pgSz w:w="11906" w:h="16838"/>
          <w:pgMar w:top="1417" w:right="1134" w:bottom="1417" w:left="1417" w:header="1134" w:footer="992" w:gutter="0"/>
          <w:cols w:space="720" w:num="1"/>
          <w:titlePg/>
          <w:docGrid w:type="lines" w:linePitch="333" w:charSpace="0"/>
        </w:sectPr>
      </w:pPr>
    </w:p>
    <w:p w14:paraId="7679701D">
      <w:pPr>
        <w:pStyle w:val="3"/>
        <w:keepNext w:val="0"/>
        <w:keepLines w:val="0"/>
        <w:widowControl w:val="0"/>
        <w:spacing w:before="166" w:beforeLines="50" w:after="0" w:line="360" w:lineRule="auto"/>
        <w:ind w:left="0"/>
        <w:jc w:val="center"/>
        <w:rPr>
          <w:rFonts w:ascii="宋体" w:hAnsi="宋体" w:cs="宋体"/>
          <w:b w:val="0"/>
          <w:color w:val="auto"/>
        </w:rPr>
      </w:pPr>
      <w:r>
        <w:rPr>
          <w:rFonts w:hint="eastAsia" w:ascii="宋体" w:hAnsi="宋体" w:eastAsia="宋体" w:cs="宋体"/>
          <w:color w:val="auto"/>
          <w:sz w:val="32"/>
        </w:rPr>
        <w:t>三、投标方案说明书</w:t>
      </w:r>
      <w:bookmarkEnd w:id="207"/>
      <w:bookmarkEnd w:id="208"/>
      <w:bookmarkEnd w:id="209"/>
      <w:bookmarkEnd w:id="210"/>
      <w:bookmarkEnd w:id="211"/>
      <w:bookmarkEnd w:id="212"/>
      <w:bookmarkEnd w:id="213"/>
      <w:bookmarkEnd w:id="214"/>
    </w:p>
    <w:p w14:paraId="0A3B058C">
      <w:pPr>
        <w:spacing w:line="440" w:lineRule="exact"/>
        <w:ind w:firstLine="480" w:firstLineChars="200"/>
        <w:rPr>
          <w:rFonts w:hAnsi="宋体" w:cs="宋体"/>
          <w:color w:val="auto"/>
          <w:szCs w:val="24"/>
        </w:rPr>
      </w:pPr>
      <w:r>
        <w:rPr>
          <w:rFonts w:hint="eastAsia" w:cs="宋体" w:asciiTheme="minorEastAsia" w:hAnsiTheme="minorEastAsia" w:eastAsiaTheme="minorEastAsia"/>
          <w:color w:val="auto"/>
          <w:szCs w:val="24"/>
          <w:highlight w:val="none"/>
        </w:rPr>
        <w:t>供应商按招标文件的要求，依据评审方法附件2“</w:t>
      </w:r>
      <w:r>
        <w:rPr>
          <w:rFonts w:hint="eastAsia" w:asciiTheme="minorEastAsia" w:hAnsiTheme="minorEastAsia" w:eastAsiaTheme="minorEastAsia"/>
          <w:b/>
          <w:color w:val="auto"/>
          <w:spacing w:val="4"/>
          <w:szCs w:val="24"/>
          <w:highlight w:val="none"/>
        </w:rPr>
        <w:t>评标因素及权重分值表</w:t>
      </w:r>
      <w:r>
        <w:rPr>
          <w:rFonts w:hint="eastAsia" w:cs="宋体" w:asciiTheme="minorEastAsia" w:hAnsiTheme="minorEastAsia" w:eastAsiaTheme="minorEastAsia"/>
          <w:color w:val="auto"/>
          <w:szCs w:val="24"/>
          <w:highlight w:val="none"/>
        </w:rPr>
        <w:t>”相关内容编写，格式自拟。</w:t>
      </w:r>
    </w:p>
    <w:p w14:paraId="40067A97">
      <w:pPr>
        <w:spacing w:line="360" w:lineRule="auto"/>
        <w:ind w:firstLine="482" w:firstLineChars="200"/>
        <w:rPr>
          <w:rFonts w:cs="宋体" w:asciiTheme="minorEastAsia" w:hAnsiTheme="minorEastAsia" w:eastAsiaTheme="minorEastAsia"/>
          <w:b/>
          <w:color w:val="auto"/>
          <w:szCs w:val="24"/>
          <w:highlight w:val="none"/>
        </w:rPr>
      </w:pPr>
      <w:r>
        <w:rPr>
          <w:rFonts w:hint="eastAsia" w:hAnsi="宋体" w:cs="宋体"/>
          <w:b/>
          <w:color w:val="auto"/>
          <w:szCs w:val="24"/>
        </w:rPr>
        <w:br w:type="page"/>
      </w:r>
      <w:r>
        <w:rPr>
          <w:rFonts w:hint="eastAsia" w:cs="宋体" w:asciiTheme="minorEastAsia" w:hAnsiTheme="minorEastAsia" w:eastAsiaTheme="minorEastAsia"/>
          <w:b/>
          <w:color w:val="auto"/>
          <w:szCs w:val="24"/>
          <w:highlight w:val="none"/>
        </w:rPr>
        <w:t>附表1</w:t>
      </w:r>
    </w:p>
    <w:p w14:paraId="774D044F">
      <w:pPr>
        <w:spacing w:after="120"/>
        <w:jc w:val="center"/>
        <w:rPr>
          <w:rFonts w:cs="宋体" w:asciiTheme="minorEastAsia" w:hAnsiTheme="minorEastAsia" w:eastAsiaTheme="minorEastAsia"/>
          <w:b/>
          <w:color w:val="auto"/>
          <w:szCs w:val="24"/>
          <w:highlight w:val="none"/>
        </w:rPr>
      </w:pPr>
      <w:r>
        <w:rPr>
          <w:rFonts w:hint="eastAsia" w:cs="宋体" w:asciiTheme="minorEastAsia" w:hAnsiTheme="minorEastAsia" w:eastAsiaTheme="minorEastAsia"/>
          <w:b/>
          <w:color w:val="auto"/>
          <w:szCs w:val="24"/>
          <w:highlight w:val="none"/>
        </w:rPr>
        <w:t>服务应答表</w:t>
      </w:r>
    </w:p>
    <w:tbl>
      <w:tblPr>
        <w:tblStyle w:val="46"/>
        <w:tblpPr w:leftFromText="180" w:rightFromText="180" w:vertAnchor="text" w:horzAnchor="page" w:tblpX="1687" w:tblpY="4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519"/>
        <w:gridCol w:w="2393"/>
        <w:gridCol w:w="1815"/>
        <w:gridCol w:w="1238"/>
      </w:tblGrid>
      <w:tr w14:paraId="6612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38" w:type="dxa"/>
            <w:vAlign w:val="center"/>
          </w:tcPr>
          <w:p w14:paraId="40322BFF">
            <w:pPr>
              <w:pStyle w:val="13"/>
              <w:tabs>
                <w:tab w:val="left" w:pos="6880"/>
              </w:tabs>
              <w:spacing w:line="360" w:lineRule="auto"/>
              <w:ind w:firstLine="0" w:firstLineChars="0"/>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序号</w:t>
            </w:r>
          </w:p>
        </w:tc>
        <w:tc>
          <w:tcPr>
            <w:tcW w:w="2519" w:type="dxa"/>
            <w:vAlign w:val="center"/>
          </w:tcPr>
          <w:p w14:paraId="2A26037A">
            <w:pPr>
              <w:pStyle w:val="13"/>
              <w:tabs>
                <w:tab w:val="left" w:pos="6880"/>
              </w:tabs>
              <w:spacing w:line="360" w:lineRule="auto"/>
              <w:ind w:firstLine="0" w:firstLineChars="0"/>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招标文件要求</w:t>
            </w:r>
          </w:p>
        </w:tc>
        <w:tc>
          <w:tcPr>
            <w:tcW w:w="2393" w:type="dxa"/>
            <w:vAlign w:val="center"/>
          </w:tcPr>
          <w:p w14:paraId="2120BFF1">
            <w:pPr>
              <w:pStyle w:val="13"/>
              <w:tabs>
                <w:tab w:val="left" w:pos="6880"/>
              </w:tabs>
              <w:spacing w:line="360" w:lineRule="auto"/>
              <w:ind w:firstLine="120" w:firstLineChars="50"/>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投标文件的应答</w:t>
            </w:r>
          </w:p>
        </w:tc>
        <w:tc>
          <w:tcPr>
            <w:tcW w:w="1815" w:type="dxa"/>
            <w:vAlign w:val="center"/>
          </w:tcPr>
          <w:p w14:paraId="524EA518">
            <w:pPr>
              <w:pStyle w:val="13"/>
              <w:tabs>
                <w:tab w:val="left" w:pos="6880"/>
              </w:tabs>
              <w:spacing w:line="360" w:lineRule="auto"/>
              <w:ind w:firstLine="0" w:firstLineChars="0"/>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响应/偏离</w:t>
            </w:r>
          </w:p>
        </w:tc>
        <w:tc>
          <w:tcPr>
            <w:tcW w:w="1238" w:type="dxa"/>
            <w:vAlign w:val="center"/>
          </w:tcPr>
          <w:p w14:paraId="480D47F0">
            <w:pPr>
              <w:pStyle w:val="13"/>
              <w:tabs>
                <w:tab w:val="left" w:pos="6880"/>
              </w:tabs>
              <w:spacing w:line="360" w:lineRule="auto"/>
              <w:ind w:firstLine="0" w:firstLineChars="0"/>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备注</w:t>
            </w:r>
          </w:p>
        </w:tc>
      </w:tr>
      <w:tr w14:paraId="5386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502A1458">
            <w:pPr>
              <w:pStyle w:val="13"/>
              <w:tabs>
                <w:tab w:val="left" w:pos="34"/>
              </w:tabs>
              <w:spacing w:line="360" w:lineRule="auto"/>
              <w:ind w:left="-108"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3E485271">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48A7A243">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7BEB70B8">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19EE2BE3">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35F6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0DF3C168">
            <w:pPr>
              <w:pStyle w:val="13"/>
              <w:tabs>
                <w:tab w:val="left" w:pos="34"/>
              </w:tabs>
              <w:spacing w:line="360" w:lineRule="auto"/>
              <w:ind w:left="-108"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7B66B2D0">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0A9145F5">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03EBC954">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580B8E0F">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4CD5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7B1D3E80">
            <w:pPr>
              <w:pStyle w:val="13"/>
              <w:tabs>
                <w:tab w:val="left" w:pos="34"/>
              </w:tabs>
              <w:spacing w:line="360" w:lineRule="auto"/>
              <w:ind w:left="-108"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01D4AAA3">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35173174">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0844B67D">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6CEDF3C2">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70B4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05D5E4C3">
            <w:pPr>
              <w:pStyle w:val="13"/>
              <w:tabs>
                <w:tab w:val="left" w:pos="34"/>
              </w:tabs>
              <w:spacing w:line="360" w:lineRule="auto"/>
              <w:ind w:left="-108"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6CD9EDFD">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24863B42">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47DE3EE0">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11E3343C">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3C7D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7096B43B">
            <w:pPr>
              <w:pStyle w:val="13"/>
              <w:tabs>
                <w:tab w:val="left" w:pos="34"/>
              </w:tabs>
              <w:spacing w:line="360" w:lineRule="auto"/>
              <w:ind w:left="-108"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195C3EC4">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20875BE8">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0E7AC928">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171AE308">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7C1A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57526574">
            <w:pPr>
              <w:pStyle w:val="13"/>
              <w:tabs>
                <w:tab w:val="left" w:pos="34"/>
              </w:tabs>
              <w:spacing w:line="360" w:lineRule="auto"/>
              <w:ind w:left="-108"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7E1117A3">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6C89682C">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4CD7C707">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52A291DD">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59FF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7786FF33">
            <w:pPr>
              <w:pStyle w:val="13"/>
              <w:tabs>
                <w:tab w:val="left" w:pos="34"/>
              </w:tabs>
              <w:spacing w:line="360" w:lineRule="auto"/>
              <w:ind w:left="-108"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618BFF4A">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49B226D2">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4F0A3256">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795BD577">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1FB7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38CB0D05">
            <w:pPr>
              <w:pStyle w:val="13"/>
              <w:tabs>
                <w:tab w:val="left" w:pos="34"/>
              </w:tabs>
              <w:spacing w:line="360" w:lineRule="auto"/>
              <w:ind w:left="-108"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6AA66866">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5AB989A4">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59B03A79">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2ECA37BD">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38F0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1D140B41">
            <w:pPr>
              <w:pStyle w:val="13"/>
              <w:tabs>
                <w:tab w:val="left" w:pos="34"/>
              </w:tabs>
              <w:spacing w:line="360" w:lineRule="auto"/>
              <w:ind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4956B3FC">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65FB7C7A">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521662DA">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67194EB3">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r w14:paraId="3E28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31D1737D">
            <w:pPr>
              <w:pStyle w:val="13"/>
              <w:tabs>
                <w:tab w:val="left" w:pos="34"/>
              </w:tabs>
              <w:spacing w:line="360" w:lineRule="auto"/>
              <w:ind w:firstLine="0" w:firstLineChars="0"/>
              <w:jc w:val="center"/>
              <w:rPr>
                <w:rFonts w:cs="宋体" w:asciiTheme="minorEastAsia" w:hAnsiTheme="minorEastAsia" w:eastAsiaTheme="minorEastAsia"/>
                <w:color w:val="auto"/>
                <w:kern w:val="0"/>
                <w:sz w:val="24"/>
                <w:highlight w:val="none"/>
              </w:rPr>
            </w:pPr>
          </w:p>
        </w:tc>
        <w:tc>
          <w:tcPr>
            <w:tcW w:w="2519" w:type="dxa"/>
            <w:vAlign w:val="center"/>
          </w:tcPr>
          <w:p w14:paraId="00D23A19">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2393" w:type="dxa"/>
            <w:vAlign w:val="center"/>
          </w:tcPr>
          <w:p w14:paraId="50BF8786">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815" w:type="dxa"/>
            <w:vAlign w:val="center"/>
          </w:tcPr>
          <w:p w14:paraId="27178C57">
            <w:pPr>
              <w:pStyle w:val="13"/>
              <w:tabs>
                <w:tab w:val="left" w:pos="6880"/>
              </w:tabs>
              <w:spacing w:line="360" w:lineRule="auto"/>
              <w:ind w:left="0" w:leftChars="0" w:firstLine="0" w:firstLineChars="0"/>
              <w:jc w:val="center"/>
              <w:rPr>
                <w:rFonts w:cs="宋体" w:asciiTheme="minorEastAsia" w:hAnsiTheme="minorEastAsia" w:eastAsiaTheme="minorEastAsia"/>
                <w:color w:val="auto"/>
                <w:kern w:val="0"/>
                <w:sz w:val="24"/>
                <w:highlight w:val="none"/>
              </w:rPr>
            </w:pPr>
          </w:p>
        </w:tc>
        <w:tc>
          <w:tcPr>
            <w:tcW w:w="1238" w:type="dxa"/>
            <w:vAlign w:val="center"/>
          </w:tcPr>
          <w:p w14:paraId="1DE349F9">
            <w:pPr>
              <w:pStyle w:val="13"/>
              <w:tabs>
                <w:tab w:val="left" w:pos="6880"/>
              </w:tabs>
              <w:spacing w:line="360" w:lineRule="auto"/>
              <w:ind w:firstLine="480"/>
              <w:rPr>
                <w:rFonts w:cs="宋体" w:asciiTheme="minorEastAsia" w:hAnsiTheme="minorEastAsia" w:eastAsiaTheme="minorEastAsia"/>
                <w:color w:val="auto"/>
                <w:kern w:val="0"/>
                <w:sz w:val="24"/>
                <w:highlight w:val="none"/>
              </w:rPr>
            </w:pPr>
          </w:p>
        </w:tc>
      </w:tr>
    </w:tbl>
    <w:p w14:paraId="448535FD">
      <w:pPr>
        <w:spacing w:line="280" w:lineRule="exact"/>
        <w:ind w:right="617" w:rightChars="257"/>
        <w:jc w:val="left"/>
        <w:rPr>
          <w:rFonts w:cs="宋体" w:asciiTheme="minorEastAsia" w:hAnsiTheme="minorEastAsia" w:eastAsiaTheme="minorEastAsia"/>
          <w:color w:val="auto"/>
          <w:highlight w:val="none"/>
        </w:rPr>
      </w:pPr>
    </w:p>
    <w:p w14:paraId="47095336">
      <w:pPr>
        <w:spacing w:line="600" w:lineRule="auto"/>
        <w:ind w:right="617" w:rightChars="257"/>
        <w:jc w:val="left"/>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rPr>
        <w:t>供应商名称：</w:t>
      </w:r>
      <w:r>
        <w:rPr>
          <w:rFonts w:hint="eastAsia" w:cs="宋体" w:asciiTheme="minorEastAsia" w:hAnsiTheme="minorEastAsia" w:eastAsiaTheme="minorEastAsia"/>
          <w:color w:val="auto"/>
          <w:highlight w:val="none"/>
          <w:u w:val="single"/>
        </w:rPr>
        <w:t xml:space="preserve">                 （加盖单位公章）</w:t>
      </w:r>
    </w:p>
    <w:p w14:paraId="07797951">
      <w:pPr>
        <w:spacing w:line="600" w:lineRule="auto"/>
        <w:jc w:val="left"/>
        <w:rPr>
          <w:rFonts w:cs="宋体" w:asciiTheme="minorEastAsia" w:hAnsiTheme="minorEastAsia" w:eastAsiaTheme="minorEastAsia"/>
          <w:color w:val="auto"/>
          <w:spacing w:val="4"/>
          <w:highlight w:val="none"/>
        </w:rPr>
      </w:pPr>
      <w:r>
        <w:rPr>
          <w:rFonts w:hint="eastAsia" w:cs="宋体" w:asciiTheme="minorEastAsia" w:hAnsiTheme="minorEastAsia" w:eastAsiaTheme="minorEastAsia"/>
          <w:color w:val="auto"/>
          <w:spacing w:val="4"/>
          <w:highlight w:val="none"/>
        </w:rPr>
        <w:t>法定代表人/被授权人：</w:t>
      </w:r>
      <w:r>
        <w:rPr>
          <w:rFonts w:hint="eastAsia" w:cs="宋体" w:asciiTheme="minorEastAsia" w:hAnsiTheme="minorEastAsia" w:eastAsiaTheme="minorEastAsia"/>
          <w:color w:val="auto"/>
          <w:spacing w:val="4"/>
          <w:highlight w:val="none"/>
          <w:u w:val="single"/>
        </w:rPr>
        <w:t xml:space="preserve">      </w:t>
      </w:r>
      <w:r>
        <w:rPr>
          <w:rFonts w:hint="eastAsia" w:cs="宋体" w:asciiTheme="minorEastAsia" w:hAnsiTheme="minorEastAsia" w:eastAsiaTheme="minorEastAsia"/>
          <w:color w:val="auto"/>
          <w:spacing w:val="4"/>
          <w:highlight w:val="none"/>
        </w:rPr>
        <w:t>（签字或盖章）</w:t>
      </w:r>
    </w:p>
    <w:p w14:paraId="177CFFC1">
      <w:pPr>
        <w:spacing w:line="600" w:lineRule="auto"/>
        <w:ind w:right="617" w:rightChars="257"/>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    期：</w:t>
      </w:r>
    </w:p>
    <w:p w14:paraId="2F9F1D9A">
      <w:pPr>
        <w:spacing w:line="360" w:lineRule="auto"/>
        <w:ind w:left="29" w:leftChars="12"/>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w:t>
      </w:r>
      <w:r>
        <w:rPr>
          <w:rFonts w:hint="eastAsia" w:cs="宋体" w:asciiTheme="minorEastAsia" w:hAnsiTheme="minorEastAsia" w:eastAsiaTheme="minorEastAsia"/>
          <w:color w:val="auto"/>
          <w:highlight w:val="none"/>
          <w:lang w:val="en-US" w:eastAsia="zh-CN"/>
        </w:rPr>
        <w:t>1</w:t>
      </w:r>
      <w:r>
        <w:rPr>
          <w:rFonts w:hint="eastAsia" w:cs="宋体" w:asciiTheme="minorEastAsia" w:hAnsiTheme="minorEastAsia" w:eastAsiaTheme="minorEastAsia"/>
          <w:color w:val="auto"/>
          <w:highlight w:val="none"/>
        </w:rPr>
        <w:t>.按照招标项目服务要求的顺序对应填写。</w:t>
      </w:r>
    </w:p>
    <w:p w14:paraId="646C8AC3">
      <w:pPr>
        <w:pStyle w:val="164"/>
        <w:numPr>
          <w:ilvl w:val="0"/>
          <w:numId w:val="0"/>
        </w:numPr>
        <w:ind w:firstLine="480" w:firstLineChars="200"/>
        <w:rPr>
          <w:rFonts w:hAnsi="宋体" w:cs="宋体"/>
          <w:color w:val="auto"/>
          <w:szCs w:val="24"/>
        </w:rPr>
      </w:pPr>
      <w:r>
        <w:rPr>
          <w:rFonts w:hint="eastAsia" w:cs="宋体" w:asciiTheme="minorEastAsia" w:hAnsiTheme="minorEastAsia" w:eastAsiaTheme="minorEastAsia"/>
          <w:color w:val="auto"/>
          <w:highlight w:val="none"/>
          <w:lang w:val="en-US" w:eastAsia="zh-CN"/>
        </w:rPr>
        <w:t>2</w:t>
      </w:r>
      <w:r>
        <w:rPr>
          <w:rFonts w:hint="eastAsia" w:cs="宋体" w:asciiTheme="minorEastAsia" w:hAnsiTheme="minorEastAsia" w:eastAsiaTheme="minorEastAsia"/>
          <w:color w:val="auto"/>
          <w:highlight w:val="none"/>
        </w:rPr>
        <w:t>.供应商若与</w:t>
      </w:r>
      <w:r>
        <w:rPr>
          <w:rFonts w:hint="eastAsia" w:cs="宋体" w:asciiTheme="minorEastAsia" w:hAnsiTheme="minorEastAsia" w:eastAsiaTheme="minorEastAsia"/>
          <w:color w:val="auto"/>
          <w:szCs w:val="24"/>
          <w:highlight w:val="none"/>
        </w:rPr>
        <w:t>招标文件中第四章服务内容及技术要求</w:t>
      </w:r>
      <w:r>
        <w:rPr>
          <w:rFonts w:hint="eastAsia" w:cs="宋体" w:asciiTheme="minorEastAsia" w:hAnsiTheme="minorEastAsia" w:eastAsiaTheme="minorEastAsia"/>
          <w:color w:val="auto"/>
          <w:highlight w:val="none"/>
        </w:rPr>
        <w:t>的全部内容和标准要求事项完全响应，无偏差，此表可不填写。</w:t>
      </w:r>
    </w:p>
    <w:p w14:paraId="5A71C0D8">
      <w:pPr>
        <w:rPr>
          <w:rFonts w:hAnsi="宋体" w:cs="宋体"/>
          <w:color w:val="auto"/>
          <w:szCs w:val="24"/>
        </w:rPr>
      </w:pPr>
      <w:r>
        <w:rPr>
          <w:rFonts w:hint="eastAsia" w:hAnsi="宋体" w:cs="宋体"/>
          <w:color w:val="auto"/>
          <w:szCs w:val="24"/>
        </w:rPr>
        <w:t xml:space="preserve">     </w:t>
      </w:r>
    </w:p>
    <w:p w14:paraId="5C34F642">
      <w:pPr>
        <w:spacing w:line="360" w:lineRule="auto"/>
        <w:rPr>
          <w:rFonts w:hAnsi="宋体" w:cs="宋体"/>
          <w:color w:val="auto"/>
          <w:szCs w:val="24"/>
        </w:rPr>
      </w:pPr>
      <w:bookmarkStart w:id="215" w:name="_Toc225566882"/>
      <w:bookmarkStart w:id="216" w:name="_Toc341541375"/>
      <w:bookmarkStart w:id="217" w:name="_Toc225416061"/>
      <w:bookmarkStart w:id="218" w:name="_Toc225566701"/>
      <w:bookmarkStart w:id="219" w:name="_Toc225567481"/>
      <w:bookmarkStart w:id="220" w:name="_Toc225409965"/>
      <w:bookmarkStart w:id="221" w:name="_Toc396304713"/>
      <w:bookmarkStart w:id="222" w:name="_Toc225412373"/>
      <w:bookmarkStart w:id="223" w:name="_Toc225410807"/>
      <w:bookmarkStart w:id="224" w:name="_Toc225415860"/>
      <w:bookmarkStart w:id="225" w:name="_Toc225412171"/>
      <w:bookmarkStart w:id="226" w:name="_Toc225410181"/>
      <w:bookmarkStart w:id="227" w:name="_Toc225415659"/>
      <w:r>
        <w:rPr>
          <w:rFonts w:hint="eastAsia" w:hAnsi="宋体" w:cs="宋体"/>
          <w:b/>
          <w:color w:val="auto"/>
          <w:szCs w:val="24"/>
        </w:rPr>
        <w:br w:type="page"/>
      </w:r>
      <w:r>
        <w:rPr>
          <w:rFonts w:hint="eastAsia" w:hAnsi="宋体" w:cs="宋体"/>
          <w:b/>
          <w:color w:val="auto"/>
          <w:szCs w:val="24"/>
        </w:rPr>
        <w:t>附表2 本项目拟投入人员汇总表</w:t>
      </w:r>
      <w:bookmarkEnd w:id="215"/>
      <w:bookmarkEnd w:id="216"/>
      <w:bookmarkEnd w:id="217"/>
      <w:bookmarkEnd w:id="218"/>
      <w:bookmarkEnd w:id="219"/>
      <w:bookmarkEnd w:id="220"/>
      <w:bookmarkEnd w:id="221"/>
      <w:bookmarkEnd w:id="222"/>
      <w:bookmarkEnd w:id="223"/>
      <w:bookmarkEnd w:id="224"/>
      <w:bookmarkEnd w:id="225"/>
      <w:bookmarkEnd w:id="226"/>
      <w:bookmarkEnd w:id="227"/>
    </w:p>
    <w:p w14:paraId="0E9DC380">
      <w:pPr>
        <w:pStyle w:val="128"/>
        <w:spacing w:before="166" w:beforeLines="50" w:line="360" w:lineRule="auto"/>
        <w:ind w:firstLine="0" w:firstLineChars="0"/>
        <w:jc w:val="center"/>
        <w:outlineLvl w:val="9"/>
        <w:rPr>
          <w:rFonts w:hAnsi="宋体"/>
          <w:color w:val="auto"/>
          <w:szCs w:val="24"/>
        </w:rPr>
      </w:pPr>
      <w:bookmarkStart w:id="228" w:name="_Toc13827"/>
      <w:bookmarkStart w:id="229" w:name="_Toc14631"/>
      <w:bookmarkStart w:id="230" w:name="_Toc8093"/>
      <w:bookmarkStart w:id="231" w:name="_Toc17592"/>
      <w:bookmarkStart w:id="232" w:name="_Toc4115"/>
      <w:bookmarkStart w:id="233" w:name="_Toc25551"/>
      <w:bookmarkStart w:id="234" w:name="_Toc396304714"/>
      <w:bookmarkStart w:id="235" w:name="_Toc2768"/>
      <w:bookmarkStart w:id="236" w:name="_Toc426457710"/>
      <w:bookmarkStart w:id="237" w:name="_Toc19082"/>
      <w:bookmarkStart w:id="238" w:name="_Toc214"/>
      <w:bookmarkStart w:id="239" w:name="_Toc403077652"/>
      <w:r>
        <w:rPr>
          <w:rFonts w:hint="eastAsia" w:hAnsi="宋体"/>
          <w:color w:val="auto"/>
          <w:szCs w:val="24"/>
        </w:rPr>
        <w:t>（一）本项目拟投入人员汇总表</w:t>
      </w:r>
      <w:bookmarkEnd w:id="228"/>
      <w:bookmarkEnd w:id="229"/>
      <w:bookmarkEnd w:id="230"/>
      <w:bookmarkEnd w:id="231"/>
      <w:bookmarkEnd w:id="232"/>
      <w:bookmarkEnd w:id="233"/>
      <w:bookmarkEnd w:id="234"/>
      <w:bookmarkEnd w:id="235"/>
      <w:bookmarkEnd w:id="236"/>
      <w:bookmarkEnd w:id="237"/>
      <w:bookmarkEnd w:id="238"/>
      <w:bookmarkEnd w:id="239"/>
    </w:p>
    <w:tbl>
      <w:tblPr>
        <w:tblStyle w:val="46"/>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240"/>
        <w:gridCol w:w="570"/>
        <w:gridCol w:w="570"/>
        <w:gridCol w:w="570"/>
        <w:gridCol w:w="835"/>
        <w:gridCol w:w="1157"/>
        <w:gridCol w:w="748"/>
        <w:gridCol w:w="1877"/>
        <w:gridCol w:w="680"/>
      </w:tblGrid>
      <w:tr w14:paraId="01E7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jc w:val="center"/>
        </w:trPr>
        <w:tc>
          <w:tcPr>
            <w:tcW w:w="557" w:type="dxa"/>
            <w:tcMar>
              <w:top w:w="15" w:type="dxa"/>
              <w:left w:w="15" w:type="dxa"/>
              <w:bottom w:w="0" w:type="dxa"/>
              <w:right w:w="15" w:type="dxa"/>
            </w:tcMar>
            <w:vAlign w:val="center"/>
          </w:tcPr>
          <w:p w14:paraId="0BA8EF19">
            <w:pPr>
              <w:pStyle w:val="136"/>
              <w:spacing w:line="400" w:lineRule="exact"/>
              <w:ind w:left="0" w:leftChars="0"/>
              <w:rPr>
                <w:rFonts w:hAnsi="宋体" w:cs="宋体"/>
                <w:b/>
                <w:color w:val="auto"/>
                <w:szCs w:val="21"/>
              </w:rPr>
            </w:pPr>
            <w:r>
              <w:rPr>
                <w:rFonts w:hint="eastAsia" w:hAnsi="宋体" w:cs="宋体"/>
                <w:b/>
                <w:color w:val="auto"/>
                <w:szCs w:val="21"/>
              </w:rPr>
              <w:t>序号</w:t>
            </w:r>
          </w:p>
        </w:tc>
        <w:tc>
          <w:tcPr>
            <w:tcW w:w="1240" w:type="dxa"/>
            <w:tcMar>
              <w:top w:w="15" w:type="dxa"/>
              <w:left w:w="15" w:type="dxa"/>
              <w:bottom w:w="0" w:type="dxa"/>
              <w:right w:w="15" w:type="dxa"/>
            </w:tcMar>
            <w:vAlign w:val="center"/>
          </w:tcPr>
          <w:p w14:paraId="4637FE69">
            <w:pPr>
              <w:pStyle w:val="136"/>
              <w:spacing w:line="400" w:lineRule="exact"/>
              <w:ind w:left="0" w:leftChars="0"/>
              <w:rPr>
                <w:rFonts w:hAnsi="宋体" w:cs="宋体"/>
                <w:b/>
                <w:color w:val="auto"/>
                <w:szCs w:val="21"/>
              </w:rPr>
            </w:pPr>
            <w:r>
              <w:rPr>
                <w:rFonts w:hint="eastAsia" w:hAnsi="宋体" w:cs="宋体"/>
                <w:b/>
                <w:color w:val="auto"/>
                <w:szCs w:val="21"/>
              </w:rPr>
              <w:t>姓  名</w:t>
            </w:r>
          </w:p>
        </w:tc>
        <w:tc>
          <w:tcPr>
            <w:tcW w:w="570" w:type="dxa"/>
            <w:tcMar>
              <w:top w:w="15" w:type="dxa"/>
              <w:left w:w="15" w:type="dxa"/>
              <w:bottom w:w="0" w:type="dxa"/>
              <w:right w:w="15" w:type="dxa"/>
            </w:tcMar>
            <w:vAlign w:val="center"/>
          </w:tcPr>
          <w:p w14:paraId="661E3397">
            <w:pPr>
              <w:pStyle w:val="136"/>
              <w:spacing w:line="400" w:lineRule="exact"/>
              <w:ind w:left="0" w:leftChars="0"/>
              <w:rPr>
                <w:rFonts w:hAnsi="宋体" w:cs="宋体"/>
                <w:b/>
                <w:color w:val="auto"/>
                <w:szCs w:val="21"/>
              </w:rPr>
            </w:pPr>
            <w:r>
              <w:rPr>
                <w:rFonts w:hint="eastAsia" w:hAnsi="宋体" w:cs="宋体"/>
                <w:b/>
                <w:color w:val="auto"/>
                <w:szCs w:val="21"/>
              </w:rPr>
              <w:t>性别</w:t>
            </w:r>
          </w:p>
        </w:tc>
        <w:tc>
          <w:tcPr>
            <w:tcW w:w="570" w:type="dxa"/>
            <w:tcMar>
              <w:top w:w="15" w:type="dxa"/>
              <w:left w:w="15" w:type="dxa"/>
              <w:bottom w:w="0" w:type="dxa"/>
              <w:right w:w="15" w:type="dxa"/>
            </w:tcMar>
            <w:vAlign w:val="center"/>
          </w:tcPr>
          <w:p w14:paraId="7A0C760F">
            <w:pPr>
              <w:pStyle w:val="136"/>
              <w:spacing w:line="400" w:lineRule="exact"/>
              <w:ind w:left="0" w:leftChars="0"/>
              <w:rPr>
                <w:rFonts w:hAnsi="宋体" w:cs="宋体"/>
                <w:b/>
                <w:color w:val="auto"/>
                <w:szCs w:val="21"/>
              </w:rPr>
            </w:pPr>
            <w:r>
              <w:rPr>
                <w:rFonts w:hint="eastAsia" w:hAnsi="宋体" w:cs="宋体"/>
                <w:b/>
                <w:color w:val="auto"/>
                <w:szCs w:val="21"/>
              </w:rPr>
              <w:t>年龄</w:t>
            </w:r>
          </w:p>
        </w:tc>
        <w:tc>
          <w:tcPr>
            <w:tcW w:w="570" w:type="dxa"/>
            <w:tcMar>
              <w:top w:w="15" w:type="dxa"/>
              <w:left w:w="15" w:type="dxa"/>
              <w:bottom w:w="0" w:type="dxa"/>
              <w:right w:w="15" w:type="dxa"/>
            </w:tcMar>
            <w:vAlign w:val="center"/>
          </w:tcPr>
          <w:p w14:paraId="0E786D96">
            <w:pPr>
              <w:pStyle w:val="136"/>
              <w:spacing w:line="400" w:lineRule="exact"/>
              <w:ind w:left="0" w:leftChars="0"/>
              <w:rPr>
                <w:rFonts w:hAnsi="宋体" w:cs="宋体"/>
                <w:b/>
                <w:color w:val="auto"/>
                <w:szCs w:val="21"/>
              </w:rPr>
            </w:pPr>
            <w:r>
              <w:rPr>
                <w:rFonts w:hint="eastAsia" w:hAnsi="宋体" w:cs="宋体"/>
                <w:b/>
                <w:color w:val="auto"/>
                <w:szCs w:val="21"/>
              </w:rPr>
              <w:t>学历</w:t>
            </w:r>
          </w:p>
        </w:tc>
        <w:tc>
          <w:tcPr>
            <w:tcW w:w="835" w:type="dxa"/>
            <w:tcMar>
              <w:top w:w="15" w:type="dxa"/>
              <w:left w:w="15" w:type="dxa"/>
              <w:bottom w:w="0" w:type="dxa"/>
              <w:right w:w="15" w:type="dxa"/>
            </w:tcMar>
            <w:vAlign w:val="center"/>
          </w:tcPr>
          <w:p w14:paraId="37A12D86">
            <w:pPr>
              <w:pStyle w:val="136"/>
              <w:spacing w:line="400" w:lineRule="exact"/>
              <w:ind w:left="0" w:leftChars="0"/>
              <w:rPr>
                <w:rFonts w:hAnsi="宋体" w:cs="宋体"/>
                <w:b/>
                <w:color w:val="auto"/>
                <w:szCs w:val="21"/>
              </w:rPr>
            </w:pPr>
            <w:r>
              <w:rPr>
                <w:rFonts w:hint="eastAsia" w:hAnsi="宋体" w:cs="宋体"/>
                <w:b/>
                <w:color w:val="auto"/>
                <w:szCs w:val="21"/>
              </w:rPr>
              <w:t>技术</w:t>
            </w:r>
          </w:p>
          <w:p w14:paraId="15A22080">
            <w:pPr>
              <w:pStyle w:val="136"/>
              <w:spacing w:line="400" w:lineRule="exact"/>
              <w:ind w:left="0" w:leftChars="0"/>
              <w:rPr>
                <w:rFonts w:hAnsi="宋体" w:cs="宋体"/>
                <w:b/>
                <w:color w:val="auto"/>
                <w:szCs w:val="21"/>
              </w:rPr>
            </w:pPr>
            <w:r>
              <w:rPr>
                <w:rFonts w:hint="eastAsia" w:hAnsi="宋体" w:cs="宋体"/>
                <w:b/>
                <w:color w:val="auto"/>
                <w:szCs w:val="21"/>
              </w:rPr>
              <w:t>职称</w:t>
            </w:r>
          </w:p>
        </w:tc>
        <w:tc>
          <w:tcPr>
            <w:tcW w:w="1157" w:type="dxa"/>
            <w:tcMar>
              <w:top w:w="15" w:type="dxa"/>
              <w:left w:w="15" w:type="dxa"/>
              <w:bottom w:w="0" w:type="dxa"/>
              <w:right w:w="15" w:type="dxa"/>
            </w:tcMar>
          </w:tcPr>
          <w:p w14:paraId="5EFDB707">
            <w:pPr>
              <w:pStyle w:val="136"/>
              <w:spacing w:line="400" w:lineRule="exact"/>
              <w:ind w:left="0" w:leftChars="0"/>
              <w:rPr>
                <w:rFonts w:hAnsi="宋体" w:cs="宋体"/>
                <w:b/>
                <w:color w:val="auto"/>
                <w:szCs w:val="21"/>
              </w:rPr>
            </w:pPr>
            <w:r>
              <w:rPr>
                <w:rFonts w:hint="eastAsia" w:hAnsi="宋体" w:cs="宋体"/>
                <w:b/>
                <w:color w:val="auto"/>
                <w:szCs w:val="21"/>
              </w:rPr>
              <w:t>资格证</w:t>
            </w:r>
          </w:p>
          <w:p w14:paraId="26D094EA">
            <w:pPr>
              <w:pStyle w:val="136"/>
              <w:spacing w:line="400" w:lineRule="exact"/>
              <w:ind w:left="0" w:leftChars="0"/>
              <w:rPr>
                <w:rFonts w:hAnsi="宋体" w:cs="宋体"/>
                <w:b/>
                <w:color w:val="auto"/>
                <w:szCs w:val="21"/>
              </w:rPr>
            </w:pPr>
            <w:r>
              <w:rPr>
                <w:rFonts w:hint="eastAsia" w:hAnsi="宋体" w:cs="宋体"/>
                <w:b/>
                <w:color w:val="auto"/>
                <w:szCs w:val="21"/>
              </w:rPr>
              <w:t>书种类</w:t>
            </w:r>
          </w:p>
        </w:tc>
        <w:tc>
          <w:tcPr>
            <w:tcW w:w="748" w:type="dxa"/>
            <w:tcMar>
              <w:top w:w="15" w:type="dxa"/>
              <w:left w:w="15" w:type="dxa"/>
              <w:bottom w:w="0" w:type="dxa"/>
              <w:right w:w="15" w:type="dxa"/>
            </w:tcMar>
            <w:vAlign w:val="center"/>
          </w:tcPr>
          <w:p w14:paraId="3A1EF8F6">
            <w:pPr>
              <w:pStyle w:val="136"/>
              <w:spacing w:line="400" w:lineRule="exact"/>
              <w:ind w:left="0" w:leftChars="0"/>
              <w:rPr>
                <w:rFonts w:hAnsi="宋体" w:cs="宋体"/>
                <w:b/>
                <w:color w:val="auto"/>
                <w:szCs w:val="21"/>
              </w:rPr>
            </w:pPr>
            <w:r>
              <w:rPr>
                <w:rFonts w:hint="eastAsia" w:hAnsi="宋体" w:cs="宋体"/>
                <w:b/>
                <w:color w:val="auto"/>
                <w:szCs w:val="21"/>
              </w:rPr>
              <w:t>工作</w:t>
            </w:r>
          </w:p>
          <w:p w14:paraId="1A57571B">
            <w:pPr>
              <w:pStyle w:val="136"/>
              <w:spacing w:line="400" w:lineRule="exact"/>
              <w:ind w:left="0" w:leftChars="0"/>
              <w:rPr>
                <w:rFonts w:hAnsi="宋体" w:cs="宋体"/>
                <w:b/>
                <w:color w:val="auto"/>
                <w:szCs w:val="21"/>
              </w:rPr>
            </w:pPr>
            <w:r>
              <w:rPr>
                <w:rFonts w:hint="eastAsia" w:hAnsi="宋体" w:cs="宋体"/>
                <w:b/>
                <w:color w:val="auto"/>
                <w:szCs w:val="21"/>
              </w:rPr>
              <w:t>年限</w:t>
            </w:r>
          </w:p>
        </w:tc>
        <w:tc>
          <w:tcPr>
            <w:tcW w:w="1877" w:type="dxa"/>
            <w:tcMar>
              <w:top w:w="15" w:type="dxa"/>
              <w:left w:w="15" w:type="dxa"/>
              <w:bottom w:w="0" w:type="dxa"/>
              <w:right w:w="15" w:type="dxa"/>
            </w:tcMar>
            <w:vAlign w:val="center"/>
          </w:tcPr>
          <w:p w14:paraId="67FB8FF9">
            <w:pPr>
              <w:pStyle w:val="136"/>
              <w:spacing w:line="400" w:lineRule="exact"/>
              <w:ind w:left="0" w:leftChars="0"/>
              <w:rPr>
                <w:rFonts w:hAnsi="宋体" w:cs="宋体"/>
                <w:b/>
                <w:color w:val="auto"/>
                <w:szCs w:val="21"/>
              </w:rPr>
            </w:pPr>
            <w:r>
              <w:rPr>
                <w:rFonts w:hint="eastAsia" w:hAnsi="宋体" w:cs="宋体"/>
                <w:b/>
                <w:color w:val="auto"/>
                <w:szCs w:val="21"/>
              </w:rPr>
              <w:t>拟担任的职务</w:t>
            </w:r>
          </w:p>
        </w:tc>
        <w:tc>
          <w:tcPr>
            <w:tcW w:w="680" w:type="dxa"/>
            <w:tcMar>
              <w:top w:w="15" w:type="dxa"/>
              <w:left w:w="15" w:type="dxa"/>
              <w:bottom w:w="0" w:type="dxa"/>
              <w:right w:w="15" w:type="dxa"/>
            </w:tcMar>
            <w:vAlign w:val="center"/>
          </w:tcPr>
          <w:p w14:paraId="7108E8A9">
            <w:pPr>
              <w:pStyle w:val="136"/>
              <w:spacing w:line="400" w:lineRule="exact"/>
              <w:ind w:left="0" w:leftChars="0"/>
              <w:rPr>
                <w:rFonts w:hAnsi="宋体" w:cs="宋体"/>
                <w:b/>
                <w:color w:val="auto"/>
                <w:szCs w:val="21"/>
              </w:rPr>
            </w:pPr>
            <w:r>
              <w:rPr>
                <w:rFonts w:hint="eastAsia" w:hAnsi="宋体" w:cs="宋体"/>
                <w:b/>
                <w:color w:val="auto"/>
                <w:szCs w:val="21"/>
              </w:rPr>
              <w:t>岗位</w:t>
            </w:r>
          </w:p>
          <w:p w14:paraId="601C9D70">
            <w:pPr>
              <w:pStyle w:val="136"/>
              <w:spacing w:line="400" w:lineRule="exact"/>
              <w:ind w:left="0" w:leftChars="0"/>
              <w:rPr>
                <w:rFonts w:hAnsi="宋体" w:cs="宋体"/>
                <w:b/>
                <w:color w:val="auto"/>
                <w:szCs w:val="21"/>
              </w:rPr>
            </w:pPr>
            <w:r>
              <w:rPr>
                <w:rFonts w:hint="eastAsia" w:hAnsi="宋体" w:cs="宋体"/>
                <w:b/>
                <w:color w:val="auto"/>
                <w:szCs w:val="21"/>
              </w:rPr>
              <w:t>情况</w:t>
            </w:r>
          </w:p>
        </w:tc>
      </w:tr>
      <w:tr w14:paraId="126D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692B01FC">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65C9A81A">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D1BA4D9">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06C318A">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693963E">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0233801F">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1A5C726">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33B0DA1E">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5A936C6">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5B3DD109">
            <w:pPr>
              <w:pStyle w:val="136"/>
              <w:spacing w:line="400" w:lineRule="exact"/>
              <w:ind w:left="0" w:leftChars="0" w:firstLine="480" w:firstLineChars="200"/>
              <w:jc w:val="both"/>
              <w:rPr>
                <w:rFonts w:hAnsi="宋体" w:cs="宋体"/>
                <w:color w:val="auto"/>
                <w:szCs w:val="21"/>
              </w:rPr>
            </w:pPr>
          </w:p>
        </w:tc>
      </w:tr>
      <w:tr w14:paraId="09B3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0E1E462F">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09330F50">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43A0A82">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B77E952">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56577B8">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D589526">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7D097CEE">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0109FAD9">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662477C">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7F807A56">
            <w:pPr>
              <w:pStyle w:val="136"/>
              <w:spacing w:line="400" w:lineRule="exact"/>
              <w:ind w:left="0" w:leftChars="0" w:firstLine="480" w:firstLineChars="200"/>
              <w:jc w:val="both"/>
              <w:rPr>
                <w:rFonts w:hAnsi="宋体" w:cs="宋体"/>
                <w:color w:val="auto"/>
                <w:szCs w:val="21"/>
              </w:rPr>
            </w:pPr>
          </w:p>
        </w:tc>
      </w:tr>
      <w:tr w14:paraId="041C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2E397C80">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7D9A1C2A">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56AA95C">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E0B55D4">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DC97FD7">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3C61261E">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1A9C81C">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9828163">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2A5400D6">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11B2951">
            <w:pPr>
              <w:pStyle w:val="136"/>
              <w:spacing w:line="400" w:lineRule="exact"/>
              <w:ind w:left="0" w:leftChars="0" w:firstLine="480" w:firstLineChars="200"/>
              <w:jc w:val="both"/>
              <w:rPr>
                <w:rFonts w:hAnsi="宋体" w:cs="宋体"/>
                <w:color w:val="auto"/>
                <w:szCs w:val="21"/>
              </w:rPr>
            </w:pPr>
          </w:p>
        </w:tc>
      </w:tr>
      <w:tr w14:paraId="6DC1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7FE560ED">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35236B95">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13651C4">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AB2796A">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2495363">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5B89484C">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79030ED8">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4254680A">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4C305664">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9D4294D">
            <w:pPr>
              <w:pStyle w:val="136"/>
              <w:spacing w:line="400" w:lineRule="exact"/>
              <w:ind w:left="0" w:leftChars="0" w:firstLine="480" w:firstLineChars="200"/>
              <w:jc w:val="both"/>
              <w:rPr>
                <w:rFonts w:hAnsi="宋体" w:cs="宋体"/>
                <w:color w:val="auto"/>
                <w:szCs w:val="21"/>
              </w:rPr>
            </w:pPr>
          </w:p>
        </w:tc>
      </w:tr>
      <w:tr w14:paraId="2240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21FA86A3">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5E58C469">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6F9D0FF">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A8FA908">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F255821">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D4AAA78">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2A6D26D">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24DB846F">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45A384D7">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DAE9EA1">
            <w:pPr>
              <w:pStyle w:val="136"/>
              <w:spacing w:line="400" w:lineRule="exact"/>
              <w:ind w:left="0" w:leftChars="0" w:firstLine="480" w:firstLineChars="200"/>
              <w:jc w:val="both"/>
              <w:rPr>
                <w:rFonts w:hAnsi="宋体" w:cs="宋体"/>
                <w:color w:val="auto"/>
                <w:szCs w:val="21"/>
              </w:rPr>
            </w:pPr>
          </w:p>
        </w:tc>
      </w:tr>
      <w:tr w14:paraId="5938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0C0CAC28">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5D0337E5">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FBFF0E0">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4DA46B7">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7BE1623">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790274A3">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5B78BC31">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15DBCB9D">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223F31B5">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48CE6BE1">
            <w:pPr>
              <w:pStyle w:val="136"/>
              <w:spacing w:line="400" w:lineRule="exact"/>
              <w:ind w:left="0" w:leftChars="0" w:firstLine="480" w:firstLineChars="200"/>
              <w:jc w:val="both"/>
              <w:rPr>
                <w:rFonts w:hAnsi="宋体" w:cs="宋体"/>
                <w:color w:val="auto"/>
                <w:szCs w:val="21"/>
              </w:rPr>
            </w:pPr>
          </w:p>
        </w:tc>
      </w:tr>
      <w:tr w14:paraId="3F2D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1EB9269D">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750CEC2B">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A0C761C">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24B56BC">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DAD49E6">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6F8769D8">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A3B5934">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F134E77">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0C5FC29B">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293C371">
            <w:pPr>
              <w:pStyle w:val="136"/>
              <w:spacing w:line="400" w:lineRule="exact"/>
              <w:ind w:left="0" w:leftChars="0" w:firstLine="480" w:firstLineChars="200"/>
              <w:jc w:val="both"/>
              <w:rPr>
                <w:rFonts w:hAnsi="宋体" w:cs="宋体"/>
                <w:color w:val="auto"/>
                <w:szCs w:val="21"/>
              </w:rPr>
            </w:pPr>
          </w:p>
        </w:tc>
      </w:tr>
      <w:tr w14:paraId="4260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277DBD2E">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1DCC9D53">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C9FC285">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530A461">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BA74EEC">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61DEB5F3">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49A761B4">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273659D">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300E3830">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095F6D24">
            <w:pPr>
              <w:pStyle w:val="136"/>
              <w:spacing w:line="400" w:lineRule="exact"/>
              <w:ind w:left="0" w:leftChars="0" w:firstLine="480" w:firstLineChars="200"/>
              <w:jc w:val="both"/>
              <w:rPr>
                <w:rFonts w:hAnsi="宋体" w:cs="宋体"/>
                <w:color w:val="auto"/>
                <w:szCs w:val="21"/>
              </w:rPr>
            </w:pPr>
          </w:p>
        </w:tc>
      </w:tr>
      <w:tr w14:paraId="75AA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733EFC73">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103A0B6A">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9546437">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E69015A">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C5322CF">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47AE2D47">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BC793E6">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31892708">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6B34CE7">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5C8723F0">
            <w:pPr>
              <w:pStyle w:val="136"/>
              <w:spacing w:line="400" w:lineRule="exact"/>
              <w:ind w:left="0" w:leftChars="0" w:firstLine="480" w:firstLineChars="200"/>
              <w:jc w:val="both"/>
              <w:rPr>
                <w:rFonts w:hAnsi="宋体" w:cs="宋体"/>
                <w:color w:val="auto"/>
                <w:szCs w:val="21"/>
              </w:rPr>
            </w:pPr>
          </w:p>
        </w:tc>
      </w:tr>
      <w:tr w14:paraId="3CA5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5761FB9A">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145F3686">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6B751CD">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9771C33">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C912DE3">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021536B">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15D1F84">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032F33F6">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1C4BCB66">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2DFDE620">
            <w:pPr>
              <w:pStyle w:val="136"/>
              <w:spacing w:line="400" w:lineRule="exact"/>
              <w:ind w:left="0" w:leftChars="0" w:firstLine="480" w:firstLineChars="200"/>
              <w:jc w:val="both"/>
              <w:rPr>
                <w:rFonts w:hAnsi="宋体" w:cs="宋体"/>
                <w:color w:val="auto"/>
                <w:szCs w:val="21"/>
              </w:rPr>
            </w:pPr>
          </w:p>
        </w:tc>
      </w:tr>
      <w:tr w14:paraId="024D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081C37D9">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206750E5">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68E2342">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2CFBB69">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8426A2A">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D7F8ED9">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E9F0440">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373E7FAC">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6B547813">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013ECFEC">
            <w:pPr>
              <w:pStyle w:val="136"/>
              <w:spacing w:line="400" w:lineRule="exact"/>
              <w:ind w:left="0" w:leftChars="0" w:firstLine="480" w:firstLineChars="200"/>
              <w:jc w:val="both"/>
              <w:rPr>
                <w:rFonts w:hAnsi="宋体" w:cs="宋体"/>
                <w:color w:val="auto"/>
                <w:szCs w:val="21"/>
              </w:rPr>
            </w:pPr>
          </w:p>
        </w:tc>
      </w:tr>
      <w:tr w14:paraId="7336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4B04F5CB">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517742D7">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CC5345D">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16412DF">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5ED5D1D">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12458A34">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651496F">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1B885D21">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033A9D28">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2254D2D1">
            <w:pPr>
              <w:pStyle w:val="136"/>
              <w:spacing w:line="400" w:lineRule="exact"/>
              <w:ind w:left="0" w:leftChars="0" w:firstLine="480" w:firstLineChars="200"/>
              <w:jc w:val="both"/>
              <w:rPr>
                <w:rFonts w:hAnsi="宋体" w:cs="宋体"/>
                <w:color w:val="auto"/>
                <w:szCs w:val="21"/>
              </w:rPr>
            </w:pPr>
          </w:p>
        </w:tc>
      </w:tr>
      <w:tr w14:paraId="6365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03673D4E">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0554B26D">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20EAF3E">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D5CBB7A">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130E513">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CAEF4FA">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772289BE">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4A278C25">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0E349ABF">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923CF4E">
            <w:pPr>
              <w:pStyle w:val="136"/>
              <w:spacing w:line="400" w:lineRule="exact"/>
              <w:ind w:left="0" w:leftChars="0" w:firstLine="480" w:firstLineChars="200"/>
              <w:jc w:val="both"/>
              <w:rPr>
                <w:rFonts w:hAnsi="宋体" w:cs="宋体"/>
                <w:color w:val="auto"/>
                <w:szCs w:val="21"/>
              </w:rPr>
            </w:pPr>
          </w:p>
        </w:tc>
      </w:tr>
      <w:tr w14:paraId="14D7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54EC275A">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424CC7C9">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71DB034">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069F41E">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C01BE84">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517EAB31">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A63A4C5">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5350DDF2">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10C03203">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7761CC5D">
            <w:pPr>
              <w:pStyle w:val="136"/>
              <w:spacing w:line="400" w:lineRule="exact"/>
              <w:ind w:left="0" w:leftChars="0" w:firstLine="480" w:firstLineChars="200"/>
              <w:jc w:val="both"/>
              <w:rPr>
                <w:rFonts w:hAnsi="宋体" w:cs="宋体"/>
                <w:color w:val="auto"/>
                <w:szCs w:val="21"/>
              </w:rPr>
            </w:pPr>
          </w:p>
        </w:tc>
      </w:tr>
      <w:tr w14:paraId="0249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73AA80CF">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7079762D">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21846B0">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7E4043B">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467B86D">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12BF7331">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1A4ACD4">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667089E5">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EDE6473">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40FAD4A0">
            <w:pPr>
              <w:pStyle w:val="136"/>
              <w:spacing w:line="400" w:lineRule="exact"/>
              <w:ind w:left="0" w:leftChars="0" w:firstLine="480" w:firstLineChars="200"/>
              <w:jc w:val="both"/>
              <w:rPr>
                <w:rFonts w:hAnsi="宋体" w:cs="宋体"/>
                <w:color w:val="auto"/>
                <w:szCs w:val="21"/>
              </w:rPr>
            </w:pPr>
          </w:p>
        </w:tc>
      </w:tr>
      <w:tr w14:paraId="23FF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15B8C60D">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58D95637">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5E04317">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35F1157">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8620434">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6F6DF52A">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4FD1849">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48A64644">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336F5AF1">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0D618C34">
            <w:pPr>
              <w:pStyle w:val="136"/>
              <w:spacing w:line="400" w:lineRule="exact"/>
              <w:ind w:left="0" w:leftChars="0" w:firstLine="480" w:firstLineChars="200"/>
              <w:jc w:val="both"/>
              <w:rPr>
                <w:rFonts w:hAnsi="宋体" w:cs="宋体"/>
                <w:color w:val="auto"/>
                <w:szCs w:val="21"/>
              </w:rPr>
            </w:pPr>
          </w:p>
        </w:tc>
      </w:tr>
      <w:tr w14:paraId="7F97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29451B5C">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21CE6FCE">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106981A">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20C2590">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E17E3D9">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12A64D32">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7481559D">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02B64DE0">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45BFF24D">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7103C28D">
            <w:pPr>
              <w:pStyle w:val="136"/>
              <w:spacing w:line="400" w:lineRule="exact"/>
              <w:ind w:left="0" w:leftChars="0" w:firstLine="480" w:firstLineChars="200"/>
              <w:jc w:val="both"/>
              <w:rPr>
                <w:rFonts w:hAnsi="宋体" w:cs="宋体"/>
                <w:color w:val="auto"/>
                <w:szCs w:val="21"/>
              </w:rPr>
            </w:pPr>
          </w:p>
        </w:tc>
      </w:tr>
      <w:tr w14:paraId="5F0B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48F99D8C">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041F0E61">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094E317">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A159954">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2B0B030">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0B9020AB">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6D98F903">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693B5C21">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508BB7EE">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33B3FB5F">
            <w:pPr>
              <w:pStyle w:val="136"/>
              <w:spacing w:line="400" w:lineRule="exact"/>
              <w:ind w:left="0" w:leftChars="0" w:firstLine="480" w:firstLineChars="200"/>
              <w:jc w:val="both"/>
              <w:rPr>
                <w:rFonts w:hAnsi="宋体" w:cs="宋体"/>
                <w:color w:val="auto"/>
                <w:szCs w:val="21"/>
              </w:rPr>
            </w:pPr>
          </w:p>
        </w:tc>
      </w:tr>
      <w:tr w14:paraId="1B7A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2230D40F">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7B319F7D">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54CD691">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065910E">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0875F59">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45EE06F1">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075D718">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3EAD7D1C">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14F70B99">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5CFD12A7">
            <w:pPr>
              <w:pStyle w:val="136"/>
              <w:spacing w:line="400" w:lineRule="exact"/>
              <w:ind w:left="0" w:leftChars="0" w:firstLine="480" w:firstLineChars="200"/>
              <w:jc w:val="both"/>
              <w:rPr>
                <w:rFonts w:hAnsi="宋体" w:cs="宋体"/>
                <w:color w:val="auto"/>
                <w:szCs w:val="21"/>
              </w:rPr>
            </w:pPr>
          </w:p>
        </w:tc>
      </w:tr>
      <w:tr w14:paraId="6A5C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00A9BA6A">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3FEF7EEB">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3BB443F">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1FD3EEB">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02694C0">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4EBB216F">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23A18A52">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1E366999">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35F7C139">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229718E1">
            <w:pPr>
              <w:pStyle w:val="136"/>
              <w:spacing w:line="400" w:lineRule="exact"/>
              <w:ind w:left="0" w:leftChars="0" w:firstLine="480" w:firstLineChars="200"/>
              <w:jc w:val="both"/>
              <w:rPr>
                <w:rFonts w:hAnsi="宋体" w:cs="宋体"/>
                <w:color w:val="auto"/>
                <w:szCs w:val="21"/>
              </w:rPr>
            </w:pPr>
          </w:p>
        </w:tc>
      </w:tr>
      <w:tr w14:paraId="1931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5EAD9BF7">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53297F88">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4B353DE">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C07B193">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AB6E894">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57F9DC0">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49A8E707">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03738DBF">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154C1079">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5722EBD3">
            <w:pPr>
              <w:pStyle w:val="136"/>
              <w:spacing w:line="400" w:lineRule="exact"/>
              <w:ind w:left="0" w:leftChars="0" w:firstLine="480" w:firstLineChars="200"/>
              <w:jc w:val="both"/>
              <w:rPr>
                <w:rFonts w:hAnsi="宋体" w:cs="宋体"/>
                <w:color w:val="auto"/>
                <w:szCs w:val="21"/>
              </w:rPr>
            </w:pPr>
          </w:p>
        </w:tc>
      </w:tr>
      <w:tr w14:paraId="6EAB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1BA1056C">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6E68642F">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1ADF623">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B232281">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7A6B75B">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7F057F2A">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53BFD9F6">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0EE57AD">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0585C605">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3C0E3955">
            <w:pPr>
              <w:pStyle w:val="136"/>
              <w:spacing w:line="400" w:lineRule="exact"/>
              <w:ind w:left="0" w:leftChars="0" w:firstLine="480" w:firstLineChars="200"/>
              <w:jc w:val="both"/>
              <w:rPr>
                <w:rFonts w:hAnsi="宋体" w:cs="宋体"/>
                <w:color w:val="auto"/>
                <w:szCs w:val="21"/>
              </w:rPr>
            </w:pPr>
          </w:p>
        </w:tc>
      </w:tr>
      <w:tr w14:paraId="68B2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27199F84">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76824B08">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FA8858B">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B4F5D6E">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302DCEE">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745EBE17">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59A02972">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9B56686">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10B449B4">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FCF8EF8">
            <w:pPr>
              <w:pStyle w:val="136"/>
              <w:spacing w:line="400" w:lineRule="exact"/>
              <w:ind w:left="0" w:leftChars="0" w:firstLine="480" w:firstLineChars="200"/>
              <w:jc w:val="both"/>
              <w:rPr>
                <w:rFonts w:hAnsi="宋体" w:cs="宋体"/>
                <w:color w:val="auto"/>
                <w:szCs w:val="21"/>
              </w:rPr>
            </w:pPr>
          </w:p>
        </w:tc>
      </w:tr>
      <w:tr w14:paraId="5CFD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5433ED69">
            <w:pPr>
              <w:pStyle w:val="136"/>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04C1ED06">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F7E33E0">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96EEF2B">
            <w:pPr>
              <w:pStyle w:val="136"/>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FCCE16A">
            <w:pPr>
              <w:pStyle w:val="136"/>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172C2888">
            <w:pPr>
              <w:pStyle w:val="136"/>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759AA3C4">
            <w:pPr>
              <w:pStyle w:val="136"/>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6370F3CD">
            <w:pPr>
              <w:pStyle w:val="136"/>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5FFB1E60">
            <w:pPr>
              <w:pStyle w:val="136"/>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7CF029C1">
            <w:pPr>
              <w:pStyle w:val="136"/>
              <w:spacing w:line="400" w:lineRule="exact"/>
              <w:ind w:left="0" w:leftChars="0" w:firstLine="480" w:firstLineChars="200"/>
              <w:jc w:val="both"/>
              <w:rPr>
                <w:rFonts w:hAnsi="宋体" w:cs="宋体"/>
                <w:color w:val="auto"/>
                <w:szCs w:val="21"/>
              </w:rPr>
            </w:pPr>
          </w:p>
        </w:tc>
      </w:tr>
    </w:tbl>
    <w:p w14:paraId="2D8449DE">
      <w:pPr>
        <w:pStyle w:val="173"/>
        <w:tabs>
          <w:tab w:val="left" w:pos="2040"/>
        </w:tabs>
        <w:spacing w:beforeLines="0" w:line="400" w:lineRule="exact"/>
        <w:ind w:left="0" w:firstLine="480" w:firstLineChars="200"/>
        <w:rPr>
          <w:rFonts w:hAnsi="宋体" w:eastAsia="宋体" w:cs="宋体"/>
          <w:color w:val="auto"/>
          <w:szCs w:val="21"/>
        </w:rPr>
      </w:pPr>
      <w:r>
        <w:rPr>
          <w:rFonts w:hint="eastAsia" w:hAnsi="宋体" w:eastAsia="宋体" w:cs="宋体"/>
          <w:color w:val="auto"/>
          <w:szCs w:val="21"/>
        </w:rPr>
        <w:t>注：1、“岗位情况”须注明该人在本单位是在岗、返聘还是外聘。</w:t>
      </w:r>
    </w:p>
    <w:p w14:paraId="3CF89688">
      <w:pPr>
        <w:pStyle w:val="173"/>
        <w:tabs>
          <w:tab w:val="left" w:pos="2040"/>
        </w:tabs>
        <w:spacing w:beforeLines="0" w:line="400" w:lineRule="exact"/>
        <w:ind w:left="0" w:firstLine="960" w:firstLineChars="400"/>
        <w:rPr>
          <w:rFonts w:hAnsi="宋体" w:eastAsia="宋体" w:cs="宋体"/>
          <w:color w:val="auto"/>
          <w:szCs w:val="21"/>
        </w:rPr>
      </w:pPr>
      <w:r>
        <w:rPr>
          <w:rFonts w:hint="eastAsia" w:hAnsi="宋体" w:eastAsia="宋体" w:cs="宋体"/>
          <w:color w:val="auto"/>
          <w:szCs w:val="21"/>
        </w:rPr>
        <w:t>2、供应商可适当调整该表格式，但不得减少信息内容。</w:t>
      </w:r>
    </w:p>
    <w:p w14:paraId="3CA8C0EE">
      <w:pPr>
        <w:pStyle w:val="157"/>
        <w:spacing w:beforeLines="0" w:afterLines="0" w:line="400" w:lineRule="exact"/>
        <w:ind w:left="0" w:leftChars="0" w:firstLine="420" w:firstLineChars="200"/>
        <w:jc w:val="both"/>
        <w:rPr>
          <w:rFonts w:hAnsi="宋体" w:cs="宋体"/>
          <w:b w:val="0"/>
          <w:color w:val="auto"/>
          <w:sz w:val="21"/>
        </w:rPr>
      </w:pPr>
    </w:p>
    <w:p w14:paraId="3A3C873F">
      <w:pPr>
        <w:pStyle w:val="128"/>
        <w:spacing w:line="360" w:lineRule="auto"/>
        <w:ind w:firstLine="0" w:firstLineChars="0"/>
        <w:jc w:val="center"/>
        <w:outlineLvl w:val="9"/>
        <w:rPr>
          <w:rFonts w:hAnsi="宋体"/>
          <w:color w:val="auto"/>
          <w:szCs w:val="24"/>
        </w:rPr>
      </w:pPr>
      <w:bookmarkStart w:id="240" w:name="_Toc225410182"/>
      <w:bookmarkStart w:id="241" w:name="_Toc14010"/>
      <w:bookmarkStart w:id="242" w:name="_Toc225566702"/>
      <w:bookmarkStart w:id="243" w:name="_Toc396304715"/>
      <w:bookmarkStart w:id="244" w:name="_Toc225566883"/>
      <w:bookmarkStart w:id="245" w:name="_Toc8175"/>
      <w:bookmarkStart w:id="246" w:name="_Toc4548"/>
      <w:bookmarkStart w:id="247" w:name="_Toc403077653"/>
      <w:bookmarkStart w:id="248" w:name="_Toc225410808"/>
      <w:bookmarkStart w:id="249" w:name="_Toc16685"/>
      <w:bookmarkStart w:id="250" w:name="_Toc225409966"/>
      <w:bookmarkStart w:id="251" w:name="_Toc225412374"/>
      <w:bookmarkStart w:id="252" w:name="_Toc15882"/>
      <w:bookmarkStart w:id="253" w:name="_Toc426457711"/>
      <w:bookmarkStart w:id="254" w:name="_Toc225415861"/>
      <w:bookmarkStart w:id="255" w:name="_Toc225416062"/>
      <w:bookmarkStart w:id="256" w:name="_Toc5833"/>
      <w:bookmarkStart w:id="257" w:name="_Toc225412172"/>
      <w:bookmarkStart w:id="258" w:name="_Toc225567482"/>
      <w:bookmarkStart w:id="259" w:name="_Toc225415660"/>
      <w:bookmarkStart w:id="260" w:name="_Toc26060"/>
      <w:bookmarkStart w:id="261" w:name="_Toc341541376"/>
      <w:r>
        <w:rPr>
          <w:rFonts w:hint="eastAsia" w:hAnsi="宋体"/>
          <w:color w:val="auto"/>
          <w:szCs w:val="24"/>
        </w:rPr>
        <w:br w:type="page"/>
      </w:r>
      <w:bookmarkStart w:id="262" w:name="_Toc22912"/>
      <w:bookmarkStart w:id="263" w:name="_Toc5691"/>
      <w:r>
        <w:rPr>
          <w:rFonts w:hint="eastAsia" w:hAnsi="宋体"/>
          <w:color w:val="auto"/>
          <w:szCs w:val="24"/>
        </w:rPr>
        <w:t>（二） 本项目拟投入主要人员简历表</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2698682">
      <w:pPr>
        <w:pStyle w:val="128"/>
        <w:spacing w:line="360" w:lineRule="auto"/>
        <w:ind w:firstLine="0" w:firstLineChars="0"/>
        <w:jc w:val="center"/>
        <w:outlineLvl w:val="9"/>
        <w:rPr>
          <w:rFonts w:hAnsi="宋体"/>
          <w:color w:val="auto"/>
          <w:szCs w:val="24"/>
        </w:rPr>
      </w:pPr>
      <w:bookmarkStart w:id="264" w:name="_Toc7987"/>
      <w:bookmarkStart w:id="265" w:name="_Toc23655"/>
      <w:bookmarkStart w:id="266" w:name="_Toc30540"/>
      <w:bookmarkStart w:id="267" w:name="_Toc426457712"/>
      <w:bookmarkStart w:id="268" w:name="_Toc23862"/>
      <w:bookmarkStart w:id="269" w:name="_Toc12576"/>
      <w:bookmarkStart w:id="270" w:name="_Toc26268"/>
      <w:bookmarkStart w:id="271" w:name="_Toc403077654"/>
      <w:bookmarkStart w:id="272" w:name="_Toc21195"/>
      <w:bookmarkStart w:id="273" w:name="_Toc1696"/>
      <w:bookmarkStart w:id="274" w:name="_Toc396304716"/>
      <w:bookmarkStart w:id="275" w:name="_Toc4640"/>
      <w:r>
        <w:rPr>
          <w:rFonts w:hint="eastAsia" w:hAnsi="宋体"/>
          <w:color w:val="auto"/>
          <w:szCs w:val="24"/>
        </w:rPr>
        <w:t>本项目拟投入主要人员简历表</w:t>
      </w:r>
      <w:bookmarkEnd w:id="264"/>
      <w:bookmarkEnd w:id="265"/>
      <w:bookmarkEnd w:id="266"/>
      <w:bookmarkEnd w:id="267"/>
      <w:bookmarkEnd w:id="268"/>
      <w:bookmarkEnd w:id="269"/>
      <w:bookmarkEnd w:id="270"/>
      <w:bookmarkEnd w:id="271"/>
      <w:bookmarkEnd w:id="272"/>
      <w:bookmarkEnd w:id="273"/>
      <w:bookmarkEnd w:id="274"/>
      <w:bookmarkEnd w:id="275"/>
    </w:p>
    <w:tbl>
      <w:tblPr>
        <w:tblStyle w:val="46"/>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1555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406FF6D1">
            <w:pPr>
              <w:pStyle w:val="136"/>
              <w:spacing w:line="400" w:lineRule="exact"/>
              <w:ind w:left="0" w:leftChars="0"/>
              <w:rPr>
                <w:rFonts w:hAnsi="宋体" w:cs="宋体"/>
                <w:color w:val="auto"/>
              </w:rPr>
            </w:pPr>
            <w:r>
              <w:rPr>
                <w:rFonts w:hint="eastAsia" w:hAnsi="宋体" w:cs="宋体"/>
                <w:color w:val="auto"/>
              </w:rPr>
              <w:t>姓  名</w:t>
            </w:r>
          </w:p>
        </w:tc>
        <w:tc>
          <w:tcPr>
            <w:tcW w:w="1577" w:type="dxa"/>
            <w:vAlign w:val="center"/>
          </w:tcPr>
          <w:p w14:paraId="67F2F011">
            <w:pPr>
              <w:pStyle w:val="136"/>
              <w:spacing w:line="400" w:lineRule="exact"/>
              <w:ind w:left="0" w:leftChars="0"/>
              <w:rPr>
                <w:rFonts w:hAnsi="宋体" w:cs="宋体"/>
                <w:color w:val="auto"/>
              </w:rPr>
            </w:pPr>
          </w:p>
        </w:tc>
        <w:tc>
          <w:tcPr>
            <w:tcW w:w="1525" w:type="dxa"/>
            <w:vAlign w:val="center"/>
          </w:tcPr>
          <w:p w14:paraId="066CCE1B">
            <w:pPr>
              <w:pStyle w:val="136"/>
              <w:spacing w:line="400" w:lineRule="exact"/>
              <w:ind w:left="0" w:leftChars="0"/>
              <w:rPr>
                <w:rFonts w:hAnsi="宋体" w:cs="宋体"/>
                <w:color w:val="auto"/>
              </w:rPr>
            </w:pPr>
            <w:r>
              <w:rPr>
                <w:rFonts w:hint="eastAsia" w:hAnsi="宋体" w:cs="宋体"/>
                <w:color w:val="auto"/>
              </w:rPr>
              <w:t>性 别</w:t>
            </w:r>
          </w:p>
        </w:tc>
        <w:tc>
          <w:tcPr>
            <w:tcW w:w="1331" w:type="dxa"/>
            <w:gridSpan w:val="2"/>
            <w:vAlign w:val="center"/>
          </w:tcPr>
          <w:p w14:paraId="61DBE47E">
            <w:pPr>
              <w:pStyle w:val="136"/>
              <w:spacing w:line="400" w:lineRule="exact"/>
              <w:ind w:left="0" w:leftChars="0"/>
              <w:rPr>
                <w:rFonts w:hAnsi="宋体" w:cs="宋体"/>
                <w:color w:val="auto"/>
              </w:rPr>
            </w:pPr>
          </w:p>
        </w:tc>
        <w:tc>
          <w:tcPr>
            <w:tcW w:w="1709" w:type="dxa"/>
            <w:vAlign w:val="center"/>
          </w:tcPr>
          <w:p w14:paraId="022C13A2">
            <w:pPr>
              <w:pStyle w:val="136"/>
              <w:spacing w:line="400" w:lineRule="exact"/>
              <w:ind w:left="0" w:leftChars="0"/>
              <w:rPr>
                <w:rFonts w:hAnsi="宋体" w:cs="宋体"/>
                <w:color w:val="auto"/>
              </w:rPr>
            </w:pPr>
            <w:r>
              <w:rPr>
                <w:rFonts w:hint="eastAsia" w:hAnsi="宋体" w:cs="宋体"/>
                <w:color w:val="auto"/>
              </w:rPr>
              <w:t>年 龄</w:t>
            </w:r>
          </w:p>
        </w:tc>
        <w:tc>
          <w:tcPr>
            <w:tcW w:w="1139" w:type="dxa"/>
            <w:gridSpan w:val="2"/>
            <w:vAlign w:val="center"/>
          </w:tcPr>
          <w:p w14:paraId="2AA1B483">
            <w:pPr>
              <w:pStyle w:val="136"/>
              <w:spacing w:line="400" w:lineRule="exact"/>
              <w:ind w:left="0" w:leftChars="0" w:firstLine="480" w:firstLineChars="200"/>
              <w:rPr>
                <w:rFonts w:hAnsi="宋体" w:cs="宋体"/>
                <w:color w:val="auto"/>
              </w:rPr>
            </w:pPr>
          </w:p>
        </w:tc>
      </w:tr>
      <w:tr w14:paraId="44B2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400B6394">
            <w:pPr>
              <w:pStyle w:val="136"/>
              <w:spacing w:line="400" w:lineRule="exact"/>
              <w:ind w:left="0" w:leftChars="0"/>
              <w:rPr>
                <w:rFonts w:hAnsi="宋体" w:cs="宋体"/>
                <w:color w:val="auto"/>
              </w:rPr>
            </w:pPr>
            <w:r>
              <w:rPr>
                <w:rFonts w:hint="eastAsia" w:hAnsi="宋体" w:cs="宋体"/>
                <w:color w:val="auto"/>
              </w:rPr>
              <w:t>职  称</w:t>
            </w:r>
          </w:p>
        </w:tc>
        <w:tc>
          <w:tcPr>
            <w:tcW w:w="1577" w:type="dxa"/>
            <w:vAlign w:val="center"/>
          </w:tcPr>
          <w:p w14:paraId="40E5F842">
            <w:pPr>
              <w:pStyle w:val="136"/>
              <w:spacing w:line="400" w:lineRule="exact"/>
              <w:ind w:left="0" w:leftChars="0"/>
              <w:rPr>
                <w:rFonts w:hAnsi="宋体" w:cs="宋体"/>
                <w:color w:val="auto"/>
              </w:rPr>
            </w:pPr>
          </w:p>
        </w:tc>
        <w:tc>
          <w:tcPr>
            <w:tcW w:w="1525" w:type="dxa"/>
            <w:vAlign w:val="center"/>
          </w:tcPr>
          <w:p w14:paraId="0A14527D">
            <w:pPr>
              <w:pStyle w:val="136"/>
              <w:spacing w:line="400" w:lineRule="exact"/>
              <w:ind w:left="0" w:leftChars="0"/>
              <w:rPr>
                <w:rFonts w:hAnsi="宋体" w:cs="宋体"/>
                <w:color w:val="auto"/>
              </w:rPr>
            </w:pPr>
            <w:r>
              <w:rPr>
                <w:rFonts w:hint="eastAsia" w:hAnsi="宋体" w:cs="宋体"/>
                <w:color w:val="auto"/>
              </w:rPr>
              <w:t>身份证号</w:t>
            </w:r>
          </w:p>
        </w:tc>
        <w:tc>
          <w:tcPr>
            <w:tcW w:w="1331" w:type="dxa"/>
            <w:gridSpan w:val="2"/>
            <w:vAlign w:val="center"/>
          </w:tcPr>
          <w:p w14:paraId="0F9D62E8">
            <w:pPr>
              <w:pStyle w:val="136"/>
              <w:spacing w:line="400" w:lineRule="exact"/>
              <w:ind w:left="0" w:leftChars="0"/>
              <w:rPr>
                <w:rFonts w:hAnsi="宋体" w:cs="宋体"/>
                <w:color w:val="auto"/>
              </w:rPr>
            </w:pPr>
          </w:p>
        </w:tc>
        <w:tc>
          <w:tcPr>
            <w:tcW w:w="1709" w:type="dxa"/>
            <w:vAlign w:val="center"/>
          </w:tcPr>
          <w:p w14:paraId="6FBA2E72">
            <w:pPr>
              <w:pStyle w:val="136"/>
              <w:spacing w:line="400" w:lineRule="exact"/>
              <w:ind w:left="0" w:leftChars="0"/>
              <w:rPr>
                <w:rFonts w:hAnsi="宋体" w:cs="宋体"/>
                <w:color w:val="auto"/>
              </w:rPr>
            </w:pPr>
            <w:r>
              <w:rPr>
                <w:rFonts w:hint="eastAsia" w:hAnsi="宋体" w:cs="宋体"/>
                <w:color w:val="auto"/>
              </w:rPr>
              <w:t>专业/年限</w:t>
            </w:r>
          </w:p>
        </w:tc>
        <w:tc>
          <w:tcPr>
            <w:tcW w:w="1139" w:type="dxa"/>
            <w:gridSpan w:val="2"/>
            <w:vAlign w:val="center"/>
          </w:tcPr>
          <w:p w14:paraId="5F13F111">
            <w:pPr>
              <w:pStyle w:val="136"/>
              <w:spacing w:line="400" w:lineRule="exact"/>
              <w:ind w:left="0" w:leftChars="0" w:firstLine="480" w:firstLineChars="200"/>
              <w:rPr>
                <w:rFonts w:hAnsi="宋体" w:cs="宋体"/>
                <w:color w:val="auto"/>
              </w:rPr>
            </w:pPr>
          </w:p>
        </w:tc>
      </w:tr>
      <w:tr w14:paraId="4069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71808E68">
            <w:pPr>
              <w:pStyle w:val="136"/>
              <w:spacing w:line="400" w:lineRule="exact"/>
              <w:ind w:left="0" w:leftChars="0"/>
              <w:rPr>
                <w:rFonts w:hAnsi="宋体" w:cs="宋体"/>
                <w:color w:val="auto"/>
              </w:rPr>
            </w:pPr>
            <w:r>
              <w:rPr>
                <w:rFonts w:hint="eastAsia" w:hAnsi="宋体" w:cs="宋体"/>
                <w:color w:val="auto"/>
              </w:rPr>
              <w:t>毕业时间</w:t>
            </w:r>
          </w:p>
        </w:tc>
        <w:tc>
          <w:tcPr>
            <w:tcW w:w="1577" w:type="dxa"/>
            <w:vAlign w:val="center"/>
          </w:tcPr>
          <w:p w14:paraId="21F76F45">
            <w:pPr>
              <w:pStyle w:val="136"/>
              <w:spacing w:line="400" w:lineRule="exact"/>
              <w:ind w:left="0" w:leftChars="0"/>
              <w:rPr>
                <w:rFonts w:hAnsi="宋体" w:cs="宋体"/>
                <w:color w:val="auto"/>
              </w:rPr>
            </w:pPr>
          </w:p>
        </w:tc>
        <w:tc>
          <w:tcPr>
            <w:tcW w:w="1525" w:type="dxa"/>
            <w:vAlign w:val="center"/>
          </w:tcPr>
          <w:p w14:paraId="426E6AAD">
            <w:pPr>
              <w:pStyle w:val="136"/>
              <w:spacing w:line="400" w:lineRule="exact"/>
              <w:ind w:left="0" w:leftChars="0"/>
              <w:rPr>
                <w:rFonts w:hAnsi="宋体" w:cs="宋体"/>
                <w:color w:val="auto"/>
              </w:rPr>
            </w:pPr>
            <w:r>
              <w:rPr>
                <w:rFonts w:hint="eastAsia" w:hAnsi="宋体" w:cs="宋体"/>
                <w:color w:val="auto"/>
              </w:rPr>
              <w:t>毕业学校</w:t>
            </w:r>
          </w:p>
        </w:tc>
        <w:tc>
          <w:tcPr>
            <w:tcW w:w="1331" w:type="dxa"/>
            <w:gridSpan w:val="2"/>
            <w:vAlign w:val="center"/>
          </w:tcPr>
          <w:p w14:paraId="6DA4E99E">
            <w:pPr>
              <w:pStyle w:val="136"/>
              <w:spacing w:line="400" w:lineRule="exact"/>
              <w:ind w:left="0" w:leftChars="0"/>
              <w:rPr>
                <w:rFonts w:hAnsi="宋体" w:cs="宋体"/>
                <w:color w:val="auto"/>
              </w:rPr>
            </w:pPr>
          </w:p>
        </w:tc>
        <w:tc>
          <w:tcPr>
            <w:tcW w:w="1709" w:type="dxa"/>
            <w:vAlign w:val="center"/>
          </w:tcPr>
          <w:p w14:paraId="5CDECF9D">
            <w:pPr>
              <w:pStyle w:val="136"/>
              <w:spacing w:line="400" w:lineRule="exact"/>
              <w:ind w:left="0" w:leftChars="0"/>
              <w:rPr>
                <w:rFonts w:hAnsi="宋体" w:cs="宋体"/>
                <w:color w:val="auto"/>
              </w:rPr>
            </w:pPr>
            <w:r>
              <w:rPr>
                <w:rFonts w:hint="eastAsia" w:hAnsi="宋体" w:cs="宋体"/>
                <w:color w:val="auto"/>
              </w:rPr>
              <w:t>学历/专业</w:t>
            </w:r>
          </w:p>
        </w:tc>
        <w:tc>
          <w:tcPr>
            <w:tcW w:w="1139" w:type="dxa"/>
            <w:gridSpan w:val="2"/>
            <w:vAlign w:val="center"/>
          </w:tcPr>
          <w:p w14:paraId="36B7D975">
            <w:pPr>
              <w:pStyle w:val="136"/>
              <w:spacing w:line="400" w:lineRule="exact"/>
              <w:ind w:left="0" w:leftChars="0" w:firstLine="480" w:firstLineChars="200"/>
              <w:rPr>
                <w:rFonts w:hAnsi="宋体" w:cs="宋体"/>
                <w:color w:val="auto"/>
              </w:rPr>
            </w:pPr>
          </w:p>
        </w:tc>
      </w:tr>
      <w:tr w14:paraId="6A23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58FE7649">
            <w:pPr>
              <w:pStyle w:val="136"/>
              <w:spacing w:line="400" w:lineRule="exact"/>
              <w:ind w:left="0" w:leftChars="0"/>
              <w:rPr>
                <w:rFonts w:hAnsi="宋体" w:cs="宋体"/>
                <w:color w:val="auto"/>
              </w:rPr>
            </w:pPr>
            <w:r>
              <w:rPr>
                <w:rFonts w:hint="eastAsia" w:hAnsi="宋体" w:cs="宋体"/>
                <w:color w:val="auto"/>
              </w:rPr>
              <w:t>资格证书</w:t>
            </w:r>
          </w:p>
        </w:tc>
        <w:tc>
          <w:tcPr>
            <w:tcW w:w="1577" w:type="dxa"/>
            <w:vAlign w:val="center"/>
          </w:tcPr>
          <w:p w14:paraId="3D22CA6A">
            <w:pPr>
              <w:pStyle w:val="136"/>
              <w:spacing w:line="400" w:lineRule="exact"/>
              <w:ind w:left="0" w:leftChars="0"/>
              <w:rPr>
                <w:rFonts w:hAnsi="宋体" w:cs="宋体"/>
                <w:color w:val="auto"/>
              </w:rPr>
            </w:pPr>
          </w:p>
        </w:tc>
        <w:tc>
          <w:tcPr>
            <w:tcW w:w="1525" w:type="dxa"/>
            <w:vAlign w:val="center"/>
          </w:tcPr>
          <w:p w14:paraId="355A61FE">
            <w:pPr>
              <w:pStyle w:val="136"/>
              <w:spacing w:line="400" w:lineRule="exact"/>
              <w:ind w:left="0" w:leftChars="0"/>
              <w:rPr>
                <w:rFonts w:hAnsi="宋体" w:cs="宋体"/>
                <w:color w:val="auto"/>
              </w:rPr>
            </w:pPr>
            <w:r>
              <w:rPr>
                <w:rFonts w:hint="eastAsia" w:hAnsi="宋体" w:cs="宋体"/>
                <w:color w:val="auto"/>
              </w:rPr>
              <w:t>注册时间</w:t>
            </w:r>
          </w:p>
        </w:tc>
        <w:tc>
          <w:tcPr>
            <w:tcW w:w="1331" w:type="dxa"/>
            <w:gridSpan w:val="2"/>
            <w:vAlign w:val="center"/>
          </w:tcPr>
          <w:p w14:paraId="7F54DD5F">
            <w:pPr>
              <w:pStyle w:val="136"/>
              <w:spacing w:line="400" w:lineRule="exact"/>
              <w:ind w:left="0" w:leftChars="0"/>
              <w:rPr>
                <w:rFonts w:hAnsi="宋体" w:cs="宋体"/>
                <w:color w:val="auto"/>
              </w:rPr>
            </w:pPr>
          </w:p>
        </w:tc>
        <w:tc>
          <w:tcPr>
            <w:tcW w:w="1709" w:type="dxa"/>
            <w:vAlign w:val="center"/>
          </w:tcPr>
          <w:p w14:paraId="5AF4EC71">
            <w:pPr>
              <w:pStyle w:val="136"/>
              <w:spacing w:line="400" w:lineRule="exact"/>
              <w:ind w:left="0" w:leftChars="0"/>
              <w:rPr>
                <w:rFonts w:hAnsi="宋体" w:cs="宋体"/>
                <w:color w:val="auto"/>
              </w:rPr>
            </w:pPr>
            <w:r>
              <w:rPr>
                <w:rFonts w:hint="eastAsia" w:hAnsi="宋体" w:cs="宋体"/>
                <w:color w:val="auto"/>
              </w:rPr>
              <w:t>从业时间</w:t>
            </w:r>
          </w:p>
        </w:tc>
        <w:tc>
          <w:tcPr>
            <w:tcW w:w="1139" w:type="dxa"/>
            <w:gridSpan w:val="2"/>
            <w:vAlign w:val="center"/>
          </w:tcPr>
          <w:p w14:paraId="5789FE7F">
            <w:pPr>
              <w:pStyle w:val="136"/>
              <w:spacing w:line="400" w:lineRule="exact"/>
              <w:ind w:left="0" w:leftChars="0" w:firstLine="480" w:firstLineChars="200"/>
              <w:rPr>
                <w:rFonts w:hAnsi="宋体" w:cs="宋体"/>
                <w:color w:val="auto"/>
              </w:rPr>
            </w:pPr>
          </w:p>
        </w:tc>
      </w:tr>
      <w:tr w14:paraId="3C9A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0D024568">
            <w:pPr>
              <w:pStyle w:val="136"/>
              <w:spacing w:line="400" w:lineRule="exact"/>
              <w:ind w:left="0" w:leftChars="0"/>
              <w:rPr>
                <w:rFonts w:hAnsi="宋体" w:cs="宋体"/>
                <w:color w:val="auto"/>
              </w:rPr>
            </w:pPr>
            <w:r>
              <w:rPr>
                <w:rFonts w:hint="eastAsia" w:hAnsi="宋体" w:cs="宋体"/>
                <w:color w:val="auto"/>
              </w:rPr>
              <w:t>是否属供应商固定雇员</w:t>
            </w:r>
          </w:p>
        </w:tc>
        <w:tc>
          <w:tcPr>
            <w:tcW w:w="1525" w:type="dxa"/>
            <w:vAlign w:val="center"/>
          </w:tcPr>
          <w:p w14:paraId="4CFFA4F7">
            <w:pPr>
              <w:pStyle w:val="136"/>
              <w:spacing w:line="400" w:lineRule="exact"/>
              <w:ind w:left="0" w:leftChars="0"/>
              <w:rPr>
                <w:rFonts w:hAnsi="宋体" w:cs="宋体"/>
                <w:color w:val="auto"/>
              </w:rPr>
            </w:pPr>
          </w:p>
        </w:tc>
        <w:tc>
          <w:tcPr>
            <w:tcW w:w="3040" w:type="dxa"/>
            <w:gridSpan w:val="3"/>
            <w:vAlign w:val="center"/>
          </w:tcPr>
          <w:p w14:paraId="754841AB">
            <w:pPr>
              <w:pStyle w:val="136"/>
              <w:spacing w:line="400" w:lineRule="exact"/>
              <w:ind w:left="0" w:leftChars="0"/>
              <w:rPr>
                <w:rFonts w:hAnsi="宋体" w:cs="宋体"/>
                <w:color w:val="auto"/>
              </w:rPr>
            </w:pPr>
            <w:r>
              <w:rPr>
                <w:rFonts w:hint="eastAsia" w:hAnsi="宋体" w:cs="宋体"/>
                <w:color w:val="auto"/>
              </w:rPr>
              <w:t>为供应商服务时间</w:t>
            </w:r>
          </w:p>
        </w:tc>
        <w:tc>
          <w:tcPr>
            <w:tcW w:w="1139" w:type="dxa"/>
            <w:gridSpan w:val="2"/>
            <w:vAlign w:val="center"/>
          </w:tcPr>
          <w:p w14:paraId="1F34AAAD">
            <w:pPr>
              <w:pStyle w:val="136"/>
              <w:spacing w:line="400" w:lineRule="exact"/>
              <w:ind w:left="0" w:leftChars="0" w:firstLine="480" w:firstLineChars="200"/>
              <w:rPr>
                <w:rFonts w:hAnsi="宋体" w:cs="宋体"/>
                <w:color w:val="auto"/>
              </w:rPr>
            </w:pPr>
          </w:p>
        </w:tc>
      </w:tr>
      <w:tr w14:paraId="7D99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2406C4B6">
            <w:pPr>
              <w:pStyle w:val="136"/>
              <w:spacing w:line="400" w:lineRule="exact"/>
              <w:ind w:left="0" w:leftChars="0"/>
              <w:rPr>
                <w:rFonts w:hAnsi="宋体" w:cs="宋体"/>
                <w:color w:val="auto"/>
              </w:rPr>
            </w:pPr>
            <w:r>
              <w:rPr>
                <w:rFonts w:hint="eastAsia" w:hAnsi="宋体" w:cs="宋体"/>
                <w:color w:val="auto"/>
              </w:rPr>
              <w:t>拟在本项目担任职务</w:t>
            </w:r>
          </w:p>
        </w:tc>
        <w:tc>
          <w:tcPr>
            <w:tcW w:w="5704" w:type="dxa"/>
            <w:gridSpan w:val="6"/>
            <w:vAlign w:val="center"/>
          </w:tcPr>
          <w:p w14:paraId="6C8991E1">
            <w:pPr>
              <w:pStyle w:val="136"/>
              <w:spacing w:line="400" w:lineRule="exact"/>
              <w:ind w:left="0" w:leftChars="0"/>
              <w:rPr>
                <w:rFonts w:hAnsi="宋体" w:cs="宋体"/>
                <w:color w:val="auto"/>
              </w:rPr>
            </w:pPr>
          </w:p>
        </w:tc>
      </w:tr>
      <w:tr w14:paraId="2294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14:paraId="494E5934">
            <w:pPr>
              <w:pStyle w:val="136"/>
              <w:spacing w:line="400" w:lineRule="exact"/>
              <w:ind w:left="0" w:leftChars="0"/>
              <w:rPr>
                <w:rFonts w:hAnsi="宋体" w:cs="宋体"/>
                <w:color w:val="auto"/>
              </w:rPr>
            </w:pPr>
            <w:r>
              <w:rPr>
                <w:rFonts w:hint="eastAsia" w:hAnsi="宋体" w:cs="宋体"/>
                <w:color w:val="auto"/>
              </w:rPr>
              <w:t>教育和培训背景</w:t>
            </w:r>
          </w:p>
        </w:tc>
      </w:tr>
      <w:tr w14:paraId="32A8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1C2C52D2">
            <w:pPr>
              <w:pStyle w:val="136"/>
              <w:spacing w:line="400" w:lineRule="exact"/>
              <w:ind w:left="0" w:leftChars="0"/>
              <w:jc w:val="both"/>
              <w:rPr>
                <w:rFonts w:hAnsi="宋体" w:cs="宋体"/>
                <w:color w:val="auto"/>
              </w:rPr>
            </w:pPr>
            <w:r>
              <w:rPr>
                <w:rFonts w:hint="eastAsia" w:hAnsi="宋体" w:cs="宋体"/>
                <w:color w:val="auto"/>
              </w:rPr>
              <w:t>（教育背景从大学开始，包括毕业院校名称、专业、起始时间。培训填写与专业技术、业务有关的内容）</w:t>
            </w:r>
          </w:p>
        </w:tc>
      </w:tr>
      <w:tr w14:paraId="5632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45EB08DD">
            <w:pPr>
              <w:pStyle w:val="136"/>
              <w:spacing w:line="400" w:lineRule="exact"/>
              <w:ind w:left="0" w:leftChars="0"/>
              <w:rPr>
                <w:rFonts w:hAnsi="宋体" w:cs="宋体"/>
                <w:color w:val="auto"/>
              </w:rPr>
            </w:pPr>
            <w:r>
              <w:rPr>
                <w:rFonts w:hint="eastAsia" w:hAnsi="宋体" w:cs="宋体"/>
                <w:color w:val="auto"/>
              </w:rPr>
              <w:t>工作经历</w:t>
            </w:r>
          </w:p>
        </w:tc>
      </w:tr>
      <w:tr w14:paraId="6367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142EC794">
            <w:pPr>
              <w:pStyle w:val="136"/>
              <w:spacing w:line="400" w:lineRule="exact"/>
              <w:ind w:left="0" w:leftChars="0"/>
              <w:rPr>
                <w:rFonts w:hAnsi="宋体" w:cs="宋体"/>
                <w:color w:val="auto"/>
              </w:rPr>
            </w:pPr>
            <w:r>
              <w:rPr>
                <w:rFonts w:hint="eastAsia" w:hAnsi="宋体" w:cs="宋体"/>
                <w:color w:val="auto"/>
              </w:rPr>
              <w:t>时  间</w:t>
            </w:r>
          </w:p>
        </w:tc>
        <w:tc>
          <w:tcPr>
            <w:tcW w:w="3374" w:type="dxa"/>
            <w:gridSpan w:val="3"/>
            <w:vAlign w:val="center"/>
          </w:tcPr>
          <w:p w14:paraId="0C68801C">
            <w:pPr>
              <w:pStyle w:val="136"/>
              <w:spacing w:line="400" w:lineRule="exact"/>
              <w:ind w:left="0" w:leftChars="0"/>
              <w:rPr>
                <w:rFonts w:hAnsi="宋体" w:cs="宋体"/>
                <w:color w:val="auto"/>
              </w:rPr>
            </w:pPr>
            <w:r>
              <w:rPr>
                <w:rFonts w:hint="eastAsia" w:hAnsi="宋体" w:cs="宋体"/>
                <w:color w:val="auto"/>
              </w:rPr>
              <w:t>参加过的项目名称</w:t>
            </w:r>
          </w:p>
          <w:p w14:paraId="038A708F">
            <w:pPr>
              <w:pStyle w:val="136"/>
              <w:spacing w:line="400" w:lineRule="exact"/>
              <w:ind w:left="0" w:leftChars="0"/>
              <w:rPr>
                <w:rFonts w:hAnsi="宋体" w:cs="宋体"/>
                <w:color w:val="auto"/>
              </w:rPr>
            </w:pPr>
            <w:r>
              <w:rPr>
                <w:rFonts w:hint="eastAsia" w:hAnsi="宋体" w:cs="宋体"/>
                <w:color w:val="auto"/>
              </w:rPr>
              <w:t>及当时所在单位</w:t>
            </w:r>
          </w:p>
        </w:tc>
        <w:tc>
          <w:tcPr>
            <w:tcW w:w="1286" w:type="dxa"/>
            <w:vAlign w:val="center"/>
          </w:tcPr>
          <w:p w14:paraId="37BD06A4">
            <w:pPr>
              <w:pStyle w:val="136"/>
              <w:spacing w:line="400" w:lineRule="exact"/>
              <w:ind w:left="0" w:leftChars="0"/>
              <w:rPr>
                <w:rFonts w:hAnsi="宋体" w:cs="宋体"/>
                <w:color w:val="auto"/>
              </w:rPr>
            </w:pPr>
            <w:r>
              <w:rPr>
                <w:rFonts w:hint="eastAsia" w:hAnsi="宋体" w:cs="宋体"/>
                <w:color w:val="auto"/>
              </w:rPr>
              <w:t>担任何职</w:t>
            </w:r>
          </w:p>
        </w:tc>
        <w:tc>
          <w:tcPr>
            <w:tcW w:w="1761" w:type="dxa"/>
            <w:gridSpan w:val="3"/>
            <w:vAlign w:val="center"/>
          </w:tcPr>
          <w:p w14:paraId="4E23F069">
            <w:pPr>
              <w:pStyle w:val="136"/>
              <w:spacing w:line="400" w:lineRule="exact"/>
              <w:ind w:left="0" w:leftChars="0"/>
              <w:rPr>
                <w:rFonts w:hAnsi="宋体" w:cs="宋体"/>
                <w:color w:val="auto"/>
              </w:rPr>
            </w:pPr>
            <w:r>
              <w:rPr>
                <w:rFonts w:hint="eastAsia" w:hAnsi="宋体" w:cs="宋体"/>
                <w:color w:val="auto"/>
              </w:rPr>
              <w:t>主要工作内容</w:t>
            </w:r>
          </w:p>
        </w:tc>
        <w:tc>
          <w:tcPr>
            <w:tcW w:w="1132" w:type="dxa"/>
            <w:vAlign w:val="center"/>
          </w:tcPr>
          <w:p w14:paraId="4EF6B1B4">
            <w:pPr>
              <w:pStyle w:val="136"/>
              <w:spacing w:line="400" w:lineRule="exact"/>
              <w:ind w:left="0" w:leftChars="0"/>
              <w:rPr>
                <w:rFonts w:hAnsi="宋体" w:cs="宋体"/>
                <w:color w:val="auto"/>
              </w:rPr>
            </w:pPr>
            <w:r>
              <w:rPr>
                <w:rFonts w:hint="eastAsia" w:hAnsi="宋体" w:cs="宋体"/>
                <w:color w:val="auto"/>
              </w:rPr>
              <w:t>备 注</w:t>
            </w:r>
          </w:p>
        </w:tc>
      </w:tr>
      <w:tr w14:paraId="6EC3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0424B76E">
            <w:pPr>
              <w:pStyle w:val="136"/>
              <w:spacing w:line="400" w:lineRule="exact"/>
              <w:ind w:left="0" w:leftChars="0"/>
              <w:jc w:val="both"/>
              <w:rPr>
                <w:rFonts w:hAnsi="宋体" w:cs="宋体"/>
                <w:color w:val="auto"/>
              </w:rPr>
            </w:pPr>
          </w:p>
        </w:tc>
        <w:tc>
          <w:tcPr>
            <w:tcW w:w="3374" w:type="dxa"/>
            <w:gridSpan w:val="3"/>
            <w:vAlign w:val="center"/>
          </w:tcPr>
          <w:p w14:paraId="67B49A74">
            <w:pPr>
              <w:pStyle w:val="136"/>
              <w:spacing w:line="400" w:lineRule="exact"/>
              <w:ind w:left="0" w:leftChars="0"/>
              <w:jc w:val="both"/>
              <w:rPr>
                <w:rFonts w:hAnsi="宋体" w:cs="宋体"/>
                <w:color w:val="auto"/>
              </w:rPr>
            </w:pPr>
          </w:p>
        </w:tc>
        <w:tc>
          <w:tcPr>
            <w:tcW w:w="1286" w:type="dxa"/>
            <w:vAlign w:val="center"/>
          </w:tcPr>
          <w:p w14:paraId="558E29E3">
            <w:pPr>
              <w:pStyle w:val="136"/>
              <w:spacing w:line="400" w:lineRule="exact"/>
              <w:ind w:left="0" w:leftChars="0"/>
              <w:jc w:val="both"/>
              <w:rPr>
                <w:rFonts w:hAnsi="宋体" w:cs="宋体"/>
                <w:color w:val="auto"/>
              </w:rPr>
            </w:pPr>
          </w:p>
        </w:tc>
        <w:tc>
          <w:tcPr>
            <w:tcW w:w="1761" w:type="dxa"/>
            <w:gridSpan w:val="3"/>
            <w:vAlign w:val="center"/>
          </w:tcPr>
          <w:p w14:paraId="1401E75D">
            <w:pPr>
              <w:pStyle w:val="136"/>
              <w:spacing w:line="400" w:lineRule="exact"/>
              <w:ind w:left="0" w:leftChars="0"/>
              <w:jc w:val="both"/>
              <w:rPr>
                <w:rFonts w:hAnsi="宋体" w:cs="宋体"/>
                <w:color w:val="auto"/>
              </w:rPr>
            </w:pPr>
          </w:p>
        </w:tc>
        <w:tc>
          <w:tcPr>
            <w:tcW w:w="1132" w:type="dxa"/>
            <w:vAlign w:val="center"/>
          </w:tcPr>
          <w:p w14:paraId="3E142EDD">
            <w:pPr>
              <w:pStyle w:val="136"/>
              <w:spacing w:line="400" w:lineRule="exact"/>
              <w:ind w:left="0" w:leftChars="0"/>
              <w:jc w:val="both"/>
              <w:rPr>
                <w:rFonts w:hAnsi="宋体" w:cs="宋体"/>
                <w:color w:val="auto"/>
              </w:rPr>
            </w:pPr>
          </w:p>
        </w:tc>
      </w:tr>
      <w:tr w14:paraId="3B02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14:paraId="7FA81FE2">
            <w:pPr>
              <w:pStyle w:val="136"/>
              <w:spacing w:line="400" w:lineRule="exact"/>
              <w:ind w:left="0" w:leftChars="0"/>
              <w:jc w:val="both"/>
              <w:rPr>
                <w:rFonts w:hAnsi="宋体" w:cs="宋体"/>
                <w:color w:val="auto"/>
              </w:rPr>
            </w:pPr>
          </w:p>
        </w:tc>
        <w:tc>
          <w:tcPr>
            <w:tcW w:w="3374" w:type="dxa"/>
            <w:gridSpan w:val="3"/>
            <w:vAlign w:val="center"/>
          </w:tcPr>
          <w:p w14:paraId="690AE80B">
            <w:pPr>
              <w:pStyle w:val="136"/>
              <w:spacing w:line="400" w:lineRule="exact"/>
              <w:ind w:left="0" w:leftChars="0"/>
              <w:jc w:val="both"/>
              <w:rPr>
                <w:rFonts w:hAnsi="宋体" w:cs="宋体"/>
                <w:color w:val="auto"/>
              </w:rPr>
            </w:pPr>
          </w:p>
        </w:tc>
        <w:tc>
          <w:tcPr>
            <w:tcW w:w="1286" w:type="dxa"/>
            <w:vAlign w:val="center"/>
          </w:tcPr>
          <w:p w14:paraId="27FC50DA">
            <w:pPr>
              <w:pStyle w:val="136"/>
              <w:spacing w:line="400" w:lineRule="exact"/>
              <w:ind w:left="0" w:leftChars="0"/>
              <w:jc w:val="both"/>
              <w:rPr>
                <w:rFonts w:hAnsi="宋体" w:cs="宋体"/>
                <w:color w:val="auto"/>
              </w:rPr>
            </w:pPr>
          </w:p>
        </w:tc>
        <w:tc>
          <w:tcPr>
            <w:tcW w:w="1761" w:type="dxa"/>
            <w:gridSpan w:val="3"/>
            <w:vAlign w:val="center"/>
          </w:tcPr>
          <w:p w14:paraId="33A89F84">
            <w:pPr>
              <w:pStyle w:val="136"/>
              <w:spacing w:line="400" w:lineRule="exact"/>
              <w:ind w:left="0" w:leftChars="0"/>
              <w:jc w:val="both"/>
              <w:rPr>
                <w:rFonts w:hAnsi="宋体" w:cs="宋体"/>
                <w:color w:val="auto"/>
              </w:rPr>
            </w:pPr>
          </w:p>
        </w:tc>
        <w:tc>
          <w:tcPr>
            <w:tcW w:w="1132" w:type="dxa"/>
            <w:vAlign w:val="center"/>
          </w:tcPr>
          <w:p w14:paraId="6B2DF74C">
            <w:pPr>
              <w:pStyle w:val="136"/>
              <w:spacing w:line="400" w:lineRule="exact"/>
              <w:ind w:left="0" w:leftChars="0"/>
              <w:jc w:val="both"/>
              <w:rPr>
                <w:rFonts w:hAnsi="宋体" w:cs="宋体"/>
                <w:color w:val="auto"/>
              </w:rPr>
            </w:pPr>
          </w:p>
        </w:tc>
      </w:tr>
      <w:tr w14:paraId="3F5A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4BBFA197">
            <w:pPr>
              <w:pStyle w:val="136"/>
              <w:spacing w:line="400" w:lineRule="exact"/>
              <w:ind w:left="0" w:leftChars="0"/>
              <w:jc w:val="both"/>
              <w:rPr>
                <w:rFonts w:hAnsi="宋体" w:cs="宋体"/>
                <w:color w:val="auto"/>
              </w:rPr>
            </w:pPr>
          </w:p>
        </w:tc>
        <w:tc>
          <w:tcPr>
            <w:tcW w:w="3374" w:type="dxa"/>
            <w:gridSpan w:val="3"/>
            <w:vAlign w:val="center"/>
          </w:tcPr>
          <w:p w14:paraId="3874D646">
            <w:pPr>
              <w:pStyle w:val="136"/>
              <w:spacing w:line="400" w:lineRule="exact"/>
              <w:ind w:left="0" w:leftChars="0"/>
              <w:jc w:val="both"/>
              <w:rPr>
                <w:rFonts w:hAnsi="宋体" w:cs="宋体"/>
                <w:color w:val="auto"/>
              </w:rPr>
            </w:pPr>
          </w:p>
        </w:tc>
        <w:tc>
          <w:tcPr>
            <w:tcW w:w="1286" w:type="dxa"/>
            <w:vAlign w:val="center"/>
          </w:tcPr>
          <w:p w14:paraId="7DCACA69">
            <w:pPr>
              <w:pStyle w:val="136"/>
              <w:spacing w:line="400" w:lineRule="exact"/>
              <w:ind w:left="0" w:leftChars="0"/>
              <w:jc w:val="both"/>
              <w:rPr>
                <w:rFonts w:hAnsi="宋体" w:cs="宋体"/>
                <w:color w:val="auto"/>
              </w:rPr>
            </w:pPr>
          </w:p>
        </w:tc>
        <w:tc>
          <w:tcPr>
            <w:tcW w:w="1761" w:type="dxa"/>
            <w:gridSpan w:val="3"/>
            <w:vAlign w:val="center"/>
          </w:tcPr>
          <w:p w14:paraId="723C3186">
            <w:pPr>
              <w:pStyle w:val="136"/>
              <w:spacing w:line="400" w:lineRule="exact"/>
              <w:ind w:left="0" w:leftChars="0"/>
              <w:jc w:val="both"/>
              <w:rPr>
                <w:rFonts w:hAnsi="宋体" w:cs="宋体"/>
                <w:color w:val="auto"/>
              </w:rPr>
            </w:pPr>
          </w:p>
        </w:tc>
        <w:tc>
          <w:tcPr>
            <w:tcW w:w="1132" w:type="dxa"/>
            <w:vAlign w:val="center"/>
          </w:tcPr>
          <w:p w14:paraId="0561B7B7">
            <w:pPr>
              <w:pStyle w:val="136"/>
              <w:spacing w:line="400" w:lineRule="exact"/>
              <w:ind w:left="0" w:leftChars="0"/>
              <w:jc w:val="both"/>
              <w:rPr>
                <w:rFonts w:hAnsi="宋体" w:cs="宋体"/>
                <w:color w:val="auto"/>
              </w:rPr>
            </w:pPr>
          </w:p>
        </w:tc>
      </w:tr>
      <w:tr w14:paraId="0EAE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7714492B">
            <w:pPr>
              <w:pStyle w:val="136"/>
              <w:spacing w:line="400" w:lineRule="exact"/>
              <w:ind w:left="0" w:leftChars="0"/>
              <w:jc w:val="both"/>
              <w:rPr>
                <w:rFonts w:hAnsi="宋体" w:cs="宋体"/>
                <w:color w:val="auto"/>
              </w:rPr>
            </w:pPr>
          </w:p>
        </w:tc>
        <w:tc>
          <w:tcPr>
            <w:tcW w:w="3374" w:type="dxa"/>
            <w:gridSpan w:val="3"/>
            <w:vAlign w:val="center"/>
          </w:tcPr>
          <w:p w14:paraId="69C44FB3">
            <w:pPr>
              <w:pStyle w:val="136"/>
              <w:spacing w:line="400" w:lineRule="exact"/>
              <w:ind w:left="0" w:leftChars="0"/>
              <w:jc w:val="both"/>
              <w:rPr>
                <w:rFonts w:hAnsi="宋体" w:cs="宋体"/>
                <w:color w:val="auto"/>
              </w:rPr>
            </w:pPr>
          </w:p>
        </w:tc>
        <w:tc>
          <w:tcPr>
            <w:tcW w:w="1286" w:type="dxa"/>
            <w:vAlign w:val="center"/>
          </w:tcPr>
          <w:p w14:paraId="2798E855">
            <w:pPr>
              <w:pStyle w:val="136"/>
              <w:spacing w:line="400" w:lineRule="exact"/>
              <w:ind w:left="0" w:leftChars="0"/>
              <w:jc w:val="both"/>
              <w:rPr>
                <w:rFonts w:hAnsi="宋体" w:cs="宋体"/>
                <w:color w:val="auto"/>
              </w:rPr>
            </w:pPr>
          </w:p>
        </w:tc>
        <w:tc>
          <w:tcPr>
            <w:tcW w:w="1761" w:type="dxa"/>
            <w:gridSpan w:val="3"/>
            <w:vAlign w:val="center"/>
          </w:tcPr>
          <w:p w14:paraId="6945375E">
            <w:pPr>
              <w:pStyle w:val="136"/>
              <w:spacing w:line="400" w:lineRule="exact"/>
              <w:ind w:left="0" w:leftChars="0"/>
              <w:jc w:val="both"/>
              <w:rPr>
                <w:rFonts w:hAnsi="宋体" w:cs="宋体"/>
                <w:color w:val="auto"/>
              </w:rPr>
            </w:pPr>
          </w:p>
        </w:tc>
        <w:tc>
          <w:tcPr>
            <w:tcW w:w="1132" w:type="dxa"/>
            <w:vAlign w:val="center"/>
          </w:tcPr>
          <w:p w14:paraId="79B405B0">
            <w:pPr>
              <w:pStyle w:val="136"/>
              <w:spacing w:line="400" w:lineRule="exact"/>
              <w:ind w:left="0" w:leftChars="0"/>
              <w:jc w:val="both"/>
              <w:rPr>
                <w:rFonts w:hAnsi="宋体" w:cs="宋体"/>
                <w:color w:val="auto"/>
              </w:rPr>
            </w:pPr>
          </w:p>
        </w:tc>
      </w:tr>
      <w:tr w14:paraId="5B4D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3D9D8448">
            <w:pPr>
              <w:pStyle w:val="136"/>
              <w:spacing w:line="400" w:lineRule="exact"/>
              <w:ind w:left="0" w:leftChars="0" w:firstLine="480" w:firstLineChars="200"/>
              <w:jc w:val="both"/>
              <w:rPr>
                <w:rFonts w:hAnsi="宋体" w:cs="宋体"/>
                <w:color w:val="auto"/>
              </w:rPr>
            </w:pPr>
          </w:p>
        </w:tc>
        <w:tc>
          <w:tcPr>
            <w:tcW w:w="3374" w:type="dxa"/>
            <w:gridSpan w:val="3"/>
            <w:vAlign w:val="center"/>
          </w:tcPr>
          <w:p w14:paraId="7CB43794">
            <w:pPr>
              <w:pStyle w:val="136"/>
              <w:spacing w:line="400" w:lineRule="exact"/>
              <w:ind w:left="0" w:leftChars="0" w:firstLine="480" w:firstLineChars="200"/>
              <w:jc w:val="both"/>
              <w:rPr>
                <w:rFonts w:hAnsi="宋体" w:cs="宋体"/>
                <w:color w:val="auto"/>
              </w:rPr>
            </w:pPr>
          </w:p>
        </w:tc>
        <w:tc>
          <w:tcPr>
            <w:tcW w:w="1286" w:type="dxa"/>
            <w:vAlign w:val="center"/>
          </w:tcPr>
          <w:p w14:paraId="417EC1A7">
            <w:pPr>
              <w:pStyle w:val="136"/>
              <w:spacing w:line="400" w:lineRule="exact"/>
              <w:ind w:left="0" w:leftChars="0" w:firstLine="480" w:firstLineChars="200"/>
              <w:jc w:val="both"/>
              <w:rPr>
                <w:rFonts w:hAnsi="宋体" w:cs="宋体"/>
                <w:color w:val="auto"/>
              </w:rPr>
            </w:pPr>
          </w:p>
        </w:tc>
        <w:tc>
          <w:tcPr>
            <w:tcW w:w="1761" w:type="dxa"/>
            <w:gridSpan w:val="3"/>
            <w:vAlign w:val="center"/>
          </w:tcPr>
          <w:p w14:paraId="147B49D3">
            <w:pPr>
              <w:pStyle w:val="136"/>
              <w:spacing w:line="400" w:lineRule="exact"/>
              <w:ind w:left="0" w:leftChars="0" w:firstLine="480" w:firstLineChars="200"/>
              <w:jc w:val="both"/>
              <w:rPr>
                <w:rFonts w:hAnsi="宋体" w:cs="宋体"/>
                <w:color w:val="auto"/>
              </w:rPr>
            </w:pPr>
          </w:p>
        </w:tc>
        <w:tc>
          <w:tcPr>
            <w:tcW w:w="1132" w:type="dxa"/>
            <w:vAlign w:val="center"/>
          </w:tcPr>
          <w:p w14:paraId="593B066D">
            <w:pPr>
              <w:pStyle w:val="136"/>
              <w:spacing w:line="400" w:lineRule="exact"/>
              <w:ind w:left="0" w:leftChars="0" w:firstLine="480" w:firstLineChars="200"/>
              <w:jc w:val="both"/>
              <w:rPr>
                <w:rFonts w:hAnsi="宋体" w:cs="宋体"/>
                <w:color w:val="auto"/>
              </w:rPr>
            </w:pPr>
          </w:p>
        </w:tc>
      </w:tr>
      <w:tr w14:paraId="595E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3E840DC">
            <w:pPr>
              <w:pStyle w:val="136"/>
              <w:spacing w:line="400" w:lineRule="exact"/>
              <w:ind w:left="0" w:leftChars="0" w:firstLine="480" w:firstLineChars="200"/>
              <w:jc w:val="both"/>
              <w:rPr>
                <w:rFonts w:hAnsi="宋体" w:cs="宋体"/>
                <w:color w:val="auto"/>
              </w:rPr>
            </w:pPr>
          </w:p>
        </w:tc>
        <w:tc>
          <w:tcPr>
            <w:tcW w:w="3374" w:type="dxa"/>
            <w:gridSpan w:val="3"/>
            <w:vAlign w:val="center"/>
          </w:tcPr>
          <w:p w14:paraId="257A673F">
            <w:pPr>
              <w:pStyle w:val="136"/>
              <w:spacing w:line="400" w:lineRule="exact"/>
              <w:ind w:left="0" w:leftChars="0" w:firstLine="480" w:firstLineChars="200"/>
              <w:jc w:val="both"/>
              <w:rPr>
                <w:rFonts w:hAnsi="宋体" w:cs="宋体"/>
                <w:color w:val="auto"/>
              </w:rPr>
            </w:pPr>
          </w:p>
        </w:tc>
        <w:tc>
          <w:tcPr>
            <w:tcW w:w="1286" w:type="dxa"/>
            <w:vAlign w:val="center"/>
          </w:tcPr>
          <w:p w14:paraId="15822A81">
            <w:pPr>
              <w:pStyle w:val="136"/>
              <w:spacing w:line="400" w:lineRule="exact"/>
              <w:ind w:left="0" w:leftChars="0" w:firstLine="480" w:firstLineChars="200"/>
              <w:jc w:val="both"/>
              <w:rPr>
                <w:rFonts w:hAnsi="宋体" w:cs="宋体"/>
                <w:color w:val="auto"/>
              </w:rPr>
            </w:pPr>
          </w:p>
        </w:tc>
        <w:tc>
          <w:tcPr>
            <w:tcW w:w="1761" w:type="dxa"/>
            <w:gridSpan w:val="3"/>
            <w:vAlign w:val="center"/>
          </w:tcPr>
          <w:p w14:paraId="4D284691">
            <w:pPr>
              <w:pStyle w:val="136"/>
              <w:spacing w:line="400" w:lineRule="exact"/>
              <w:ind w:left="0" w:leftChars="0" w:firstLine="480" w:firstLineChars="200"/>
              <w:jc w:val="both"/>
              <w:rPr>
                <w:rFonts w:hAnsi="宋体" w:cs="宋体"/>
                <w:color w:val="auto"/>
              </w:rPr>
            </w:pPr>
          </w:p>
        </w:tc>
        <w:tc>
          <w:tcPr>
            <w:tcW w:w="1132" w:type="dxa"/>
            <w:vAlign w:val="center"/>
          </w:tcPr>
          <w:p w14:paraId="1AE61283">
            <w:pPr>
              <w:pStyle w:val="136"/>
              <w:spacing w:line="400" w:lineRule="exact"/>
              <w:ind w:left="0" w:leftChars="0" w:firstLine="480" w:firstLineChars="200"/>
              <w:jc w:val="both"/>
              <w:rPr>
                <w:rFonts w:hAnsi="宋体" w:cs="宋体"/>
                <w:color w:val="auto"/>
              </w:rPr>
            </w:pPr>
          </w:p>
        </w:tc>
      </w:tr>
    </w:tbl>
    <w:p w14:paraId="52F53159">
      <w:pPr>
        <w:pStyle w:val="173"/>
        <w:tabs>
          <w:tab w:val="left" w:pos="2040"/>
        </w:tabs>
        <w:spacing w:beforeLines="0" w:line="400" w:lineRule="exact"/>
        <w:ind w:left="0" w:firstLine="480" w:firstLineChars="200"/>
        <w:rPr>
          <w:rFonts w:hAnsi="宋体" w:eastAsia="宋体" w:cs="宋体"/>
          <w:color w:val="auto"/>
          <w:szCs w:val="21"/>
        </w:rPr>
      </w:pPr>
    </w:p>
    <w:p w14:paraId="61A1D3BE">
      <w:pPr>
        <w:pStyle w:val="173"/>
        <w:tabs>
          <w:tab w:val="left" w:pos="2040"/>
        </w:tabs>
        <w:spacing w:beforeLines="0" w:line="400" w:lineRule="exact"/>
        <w:ind w:left="0" w:firstLine="480" w:firstLineChars="200"/>
        <w:rPr>
          <w:rFonts w:hAnsi="宋体" w:eastAsia="宋体" w:cs="宋体"/>
          <w:color w:val="auto"/>
        </w:rPr>
      </w:pPr>
      <w:r>
        <w:rPr>
          <w:rFonts w:hint="eastAsia" w:hAnsi="宋体" w:eastAsia="宋体" w:cs="宋体"/>
          <w:color w:val="auto"/>
          <w:szCs w:val="21"/>
        </w:rPr>
        <w:t>注：</w:t>
      </w:r>
      <w:r>
        <w:rPr>
          <w:rFonts w:hint="eastAsia" w:hAnsi="宋体" w:eastAsia="宋体" w:cs="宋体"/>
          <w:color w:val="auto"/>
        </w:rPr>
        <w:t>表后附身份证、毕业证、职称证、执业资格证、获奖证书（如果有）复印件。</w:t>
      </w:r>
    </w:p>
    <w:p w14:paraId="34139542">
      <w:pPr>
        <w:rPr>
          <w:rFonts w:hAnsi="宋体" w:cs="宋体"/>
          <w:color w:val="auto"/>
        </w:rPr>
      </w:pPr>
    </w:p>
    <w:p w14:paraId="29A81249">
      <w:pPr>
        <w:pStyle w:val="3"/>
        <w:keepNext w:val="0"/>
        <w:keepLines w:val="0"/>
        <w:widowControl w:val="0"/>
        <w:spacing w:before="166" w:beforeLines="50" w:after="0" w:line="360" w:lineRule="auto"/>
        <w:ind w:left="0"/>
        <w:jc w:val="center"/>
        <w:rPr>
          <w:rFonts w:ascii="宋体" w:hAnsi="宋体" w:cs="宋体"/>
          <w:color w:val="auto"/>
          <w:sz w:val="32"/>
        </w:rPr>
      </w:pPr>
      <w:bookmarkStart w:id="276" w:name="_Toc426457713"/>
      <w:bookmarkStart w:id="277" w:name="_Toc1379"/>
      <w:bookmarkStart w:id="278" w:name="_Toc363474032"/>
      <w:bookmarkStart w:id="279" w:name="_Toc9218"/>
      <w:bookmarkStart w:id="280" w:name="_Toc2621"/>
      <w:bookmarkStart w:id="281" w:name="_Toc23455"/>
      <w:bookmarkStart w:id="282" w:name="_Toc403077655"/>
      <w:bookmarkStart w:id="283" w:name="_Toc21284"/>
      <w:bookmarkStart w:id="284" w:name="_Toc3362"/>
      <w:r>
        <w:rPr>
          <w:rFonts w:hint="eastAsia" w:ascii="宋体" w:hAnsi="宋体" w:cs="宋体"/>
          <w:color w:val="auto"/>
          <w:sz w:val="32"/>
        </w:rPr>
        <w:br w:type="page"/>
      </w:r>
      <w:bookmarkStart w:id="285" w:name="_Toc10895"/>
      <w:bookmarkStart w:id="286" w:name="_Toc18288"/>
      <w:r>
        <w:rPr>
          <w:rFonts w:hint="eastAsia" w:ascii="宋体" w:hAnsi="宋体" w:eastAsia="宋体" w:cs="宋体"/>
          <w:color w:val="auto"/>
          <w:sz w:val="32"/>
        </w:rPr>
        <w:t>四、</w:t>
      </w:r>
      <w:bookmarkEnd w:id="276"/>
      <w:bookmarkEnd w:id="277"/>
      <w:bookmarkEnd w:id="278"/>
      <w:bookmarkEnd w:id="279"/>
      <w:bookmarkEnd w:id="280"/>
      <w:bookmarkEnd w:id="281"/>
      <w:bookmarkEnd w:id="282"/>
      <w:bookmarkEnd w:id="283"/>
      <w:r>
        <w:rPr>
          <w:rFonts w:hint="eastAsia" w:ascii="宋体" w:hAnsi="宋体" w:eastAsia="宋体" w:cs="宋体"/>
          <w:color w:val="auto"/>
          <w:sz w:val="32"/>
        </w:rPr>
        <w:t>商务条款偏离表</w:t>
      </w:r>
      <w:bookmarkEnd w:id="284"/>
      <w:bookmarkEnd w:id="285"/>
      <w:bookmarkEnd w:id="286"/>
    </w:p>
    <w:tbl>
      <w:tblPr>
        <w:tblStyle w:val="46"/>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47DF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5E02F30">
            <w:pPr>
              <w:pStyle w:val="42"/>
              <w:widowControl w:val="0"/>
              <w:spacing w:before="0" w:beforeAutospacing="0" w:after="0" w:afterAutospacing="0"/>
              <w:jc w:val="center"/>
              <w:rPr>
                <w:rFonts w:cs="宋体"/>
                <w:color w:val="auto"/>
              </w:rPr>
            </w:pPr>
            <w:r>
              <w:rPr>
                <w:rFonts w:hint="eastAsia" w:cs="宋体"/>
                <w:color w:val="auto"/>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2B5BC3D4">
            <w:pPr>
              <w:pStyle w:val="42"/>
              <w:widowControl w:val="0"/>
              <w:spacing w:before="0" w:beforeAutospacing="0" w:after="0" w:afterAutospacing="0"/>
              <w:jc w:val="center"/>
              <w:rPr>
                <w:rFonts w:cs="宋体"/>
                <w:color w:val="auto"/>
              </w:rPr>
            </w:pPr>
            <w:r>
              <w:rPr>
                <w:rFonts w:hint="eastAsia" w:cs="宋体"/>
                <w:color w:val="auto"/>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4B3C7CD4">
            <w:pPr>
              <w:pStyle w:val="42"/>
              <w:widowControl w:val="0"/>
              <w:spacing w:before="0" w:beforeAutospacing="0" w:after="0" w:afterAutospacing="0"/>
              <w:jc w:val="center"/>
              <w:rPr>
                <w:rFonts w:cs="宋体"/>
                <w:color w:val="auto"/>
              </w:rPr>
            </w:pPr>
            <w:r>
              <w:rPr>
                <w:rFonts w:hint="eastAsia" w:cs="宋体"/>
                <w:color w:val="auto"/>
              </w:rPr>
              <w:t>招标文件的商务条款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727C1F15">
            <w:pPr>
              <w:pStyle w:val="42"/>
              <w:widowControl w:val="0"/>
              <w:spacing w:before="0" w:beforeAutospacing="0" w:after="0" w:afterAutospacing="0"/>
              <w:jc w:val="center"/>
              <w:rPr>
                <w:rFonts w:cs="宋体"/>
                <w:color w:val="auto"/>
              </w:rPr>
            </w:pPr>
            <w:r>
              <w:rPr>
                <w:rFonts w:hint="eastAsia" w:cs="宋体"/>
                <w:color w:val="auto"/>
              </w:rPr>
              <w:t>投标文件的商务条款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19825C31">
            <w:pPr>
              <w:pStyle w:val="42"/>
              <w:widowControl w:val="0"/>
              <w:spacing w:before="0" w:beforeAutospacing="0" w:after="0" w:afterAutospacing="0"/>
              <w:jc w:val="center"/>
              <w:rPr>
                <w:rFonts w:cs="宋体"/>
                <w:color w:val="auto"/>
              </w:rPr>
            </w:pPr>
            <w:r>
              <w:rPr>
                <w:rFonts w:hint="eastAsia" w:cs="宋体"/>
                <w:color w:val="auto"/>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0FAC97C8">
            <w:pPr>
              <w:pStyle w:val="42"/>
              <w:widowControl w:val="0"/>
              <w:spacing w:before="0" w:beforeAutospacing="0" w:after="0" w:afterAutospacing="0"/>
              <w:jc w:val="center"/>
              <w:rPr>
                <w:rFonts w:cs="宋体"/>
                <w:color w:val="auto"/>
              </w:rPr>
            </w:pPr>
            <w:r>
              <w:rPr>
                <w:rFonts w:hint="eastAsia" w:cs="宋体"/>
                <w:color w:val="auto"/>
              </w:rPr>
              <w:t>说明</w:t>
            </w:r>
          </w:p>
        </w:tc>
      </w:tr>
      <w:tr w14:paraId="30F9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2B6A6A3">
            <w:pPr>
              <w:pStyle w:val="42"/>
              <w:widowControl w:val="0"/>
              <w:spacing w:before="0" w:beforeAutospacing="0" w:after="0" w:afterAutospacing="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2D13A6F1">
            <w:pPr>
              <w:pStyle w:val="42"/>
              <w:widowControl w:val="0"/>
              <w:spacing w:before="0" w:beforeAutospacing="0" w:after="0" w:afterAutospacing="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42626A13">
            <w:pPr>
              <w:pStyle w:val="42"/>
              <w:widowControl w:val="0"/>
              <w:spacing w:before="0" w:beforeAutospacing="0" w:after="0" w:afterAutospacing="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1FD02594">
            <w:pPr>
              <w:pStyle w:val="42"/>
              <w:widowControl w:val="0"/>
              <w:spacing w:before="0" w:beforeAutospacing="0" w:after="0" w:afterAutospacing="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079540C5">
            <w:pPr>
              <w:pStyle w:val="42"/>
              <w:widowControl w:val="0"/>
              <w:spacing w:before="0" w:beforeAutospacing="0" w:after="0" w:afterAutospacing="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11970C41">
            <w:pPr>
              <w:pStyle w:val="42"/>
              <w:widowControl w:val="0"/>
              <w:spacing w:before="0" w:beforeAutospacing="0" w:after="0" w:afterAutospacing="0"/>
              <w:jc w:val="center"/>
              <w:rPr>
                <w:rFonts w:cs="宋体"/>
                <w:color w:val="auto"/>
              </w:rPr>
            </w:pPr>
          </w:p>
        </w:tc>
      </w:tr>
      <w:tr w14:paraId="5526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39C2FDA4">
            <w:pPr>
              <w:pStyle w:val="42"/>
              <w:widowControl w:val="0"/>
              <w:spacing w:before="0" w:beforeAutospacing="0" w:after="0" w:afterAutospacing="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0CA25A3E">
            <w:pPr>
              <w:pStyle w:val="42"/>
              <w:widowControl w:val="0"/>
              <w:spacing w:before="0" w:beforeAutospacing="0" w:after="0" w:afterAutospacing="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02D9E994">
            <w:pPr>
              <w:pStyle w:val="42"/>
              <w:widowControl w:val="0"/>
              <w:spacing w:before="0" w:beforeAutospacing="0" w:after="0" w:afterAutospacing="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7262F1BE">
            <w:pPr>
              <w:pStyle w:val="42"/>
              <w:widowControl w:val="0"/>
              <w:spacing w:before="0" w:beforeAutospacing="0" w:after="0" w:afterAutospacing="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798F1FD7">
            <w:pPr>
              <w:pStyle w:val="42"/>
              <w:widowControl w:val="0"/>
              <w:spacing w:before="0" w:beforeAutospacing="0" w:after="0" w:afterAutospacing="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7EED26C4">
            <w:pPr>
              <w:pStyle w:val="42"/>
              <w:widowControl w:val="0"/>
              <w:spacing w:before="0" w:beforeAutospacing="0" w:after="0" w:afterAutospacing="0"/>
              <w:jc w:val="center"/>
              <w:rPr>
                <w:rFonts w:cs="宋体"/>
                <w:color w:val="auto"/>
              </w:rPr>
            </w:pPr>
          </w:p>
        </w:tc>
      </w:tr>
      <w:tr w14:paraId="3CF1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7747A31">
            <w:pPr>
              <w:pStyle w:val="42"/>
              <w:widowControl w:val="0"/>
              <w:spacing w:before="0" w:beforeAutospacing="0" w:after="0" w:afterAutospacing="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7A806CA2">
            <w:pPr>
              <w:pStyle w:val="42"/>
              <w:widowControl w:val="0"/>
              <w:spacing w:before="0" w:beforeAutospacing="0" w:after="0" w:afterAutospacing="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15341AE3">
            <w:pPr>
              <w:pStyle w:val="42"/>
              <w:widowControl w:val="0"/>
              <w:spacing w:before="0" w:beforeAutospacing="0" w:after="0" w:afterAutospacing="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22AE61FF">
            <w:pPr>
              <w:pStyle w:val="42"/>
              <w:widowControl w:val="0"/>
              <w:spacing w:before="0" w:beforeAutospacing="0" w:after="0" w:afterAutospacing="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669FB6BD">
            <w:pPr>
              <w:pStyle w:val="42"/>
              <w:widowControl w:val="0"/>
              <w:spacing w:before="0" w:beforeAutospacing="0" w:after="0" w:afterAutospacing="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44F00571">
            <w:pPr>
              <w:pStyle w:val="42"/>
              <w:widowControl w:val="0"/>
              <w:spacing w:before="0" w:beforeAutospacing="0" w:after="0" w:afterAutospacing="0"/>
              <w:jc w:val="center"/>
              <w:rPr>
                <w:rFonts w:cs="宋体"/>
                <w:color w:val="auto"/>
              </w:rPr>
            </w:pPr>
          </w:p>
        </w:tc>
      </w:tr>
      <w:tr w14:paraId="2A9F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FF8FEB9">
            <w:pPr>
              <w:pStyle w:val="42"/>
              <w:widowControl w:val="0"/>
              <w:spacing w:before="0" w:beforeAutospacing="0" w:after="0" w:afterAutospacing="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5912C8FD">
            <w:pPr>
              <w:pStyle w:val="42"/>
              <w:widowControl w:val="0"/>
              <w:spacing w:before="0" w:beforeAutospacing="0" w:after="0" w:afterAutospacing="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3E8B7565">
            <w:pPr>
              <w:pStyle w:val="42"/>
              <w:widowControl w:val="0"/>
              <w:spacing w:before="0" w:beforeAutospacing="0" w:after="0" w:afterAutospacing="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6B2AA66A">
            <w:pPr>
              <w:pStyle w:val="42"/>
              <w:widowControl w:val="0"/>
              <w:spacing w:before="0" w:beforeAutospacing="0" w:after="0" w:afterAutospacing="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009BC288">
            <w:pPr>
              <w:pStyle w:val="42"/>
              <w:widowControl w:val="0"/>
              <w:spacing w:before="0" w:beforeAutospacing="0" w:after="0" w:afterAutospacing="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36C9AC63">
            <w:pPr>
              <w:pStyle w:val="42"/>
              <w:widowControl w:val="0"/>
              <w:spacing w:before="0" w:beforeAutospacing="0" w:after="0" w:afterAutospacing="0"/>
              <w:jc w:val="center"/>
              <w:rPr>
                <w:rFonts w:cs="宋体"/>
                <w:color w:val="auto"/>
              </w:rPr>
            </w:pPr>
          </w:p>
        </w:tc>
      </w:tr>
      <w:tr w14:paraId="7263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D033E62">
            <w:pPr>
              <w:pStyle w:val="42"/>
              <w:widowControl w:val="0"/>
              <w:spacing w:before="0" w:beforeAutospacing="0" w:after="0" w:afterAutospacing="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398B4F97">
            <w:pPr>
              <w:pStyle w:val="42"/>
              <w:widowControl w:val="0"/>
              <w:spacing w:before="0" w:beforeAutospacing="0" w:after="0" w:afterAutospacing="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219029A3">
            <w:pPr>
              <w:pStyle w:val="42"/>
              <w:widowControl w:val="0"/>
              <w:spacing w:before="0" w:beforeAutospacing="0" w:after="0" w:afterAutospacing="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5E39A1CE">
            <w:pPr>
              <w:pStyle w:val="42"/>
              <w:widowControl w:val="0"/>
              <w:spacing w:before="0" w:beforeAutospacing="0" w:after="0" w:afterAutospacing="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1CE8D3DB">
            <w:pPr>
              <w:pStyle w:val="42"/>
              <w:widowControl w:val="0"/>
              <w:spacing w:before="0" w:beforeAutospacing="0" w:after="0" w:afterAutospacing="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727E2D4B">
            <w:pPr>
              <w:pStyle w:val="42"/>
              <w:widowControl w:val="0"/>
              <w:spacing w:before="0" w:beforeAutospacing="0" w:after="0" w:afterAutospacing="0"/>
              <w:jc w:val="center"/>
              <w:rPr>
                <w:rFonts w:cs="宋体"/>
                <w:color w:val="auto"/>
              </w:rPr>
            </w:pPr>
          </w:p>
        </w:tc>
      </w:tr>
      <w:tr w14:paraId="3772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D408FBB">
            <w:pPr>
              <w:pStyle w:val="42"/>
              <w:widowControl w:val="0"/>
              <w:spacing w:before="0" w:beforeAutospacing="0" w:after="0" w:afterAutospacing="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56992277">
            <w:pPr>
              <w:pStyle w:val="42"/>
              <w:widowControl w:val="0"/>
              <w:spacing w:before="0" w:beforeAutospacing="0" w:after="0" w:afterAutospacing="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36DF7B11">
            <w:pPr>
              <w:pStyle w:val="42"/>
              <w:widowControl w:val="0"/>
              <w:spacing w:before="0" w:beforeAutospacing="0" w:after="0" w:afterAutospacing="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6207B0DD">
            <w:pPr>
              <w:pStyle w:val="42"/>
              <w:widowControl w:val="0"/>
              <w:spacing w:before="0" w:beforeAutospacing="0" w:after="0" w:afterAutospacing="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464F2701">
            <w:pPr>
              <w:pStyle w:val="42"/>
              <w:widowControl w:val="0"/>
              <w:spacing w:before="0" w:beforeAutospacing="0" w:after="0" w:afterAutospacing="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31944442">
            <w:pPr>
              <w:pStyle w:val="42"/>
              <w:widowControl w:val="0"/>
              <w:spacing w:before="0" w:beforeAutospacing="0" w:after="0" w:afterAutospacing="0"/>
              <w:jc w:val="center"/>
              <w:rPr>
                <w:rFonts w:cs="宋体"/>
                <w:color w:val="auto"/>
              </w:rPr>
            </w:pPr>
          </w:p>
        </w:tc>
      </w:tr>
      <w:tr w14:paraId="41D2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70A9BF73">
            <w:pPr>
              <w:pStyle w:val="42"/>
              <w:widowControl w:val="0"/>
              <w:spacing w:before="0" w:beforeAutospacing="0" w:after="0" w:afterAutospacing="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2925092A">
            <w:pPr>
              <w:pStyle w:val="42"/>
              <w:widowControl w:val="0"/>
              <w:spacing w:before="0" w:beforeAutospacing="0" w:after="0" w:afterAutospacing="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786FDBD2">
            <w:pPr>
              <w:pStyle w:val="42"/>
              <w:widowControl w:val="0"/>
              <w:spacing w:before="0" w:beforeAutospacing="0" w:after="0" w:afterAutospacing="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7DBC43D0">
            <w:pPr>
              <w:pStyle w:val="42"/>
              <w:widowControl w:val="0"/>
              <w:spacing w:before="0" w:beforeAutospacing="0" w:after="0" w:afterAutospacing="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7A42FDBC">
            <w:pPr>
              <w:pStyle w:val="42"/>
              <w:widowControl w:val="0"/>
              <w:spacing w:before="0" w:beforeAutospacing="0" w:after="0" w:afterAutospacing="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4964D0A8">
            <w:pPr>
              <w:pStyle w:val="42"/>
              <w:widowControl w:val="0"/>
              <w:spacing w:before="0" w:beforeAutospacing="0" w:after="0" w:afterAutospacing="0"/>
              <w:jc w:val="center"/>
              <w:rPr>
                <w:rFonts w:cs="宋体"/>
                <w:color w:val="auto"/>
              </w:rPr>
            </w:pPr>
          </w:p>
        </w:tc>
      </w:tr>
    </w:tbl>
    <w:p w14:paraId="14A41F5D">
      <w:pPr>
        <w:pStyle w:val="42"/>
        <w:widowControl w:val="0"/>
        <w:spacing w:before="0" w:beforeAutospacing="0" w:after="0" w:afterAutospacing="0"/>
        <w:rPr>
          <w:rFonts w:cs="宋体"/>
          <w:color w:val="auto"/>
        </w:rPr>
      </w:pPr>
      <w:r>
        <w:rPr>
          <w:rFonts w:hint="eastAsia" w:cs="宋体"/>
          <w:color w:val="auto"/>
        </w:rPr>
        <w:t>说明：</w:t>
      </w:r>
    </w:p>
    <w:p w14:paraId="195AB06F">
      <w:pPr>
        <w:pStyle w:val="42"/>
        <w:widowControl w:val="0"/>
        <w:spacing w:before="0" w:beforeAutospacing="0" w:after="0" w:afterAutospacing="0" w:line="500" w:lineRule="exact"/>
        <w:ind w:firstLine="482" w:firstLineChars="200"/>
        <w:jc w:val="both"/>
        <w:rPr>
          <w:rFonts w:cs="宋体"/>
          <w:b/>
          <w:bCs/>
          <w:color w:val="auto"/>
        </w:rPr>
      </w:pPr>
      <w:r>
        <w:rPr>
          <w:rFonts w:hint="eastAsia" w:cs="宋体"/>
          <w:b/>
          <w:bCs/>
          <w:color w:val="auto"/>
        </w:rPr>
        <w:t>1、本表只填写投标文件中与招标文件有偏离（包括正偏离和负偏离）的内容，投标文件中商务响应与招标文件要求完全一致的，不用在此表中列出，但必须提交空白表。</w:t>
      </w:r>
    </w:p>
    <w:p w14:paraId="2685BFDE">
      <w:pPr>
        <w:pStyle w:val="42"/>
        <w:widowControl w:val="0"/>
        <w:spacing w:before="0" w:beforeAutospacing="0" w:after="0" w:afterAutospacing="0" w:line="500" w:lineRule="exact"/>
        <w:ind w:firstLine="480" w:firstLineChars="200"/>
        <w:rPr>
          <w:rFonts w:cs="宋体"/>
          <w:color w:val="auto"/>
        </w:rPr>
      </w:pPr>
      <w:r>
        <w:rPr>
          <w:rFonts w:hint="eastAsia" w:cs="宋体"/>
          <w:color w:val="auto"/>
        </w:rPr>
        <w:t>2、供应商必须据实填写，不得虚假响应，否则将取消其投标或中标资格，并按有关规定进处罚。</w:t>
      </w:r>
    </w:p>
    <w:p w14:paraId="67D045A4">
      <w:pPr>
        <w:pStyle w:val="42"/>
        <w:widowControl w:val="0"/>
        <w:spacing w:before="0" w:beforeAutospacing="0" w:after="0" w:afterAutospacing="0"/>
        <w:ind w:firstLine="480" w:firstLineChars="200"/>
        <w:jc w:val="center"/>
        <w:rPr>
          <w:rFonts w:cs="宋体"/>
          <w:color w:val="auto"/>
        </w:rPr>
      </w:pPr>
    </w:p>
    <w:p w14:paraId="6E038815">
      <w:pPr>
        <w:pStyle w:val="42"/>
        <w:widowControl w:val="0"/>
        <w:spacing w:before="0" w:beforeAutospacing="0" w:after="0" w:afterAutospacing="0"/>
        <w:ind w:firstLine="480" w:firstLineChars="200"/>
        <w:rPr>
          <w:rFonts w:cs="宋体"/>
          <w:color w:val="auto"/>
        </w:rPr>
      </w:pPr>
      <w:r>
        <w:rPr>
          <w:rFonts w:hint="eastAsia" w:cs="宋体"/>
          <w:color w:val="auto"/>
        </w:rPr>
        <w:t>供应商名称：</w:t>
      </w:r>
      <w:r>
        <w:rPr>
          <w:rFonts w:hint="eastAsia" w:cs="宋体"/>
          <w:color w:val="auto"/>
          <w:u w:val="single"/>
        </w:rPr>
        <w:t xml:space="preserve">                     </w:t>
      </w:r>
      <w:r>
        <w:rPr>
          <w:rFonts w:hint="eastAsia" w:cs="宋体"/>
          <w:color w:val="auto"/>
        </w:rPr>
        <w:t>（盖单位公章）</w:t>
      </w:r>
    </w:p>
    <w:p w14:paraId="5A5923A3">
      <w:pPr>
        <w:pStyle w:val="42"/>
        <w:widowControl w:val="0"/>
        <w:spacing w:before="0" w:beforeAutospacing="0" w:after="0" w:afterAutospacing="0"/>
        <w:ind w:firstLine="480" w:firstLineChars="200"/>
        <w:jc w:val="center"/>
        <w:rPr>
          <w:rFonts w:cs="宋体"/>
          <w:color w:val="auto"/>
        </w:rPr>
      </w:pPr>
    </w:p>
    <w:p w14:paraId="1DA849FC">
      <w:pPr>
        <w:spacing w:line="500" w:lineRule="exact"/>
        <w:ind w:firstLine="496" w:firstLineChars="200"/>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11B39ECF">
      <w:pPr>
        <w:pStyle w:val="42"/>
        <w:widowControl w:val="0"/>
        <w:spacing w:before="0" w:beforeAutospacing="0" w:after="0" w:afterAutospacing="0"/>
        <w:ind w:firstLine="480" w:firstLineChars="200"/>
        <w:rPr>
          <w:rFonts w:cs="宋体"/>
          <w:color w:val="auto"/>
        </w:rPr>
      </w:pPr>
      <w:r>
        <w:rPr>
          <w:rFonts w:hint="eastAsia" w:cs="宋体"/>
          <w:color w:val="auto"/>
        </w:rPr>
        <w:t xml:space="preserve">      </w:t>
      </w:r>
    </w:p>
    <w:p w14:paraId="72CBCFA0">
      <w:pPr>
        <w:spacing w:line="520" w:lineRule="exact"/>
        <w:ind w:firstLine="480" w:firstLineChars="200"/>
        <w:rPr>
          <w:rFonts w:hAnsi="宋体" w:cs="宋体"/>
          <w:color w:val="auto"/>
          <w:szCs w:val="24"/>
        </w:rPr>
      </w:pPr>
      <w:r>
        <w:rPr>
          <w:rFonts w:hint="eastAsia" w:hAnsi="宋体" w:cs="宋体"/>
          <w:color w:val="auto"/>
          <w:szCs w:val="24"/>
        </w:rPr>
        <w:t>日      期：      年   月    日</w:t>
      </w:r>
    </w:p>
    <w:p w14:paraId="6B805955">
      <w:pPr>
        <w:spacing w:line="500" w:lineRule="exact"/>
        <w:jc w:val="center"/>
        <w:outlineLvl w:val="1"/>
        <w:rPr>
          <w:rFonts w:hAnsi="宋体" w:cs="宋体"/>
          <w:b/>
          <w:bCs/>
          <w:color w:val="auto"/>
          <w:sz w:val="30"/>
          <w:szCs w:val="30"/>
          <w:lang w:val="zh-CN"/>
        </w:rPr>
      </w:pPr>
      <w:r>
        <w:rPr>
          <w:rFonts w:hint="eastAsia" w:hAnsi="宋体" w:cs="宋体"/>
          <w:color w:val="auto"/>
        </w:rPr>
        <w:br w:type="page"/>
      </w:r>
      <w:bookmarkStart w:id="287" w:name="_Toc10346"/>
      <w:bookmarkStart w:id="288" w:name="_Toc14939"/>
      <w:bookmarkStart w:id="289" w:name="_Toc403077656"/>
      <w:bookmarkStart w:id="290" w:name="_Toc363474033"/>
      <w:bookmarkStart w:id="291" w:name="_Toc426457714"/>
      <w:bookmarkStart w:id="292" w:name="_Toc6862"/>
      <w:bookmarkStart w:id="293" w:name="_Toc6432"/>
      <w:bookmarkStart w:id="294" w:name="_Toc10179"/>
      <w:bookmarkStart w:id="295" w:name="_Toc10058"/>
      <w:bookmarkStart w:id="296" w:name="_Toc8692"/>
      <w:r>
        <w:rPr>
          <w:rFonts w:hint="eastAsia" w:hAnsi="宋体" w:cs="宋体"/>
          <w:b/>
          <w:bCs/>
          <w:color w:val="auto"/>
          <w:sz w:val="30"/>
          <w:szCs w:val="30"/>
        </w:rPr>
        <w:t>五、</w:t>
      </w:r>
      <w:r>
        <w:rPr>
          <w:rFonts w:hint="eastAsia" w:hAnsi="宋体" w:cs="宋体"/>
          <w:b/>
          <w:bCs/>
          <w:color w:val="auto"/>
          <w:sz w:val="30"/>
          <w:szCs w:val="30"/>
          <w:lang w:val="zh-CN"/>
        </w:rPr>
        <w:t>供应商承诺书</w:t>
      </w:r>
      <w:bookmarkEnd w:id="287"/>
      <w:bookmarkEnd w:id="288"/>
    </w:p>
    <w:p w14:paraId="0558CEDA">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5.1陕西省政府采购供应商拒绝政府采购领域商业贿赂承诺书</w:t>
      </w:r>
      <w:bookmarkEnd w:id="289"/>
      <w:bookmarkEnd w:id="290"/>
      <w:bookmarkEnd w:id="291"/>
      <w:bookmarkEnd w:id="292"/>
      <w:bookmarkEnd w:id="293"/>
      <w:bookmarkEnd w:id="294"/>
      <w:bookmarkEnd w:id="295"/>
      <w:bookmarkEnd w:id="296"/>
    </w:p>
    <w:p w14:paraId="29381584">
      <w:pPr>
        <w:widowControl/>
        <w:spacing w:line="408" w:lineRule="auto"/>
        <w:ind w:firstLine="480" w:firstLineChars="200"/>
        <w:jc w:val="left"/>
        <w:rPr>
          <w:rFonts w:hAnsi="宋体" w:cs="宋体"/>
          <w:color w:val="auto"/>
        </w:rPr>
      </w:pPr>
      <w:r>
        <w:rPr>
          <w:rFonts w:hint="eastAsia" w:hAnsi="宋体" w:cs="宋体"/>
          <w:color w:val="auto"/>
        </w:rPr>
        <w:t>为响应党中央、国务院关于治理政府采购领域商业贿赂行为的号召，我公司/单位在在此庄严承诺：</w:t>
      </w:r>
    </w:p>
    <w:p w14:paraId="42570C4B">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在参与政府采购活动中遵纪守法、诚信经营、公平竞标。</w:t>
      </w:r>
    </w:p>
    <w:p w14:paraId="56501BC3">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不向政府采购人、采购代理机构和政府采购评审专家进行任何形式的商业贿赂以谋取交易机会。</w:t>
      </w:r>
    </w:p>
    <w:p w14:paraId="1FD6B465">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不向政府采购代理机构和采购人提供虚假资质文件或采用虚假应标方式参与政府采购市场竞争并谋取中标、成交。</w:t>
      </w:r>
    </w:p>
    <w:p w14:paraId="6BB7E06B">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不采取“围标、陪标”等商业欺诈手段获得政府采购定单。</w:t>
      </w:r>
    </w:p>
    <w:p w14:paraId="1E80DACF">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不采取不正当手段诋毁、排挤其他供应商。</w:t>
      </w:r>
    </w:p>
    <w:p w14:paraId="30937146">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不在提供商品和服务时“偷梁换柱、以次充好”损害采购人的合法权益。</w:t>
      </w:r>
    </w:p>
    <w:p w14:paraId="25201312">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不与采购人、采购代理机构政府采购评审专家或其它供应商恶意串通，进行质疑和投诉，维护政府采购市场秩序。</w:t>
      </w:r>
    </w:p>
    <w:p w14:paraId="40C034CF">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尊重和接受政府采购监督管理部门的监督和政府采购代理机构招标采购要求，承担因违约行为给采购人造成的损失。</w:t>
      </w:r>
    </w:p>
    <w:p w14:paraId="4FA4BCF3">
      <w:pPr>
        <w:widowControl/>
        <w:numPr>
          <w:ilvl w:val="0"/>
          <w:numId w:val="10"/>
        </w:numPr>
        <w:spacing w:line="408" w:lineRule="auto"/>
        <w:ind w:firstLine="480" w:firstLineChars="200"/>
        <w:jc w:val="left"/>
        <w:rPr>
          <w:rFonts w:hAnsi="宋体" w:cs="宋体"/>
          <w:color w:val="auto"/>
        </w:rPr>
      </w:pPr>
      <w:r>
        <w:rPr>
          <w:rFonts w:hint="eastAsia" w:hAnsi="宋体" w:cs="宋体"/>
          <w:color w:val="auto"/>
        </w:rPr>
        <w:t>不发生其他有悖于政府采购公开、公平、公正和诚信原则的行为。</w:t>
      </w:r>
      <w:r>
        <w:rPr>
          <w:rFonts w:hint="eastAsia" w:hAnsi="宋体" w:cs="宋体"/>
          <w:color w:val="auto"/>
        </w:rPr>
        <w:br w:type="textWrapping"/>
      </w:r>
    </w:p>
    <w:p w14:paraId="658BD115">
      <w:pPr>
        <w:widowControl/>
        <w:spacing w:line="408" w:lineRule="auto"/>
        <w:ind w:left="274" w:leftChars="114"/>
        <w:jc w:val="left"/>
        <w:rPr>
          <w:rFonts w:hint="default" w:hAnsi="宋体" w:eastAsia="宋体" w:cs="宋体"/>
          <w:color w:val="auto"/>
          <w:u w:val="single"/>
          <w:lang w:val="en-US" w:eastAsia="zh-CN"/>
        </w:rPr>
      </w:pPr>
      <w:r>
        <w:rPr>
          <w:rFonts w:hint="eastAsia" w:hAnsi="宋体" w:cs="宋体"/>
          <w:color w:val="auto"/>
        </w:rPr>
        <w:t>承诺单位：</w:t>
      </w:r>
      <w:r>
        <w:rPr>
          <w:rFonts w:hint="eastAsia" w:hAnsi="宋体" w:cs="宋体"/>
          <w:color w:val="auto"/>
          <w:u w:val="single"/>
        </w:rPr>
        <w:t xml:space="preserve">                       </w:t>
      </w:r>
      <w:r>
        <w:rPr>
          <w:rFonts w:hint="eastAsia" w:hAnsi="宋体" w:cs="宋体"/>
          <w:color w:val="auto"/>
        </w:rPr>
        <w:t>（盖章）</w:t>
      </w:r>
      <w:r>
        <w:rPr>
          <w:rFonts w:hint="eastAsia" w:hAnsi="宋体" w:cs="宋体"/>
          <w:color w:val="auto"/>
        </w:rPr>
        <w:br w:type="textWrapping"/>
      </w:r>
      <w:r>
        <w:rPr>
          <w:rFonts w:hint="eastAsia" w:hAnsi="宋体" w:cs="宋体"/>
          <w:color w:val="auto"/>
          <w:spacing w:val="4"/>
        </w:rPr>
        <w:t>法定代表人</w:t>
      </w:r>
      <w:r>
        <w:rPr>
          <w:rFonts w:hint="eastAsia" w:hAnsi="宋体" w:cs="宋体"/>
          <w:color w:val="auto"/>
          <w:spacing w:val="4"/>
          <w:lang w:val="en-US" w:eastAsia="zh-CN"/>
        </w:rPr>
        <w:t>或</w:t>
      </w:r>
      <w:r>
        <w:rPr>
          <w:rFonts w:hint="eastAsia" w:hAnsi="宋体" w:cs="宋体"/>
          <w:color w:val="auto"/>
        </w:rPr>
        <w:t>被授权人：</w:t>
      </w:r>
      <w:r>
        <w:rPr>
          <w:rFonts w:hint="eastAsia" w:hAnsi="宋体" w:cs="宋体"/>
          <w:color w:val="auto"/>
          <w:u w:val="single"/>
        </w:rPr>
        <w:t xml:space="preserve">                       </w:t>
      </w:r>
      <w:r>
        <w:rPr>
          <w:rFonts w:hint="eastAsia" w:hAnsi="宋体" w:cs="宋体"/>
          <w:color w:val="auto"/>
        </w:rPr>
        <w:t>（</w:t>
      </w:r>
      <w:r>
        <w:rPr>
          <w:rFonts w:hint="eastAsia" w:hAnsi="宋体" w:cs="宋体"/>
          <w:color w:val="auto"/>
          <w:szCs w:val="24"/>
        </w:rPr>
        <w:t>签字或盖章</w:t>
      </w:r>
      <w:r>
        <w:rPr>
          <w:rFonts w:hint="eastAsia" w:hAnsi="宋体" w:cs="宋体"/>
          <w:color w:val="auto"/>
        </w:rPr>
        <w:t>）</w:t>
      </w:r>
      <w:r>
        <w:rPr>
          <w:rFonts w:hint="eastAsia" w:hAnsi="宋体" w:cs="宋体"/>
          <w:color w:val="auto"/>
        </w:rPr>
        <w:br w:type="textWrapping"/>
      </w:r>
      <w:r>
        <w:rPr>
          <w:rFonts w:hint="eastAsia" w:hAnsi="宋体" w:cs="宋体"/>
          <w:color w:val="auto"/>
        </w:rPr>
        <w:t>地</w:t>
      </w:r>
      <w:r>
        <w:rPr>
          <w:rFonts w:hint="eastAsia" w:hAnsi="宋体" w:cs="宋体"/>
          <w:color w:val="auto"/>
          <w:lang w:val="en-US" w:eastAsia="zh-CN"/>
        </w:rPr>
        <w:t xml:space="preserve">   </w:t>
      </w:r>
      <w:r>
        <w:rPr>
          <w:rFonts w:hint="eastAsia" w:hAnsi="宋体" w:cs="宋体"/>
          <w:color w:val="auto"/>
        </w:rPr>
        <w:t>址：</w:t>
      </w:r>
      <w:r>
        <w:rPr>
          <w:rFonts w:hint="eastAsia" w:hAnsi="宋体" w:cs="宋体"/>
          <w:color w:val="auto"/>
          <w:u w:val="single"/>
          <w:lang w:val="en-US" w:eastAsia="zh-CN"/>
        </w:rPr>
        <w:t xml:space="preserve">                           </w:t>
      </w:r>
    </w:p>
    <w:p w14:paraId="21D06AC6">
      <w:pPr>
        <w:widowControl/>
        <w:spacing w:line="408" w:lineRule="auto"/>
        <w:ind w:left="274" w:leftChars="114"/>
        <w:jc w:val="left"/>
        <w:rPr>
          <w:rFonts w:hint="default" w:hAnsi="宋体" w:eastAsia="宋体" w:cs="宋体"/>
          <w:color w:val="auto"/>
          <w:u w:val="single"/>
          <w:lang w:val="en-US" w:eastAsia="zh-CN"/>
        </w:rPr>
      </w:pPr>
      <w:r>
        <w:rPr>
          <w:rFonts w:hint="eastAsia" w:hAnsi="宋体" w:cs="宋体"/>
          <w:color w:val="auto"/>
        </w:rPr>
        <w:t>邮</w:t>
      </w:r>
      <w:r>
        <w:rPr>
          <w:rFonts w:hint="eastAsia" w:hAnsi="宋体" w:cs="宋体"/>
          <w:color w:val="auto"/>
          <w:lang w:val="en-US" w:eastAsia="zh-CN"/>
        </w:rPr>
        <w:t xml:space="preserve">   </w:t>
      </w:r>
      <w:r>
        <w:rPr>
          <w:rFonts w:hint="eastAsia" w:hAnsi="宋体" w:cs="宋体"/>
          <w:color w:val="auto"/>
        </w:rPr>
        <w:t>编：</w:t>
      </w:r>
      <w:r>
        <w:rPr>
          <w:rFonts w:hint="eastAsia" w:hAnsi="宋体" w:cs="宋体"/>
          <w:color w:val="auto"/>
          <w:u w:val="single"/>
        </w:rPr>
        <w:t xml:space="preserve">                       </w:t>
      </w:r>
      <w:r>
        <w:rPr>
          <w:rFonts w:hint="eastAsia" w:hAnsi="宋体" w:cs="宋体"/>
          <w:color w:val="auto"/>
          <w:u w:val="single"/>
          <w:lang w:val="en-US" w:eastAsia="zh-CN"/>
        </w:rPr>
        <w:t xml:space="preserve">  </w:t>
      </w:r>
      <w:r>
        <w:rPr>
          <w:rFonts w:hint="eastAsia" w:hAnsi="宋体" w:cs="宋体"/>
          <w:color w:val="auto"/>
          <w:u w:val="single"/>
        </w:rPr>
        <w:t xml:space="preserve">  </w:t>
      </w:r>
      <w:r>
        <w:rPr>
          <w:rFonts w:hint="eastAsia" w:hAnsi="宋体" w:cs="宋体"/>
          <w:color w:val="auto"/>
          <w:u w:val="single"/>
        </w:rPr>
        <w:br w:type="textWrapping"/>
      </w:r>
      <w:r>
        <w:rPr>
          <w:rFonts w:hint="eastAsia" w:hAnsi="宋体" w:cs="宋体"/>
          <w:color w:val="auto"/>
        </w:rPr>
        <w:t>电</w:t>
      </w:r>
      <w:r>
        <w:rPr>
          <w:rFonts w:hint="eastAsia" w:hAnsi="宋体" w:cs="宋体"/>
          <w:color w:val="auto"/>
          <w:lang w:val="en-US" w:eastAsia="zh-CN"/>
        </w:rPr>
        <w:t xml:space="preserve">  </w:t>
      </w:r>
      <w:r>
        <w:rPr>
          <w:rFonts w:hint="eastAsia" w:hAnsi="宋体" w:cs="宋体"/>
          <w:color w:val="auto"/>
        </w:rPr>
        <w:t>话：</w:t>
      </w:r>
      <w:r>
        <w:rPr>
          <w:rFonts w:hint="eastAsia" w:hAnsi="宋体" w:cs="宋体"/>
          <w:color w:val="auto"/>
          <w:u w:val="single"/>
          <w:lang w:val="en-US" w:eastAsia="zh-CN"/>
        </w:rPr>
        <w:t xml:space="preserve">                            </w:t>
      </w:r>
    </w:p>
    <w:p w14:paraId="3E666BD5">
      <w:pPr>
        <w:widowControl/>
        <w:spacing w:line="408" w:lineRule="auto"/>
        <w:ind w:left="274" w:leftChars="114"/>
        <w:jc w:val="center"/>
        <w:rPr>
          <w:rFonts w:hAnsi="宋体" w:cs="宋体"/>
          <w:color w:val="auto"/>
        </w:rPr>
      </w:pPr>
      <w:r>
        <w:rPr>
          <w:rFonts w:hint="eastAsia" w:hAnsi="宋体" w:cs="宋体"/>
          <w:color w:val="auto"/>
        </w:rPr>
        <w:t xml:space="preserve">     年</w:t>
      </w:r>
      <w:r>
        <w:rPr>
          <w:rFonts w:hint="eastAsia" w:hAnsi="宋体" w:cs="宋体"/>
          <w:color w:val="auto"/>
          <w:lang w:val="en-US" w:eastAsia="zh-CN"/>
        </w:rPr>
        <w:t xml:space="preserve">   </w:t>
      </w:r>
      <w:r>
        <w:rPr>
          <w:rFonts w:hint="eastAsia" w:hAnsi="宋体" w:cs="宋体"/>
          <w:color w:val="auto"/>
        </w:rPr>
        <w:t>月</w:t>
      </w:r>
      <w:r>
        <w:rPr>
          <w:rFonts w:hint="eastAsia" w:hAnsi="宋体" w:cs="宋体"/>
          <w:color w:val="auto"/>
          <w:lang w:val="en-US" w:eastAsia="zh-CN"/>
        </w:rPr>
        <w:t xml:space="preserve">   </w:t>
      </w:r>
      <w:r>
        <w:rPr>
          <w:rFonts w:hint="eastAsia" w:hAnsi="宋体" w:cs="宋体"/>
          <w:color w:val="auto"/>
        </w:rPr>
        <w:t>日</w:t>
      </w:r>
    </w:p>
    <w:p w14:paraId="73A1DF06">
      <w:pPr>
        <w:spacing w:line="500" w:lineRule="exact"/>
        <w:ind w:firstLine="320" w:firstLineChars="100"/>
        <w:jc w:val="center"/>
        <w:rPr>
          <w:rFonts w:hAnsi="宋体" w:cs="宋体"/>
          <w:b/>
          <w:bCs/>
          <w:color w:val="auto"/>
          <w:sz w:val="30"/>
          <w:szCs w:val="30"/>
          <w:lang w:val="zh-CN"/>
        </w:rPr>
      </w:pPr>
      <w:bookmarkStart w:id="297" w:name="_Toc7550"/>
      <w:bookmarkStart w:id="298" w:name="_Toc403077657"/>
      <w:bookmarkStart w:id="299" w:name="_Toc155"/>
      <w:bookmarkStart w:id="300" w:name="_Toc28113"/>
      <w:bookmarkStart w:id="301" w:name="_Toc363474034"/>
      <w:bookmarkStart w:id="302" w:name="_Toc426457715"/>
      <w:bookmarkStart w:id="303" w:name="_Toc23245"/>
      <w:bookmarkStart w:id="304" w:name="_Toc20139"/>
      <w:bookmarkStart w:id="305" w:name="_Toc8066"/>
      <w:r>
        <w:rPr>
          <w:rFonts w:hint="eastAsia" w:hAnsi="宋体" w:cs="宋体"/>
          <w:color w:val="auto"/>
          <w:sz w:val="32"/>
          <w:szCs w:val="32"/>
        </w:rPr>
        <w:br w:type="page"/>
      </w:r>
      <w:bookmarkEnd w:id="297"/>
      <w:bookmarkEnd w:id="298"/>
      <w:bookmarkEnd w:id="299"/>
      <w:bookmarkEnd w:id="300"/>
      <w:bookmarkEnd w:id="301"/>
      <w:bookmarkEnd w:id="302"/>
      <w:bookmarkEnd w:id="303"/>
      <w:bookmarkEnd w:id="304"/>
      <w:bookmarkEnd w:id="305"/>
      <w:r>
        <w:rPr>
          <w:rFonts w:hint="eastAsia" w:hAnsi="宋体" w:cs="宋体"/>
          <w:b/>
          <w:bCs/>
          <w:color w:val="auto"/>
          <w:sz w:val="30"/>
          <w:szCs w:val="30"/>
        </w:rPr>
        <w:t>5.2</w:t>
      </w:r>
      <w:r>
        <w:rPr>
          <w:rFonts w:hint="eastAsia" w:hAnsi="宋体" w:cs="宋体"/>
          <w:b/>
          <w:bCs/>
          <w:color w:val="auto"/>
          <w:sz w:val="30"/>
          <w:szCs w:val="30"/>
          <w:lang w:val="zh-CN"/>
        </w:rPr>
        <w:t xml:space="preserve"> 供应商企业关系关联承诺书</w:t>
      </w:r>
    </w:p>
    <w:p w14:paraId="2863FFE6">
      <w:pPr>
        <w:pStyle w:val="19"/>
        <w:rPr>
          <w:color w:val="auto"/>
          <w:lang w:val="zh-CN"/>
        </w:rPr>
      </w:pPr>
    </w:p>
    <w:p w14:paraId="40A72FDD">
      <w:pPr>
        <w:spacing w:line="500" w:lineRule="exact"/>
        <w:ind w:firstLine="480" w:firstLineChars="200"/>
        <w:rPr>
          <w:rFonts w:hAnsi="宋体" w:cs="宋体"/>
          <w:color w:val="auto"/>
          <w:szCs w:val="24"/>
        </w:rPr>
      </w:pPr>
      <w:r>
        <w:rPr>
          <w:rFonts w:hint="eastAsia" w:hAnsi="宋体" w:cs="宋体"/>
          <w:color w:val="auto"/>
          <w:szCs w:val="24"/>
        </w:rPr>
        <w:t>1、供应商在本项目投标中，不存在与其它供应商负责人为同一人，有控股、管理等关联关系承诺：</w:t>
      </w:r>
    </w:p>
    <w:p w14:paraId="5414FB6D">
      <w:pPr>
        <w:spacing w:line="500" w:lineRule="exact"/>
        <w:ind w:firstLine="480" w:firstLineChars="200"/>
        <w:rPr>
          <w:rFonts w:hAnsi="宋体" w:cs="宋体"/>
          <w:color w:val="auto"/>
          <w:szCs w:val="24"/>
        </w:rPr>
      </w:pPr>
      <w:r>
        <w:rPr>
          <w:rFonts w:hint="eastAsia" w:hAnsi="宋体" w:cs="宋体"/>
          <w:color w:val="auto"/>
          <w:szCs w:val="24"/>
        </w:rPr>
        <w:t>1.1管理关系说明：</w:t>
      </w:r>
    </w:p>
    <w:p w14:paraId="0933B1B0">
      <w:pPr>
        <w:spacing w:line="500" w:lineRule="exact"/>
        <w:ind w:firstLine="480" w:firstLineChars="200"/>
        <w:rPr>
          <w:rFonts w:hAnsi="宋体" w:cs="宋体"/>
          <w:color w:val="auto"/>
          <w:szCs w:val="24"/>
        </w:rPr>
      </w:pPr>
      <w:r>
        <w:rPr>
          <w:rFonts w:hint="eastAsia" w:hAnsi="宋体" w:cs="宋体"/>
          <w:color w:val="auto"/>
          <w:szCs w:val="24"/>
        </w:rPr>
        <w:t>我单位管理的具有独立法人的下属单位有</w:t>
      </w:r>
      <w:r>
        <w:rPr>
          <w:rFonts w:hint="eastAsia" w:hAnsi="宋体" w:cs="宋体"/>
          <w:color w:val="auto"/>
          <w:szCs w:val="24"/>
          <w:u w:val="single"/>
        </w:rPr>
        <w:t xml:space="preserve">：                 </w:t>
      </w:r>
      <w:r>
        <w:rPr>
          <w:rFonts w:hint="eastAsia" w:hAnsi="宋体" w:cs="宋体"/>
          <w:color w:val="auto"/>
          <w:szCs w:val="24"/>
        </w:rPr>
        <w:t>。</w:t>
      </w:r>
    </w:p>
    <w:p w14:paraId="279F8336">
      <w:pPr>
        <w:spacing w:line="500" w:lineRule="exact"/>
        <w:ind w:firstLine="480" w:firstLineChars="200"/>
        <w:rPr>
          <w:rFonts w:hAnsi="宋体" w:cs="宋体"/>
          <w:color w:val="auto"/>
          <w:szCs w:val="24"/>
        </w:rPr>
      </w:pPr>
      <w:r>
        <w:rPr>
          <w:rFonts w:hint="eastAsia" w:hAnsi="宋体" w:cs="宋体"/>
          <w:color w:val="auto"/>
          <w:szCs w:val="24"/>
        </w:rPr>
        <w:t>我单位的上级管理单位有</w:t>
      </w:r>
      <w:r>
        <w:rPr>
          <w:rFonts w:hint="eastAsia" w:hAnsi="宋体" w:cs="宋体"/>
          <w:color w:val="auto"/>
          <w:szCs w:val="24"/>
          <w:u w:val="single"/>
        </w:rPr>
        <w:t xml:space="preserve">              </w:t>
      </w:r>
      <w:r>
        <w:rPr>
          <w:rFonts w:hint="eastAsia" w:hAnsi="宋体" w:cs="宋体"/>
          <w:color w:val="auto"/>
          <w:szCs w:val="24"/>
        </w:rPr>
        <w:t>。</w:t>
      </w:r>
    </w:p>
    <w:p w14:paraId="75B68297">
      <w:pPr>
        <w:spacing w:line="500" w:lineRule="exact"/>
        <w:ind w:firstLine="480" w:firstLineChars="200"/>
        <w:rPr>
          <w:rFonts w:hAnsi="宋体" w:cs="宋体"/>
          <w:color w:val="auto"/>
          <w:szCs w:val="24"/>
        </w:rPr>
      </w:pPr>
      <w:r>
        <w:rPr>
          <w:rFonts w:hint="eastAsia" w:hAnsi="宋体" w:cs="宋体"/>
          <w:color w:val="auto"/>
          <w:szCs w:val="24"/>
        </w:rPr>
        <w:t>1.2股权关系说明：</w:t>
      </w:r>
    </w:p>
    <w:p w14:paraId="5776D7A7">
      <w:pPr>
        <w:spacing w:line="500" w:lineRule="exact"/>
        <w:ind w:firstLine="480" w:firstLineChars="200"/>
        <w:rPr>
          <w:rFonts w:hAnsi="宋体" w:cs="宋体"/>
          <w:color w:val="auto"/>
          <w:szCs w:val="24"/>
        </w:rPr>
      </w:pPr>
      <w:r>
        <w:rPr>
          <w:rFonts w:hint="eastAsia" w:hAnsi="宋体" w:cs="宋体"/>
          <w:color w:val="auto"/>
          <w:szCs w:val="24"/>
        </w:rPr>
        <w:t>我单位控股的单位有</w:t>
      </w:r>
      <w:r>
        <w:rPr>
          <w:rFonts w:hint="eastAsia" w:hAnsi="宋体" w:cs="宋体"/>
          <w:color w:val="auto"/>
          <w:szCs w:val="24"/>
          <w:u w:val="single"/>
        </w:rPr>
        <w:t xml:space="preserve">           </w:t>
      </w:r>
      <w:r>
        <w:rPr>
          <w:rFonts w:hint="eastAsia" w:hAnsi="宋体" w:cs="宋体"/>
          <w:color w:val="auto"/>
          <w:szCs w:val="24"/>
        </w:rPr>
        <w:t>。</w:t>
      </w:r>
    </w:p>
    <w:p w14:paraId="4B195EC4">
      <w:pPr>
        <w:spacing w:line="500" w:lineRule="exact"/>
        <w:ind w:firstLine="480" w:firstLineChars="200"/>
        <w:rPr>
          <w:rFonts w:hAnsi="宋体" w:cs="宋体"/>
          <w:color w:val="auto"/>
          <w:szCs w:val="24"/>
        </w:rPr>
      </w:pPr>
      <w:r>
        <w:rPr>
          <w:rFonts w:hint="eastAsia" w:hAnsi="宋体" w:cs="宋体"/>
          <w:color w:val="auto"/>
          <w:szCs w:val="24"/>
        </w:rPr>
        <w:t>我单位被</w:t>
      </w:r>
      <w:r>
        <w:rPr>
          <w:rFonts w:hint="eastAsia" w:hAnsi="宋体" w:cs="宋体"/>
          <w:color w:val="auto"/>
          <w:szCs w:val="24"/>
          <w:u w:val="single"/>
        </w:rPr>
        <w:t xml:space="preserve">              </w:t>
      </w:r>
      <w:r>
        <w:rPr>
          <w:rFonts w:hint="eastAsia" w:hAnsi="宋体" w:cs="宋体"/>
          <w:color w:val="auto"/>
          <w:szCs w:val="24"/>
        </w:rPr>
        <w:t>单位控股。</w:t>
      </w:r>
    </w:p>
    <w:p w14:paraId="679895C4">
      <w:pPr>
        <w:spacing w:line="500" w:lineRule="exact"/>
        <w:ind w:firstLine="480" w:firstLineChars="200"/>
        <w:rPr>
          <w:rFonts w:hAnsi="宋体" w:cs="宋体"/>
          <w:color w:val="auto"/>
          <w:szCs w:val="24"/>
          <w:u w:val="single"/>
        </w:rPr>
      </w:pPr>
      <w:r>
        <w:rPr>
          <w:rFonts w:hint="eastAsia" w:hAnsi="宋体" w:cs="宋体"/>
          <w:color w:val="auto"/>
          <w:szCs w:val="24"/>
        </w:rPr>
        <w:t>1.3单位负责人：</w:t>
      </w:r>
      <w:r>
        <w:rPr>
          <w:rFonts w:hint="eastAsia" w:hAnsi="宋体" w:cs="宋体"/>
          <w:color w:val="auto"/>
          <w:szCs w:val="24"/>
          <w:u w:val="single"/>
        </w:rPr>
        <w:t xml:space="preserve">                </w:t>
      </w:r>
    </w:p>
    <w:p w14:paraId="65BA4348">
      <w:pPr>
        <w:spacing w:line="500" w:lineRule="exact"/>
        <w:ind w:firstLine="480" w:firstLineChars="200"/>
        <w:rPr>
          <w:rFonts w:hAnsi="宋体" w:cs="宋体"/>
          <w:color w:val="auto"/>
          <w:szCs w:val="24"/>
        </w:rPr>
      </w:pPr>
      <w:r>
        <w:rPr>
          <w:rFonts w:hint="eastAsia" w:hAnsi="宋体" w:cs="宋体"/>
          <w:color w:val="auto"/>
          <w:szCs w:val="24"/>
        </w:rPr>
        <w:t>2、</w:t>
      </w:r>
      <w:r>
        <w:rPr>
          <w:rFonts w:hint="eastAsia" w:hAnsi="宋体" w:cs="宋体"/>
          <w:color w:val="auto"/>
          <w:szCs w:val="24"/>
          <w:u w:val="single"/>
        </w:rPr>
        <w:t xml:space="preserve">              </w:t>
      </w:r>
      <w:r>
        <w:rPr>
          <w:rFonts w:hint="eastAsia" w:hAnsi="宋体" w:cs="宋体"/>
          <w:color w:val="auto"/>
          <w:szCs w:val="24"/>
        </w:rPr>
        <w:t>（是或否，没有填否） 为采购项目提供整体设计、规范编制或者项目管理、监理、检测等服务的供应商。</w:t>
      </w:r>
    </w:p>
    <w:p w14:paraId="62C628E1">
      <w:pPr>
        <w:spacing w:line="500" w:lineRule="exact"/>
        <w:ind w:firstLine="480" w:firstLineChars="200"/>
        <w:rPr>
          <w:rFonts w:hAnsi="宋体" w:cs="宋体"/>
          <w:color w:val="auto"/>
          <w:szCs w:val="24"/>
          <w:u w:val="single"/>
        </w:rPr>
      </w:pPr>
      <w:r>
        <w:rPr>
          <w:rFonts w:hint="eastAsia" w:hAnsi="宋体" w:cs="宋体"/>
          <w:color w:val="auto"/>
          <w:szCs w:val="24"/>
        </w:rPr>
        <w:t>3、其他与本项目有关的利害关系说明：</w:t>
      </w:r>
      <w:r>
        <w:rPr>
          <w:rFonts w:hint="eastAsia" w:hAnsi="宋体" w:cs="宋体"/>
          <w:color w:val="auto"/>
          <w:szCs w:val="24"/>
          <w:u w:val="single"/>
        </w:rPr>
        <w:t xml:space="preserve">                               </w:t>
      </w:r>
    </w:p>
    <w:p w14:paraId="5AE8DDD1">
      <w:pPr>
        <w:spacing w:line="500" w:lineRule="exact"/>
        <w:ind w:firstLine="480" w:firstLineChars="200"/>
        <w:rPr>
          <w:rFonts w:hAnsi="宋体" w:cs="宋体"/>
          <w:color w:val="auto"/>
          <w:szCs w:val="24"/>
        </w:rPr>
      </w:pPr>
      <w:r>
        <w:rPr>
          <w:rFonts w:hint="eastAsia" w:hAnsi="宋体" w:cs="宋体"/>
          <w:color w:val="auto"/>
          <w:szCs w:val="24"/>
        </w:rPr>
        <w:t>我单位承诺以上说明真实有效，无虚假内容或隐瞒。</w:t>
      </w:r>
    </w:p>
    <w:p w14:paraId="7458958E">
      <w:pPr>
        <w:spacing w:line="500" w:lineRule="exact"/>
        <w:ind w:firstLine="240" w:firstLineChars="100"/>
        <w:rPr>
          <w:rFonts w:hAnsi="宋体" w:cs="宋体"/>
          <w:color w:val="auto"/>
          <w:szCs w:val="24"/>
        </w:rPr>
      </w:pPr>
    </w:p>
    <w:p w14:paraId="34C11DAB">
      <w:pPr>
        <w:pStyle w:val="19"/>
        <w:rPr>
          <w:color w:val="auto"/>
        </w:rPr>
      </w:pPr>
    </w:p>
    <w:p w14:paraId="5A33C1A9">
      <w:pPr>
        <w:spacing w:line="500" w:lineRule="exact"/>
        <w:ind w:firstLine="2400" w:firstLineChars="1000"/>
        <w:rPr>
          <w:rFonts w:hAnsi="宋体" w:cs="宋体"/>
          <w:color w:val="auto"/>
          <w:szCs w:val="24"/>
        </w:rPr>
      </w:pPr>
      <w:r>
        <w:rPr>
          <w:rFonts w:hint="eastAsia" w:hAnsi="宋体" w:cs="宋体"/>
          <w:color w:val="auto"/>
          <w:szCs w:val="24"/>
        </w:rPr>
        <w:t>供应商名称</w:t>
      </w:r>
      <w:r>
        <w:rPr>
          <w:rFonts w:hint="eastAsia" w:hAnsi="宋体" w:cs="宋体"/>
          <w:color w:val="auto"/>
          <w:szCs w:val="24"/>
          <w:u w:val="single"/>
        </w:rPr>
        <w:t xml:space="preserve">：                     </w:t>
      </w:r>
      <w:r>
        <w:rPr>
          <w:rFonts w:hint="eastAsia" w:hAnsi="宋体" w:cs="宋体"/>
          <w:color w:val="auto"/>
          <w:szCs w:val="24"/>
        </w:rPr>
        <w:t>（盖单位公章）</w:t>
      </w:r>
    </w:p>
    <w:p w14:paraId="6CEB47A9">
      <w:pPr>
        <w:spacing w:line="500" w:lineRule="exact"/>
        <w:ind w:firstLine="240" w:firstLineChars="100"/>
        <w:rPr>
          <w:rFonts w:hAnsi="宋体" w:cs="宋体"/>
          <w:color w:val="auto"/>
          <w:szCs w:val="24"/>
        </w:rPr>
      </w:pPr>
    </w:p>
    <w:p w14:paraId="7AF42914">
      <w:pPr>
        <w:spacing w:line="500" w:lineRule="exact"/>
        <w:ind w:firstLine="2400" w:firstLineChars="1000"/>
        <w:rPr>
          <w:rFonts w:hAnsi="宋体" w:cs="宋体"/>
          <w:color w:val="auto"/>
          <w:szCs w:val="24"/>
        </w:rPr>
      </w:pPr>
      <w:r>
        <w:rPr>
          <w:rFonts w:hint="eastAsia" w:hAnsi="宋体" w:cs="宋体"/>
          <w:color w:val="auto"/>
          <w:szCs w:val="24"/>
        </w:rPr>
        <w:t>法定代表人或被授权人</w:t>
      </w:r>
      <w:r>
        <w:rPr>
          <w:rFonts w:hint="eastAsia" w:hAnsi="宋体" w:cs="宋体"/>
          <w:color w:val="auto"/>
          <w:szCs w:val="24"/>
          <w:u w:val="single"/>
        </w:rPr>
        <w:t xml:space="preserve">：      </w:t>
      </w:r>
      <w:r>
        <w:rPr>
          <w:rFonts w:hint="eastAsia" w:hAnsi="宋体" w:cs="宋体"/>
          <w:color w:val="auto"/>
          <w:szCs w:val="24"/>
        </w:rPr>
        <w:t>（签字或盖章）</w:t>
      </w:r>
    </w:p>
    <w:p w14:paraId="25529FEA">
      <w:pPr>
        <w:spacing w:line="500" w:lineRule="exact"/>
        <w:ind w:firstLine="240" w:firstLineChars="100"/>
        <w:rPr>
          <w:rFonts w:hint="eastAsia" w:hAnsi="宋体" w:cs="宋体"/>
          <w:color w:val="auto"/>
        </w:rPr>
      </w:pPr>
      <w:r>
        <w:rPr>
          <w:rFonts w:hint="eastAsia" w:hAnsi="宋体" w:cs="宋体"/>
          <w:color w:val="auto"/>
          <w:szCs w:val="24"/>
        </w:rPr>
        <w:t xml:space="preserve">      </w:t>
      </w:r>
    </w:p>
    <w:p w14:paraId="74816E47">
      <w:pPr>
        <w:widowControl/>
        <w:spacing w:line="408" w:lineRule="auto"/>
        <w:ind w:left="274" w:leftChars="114"/>
        <w:jc w:val="right"/>
        <w:rPr>
          <w:rFonts w:hAnsi="宋体" w:cs="宋体"/>
          <w:color w:val="auto"/>
        </w:rPr>
      </w:pPr>
      <w:r>
        <w:rPr>
          <w:rFonts w:hint="eastAsia" w:hAnsi="宋体" w:cs="宋体"/>
          <w:color w:val="auto"/>
        </w:rPr>
        <w:t xml:space="preserve">             年</w:t>
      </w:r>
      <w:r>
        <w:rPr>
          <w:rFonts w:hint="eastAsia" w:hAnsi="宋体" w:cs="宋体"/>
          <w:color w:val="auto"/>
          <w:lang w:val="en-US" w:eastAsia="zh-CN"/>
        </w:rPr>
        <w:t xml:space="preserve">   </w:t>
      </w:r>
      <w:r>
        <w:rPr>
          <w:rFonts w:hint="eastAsia" w:hAnsi="宋体" w:cs="宋体"/>
          <w:color w:val="auto"/>
        </w:rPr>
        <w:t>月</w:t>
      </w:r>
      <w:r>
        <w:rPr>
          <w:rFonts w:hint="eastAsia" w:hAnsi="宋体" w:cs="宋体"/>
          <w:color w:val="auto"/>
          <w:lang w:val="en-US" w:eastAsia="zh-CN"/>
        </w:rPr>
        <w:t xml:space="preserve">   </w:t>
      </w:r>
      <w:r>
        <w:rPr>
          <w:rFonts w:hint="eastAsia" w:hAnsi="宋体" w:cs="宋体"/>
          <w:color w:val="auto"/>
        </w:rPr>
        <w:t>日</w:t>
      </w:r>
    </w:p>
    <w:p w14:paraId="415F2DD9">
      <w:pPr>
        <w:spacing w:before="166" w:beforeLines="50" w:line="360" w:lineRule="auto"/>
        <w:jc w:val="center"/>
        <w:rPr>
          <w:rFonts w:hAnsi="宋体" w:cs="宋体"/>
          <w:color w:val="auto"/>
          <w:sz w:val="32"/>
          <w:szCs w:val="32"/>
        </w:rPr>
      </w:pPr>
    </w:p>
    <w:p w14:paraId="01057B21">
      <w:pPr>
        <w:pStyle w:val="19"/>
        <w:rPr>
          <w:rFonts w:hint="eastAsia" w:ascii="宋体" w:hAnsi="宋体" w:eastAsia="宋体" w:cs="宋体"/>
          <w:color w:val="auto"/>
          <w:sz w:val="32"/>
          <w:szCs w:val="32"/>
          <w:lang w:eastAsia="zh-CN"/>
        </w:rPr>
      </w:pPr>
    </w:p>
    <w:p w14:paraId="30782219">
      <w:pPr>
        <w:rPr>
          <w:rFonts w:hint="eastAsia" w:ascii="宋体" w:hAnsi="宋体" w:eastAsia="宋体" w:cs="宋体"/>
          <w:color w:val="auto"/>
          <w:sz w:val="32"/>
          <w:szCs w:val="32"/>
          <w:lang w:eastAsia="zh-CN"/>
        </w:rPr>
      </w:pPr>
    </w:p>
    <w:p w14:paraId="007103A0">
      <w:pPr>
        <w:pStyle w:val="19"/>
        <w:rPr>
          <w:rFonts w:hint="eastAsia"/>
          <w:lang w:eastAsia="zh-CN"/>
        </w:rPr>
      </w:pPr>
    </w:p>
    <w:p w14:paraId="4CFABB66">
      <w:pPr>
        <w:pStyle w:val="3"/>
        <w:keepNext w:val="0"/>
        <w:keepLines w:val="0"/>
        <w:widowControl w:val="0"/>
        <w:spacing w:before="166" w:beforeLines="50" w:after="0" w:line="360" w:lineRule="auto"/>
        <w:ind w:left="0"/>
        <w:jc w:val="center"/>
        <w:rPr>
          <w:rFonts w:ascii="宋体" w:hAnsi="宋体" w:cs="宋体"/>
          <w:color w:val="auto"/>
          <w:sz w:val="32"/>
        </w:rPr>
      </w:pPr>
      <w:bookmarkStart w:id="306" w:name="_Toc18269"/>
      <w:bookmarkStart w:id="307" w:name="_Toc26462"/>
      <w:r>
        <w:rPr>
          <w:rFonts w:hint="eastAsia" w:ascii="宋体" w:hAnsi="宋体" w:eastAsia="宋体" w:cs="宋体"/>
          <w:color w:val="auto"/>
          <w:sz w:val="32"/>
        </w:rPr>
        <w:t>六、资格证明文件</w:t>
      </w:r>
      <w:bookmarkEnd w:id="306"/>
      <w:bookmarkEnd w:id="307"/>
    </w:p>
    <w:p w14:paraId="3D7DCD61">
      <w:pPr>
        <w:spacing w:line="440" w:lineRule="exact"/>
        <w:rPr>
          <w:rFonts w:hAnsi="宋体" w:cs="宋体"/>
          <w:color w:val="auto"/>
          <w:szCs w:val="24"/>
        </w:rPr>
      </w:pPr>
      <w:r>
        <w:rPr>
          <w:rFonts w:hint="eastAsia" w:hAnsi="宋体" w:cs="宋体"/>
          <w:b/>
          <w:bCs/>
          <w:color w:val="auto"/>
          <w:szCs w:val="24"/>
        </w:rPr>
        <w:t>（一）基本资格条件：符合《中华人民共和国政府采购法》第二十二条的规定，并提供以下资料；</w:t>
      </w:r>
    </w:p>
    <w:p w14:paraId="5703F6CE">
      <w:pPr>
        <w:spacing w:line="360" w:lineRule="auto"/>
        <w:ind w:firstLine="480" w:firstLineChars="200"/>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rPr>
        <w:t>1</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rPr>
        <w:t>具有独立承担民事责任的法人、其他组织或自然人，并出具合法有效的营业执照或事业单位法人证书等国家规定的相关证明，自然人参与的提供其身份证明</w:t>
      </w:r>
      <w:r>
        <w:rPr>
          <w:rFonts w:hint="eastAsia" w:cs="宋体" w:asciiTheme="minorEastAsia" w:hAnsiTheme="minorEastAsia" w:eastAsiaTheme="minorEastAsia"/>
          <w:color w:val="auto"/>
          <w:szCs w:val="24"/>
          <w:lang w:eastAsia="zh-CN"/>
        </w:rPr>
        <w:t>；</w:t>
      </w:r>
    </w:p>
    <w:p w14:paraId="5BB8FB42">
      <w:pPr>
        <w:spacing w:line="360" w:lineRule="auto"/>
        <w:ind w:firstLine="480" w:firstLineChars="200"/>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w:t>
      </w:r>
      <w:r>
        <w:rPr>
          <w:rFonts w:cs="宋体" w:asciiTheme="minorEastAsia" w:hAnsiTheme="minorEastAsia" w:eastAsiaTheme="minorEastAsia"/>
          <w:color w:val="auto"/>
          <w:szCs w:val="24"/>
        </w:rPr>
        <w:t>.</w:t>
      </w:r>
      <w:r>
        <w:rPr>
          <w:rFonts w:hint="eastAsia" w:hAnsi="宋体" w:cs="宋体" w:eastAsiaTheme="minorEastAsia"/>
          <w:color w:val="auto"/>
          <w:szCs w:val="24"/>
          <w:lang w:eastAsia="zh-CN"/>
        </w:rPr>
        <w:t>提供2024年度</w:t>
      </w:r>
      <w:r>
        <w:rPr>
          <w:rFonts w:hint="eastAsia" w:hAnsi="宋体" w:cs="宋体"/>
          <w:color w:val="auto"/>
          <w:szCs w:val="24"/>
        </w:rPr>
        <w:t>经审计的完整财务报告（成立时间至提交投标文件截止时间不足一年的可提供成立后任意时段的资产负债表），或其基本存款账户开户银行出具的资信证明；</w:t>
      </w:r>
    </w:p>
    <w:p w14:paraId="66B039FF">
      <w:pPr>
        <w:spacing w:line="360" w:lineRule="auto"/>
        <w:ind w:firstLine="480" w:firstLineChars="200"/>
        <w:rPr>
          <w:color w:val="auto"/>
        </w:rPr>
      </w:pPr>
      <w:r>
        <w:rPr>
          <w:rFonts w:hint="eastAsia"/>
          <w:color w:val="auto"/>
        </w:rPr>
        <w:t>3</w:t>
      </w:r>
      <w:r>
        <w:rPr>
          <w:color w:val="auto"/>
        </w:rPr>
        <w:t>.</w:t>
      </w:r>
      <w:r>
        <w:rPr>
          <w:rFonts w:hint="eastAsia" w:hAnsi="宋体" w:cs="宋体"/>
          <w:color w:val="auto"/>
          <w:szCs w:val="24"/>
        </w:rPr>
        <w:t>提供具有履行合同所必需的设备和专业技术能力的承诺；</w:t>
      </w:r>
      <w:r>
        <w:rPr>
          <w:rFonts w:hint="eastAsia"/>
          <w:color w:val="auto"/>
        </w:rPr>
        <w:t xml:space="preserve"> </w:t>
      </w:r>
    </w:p>
    <w:p w14:paraId="56C4B8DA">
      <w:pPr>
        <w:spacing w:line="360" w:lineRule="auto"/>
        <w:ind w:firstLine="480" w:firstLineChars="200"/>
        <w:rPr>
          <w:rFonts w:hint="eastAsia" w:eastAsia="宋体"/>
          <w:color w:val="auto"/>
          <w:lang w:eastAsia="zh-CN"/>
        </w:rPr>
      </w:pPr>
      <w:r>
        <w:rPr>
          <w:rFonts w:hint="eastAsia"/>
          <w:color w:val="auto"/>
        </w:rPr>
        <w:t>4</w:t>
      </w:r>
      <w:r>
        <w:rPr>
          <w:color w:val="auto"/>
        </w:rPr>
        <w:t>.</w:t>
      </w:r>
      <w:r>
        <w:rPr>
          <w:rFonts w:hint="eastAsia"/>
          <w:color w:val="auto"/>
        </w:rPr>
        <w:t xml:space="preserve"> </w:t>
      </w:r>
      <w:r>
        <w:rPr>
          <w:rFonts w:hint="eastAsia"/>
          <w:color w:val="auto"/>
          <w:lang w:eastAsia="zh-CN"/>
        </w:rPr>
        <w:t>提供投标截止日前一年内任意一个月的纳税凭据或完税证明（增值税、印花税、城市维护建设费、企业所得税等一种或多种税种），依法免税的应提供相关证明材料</w:t>
      </w:r>
      <w:r>
        <w:rPr>
          <w:rFonts w:hint="eastAsia" w:hAnsi="宋体" w:cs="宋体"/>
          <w:color w:val="auto"/>
          <w:sz w:val="24"/>
          <w:szCs w:val="24"/>
          <w:lang w:eastAsia="zh-CN"/>
        </w:rPr>
        <w:t>；</w:t>
      </w:r>
    </w:p>
    <w:p w14:paraId="201830C1">
      <w:pPr>
        <w:spacing w:line="360" w:lineRule="auto"/>
        <w:ind w:firstLine="480" w:firstLineChars="200"/>
        <w:rPr>
          <w:color w:val="auto"/>
        </w:rPr>
      </w:pPr>
      <w:r>
        <w:rPr>
          <w:rFonts w:hint="eastAsia"/>
          <w:color w:val="auto"/>
        </w:rPr>
        <w:t>5</w:t>
      </w:r>
      <w:r>
        <w:rPr>
          <w:color w:val="auto"/>
        </w:rPr>
        <w:t>.</w:t>
      </w:r>
      <w:r>
        <w:rPr>
          <w:rFonts w:hint="eastAsia"/>
          <w:color w:val="auto"/>
          <w:lang w:eastAsia="zh-CN"/>
        </w:rPr>
        <w:t>提供投标截止日前一年内任意一个月的社会保障资金缴存单据或社保机构开具的社会保险参保缴费情况证明，依法不需要缴纳社会保障资金的应提供相关证明材料</w:t>
      </w:r>
      <w:r>
        <w:rPr>
          <w:rFonts w:hint="eastAsia"/>
          <w:color w:val="auto"/>
        </w:rPr>
        <w:t>；</w:t>
      </w:r>
    </w:p>
    <w:p w14:paraId="216883E6">
      <w:pPr>
        <w:spacing w:line="520" w:lineRule="exact"/>
        <w:ind w:firstLine="480"/>
        <w:rPr>
          <w:rFonts w:cs="宋体" w:asciiTheme="minorEastAsia" w:hAnsiTheme="minorEastAsia" w:eastAsiaTheme="minorEastAsia"/>
          <w:color w:val="auto"/>
          <w:szCs w:val="24"/>
        </w:rPr>
      </w:pPr>
      <w:r>
        <w:rPr>
          <w:rFonts w:hint="eastAsia"/>
          <w:color w:val="auto"/>
        </w:rPr>
        <w:t>6</w:t>
      </w:r>
      <w:r>
        <w:rPr>
          <w:color w:val="auto"/>
        </w:rPr>
        <w:t>.</w:t>
      </w:r>
      <w:r>
        <w:rPr>
          <w:rFonts w:hint="eastAsia"/>
          <w:color w:val="auto"/>
        </w:rPr>
        <w:t>参加政府采购活动前三年内，在经营活动中没有重大违法记录的书面声明。</w:t>
      </w:r>
    </w:p>
    <w:p w14:paraId="31F81244">
      <w:pPr>
        <w:spacing w:line="500" w:lineRule="exact"/>
        <w:rPr>
          <w:rFonts w:hAnsi="宋体" w:cs="宋体"/>
          <w:b/>
          <w:bCs/>
          <w:color w:val="auto"/>
          <w:szCs w:val="24"/>
        </w:rPr>
      </w:pPr>
      <w:r>
        <w:rPr>
          <w:rFonts w:hint="eastAsia" w:hAnsi="宋体" w:cs="宋体"/>
          <w:b/>
          <w:bCs/>
          <w:color w:val="auto"/>
          <w:szCs w:val="24"/>
        </w:rPr>
        <w:t>（</w:t>
      </w:r>
      <w:r>
        <w:rPr>
          <w:rFonts w:hint="eastAsia" w:hAnsi="宋体" w:cs="宋体"/>
          <w:b/>
          <w:bCs/>
          <w:color w:val="auto"/>
          <w:szCs w:val="24"/>
          <w:lang w:eastAsia="zh-CN"/>
        </w:rPr>
        <w:t>二</w:t>
      </w:r>
      <w:r>
        <w:rPr>
          <w:rFonts w:hint="eastAsia" w:hAnsi="宋体" w:cs="宋体"/>
          <w:b/>
          <w:bCs/>
          <w:color w:val="auto"/>
          <w:szCs w:val="24"/>
        </w:rPr>
        <w:t>）特定资格条件：</w:t>
      </w:r>
    </w:p>
    <w:p w14:paraId="138741A0">
      <w:pPr>
        <w:spacing w:line="500" w:lineRule="exact"/>
        <w:ind w:firstLine="480" w:firstLineChars="200"/>
        <w:rPr>
          <w:rFonts w:hint="eastAsia" w:ascii="宋体" w:hAnsi="宋体" w:eastAsia="宋体" w:cs="宋体"/>
          <w:color w:val="auto"/>
          <w:szCs w:val="24"/>
          <w:lang w:eastAsia="zh-CN"/>
        </w:rPr>
      </w:pPr>
      <w:r>
        <w:rPr>
          <w:rFonts w:hint="eastAsia" w:ascii="宋体" w:hAnsi="宋体" w:eastAsia="宋体" w:cs="宋体"/>
          <w:color w:val="auto"/>
          <w:szCs w:val="24"/>
        </w:rPr>
        <w:t>1</w:t>
      </w:r>
      <w:r>
        <w:rPr>
          <w:rFonts w:hint="eastAsia" w:ascii="宋体" w:hAnsi="宋体" w:eastAsia="宋体" w:cs="宋体"/>
          <w:color w:val="auto"/>
          <w:szCs w:val="24"/>
          <w:lang w:val="en-US" w:eastAsia="zh-CN"/>
        </w:rPr>
        <w:t>.</w:t>
      </w:r>
      <w:r>
        <w:rPr>
          <w:rFonts w:hint="eastAsia" w:ascii="宋体" w:hAnsi="宋体" w:eastAsia="宋体" w:cs="宋体"/>
          <w:color w:val="auto"/>
          <w:szCs w:val="24"/>
        </w:rPr>
        <w:t>法定代表人授权书（附法定代表人、被授权人身份证复印件）</w:t>
      </w:r>
      <w:r>
        <w:rPr>
          <w:rFonts w:hint="eastAsia" w:ascii="宋体" w:hAnsi="宋体" w:eastAsia="宋体" w:cs="宋体"/>
          <w:color w:val="auto"/>
          <w:szCs w:val="24"/>
          <w:lang w:eastAsia="zh-CN"/>
        </w:rPr>
        <w:t>，</w:t>
      </w:r>
      <w:r>
        <w:rPr>
          <w:rFonts w:hint="eastAsia" w:ascii="宋体" w:hAnsi="宋体" w:eastAsia="宋体" w:cs="宋体"/>
          <w:color w:val="auto"/>
          <w:szCs w:val="24"/>
        </w:rPr>
        <w:t>法定代表人直接参加投标，须提供法定代表人身份证明及身份证</w:t>
      </w:r>
      <w:r>
        <w:rPr>
          <w:rFonts w:hint="eastAsia" w:ascii="宋体" w:hAnsi="宋体" w:eastAsia="宋体" w:cs="宋体"/>
          <w:color w:val="auto"/>
          <w:szCs w:val="24"/>
          <w:lang w:eastAsia="zh-CN"/>
        </w:rPr>
        <w:t>复印件；</w:t>
      </w:r>
    </w:p>
    <w:p w14:paraId="3467D77F">
      <w:pPr>
        <w:spacing w:line="500" w:lineRule="exact"/>
        <w:ind w:firstLine="480" w:firstLineChars="200"/>
        <w:rPr>
          <w:rFonts w:hint="default" w:eastAsia="宋体"/>
          <w:lang w:val="en-US" w:eastAsia="zh-CN"/>
        </w:rPr>
      </w:pPr>
      <w:r>
        <w:rPr>
          <w:rFonts w:hint="eastAsia" w:ascii="宋体" w:hAnsi="宋体" w:eastAsia="宋体" w:cs="宋体"/>
          <w:color w:val="auto"/>
          <w:szCs w:val="24"/>
          <w:lang w:val="en-US" w:eastAsia="zh-CN"/>
        </w:rPr>
        <w:t>2.投标人应具备行业行政主</w:t>
      </w:r>
      <w:r>
        <w:rPr>
          <w:rFonts w:hint="eastAsia" w:hAnsi="宋体" w:cs="宋体"/>
          <w:color w:val="auto"/>
          <w:szCs w:val="24"/>
          <w:lang w:val="en-US" w:eastAsia="zh-CN"/>
        </w:rPr>
        <w:t>管部门颁发的《人力资源服务许可证》和《劳务派遣经营许可证》；</w:t>
      </w:r>
    </w:p>
    <w:p w14:paraId="00856FCC">
      <w:pPr>
        <w:spacing w:line="500" w:lineRule="exact"/>
        <w:ind w:firstLine="480" w:firstLineChars="200"/>
        <w:rPr>
          <w:rFonts w:hint="default" w:hAnsi="宋体" w:cs="宋体"/>
          <w:color w:val="auto"/>
          <w:szCs w:val="24"/>
          <w:lang w:val="en-US" w:eastAsia="zh-CN"/>
        </w:rPr>
      </w:pPr>
      <w:r>
        <w:rPr>
          <w:rFonts w:hint="eastAsia" w:hAnsi="宋体" w:cs="宋体"/>
          <w:color w:val="auto"/>
          <w:szCs w:val="24"/>
          <w:lang w:val="en-US" w:eastAsia="zh-CN"/>
        </w:rPr>
        <w:t>3.本项目不接受联合体投标。</w:t>
      </w:r>
    </w:p>
    <w:p w14:paraId="4BE511B1">
      <w:pPr>
        <w:spacing w:line="560" w:lineRule="exact"/>
        <w:jc w:val="center"/>
        <w:rPr>
          <w:rFonts w:hAnsi="宋体" w:cs="宋体"/>
          <w:b/>
          <w:bCs/>
          <w:color w:val="auto"/>
          <w:szCs w:val="24"/>
        </w:rPr>
      </w:pPr>
    </w:p>
    <w:p w14:paraId="515EB24B">
      <w:pPr>
        <w:spacing w:line="560" w:lineRule="exact"/>
        <w:jc w:val="center"/>
        <w:rPr>
          <w:rFonts w:hAnsi="宋体" w:cs="宋体"/>
          <w:b/>
          <w:bCs/>
          <w:color w:val="auto"/>
          <w:szCs w:val="24"/>
        </w:rPr>
      </w:pPr>
    </w:p>
    <w:p w14:paraId="31DFBC31">
      <w:pPr>
        <w:spacing w:line="560" w:lineRule="exact"/>
        <w:jc w:val="center"/>
        <w:rPr>
          <w:rFonts w:hAnsi="宋体" w:cs="宋体"/>
          <w:b/>
          <w:bCs/>
          <w:color w:val="auto"/>
          <w:szCs w:val="24"/>
        </w:rPr>
      </w:pPr>
    </w:p>
    <w:p w14:paraId="7741EEBB">
      <w:pPr>
        <w:pStyle w:val="26"/>
        <w:rPr>
          <w:color w:val="auto"/>
        </w:rPr>
      </w:pPr>
    </w:p>
    <w:p w14:paraId="04348FEE">
      <w:pPr>
        <w:pStyle w:val="26"/>
        <w:rPr>
          <w:color w:val="auto"/>
        </w:rPr>
      </w:pPr>
    </w:p>
    <w:p w14:paraId="39EFA4D4">
      <w:pPr>
        <w:pStyle w:val="26"/>
        <w:rPr>
          <w:color w:val="auto"/>
        </w:rPr>
      </w:pPr>
    </w:p>
    <w:p w14:paraId="0FC923DA">
      <w:pPr>
        <w:pStyle w:val="26"/>
        <w:rPr>
          <w:color w:val="auto"/>
        </w:rPr>
      </w:pPr>
    </w:p>
    <w:p w14:paraId="18B40FC7">
      <w:pPr>
        <w:pStyle w:val="26"/>
        <w:rPr>
          <w:color w:val="auto"/>
        </w:rPr>
      </w:pPr>
    </w:p>
    <w:p w14:paraId="58AD9703">
      <w:pPr>
        <w:pStyle w:val="26"/>
        <w:rPr>
          <w:color w:val="auto"/>
        </w:rPr>
      </w:pPr>
    </w:p>
    <w:p w14:paraId="5C72BB0B">
      <w:pPr>
        <w:pStyle w:val="26"/>
        <w:rPr>
          <w:color w:val="auto"/>
        </w:rPr>
      </w:pPr>
    </w:p>
    <w:p w14:paraId="75D045F7">
      <w:pPr>
        <w:spacing w:line="560" w:lineRule="exact"/>
        <w:jc w:val="center"/>
        <w:rPr>
          <w:rFonts w:hAnsi="宋体" w:cs="宋体"/>
          <w:b/>
          <w:bCs/>
          <w:color w:val="auto"/>
          <w:kern w:val="2"/>
          <w:sz w:val="30"/>
          <w:szCs w:val="30"/>
        </w:rPr>
      </w:pPr>
      <w:r>
        <w:rPr>
          <w:rFonts w:hint="eastAsia" w:hAnsi="宋体" w:cs="宋体"/>
          <w:b/>
          <w:bCs/>
          <w:color w:val="auto"/>
          <w:kern w:val="2"/>
          <w:sz w:val="30"/>
          <w:szCs w:val="30"/>
        </w:rPr>
        <w:t>法定代表人身份证明/法定代表人授权书</w:t>
      </w:r>
    </w:p>
    <w:p w14:paraId="679013C2">
      <w:pPr>
        <w:pStyle w:val="19"/>
        <w:spacing w:before="166" w:beforeLines="50"/>
        <w:jc w:val="center"/>
        <w:rPr>
          <w:rFonts w:ascii="宋体" w:hAnsi="宋体" w:cs="宋体"/>
          <w:b/>
          <w:bCs/>
          <w:color w:val="auto"/>
          <w:sz w:val="30"/>
          <w:szCs w:val="30"/>
        </w:rPr>
      </w:pPr>
      <w:r>
        <w:rPr>
          <w:rFonts w:hint="eastAsia" w:ascii="宋体" w:hAnsi="宋体" w:cs="宋体"/>
          <w:b/>
          <w:bCs/>
          <w:color w:val="auto"/>
          <w:sz w:val="30"/>
          <w:szCs w:val="30"/>
        </w:rPr>
        <w:t>法定代表人身份证明</w:t>
      </w:r>
    </w:p>
    <w:p w14:paraId="2F2C8FF1">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供应商名称：</w:t>
      </w:r>
      <w:r>
        <w:rPr>
          <w:rFonts w:hint="eastAsia" w:hAnsi="宋体" w:cs="宋体"/>
          <w:color w:val="auto"/>
          <w:u w:val="single"/>
        </w:rPr>
        <w:t xml:space="preserve">                  </w:t>
      </w:r>
      <w:r>
        <w:rPr>
          <w:rFonts w:hint="eastAsia" w:hAnsi="宋体" w:cs="宋体"/>
          <w:color w:val="auto"/>
        </w:rPr>
        <w:t xml:space="preserve"> </w:t>
      </w:r>
    </w:p>
    <w:p w14:paraId="401E6AB3">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统一社会信用代码：</w:t>
      </w:r>
      <w:r>
        <w:rPr>
          <w:rFonts w:hint="eastAsia" w:hAnsi="宋体" w:cs="宋体"/>
          <w:color w:val="auto"/>
          <w:u w:val="single"/>
        </w:rPr>
        <w:t xml:space="preserve">                </w:t>
      </w:r>
    </w:p>
    <w:p w14:paraId="473C4BB2">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注册地址：</w:t>
      </w:r>
      <w:r>
        <w:rPr>
          <w:rFonts w:hint="eastAsia" w:hAnsi="宋体" w:cs="宋体"/>
          <w:color w:val="auto"/>
          <w:u w:val="single"/>
        </w:rPr>
        <w:t xml:space="preserve">                        </w:t>
      </w:r>
    </w:p>
    <w:p w14:paraId="3D967033">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成立时间：</w:t>
      </w:r>
      <w:r>
        <w:rPr>
          <w:rFonts w:hint="eastAsia" w:hAnsi="宋体" w:cs="宋体"/>
          <w:color w:val="auto"/>
          <w:u w:val="single"/>
        </w:rPr>
        <w:t xml:space="preserve">    </w:t>
      </w:r>
      <w:r>
        <w:rPr>
          <w:rFonts w:hint="eastAsia" w:hAnsi="宋体" w:cs="宋体"/>
          <w:color w:val="auto"/>
        </w:rPr>
        <w:t xml:space="preserve">年 </w:t>
      </w:r>
      <w:r>
        <w:rPr>
          <w:rFonts w:hint="eastAsia" w:hAnsi="宋体" w:cs="宋体"/>
          <w:color w:val="auto"/>
          <w:u w:val="single"/>
        </w:rPr>
        <w:t xml:space="preserve">  </w:t>
      </w:r>
      <w:r>
        <w:rPr>
          <w:rFonts w:hint="eastAsia" w:hAnsi="宋体" w:cs="宋体"/>
          <w:color w:val="auto"/>
        </w:rPr>
        <w:t>月</w:t>
      </w:r>
      <w:r>
        <w:rPr>
          <w:rFonts w:hint="eastAsia" w:hAnsi="宋体" w:cs="宋体"/>
          <w:color w:val="auto"/>
          <w:u w:val="single"/>
        </w:rPr>
        <w:t xml:space="preserve">  </w:t>
      </w:r>
      <w:r>
        <w:rPr>
          <w:rFonts w:hint="eastAsia" w:hAnsi="宋体" w:cs="宋体"/>
          <w:color w:val="auto"/>
        </w:rPr>
        <w:t>日</w:t>
      </w:r>
    </w:p>
    <w:p w14:paraId="2388C6DF">
      <w:pPr>
        <w:autoSpaceDE w:val="0"/>
        <w:autoSpaceDN w:val="0"/>
        <w:adjustRightInd w:val="0"/>
        <w:snapToGrid w:val="0"/>
        <w:spacing w:before="166" w:beforeLines="50" w:line="360" w:lineRule="auto"/>
        <w:ind w:firstLine="480" w:firstLineChars="200"/>
        <w:jc w:val="left"/>
        <w:rPr>
          <w:rFonts w:hAnsi="宋体" w:cs="宋体"/>
          <w:color w:val="auto"/>
          <w:u w:val="single"/>
        </w:rPr>
      </w:pPr>
      <w:r>
        <w:rPr>
          <w:rFonts w:hint="eastAsia" w:hAnsi="宋体" w:cs="宋体"/>
          <w:color w:val="auto"/>
        </w:rPr>
        <w:t>经营期限：</w:t>
      </w:r>
      <w:r>
        <w:rPr>
          <w:rFonts w:hint="eastAsia" w:hAnsi="宋体" w:cs="宋体"/>
          <w:color w:val="auto"/>
          <w:u w:val="single"/>
        </w:rPr>
        <w:t xml:space="preserve">                  </w:t>
      </w:r>
    </w:p>
    <w:p w14:paraId="361FDB1D">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姓名：</w:t>
      </w:r>
      <w:r>
        <w:rPr>
          <w:rFonts w:hint="eastAsia" w:hAnsi="宋体" w:cs="宋体"/>
          <w:color w:val="auto"/>
          <w:u w:val="single"/>
        </w:rPr>
        <w:t xml:space="preserve">      </w:t>
      </w:r>
      <w:r>
        <w:rPr>
          <w:rFonts w:hint="eastAsia" w:hAnsi="宋体" w:cs="宋体"/>
          <w:color w:val="auto"/>
        </w:rPr>
        <w:t xml:space="preserve"> 性别：</w:t>
      </w:r>
      <w:r>
        <w:rPr>
          <w:rFonts w:hint="eastAsia" w:hAnsi="宋体" w:cs="宋体"/>
          <w:color w:val="auto"/>
          <w:u w:val="single"/>
        </w:rPr>
        <w:t xml:space="preserve">     </w:t>
      </w:r>
      <w:r>
        <w:rPr>
          <w:rFonts w:hint="eastAsia" w:hAnsi="宋体" w:cs="宋体"/>
          <w:color w:val="auto"/>
        </w:rPr>
        <w:t xml:space="preserve"> 年龄：</w:t>
      </w:r>
      <w:r>
        <w:rPr>
          <w:rFonts w:hint="eastAsia" w:hAnsi="宋体" w:cs="宋体"/>
          <w:color w:val="auto"/>
          <w:u w:val="single"/>
        </w:rPr>
        <w:t xml:space="preserve">     </w:t>
      </w:r>
      <w:r>
        <w:rPr>
          <w:rFonts w:hint="eastAsia" w:hAnsi="宋体" w:cs="宋体"/>
          <w:color w:val="auto"/>
        </w:rPr>
        <w:t xml:space="preserve"> 系</w:t>
      </w:r>
      <w:r>
        <w:rPr>
          <w:rFonts w:hint="eastAsia" w:hAnsi="宋体" w:cs="宋体"/>
          <w:color w:val="auto"/>
          <w:u w:val="single"/>
        </w:rPr>
        <w:t xml:space="preserve">         </w:t>
      </w:r>
      <w:r>
        <w:rPr>
          <w:rFonts w:hint="eastAsia" w:hAnsi="宋体" w:cs="宋体"/>
          <w:color w:val="auto"/>
        </w:rPr>
        <w:t>（供应商名称）的法定代表人。</w:t>
      </w:r>
    </w:p>
    <w:p w14:paraId="4DA3E23D">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特此证明。</w:t>
      </w:r>
    </w:p>
    <w:p w14:paraId="2375B2D1">
      <w:pPr>
        <w:autoSpaceDE w:val="0"/>
        <w:autoSpaceDN w:val="0"/>
        <w:adjustRightInd w:val="0"/>
        <w:snapToGrid w:val="0"/>
        <w:spacing w:before="166" w:beforeLines="50" w:line="360" w:lineRule="auto"/>
        <w:ind w:firstLine="480" w:firstLineChars="200"/>
        <w:jc w:val="left"/>
        <w:rPr>
          <w:rFonts w:hAnsi="宋体" w:cs="宋体"/>
          <w:color w:val="auto"/>
          <w:szCs w:val="21"/>
        </w:rPr>
      </w:pPr>
      <w:r>
        <w:rPr>
          <w:rFonts w:hint="eastAsia" w:hAnsi="宋体" w:cs="宋体"/>
          <w:color w:val="auto"/>
          <w:szCs w:val="21"/>
        </w:rPr>
        <w:t>附：法定代表人身份证复印件（正反面）</w:t>
      </w:r>
    </w:p>
    <w:p w14:paraId="1A8D326D">
      <w:pPr>
        <w:snapToGrid w:val="0"/>
        <w:spacing w:line="480" w:lineRule="auto"/>
        <w:rPr>
          <w:rFonts w:hAnsi="宋体" w:cs="宋体"/>
          <w:color w:val="auto"/>
          <w:szCs w:val="21"/>
        </w:rPr>
      </w:pPr>
    </w:p>
    <w:p w14:paraId="21123FD8">
      <w:pPr>
        <w:snapToGrid w:val="0"/>
        <w:rPr>
          <w:rFonts w:hAnsi="宋体" w:cs="宋体"/>
          <w:color w:val="auto"/>
          <w:szCs w:val="21"/>
        </w:rPr>
      </w:pPr>
    </w:p>
    <w:p w14:paraId="418435CC">
      <w:pPr>
        <w:snapToGrid w:val="0"/>
        <w:rPr>
          <w:rFonts w:hAnsi="宋体" w:cs="宋体"/>
          <w:color w:val="auto"/>
          <w:szCs w:val="21"/>
        </w:rPr>
      </w:pPr>
    </w:p>
    <w:p w14:paraId="032B28C5">
      <w:pPr>
        <w:snapToGrid w:val="0"/>
        <w:rPr>
          <w:rFonts w:hAnsi="宋体" w:cs="宋体"/>
          <w:color w:val="auto"/>
          <w:szCs w:val="21"/>
        </w:rPr>
      </w:pPr>
    </w:p>
    <w:p w14:paraId="3FDFF64D">
      <w:pPr>
        <w:snapToGrid w:val="0"/>
        <w:rPr>
          <w:rFonts w:hAnsi="宋体" w:cs="宋体"/>
          <w:color w:val="auto"/>
          <w:szCs w:val="21"/>
        </w:rPr>
      </w:pPr>
    </w:p>
    <w:p w14:paraId="70E083FE">
      <w:pPr>
        <w:adjustRightInd w:val="0"/>
        <w:snapToGrid w:val="0"/>
        <w:spacing w:line="360" w:lineRule="auto"/>
        <w:rPr>
          <w:rFonts w:hAnsi="宋体" w:cs="宋体"/>
          <w:color w:val="auto"/>
        </w:rPr>
      </w:pPr>
    </w:p>
    <w:p w14:paraId="76336863">
      <w:pPr>
        <w:adjustRightInd w:val="0"/>
        <w:snapToGrid w:val="0"/>
        <w:spacing w:line="360" w:lineRule="auto"/>
        <w:ind w:right="420"/>
        <w:rPr>
          <w:rFonts w:hAnsi="宋体" w:cs="宋体"/>
          <w:color w:val="auto"/>
        </w:rPr>
      </w:pPr>
    </w:p>
    <w:p w14:paraId="29837536">
      <w:pPr>
        <w:adjustRightInd w:val="0"/>
        <w:snapToGrid w:val="0"/>
        <w:spacing w:line="360" w:lineRule="auto"/>
        <w:ind w:right="420"/>
        <w:rPr>
          <w:rFonts w:hAnsi="宋体" w:cs="宋体"/>
          <w:color w:val="auto"/>
        </w:rPr>
      </w:pPr>
    </w:p>
    <w:p w14:paraId="4083BCFD">
      <w:pPr>
        <w:adjustRightInd w:val="0"/>
        <w:snapToGrid w:val="0"/>
        <w:spacing w:line="360" w:lineRule="auto"/>
        <w:ind w:right="420"/>
        <w:rPr>
          <w:rFonts w:hAnsi="宋体" w:cs="宋体"/>
          <w:color w:val="auto"/>
        </w:rPr>
      </w:pPr>
    </w:p>
    <w:p w14:paraId="5B99BB49">
      <w:pPr>
        <w:adjustRightInd w:val="0"/>
        <w:snapToGrid w:val="0"/>
        <w:spacing w:line="480" w:lineRule="auto"/>
        <w:ind w:firstLine="480" w:firstLineChars="200"/>
        <w:rPr>
          <w:rFonts w:hAnsi="宋体" w:cs="宋体"/>
          <w:color w:val="auto"/>
        </w:rPr>
      </w:pPr>
      <w:r>
        <w:rPr>
          <w:rFonts w:hint="eastAsia" w:hAnsi="宋体" w:cs="宋体"/>
          <w:color w:val="auto"/>
        </w:rPr>
        <w:t>供应商名称：</w:t>
      </w:r>
      <w:r>
        <w:rPr>
          <w:rFonts w:hint="eastAsia" w:hAnsi="宋体" w:cs="宋体"/>
          <w:color w:val="auto"/>
          <w:u w:val="single"/>
        </w:rPr>
        <w:t xml:space="preserve">                            </w:t>
      </w:r>
      <w:r>
        <w:rPr>
          <w:rFonts w:hint="eastAsia" w:hAnsi="宋体" w:cs="宋体"/>
          <w:color w:val="auto"/>
        </w:rPr>
        <w:t>（盖单位公章）</w:t>
      </w:r>
    </w:p>
    <w:p w14:paraId="75A7FA6C">
      <w:pPr>
        <w:adjustRightInd w:val="0"/>
        <w:snapToGrid w:val="0"/>
        <w:spacing w:line="480" w:lineRule="auto"/>
        <w:ind w:firstLine="480" w:firstLineChars="200"/>
        <w:rPr>
          <w:rFonts w:hAnsi="宋体" w:cs="宋体"/>
          <w:color w:val="auto"/>
        </w:rPr>
      </w:pPr>
      <w:r>
        <w:rPr>
          <w:rFonts w:hint="eastAsia" w:hAnsi="宋体" w:cs="宋体"/>
          <w:color w:val="auto"/>
        </w:rPr>
        <w:t>日   期：</w:t>
      </w:r>
      <w:r>
        <w:rPr>
          <w:rFonts w:hint="eastAsia" w:hAnsi="宋体" w:cs="宋体"/>
          <w:color w:val="auto"/>
          <w:u w:val="single"/>
        </w:rPr>
        <w:t xml:space="preserve">         </w:t>
      </w:r>
      <w:r>
        <w:rPr>
          <w:rFonts w:hint="eastAsia" w:hAnsi="宋体" w:cs="宋体"/>
          <w:color w:val="auto"/>
        </w:rPr>
        <w:t>年</w:t>
      </w:r>
      <w:r>
        <w:rPr>
          <w:rFonts w:hint="eastAsia" w:hAnsi="宋体" w:cs="宋体"/>
          <w:color w:val="auto"/>
          <w:u w:val="single"/>
        </w:rPr>
        <w:t xml:space="preserve">       </w:t>
      </w:r>
      <w:r>
        <w:rPr>
          <w:rFonts w:hint="eastAsia" w:hAnsi="宋体" w:cs="宋体"/>
          <w:color w:val="auto"/>
        </w:rPr>
        <w:t>月</w:t>
      </w:r>
      <w:r>
        <w:rPr>
          <w:rFonts w:hint="eastAsia" w:hAnsi="宋体" w:cs="宋体"/>
          <w:color w:val="auto"/>
          <w:u w:val="single"/>
        </w:rPr>
        <w:t xml:space="preserve">      </w:t>
      </w:r>
      <w:r>
        <w:rPr>
          <w:rFonts w:hint="eastAsia" w:hAnsi="宋体" w:cs="宋体"/>
          <w:color w:val="auto"/>
        </w:rPr>
        <w:t>日</w:t>
      </w:r>
    </w:p>
    <w:p w14:paraId="33DE9E61">
      <w:pPr>
        <w:pStyle w:val="19"/>
        <w:ind w:left="480" w:leftChars="200"/>
        <w:rPr>
          <w:color w:val="auto"/>
        </w:rPr>
      </w:pPr>
    </w:p>
    <w:p w14:paraId="7DD3FFE4">
      <w:pPr>
        <w:pStyle w:val="19"/>
        <w:jc w:val="left"/>
        <w:rPr>
          <w:rFonts w:ascii="宋体" w:hAnsi="宋体" w:cs="宋体"/>
          <w:b/>
          <w:bCs/>
          <w:color w:val="auto"/>
          <w:sz w:val="24"/>
          <w:szCs w:val="24"/>
          <w:lang w:val="zh-CN"/>
        </w:rPr>
      </w:pPr>
      <w:r>
        <w:rPr>
          <w:rFonts w:hint="eastAsia" w:ascii="宋体" w:hAnsi="宋体" w:cs="宋体"/>
          <w:b/>
          <w:bCs/>
          <w:color w:val="auto"/>
          <w:sz w:val="24"/>
          <w:szCs w:val="24"/>
          <w:lang w:val="zh-CN"/>
        </w:rPr>
        <w:t>说明：仅限法定代表人参加时提供。</w:t>
      </w:r>
    </w:p>
    <w:p w14:paraId="539587E6">
      <w:pPr>
        <w:pStyle w:val="19"/>
        <w:ind w:left="480" w:leftChars="200"/>
        <w:rPr>
          <w:color w:val="auto"/>
        </w:rPr>
      </w:pPr>
    </w:p>
    <w:p w14:paraId="6F16B5C7">
      <w:pPr>
        <w:spacing w:before="166" w:beforeLines="50" w:line="360" w:lineRule="auto"/>
        <w:jc w:val="center"/>
        <w:rPr>
          <w:rFonts w:hAnsi="宋体" w:cs="宋体"/>
          <w:b/>
          <w:bCs/>
          <w:color w:val="auto"/>
          <w:sz w:val="30"/>
          <w:szCs w:val="30"/>
        </w:rPr>
      </w:pPr>
    </w:p>
    <w:p w14:paraId="51FDC7CE">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法定代表人授权书</w:t>
      </w:r>
    </w:p>
    <w:p w14:paraId="71707537">
      <w:pPr>
        <w:spacing w:line="560" w:lineRule="exact"/>
        <w:jc w:val="left"/>
        <w:rPr>
          <w:rFonts w:hAnsi="宋体" w:cs="宋体"/>
          <w:color w:val="auto"/>
          <w:spacing w:val="4"/>
          <w:szCs w:val="24"/>
        </w:rPr>
      </w:pPr>
      <w:r>
        <w:rPr>
          <w:rFonts w:hint="eastAsia" w:hAnsi="宋体" w:cs="宋体"/>
          <w:b/>
          <w:color w:val="auto"/>
          <w:spacing w:val="4"/>
          <w:szCs w:val="24"/>
        </w:rPr>
        <w:t>致：</w:t>
      </w:r>
      <w:r>
        <w:rPr>
          <w:rFonts w:hint="eastAsia" w:hAnsi="宋体" w:cs="宋体"/>
          <w:b/>
          <w:color w:val="auto"/>
          <w:spacing w:val="4"/>
          <w:szCs w:val="24"/>
          <w:u w:val="single"/>
        </w:rPr>
        <w:t>采购人名称/陕西万兴招标代理有限公司</w:t>
      </w:r>
    </w:p>
    <w:p w14:paraId="557EC021">
      <w:pPr>
        <w:spacing w:line="560" w:lineRule="exact"/>
        <w:ind w:firstLine="496" w:firstLineChars="200"/>
        <w:jc w:val="left"/>
        <w:rPr>
          <w:rFonts w:hAnsi="宋体" w:cs="宋体"/>
          <w:color w:val="auto"/>
          <w:spacing w:val="4"/>
          <w:szCs w:val="24"/>
        </w:rPr>
      </w:pPr>
      <w:r>
        <w:rPr>
          <w:rFonts w:hint="eastAsia" w:hAnsi="宋体" w:cs="宋体"/>
          <w:color w:val="auto"/>
          <w:spacing w:val="4"/>
          <w:szCs w:val="24"/>
          <w:u w:val="single"/>
        </w:rPr>
        <w:t xml:space="preserve">(供应商名称)   </w:t>
      </w:r>
      <w:r>
        <w:rPr>
          <w:rFonts w:hint="eastAsia" w:hAnsi="宋体" w:cs="宋体"/>
          <w:color w:val="auto"/>
          <w:spacing w:val="4"/>
          <w:szCs w:val="24"/>
        </w:rPr>
        <w:t>按中华人民共和国法律于（</w:t>
      </w:r>
      <w:r>
        <w:rPr>
          <w:rFonts w:hint="eastAsia" w:hAnsi="宋体" w:cs="宋体"/>
          <w:color w:val="auto"/>
          <w:spacing w:val="4"/>
          <w:szCs w:val="24"/>
          <w:u w:val="single"/>
        </w:rPr>
        <w:t xml:space="preserve">     </w:t>
      </w:r>
      <w:r>
        <w:rPr>
          <w:rFonts w:hint="eastAsia" w:hAnsi="宋体" w:cs="宋体"/>
          <w:color w:val="auto"/>
          <w:spacing w:val="4"/>
          <w:szCs w:val="24"/>
        </w:rPr>
        <w:t>年</w:t>
      </w:r>
      <w:r>
        <w:rPr>
          <w:rFonts w:hint="eastAsia" w:hAnsi="宋体" w:cs="宋体"/>
          <w:color w:val="auto"/>
          <w:spacing w:val="4"/>
          <w:szCs w:val="24"/>
          <w:u w:val="single"/>
        </w:rPr>
        <w:t xml:space="preserve">    </w:t>
      </w:r>
      <w:r>
        <w:rPr>
          <w:rFonts w:hint="eastAsia" w:hAnsi="宋体" w:cs="宋体"/>
          <w:color w:val="auto"/>
          <w:spacing w:val="4"/>
          <w:szCs w:val="24"/>
        </w:rPr>
        <w:t>月</w:t>
      </w:r>
      <w:r>
        <w:rPr>
          <w:rFonts w:hint="eastAsia" w:hAnsi="宋体" w:cs="宋体"/>
          <w:color w:val="auto"/>
          <w:spacing w:val="4"/>
          <w:szCs w:val="24"/>
          <w:u w:val="single"/>
        </w:rPr>
        <w:t xml:space="preserve">    </w:t>
      </w:r>
      <w:r>
        <w:rPr>
          <w:rFonts w:hint="eastAsia" w:hAnsi="宋体" w:cs="宋体"/>
          <w:color w:val="auto"/>
          <w:spacing w:val="4"/>
          <w:szCs w:val="24"/>
        </w:rPr>
        <w:t>日 ）  成立。</w:t>
      </w:r>
      <w:r>
        <w:rPr>
          <w:rFonts w:hint="eastAsia" w:hAnsi="宋体" w:cs="宋体"/>
          <w:color w:val="auto"/>
          <w:szCs w:val="24"/>
        </w:rPr>
        <w:t>法定代表人</w:t>
      </w:r>
      <w:r>
        <w:rPr>
          <w:rFonts w:hint="eastAsia" w:hAnsi="宋体" w:cs="宋体"/>
          <w:color w:val="auto"/>
          <w:szCs w:val="24"/>
          <w:u w:val="single"/>
        </w:rPr>
        <w:t xml:space="preserve">  </w:t>
      </w:r>
      <w:r>
        <w:rPr>
          <w:rFonts w:hint="eastAsia" w:hAnsi="宋体" w:cs="宋体"/>
          <w:color w:val="auto"/>
          <w:spacing w:val="4"/>
          <w:szCs w:val="24"/>
          <w:u w:val="single"/>
        </w:rPr>
        <w:t xml:space="preserve">姓名   </w:t>
      </w:r>
      <w:r>
        <w:rPr>
          <w:rFonts w:hint="eastAsia" w:hAnsi="宋体" w:cs="宋体"/>
          <w:color w:val="auto"/>
          <w:spacing w:val="4"/>
          <w:szCs w:val="24"/>
        </w:rPr>
        <w:t>特授权</w:t>
      </w:r>
      <w:r>
        <w:rPr>
          <w:rFonts w:hint="eastAsia" w:hAnsi="宋体" w:cs="宋体"/>
          <w:color w:val="auto"/>
          <w:spacing w:val="4"/>
          <w:szCs w:val="24"/>
          <w:u w:val="single"/>
        </w:rPr>
        <w:t xml:space="preserve">  </w:t>
      </w:r>
      <w:r>
        <w:rPr>
          <w:rFonts w:hint="eastAsia" w:hAnsi="宋体" w:cs="宋体"/>
          <w:color w:val="auto"/>
          <w:szCs w:val="24"/>
          <w:u w:val="single"/>
        </w:rPr>
        <w:t>被授权人</w:t>
      </w:r>
      <w:r>
        <w:rPr>
          <w:rFonts w:hint="eastAsia" w:hAnsi="宋体" w:cs="宋体"/>
          <w:color w:val="auto"/>
          <w:spacing w:val="4"/>
          <w:szCs w:val="24"/>
          <w:u w:val="single"/>
        </w:rPr>
        <w:t xml:space="preserve">姓名  </w:t>
      </w:r>
      <w:r>
        <w:rPr>
          <w:rFonts w:hint="eastAsia" w:hAnsi="宋体" w:cs="宋体"/>
          <w:color w:val="auto"/>
          <w:spacing w:val="4"/>
          <w:szCs w:val="24"/>
        </w:rPr>
        <w:t>代表我公司</w:t>
      </w:r>
      <w:r>
        <w:rPr>
          <w:rFonts w:hint="eastAsia" w:hAnsi="宋体" w:cs="宋体"/>
          <w:color w:val="auto"/>
        </w:rPr>
        <w:t>我公司/单位在</w:t>
      </w:r>
      <w:r>
        <w:rPr>
          <w:rFonts w:hint="eastAsia" w:hAnsi="宋体" w:cs="宋体"/>
          <w:color w:val="auto"/>
          <w:spacing w:val="4"/>
          <w:szCs w:val="24"/>
        </w:rPr>
        <w:t>全权办理针对本次</w:t>
      </w:r>
      <w:r>
        <w:rPr>
          <w:rFonts w:hint="eastAsia" w:hAnsi="宋体" w:cs="宋体"/>
          <w:color w:val="auto"/>
          <w:spacing w:val="4"/>
          <w:szCs w:val="24"/>
          <w:u w:val="single"/>
        </w:rPr>
        <w:t xml:space="preserve">  项目名称、项目编号</w:t>
      </w:r>
      <w:r>
        <w:rPr>
          <w:rFonts w:hint="eastAsia" w:hAnsi="宋体" w:cs="宋体"/>
          <w:color w:val="auto"/>
          <w:spacing w:val="4"/>
          <w:szCs w:val="24"/>
          <w:u w:val="single"/>
          <w:lang w:eastAsia="zh-CN"/>
        </w:rPr>
        <w:t>、</w:t>
      </w:r>
      <w:r>
        <w:rPr>
          <w:rFonts w:hint="eastAsia" w:hAnsi="宋体" w:cs="宋体"/>
          <w:color w:val="auto"/>
          <w:spacing w:val="4"/>
          <w:szCs w:val="24"/>
          <w:u w:val="single"/>
          <w:lang w:val="en-US" w:eastAsia="zh-CN"/>
        </w:rPr>
        <w:t xml:space="preserve">包号     </w:t>
      </w:r>
      <w:r>
        <w:rPr>
          <w:rFonts w:hint="eastAsia" w:hAnsi="宋体" w:cs="宋体"/>
          <w:color w:val="auto"/>
          <w:spacing w:val="4"/>
          <w:szCs w:val="24"/>
        </w:rPr>
        <w:t>投标、谈判、签约等具体工作，并签署全部有关的文件、协议及合同。</w:t>
      </w:r>
    </w:p>
    <w:p w14:paraId="39F5576F">
      <w:pPr>
        <w:spacing w:line="560" w:lineRule="exact"/>
        <w:ind w:firstLine="496" w:firstLineChars="200"/>
        <w:jc w:val="left"/>
        <w:rPr>
          <w:rFonts w:hAnsi="宋体" w:cs="宋体"/>
          <w:color w:val="auto"/>
          <w:spacing w:val="4"/>
          <w:szCs w:val="24"/>
        </w:rPr>
      </w:pPr>
      <w:r>
        <w:rPr>
          <w:rFonts w:hint="eastAsia" w:hAnsi="宋体" w:cs="宋体"/>
          <w:color w:val="auto"/>
          <w:spacing w:val="4"/>
          <w:szCs w:val="24"/>
        </w:rPr>
        <w:t>我公司对</w:t>
      </w:r>
      <w:r>
        <w:rPr>
          <w:rFonts w:hint="eastAsia" w:hAnsi="宋体" w:cs="宋体"/>
          <w:color w:val="auto"/>
          <w:szCs w:val="24"/>
        </w:rPr>
        <w:t>被授权人</w:t>
      </w:r>
      <w:r>
        <w:rPr>
          <w:rFonts w:hint="eastAsia" w:hAnsi="宋体" w:cs="宋体"/>
          <w:color w:val="auto"/>
          <w:spacing w:val="4"/>
          <w:szCs w:val="24"/>
        </w:rPr>
        <w:t>的签名负全部责任。</w:t>
      </w:r>
    </w:p>
    <w:p w14:paraId="4429C23A">
      <w:pPr>
        <w:spacing w:line="560" w:lineRule="exact"/>
        <w:ind w:right="233" w:rightChars="97" w:firstLine="480" w:firstLineChars="200"/>
        <w:jc w:val="left"/>
        <w:rPr>
          <w:rFonts w:hAnsi="宋体" w:cs="宋体"/>
          <w:color w:val="auto"/>
        </w:rPr>
      </w:pPr>
      <w:r>
        <w:rPr>
          <w:rFonts w:hint="eastAsia" w:hAnsi="宋体" w:cs="宋体"/>
          <w:color w:val="auto"/>
          <w:szCs w:val="24"/>
        </w:rPr>
        <w:t>本授权有效期与投标有效期一致</w:t>
      </w:r>
      <w:r>
        <w:rPr>
          <w:rFonts w:hint="eastAsia" w:hAnsi="宋体" w:cs="宋体"/>
          <w:color w:val="auto"/>
        </w:rPr>
        <w:t>。</w:t>
      </w:r>
    </w:p>
    <w:tbl>
      <w:tblPr>
        <w:tblStyle w:val="46"/>
        <w:tblW w:w="8190" w:type="dxa"/>
        <w:tblInd w:w="633" w:type="dxa"/>
        <w:tblLayout w:type="fixed"/>
        <w:tblCellMar>
          <w:top w:w="0" w:type="dxa"/>
          <w:left w:w="108" w:type="dxa"/>
          <w:bottom w:w="0" w:type="dxa"/>
          <w:right w:w="108" w:type="dxa"/>
        </w:tblCellMar>
      </w:tblPr>
      <w:tblGrid>
        <w:gridCol w:w="4200"/>
        <w:gridCol w:w="3990"/>
      </w:tblGrid>
      <w:tr w14:paraId="487A15D8">
        <w:tblPrEx>
          <w:tblCellMar>
            <w:top w:w="0" w:type="dxa"/>
            <w:left w:w="108" w:type="dxa"/>
            <w:bottom w:w="0" w:type="dxa"/>
            <w:right w:w="108" w:type="dxa"/>
          </w:tblCellMar>
        </w:tblPrEx>
        <w:trPr>
          <w:trHeight w:val="600" w:hRule="atLeast"/>
        </w:trPr>
        <w:tc>
          <w:tcPr>
            <w:tcW w:w="4200" w:type="dxa"/>
          </w:tcPr>
          <w:p w14:paraId="6B92B510">
            <w:pPr>
              <w:spacing w:line="520" w:lineRule="exact"/>
              <w:jc w:val="left"/>
              <w:rPr>
                <w:rFonts w:hAnsi="宋体" w:cs="宋体"/>
                <w:color w:val="auto"/>
                <w:spacing w:val="4"/>
                <w:szCs w:val="24"/>
              </w:rPr>
            </w:pPr>
            <w:r>
              <w:rPr>
                <w:rFonts w:hint="eastAsia" w:hAnsi="宋体" w:cs="宋体"/>
                <w:color w:val="auto"/>
                <w:spacing w:val="4"/>
                <w:szCs w:val="24"/>
              </w:rPr>
              <w:t>被授权人签字或盖章：</w:t>
            </w:r>
          </w:p>
        </w:tc>
        <w:tc>
          <w:tcPr>
            <w:tcW w:w="3990" w:type="dxa"/>
          </w:tcPr>
          <w:p w14:paraId="080951A2">
            <w:pPr>
              <w:spacing w:line="520" w:lineRule="exact"/>
              <w:jc w:val="left"/>
              <w:rPr>
                <w:rFonts w:hAnsi="宋体" w:cs="宋体"/>
                <w:color w:val="auto"/>
                <w:spacing w:val="4"/>
                <w:szCs w:val="24"/>
              </w:rPr>
            </w:pPr>
            <w:r>
              <w:rPr>
                <w:rFonts w:hint="eastAsia" w:hAnsi="宋体" w:cs="宋体"/>
                <w:color w:val="auto"/>
                <w:szCs w:val="24"/>
              </w:rPr>
              <w:t>法定代表人</w:t>
            </w:r>
            <w:r>
              <w:rPr>
                <w:rFonts w:hint="eastAsia" w:hAnsi="宋体" w:cs="宋体"/>
                <w:color w:val="auto"/>
                <w:spacing w:val="4"/>
                <w:szCs w:val="24"/>
              </w:rPr>
              <w:t>签字或盖章：</w:t>
            </w:r>
          </w:p>
        </w:tc>
      </w:tr>
      <w:tr w14:paraId="1554D745">
        <w:tblPrEx>
          <w:tblCellMar>
            <w:top w:w="0" w:type="dxa"/>
            <w:left w:w="108" w:type="dxa"/>
            <w:bottom w:w="0" w:type="dxa"/>
            <w:right w:w="108" w:type="dxa"/>
          </w:tblCellMar>
        </w:tblPrEx>
        <w:trPr>
          <w:trHeight w:val="600" w:hRule="atLeast"/>
        </w:trPr>
        <w:tc>
          <w:tcPr>
            <w:tcW w:w="4200" w:type="dxa"/>
          </w:tcPr>
          <w:p w14:paraId="03AC7923">
            <w:pPr>
              <w:spacing w:line="520" w:lineRule="exact"/>
              <w:jc w:val="left"/>
              <w:rPr>
                <w:rFonts w:hAnsi="宋体" w:cs="宋体"/>
                <w:color w:val="auto"/>
                <w:spacing w:val="4"/>
                <w:szCs w:val="24"/>
              </w:rPr>
            </w:pPr>
            <w:r>
              <w:rPr>
                <w:rFonts w:hint="eastAsia" w:hAnsi="宋体" w:cs="宋体"/>
                <w:color w:val="auto"/>
                <w:spacing w:val="4"/>
                <w:szCs w:val="24"/>
              </w:rPr>
              <w:t>职务：</w:t>
            </w:r>
          </w:p>
        </w:tc>
        <w:tc>
          <w:tcPr>
            <w:tcW w:w="3990" w:type="dxa"/>
          </w:tcPr>
          <w:p w14:paraId="5B31C270">
            <w:pPr>
              <w:spacing w:line="520" w:lineRule="exact"/>
              <w:jc w:val="left"/>
              <w:rPr>
                <w:rFonts w:hAnsi="宋体" w:cs="宋体"/>
                <w:color w:val="auto"/>
                <w:spacing w:val="4"/>
                <w:szCs w:val="24"/>
              </w:rPr>
            </w:pPr>
            <w:r>
              <w:rPr>
                <w:rFonts w:hint="eastAsia" w:hAnsi="宋体" w:cs="宋体"/>
                <w:color w:val="auto"/>
                <w:spacing w:val="4"/>
                <w:szCs w:val="24"/>
              </w:rPr>
              <w:t>职务：</w:t>
            </w:r>
          </w:p>
        </w:tc>
      </w:tr>
    </w:tbl>
    <w:p w14:paraId="15E26126">
      <w:pPr>
        <w:spacing w:before="240" w:line="360" w:lineRule="auto"/>
        <w:ind w:firstLine="960" w:firstLineChars="400"/>
        <w:rPr>
          <w:rFonts w:hAnsi="宋体" w:cs="宋体"/>
          <w:color w:val="auto"/>
          <w:u w:val="single"/>
        </w:rPr>
      </w:pPr>
      <w:r>
        <w:rPr>
          <w:rFonts w:hint="eastAsia" w:hAnsi="宋体" w:cs="宋体"/>
          <w:color w:val="auto"/>
          <w:lang w:val="zh-CN"/>
        </w:rPr>
        <w:t>附法定代表人身份证复印件及被授权人身份证复印件</w:t>
      </w:r>
      <w:r>
        <w:rPr>
          <w:rFonts w:hint="eastAsia" w:hAnsi="宋体" w:cs="宋体"/>
          <w:color w:val="auto"/>
          <w:szCs w:val="21"/>
          <w:lang w:val="zh-CN"/>
        </w:rPr>
        <w:t>（正反面）</w:t>
      </w:r>
    </w:p>
    <w:p w14:paraId="234CB5BE">
      <w:pPr>
        <w:spacing w:line="480" w:lineRule="auto"/>
        <w:ind w:left="485" w:leftChars="202" w:right="617" w:rightChars="257"/>
        <w:jc w:val="left"/>
        <w:rPr>
          <w:rFonts w:hAnsi="宋体" w:cs="宋体"/>
          <w:color w:val="auto"/>
        </w:rPr>
      </w:pPr>
    </w:p>
    <w:p w14:paraId="4A684A67">
      <w:pPr>
        <w:spacing w:line="480" w:lineRule="auto"/>
        <w:ind w:left="485" w:leftChars="202" w:right="617" w:rightChars="257"/>
        <w:jc w:val="left"/>
        <w:rPr>
          <w:rFonts w:hAnsi="宋体" w:cs="宋体"/>
          <w:color w:val="auto"/>
        </w:rPr>
      </w:pPr>
    </w:p>
    <w:p w14:paraId="040BBBE5">
      <w:pPr>
        <w:spacing w:line="480" w:lineRule="auto"/>
        <w:ind w:left="485" w:leftChars="202" w:right="617" w:rightChars="257"/>
        <w:jc w:val="left"/>
        <w:rPr>
          <w:rFonts w:hAnsi="宋体" w:cs="宋体"/>
          <w:color w:val="auto"/>
        </w:rPr>
      </w:pPr>
    </w:p>
    <w:p w14:paraId="3D3C5388">
      <w:pPr>
        <w:adjustRightInd w:val="0"/>
        <w:snapToGrid w:val="0"/>
        <w:spacing w:line="360" w:lineRule="auto"/>
        <w:ind w:right="420"/>
        <w:rPr>
          <w:rFonts w:hAnsi="宋体" w:cs="宋体"/>
          <w:color w:val="auto"/>
        </w:rPr>
      </w:pPr>
    </w:p>
    <w:p w14:paraId="76A02BDE">
      <w:pPr>
        <w:adjustRightInd w:val="0"/>
        <w:snapToGrid w:val="0"/>
        <w:spacing w:line="720" w:lineRule="auto"/>
        <w:ind w:firstLine="480" w:firstLineChars="200"/>
        <w:rPr>
          <w:rFonts w:hAnsi="宋体" w:cs="宋体"/>
          <w:color w:val="auto"/>
        </w:rPr>
      </w:pPr>
      <w:r>
        <w:rPr>
          <w:rFonts w:hint="eastAsia" w:hAnsi="宋体" w:cs="宋体"/>
          <w:color w:val="auto"/>
        </w:rPr>
        <w:t>供应商名称：</w:t>
      </w:r>
      <w:r>
        <w:rPr>
          <w:rFonts w:hint="eastAsia" w:hAnsi="宋体" w:cs="宋体"/>
          <w:color w:val="auto"/>
          <w:u w:val="single"/>
        </w:rPr>
        <w:t xml:space="preserve">                            </w:t>
      </w:r>
      <w:r>
        <w:rPr>
          <w:rFonts w:hint="eastAsia" w:hAnsi="宋体" w:cs="宋体"/>
          <w:color w:val="auto"/>
        </w:rPr>
        <w:t>（盖单位公章）</w:t>
      </w:r>
    </w:p>
    <w:p w14:paraId="73BE6AF1">
      <w:pPr>
        <w:adjustRightInd w:val="0"/>
        <w:snapToGrid w:val="0"/>
        <w:spacing w:line="720" w:lineRule="auto"/>
        <w:ind w:firstLine="480" w:firstLineChars="200"/>
        <w:rPr>
          <w:rFonts w:hAnsi="宋体" w:cs="宋体"/>
          <w:color w:val="auto"/>
        </w:rPr>
      </w:pPr>
      <w:r>
        <w:rPr>
          <w:rFonts w:hint="eastAsia" w:hAnsi="宋体" w:cs="宋体"/>
          <w:color w:val="auto"/>
        </w:rPr>
        <w:t>日   期：</w:t>
      </w:r>
      <w:r>
        <w:rPr>
          <w:rFonts w:hint="eastAsia" w:hAnsi="宋体" w:cs="宋体"/>
          <w:color w:val="auto"/>
          <w:u w:val="single"/>
        </w:rPr>
        <w:t xml:space="preserve">         </w:t>
      </w:r>
      <w:r>
        <w:rPr>
          <w:rFonts w:hint="eastAsia" w:hAnsi="宋体" w:cs="宋体"/>
          <w:color w:val="auto"/>
        </w:rPr>
        <w:t>年</w:t>
      </w:r>
      <w:r>
        <w:rPr>
          <w:rFonts w:hint="eastAsia" w:hAnsi="宋体" w:cs="宋体"/>
          <w:color w:val="auto"/>
          <w:u w:val="single"/>
        </w:rPr>
        <w:t xml:space="preserve">       </w:t>
      </w:r>
      <w:r>
        <w:rPr>
          <w:rFonts w:hint="eastAsia" w:hAnsi="宋体" w:cs="宋体"/>
          <w:color w:val="auto"/>
        </w:rPr>
        <w:t>月</w:t>
      </w:r>
      <w:r>
        <w:rPr>
          <w:rFonts w:hint="eastAsia" w:hAnsi="宋体" w:cs="宋体"/>
          <w:color w:val="auto"/>
          <w:u w:val="single"/>
        </w:rPr>
        <w:t xml:space="preserve">      </w:t>
      </w:r>
      <w:r>
        <w:rPr>
          <w:rFonts w:hint="eastAsia" w:hAnsi="宋体" w:cs="宋体"/>
          <w:color w:val="auto"/>
        </w:rPr>
        <w:t>日</w:t>
      </w:r>
    </w:p>
    <w:p w14:paraId="03EB4BDE">
      <w:pPr>
        <w:ind w:firstLine="482" w:firstLineChars="200"/>
        <w:rPr>
          <w:rFonts w:hAnsi="宋体" w:cs="宋体"/>
          <w:b/>
          <w:bCs/>
          <w:color w:val="auto"/>
          <w:lang w:val="zh-CN"/>
        </w:rPr>
      </w:pPr>
    </w:p>
    <w:p w14:paraId="69983F4E">
      <w:pPr>
        <w:pStyle w:val="19"/>
        <w:ind w:left="480" w:leftChars="200"/>
        <w:rPr>
          <w:rFonts w:ascii="宋体" w:hAnsi="宋体" w:cs="宋体"/>
          <w:b/>
          <w:bCs/>
          <w:color w:val="auto"/>
          <w:sz w:val="24"/>
          <w:szCs w:val="24"/>
          <w:lang w:val="zh-CN"/>
        </w:rPr>
      </w:pPr>
      <w:r>
        <w:rPr>
          <w:rFonts w:hint="eastAsia" w:ascii="宋体" w:hAnsi="宋体" w:cs="宋体"/>
          <w:b/>
          <w:bCs/>
          <w:color w:val="auto"/>
          <w:sz w:val="24"/>
          <w:szCs w:val="24"/>
          <w:lang w:val="zh-CN"/>
        </w:rPr>
        <w:t>说明：</w:t>
      </w:r>
      <w:r>
        <w:rPr>
          <w:rFonts w:hint="eastAsia" w:ascii="宋体" w:hAnsi="宋体" w:cs="宋体"/>
          <w:b/>
          <w:bCs/>
          <w:color w:val="auto"/>
          <w:sz w:val="24"/>
          <w:szCs w:val="24"/>
        </w:rPr>
        <w:t>法定代表人直接投标时无需提供。</w:t>
      </w:r>
    </w:p>
    <w:p w14:paraId="1643399B">
      <w:pPr>
        <w:spacing w:before="166" w:beforeLines="50" w:line="360" w:lineRule="auto"/>
        <w:jc w:val="left"/>
        <w:rPr>
          <w:rFonts w:hAnsi="宋体" w:cs="宋体"/>
          <w:b/>
          <w:bCs/>
          <w:color w:val="auto"/>
          <w:szCs w:val="24"/>
        </w:rPr>
      </w:pPr>
      <w:r>
        <w:rPr>
          <w:rFonts w:hint="eastAsia" w:hAnsi="宋体" w:cs="宋体"/>
          <w:b/>
          <w:bCs/>
          <w:color w:val="auto"/>
          <w:szCs w:val="24"/>
        </w:rPr>
        <w:br w:type="page"/>
      </w:r>
    </w:p>
    <w:p w14:paraId="6F5A1448">
      <w:pPr>
        <w:rPr>
          <w:rFonts w:hAnsi="宋体" w:cs="宋体"/>
          <w:b/>
          <w:color w:val="auto"/>
          <w:sz w:val="28"/>
          <w:szCs w:val="28"/>
        </w:rPr>
      </w:pPr>
      <w:r>
        <w:rPr>
          <w:rFonts w:hint="eastAsia" w:hAnsi="宋体" w:cs="宋体"/>
          <w:b/>
          <w:color w:val="auto"/>
          <w:sz w:val="28"/>
          <w:szCs w:val="28"/>
        </w:rPr>
        <w:t>附件</w:t>
      </w:r>
      <w:r>
        <w:rPr>
          <w:rFonts w:hAnsi="宋体" w:cs="宋体"/>
          <w:b/>
          <w:color w:val="auto"/>
          <w:sz w:val="28"/>
          <w:szCs w:val="28"/>
        </w:rPr>
        <w:t>1</w:t>
      </w:r>
      <w:r>
        <w:rPr>
          <w:rFonts w:hint="eastAsia" w:hAnsi="宋体" w:cs="宋体"/>
          <w:b/>
          <w:color w:val="auto"/>
          <w:sz w:val="28"/>
          <w:szCs w:val="28"/>
        </w:rPr>
        <w:t>：</w:t>
      </w:r>
    </w:p>
    <w:p w14:paraId="5684945E">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参加本次政府采购活动前三年内，在经营活动中没有重大违法记录的</w:t>
      </w:r>
    </w:p>
    <w:p w14:paraId="395921EB">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书面声明</w:t>
      </w:r>
    </w:p>
    <w:p w14:paraId="6C70A7DD">
      <w:pPr>
        <w:spacing w:before="120" w:line="360" w:lineRule="auto"/>
        <w:jc w:val="center"/>
        <w:rPr>
          <w:rFonts w:hAnsi="宋体" w:cs="宋体"/>
          <w:b/>
          <w:color w:val="auto"/>
          <w:szCs w:val="24"/>
        </w:rPr>
      </w:pPr>
    </w:p>
    <w:p w14:paraId="32A8E3B7">
      <w:pPr>
        <w:spacing w:before="120" w:line="360" w:lineRule="auto"/>
        <w:jc w:val="center"/>
        <w:rPr>
          <w:rFonts w:hAnsi="宋体" w:cs="宋体"/>
          <w:b/>
          <w:color w:val="auto"/>
          <w:szCs w:val="24"/>
        </w:rPr>
      </w:pPr>
    </w:p>
    <w:p w14:paraId="460235AD">
      <w:pPr>
        <w:spacing w:line="480" w:lineRule="auto"/>
        <w:rPr>
          <w:rFonts w:hAnsi="宋体" w:cs="宋体"/>
          <w:color w:val="auto"/>
          <w:spacing w:val="4"/>
          <w:szCs w:val="24"/>
          <w:u w:val="single"/>
        </w:rPr>
      </w:pPr>
      <w:r>
        <w:rPr>
          <w:rFonts w:hint="eastAsia" w:hAnsi="宋体" w:cs="宋体"/>
          <w:color w:val="auto"/>
          <w:spacing w:val="4"/>
          <w:szCs w:val="24"/>
        </w:rPr>
        <w:t>致：</w:t>
      </w:r>
      <w:r>
        <w:rPr>
          <w:rFonts w:hint="eastAsia" w:hAnsi="宋体" w:cs="宋体"/>
          <w:color w:val="auto"/>
          <w:spacing w:val="4"/>
          <w:szCs w:val="24"/>
          <w:u w:val="single"/>
        </w:rPr>
        <w:t xml:space="preserve">   （采购人名称）    </w:t>
      </w:r>
    </w:p>
    <w:p w14:paraId="71161269">
      <w:pPr>
        <w:spacing w:line="480" w:lineRule="auto"/>
        <w:ind w:firstLine="496" w:firstLineChars="200"/>
        <w:rPr>
          <w:rFonts w:hAnsi="宋体" w:cs="宋体"/>
          <w:color w:val="auto"/>
          <w:spacing w:val="4"/>
          <w:szCs w:val="24"/>
        </w:rPr>
      </w:pPr>
      <w:r>
        <w:rPr>
          <w:rFonts w:hint="eastAsia" w:hAnsi="宋体" w:cs="宋体"/>
          <w:color w:val="auto"/>
          <w:spacing w:val="4"/>
          <w:szCs w:val="24"/>
        </w:rPr>
        <w:t>（</w:t>
      </w:r>
      <w:r>
        <w:rPr>
          <w:rFonts w:hint="eastAsia" w:hAnsi="宋体" w:cs="宋体"/>
          <w:color w:val="auto"/>
          <w:spacing w:val="4"/>
          <w:szCs w:val="24"/>
          <w:u w:val="single"/>
        </w:rPr>
        <w:t xml:space="preserve">                  公司</w:t>
      </w:r>
      <w:r>
        <w:rPr>
          <w:rFonts w:hint="eastAsia" w:hAnsi="宋体" w:cs="宋体"/>
          <w:color w:val="auto"/>
          <w:spacing w:val="4"/>
          <w:szCs w:val="24"/>
        </w:rPr>
        <w:t>）为在中华人民共和国境内合法注册并经营的机构。在此郑重声明，我公司在参与本次政府采购活动前三年内在经营活动中没有重大违法记录。</w:t>
      </w:r>
    </w:p>
    <w:p w14:paraId="36277A8C">
      <w:pPr>
        <w:pStyle w:val="19"/>
        <w:rPr>
          <w:rFonts w:ascii="宋体" w:hAnsi="宋体" w:cs="宋体"/>
          <w:color w:val="auto"/>
          <w:spacing w:val="4"/>
          <w:sz w:val="24"/>
          <w:szCs w:val="24"/>
        </w:rPr>
      </w:pPr>
    </w:p>
    <w:p w14:paraId="3D04DAE2">
      <w:pPr>
        <w:pStyle w:val="19"/>
        <w:rPr>
          <w:rFonts w:ascii="宋体" w:hAnsi="宋体" w:cs="宋体"/>
          <w:color w:val="auto"/>
          <w:spacing w:val="4"/>
          <w:sz w:val="24"/>
          <w:szCs w:val="24"/>
        </w:rPr>
      </w:pPr>
    </w:p>
    <w:p w14:paraId="0EEF33CB">
      <w:pPr>
        <w:pStyle w:val="19"/>
        <w:rPr>
          <w:rFonts w:ascii="宋体" w:hAnsi="宋体" w:cs="宋体"/>
          <w:color w:val="auto"/>
          <w:spacing w:val="4"/>
          <w:sz w:val="24"/>
          <w:szCs w:val="24"/>
        </w:rPr>
      </w:pPr>
    </w:p>
    <w:p w14:paraId="709A978C">
      <w:pPr>
        <w:pStyle w:val="19"/>
        <w:rPr>
          <w:rFonts w:ascii="宋体" w:hAnsi="宋体" w:cs="宋体"/>
          <w:color w:val="auto"/>
          <w:spacing w:val="4"/>
          <w:sz w:val="24"/>
          <w:szCs w:val="24"/>
        </w:rPr>
      </w:pPr>
    </w:p>
    <w:p w14:paraId="4BBA3295">
      <w:pPr>
        <w:pStyle w:val="19"/>
        <w:rPr>
          <w:rFonts w:ascii="宋体" w:hAnsi="宋体" w:cs="宋体"/>
          <w:color w:val="auto"/>
          <w:spacing w:val="4"/>
          <w:sz w:val="24"/>
          <w:szCs w:val="24"/>
        </w:rPr>
      </w:pPr>
    </w:p>
    <w:p w14:paraId="315EDB57">
      <w:pPr>
        <w:pStyle w:val="19"/>
        <w:rPr>
          <w:rFonts w:ascii="宋体" w:hAnsi="宋体" w:cs="宋体"/>
          <w:color w:val="auto"/>
          <w:spacing w:val="4"/>
          <w:sz w:val="24"/>
          <w:szCs w:val="24"/>
        </w:rPr>
      </w:pPr>
    </w:p>
    <w:p w14:paraId="718B48FF">
      <w:pPr>
        <w:pStyle w:val="19"/>
        <w:rPr>
          <w:rFonts w:ascii="宋体" w:hAnsi="宋体" w:cs="宋体"/>
          <w:color w:val="auto"/>
          <w:spacing w:val="4"/>
          <w:sz w:val="24"/>
          <w:szCs w:val="24"/>
        </w:rPr>
      </w:pPr>
    </w:p>
    <w:p w14:paraId="74B08E18">
      <w:pPr>
        <w:pStyle w:val="19"/>
        <w:rPr>
          <w:rFonts w:ascii="宋体" w:hAnsi="宋体" w:cs="宋体"/>
          <w:color w:val="auto"/>
          <w:spacing w:val="4"/>
          <w:sz w:val="24"/>
          <w:szCs w:val="24"/>
        </w:rPr>
      </w:pPr>
    </w:p>
    <w:p w14:paraId="41EA295D">
      <w:pPr>
        <w:spacing w:line="360" w:lineRule="auto"/>
        <w:ind w:firstLine="2640" w:firstLineChars="1100"/>
        <w:rPr>
          <w:rFonts w:hAnsi="宋体" w:cs="宋体"/>
          <w:color w:val="auto"/>
          <w:szCs w:val="24"/>
          <w:u w:val="single"/>
        </w:rPr>
      </w:pPr>
      <w:r>
        <w:rPr>
          <w:rFonts w:hint="eastAsia" w:hAnsi="宋体" w:cs="宋体"/>
          <w:color w:val="auto"/>
          <w:szCs w:val="24"/>
        </w:rPr>
        <w:t>法定代表人或被授权代表：</w:t>
      </w:r>
      <w:r>
        <w:rPr>
          <w:rFonts w:hint="eastAsia" w:hAnsi="宋体" w:cs="宋体"/>
          <w:color w:val="auto"/>
          <w:szCs w:val="24"/>
          <w:u w:val="single"/>
        </w:rPr>
        <w:t xml:space="preserve">        </w:t>
      </w:r>
      <w:r>
        <w:rPr>
          <w:rFonts w:hint="eastAsia" w:hAnsi="宋体" w:cs="宋体"/>
          <w:color w:val="auto"/>
          <w:szCs w:val="24"/>
        </w:rPr>
        <w:t>（签字或盖章）</w:t>
      </w:r>
    </w:p>
    <w:p w14:paraId="402B0D98">
      <w:pPr>
        <w:spacing w:line="360" w:lineRule="auto"/>
        <w:ind w:firstLine="2640" w:firstLineChars="1100"/>
        <w:rPr>
          <w:rFonts w:hAnsi="宋体" w:cs="宋体"/>
          <w:color w:val="auto"/>
          <w:szCs w:val="24"/>
          <w:u w:val="single"/>
        </w:rPr>
      </w:pPr>
      <w:r>
        <w:rPr>
          <w:rFonts w:hint="eastAsia" w:hAnsi="宋体" w:cs="宋体"/>
          <w:color w:val="auto"/>
          <w:szCs w:val="24"/>
        </w:rPr>
        <w:t>供    应   商  公  章：</w:t>
      </w:r>
      <w:r>
        <w:rPr>
          <w:rFonts w:hint="eastAsia" w:hAnsi="宋体" w:cs="宋体"/>
          <w:color w:val="auto"/>
          <w:szCs w:val="24"/>
          <w:u w:val="single"/>
        </w:rPr>
        <w:t xml:space="preserve">                                 </w:t>
      </w:r>
    </w:p>
    <w:p w14:paraId="17791E32">
      <w:pPr>
        <w:pStyle w:val="31"/>
        <w:spacing w:line="360" w:lineRule="auto"/>
        <w:ind w:firstLine="2640" w:firstLineChars="1100"/>
        <w:rPr>
          <w:rFonts w:ascii="宋体" w:hAnsi="宋体" w:cs="宋体"/>
          <w:color w:val="auto"/>
          <w:szCs w:val="24"/>
          <w:u w:val="single"/>
        </w:rPr>
      </w:pPr>
      <w:r>
        <w:rPr>
          <w:rFonts w:hint="eastAsia" w:ascii="宋体" w:hAnsi="宋体" w:cs="宋体"/>
          <w:color w:val="auto"/>
          <w:kern w:val="0"/>
          <w:sz w:val="24"/>
          <w:szCs w:val="24"/>
        </w:rPr>
        <w:t>日                 期：</w:t>
      </w:r>
      <w:r>
        <w:rPr>
          <w:rFonts w:hint="eastAsia" w:ascii="宋体" w:hAnsi="宋体" w:cs="宋体"/>
          <w:color w:val="auto"/>
          <w:szCs w:val="24"/>
          <w:u w:val="single"/>
        </w:rPr>
        <w:t xml:space="preserve">                                            </w:t>
      </w:r>
    </w:p>
    <w:p w14:paraId="19A4B119">
      <w:pPr>
        <w:pStyle w:val="31"/>
        <w:spacing w:line="360" w:lineRule="auto"/>
        <w:ind w:firstLine="1980" w:firstLineChars="1100"/>
        <w:rPr>
          <w:rFonts w:ascii="宋体" w:hAnsi="宋体" w:cs="宋体"/>
          <w:color w:val="auto"/>
          <w:szCs w:val="24"/>
          <w:u w:val="single"/>
        </w:rPr>
      </w:pPr>
    </w:p>
    <w:p w14:paraId="0CD6DB40">
      <w:pPr>
        <w:pStyle w:val="31"/>
        <w:spacing w:line="360" w:lineRule="auto"/>
        <w:ind w:firstLine="1980" w:firstLineChars="1100"/>
        <w:rPr>
          <w:rFonts w:ascii="宋体" w:hAnsi="宋体" w:cs="宋体"/>
          <w:color w:val="auto"/>
          <w:szCs w:val="24"/>
          <w:u w:val="single"/>
        </w:rPr>
      </w:pPr>
    </w:p>
    <w:p w14:paraId="5DA87B30">
      <w:pPr>
        <w:pStyle w:val="31"/>
        <w:spacing w:line="360" w:lineRule="auto"/>
        <w:ind w:firstLine="1980" w:firstLineChars="1100"/>
        <w:rPr>
          <w:rFonts w:ascii="宋体" w:hAnsi="宋体" w:cs="宋体"/>
          <w:color w:val="auto"/>
          <w:szCs w:val="24"/>
          <w:u w:val="single"/>
        </w:rPr>
      </w:pPr>
    </w:p>
    <w:p w14:paraId="0197A7AC">
      <w:pPr>
        <w:pStyle w:val="31"/>
        <w:spacing w:line="360" w:lineRule="auto"/>
        <w:ind w:firstLine="1980" w:firstLineChars="1100"/>
        <w:rPr>
          <w:rFonts w:ascii="宋体" w:hAnsi="宋体" w:cs="宋体"/>
          <w:color w:val="auto"/>
          <w:szCs w:val="24"/>
          <w:u w:val="single"/>
        </w:rPr>
      </w:pPr>
    </w:p>
    <w:p w14:paraId="55DE2B58">
      <w:pPr>
        <w:pStyle w:val="31"/>
        <w:spacing w:line="360" w:lineRule="auto"/>
        <w:ind w:firstLine="1980" w:firstLineChars="1100"/>
        <w:rPr>
          <w:rFonts w:ascii="宋体" w:hAnsi="宋体" w:cs="宋体"/>
          <w:color w:val="auto"/>
          <w:szCs w:val="24"/>
          <w:u w:val="single"/>
        </w:rPr>
      </w:pPr>
    </w:p>
    <w:p w14:paraId="3679BF8A">
      <w:pPr>
        <w:pStyle w:val="31"/>
        <w:spacing w:line="360" w:lineRule="auto"/>
        <w:ind w:firstLine="1980" w:firstLineChars="1100"/>
        <w:rPr>
          <w:rFonts w:ascii="宋体" w:hAnsi="宋体" w:cs="宋体"/>
          <w:color w:val="auto"/>
          <w:szCs w:val="24"/>
          <w:u w:val="single"/>
        </w:rPr>
      </w:pPr>
    </w:p>
    <w:p w14:paraId="490B9222">
      <w:pPr>
        <w:pStyle w:val="31"/>
        <w:spacing w:line="360" w:lineRule="auto"/>
        <w:ind w:firstLine="1980" w:firstLineChars="1100"/>
        <w:rPr>
          <w:rFonts w:ascii="宋体" w:hAnsi="宋体"/>
          <w:color w:val="auto"/>
        </w:rPr>
      </w:pPr>
    </w:p>
    <w:p w14:paraId="169E18FA">
      <w:pPr>
        <w:tabs>
          <w:tab w:val="left" w:pos="5580"/>
        </w:tabs>
        <w:spacing w:before="120" w:line="360" w:lineRule="auto"/>
        <w:rPr>
          <w:rFonts w:hAnsi="宋体" w:cs="仿宋"/>
          <w:b/>
          <w:color w:val="auto"/>
        </w:rPr>
      </w:pPr>
      <w:r>
        <w:rPr>
          <w:rFonts w:hint="eastAsia" w:hAnsi="宋体" w:cs="宋体"/>
          <w:b/>
          <w:bCs/>
          <w:color w:val="auto"/>
          <w:sz w:val="28"/>
          <w:szCs w:val="28"/>
        </w:rPr>
        <w:t>附件</w:t>
      </w:r>
      <w:r>
        <w:rPr>
          <w:rFonts w:hAnsi="宋体" w:cs="宋体"/>
          <w:b/>
          <w:bCs/>
          <w:color w:val="auto"/>
          <w:sz w:val="28"/>
          <w:szCs w:val="28"/>
        </w:rPr>
        <w:t>2</w:t>
      </w:r>
      <w:r>
        <w:rPr>
          <w:rFonts w:hint="eastAsia" w:hAnsi="宋体" w:cs="宋体"/>
          <w:b/>
          <w:bCs/>
          <w:color w:val="auto"/>
          <w:sz w:val="28"/>
          <w:szCs w:val="28"/>
        </w:rPr>
        <w:t>：</w:t>
      </w:r>
    </w:p>
    <w:p w14:paraId="2A1236AF">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供应商具有履行本合同所必需的专业技术能力的</w:t>
      </w:r>
    </w:p>
    <w:p w14:paraId="1CF7CD86">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说明及承诺</w:t>
      </w:r>
    </w:p>
    <w:p w14:paraId="6B4A7651">
      <w:pPr>
        <w:spacing w:line="360" w:lineRule="auto"/>
        <w:rPr>
          <w:rFonts w:hAnsi="宋体" w:cs="仿宋"/>
          <w:color w:val="auto"/>
          <w:spacing w:val="4"/>
          <w:u w:val="single"/>
        </w:rPr>
      </w:pPr>
    </w:p>
    <w:p w14:paraId="59DB7CDA">
      <w:pPr>
        <w:spacing w:line="480" w:lineRule="auto"/>
        <w:rPr>
          <w:rFonts w:hAnsi="宋体" w:cs="宋体"/>
          <w:color w:val="auto"/>
          <w:spacing w:val="4"/>
          <w:szCs w:val="24"/>
        </w:rPr>
      </w:pPr>
      <w:r>
        <w:rPr>
          <w:rFonts w:hint="eastAsia" w:hAnsi="宋体" w:cs="宋体"/>
          <w:color w:val="auto"/>
          <w:spacing w:val="4"/>
          <w:szCs w:val="24"/>
        </w:rPr>
        <w:t>致：</w:t>
      </w:r>
      <w:r>
        <w:rPr>
          <w:rFonts w:hint="eastAsia" w:hAnsi="宋体" w:cs="宋体"/>
          <w:color w:val="auto"/>
          <w:spacing w:val="4"/>
          <w:szCs w:val="24"/>
          <w:u w:val="single"/>
        </w:rPr>
        <w:t xml:space="preserve"> （采购人名称）  </w:t>
      </w:r>
    </w:p>
    <w:p w14:paraId="6DBDC544">
      <w:pPr>
        <w:spacing w:line="480" w:lineRule="auto"/>
        <w:ind w:firstLine="496" w:firstLineChars="200"/>
        <w:rPr>
          <w:rFonts w:hAnsi="宋体" w:cs="宋体"/>
          <w:color w:val="auto"/>
          <w:spacing w:val="4"/>
          <w:szCs w:val="24"/>
        </w:rPr>
      </w:pPr>
      <w:r>
        <w:rPr>
          <w:rFonts w:hint="eastAsia" w:hAnsi="宋体" w:cs="宋体"/>
          <w:color w:val="auto"/>
          <w:spacing w:val="4"/>
          <w:szCs w:val="24"/>
          <w:u w:val="single"/>
        </w:rPr>
        <w:t xml:space="preserve">      公司  </w:t>
      </w:r>
      <w:r>
        <w:rPr>
          <w:rFonts w:hint="eastAsia" w:hAnsi="宋体" w:cs="宋体"/>
          <w:color w:val="auto"/>
          <w:spacing w:val="4"/>
          <w:szCs w:val="24"/>
        </w:rPr>
        <w:t>于</w:t>
      </w:r>
      <w:r>
        <w:rPr>
          <w:rFonts w:hint="eastAsia" w:hAnsi="宋体" w:cs="宋体"/>
          <w:color w:val="auto"/>
          <w:spacing w:val="4"/>
          <w:szCs w:val="24"/>
          <w:u w:val="single"/>
        </w:rPr>
        <w:t xml:space="preserve">     </w:t>
      </w:r>
      <w:r>
        <w:rPr>
          <w:rFonts w:hint="eastAsia" w:hAnsi="宋体" w:cs="宋体"/>
          <w:color w:val="auto"/>
          <w:spacing w:val="4"/>
          <w:szCs w:val="24"/>
        </w:rPr>
        <w:t>年</w:t>
      </w:r>
      <w:r>
        <w:rPr>
          <w:rFonts w:hint="eastAsia" w:hAnsi="宋体" w:cs="宋体"/>
          <w:color w:val="auto"/>
          <w:spacing w:val="4"/>
          <w:szCs w:val="24"/>
          <w:u w:val="single"/>
        </w:rPr>
        <w:t xml:space="preserve">   </w:t>
      </w:r>
      <w:r>
        <w:rPr>
          <w:rFonts w:hint="eastAsia" w:hAnsi="宋体" w:cs="宋体"/>
          <w:color w:val="auto"/>
          <w:spacing w:val="4"/>
          <w:szCs w:val="24"/>
        </w:rPr>
        <w:t>月</w:t>
      </w:r>
      <w:r>
        <w:rPr>
          <w:rFonts w:hint="eastAsia" w:hAnsi="宋体" w:cs="宋体"/>
          <w:color w:val="auto"/>
          <w:spacing w:val="4"/>
          <w:szCs w:val="24"/>
          <w:u w:val="single"/>
        </w:rPr>
        <w:t xml:space="preserve">   </w:t>
      </w:r>
      <w:r>
        <w:rPr>
          <w:rFonts w:hint="eastAsia" w:hAnsi="宋体" w:cs="宋体"/>
          <w:color w:val="auto"/>
          <w:spacing w:val="4"/>
          <w:szCs w:val="24"/>
        </w:rPr>
        <w:t>日在中华人民共和国境内</w:t>
      </w:r>
      <w:r>
        <w:rPr>
          <w:rFonts w:hint="eastAsia" w:hAnsi="宋体" w:cs="宋体"/>
          <w:color w:val="auto"/>
          <w:spacing w:val="4"/>
          <w:szCs w:val="24"/>
          <w:u w:val="single"/>
        </w:rPr>
        <w:t xml:space="preserve">详细注册地址     </w:t>
      </w:r>
      <w:r>
        <w:rPr>
          <w:rFonts w:hint="eastAsia" w:hAnsi="宋体" w:cs="宋体"/>
          <w:color w:val="auto"/>
          <w:spacing w:val="4"/>
          <w:szCs w:val="24"/>
        </w:rPr>
        <w:t>合法注册并经营，公司主营业务为</w:t>
      </w:r>
      <w:r>
        <w:rPr>
          <w:rFonts w:hint="eastAsia" w:hAnsi="宋体" w:cs="宋体"/>
          <w:color w:val="auto"/>
          <w:spacing w:val="4"/>
          <w:szCs w:val="24"/>
          <w:u w:val="single"/>
        </w:rPr>
        <w:t xml:space="preserve">          </w:t>
      </w:r>
      <w:r>
        <w:rPr>
          <w:rFonts w:hint="eastAsia" w:hAnsi="宋体" w:cs="宋体"/>
          <w:color w:val="auto"/>
          <w:spacing w:val="4"/>
          <w:szCs w:val="24"/>
        </w:rPr>
        <w:t>，营业（或生产经营）面积为</w:t>
      </w:r>
      <w:r>
        <w:rPr>
          <w:rFonts w:hint="eastAsia" w:hAnsi="宋体" w:cs="宋体"/>
          <w:color w:val="auto"/>
          <w:spacing w:val="4"/>
          <w:szCs w:val="24"/>
          <w:u w:val="single"/>
        </w:rPr>
        <w:t xml:space="preserve">        </w:t>
      </w:r>
      <w:r>
        <w:rPr>
          <w:rFonts w:hint="eastAsia" w:hAnsi="宋体" w:cs="宋体"/>
          <w:color w:val="auto"/>
          <w:spacing w:val="4"/>
          <w:szCs w:val="24"/>
        </w:rPr>
        <w:t>。现有员工数量为</w:t>
      </w:r>
      <w:r>
        <w:rPr>
          <w:rFonts w:hint="eastAsia" w:hAnsi="宋体" w:cs="宋体"/>
          <w:color w:val="auto"/>
          <w:spacing w:val="4"/>
          <w:szCs w:val="24"/>
          <w:u w:val="single"/>
        </w:rPr>
        <w:t xml:space="preserve">      </w:t>
      </w:r>
      <w:r>
        <w:rPr>
          <w:rFonts w:hint="eastAsia" w:hAnsi="宋体" w:cs="宋体"/>
          <w:color w:val="auto"/>
          <w:spacing w:val="4"/>
          <w:szCs w:val="24"/>
        </w:rPr>
        <w:t>人，其中与履行本合同相关的专业技术人员有</w:t>
      </w:r>
      <w:r>
        <w:rPr>
          <w:rFonts w:hint="eastAsia" w:hAnsi="宋体" w:cs="宋体"/>
          <w:color w:val="auto"/>
          <w:spacing w:val="4"/>
          <w:szCs w:val="24"/>
          <w:u w:val="single"/>
        </w:rPr>
        <w:t>（专业能力、数量      ）</w:t>
      </w:r>
      <w:r>
        <w:rPr>
          <w:rFonts w:hint="eastAsia" w:hAnsi="宋体" w:cs="宋体"/>
          <w:color w:val="auto"/>
          <w:spacing w:val="4"/>
          <w:szCs w:val="24"/>
        </w:rPr>
        <w:t>，本公司郑重承诺，具有履行本合同所必需的设备和专业技术能力。</w:t>
      </w:r>
    </w:p>
    <w:p w14:paraId="46151233">
      <w:pPr>
        <w:spacing w:before="333" w:beforeLines="100" w:after="166" w:afterLines="50" w:line="360" w:lineRule="auto"/>
        <w:ind w:firstLine="170"/>
        <w:rPr>
          <w:rFonts w:hAnsi="宋体" w:cs="仿宋"/>
          <w:color w:val="auto"/>
          <w:spacing w:val="4"/>
          <w:szCs w:val="21"/>
        </w:rPr>
      </w:pPr>
    </w:p>
    <w:p w14:paraId="34F1F57E">
      <w:pPr>
        <w:pStyle w:val="19"/>
        <w:rPr>
          <w:rFonts w:ascii="宋体" w:hAnsi="宋体" w:cs="仿宋"/>
          <w:color w:val="auto"/>
          <w:spacing w:val="4"/>
          <w:szCs w:val="21"/>
        </w:rPr>
      </w:pPr>
    </w:p>
    <w:p w14:paraId="0F46E327">
      <w:pPr>
        <w:pStyle w:val="19"/>
        <w:rPr>
          <w:rFonts w:ascii="宋体" w:hAnsi="宋体" w:cs="仿宋"/>
          <w:color w:val="auto"/>
          <w:spacing w:val="4"/>
          <w:szCs w:val="21"/>
        </w:rPr>
      </w:pPr>
    </w:p>
    <w:p w14:paraId="4F903796">
      <w:pPr>
        <w:pStyle w:val="19"/>
        <w:rPr>
          <w:rFonts w:ascii="宋体" w:hAnsi="宋体" w:cs="宋体"/>
          <w:color w:val="auto"/>
          <w:spacing w:val="4"/>
          <w:kern w:val="0"/>
          <w:sz w:val="24"/>
          <w:szCs w:val="24"/>
        </w:rPr>
      </w:pPr>
    </w:p>
    <w:p w14:paraId="5581A839">
      <w:pPr>
        <w:spacing w:line="480" w:lineRule="auto"/>
        <w:ind w:firstLine="2728" w:firstLineChars="1100"/>
        <w:rPr>
          <w:rFonts w:hAnsi="宋体" w:cs="宋体"/>
          <w:color w:val="auto"/>
          <w:spacing w:val="4"/>
          <w:szCs w:val="24"/>
        </w:rPr>
      </w:pPr>
      <w:r>
        <w:rPr>
          <w:rFonts w:hint="eastAsia" w:hAnsi="宋体" w:cs="宋体"/>
          <w:color w:val="auto"/>
          <w:spacing w:val="4"/>
          <w:szCs w:val="24"/>
        </w:rPr>
        <w:t>法定代表人或被授权代表：</w:t>
      </w:r>
      <w:r>
        <w:rPr>
          <w:rFonts w:hint="eastAsia" w:hAnsi="宋体" w:cs="宋体"/>
          <w:color w:val="auto"/>
          <w:spacing w:val="4"/>
          <w:szCs w:val="24"/>
          <w:u w:val="single"/>
        </w:rPr>
        <w:t xml:space="preserve">        </w:t>
      </w:r>
      <w:r>
        <w:rPr>
          <w:rFonts w:hint="eastAsia" w:hAnsi="宋体" w:cs="宋体"/>
          <w:color w:val="auto"/>
          <w:szCs w:val="24"/>
        </w:rPr>
        <w:t>（签字或盖章）</w:t>
      </w:r>
    </w:p>
    <w:p w14:paraId="1C289591">
      <w:pPr>
        <w:spacing w:line="480" w:lineRule="auto"/>
        <w:ind w:firstLine="2728" w:firstLineChars="1100"/>
        <w:rPr>
          <w:rFonts w:hAnsi="宋体" w:cs="宋体"/>
          <w:color w:val="auto"/>
          <w:spacing w:val="4"/>
          <w:szCs w:val="24"/>
        </w:rPr>
      </w:pPr>
      <w:r>
        <w:rPr>
          <w:rFonts w:hint="eastAsia" w:hAnsi="宋体" w:cs="宋体"/>
          <w:color w:val="auto"/>
          <w:spacing w:val="4"/>
          <w:szCs w:val="24"/>
        </w:rPr>
        <w:t>供  应  商  公  章：</w:t>
      </w:r>
      <w:r>
        <w:rPr>
          <w:rFonts w:hint="eastAsia" w:hAnsi="宋体" w:cs="宋体"/>
          <w:color w:val="auto"/>
          <w:spacing w:val="4"/>
          <w:szCs w:val="24"/>
          <w:u w:val="single"/>
        </w:rPr>
        <w:t xml:space="preserve">                               </w:t>
      </w:r>
    </w:p>
    <w:p w14:paraId="410A031F">
      <w:pPr>
        <w:ind w:firstLine="2728" w:firstLineChars="1100"/>
        <w:rPr>
          <w:rFonts w:hAnsi="宋体" w:cs="宋体"/>
          <w:color w:val="auto"/>
          <w:spacing w:val="4"/>
          <w:szCs w:val="24"/>
        </w:rPr>
      </w:pPr>
      <w:r>
        <w:rPr>
          <w:rFonts w:hint="eastAsia" w:hAnsi="宋体" w:cs="宋体"/>
          <w:color w:val="auto"/>
          <w:spacing w:val="4"/>
          <w:szCs w:val="24"/>
        </w:rPr>
        <w:t>日              期：</w:t>
      </w:r>
      <w:r>
        <w:rPr>
          <w:rFonts w:hint="eastAsia" w:hAnsi="宋体" w:cs="宋体"/>
          <w:color w:val="auto"/>
          <w:spacing w:val="4"/>
          <w:szCs w:val="24"/>
          <w:u w:val="single"/>
        </w:rPr>
        <w:t xml:space="preserve">                               </w:t>
      </w:r>
    </w:p>
    <w:p w14:paraId="46D98A1B">
      <w:pPr>
        <w:pStyle w:val="3"/>
        <w:keepNext w:val="0"/>
        <w:keepLines w:val="0"/>
        <w:widowControl w:val="0"/>
        <w:spacing w:before="166" w:beforeLines="50" w:after="0" w:line="360" w:lineRule="auto"/>
        <w:ind w:left="0"/>
        <w:jc w:val="center"/>
        <w:rPr>
          <w:rFonts w:hAnsi="宋体" w:cs="宋体"/>
          <w:b w:val="0"/>
          <w:bCs w:val="0"/>
          <w:color w:val="auto"/>
          <w:szCs w:val="24"/>
        </w:rPr>
      </w:pPr>
      <w:r>
        <w:rPr>
          <w:rFonts w:hint="eastAsia" w:hAnsi="宋体" w:cs="宋体"/>
          <w:b w:val="0"/>
          <w:bCs w:val="0"/>
          <w:color w:val="auto"/>
          <w:szCs w:val="24"/>
        </w:rPr>
        <w:br w:type="page"/>
      </w:r>
    </w:p>
    <w:p w14:paraId="3B98D765">
      <w:pPr>
        <w:pStyle w:val="3"/>
        <w:keepNext w:val="0"/>
        <w:keepLines w:val="0"/>
        <w:widowControl w:val="0"/>
        <w:spacing w:before="166" w:beforeLines="50" w:after="0" w:line="360" w:lineRule="auto"/>
        <w:ind w:left="0"/>
        <w:jc w:val="both"/>
        <w:rPr>
          <w:rFonts w:hint="eastAsia" w:ascii="宋体" w:hAnsi="宋体" w:cs="宋体"/>
          <w:color w:val="auto"/>
          <w:szCs w:val="28"/>
        </w:rPr>
        <w:sectPr>
          <w:pgSz w:w="11906" w:h="16838"/>
          <w:pgMar w:top="1417" w:right="1134" w:bottom="1417" w:left="1417" w:header="1134" w:footer="992" w:gutter="0"/>
          <w:cols w:space="720" w:num="1"/>
          <w:titlePg/>
          <w:docGrid w:type="lines" w:linePitch="333" w:charSpace="0"/>
        </w:sectPr>
      </w:pPr>
    </w:p>
    <w:p w14:paraId="6C5CCDC5">
      <w:pPr>
        <w:pStyle w:val="3"/>
        <w:keepNext w:val="0"/>
        <w:keepLines w:val="0"/>
        <w:widowControl w:val="0"/>
        <w:spacing w:before="166" w:beforeLines="50" w:after="0" w:line="360" w:lineRule="auto"/>
        <w:ind w:left="0"/>
        <w:jc w:val="both"/>
        <w:rPr>
          <w:rFonts w:hint="eastAsia" w:ascii="宋体" w:hAnsi="宋体" w:cs="宋体"/>
          <w:color w:val="auto"/>
          <w:szCs w:val="28"/>
          <w:lang w:val="en-US" w:eastAsia="zh-CN"/>
        </w:rPr>
      </w:pPr>
      <w:r>
        <w:rPr>
          <w:rFonts w:hint="eastAsia" w:ascii="宋体" w:hAnsi="宋体" w:cs="宋体"/>
          <w:color w:val="auto"/>
          <w:szCs w:val="28"/>
          <w:lang w:val="en-US" w:eastAsia="zh-CN"/>
        </w:rPr>
        <w:t>附件3：</w:t>
      </w:r>
    </w:p>
    <w:p w14:paraId="4DDE7080">
      <w:pPr>
        <w:pStyle w:val="19"/>
        <w:jc w:val="center"/>
        <w:rPr>
          <w:rFonts w:hint="default"/>
          <w:b/>
          <w:bCs/>
          <w:sz w:val="30"/>
          <w:szCs w:val="30"/>
          <w:lang w:val="en-US" w:eastAsia="zh-CN"/>
        </w:rPr>
      </w:pPr>
      <w:r>
        <w:rPr>
          <w:rFonts w:hint="default"/>
          <w:b/>
          <w:bCs/>
          <w:sz w:val="30"/>
          <w:szCs w:val="30"/>
          <w:lang w:val="en-US" w:eastAsia="zh-CN"/>
        </w:rPr>
        <w:t>投标人应具备行业行政主管部门颁发的《人力资源服务许可证》和《劳务派遣经营许可证》</w:t>
      </w:r>
    </w:p>
    <w:p w14:paraId="68C8B80E">
      <w:pPr>
        <w:rPr>
          <w:rFonts w:hint="default"/>
          <w:lang w:val="en-US" w:eastAsia="zh-CN"/>
        </w:rPr>
      </w:pPr>
    </w:p>
    <w:p w14:paraId="7B509389">
      <w:pPr>
        <w:pStyle w:val="19"/>
        <w:rPr>
          <w:rFonts w:hint="default"/>
          <w:lang w:val="en-US" w:eastAsia="zh-CN"/>
        </w:rPr>
        <w:sectPr>
          <w:pgSz w:w="11906" w:h="16838"/>
          <w:pgMar w:top="1417" w:right="1134" w:bottom="1417" w:left="1417" w:header="1134" w:footer="992" w:gutter="0"/>
          <w:cols w:space="720" w:num="1"/>
          <w:titlePg/>
          <w:docGrid w:type="lines" w:linePitch="333" w:charSpace="0"/>
        </w:sectPr>
      </w:pPr>
    </w:p>
    <w:p w14:paraId="6F5E1C73">
      <w:pPr>
        <w:pStyle w:val="3"/>
        <w:keepNext w:val="0"/>
        <w:keepLines w:val="0"/>
        <w:widowControl w:val="0"/>
        <w:spacing w:before="166" w:beforeLines="50" w:after="0" w:line="360" w:lineRule="auto"/>
        <w:ind w:left="0"/>
        <w:jc w:val="both"/>
        <w:rPr>
          <w:rFonts w:ascii="宋体" w:hAnsi="宋体" w:cs="宋体"/>
          <w:color w:val="auto"/>
          <w:sz w:val="32"/>
        </w:rPr>
      </w:pPr>
      <w:r>
        <w:rPr>
          <w:rFonts w:hint="eastAsia" w:ascii="宋体" w:hAnsi="宋体" w:cs="宋体"/>
          <w:color w:val="auto"/>
          <w:szCs w:val="28"/>
        </w:rPr>
        <w:t>附件</w:t>
      </w:r>
      <w:r>
        <w:rPr>
          <w:rFonts w:hint="eastAsia" w:ascii="宋体" w:hAnsi="宋体" w:cs="宋体"/>
          <w:color w:val="auto"/>
          <w:szCs w:val="28"/>
          <w:lang w:val="en-US" w:eastAsia="zh-CN"/>
        </w:rPr>
        <w:t>4</w:t>
      </w:r>
      <w:r>
        <w:rPr>
          <w:rFonts w:hint="eastAsia" w:ascii="宋体" w:hAnsi="宋体" w:cs="宋体"/>
          <w:color w:val="auto"/>
          <w:sz w:val="32"/>
        </w:rPr>
        <w:t>：</w:t>
      </w:r>
    </w:p>
    <w:p w14:paraId="29F535D5">
      <w:pPr>
        <w:pStyle w:val="26"/>
        <w:spacing w:line="600" w:lineRule="exact"/>
        <w:ind w:right="1280"/>
        <w:jc w:val="center"/>
        <w:rPr>
          <w:rFonts w:asciiTheme="minorEastAsia" w:hAnsiTheme="minorEastAsia" w:eastAsiaTheme="minorEastAsia"/>
          <w:b/>
          <w:bCs/>
          <w:color w:val="auto"/>
          <w:sz w:val="28"/>
          <w:szCs w:val="28"/>
        </w:rPr>
      </w:pPr>
      <w:r>
        <w:rPr>
          <w:rFonts w:hint="eastAsia" w:cs="宋体" w:asciiTheme="minorEastAsia" w:hAnsiTheme="minorEastAsia" w:eastAsiaTheme="minorEastAsia"/>
          <w:b/>
          <w:bCs/>
          <w:color w:val="auto"/>
          <w:sz w:val="28"/>
          <w:szCs w:val="28"/>
        </w:rPr>
        <w:t xml:space="preserve"> </w:t>
      </w:r>
      <w:r>
        <w:rPr>
          <w:rFonts w:cs="宋体" w:asciiTheme="minorEastAsia" w:hAnsiTheme="minorEastAsia" w:eastAsiaTheme="minorEastAsia"/>
          <w:b/>
          <w:bCs/>
          <w:color w:val="auto"/>
          <w:sz w:val="28"/>
          <w:szCs w:val="28"/>
        </w:rPr>
        <w:t xml:space="preserve">   </w:t>
      </w:r>
      <w:r>
        <w:rPr>
          <w:rFonts w:hint="eastAsia" w:cs="宋体" w:asciiTheme="minorEastAsia" w:hAnsiTheme="minorEastAsia" w:eastAsiaTheme="minorEastAsia"/>
          <w:b/>
          <w:bCs/>
          <w:color w:val="auto"/>
          <w:sz w:val="28"/>
          <w:szCs w:val="28"/>
        </w:rPr>
        <w:t>本项目不接受联合体投标（格式自拟）</w:t>
      </w:r>
    </w:p>
    <w:p w14:paraId="373E109A">
      <w:pPr>
        <w:pStyle w:val="26"/>
        <w:rPr>
          <w:color w:val="auto"/>
        </w:rPr>
      </w:pPr>
    </w:p>
    <w:p w14:paraId="6F1ACE9D">
      <w:pPr>
        <w:pStyle w:val="26"/>
        <w:rPr>
          <w:color w:val="auto"/>
        </w:rPr>
      </w:pPr>
    </w:p>
    <w:p w14:paraId="0D9F95DE">
      <w:pPr>
        <w:pStyle w:val="26"/>
        <w:rPr>
          <w:color w:val="auto"/>
        </w:rPr>
      </w:pPr>
    </w:p>
    <w:p w14:paraId="6E4257B7">
      <w:pPr>
        <w:pStyle w:val="26"/>
        <w:rPr>
          <w:color w:val="auto"/>
        </w:rPr>
      </w:pPr>
    </w:p>
    <w:p w14:paraId="0B7C3076">
      <w:pPr>
        <w:pStyle w:val="26"/>
        <w:rPr>
          <w:color w:val="auto"/>
        </w:rPr>
      </w:pPr>
    </w:p>
    <w:p w14:paraId="59D62FA6">
      <w:pPr>
        <w:pStyle w:val="26"/>
        <w:rPr>
          <w:color w:val="auto"/>
        </w:rPr>
      </w:pPr>
    </w:p>
    <w:p w14:paraId="43FB6DAE">
      <w:pPr>
        <w:pStyle w:val="26"/>
        <w:rPr>
          <w:color w:val="auto"/>
        </w:rPr>
      </w:pPr>
    </w:p>
    <w:p w14:paraId="7CCBCBB0">
      <w:pPr>
        <w:pStyle w:val="26"/>
        <w:rPr>
          <w:color w:val="auto"/>
        </w:rPr>
      </w:pPr>
    </w:p>
    <w:p w14:paraId="68765144">
      <w:pPr>
        <w:pStyle w:val="26"/>
        <w:rPr>
          <w:color w:val="auto"/>
        </w:rPr>
      </w:pPr>
    </w:p>
    <w:p w14:paraId="237EC2C8">
      <w:pPr>
        <w:pStyle w:val="26"/>
        <w:rPr>
          <w:color w:val="auto"/>
        </w:rPr>
      </w:pPr>
    </w:p>
    <w:p w14:paraId="79B86799">
      <w:pPr>
        <w:pStyle w:val="26"/>
        <w:rPr>
          <w:color w:val="auto"/>
        </w:rPr>
      </w:pPr>
    </w:p>
    <w:p w14:paraId="6546B4D5">
      <w:pPr>
        <w:pStyle w:val="26"/>
        <w:rPr>
          <w:color w:val="auto"/>
        </w:rPr>
      </w:pPr>
    </w:p>
    <w:p w14:paraId="5DA63CBE">
      <w:pPr>
        <w:pStyle w:val="26"/>
        <w:rPr>
          <w:color w:val="auto"/>
        </w:rPr>
      </w:pPr>
    </w:p>
    <w:p w14:paraId="0FD75651">
      <w:pPr>
        <w:pStyle w:val="26"/>
        <w:rPr>
          <w:color w:val="auto"/>
        </w:rPr>
      </w:pPr>
    </w:p>
    <w:p w14:paraId="03496B43">
      <w:pPr>
        <w:pStyle w:val="26"/>
        <w:rPr>
          <w:color w:val="auto"/>
        </w:rPr>
      </w:pPr>
    </w:p>
    <w:p w14:paraId="0A76FE99">
      <w:pPr>
        <w:pStyle w:val="26"/>
        <w:rPr>
          <w:color w:val="auto"/>
        </w:rPr>
      </w:pPr>
    </w:p>
    <w:p w14:paraId="48EE858C">
      <w:pPr>
        <w:pStyle w:val="26"/>
        <w:rPr>
          <w:color w:val="auto"/>
        </w:rPr>
      </w:pPr>
    </w:p>
    <w:p w14:paraId="0126BFD9">
      <w:pPr>
        <w:pStyle w:val="26"/>
        <w:rPr>
          <w:color w:val="auto"/>
        </w:rPr>
      </w:pPr>
    </w:p>
    <w:p w14:paraId="78AD6D47">
      <w:pPr>
        <w:pStyle w:val="26"/>
        <w:rPr>
          <w:color w:val="auto"/>
        </w:rPr>
      </w:pPr>
    </w:p>
    <w:p w14:paraId="0089C1EB">
      <w:pPr>
        <w:pStyle w:val="26"/>
        <w:rPr>
          <w:color w:val="auto"/>
        </w:rPr>
      </w:pPr>
    </w:p>
    <w:p w14:paraId="288AFCDF">
      <w:pPr>
        <w:pStyle w:val="26"/>
        <w:rPr>
          <w:color w:val="auto"/>
        </w:rPr>
      </w:pPr>
    </w:p>
    <w:p w14:paraId="6002ED89">
      <w:pPr>
        <w:pStyle w:val="26"/>
        <w:rPr>
          <w:color w:val="auto"/>
        </w:rPr>
      </w:pPr>
    </w:p>
    <w:p w14:paraId="5979BAB0">
      <w:pPr>
        <w:pStyle w:val="26"/>
        <w:rPr>
          <w:color w:val="auto"/>
        </w:rPr>
      </w:pPr>
    </w:p>
    <w:p w14:paraId="108BFE6A">
      <w:pPr>
        <w:pStyle w:val="26"/>
        <w:rPr>
          <w:color w:val="auto"/>
        </w:rPr>
      </w:pPr>
    </w:p>
    <w:p w14:paraId="30A3386D">
      <w:pPr>
        <w:pStyle w:val="26"/>
        <w:rPr>
          <w:color w:val="auto"/>
        </w:rPr>
      </w:pPr>
    </w:p>
    <w:p w14:paraId="67EE43B3">
      <w:pPr>
        <w:pStyle w:val="26"/>
        <w:rPr>
          <w:color w:val="auto"/>
        </w:rPr>
      </w:pPr>
    </w:p>
    <w:p w14:paraId="39C25FA6">
      <w:pPr>
        <w:pStyle w:val="26"/>
        <w:rPr>
          <w:color w:val="auto"/>
        </w:rPr>
      </w:pPr>
    </w:p>
    <w:p w14:paraId="31797F82">
      <w:pPr>
        <w:pStyle w:val="26"/>
        <w:rPr>
          <w:color w:val="auto"/>
        </w:rPr>
      </w:pPr>
    </w:p>
    <w:p w14:paraId="1BDA2DAA">
      <w:pPr>
        <w:pStyle w:val="26"/>
        <w:rPr>
          <w:color w:val="auto"/>
        </w:rPr>
      </w:pPr>
    </w:p>
    <w:p w14:paraId="7AC3667A">
      <w:pPr>
        <w:pStyle w:val="26"/>
        <w:rPr>
          <w:color w:val="auto"/>
        </w:rPr>
      </w:pPr>
    </w:p>
    <w:p w14:paraId="423E66B0">
      <w:pPr>
        <w:pStyle w:val="26"/>
        <w:rPr>
          <w:color w:val="auto"/>
        </w:rPr>
      </w:pPr>
    </w:p>
    <w:p w14:paraId="5A622B2E">
      <w:pPr>
        <w:pStyle w:val="26"/>
        <w:rPr>
          <w:color w:val="auto"/>
        </w:rPr>
      </w:pPr>
    </w:p>
    <w:p w14:paraId="6E7869E3">
      <w:pPr>
        <w:pStyle w:val="26"/>
        <w:rPr>
          <w:color w:val="auto"/>
        </w:rPr>
      </w:pPr>
    </w:p>
    <w:p w14:paraId="5ABA2BF2">
      <w:pPr>
        <w:pStyle w:val="26"/>
        <w:rPr>
          <w:color w:val="auto"/>
        </w:rPr>
      </w:pPr>
    </w:p>
    <w:p w14:paraId="332EBA1A">
      <w:pPr>
        <w:pStyle w:val="26"/>
        <w:rPr>
          <w:color w:val="auto"/>
        </w:rPr>
      </w:pPr>
    </w:p>
    <w:p w14:paraId="18AC1B53">
      <w:pPr>
        <w:pStyle w:val="26"/>
        <w:rPr>
          <w:color w:val="auto"/>
        </w:rPr>
      </w:pPr>
    </w:p>
    <w:p w14:paraId="752A9355">
      <w:pPr>
        <w:pStyle w:val="26"/>
        <w:rPr>
          <w:color w:val="auto"/>
        </w:rPr>
      </w:pPr>
    </w:p>
    <w:p w14:paraId="210B8FA1">
      <w:pPr>
        <w:pStyle w:val="17"/>
        <w:jc w:val="center"/>
        <w:outlineLvl w:val="1"/>
        <w:rPr>
          <w:b/>
          <w:bCs/>
          <w:color w:val="auto"/>
          <w:sz w:val="32"/>
          <w:szCs w:val="32"/>
        </w:rPr>
      </w:pPr>
      <w:bookmarkStart w:id="308" w:name="_Toc30728"/>
      <w:bookmarkStart w:id="309" w:name="_Toc16210"/>
      <w:bookmarkStart w:id="310" w:name="_Toc30210"/>
      <w:bookmarkStart w:id="311" w:name="_Toc25348"/>
      <w:bookmarkStart w:id="312" w:name="_Toc363474028"/>
      <w:bookmarkStart w:id="313" w:name="_Toc426457701"/>
      <w:bookmarkStart w:id="314" w:name="_Toc403077649"/>
      <w:bookmarkStart w:id="315" w:name="_Toc19075"/>
      <w:bookmarkStart w:id="316" w:name="_Toc4867"/>
      <w:bookmarkStart w:id="317" w:name="_Toc16097"/>
      <w:r>
        <w:rPr>
          <w:rFonts w:hint="eastAsia"/>
          <w:b/>
          <w:bCs/>
          <w:color w:val="auto"/>
          <w:sz w:val="32"/>
          <w:szCs w:val="32"/>
        </w:rPr>
        <w:t>七、其他资料</w:t>
      </w:r>
      <w:bookmarkEnd w:id="308"/>
      <w:bookmarkEnd w:id="309"/>
    </w:p>
    <w:p w14:paraId="5780F415">
      <w:pPr>
        <w:ind w:firstLine="560" w:firstLineChars="200"/>
        <w:rPr>
          <w:rFonts w:hAnsi="宋体" w:cs="宋体"/>
          <w:bCs/>
          <w:color w:val="auto"/>
          <w:sz w:val="28"/>
          <w:szCs w:val="28"/>
        </w:rPr>
      </w:pPr>
      <w:r>
        <w:rPr>
          <w:rFonts w:hint="eastAsia" w:hAnsi="宋体" w:cs="宋体"/>
          <w:bCs/>
          <w:color w:val="auto"/>
          <w:sz w:val="28"/>
          <w:szCs w:val="28"/>
        </w:rPr>
        <w:t>1、依据招标文件要求，供应商认为有必要说明的其他内容。</w:t>
      </w:r>
    </w:p>
    <w:p w14:paraId="0ADF0BF4">
      <w:pPr>
        <w:ind w:firstLine="560" w:firstLineChars="200"/>
        <w:rPr>
          <w:rFonts w:hAnsi="宋体" w:cs="宋体"/>
          <w:bCs/>
          <w:color w:val="auto"/>
          <w:sz w:val="28"/>
          <w:szCs w:val="28"/>
        </w:rPr>
      </w:pPr>
      <w:r>
        <w:rPr>
          <w:rFonts w:hint="eastAsia" w:hAnsi="宋体" w:cs="宋体"/>
          <w:bCs/>
          <w:color w:val="auto"/>
          <w:sz w:val="28"/>
          <w:szCs w:val="28"/>
        </w:rPr>
        <w:t>2、其他可以证明供应商实力的文件。</w:t>
      </w:r>
    </w:p>
    <w:p w14:paraId="1CD5A484">
      <w:pPr>
        <w:ind w:firstLine="562" w:firstLineChars="200"/>
        <w:rPr>
          <w:rFonts w:hAnsi="宋体" w:cs="宋体"/>
          <w:b/>
          <w:color w:val="auto"/>
          <w:sz w:val="28"/>
          <w:szCs w:val="28"/>
        </w:rPr>
      </w:pPr>
    </w:p>
    <w:p w14:paraId="48513AE8">
      <w:pPr>
        <w:rPr>
          <w:color w:val="auto"/>
        </w:rPr>
      </w:pPr>
    </w:p>
    <w:p w14:paraId="718180AE">
      <w:pPr>
        <w:snapToGrid w:val="0"/>
        <w:spacing w:line="480" w:lineRule="auto"/>
        <w:rPr>
          <w:rFonts w:hAnsi="宋体" w:cs="宋体"/>
          <w:color w:val="auto"/>
          <w:szCs w:val="21"/>
        </w:rPr>
      </w:pPr>
    </w:p>
    <w:p w14:paraId="23368EC4">
      <w:pPr>
        <w:pStyle w:val="19"/>
        <w:rPr>
          <w:rFonts w:ascii="宋体" w:hAnsi="宋体" w:cs="宋体"/>
          <w:color w:val="auto"/>
          <w:szCs w:val="21"/>
        </w:rPr>
      </w:pPr>
    </w:p>
    <w:p w14:paraId="5D47DB83">
      <w:pPr>
        <w:rPr>
          <w:rFonts w:hAnsi="宋体" w:cs="宋体"/>
          <w:color w:val="auto"/>
          <w:szCs w:val="21"/>
        </w:rPr>
      </w:pPr>
    </w:p>
    <w:p w14:paraId="6F211796">
      <w:pPr>
        <w:pStyle w:val="19"/>
        <w:rPr>
          <w:rFonts w:ascii="宋体" w:hAnsi="宋体" w:cs="宋体"/>
          <w:color w:val="auto"/>
          <w:szCs w:val="21"/>
        </w:rPr>
      </w:pPr>
    </w:p>
    <w:p w14:paraId="71FCAD89">
      <w:pPr>
        <w:rPr>
          <w:rFonts w:hAnsi="宋体" w:cs="宋体"/>
          <w:color w:val="auto"/>
          <w:szCs w:val="21"/>
        </w:rPr>
      </w:pPr>
    </w:p>
    <w:p w14:paraId="0E624E3C">
      <w:pPr>
        <w:pStyle w:val="19"/>
        <w:rPr>
          <w:rFonts w:ascii="宋体" w:hAnsi="宋体" w:cs="宋体"/>
          <w:color w:val="auto"/>
          <w:szCs w:val="21"/>
        </w:rPr>
      </w:pPr>
    </w:p>
    <w:p w14:paraId="23EE1583">
      <w:pPr>
        <w:rPr>
          <w:rFonts w:hAnsi="宋体" w:cs="宋体"/>
          <w:color w:val="auto"/>
          <w:szCs w:val="21"/>
        </w:rPr>
      </w:pPr>
    </w:p>
    <w:p w14:paraId="569034AF">
      <w:pPr>
        <w:pStyle w:val="19"/>
        <w:rPr>
          <w:rFonts w:ascii="宋体" w:hAnsi="宋体" w:cs="宋体"/>
          <w:color w:val="auto"/>
          <w:szCs w:val="21"/>
        </w:rPr>
      </w:pPr>
    </w:p>
    <w:p w14:paraId="3DF811B3">
      <w:pPr>
        <w:rPr>
          <w:rFonts w:hAnsi="宋体" w:cs="宋体"/>
          <w:color w:val="auto"/>
          <w:szCs w:val="21"/>
        </w:rPr>
      </w:pPr>
    </w:p>
    <w:p w14:paraId="18E14454">
      <w:pPr>
        <w:pStyle w:val="19"/>
        <w:rPr>
          <w:rFonts w:ascii="宋体" w:hAnsi="宋体" w:cs="宋体"/>
          <w:color w:val="auto"/>
          <w:szCs w:val="21"/>
        </w:rPr>
      </w:pPr>
    </w:p>
    <w:p w14:paraId="5353DACB">
      <w:pPr>
        <w:rPr>
          <w:rFonts w:hAnsi="宋体" w:cs="宋体"/>
          <w:color w:val="auto"/>
          <w:szCs w:val="21"/>
        </w:rPr>
      </w:pPr>
    </w:p>
    <w:p w14:paraId="651F65EF">
      <w:pPr>
        <w:pStyle w:val="19"/>
        <w:rPr>
          <w:rFonts w:ascii="宋体" w:hAnsi="宋体" w:cs="宋体"/>
          <w:color w:val="auto"/>
          <w:szCs w:val="21"/>
        </w:rPr>
      </w:pPr>
    </w:p>
    <w:p w14:paraId="4B60D4CC">
      <w:pPr>
        <w:rPr>
          <w:rFonts w:hAnsi="宋体" w:cs="宋体"/>
          <w:color w:val="auto"/>
          <w:szCs w:val="21"/>
        </w:rPr>
      </w:pPr>
    </w:p>
    <w:p w14:paraId="1D1FAB89">
      <w:pPr>
        <w:pStyle w:val="19"/>
        <w:rPr>
          <w:rFonts w:ascii="宋体" w:hAnsi="宋体" w:cs="宋体"/>
          <w:color w:val="auto"/>
          <w:szCs w:val="21"/>
        </w:rPr>
      </w:pPr>
    </w:p>
    <w:p w14:paraId="73E43F44">
      <w:pPr>
        <w:rPr>
          <w:rFonts w:hAnsi="宋体" w:cs="宋体"/>
          <w:color w:val="auto"/>
          <w:szCs w:val="21"/>
        </w:rPr>
      </w:pPr>
    </w:p>
    <w:p w14:paraId="77EE537B">
      <w:pPr>
        <w:pStyle w:val="19"/>
        <w:rPr>
          <w:rFonts w:ascii="宋体" w:hAnsi="宋体" w:cs="宋体"/>
          <w:color w:val="auto"/>
          <w:szCs w:val="21"/>
        </w:rPr>
      </w:pPr>
    </w:p>
    <w:p w14:paraId="7F60A518">
      <w:pPr>
        <w:rPr>
          <w:color w:val="auto"/>
        </w:rPr>
      </w:pPr>
    </w:p>
    <w:p w14:paraId="1C5B507A">
      <w:pPr>
        <w:snapToGrid w:val="0"/>
        <w:rPr>
          <w:rFonts w:hAnsi="宋体" w:cs="宋体"/>
          <w:color w:val="auto"/>
          <w:szCs w:val="21"/>
        </w:rPr>
      </w:pPr>
    </w:p>
    <w:p w14:paraId="250073BB">
      <w:pPr>
        <w:snapToGrid w:val="0"/>
        <w:rPr>
          <w:rFonts w:hAnsi="宋体" w:cs="宋体"/>
          <w:color w:val="auto"/>
          <w:szCs w:val="21"/>
        </w:rPr>
      </w:pPr>
    </w:p>
    <w:p w14:paraId="1E4BD74F">
      <w:pPr>
        <w:snapToGrid w:val="0"/>
        <w:rPr>
          <w:rFonts w:hAnsi="宋体" w:cs="宋体"/>
          <w:color w:val="auto"/>
          <w:szCs w:val="21"/>
        </w:rPr>
      </w:pPr>
    </w:p>
    <w:p w14:paraId="4AEB0117">
      <w:pPr>
        <w:pStyle w:val="19"/>
        <w:rPr>
          <w:color w:val="auto"/>
        </w:rPr>
      </w:pPr>
    </w:p>
    <w:p w14:paraId="2166AC2E">
      <w:pPr>
        <w:rPr>
          <w:color w:val="auto"/>
        </w:rPr>
      </w:pPr>
    </w:p>
    <w:p w14:paraId="49EA8FFD">
      <w:pPr>
        <w:pStyle w:val="13"/>
        <w:rPr>
          <w:color w:val="auto"/>
        </w:rPr>
      </w:pPr>
    </w:p>
    <w:p w14:paraId="194BB375">
      <w:pPr>
        <w:pStyle w:val="13"/>
        <w:rPr>
          <w:color w:val="auto"/>
        </w:rPr>
      </w:pPr>
    </w:p>
    <w:p w14:paraId="47523CB6">
      <w:pPr>
        <w:snapToGrid w:val="0"/>
        <w:rPr>
          <w:rFonts w:hAnsi="宋体" w:cs="宋体"/>
          <w:color w:val="auto"/>
          <w:szCs w:val="21"/>
        </w:rPr>
      </w:pPr>
    </w:p>
    <w:p w14:paraId="09D0FC3A">
      <w:pPr>
        <w:snapToGrid w:val="0"/>
        <w:rPr>
          <w:rFonts w:hAnsi="宋体" w:cs="宋体"/>
          <w:color w:val="auto"/>
          <w:szCs w:val="21"/>
        </w:rPr>
        <w:sectPr>
          <w:pgSz w:w="11906" w:h="16838"/>
          <w:pgMar w:top="1417" w:right="1134" w:bottom="1417" w:left="1417" w:header="1134" w:footer="992" w:gutter="0"/>
          <w:cols w:space="720" w:num="1"/>
          <w:titlePg/>
          <w:docGrid w:type="lines" w:linePitch="333" w:charSpace="0"/>
        </w:sectPr>
      </w:pPr>
    </w:p>
    <w:p w14:paraId="7789F2CD">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rPr>
      </w:pPr>
      <w:r>
        <w:rPr>
          <w:rFonts w:hint="eastAsia"/>
          <w:color w:val="auto"/>
          <w:sz w:val="24"/>
          <w:szCs w:val="24"/>
        </w:rPr>
        <w:t>本项目</w:t>
      </w:r>
      <w:r>
        <w:rPr>
          <w:rFonts w:hint="eastAsia"/>
          <w:color w:val="auto"/>
          <w:sz w:val="24"/>
          <w:szCs w:val="24"/>
          <w:lang w:val="en-US" w:eastAsia="zh-CN"/>
        </w:rPr>
        <w:t>合同包1、合同包2</w:t>
      </w:r>
      <w:r>
        <w:rPr>
          <w:rFonts w:hint="eastAsia"/>
          <w:color w:val="auto"/>
          <w:sz w:val="24"/>
          <w:szCs w:val="24"/>
        </w:rPr>
        <w:t>专门面向中小企业，供应商应为中小微企业或监狱企业或残疾人福利性单位。</w:t>
      </w:r>
    </w:p>
    <w:p w14:paraId="3EA5B6A6">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rPr>
      </w:pPr>
      <w:r>
        <w:rPr>
          <w:rFonts w:hint="eastAsia"/>
          <w:color w:val="auto"/>
          <w:sz w:val="24"/>
          <w:szCs w:val="24"/>
        </w:rPr>
        <w:t>（1）供应商</w:t>
      </w:r>
      <w:r>
        <w:rPr>
          <w:rFonts w:hint="eastAsia"/>
          <w:color w:val="auto"/>
          <w:sz w:val="24"/>
          <w:szCs w:val="24"/>
          <w:lang w:eastAsia="zh-CN"/>
        </w:rPr>
        <w:t>应</w:t>
      </w:r>
      <w:r>
        <w:rPr>
          <w:rFonts w:hint="eastAsia"/>
          <w:color w:val="auto"/>
          <w:sz w:val="24"/>
          <w:szCs w:val="24"/>
        </w:rPr>
        <w:t>为中型、小型、微型企业的，提供《中小企业声明函》（附件</w:t>
      </w:r>
      <w:r>
        <w:rPr>
          <w:rFonts w:hint="eastAsia"/>
          <w:color w:val="auto"/>
          <w:sz w:val="24"/>
          <w:szCs w:val="24"/>
          <w:lang w:val="en-US" w:eastAsia="zh-CN"/>
        </w:rPr>
        <w:t>1</w:t>
      </w:r>
      <w:r>
        <w:rPr>
          <w:rFonts w:hint="eastAsia"/>
          <w:color w:val="auto"/>
          <w:sz w:val="24"/>
          <w:szCs w:val="24"/>
        </w:rPr>
        <w:t>），填写时请认真阅读《工业和信息化部、国家统计局、国家发展和改革委员会、财政部关于印发中小企业划型标准规定的通知》（工信部联企业[2011]300号）和《政府采购促进中小企业发展管理办法》（财库〔2020〕46号）相关规定；成交人享受中小企业扶持政策的，成交人的《中小企业声明函》或证明文件将随成交结果公告一同公布，接受社会监督。</w:t>
      </w:r>
    </w:p>
    <w:p w14:paraId="7137B518">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rPr>
      </w:pPr>
      <w:r>
        <w:rPr>
          <w:rFonts w:hint="eastAsia"/>
          <w:color w:val="auto"/>
          <w:sz w:val="24"/>
          <w:szCs w:val="24"/>
        </w:rPr>
        <w:t>（2）供应商若为残疾人福利性单位的，应提供《残疾人福利性单位声明函》（附件</w:t>
      </w:r>
      <w:r>
        <w:rPr>
          <w:rFonts w:hint="eastAsia"/>
          <w:color w:val="auto"/>
          <w:sz w:val="24"/>
          <w:szCs w:val="24"/>
          <w:lang w:val="en-US" w:eastAsia="zh-CN"/>
        </w:rPr>
        <w:t>2</w:t>
      </w:r>
      <w:r>
        <w:rPr>
          <w:rFonts w:hint="eastAsia"/>
          <w:color w:val="auto"/>
          <w:sz w:val="24"/>
          <w:szCs w:val="24"/>
        </w:rPr>
        <w:t>）；</w:t>
      </w:r>
    </w:p>
    <w:p w14:paraId="5A5EFC94">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Ansi="宋体" w:cs="宋体"/>
          <w:color w:val="auto"/>
          <w:szCs w:val="21"/>
        </w:rPr>
        <w:sectPr>
          <w:pgSz w:w="11906" w:h="16838"/>
          <w:pgMar w:top="1417" w:right="1134" w:bottom="1417" w:left="1417" w:header="1134" w:footer="992" w:gutter="0"/>
          <w:cols w:space="720" w:num="1"/>
          <w:titlePg/>
          <w:docGrid w:type="lines" w:linePitch="333" w:charSpace="0"/>
        </w:sectPr>
      </w:pPr>
      <w:r>
        <w:rPr>
          <w:rFonts w:hint="eastAsia"/>
          <w:color w:val="auto"/>
          <w:sz w:val="24"/>
          <w:szCs w:val="24"/>
        </w:rPr>
        <w:t>（3）供应商若为监狱企业的，应提供监狱企业的证明文件（附件</w:t>
      </w:r>
      <w:r>
        <w:rPr>
          <w:rFonts w:hint="eastAsia"/>
          <w:color w:val="auto"/>
          <w:sz w:val="24"/>
          <w:szCs w:val="24"/>
          <w:lang w:val="en-US" w:eastAsia="zh-CN"/>
        </w:rPr>
        <w:t>3</w:t>
      </w:r>
      <w:r>
        <w:rPr>
          <w:rFonts w:hint="eastAsia"/>
          <w:color w:val="auto"/>
          <w:sz w:val="24"/>
          <w:szCs w:val="24"/>
        </w:rPr>
        <w:t>）；</w:t>
      </w:r>
    </w:p>
    <w:bookmarkEnd w:id="310"/>
    <w:bookmarkEnd w:id="311"/>
    <w:bookmarkEnd w:id="312"/>
    <w:bookmarkEnd w:id="313"/>
    <w:bookmarkEnd w:id="314"/>
    <w:bookmarkEnd w:id="315"/>
    <w:bookmarkEnd w:id="316"/>
    <w:bookmarkEnd w:id="317"/>
    <w:p w14:paraId="260BFC79">
      <w:pPr>
        <w:pStyle w:val="4"/>
        <w:spacing w:before="166" w:beforeLines="50"/>
        <w:jc w:val="left"/>
        <w:rPr>
          <w:rFonts w:hint="eastAsia" w:ascii="宋体" w:hAnsi="宋体" w:eastAsia="宋体" w:cs="宋体"/>
          <w:color w:val="auto"/>
          <w:sz w:val="28"/>
          <w:szCs w:val="28"/>
          <w:lang w:eastAsia="zh-CN"/>
        </w:rPr>
      </w:pPr>
      <w:bookmarkStart w:id="318" w:name="_Toc17797"/>
      <w:r>
        <w:rPr>
          <w:rFonts w:hint="eastAsia" w:ascii="宋体" w:hAnsi="宋体" w:cs="宋体"/>
          <w:color w:val="auto"/>
          <w:sz w:val="28"/>
          <w:szCs w:val="28"/>
        </w:rPr>
        <w:t>附件</w:t>
      </w:r>
      <w:bookmarkEnd w:id="318"/>
      <w:r>
        <w:rPr>
          <w:rFonts w:hint="eastAsia" w:ascii="宋体" w:cs="宋体"/>
          <w:color w:val="auto"/>
          <w:sz w:val="28"/>
          <w:szCs w:val="28"/>
        </w:rPr>
        <w:t>1</w:t>
      </w:r>
    </w:p>
    <w:p w14:paraId="5208CD05">
      <w:pPr>
        <w:tabs>
          <w:tab w:val="left" w:pos="1620"/>
          <w:tab w:val="left" w:pos="1800"/>
        </w:tabs>
        <w:spacing w:line="500" w:lineRule="exact"/>
        <w:jc w:val="center"/>
        <w:rPr>
          <w:rFonts w:hAnsi="宋体" w:cs="宋体"/>
          <w:b/>
          <w:color w:val="auto"/>
          <w:sz w:val="32"/>
          <w:szCs w:val="32"/>
          <w:highlight w:val="none"/>
        </w:rPr>
      </w:pPr>
      <w:r>
        <w:rPr>
          <w:rFonts w:hAnsi="宋体" w:cs="宋体"/>
          <w:b/>
          <w:color w:val="auto"/>
          <w:sz w:val="32"/>
          <w:szCs w:val="32"/>
          <w:highlight w:val="none"/>
        </w:rPr>
        <w:t>中小企业声明函</w:t>
      </w:r>
      <w:r>
        <w:rPr>
          <w:rFonts w:hint="eastAsia" w:hAnsi="宋体" w:cs="宋体"/>
          <w:b/>
          <w:color w:val="auto"/>
          <w:sz w:val="32"/>
          <w:szCs w:val="32"/>
          <w:highlight w:val="none"/>
        </w:rPr>
        <w:t>（工程、服务）</w:t>
      </w:r>
    </w:p>
    <w:p w14:paraId="0FBEC33A">
      <w:pPr>
        <w:tabs>
          <w:tab w:val="left" w:pos="1620"/>
          <w:tab w:val="left" w:pos="1800"/>
        </w:tabs>
        <w:spacing w:line="500" w:lineRule="exact"/>
        <w:rPr>
          <w:rFonts w:cs="仿宋" w:asciiTheme="minorEastAsia" w:hAnsiTheme="minorEastAsia" w:eastAsiaTheme="minorEastAsia"/>
          <w:color w:val="auto"/>
          <w:szCs w:val="24"/>
          <w:highlight w:val="none"/>
        </w:rPr>
      </w:pPr>
    </w:p>
    <w:p w14:paraId="28EBC9DB">
      <w:pPr>
        <w:pStyle w:val="19"/>
        <w:spacing w:before="55" w:after="0" w:line="360" w:lineRule="auto"/>
        <w:ind w:firstLine="64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本公司（联合体）郑重声明，根据《政府采购促进中小企业发展管理办法》（财库﹝2020﹞46 号）的规定，本公司（联合体）参加</w:t>
      </w:r>
      <w:r>
        <w:rPr>
          <w:rFonts w:hint="eastAsia" w:ascii="宋体" w:hAnsi="宋体" w:cs="宋体"/>
          <w:color w:val="auto"/>
          <w:spacing w:val="-2"/>
          <w:sz w:val="24"/>
          <w:szCs w:val="24"/>
          <w:highlight w:val="none"/>
          <w:u w:val="single"/>
        </w:rPr>
        <w:t>（单位名称）</w:t>
      </w:r>
      <w:r>
        <w:rPr>
          <w:rFonts w:hint="eastAsia" w:ascii="宋体" w:hAnsi="宋体" w:cs="宋体"/>
          <w:color w:val="auto"/>
          <w:spacing w:val="-2"/>
          <w:sz w:val="24"/>
          <w:szCs w:val="24"/>
          <w:highlight w:val="none"/>
        </w:rPr>
        <w:t>的</w:t>
      </w:r>
      <w:r>
        <w:rPr>
          <w:rFonts w:hint="eastAsia" w:ascii="宋体" w:hAnsi="宋体" w:cs="宋体"/>
          <w:color w:val="auto"/>
          <w:spacing w:val="-2"/>
          <w:sz w:val="24"/>
          <w:szCs w:val="24"/>
          <w:highlight w:val="none"/>
          <w:u w:val="single"/>
        </w:rPr>
        <w:t>（项目名称）</w:t>
      </w:r>
      <w:r>
        <w:rPr>
          <w:rFonts w:hint="eastAsia" w:ascii="宋体" w:hAnsi="宋体" w:cs="宋体"/>
          <w:color w:val="auto"/>
          <w:spacing w:val="-2"/>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93C8A46">
      <w:pPr>
        <w:pStyle w:val="179"/>
        <w:spacing w:line="360" w:lineRule="auto"/>
        <w:ind w:firstLine="480"/>
        <w:rPr>
          <w:rFonts w:hAnsi="宋体" w:cs="宋体"/>
          <w:color w:val="auto"/>
          <w:szCs w:val="24"/>
          <w:highlight w:val="none"/>
        </w:rPr>
      </w:pPr>
      <w:r>
        <w:rPr>
          <w:rFonts w:hint="eastAsia" w:hAnsi="宋体" w:cs="宋体"/>
          <w:color w:val="auto"/>
          <w:szCs w:val="24"/>
          <w:highlight w:val="none"/>
          <w:lang w:val="zh-CN"/>
        </w:rPr>
        <w:t>1.</w:t>
      </w:r>
      <w:r>
        <w:rPr>
          <w:rFonts w:hint="eastAsia" w:hAnsi="宋体" w:cs="宋体"/>
          <w:color w:val="auto"/>
          <w:szCs w:val="24"/>
          <w:highlight w:val="none"/>
          <w:u w:val="single"/>
          <w:lang w:val="zh-CN"/>
        </w:rPr>
        <w:t>（标的名称）</w:t>
      </w:r>
      <w:r>
        <w:rPr>
          <w:rFonts w:hint="eastAsia" w:hAnsi="宋体" w:cs="宋体"/>
          <w:color w:val="auto"/>
          <w:szCs w:val="24"/>
          <w:highlight w:val="none"/>
        </w:rPr>
        <w:t>，属于</w:t>
      </w:r>
      <w:r>
        <w:rPr>
          <w:rFonts w:hint="eastAsia" w:hAnsi="宋体" w:cs="宋体"/>
          <w:color w:val="auto"/>
          <w:szCs w:val="24"/>
          <w:highlight w:val="none"/>
          <w:u w:val="single"/>
          <w:lang w:val="zh-CN"/>
        </w:rPr>
        <w:t>（采购文件中明确的所属行业）</w:t>
      </w:r>
      <w:r>
        <w:rPr>
          <w:rFonts w:hint="eastAsia" w:hAnsi="宋体" w:cs="宋体"/>
          <w:color w:val="auto"/>
          <w:szCs w:val="24"/>
          <w:highlight w:val="none"/>
          <w:lang w:val="zh-CN"/>
        </w:rPr>
        <w:t>；</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F5CF8FB">
      <w:pPr>
        <w:pStyle w:val="179"/>
        <w:spacing w:line="360" w:lineRule="auto"/>
        <w:ind w:firstLine="480"/>
        <w:rPr>
          <w:rFonts w:hAnsi="宋体" w:cs="宋体"/>
          <w:color w:val="auto"/>
          <w:szCs w:val="24"/>
          <w:highlight w:val="none"/>
        </w:rPr>
      </w:pPr>
      <w:r>
        <w:rPr>
          <w:rFonts w:hint="eastAsia" w:hAnsi="宋体" w:cs="宋体"/>
          <w:color w:val="auto"/>
          <w:szCs w:val="24"/>
          <w:highlight w:val="none"/>
          <w:lang w:val="zh-CN"/>
        </w:rPr>
        <w:t>2.</w:t>
      </w:r>
      <w:r>
        <w:rPr>
          <w:rFonts w:hint="eastAsia" w:hAnsi="宋体" w:cs="宋体"/>
          <w:color w:val="auto"/>
          <w:szCs w:val="24"/>
          <w:highlight w:val="none"/>
          <w:u w:val="single"/>
          <w:lang w:val="zh-CN"/>
        </w:rPr>
        <w:t>（标的名称）</w:t>
      </w:r>
      <w:r>
        <w:rPr>
          <w:rFonts w:hint="eastAsia" w:hAnsi="宋体" w:cs="宋体"/>
          <w:color w:val="auto"/>
          <w:szCs w:val="24"/>
          <w:highlight w:val="none"/>
        </w:rPr>
        <w:t>，属于</w:t>
      </w:r>
      <w:r>
        <w:rPr>
          <w:rFonts w:hint="eastAsia" w:hAnsi="宋体" w:cs="宋体"/>
          <w:color w:val="auto"/>
          <w:szCs w:val="24"/>
          <w:highlight w:val="none"/>
          <w:u w:val="single"/>
          <w:lang w:val="zh-CN"/>
        </w:rPr>
        <w:t>（采购文件中明确的所属行业）</w:t>
      </w:r>
      <w:r>
        <w:rPr>
          <w:rFonts w:hint="eastAsia" w:hAnsi="宋体" w:cs="宋体"/>
          <w:color w:val="auto"/>
          <w:szCs w:val="24"/>
          <w:highlight w:val="none"/>
          <w:lang w:val="zh-CN"/>
        </w:rPr>
        <w:t>；</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259A3721">
      <w:pPr>
        <w:pStyle w:val="179"/>
        <w:spacing w:line="360" w:lineRule="auto"/>
        <w:ind w:firstLine="480"/>
        <w:rPr>
          <w:rFonts w:hAnsi="宋体" w:cs="宋体"/>
          <w:color w:val="auto"/>
          <w:szCs w:val="24"/>
          <w:highlight w:val="none"/>
          <w:lang w:val="zh-CN"/>
        </w:rPr>
      </w:pPr>
      <w:r>
        <w:rPr>
          <w:rFonts w:hint="eastAsia" w:hAnsi="宋体" w:cs="宋体"/>
          <w:color w:val="auto"/>
          <w:szCs w:val="24"/>
          <w:highlight w:val="none"/>
          <w:lang w:val="zh-CN"/>
        </w:rPr>
        <w:t>……</w:t>
      </w:r>
    </w:p>
    <w:p w14:paraId="1FD53961">
      <w:pPr>
        <w:pStyle w:val="179"/>
        <w:spacing w:line="360" w:lineRule="auto"/>
        <w:ind w:firstLine="480"/>
        <w:rPr>
          <w:rFonts w:hAnsi="宋体" w:cs="宋体"/>
          <w:color w:val="auto"/>
          <w:szCs w:val="24"/>
          <w:highlight w:val="none"/>
          <w:lang w:val="zh-CN"/>
        </w:rPr>
      </w:pPr>
      <w:r>
        <w:rPr>
          <w:rFonts w:hint="eastAsia" w:hAnsi="宋体" w:cs="宋体"/>
          <w:color w:val="auto"/>
          <w:szCs w:val="24"/>
          <w:highlight w:val="none"/>
          <w:lang w:val="zh-CN"/>
        </w:rPr>
        <w:t>以上企业，不属于大企业的分支机构，不存在控股股东为大企业的情形，也不存在与大企业的负责人为同一人的情形。</w:t>
      </w:r>
    </w:p>
    <w:p w14:paraId="6259CC53">
      <w:pPr>
        <w:tabs>
          <w:tab w:val="left" w:pos="1620"/>
          <w:tab w:val="left" w:pos="1800"/>
        </w:tabs>
        <w:spacing w:line="500" w:lineRule="exact"/>
        <w:ind w:firstLine="480" w:firstLineChars="200"/>
        <w:rPr>
          <w:rFonts w:cs="仿宋" w:asciiTheme="minorEastAsia" w:hAnsiTheme="minorEastAsia" w:eastAsiaTheme="minorEastAsia"/>
          <w:color w:val="auto"/>
          <w:szCs w:val="24"/>
          <w:highlight w:val="none"/>
        </w:rPr>
      </w:pPr>
      <w:r>
        <w:rPr>
          <w:rFonts w:hint="eastAsia" w:hAnsi="宋体" w:cs="宋体"/>
          <w:color w:val="auto"/>
          <w:szCs w:val="24"/>
          <w:highlight w:val="none"/>
          <w:lang w:val="zh-CN"/>
        </w:rPr>
        <w:t>本企业对上述声明内容的真实性负责。如有虚假，将依法承担相应责任。</w:t>
      </w:r>
    </w:p>
    <w:p w14:paraId="056C8C2F">
      <w:pPr>
        <w:pStyle w:val="3"/>
        <w:rPr>
          <w:rFonts w:cs="仿宋" w:asciiTheme="minorEastAsia" w:hAnsiTheme="minorEastAsia" w:eastAsiaTheme="minorEastAsia"/>
          <w:color w:val="auto"/>
          <w:szCs w:val="24"/>
          <w:highlight w:val="none"/>
        </w:rPr>
      </w:pPr>
      <w:r>
        <w:rPr>
          <w:rFonts w:hint="eastAsia" w:cs="仿宋" w:asciiTheme="minorEastAsia" w:hAnsiTheme="minorEastAsia" w:eastAsiaTheme="minorEastAsia"/>
          <w:color w:val="auto"/>
          <w:szCs w:val="24"/>
          <w:highlight w:val="none"/>
        </w:rPr>
        <w:t xml:space="preserve">               </w:t>
      </w:r>
    </w:p>
    <w:p w14:paraId="4727A4CF">
      <w:pPr>
        <w:rPr>
          <w:color w:val="auto"/>
          <w:highlight w:val="none"/>
        </w:rPr>
      </w:pPr>
    </w:p>
    <w:p w14:paraId="3F025E6B">
      <w:pPr>
        <w:tabs>
          <w:tab w:val="left" w:pos="1620"/>
          <w:tab w:val="left" w:pos="1800"/>
        </w:tabs>
        <w:spacing w:line="500" w:lineRule="exact"/>
        <w:jc w:val="center"/>
        <w:rPr>
          <w:rFonts w:cs="仿宋" w:asciiTheme="minorEastAsia" w:hAnsiTheme="minorEastAsia" w:eastAsiaTheme="minorEastAsia"/>
          <w:color w:val="auto"/>
          <w:szCs w:val="24"/>
          <w:highlight w:val="none"/>
        </w:rPr>
      </w:pPr>
      <w:r>
        <w:rPr>
          <w:rFonts w:hint="eastAsia" w:cs="仿宋" w:asciiTheme="minorEastAsia" w:hAnsiTheme="minorEastAsia" w:eastAsiaTheme="minorEastAsia"/>
          <w:color w:val="auto"/>
          <w:szCs w:val="24"/>
          <w:highlight w:val="none"/>
        </w:rPr>
        <w:t xml:space="preserve">                企业名称（盖章）：</w:t>
      </w:r>
    </w:p>
    <w:p w14:paraId="422628DC">
      <w:pPr>
        <w:tabs>
          <w:tab w:val="left" w:pos="1620"/>
          <w:tab w:val="left" w:pos="1800"/>
        </w:tabs>
        <w:wordWrap w:val="0"/>
        <w:spacing w:line="500" w:lineRule="exact"/>
        <w:jc w:val="center"/>
        <w:rPr>
          <w:rFonts w:cs="仿宋" w:asciiTheme="minorEastAsia" w:hAnsiTheme="minorEastAsia" w:eastAsiaTheme="minorEastAsia"/>
          <w:color w:val="auto"/>
          <w:szCs w:val="24"/>
          <w:highlight w:val="none"/>
        </w:rPr>
      </w:pPr>
      <w:r>
        <w:rPr>
          <w:rFonts w:hint="eastAsia" w:cs="仿宋" w:asciiTheme="minorEastAsia" w:hAnsiTheme="minorEastAsia" w:eastAsiaTheme="minorEastAsia"/>
          <w:color w:val="auto"/>
          <w:szCs w:val="24"/>
          <w:highlight w:val="none"/>
        </w:rPr>
        <w:t xml:space="preserve">    日期：</w:t>
      </w:r>
    </w:p>
    <w:p w14:paraId="00D15DC1">
      <w:pPr>
        <w:tabs>
          <w:tab w:val="left" w:pos="1620"/>
          <w:tab w:val="left" w:pos="1800"/>
        </w:tabs>
        <w:spacing w:line="500" w:lineRule="exact"/>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备注：</w:t>
      </w:r>
    </w:p>
    <w:p w14:paraId="715BE2F2">
      <w:pPr>
        <w:tabs>
          <w:tab w:val="left" w:pos="0"/>
          <w:tab w:val="left" w:pos="7920"/>
        </w:tabs>
        <w:spacing w:line="500" w:lineRule="exact"/>
        <w:ind w:firstLine="420" w:firstLineChars="200"/>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1.</w:t>
      </w:r>
      <w:r>
        <w:rPr>
          <w:color w:val="auto"/>
          <w:spacing w:val="-8"/>
          <w:sz w:val="21"/>
          <w:szCs w:val="21"/>
          <w:highlight w:val="none"/>
        </w:rPr>
        <w:t>中小企业参加政府采购活动，</w:t>
      </w:r>
      <w:r>
        <w:rPr>
          <w:rFonts w:hint="eastAsia"/>
          <w:color w:val="auto"/>
          <w:spacing w:val="-8"/>
          <w:sz w:val="21"/>
          <w:szCs w:val="21"/>
          <w:highlight w:val="none"/>
        </w:rPr>
        <w:t>应当按照《政府采购促进中小企业发展管理办法》（财库〔2020〕46号）规定和《中小企业划型标准规定》（工信部联企业〔2011〕300号），如实填写并提交本《中小企业声明函》。</w:t>
      </w:r>
    </w:p>
    <w:p w14:paraId="48CE5D32">
      <w:pPr>
        <w:pStyle w:val="179"/>
        <w:spacing w:line="360" w:lineRule="auto"/>
        <w:ind w:left="480" w:leftChars="200" w:firstLine="0" w:firstLineChars="0"/>
        <w:rPr>
          <w:b/>
          <w:bCs/>
          <w:color w:val="auto"/>
          <w:spacing w:val="-8"/>
          <w:sz w:val="21"/>
          <w:szCs w:val="21"/>
        </w:rPr>
      </w:pPr>
      <w:r>
        <w:rPr>
          <w:rFonts w:cs="仿宋" w:asciiTheme="minorEastAsia" w:hAnsiTheme="minorEastAsia" w:eastAsiaTheme="minorEastAsia"/>
          <w:color w:val="auto"/>
          <w:sz w:val="21"/>
          <w:szCs w:val="21"/>
          <w:highlight w:val="none"/>
        </w:rPr>
        <w:t>2.</w:t>
      </w:r>
      <w:r>
        <w:rPr>
          <w:rFonts w:hint="eastAsia" w:cs="仿宋" w:asciiTheme="minorEastAsia" w:hAnsiTheme="minorEastAsia" w:eastAsiaTheme="minorEastAsia"/>
          <w:color w:val="auto"/>
          <w:sz w:val="21"/>
          <w:szCs w:val="21"/>
          <w:highlight w:val="none"/>
        </w:rPr>
        <w:t>从业人员、营业收入、资产总额填报上一年度数据，无上一年度数据的新成立企业可不填报。</w:t>
      </w:r>
    </w:p>
    <w:p w14:paraId="24E85302">
      <w:pPr>
        <w:outlineLvl w:val="2"/>
        <w:rPr>
          <w:rFonts w:hint="eastAsia" w:hAnsi="宋体" w:eastAsia="宋体" w:cs="宋体"/>
          <w:b/>
          <w:color w:val="auto"/>
          <w:sz w:val="28"/>
          <w:szCs w:val="28"/>
          <w:lang w:eastAsia="zh-CN"/>
        </w:rPr>
      </w:pPr>
      <w:bookmarkStart w:id="319" w:name="_Toc13088"/>
      <w:r>
        <w:rPr>
          <w:rFonts w:hint="eastAsia" w:hAnsi="宋体" w:cs="宋体"/>
          <w:b/>
          <w:color w:val="auto"/>
          <w:sz w:val="28"/>
          <w:szCs w:val="28"/>
        </w:rPr>
        <w:t>附件</w:t>
      </w:r>
      <w:bookmarkEnd w:id="319"/>
      <w:r>
        <w:rPr>
          <w:rFonts w:hint="eastAsia" w:hAnsi="宋体" w:cs="宋体"/>
          <w:b/>
          <w:color w:val="auto"/>
          <w:sz w:val="28"/>
          <w:szCs w:val="28"/>
          <w:lang w:val="en-US" w:eastAsia="zh-CN"/>
        </w:rPr>
        <w:t>2</w:t>
      </w:r>
      <w:r>
        <w:rPr>
          <w:rFonts w:hint="eastAsia" w:ascii="宋体" w:cs="宋体"/>
          <w:b/>
          <w:bCs/>
          <w:color w:val="auto"/>
          <w:sz w:val="28"/>
          <w:szCs w:val="28"/>
        </w:rPr>
        <w:t>（如有）</w:t>
      </w:r>
    </w:p>
    <w:p w14:paraId="47374E80">
      <w:pPr>
        <w:spacing w:line="588" w:lineRule="exact"/>
        <w:jc w:val="center"/>
        <w:outlineLvl w:val="2"/>
        <w:rPr>
          <w:rFonts w:hAnsi="宋体" w:cs="宋体"/>
          <w:b/>
          <w:color w:val="auto"/>
          <w:spacing w:val="6"/>
          <w:sz w:val="32"/>
          <w:szCs w:val="32"/>
        </w:rPr>
      </w:pPr>
      <w:bookmarkStart w:id="320" w:name="_Toc17495"/>
      <w:bookmarkStart w:id="321" w:name="OLE_LINK13"/>
      <w:bookmarkStart w:id="322" w:name="OLE_LINK14"/>
      <w:r>
        <w:rPr>
          <w:rFonts w:hint="eastAsia" w:hAnsi="宋体" w:cs="宋体"/>
          <w:b/>
          <w:color w:val="auto"/>
          <w:spacing w:val="6"/>
          <w:sz w:val="32"/>
          <w:szCs w:val="32"/>
        </w:rPr>
        <w:t>残疾人福利性单位声明函</w:t>
      </w:r>
      <w:bookmarkEnd w:id="320"/>
    </w:p>
    <w:bookmarkEnd w:id="321"/>
    <w:bookmarkEnd w:id="322"/>
    <w:p w14:paraId="523F9880">
      <w:pPr>
        <w:spacing w:line="588" w:lineRule="exact"/>
        <w:ind w:firstLine="504" w:firstLineChars="200"/>
        <w:rPr>
          <w:rFonts w:hAnsi="宋体" w:cs="宋体"/>
          <w:color w:val="auto"/>
          <w:spacing w:val="6"/>
          <w:szCs w:val="24"/>
        </w:rPr>
      </w:pPr>
      <w:r>
        <w:rPr>
          <w:rFonts w:hint="eastAsia" w:hAnsi="宋体" w:cs="宋体"/>
          <w:color w:val="auto"/>
          <w:spacing w:val="6"/>
          <w:szCs w:val="24"/>
        </w:rPr>
        <w:t>本单位郑重声明，根据《财政部 民政部 中国残疾人联合会关于促进残疾人就业政府采购政策的通知》（财库</w:t>
      </w:r>
      <w:r>
        <w:rPr>
          <w:rFonts w:hint="eastAsia" w:hAnsi="宋体" w:cs="宋体"/>
          <w:color w:val="auto"/>
          <w:szCs w:val="24"/>
        </w:rPr>
        <w:t>〔2017〕 141</w:t>
      </w:r>
      <w:r>
        <w:rPr>
          <w:rFonts w:hint="eastAsia" w:hAnsi="宋体" w:cs="宋体"/>
          <w:color w:val="auto"/>
          <w:spacing w:val="6"/>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E97A0BB">
      <w:pPr>
        <w:spacing w:line="588" w:lineRule="exact"/>
        <w:ind w:firstLine="504" w:firstLineChars="200"/>
        <w:rPr>
          <w:rFonts w:hAnsi="宋体" w:cs="宋体"/>
          <w:color w:val="auto"/>
          <w:spacing w:val="6"/>
          <w:szCs w:val="24"/>
        </w:rPr>
      </w:pPr>
      <w:r>
        <w:rPr>
          <w:rFonts w:hint="eastAsia" w:hAnsi="宋体" w:cs="宋体"/>
          <w:color w:val="auto"/>
          <w:spacing w:val="6"/>
          <w:szCs w:val="24"/>
        </w:rPr>
        <w:t>本单位对上述声明的真实性负责。如有虚假，将依法承担相应责任。</w:t>
      </w:r>
    </w:p>
    <w:p w14:paraId="2938C972">
      <w:pPr>
        <w:spacing w:line="588" w:lineRule="exact"/>
        <w:ind w:firstLine="504" w:firstLineChars="200"/>
        <w:rPr>
          <w:rFonts w:hAnsi="宋体" w:cs="宋体"/>
          <w:color w:val="auto"/>
          <w:spacing w:val="6"/>
          <w:szCs w:val="24"/>
        </w:rPr>
      </w:pPr>
    </w:p>
    <w:p w14:paraId="49123E0F">
      <w:pPr>
        <w:spacing w:line="588" w:lineRule="exact"/>
        <w:ind w:firstLine="504" w:firstLineChars="200"/>
        <w:rPr>
          <w:rFonts w:hAnsi="宋体" w:cs="宋体"/>
          <w:color w:val="auto"/>
          <w:spacing w:val="6"/>
          <w:szCs w:val="24"/>
        </w:rPr>
      </w:pPr>
    </w:p>
    <w:p w14:paraId="45E18B5C">
      <w:pPr>
        <w:spacing w:line="588" w:lineRule="exact"/>
        <w:ind w:firstLine="504" w:firstLineChars="200"/>
        <w:rPr>
          <w:rFonts w:hAnsi="宋体" w:cs="宋体"/>
          <w:color w:val="auto"/>
          <w:spacing w:val="6"/>
          <w:szCs w:val="24"/>
        </w:rPr>
      </w:pPr>
    </w:p>
    <w:p w14:paraId="0040343C">
      <w:pPr>
        <w:spacing w:line="588" w:lineRule="exact"/>
        <w:ind w:firstLine="504" w:firstLineChars="200"/>
        <w:rPr>
          <w:rFonts w:hAnsi="宋体" w:cs="宋体"/>
          <w:color w:val="auto"/>
          <w:spacing w:val="6"/>
          <w:szCs w:val="24"/>
        </w:rPr>
      </w:pPr>
    </w:p>
    <w:p w14:paraId="2BDFF69F">
      <w:pPr>
        <w:tabs>
          <w:tab w:val="left" w:pos="4860"/>
        </w:tabs>
        <w:spacing w:line="720" w:lineRule="auto"/>
        <w:ind w:right="1560" w:firstLine="504" w:firstLineChars="200"/>
        <w:jc w:val="center"/>
        <w:rPr>
          <w:rFonts w:hAnsi="宋体" w:cs="宋体"/>
          <w:color w:val="auto"/>
          <w:spacing w:val="6"/>
          <w:szCs w:val="24"/>
        </w:rPr>
      </w:pPr>
      <w:r>
        <w:rPr>
          <w:rFonts w:hint="eastAsia" w:hAnsi="宋体" w:cs="宋体"/>
          <w:color w:val="auto"/>
          <w:spacing w:val="6"/>
          <w:szCs w:val="24"/>
        </w:rPr>
        <w:t xml:space="preserve">               单位名称：</w:t>
      </w:r>
      <w:r>
        <w:rPr>
          <w:rFonts w:hint="eastAsia" w:hAnsi="宋体" w:cs="宋体"/>
          <w:color w:val="auto"/>
          <w:spacing w:val="6"/>
          <w:szCs w:val="24"/>
          <w:u w:val="single"/>
        </w:rPr>
        <w:t xml:space="preserve">                 </w:t>
      </w:r>
      <w:r>
        <w:rPr>
          <w:rFonts w:hint="eastAsia" w:hAnsi="宋体" w:cs="宋体"/>
          <w:color w:val="auto"/>
          <w:spacing w:val="6"/>
          <w:szCs w:val="24"/>
        </w:rPr>
        <w:t>（盖章）</w:t>
      </w:r>
    </w:p>
    <w:p w14:paraId="16B06C47">
      <w:pPr>
        <w:adjustRightInd w:val="0"/>
        <w:snapToGrid w:val="0"/>
        <w:spacing w:line="720" w:lineRule="auto"/>
        <w:ind w:firstLine="2880" w:firstLineChars="1200"/>
        <w:rPr>
          <w:rFonts w:hAnsi="宋体" w:cs="宋体"/>
          <w:color w:val="auto"/>
        </w:rPr>
      </w:pPr>
      <w:r>
        <w:rPr>
          <w:rFonts w:hint="eastAsia" w:hAnsi="宋体" w:cs="宋体"/>
          <w:color w:val="auto"/>
        </w:rPr>
        <w:t>日     期：</w:t>
      </w:r>
      <w:r>
        <w:rPr>
          <w:rFonts w:hint="eastAsia" w:hAnsi="宋体" w:cs="宋体"/>
          <w:color w:val="auto"/>
          <w:u w:val="single"/>
        </w:rPr>
        <w:t xml:space="preserve">         </w:t>
      </w:r>
      <w:r>
        <w:rPr>
          <w:rFonts w:hint="eastAsia" w:hAnsi="宋体" w:cs="宋体"/>
          <w:color w:val="auto"/>
        </w:rPr>
        <w:t>年</w:t>
      </w:r>
      <w:r>
        <w:rPr>
          <w:rFonts w:hint="eastAsia" w:hAnsi="宋体" w:cs="宋体"/>
          <w:color w:val="auto"/>
          <w:u w:val="single"/>
        </w:rPr>
        <w:t xml:space="preserve">       </w:t>
      </w:r>
      <w:r>
        <w:rPr>
          <w:rFonts w:hint="eastAsia" w:hAnsi="宋体" w:cs="宋体"/>
          <w:color w:val="auto"/>
        </w:rPr>
        <w:t>月</w:t>
      </w:r>
      <w:r>
        <w:rPr>
          <w:rFonts w:hint="eastAsia" w:hAnsi="宋体" w:cs="宋体"/>
          <w:color w:val="auto"/>
          <w:u w:val="single"/>
        </w:rPr>
        <w:t xml:space="preserve">      </w:t>
      </w:r>
      <w:r>
        <w:rPr>
          <w:rFonts w:hint="eastAsia" w:hAnsi="宋体" w:cs="宋体"/>
          <w:color w:val="auto"/>
        </w:rPr>
        <w:t>日</w:t>
      </w:r>
    </w:p>
    <w:p w14:paraId="37775FF7">
      <w:pPr>
        <w:tabs>
          <w:tab w:val="left" w:pos="1620"/>
          <w:tab w:val="left" w:pos="1800"/>
        </w:tabs>
        <w:spacing w:line="440" w:lineRule="exact"/>
        <w:ind w:right="617" w:rightChars="257"/>
        <w:rPr>
          <w:rFonts w:hAnsi="宋体" w:cs="宋体"/>
          <w:color w:val="auto"/>
        </w:rPr>
      </w:pPr>
    </w:p>
    <w:p w14:paraId="4EA50B91">
      <w:pPr>
        <w:tabs>
          <w:tab w:val="left" w:pos="1620"/>
          <w:tab w:val="left" w:pos="1800"/>
        </w:tabs>
        <w:spacing w:line="440" w:lineRule="exact"/>
        <w:ind w:right="617" w:rightChars="257"/>
        <w:rPr>
          <w:rFonts w:hAnsi="宋体" w:cs="宋体"/>
          <w:color w:val="auto"/>
        </w:rPr>
      </w:pPr>
    </w:p>
    <w:p w14:paraId="06BDD2A6">
      <w:pPr>
        <w:pStyle w:val="19"/>
        <w:rPr>
          <w:rFonts w:ascii="宋体" w:hAnsi="宋体" w:cs="宋体"/>
          <w:color w:val="auto"/>
        </w:rPr>
      </w:pPr>
    </w:p>
    <w:p w14:paraId="051451A8">
      <w:pPr>
        <w:spacing w:line="360" w:lineRule="auto"/>
        <w:ind w:firstLine="480" w:firstLineChars="200"/>
        <w:rPr>
          <w:rFonts w:hAnsi="宋体" w:cs="宋体"/>
          <w:color w:val="auto"/>
          <w:szCs w:val="24"/>
        </w:rPr>
      </w:pPr>
      <w:r>
        <w:rPr>
          <w:rFonts w:hint="eastAsia" w:hAnsi="宋体" w:cs="宋体"/>
          <w:color w:val="auto"/>
          <w:szCs w:val="24"/>
        </w:rPr>
        <w:t>备注：符合条件的残疾人福利性单位在参加政府采购活动时，应当提供《残疾人福利性单位声明函》，并对声明的真实性负责；非残疾人福利性单位无需提供。</w:t>
      </w:r>
    </w:p>
    <w:p w14:paraId="6CEF8829">
      <w:pPr>
        <w:rPr>
          <w:color w:val="auto"/>
        </w:rPr>
      </w:pPr>
    </w:p>
    <w:p w14:paraId="0492CF60">
      <w:pPr>
        <w:pStyle w:val="19"/>
        <w:rPr>
          <w:rFonts w:ascii="宋体" w:hAnsi="宋体" w:cs="宋体"/>
          <w:color w:val="auto"/>
        </w:rPr>
      </w:pPr>
    </w:p>
    <w:p w14:paraId="41B4260A">
      <w:pPr>
        <w:pStyle w:val="19"/>
        <w:rPr>
          <w:rFonts w:ascii="宋体" w:hAnsi="宋体" w:cs="宋体"/>
          <w:color w:val="auto"/>
        </w:rPr>
      </w:pPr>
    </w:p>
    <w:p w14:paraId="4C704060">
      <w:pPr>
        <w:pStyle w:val="19"/>
        <w:rPr>
          <w:rFonts w:ascii="宋体" w:hAnsi="宋体" w:cs="宋体"/>
          <w:color w:val="auto"/>
        </w:rPr>
      </w:pPr>
    </w:p>
    <w:p w14:paraId="3BC1CCE1">
      <w:pPr>
        <w:pStyle w:val="19"/>
        <w:rPr>
          <w:rFonts w:ascii="宋体" w:hAnsi="宋体" w:cs="宋体"/>
          <w:color w:val="auto"/>
        </w:rPr>
      </w:pPr>
    </w:p>
    <w:p w14:paraId="5E2276B0">
      <w:pPr>
        <w:pStyle w:val="19"/>
        <w:outlineLvl w:val="2"/>
        <w:rPr>
          <w:rFonts w:hint="eastAsia" w:ascii="宋体" w:hAnsi="宋体" w:eastAsia="宋体" w:cs="宋体"/>
          <w:b/>
          <w:bCs/>
          <w:color w:val="auto"/>
          <w:spacing w:val="6"/>
          <w:sz w:val="30"/>
          <w:szCs w:val="30"/>
          <w:lang w:eastAsia="zh-CN"/>
        </w:rPr>
      </w:pPr>
      <w:bookmarkStart w:id="323" w:name="_Toc2237"/>
      <w:r>
        <w:rPr>
          <w:rFonts w:hint="eastAsia" w:ascii="宋体" w:hAnsi="宋体" w:cs="宋体"/>
          <w:b/>
          <w:bCs/>
          <w:color w:val="auto"/>
          <w:spacing w:val="6"/>
          <w:kern w:val="0"/>
          <w:sz w:val="30"/>
          <w:szCs w:val="30"/>
        </w:rPr>
        <w:t>附件</w:t>
      </w:r>
      <w:bookmarkEnd w:id="323"/>
      <w:r>
        <w:rPr>
          <w:rFonts w:hint="eastAsia" w:ascii="宋体" w:hAnsi="宋体" w:cs="宋体"/>
          <w:b/>
          <w:bCs/>
          <w:color w:val="auto"/>
          <w:spacing w:val="6"/>
          <w:kern w:val="0"/>
          <w:sz w:val="30"/>
          <w:szCs w:val="30"/>
          <w:lang w:val="en-US" w:eastAsia="zh-CN"/>
        </w:rPr>
        <w:t>3</w:t>
      </w:r>
      <w:r>
        <w:rPr>
          <w:rFonts w:hint="eastAsia" w:ascii="宋体" w:cs="宋体"/>
          <w:b/>
          <w:bCs/>
          <w:color w:val="auto"/>
          <w:sz w:val="28"/>
          <w:szCs w:val="28"/>
        </w:rPr>
        <w:t>（如有）</w:t>
      </w:r>
    </w:p>
    <w:p w14:paraId="0AB844E7">
      <w:pPr>
        <w:pStyle w:val="19"/>
        <w:jc w:val="center"/>
        <w:outlineLvl w:val="2"/>
        <w:rPr>
          <w:rFonts w:hAnsi="宋体" w:cs="宋体"/>
          <w:b/>
          <w:bCs/>
          <w:color w:val="auto"/>
          <w:sz w:val="32"/>
          <w:szCs w:val="32"/>
        </w:rPr>
      </w:pPr>
      <w:bookmarkStart w:id="324" w:name="_Toc32281"/>
      <w:r>
        <w:rPr>
          <w:rFonts w:hint="eastAsia" w:hAnsi="宋体" w:cs="宋体"/>
          <w:b/>
          <w:bCs/>
          <w:color w:val="auto"/>
          <w:sz w:val="32"/>
          <w:szCs w:val="32"/>
        </w:rPr>
        <w:t>监狱企业证明文件</w:t>
      </w:r>
      <w:bookmarkEnd w:id="324"/>
    </w:p>
    <w:p w14:paraId="545AA4D7">
      <w:pPr>
        <w:rPr>
          <w:color w:val="auto"/>
        </w:rPr>
      </w:pPr>
    </w:p>
    <w:p w14:paraId="648B6813">
      <w:pPr>
        <w:spacing w:line="500" w:lineRule="exact"/>
        <w:ind w:firstLine="480" w:firstLineChars="200"/>
        <w:jc w:val="left"/>
        <w:rPr>
          <w:rFonts w:hAnsi="宋体" w:cs="宋体"/>
          <w:color w:val="auto"/>
        </w:rPr>
      </w:pPr>
      <w:r>
        <w:rPr>
          <w:rFonts w:hint="eastAsia" w:hAnsi="宋体" w:cs="宋体"/>
          <w:color w:val="auto"/>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C716C72">
      <w:pPr>
        <w:spacing w:line="500" w:lineRule="exact"/>
        <w:ind w:firstLine="482" w:firstLineChars="200"/>
        <w:jc w:val="left"/>
        <w:rPr>
          <w:rFonts w:hAnsi="宋体" w:cs="宋体"/>
          <w:b/>
          <w:bCs/>
          <w:color w:val="auto"/>
        </w:rPr>
      </w:pPr>
      <w:r>
        <w:rPr>
          <w:rFonts w:hint="eastAsia" w:hAnsi="宋体" w:cs="宋体"/>
          <w:b/>
          <w:bCs/>
          <w:color w:val="auto"/>
        </w:rPr>
        <w:t>监狱企业参加政府采购活动时，应当提供由省级以上监狱管理局、戒毒管理局（含新疆生产建设兵团）出具的属于监狱企业的证明文件</w:t>
      </w:r>
      <w:r>
        <w:rPr>
          <w:rFonts w:hint="eastAsia" w:hAnsi="宋体" w:cs="宋体"/>
          <w:b/>
          <w:bCs/>
          <w:color w:val="auto"/>
          <w:szCs w:val="24"/>
        </w:rPr>
        <w:t>，</w:t>
      </w:r>
      <w:r>
        <w:rPr>
          <w:rFonts w:hint="eastAsia" w:hAnsi="宋体" w:cs="宋体"/>
          <w:b/>
          <w:bCs/>
          <w:color w:val="auto"/>
        </w:rPr>
        <w:t>非监狱企业无需提供。</w:t>
      </w:r>
    </w:p>
    <w:p w14:paraId="6EEE65F2">
      <w:pPr>
        <w:pStyle w:val="19"/>
        <w:rPr>
          <w:rFonts w:ascii="宋体" w:hAnsi="宋体" w:cs="宋体"/>
          <w:color w:val="auto"/>
          <w:sz w:val="24"/>
          <w:szCs w:val="24"/>
        </w:rPr>
      </w:pPr>
    </w:p>
    <w:p w14:paraId="06F47B28">
      <w:pPr>
        <w:pStyle w:val="19"/>
        <w:rPr>
          <w:rFonts w:ascii="宋体" w:hAnsi="宋体" w:cs="宋体"/>
          <w:color w:val="auto"/>
        </w:rPr>
      </w:pPr>
    </w:p>
    <w:p w14:paraId="52FAEF43">
      <w:pPr>
        <w:pStyle w:val="19"/>
        <w:rPr>
          <w:rFonts w:ascii="宋体" w:hAnsi="宋体" w:cs="宋体"/>
          <w:color w:val="auto"/>
        </w:rPr>
      </w:pPr>
    </w:p>
    <w:p w14:paraId="2B6869AB">
      <w:pPr>
        <w:pStyle w:val="19"/>
        <w:rPr>
          <w:rFonts w:ascii="宋体" w:hAnsi="宋体" w:cs="宋体"/>
          <w:color w:val="auto"/>
        </w:rPr>
      </w:pPr>
    </w:p>
    <w:p w14:paraId="7A6106F4">
      <w:pPr>
        <w:pStyle w:val="19"/>
        <w:rPr>
          <w:rFonts w:ascii="宋体" w:hAnsi="宋体" w:cs="宋体"/>
          <w:color w:val="auto"/>
        </w:rPr>
      </w:pPr>
    </w:p>
    <w:p w14:paraId="22EE14C5">
      <w:pPr>
        <w:pStyle w:val="19"/>
        <w:rPr>
          <w:rFonts w:ascii="宋体" w:hAnsi="宋体" w:cs="宋体"/>
          <w:color w:val="auto"/>
        </w:rPr>
      </w:pPr>
    </w:p>
    <w:p w14:paraId="1AC56C31">
      <w:pPr>
        <w:pStyle w:val="19"/>
        <w:rPr>
          <w:rFonts w:ascii="宋体" w:hAnsi="宋体" w:cs="宋体"/>
          <w:color w:val="auto"/>
        </w:rPr>
      </w:pPr>
    </w:p>
    <w:p w14:paraId="4ABB7403">
      <w:pPr>
        <w:pStyle w:val="19"/>
        <w:rPr>
          <w:rFonts w:ascii="宋体" w:hAnsi="宋体" w:cs="宋体"/>
          <w:color w:val="auto"/>
        </w:rPr>
      </w:pPr>
    </w:p>
    <w:p w14:paraId="359FD34E">
      <w:pPr>
        <w:pStyle w:val="19"/>
        <w:rPr>
          <w:rFonts w:ascii="宋体" w:hAnsi="宋体" w:cs="宋体"/>
          <w:color w:val="auto"/>
        </w:rPr>
        <w:sectPr>
          <w:pgSz w:w="11906" w:h="16838"/>
          <w:pgMar w:top="1417" w:right="1134" w:bottom="1417" w:left="1417" w:header="1134" w:footer="992" w:gutter="0"/>
          <w:cols w:space="720" w:num="1"/>
          <w:titlePg/>
          <w:docGrid w:type="lines" w:linePitch="333" w:charSpace="0"/>
        </w:sectPr>
      </w:pPr>
    </w:p>
    <w:p w14:paraId="335824FE">
      <w:pPr>
        <w:rPr>
          <w:color w:val="auto"/>
        </w:rPr>
      </w:pPr>
    </w:p>
    <w:p w14:paraId="32612B08">
      <w:pPr>
        <w:rPr>
          <w:color w:val="auto"/>
        </w:rPr>
      </w:pPr>
    </w:p>
    <w:p w14:paraId="7F596E08">
      <w:pPr>
        <w:rPr>
          <w:b/>
          <w:color w:val="auto"/>
          <w:sz w:val="30"/>
          <w:szCs w:val="30"/>
        </w:rPr>
      </w:pPr>
    </w:p>
    <w:p w14:paraId="7EADB9A4">
      <w:pPr>
        <w:rPr>
          <w:b/>
          <w:color w:val="auto"/>
          <w:sz w:val="30"/>
          <w:szCs w:val="30"/>
        </w:rPr>
      </w:pPr>
    </w:p>
    <w:p w14:paraId="61BCA44C">
      <w:pPr>
        <w:rPr>
          <w:b/>
          <w:color w:val="auto"/>
          <w:sz w:val="30"/>
          <w:szCs w:val="30"/>
        </w:rPr>
      </w:pPr>
    </w:p>
    <w:p w14:paraId="4C220ABE">
      <w:pPr>
        <w:rPr>
          <w:b/>
          <w:color w:val="auto"/>
          <w:sz w:val="30"/>
          <w:szCs w:val="30"/>
        </w:rPr>
      </w:pPr>
    </w:p>
    <w:p w14:paraId="0778240B">
      <w:pPr>
        <w:rPr>
          <w:b/>
          <w:color w:val="auto"/>
          <w:sz w:val="30"/>
          <w:szCs w:val="30"/>
        </w:rPr>
      </w:pPr>
    </w:p>
    <w:p w14:paraId="5BED22C9">
      <w:pPr>
        <w:rPr>
          <w:b/>
          <w:color w:val="auto"/>
          <w:sz w:val="30"/>
          <w:szCs w:val="30"/>
        </w:rPr>
      </w:pPr>
    </w:p>
    <w:p w14:paraId="4368A78A">
      <w:pPr>
        <w:rPr>
          <w:b/>
          <w:color w:val="auto"/>
          <w:sz w:val="30"/>
          <w:szCs w:val="30"/>
        </w:rPr>
      </w:pPr>
    </w:p>
    <w:p w14:paraId="43E0B9B1">
      <w:pPr>
        <w:rPr>
          <w:b/>
          <w:color w:val="auto"/>
          <w:sz w:val="30"/>
          <w:szCs w:val="30"/>
        </w:rPr>
      </w:pPr>
    </w:p>
    <w:p w14:paraId="58F07AF8">
      <w:pPr>
        <w:rPr>
          <w:b/>
          <w:color w:val="auto"/>
          <w:sz w:val="30"/>
          <w:szCs w:val="30"/>
        </w:rPr>
      </w:pPr>
    </w:p>
    <w:p w14:paraId="29566383">
      <w:pPr>
        <w:rPr>
          <w:b/>
          <w:color w:val="auto"/>
          <w:sz w:val="30"/>
          <w:szCs w:val="30"/>
        </w:rPr>
      </w:pPr>
    </w:p>
    <w:p w14:paraId="7101BCDC">
      <w:pPr>
        <w:rPr>
          <w:b/>
          <w:color w:val="auto"/>
          <w:sz w:val="30"/>
          <w:szCs w:val="30"/>
        </w:rPr>
      </w:pPr>
    </w:p>
    <w:p w14:paraId="39CCBF42">
      <w:pPr>
        <w:rPr>
          <w:b/>
          <w:color w:val="auto"/>
          <w:sz w:val="30"/>
          <w:szCs w:val="30"/>
        </w:rPr>
      </w:pPr>
    </w:p>
    <w:p w14:paraId="0973B2AB">
      <w:pPr>
        <w:rPr>
          <w:b/>
          <w:color w:val="auto"/>
          <w:sz w:val="30"/>
          <w:szCs w:val="30"/>
        </w:rPr>
      </w:pPr>
    </w:p>
    <w:p w14:paraId="7CD3C691">
      <w:pPr>
        <w:rPr>
          <w:b/>
          <w:color w:val="auto"/>
          <w:sz w:val="30"/>
          <w:szCs w:val="30"/>
        </w:rPr>
      </w:pPr>
    </w:p>
    <w:p w14:paraId="22A0AA24">
      <w:pPr>
        <w:rPr>
          <w:b/>
          <w:color w:val="auto"/>
          <w:sz w:val="30"/>
          <w:szCs w:val="30"/>
        </w:rPr>
      </w:pPr>
      <w:r>
        <w:rPr>
          <w:rFonts w:hint="eastAsia"/>
          <w:b/>
          <w:color w:val="auto"/>
          <w:sz w:val="30"/>
          <w:szCs w:val="30"/>
        </w:rPr>
        <w:t>陕西万兴招标代理有限公司</w:t>
      </w:r>
    </w:p>
    <w:p w14:paraId="38172C27">
      <w:pPr>
        <w:rPr>
          <w:color w:val="auto"/>
        </w:rPr>
      </w:pPr>
      <w:r>
        <w:rPr>
          <w:rFonts w:hint="eastAsia"/>
          <w:color w:val="auto"/>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1pt;height:0pt;width:423pt;z-index:251668480;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wqn2NMA&#10;AAAGAQAADwAAAAAAAAABACAAAAAiAAAAZHJzL2Rvd25yZXYueG1sUEsBAhQAFAAAAAgAh07iQLbc&#10;q+7rAQAAuwMAAA4AAAAAAAAAAQAgAAAAIgEAAGRycy9lMm9Eb2MueG1sUEsFBgAAAAAGAAYAWQEA&#10;AH8FAAAAAA==&#10;">
                <v:fill on="f" focussize="0,0"/>
                <v:stroke weight="1.5pt" color="#000000" joinstyle="round"/>
                <v:imagedata o:title=""/>
                <o:lock v:ext="edit" aspectratio="f"/>
              </v:line>
            </w:pict>
          </mc:Fallback>
        </mc:AlternateContent>
      </w:r>
    </w:p>
    <w:p w14:paraId="63FC4C27">
      <w:pPr>
        <w:spacing w:line="440" w:lineRule="exact"/>
        <w:rPr>
          <w:rFonts w:hint="eastAsia" w:eastAsia="宋体"/>
          <w:color w:val="auto"/>
          <w:lang w:eastAsia="zh-CN"/>
        </w:rPr>
      </w:pPr>
      <w:r>
        <w:rPr>
          <w:rFonts w:hint="eastAsia"/>
          <w:color w:val="auto"/>
        </w:rPr>
        <w:t>地    址：</w:t>
      </w:r>
      <w:r>
        <w:rPr>
          <w:rFonts w:hint="eastAsia"/>
          <w:color w:val="auto"/>
          <w:lang w:eastAsia="zh-CN"/>
        </w:rPr>
        <w:t>西安市莲湖区北关正街35号方兴大厦4-018室</w:t>
      </w:r>
    </w:p>
    <w:p w14:paraId="690ADC76">
      <w:pPr>
        <w:spacing w:line="440" w:lineRule="exact"/>
        <w:rPr>
          <w:rFonts w:hint="default" w:eastAsia="宋体"/>
          <w:color w:val="auto"/>
          <w:lang w:val="en-US" w:eastAsia="zh-CN"/>
        </w:rPr>
      </w:pPr>
      <w:r>
        <w:rPr>
          <w:rFonts w:hint="eastAsia"/>
          <w:color w:val="auto"/>
        </w:rPr>
        <w:t>邮    编：7100</w:t>
      </w:r>
      <w:r>
        <w:rPr>
          <w:rFonts w:hint="eastAsia"/>
          <w:color w:val="auto"/>
          <w:lang w:val="en-US" w:eastAsia="zh-CN"/>
        </w:rPr>
        <w:t>16</w:t>
      </w:r>
    </w:p>
    <w:p w14:paraId="38140831">
      <w:pPr>
        <w:spacing w:line="440" w:lineRule="exact"/>
        <w:rPr>
          <w:color w:val="auto"/>
        </w:rPr>
      </w:pPr>
      <w:r>
        <w:rPr>
          <w:rFonts w:hint="eastAsia"/>
          <w:color w:val="auto"/>
        </w:rPr>
        <w:t>电    话：029-89627187</w:t>
      </w:r>
    </w:p>
    <w:p w14:paraId="150A7999">
      <w:pPr>
        <w:spacing w:line="440" w:lineRule="exact"/>
        <w:rPr>
          <w:color w:val="auto"/>
        </w:rPr>
      </w:pPr>
      <w:r>
        <w:rPr>
          <w:rFonts w:hint="eastAsia"/>
          <w:color w:val="auto"/>
        </w:rPr>
        <w:t>电子邮箱：SXWXZB @126.com</w:t>
      </w:r>
    </w:p>
    <w:p w14:paraId="1CF3B091">
      <w:pPr>
        <w:spacing w:line="440" w:lineRule="exact"/>
        <w:rPr>
          <w:color w:val="auto"/>
        </w:rPr>
      </w:pPr>
      <w:r>
        <w:rPr>
          <w:rFonts w:hint="eastAsia"/>
          <w:color w:val="auto"/>
        </w:rPr>
        <w:t>开户银行：北京银行股份有限公司西安大明宫支行</w:t>
      </w:r>
    </w:p>
    <w:p w14:paraId="1C457AA7">
      <w:pPr>
        <w:spacing w:line="440" w:lineRule="exact"/>
        <w:rPr>
          <w:rFonts w:hAnsi="宋体" w:cs="宋体"/>
          <w:color w:val="auto"/>
        </w:rPr>
      </w:pPr>
      <w:r>
        <w:rPr>
          <w:rFonts w:hint="eastAsia"/>
          <w:color w:val="auto"/>
        </w:rPr>
        <w:t>帐    号：2000 0034 4675 0001 6437 653</w:t>
      </w:r>
      <w:r>
        <w:rPr>
          <w:rFonts w:hint="eastAsia"/>
          <w:color w:val="auto"/>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33" name="直接连接符 33"/>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37.8pt;height:0pt;width:423pt;z-index:251667456;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L7WAtMA&#10;AAAGAQAADwAAAAAAAAABACAAAAAiAAAAZHJzL2Rvd25yZXYueG1sUEsBAhQAFAAAAAgAh07iQGGr&#10;LLHrAQAAuwMAAA4AAAAAAAAAAQAgAAAAIgEAAGRycy9lMm9Eb2MueG1sUEsFBgAAAAAGAAYAWQEA&#10;AH8FAAAAAA==&#10;">
                <v:fill on="f" focussize="0,0"/>
                <v:stroke weight="1.5pt" color="#000000" joinstyle="round"/>
                <v:imagedata o:title=""/>
                <o:lock v:ext="edit" aspectratio="f"/>
              </v:line>
            </w:pict>
          </mc:Fallback>
        </mc:AlternateContent>
      </w:r>
    </w:p>
    <w:p w14:paraId="16CC8C59">
      <w:pPr>
        <w:pStyle w:val="13"/>
        <w:rPr>
          <w:rFonts w:hAnsi="宋体" w:cs="宋体"/>
          <w:color w:val="auto"/>
        </w:rPr>
      </w:pPr>
    </w:p>
    <w:sectPr>
      <w:pgSz w:w="11906" w:h="16838"/>
      <w:pgMar w:top="1417" w:right="1134" w:bottom="1417" w:left="1417" w:header="1134" w:footer="992" w:gutter="0"/>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A00002EF" w:usb1="4000004B" w:usb2="00000000" w:usb3="00000000" w:csb0="200000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AGYXIQ+Frutiger-Cn">
    <w:altName w:val="宋体"/>
    <w:panose1 w:val="00000000000000000000"/>
    <w:charset w:val="86"/>
    <w:family w:val="swiss"/>
    <w:pitch w:val="default"/>
    <w:sig w:usb0="00000000" w:usb1="00000000" w:usb2="00000010" w:usb3="00000000" w:csb0="00040000" w:csb1="00000000"/>
  </w:font>
  <w:font w:name="Segoe UI">
    <w:panose1 w:val="020B0502040204020203"/>
    <w:charset w:val="00"/>
    <w:family w:val="auto"/>
    <w:pitch w:val="default"/>
    <w:sig w:usb0="E4002EFF" w:usb1="C000E47F" w:usb2="00000009" w:usb3="00000000" w:csb0="200001FF" w:csb1="0000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D519E">
    <w:pPr>
      <w:tabs>
        <w:tab w:val="left" w:pos="5646"/>
      </w:tabs>
      <w:rPr>
        <w:sz w:val="18"/>
        <w:szCs w:val="18"/>
      </w:rPr>
    </w:pP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9C4921">
                          <w:pPr>
                            <w:snapToGrid w:val="0"/>
                            <w:rPr>
                              <w:sz w:val="18"/>
                            </w:rPr>
                          </w:pPr>
                        </w:p>
                      </w:txbxContent>
                    </wps:txbx>
                    <wps:bodyPr wrap="none" lIns="0" tIns="0" rIns="0" bIns="0" upright="1">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ALhidQAAAAIAQAADwAAAAAAAAABACAAAAAiAAAAZHJzL2Rv&#10;d25yZXYueG1sUEsBAhQAFAAAAAgAh07iQFSSlbPMAQAAnAMAAA4AAAAAAAAAAQAgAAAAIwEAAGRy&#10;cy9lMm9Eb2MueG1sUEsFBgAAAAAGAAYAWQEAAGEFAAAAAA==&#10;">
              <v:fill on="f" focussize="0,0"/>
              <v:stroke on="f"/>
              <v:imagedata o:title=""/>
              <o:lock v:ext="edit" aspectratio="f"/>
              <v:textbox inset="0mm,0mm,0mm,0mm" style="mso-fit-shape-to-text:t;">
                <w:txbxContent>
                  <w:p w14:paraId="5E9C4921">
                    <w:pPr>
                      <w:snapToGrid w:val="0"/>
                      <w:rPr>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CFABF">
    <w:pPr>
      <w:tabs>
        <w:tab w:val="left" w:pos="5646"/>
      </w:tabs>
    </w:pPr>
    <w:r>
      <w:rPr>
        <w:sz w:val="18"/>
      </w:rPr>
      <mc:AlternateContent>
        <mc:Choice Requires="wps">
          <w:drawing>
            <wp:anchor distT="0" distB="0" distL="114300" distR="114300" simplePos="0" relativeHeight="251666432" behindDoc="0" locked="0" layoutInCell="1" allowOverlap="1">
              <wp:simplePos x="0" y="0"/>
              <wp:positionH relativeFrom="margin">
                <wp:posOffset>2510155</wp:posOffset>
              </wp:positionH>
              <wp:positionV relativeFrom="paragraph">
                <wp:posOffset>3175</wp:posOffset>
              </wp:positionV>
              <wp:extent cx="1057275" cy="171450"/>
              <wp:effectExtent l="0" t="0" r="9525" b="0"/>
              <wp:wrapNone/>
              <wp:docPr id="30" name="文本框 30"/>
              <wp:cNvGraphicFramePr/>
              <a:graphic xmlns:a="http://schemas.openxmlformats.org/drawingml/2006/main">
                <a:graphicData uri="http://schemas.microsoft.com/office/word/2010/wordprocessingShape">
                  <wps:wsp>
                    <wps:cNvSpPr txBox="1"/>
                    <wps:spPr>
                      <a:xfrm>
                        <a:off x="0" y="0"/>
                        <a:ext cx="1057275" cy="171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69466">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7.65pt;margin-top:0.25pt;height:13.5pt;width:83.25pt;mso-position-horizontal-relative:margin;z-index:251666432;mso-width-relative:page;mso-height-relative:page;" filled="f" stroked="f" coordsize="21600,21600" o:gfxdata="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7H3KdcAAAAHAQAADwAAAAAAAAABACAAAAAiAAAAZHJzL2Rvd25yZXYueG1s&#10;UEsBAhQAFAAAAAgAh07iQOt2aqsyAgAAWAQAAA4AAAAAAAAAAQAgAAAAJgEAAGRycy9lMm9Eb2Mu&#10;eG1sUEsFBgAAAAAGAAYAWQEAAMoFAAAAAA==&#10;">
              <v:fill on="f" focussize="0,0"/>
              <v:stroke on="f" weight="0.5pt"/>
              <v:imagedata o:title=""/>
              <o:lock v:ext="edit" aspectratio="f"/>
              <v:textbox inset="0mm,0mm,0mm,0mm">
                <w:txbxContent>
                  <w:p w14:paraId="6B469466">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r>
      <w:rPr>
        <w:rFonts w:hint="eastAsia"/>
        <w:sz w:val="18"/>
        <w:szCs w:val="18"/>
      </w:rPr>
      <w:t xml:space="preserve">                                       </w:t>
    </w: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C0852C">
                          <w:pPr>
                            <w:snapToGrid w:val="0"/>
                            <w:rPr>
                              <w:sz w:val="18"/>
                            </w:rPr>
                          </w:pPr>
                        </w:p>
                      </w:txbxContent>
                    </wps:txbx>
                    <wps:bodyPr wrap="none" lIns="0" tIns="0" rIns="0" bIns="0" upright="1">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e+ngTLAQAAnAMAAA4AAAAAAAAAAQAgAAAAHgEAAGRycy9lMm9E&#10;b2MueG1sUEsFBgAAAAAGAAYAWQEAAFsFAAAAAA==&#10;">
              <v:fill on="f" focussize="0,0"/>
              <v:stroke on="f"/>
              <v:imagedata o:title=""/>
              <o:lock v:ext="edit" aspectratio="f"/>
              <v:textbox inset="0mm,0mm,0mm,0mm" style="mso-fit-shape-to-text:t;">
                <w:txbxContent>
                  <w:p w14:paraId="55C0852C">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5408" behindDoc="0" locked="0" layoutInCell="1" allowOverlap="1">
              <wp:simplePos x="0" y="0"/>
              <wp:positionH relativeFrom="margin">
                <wp:posOffset>3065145</wp:posOffset>
              </wp:positionH>
              <wp:positionV relativeFrom="paragraph">
                <wp:posOffset>152400</wp:posOffset>
              </wp:positionV>
              <wp:extent cx="1828800" cy="1828800"/>
              <wp:effectExtent l="0" t="0" r="0" b="0"/>
              <wp:wrapNone/>
              <wp:docPr id="8" name="文本框 20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24C9E9">
                          <w:pPr>
                            <w:snapToGrid w:val="0"/>
                            <w:rPr>
                              <w:sz w:val="18"/>
                            </w:rPr>
                          </w:pPr>
                        </w:p>
                      </w:txbxContent>
                    </wps:txbx>
                    <wps:bodyPr wrap="none" lIns="0" tIns="0" rIns="0" bIns="0" upright="1">
                      <a:spAutoFit/>
                    </wps:bodyPr>
                  </wps:wsp>
                </a:graphicData>
              </a:graphic>
            </wp:anchor>
          </w:drawing>
        </mc:Choice>
        <mc:Fallback>
          <w:pict>
            <v:shape id="文本框 2063" o:spid="_x0000_s1026" o:spt="202" type="#_x0000_t202" style="position:absolute;left:0pt;margin-left:241.35pt;margin-top:12pt;height:144pt;width:144pt;mso-position-horizontal-relative:margin;mso-wrap-style:none;z-index:251665408;mso-width-relative:page;mso-height-relative:page;" filled="f" stroked="f" coordsize="21600,21600" o:gfxdata="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7Sr3DWAAAACgEAAA8AAAAAAAAAAQAgAAAAIgAAAGRycy9k&#10;b3ducmV2LnhtbFBLAQIUABQAAAAIAIdO4kCNOpjpywEAAJwDAAAOAAAAAAAAAAEAIAAAACUBAABk&#10;cnMvZTJvRG9jLnhtbFBLBQYAAAAABgAGAFkBAABiBQAAAAA=&#10;">
              <v:fill on="f" focussize="0,0"/>
              <v:stroke on="f"/>
              <v:imagedata o:title=""/>
              <o:lock v:ext="edit" aspectratio="f"/>
              <v:textbox inset="0mm,0mm,0mm,0mm" style="mso-fit-shape-to-text:t;">
                <w:txbxContent>
                  <w:p w14:paraId="1E24C9E9">
                    <w:pPr>
                      <w:snapToGrid w:val="0"/>
                      <w:rPr>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59EE1">
    <w:pPr>
      <w:tabs>
        <w:tab w:val="left" w:pos="5646"/>
      </w:tabs>
    </w:pPr>
    <w:r>
      <w:rPr>
        <w:rFonts w:hint="eastAsia" w:cs="仿宋" w:asciiTheme="minorEastAsia" w:hAnsiTheme="minorEastAsia" w:eastAsiaTheme="minorEastAsia"/>
        <w:kern w:val="2"/>
        <w:sz w:val="18"/>
        <w:szCs w:val="18"/>
      </w:rPr>
      <w:t xml:space="preserve">陕西万兴招标代理有限公司                                      </w:t>
    </w:r>
    <w:r>
      <w:rPr>
        <w:rFonts w:hint="eastAsia" w:cs="仿宋" w:asciiTheme="minorEastAsia" w:hAnsiTheme="minorEastAsia" w:eastAsiaTheme="minorEastAsia"/>
        <w:kern w:val="2"/>
        <w:sz w:val="15"/>
        <w:szCs w:val="15"/>
      </w:rPr>
      <w:t>地址：</w: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3B8118">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CNFMcBAACdAwAADgAAAGRycy9lMm9Eb2MueG1srVPNjtMwEL6vxDtY&#10;vtNkK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M&#10;YiRQ77GiujtPlXF4DwMVz3GkYOI9tMGmLzFilCd5Txd51RCZTJdWy9WqpJSk3OwQfvF03QeMHxRY&#10;loyaB3q/LKs4fsI4ls4lqZuDW21MfkPj/goQ5hhReQmm24nJOHGy4rAbJno7aE7ErqdFqLmjvefM&#10;fHSkc9qZ2QizsZuM1BH9u0OkMfJ0CXWEIlbJoVfL/KYNS2vxp5+rnv6q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hCNFMcBAACdAwAADgAAAAAAAAABACAAAAAeAQAAZHJzL2Uyb0RvYy54&#10;bWxQSwUGAAAAAAYABgBZAQAAVwUAAAAA&#10;">
              <v:fill on="f" focussize="0,0"/>
              <v:stroke on="f"/>
              <v:imagedata o:title=""/>
              <o:lock v:ext="edit" aspectratio="f"/>
              <v:textbox inset="0mm,0mm,0mm,0mm" style="mso-fit-shape-to-text:t;">
                <w:txbxContent>
                  <w:p w14:paraId="293B8118">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r>
      <w:rPr>
        <w:rFonts w:hint="eastAsia" w:cs="仿宋" w:asciiTheme="minorEastAsia" w:hAnsiTheme="minorEastAsia" w:eastAsiaTheme="minorEastAsia"/>
        <w:kern w:val="2"/>
        <w:sz w:val="15"/>
        <w:szCs w:val="15"/>
        <w:lang w:eastAsia="zh-CN"/>
      </w:rPr>
      <w:t>西安市莲湖区北关正街35号方兴大厦4-018室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F500B">
    <w:pPr>
      <w:tabs>
        <w:tab w:val="left" w:pos="5646"/>
      </w:tabs>
      <w:rPr>
        <w:rFonts w:hint="eastAsia" w:eastAsia="宋体"/>
        <w:sz w:val="18"/>
        <w:szCs w:val="18"/>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posOffset>2310130</wp:posOffset>
              </wp:positionH>
              <wp:positionV relativeFrom="paragraph">
                <wp:posOffset>1270</wp:posOffset>
              </wp:positionV>
              <wp:extent cx="1266825" cy="133350"/>
              <wp:effectExtent l="0" t="0" r="9525" b="0"/>
              <wp:wrapNone/>
              <wp:docPr id="9" name="文本框 2064"/>
              <wp:cNvGraphicFramePr/>
              <a:graphic xmlns:a="http://schemas.openxmlformats.org/drawingml/2006/main">
                <a:graphicData uri="http://schemas.microsoft.com/office/word/2010/wordprocessingShape">
                  <wps:wsp>
                    <wps:cNvSpPr txBox="1"/>
                    <wps:spPr>
                      <a:xfrm>
                        <a:off x="0" y="0"/>
                        <a:ext cx="1266825" cy="133350"/>
                      </a:xfrm>
                      <a:prstGeom prst="rect">
                        <a:avLst/>
                      </a:prstGeom>
                      <a:noFill/>
                      <a:ln>
                        <a:noFill/>
                      </a:ln>
                    </wps:spPr>
                    <wps:txbx>
                      <w:txbxContent>
                        <w:p w14:paraId="416D4D13">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wps:txbx>
                    <wps:bodyPr wrap="square" lIns="0" tIns="0" rIns="0" bIns="0" upright="1">
                      <a:noAutofit/>
                    </wps:bodyPr>
                  </wps:wsp>
                </a:graphicData>
              </a:graphic>
            </wp:anchor>
          </w:drawing>
        </mc:Choice>
        <mc:Fallback>
          <w:pict>
            <v:shape id="文本框 2064" o:spid="_x0000_s1026" o:spt="202" type="#_x0000_t202" style="position:absolute;left:0pt;margin-left:181.9pt;margin-top:0.1pt;height:10.5pt;width:99.75pt;mso-position-horizontal-relative:margin;z-index:251663360;mso-width-relative:page;mso-height-relative:page;" filled="f" stroked="f" coordsize="21600,21600" o:gfxdata="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9ps0NUAAAAHAQAADwAAAAAAAAABACAAAAAi&#10;AAAAZHJzL2Rvd25yZXYueG1sUEsBAhQAFAAAAAgAh07iQBDB6crUAQAAnQMAAA4AAAAAAAAAAQAg&#10;AAAAJAEAAGRycy9lMm9Eb2MueG1sUEsFBgAAAAAGAAYAWQEAAGoFAAAAAA==&#10;">
              <v:fill on="f" focussize="0,0"/>
              <v:stroke on="f"/>
              <v:imagedata o:title=""/>
              <o:lock v:ext="edit" aspectratio="f"/>
              <v:textbox inset="0mm,0mm,0mm,0mm">
                <w:txbxContent>
                  <w:p w14:paraId="416D4D13">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v:textbox>
            </v:shape>
          </w:pict>
        </mc:Fallback>
      </mc:AlternateContent>
    </w:r>
    <w:r>
      <w:rPr>
        <w:rFonts w:hint="eastAsia"/>
        <w:sz w:val="18"/>
        <w:szCs w:val="18"/>
      </w:rPr>
      <w:t xml:space="preserve">陕西万兴招标代理有限公司                                         </w:t>
    </w:r>
    <w:r>
      <w:rPr>
        <w:rFonts w:hint="eastAsia"/>
        <w:sz w:val="15"/>
        <w:szCs w:val="15"/>
      </w:rPr>
      <w:t>地址：</w:t>
    </w:r>
    <w:r>
      <w:rPr>
        <w:rFonts w:hint="eastAsia"/>
        <w:sz w:val="15"/>
        <w:szCs w:val="15"/>
        <w:lang w:eastAsia="zh-CN"/>
      </w:rPr>
      <w:t>西安市莲湖区北关正街35号方兴大厦4-018室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58E48">
    <w:pPr>
      <w:tabs>
        <w:tab w:val="left" w:pos="5646"/>
      </w:tabs>
      <w:rPr>
        <w:rFonts w:hint="eastAsia" w:eastAsia="宋体"/>
        <w:sz w:val="15"/>
        <w:szCs w:val="15"/>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9F2DD6">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206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JTDILLAQAAnQMAAA4AAAAAAAAAAQAgAAAAHgEAAGRycy9lMm9E&#10;b2MueG1sUEsFBgAAAAAGAAYAWQEAAFsFAAAAAA==&#10;">
              <v:fill on="f" focussize="0,0"/>
              <v:stroke on="f"/>
              <v:imagedata o:title=""/>
              <o:lock v:ext="edit" aspectratio="f"/>
              <v:textbox inset="0mm,0mm,0mm,0mm" style="mso-fit-shape-to-text:t;">
                <w:txbxContent>
                  <w:p w14:paraId="389F2DD6">
                    <w:pPr>
                      <w:pStyle w:val="3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7E276A">
                          <w:pPr>
                            <w:snapToGrid w:val="0"/>
                            <w:rPr>
                              <w:sz w:val="18"/>
                            </w:rPr>
                          </w:pPr>
                        </w:p>
                      </w:txbxContent>
                    </wps:txbx>
                    <wps:bodyPr wrap="none" lIns="0" tIns="0" rIns="0" bIns="0" upright="1">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6fDgXLAQAAnAMAAA4AAAAAAAAAAQAgAAAAHgEAAGRycy9lMm9E&#10;b2MueG1sUEsFBgAAAAAGAAYAWQEAAFsFAAAAAA==&#10;">
              <v:fill on="f" focussize="0,0"/>
              <v:stroke on="f"/>
              <v:imagedata o:title=""/>
              <o:lock v:ext="edit" aspectratio="f"/>
              <v:textbox inset="0mm,0mm,0mm,0mm" style="mso-fit-shape-to-text:t;">
                <w:txbxContent>
                  <w:p w14:paraId="4B7E276A">
                    <w:pPr>
                      <w:snapToGrid w:val="0"/>
                      <w:rPr>
                        <w:sz w:val="18"/>
                      </w:rPr>
                    </w:pPr>
                  </w:p>
                </w:txbxContent>
              </v:textbox>
            </v:shape>
          </w:pict>
        </mc:Fallback>
      </mc:AlternateContent>
    </w:r>
    <w:r>
      <w:rPr>
        <w:rFonts w:hint="eastAsia"/>
        <w:sz w:val="18"/>
        <w:szCs w:val="18"/>
      </w:rPr>
      <w:t xml:space="preserve">陕西万兴招标代理有限公司                                         </w:t>
    </w:r>
    <w:r>
      <w:rPr>
        <w:rFonts w:hint="eastAsia"/>
        <w:sz w:val="15"/>
        <w:szCs w:val="15"/>
      </w:rPr>
      <w:t>地址：</w:t>
    </w:r>
    <w:r>
      <w:rPr>
        <w:rFonts w:hint="eastAsia"/>
        <w:sz w:val="15"/>
        <w:szCs w:val="15"/>
        <w:lang w:eastAsia="zh-CN"/>
      </w:rPr>
      <w:t>西安市莲湖区北关正街35号方兴大厦4-018室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2F25">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92F6D">
    <w:pPr>
      <w:pStyle w:val="32"/>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2F80E">
    <w:pPr>
      <w:pStyle w:val="32"/>
      <w:tabs>
        <w:tab w:val="left" w:pos="2307"/>
        <w:tab w:val="clear" w:pos="4153"/>
      </w:tabs>
      <w:jc w:val="left"/>
    </w:pPr>
    <w:r>
      <w:rPr>
        <w:rFonts w:hint="eastAsia" w:cs="宋体" w:asciiTheme="minorEastAsia" w:hAnsiTheme="minorEastAsia" w:eastAsiaTheme="minorEastAsia"/>
        <w:szCs w:val="24"/>
        <w:lang w:eastAsia="zh-CN"/>
      </w:rPr>
      <w:t>城警联动人员外包服务</w:t>
    </w:r>
    <w:r>
      <w:rPr>
        <w:rFonts w:hint="eastAsia" w:hAnsi="宋体"/>
      </w:rPr>
      <w:t xml:space="preserve">                      </w:t>
    </w:r>
    <w:r>
      <w:rPr>
        <w:rFonts w:hint="eastAsia" w:hAnsi="宋体"/>
        <w:lang w:val="en-US" w:eastAsia="zh-CN"/>
      </w:rPr>
      <w:t xml:space="preserve">                                                </w:t>
    </w:r>
    <w:r>
      <w:rPr>
        <w:rFonts w:hint="eastAsia" w:hAnsi="宋体"/>
      </w:rPr>
      <w:t>招标文件</w:t>
    </w:r>
    <w:r>
      <w:rPr>
        <w:rFonts w:hint="eastAsia" w:hAnsi="宋体"/>
        <w:sz w:val="11"/>
        <w:szCs w:val="1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B0214">
    <w:pPr>
      <w:pStyle w:val="32"/>
      <w:pBdr>
        <w:bottom w:val="single" w:color="auto" w:sz="4" w:space="1"/>
      </w:pBdr>
      <w:jc w:val="both"/>
    </w:pPr>
    <w:r>
      <w:rPr>
        <w:rFonts w:hint="eastAsia" w:ascii="宋体" w:hAnsi="宋体" w:cs="宋体"/>
        <w:lang w:eastAsia="zh-CN"/>
      </w:rPr>
      <w:t>城警联动人员外包服务</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AB677">
    <w:pPr>
      <w:pStyle w:val="32"/>
      <w:tabs>
        <w:tab w:val="left" w:pos="2307"/>
        <w:tab w:val="clear" w:pos="4153"/>
      </w:tabs>
      <w:jc w:val="left"/>
    </w:pPr>
    <w:r>
      <w:rPr>
        <w:rFonts w:hint="eastAsia" w:cs="宋体" w:asciiTheme="minorEastAsia" w:hAnsiTheme="minorEastAsia" w:eastAsiaTheme="minorEastAsia"/>
        <w:szCs w:val="24"/>
        <w:lang w:eastAsia="zh-CN"/>
      </w:rPr>
      <w:t>城警联动人员外包服务</w:t>
    </w:r>
    <w:r>
      <w:rPr>
        <w:rFonts w:hint="eastAsia" w:hAnsi="宋体"/>
      </w:rPr>
      <w:t xml:space="preserve">                     </w:t>
    </w:r>
    <w:r>
      <w:rPr>
        <w:rFonts w:hint="eastAsia" w:hAnsi="宋体"/>
        <w:lang w:val="en-US" w:eastAsia="zh-CN"/>
      </w:rPr>
      <w:t xml:space="preserve">                                                     </w:t>
    </w:r>
    <w:r>
      <w:rPr>
        <w:rFonts w:hint="eastAsia" w:hAnsi="宋体"/>
      </w:rPr>
      <w:t>招标文件</w:t>
    </w:r>
    <w:r>
      <w:rPr>
        <w:rFonts w:hint="eastAsia" w:hAnsi="宋体"/>
        <w:sz w:val="11"/>
        <w:szCs w:val="11"/>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394BE">
    <w:pPr>
      <w:pStyle w:val="32"/>
      <w:pBdr>
        <w:bottom w:val="single" w:color="auto" w:sz="4" w:space="1"/>
      </w:pBdr>
      <w:jc w:val="both"/>
    </w:pPr>
    <w:r>
      <w:rPr>
        <w:rFonts w:hint="eastAsia" w:cs="宋体" w:asciiTheme="minorEastAsia" w:hAnsiTheme="minorEastAsia" w:eastAsiaTheme="minorEastAsia"/>
        <w:szCs w:val="24"/>
        <w:lang w:eastAsia="zh-CN"/>
      </w:rPr>
      <w:t>城警联动人员外包服务</w:t>
    </w:r>
    <w:r>
      <w:rPr>
        <w:rFonts w:hint="eastAsia" w:hAnsi="宋体"/>
      </w:rPr>
      <w:t xml:space="preserve">          </w:t>
    </w:r>
    <w:r>
      <w:rPr>
        <w:rFonts w:hAnsi="宋体"/>
      </w:rPr>
      <w:t xml:space="preserve">  </w:t>
    </w:r>
    <w:r>
      <w:rPr>
        <w:rFonts w:hint="eastAsia" w:hAnsi="宋体"/>
        <w:lang w:val="en-US" w:eastAsia="zh-CN"/>
      </w:rPr>
      <w:t xml:space="preserve">                                                            </w:t>
    </w:r>
    <w:r>
      <w:rPr>
        <w:rFonts w:hint="eastAsia" w:hAnsi="宋体"/>
      </w:rPr>
      <w:t>招标文件</w:t>
    </w:r>
    <w:r>
      <w:rPr>
        <w:rFonts w:hint="eastAsia" w:ascii="宋体" w:hAnsi="宋体" w:cs="宋体"/>
      </w:rPr>
      <w:t xml:space="preserve"> </w:t>
    </w:r>
    <w:r>
      <w:rPr>
        <w:rFonts w:hint="eastAsia" w:hAns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483E0"/>
    <w:multiLevelType w:val="singleLevel"/>
    <w:tmpl w:val="88F483E0"/>
    <w:lvl w:ilvl="0" w:tentative="0">
      <w:start w:val="1"/>
      <w:numFmt w:val="decimal"/>
      <w:suff w:val="nothing"/>
      <w:lvlText w:val="%1、"/>
      <w:lvlJc w:val="left"/>
    </w:lvl>
  </w:abstractNum>
  <w:abstractNum w:abstractNumId="1">
    <w:nsid w:val="8980B842"/>
    <w:multiLevelType w:val="singleLevel"/>
    <w:tmpl w:val="8980B842"/>
    <w:lvl w:ilvl="0" w:tentative="0">
      <w:start w:val="3"/>
      <w:numFmt w:val="chineseCounting"/>
      <w:suff w:val="space"/>
      <w:lvlText w:val="第%1章"/>
      <w:lvlJc w:val="left"/>
      <w:rPr>
        <w:rFonts w:hint="eastAsia"/>
      </w:rPr>
    </w:lvl>
  </w:abstractNum>
  <w:abstractNum w:abstractNumId="2">
    <w:nsid w:val="00000002"/>
    <w:multiLevelType w:val="multilevel"/>
    <w:tmpl w:val="00000002"/>
    <w:lvl w:ilvl="0" w:tentative="0">
      <w:start w:val="1"/>
      <w:numFmt w:val="decimal"/>
      <w:pStyle w:val="144"/>
      <w:lvlText w:val="%1. "/>
      <w:lvlJc w:val="left"/>
      <w:pPr>
        <w:tabs>
          <w:tab w:val="left" w:pos="839"/>
        </w:tabs>
        <w:ind w:left="839" w:hanging="419"/>
      </w:pPr>
      <w:rPr>
        <w:rFonts w:hint="eastAsia"/>
      </w:rPr>
    </w:lvl>
    <w:lvl w:ilvl="1" w:tentative="0">
      <w:start w:val="1"/>
      <w:numFmt w:val="upperLetter"/>
      <w:pStyle w:val="162"/>
      <w:lvlText w:val="%2. "/>
      <w:lvlJc w:val="left"/>
      <w:pPr>
        <w:tabs>
          <w:tab w:val="left" w:pos="1049"/>
        </w:tabs>
        <w:ind w:left="1049" w:hanging="420"/>
      </w:pPr>
      <w:rPr>
        <w:rFonts w:hint="eastAsia"/>
      </w:rPr>
    </w:lvl>
    <w:lvl w:ilvl="2" w:tentative="0">
      <w:start w:val="1"/>
      <w:numFmt w:val="lowerLetter"/>
      <w:pStyle w:val="175"/>
      <w:lvlText w:val="%3. "/>
      <w:lvlJc w:val="left"/>
      <w:pPr>
        <w:tabs>
          <w:tab w:val="left" w:pos="1259"/>
        </w:tabs>
        <w:ind w:left="1259" w:hanging="420"/>
      </w:pPr>
      <w:rPr>
        <w:rFonts w:hint="eastAsia"/>
      </w:rPr>
    </w:lvl>
    <w:lvl w:ilvl="3" w:tentative="0">
      <w:start w:val="1"/>
      <w:numFmt w:val="lowerLetter"/>
      <w:pStyle w:val="126"/>
      <w:lvlText w:val="%4) "/>
      <w:lvlJc w:val="left"/>
      <w:pPr>
        <w:tabs>
          <w:tab w:val="left" w:pos="1469"/>
        </w:tabs>
        <w:ind w:left="1469" w:hanging="420"/>
      </w:pPr>
      <w:rPr>
        <w:rFonts w:hint="eastAsia"/>
      </w:rPr>
    </w:lvl>
    <w:lvl w:ilvl="4" w:tentative="0">
      <w:start w:val="1"/>
      <w:numFmt w:val="none"/>
      <w:suff w:val="nothing"/>
      <w:lvlText w:val=""/>
      <w:lvlJc w:val="left"/>
      <w:pPr>
        <w:ind w:left="1259" w:firstLine="0"/>
      </w:pPr>
      <w:rPr>
        <w:rFonts w:hint="eastAsia"/>
      </w:rPr>
    </w:lvl>
    <w:lvl w:ilvl="5" w:tentative="0">
      <w:start w:val="1"/>
      <w:numFmt w:val="none"/>
      <w:suff w:val="nothing"/>
      <w:lvlText w:val=""/>
      <w:lvlJc w:val="left"/>
      <w:pPr>
        <w:ind w:left="1259" w:firstLine="0"/>
      </w:pPr>
      <w:rPr>
        <w:rFonts w:hint="eastAsia"/>
      </w:rPr>
    </w:lvl>
    <w:lvl w:ilvl="6" w:tentative="0">
      <w:start w:val="1"/>
      <w:numFmt w:val="none"/>
      <w:suff w:val="nothing"/>
      <w:lvlText w:val=""/>
      <w:lvlJc w:val="left"/>
      <w:pPr>
        <w:ind w:left="1259" w:firstLine="0"/>
      </w:pPr>
      <w:rPr>
        <w:rFonts w:hint="eastAsia"/>
      </w:rPr>
    </w:lvl>
    <w:lvl w:ilvl="7" w:tentative="0">
      <w:start w:val="1"/>
      <w:numFmt w:val="none"/>
      <w:suff w:val="nothing"/>
      <w:lvlText w:val=""/>
      <w:lvlJc w:val="left"/>
      <w:pPr>
        <w:ind w:left="1259" w:firstLine="0"/>
      </w:pPr>
      <w:rPr>
        <w:rFonts w:hint="eastAsia"/>
      </w:rPr>
    </w:lvl>
    <w:lvl w:ilvl="8" w:tentative="0">
      <w:start w:val="1"/>
      <w:numFmt w:val="none"/>
      <w:suff w:val="nothing"/>
      <w:lvlText w:val=""/>
      <w:lvlJc w:val="left"/>
      <w:pPr>
        <w:ind w:left="1259" w:firstLine="0"/>
      </w:pPr>
      <w:rPr>
        <w:rFonts w:hint="eastAsia"/>
      </w:rPr>
    </w:lvl>
  </w:abstractNum>
  <w:abstractNum w:abstractNumId="3">
    <w:nsid w:val="0000001F"/>
    <w:multiLevelType w:val="singleLevel"/>
    <w:tmpl w:val="0000001F"/>
    <w:lvl w:ilvl="0" w:tentative="0">
      <w:start w:val="1"/>
      <w:numFmt w:val="decimal"/>
      <w:pStyle w:val="166"/>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72"/>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5"/>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4B66CD3"/>
    <w:multiLevelType w:val="singleLevel"/>
    <w:tmpl w:val="14B66CD3"/>
    <w:lvl w:ilvl="0" w:tentative="0">
      <w:start w:val="1"/>
      <w:numFmt w:val="chineseCounting"/>
      <w:suff w:val="nothing"/>
      <w:lvlText w:val="%1、"/>
      <w:lvlJc w:val="left"/>
      <w:rPr>
        <w:rFonts w:hint="eastAsia"/>
      </w:rPr>
    </w:lvl>
  </w:abstractNum>
  <w:abstractNum w:abstractNumId="7">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8">
    <w:nsid w:val="59B2460E"/>
    <w:multiLevelType w:val="singleLevel"/>
    <w:tmpl w:val="59B2460E"/>
    <w:lvl w:ilvl="0" w:tentative="0">
      <w:start w:val="2"/>
      <w:numFmt w:val="decimal"/>
      <w:suff w:val="nothing"/>
      <w:lvlText w:val="%1."/>
      <w:lvlJc w:val="left"/>
    </w:lvl>
  </w:abstractNum>
  <w:abstractNum w:abstractNumId="9">
    <w:nsid w:val="59B25AF4"/>
    <w:multiLevelType w:val="singleLevel"/>
    <w:tmpl w:val="59B25AF4"/>
    <w:lvl w:ilvl="0" w:tentative="0">
      <w:start w:val="1"/>
      <w:numFmt w:val="decimal"/>
      <w:suff w:val="nothing"/>
      <w:lvlText w:val="（%1）"/>
      <w:lvlJc w:val="left"/>
    </w:lvl>
  </w:abstractNum>
  <w:num w:numId="1">
    <w:abstractNumId w:val="5"/>
  </w:num>
  <w:num w:numId="2">
    <w:abstractNumId w:val="2"/>
  </w:num>
  <w:num w:numId="3">
    <w:abstractNumId w:val="3"/>
  </w:num>
  <w:num w:numId="4">
    <w:abstractNumId w:val="4"/>
  </w:num>
  <w:num w:numId="5">
    <w:abstractNumId w:val="8"/>
  </w:num>
  <w:num w:numId="6">
    <w:abstractNumId w:val="9"/>
  </w:num>
  <w:num w:numId="7">
    <w:abstractNumId w:val="1"/>
  </w:num>
  <w:num w:numId="8">
    <w:abstractNumId w:val="6"/>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20"/>
  <w:drawingGridVerticalSpacing w:val="33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5Yzg0ODgzYThjNGY0ZTViMjQwMzVjYTM1MjgwZDAifQ=="/>
  </w:docVars>
  <w:rsids>
    <w:rsidRoot w:val="00172A27"/>
    <w:rsid w:val="00000B96"/>
    <w:rsid w:val="000012D2"/>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5A9"/>
    <w:rsid w:val="0003107B"/>
    <w:rsid w:val="00031900"/>
    <w:rsid w:val="00031F87"/>
    <w:rsid w:val="00032B82"/>
    <w:rsid w:val="00033AAB"/>
    <w:rsid w:val="0003640E"/>
    <w:rsid w:val="00036555"/>
    <w:rsid w:val="000365AC"/>
    <w:rsid w:val="00041B7C"/>
    <w:rsid w:val="00042698"/>
    <w:rsid w:val="00042CE2"/>
    <w:rsid w:val="00043B48"/>
    <w:rsid w:val="00044FD0"/>
    <w:rsid w:val="000469FE"/>
    <w:rsid w:val="00047AB5"/>
    <w:rsid w:val="00047D88"/>
    <w:rsid w:val="0005073F"/>
    <w:rsid w:val="0005079D"/>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19E7"/>
    <w:rsid w:val="00074D9F"/>
    <w:rsid w:val="00074EFA"/>
    <w:rsid w:val="00075C16"/>
    <w:rsid w:val="00075CE3"/>
    <w:rsid w:val="000801B6"/>
    <w:rsid w:val="00082F4D"/>
    <w:rsid w:val="00085C2B"/>
    <w:rsid w:val="000873CE"/>
    <w:rsid w:val="00092CC0"/>
    <w:rsid w:val="00093FA0"/>
    <w:rsid w:val="00094888"/>
    <w:rsid w:val="00094DB4"/>
    <w:rsid w:val="000A0C7F"/>
    <w:rsid w:val="000A2116"/>
    <w:rsid w:val="000A286B"/>
    <w:rsid w:val="000A2FA7"/>
    <w:rsid w:val="000A35A8"/>
    <w:rsid w:val="000A3AE0"/>
    <w:rsid w:val="000A45E4"/>
    <w:rsid w:val="000A493D"/>
    <w:rsid w:val="000A6376"/>
    <w:rsid w:val="000B00F3"/>
    <w:rsid w:val="000B0BCD"/>
    <w:rsid w:val="000B1179"/>
    <w:rsid w:val="000C1C22"/>
    <w:rsid w:val="000C439B"/>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1A0E"/>
    <w:rsid w:val="000F1A9E"/>
    <w:rsid w:val="000F4AF5"/>
    <w:rsid w:val="000F55F7"/>
    <w:rsid w:val="000F796B"/>
    <w:rsid w:val="00100983"/>
    <w:rsid w:val="00100BA1"/>
    <w:rsid w:val="00101CF8"/>
    <w:rsid w:val="00104222"/>
    <w:rsid w:val="0010580A"/>
    <w:rsid w:val="001058CA"/>
    <w:rsid w:val="0010604B"/>
    <w:rsid w:val="0010605E"/>
    <w:rsid w:val="0011561C"/>
    <w:rsid w:val="00117899"/>
    <w:rsid w:val="001208B9"/>
    <w:rsid w:val="00120A9F"/>
    <w:rsid w:val="00122278"/>
    <w:rsid w:val="00123494"/>
    <w:rsid w:val="00123553"/>
    <w:rsid w:val="001235D9"/>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6123"/>
    <w:rsid w:val="001462C6"/>
    <w:rsid w:val="00146A73"/>
    <w:rsid w:val="00146D90"/>
    <w:rsid w:val="001515EF"/>
    <w:rsid w:val="00152CE8"/>
    <w:rsid w:val="00152FAD"/>
    <w:rsid w:val="00153967"/>
    <w:rsid w:val="00155F47"/>
    <w:rsid w:val="001601EB"/>
    <w:rsid w:val="00160DBE"/>
    <w:rsid w:val="00161827"/>
    <w:rsid w:val="00171C82"/>
    <w:rsid w:val="00172650"/>
    <w:rsid w:val="00172A27"/>
    <w:rsid w:val="00175A12"/>
    <w:rsid w:val="00177AF0"/>
    <w:rsid w:val="00180763"/>
    <w:rsid w:val="001811CA"/>
    <w:rsid w:val="00181BBD"/>
    <w:rsid w:val="00181EAD"/>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478"/>
    <w:rsid w:val="001F655E"/>
    <w:rsid w:val="001F7C73"/>
    <w:rsid w:val="00200DF2"/>
    <w:rsid w:val="002023A2"/>
    <w:rsid w:val="002023AB"/>
    <w:rsid w:val="00202864"/>
    <w:rsid w:val="00203F3B"/>
    <w:rsid w:val="0020401E"/>
    <w:rsid w:val="0020407A"/>
    <w:rsid w:val="0020609B"/>
    <w:rsid w:val="00206E6D"/>
    <w:rsid w:val="002072CF"/>
    <w:rsid w:val="002140FB"/>
    <w:rsid w:val="00220627"/>
    <w:rsid w:val="00220CA0"/>
    <w:rsid w:val="00222BEA"/>
    <w:rsid w:val="00223DD6"/>
    <w:rsid w:val="00224DAF"/>
    <w:rsid w:val="00232C05"/>
    <w:rsid w:val="002360A1"/>
    <w:rsid w:val="00236A16"/>
    <w:rsid w:val="00237F01"/>
    <w:rsid w:val="002416C6"/>
    <w:rsid w:val="002431A6"/>
    <w:rsid w:val="00245742"/>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43DD"/>
    <w:rsid w:val="0027618B"/>
    <w:rsid w:val="0027621A"/>
    <w:rsid w:val="0027676B"/>
    <w:rsid w:val="00282591"/>
    <w:rsid w:val="00283EAB"/>
    <w:rsid w:val="00284749"/>
    <w:rsid w:val="00284B38"/>
    <w:rsid w:val="00285F0A"/>
    <w:rsid w:val="00287E4B"/>
    <w:rsid w:val="0029168F"/>
    <w:rsid w:val="00291E57"/>
    <w:rsid w:val="002926B0"/>
    <w:rsid w:val="00292805"/>
    <w:rsid w:val="00292EC3"/>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2819"/>
    <w:rsid w:val="002B31D1"/>
    <w:rsid w:val="002B3EBD"/>
    <w:rsid w:val="002B4750"/>
    <w:rsid w:val="002B530D"/>
    <w:rsid w:val="002B532D"/>
    <w:rsid w:val="002B71C3"/>
    <w:rsid w:val="002B77C0"/>
    <w:rsid w:val="002C0490"/>
    <w:rsid w:val="002C148F"/>
    <w:rsid w:val="002C2359"/>
    <w:rsid w:val="002C2953"/>
    <w:rsid w:val="002C2CA2"/>
    <w:rsid w:val="002C5EC2"/>
    <w:rsid w:val="002C612D"/>
    <w:rsid w:val="002C67D3"/>
    <w:rsid w:val="002D13FF"/>
    <w:rsid w:val="002D16A5"/>
    <w:rsid w:val="002D2ADB"/>
    <w:rsid w:val="002D57A6"/>
    <w:rsid w:val="002D6E29"/>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2C76"/>
    <w:rsid w:val="00302E94"/>
    <w:rsid w:val="00304D48"/>
    <w:rsid w:val="00305B11"/>
    <w:rsid w:val="00307628"/>
    <w:rsid w:val="00307FB5"/>
    <w:rsid w:val="00311F60"/>
    <w:rsid w:val="003131D3"/>
    <w:rsid w:val="00314270"/>
    <w:rsid w:val="00314C15"/>
    <w:rsid w:val="003153BB"/>
    <w:rsid w:val="003156D5"/>
    <w:rsid w:val="003163BC"/>
    <w:rsid w:val="00316E3B"/>
    <w:rsid w:val="00316EA1"/>
    <w:rsid w:val="00317566"/>
    <w:rsid w:val="003202ED"/>
    <w:rsid w:val="00320F96"/>
    <w:rsid w:val="0032176D"/>
    <w:rsid w:val="003231B5"/>
    <w:rsid w:val="00324146"/>
    <w:rsid w:val="00325CAE"/>
    <w:rsid w:val="00332060"/>
    <w:rsid w:val="0033486A"/>
    <w:rsid w:val="00334DA1"/>
    <w:rsid w:val="00336BF5"/>
    <w:rsid w:val="00340B50"/>
    <w:rsid w:val="00341103"/>
    <w:rsid w:val="00341409"/>
    <w:rsid w:val="00341A2C"/>
    <w:rsid w:val="00341D74"/>
    <w:rsid w:val="0034291B"/>
    <w:rsid w:val="0034505B"/>
    <w:rsid w:val="0034546A"/>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B70"/>
    <w:rsid w:val="00382977"/>
    <w:rsid w:val="00382D0C"/>
    <w:rsid w:val="00385E6D"/>
    <w:rsid w:val="00387456"/>
    <w:rsid w:val="00394241"/>
    <w:rsid w:val="0039452C"/>
    <w:rsid w:val="00395D4F"/>
    <w:rsid w:val="00396803"/>
    <w:rsid w:val="00397092"/>
    <w:rsid w:val="00397D83"/>
    <w:rsid w:val="003A0FEE"/>
    <w:rsid w:val="003A1264"/>
    <w:rsid w:val="003A3202"/>
    <w:rsid w:val="003A3CC5"/>
    <w:rsid w:val="003A40D7"/>
    <w:rsid w:val="003A67CF"/>
    <w:rsid w:val="003A731A"/>
    <w:rsid w:val="003B08EF"/>
    <w:rsid w:val="003B318A"/>
    <w:rsid w:val="003B34AC"/>
    <w:rsid w:val="003B34BE"/>
    <w:rsid w:val="003B3985"/>
    <w:rsid w:val="003B3D71"/>
    <w:rsid w:val="003B3EA3"/>
    <w:rsid w:val="003B7936"/>
    <w:rsid w:val="003C098E"/>
    <w:rsid w:val="003C3F07"/>
    <w:rsid w:val="003C4A14"/>
    <w:rsid w:val="003C5F7B"/>
    <w:rsid w:val="003C6AFD"/>
    <w:rsid w:val="003C6FFB"/>
    <w:rsid w:val="003C72AA"/>
    <w:rsid w:val="003D0DD0"/>
    <w:rsid w:val="003D2811"/>
    <w:rsid w:val="003D3509"/>
    <w:rsid w:val="003D407E"/>
    <w:rsid w:val="003D442D"/>
    <w:rsid w:val="003D6E4A"/>
    <w:rsid w:val="003D791C"/>
    <w:rsid w:val="003E1B40"/>
    <w:rsid w:val="003E281F"/>
    <w:rsid w:val="003E4B61"/>
    <w:rsid w:val="003E54A3"/>
    <w:rsid w:val="003E57FC"/>
    <w:rsid w:val="003E7FAD"/>
    <w:rsid w:val="003F37EA"/>
    <w:rsid w:val="003F41ED"/>
    <w:rsid w:val="004007CB"/>
    <w:rsid w:val="00400A7D"/>
    <w:rsid w:val="00401BB8"/>
    <w:rsid w:val="00402004"/>
    <w:rsid w:val="004023F1"/>
    <w:rsid w:val="00403AE3"/>
    <w:rsid w:val="0040608B"/>
    <w:rsid w:val="004068BB"/>
    <w:rsid w:val="004103C6"/>
    <w:rsid w:val="00410CFB"/>
    <w:rsid w:val="00410F74"/>
    <w:rsid w:val="004120D0"/>
    <w:rsid w:val="00413401"/>
    <w:rsid w:val="00415979"/>
    <w:rsid w:val="00416CA7"/>
    <w:rsid w:val="00421C4E"/>
    <w:rsid w:val="004220E6"/>
    <w:rsid w:val="0042318F"/>
    <w:rsid w:val="00423FC1"/>
    <w:rsid w:val="004254B8"/>
    <w:rsid w:val="00425BBD"/>
    <w:rsid w:val="00425D51"/>
    <w:rsid w:val="00426B8C"/>
    <w:rsid w:val="00427864"/>
    <w:rsid w:val="00433012"/>
    <w:rsid w:val="00436AFB"/>
    <w:rsid w:val="00437B01"/>
    <w:rsid w:val="00440128"/>
    <w:rsid w:val="00440274"/>
    <w:rsid w:val="00441AEE"/>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916"/>
    <w:rsid w:val="00490ACF"/>
    <w:rsid w:val="00492F78"/>
    <w:rsid w:val="00493D09"/>
    <w:rsid w:val="00494C44"/>
    <w:rsid w:val="004950BA"/>
    <w:rsid w:val="00495D9C"/>
    <w:rsid w:val="00496054"/>
    <w:rsid w:val="00496BFE"/>
    <w:rsid w:val="004A154C"/>
    <w:rsid w:val="004A2C5D"/>
    <w:rsid w:val="004A3680"/>
    <w:rsid w:val="004A4F66"/>
    <w:rsid w:val="004A559B"/>
    <w:rsid w:val="004A6E2A"/>
    <w:rsid w:val="004B0456"/>
    <w:rsid w:val="004B3CF3"/>
    <w:rsid w:val="004B48E8"/>
    <w:rsid w:val="004B5EDA"/>
    <w:rsid w:val="004C0DA1"/>
    <w:rsid w:val="004C381B"/>
    <w:rsid w:val="004C4384"/>
    <w:rsid w:val="004C4C6F"/>
    <w:rsid w:val="004C5071"/>
    <w:rsid w:val="004C5764"/>
    <w:rsid w:val="004C59E7"/>
    <w:rsid w:val="004C5B06"/>
    <w:rsid w:val="004C5D32"/>
    <w:rsid w:val="004C64AA"/>
    <w:rsid w:val="004C691C"/>
    <w:rsid w:val="004C6A9A"/>
    <w:rsid w:val="004C6C1C"/>
    <w:rsid w:val="004C757C"/>
    <w:rsid w:val="004C7797"/>
    <w:rsid w:val="004C7DEA"/>
    <w:rsid w:val="004D0372"/>
    <w:rsid w:val="004D156D"/>
    <w:rsid w:val="004D2E27"/>
    <w:rsid w:val="004D3E27"/>
    <w:rsid w:val="004E1799"/>
    <w:rsid w:val="004E2EF0"/>
    <w:rsid w:val="004E3AA3"/>
    <w:rsid w:val="004E47E0"/>
    <w:rsid w:val="004E6FE2"/>
    <w:rsid w:val="004F09D7"/>
    <w:rsid w:val="004F2039"/>
    <w:rsid w:val="004F27E7"/>
    <w:rsid w:val="004F29C5"/>
    <w:rsid w:val="004F5595"/>
    <w:rsid w:val="004F5A55"/>
    <w:rsid w:val="004F67AB"/>
    <w:rsid w:val="005019A4"/>
    <w:rsid w:val="00502282"/>
    <w:rsid w:val="005027DB"/>
    <w:rsid w:val="00504F64"/>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667F"/>
    <w:rsid w:val="005271F9"/>
    <w:rsid w:val="00530B06"/>
    <w:rsid w:val="005320B4"/>
    <w:rsid w:val="00532196"/>
    <w:rsid w:val="005329EC"/>
    <w:rsid w:val="0053347F"/>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1A2"/>
    <w:rsid w:val="005704A1"/>
    <w:rsid w:val="00570DBB"/>
    <w:rsid w:val="00571F04"/>
    <w:rsid w:val="00574070"/>
    <w:rsid w:val="00575C43"/>
    <w:rsid w:val="005762FE"/>
    <w:rsid w:val="00576FA5"/>
    <w:rsid w:val="00577B5D"/>
    <w:rsid w:val="00577D69"/>
    <w:rsid w:val="00580D0D"/>
    <w:rsid w:val="00581814"/>
    <w:rsid w:val="00581AD3"/>
    <w:rsid w:val="00585D85"/>
    <w:rsid w:val="00587608"/>
    <w:rsid w:val="005908C0"/>
    <w:rsid w:val="005912A1"/>
    <w:rsid w:val="00596510"/>
    <w:rsid w:val="005A111F"/>
    <w:rsid w:val="005A21AD"/>
    <w:rsid w:val="005A3742"/>
    <w:rsid w:val="005A41BF"/>
    <w:rsid w:val="005A4C18"/>
    <w:rsid w:val="005A5801"/>
    <w:rsid w:val="005A73A6"/>
    <w:rsid w:val="005A7A4E"/>
    <w:rsid w:val="005A7B60"/>
    <w:rsid w:val="005B0015"/>
    <w:rsid w:val="005B099B"/>
    <w:rsid w:val="005B1B6E"/>
    <w:rsid w:val="005B3238"/>
    <w:rsid w:val="005B3315"/>
    <w:rsid w:val="005B3385"/>
    <w:rsid w:val="005B4906"/>
    <w:rsid w:val="005B59C4"/>
    <w:rsid w:val="005B59E0"/>
    <w:rsid w:val="005B660B"/>
    <w:rsid w:val="005B717F"/>
    <w:rsid w:val="005C0C3C"/>
    <w:rsid w:val="005C3BE2"/>
    <w:rsid w:val="005C71D3"/>
    <w:rsid w:val="005C7B3B"/>
    <w:rsid w:val="005D0601"/>
    <w:rsid w:val="005D3410"/>
    <w:rsid w:val="005D527D"/>
    <w:rsid w:val="005D5919"/>
    <w:rsid w:val="005D5FF2"/>
    <w:rsid w:val="005D6C2B"/>
    <w:rsid w:val="005E16B8"/>
    <w:rsid w:val="005E21C0"/>
    <w:rsid w:val="005E3E7C"/>
    <w:rsid w:val="005E6C34"/>
    <w:rsid w:val="005F068D"/>
    <w:rsid w:val="005F0749"/>
    <w:rsid w:val="005F0CE3"/>
    <w:rsid w:val="006006DC"/>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297D"/>
    <w:rsid w:val="006151BD"/>
    <w:rsid w:val="0061598C"/>
    <w:rsid w:val="00616634"/>
    <w:rsid w:val="006177C0"/>
    <w:rsid w:val="006202C9"/>
    <w:rsid w:val="0062164D"/>
    <w:rsid w:val="0062215C"/>
    <w:rsid w:val="006221FB"/>
    <w:rsid w:val="006266DC"/>
    <w:rsid w:val="006274B5"/>
    <w:rsid w:val="00630468"/>
    <w:rsid w:val="006306A7"/>
    <w:rsid w:val="00633A8E"/>
    <w:rsid w:val="00633D55"/>
    <w:rsid w:val="00635C4B"/>
    <w:rsid w:val="0063680A"/>
    <w:rsid w:val="00637409"/>
    <w:rsid w:val="00641DB2"/>
    <w:rsid w:val="0064458F"/>
    <w:rsid w:val="006452BF"/>
    <w:rsid w:val="0064709C"/>
    <w:rsid w:val="00647865"/>
    <w:rsid w:val="00652104"/>
    <w:rsid w:val="00652937"/>
    <w:rsid w:val="00653193"/>
    <w:rsid w:val="00653C5B"/>
    <w:rsid w:val="00653D42"/>
    <w:rsid w:val="00654AF7"/>
    <w:rsid w:val="00655686"/>
    <w:rsid w:val="00656937"/>
    <w:rsid w:val="00657B87"/>
    <w:rsid w:val="0066027F"/>
    <w:rsid w:val="0066081E"/>
    <w:rsid w:val="0066144E"/>
    <w:rsid w:val="0066217D"/>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22E"/>
    <w:rsid w:val="006945F1"/>
    <w:rsid w:val="00694722"/>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C0227"/>
    <w:rsid w:val="006C1C58"/>
    <w:rsid w:val="006C4334"/>
    <w:rsid w:val="006C4695"/>
    <w:rsid w:val="006C5249"/>
    <w:rsid w:val="006C7270"/>
    <w:rsid w:val="006D2D53"/>
    <w:rsid w:val="006D2FE4"/>
    <w:rsid w:val="006D3CD5"/>
    <w:rsid w:val="006D43E4"/>
    <w:rsid w:val="006D4CE5"/>
    <w:rsid w:val="006E24C3"/>
    <w:rsid w:val="006E4756"/>
    <w:rsid w:val="006E4A77"/>
    <w:rsid w:val="006E5941"/>
    <w:rsid w:val="006E5DA6"/>
    <w:rsid w:val="006F1750"/>
    <w:rsid w:val="006F3639"/>
    <w:rsid w:val="006F3DF9"/>
    <w:rsid w:val="006F55DA"/>
    <w:rsid w:val="006F5B48"/>
    <w:rsid w:val="006F68F2"/>
    <w:rsid w:val="006F6C23"/>
    <w:rsid w:val="006F7786"/>
    <w:rsid w:val="007003FD"/>
    <w:rsid w:val="00704320"/>
    <w:rsid w:val="00707A58"/>
    <w:rsid w:val="00710A64"/>
    <w:rsid w:val="00711A09"/>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864"/>
    <w:rsid w:val="00771B8F"/>
    <w:rsid w:val="00772A17"/>
    <w:rsid w:val="00772B95"/>
    <w:rsid w:val="00772ED6"/>
    <w:rsid w:val="0077517B"/>
    <w:rsid w:val="00780109"/>
    <w:rsid w:val="00784DCA"/>
    <w:rsid w:val="007874F4"/>
    <w:rsid w:val="00787AD8"/>
    <w:rsid w:val="00790BEA"/>
    <w:rsid w:val="007922DC"/>
    <w:rsid w:val="00792F7A"/>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C0059"/>
    <w:rsid w:val="007C0BB8"/>
    <w:rsid w:val="007C1A66"/>
    <w:rsid w:val="007C3045"/>
    <w:rsid w:val="007C3C17"/>
    <w:rsid w:val="007C53EE"/>
    <w:rsid w:val="007C677C"/>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0A2"/>
    <w:rsid w:val="008469FF"/>
    <w:rsid w:val="00846F27"/>
    <w:rsid w:val="00851985"/>
    <w:rsid w:val="008525F1"/>
    <w:rsid w:val="00852ADB"/>
    <w:rsid w:val="00853948"/>
    <w:rsid w:val="00853DA2"/>
    <w:rsid w:val="00857795"/>
    <w:rsid w:val="0086021C"/>
    <w:rsid w:val="00860562"/>
    <w:rsid w:val="0086135C"/>
    <w:rsid w:val="008623A4"/>
    <w:rsid w:val="00863C6A"/>
    <w:rsid w:val="00865836"/>
    <w:rsid w:val="008661FB"/>
    <w:rsid w:val="00866F1E"/>
    <w:rsid w:val="00874001"/>
    <w:rsid w:val="00881655"/>
    <w:rsid w:val="00881A05"/>
    <w:rsid w:val="00881E88"/>
    <w:rsid w:val="00885EDA"/>
    <w:rsid w:val="00886913"/>
    <w:rsid w:val="008879B6"/>
    <w:rsid w:val="008918C1"/>
    <w:rsid w:val="00891A34"/>
    <w:rsid w:val="008925D4"/>
    <w:rsid w:val="008927E9"/>
    <w:rsid w:val="00893B66"/>
    <w:rsid w:val="00894231"/>
    <w:rsid w:val="00896FAF"/>
    <w:rsid w:val="008A0D0B"/>
    <w:rsid w:val="008A13B5"/>
    <w:rsid w:val="008A1B2F"/>
    <w:rsid w:val="008A3210"/>
    <w:rsid w:val="008A41EF"/>
    <w:rsid w:val="008A472E"/>
    <w:rsid w:val="008A5187"/>
    <w:rsid w:val="008A70BB"/>
    <w:rsid w:val="008A7DD9"/>
    <w:rsid w:val="008B03B9"/>
    <w:rsid w:val="008B054D"/>
    <w:rsid w:val="008B0AB9"/>
    <w:rsid w:val="008B1D10"/>
    <w:rsid w:val="008B52E4"/>
    <w:rsid w:val="008B69BC"/>
    <w:rsid w:val="008C0308"/>
    <w:rsid w:val="008C18F2"/>
    <w:rsid w:val="008C2C9B"/>
    <w:rsid w:val="008C3CD3"/>
    <w:rsid w:val="008C405D"/>
    <w:rsid w:val="008C4973"/>
    <w:rsid w:val="008C7974"/>
    <w:rsid w:val="008D0886"/>
    <w:rsid w:val="008D198C"/>
    <w:rsid w:val="008D420F"/>
    <w:rsid w:val="008D5E47"/>
    <w:rsid w:val="008D652F"/>
    <w:rsid w:val="008D6A55"/>
    <w:rsid w:val="008D78D2"/>
    <w:rsid w:val="008E00D5"/>
    <w:rsid w:val="008E27EC"/>
    <w:rsid w:val="008E3B36"/>
    <w:rsid w:val="008E4881"/>
    <w:rsid w:val="008E6319"/>
    <w:rsid w:val="008E6735"/>
    <w:rsid w:val="008F19DC"/>
    <w:rsid w:val="008F2374"/>
    <w:rsid w:val="008F4AD0"/>
    <w:rsid w:val="008F56D8"/>
    <w:rsid w:val="008F610C"/>
    <w:rsid w:val="008F7193"/>
    <w:rsid w:val="008F7759"/>
    <w:rsid w:val="00900CC6"/>
    <w:rsid w:val="00901902"/>
    <w:rsid w:val="009079F5"/>
    <w:rsid w:val="00907A0E"/>
    <w:rsid w:val="00914AA0"/>
    <w:rsid w:val="00915F4C"/>
    <w:rsid w:val="00916E08"/>
    <w:rsid w:val="00920A81"/>
    <w:rsid w:val="009213B8"/>
    <w:rsid w:val="009214E2"/>
    <w:rsid w:val="009237D9"/>
    <w:rsid w:val="00923EB8"/>
    <w:rsid w:val="0092475C"/>
    <w:rsid w:val="00925C5F"/>
    <w:rsid w:val="00931C47"/>
    <w:rsid w:val="00931D85"/>
    <w:rsid w:val="00933E65"/>
    <w:rsid w:val="00934A01"/>
    <w:rsid w:val="009360BC"/>
    <w:rsid w:val="00940352"/>
    <w:rsid w:val="009413FE"/>
    <w:rsid w:val="00945AA0"/>
    <w:rsid w:val="0094623D"/>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848D6"/>
    <w:rsid w:val="00985FB1"/>
    <w:rsid w:val="009874F5"/>
    <w:rsid w:val="0099189F"/>
    <w:rsid w:val="009928A7"/>
    <w:rsid w:val="00992FE6"/>
    <w:rsid w:val="00993F52"/>
    <w:rsid w:val="009948F4"/>
    <w:rsid w:val="00996B0C"/>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F0C"/>
    <w:rsid w:val="009E0110"/>
    <w:rsid w:val="009E0942"/>
    <w:rsid w:val="009E28D2"/>
    <w:rsid w:val="009E331B"/>
    <w:rsid w:val="009E420A"/>
    <w:rsid w:val="009E5014"/>
    <w:rsid w:val="009E5210"/>
    <w:rsid w:val="009E73DD"/>
    <w:rsid w:val="009E7539"/>
    <w:rsid w:val="009F0487"/>
    <w:rsid w:val="009F11B4"/>
    <w:rsid w:val="009F13AF"/>
    <w:rsid w:val="009F1DB9"/>
    <w:rsid w:val="009F2C5C"/>
    <w:rsid w:val="009F3173"/>
    <w:rsid w:val="009F4336"/>
    <w:rsid w:val="009F4C2D"/>
    <w:rsid w:val="009F65EC"/>
    <w:rsid w:val="00A006FB"/>
    <w:rsid w:val="00A0106B"/>
    <w:rsid w:val="00A03432"/>
    <w:rsid w:val="00A04937"/>
    <w:rsid w:val="00A06BD0"/>
    <w:rsid w:val="00A06BDF"/>
    <w:rsid w:val="00A06E80"/>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8A1"/>
    <w:rsid w:val="00A33C7A"/>
    <w:rsid w:val="00A33F10"/>
    <w:rsid w:val="00A34ACC"/>
    <w:rsid w:val="00A36EFA"/>
    <w:rsid w:val="00A376D2"/>
    <w:rsid w:val="00A42961"/>
    <w:rsid w:val="00A43444"/>
    <w:rsid w:val="00A442F5"/>
    <w:rsid w:val="00A4717E"/>
    <w:rsid w:val="00A476C2"/>
    <w:rsid w:val="00A50B4B"/>
    <w:rsid w:val="00A51355"/>
    <w:rsid w:val="00A536FE"/>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800EA"/>
    <w:rsid w:val="00A844F2"/>
    <w:rsid w:val="00A866A1"/>
    <w:rsid w:val="00A8702F"/>
    <w:rsid w:val="00A91A39"/>
    <w:rsid w:val="00A92B88"/>
    <w:rsid w:val="00A93421"/>
    <w:rsid w:val="00A936A7"/>
    <w:rsid w:val="00A93C02"/>
    <w:rsid w:val="00A95441"/>
    <w:rsid w:val="00A95C86"/>
    <w:rsid w:val="00A95FFA"/>
    <w:rsid w:val="00A964F1"/>
    <w:rsid w:val="00A97C1E"/>
    <w:rsid w:val="00AA076C"/>
    <w:rsid w:val="00AA64B8"/>
    <w:rsid w:val="00AA6E2F"/>
    <w:rsid w:val="00AB09BD"/>
    <w:rsid w:val="00AB0F39"/>
    <w:rsid w:val="00AB35DC"/>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E71B8"/>
    <w:rsid w:val="00AF129B"/>
    <w:rsid w:val="00AF39FB"/>
    <w:rsid w:val="00AF46E8"/>
    <w:rsid w:val="00AF5525"/>
    <w:rsid w:val="00AF5DE0"/>
    <w:rsid w:val="00AF703E"/>
    <w:rsid w:val="00B00393"/>
    <w:rsid w:val="00B02FF4"/>
    <w:rsid w:val="00B06D4E"/>
    <w:rsid w:val="00B07458"/>
    <w:rsid w:val="00B076C1"/>
    <w:rsid w:val="00B0776C"/>
    <w:rsid w:val="00B10353"/>
    <w:rsid w:val="00B10F79"/>
    <w:rsid w:val="00B11732"/>
    <w:rsid w:val="00B129F4"/>
    <w:rsid w:val="00B141BF"/>
    <w:rsid w:val="00B15F08"/>
    <w:rsid w:val="00B16E72"/>
    <w:rsid w:val="00B175A8"/>
    <w:rsid w:val="00B203C9"/>
    <w:rsid w:val="00B22442"/>
    <w:rsid w:val="00B238E2"/>
    <w:rsid w:val="00B2513A"/>
    <w:rsid w:val="00B256BA"/>
    <w:rsid w:val="00B271CE"/>
    <w:rsid w:val="00B334EE"/>
    <w:rsid w:val="00B337D4"/>
    <w:rsid w:val="00B339D7"/>
    <w:rsid w:val="00B346F5"/>
    <w:rsid w:val="00B3565A"/>
    <w:rsid w:val="00B43210"/>
    <w:rsid w:val="00B45947"/>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82021"/>
    <w:rsid w:val="00B83451"/>
    <w:rsid w:val="00B9103D"/>
    <w:rsid w:val="00B910E1"/>
    <w:rsid w:val="00B9117F"/>
    <w:rsid w:val="00B922BA"/>
    <w:rsid w:val="00B92426"/>
    <w:rsid w:val="00B929AF"/>
    <w:rsid w:val="00B946E9"/>
    <w:rsid w:val="00B94FFC"/>
    <w:rsid w:val="00B97BB6"/>
    <w:rsid w:val="00BA0213"/>
    <w:rsid w:val="00BA2267"/>
    <w:rsid w:val="00BA2A4A"/>
    <w:rsid w:val="00BA4B45"/>
    <w:rsid w:val="00BA4D3E"/>
    <w:rsid w:val="00BA4E35"/>
    <w:rsid w:val="00BA5837"/>
    <w:rsid w:val="00BA77F2"/>
    <w:rsid w:val="00BA7E5A"/>
    <w:rsid w:val="00BB0DD7"/>
    <w:rsid w:val="00BB1695"/>
    <w:rsid w:val="00BB1A6E"/>
    <w:rsid w:val="00BB23ED"/>
    <w:rsid w:val="00BB3821"/>
    <w:rsid w:val="00BB5584"/>
    <w:rsid w:val="00BC1652"/>
    <w:rsid w:val="00BC2982"/>
    <w:rsid w:val="00BC402C"/>
    <w:rsid w:val="00BC5446"/>
    <w:rsid w:val="00BC5AA5"/>
    <w:rsid w:val="00BD082D"/>
    <w:rsid w:val="00BD1610"/>
    <w:rsid w:val="00BD2360"/>
    <w:rsid w:val="00BD23FF"/>
    <w:rsid w:val="00BD2F3A"/>
    <w:rsid w:val="00BD4884"/>
    <w:rsid w:val="00BD6755"/>
    <w:rsid w:val="00BD7D66"/>
    <w:rsid w:val="00BE196D"/>
    <w:rsid w:val="00BE21A8"/>
    <w:rsid w:val="00BE2274"/>
    <w:rsid w:val="00BE49C6"/>
    <w:rsid w:val="00BE4A73"/>
    <w:rsid w:val="00BE6D9D"/>
    <w:rsid w:val="00BE7F7E"/>
    <w:rsid w:val="00BF0267"/>
    <w:rsid w:val="00BF1B34"/>
    <w:rsid w:val="00BF532F"/>
    <w:rsid w:val="00BF6CEB"/>
    <w:rsid w:val="00BF76EB"/>
    <w:rsid w:val="00BF775E"/>
    <w:rsid w:val="00BF7ADF"/>
    <w:rsid w:val="00BF7F89"/>
    <w:rsid w:val="00C00C48"/>
    <w:rsid w:val="00C0219E"/>
    <w:rsid w:val="00C03BA0"/>
    <w:rsid w:val="00C04AE7"/>
    <w:rsid w:val="00C04DD6"/>
    <w:rsid w:val="00C075AE"/>
    <w:rsid w:val="00C07A9B"/>
    <w:rsid w:val="00C108D7"/>
    <w:rsid w:val="00C10A84"/>
    <w:rsid w:val="00C11E5F"/>
    <w:rsid w:val="00C12835"/>
    <w:rsid w:val="00C12BD0"/>
    <w:rsid w:val="00C133A5"/>
    <w:rsid w:val="00C13D42"/>
    <w:rsid w:val="00C15B56"/>
    <w:rsid w:val="00C164AC"/>
    <w:rsid w:val="00C16BE3"/>
    <w:rsid w:val="00C16F87"/>
    <w:rsid w:val="00C177C0"/>
    <w:rsid w:val="00C20030"/>
    <w:rsid w:val="00C204D0"/>
    <w:rsid w:val="00C2067A"/>
    <w:rsid w:val="00C2143A"/>
    <w:rsid w:val="00C2160A"/>
    <w:rsid w:val="00C226CA"/>
    <w:rsid w:val="00C2519A"/>
    <w:rsid w:val="00C2609E"/>
    <w:rsid w:val="00C272EB"/>
    <w:rsid w:val="00C3194D"/>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61001"/>
    <w:rsid w:val="00C639AF"/>
    <w:rsid w:val="00C640BE"/>
    <w:rsid w:val="00C64151"/>
    <w:rsid w:val="00C64344"/>
    <w:rsid w:val="00C654E7"/>
    <w:rsid w:val="00C66C28"/>
    <w:rsid w:val="00C67750"/>
    <w:rsid w:val="00C70D10"/>
    <w:rsid w:val="00C714C1"/>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76F4"/>
    <w:rsid w:val="00C92441"/>
    <w:rsid w:val="00C932BD"/>
    <w:rsid w:val="00CA2E25"/>
    <w:rsid w:val="00CA563C"/>
    <w:rsid w:val="00CA5F9A"/>
    <w:rsid w:val="00CA78D4"/>
    <w:rsid w:val="00CA7AC2"/>
    <w:rsid w:val="00CA7E73"/>
    <w:rsid w:val="00CB2AFA"/>
    <w:rsid w:val="00CB2C53"/>
    <w:rsid w:val="00CB3113"/>
    <w:rsid w:val="00CB440C"/>
    <w:rsid w:val="00CB57A8"/>
    <w:rsid w:val="00CB5C35"/>
    <w:rsid w:val="00CC0ECA"/>
    <w:rsid w:val="00CC2EBC"/>
    <w:rsid w:val="00CC38DC"/>
    <w:rsid w:val="00CC3C9C"/>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300C2"/>
    <w:rsid w:val="00D316DD"/>
    <w:rsid w:val="00D33731"/>
    <w:rsid w:val="00D3408C"/>
    <w:rsid w:val="00D352ED"/>
    <w:rsid w:val="00D3729D"/>
    <w:rsid w:val="00D37D91"/>
    <w:rsid w:val="00D40A1B"/>
    <w:rsid w:val="00D4148D"/>
    <w:rsid w:val="00D4169C"/>
    <w:rsid w:val="00D41E62"/>
    <w:rsid w:val="00D42EF7"/>
    <w:rsid w:val="00D44A27"/>
    <w:rsid w:val="00D458C3"/>
    <w:rsid w:val="00D45F15"/>
    <w:rsid w:val="00D53B01"/>
    <w:rsid w:val="00D53E76"/>
    <w:rsid w:val="00D54E99"/>
    <w:rsid w:val="00D56A0D"/>
    <w:rsid w:val="00D56FBF"/>
    <w:rsid w:val="00D62D3F"/>
    <w:rsid w:val="00D62DB1"/>
    <w:rsid w:val="00D631E3"/>
    <w:rsid w:val="00D63274"/>
    <w:rsid w:val="00D63D82"/>
    <w:rsid w:val="00D63ED8"/>
    <w:rsid w:val="00D64A77"/>
    <w:rsid w:val="00D6568C"/>
    <w:rsid w:val="00D66E30"/>
    <w:rsid w:val="00D67295"/>
    <w:rsid w:val="00D67A15"/>
    <w:rsid w:val="00D725A4"/>
    <w:rsid w:val="00D72F74"/>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B7930"/>
    <w:rsid w:val="00DC2002"/>
    <w:rsid w:val="00DC2A59"/>
    <w:rsid w:val="00DC33A8"/>
    <w:rsid w:val="00DC63FF"/>
    <w:rsid w:val="00DD0896"/>
    <w:rsid w:val="00DD0B2A"/>
    <w:rsid w:val="00DD0BC5"/>
    <w:rsid w:val="00DD1110"/>
    <w:rsid w:val="00DD2333"/>
    <w:rsid w:val="00DD415B"/>
    <w:rsid w:val="00DD6187"/>
    <w:rsid w:val="00DE153C"/>
    <w:rsid w:val="00DE1BE1"/>
    <w:rsid w:val="00DE34A5"/>
    <w:rsid w:val="00DE4B72"/>
    <w:rsid w:val="00DE77D7"/>
    <w:rsid w:val="00DF2BB8"/>
    <w:rsid w:val="00DF2FEA"/>
    <w:rsid w:val="00DF43A7"/>
    <w:rsid w:val="00DF48D9"/>
    <w:rsid w:val="00DF5CD4"/>
    <w:rsid w:val="00DF73D0"/>
    <w:rsid w:val="00DF792D"/>
    <w:rsid w:val="00E02DD8"/>
    <w:rsid w:val="00E04B26"/>
    <w:rsid w:val="00E05E91"/>
    <w:rsid w:val="00E07351"/>
    <w:rsid w:val="00E12803"/>
    <w:rsid w:val="00E14D59"/>
    <w:rsid w:val="00E15100"/>
    <w:rsid w:val="00E15522"/>
    <w:rsid w:val="00E16AFB"/>
    <w:rsid w:val="00E20247"/>
    <w:rsid w:val="00E2256F"/>
    <w:rsid w:val="00E244F7"/>
    <w:rsid w:val="00E24D07"/>
    <w:rsid w:val="00E25714"/>
    <w:rsid w:val="00E2630C"/>
    <w:rsid w:val="00E268D4"/>
    <w:rsid w:val="00E26F34"/>
    <w:rsid w:val="00E26FD9"/>
    <w:rsid w:val="00E274C0"/>
    <w:rsid w:val="00E30BD6"/>
    <w:rsid w:val="00E3410C"/>
    <w:rsid w:val="00E3443E"/>
    <w:rsid w:val="00E3454D"/>
    <w:rsid w:val="00E36325"/>
    <w:rsid w:val="00E3698D"/>
    <w:rsid w:val="00E36EA4"/>
    <w:rsid w:val="00E40390"/>
    <w:rsid w:val="00E40BED"/>
    <w:rsid w:val="00E41A70"/>
    <w:rsid w:val="00E4215D"/>
    <w:rsid w:val="00E4258A"/>
    <w:rsid w:val="00E42BFD"/>
    <w:rsid w:val="00E4504B"/>
    <w:rsid w:val="00E452BE"/>
    <w:rsid w:val="00E45464"/>
    <w:rsid w:val="00E456A9"/>
    <w:rsid w:val="00E464C2"/>
    <w:rsid w:val="00E47A9D"/>
    <w:rsid w:val="00E50AD5"/>
    <w:rsid w:val="00E50EAA"/>
    <w:rsid w:val="00E52B51"/>
    <w:rsid w:val="00E531DB"/>
    <w:rsid w:val="00E54C9A"/>
    <w:rsid w:val="00E5634D"/>
    <w:rsid w:val="00E5663F"/>
    <w:rsid w:val="00E61B8D"/>
    <w:rsid w:val="00E64CAE"/>
    <w:rsid w:val="00E65260"/>
    <w:rsid w:val="00E67933"/>
    <w:rsid w:val="00E70BEE"/>
    <w:rsid w:val="00E712CD"/>
    <w:rsid w:val="00E71CE2"/>
    <w:rsid w:val="00E73FA3"/>
    <w:rsid w:val="00E74893"/>
    <w:rsid w:val="00E753A5"/>
    <w:rsid w:val="00E756A2"/>
    <w:rsid w:val="00E76A12"/>
    <w:rsid w:val="00E7702B"/>
    <w:rsid w:val="00E774BC"/>
    <w:rsid w:val="00E77E6D"/>
    <w:rsid w:val="00E80AC6"/>
    <w:rsid w:val="00E824C3"/>
    <w:rsid w:val="00E82E32"/>
    <w:rsid w:val="00E85860"/>
    <w:rsid w:val="00E859A4"/>
    <w:rsid w:val="00E86E71"/>
    <w:rsid w:val="00E90F5E"/>
    <w:rsid w:val="00E92D28"/>
    <w:rsid w:val="00E930B7"/>
    <w:rsid w:val="00E97ED9"/>
    <w:rsid w:val="00EA2035"/>
    <w:rsid w:val="00EA2A92"/>
    <w:rsid w:val="00EA3894"/>
    <w:rsid w:val="00EA38BE"/>
    <w:rsid w:val="00EA448A"/>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A62"/>
    <w:rsid w:val="00ED2B16"/>
    <w:rsid w:val="00ED3F0C"/>
    <w:rsid w:val="00ED4F43"/>
    <w:rsid w:val="00ED539D"/>
    <w:rsid w:val="00ED5AF1"/>
    <w:rsid w:val="00ED697B"/>
    <w:rsid w:val="00ED6F4F"/>
    <w:rsid w:val="00ED7348"/>
    <w:rsid w:val="00EE0087"/>
    <w:rsid w:val="00EE26DF"/>
    <w:rsid w:val="00EE5595"/>
    <w:rsid w:val="00EE5F8E"/>
    <w:rsid w:val="00EE6D85"/>
    <w:rsid w:val="00EE74C8"/>
    <w:rsid w:val="00EF078E"/>
    <w:rsid w:val="00EF3BB8"/>
    <w:rsid w:val="00EF425F"/>
    <w:rsid w:val="00EF4E0C"/>
    <w:rsid w:val="00EF54EE"/>
    <w:rsid w:val="00F0274E"/>
    <w:rsid w:val="00F041BF"/>
    <w:rsid w:val="00F04899"/>
    <w:rsid w:val="00F05B8D"/>
    <w:rsid w:val="00F05CF0"/>
    <w:rsid w:val="00F07A72"/>
    <w:rsid w:val="00F115FB"/>
    <w:rsid w:val="00F120BC"/>
    <w:rsid w:val="00F12955"/>
    <w:rsid w:val="00F13F8C"/>
    <w:rsid w:val="00F153FD"/>
    <w:rsid w:val="00F16698"/>
    <w:rsid w:val="00F17079"/>
    <w:rsid w:val="00F17CB6"/>
    <w:rsid w:val="00F20E00"/>
    <w:rsid w:val="00F21008"/>
    <w:rsid w:val="00F218EC"/>
    <w:rsid w:val="00F23A6F"/>
    <w:rsid w:val="00F23E07"/>
    <w:rsid w:val="00F24F27"/>
    <w:rsid w:val="00F24F8F"/>
    <w:rsid w:val="00F26497"/>
    <w:rsid w:val="00F26CB0"/>
    <w:rsid w:val="00F26FEB"/>
    <w:rsid w:val="00F30D25"/>
    <w:rsid w:val="00F32FF9"/>
    <w:rsid w:val="00F35171"/>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73360"/>
    <w:rsid w:val="00F73BB2"/>
    <w:rsid w:val="00F73DAD"/>
    <w:rsid w:val="00F73FDB"/>
    <w:rsid w:val="00F746CC"/>
    <w:rsid w:val="00F75760"/>
    <w:rsid w:val="00F75A02"/>
    <w:rsid w:val="00F837D0"/>
    <w:rsid w:val="00F83E77"/>
    <w:rsid w:val="00F84CEA"/>
    <w:rsid w:val="00F85C96"/>
    <w:rsid w:val="00F905EE"/>
    <w:rsid w:val="00F91362"/>
    <w:rsid w:val="00F92C73"/>
    <w:rsid w:val="00F92FD5"/>
    <w:rsid w:val="00F939C3"/>
    <w:rsid w:val="00F9455F"/>
    <w:rsid w:val="00F9493E"/>
    <w:rsid w:val="00F94F6B"/>
    <w:rsid w:val="00F96FFA"/>
    <w:rsid w:val="00F976FC"/>
    <w:rsid w:val="00FA0049"/>
    <w:rsid w:val="00FA2775"/>
    <w:rsid w:val="00FB059D"/>
    <w:rsid w:val="00FB06A9"/>
    <w:rsid w:val="00FB0825"/>
    <w:rsid w:val="00FB0EE9"/>
    <w:rsid w:val="00FB284D"/>
    <w:rsid w:val="00FB327D"/>
    <w:rsid w:val="00FB4260"/>
    <w:rsid w:val="00FB42D7"/>
    <w:rsid w:val="00FB4780"/>
    <w:rsid w:val="00FB4846"/>
    <w:rsid w:val="00FB608B"/>
    <w:rsid w:val="00FB6AE8"/>
    <w:rsid w:val="00FB6C3F"/>
    <w:rsid w:val="00FC198F"/>
    <w:rsid w:val="00FC1AED"/>
    <w:rsid w:val="00FC3375"/>
    <w:rsid w:val="00FC4394"/>
    <w:rsid w:val="00FC47E8"/>
    <w:rsid w:val="00FC5111"/>
    <w:rsid w:val="00FC5798"/>
    <w:rsid w:val="00FC6C11"/>
    <w:rsid w:val="00FC6E00"/>
    <w:rsid w:val="00FC6EAB"/>
    <w:rsid w:val="00FD1020"/>
    <w:rsid w:val="00FD1B5E"/>
    <w:rsid w:val="00FD26B0"/>
    <w:rsid w:val="00FD2E08"/>
    <w:rsid w:val="00FD3B75"/>
    <w:rsid w:val="00FD4787"/>
    <w:rsid w:val="00FD4B7E"/>
    <w:rsid w:val="00FD54EA"/>
    <w:rsid w:val="00FE1623"/>
    <w:rsid w:val="00FE1FBF"/>
    <w:rsid w:val="00FE2B44"/>
    <w:rsid w:val="00FE3122"/>
    <w:rsid w:val="00FE4141"/>
    <w:rsid w:val="00FE569A"/>
    <w:rsid w:val="00FE7E7E"/>
    <w:rsid w:val="00FF0465"/>
    <w:rsid w:val="00FF15C6"/>
    <w:rsid w:val="00FF2D90"/>
    <w:rsid w:val="00FF463A"/>
    <w:rsid w:val="00FF5DE7"/>
    <w:rsid w:val="012877C0"/>
    <w:rsid w:val="017A799C"/>
    <w:rsid w:val="01AF252D"/>
    <w:rsid w:val="01C14687"/>
    <w:rsid w:val="01E35C83"/>
    <w:rsid w:val="022206C8"/>
    <w:rsid w:val="022669D2"/>
    <w:rsid w:val="024025DC"/>
    <w:rsid w:val="02513C28"/>
    <w:rsid w:val="025B6511"/>
    <w:rsid w:val="0260397E"/>
    <w:rsid w:val="02863196"/>
    <w:rsid w:val="02C11C19"/>
    <w:rsid w:val="02D30C2D"/>
    <w:rsid w:val="030D41CD"/>
    <w:rsid w:val="03325DF7"/>
    <w:rsid w:val="035012E1"/>
    <w:rsid w:val="037C5AFD"/>
    <w:rsid w:val="03CE5F43"/>
    <w:rsid w:val="03DB4775"/>
    <w:rsid w:val="03EB0C02"/>
    <w:rsid w:val="03FE786C"/>
    <w:rsid w:val="040F7FEB"/>
    <w:rsid w:val="04131382"/>
    <w:rsid w:val="051F484E"/>
    <w:rsid w:val="053C6EDC"/>
    <w:rsid w:val="053E4A03"/>
    <w:rsid w:val="05743288"/>
    <w:rsid w:val="05D77E8B"/>
    <w:rsid w:val="05E20938"/>
    <w:rsid w:val="05E713F7"/>
    <w:rsid w:val="063C58AF"/>
    <w:rsid w:val="063D0369"/>
    <w:rsid w:val="065804DD"/>
    <w:rsid w:val="0677693A"/>
    <w:rsid w:val="06A6772F"/>
    <w:rsid w:val="06A86B9B"/>
    <w:rsid w:val="06B06CE0"/>
    <w:rsid w:val="07182B4D"/>
    <w:rsid w:val="07193DDB"/>
    <w:rsid w:val="071E06E8"/>
    <w:rsid w:val="07286941"/>
    <w:rsid w:val="07345D03"/>
    <w:rsid w:val="074B29BC"/>
    <w:rsid w:val="074D53D1"/>
    <w:rsid w:val="07524142"/>
    <w:rsid w:val="077E77B7"/>
    <w:rsid w:val="078179C6"/>
    <w:rsid w:val="07CB4548"/>
    <w:rsid w:val="07CE30CA"/>
    <w:rsid w:val="07DA0EFA"/>
    <w:rsid w:val="07F75509"/>
    <w:rsid w:val="07FA2C8C"/>
    <w:rsid w:val="086D51A2"/>
    <w:rsid w:val="086F12AB"/>
    <w:rsid w:val="08885259"/>
    <w:rsid w:val="088C7A57"/>
    <w:rsid w:val="089E5548"/>
    <w:rsid w:val="08F41DB5"/>
    <w:rsid w:val="091D2316"/>
    <w:rsid w:val="0923727A"/>
    <w:rsid w:val="098710C1"/>
    <w:rsid w:val="099B0F39"/>
    <w:rsid w:val="09B3479F"/>
    <w:rsid w:val="09D07714"/>
    <w:rsid w:val="09D31B43"/>
    <w:rsid w:val="09F06035"/>
    <w:rsid w:val="0A02049F"/>
    <w:rsid w:val="0A601194"/>
    <w:rsid w:val="0A726674"/>
    <w:rsid w:val="0AA25D26"/>
    <w:rsid w:val="0AB063A2"/>
    <w:rsid w:val="0AE911E2"/>
    <w:rsid w:val="0AF77EC5"/>
    <w:rsid w:val="0B040D34"/>
    <w:rsid w:val="0B216017"/>
    <w:rsid w:val="0B254430"/>
    <w:rsid w:val="0B442C97"/>
    <w:rsid w:val="0B4B0D1C"/>
    <w:rsid w:val="0B5D2332"/>
    <w:rsid w:val="0BC23164"/>
    <w:rsid w:val="0BC27DC2"/>
    <w:rsid w:val="0BD90F56"/>
    <w:rsid w:val="0BED13D1"/>
    <w:rsid w:val="0C083C74"/>
    <w:rsid w:val="0C121429"/>
    <w:rsid w:val="0C271FA8"/>
    <w:rsid w:val="0C493FA2"/>
    <w:rsid w:val="0C8B4997"/>
    <w:rsid w:val="0CB222F8"/>
    <w:rsid w:val="0CD7373F"/>
    <w:rsid w:val="0D21529C"/>
    <w:rsid w:val="0D33432C"/>
    <w:rsid w:val="0D3C53C5"/>
    <w:rsid w:val="0D406A07"/>
    <w:rsid w:val="0D4C557B"/>
    <w:rsid w:val="0D9C4DFC"/>
    <w:rsid w:val="0DB32981"/>
    <w:rsid w:val="0DED68F1"/>
    <w:rsid w:val="0DFA18A6"/>
    <w:rsid w:val="0E2E2015"/>
    <w:rsid w:val="0EA501BE"/>
    <w:rsid w:val="0F2D3983"/>
    <w:rsid w:val="0F6F19D1"/>
    <w:rsid w:val="0F7565C0"/>
    <w:rsid w:val="0F9051AF"/>
    <w:rsid w:val="0F94197C"/>
    <w:rsid w:val="0FD41F67"/>
    <w:rsid w:val="0FD676A0"/>
    <w:rsid w:val="0FDD6E52"/>
    <w:rsid w:val="0FF80F5A"/>
    <w:rsid w:val="10064C74"/>
    <w:rsid w:val="10146479"/>
    <w:rsid w:val="103A23EE"/>
    <w:rsid w:val="1051110E"/>
    <w:rsid w:val="109138D3"/>
    <w:rsid w:val="10A42C5E"/>
    <w:rsid w:val="10BB117E"/>
    <w:rsid w:val="10C44C05"/>
    <w:rsid w:val="10DB172E"/>
    <w:rsid w:val="10E14F53"/>
    <w:rsid w:val="10E72B68"/>
    <w:rsid w:val="10F863AD"/>
    <w:rsid w:val="110F1BD5"/>
    <w:rsid w:val="1114283C"/>
    <w:rsid w:val="11184CA3"/>
    <w:rsid w:val="111C7550"/>
    <w:rsid w:val="11BA7B07"/>
    <w:rsid w:val="121C2D21"/>
    <w:rsid w:val="122942A3"/>
    <w:rsid w:val="123453BB"/>
    <w:rsid w:val="12717845"/>
    <w:rsid w:val="130B0817"/>
    <w:rsid w:val="132041F2"/>
    <w:rsid w:val="132E3E25"/>
    <w:rsid w:val="1353182C"/>
    <w:rsid w:val="135830CE"/>
    <w:rsid w:val="139329C1"/>
    <w:rsid w:val="13A32621"/>
    <w:rsid w:val="13E75585"/>
    <w:rsid w:val="13E86C1F"/>
    <w:rsid w:val="13F21EAC"/>
    <w:rsid w:val="143D4587"/>
    <w:rsid w:val="14867AC4"/>
    <w:rsid w:val="14A12178"/>
    <w:rsid w:val="14CB3DD9"/>
    <w:rsid w:val="152F6F9F"/>
    <w:rsid w:val="157A49C0"/>
    <w:rsid w:val="15BE749A"/>
    <w:rsid w:val="15D752C3"/>
    <w:rsid w:val="15F7761B"/>
    <w:rsid w:val="161E6D84"/>
    <w:rsid w:val="162E798F"/>
    <w:rsid w:val="1651279E"/>
    <w:rsid w:val="16531824"/>
    <w:rsid w:val="165550FB"/>
    <w:rsid w:val="16691F8F"/>
    <w:rsid w:val="16833650"/>
    <w:rsid w:val="1689152D"/>
    <w:rsid w:val="169C7CA8"/>
    <w:rsid w:val="16A7555A"/>
    <w:rsid w:val="171A78CF"/>
    <w:rsid w:val="1762318A"/>
    <w:rsid w:val="17657E9C"/>
    <w:rsid w:val="17826335"/>
    <w:rsid w:val="17910EAA"/>
    <w:rsid w:val="17BB6913"/>
    <w:rsid w:val="17C56C2B"/>
    <w:rsid w:val="17E94F31"/>
    <w:rsid w:val="180677CC"/>
    <w:rsid w:val="181F6915"/>
    <w:rsid w:val="18757658"/>
    <w:rsid w:val="188A030C"/>
    <w:rsid w:val="19083357"/>
    <w:rsid w:val="19115143"/>
    <w:rsid w:val="191305FA"/>
    <w:rsid w:val="19193E50"/>
    <w:rsid w:val="19743351"/>
    <w:rsid w:val="19EC5120"/>
    <w:rsid w:val="1A114519"/>
    <w:rsid w:val="1A240213"/>
    <w:rsid w:val="1A2B7124"/>
    <w:rsid w:val="1A6D6D72"/>
    <w:rsid w:val="1A973A3A"/>
    <w:rsid w:val="1A9E5BAA"/>
    <w:rsid w:val="1AD70065"/>
    <w:rsid w:val="1B157D76"/>
    <w:rsid w:val="1B67570D"/>
    <w:rsid w:val="1B77250E"/>
    <w:rsid w:val="1B783377"/>
    <w:rsid w:val="1B9D78C9"/>
    <w:rsid w:val="1BA05434"/>
    <w:rsid w:val="1BAB76BA"/>
    <w:rsid w:val="1BAE1AB4"/>
    <w:rsid w:val="1BB52C1C"/>
    <w:rsid w:val="1BBA5F45"/>
    <w:rsid w:val="1BCB564E"/>
    <w:rsid w:val="1C12298B"/>
    <w:rsid w:val="1C51245F"/>
    <w:rsid w:val="1C5F0976"/>
    <w:rsid w:val="1C7B4710"/>
    <w:rsid w:val="1C894447"/>
    <w:rsid w:val="1CC11607"/>
    <w:rsid w:val="1CF512F3"/>
    <w:rsid w:val="1D5C731C"/>
    <w:rsid w:val="1D640CD7"/>
    <w:rsid w:val="1D674F02"/>
    <w:rsid w:val="1DAC04F6"/>
    <w:rsid w:val="1DC4401E"/>
    <w:rsid w:val="1DE231AA"/>
    <w:rsid w:val="1E186B17"/>
    <w:rsid w:val="1EC512F5"/>
    <w:rsid w:val="1EC6577B"/>
    <w:rsid w:val="1EE73F05"/>
    <w:rsid w:val="1EE77DBE"/>
    <w:rsid w:val="1EF00924"/>
    <w:rsid w:val="1EF417AF"/>
    <w:rsid w:val="1F3B0F38"/>
    <w:rsid w:val="1F3F37C4"/>
    <w:rsid w:val="1F452170"/>
    <w:rsid w:val="1F505A44"/>
    <w:rsid w:val="1F7A7B75"/>
    <w:rsid w:val="1FF16CE6"/>
    <w:rsid w:val="1FF93B1C"/>
    <w:rsid w:val="202F57B8"/>
    <w:rsid w:val="20381050"/>
    <w:rsid w:val="20544C79"/>
    <w:rsid w:val="205E79D4"/>
    <w:rsid w:val="206F2764"/>
    <w:rsid w:val="20785385"/>
    <w:rsid w:val="208452A5"/>
    <w:rsid w:val="20AC2DEC"/>
    <w:rsid w:val="21032B5E"/>
    <w:rsid w:val="21207BCE"/>
    <w:rsid w:val="21492C42"/>
    <w:rsid w:val="215009A2"/>
    <w:rsid w:val="217A40A2"/>
    <w:rsid w:val="21AC5B69"/>
    <w:rsid w:val="21BA3633"/>
    <w:rsid w:val="21E33A3A"/>
    <w:rsid w:val="21F90B3B"/>
    <w:rsid w:val="21FE772B"/>
    <w:rsid w:val="220F1234"/>
    <w:rsid w:val="221637FA"/>
    <w:rsid w:val="221655EB"/>
    <w:rsid w:val="223859D0"/>
    <w:rsid w:val="230F0129"/>
    <w:rsid w:val="23333814"/>
    <w:rsid w:val="2334175D"/>
    <w:rsid w:val="236E69A3"/>
    <w:rsid w:val="23BA1EB0"/>
    <w:rsid w:val="23C911D4"/>
    <w:rsid w:val="23D61C10"/>
    <w:rsid w:val="23FD1BC3"/>
    <w:rsid w:val="24582BC0"/>
    <w:rsid w:val="247B38AE"/>
    <w:rsid w:val="24A40EAA"/>
    <w:rsid w:val="24E406E0"/>
    <w:rsid w:val="24F829C8"/>
    <w:rsid w:val="250F60C6"/>
    <w:rsid w:val="25292B82"/>
    <w:rsid w:val="255E0351"/>
    <w:rsid w:val="25606C8F"/>
    <w:rsid w:val="257A0E47"/>
    <w:rsid w:val="257D08AA"/>
    <w:rsid w:val="25837377"/>
    <w:rsid w:val="2584619D"/>
    <w:rsid w:val="25864737"/>
    <w:rsid w:val="2594786A"/>
    <w:rsid w:val="25C601F5"/>
    <w:rsid w:val="25D47E5C"/>
    <w:rsid w:val="25FD25DB"/>
    <w:rsid w:val="260D68DD"/>
    <w:rsid w:val="26164D3A"/>
    <w:rsid w:val="26272329"/>
    <w:rsid w:val="263C6C71"/>
    <w:rsid w:val="269E1273"/>
    <w:rsid w:val="26A52BA4"/>
    <w:rsid w:val="26E72B53"/>
    <w:rsid w:val="27010C3A"/>
    <w:rsid w:val="270A144B"/>
    <w:rsid w:val="273934D0"/>
    <w:rsid w:val="277F726D"/>
    <w:rsid w:val="27845097"/>
    <w:rsid w:val="2793494B"/>
    <w:rsid w:val="27AE4C81"/>
    <w:rsid w:val="2808252B"/>
    <w:rsid w:val="284677BF"/>
    <w:rsid w:val="285D4B50"/>
    <w:rsid w:val="28686781"/>
    <w:rsid w:val="28971E07"/>
    <w:rsid w:val="28E02A1E"/>
    <w:rsid w:val="29000207"/>
    <w:rsid w:val="29352085"/>
    <w:rsid w:val="293B10D5"/>
    <w:rsid w:val="29490F96"/>
    <w:rsid w:val="29506B19"/>
    <w:rsid w:val="296777A9"/>
    <w:rsid w:val="29832327"/>
    <w:rsid w:val="299C1A94"/>
    <w:rsid w:val="299F37C5"/>
    <w:rsid w:val="29B035A5"/>
    <w:rsid w:val="2A040FE1"/>
    <w:rsid w:val="2A5E151F"/>
    <w:rsid w:val="2A823D0E"/>
    <w:rsid w:val="2A843169"/>
    <w:rsid w:val="2A9860B3"/>
    <w:rsid w:val="2A9D0E85"/>
    <w:rsid w:val="2AA31A15"/>
    <w:rsid w:val="2ADF74D6"/>
    <w:rsid w:val="2AE82B97"/>
    <w:rsid w:val="2AF3526C"/>
    <w:rsid w:val="2B264065"/>
    <w:rsid w:val="2B7502BB"/>
    <w:rsid w:val="2B773F3C"/>
    <w:rsid w:val="2BA226AF"/>
    <w:rsid w:val="2BA612E3"/>
    <w:rsid w:val="2C063DE0"/>
    <w:rsid w:val="2C930FE8"/>
    <w:rsid w:val="2CC05F7C"/>
    <w:rsid w:val="2CC529EE"/>
    <w:rsid w:val="2CD06F4A"/>
    <w:rsid w:val="2CD33A7F"/>
    <w:rsid w:val="2CDC57F2"/>
    <w:rsid w:val="2D024C1A"/>
    <w:rsid w:val="2D264D90"/>
    <w:rsid w:val="2D491C7E"/>
    <w:rsid w:val="2D674215"/>
    <w:rsid w:val="2D7545FA"/>
    <w:rsid w:val="2DA80FD6"/>
    <w:rsid w:val="2DE25DD3"/>
    <w:rsid w:val="2DFA1AD6"/>
    <w:rsid w:val="2E871F6C"/>
    <w:rsid w:val="2EF17D79"/>
    <w:rsid w:val="2F45212B"/>
    <w:rsid w:val="2F5A7398"/>
    <w:rsid w:val="2F70526B"/>
    <w:rsid w:val="2F8A473E"/>
    <w:rsid w:val="2F9B021F"/>
    <w:rsid w:val="2FDD345C"/>
    <w:rsid w:val="30163D74"/>
    <w:rsid w:val="301F23DF"/>
    <w:rsid w:val="306F72D2"/>
    <w:rsid w:val="308703A5"/>
    <w:rsid w:val="30B3242C"/>
    <w:rsid w:val="30DC703C"/>
    <w:rsid w:val="30DF1DCF"/>
    <w:rsid w:val="30ED1814"/>
    <w:rsid w:val="310337EB"/>
    <w:rsid w:val="313C08E6"/>
    <w:rsid w:val="314365C3"/>
    <w:rsid w:val="31F864B7"/>
    <w:rsid w:val="321F200B"/>
    <w:rsid w:val="324228FB"/>
    <w:rsid w:val="32C30843"/>
    <w:rsid w:val="32E244CE"/>
    <w:rsid w:val="32FF2900"/>
    <w:rsid w:val="331520DD"/>
    <w:rsid w:val="33222915"/>
    <w:rsid w:val="33600DA3"/>
    <w:rsid w:val="33694CF9"/>
    <w:rsid w:val="336E1BE8"/>
    <w:rsid w:val="338F1F96"/>
    <w:rsid w:val="34005AF6"/>
    <w:rsid w:val="34184063"/>
    <w:rsid w:val="34610778"/>
    <w:rsid w:val="34E4534C"/>
    <w:rsid w:val="34F5482E"/>
    <w:rsid w:val="34F915C4"/>
    <w:rsid w:val="35164F44"/>
    <w:rsid w:val="35266AE6"/>
    <w:rsid w:val="355118CA"/>
    <w:rsid w:val="35691EF5"/>
    <w:rsid w:val="35720974"/>
    <w:rsid w:val="35AF6F34"/>
    <w:rsid w:val="35B82BBA"/>
    <w:rsid w:val="36294E22"/>
    <w:rsid w:val="36305F08"/>
    <w:rsid w:val="36691639"/>
    <w:rsid w:val="368746B6"/>
    <w:rsid w:val="36A205C4"/>
    <w:rsid w:val="36DC729D"/>
    <w:rsid w:val="36E52680"/>
    <w:rsid w:val="37392636"/>
    <w:rsid w:val="374800C8"/>
    <w:rsid w:val="376072FD"/>
    <w:rsid w:val="376E6B1A"/>
    <w:rsid w:val="37991E9C"/>
    <w:rsid w:val="37BC1633"/>
    <w:rsid w:val="37C52881"/>
    <w:rsid w:val="37E521FE"/>
    <w:rsid w:val="37FE14EF"/>
    <w:rsid w:val="38137833"/>
    <w:rsid w:val="381B0CC2"/>
    <w:rsid w:val="382455ED"/>
    <w:rsid w:val="383F77C8"/>
    <w:rsid w:val="385C6972"/>
    <w:rsid w:val="386F66A6"/>
    <w:rsid w:val="387B5476"/>
    <w:rsid w:val="38823C68"/>
    <w:rsid w:val="38D30BF7"/>
    <w:rsid w:val="38EF4472"/>
    <w:rsid w:val="38F92C81"/>
    <w:rsid w:val="390509C5"/>
    <w:rsid w:val="39580E8B"/>
    <w:rsid w:val="39A14A37"/>
    <w:rsid w:val="39BA475C"/>
    <w:rsid w:val="3A01548C"/>
    <w:rsid w:val="3A6F0088"/>
    <w:rsid w:val="3A9041B9"/>
    <w:rsid w:val="3AAF7695"/>
    <w:rsid w:val="3AE97E30"/>
    <w:rsid w:val="3AFF3CC6"/>
    <w:rsid w:val="3B1039B8"/>
    <w:rsid w:val="3B1D164E"/>
    <w:rsid w:val="3B215498"/>
    <w:rsid w:val="3B4D09CF"/>
    <w:rsid w:val="3B70247D"/>
    <w:rsid w:val="3B8B3B7A"/>
    <w:rsid w:val="3C130491"/>
    <w:rsid w:val="3C71644C"/>
    <w:rsid w:val="3C8B7D43"/>
    <w:rsid w:val="3C8D359E"/>
    <w:rsid w:val="3D0616CA"/>
    <w:rsid w:val="3D8A3F82"/>
    <w:rsid w:val="3D9A6782"/>
    <w:rsid w:val="3DB25A5B"/>
    <w:rsid w:val="3E0D0ACC"/>
    <w:rsid w:val="3E8B5005"/>
    <w:rsid w:val="3ED77E2C"/>
    <w:rsid w:val="3EE355D0"/>
    <w:rsid w:val="3F07032D"/>
    <w:rsid w:val="3F241CB2"/>
    <w:rsid w:val="3F3409F6"/>
    <w:rsid w:val="3F5433AF"/>
    <w:rsid w:val="3F8B3F93"/>
    <w:rsid w:val="3F8F5599"/>
    <w:rsid w:val="3FB553D0"/>
    <w:rsid w:val="3FB5602E"/>
    <w:rsid w:val="3FEB53A7"/>
    <w:rsid w:val="3FED77CF"/>
    <w:rsid w:val="40047E36"/>
    <w:rsid w:val="40056EA7"/>
    <w:rsid w:val="401B5C80"/>
    <w:rsid w:val="402A647F"/>
    <w:rsid w:val="406C21C9"/>
    <w:rsid w:val="40937FB5"/>
    <w:rsid w:val="40A32B02"/>
    <w:rsid w:val="40B10819"/>
    <w:rsid w:val="40BF1E6D"/>
    <w:rsid w:val="40C628D8"/>
    <w:rsid w:val="40E83F0F"/>
    <w:rsid w:val="4122362A"/>
    <w:rsid w:val="41431BE3"/>
    <w:rsid w:val="415828E6"/>
    <w:rsid w:val="416820D8"/>
    <w:rsid w:val="41962731"/>
    <w:rsid w:val="41BE32BA"/>
    <w:rsid w:val="41C00F65"/>
    <w:rsid w:val="41C36320"/>
    <w:rsid w:val="41C720B8"/>
    <w:rsid w:val="421B6688"/>
    <w:rsid w:val="42867002"/>
    <w:rsid w:val="42C92A21"/>
    <w:rsid w:val="42ED13FA"/>
    <w:rsid w:val="431A5C36"/>
    <w:rsid w:val="437774C3"/>
    <w:rsid w:val="43892EC5"/>
    <w:rsid w:val="4395047D"/>
    <w:rsid w:val="43A57673"/>
    <w:rsid w:val="43D752E0"/>
    <w:rsid w:val="43F05E1D"/>
    <w:rsid w:val="44226CC2"/>
    <w:rsid w:val="44353AA3"/>
    <w:rsid w:val="444B0349"/>
    <w:rsid w:val="44672F1A"/>
    <w:rsid w:val="44BD32B2"/>
    <w:rsid w:val="44CE6E4A"/>
    <w:rsid w:val="45061931"/>
    <w:rsid w:val="450E7154"/>
    <w:rsid w:val="451231DA"/>
    <w:rsid w:val="454C5DD1"/>
    <w:rsid w:val="455933CC"/>
    <w:rsid w:val="455F1927"/>
    <w:rsid w:val="4563373A"/>
    <w:rsid w:val="457B074D"/>
    <w:rsid w:val="45D60A18"/>
    <w:rsid w:val="45F37989"/>
    <w:rsid w:val="45F605F5"/>
    <w:rsid w:val="461E35B1"/>
    <w:rsid w:val="4635704A"/>
    <w:rsid w:val="463A62E0"/>
    <w:rsid w:val="465055D4"/>
    <w:rsid w:val="465547AB"/>
    <w:rsid w:val="468A7902"/>
    <w:rsid w:val="46C9246C"/>
    <w:rsid w:val="4727115F"/>
    <w:rsid w:val="47625ED1"/>
    <w:rsid w:val="47C40DD5"/>
    <w:rsid w:val="47D9599A"/>
    <w:rsid w:val="47E75E09"/>
    <w:rsid w:val="48455675"/>
    <w:rsid w:val="489C026E"/>
    <w:rsid w:val="48B131E5"/>
    <w:rsid w:val="490F4E5B"/>
    <w:rsid w:val="494D3F74"/>
    <w:rsid w:val="49944408"/>
    <w:rsid w:val="499661F8"/>
    <w:rsid w:val="499A2DFD"/>
    <w:rsid w:val="49CB5668"/>
    <w:rsid w:val="49E53927"/>
    <w:rsid w:val="4A1E549B"/>
    <w:rsid w:val="4A687024"/>
    <w:rsid w:val="4AE87B39"/>
    <w:rsid w:val="4AF163DD"/>
    <w:rsid w:val="4B003837"/>
    <w:rsid w:val="4B0C5FD6"/>
    <w:rsid w:val="4B230500"/>
    <w:rsid w:val="4B294D26"/>
    <w:rsid w:val="4B3C5024"/>
    <w:rsid w:val="4BA55545"/>
    <w:rsid w:val="4BAA0F20"/>
    <w:rsid w:val="4BBF5772"/>
    <w:rsid w:val="4BD800D2"/>
    <w:rsid w:val="4BE836DA"/>
    <w:rsid w:val="4C245054"/>
    <w:rsid w:val="4C2A56EA"/>
    <w:rsid w:val="4C7038FB"/>
    <w:rsid w:val="4C8C73CE"/>
    <w:rsid w:val="4C922009"/>
    <w:rsid w:val="4C9F01E6"/>
    <w:rsid w:val="4CA84402"/>
    <w:rsid w:val="4CCD39DA"/>
    <w:rsid w:val="4D296204"/>
    <w:rsid w:val="4D3254A6"/>
    <w:rsid w:val="4D61509F"/>
    <w:rsid w:val="4D952497"/>
    <w:rsid w:val="4DB0533F"/>
    <w:rsid w:val="4DBF646A"/>
    <w:rsid w:val="4DC1224F"/>
    <w:rsid w:val="4DC23A1D"/>
    <w:rsid w:val="4E053FFC"/>
    <w:rsid w:val="4E0A534D"/>
    <w:rsid w:val="4E126CB1"/>
    <w:rsid w:val="4E444738"/>
    <w:rsid w:val="4E5A5329"/>
    <w:rsid w:val="4E976DC6"/>
    <w:rsid w:val="4EE70990"/>
    <w:rsid w:val="4EFA3B4E"/>
    <w:rsid w:val="4F170FE3"/>
    <w:rsid w:val="4F1A7BF6"/>
    <w:rsid w:val="4F244AAB"/>
    <w:rsid w:val="4F2E75E9"/>
    <w:rsid w:val="4F442388"/>
    <w:rsid w:val="4F687188"/>
    <w:rsid w:val="4F755D84"/>
    <w:rsid w:val="4FCE0B34"/>
    <w:rsid w:val="50265E0A"/>
    <w:rsid w:val="50A60283"/>
    <w:rsid w:val="51052F88"/>
    <w:rsid w:val="510A1FF3"/>
    <w:rsid w:val="512B04C5"/>
    <w:rsid w:val="5134626A"/>
    <w:rsid w:val="51363F50"/>
    <w:rsid w:val="516B2B23"/>
    <w:rsid w:val="5190642C"/>
    <w:rsid w:val="51914BFA"/>
    <w:rsid w:val="51C16C9B"/>
    <w:rsid w:val="51D828C8"/>
    <w:rsid w:val="51D96987"/>
    <w:rsid w:val="51DD23AF"/>
    <w:rsid w:val="51EF38C2"/>
    <w:rsid w:val="520A3EC1"/>
    <w:rsid w:val="522B4CE1"/>
    <w:rsid w:val="5237369C"/>
    <w:rsid w:val="524B5398"/>
    <w:rsid w:val="525F53C4"/>
    <w:rsid w:val="52976ACB"/>
    <w:rsid w:val="529961F1"/>
    <w:rsid w:val="52A10E87"/>
    <w:rsid w:val="52A5375E"/>
    <w:rsid w:val="52BE382F"/>
    <w:rsid w:val="52C109C7"/>
    <w:rsid w:val="52E87389"/>
    <w:rsid w:val="52F15438"/>
    <w:rsid w:val="52F5553C"/>
    <w:rsid w:val="52FB6928"/>
    <w:rsid w:val="53470A80"/>
    <w:rsid w:val="536F129E"/>
    <w:rsid w:val="53731FA9"/>
    <w:rsid w:val="538763F5"/>
    <w:rsid w:val="541805F8"/>
    <w:rsid w:val="542E7073"/>
    <w:rsid w:val="543F69EA"/>
    <w:rsid w:val="5476411C"/>
    <w:rsid w:val="548F6E8C"/>
    <w:rsid w:val="54B55507"/>
    <w:rsid w:val="54D20E92"/>
    <w:rsid w:val="54D53927"/>
    <w:rsid w:val="54D57A56"/>
    <w:rsid w:val="54FD5F8B"/>
    <w:rsid w:val="552E230F"/>
    <w:rsid w:val="5545557F"/>
    <w:rsid w:val="5566250B"/>
    <w:rsid w:val="55736417"/>
    <w:rsid w:val="559B01C1"/>
    <w:rsid w:val="55AC51D2"/>
    <w:rsid w:val="55B57209"/>
    <w:rsid w:val="55E17C68"/>
    <w:rsid w:val="55F34DB0"/>
    <w:rsid w:val="56034FE5"/>
    <w:rsid w:val="56463262"/>
    <w:rsid w:val="564927D4"/>
    <w:rsid w:val="565106DE"/>
    <w:rsid w:val="56775F49"/>
    <w:rsid w:val="5690783C"/>
    <w:rsid w:val="56A11E50"/>
    <w:rsid w:val="56CC39BF"/>
    <w:rsid w:val="56D60713"/>
    <w:rsid w:val="56E8239C"/>
    <w:rsid w:val="56FD5EBA"/>
    <w:rsid w:val="576029FE"/>
    <w:rsid w:val="57662994"/>
    <w:rsid w:val="578373DA"/>
    <w:rsid w:val="579A77B4"/>
    <w:rsid w:val="57C06AC6"/>
    <w:rsid w:val="57C446B0"/>
    <w:rsid w:val="57CE3F8B"/>
    <w:rsid w:val="57E16AAA"/>
    <w:rsid w:val="5810450B"/>
    <w:rsid w:val="58331046"/>
    <w:rsid w:val="583776CA"/>
    <w:rsid w:val="585436A0"/>
    <w:rsid w:val="58EF598F"/>
    <w:rsid w:val="58F82CB2"/>
    <w:rsid w:val="58FE5F02"/>
    <w:rsid w:val="592A2A30"/>
    <w:rsid w:val="59476115"/>
    <w:rsid w:val="597E04AB"/>
    <w:rsid w:val="59953163"/>
    <w:rsid w:val="59F31C71"/>
    <w:rsid w:val="5A0C0D0A"/>
    <w:rsid w:val="5A1A6B1C"/>
    <w:rsid w:val="5A6D5DD7"/>
    <w:rsid w:val="5A7A4003"/>
    <w:rsid w:val="5AA55E65"/>
    <w:rsid w:val="5B31040E"/>
    <w:rsid w:val="5B5318A7"/>
    <w:rsid w:val="5B6014DE"/>
    <w:rsid w:val="5BCB1C7D"/>
    <w:rsid w:val="5BDC0C81"/>
    <w:rsid w:val="5BFC0173"/>
    <w:rsid w:val="5C0A2CA6"/>
    <w:rsid w:val="5C1B30EF"/>
    <w:rsid w:val="5C1C6902"/>
    <w:rsid w:val="5CCB3CFF"/>
    <w:rsid w:val="5D0D0A5A"/>
    <w:rsid w:val="5D13313C"/>
    <w:rsid w:val="5D1B7756"/>
    <w:rsid w:val="5D24203A"/>
    <w:rsid w:val="5D29779B"/>
    <w:rsid w:val="5D59272F"/>
    <w:rsid w:val="5D8C19A7"/>
    <w:rsid w:val="5DA42C12"/>
    <w:rsid w:val="5DC9718E"/>
    <w:rsid w:val="5DCD1A92"/>
    <w:rsid w:val="5DE722C8"/>
    <w:rsid w:val="5E0D7652"/>
    <w:rsid w:val="5E266B47"/>
    <w:rsid w:val="5E272D39"/>
    <w:rsid w:val="5E2C5B27"/>
    <w:rsid w:val="5E8D62C9"/>
    <w:rsid w:val="5E924C53"/>
    <w:rsid w:val="5EE75C28"/>
    <w:rsid w:val="5F15115F"/>
    <w:rsid w:val="5F315BBE"/>
    <w:rsid w:val="5F34112B"/>
    <w:rsid w:val="5F3C0431"/>
    <w:rsid w:val="5F3C7AEA"/>
    <w:rsid w:val="5FB764D2"/>
    <w:rsid w:val="5FCC2558"/>
    <w:rsid w:val="60426A3F"/>
    <w:rsid w:val="60626674"/>
    <w:rsid w:val="606B735B"/>
    <w:rsid w:val="608A688B"/>
    <w:rsid w:val="60AA5077"/>
    <w:rsid w:val="60D518BB"/>
    <w:rsid w:val="60F611BD"/>
    <w:rsid w:val="6103018B"/>
    <w:rsid w:val="610A7F35"/>
    <w:rsid w:val="611D2854"/>
    <w:rsid w:val="613242B3"/>
    <w:rsid w:val="61354623"/>
    <w:rsid w:val="613A1C1F"/>
    <w:rsid w:val="616153D2"/>
    <w:rsid w:val="624429C7"/>
    <w:rsid w:val="624F4A80"/>
    <w:rsid w:val="62550F9A"/>
    <w:rsid w:val="6261092B"/>
    <w:rsid w:val="62AE35FB"/>
    <w:rsid w:val="62C33EC4"/>
    <w:rsid w:val="62D75E40"/>
    <w:rsid w:val="63495F4B"/>
    <w:rsid w:val="63DE7319"/>
    <w:rsid w:val="640712B6"/>
    <w:rsid w:val="6459622E"/>
    <w:rsid w:val="64F178C7"/>
    <w:rsid w:val="65727758"/>
    <w:rsid w:val="659D71F0"/>
    <w:rsid w:val="65BF03BD"/>
    <w:rsid w:val="65DF4F1C"/>
    <w:rsid w:val="65F80CBE"/>
    <w:rsid w:val="65FD2C93"/>
    <w:rsid w:val="660C3E24"/>
    <w:rsid w:val="6635189E"/>
    <w:rsid w:val="66636DA7"/>
    <w:rsid w:val="67066F2C"/>
    <w:rsid w:val="674A63AC"/>
    <w:rsid w:val="67505F8C"/>
    <w:rsid w:val="67DC216F"/>
    <w:rsid w:val="67E50D68"/>
    <w:rsid w:val="68345E8F"/>
    <w:rsid w:val="683F11A9"/>
    <w:rsid w:val="688C1749"/>
    <w:rsid w:val="68A71FA3"/>
    <w:rsid w:val="68BB30BE"/>
    <w:rsid w:val="68DD72C7"/>
    <w:rsid w:val="6915613A"/>
    <w:rsid w:val="6941672D"/>
    <w:rsid w:val="69750960"/>
    <w:rsid w:val="69FB496B"/>
    <w:rsid w:val="6A1A7DA3"/>
    <w:rsid w:val="6A331B06"/>
    <w:rsid w:val="6A403D14"/>
    <w:rsid w:val="6A6D70AD"/>
    <w:rsid w:val="6A7C5C0C"/>
    <w:rsid w:val="6A806A08"/>
    <w:rsid w:val="6AD21FD2"/>
    <w:rsid w:val="6B036375"/>
    <w:rsid w:val="6B172FBF"/>
    <w:rsid w:val="6B352F4C"/>
    <w:rsid w:val="6B3E3547"/>
    <w:rsid w:val="6B467A1A"/>
    <w:rsid w:val="6B662C52"/>
    <w:rsid w:val="6B970619"/>
    <w:rsid w:val="6BD16FC1"/>
    <w:rsid w:val="6BF2033E"/>
    <w:rsid w:val="6C0F02A4"/>
    <w:rsid w:val="6C215EAA"/>
    <w:rsid w:val="6C23619F"/>
    <w:rsid w:val="6C250B24"/>
    <w:rsid w:val="6C6C184A"/>
    <w:rsid w:val="6CA21DCA"/>
    <w:rsid w:val="6CA86739"/>
    <w:rsid w:val="6CC14D56"/>
    <w:rsid w:val="6CF34043"/>
    <w:rsid w:val="6D1C31AB"/>
    <w:rsid w:val="6D236405"/>
    <w:rsid w:val="6D3830DF"/>
    <w:rsid w:val="6D4B5A6F"/>
    <w:rsid w:val="6D7C5A96"/>
    <w:rsid w:val="6D821C9F"/>
    <w:rsid w:val="6DB8333A"/>
    <w:rsid w:val="6DE953A6"/>
    <w:rsid w:val="6DEC7F72"/>
    <w:rsid w:val="6E2D79E0"/>
    <w:rsid w:val="6E2E4B72"/>
    <w:rsid w:val="6E3A3FA2"/>
    <w:rsid w:val="6E6F23D2"/>
    <w:rsid w:val="6ED22832"/>
    <w:rsid w:val="6EE3190F"/>
    <w:rsid w:val="6EF76642"/>
    <w:rsid w:val="6F527B03"/>
    <w:rsid w:val="6F5F1689"/>
    <w:rsid w:val="6F7307C0"/>
    <w:rsid w:val="6F8E32A4"/>
    <w:rsid w:val="6FAA0136"/>
    <w:rsid w:val="6FAA4B27"/>
    <w:rsid w:val="6FDD600F"/>
    <w:rsid w:val="6FF816B2"/>
    <w:rsid w:val="702E4978"/>
    <w:rsid w:val="70803ADA"/>
    <w:rsid w:val="7088411C"/>
    <w:rsid w:val="70ED2ABF"/>
    <w:rsid w:val="71012D07"/>
    <w:rsid w:val="7105441D"/>
    <w:rsid w:val="711B0DB4"/>
    <w:rsid w:val="7138613C"/>
    <w:rsid w:val="71907CAE"/>
    <w:rsid w:val="719A4569"/>
    <w:rsid w:val="71BA10A6"/>
    <w:rsid w:val="71C323D3"/>
    <w:rsid w:val="71DB1E04"/>
    <w:rsid w:val="71DC2D77"/>
    <w:rsid w:val="72100D33"/>
    <w:rsid w:val="724745B5"/>
    <w:rsid w:val="725F72B6"/>
    <w:rsid w:val="7270752F"/>
    <w:rsid w:val="72AB4ACD"/>
    <w:rsid w:val="72BD3E0F"/>
    <w:rsid w:val="72C35C78"/>
    <w:rsid w:val="72E07104"/>
    <w:rsid w:val="72E53CA7"/>
    <w:rsid w:val="72E67A10"/>
    <w:rsid w:val="72E80587"/>
    <w:rsid w:val="730E577A"/>
    <w:rsid w:val="732E6D16"/>
    <w:rsid w:val="733D1677"/>
    <w:rsid w:val="733D6E8A"/>
    <w:rsid w:val="73D246C4"/>
    <w:rsid w:val="73EA4857"/>
    <w:rsid w:val="73FE7CAF"/>
    <w:rsid w:val="741C481A"/>
    <w:rsid w:val="749703E7"/>
    <w:rsid w:val="749C1EEA"/>
    <w:rsid w:val="74BD1BD7"/>
    <w:rsid w:val="74CC5174"/>
    <w:rsid w:val="75155309"/>
    <w:rsid w:val="751A02DC"/>
    <w:rsid w:val="753900E5"/>
    <w:rsid w:val="756C3F8D"/>
    <w:rsid w:val="75745BA4"/>
    <w:rsid w:val="75CD67FB"/>
    <w:rsid w:val="76092C49"/>
    <w:rsid w:val="7625541B"/>
    <w:rsid w:val="76430528"/>
    <w:rsid w:val="765E60A6"/>
    <w:rsid w:val="76664776"/>
    <w:rsid w:val="76B161E7"/>
    <w:rsid w:val="76D32049"/>
    <w:rsid w:val="77592488"/>
    <w:rsid w:val="77771238"/>
    <w:rsid w:val="779D0BD8"/>
    <w:rsid w:val="77D15D7E"/>
    <w:rsid w:val="77DD11CC"/>
    <w:rsid w:val="77EA10E8"/>
    <w:rsid w:val="782A02FC"/>
    <w:rsid w:val="78810C2A"/>
    <w:rsid w:val="78882EAE"/>
    <w:rsid w:val="78DB4B89"/>
    <w:rsid w:val="791820C1"/>
    <w:rsid w:val="7930488D"/>
    <w:rsid w:val="79487DCD"/>
    <w:rsid w:val="794C1303"/>
    <w:rsid w:val="795870CE"/>
    <w:rsid w:val="795D6AA3"/>
    <w:rsid w:val="79682F01"/>
    <w:rsid w:val="797809C0"/>
    <w:rsid w:val="798152B2"/>
    <w:rsid w:val="79F10BF9"/>
    <w:rsid w:val="79FF7789"/>
    <w:rsid w:val="7A0A72A3"/>
    <w:rsid w:val="7A21073A"/>
    <w:rsid w:val="7A37260E"/>
    <w:rsid w:val="7A383EA6"/>
    <w:rsid w:val="7A484C7E"/>
    <w:rsid w:val="7A4E2566"/>
    <w:rsid w:val="7A610296"/>
    <w:rsid w:val="7A8A47EA"/>
    <w:rsid w:val="7A954DAC"/>
    <w:rsid w:val="7AA10E9A"/>
    <w:rsid w:val="7AB901CB"/>
    <w:rsid w:val="7B433587"/>
    <w:rsid w:val="7B4D7010"/>
    <w:rsid w:val="7B53256B"/>
    <w:rsid w:val="7B6C5FAE"/>
    <w:rsid w:val="7BAF2247"/>
    <w:rsid w:val="7BD053E8"/>
    <w:rsid w:val="7C06105D"/>
    <w:rsid w:val="7C1510B1"/>
    <w:rsid w:val="7C4A36C4"/>
    <w:rsid w:val="7C6826E6"/>
    <w:rsid w:val="7C975A3F"/>
    <w:rsid w:val="7D2701C2"/>
    <w:rsid w:val="7D543B16"/>
    <w:rsid w:val="7D890613"/>
    <w:rsid w:val="7D963416"/>
    <w:rsid w:val="7DC01404"/>
    <w:rsid w:val="7E041BAA"/>
    <w:rsid w:val="7E0C6C3E"/>
    <w:rsid w:val="7E484108"/>
    <w:rsid w:val="7E8907D6"/>
    <w:rsid w:val="7EDA402E"/>
    <w:rsid w:val="7EEC4462"/>
    <w:rsid w:val="7F104F2A"/>
    <w:rsid w:val="7F863B15"/>
    <w:rsid w:val="7FC93EBA"/>
    <w:rsid w:val="7FCF4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link w:val="63"/>
    <w:qFormat/>
    <w:uiPriority w:val="0"/>
    <w:pPr>
      <w:keepNext/>
      <w:outlineLvl w:val="0"/>
    </w:pPr>
    <w:rPr>
      <w:rFonts w:ascii="仿宋_GB2312" w:hAnsi="宋体" w:eastAsia="仿宋_GB2312"/>
      <w:b/>
      <w:kern w:val="2"/>
      <w:sz w:val="32"/>
    </w:rPr>
  </w:style>
  <w:style w:type="paragraph" w:styleId="3">
    <w:name w:val="heading 2"/>
    <w:basedOn w:val="2"/>
    <w:next w:val="1"/>
    <w:link w:val="64"/>
    <w:autoRedefine/>
    <w:qFormat/>
    <w:uiPriority w:val="9"/>
    <w:pPr>
      <w:keepNext/>
      <w:keepLines/>
      <w:widowControl/>
      <w:spacing w:before="260" w:after="260"/>
      <w:ind w:left="284"/>
      <w:jc w:val="left"/>
      <w:outlineLvl w:val="1"/>
    </w:pPr>
    <w:rPr>
      <w:rFonts w:ascii="Arial" w:hAnsi="Arial"/>
      <w:bCs/>
      <w:sz w:val="28"/>
      <w:szCs w:val="32"/>
    </w:rPr>
  </w:style>
  <w:style w:type="paragraph" w:styleId="4">
    <w:name w:val="heading 3"/>
    <w:basedOn w:val="1"/>
    <w:next w:val="1"/>
    <w:link w:val="65"/>
    <w:autoRedefine/>
    <w:qFormat/>
    <w:uiPriority w:val="0"/>
    <w:pPr>
      <w:keepNext/>
      <w:spacing w:beforeLines="200" w:line="400" w:lineRule="exact"/>
      <w:jc w:val="center"/>
      <w:outlineLvl w:val="2"/>
    </w:pPr>
    <w:rPr>
      <w:rFonts w:ascii="Times New Roman"/>
      <w:b/>
      <w:bCs/>
      <w:kern w:val="2"/>
      <w:szCs w:val="24"/>
    </w:rPr>
  </w:style>
  <w:style w:type="paragraph" w:styleId="5">
    <w:name w:val="heading 4"/>
    <w:basedOn w:val="1"/>
    <w:next w:val="1"/>
    <w:link w:val="66"/>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6">
    <w:name w:val="heading 5"/>
    <w:basedOn w:val="1"/>
    <w:next w:val="1"/>
    <w:link w:val="67"/>
    <w:autoRedefine/>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7">
    <w:name w:val="heading 6"/>
    <w:basedOn w:val="1"/>
    <w:next w:val="1"/>
    <w:link w:val="68"/>
    <w:autoRedefine/>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8">
    <w:name w:val="heading 7"/>
    <w:basedOn w:val="1"/>
    <w:next w:val="1"/>
    <w:link w:val="69"/>
    <w:autoRedefine/>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9">
    <w:name w:val="heading 8"/>
    <w:basedOn w:val="1"/>
    <w:next w:val="1"/>
    <w:link w:val="70"/>
    <w:autoRedefine/>
    <w:qFormat/>
    <w:uiPriority w:val="0"/>
    <w:pPr>
      <w:keepNext/>
      <w:tabs>
        <w:tab w:val="left" w:pos="1440"/>
      </w:tabs>
      <w:spacing w:line="360" w:lineRule="auto"/>
      <w:ind w:left="1440" w:hanging="1440"/>
      <w:outlineLvl w:val="7"/>
    </w:pPr>
    <w:rPr>
      <w:rFonts w:ascii="仿宋_GB2312" w:eastAsia="仿宋_GB2312"/>
      <w:b/>
      <w:kern w:val="2"/>
    </w:rPr>
  </w:style>
  <w:style w:type="paragraph" w:styleId="10">
    <w:name w:val="heading 9"/>
    <w:basedOn w:val="1"/>
    <w:next w:val="1"/>
    <w:link w:val="71"/>
    <w:autoRedefine/>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8">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style>
  <w:style w:type="paragraph" w:styleId="12">
    <w:name w:val="table of authorities"/>
    <w:basedOn w:val="1"/>
    <w:next w:val="1"/>
    <w:autoRedefine/>
    <w:semiHidden/>
    <w:unhideWhenUsed/>
    <w:qFormat/>
    <w:uiPriority w:val="99"/>
    <w:pPr>
      <w:ind w:left="420" w:leftChars="200"/>
    </w:pPr>
  </w:style>
  <w:style w:type="paragraph" w:styleId="13">
    <w:name w:val="Normal Indent"/>
    <w:basedOn w:val="1"/>
    <w:next w:val="14"/>
    <w:link w:val="62"/>
    <w:autoRedefine/>
    <w:qFormat/>
    <w:uiPriority w:val="99"/>
    <w:pPr>
      <w:spacing w:line="300" w:lineRule="auto"/>
      <w:ind w:firstLine="420" w:firstLineChars="200"/>
    </w:pPr>
    <w:rPr>
      <w:rFonts w:ascii="Times New Roman"/>
      <w:kern w:val="2"/>
      <w:sz w:val="21"/>
      <w:szCs w:val="24"/>
    </w:rPr>
  </w:style>
  <w:style w:type="paragraph" w:styleId="14">
    <w:name w:val="toc 4"/>
    <w:basedOn w:val="1"/>
    <w:next w:val="1"/>
    <w:autoRedefine/>
    <w:unhideWhenUsed/>
    <w:qFormat/>
    <w:uiPriority w:val="39"/>
    <w:pPr>
      <w:ind w:left="1260" w:leftChars="600"/>
    </w:pPr>
  </w:style>
  <w:style w:type="paragraph" w:styleId="15">
    <w:name w:val="caption"/>
    <w:basedOn w:val="1"/>
    <w:next w:val="1"/>
    <w:link w:val="72"/>
    <w:autoRedefine/>
    <w:qFormat/>
    <w:uiPriority w:val="0"/>
    <w:pPr>
      <w:spacing w:before="152" w:after="160"/>
    </w:pPr>
    <w:rPr>
      <w:rFonts w:ascii="Arial" w:hAnsi="Arial" w:eastAsia="黑体"/>
      <w:kern w:val="2"/>
      <w:sz w:val="20"/>
    </w:rPr>
  </w:style>
  <w:style w:type="paragraph" w:styleId="16">
    <w:name w:val="Document Map"/>
    <w:basedOn w:val="1"/>
    <w:link w:val="73"/>
    <w:autoRedefine/>
    <w:qFormat/>
    <w:uiPriority w:val="0"/>
    <w:pPr>
      <w:shd w:val="clear" w:color="auto" w:fill="000080"/>
    </w:pPr>
    <w:rPr>
      <w:rFonts w:ascii="Times New Roman"/>
      <w:kern w:val="2"/>
      <w:sz w:val="21"/>
    </w:rPr>
  </w:style>
  <w:style w:type="paragraph" w:styleId="17">
    <w:name w:val="annotation text"/>
    <w:basedOn w:val="1"/>
    <w:link w:val="74"/>
    <w:autoRedefine/>
    <w:qFormat/>
    <w:uiPriority w:val="0"/>
    <w:pPr>
      <w:jc w:val="left"/>
    </w:pPr>
    <w:rPr>
      <w:rFonts w:ascii="Times New Roman"/>
      <w:kern w:val="2"/>
      <w:sz w:val="21"/>
      <w:szCs w:val="24"/>
    </w:rPr>
  </w:style>
  <w:style w:type="paragraph" w:styleId="18">
    <w:name w:val="Body Text 3"/>
    <w:basedOn w:val="1"/>
    <w:link w:val="75"/>
    <w:autoRedefine/>
    <w:qFormat/>
    <w:uiPriority w:val="0"/>
    <w:pPr>
      <w:jc w:val="center"/>
    </w:pPr>
    <w:rPr>
      <w:rFonts w:ascii="Times New Roman"/>
      <w:b/>
      <w:spacing w:val="-20"/>
      <w:w w:val="110"/>
      <w:kern w:val="2"/>
      <w:sz w:val="52"/>
    </w:rPr>
  </w:style>
  <w:style w:type="paragraph" w:styleId="19">
    <w:name w:val="Body Text"/>
    <w:basedOn w:val="1"/>
    <w:next w:val="1"/>
    <w:link w:val="76"/>
    <w:autoRedefine/>
    <w:qFormat/>
    <w:uiPriority w:val="0"/>
    <w:pPr>
      <w:spacing w:after="120"/>
    </w:pPr>
    <w:rPr>
      <w:rFonts w:ascii="Times New Roman"/>
      <w:kern w:val="2"/>
      <w:sz w:val="21"/>
    </w:rPr>
  </w:style>
  <w:style w:type="paragraph" w:styleId="20">
    <w:name w:val="Body Text Indent"/>
    <w:basedOn w:val="1"/>
    <w:next w:val="21"/>
    <w:link w:val="77"/>
    <w:autoRedefine/>
    <w:qFormat/>
    <w:uiPriority w:val="0"/>
    <w:pPr>
      <w:widowControl/>
      <w:ind w:firstLine="652" w:firstLineChars="233"/>
    </w:pPr>
    <w:rPr>
      <w:rFonts w:ascii="Times New Roman"/>
      <w:sz w:val="28"/>
    </w:rPr>
  </w:style>
  <w:style w:type="paragraph" w:styleId="21">
    <w:name w:val="Body Text First Indent 2"/>
    <w:basedOn w:val="20"/>
    <w:autoRedefine/>
    <w:unhideWhenUsed/>
    <w:qFormat/>
    <w:uiPriority w:val="0"/>
    <w:pPr>
      <w:ind w:firstLine="420"/>
    </w:pPr>
  </w:style>
  <w:style w:type="paragraph" w:styleId="22">
    <w:name w:val="Block Text"/>
    <w:basedOn w:val="1"/>
    <w:autoRedefine/>
    <w:qFormat/>
    <w:uiPriority w:val="0"/>
    <w:pPr>
      <w:spacing w:after="120"/>
      <w:ind w:left="1440" w:leftChars="700" w:right="700" w:rightChars="700"/>
    </w:pPr>
    <w:rPr>
      <w:rFonts w:ascii="Times New Roman"/>
    </w:rPr>
  </w:style>
  <w:style w:type="paragraph" w:styleId="23">
    <w:name w:val="HTML Address"/>
    <w:basedOn w:val="1"/>
    <w:autoRedefine/>
    <w:qFormat/>
    <w:uiPriority w:val="0"/>
    <w:pPr>
      <w:widowControl/>
      <w:jc w:val="left"/>
    </w:pPr>
    <w:rPr>
      <w:rFonts w:hAnsi="宋体" w:cs="宋体"/>
      <w:i/>
      <w:iCs/>
      <w:szCs w:val="24"/>
    </w:rPr>
  </w:style>
  <w:style w:type="paragraph" w:styleId="24">
    <w:name w:val="toc 5"/>
    <w:basedOn w:val="1"/>
    <w:next w:val="1"/>
    <w:autoRedefine/>
    <w:unhideWhenUsed/>
    <w:qFormat/>
    <w:uiPriority w:val="39"/>
    <w:pPr>
      <w:ind w:left="1680" w:leftChars="800"/>
    </w:pPr>
  </w:style>
  <w:style w:type="paragraph" w:styleId="25">
    <w:name w:val="toc 3"/>
    <w:basedOn w:val="1"/>
    <w:next w:val="1"/>
    <w:autoRedefine/>
    <w:unhideWhenUsed/>
    <w:qFormat/>
    <w:uiPriority w:val="39"/>
    <w:pPr>
      <w:ind w:left="840" w:leftChars="400"/>
    </w:pPr>
  </w:style>
  <w:style w:type="paragraph" w:styleId="26">
    <w:name w:val="Plain Text"/>
    <w:basedOn w:val="1"/>
    <w:next w:val="1"/>
    <w:link w:val="78"/>
    <w:autoRedefine/>
    <w:qFormat/>
    <w:uiPriority w:val="0"/>
    <w:rPr>
      <w:rFonts w:hAnsi="Courier New"/>
      <w:kern w:val="2"/>
      <w:sz w:val="21"/>
    </w:rPr>
  </w:style>
  <w:style w:type="paragraph" w:styleId="27">
    <w:name w:val="toc 8"/>
    <w:basedOn w:val="1"/>
    <w:next w:val="1"/>
    <w:autoRedefine/>
    <w:unhideWhenUsed/>
    <w:qFormat/>
    <w:uiPriority w:val="39"/>
    <w:pPr>
      <w:ind w:left="2940" w:leftChars="1400"/>
    </w:pPr>
  </w:style>
  <w:style w:type="paragraph" w:styleId="28">
    <w:name w:val="Date"/>
    <w:basedOn w:val="1"/>
    <w:next w:val="1"/>
    <w:link w:val="79"/>
    <w:autoRedefine/>
    <w:qFormat/>
    <w:uiPriority w:val="0"/>
    <w:rPr>
      <w:rFonts w:ascii="Times New Roman"/>
      <w:kern w:val="2"/>
      <w:sz w:val="28"/>
    </w:rPr>
  </w:style>
  <w:style w:type="paragraph" w:styleId="29">
    <w:name w:val="Body Text Indent 2"/>
    <w:basedOn w:val="1"/>
    <w:link w:val="80"/>
    <w:autoRedefine/>
    <w:qFormat/>
    <w:uiPriority w:val="99"/>
    <w:pPr>
      <w:tabs>
        <w:tab w:val="left" w:pos="5625"/>
      </w:tabs>
      <w:ind w:left="1138" w:leftChars="542"/>
    </w:pPr>
    <w:rPr>
      <w:rFonts w:ascii="Times New Roman"/>
      <w:kern w:val="2"/>
    </w:rPr>
  </w:style>
  <w:style w:type="paragraph" w:styleId="30">
    <w:name w:val="Balloon Text"/>
    <w:basedOn w:val="1"/>
    <w:link w:val="81"/>
    <w:autoRedefine/>
    <w:qFormat/>
    <w:uiPriority w:val="99"/>
    <w:rPr>
      <w:rFonts w:ascii="Times New Roman"/>
      <w:kern w:val="2"/>
      <w:sz w:val="18"/>
      <w:szCs w:val="18"/>
    </w:rPr>
  </w:style>
  <w:style w:type="paragraph" w:styleId="31">
    <w:name w:val="footer"/>
    <w:basedOn w:val="1"/>
    <w:link w:val="82"/>
    <w:autoRedefine/>
    <w:qFormat/>
    <w:uiPriority w:val="99"/>
    <w:pPr>
      <w:tabs>
        <w:tab w:val="center" w:pos="4153"/>
        <w:tab w:val="right" w:pos="8306"/>
      </w:tabs>
      <w:snapToGrid w:val="0"/>
      <w:jc w:val="left"/>
    </w:pPr>
    <w:rPr>
      <w:rFonts w:ascii="Times New Roman"/>
      <w:kern w:val="2"/>
      <w:sz w:val="18"/>
      <w:szCs w:val="18"/>
    </w:rPr>
  </w:style>
  <w:style w:type="paragraph" w:styleId="32">
    <w:name w:val="header"/>
    <w:basedOn w:val="1"/>
    <w:link w:val="83"/>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3">
    <w:name w:val="toc 1"/>
    <w:basedOn w:val="1"/>
    <w:next w:val="1"/>
    <w:autoRedefine/>
    <w:unhideWhenUsed/>
    <w:qFormat/>
    <w:uiPriority w:val="39"/>
    <w:pPr>
      <w:tabs>
        <w:tab w:val="left" w:pos="1418"/>
        <w:tab w:val="right" w:leader="dot" w:pos="8302"/>
      </w:tabs>
      <w:spacing w:line="960" w:lineRule="auto"/>
    </w:pPr>
  </w:style>
  <w:style w:type="paragraph" w:styleId="34">
    <w:name w:val="Subtitle"/>
    <w:basedOn w:val="1"/>
    <w:next w:val="1"/>
    <w:link w:val="84"/>
    <w:autoRedefine/>
    <w:qFormat/>
    <w:uiPriority w:val="0"/>
    <w:pPr>
      <w:spacing w:before="240" w:after="60" w:line="312" w:lineRule="auto"/>
      <w:jc w:val="center"/>
      <w:outlineLvl w:val="1"/>
    </w:pPr>
    <w:rPr>
      <w:rFonts w:ascii="Cambria" w:hAnsi="Cambria"/>
      <w:b/>
      <w:bCs/>
      <w:kern w:val="28"/>
      <w:sz w:val="32"/>
      <w:szCs w:val="32"/>
    </w:rPr>
  </w:style>
  <w:style w:type="paragraph" w:styleId="35">
    <w:name w:val="List"/>
    <w:basedOn w:val="1"/>
    <w:next w:val="1"/>
    <w:autoRedefine/>
    <w:qFormat/>
    <w:uiPriority w:val="0"/>
    <w:pPr>
      <w:numPr>
        <w:ilvl w:val="1"/>
        <w:numId w:val="1"/>
      </w:numPr>
      <w:spacing w:line="360" w:lineRule="auto"/>
      <w:jc w:val="left"/>
    </w:pPr>
    <w:rPr>
      <w:szCs w:val="24"/>
    </w:rPr>
  </w:style>
  <w:style w:type="paragraph" w:styleId="36">
    <w:name w:val="toc 6"/>
    <w:basedOn w:val="1"/>
    <w:next w:val="1"/>
    <w:autoRedefine/>
    <w:unhideWhenUsed/>
    <w:qFormat/>
    <w:uiPriority w:val="39"/>
    <w:pPr>
      <w:ind w:left="2100" w:leftChars="1000"/>
    </w:pPr>
  </w:style>
  <w:style w:type="paragraph" w:styleId="37">
    <w:name w:val="Body Text Indent 3"/>
    <w:basedOn w:val="1"/>
    <w:link w:val="85"/>
    <w:autoRedefine/>
    <w:qFormat/>
    <w:uiPriority w:val="0"/>
    <w:pPr>
      <w:spacing w:line="410" w:lineRule="exact"/>
      <w:ind w:left="619" w:leftChars="295" w:firstLine="390" w:firstLineChars="179"/>
    </w:pPr>
    <w:rPr>
      <w:rFonts w:hAnsi="宋体"/>
      <w:spacing w:val="4"/>
      <w:kern w:val="2"/>
      <w:sz w:val="21"/>
    </w:rPr>
  </w:style>
  <w:style w:type="paragraph" w:styleId="38">
    <w:name w:val="toc 2"/>
    <w:basedOn w:val="1"/>
    <w:next w:val="1"/>
    <w:autoRedefine/>
    <w:unhideWhenUsed/>
    <w:qFormat/>
    <w:uiPriority w:val="39"/>
    <w:pPr>
      <w:tabs>
        <w:tab w:val="right" w:leader="dot" w:pos="8302"/>
      </w:tabs>
      <w:spacing w:line="960" w:lineRule="auto"/>
      <w:ind w:left="420" w:leftChars="200"/>
    </w:pPr>
  </w:style>
  <w:style w:type="paragraph" w:styleId="39">
    <w:name w:val="toc 9"/>
    <w:basedOn w:val="1"/>
    <w:next w:val="1"/>
    <w:autoRedefine/>
    <w:unhideWhenUsed/>
    <w:qFormat/>
    <w:uiPriority w:val="39"/>
    <w:pPr>
      <w:ind w:left="3360" w:leftChars="1600"/>
    </w:pPr>
  </w:style>
  <w:style w:type="paragraph" w:styleId="40">
    <w:name w:val="Body Text 2"/>
    <w:basedOn w:val="1"/>
    <w:link w:val="86"/>
    <w:autoRedefine/>
    <w:qFormat/>
    <w:uiPriority w:val="0"/>
    <w:rPr>
      <w:rFonts w:ascii="楷体_GB2312" w:hAnsi="Copperplate Gothic Bold" w:eastAsia="楷体_GB2312"/>
      <w:kern w:val="2"/>
      <w:sz w:val="28"/>
    </w:rPr>
  </w:style>
  <w:style w:type="paragraph" w:styleId="4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2">
    <w:name w:val="Normal (Web)"/>
    <w:basedOn w:val="1"/>
    <w:autoRedefine/>
    <w:qFormat/>
    <w:uiPriority w:val="99"/>
    <w:pPr>
      <w:widowControl/>
      <w:spacing w:before="100" w:beforeAutospacing="1" w:after="100" w:afterAutospacing="1"/>
      <w:jc w:val="left"/>
    </w:pPr>
    <w:rPr>
      <w:rFonts w:hAnsi="宋体"/>
      <w:szCs w:val="24"/>
    </w:rPr>
  </w:style>
  <w:style w:type="paragraph" w:styleId="43">
    <w:name w:val="Title"/>
    <w:basedOn w:val="1"/>
    <w:next w:val="1"/>
    <w:link w:val="87"/>
    <w:autoRedefine/>
    <w:qFormat/>
    <w:uiPriority w:val="0"/>
    <w:pPr>
      <w:spacing w:before="240" w:after="60"/>
      <w:jc w:val="center"/>
      <w:outlineLvl w:val="0"/>
    </w:pPr>
    <w:rPr>
      <w:rFonts w:ascii="Cambria" w:hAnsi="Cambria"/>
      <w:b/>
      <w:bCs/>
      <w:kern w:val="2"/>
      <w:sz w:val="32"/>
      <w:szCs w:val="32"/>
    </w:rPr>
  </w:style>
  <w:style w:type="paragraph" w:styleId="44">
    <w:name w:val="annotation subject"/>
    <w:basedOn w:val="17"/>
    <w:next w:val="17"/>
    <w:link w:val="88"/>
    <w:autoRedefine/>
    <w:qFormat/>
    <w:uiPriority w:val="0"/>
    <w:rPr>
      <w:b/>
      <w:bCs/>
    </w:rPr>
  </w:style>
  <w:style w:type="paragraph" w:styleId="45">
    <w:name w:val="Body Text First Indent"/>
    <w:basedOn w:val="19"/>
    <w:autoRedefine/>
    <w:qFormat/>
    <w:uiPriority w:val="0"/>
    <w:pPr>
      <w:ind w:firstLine="420" w:firstLineChars="100"/>
    </w:pPr>
  </w:style>
  <w:style w:type="table" w:styleId="47">
    <w:name w:val="Table Grid"/>
    <w:basedOn w:val="4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autoRedefine/>
    <w:qFormat/>
    <w:uiPriority w:val="22"/>
    <w:rPr>
      <w:b/>
      <w:bCs/>
    </w:rPr>
  </w:style>
  <w:style w:type="character" w:styleId="50">
    <w:name w:val="page number"/>
    <w:basedOn w:val="48"/>
    <w:autoRedefine/>
    <w:qFormat/>
    <w:uiPriority w:val="0"/>
  </w:style>
  <w:style w:type="character" w:styleId="51">
    <w:name w:val="FollowedHyperlink"/>
    <w:autoRedefine/>
    <w:qFormat/>
    <w:uiPriority w:val="0"/>
    <w:rPr>
      <w:rFonts w:hint="eastAsia" w:ascii="宋体" w:hAnsi="宋体" w:eastAsia="宋体" w:cs="宋体"/>
      <w:color w:val="000000"/>
      <w:sz w:val="18"/>
      <w:szCs w:val="18"/>
      <w:u w:val="none"/>
    </w:rPr>
  </w:style>
  <w:style w:type="character" w:styleId="52">
    <w:name w:val="Emphasis"/>
    <w:autoRedefine/>
    <w:qFormat/>
    <w:uiPriority w:val="0"/>
    <w:rPr>
      <w:i/>
      <w:iCs/>
    </w:rPr>
  </w:style>
  <w:style w:type="character" w:styleId="53">
    <w:name w:val="HTML Definition"/>
    <w:basedOn w:val="48"/>
    <w:autoRedefine/>
    <w:unhideWhenUsed/>
    <w:qFormat/>
    <w:uiPriority w:val="99"/>
    <w:rPr>
      <w:i/>
    </w:rPr>
  </w:style>
  <w:style w:type="character" w:styleId="54">
    <w:name w:val="HTML Typewriter"/>
    <w:autoRedefine/>
    <w:qFormat/>
    <w:uiPriority w:val="0"/>
    <w:rPr>
      <w:rFonts w:ascii="黑体" w:hAnsi="Courier New" w:eastAsia="黑体" w:cs="Courier New"/>
      <w:sz w:val="20"/>
      <w:szCs w:val="20"/>
    </w:rPr>
  </w:style>
  <w:style w:type="character" w:styleId="55">
    <w:name w:val="Hyperlink"/>
    <w:autoRedefine/>
    <w:qFormat/>
    <w:uiPriority w:val="99"/>
    <w:rPr>
      <w:rFonts w:hint="eastAsia" w:ascii="宋体" w:hAnsi="宋体" w:eastAsia="宋体" w:cs="宋体"/>
      <w:color w:val="000000"/>
      <w:sz w:val="18"/>
      <w:szCs w:val="18"/>
      <w:u w:val="none"/>
    </w:rPr>
  </w:style>
  <w:style w:type="character" w:styleId="56">
    <w:name w:val="HTML Code"/>
    <w:basedOn w:val="48"/>
    <w:autoRedefine/>
    <w:unhideWhenUsed/>
    <w:qFormat/>
    <w:uiPriority w:val="99"/>
    <w:rPr>
      <w:rFonts w:ascii="Consolas" w:hAnsi="Consolas" w:eastAsia="Consolas" w:cs="Consolas"/>
      <w:color w:val="C7254E"/>
      <w:sz w:val="21"/>
      <w:szCs w:val="21"/>
      <w:shd w:val="clear" w:color="auto" w:fill="F9F2F4"/>
    </w:rPr>
  </w:style>
  <w:style w:type="character" w:styleId="57">
    <w:name w:val="annotation reference"/>
    <w:autoRedefine/>
    <w:qFormat/>
    <w:uiPriority w:val="0"/>
    <w:rPr>
      <w:sz w:val="21"/>
      <w:szCs w:val="21"/>
    </w:rPr>
  </w:style>
  <w:style w:type="character" w:styleId="58">
    <w:name w:val="HTML Keyboard"/>
    <w:basedOn w:val="48"/>
    <w:autoRedefine/>
    <w:unhideWhenUsed/>
    <w:qFormat/>
    <w:uiPriority w:val="99"/>
    <w:rPr>
      <w:rFonts w:hint="default" w:ascii="Consolas" w:hAnsi="Consolas" w:eastAsia="Consolas" w:cs="Consolas"/>
      <w:color w:val="FFFFFF"/>
      <w:sz w:val="21"/>
      <w:szCs w:val="21"/>
      <w:shd w:val="clear" w:color="auto" w:fill="333333"/>
    </w:rPr>
  </w:style>
  <w:style w:type="character" w:styleId="59">
    <w:name w:val="HTML Sample"/>
    <w:basedOn w:val="48"/>
    <w:autoRedefine/>
    <w:unhideWhenUsed/>
    <w:qFormat/>
    <w:uiPriority w:val="99"/>
    <w:rPr>
      <w:rFonts w:hint="default" w:ascii="Consolas" w:hAnsi="Consolas" w:eastAsia="Consolas" w:cs="Consolas"/>
      <w:sz w:val="21"/>
      <w:szCs w:val="21"/>
    </w:rPr>
  </w:style>
  <w:style w:type="paragraph" w:customStyle="1" w:styleId="60">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styleId="61">
    <w:name w:val="List Paragraph"/>
    <w:basedOn w:val="1"/>
    <w:link w:val="101"/>
    <w:autoRedefine/>
    <w:qFormat/>
    <w:uiPriority w:val="34"/>
    <w:pPr>
      <w:ind w:firstLine="420" w:firstLineChars="200"/>
    </w:pPr>
    <w:rPr>
      <w:rFonts w:ascii="Calibri" w:hAnsi="Calibri"/>
      <w:kern w:val="2"/>
      <w:sz w:val="21"/>
      <w:szCs w:val="22"/>
    </w:rPr>
  </w:style>
  <w:style w:type="character" w:customStyle="1" w:styleId="62">
    <w:name w:val="正文缩进 字符"/>
    <w:link w:val="13"/>
    <w:autoRedefine/>
    <w:qFormat/>
    <w:uiPriority w:val="0"/>
    <w:rPr>
      <w:kern w:val="2"/>
      <w:sz w:val="21"/>
      <w:szCs w:val="24"/>
    </w:rPr>
  </w:style>
  <w:style w:type="character" w:customStyle="1" w:styleId="63">
    <w:name w:val="标题 1 字符"/>
    <w:link w:val="2"/>
    <w:autoRedefine/>
    <w:qFormat/>
    <w:uiPriority w:val="0"/>
    <w:rPr>
      <w:rFonts w:ascii="仿宋_GB2312" w:hAnsi="宋体" w:eastAsia="仿宋_GB2312"/>
      <w:b/>
      <w:kern w:val="2"/>
      <w:sz w:val="32"/>
    </w:rPr>
  </w:style>
  <w:style w:type="character" w:customStyle="1" w:styleId="64">
    <w:name w:val="标题 2 字符"/>
    <w:link w:val="3"/>
    <w:autoRedefine/>
    <w:qFormat/>
    <w:uiPriority w:val="9"/>
    <w:rPr>
      <w:rFonts w:ascii="Arial" w:hAnsi="Arial"/>
      <w:b/>
      <w:bCs/>
      <w:sz w:val="28"/>
      <w:szCs w:val="32"/>
    </w:rPr>
  </w:style>
  <w:style w:type="character" w:customStyle="1" w:styleId="65">
    <w:name w:val="标题 3 字符"/>
    <w:link w:val="4"/>
    <w:autoRedefine/>
    <w:qFormat/>
    <w:uiPriority w:val="0"/>
    <w:rPr>
      <w:b/>
      <w:bCs/>
      <w:kern w:val="2"/>
      <w:sz w:val="24"/>
      <w:szCs w:val="24"/>
    </w:rPr>
  </w:style>
  <w:style w:type="character" w:customStyle="1" w:styleId="66">
    <w:name w:val="标题 4 字符"/>
    <w:link w:val="5"/>
    <w:autoRedefine/>
    <w:qFormat/>
    <w:uiPriority w:val="0"/>
    <w:rPr>
      <w:rFonts w:ascii="Arial" w:hAnsi="Arial"/>
      <w:bCs/>
      <w:kern w:val="2"/>
      <w:sz w:val="24"/>
      <w:szCs w:val="28"/>
    </w:rPr>
  </w:style>
  <w:style w:type="character" w:customStyle="1" w:styleId="67">
    <w:name w:val="标题 5 字符"/>
    <w:link w:val="6"/>
    <w:autoRedefine/>
    <w:qFormat/>
    <w:uiPriority w:val="0"/>
    <w:rPr>
      <w:rFonts w:ascii="Arial Unicode MS" w:hAnsi="Arial Unicode MS"/>
      <w:bCs/>
      <w:kern w:val="2"/>
      <w:sz w:val="24"/>
      <w:szCs w:val="24"/>
    </w:rPr>
  </w:style>
  <w:style w:type="character" w:customStyle="1" w:styleId="68">
    <w:name w:val="标题 6 字符"/>
    <w:link w:val="7"/>
    <w:autoRedefine/>
    <w:qFormat/>
    <w:uiPriority w:val="0"/>
    <w:rPr>
      <w:rFonts w:ascii="Arial Unicode MS" w:hAnsi="Arial Unicode MS"/>
      <w:bCs/>
      <w:kern w:val="2"/>
      <w:sz w:val="24"/>
      <w:szCs w:val="24"/>
    </w:rPr>
  </w:style>
  <w:style w:type="character" w:customStyle="1" w:styleId="69">
    <w:name w:val="标题 7 字符"/>
    <w:link w:val="8"/>
    <w:autoRedefine/>
    <w:qFormat/>
    <w:uiPriority w:val="0"/>
    <w:rPr>
      <w:rFonts w:ascii="Arial" w:hAnsi="Arial"/>
      <w:b/>
      <w:color w:val="000000"/>
      <w:kern w:val="2"/>
      <w:sz w:val="15"/>
    </w:rPr>
  </w:style>
  <w:style w:type="character" w:customStyle="1" w:styleId="70">
    <w:name w:val="标题 8 字符"/>
    <w:link w:val="9"/>
    <w:autoRedefine/>
    <w:qFormat/>
    <w:uiPriority w:val="0"/>
    <w:rPr>
      <w:rFonts w:ascii="仿宋_GB2312" w:eastAsia="仿宋_GB2312"/>
      <w:b/>
      <w:kern w:val="2"/>
      <w:sz w:val="24"/>
    </w:rPr>
  </w:style>
  <w:style w:type="character" w:customStyle="1" w:styleId="71">
    <w:name w:val="标题 9 字符"/>
    <w:link w:val="10"/>
    <w:autoRedefine/>
    <w:qFormat/>
    <w:uiPriority w:val="0"/>
    <w:rPr>
      <w:rFonts w:ascii="Arial" w:hAnsi="Arial" w:eastAsia="黑体"/>
      <w:kern w:val="2"/>
      <w:sz w:val="21"/>
      <w:szCs w:val="21"/>
    </w:rPr>
  </w:style>
  <w:style w:type="character" w:customStyle="1" w:styleId="72">
    <w:name w:val="题注 字符"/>
    <w:link w:val="15"/>
    <w:autoRedefine/>
    <w:qFormat/>
    <w:uiPriority w:val="0"/>
    <w:rPr>
      <w:rFonts w:ascii="Arial" w:hAnsi="Arial" w:eastAsia="黑体" w:cs="Arial"/>
      <w:kern w:val="2"/>
    </w:rPr>
  </w:style>
  <w:style w:type="character" w:customStyle="1" w:styleId="73">
    <w:name w:val="文档结构图 字符"/>
    <w:link w:val="16"/>
    <w:autoRedefine/>
    <w:qFormat/>
    <w:uiPriority w:val="0"/>
    <w:rPr>
      <w:kern w:val="2"/>
      <w:sz w:val="21"/>
      <w:shd w:val="clear" w:color="auto" w:fill="000080"/>
    </w:rPr>
  </w:style>
  <w:style w:type="character" w:customStyle="1" w:styleId="74">
    <w:name w:val="批注文字 字符"/>
    <w:link w:val="17"/>
    <w:autoRedefine/>
    <w:qFormat/>
    <w:uiPriority w:val="0"/>
    <w:rPr>
      <w:rFonts w:eastAsia="宋体"/>
      <w:kern w:val="2"/>
      <w:sz w:val="21"/>
      <w:szCs w:val="24"/>
      <w:lang w:val="en-US" w:eastAsia="zh-CN" w:bidi="ar-SA"/>
    </w:rPr>
  </w:style>
  <w:style w:type="character" w:customStyle="1" w:styleId="75">
    <w:name w:val="正文文本 3 字符"/>
    <w:link w:val="18"/>
    <w:autoRedefine/>
    <w:qFormat/>
    <w:uiPriority w:val="0"/>
    <w:rPr>
      <w:b/>
      <w:spacing w:val="-20"/>
      <w:w w:val="110"/>
      <w:kern w:val="2"/>
      <w:sz w:val="52"/>
    </w:rPr>
  </w:style>
  <w:style w:type="character" w:customStyle="1" w:styleId="76">
    <w:name w:val="正文文本 字符"/>
    <w:link w:val="19"/>
    <w:autoRedefine/>
    <w:qFormat/>
    <w:uiPriority w:val="0"/>
    <w:rPr>
      <w:kern w:val="2"/>
      <w:sz w:val="21"/>
    </w:rPr>
  </w:style>
  <w:style w:type="character" w:customStyle="1" w:styleId="77">
    <w:name w:val="正文文本缩进 字符"/>
    <w:link w:val="20"/>
    <w:autoRedefine/>
    <w:qFormat/>
    <w:uiPriority w:val="0"/>
    <w:rPr>
      <w:sz w:val="28"/>
    </w:rPr>
  </w:style>
  <w:style w:type="character" w:customStyle="1" w:styleId="78">
    <w:name w:val="纯文本 字符"/>
    <w:link w:val="26"/>
    <w:autoRedefine/>
    <w:qFormat/>
    <w:uiPriority w:val="0"/>
    <w:rPr>
      <w:rFonts w:ascii="宋体" w:hAnsi="Courier New" w:eastAsia="宋体"/>
      <w:kern w:val="2"/>
      <w:sz w:val="21"/>
      <w:lang w:val="en-US" w:eastAsia="zh-CN" w:bidi="ar-SA"/>
    </w:rPr>
  </w:style>
  <w:style w:type="character" w:customStyle="1" w:styleId="79">
    <w:name w:val="日期 字符"/>
    <w:link w:val="28"/>
    <w:autoRedefine/>
    <w:qFormat/>
    <w:uiPriority w:val="0"/>
    <w:rPr>
      <w:kern w:val="2"/>
      <w:sz w:val="28"/>
    </w:rPr>
  </w:style>
  <w:style w:type="character" w:customStyle="1" w:styleId="80">
    <w:name w:val="正文文本缩进 2 字符"/>
    <w:link w:val="29"/>
    <w:autoRedefine/>
    <w:qFormat/>
    <w:uiPriority w:val="99"/>
    <w:rPr>
      <w:kern w:val="2"/>
      <w:sz w:val="24"/>
    </w:rPr>
  </w:style>
  <w:style w:type="character" w:customStyle="1" w:styleId="81">
    <w:name w:val="批注框文本 字符"/>
    <w:link w:val="30"/>
    <w:autoRedefine/>
    <w:qFormat/>
    <w:uiPriority w:val="99"/>
    <w:rPr>
      <w:kern w:val="2"/>
      <w:sz w:val="18"/>
      <w:szCs w:val="18"/>
    </w:rPr>
  </w:style>
  <w:style w:type="character" w:customStyle="1" w:styleId="82">
    <w:name w:val="页脚 字符"/>
    <w:link w:val="31"/>
    <w:autoRedefine/>
    <w:qFormat/>
    <w:uiPriority w:val="99"/>
    <w:rPr>
      <w:rFonts w:eastAsia="宋体"/>
      <w:kern w:val="2"/>
      <w:sz w:val="18"/>
      <w:szCs w:val="18"/>
      <w:lang w:val="en-US" w:eastAsia="zh-CN" w:bidi="ar-SA"/>
    </w:rPr>
  </w:style>
  <w:style w:type="character" w:customStyle="1" w:styleId="83">
    <w:name w:val="页眉 字符"/>
    <w:link w:val="32"/>
    <w:autoRedefine/>
    <w:qFormat/>
    <w:uiPriority w:val="0"/>
    <w:rPr>
      <w:rFonts w:eastAsia="宋体"/>
      <w:kern w:val="2"/>
      <w:sz w:val="18"/>
      <w:szCs w:val="18"/>
      <w:lang w:val="en-US" w:eastAsia="zh-CN" w:bidi="ar-SA"/>
    </w:rPr>
  </w:style>
  <w:style w:type="character" w:customStyle="1" w:styleId="84">
    <w:name w:val="副标题 字符"/>
    <w:link w:val="34"/>
    <w:autoRedefine/>
    <w:qFormat/>
    <w:uiPriority w:val="0"/>
    <w:rPr>
      <w:rFonts w:ascii="Cambria" w:hAnsi="Cambria"/>
      <w:b/>
      <w:bCs/>
      <w:kern w:val="28"/>
      <w:sz w:val="32"/>
      <w:szCs w:val="32"/>
    </w:rPr>
  </w:style>
  <w:style w:type="character" w:customStyle="1" w:styleId="85">
    <w:name w:val="正文文本缩进 3 字符"/>
    <w:link w:val="37"/>
    <w:autoRedefine/>
    <w:qFormat/>
    <w:uiPriority w:val="0"/>
    <w:rPr>
      <w:rFonts w:ascii="宋体" w:hAnsi="宋体"/>
      <w:spacing w:val="4"/>
      <w:kern w:val="2"/>
      <w:sz w:val="21"/>
    </w:rPr>
  </w:style>
  <w:style w:type="character" w:customStyle="1" w:styleId="86">
    <w:name w:val="正文文本 2 字符"/>
    <w:link w:val="40"/>
    <w:autoRedefine/>
    <w:qFormat/>
    <w:uiPriority w:val="0"/>
    <w:rPr>
      <w:rFonts w:ascii="楷体_GB2312" w:hAnsi="Copperplate Gothic Bold" w:eastAsia="楷体_GB2312"/>
      <w:kern w:val="2"/>
      <w:sz w:val="28"/>
    </w:rPr>
  </w:style>
  <w:style w:type="character" w:customStyle="1" w:styleId="87">
    <w:name w:val="标题 字符"/>
    <w:link w:val="43"/>
    <w:autoRedefine/>
    <w:qFormat/>
    <w:uiPriority w:val="0"/>
    <w:rPr>
      <w:rFonts w:ascii="Cambria" w:hAnsi="Cambria"/>
      <w:b/>
      <w:bCs/>
      <w:kern w:val="2"/>
      <w:sz w:val="32"/>
      <w:szCs w:val="32"/>
    </w:rPr>
  </w:style>
  <w:style w:type="character" w:customStyle="1" w:styleId="88">
    <w:name w:val="批注主题 字符"/>
    <w:link w:val="44"/>
    <w:autoRedefine/>
    <w:qFormat/>
    <w:uiPriority w:val="0"/>
    <w:rPr>
      <w:rFonts w:eastAsia="宋体"/>
      <w:b/>
      <w:bCs/>
      <w:kern w:val="2"/>
      <w:sz w:val="21"/>
      <w:szCs w:val="24"/>
      <w:lang w:val="en-US" w:eastAsia="zh-CN" w:bidi="ar-SA"/>
    </w:rPr>
  </w:style>
  <w:style w:type="character" w:customStyle="1" w:styleId="89">
    <w:name w:val="emtidy-4"/>
    <w:basedOn w:val="48"/>
    <w:autoRedefine/>
    <w:qFormat/>
    <w:uiPriority w:val="0"/>
  </w:style>
  <w:style w:type="character" w:customStyle="1" w:styleId="90">
    <w:name w:val="para1"/>
    <w:autoRedefine/>
    <w:qFormat/>
    <w:uiPriority w:val="0"/>
    <w:rPr>
      <w:rFonts w:hint="default" w:ascii="Arial" w:hAnsi="Arial" w:cs="Arial"/>
      <w:sz w:val="18"/>
      <w:szCs w:val="18"/>
    </w:rPr>
  </w:style>
  <w:style w:type="character" w:customStyle="1" w:styleId="91">
    <w:name w:val="unnamed11"/>
    <w:basedOn w:val="48"/>
    <w:autoRedefine/>
    <w:qFormat/>
    <w:uiPriority w:val="0"/>
  </w:style>
  <w:style w:type="character" w:customStyle="1" w:styleId="92">
    <w:name w:val="indent"/>
    <w:basedOn w:val="48"/>
    <w:autoRedefine/>
    <w:qFormat/>
    <w:uiPriority w:val="0"/>
  </w:style>
  <w:style w:type="character" w:customStyle="1" w:styleId="93">
    <w:name w:val="hui3"/>
    <w:autoRedefine/>
    <w:qFormat/>
    <w:uiPriority w:val="0"/>
    <w:rPr>
      <w:color w:val="333333"/>
    </w:rPr>
  </w:style>
  <w:style w:type="character" w:customStyle="1" w:styleId="94">
    <w:name w:val="ziti12-333-25"/>
    <w:basedOn w:val="48"/>
    <w:autoRedefine/>
    <w:qFormat/>
    <w:uiPriority w:val="0"/>
  </w:style>
  <w:style w:type="character" w:customStyle="1" w:styleId="95">
    <w:name w:val="c lh15"/>
    <w:basedOn w:val="48"/>
    <w:autoRedefine/>
    <w:qFormat/>
    <w:uiPriority w:val="0"/>
  </w:style>
  <w:style w:type="character" w:customStyle="1" w:styleId="96">
    <w:name w:val="ca-01"/>
    <w:autoRedefine/>
    <w:qFormat/>
    <w:uiPriority w:val="0"/>
    <w:rPr>
      <w:rFonts w:hint="eastAsia" w:ascii="宋体" w:hAnsi="宋体" w:eastAsia="宋体"/>
      <w:sz w:val="28"/>
      <w:szCs w:val="28"/>
    </w:rPr>
  </w:style>
  <w:style w:type="character" w:customStyle="1" w:styleId="97">
    <w:name w:val="emtidy-3"/>
    <w:basedOn w:val="48"/>
    <w:autoRedefine/>
    <w:qFormat/>
    <w:uiPriority w:val="0"/>
  </w:style>
  <w:style w:type="character" w:customStyle="1" w:styleId="98">
    <w:name w:val="Char Char7"/>
    <w:autoRedefine/>
    <w:qFormat/>
    <w:uiPriority w:val="0"/>
    <w:rPr>
      <w:rFonts w:ascii="宋体" w:hAnsi="Courier New" w:eastAsia="宋体"/>
      <w:kern w:val="2"/>
      <w:sz w:val="21"/>
      <w:lang w:val="en-US" w:eastAsia="zh-CN" w:bidi="ar-SA"/>
    </w:rPr>
  </w:style>
  <w:style w:type="character" w:customStyle="1" w:styleId="99">
    <w:name w:val="emtidy-5"/>
    <w:basedOn w:val="48"/>
    <w:autoRedefine/>
    <w:qFormat/>
    <w:uiPriority w:val="0"/>
  </w:style>
  <w:style w:type="character" w:customStyle="1" w:styleId="100">
    <w:name w:val="displayarti"/>
    <w:basedOn w:val="48"/>
    <w:autoRedefine/>
    <w:qFormat/>
    <w:uiPriority w:val="0"/>
    <w:rPr>
      <w:color w:val="FFFFFF"/>
      <w:shd w:val="clear" w:color="auto" w:fill="A00000"/>
    </w:rPr>
  </w:style>
  <w:style w:type="character" w:customStyle="1" w:styleId="101">
    <w:name w:val="列表段落 字符"/>
    <w:link w:val="61"/>
    <w:autoRedefine/>
    <w:qFormat/>
    <w:uiPriority w:val="34"/>
    <w:rPr>
      <w:rFonts w:ascii="Calibri" w:hAnsi="Calibri"/>
      <w:kern w:val="2"/>
      <w:sz w:val="21"/>
      <w:szCs w:val="22"/>
    </w:rPr>
  </w:style>
  <w:style w:type="character" w:customStyle="1" w:styleId="102">
    <w:name w:val="emtidy-6"/>
    <w:basedOn w:val="48"/>
    <w:autoRedefine/>
    <w:qFormat/>
    <w:uiPriority w:val="0"/>
  </w:style>
  <w:style w:type="character" w:customStyle="1" w:styleId="103">
    <w:name w:val="glyphicon4"/>
    <w:basedOn w:val="48"/>
    <w:autoRedefine/>
    <w:qFormat/>
    <w:uiPriority w:val="0"/>
  </w:style>
  <w:style w:type="character" w:customStyle="1" w:styleId="104">
    <w:name w:val="style5 style5"/>
    <w:basedOn w:val="48"/>
    <w:autoRedefine/>
    <w:qFormat/>
    <w:uiPriority w:val="0"/>
  </w:style>
  <w:style w:type="character" w:customStyle="1" w:styleId="105">
    <w:name w:val="emtidy-2"/>
    <w:basedOn w:val="48"/>
    <w:autoRedefine/>
    <w:qFormat/>
    <w:uiPriority w:val="0"/>
  </w:style>
  <w:style w:type="character" w:customStyle="1" w:styleId="106">
    <w:name w:val="button"/>
    <w:basedOn w:val="48"/>
    <w:autoRedefine/>
    <w:qFormat/>
    <w:uiPriority w:val="0"/>
  </w:style>
  <w:style w:type="character" w:customStyle="1" w:styleId="107">
    <w:name w:val="selected"/>
    <w:basedOn w:val="48"/>
    <w:autoRedefine/>
    <w:qFormat/>
    <w:uiPriority w:val="0"/>
    <w:rPr>
      <w:shd w:val="clear" w:color="auto" w:fill="B00006"/>
    </w:rPr>
  </w:style>
  <w:style w:type="character" w:customStyle="1" w:styleId="108">
    <w:name w:val="base"/>
    <w:basedOn w:val="48"/>
    <w:autoRedefine/>
    <w:qFormat/>
    <w:uiPriority w:val="0"/>
  </w:style>
  <w:style w:type="character" w:customStyle="1" w:styleId="109">
    <w:name w:val="hour_pm"/>
    <w:basedOn w:val="48"/>
    <w:autoRedefine/>
    <w:qFormat/>
    <w:uiPriority w:val="0"/>
  </w:style>
  <w:style w:type="character" w:customStyle="1" w:styleId="110">
    <w:name w:val="样式 正文缩进 + 首行缩进:  2 字符 段前: 0.5 行 段后: 0.5 行 Char"/>
    <w:link w:val="111"/>
    <w:autoRedefine/>
    <w:qFormat/>
    <w:uiPriority w:val="0"/>
    <w:rPr>
      <w:rFonts w:cs="宋体"/>
      <w:kern w:val="2"/>
      <w:sz w:val="24"/>
    </w:rPr>
  </w:style>
  <w:style w:type="paragraph" w:customStyle="1" w:styleId="111">
    <w:name w:val="样式 正文缩进 + 首行缩进:  2 字符 段前: 0.5 行 段后: 0.5 行"/>
    <w:basedOn w:val="13"/>
    <w:link w:val="110"/>
    <w:autoRedefine/>
    <w:qFormat/>
    <w:uiPriority w:val="0"/>
    <w:pPr>
      <w:spacing w:beforeLines="50" w:afterLines="50" w:line="360" w:lineRule="auto"/>
      <w:ind w:firstLine="480"/>
    </w:pPr>
    <w:rPr>
      <w:sz w:val="24"/>
      <w:szCs w:val="20"/>
    </w:rPr>
  </w:style>
  <w:style w:type="character" w:customStyle="1" w:styleId="112">
    <w:name w:val="招标书 正文 Char"/>
    <w:link w:val="113"/>
    <w:autoRedefine/>
    <w:qFormat/>
    <w:uiPriority w:val="0"/>
    <w:rPr>
      <w:rFonts w:ascii="宋体" w:hAnsi="宋体"/>
      <w:color w:val="000000"/>
      <w:sz w:val="24"/>
      <w:szCs w:val="28"/>
    </w:rPr>
  </w:style>
  <w:style w:type="paragraph" w:customStyle="1" w:styleId="113">
    <w:name w:val="招标书 正文"/>
    <w:basedOn w:val="1"/>
    <w:link w:val="112"/>
    <w:autoRedefine/>
    <w:qFormat/>
    <w:uiPriority w:val="0"/>
    <w:pPr>
      <w:widowControl/>
      <w:snapToGrid w:val="0"/>
      <w:spacing w:line="560" w:lineRule="exact"/>
      <w:ind w:firstLine="560" w:firstLineChars="200"/>
      <w:jc w:val="left"/>
    </w:pPr>
    <w:rPr>
      <w:rFonts w:hAnsi="宋体"/>
      <w:color w:val="000000"/>
      <w:szCs w:val="28"/>
    </w:rPr>
  </w:style>
  <w:style w:type="character" w:customStyle="1" w:styleId="114">
    <w:name w:val="c1"/>
    <w:autoRedefine/>
    <w:qFormat/>
    <w:uiPriority w:val="0"/>
    <w:rPr>
      <w:sz w:val="28"/>
      <w:szCs w:val="28"/>
    </w:rPr>
  </w:style>
  <w:style w:type="character" w:customStyle="1" w:styleId="115">
    <w:name w:val="introduction1"/>
    <w:autoRedefine/>
    <w:qFormat/>
    <w:uiPriority w:val="0"/>
  </w:style>
  <w:style w:type="character" w:customStyle="1" w:styleId="116">
    <w:name w:val="tmpztreemove_arrow"/>
    <w:basedOn w:val="48"/>
    <w:autoRedefine/>
    <w:qFormat/>
    <w:uiPriority w:val="0"/>
    <w:rPr>
      <w:shd w:val="clear" w:color="auto" w:fill="FFFFFF"/>
    </w:rPr>
  </w:style>
  <w:style w:type="character" w:customStyle="1" w:styleId="117">
    <w:name w:val="old"/>
    <w:basedOn w:val="48"/>
    <w:autoRedefine/>
    <w:qFormat/>
    <w:uiPriority w:val="0"/>
    <w:rPr>
      <w:color w:val="999999"/>
    </w:rPr>
  </w:style>
  <w:style w:type="character" w:customStyle="1" w:styleId="118">
    <w:name w:val="正文文本 3 Char1"/>
    <w:autoRedefine/>
    <w:semiHidden/>
    <w:qFormat/>
    <w:uiPriority w:val="99"/>
    <w:rPr>
      <w:kern w:val="2"/>
      <w:sz w:val="16"/>
      <w:szCs w:val="16"/>
    </w:rPr>
  </w:style>
  <w:style w:type="character" w:customStyle="1" w:styleId="119">
    <w:name w:val="gpa"/>
    <w:basedOn w:val="48"/>
    <w:autoRedefine/>
    <w:qFormat/>
    <w:uiPriority w:val="0"/>
    <w:rPr>
      <w:rFonts w:ascii="Arial" w:hAnsi="Arial" w:cs="Arial"/>
      <w:sz w:val="15"/>
      <w:szCs w:val="15"/>
    </w:rPr>
  </w:style>
  <w:style w:type="character" w:customStyle="1" w:styleId="120">
    <w:name w:val="正文文本 2 Char1"/>
    <w:autoRedefine/>
    <w:semiHidden/>
    <w:qFormat/>
    <w:uiPriority w:val="99"/>
    <w:rPr>
      <w:kern w:val="2"/>
      <w:sz w:val="21"/>
    </w:rPr>
  </w:style>
  <w:style w:type="character" w:customStyle="1" w:styleId="121">
    <w:name w:val="hover3"/>
    <w:basedOn w:val="48"/>
    <w:autoRedefine/>
    <w:qFormat/>
    <w:uiPriority w:val="0"/>
    <w:rPr>
      <w:shd w:val="clear" w:color="auto" w:fill="EEEEEE"/>
    </w:rPr>
  </w:style>
  <w:style w:type="character" w:customStyle="1" w:styleId="122">
    <w:name w:val="hour_am"/>
    <w:basedOn w:val="48"/>
    <w:autoRedefine/>
    <w:qFormat/>
    <w:uiPriority w:val="0"/>
  </w:style>
  <w:style w:type="character" w:customStyle="1" w:styleId="123">
    <w:name w:val="副标题 Char1"/>
    <w:autoRedefine/>
    <w:qFormat/>
    <w:uiPriority w:val="11"/>
    <w:rPr>
      <w:rFonts w:ascii="Cambria" w:hAnsi="Cambria" w:cs="Times New Roman"/>
      <w:b/>
      <w:bCs/>
      <w:kern w:val="28"/>
      <w:sz w:val="32"/>
      <w:szCs w:val="32"/>
    </w:rPr>
  </w:style>
  <w:style w:type="character" w:customStyle="1" w:styleId="124">
    <w:name w:val="style31"/>
    <w:autoRedefine/>
    <w:qFormat/>
    <w:uiPriority w:val="0"/>
    <w:rPr>
      <w:sz w:val="21"/>
      <w:szCs w:val="21"/>
    </w:rPr>
  </w:style>
  <w:style w:type="paragraph" w:customStyle="1" w:styleId="125">
    <w:name w:val="xl51"/>
    <w:basedOn w:val="1"/>
    <w:autoRedefine/>
    <w:qFormat/>
    <w:uiPriority w:val="0"/>
    <w:pPr>
      <w:widowControl/>
      <w:spacing w:before="100" w:beforeAutospacing="1" w:after="100" w:afterAutospacing="1"/>
      <w:jc w:val="center"/>
    </w:pPr>
    <w:rPr>
      <w:rFonts w:ascii="Arial Unicode MS" w:hAnsi="Arial Unicode MS" w:eastAsia="Arial Unicode MS"/>
      <w:b/>
      <w:sz w:val="32"/>
    </w:rPr>
  </w:style>
  <w:style w:type="paragraph" w:customStyle="1" w:styleId="126">
    <w:name w:val="正文序号 4"/>
    <w:basedOn w:val="1"/>
    <w:autoRedefine/>
    <w:qFormat/>
    <w:uiPriority w:val="0"/>
    <w:pPr>
      <w:numPr>
        <w:ilvl w:val="3"/>
        <w:numId w:val="2"/>
      </w:numPr>
      <w:spacing w:before="60"/>
    </w:pPr>
    <w:rPr>
      <w:szCs w:val="24"/>
    </w:rPr>
  </w:style>
  <w:style w:type="paragraph" w:customStyle="1" w:styleId="127">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28">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129">
    <w:name w:val="_Style 3"/>
    <w:basedOn w:val="1"/>
    <w:autoRedefine/>
    <w:qFormat/>
    <w:uiPriority w:val="34"/>
    <w:pPr>
      <w:ind w:firstLine="420" w:firstLineChars="200"/>
    </w:pPr>
    <w:rPr>
      <w:rFonts w:ascii="Calibri" w:hAnsi="Calibri"/>
      <w:szCs w:val="22"/>
    </w:rPr>
  </w:style>
  <w:style w:type="paragraph" w:customStyle="1" w:styleId="130">
    <w:name w:val="表格文字"/>
    <w:basedOn w:val="1"/>
    <w:autoRedefine/>
    <w:qFormat/>
    <w:uiPriority w:val="0"/>
    <w:pPr>
      <w:spacing w:before="120" w:after="120"/>
    </w:pPr>
    <w:rPr>
      <w:rFonts w:ascii="新宋体" w:hAnsi="宋体" w:eastAsia="新宋体"/>
      <w:bCs/>
      <w:color w:val="000000"/>
      <w:sz w:val="18"/>
      <w:szCs w:val="18"/>
    </w:rPr>
  </w:style>
  <w:style w:type="paragraph" w:customStyle="1" w:styleId="131">
    <w:name w:val="Char"/>
    <w:basedOn w:val="1"/>
    <w:autoRedefine/>
    <w:qFormat/>
    <w:uiPriority w:val="0"/>
    <w:rPr>
      <w:rFonts w:hAnsi="宋体"/>
      <w:szCs w:val="24"/>
    </w:rPr>
  </w:style>
  <w:style w:type="paragraph" w:customStyle="1" w:styleId="132">
    <w:name w:val="Char1"/>
    <w:basedOn w:val="1"/>
    <w:autoRedefine/>
    <w:qFormat/>
    <w:uiPriority w:val="0"/>
    <w:pPr>
      <w:tabs>
        <w:tab w:val="left" w:pos="360"/>
      </w:tabs>
      <w:ind w:left="360" w:hanging="360" w:hangingChars="200"/>
    </w:pPr>
    <w:rPr>
      <w:szCs w:val="24"/>
    </w:rPr>
  </w:style>
  <w:style w:type="paragraph" w:customStyle="1" w:styleId="133">
    <w:name w:val="Form Header 1"/>
    <w:basedOn w:val="1"/>
    <w:next w:val="1"/>
    <w:autoRedefine/>
    <w:qFormat/>
    <w:uiPriority w:val="0"/>
    <w:pPr>
      <w:widowControl/>
      <w:spacing w:before="80" w:after="80"/>
      <w:jc w:val="left"/>
    </w:pPr>
    <w:rPr>
      <w:rFonts w:ascii="Arial" w:hAnsi="Arial"/>
      <w:b/>
      <w:lang w:val="de-DE" w:eastAsia="en-US"/>
    </w:rPr>
  </w:style>
  <w:style w:type="paragraph" w:customStyle="1" w:styleId="134">
    <w:name w:val="case31"/>
    <w:basedOn w:val="1"/>
    <w:autoRedefine/>
    <w:qFormat/>
    <w:uiPriority w:val="0"/>
    <w:pPr>
      <w:widowControl/>
      <w:spacing w:before="100" w:beforeAutospacing="1" w:after="100" w:afterAutospacing="1"/>
      <w:jc w:val="left"/>
    </w:pPr>
    <w:rPr>
      <w:rFonts w:hAnsi="宋体"/>
      <w:color w:val="000000"/>
      <w:szCs w:val="24"/>
    </w:rPr>
  </w:style>
  <w:style w:type="paragraph" w:customStyle="1" w:styleId="135">
    <w:name w:val="日期1"/>
    <w:basedOn w:val="1"/>
    <w:next w:val="1"/>
    <w:autoRedefine/>
    <w:qFormat/>
    <w:uiPriority w:val="0"/>
    <w:rPr>
      <w:rFonts w:ascii="黑体" w:eastAsia="黑体"/>
      <w:sz w:val="28"/>
    </w:rPr>
  </w:style>
  <w:style w:type="paragraph" w:customStyle="1" w:styleId="136">
    <w:name w:val="表格文字中"/>
    <w:basedOn w:val="1"/>
    <w:autoRedefine/>
    <w:qFormat/>
    <w:uiPriority w:val="0"/>
    <w:pPr>
      <w:adjustRightInd w:val="0"/>
      <w:snapToGrid w:val="0"/>
      <w:ind w:left="22" w:leftChars="8"/>
      <w:jc w:val="center"/>
    </w:pPr>
    <w:rPr>
      <w:szCs w:val="24"/>
    </w:rPr>
  </w:style>
  <w:style w:type="paragraph" w:customStyle="1" w:styleId="137">
    <w:name w:val="Q/19LGT01—2001"/>
    <w:basedOn w:val="1"/>
    <w:autoRedefine/>
    <w:qFormat/>
    <w:uiPriority w:val="0"/>
    <w:pPr>
      <w:tabs>
        <w:tab w:val="left" w:pos="555"/>
      </w:tabs>
      <w:spacing w:line="360" w:lineRule="auto"/>
      <w:ind w:firstLine="420" w:firstLineChars="200"/>
    </w:pPr>
    <w:rPr>
      <w:rFonts w:hAnsi="宋体"/>
      <w:bCs/>
    </w:rPr>
  </w:style>
  <w:style w:type="paragraph" w:customStyle="1" w:styleId="138">
    <w:name w:val="??¨???¨????ì?¨¨??¨?o??????ì?¨¨?"/>
    <w:basedOn w:val="1"/>
    <w:autoRedefine/>
    <w:qFormat/>
    <w:uiPriority w:val="0"/>
    <w:pPr>
      <w:autoSpaceDE w:val="0"/>
      <w:autoSpaceDN w:val="0"/>
      <w:adjustRightInd w:val="0"/>
      <w:jc w:val="left"/>
    </w:pPr>
  </w:style>
  <w:style w:type="paragraph" w:customStyle="1" w:styleId="139">
    <w:name w:val="Char3"/>
    <w:basedOn w:val="1"/>
    <w:autoRedefine/>
    <w:qFormat/>
    <w:uiPriority w:val="0"/>
    <w:pPr>
      <w:tabs>
        <w:tab w:val="left" w:pos="360"/>
      </w:tabs>
    </w:pPr>
    <w:rPr>
      <w:szCs w:val="24"/>
    </w:rPr>
  </w:style>
  <w:style w:type="paragraph" w:customStyle="1" w:styleId="140">
    <w:name w:val="正文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41">
    <w:name w:val="Char11"/>
    <w:basedOn w:val="1"/>
    <w:autoRedefine/>
    <w:qFormat/>
    <w:uiPriority w:val="0"/>
    <w:rPr>
      <w:rFonts w:hAnsi="宋体"/>
      <w:szCs w:val="24"/>
    </w:rPr>
  </w:style>
  <w:style w:type="paragraph" w:customStyle="1" w:styleId="142">
    <w:name w:val="Char1 Char Char Char"/>
    <w:basedOn w:val="1"/>
    <w:autoRedefine/>
    <w:qFormat/>
    <w:uiPriority w:val="0"/>
  </w:style>
  <w:style w:type="paragraph" w:customStyle="1" w:styleId="143">
    <w:name w:val="列出段落1"/>
    <w:basedOn w:val="1"/>
    <w:autoRedefine/>
    <w:qFormat/>
    <w:uiPriority w:val="0"/>
    <w:pPr>
      <w:ind w:firstLine="420" w:firstLineChars="200"/>
    </w:pPr>
  </w:style>
  <w:style w:type="paragraph" w:customStyle="1" w:styleId="144">
    <w:name w:val="正文序号 1"/>
    <w:basedOn w:val="1"/>
    <w:autoRedefine/>
    <w:qFormat/>
    <w:uiPriority w:val="0"/>
    <w:pPr>
      <w:numPr>
        <w:ilvl w:val="0"/>
        <w:numId w:val="2"/>
      </w:numPr>
      <w:spacing w:before="60"/>
    </w:pPr>
    <w:rPr>
      <w:szCs w:val="24"/>
    </w:rPr>
  </w:style>
  <w:style w:type="paragraph" w:customStyle="1" w:styleId="145">
    <w:name w:val="文字列表"/>
    <w:basedOn w:val="1"/>
    <w:autoRedefine/>
    <w:qFormat/>
    <w:uiPriority w:val="0"/>
    <w:pPr>
      <w:tabs>
        <w:tab w:val="left" w:pos="420"/>
      </w:tabs>
      <w:spacing w:line="360" w:lineRule="auto"/>
      <w:ind w:left="358" w:leftChars="128" w:firstLine="2"/>
    </w:pPr>
    <w:rPr>
      <w:spacing w:val="20"/>
      <w:szCs w:val="24"/>
    </w:rPr>
  </w:style>
  <w:style w:type="paragraph" w:customStyle="1" w:styleId="146">
    <w:name w:val="普通(网站)1"/>
    <w:basedOn w:val="1"/>
    <w:autoRedefine/>
    <w:qFormat/>
    <w:uiPriority w:val="0"/>
    <w:pPr>
      <w:widowControl/>
      <w:spacing w:before="100" w:beforeAutospacing="1" w:after="100" w:afterAutospacing="1"/>
      <w:jc w:val="left"/>
    </w:pPr>
    <w:rPr>
      <w:rFonts w:hAnsi="宋体" w:cs="宋体"/>
      <w:szCs w:val="24"/>
    </w:rPr>
  </w:style>
  <w:style w:type="paragraph" w:customStyle="1" w:styleId="147">
    <w:name w:val="_Style 37"/>
    <w:basedOn w:val="1"/>
    <w:autoRedefine/>
    <w:qFormat/>
    <w:uiPriority w:val="0"/>
    <w:pPr>
      <w:widowControl/>
      <w:spacing w:after="160" w:line="240" w:lineRule="exact"/>
      <w:jc w:val="center"/>
    </w:pPr>
    <w:rPr>
      <w:rFonts w:hAnsi="宋体"/>
      <w:b/>
      <w:sz w:val="28"/>
      <w:szCs w:val="28"/>
      <w:lang w:eastAsia="en-US"/>
    </w:rPr>
  </w:style>
  <w:style w:type="paragraph" w:customStyle="1" w:styleId="148">
    <w:name w:val="插图编号"/>
    <w:basedOn w:val="1"/>
    <w:next w:val="13"/>
    <w:autoRedefine/>
    <w:qFormat/>
    <w:uiPriority w:val="0"/>
    <w:pPr>
      <w:tabs>
        <w:tab w:val="left" w:pos="1440"/>
      </w:tabs>
      <w:spacing w:line="360" w:lineRule="auto"/>
      <w:ind w:left="1021" w:hanging="1021"/>
    </w:pPr>
    <w:rPr>
      <w:spacing w:val="20"/>
      <w:szCs w:val="24"/>
    </w:rPr>
  </w:style>
  <w:style w:type="paragraph" w:customStyle="1" w:styleId="149">
    <w:name w:val="缺省文本"/>
    <w:basedOn w:val="1"/>
    <w:autoRedefine/>
    <w:qFormat/>
    <w:uiPriority w:val="0"/>
    <w:pPr>
      <w:autoSpaceDE w:val="0"/>
      <w:autoSpaceDN w:val="0"/>
      <w:adjustRightInd w:val="0"/>
      <w:jc w:val="left"/>
    </w:pPr>
  </w:style>
  <w:style w:type="paragraph" w:customStyle="1" w:styleId="150">
    <w:name w:val="样式3"/>
    <w:basedOn w:val="26"/>
    <w:autoRedefine/>
    <w:qFormat/>
    <w:uiPriority w:val="0"/>
    <w:pPr>
      <w:spacing w:line="0" w:lineRule="atLeast"/>
      <w:outlineLvl w:val="0"/>
    </w:pPr>
    <w:rPr>
      <w:sz w:val="28"/>
    </w:rPr>
  </w:style>
  <w:style w:type="paragraph" w:customStyle="1" w:styleId="151">
    <w:name w:val="ec_msonormal"/>
    <w:basedOn w:val="1"/>
    <w:autoRedefine/>
    <w:qFormat/>
    <w:uiPriority w:val="0"/>
    <w:pPr>
      <w:widowControl/>
      <w:spacing w:before="100" w:beforeAutospacing="1" w:after="100" w:afterAutospacing="1"/>
      <w:jc w:val="left"/>
    </w:pPr>
    <w:rPr>
      <w:rFonts w:hAnsi="宋体" w:cs="宋体"/>
      <w:szCs w:val="24"/>
    </w:rPr>
  </w:style>
  <w:style w:type="paragraph" w:customStyle="1" w:styleId="152">
    <w:name w:val="1册标题2"/>
    <w:basedOn w:val="1"/>
    <w:next w:val="1"/>
    <w:autoRedefine/>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153">
    <w:name w:val="表内文字"/>
    <w:basedOn w:val="1"/>
    <w:autoRedefine/>
    <w:qFormat/>
    <w:uiPriority w:val="0"/>
    <w:pPr>
      <w:jc w:val="left"/>
    </w:pPr>
    <w:rPr>
      <w:szCs w:val="24"/>
    </w:rPr>
  </w:style>
  <w:style w:type="paragraph" w:customStyle="1" w:styleId="154">
    <w:name w:val="Char Char Char Char"/>
    <w:basedOn w:val="1"/>
    <w:autoRedefine/>
    <w:qFormat/>
    <w:uiPriority w:val="0"/>
    <w:pPr>
      <w:widowControl/>
      <w:spacing w:after="160" w:line="240" w:lineRule="exact"/>
      <w:jc w:val="center"/>
    </w:pPr>
    <w:rPr>
      <w:rFonts w:hAnsi="宋体"/>
      <w:b/>
      <w:sz w:val="28"/>
      <w:szCs w:val="28"/>
      <w:lang w:eastAsia="en-US"/>
    </w:rPr>
  </w:style>
  <w:style w:type="paragraph" w:customStyle="1" w:styleId="155">
    <w:name w:val="标准"/>
    <w:basedOn w:val="1"/>
    <w:autoRedefine/>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56">
    <w:name w:val="正文1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57">
    <w:name w:val="表格标题"/>
    <w:basedOn w:val="1"/>
    <w:autoRedefine/>
    <w:qFormat/>
    <w:uiPriority w:val="0"/>
    <w:pPr>
      <w:adjustRightInd w:val="0"/>
      <w:snapToGrid w:val="0"/>
      <w:spacing w:beforeLines="50" w:afterLines="50"/>
      <w:ind w:left="22" w:leftChars="8"/>
      <w:jc w:val="center"/>
    </w:pPr>
    <w:rPr>
      <w:b/>
      <w:bCs/>
      <w:color w:val="000000"/>
      <w:sz w:val="32"/>
      <w:szCs w:val="32"/>
    </w:rPr>
  </w:style>
  <w:style w:type="paragraph" w:styleId="158">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59">
    <w:name w:val="普通(网站)11"/>
    <w:basedOn w:val="1"/>
    <w:autoRedefine/>
    <w:qFormat/>
    <w:uiPriority w:val="0"/>
    <w:pPr>
      <w:widowControl/>
      <w:spacing w:before="100" w:beforeAutospacing="1" w:after="100" w:afterAutospacing="1"/>
      <w:jc w:val="left"/>
    </w:pPr>
    <w:rPr>
      <w:rFonts w:hAnsi="宋体" w:cs="宋体"/>
      <w:szCs w:val="24"/>
    </w:rPr>
  </w:style>
  <w:style w:type="paragraph" w:customStyle="1" w:styleId="160">
    <w:name w:val="排列"/>
    <w:basedOn w:val="1"/>
    <w:autoRedefine/>
    <w:qFormat/>
    <w:uiPriority w:val="0"/>
    <w:pPr>
      <w:adjustRightInd w:val="0"/>
      <w:spacing w:line="360" w:lineRule="auto"/>
      <w:ind w:hanging="627"/>
      <w:jc w:val="left"/>
    </w:pPr>
    <w:rPr>
      <w:b/>
    </w:rPr>
  </w:style>
  <w:style w:type="paragraph" w:customStyle="1" w:styleId="161">
    <w:name w:val="p0"/>
    <w:basedOn w:val="1"/>
    <w:autoRedefine/>
    <w:qFormat/>
    <w:uiPriority w:val="0"/>
    <w:pPr>
      <w:widowControl/>
      <w:snapToGrid w:val="0"/>
      <w:spacing w:line="312" w:lineRule="atLeast"/>
      <w:textAlignment w:val="baseline"/>
    </w:pPr>
    <w:rPr>
      <w:szCs w:val="21"/>
    </w:rPr>
  </w:style>
  <w:style w:type="paragraph" w:customStyle="1" w:styleId="162">
    <w:name w:val="正文序号 2"/>
    <w:basedOn w:val="1"/>
    <w:autoRedefine/>
    <w:qFormat/>
    <w:uiPriority w:val="0"/>
    <w:pPr>
      <w:numPr>
        <w:ilvl w:val="1"/>
        <w:numId w:val="2"/>
      </w:numPr>
      <w:spacing w:before="60"/>
    </w:pPr>
    <w:rPr>
      <w:szCs w:val="24"/>
    </w:rPr>
  </w:style>
  <w:style w:type="paragraph" w:customStyle="1" w:styleId="163">
    <w:name w:val="?§?§?¨¤?§o????¨¤?"/>
    <w:basedOn w:val="1"/>
    <w:autoRedefine/>
    <w:qFormat/>
    <w:uiPriority w:val="0"/>
    <w:pPr>
      <w:autoSpaceDE w:val="0"/>
      <w:autoSpaceDN w:val="0"/>
      <w:adjustRightInd w:val="0"/>
      <w:jc w:val="left"/>
    </w:pPr>
  </w:style>
  <w:style w:type="paragraph" w:customStyle="1" w:styleId="164">
    <w:name w:val="纯文本1"/>
    <w:basedOn w:val="1"/>
    <w:autoRedefine/>
    <w:qFormat/>
    <w:uiPriority w:val="0"/>
    <w:pPr>
      <w:spacing w:line="324" w:lineRule="auto"/>
    </w:pPr>
    <w:rPr>
      <w:rFonts w:hAnsi="Courier New" w:cs="Courier New"/>
      <w:szCs w:val="21"/>
    </w:rPr>
  </w:style>
  <w:style w:type="paragraph" w:customStyle="1" w:styleId="165">
    <w:name w:val="Char12"/>
    <w:basedOn w:val="1"/>
    <w:autoRedefine/>
    <w:qFormat/>
    <w:uiPriority w:val="0"/>
    <w:pPr>
      <w:tabs>
        <w:tab w:val="left" w:pos="360"/>
      </w:tabs>
    </w:pPr>
    <w:rPr>
      <w:szCs w:val="24"/>
    </w:rPr>
  </w:style>
  <w:style w:type="paragraph" w:customStyle="1" w:styleId="166">
    <w:name w:val="Char2"/>
    <w:basedOn w:val="1"/>
    <w:autoRedefine/>
    <w:qFormat/>
    <w:uiPriority w:val="0"/>
    <w:pPr>
      <w:numPr>
        <w:ilvl w:val="0"/>
        <w:numId w:val="3"/>
      </w:numPr>
      <w:tabs>
        <w:tab w:val="left" w:pos="1200"/>
        <w:tab w:val="clear" w:pos="720"/>
      </w:tabs>
      <w:ind w:left="1200" w:hanging="360"/>
    </w:pPr>
    <w:rPr>
      <w:szCs w:val="24"/>
    </w:rPr>
  </w:style>
  <w:style w:type="paragraph" w:customStyle="1" w:styleId="167">
    <w:name w:val="Char13"/>
    <w:basedOn w:val="1"/>
    <w:autoRedefine/>
    <w:qFormat/>
    <w:uiPriority w:val="0"/>
    <w:pPr>
      <w:tabs>
        <w:tab w:val="left" w:pos="360"/>
      </w:tabs>
      <w:ind w:left="360" w:hanging="360" w:hangingChars="200"/>
    </w:pPr>
    <w:rPr>
      <w:szCs w:val="24"/>
    </w:rPr>
  </w:style>
  <w:style w:type="paragraph" w:customStyle="1" w:styleId="168">
    <w:name w:val="Char Char1"/>
    <w:basedOn w:val="1"/>
    <w:autoRedefine/>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169">
    <w:name w:val="Char2 Char Char Char"/>
    <w:basedOn w:val="1"/>
    <w:autoRedefine/>
    <w:qFormat/>
    <w:uiPriority w:val="0"/>
    <w:rPr>
      <w:rFonts w:ascii="Tahoma" w:hAnsi="Tahoma"/>
    </w:rPr>
  </w:style>
  <w:style w:type="paragraph" w:customStyle="1" w:styleId="170">
    <w:name w:val="List Paragraph1"/>
    <w:basedOn w:val="1"/>
    <w:autoRedefine/>
    <w:qFormat/>
    <w:uiPriority w:val="34"/>
    <w:pPr>
      <w:ind w:firstLine="420" w:firstLineChars="200"/>
    </w:pPr>
  </w:style>
  <w:style w:type="paragraph" w:customStyle="1" w:styleId="171">
    <w:name w:val="小标题 2"/>
    <w:basedOn w:val="1"/>
    <w:autoRedefine/>
    <w:qFormat/>
    <w:uiPriority w:val="0"/>
    <w:pPr>
      <w:autoSpaceDE w:val="0"/>
      <w:autoSpaceDN w:val="0"/>
      <w:adjustRightInd w:val="0"/>
    </w:pPr>
    <w:rPr>
      <w:rFonts w:ascii="黑体" w:eastAsia="黑体" w:cs="黑体"/>
      <w:szCs w:val="24"/>
    </w:rPr>
  </w:style>
  <w:style w:type="paragraph" w:customStyle="1" w:styleId="172">
    <w:name w:val="二级条标题"/>
    <w:basedOn w:val="1"/>
    <w:next w:val="1"/>
    <w:autoRedefine/>
    <w:qFormat/>
    <w:uiPriority w:val="0"/>
    <w:pPr>
      <w:widowControl/>
      <w:numPr>
        <w:ilvl w:val="3"/>
        <w:numId w:val="4"/>
      </w:numPr>
      <w:jc w:val="left"/>
      <w:outlineLvl w:val="3"/>
    </w:pPr>
    <w:rPr>
      <w:rFonts w:eastAsia="黑体"/>
    </w:rPr>
  </w:style>
  <w:style w:type="paragraph" w:customStyle="1" w:styleId="173">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74">
    <w:name w:val="(a)正文"/>
    <w:basedOn w:val="1"/>
    <w:autoRedefine/>
    <w:qFormat/>
    <w:uiPriority w:val="0"/>
    <w:pPr>
      <w:widowControl/>
      <w:tabs>
        <w:tab w:val="left" w:pos="1871"/>
        <w:tab w:val="left" w:pos="2081"/>
      </w:tabs>
      <w:spacing w:line="360" w:lineRule="exact"/>
      <w:ind w:left="1871" w:hanging="510"/>
    </w:pPr>
  </w:style>
  <w:style w:type="paragraph" w:customStyle="1" w:styleId="175">
    <w:name w:val="正文序号 3"/>
    <w:basedOn w:val="1"/>
    <w:autoRedefine/>
    <w:qFormat/>
    <w:uiPriority w:val="0"/>
    <w:pPr>
      <w:numPr>
        <w:ilvl w:val="2"/>
        <w:numId w:val="2"/>
      </w:numPr>
      <w:spacing w:before="60"/>
    </w:pPr>
    <w:rPr>
      <w:szCs w:val="24"/>
    </w:rPr>
  </w:style>
  <w:style w:type="paragraph" w:customStyle="1" w:styleId="176">
    <w:name w:val="正文段"/>
    <w:basedOn w:val="1"/>
    <w:autoRedefine/>
    <w:qFormat/>
    <w:uiPriority w:val="0"/>
    <w:pPr>
      <w:adjustRightInd w:val="0"/>
      <w:snapToGrid w:val="0"/>
      <w:spacing w:line="360" w:lineRule="auto"/>
    </w:pPr>
    <w:rPr>
      <w:rFonts w:eastAsia="仿宋_GB2312"/>
      <w:spacing w:val="-8"/>
    </w:rPr>
  </w:style>
  <w:style w:type="paragraph" w:customStyle="1" w:styleId="177">
    <w:name w:val="日期11"/>
    <w:basedOn w:val="1"/>
    <w:next w:val="1"/>
    <w:autoRedefine/>
    <w:qFormat/>
    <w:uiPriority w:val="0"/>
    <w:rPr>
      <w:rFonts w:ascii="黑体" w:eastAsia="黑体"/>
      <w:sz w:val="28"/>
    </w:rPr>
  </w:style>
  <w:style w:type="paragraph" w:customStyle="1" w:styleId="178">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9">
    <w:name w:val="正文缩进1"/>
    <w:basedOn w:val="1"/>
    <w:autoRedefine/>
    <w:qFormat/>
    <w:uiPriority w:val="0"/>
    <w:pPr>
      <w:ind w:firstLine="420" w:firstLineChars="200"/>
    </w:pPr>
  </w:style>
  <w:style w:type="paragraph" w:customStyle="1" w:styleId="180">
    <w:name w:val="TOC 标题1"/>
    <w:basedOn w:val="2"/>
    <w:next w:val="1"/>
    <w:autoRedefine/>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81">
    <w:name w:val="09正文_wh"/>
    <w:autoRedefine/>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character" w:customStyle="1" w:styleId="182">
    <w:name w:val="NormalCharacter"/>
    <w:autoRedefine/>
    <w:semiHidden/>
    <w:qFormat/>
    <w:uiPriority w:val="0"/>
  </w:style>
  <w:style w:type="character" w:customStyle="1" w:styleId="183">
    <w:name w:val="font11"/>
    <w:basedOn w:val="48"/>
    <w:qFormat/>
    <w:uiPriority w:val="0"/>
    <w:rPr>
      <w:rFonts w:hint="eastAsia" w:ascii="宋体" w:hAnsi="宋体" w:eastAsia="宋体" w:cs="宋体"/>
      <w:b/>
      <w:bCs/>
      <w:color w:val="000000"/>
      <w:sz w:val="22"/>
      <w:szCs w:val="22"/>
      <w:u w:val="none"/>
    </w:rPr>
  </w:style>
  <w:style w:type="character" w:customStyle="1" w:styleId="184">
    <w:name w:val="font51"/>
    <w:basedOn w:val="48"/>
    <w:qFormat/>
    <w:uiPriority w:val="0"/>
    <w:rPr>
      <w:rFonts w:hint="eastAsia" w:ascii="仿宋" w:hAnsi="仿宋" w:eastAsia="仿宋" w:cs="仿宋"/>
      <w:color w:val="000000"/>
      <w:sz w:val="24"/>
      <w:szCs w:val="24"/>
      <w:u w:val="none"/>
    </w:rPr>
  </w:style>
  <w:style w:type="paragraph" w:customStyle="1" w:styleId="185">
    <w:name w:val="Table Text"/>
    <w:basedOn w:val="1"/>
    <w:semiHidden/>
    <w:qFormat/>
    <w:uiPriority w:val="0"/>
    <w:pPr>
      <w:widowControl/>
      <w:kinsoku w:val="0"/>
      <w:autoSpaceDE w:val="0"/>
      <w:autoSpaceDN w:val="0"/>
      <w:adjustRightInd w:val="0"/>
      <w:snapToGrid w:val="0"/>
      <w:jc w:val="left"/>
      <w:textAlignment w:val="baseline"/>
    </w:pPr>
    <w:rPr>
      <w:rFonts w:ascii="楷体" w:hAnsi="楷体" w:eastAsia="楷体" w:cs="楷体"/>
      <w:snapToGrid w:val="0"/>
      <w:color w:val="000000"/>
      <w:szCs w:val="24"/>
      <w:lang w:eastAsia="en-US"/>
    </w:rPr>
  </w:style>
  <w:style w:type="paragraph" w:customStyle="1" w:styleId="186">
    <w:name w:val="null3"/>
    <w:hidden/>
    <w:qFormat/>
    <w:uiPriority w:val="0"/>
    <w:rPr>
      <w:rFonts w:hint="eastAsia" w:asciiTheme="minorHAnsi" w:hAnsiTheme="minorHAnsi" w:eastAsiaTheme="minorEastAsia" w:cstheme="minorBidi"/>
      <w:lang w:val="en-US" w:eastAsia="zh-Hans"/>
    </w:rPr>
  </w:style>
  <w:style w:type="table" w:customStyle="1" w:styleId="187">
    <w:name w:val="Table Normal"/>
    <w:autoRedefine/>
    <w:semiHidden/>
    <w:unhideWhenUsed/>
    <w:qFormat/>
    <w:uiPriority w:val="0"/>
    <w:tblPr>
      <w:tblCellMar>
        <w:top w:w="0" w:type="dxa"/>
        <w:left w:w="0" w:type="dxa"/>
        <w:bottom w:w="0" w:type="dxa"/>
        <w:right w:w="0" w:type="dxa"/>
      </w:tblCellMar>
    </w:tblPr>
  </w:style>
  <w:style w:type="paragraph" w:customStyle="1" w:styleId="188">
    <w:name w:val="列出段落2"/>
    <w:basedOn w:val="1"/>
    <w:autoRedefine/>
    <w:qFormat/>
    <w:uiPriority w:val="34"/>
    <w:pPr>
      <w:ind w:firstLine="420" w:firstLineChars="200"/>
    </w:pPr>
    <w:rPr>
      <w:rFonts w:ascii="宋体" w:hAnsi="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10894</Words>
  <Characters>12288</Characters>
  <Lines>252</Lines>
  <Paragraphs>71</Paragraphs>
  <TotalTime>7</TotalTime>
  <ScaleCrop>false</ScaleCrop>
  <LinksUpToDate>false</LinksUpToDate>
  <CharactersWithSpaces>12356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2021-07-08T09:18:00Z</dcterms:created>
  <dc:creator>郭颖</dc:creator>
  <cp:lastModifiedBy>ღ露尹</cp:lastModifiedBy>
  <cp:lastPrinted>2023-06-21T02:34:00Z</cp:lastPrinted>
  <dcterms:modified xsi:type="dcterms:W3CDTF">2025-07-10T05:08:48Z</dcterms:modified>
  <dc:title>政府采购货物和服务项目</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C409B85AAB64447EA760BB0D322A7C3D</vt:lpwstr>
  </property>
  <property fmtid="{D5CDD505-2E9C-101B-9397-08002B2CF9AE}" pid="4" name="KSOTemplateDocerSaveRecord">
    <vt:lpwstr>eyJoZGlkIjoiZGI4YmY4NDQ0YTY0OGMzMWQyNTMwNmExODQ1NWVhMmUiLCJ1c2VySWQiOiIxMTQzODMxNDY5In0=</vt:lpwstr>
  </property>
</Properties>
</file>