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版本号：慧科ZX-CF01189BH20250711001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慧科ZX-CF01189BH</w:t>
      </w:r>
      <w:r>
        <w:br/>
      </w:r>
      <w:r>
        <w:br/>
      </w:r>
      <w:r>
        <w:br/>
      </w:r>
    </w:p>
    <w:p>
      <w:pPr>
        <w:pStyle w:val="null3"/>
        <w:jc w:val="center"/>
        <w:outlineLvl w:val="2"/>
      </w:pPr>
      <w:r>
        <w:rPr>
          <w:rFonts w:ascii="仿宋_GB2312" w:hAnsi="仿宋_GB2312" w:cs="仿宋_GB2312" w:eastAsia="仿宋_GB2312"/>
          <w:sz w:val="28"/>
          <w:b/>
        </w:rPr>
        <w:t>西安市小雁塔军队离休退休干部休养所</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西安市小雁塔军队离休退休干部休养所</w:t>
      </w:r>
      <w:r>
        <w:rPr>
          <w:rFonts w:ascii="仿宋_GB2312" w:hAnsi="仿宋_GB2312" w:cs="仿宋_GB2312" w:eastAsia="仿宋_GB2312"/>
        </w:rPr>
        <w:t>委托，拟对</w:t>
      </w:r>
      <w:r>
        <w:rPr>
          <w:rFonts w:ascii="仿宋_GB2312" w:hAnsi="仿宋_GB2312" w:cs="仿宋_GB2312" w:eastAsia="仿宋_GB2312"/>
        </w:rPr>
        <w:t>2025年慰问品采购项目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慧科ZX-CF01189BH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2025年慰问品采购项目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西安市小雁塔军队离休退休干部休养所拟对军休干部2025年八一、2026年春节慰问品进行采购，每份500元固定标准（每人一份八一慰问品、一份春节慰问品）。本项目核心产品为食用油礼盒。</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1、许可证明：供应商为生产厂家的须提供《食品生产许可证》；代理商须提供本单位《食品经营许可证》或《预包装食品经营者备案表》。</w:t>
      </w:r>
    </w:p>
    <w:p>
      <w:pPr>
        <w:pStyle w:val="null3"/>
      </w:pPr>
      <w:r>
        <w:rPr>
          <w:rFonts w:ascii="仿宋_GB2312" w:hAnsi="仿宋_GB2312" w:cs="仿宋_GB2312" w:eastAsia="仿宋_GB2312"/>
        </w:rPr>
        <w:t>2、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3、关联关系说明：单位负责人为同一人或者存在直接控股、管理关系的不同供应商，不得参加同一合同项下的采购活动</w:t>
      </w:r>
    </w:p>
    <w:p>
      <w:pPr>
        <w:pStyle w:val="null3"/>
      </w:pPr>
      <w:r>
        <w:rPr>
          <w:rFonts w:ascii="仿宋_GB2312" w:hAnsi="仿宋_GB2312" w:cs="仿宋_GB2312" w:eastAsia="仿宋_GB2312"/>
        </w:rPr>
        <w:t>4、法定代表人授权委托书：法定代表人参加投标的，须提供本人身份证复印件（附在响应文件中）；法定代表人授权他人参加投标的，须提供法定代表人授权委托书</w:t>
      </w:r>
    </w:p>
    <w:p>
      <w:pPr>
        <w:pStyle w:val="null3"/>
      </w:pPr>
      <w:r>
        <w:rPr>
          <w:rFonts w:ascii="仿宋_GB2312" w:hAnsi="仿宋_GB2312" w:cs="仿宋_GB2312" w:eastAsia="仿宋_GB2312"/>
        </w:rPr>
        <w:t>5、非联合体：本项目不接受联合体投标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西安市小雁塔军队离休退休干部休养所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西安市碑林区友谊西路101号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029-85259035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陕西省西安市高新区锦业一路西安研祥城市广场C座3楼C－306号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代理服务费收费标准：1、本项目代理服务费参照国家发展和改革委员会（发改价格【2011】5 34 号）文件确定的收费标准计取。 2、中标单位在领取成交通知书时向代理机构支付代理服务费。 3、代理服务费缴纳账户如下： 户名：陕西慧科工程管理咨询有限公司 账号：61130113 5013001841428 开户行：交通银行股份有限公司西安光华路支行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西安市小雁塔军队离休退休干部休养所</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西安市小雁塔军队离休退休干部休养所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西安市小雁塔军队离休退休干部休养所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地址：陕西省西安市高新区锦业一路西安研祥城市广场C座3楼C－306号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西安市小雁塔军队离休退休干部休养所拟对军休干部2025年八一、2026年春节慰问品进行采购，每份500元固定标准（每人一份八一慰问品、一份春节慰问品）。本项目核心产品为食用油礼盒。</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军休干部慰问品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标的名称：军休干部慰问品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90"/>
              <w:ind w:left="90"/>
            </w:pPr>
            <w:r>
              <w:rPr>
                <w:rFonts w:ascii="仿宋_GB2312" w:hAnsi="仿宋_GB2312" w:cs="仿宋_GB2312" w:eastAsia="仿宋_GB2312"/>
                <w:sz w:val="19"/>
                <w:color w:val="000000"/>
              </w:rPr>
              <w:t>1、为保证慰问品的采购质量，按每份500元标准进行采购，即结算金额500元/份</w:t>
            </w:r>
            <w:r>
              <w:rPr>
                <w:rFonts w:ascii="仿宋_GB2312" w:hAnsi="仿宋_GB2312" w:cs="仿宋_GB2312" w:eastAsia="仿宋_GB2312"/>
                <w:sz w:val="19"/>
                <w:color w:val="000000"/>
              </w:rPr>
              <w:t>（</w:t>
            </w:r>
            <w:r>
              <w:rPr>
                <w:rFonts w:ascii="仿宋_GB2312" w:hAnsi="仿宋_GB2312" w:cs="仿宋_GB2312" w:eastAsia="仿宋_GB2312"/>
                <w:sz w:val="19"/>
                <w:color w:val="000000"/>
              </w:rPr>
              <w:t>八一慰问品</w:t>
            </w:r>
            <w:r>
              <w:rPr>
                <w:rFonts w:ascii="仿宋_GB2312" w:hAnsi="仿宋_GB2312" w:cs="仿宋_GB2312" w:eastAsia="仿宋_GB2312"/>
                <w:sz w:val="19"/>
                <w:color w:val="000000"/>
              </w:rPr>
              <w:t>500元/份；春节慰问品500元/份</w:t>
            </w:r>
            <w:r>
              <w:rPr>
                <w:rFonts w:ascii="仿宋_GB2312" w:hAnsi="仿宋_GB2312" w:cs="仿宋_GB2312" w:eastAsia="仿宋_GB2312"/>
                <w:sz w:val="19"/>
                <w:color w:val="000000"/>
              </w:rPr>
              <w:t>）</w:t>
            </w:r>
            <w:r>
              <w:rPr>
                <w:rFonts w:ascii="仿宋_GB2312" w:hAnsi="仿宋_GB2312" w:cs="仿宋_GB2312" w:eastAsia="仿宋_GB2312"/>
                <w:sz w:val="19"/>
                <w:color w:val="000000"/>
              </w:rPr>
              <w:t>，预计</w:t>
            </w:r>
            <w:r>
              <w:rPr>
                <w:rFonts w:ascii="仿宋_GB2312" w:hAnsi="仿宋_GB2312" w:cs="仿宋_GB2312" w:eastAsia="仿宋_GB2312"/>
                <w:sz w:val="19"/>
                <w:color w:val="000000"/>
              </w:rPr>
              <w:t>410人，后期若人员变动，按500元每份据实结算，结算不超过采购预算。</w:t>
            </w:r>
          </w:p>
          <w:p>
            <w:pPr>
              <w:pStyle w:val="null3"/>
              <w:spacing w:before="90"/>
              <w:ind w:left="90"/>
            </w:pPr>
            <w:r>
              <w:rPr>
                <w:rFonts w:ascii="仿宋_GB2312" w:hAnsi="仿宋_GB2312" w:cs="仿宋_GB2312" w:eastAsia="仿宋_GB2312"/>
                <w:sz w:val="19"/>
                <w:color w:val="000000"/>
              </w:rPr>
              <w:t>2、交货期：自合同签订之日起至所有货物供货完成之日止。（货物分批次配送，批次不定，每次接到采购人通知2日内完成配送。）</w:t>
            </w:r>
          </w:p>
          <w:p>
            <w:pPr>
              <w:pStyle w:val="null3"/>
              <w:spacing w:before="90"/>
              <w:ind w:left="90"/>
            </w:pPr>
            <w:r>
              <w:rPr>
                <w:rFonts w:ascii="仿宋_GB2312" w:hAnsi="仿宋_GB2312" w:cs="仿宋_GB2312" w:eastAsia="仿宋_GB2312"/>
                <w:sz w:val="19"/>
                <w:color w:val="000000"/>
              </w:rPr>
              <w:t>3、交货地点：最终交货地点为接到采购人通知后分批配送至各军休点，部分须邮寄。</w:t>
            </w:r>
          </w:p>
          <w:p>
            <w:pPr>
              <w:pStyle w:val="null3"/>
              <w:spacing w:before="90"/>
              <w:ind w:left="90"/>
            </w:pPr>
            <w:r>
              <w:rPr>
                <w:rFonts w:ascii="仿宋_GB2312" w:hAnsi="仿宋_GB2312" w:cs="仿宋_GB2312" w:eastAsia="仿宋_GB2312"/>
                <w:sz w:val="19"/>
                <w:color w:val="000000"/>
              </w:rPr>
              <w:t>4、质保期：保证从交货时间起算剩余质保期≥2/3质保期。</w:t>
            </w:r>
          </w:p>
          <w:p>
            <w:pPr>
              <w:pStyle w:val="null3"/>
              <w:spacing w:before="90"/>
              <w:ind w:left="90"/>
            </w:pPr>
            <w:r>
              <w:rPr>
                <w:rFonts w:ascii="仿宋_GB2312" w:hAnsi="仿宋_GB2312" w:cs="仿宋_GB2312" w:eastAsia="仿宋_GB2312"/>
                <w:sz w:val="19"/>
                <w:color w:val="000000"/>
              </w:rPr>
              <w:t>5、包装要求：独立包装，便于运输储存，外包符合国家食品包装规范。</w:t>
            </w:r>
          </w:p>
          <w:p>
            <w:pPr>
              <w:pStyle w:val="null3"/>
              <w:spacing w:before="90"/>
              <w:ind w:left="90"/>
            </w:pPr>
            <w:r>
              <w:rPr>
                <w:rFonts w:ascii="仿宋_GB2312" w:hAnsi="仿宋_GB2312" w:cs="仿宋_GB2312" w:eastAsia="仿宋_GB2312"/>
                <w:sz w:val="19"/>
                <w:color w:val="000000"/>
              </w:rPr>
              <w:t>6、质量要求：严格按照《食品安全法》的规定保证质量。严禁添加剂、防腐剂和一些可能危害身体健康的元素含量超标。由于产品质量引起的一切责任由供货商承担，采购人有权终止合同。</w:t>
            </w:r>
          </w:p>
          <w:p>
            <w:pPr>
              <w:pStyle w:val="null3"/>
              <w:spacing w:before="90"/>
              <w:ind w:left="90"/>
            </w:pPr>
            <w:r>
              <w:rPr>
                <w:rFonts w:ascii="仿宋_GB2312" w:hAnsi="仿宋_GB2312" w:cs="仿宋_GB2312" w:eastAsia="仿宋_GB2312"/>
                <w:sz w:val="19"/>
                <w:color w:val="000000"/>
              </w:rPr>
              <w:t>7、必须提供具有注册商标的商品，有生产厂家，独立包装的商品（拒绝分装、散装商品）；必须符合《食品法》要求的商品。</w:t>
            </w:r>
          </w:p>
          <w:p>
            <w:pPr>
              <w:pStyle w:val="null3"/>
              <w:spacing w:before="90"/>
              <w:ind w:left="90"/>
            </w:pPr>
            <w:r>
              <w:rPr>
                <w:rFonts w:ascii="仿宋_GB2312" w:hAnsi="仿宋_GB2312" w:cs="仿宋_GB2312" w:eastAsia="仿宋_GB2312"/>
                <w:sz w:val="19"/>
                <w:color w:val="000000"/>
              </w:rPr>
              <w:t>8、供应商需具备相应的仓储条件。</w:t>
            </w:r>
          </w:p>
          <w:p>
            <w:pPr>
              <w:pStyle w:val="null3"/>
              <w:jc w:val="left"/>
            </w:pPr>
            <w:r>
              <w:rPr>
                <w:rFonts w:ascii="仿宋_GB2312" w:hAnsi="仿宋_GB2312" w:cs="仿宋_GB2312" w:eastAsia="仿宋_GB2312"/>
                <w:sz w:val="19"/>
                <w:color w:val="000000"/>
              </w:rPr>
              <w:t>9、验收：合同签订后，乙方提供满足甲方要求的数量的货物，统一集中放在乙方仓储地，由甲方进行验收，验收合格后，进行封货。（后期根据甲方的供货需求按时进行供货）</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630"/>
              <w:jc w:val="left"/>
            </w:pPr>
            <w:r>
              <w:rPr>
                <w:rFonts w:ascii="仿宋_GB2312" w:hAnsi="仿宋_GB2312" w:cs="仿宋_GB2312" w:eastAsia="仿宋_GB2312"/>
                <w:sz w:val="20"/>
                <w:color w:val="000000"/>
              </w:rPr>
              <w:t>产品技术参数要求：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八一慰问品</w:t>
            </w:r>
          </w:p>
          <w:tbl>
            <w:tblPr>
              <w:tblInd w:type="dxa" w:w="120"/>
              <w:tblBorders>
                <w:top w:val="none" w:color="000000" w:sz="4"/>
                <w:left w:val="none" w:color="000000" w:sz="4"/>
                <w:bottom w:val="none" w:color="000000" w:sz="4"/>
                <w:right w:val="none" w:color="000000" w:sz="4"/>
                <w:insideH w:val="none"/>
                <w:insideV w:val="none"/>
              </w:tblBorders>
            </w:tblPr>
            <w:tblGrid>
              <w:gridCol w:w="145"/>
              <w:gridCol w:w="220"/>
              <w:gridCol w:w="1669"/>
              <w:gridCol w:w="313"/>
              <w:gridCol w:w="206"/>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“八一”慰问品采购清单（至少包含以下四种）</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采购要求</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食用油</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1）需包含三种油（菜籽油≥1.5L、花生油≥1.5L、亚麻籽油≥1.5L）；</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2）符合GB/T 1536（菜籽油）、GB/T 1534</w:t>
                  </w:r>
                  <w:r>
                    <w:rPr>
                      <w:rFonts w:ascii="仿宋_GB2312" w:hAnsi="仿宋_GB2312" w:cs="仿宋_GB2312" w:eastAsia="仿宋_GB2312"/>
                      <w:sz w:val="20"/>
                      <w:color w:val="000000"/>
                    </w:rPr>
                    <w:t>（花生油）、</w:t>
                  </w:r>
                  <w:r>
                    <w:rPr>
                      <w:rFonts w:ascii="仿宋_GB2312" w:hAnsi="仿宋_GB2312" w:cs="仿宋_GB2312" w:eastAsia="仿宋_GB2312"/>
                      <w:sz w:val="20"/>
                      <w:color w:val="000000"/>
                    </w:rPr>
                    <w:t>GB/T 8235（亚麻籽油）国家标准；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3）压榨工艺；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4）每瓶需独立包装；</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5）质量等级：一级；</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6）包装标识体现生产日期、配料表、SC认证；</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7）保质期：≥12个月。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≥4.5L</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1盒</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五常大米</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GB/T 19266标准；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3）真空包装或充氮保鲜，防潮防虫；</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4）质量等级：一级；</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5）包装SC认证；</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6）保质期：≥12个月。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≥5KG</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1袋</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燕麦礼盒</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1）纯燕麦片或混合谷物（可添加奇亚籽、藜麦等）;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2）符合GB 19640即食谷物标准；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3）无添加蔗糖、防腐剂，可提供低糖选项；</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4）礼盒内分罐装，标注营养成分表；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5）保质期：≥10个月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≥1KG</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1盒</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干货礼盒</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≥7种，必含品类：黑木耳、茶树菇、猴头菇、香菇；</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2）每种产品独立包装，标注克重及食用方法</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3）保质期：≥12个月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≥500G</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1盒</w:t>
                  </w:r>
                </w:p>
              </w:tc>
            </w:tr>
          </w:tbl>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春节慰问品</w:t>
            </w:r>
          </w:p>
          <w:tbl>
            <w:tblPr>
              <w:tblInd w:type="dxa" w:w="120"/>
              <w:tblBorders>
                <w:top w:val="none" w:color="000000" w:sz="4"/>
                <w:left w:val="none" w:color="000000" w:sz="4"/>
                <w:bottom w:val="none" w:color="000000" w:sz="4"/>
                <w:right w:val="none" w:color="000000" w:sz="4"/>
                <w:insideH w:val="none"/>
                <w:insideV w:val="none"/>
              </w:tblBorders>
            </w:tblPr>
            <w:tblGrid>
              <w:gridCol w:w="149"/>
              <w:gridCol w:w="218"/>
              <w:gridCol w:w="1658"/>
              <w:gridCol w:w="316"/>
              <w:gridCol w:w="209"/>
            </w:tblGrid>
            <w:tr>
              <w:tc>
                <w:tcPr>
                  <w:tcW w:type="dxa" w:w="255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0"/>
                      <w:b/>
                      <w:color w:val="000000"/>
                    </w:rPr>
                    <w:t>“春节”慰问品采购清单（至少包含以下四种）</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1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采购要求</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食用油礼盒</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橄榄油或橄榄油相关礼盒</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2）包装标识体现生产日期、配料表、SC认证；</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保质期：</w:t>
                  </w:r>
                  <w:r>
                    <w:rPr>
                      <w:rFonts w:ascii="仿宋_GB2312" w:hAnsi="仿宋_GB2312" w:cs="仿宋_GB2312" w:eastAsia="仿宋_GB2312"/>
                      <w:sz w:val="20"/>
                      <w:color w:val="000000"/>
                    </w:rPr>
                    <w:t>≥12个月</w:t>
                  </w:r>
                  <w:r>
                    <w:rPr>
                      <w:rFonts w:ascii="仿宋_GB2312" w:hAnsi="仿宋_GB2312" w:cs="仿宋_GB2312" w:eastAsia="仿宋_GB2312"/>
                      <w:sz w:val="20"/>
                      <w:color w:val="000000"/>
                    </w:rPr>
                    <w:t>。</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≥2L</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1盒</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东北大米</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）品种：长粒香米或五常大米</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GB/T 19266或GB/T 1354一级标准；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）真空包装或充氮保鲜，防潮防虫；</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质量等级：一级；</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5）包装SC认证；</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）保质期：</w:t>
                  </w:r>
                  <w:r>
                    <w:rPr>
                      <w:rFonts w:ascii="仿宋_GB2312" w:hAnsi="仿宋_GB2312" w:cs="仿宋_GB2312" w:eastAsia="仿宋_GB2312"/>
                      <w:sz w:val="20"/>
                      <w:color w:val="000000"/>
                    </w:rPr>
                    <w:t>≥12个月。</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5KG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1袋</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坚果礼盒</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品类</w:t>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种</w:t>
                  </w:r>
                  <w:r>
                    <w:rPr>
                      <w:rFonts w:ascii="仿宋_GB2312" w:hAnsi="仿宋_GB2312" w:cs="仿宋_GB2312" w:eastAsia="仿宋_GB2312"/>
                      <w:sz w:val="20"/>
                      <w:color w:val="000000"/>
                    </w:rPr>
                    <w:t>，</w:t>
                  </w:r>
                  <w:r>
                    <w:rPr>
                      <w:rFonts w:ascii="仿宋_GB2312" w:hAnsi="仿宋_GB2312" w:cs="仿宋_GB2312" w:eastAsia="仿宋_GB2312"/>
                      <w:sz w:val="20"/>
                      <w:color w:val="000000"/>
                    </w:rPr>
                    <w:t>必含品类：</w:t>
                  </w:r>
                  <w:r>
                    <w:rPr>
                      <w:rFonts w:ascii="仿宋_GB2312" w:hAnsi="仿宋_GB2312" w:cs="仿宋_GB2312" w:eastAsia="仿宋_GB2312"/>
                      <w:sz w:val="20"/>
                      <w:color w:val="000000"/>
                    </w:rPr>
                    <w:t>开心果、夏威夷果、核桃</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质量标准：符合</w:t>
                  </w:r>
                  <w:r>
                    <w:rPr>
                      <w:rFonts w:ascii="仿宋_GB2312" w:hAnsi="仿宋_GB2312" w:cs="仿宋_GB2312" w:eastAsia="仿宋_GB2312"/>
                      <w:sz w:val="20"/>
                      <w:color w:val="000000"/>
                    </w:rPr>
                    <w:t>GB 19300坚果食品安全标准</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无霉变、虫蛀</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每类坚果独立包装</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保质期：</w:t>
                  </w:r>
                  <w:r>
                    <w:rPr>
                      <w:rFonts w:ascii="仿宋_GB2312" w:hAnsi="仿宋_GB2312" w:cs="仿宋_GB2312" w:eastAsia="仿宋_GB2312"/>
                      <w:sz w:val="20"/>
                      <w:color w:val="000000"/>
                    </w:rPr>
                    <w:t>≥8个月</w:t>
                  </w:r>
                  <w:r>
                    <w:rPr>
                      <w:rFonts w:ascii="仿宋_GB2312" w:hAnsi="仿宋_GB2312" w:cs="仿宋_GB2312" w:eastAsia="仿宋_GB2312"/>
                      <w:sz w:val="20"/>
                      <w:color w:val="000000"/>
                    </w:rPr>
                    <w:t>。</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≥1.3KG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1盒</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w:t>
                  </w:r>
                  <w:r>
                    <w:rPr>
                      <w:rFonts w:ascii="仿宋_GB2312" w:hAnsi="仿宋_GB2312" w:cs="仿宋_GB2312" w:eastAsia="仿宋_GB2312"/>
                      <w:sz w:val="20"/>
                      <w:color w:val="000000"/>
                    </w:rPr>
                    <w:t>货</w:t>
                  </w:r>
                  <w:r>
                    <w:rPr>
                      <w:rFonts w:ascii="仿宋_GB2312" w:hAnsi="仿宋_GB2312" w:cs="仿宋_GB2312" w:eastAsia="仿宋_GB2312"/>
                      <w:sz w:val="20"/>
                      <w:color w:val="000000"/>
                    </w:rPr>
                    <w:t>礼盒</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≥8种，</w:t>
                  </w:r>
                  <w:r>
                    <w:rPr>
                      <w:rFonts w:ascii="仿宋_GB2312" w:hAnsi="仿宋_GB2312" w:cs="仿宋_GB2312" w:eastAsia="仿宋_GB2312"/>
                      <w:sz w:val="20"/>
                      <w:color w:val="000000"/>
                    </w:rPr>
                    <w:t>必含品类：</w:t>
                  </w:r>
                  <w:r>
                    <w:rPr>
                      <w:rFonts w:ascii="仿宋_GB2312" w:hAnsi="仿宋_GB2312" w:cs="仿宋_GB2312" w:eastAsia="仿宋_GB2312"/>
                      <w:sz w:val="20"/>
                      <w:color w:val="000000"/>
                    </w:rPr>
                    <w:t>黑木耳、银耳、鲍鱼菇、黄金菇；</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每种</w:t>
                  </w:r>
                  <w:r>
                    <w:rPr>
                      <w:rFonts w:ascii="仿宋_GB2312" w:hAnsi="仿宋_GB2312" w:cs="仿宋_GB2312" w:eastAsia="仿宋_GB2312"/>
                      <w:sz w:val="20"/>
                      <w:color w:val="000000"/>
                    </w:rPr>
                    <w:t>产品</w:t>
                  </w:r>
                  <w:r>
                    <w:rPr>
                      <w:rFonts w:ascii="仿宋_GB2312" w:hAnsi="仿宋_GB2312" w:cs="仿宋_GB2312" w:eastAsia="仿宋_GB2312"/>
                      <w:sz w:val="20"/>
                      <w:color w:val="000000"/>
                    </w:rPr>
                    <w:t>独立包装，标注克重及食用方法</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保质期：</w:t>
                  </w:r>
                  <w:r>
                    <w:rPr>
                      <w:rFonts w:ascii="仿宋_GB2312" w:hAnsi="仿宋_GB2312" w:cs="仿宋_GB2312" w:eastAsia="仿宋_GB2312"/>
                      <w:sz w:val="20"/>
                      <w:color w:val="000000"/>
                    </w:rPr>
                    <w:t>≥12个月</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1.2K</w:t>
                  </w:r>
                  <w:r>
                    <w:rPr>
                      <w:rFonts w:ascii="仿宋_GB2312" w:hAnsi="仿宋_GB2312" w:cs="仿宋_GB2312" w:eastAsia="仿宋_GB2312"/>
                      <w:sz w:val="20"/>
                      <w:color w:val="000000"/>
                    </w:rPr>
                    <w:t>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1盒</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left"/>
            </w:pPr>
            <w:r>
              <w:rPr>
                <w:rFonts w:ascii="仿宋_GB2312" w:hAnsi="仿宋_GB2312" w:cs="仿宋_GB2312" w:eastAsia="仿宋_GB2312"/>
                <w:sz w:val="20"/>
                <w:b/>
                <w:color w:val="000000"/>
              </w:rPr>
              <w:t>样品要求</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1）提供拟投每种产品样品各一份参与评审；规格与</w:t>
            </w:r>
            <w:r>
              <w:rPr>
                <w:rFonts w:ascii="仿宋_GB2312" w:hAnsi="仿宋_GB2312" w:cs="仿宋_GB2312" w:eastAsia="仿宋_GB2312"/>
                <w:sz w:val="20"/>
                <w:color w:val="000000"/>
              </w:rPr>
              <w:t>采购</w:t>
            </w:r>
            <w:r>
              <w:rPr>
                <w:rFonts w:ascii="仿宋_GB2312" w:hAnsi="仿宋_GB2312" w:cs="仿宋_GB2312" w:eastAsia="仿宋_GB2312"/>
                <w:sz w:val="20"/>
                <w:color w:val="000000"/>
              </w:rPr>
              <w:t>文件要求相一致。</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样品提交的相关事宜：</w:t>
            </w:r>
          </w:p>
          <w:p>
            <w:pPr>
              <w:pStyle w:val="null3"/>
              <w:jc w:val="left"/>
            </w:pPr>
            <w:r>
              <w:rPr>
                <w:rFonts w:ascii="仿宋_GB2312" w:hAnsi="仿宋_GB2312" w:cs="仿宋_GB2312" w:eastAsia="仿宋_GB2312"/>
                <w:sz w:val="20"/>
                <w:color w:val="000000"/>
              </w:rPr>
              <w:t>①所提供样品需要密封，在密封包装上注明项目名称、项目编号、供应商名称等内容，并加盖单位公章。</w:t>
            </w:r>
          </w:p>
          <w:p>
            <w:pPr>
              <w:pStyle w:val="null3"/>
              <w:jc w:val="left"/>
            </w:pPr>
            <w:r>
              <w:rPr>
                <w:rFonts w:ascii="仿宋_GB2312" w:hAnsi="仿宋_GB2312" w:cs="仿宋_GB2312" w:eastAsia="仿宋_GB2312"/>
                <w:sz w:val="20"/>
                <w:color w:val="000000"/>
              </w:rPr>
              <w:t>②采购人及评审小组不对样品进行封装且不支付所拆验样品的费用。</w:t>
            </w:r>
          </w:p>
          <w:p>
            <w:pPr>
              <w:pStyle w:val="null3"/>
              <w:jc w:val="left"/>
            </w:pPr>
            <w:r>
              <w:rPr>
                <w:rFonts w:ascii="仿宋_GB2312" w:hAnsi="仿宋_GB2312" w:cs="仿宋_GB2312" w:eastAsia="仿宋_GB2312"/>
                <w:sz w:val="20"/>
                <w:color w:val="000000"/>
              </w:rPr>
              <w:t>③包装上印制的图案、品名、产地、净含量等符合国家食品包装规范。</w:t>
            </w:r>
          </w:p>
          <w:p>
            <w:pPr>
              <w:pStyle w:val="null3"/>
              <w:jc w:val="left"/>
            </w:pPr>
            <w:r>
              <w:rPr>
                <w:rFonts w:ascii="仿宋_GB2312" w:hAnsi="仿宋_GB2312" w:cs="仿宋_GB2312" w:eastAsia="仿宋_GB2312"/>
                <w:sz w:val="20"/>
                <w:color w:val="000000"/>
              </w:rPr>
              <w:t>④</w:t>
            </w:r>
            <w:r>
              <w:rPr>
                <w:rFonts w:ascii="仿宋_GB2312" w:hAnsi="仿宋_GB2312" w:cs="仿宋_GB2312" w:eastAsia="仿宋_GB2312"/>
                <w:sz w:val="20"/>
                <w:color w:val="000000"/>
              </w:rPr>
              <w:t>投标产品需打开后进行评审，无偿供评标专家鉴别商品质量，已启封（食品类）投标商品样品不退，如未中标供应商要求退还自家样品，在中标结果公示后</w:t>
            </w:r>
            <w:r>
              <w:rPr>
                <w:rFonts w:ascii="仿宋_GB2312" w:hAnsi="仿宋_GB2312" w:cs="仿宋_GB2312" w:eastAsia="仿宋_GB2312"/>
                <w:sz w:val="20"/>
                <w:color w:val="000000"/>
              </w:rPr>
              <w:t>3个工作日内到代理公司进行领取，中标供应商样品作为验收依据由采购人进行保管。</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样品类型：食用油礼盒≥2L、五常大米≥5kg、燕麦礼盒≥1kg、坚果礼盒≥1.3kg、干货礼盒≥1.2kg。样品于磋商文件递交截止时间前送至陕西慧科工程管理咨询有限公司。</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自合同签订之日起至所有货物供货完成并验收合格之日止。（货物分批次配送，批次不定，每次接到采购人通知2日内完 成配送。）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最终交货地点为接到采购人通知后分批配送至各军休点，部分须邮寄。</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2025年八一慰问品供货结束，经甲方验收合格后，根据实际需求数量，按照500元/份标准，据实进行结算已供货款；2026年春节慰问品供货结束，经甲方验收合格后，根据实际需求数量，按照500元/份标准，据实进行结算已供货款，最终结算额不超过采购预算。乙方须开具足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1、每份500元固定标准（每人一份八一慰问品、一份春节慰问品），不作调整，价格不竞争。 二次报价环节需与一次保持一致，为500元/份。同时上传附件。 2、供应商需要在线提交所有通过电子化交易平台实施的政府采购项目的投标文件。 3、本项目核心产品为食用油礼盒。 4、成交通知书发出后，成交供应商须向采购人提交竞争性投标文件纸质版一正一副（纸质版投标文件与电子版投标文件保持一致）。 5、采购文件2.6.1内容为电子化交易系统采购文件模板，无法修改。根据陕西省财政厅关于持续优化政府采购营商环境有关事项的通知--陕财办采〔2024〕9 号的要求，采购人应在中标(成交)通知书发出之日起25日内，按照采购文件确定的事项与中标(成交)供应商签订政府采购合同。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许可证明</w:t>
            </w:r>
          </w:p>
        </w:tc>
        <w:tc>
          <w:tcPr>
            <w:tcW w:type="dxa" w:w="3322"/>
          </w:tcPr>
          <w:p>
            <w:pPr>
              <w:pStyle w:val="null3"/>
            </w:pPr>
            <w:r>
              <w:rPr>
                <w:rFonts w:ascii="仿宋_GB2312" w:hAnsi="仿宋_GB2312" w:cs="仿宋_GB2312" w:eastAsia="仿宋_GB2312"/>
              </w:rPr>
              <w:t>供应商为生产厂家的须提供《食品生产许可证》；代理商须提供本单位《食品经营许可证》或《预包装食品经营者备案表》。</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关联关系说明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法定代表人参加投标的，须提供本人身份证复印件（附在响应文件中）；法定代表人授权他人参加投标的，须提供法定代表人授权委托书</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供应商应提交的相关资格证明材料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全部由符合政策要求的大中小企业承接。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分项报价表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本项目为固定标准500元/份，暂定总价为410000元，价格不竞争</w:t>
            </w:r>
          </w:p>
        </w:tc>
        <w:tc>
          <w:tcPr>
            <w:tcW w:type="dxa" w:w="1661"/>
          </w:tcPr>
          <w:p>
            <w:pPr>
              <w:pStyle w:val="null3"/>
            </w:pPr>
            <w:r>
              <w:rPr>
                <w:rFonts w:ascii="仿宋_GB2312" w:hAnsi="仿宋_GB2312" w:cs="仿宋_GB2312" w:eastAsia="仿宋_GB2312"/>
              </w:rPr>
              <w:t>分项报价表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交货期、交货地点、质保期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分项报价表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没有出现法律法规或招标文件明确规定的其他 被视为“无效投标” 的情形及未实质性响应招标 文件的情况</w:t>
            </w:r>
          </w:p>
        </w:tc>
        <w:tc>
          <w:tcPr>
            <w:tcW w:type="dxa" w:w="1661"/>
          </w:tcPr>
          <w:p>
            <w:pPr>
              <w:pStyle w:val="null3"/>
            </w:pPr>
            <w:r>
              <w:rPr>
                <w:rFonts w:ascii="仿宋_GB2312" w:hAnsi="仿宋_GB2312" w:cs="仿宋_GB2312" w:eastAsia="仿宋_GB2312"/>
              </w:rPr>
              <w:t>投标方案.docx 产品技术参数表 分项报价表 投标函 中小企业声明函 残疾人福利性单位声明函 商务应答表 标的清单 供应商应提交的相关资格证明材料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根据供应商提供的“▲”项（序号2中）产品技术参数的响应情况，满足采购文件要求的得14分，参数中净含量负偏离的，每1项扣2分，其余参数每负偏离1项扣1分，扣完为止，不计负分。 评审依据：以提供的相关证明资料（如产品宣传、产品图片、相关检测报告等其他材料任选其一）和产品技术参数响应表，予以证明参数的技术响应性。若未提供视为负偏离。 注：若虚假响应按无效投标处理。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供应商提供的实施方案，（1）合理清晰满足采购需求的产品选型及搭配方案。 ①方案详细，合理性可行性强，计3分； ②方案较详细，合理性可行性较强，计2分； ③方案较差，合理性可行性差，计1分。 ④未提供不计分。 （2）组织机构及人员配置方案。 ①方案详细，合理性可行性强，计3分； ②方案较详细，合理性可行性较强，计2分； ③方案较差，合理性可行性差，计1分。 ④未提供不计分。 （3）实施进度计划。 ①计划安排详细，合理性可行性强，计3分； ②计划安排较详细，合理性可行性较强，计2分； ③计划安排较差，合理性可行性差，计1分。 ④未提供不计分。 （4）实施服务保障措施。 ①措施详细，合理性可行性强，计3分； ②措施较详细，合理性可行性较强，计2分； ③措施较差，合理性可行性差，计1分。 ④未提供不计分。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配送、发放及验收方案</w:t>
            </w:r>
          </w:p>
        </w:tc>
        <w:tc>
          <w:tcPr>
            <w:tcW w:type="dxa" w:w="2492"/>
          </w:tcPr>
          <w:p>
            <w:pPr>
              <w:pStyle w:val="null3"/>
            </w:pPr>
            <w:r>
              <w:rPr>
                <w:rFonts w:ascii="仿宋_GB2312" w:hAnsi="仿宋_GB2312" w:cs="仿宋_GB2312" w:eastAsia="仿宋_GB2312"/>
              </w:rPr>
              <w:t>供应商应提供合理可行的配送、发放及验收方案。至少包含： （1）配送及发放(含邮寄)方案。 ①方案详细，合理性可行性强，计4分； ②方案较详细，合理性可行性较强，计2分； ③方案较差，合理性可行性差，计1分。 ④未提供不计分。 （2）产品验收方案。 ①方案详细，合理性可行性强，计4分； ②方案较详细，合理性可行性较强，计2分； ③方案较差，合理性可行性差，计1分。 ④未提供不计分。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（1）提供的物资有明确的质量保证措施及承诺，承诺保质、保量、包换、包退，确保供应的产品无质量问题。 ①措施及承诺具体，合理性可行性强，计7分； ②措施及承诺较详细，合理性可行性较强，计5分； ③措施及承诺较差，合理性可行性差，计3分。 ④未提供不计分。 （2）供应商须提供产品来源渠道合法证明材料（提供销售协议或代理协议或原厂授权书等证明材料）每提供1个产品的来源渠道合法证明材料，得0.5分，最高计4分。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包含①售后服务机构及人员安排情况、②售后服务响应时间与处理时间、③售后服务质量保证措施、④服务承诺、⑤对于食品出现质量问题时，有切实可行的应对方案。 以上五项内容，分别进行详细评审。 ①每项方案内容明确、全面、针对性强，得3分。 ②每项方案内容一般、较全面、针对性较强，得2分。 ③每项方案差计1分。 ④未提供计0分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根据供应商提供的2022年1月1日以来类似项目业绩（以合同复印件加盖公章为准），每提供一份得3分，最高得15分。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1、大米： （1）大米品质 ①品质颗粒饱满，没有生霉、无其他杂质、碎米，色泽、气味正常计2分； ②颗粒较饱满，色泽较差，计1分。 ③产品质量差及其他情况不得分。 （2）产品包装 ①包装规范、标识齐全、表述清晰，营养成分标注符合国家标准计2分。 ②包装一般，标识较齐全，产品信息描述简单，计1分。 ③其他情况不得分。 2、食用油： （1）产品质量 ①无酸败、焦糊及其他异味，色泽透明均匀，不含异物计2分； ②色泽较透明均匀，计1分； ③其他情况不得分。 （2）产品包装 ①产品包装规范、标识齐全表述清晰，营养成分、配料标注符合国家标准计2分； ②包装一般，标识较齐全，产品信息描述简单，计1分。 ③其他情况不得分。 3、燕麦礼盒（1）产品质量 ①品质颗粒饱满，没有生霉、无其他杂质，色泽、气味正常计2分； ②颗粒较饱满，色泽较差，计1分。 ③产品质量差及其他情况不得分。 （2）产品包装 ①包装规范、标识齐全、表述清晰，营养成分标注符合国家标准计2分。 ②包装一般，标识较齐全，产品信息描述简单，计1分。 ③其他情况不得分。 4、坚果礼盒（1）产品品质 ①种类多、色泽、气味正常、品质好计2分；②种类较多，品质一般，计1分。 ③其他情况不得分。 （2）产品包装 ①产品包装规范、标识齐全表述清晰，计2分； ②包装一般，标识较齐全，产品信息描述简单，计1分。 ③其他情况不得分。 5、干货礼盒 （1）产品品质 ①种类多、色泽、气味正常、品质好计2分；②种类较多，品质一般，计1分。 ③其他情况不得分。 （2）产品包装 ①产品包装规范、标识齐全表述清晰，计2分； ②包装一般，标识较齐全，产品信息描述简单，计1分。 ③其他情况不得分。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针对供应商的突发事件处置预案进行综合评审，包括服务供货过程中可能发生的紧急事件分析及应对措施等。 ①方案详细，合理性可行性强，计5分； ②方案较详细，合理性可行性较强，计3分； ③方案较差，合理性可行性差，计1分。 ④未提供不计分。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