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版本号：XQSZB2025-02920250728002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三原北城中学教学楼楼前地面维修改造工程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XQSZB2025-029</w:t>
      </w:r>
      <w:r>
        <w:br/>
      </w:r>
      <w:r>
        <w:br/>
      </w:r>
      <w:r>
        <w:br/>
      </w:r>
    </w:p>
    <w:p>
      <w:pPr>
        <w:pStyle w:val="null3"/>
        <w:jc w:val="center"/>
        <w:outlineLvl w:val="2"/>
      </w:pPr>
      <w:r>
        <w:rPr>
          <w:rFonts w:ascii="仿宋_GB2312" w:hAnsi="仿宋_GB2312" w:cs="仿宋_GB2312" w:eastAsia="仿宋_GB2312"/>
          <w:sz w:val="28"/>
          <w:b/>
        </w:rPr>
        <w:t>三原县北城中学</w:t>
      </w:r>
    </w:p>
    <w:p>
      <w:pPr>
        <w:pStyle w:val="null3"/>
        <w:jc w:val="center"/>
        <w:outlineLvl w:val="2"/>
      </w:pPr>
      <w:r>
        <w:rPr>
          <w:rFonts w:ascii="仿宋_GB2312" w:hAnsi="仿宋_GB2312" w:cs="仿宋_GB2312" w:eastAsia="仿宋_GB2312"/>
          <w:sz w:val="28"/>
          <w:b/>
        </w:rPr>
        <w:t>陕西鑫仟顺工程项目管理有限公司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陕西鑫仟顺工程项目管理有限公司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三原县北城中学</w:t>
      </w:r>
      <w:r>
        <w:rPr>
          <w:rFonts w:ascii="仿宋_GB2312" w:hAnsi="仿宋_GB2312" w:cs="仿宋_GB2312" w:eastAsia="仿宋_GB2312"/>
        </w:rPr>
        <w:t>委托，拟对</w:t>
      </w:r>
      <w:r>
        <w:rPr>
          <w:rFonts w:ascii="仿宋_GB2312" w:hAnsi="仿宋_GB2312" w:cs="仿宋_GB2312" w:eastAsia="仿宋_GB2312"/>
        </w:rPr>
        <w:t>三原北城中学教学楼楼前地面维修改造工程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XQSZB2025-029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三原北城中学教学楼楼前地面维修改造工程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主要建设内容包括：路面重新进行硬化，增加水泥垫层和排水管道。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采购包1（三原县北城中学教学楼楼前地面维修改造工程）：属于专门面向中小企业采购。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情况：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p>
      <w:pPr>
        <w:pStyle w:val="null3"/>
      </w:pPr>
      <w:r>
        <w:rPr>
          <w:rFonts w:ascii="仿宋_GB2312" w:hAnsi="仿宋_GB2312" w:cs="仿宋_GB2312" w:eastAsia="仿宋_GB2312"/>
        </w:rPr>
        <w:t>3、纳税证明：提供磋商截止日前六个月内任意一个月的纳税证明或完税证明（增值税、印花税、城市维护建设费、企业所得税等一种或多种税种），依法免税的单位提供相关证明材料；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6、无重大违法记录：参加本次政府采购活动前三年内在经营活动中没有重大违法记录的书面声明；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7、法定代表人授权书/法定代表人身份证明：法定代表人授权书（附法定代表人、被授权人身份证复印件及授权代表在本单位缴纳社保的证明），法定代表人直接参加磋商，须提供法定代表人身份证明</w:t>
      </w:r>
    </w:p>
    <w:p>
      <w:pPr>
        <w:pStyle w:val="null3"/>
      </w:pPr>
      <w:r>
        <w:rPr>
          <w:rFonts w:ascii="仿宋_GB2312" w:hAnsi="仿宋_GB2312" w:cs="仿宋_GB2312" w:eastAsia="仿宋_GB2312"/>
        </w:rPr>
        <w:t>8、资质证书：供应商须具备建设行政主管部门颁发的建筑工程施工总承包三级及以上资质，并具备建设行政主管部门颁发的安全生产许可证；</w:t>
      </w:r>
    </w:p>
    <w:p>
      <w:pPr>
        <w:pStyle w:val="null3"/>
      </w:pPr>
      <w:r>
        <w:rPr>
          <w:rFonts w:ascii="仿宋_GB2312" w:hAnsi="仿宋_GB2312" w:cs="仿宋_GB2312" w:eastAsia="仿宋_GB2312"/>
        </w:rPr>
        <w:t>9、拟派负责人（项目经理）：拟派项目经理具备建筑工程专业二级及以上注册建造师资质证书，并具备安全考核B证，并提供无在建工程证明；</w:t>
      </w:r>
    </w:p>
    <w:p>
      <w:pPr>
        <w:pStyle w:val="null3"/>
      </w:pPr>
      <w:r>
        <w:rPr>
          <w:rFonts w:ascii="仿宋_GB2312" w:hAnsi="仿宋_GB2312" w:cs="仿宋_GB2312" w:eastAsia="仿宋_GB2312"/>
        </w:rPr>
        <w:t>10、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三原县北城中学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三原县北城书院巷1号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029-32206700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陕西鑫仟顺工程项目管理有限公司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陕西省咸阳市秦都区滨河西路大秦御港城10号楼1608室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刘昕娅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029-33253042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采购包1：902,759.97元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按标准收费执行。 2.成交单位在领取成交通知书前，须向采购代理机构一次性支付招标代理服务费。 3.招标代理服务费交纳信息： 户 名：陕西鑫仟顺工程项目管理有限公司 开户行：中国光大银行股份有限公司咸阳分行 账 号：55930188000037709 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三原县北城中学</w:t>
      </w:r>
      <w:r>
        <w:rPr>
          <w:rFonts w:ascii="仿宋_GB2312" w:hAnsi="仿宋_GB2312" w:cs="仿宋_GB2312" w:eastAsia="仿宋_GB2312"/>
        </w:rPr>
        <w:t>和</w:t>
      </w:r>
      <w:r>
        <w:rPr>
          <w:rFonts w:ascii="仿宋_GB2312" w:hAnsi="仿宋_GB2312" w:cs="仿宋_GB2312" w:eastAsia="仿宋_GB2312"/>
        </w:rPr>
        <w:t>陕西鑫仟顺工程项目管理有限公司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三原县北城中学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陕西鑫仟顺工程项目管理有限公司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三原县北城中学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陕西鑫仟顺工程项目管理有限公司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联系电话：029-33253042</w:t>
      </w:r>
    </w:p>
    <w:p>
      <w:pPr>
        <w:pStyle w:val="null3"/>
      </w:pPr>
      <w:r>
        <w:rPr>
          <w:rFonts w:ascii="仿宋_GB2312" w:hAnsi="仿宋_GB2312" w:cs="仿宋_GB2312" w:eastAsia="仿宋_GB2312"/>
        </w:rPr>
        <w:t>地址：陕西省咸阳市秦都区滨河西路大秦御港城10号楼1608室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902,759.97</w:t>
      </w:r>
    </w:p>
    <w:p>
      <w:pPr>
        <w:pStyle w:val="null3"/>
      </w:pPr>
      <w:r>
        <w:rPr>
          <w:rFonts w:ascii="仿宋_GB2312" w:hAnsi="仿宋_GB2312" w:cs="仿宋_GB2312" w:eastAsia="仿宋_GB2312"/>
        </w:rPr>
        <w:t>采购包最高限价（元）: 902,759.97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三原县北城中学教学楼楼前地面维修改造工程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902,759.97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标的名称：三原县北城中学教学楼楼前地面维修改造工程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工程内容：</w:t>
            </w:r>
          </w:p>
          <w:p>
            <w:pPr>
              <w:pStyle w:val="null3"/>
              <w:jc w:val="both"/>
            </w:pPr>
            <w:r>
              <w:rPr>
                <w:rFonts w:ascii="仿宋_GB2312" w:hAnsi="仿宋_GB2312" w:cs="仿宋_GB2312" w:eastAsia="仿宋_GB2312"/>
                <w:sz w:val="21"/>
              </w:rPr>
              <w:t>一、地面维修改造为了营造良好、安全的教学环境，保证学校教育教学工作正常开展。满足教育教学工作要求，消除安全隐患，提升校园面貌。路面重新进行硬化，增加水泥垫层和排水管道。</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1.施工地点：采购人指定地点。</w:t>
            </w:r>
          </w:p>
          <w:p>
            <w:pPr>
              <w:pStyle w:val="null3"/>
              <w:jc w:val="both"/>
            </w:pPr>
            <w:r>
              <w:rPr>
                <w:rFonts w:ascii="仿宋_GB2312" w:hAnsi="仿宋_GB2312" w:cs="仿宋_GB2312" w:eastAsia="仿宋_GB2312"/>
                <w:sz w:val="21"/>
              </w:rPr>
              <w:t>2.工期：20日历天，2025年8月25日前完工。</w:t>
            </w:r>
          </w:p>
          <w:p>
            <w:pPr>
              <w:pStyle w:val="null3"/>
              <w:jc w:val="both"/>
            </w:pPr>
            <w:r>
              <w:rPr>
                <w:rFonts w:ascii="仿宋_GB2312" w:hAnsi="仿宋_GB2312" w:cs="仿宋_GB2312" w:eastAsia="仿宋_GB2312"/>
                <w:sz w:val="21"/>
              </w:rPr>
              <w:t>3.质量保修期：1年。</w:t>
            </w:r>
          </w:p>
          <w:p>
            <w:pPr>
              <w:pStyle w:val="null3"/>
              <w:jc w:val="both"/>
            </w:pPr>
            <w:r>
              <w:rPr>
                <w:rFonts w:ascii="仿宋_GB2312" w:hAnsi="仿宋_GB2312" w:cs="仿宋_GB2312" w:eastAsia="仿宋_GB2312"/>
                <w:sz w:val="21"/>
              </w:rPr>
              <w:t>4.本工程缺陷责任期：1年；</w:t>
            </w:r>
          </w:p>
          <w:p>
            <w:pPr>
              <w:pStyle w:val="null3"/>
              <w:jc w:val="both"/>
            </w:pPr>
            <w:r>
              <w:rPr>
                <w:rFonts w:ascii="仿宋_GB2312" w:hAnsi="仿宋_GB2312" w:cs="仿宋_GB2312" w:eastAsia="仿宋_GB2312"/>
                <w:sz w:val="21"/>
              </w:rPr>
              <w:t>5.质量标准：符合国家及地方现行验收规范“合格”标准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编制依据：</w:t>
            </w:r>
          </w:p>
          <w:p>
            <w:pPr>
              <w:pStyle w:val="null3"/>
              <w:jc w:val="both"/>
            </w:pPr>
            <w:r>
              <w:rPr>
                <w:rFonts w:ascii="仿宋_GB2312" w:hAnsi="仿宋_GB2312" w:cs="仿宋_GB2312" w:eastAsia="仿宋_GB2312"/>
                <w:sz w:val="21"/>
              </w:rPr>
              <w:t>1、三原县北城中学教学楼楼前地面维修改造项目设计图纸。</w:t>
            </w:r>
            <w:r>
              <w:br/>
            </w:r>
            <w:r>
              <w:rPr>
                <w:rFonts w:ascii="仿宋_GB2312" w:hAnsi="仿宋_GB2312" w:cs="仿宋_GB2312" w:eastAsia="仿宋_GB2312"/>
                <w:sz w:val="21"/>
              </w:rPr>
              <w:t xml:space="preserve"> 2、计价依据:《陕西省建设工程工程量清单计价规则》【2009]、《陕西省建筑装饰工程消耗量定额》(2004)、《陕西省建设工程消耗量定额勘误及补充定额》(2009)、《陕西省市政工程消耗量定额》【2004]、《陕西省安装工程消耗量定额》【2004]、《陕西省园林绿化工程价目表》【2009]、《陕西省安装工程消耗量补充定额》【2006]、《陕西省市政工程消耗量补充定额》【2006]《陕西省市政工程价目表》【2009]、《陕西省建筑工程、安装工程参考费率》【2009]。</w:t>
            </w:r>
            <w:r>
              <w:br/>
            </w:r>
            <w:r>
              <w:rPr>
                <w:rFonts w:ascii="仿宋_GB2312" w:hAnsi="仿宋_GB2312" w:cs="仿宋_GB2312" w:eastAsia="仿宋_GB2312"/>
                <w:sz w:val="21"/>
              </w:rPr>
              <w:t xml:space="preserve"> 3、人工费执行陕建发【2021]1097号《关于调整房屋建筑和市政基础设施工程工程量清单计价综合人工单价的通知》。</w:t>
            </w:r>
            <w:r>
              <w:br/>
            </w:r>
            <w:r>
              <w:rPr>
                <w:rFonts w:ascii="仿宋_GB2312" w:hAnsi="仿宋_GB2312" w:cs="仿宋_GB2312" w:eastAsia="仿宋_GB2312"/>
                <w:sz w:val="21"/>
              </w:rPr>
              <w:t xml:space="preserve"> 4、陕建发【2019]1246号《关于发布我省落实建筑工人实名制管理计价依据的通知》。</w:t>
            </w:r>
            <w:r>
              <w:br/>
            </w:r>
            <w:r>
              <w:rPr>
                <w:rFonts w:ascii="仿宋_GB2312" w:hAnsi="仿宋_GB2312" w:cs="仿宋_GB2312" w:eastAsia="仿宋_GB2312"/>
                <w:sz w:val="21"/>
              </w:rPr>
              <w:t xml:space="preserve"> 5、陕建发【2021]1021号《关于全省统一停止收缴建筑业劳保费用的通知》。</w:t>
            </w:r>
            <w:r>
              <w:br/>
            </w:r>
            <w:r>
              <w:rPr>
                <w:rFonts w:ascii="仿宋_GB2312" w:hAnsi="仿宋_GB2312" w:cs="仿宋_GB2312" w:eastAsia="仿宋_GB2312"/>
                <w:sz w:val="21"/>
              </w:rPr>
              <w:t xml:space="preserve"> 6、关于陕西省住房和城乡建设厅关于建筑施工安全生产责任保险费用计价的通知:陕建发(2020)1097号。</w:t>
            </w:r>
            <w:r>
              <w:br/>
            </w:r>
            <w:r>
              <w:rPr>
                <w:rFonts w:ascii="仿宋_GB2312" w:hAnsi="仿宋_GB2312" w:cs="仿宋_GB2312" w:eastAsia="仿宋_GB2312"/>
                <w:sz w:val="21"/>
              </w:rPr>
              <w:t xml:space="preserve"> 7、材料价格参考咸阳市(三原)2025年第三期信息价及市场价。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广联达云计价平台GCCP6.0（6.4100.23.122版本）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2.本项目属性为工程。 3.本项目合同包1采购标的所属行业为：建筑业； 4.本项目是否属于信用担保试点范围：否。 5.本项目最高限价为902759.97元，投标报价应是采购范围内全部工作内容的价格体现且不得高于最高限价。响应文件一经提交，则将被视为发包内容的全部费用，已经包含在投标报价内，供应商亦不得以任何理由在投标报价中重复计价。除合同另有约定外，对中标人提出的任何追加报价，采购人将不予调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完整的财务审计报告（成立时间至提交磋商文件截止时间不足一年的可提供成立后任意时段的资产负债表）或磋商截止日前六个月内基本存款账户开户银行出具的资信证明（附开户许可证或开户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财务情况</w:t>
            </w:r>
          </w:p>
        </w:tc>
        <w:tc>
          <w:tcPr>
            <w:tcW w:type="dxa" w:w="3322"/>
          </w:tcPr>
          <w:p>
            <w:pPr>
              <w:pStyle w:val="null3"/>
            </w:pPr>
            <w:r>
              <w:rPr>
                <w:rFonts w:ascii="仿宋_GB2312" w:hAnsi="仿宋_GB2312" w:cs="仿宋_GB2312" w:eastAsia="仿宋_GB2312"/>
              </w:rPr>
              <w:t>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法定代表人授权书（附法定代表人、被授权人身份证复印件及授权代表在本单位缴纳社保的证明），法定代表人直接参加磋商，须提供法定代表人身份证明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供应商须具备建设行政主管部门颁发的建筑工程施工总承包三级及以上资质，并具备建设行政主管部门颁发的安全生产许可证；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拟派负责人（项目经理）</w:t>
            </w:r>
          </w:p>
        </w:tc>
        <w:tc>
          <w:tcPr>
            <w:tcW w:type="dxa" w:w="3322"/>
          </w:tcPr>
          <w:p>
            <w:pPr>
              <w:pStyle w:val="null3"/>
            </w:pPr>
            <w:r>
              <w:rPr>
                <w:rFonts w:ascii="仿宋_GB2312" w:hAnsi="仿宋_GB2312" w:cs="仿宋_GB2312" w:eastAsia="仿宋_GB2312"/>
              </w:rPr>
              <w:t>拟派项目经理具备建筑工程专业二级及以上注册建造师资质证书，并具备安全考核B证，并提供无在建工程证明；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供应商承诺书.docx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合同条款及其他商务要求应答表偏离表.docx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供应商的项目经理部组成及劳动力投入配备合理，完全满足工作要求，得12分； 供应商的项目经理部组成及劳动力投入配备较为合理，基本满足工作要求，得8分； 供应商的项目经理部组成及劳动力投入配备不合理、配置较差，未能完全满足工作要求,得4分。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安全、文明施工措施、环境保护措施及确保治污减霾和防尘污染的技术组织措施</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供应商有完善的安全、文明施工措施、环境保护措施及确保治污减霾和防尘污染的技术组织措施，措施编制完整合理、可操作性强，得9分； 供应商的安全、文明施工措施、环境保护措施及确保治污减霾和防尘污染的技术组织措施基本合理、操作性一般，得6分； 供应商提供的安全、文明施工措施、环境保护措施及确保治污减霾和防尘污染的技术组织措施不尽完善、操作性不强、不能完全满足工作要求，得3分。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施工质量及施工进度保证措施、明确的项目职责与分工</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供应商有完善的施工质量及施工进度保证措施、明确的项目职责与分工，能有效地保证服务质量，确保按时按量完成服务工作，得9分； 供应商的施工质量及施工进度保证措施完善、程序措施较为规范合理，得6分； 供应商的施工质量及施工进度保证措施不尽完善、不能完全满足工作要求，得3分。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合同条款及其他商务要求应答表偏离表.docx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具有详细、实用、可行的突发事件处理预案措施，包括但不限于工伤事故、劳务纠纷；突发事件应急预案，详细、实用、切实可行性强得9分； 突发事件应急预案，较详细、较实用、可行性较强得6分； 突发事件应急预案，实用性一般，可行性较弱得3分。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提供的项目施工方案详细、合理、全面，得9分； 提供的项目施工方案较详细、基本合理，得6分； 提供的项目施工方案有缺陷或不太合理，前后矛盾，得3分。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主要材料供应计划及施工机械配备投入计划</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供应商所制定的主要材料供应计划及施工机械配备投入计划详细合理，可操作性强，机械工具配置齐全、情况良好。得9分； 供应商所制定的主要材料供应计划及施工机械配备投入计划较详细合理，可操作性一般，基本满足工作要求，得6分。 供应商所制定的主要材料供应计划及施工机械配备投入计划基本合理，操作性差，不能满足工作要求，得3分。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根据供应商提供的服务承诺（包括但不限于工期、工程质量、安全方面）的情况赋分。描述详尽、具体、可行性强得9分； 描述较详尽、较具体、可行性一般得6分； 描述简单、不具体计3分。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07月01日至今类似项目业绩，每提供1份得2分，最高得4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30分。3.磋商报价得分=（磋商基准价/最终磋商报价）×30的公式计算得分。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详见附件：合同条款及其他商务要求应答表偏离表.docx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